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97963" w14:textId="04D0D90D" w:rsidR="003071A3" w:rsidRDefault="003071A3" w:rsidP="00E32840">
      <w:pPr>
        <w:rPr>
          <w:rFonts w:ascii="Times" w:hAnsi="Times"/>
          <w:sz w:val="22"/>
        </w:rPr>
      </w:pPr>
      <w:r>
        <w:rPr>
          <w:rFonts w:ascii="Times" w:hAnsi="Times"/>
          <w:sz w:val="22"/>
        </w:rPr>
        <w:t xml:space="preserve">IMPLICIT BIAS, STEREOTYPE THREAT, AND </w:t>
      </w:r>
      <w:r w:rsidR="008973D7">
        <w:rPr>
          <w:rFonts w:ascii="Times" w:hAnsi="Times"/>
          <w:sz w:val="22"/>
        </w:rPr>
        <w:t>POLITICAL CORRECTNESS</w:t>
      </w:r>
      <w:r>
        <w:rPr>
          <w:rFonts w:ascii="Times" w:hAnsi="Times"/>
          <w:sz w:val="22"/>
        </w:rPr>
        <w:t xml:space="preserve"> IN PHILOSOPHY</w:t>
      </w:r>
    </w:p>
    <w:p w14:paraId="7A894649" w14:textId="77777777" w:rsidR="003071A3" w:rsidRPr="00332A9B" w:rsidRDefault="003071A3" w:rsidP="00E32840"/>
    <w:p w14:paraId="29DADCA5" w14:textId="5275052B" w:rsidR="00332A9B" w:rsidRDefault="00E84A3D" w:rsidP="003F4BF9">
      <w:pPr>
        <w:rPr>
          <w:rFonts w:cs="Calibri"/>
          <w:color w:val="191919"/>
        </w:rPr>
      </w:pPr>
      <w:r w:rsidRPr="00332A9B">
        <w:rPr>
          <w:rFonts w:eastAsia="Arial Unicode MS" w:cs="Arial Unicode MS"/>
        </w:rPr>
        <w:t xml:space="preserve">This paper </w:t>
      </w:r>
      <w:r w:rsidR="007666C1">
        <w:rPr>
          <w:rFonts w:eastAsia="Arial Unicode MS" w:cs="Arial Unicode MS"/>
        </w:rPr>
        <w:t xml:space="preserve">offers an </w:t>
      </w:r>
      <w:r w:rsidR="008371ED">
        <w:rPr>
          <w:rFonts w:eastAsia="Arial Unicode MS" w:cs="Arial Unicode MS"/>
        </w:rPr>
        <w:t xml:space="preserve">unorthodox </w:t>
      </w:r>
      <w:r w:rsidR="00332A9B" w:rsidRPr="00332A9B">
        <w:rPr>
          <w:rFonts w:eastAsia="Arial Unicode MS" w:cs="Arial Unicode MS"/>
        </w:rPr>
        <w:t xml:space="preserve">appraisal of empirical research </w:t>
      </w:r>
      <w:r w:rsidR="00332A9B">
        <w:rPr>
          <w:rFonts w:eastAsia="Arial Unicode MS" w:cs="Arial Unicode MS"/>
        </w:rPr>
        <w:t>bearing</w:t>
      </w:r>
      <w:r w:rsidR="00332A9B" w:rsidRPr="00332A9B">
        <w:rPr>
          <w:rFonts w:eastAsia="Arial Unicode MS" w:cs="Arial Unicode MS"/>
        </w:rPr>
        <w:t xml:space="preserve"> on the question of the low representation of women in philosophy.  It </w:t>
      </w:r>
      <w:r w:rsidR="0047597C" w:rsidRPr="00332A9B">
        <w:rPr>
          <w:rFonts w:eastAsia="Arial Unicode MS" w:cs="Arial Unicode MS"/>
        </w:rPr>
        <w:t>contend</w:t>
      </w:r>
      <w:r w:rsidR="002E416D" w:rsidRPr="00332A9B">
        <w:rPr>
          <w:rFonts w:eastAsia="Arial Unicode MS" w:cs="Arial Unicode MS"/>
        </w:rPr>
        <w:t xml:space="preserve">s that </w:t>
      </w:r>
      <w:r w:rsidR="0047597C" w:rsidRPr="00332A9B">
        <w:rPr>
          <w:rFonts w:eastAsia="Arial Unicode MS" w:cs="Arial Unicode MS"/>
        </w:rPr>
        <w:t xml:space="preserve">fashionable </w:t>
      </w:r>
      <w:r w:rsidR="0047597C" w:rsidRPr="00332A9B">
        <w:rPr>
          <w:rFonts w:cs="Calibri"/>
        </w:rPr>
        <w:t xml:space="preserve">views in the </w:t>
      </w:r>
      <w:r w:rsidR="00332A9B" w:rsidRPr="00332A9B">
        <w:rPr>
          <w:rFonts w:cs="Calibri"/>
        </w:rPr>
        <w:t xml:space="preserve">profession concerning </w:t>
      </w:r>
      <w:r w:rsidR="0047597C" w:rsidRPr="00332A9B">
        <w:rPr>
          <w:rFonts w:cs="Calibri"/>
        </w:rPr>
        <w:t>implicit bias</w:t>
      </w:r>
      <w:r w:rsidR="00332A9B" w:rsidRPr="00332A9B">
        <w:rPr>
          <w:rFonts w:cs="Calibri"/>
        </w:rPr>
        <w:t xml:space="preserve"> and stereotype threat are weakly supported,</w:t>
      </w:r>
      <w:r w:rsidR="0047597C" w:rsidRPr="00332A9B">
        <w:rPr>
          <w:rFonts w:cs="Calibri"/>
        </w:rPr>
        <w:t xml:space="preserve"> </w:t>
      </w:r>
      <w:r w:rsidR="00332A9B" w:rsidRPr="00332A9B">
        <w:rPr>
          <w:rFonts w:cs="Calibri"/>
        </w:rPr>
        <w:t xml:space="preserve">that </w:t>
      </w:r>
      <w:r w:rsidR="0047597C" w:rsidRPr="00332A9B">
        <w:rPr>
          <w:rFonts w:eastAsia="Arial Unicode MS" w:cs="Arial Unicode MS"/>
        </w:rPr>
        <w:t>philosophers often fail to report the</w:t>
      </w:r>
      <w:r w:rsidR="00332A9B" w:rsidRPr="00332A9B">
        <w:rPr>
          <w:rFonts w:eastAsia="Arial Unicode MS" w:cs="Arial Unicode MS"/>
        </w:rPr>
        <w:t xml:space="preserve"> empirical work responsibly, and that the standards for evidence are set very low—so long as you take a certain viewpoint.  </w:t>
      </w:r>
    </w:p>
    <w:p w14:paraId="6E5412F1" w14:textId="77777777" w:rsidR="003F4BF9" w:rsidRPr="003F4BF9" w:rsidRDefault="003F4BF9" w:rsidP="003F4BF9">
      <w:pPr>
        <w:rPr>
          <w:rFonts w:cs="Calibri"/>
          <w:color w:val="191919"/>
        </w:rPr>
      </w:pPr>
    </w:p>
    <w:p w14:paraId="263C5006" w14:textId="40F58BD8" w:rsidR="000A6A6E" w:rsidRPr="00332A9B" w:rsidRDefault="00BF4C93" w:rsidP="00332A9B">
      <w:pPr>
        <w:spacing w:line="480" w:lineRule="auto"/>
        <w:rPr>
          <w:rFonts w:cs="Calibri"/>
          <w:color w:val="191919"/>
        </w:rPr>
      </w:pPr>
      <w:r>
        <w:t xml:space="preserve">1.  </w:t>
      </w:r>
      <w:r w:rsidR="00E80C3B">
        <w:t>INTRODUCTION</w:t>
      </w:r>
    </w:p>
    <w:p w14:paraId="73F8F3ED" w14:textId="5CC4162D" w:rsidR="009978F2" w:rsidRDefault="009978F2" w:rsidP="009978F2">
      <w:pPr>
        <w:spacing w:line="480" w:lineRule="auto"/>
      </w:pPr>
      <w:r>
        <w:t xml:space="preserve">The </w:t>
      </w:r>
      <w:r>
        <w:rPr>
          <w:rFonts w:cs="Times New Roman"/>
        </w:rPr>
        <w:t>"</w:t>
      </w:r>
      <w:r w:rsidRPr="00097295">
        <w:rPr>
          <w:rFonts w:cs="Times New Roman"/>
        </w:rPr>
        <w:t>tendency for researchers to fall in line with a particular point of view, especially in the more politically charged branches of science"</w:t>
      </w:r>
      <w:r>
        <w:rPr>
          <w:rFonts w:cs="Times New Roman"/>
        </w:rPr>
        <w:t xml:space="preserve"> in a way that "distorts research" and can "stifle original thinking" is a growing concern </w:t>
      </w:r>
      <w:r w:rsidR="00A70696">
        <w:rPr>
          <w:rFonts w:cs="Times New Roman"/>
        </w:rPr>
        <w:t>for some</w:t>
      </w:r>
      <w:r>
        <w:rPr>
          <w:rFonts w:cs="Times New Roman"/>
        </w:rPr>
        <w:t>.</w:t>
      </w:r>
      <w:r w:rsidR="00B20E1B">
        <w:rPr>
          <w:rStyle w:val="FootnoteReference"/>
          <w:rFonts w:cs="Times New Roman"/>
        </w:rPr>
        <w:footnoteReference w:id="1"/>
      </w:r>
      <w:r>
        <w:rPr>
          <w:rFonts w:cs="Times New Roman"/>
        </w:rPr>
        <w:t xml:space="preserve">  Here </w:t>
      </w:r>
      <w:r>
        <w:t xml:space="preserve">"political correctness" will be </w:t>
      </w:r>
      <w:r w:rsidR="004F01B1">
        <w:t xml:space="preserve">narrowly taken as the use of </w:t>
      </w:r>
      <w:r w:rsidR="00F71A27">
        <w:t xml:space="preserve">political criteria </w:t>
      </w:r>
      <w:r>
        <w:t>in the justification of scientific claims, though to forgo confusion, we need to distinguish between prescriptive and descriptive senses.  The prescriptive sense is often assumed by opponents of "political correctness," as in the characterization of feminist epistemology as holding that, "</w:t>
      </w:r>
      <w:r w:rsidR="002A036D">
        <w:t>values should determine what theories are accepted [and</w:t>
      </w:r>
      <w:r w:rsidR="00A72490">
        <w:t xml:space="preserve"> that</w:t>
      </w:r>
      <w:r w:rsidR="002A036D">
        <w:t xml:space="preserve">] </w:t>
      </w:r>
      <w:r w:rsidR="002A036D" w:rsidRPr="002A036D">
        <w:t>inquiry should be</w:t>
      </w:r>
      <w:r w:rsidR="002A036D">
        <w:rPr>
          <w:i/>
        </w:rPr>
        <w:t xml:space="preserve"> </w:t>
      </w:r>
      <w:r w:rsidR="002A036D">
        <w:t>politicized</w:t>
      </w:r>
      <w:r w:rsidR="00A70696">
        <w:t>."</w:t>
      </w:r>
      <w:r w:rsidR="003C095D">
        <w:rPr>
          <w:rStyle w:val="FootnoteReference"/>
        </w:rPr>
        <w:footnoteReference w:id="2"/>
      </w:r>
      <w:r>
        <w:t xml:space="preserve">  </w:t>
      </w:r>
      <w:r w:rsidR="006A6462">
        <w:t>In reply,</w:t>
      </w:r>
      <w:r>
        <w:t xml:space="preserve"> proponents have insisted that although values </w:t>
      </w:r>
      <w:r w:rsidRPr="00624941">
        <w:t>should</w:t>
      </w:r>
      <w:r>
        <w:t xml:space="preserve"> (and do) inform the context of scientific discovery (e.g. what projects are worth pursuing, hypothesis formation, etc...), they </w:t>
      </w:r>
      <w:r>
        <w:lastRenderedPageBreak/>
        <w:t>are not saying politics ought to constrain reasoning about truth or warrant</w:t>
      </w:r>
      <w:r w:rsidR="00A70696">
        <w:t>.</w:t>
      </w:r>
      <w:r w:rsidR="00886505">
        <w:rPr>
          <w:rStyle w:val="FootnoteReference"/>
        </w:rPr>
        <w:footnoteReference w:id="3"/>
      </w:r>
      <w:r w:rsidR="00A70696">
        <w:t xml:space="preserve">  H</w:t>
      </w:r>
      <w:r>
        <w:t xml:space="preserve">owever, this is not the end of the matter. </w:t>
      </w:r>
    </w:p>
    <w:p w14:paraId="30B2BD84" w14:textId="14A19457" w:rsidR="009978F2" w:rsidRDefault="009978F2" w:rsidP="009978F2">
      <w:pPr>
        <w:spacing w:line="480" w:lineRule="auto"/>
      </w:pPr>
      <w:r>
        <w:tab/>
        <w:t>In observing that philosophers are increasingly receptive to epistemic arguments for political agendas, Antony</w:t>
      </w:r>
      <w:r w:rsidR="004F01B1">
        <w:rPr>
          <w:rStyle w:val="FootnoteReference"/>
        </w:rPr>
        <w:footnoteReference w:id="4"/>
      </w:r>
      <w:r>
        <w:t xml:space="preserve"> counters that some do indeed politicize e</w:t>
      </w:r>
      <w:r w:rsidR="001107B5">
        <w:t>pistemic norms in arguing that "</w:t>
      </w:r>
      <w:r>
        <w:t xml:space="preserve">variation in </w:t>
      </w:r>
      <w:r>
        <w:rPr>
          <w:i/>
        </w:rPr>
        <w:t>social position</w:t>
      </w:r>
      <w:r>
        <w:t>"</w:t>
      </w:r>
      <w:r w:rsidR="004F01B1">
        <w:rPr>
          <w:rStyle w:val="FootnoteReference"/>
        </w:rPr>
        <w:footnoteReference w:id="5"/>
      </w:r>
      <w:r>
        <w:t xml:space="preserve"> can "pay epistemic dividends," improving the generation of knowledge in the sciences.  A</w:t>
      </w:r>
      <w:r w:rsidR="005F0BB0">
        <w:t>ccording to A</w:t>
      </w:r>
      <w:r>
        <w:t>ntony</w:t>
      </w:r>
      <w:r w:rsidR="005F0BB0">
        <w:t>,</w:t>
      </w:r>
      <w:r>
        <w:t xml:space="preserve"> </w:t>
      </w:r>
      <w:r w:rsidR="008A3B3A">
        <w:t>Longino</w:t>
      </w:r>
      <w:r w:rsidR="005F0BB0">
        <w:t xml:space="preserve"> contends that </w:t>
      </w:r>
      <w:r>
        <w:t xml:space="preserve">demographic diversity is important for both discovery (in light of "a greater diversity of ideas") </w:t>
      </w:r>
      <w:r w:rsidRPr="001107B5">
        <w:t>and</w:t>
      </w:r>
      <w:r w:rsidR="00357DCB">
        <w:t xml:space="preserve"> </w:t>
      </w:r>
      <w:r>
        <w:t>justification (as it will "increase the rigor of scientific review").</w:t>
      </w:r>
      <w:r w:rsidR="0074107B">
        <w:rPr>
          <w:rStyle w:val="FootnoteReference"/>
        </w:rPr>
        <w:footnoteReference w:id="6"/>
      </w:r>
      <w:r>
        <w:t xml:space="preserve">  </w:t>
      </w:r>
      <w:r w:rsidR="009E280D">
        <w:t xml:space="preserve">While it is platitudinous to say that good scientific practice is social in the sense of depending on communities of knowers offering multiple perspectives, why think </w:t>
      </w:r>
      <w:r w:rsidR="009E280D" w:rsidRPr="00C70C73">
        <w:t>demographic</w:t>
      </w:r>
      <w:r w:rsidR="009E280D">
        <w:t xml:space="preserve"> diversity will tend to improve </w:t>
      </w:r>
      <w:r w:rsidR="009E280D" w:rsidRPr="00C70C73">
        <w:t xml:space="preserve">epistemic </w:t>
      </w:r>
      <w:r w:rsidR="009E280D">
        <w:t xml:space="preserve">diversity?  </w:t>
      </w:r>
      <w:r>
        <w:t xml:space="preserve">Antony not only </w:t>
      </w:r>
      <w:r w:rsidR="009E280D">
        <w:t xml:space="preserve">finds this </w:t>
      </w:r>
      <w:r w:rsidR="00A70696">
        <w:t xml:space="preserve">claim </w:t>
      </w:r>
      <w:r>
        <w:t>highly dubious, but also objects that Longino fails to provide any arguments</w:t>
      </w:r>
      <w:r w:rsidR="00A70696">
        <w:t>.</w:t>
      </w:r>
      <w:r w:rsidR="00A70696">
        <w:rPr>
          <w:rStyle w:val="FootnoteReference"/>
        </w:rPr>
        <w:footnoteReference w:id="7"/>
      </w:r>
      <w:r w:rsidR="00A70696">
        <w:t xml:space="preserve">  </w:t>
      </w:r>
      <w:r>
        <w:t>Antony recommends that philosophers committed to "progressive programs" including "democratizing science and the academy" should</w:t>
      </w:r>
      <w:r w:rsidR="009A7FF6">
        <w:t xml:space="preserve"> instead</w:t>
      </w:r>
      <w:r>
        <w:t xml:space="preserve"> attend to "another kind of epistemic argument for pursuing </w:t>
      </w:r>
      <w:r w:rsidR="00A70696">
        <w:t>[demographic] diversity,"</w:t>
      </w:r>
      <w:r w:rsidR="00A70696">
        <w:rPr>
          <w:rStyle w:val="FootnoteReference"/>
        </w:rPr>
        <w:footnoteReference w:id="8"/>
      </w:r>
      <w:r>
        <w:t xml:space="preserve"> one that does not depend on risky claims about its epistemic value.  This strategy turns to implicit bias </w:t>
      </w:r>
      <w:r w:rsidR="00F71A27">
        <w:t xml:space="preserve">research </w:t>
      </w:r>
      <w:r>
        <w:t>which indicates we "flout our avowed criteria" for admission to "knowledg</w:t>
      </w:r>
      <w:r w:rsidR="00357DCB">
        <w:t xml:space="preserve">e institutions" and "thus learn </w:t>
      </w:r>
      <w:r>
        <w:t xml:space="preserve">empirically that our current gatekeeping policies...are, very likely...at the expense of more able members of socially subordinate </w:t>
      </w:r>
      <w:r w:rsidR="00A70696">
        <w:t>groups."</w:t>
      </w:r>
      <w:r w:rsidR="00A70696">
        <w:rPr>
          <w:rStyle w:val="FootnoteReference"/>
        </w:rPr>
        <w:footnoteReference w:id="9"/>
      </w:r>
      <w:r w:rsidR="002235D0">
        <w:t xml:space="preserve">  My interest lies</w:t>
      </w:r>
      <w:r>
        <w:t xml:space="preserve"> not in</w:t>
      </w:r>
      <w:r w:rsidR="002235D0">
        <w:t xml:space="preserve"> </w:t>
      </w:r>
      <w:r>
        <w:t>liti</w:t>
      </w:r>
      <w:r w:rsidR="00A72490">
        <w:t>gating t</w:t>
      </w:r>
      <w:r>
        <w:t>he dispute ab</w:t>
      </w:r>
      <w:r w:rsidR="002235D0">
        <w:t>out prescriptive correctness</w:t>
      </w:r>
      <w:r w:rsidR="009A7FF6">
        <w:t>,</w:t>
      </w:r>
      <w:r w:rsidR="002235D0">
        <w:t xml:space="preserve"> but rather</w:t>
      </w:r>
      <w:r>
        <w:t xml:space="preserve"> </w:t>
      </w:r>
      <w:r w:rsidR="00A72490">
        <w:t xml:space="preserve">has </w:t>
      </w:r>
      <w:r>
        <w:t xml:space="preserve">a strict focus on the </w:t>
      </w:r>
      <w:r w:rsidRPr="001107B5">
        <w:t xml:space="preserve">descriptive </w:t>
      </w:r>
      <w:r w:rsidR="00357DCB">
        <w:t xml:space="preserve">sense. </w:t>
      </w:r>
      <w:r>
        <w:t xml:space="preserve"> Are political considerations, nonetheless, constraining reasoning about implicit bias and stereotype threat within th</w:t>
      </w:r>
      <w:r w:rsidR="003256B5">
        <w:t>e context of justification?  There are</w:t>
      </w:r>
      <w:r w:rsidR="00B20E1B">
        <w:t xml:space="preserve"> strong </w:t>
      </w:r>
      <w:r w:rsidR="003256B5">
        <w:t xml:space="preserve">grounds for </w:t>
      </w:r>
      <w:r w:rsidR="00B20E1B">
        <w:t>susp</w:t>
      </w:r>
      <w:r w:rsidR="003256B5">
        <w:t xml:space="preserve">ecting </w:t>
      </w:r>
      <w:r>
        <w:t>this ha</w:t>
      </w:r>
      <w:r w:rsidR="00B20E1B">
        <w:t xml:space="preserve">ppens </w:t>
      </w:r>
      <w:r w:rsidR="003256B5">
        <w:t>all the time with philosophers writing</w:t>
      </w:r>
      <w:r w:rsidR="00B20E1B">
        <w:t xml:space="preserve"> about implicit bias</w:t>
      </w:r>
      <w:r>
        <w:t xml:space="preserve">.  </w:t>
      </w:r>
    </w:p>
    <w:p w14:paraId="796CFD7D" w14:textId="2F426CAC" w:rsidR="00B14580" w:rsidRPr="00E91FE6" w:rsidRDefault="009978F2" w:rsidP="00332A9B">
      <w:pPr>
        <w:spacing w:line="480" w:lineRule="auto"/>
      </w:pPr>
      <w:r>
        <w:tab/>
      </w:r>
      <w:r w:rsidR="00B14580">
        <w:t xml:space="preserve">That philosophy is an outlier in the humanities </w:t>
      </w:r>
      <w:r w:rsidR="00F71A27">
        <w:t>regarding</w:t>
      </w:r>
      <w:r w:rsidR="00B14580">
        <w:t xml:space="preserve"> the underrepresentation of women </w:t>
      </w:r>
      <w:r w:rsidR="00B14580" w:rsidRPr="004907C3">
        <w:t xml:space="preserve">has </w:t>
      </w:r>
      <w:r w:rsidR="00B14580">
        <w:t>been the occasion for a</w:t>
      </w:r>
      <w:r w:rsidR="00B14580" w:rsidRPr="004907C3">
        <w:t xml:space="preserve"> lot of </w:t>
      </w:r>
      <w:r w:rsidR="00B14580">
        <w:t xml:space="preserve">discussion about possible </w:t>
      </w:r>
      <w:r w:rsidR="00B14580" w:rsidRPr="004907C3">
        <w:t>effe</w:t>
      </w:r>
      <w:r w:rsidR="00B14580">
        <w:t>cts of subtle forms of prejudice, including implic</w:t>
      </w:r>
      <w:r w:rsidR="009E280D">
        <w:t xml:space="preserve">it bias and stereotype threat.  </w:t>
      </w:r>
      <w:r w:rsidR="00B14580">
        <w:t>Implicit associations tend to be involuntary and unconscious and can diverge from a person’s declared beliefs affecting our actions, judgmen</w:t>
      </w:r>
      <w:r w:rsidR="00977621">
        <w:t xml:space="preserve">ts, and attitudes.  Implicit </w:t>
      </w:r>
      <w:r w:rsidR="00B14580">
        <w:t xml:space="preserve">bias might influence how we treat junior colleagues from socially stigmatized groups when it comes to sharing opportunities for professional development, advancement, and in evaluating scholarly potential and credentials.  For example, a departmental committee might implicitly prefer a male candidate to a female candidate with the same qualifications despite holding conscious and explicit attitudes about the equality of the sexes.  Meanwhile, stereotype threat is when </w:t>
      </w:r>
      <w:r w:rsidR="00B14580">
        <w:rPr>
          <w:rFonts w:cs="Times New Roman"/>
          <w:color w:val="2B2E34"/>
          <w:szCs w:val="20"/>
        </w:rPr>
        <w:t xml:space="preserve">awareness of and identification with stereotypes </w:t>
      </w:r>
      <w:r w:rsidR="00B14580">
        <w:t>(such as that philosophy is for white males) results in</w:t>
      </w:r>
      <w:r w:rsidR="00B14580">
        <w:rPr>
          <w:rFonts w:cs="Times New Roman"/>
          <w:color w:val="2B2E34"/>
          <w:szCs w:val="20"/>
        </w:rPr>
        <w:t xml:space="preserve"> heightened anxiety, performance disparities, and reduced interest.</w:t>
      </w:r>
    </w:p>
    <w:p w14:paraId="4A46089D" w14:textId="312C67E8" w:rsidR="009978F2" w:rsidRDefault="00B14580" w:rsidP="00B14580">
      <w:pPr>
        <w:spacing w:line="480" w:lineRule="auto"/>
        <w:ind w:firstLine="720"/>
      </w:pPr>
      <w:r>
        <w:t>These ideas have become</w:t>
      </w:r>
      <w:r w:rsidR="000B77A5">
        <w:t xml:space="preserve"> </w:t>
      </w:r>
      <w:r>
        <w:t>familiar to the philosophical commu</w:t>
      </w:r>
      <w:r w:rsidR="002F30C0">
        <w:t xml:space="preserve">nity, which has responded by implemented </w:t>
      </w:r>
      <w:r>
        <w:t>policy initiatives a</w:t>
      </w:r>
      <w:r w:rsidR="00F71A27">
        <w:t xml:space="preserve">nd other measures for improving demographic </w:t>
      </w:r>
      <w:r>
        <w:t>diversity, such as making syllabi and conference line-ups more inclusive, adjusting the management of professional organizations, and reforming</w:t>
      </w:r>
      <w:r w:rsidR="002235D0">
        <w:t xml:space="preserve"> journal and hiring practices.</w:t>
      </w:r>
      <w:r w:rsidR="002F30C0">
        <w:t xml:space="preserve">  </w:t>
      </w:r>
      <w:r w:rsidR="000B77A5">
        <w:t xml:space="preserve">However, </w:t>
      </w:r>
      <w:r w:rsidR="002F30C0">
        <w:t xml:space="preserve">the </w:t>
      </w:r>
      <w:r w:rsidR="000B77A5" w:rsidRPr="004907C3">
        <w:t xml:space="preserve">philosophers </w:t>
      </w:r>
      <w:r w:rsidR="002F30C0">
        <w:t xml:space="preserve">promoting these agendas </w:t>
      </w:r>
      <w:r w:rsidR="000B77A5" w:rsidRPr="004907C3">
        <w:t>c</w:t>
      </w:r>
      <w:r w:rsidR="000B77A5">
        <w:t xml:space="preserve">ould </w:t>
      </w:r>
      <w:r w:rsidR="000B77A5" w:rsidRPr="004907C3">
        <w:t>do</w:t>
      </w:r>
      <w:r w:rsidR="000B77A5">
        <w:t xml:space="preserve"> much better </w:t>
      </w:r>
      <w:r w:rsidR="000B77A5" w:rsidRPr="004907C3">
        <w:t>at representing the state of the empirical work.</w:t>
      </w:r>
      <w:r w:rsidR="000B77A5">
        <w:t xml:space="preserve">  </w:t>
      </w:r>
      <w:r w:rsidR="002F30C0" w:rsidRPr="004907C3">
        <w:t xml:space="preserve"> </w:t>
      </w:r>
      <w:r w:rsidR="002F30C0">
        <w:t xml:space="preserve">In fact, leading hypotheses about implicit bias in philosophy are not at all well supported.  </w:t>
      </w:r>
      <w:r w:rsidR="00F71A27">
        <w:t>The following sections will critically appraise</w:t>
      </w:r>
      <w:r w:rsidR="002A0CE1">
        <w:t xml:space="preserve"> reasons</w:t>
      </w:r>
      <w:r w:rsidR="00977621">
        <w:t xml:space="preserve"> </w:t>
      </w:r>
      <w:r w:rsidR="002A0CE1">
        <w:t xml:space="preserve">often given for </w:t>
      </w:r>
      <w:r w:rsidR="00977621">
        <w:t xml:space="preserve">thinking that implicit </w:t>
      </w:r>
      <w:r>
        <w:t xml:space="preserve">bias and stereotype threat </w:t>
      </w:r>
      <w:r w:rsidR="002A0CE1">
        <w:t xml:space="preserve">are </w:t>
      </w:r>
      <w:r>
        <w:t>major factors driving outcomes in philosophy</w:t>
      </w:r>
      <w:r w:rsidR="00F71A27">
        <w:t xml:space="preserve">.  </w:t>
      </w:r>
      <w:r>
        <w:t>Space doesn’t permit a comprehensive review of the entire body of literat</w:t>
      </w:r>
      <w:r w:rsidR="00380E10">
        <w:t xml:space="preserve">ure in social psychology, but </w:t>
      </w:r>
      <w:r w:rsidR="00485C02">
        <w:t>fresh insights about</w:t>
      </w:r>
      <w:r w:rsidRPr="004907C3">
        <w:t xml:space="preserve"> prominent examples</w:t>
      </w:r>
      <w:r>
        <w:t xml:space="preserve">, some old, others </w:t>
      </w:r>
      <w:r w:rsidRPr="004907C3">
        <w:t>more recent</w:t>
      </w:r>
      <w:r w:rsidR="00F71A27">
        <w:t>,</w:t>
      </w:r>
      <w:r w:rsidR="000B77A5">
        <w:t xml:space="preserve"> will be offered</w:t>
      </w:r>
      <w:r w:rsidRPr="004907C3">
        <w:t xml:space="preserve">. </w:t>
      </w:r>
    </w:p>
    <w:p w14:paraId="3B337382" w14:textId="77777777" w:rsidR="00B14580" w:rsidRDefault="00247DDA" w:rsidP="00B14580">
      <w:pPr>
        <w:spacing w:line="480" w:lineRule="auto"/>
      </w:pPr>
      <w:r>
        <w:t>2. CONCERN</w:t>
      </w:r>
      <w:r w:rsidR="007E1287">
        <w:t xml:space="preserve"> ABOUT BIAS IN PHILOSOPHY</w:t>
      </w:r>
    </w:p>
    <w:p w14:paraId="3FE312B3" w14:textId="2AC3D849" w:rsidR="00DF3587" w:rsidRDefault="00377DC8" w:rsidP="007E1287">
      <w:pPr>
        <w:tabs>
          <w:tab w:val="left" w:pos="2437"/>
        </w:tabs>
        <w:spacing w:line="480" w:lineRule="auto"/>
      </w:pPr>
      <w:r>
        <w:t xml:space="preserve">The attention this </w:t>
      </w:r>
      <w:r w:rsidR="00C45A47">
        <w:t>topic draws</w:t>
      </w:r>
      <w:r w:rsidR="00A01E52">
        <w:t xml:space="preserve"> is </w:t>
      </w:r>
      <w:r>
        <w:t>illustrated by</w:t>
      </w:r>
      <w:r w:rsidR="008711D9" w:rsidRPr="004907C3">
        <w:t xml:space="preserve"> departmental websites</w:t>
      </w:r>
      <w:r w:rsidR="008C6E57">
        <w:t xml:space="preserve">, which </w:t>
      </w:r>
      <w:r>
        <w:t>now often</w:t>
      </w:r>
      <w:r w:rsidR="008711D9" w:rsidRPr="004907C3">
        <w:t xml:space="preserve"> include a s</w:t>
      </w:r>
      <w:r w:rsidR="00350F51">
        <w:t xml:space="preserve">tatement about climate issues.  </w:t>
      </w:r>
      <w:r w:rsidR="008711D9" w:rsidRPr="004907C3">
        <w:t>A typical example is the</w:t>
      </w:r>
      <w:r w:rsidR="00487397">
        <w:t xml:space="preserve"> University of Washington</w:t>
      </w:r>
      <w:r w:rsidR="00A91A5E">
        <w:t>, which</w:t>
      </w:r>
      <w:r w:rsidR="008711D9" w:rsidRPr="004907C3">
        <w:t xml:space="preserve"> </w:t>
      </w:r>
      <w:r w:rsidR="00487397">
        <w:t>warns against</w:t>
      </w:r>
      <w:r w:rsidR="008711D9" w:rsidRPr="004907C3">
        <w:t xml:space="preserve"> the effects of implicit bias, microaggressions</w:t>
      </w:r>
      <w:r w:rsidR="00A01E52">
        <w:t>,</w:t>
      </w:r>
      <w:r w:rsidR="00C45A47">
        <w:t xml:space="preserve"> and stereo</w:t>
      </w:r>
      <w:r w:rsidR="008711D9" w:rsidRPr="004907C3">
        <w:t>type threat</w:t>
      </w:r>
      <w:r w:rsidR="00A91A5E">
        <w:t>.</w:t>
      </w:r>
      <w:r w:rsidR="001673B5" w:rsidRPr="004907C3">
        <w:rPr>
          <w:rStyle w:val="FootnoteReference"/>
        </w:rPr>
        <w:footnoteReference w:id="10"/>
      </w:r>
      <w:r w:rsidR="00A91A5E">
        <w:t xml:space="preserve">  It also </w:t>
      </w:r>
      <w:r w:rsidR="008711D9" w:rsidRPr="004907C3">
        <w:t>refer</w:t>
      </w:r>
      <w:r w:rsidR="00A91A5E">
        <w:t>s</w:t>
      </w:r>
      <w:r w:rsidR="008711D9" w:rsidRPr="004907C3">
        <w:t xml:space="preserve"> th</w:t>
      </w:r>
      <w:r w:rsidR="001673B5" w:rsidRPr="004907C3">
        <w:t>e reader to</w:t>
      </w:r>
      <w:r w:rsidR="008711D9" w:rsidRPr="004907C3">
        <w:t xml:space="preserve"> </w:t>
      </w:r>
      <w:r w:rsidR="00C45A47">
        <w:t>works at the Bias Project</w:t>
      </w:r>
      <w:r w:rsidR="001673B5" w:rsidRPr="004907C3">
        <w:rPr>
          <w:rStyle w:val="FootnoteReference"/>
        </w:rPr>
        <w:footnoteReference w:id="11"/>
      </w:r>
      <w:r w:rsidR="00D458D2">
        <w:t xml:space="preserve"> </w:t>
      </w:r>
      <w:r w:rsidR="00247DDA">
        <w:t xml:space="preserve">and </w:t>
      </w:r>
      <w:r w:rsidR="00D458D2" w:rsidRPr="00F960B1">
        <w:t xml:space="preserve">dozens of affiliated philosophers </w:t>
      </w:r>
      <w:r w:rsidR="00247DDA">
        <w:t xml:space="preserve">and psychologists </w:t>
      </w:r>
      <w:r w:rsidR="00D458D2" w:rsidRPr="00F960B1">
        <w:t>at major universities</w:t>
      </w:r>
      <w:r w:rsidR="00D458D2" w:rsidRPr="00F960B1">
        <w:rPr>
          <w:rStyle w:val="FootnoteReference"/>
        </w:rPr>
        <w:footnoteReference w:id="12"/>
      </w:r>
      <w:r w:rsidR="00D458D2" w:rsidRPr="00F960B1">
        <w:t xml:space="preserve"> who, though not necessarily agreeing that implicit bias explains underrepresention, overwhelmingly tend to agree that implicit bias is real and has </w:t>
      </w:r>
      <w:r w:rsidR="00D458D2">
        <w:t>important</w:t>
      </w:r>
      <w:r w:rsidR="00D458D2" w:rsidRPr="00F960B1">
        <w:t xml:space="preserve"> </w:t>
      </w:r>
      <w:r w:rsidR="00D458D2">
        <w:t xml:space="preserve">real-world </w:t>
      </w:r>
      <w:r w:rsidR="00D458D2" w:rsidRPr="00F960B1">
        <w:t>effects</w:t>
      </w:r>
      <w:r w:rsidR="00F71A27">
        <w:t>; t</w:t>
      </w:r>
      <w:r w:rsidR="00D458D2">
        <w:t>his is at least suggestive of an expectation of effects in the profession</w:t>
      </w:r>
      <w:r w:rsidR="00D458D2" w:rsidRPr="00F960B1">
        <w:t xml:space="preserve">. </w:t>
      </w:r>
      <w:r w:rsidR="00B35302">
        <w:t xml:space="preserve"> The </w:t>
      </w:r>
      <w:r w:rsidR="00B35302" w:rsidRPr="00F960B1">
        <w:t>APA, the CPA, Colorado, Sheffield</w:t>
      </w:r>
      <w:r w:rsidR="00B35302">
        <w:t>, Rutgers</w:t>
      </w:r>
      <w:r w:rsidR="00B35302" w:rsidRPr="00F960B1">
        <w:t xml:space="preserve"> a</w:t>
      </w:r>
      <w:r w:rsidR="00B35302">
        <w:t xml:space="preserve">nd elsewhere maintain webpages with similar content.  </w:t>
      </w:r>
      <w:r w:rsidR="00FA085E">
        <w:t>There are also</w:t>
      </w:r>
      <w:r w:rsidR="00D458D2">
        <w:t xml:space="preserve"> several initiatives that take reducing the real harm of implici</w:t>
      </w:r>
      <w:r w:rsidR="00D61210">
        <w:t xml:space="preserve">t </w:t>
      </w:r>
      <w:r w:rsidR="00247DDA">
        <w:t>bias as their starting point</w:t>
      </w:r>
      <w:r w:rsidR="00FA085E">
        <w:t>, such as the “</w:t>
      </w:r>
      <w:r w:rsidR="00D458D2" w:rsidRPr="00F960B1">
        <w:t>policies aimed at overcoming impl</w:t>
      </w:r>
      <w:r w:rsidR="00FA085E">
        <w:t xml:space="preserve">icit bias and stereotype threat” at Trent University.  </w:t>
      </w:r>
      <w:r w:rsidR="00D458D2">
        <w:t>Similarly,</w:t>
      </w:r>
      <w:r w:rsidR="00D458D2" w:rsidRPr="00F960B1">
        <w:t xml:space="preserve"> </w:t>
      </w:r>
      <w:r w:rsidR="00D458D2">
        <w:t xml:space="preserve">at </w:t>
      </w:r>
      <w:r w:rsidR="00D458D2" w:rsidRPr="00F960B1">
        <w:t>the University of California, strategies to “improve the situation for women in philosophy, in the face of the problems of implicit bias and stereotype threat” have “influenced the pedagogical training of PhD students.”</w:t>
      </w:r>
      <w:r w:rsidR="00D458D2" w:rsidRPr="00F960B1">
        <w:rPr>
          <w:rStyle w:val="FootnoteReference"/>
        </w:rPr>
        <w:footnoteReference w:id="13"/>
      </w:r>
      <w:r w:rsidR="00D458D2" w:rsidRPr="00F960B1">
        <w:t xml:space="preserve">  It </w:t>
      </w:r>
      <w:r w:rsidR="00D458D2">
        <w:t>therefore seems reasonable to infer</w:t>
      </w:r>
      <w:r w:rsidR="00D458D2" w:rsidRPr="00F960B1">
        <w:t xml:space="preserve"> that many philosophers </w:t>
      </w:r>
      <w:r w:rsidR="00D458D2">
        <w:t>are taking</w:t>
      </w:r>
      <w:r w:rsidR="00D458D2" w:rsidRPr="00F960B1">
        <w:t xml:space="preserve"> these ideas </w:t>
      </w:r>
      <w:r w:rsidR="00D458D2">
        <w:t xml:space="preserve">very </w:t>
      </w:r>
      <w:r w:rsidR="00D458D2" w:rsidRPr="00F960B1">
        <w:t>seriously</w:t>
      </w:r>
      <w:r w:rsidR="00FA085E">
        <w:t xml:space="preserve">.  It </w:t>
      </w:r>
      <w:r w:rsidR="00D458D2" w:rsidRPr="00F960B1">
        <w:t xml:space="preserve">is </w:t>
      </w:r>
      <w:r w:rsidR="0060329F">
        <w:t xml:space="preserve">also </w:t>
      </w:r>
      <w:r w:rsidR="00D458D2" w:rsidRPr="00F960B1">
        <w:t xml:space="preserve">important to </w:t>
      </w:r>
      <w:r w:rsidR="0060329F">
        <w:t>note that</w:t>
      </w:r>
      <w:r w:rsidR="00D458D2" w:rsidRPr="00F960B1">
        <w:t xml:space="preserve"> philosophers’ beliefs o</w:t>
      </w:r>
      <w:r w:rsidR="0060329F">
        <w:t xml:space="preserve">n this matter might </w:t>
      </w:r>
      <w:r w:rsidR="00D458D2" w:rsidRPr="00F960B1">
        <w:t xml:space="preserve">often </w:t>
      </w:r>
      <w:r w:rsidR="0060329F">
        <w:t xml:space="preserve">be </w:t>
      </w:r>
      <w:r w:rsidR="00D458D2" w:rsidRPr="00F960B1">
        <w:t>held informally and can be influential despite not always being expressed or defended in published work</w:t>
      </w:r>
      <w:r w:rsidR="00D458D2">
        <w:t>—on syllabi</w:t>
      </w:r>
      <w:r w:rsidR="0060329F">
        <w:t xml:space="preserve"> and social media</w:t>
      </w:r>
      <w:r w:rsidR="00D458D2">
        <w:t>, for instance</w:t>
      </w:r>
      <w:r w:rsidR="00D458D2" w:rsidRPr="00F960B1">
        <w:t>.</w:t>
      </w:r>
      <w:r w:rsidR="00D458D2">
        <w:rPr>
          <w:rStyle w:val="FootnoteReference"/>
        </w:rPr>
        <w:footnoteReference w:id="14"/>
      </w:r>
    </w:p>
    <w:p w14:paraId="1DE81689" w14:textId="17D7852D" w:rsidR="009A454C" w:rsidRDefault="009F4CB8" w:rsidP="009A454C">
      <w:pPr>
        <w:spacing w:line="480" w:lineRule="auto"/>
        <w:ind w:firstLine="720"/>
      </w:pPr>
      <w:r>
        <w:t>T</w:t>
      </w:r>
      <w:r w:rsidR="00D458D2">
        <w:t xml:space="preserve">hese </w:t>
      </w:r>
      <w:r w:rsidR="00D458D2" w:rsidRPr="00F960B1">
        <w:t>websites are the public face of departments who are lending their authority to questions of scientific dispute</w:t>
      </w:r>
      <w:r>
        <w:t xml:space="preserve"> and t</w:t>
      </w:r>
      <w:r w:rsidR="00D458D2">
        <w:t xml:space="preserve">he </w:t>
      </w:r>
      <w:r w:rsidR="00D458D2" w:rsidRPr="00F960B1">
        <w:t xml:space="preserve">policy changes </w:t>
      </w:r>
      <w:r w:rsidR="00D458D2">
        <w:t xml:space="preserve">mentioned above </w:t>
      </w:r>
      <w:r>
        <w:t xml:space="preserve">often </w:t>
      </w:r>
      <w:r w:rsidR="00D458D2" w:rsidRPr="00F960B1">
        <w:t>go beyond the mere sharing of information for interest’s sake.</w:t>
      </w:r>
      <w:r w:rsidR="00D458D2">
        <w:t xml:space="preserve"> </w:t>
      </w:r>
      <w:r w:rsidR="00D458D2" w:rsidRPr="00F960B1">
        <w:t xml:space="preserve"> In the cas</w:t>
      </w:r>
      <w:r w:rsidR="005A0D8E">
        <w:t>e of Rutgers the reader learns the Department</w:t>
      </w:r>
      <w:r w:rsidR="00D458D2" w:rsidRPr="00F960B1">
        <w:t xml:space="preserve"> believes in “making information on implicit bias and stereotype threat</w:t>
      </w:r>
      <w:r w:rsidR="00D458D2">
        <w:t>” as well as “</w:t>
      </w:r>
      <w:r w:rsidR="00D458D2" w:rsidRPr="00F960B1">
        <w:t>how to counteract them…p</w:t>
      </w:r>
      <w:r w:rsidR="00D458D2">
        <w:t xml:space="preserve">ublicly accessible” as this is </w:t>
      </w:r>
      <w:r w:rsidR="00D458D2" w:rsidRPr="00F960B1">
        <w:t>“crucial” to “developing an excellent professional philosophical climat</w:t>
      </w:r>
      <w:r w:rsidR="00FA085E">
        <w:t>e for all philosophers.”  T</w:t>
      </w:r>
      <w:r w:rsidR="00D458D2" w:rsidRPr="00F960B1">
        <w:t>his information is not presented in such a way as to</w:t>
      </w:r>
      <w:r w:rsidR="00D458D2">
        <w:t xml:space="preserve"> merely generate interest</w:t>
      </w:r>
      <w:r w:rsidR="005A0D8E">
        <w:t>,</w:t>
      </w:r>
      <w:r>
        <w:t xml:space="preserve"> as</w:t>
      </w:r>
      <w:r w:rsidR="00D458D2">
        <w:t xml:space="preserve"> it fails to draw attention to</w:t>
      </w:r>
      <w:r w:rsidR="00D458D2" w:rsidRPr="00F960B1">
        <w:t xml:space="preserve"> critiques and weaknesses in </w:t>
      </w:r>
      <w:r>
        <w:t xml:space="preserve">the implicit bias literature, </w:t>
      </w:r>
      <w:r w:rsidR="00D458D2">
        <w:t>and</w:t>
      </w:r>
      <w:r w:rsidR="00D458D2" w:rsidRPr="00F960B1">
        <w:t xml:space="preserve"> tends towards advocacy</w:t>
      </w:r>
      <w:r w:rsidR="00D458D2">
        <w:t xml:space="preserve">, as in the normative conclusion that it is “crucial” for us to “counteract” these </w:t>
      </w:r>
      <w:r w:rsidR="009A454C">
        <w:t xml:space="preserve">implicit </w:t>
      </w:r>
      <w:r w:rsidR="00D458D2">
        <w:t>biases</w:t>
      </w:r>
      <w:r w:rsidR="00D458D2" w:rsidRPr="00F960B1">
        <w:t xml:space="preserve">. </w:t>
      </w:r>
      <w:r w:rsidR="00334855">
        <w:t xml:space="preserve"> Of course, perhaps philosophers</w:t>
      </w:r>
      <w:r w:rsidR="009A454C">
        <w:t>’</w:t>
      </w:r>
      <w:r w:rsidR="00334855">
        <w:t xml:space="preserve"> </w:t>
      </w:r>
      <w:r w:rsidR="009A454C">
        <w:t xml:space="preserve">beliefs are </w:t>
      </w:r>
      <w:r w:rsidR="00357DCB">
        <w:t xml:space="preserve">empirically </w:t>
      </w:r>
      <w:r w:rsidR="009A454C">
        <w:t>correct and so they are right to be acting.  Are they correct?</w:t>
      </w:r>
    </w:p>
    <w:p w14:paraId="182B6EE4" w14:textId="6BB539FE" w:rsidR="00DF3587" w:rsidRDefault="00D458D2" w:rsidP="009A454C">
      <w:pPr>
        <w:spacing w:line="480" w:lineRule="auto"/>
      </w:pPr>
      <w:r>
        <w:t xml:space="preserve">3. </w:t>
      </w:r>
      <w:r w:rsidR="00247DDA">
        <w:t>WHAT DOES THE</w:t>
      </w:r>
      <w:r w:rsidR="00C97752">
        <w:t xml:space="preserve"> RESEARCH</w:t>
      </w:r>
      <w:r w:rsidR="00247DDA">
        <w:t xml:space="preserve"> SHOW?</w:t>
      </w:r>
    </w:p>
    <w:p w14:paraId="5549E696" w14:textId="4E2C0C12" w:rsidR="006D5214" w:rsidRDefault="001673B5" w:rsidP="007E1287">
      <w:pPr>
        <w:tabs>
          <w:tab w:val="left" w:pos="2437"/>
        </w:tabs>
        <w:spacing w:line="480" w:lineRule="auto"/>
      </w:pPr>
      <w:r w:rsidRPr="004907C3">
        <w:t xml:space="preserve">One </w:t>
      </w:r>
      <w:r w:rsidR="00EE5EB1" w:rsidRPr="004907C3">
        <w:t xml:space="preserve">important basis for </w:t>
      </w:r>
      <w:r w:rsidR="00977621">
        <w:t xml:space="preserve">research on implicit </w:t>
      </w:r>
      <w:r w:rsidRPr="004907C3">
        <w:t>bias is the Implicit Association Task</w:t>
      </w:r>
      <w:r w:rsidR="00D45917">
        <w:t xml:space="preserve"> (IAT)</w:t>
      </w:r>
      <w:r w:rsidR="00A91A5E">
        <w:t>.  This</w:t>
      </w:r>
      <w:r w:rsidR="00A01E52">
        <w:t xml:space="preserve"> might seem to show </w:t>
      </w:r>
      <w:r w:rsidR="00955872" w:rsidRPr="004907C3">
        <w:t xml:space="preserve">people harbor </w:t>
      </w:r>
      <w:r w:rsidR="00EE5EB1" w:rsidRPr="004907C3">
        <w:t>discriminatory attitudes even when</w:t>
      </w:r>
      <w:r w:rsidR="00955872" w:rsidRPr="004907C3">
        <w:t xml:space="preserve"> they claim to be free of prejudice</w:t>
      </w:r>
      <w:r w:rsidRPr="004907C3">
        <w:t xml:space="preserve">.  </w:t>
      </w:r>
      <w:r w:rsidR="00955872" w:rsidRPr="004907C3">
        <w:t xml:space="preserve">For instance, subjects </w:t>
      </w:r>
      <w:r w:rsidR="00EE5EB1" w:rsidRPr="004907C3">
        <w:t>tend to</w:t>
      </w:r>
      <w:r w:rsidRPr="004907C3">
        <w:t xml:space="preserve"> pair</w:t>
      </w:r>
      <w:r w:rsidR="00955872" w:rsidRPr="004907C3">
        <w:t xml:space="preserve"> black faces with negative words and white faces with positive ones. </w:t>
      </w:r>
      <w:r w:rsidR="00EE5EB1" w:rsidRPr="004907C3">
        <w:t xml:space="preserve"> </w:t>
      </w:r>
      <w:r w:rsidR="002C4F75">
        <w:t xml:space="preserve">But it would be hasty to infer much from these results.  </w:t>
      </w:r>
      <w:r w:rsidR="00380E10">
        <w:t>I</w:t>
      </w:r>
      <w:r w:rsidR="0087155D" w:rsidRPr="004907C3">
        <w:t xml:space="preserve"> don’t doubt t</w:t>
      </w:r>
      <w:r w:rsidR="00F71A27">
        <w:t xml:space="preserve">hat philosophers would exhibit </w:t>
      </w:r>
      <w:r w:rsidR="0087155D" w:rsidRPr="004907C3">
        <w:t xml:space="preserve">implicit associations, </w:t>
      </w:r>
      <w:r w:rsidR="005A0D8E">
        <w:t>however</w:t>
      </w:r>
      <w:r w:rsidR="00257B11">
        <w:t xml:space="preserve"> some</w:t>
      </w:r>
      <w:r w:rsidR="00EE5EB1" w:rsidRPr="004907C3">
        <w:t xml:space="preserve"> of </w:t>
      </w:r>
      <w:r w:rsidR="002C4F75">
        <w:t>the</w:t>
      </w:r>
      <w:r w:rsidR="00DB1705">
        <w:t>se</w:t>
      </w:r>
      <w:r w:rsidR="002C4F75">
        <w:t xml:space="preserve"> findings</w:t>
      </w:r>
      <w:r w:rsidR="00EE5EB1" w:rsidRPr="004907C3">
        <w:t xml:space="preserve"> </w:t>
      </w:r>
      <w:r w:rsidR="002C4F75">
        <w:t xml:space="preserve">may </w:t>
      </w:r>
      <w:r w:rsidR="00EE5EB1" w:rsidRPr="004907C3">
        <w:t xml:space="preserve">only reflect </w:t>
      </w:r>
      <w:r w:rsidR="0087155D" w:rsidRPr="004907C3">
        <w:t xml:space="preserve">the </w:t>
      </w:r>
      <w:r w:rsidR="00EE5EB1" w:rsidRPr="004907C3">
        <w:t xml:space="preserve">inductive </w:t>
      </w:r>
      <w:r w:rsidR="0087155D" w:rsidRPr="004907C3">
        <w:t>abs</w:t>
      </w:r>
      <w:r w:rsidR="00A75EC3" w:rsidRPr="004907C3">
        <w:t>orption of cultural knowledge</w:t>
      </w:r>
      <w:r w:rsidR="008008D1">
        <w:t xml:space="preserve"> rather than agonistic attitudes</w:t>
      </w:r>
      <w:r w:rsidR="00E16A51">
        <w:rPr>
          <w:rStyle w:val="FootnoteReference"/>
        </w:rPr>
        <w:footnoteReference w:id="15"/>
      </w:r>
      <w:r w:rsidR="00A75EC3" w:rsidRPr="004907C3">
        <w:t xml:space="preserve"> such as tha</w:t>
      </w:r>
      <w:r w:rsidR="00EE5EB1" w:rsidRPr="004907C3">
        <w:t xml:space="preserve">t teenagers are more rebellious, moody, </w:t>
      </w:r>
      <w:r w:rsidR="00A75EC3" w:rsidRPr="004907C3">
        <w:t xml:space="preserve">and </w:t>
      </w:r>
      <w:r w:rsidR="00BC6D34">
        <w:t>vulgar than the elderly</w:t>
      </w:r>
      <w:r w:rsidR="00B16A70">
        <w:t>, or that men are engineers more often than women</w:t>
      </w:r>
      <w:r w:rsidR="00EE5EB1" w:rsidRPr="004907C3">
        <w:t>.</w:t>
      </w:r>
      <w:r w:rsidR="00C45A47">
        <w:rPr>
          <w:rStyle w:val="FootnoteReference"/>
        </w:rPr>
        <w:footnoteReference w:id="16"/>
      </w:r>
      <w:r w:rsidR="00EE5EB1" w:rsidRPr="004907C3">
        <w:t xml:space="preserve">  </w:t>
      </w:r>
      <w:r w:rsidR="00A75EC3" w:rsidRPr="004907C3">
        <w:t>Other result</w:t>
      </w:r>
      <w:r w:rsidR="00C45A47">
        <w:t>s might have an explanation besides</w:t>
      </w:r>
      <w:r w:rsidR="00A75EC3" w:rsidRPr="004907C3">
        <w:t xml:space="preserve"> </w:t>
      </w:r>
      <w:r w:rsidR="00C45A47">
        <w:t xml:space="preserve">racism or sexism, </w:t>
      </w:r>
      <w:r w:rsidR="002C4F75">
        <w:t xml:space="preserve">such as </w:t>
      </w:r>
      <w:r w:rsidR="00A75EC3" w:rsidRPr="004907C3">
        <w:t>that “outsiders” are implicitly associated with negative words</w:t>
      </w:r>
      <w:r w:rsidR="00D17913">
        <w:t xml:space="preserve"> </w:t>
      </w:r>
      <w:r w:rsidR="00D17913" w:rsidRPr="004907C3">
        <w:t>regardless of their racial background</w:t>
      </w:r>
      <w:r w:rsidR="00A75EC3" w:rsidRPr="004907C3">
        <w:t>.</w:t>
      </w:r>
      <w:r w:rsidR="00C45A47">
        <w:rPr>
          <w:rStyle w:val="FootnoteReference"/>
        </w:rPr>
        <w:footnoteReference w:id="17"/>
      </w:r>
      <w:r w:rsidR="00996E13">
        <w:t xml:space="preserve">  </w:t>
      </w:r>
      <w:r w:rsidR="006D5214">
        <w:t xml:space="preserve">Still other results </w:t>
      </w:r>
      <w:r w:rsidR="00D01287">
        <w:t xml:space="preserve">might be due to </w:t>
      </w:r>
      <w:r w:rsidR="00D01287" w:rsidRPr="00CA336C">
        <w:t xml:space="preserve">conscious </w:t>
      </w:r>
      <w:r w:rsidR="00CA336C">
        <w:t xml:space="preserve">and explicit </w:t>
      </w:r>
      <w:r w:rsidR="00D01287">
        <w:t>prejudices</w:t>
      </w:r>
      <w:r w:rsidR="00C5244E">
        <w:t xml:space="preserve"> that </w:t>
      </w:r>
      <w:r w:rsidR="008C6E57">
        <w:t xml:space="preserve">would be </w:t>
      </w:r>
      <w:r w:rsidR="006D5214">
        <w:t xml:space="preserve">embarrassing to </w:t>
      </w:r>
      <w:r w:rsidR="008C6E57">
        <w:t>reveal</w:t>
      </w:r>
      <w:r w:rsidR="008564A4">
        <w:t xml:space="preserve"> </w:t>
      </w:r>
      <w:r w:rsidR="003C19F1">
        <w:t>to researchers</w:t>
      </w:r>
      <w:r w:rsidR="006D5214">
        <w:t>.</w:t>
      </w:r>
      <w:r w:rsidR="003C19F1">
        <w:rPr>
          <w:rStyle w:val="FootnoteReference"/>
        </w:rPr>
        <w:footnoteReference w:id="18"/>
      </w:r>
      <w:r w:rsidR="006D5214">
        <w:t xml:space="preserve">  </w:t>
      </w:r>
      <w:r w:rsidR="00AC6F20">
        <w:t>Further,</w:t>
      </w:r>
      <w:r w:rsidR="00A91A5E">
        <w:t xml:space="preserve"> t</w:t>
      </w:r>
      <w:r w:rsidR="0087155D" w:rsidRPr="004907C3">
        <w:t xml:space="preserve">he </w:t>
      </w:r>
      <w:r w:rsidR="00950695">
        <w:t xml:space="preserve">effects are small and the </w:t>
      </w:r>
      <w:r w:rsidR="0087155D" w:rsidRPr="004907C3">
        <w:t>connection between negative associations and actual discriminatory</w:t>
      </w:r>
      <w:r w:rsidR="00EC2475">
        <w:t xml:space="preserve"> behavior is, as is well known, </w:t>
      </w:r>
      <w:r w:rsidR="008B3C01">
        <w:t>contested</w:t>
      </w:r>
      <w:r w:rsidR="00C45A47">
        <w:t>.</w:t>
      </w:r>
      <w:r w:rsidR="00E54110">
        <w:rPr>
          <w:rStyle w:val="FootnoteReference"/>
        </w:rPr>
        <w:footnoteReference w:id="19"/>
      </w:r>
      <w:r w:rsidR="00CA336C">
        <w:t xml:space="preserve"> </w:t>
      </w:r>
      <w:r w:rsidR="00D423E0">
        <w:t xml:space="preserve"> T</w:t>
      </w:r>
      <w:r w:rsidR="00CA336C">
        <w:t>hough philosophers often</w:t>
      </w:r>
      <w:r w:rsidR="00D92DB5">
        <w:t xml:space="preserve"> assume implicit biases are no</w:t>
      </w:r>
      <w:r w:rsidR="00747668">
        <w:t xml:space="preserve">t </w:t>
      </w:r>
      <w:r w:rsidR="00322DB8">
        <w:t>accessible through introspection or under conscious control</w:t>
      </w:r>
      <w:r w:rsidR="00747668">
        <w:t>,</w:t>
      </w:r>
      <w:r w:rsidR="00D92DB5">
        <w:rPr>
          <w:rStyle w:val="FootnoteReference"/>
        </w:rPr>
        <w:footnoteReference w:id="20"/>
      </w:r>
      <w:r w:rsidR="00D92DB5">
        <w:t xml:space="preserve"> psycholo</w:t>
      </w:r>
      <w:r w:rsidR="00322DB8">
        <w:t>gists have largely rejected these</w:t>
      </w:r>
      <w:r w:rsidR="00D92DB5">
        <w:t xml:space="preserve"> assumption</w:t>
      </w:r>
      <w:r w:rsidR="00322DB8">
        <w:t>s</w:t>
      </w:r>
      <w:r w:rsidR="00D92DB5">
        <w:t>, and now favor the view that automatic process</w:t>
      </w:r>
      <w:r w:rsidR="00747668">
        <w:t xml:space="preserve">es only tend to have a combination of features </w:t>
      </w:r>
      <w:r w:rsidR="00D92DB5">
        <w:t xml:space="preserve">that may or </w:t>
      </w:r>
      <w:r w:rsidR="00747668">
        <w:t xml:space="preserve">may not include </w:t>
      </w:r>
      <w:r w:rsidR="00322DB8">
        <w:t xml:space="preserve">access and </w:t>
      </w:r>
      <w:r w:rsidR="00747668">
        <w:t>controllability.</w:t>
      </w:r>
      <w:r w:rsidR="00CD0C5A">
        <w:rPr>
          <w:rStyle w:val="FootnoteReference"/>
        </w:rPr>
        <w:footnoteReference w:id="21"/>
      </w:r>
      <w:r w:rsidR="00CD0C5A">
        <w:t xml:space="preserve">  </w:t>
      </w:r>
      <w:r w:rsidR="00C45A47">
        <w:t>Let us acknowledge thes</w:t>
      </w:r>
      <w:r w:rsidR="00A91A5E">
        <w:t>e</w:t>
      </w:r>
      <w:r w:rsidR="00D37641" w:rsidRPr="004907C3">
        <w:t xml:space="preserve"> </w:t>
      </w:r>
      <w:r w:rsidR="00A91A5E">
        <w:t xml:space="preserve">are ongoing </w:t>
      </w:r>
      <w:r w:rsidR="0099428A">
        <w:t xml:space="preserve">scientific </w:t>
      </w:r>
      <w:r w:rsidR="00D37641" w:rsidRPr="004907C3">
        <w:t>controvers</w:t>
      </w:r>
      <w:r w:rsidR="00A91A5E">
        <w:t>ies</w:t>
      </w:r>
      <w:r w:rsidR="008815B6">
        <w:t>, with one prominent expert</w:t>
      </w:r>
      <w:r w:rsidR="00350F51">
        <w:t xml:space="preserve"> going so far as to declare the IAT “completely bogus</w:t>
      </w:r>
      <w:r w:rsidR="00EE5EB1" w:rsidRPr="004907C3">
        <w:t>.</w:t>
      </w:r>
      <w:r w:rsidR="00350F51">
        <w:t>”</w:t>
      </w:r>
      <w:r w:rsidR="00EE5EB1" w:rsidRPr="004907C3">
        <w:rPr>
          <w:rStyle w:val="FootnoteReference"/>
        </w:rPr>
        <w:footnoteReference w:id="22"/>
      </w:r>
      <w:r w:rsidR="00C5244E">
        <w:t xml:space="preserve">  </w:t>
      </w:r>
      <w:r w:rsidR="00FA085E">
        <w:t xml:space="preserve">However, my point </w:t>
      </w:r>
      <w:r w:rsidR="00D01287">
        <w:t xml:space="preserve">is not to </w:t>
      </w:r>
      <w:r w:rsidR="00FA085E">
        <w:t>dismiss this research</w:t>
      </w:r>
      <w:r w:rsidR="006D5214">
        <w:t xml:space="preserve">, </w:t>
      </w:r>
      <w:r w:rsidR="00121354">
        <w:t>but</w:t>
      </w:r>
      <w:r w:rsidR="00D01287">
        <w:t xml:space="preserve"> motivate an attitude of wary </w:t>
      </w:r>
      <w:r w:rsidR="006D5214">
        <w:t>skepticism</w:t>
      </w:r>
      <w:r w:rsidR="00121354">
        <w:t xml:space="preserve"> when thinking about it</w:t>
      </w:r>
      <w:r w:rsidR="002531AB">
        <w:t>s application to the philosophy profession</w:t>
      </w:r>
      <w:r w:rsidR="008A6223">
        <w:t>.</w:t>
      </w:r>
    </w:p>
    <w:p w14:paraId="0AD7E6CF" w14:textId="77777777" w:rsidR="00F71A27" w:rsidRDefault="00E71166" w:rsidP="008C6E57">
      <w:pPr>
        <w:spacing w:line="480" w:lineRule="auto"/>
        <w:ind w:firstLine="720"/>
      </w:pPr>
      <w:r w:rsidRPr="004907C3">
        <w:t>The</w:t>
      </w:r>
      <w:r w:rsidR="00DB4A1A" w:rsidRPr="004907C3">
        <w:t xml:space="preserve"> </w:t>
      </w:r>
      <w:r w:rsidR="00D458D2">
        <w:t>Rutgers</w:t>
      </w:r>
      <w:r w:rsidRPr="004907C3">
        <w:t xml:space="preserve"> page</w:t>
      </w:r>
      <w:r w:rsidR="00ED628E" w:rsidRPr="004907C3">
        <w:rPr>
          <w:rStyle w:val="FootnoteReference"/>
        </w:rPr>
        <w:footnoteReference w:id="23"/>
      </w:r>
      <w:r w:rsidRPr="004907C3">
        <w:t xml:space="preserve"> devoted </w:t>
      </w:r>
      <w:r w:rsidR="003A3ED8" w:rsidRPr="004907C3">
        <w:t>to implici</w:t>
      </w:r>
      <w:r w:rsidR="00D458D2">
        <w:t>t bias mentions</w:t>
      </w:r>
      <w:r w:rsidR="00D17913">
        <w:t xml:space="preserve"> studies about</w:t>
      </w:r>
      <w:r w:rsidRPr="004907C3">
        <w:t xml:space="preserve"> recommendation letters, </w:t>
      </w:r>
      <w:r w:rsidR="00D17913">
        <w:t>gender-swapping names on cvs,</w:t>
      </w:r>
      <w:r w:rsidRPr="004907C3">
        <w:t xml:space="preserve"> anonymous review</w:t>
      </w:r>
      <w:r w:rsidR="00D17913">
        <w:t>ing at an ecology journal, and</w:t>
      </w:r>
      <w:r w:rsidR="003A390C" w:rsidRPr="004907C3">
        <w:t xml:space="preserve"> blind auditions at symphony </w:t>
      </w:r>
      <w:r w:rsidRPr="004907C3">
        <w:t>or</w:t>
      </w:r>
      <w:r w:rsidR="00262C5E">
        <w:t xml:space="preserve">chestras.  The </w:t>
      </w:r>
      <w:r w:rsidR="00C5244E">
        <w:t xml:space="preserve">net impression on the </w:t>
      </w:r>
      <w:r w:rsidRPr="004907C3">
        <w:t>r</w:t>
      </w:r>
      <w:r w:rsidR="008564A4">
        <w:t>eader</w:t>
      </w:r>
      <w:r w:rsidR="00C5244E">
        <w:t xml:space="preserve"> is that bias </w:t>
      </w:r>
      <w:r w:rsidRPr="004907C3">
        <w:t>manifests in a wide range of</w:t>
      </w:r>
      <w:r w:rsidR="0087155D" w:rsidRPr="004907C3">
        <w:t xml:space="preserve"> real world</w:t>
      </w:r>
      <w:r w:rsidRPr="004907C3">
        <w:t xml:space="preserve"> contexts wh</w:t>
      </w:r>
      <w:r w:rsidR="00583D6B" w:rsidRPr="004907C3">
        <w:t>ere professional competence is evaluated</w:t>
      </w:r>
      <w:r w:rsidRPr="004907C3">
        <w:t>.</w:t>
      </w:r>
      <w:r w:rsidR="00ED628E" w:rsidRPr="004907C3">
        <w:t xml:space="preserve"> </w:t>
      </w:r>
      <w:r w:rsidR="00E64249">
        <w:t xml:space="preserve"> However, the</w:t>
      </w:r>
      <w:r w:rsidR="005D0DB9">
        <w:t xml:space="preserve"> </w:t>
      </w:r>
      <w:r w:rsidR="00BC6D34">
        <w:t xml:space="preserve">totality of </w:t>
      </w:r>
      <w:r w:rsidR="005D0DB9">
        <w:t>evidential support</w:t>
      </w:r>
      <w:r w:rsidR="00244BD3">
        <w:t xml:space="preserve"> </w:t>
      </w:r>
      <w:r w:rsidR="00E64249">
        <w:t xml:space="preserve">is </w:t>
      </w:r>
      <w:r w:rsidR="00664F37">
        <w:t xml:space="preserve">rather </w:t>
      </w:r>
      <w:r w:rsidR="008564A4">
        <w:t>underwhelming</w:t>
      </w:r>
      <w:r w:rsidR="00B40102">
        <w:t xml:space="preserve">.  </w:t>
      </w:r>
      <w:r w:rsidR="00D423E0">
        <w:t>A telling example is Rutgers’</w:t>
      </w:r>
      <w:r w:rsidR="00DB1705">
        <w:t xml:space="preserve"> </w:t>
      </w:r>
      <w:r w:rsidR="00D423E0">
        <w:t xml:space="preserve">endorsement </w:t>
      </w:r>
      <w:r w:rsidR="00DB1705">
        <w:t>of a</w:t>
      </w:r>
      <w:r w:rsidR="00E56206">
        <w:t xml:space="preserve"> </w:t>
      </w:r>
      <w:r w:rsidR="00B40102">
        <w:t xml:space="preserve">discredited </w:t>
      </w:r>
      <w:r w:rsidR="00E64249">
        <w:t xml:space="preserve">study </w:t>
      </w:r>
      <w:r w:rsidR="00D11DEC">
        <w:t>about gender bias in manuscript reviewing</w:t>
      </w:r>
      <w:r w:rsidR="001E4768">
        <w:t>.  Though</w:t>
      </w:r>
      <w:r w:rsidR="00244BD3">
        <w:t xml:space="preserve"> </w:t>
      </w:r>
      <w:r w:rsidR="00E56206">
        <w:t xml:space="preserve">initially </w:t>
      </w:r>
      <w:r w:rsidR="00E64249">
        <w:t xml:space="preserve">feted by </w:t>
      </w:r>
      <w:r w:rsidR="00E64249">
        <w:rPr>
          <w:i/>
        </w:rPr>
        <w:t>Nature</w:t>
      </w:r>
      <w:r w:rsidR="001E4768">
        <w:t xml:space="preserve"> as “one bright light”</w:t>
      </w:r>
      <w:r w:rsidR="001E4768">
        <w:rPr>
          <w:rStyle w:val="FootnoteReference"/>
        </w:rPr>
        <w:footnoteReference w:id="24"/>
      </w:r>
      <w:r w:rsidR="001E4768">
        <w:t xml:space="preserve"> </w:t>
      </w:r>
      <w:r w:rsidR="005313AB">
        <w:t>in a</w:t>
      </w:r>
      <w:r w:rsidR="00D11DEC">
        <w:t xml:space="preserve"> retract</w:t>
      </w:r>
      <w:r w:rsidR="00E56206">
        <w:t>ion</w:t>
      </w:r>
      <w:r w:rsidR="001E4768">
        <w:t xml:space="preserve"> </w:t>
      </w:r>
      <w:r w:rsidR="00DF5C29">
        <w:t xml:space="preserve">the editors </w:t>
      </w:r>
      <w:r w:rsidR="001E4768">
        <w:t xml:space="preserve">acknowledged </w:t>
      </w:r>
      <w:r w:rsidR="00B40102">
        <w:t xml:space="preserve">the paper </w:t>
      </w:r>
      <w:r w:rsidR="00D11DEC">
        <w:t>failed to p</w:t>
      </w:r>
      <w:r w:rsidR="001E4768">
        <w:t xml:space="preserve">rovide “compelling evidence” and </w:t>
      </w:r>
      <w:r w:rsidR="00D11DEC">
        <w:t>“we no longer stand by the statement…</w:t>
      </w:r>
      <w:r w:rsidR="00244BD3">
        <w:t>that double-blind peer review</w:t>
      </w:r>
      <w:r w:rsidR="00E64249">
        <w:t xml:space="preserve"> </w:t>
      </w:r>
      <w:r w:rsidR="00D11DEC">
        <w:t>reduces bias against authors with female first names.”</w:t>
      </w:r>
      <w:r w:rsidR="00D11DEC">
        <w:rPr>
          <w:rStyle w:val="FootnoteReference"/>
        </w:rPr>
        <w:footnoteReference w:id="25"/>
      </w:r>
      <w:r w:rsidR="00A62481">
        <w:t xml:space="preserve">  I</w:t>
      </w:r>
      <w:r w:rsidR="00987268">
        <w:t xml:space="preserve"> will </w:t>
      </w:r>
      <w:r w:rsidR="00151F05">
        <w:t>re</w:t>
      </w:r>
      <w:r w:rsidR="00987268">
        <w:t>turn to</w:t>
      </w:r>
      <w:r w:rsidR="005D0DB9">
        <w:t xml:space="preserve"> name</w:t>
      </w:r>
      <w:r w:rsidR="00C61C82">
        <w:t>-swapping experiments further on</w:t>
      </w:r>
      <w:r w:rsidR="00244BD3">
        <w:t xml:space="preserve">, but </w:t>
      </w:r>
      <w:r w:rsidR="00C61C82">
        <w:t>next c</w:t>
      </w:r>
      <w:r w:rsidR="00244BD3">
        <w:t>onsider blind auditions</w:t>
      </w:r>
      <w:r w:rsidR="00FC4622">
        <w:t xml:space="preserve"> at symphony orchestras</w:t>
      </w:r>
      <w:r w:rsidR="00244BD3">
        <w:t>.</w:t>
      </w:r>
      <w:r w:rsidR="00772642">
        <w:rPr>
          <w:rStyle w:val="FootnoteReference"/>
        </w:rPr>
        <w:footnoteReference w:id="26"/>
      </w:r>
      <w:r w:rsidR="00244BD3">
        <w:t xml:space="preserve">  </w:t>
      </w:r>
    </w:p>
    <w:p w14:paraId="0F1FE675" w14:textId="72DF4D2D" w:rsidR="001E2B17" w:rsidRDefault="00244BD3" w:rsidP="008C6E57">
      <w:pPr>
        <w:spacing w:line="480" w:lineRule="auto"/>
        <w:ind w:firstLine="720"/>
      </w:pPr>
      <w:r>
        <w:t>In</w:t>
      </w:r>
      <w:r w:rsidR="00566078" w:rsidRPr="004907C3">
        <w:t xml:space="preserve"> its simplicity and vividness</w:t>
      </w:r>
      <w:r w:rsidR="008F1778" w:rsidRPr="004907C3">
        <w:t xml:space="preserve"> </w:t>
      </w:r>
      <w:r w:rsidR="0044552B">
        <w:t>this example</w:t>
      </w:r>
      <w:r w:rsidR="00B06143">
        <w:t xml:space="preserve"> </w:t>
      </w:r>
      <w:r w:rsidR="00162E34">
        <w:t xml:space="preserve">motivates </w:t>
      </w:r>
      <w:r w:rsidR="00FF161D">
        <w:t>worries about</w:t>
      </w:r>
      <w:r w:rsidR="00977621">
        <w:t xml:space="preserve"> unconscious </w:t>
      </w:r>
      <w:r w:rsidR="00162E34">
        <w:t>bias</w:t>
      </w:r>
      <w:r w:rsidR="00121354">
        <w:t xml:space="preserve"> for many</w:t>
      </w:r>
      <w:r w:rsidR="00997C39">
        <w:t>—“Wear army boots or sneakers to blind auditions</w:t>
      </w:r>
      <w:r w:rsidR="00A62481">
        <w:t>,</w:t>
      </w:r>
      <w:r w:rsidR="001E3EAD">
        <w:t xml:space="preserve">” it’s been </w:t>
      </w:r>
      <w:r w:rsidR="00A62481">
        <w:t xml:space="preserve">long </w:t>
      </w:r>
      <w:r w:rsidR="001E3EAD">
        <w:t>said</w:t>
      </w:r>
      <w:r w:rsidR="00A62481">
        <w:t>,</w:t>
      </w:r>
      <w:r w:rsidR="001E3EAD">
        <w:t xml:space="preserve"> so</w:t>
      </w:r>
      <w:r w:rsidR="008C6E57">
        <w:t xml:space="preserve"> the</w:t>
      </w:r>
      <w:r w:rsidR="00997C39">
        <w:t xml:space="preserve"> </w:t>
      </w:r>
      <w:r w:rsidR="00FF161D">
        <w:t xml:space="preserve">judges </w:t>
      </w:r>
      <w:r w:rsidR="00B35302">
        <w:t>will</w:t>
      </w:r>
      <w:r w:rsidR="008564A4">
        <w:t xml:space="preserve"> no</w:t>
      </w:r>
      <w:r w:rsidR="00997C39">
        <w:t xml:space="preserve">t pick up hints about a </w:t>
      </w:r>
      <w:r w:rsidR="00C76295">
        <w:t>woman’s identity</w:t>
      </w:r>
      <w:r w:rsidR="0073580B">
        <w:t>.</w:t>
      </w:r>
      <w:r w:rsidR="00997C39">
        <w:rPr>
          <w:rStyle w:val="FootnoteReference"/>
        </w:rPr>
        <w:footnoteReference w:id="27"/>
      </w:r>
      <w:r w:rsidR="008C6E57">
        <w:t xml:space="preserve">  It</w:t>
      </w:r>
      <w:r w:rsidR="00B06143">
        <w:t xml:space="preserve"> is</w:t>
      </w:r>
      <w:r w:rsidR="00EA0CF8">
        <w:t xml:space="preserve"> </w:t>
      </w:r>
      <w:r w:rsidR="00121354">
        <w:t xml:space="preserve">also </w:t>
      </w:r>
      <w:r w:rsidR="001E2B17">
        <w:t>often cite</w:t>
      </w:r>
      <w:r w:rsidR="00121354">
        <w:t>d by</w:t>
      </w:r>
      <w:r w:rsidR="00AE1E33">
        <w:t xml:space="preserve"> </w:t>
      </w:r>
      <w:r w:rsidR="006D5214">
        <w:t>philosophers</w:t>
      </w:r>
      <w:r w:rsidR="00121354">
        <w:t xml:space="preserve">, such as Saul </w:t>
      </w:r>
      <w:r w:rsidR="008C6E57">
        <w:t>who remarks</w:t>
      </w:r>
      <w:r w:rsidR="00EA0CF8">
        <w:t xml:space="preserve"> t</w:t>
      </w:r>
      <w:r w:rsidR="006D5214">
        <w:t xml:space="preserve">hat </w:t>
      </w:r>
      <w:r w:rsidR="006D5214" w:rsidRPr="004907C3">
        <w:t>blind auditions “worked beautifully with orchestras…dramatically increasing their percentages of female members.”</w:t>
      </w:r>
      <w:r w:rsidR="006D5214" w:rsidRPr="004907C3">
        <w:rPr>
          <w:rStyle w:val="FootnoteReference"/>
        </w:rPr>
        <w:footnoteReference w:id="28"/>
      </w:r>
      <w:r w:rsidR="00EA0CF8">
        <w:t xml:space="preserve">  Bu</w:t>
      </w:r>
      <w:r w:rsidR="00B06143">
        <w:t>t</w:t>
      </w:r>
      <w:r w:rsidR="004F0FA2">
        <w:t xml:space="preserve">, attired in </w:t>
      </w:r>
      <w:r w:rsidR="00EA0CF8">
        <w:t xml:space="preserve">wary </w:t>
      </w:r>
      <w:r w:rsidR="000F3B74">
        <w:t>skepticism, I</w:t>
      </w:r>
      <w:r w:rsidR="00121354">
        <w:t xml:space="preserve"> wonder:</w:t>
      </w:r>
      <w:r w:rsidR="00B06143">
        <w:t xml:space="preserve"> </w:t>
      </w:r>
      <w:r w:rsidR="00FC4622">
        <w:t>What did this study</w:t>
      </w:r>
      <w:r>
        <w:t xml:space="preserve"> </w:t>
      </w:r>
      <w:r w:rsidR="00566078" w:rsidRPr="004907C3">
        <w:t>show</w:t>
      </w:r>
      <w:r w:rsidR="003C0D15" w:rsidRPr="004907C3">
        <w:t xml:space="preserve"> exactly</w:t>
      </w:r>
      <w:r w:rsidR="00C76295">
        <w:t xml:space="preserve">?  </w:t>
      </w:r>
      <w:r w:rsidR="008C6E57">
        <w:t>Given the</w:t>
      </w:r>
      <w:r w:rsidR="008C6E57" w:rsidRPr="004907C3">
        <w:t xml:space="preserve"> visibility it enjoys, </w:t>
      </w:r>
      <w:r w:rsidR="007E43B3">
        <w:t>it</w:t>
      </w:r>
      <w:r w:rsidR="008C6E57" w:rsidRPr="004907C3">
        <w:t xml:space="preserve"> </w:t>
      </w:r>
      <w:r w:rsidR="009D1C5F">
        <w:t>wa</w:t>
      </w:r>
      <w:r w:rsidR="007E43B3">
        <w:t>rrants a careful examination and</w:t>
      </w:r>
      <w:r w:rsidR="009D1C5F">
        <w:t xml:space="preserve"> i</w:t>
      </w:r>
      <w:r w:rsidR="00B06143">
        <w:t xml:space="preserve">n the next section </w:t>
      </w:r>
      <w:r w:rsidR="00F71A27">
        <w:t>it is</w:t>
      </w:r>
      <w:r w:rsidR="008C6E57">
        <w:t xml:space="preserve"> </w:t>
      </w:r>
      <w:r w:rsidR="009D1C5F">
        <w:t>consider</w:t>
      </w:r>
      <w:r w:rsidR="00F71A27">
        <w:t xml:space="preserve">ed </w:t>
      </w:r>
      <w:r w:rsidR="001E3EAD">
        <w:t>in detail</w:t>
      </w:r>
      <w:r w:rsidR="00B06143">
        <w:t>.</w:t>
      </w:r>
      <w:r w:rsidR="003C0D15" w:rsidRPr="004907C3">
        <w:t xml:space="preserve"> </w:t>
      </w:r>
    </w:p>
    <w:p w14:paraId="55D8C170" w14:textId="77777777" w:rsidR="00A91A5E" w:rsidRDefault="00C80ED9" w:rsidP="001E2B17">
      <w:pPr>
        <w:spacing w:line="480" w:lineRule="auto"/>
      </w:pPr>
      <w:r>
        <w:t>4</w:t>
      </w:r>
      <w:r w:rsidR="001E2B17">
        <w:t>.  BLIND AMBITION</w:t>
      </w:r>
    </w:p>
    <w:p w14:paraId="7781C298" w14:textId="131FF2DB" w:rsidR="00E778AD" w:rsidRPr="004907C3" w:rsidRDefault="00E80C3B" w:rsidP="00AE1E33">
      <w:pPr>
        <w:spacing w:line="480" w:lineRule="auto"/>
      </w:pPr>
      <w:r>
        <w:t>In reviewing th</w:t>
      </w:r>
      <w:r w:rsidR="001E2B17">
        <w:t>is work one is surprised to learn</w:t>
      </w:r>
      <w:r w:rsidR="00AE71B3" w:rsidRPr="004907C3">
        <w:t xml:space="preserve"> there was no </w:t>
      </w:r>
      <w:r w:rsidR="008647BB" w:rsidRPr="004907C3">
        <w:t xml:space="preserve">direct </w:t>
      </w:r>
      <w:r w:rsidR="00AE71B3" w:rsidRPr="004907C3">
        <w:t>testing of a</w:t>
      </w:r>
      <w:r w:rsidR="00AE1E33">
        <w:t>n empirical</w:t>
      </w:r>
      <w:r w:rsidR="00AE71B3" w:rsidRPr="004907C3">
        <w:t xml:space="preserve"> </w:t>
      </w:r>
      <w:r w:rsidR="008F1778" w:rsidRPr="004907C3">
        <w:t>hypothesis.</w:t>
      </w:r>
      <w:r w:rsidR="00262C5E">
        <w:t xml:space="preserve">  Instead, </w:t>
      </w:r>
      <w:r>
        <w:t xml:space="preserve">researchers </w:t>
      </w:r>
      <w:r w:rsidR="00AE71B3" w:rsidRPr="004907C3">
        <w:t xml:space="preserve">examined </w:t>
      </w:r>
      <w:r w:rsidR="00262C5E">
        <w:t xml:space="preserve">decades of </w:t>
      </w:r>
      <w:r w:rsidR="00AE71B3" w:rsidRPr="004907C3">
        <w:t xml:space="preserve">employment </w:t>
      </w:r>
      <w:r w:rsidR="00EC542F" w:rsidRPr="004907C3">
        <w:t xml:space="preserve">and audition </w:t>
      </w:r>
      <w:r w:rsidR="00AE71B3" w:rsidRPr="004907C3">
        <w:t>records at major orchestras</w:t>
      </w:r>
      <w:r w:rsidR="00772642">
        <w:t xml:space="preserve">.  </w:t>
      </w:r>
      <w:r w:rsidR="00262C5E">
        <w:t xml:space="preserve">They </w:t>
      </w:r>
      <w:r w:rsidR="00AE71B3" w:rsidRPr="004907C3">
        <w:t>found th</w:t>
      </w:r>
      <w:r w:rsidR="00262C5E">
        <w:t>at during the period when candidates were required to play behind a screen conc</w:t>
      </w:r>
      <w:r w:rsidR="001957EA">
        <w:t xml:space="preserve">ealing their identity the </w:t>
      </w:r>
      <w:r w:rsidR="007F564D">
        <w:t xml:space="preserve">proportion of women </w:t>
      </w:r>
      <w:r w:rsidR="001957EA">
        <w:t>who were ultimately hired increased</w:t>
      </w:r>
      <w:r w:rsidR="00735CEA">
        <w:t xml:space="preserve">.  </w:t>
      </w:r>
      <w:r w:rsidR="005E39B2">
        <w:t>But why did it increase?</w:t>
      </w:r>
    </w:p>
    <w:p w14:paraId="48134A6A" w14:textId="636AE592" w:rsidR="009B5573" w:rsidRPr="004907C3" w:rsidRDefault="00AE71B3" w:rsidP="008F1778">
      <w:pPr>
        <w:spacing w:line="480" w:lineRule="auto"/>
        <w:ind w:firstLine="720"/>
      </w:pPr>
      <w:r w:rsidRPr="004907C3">
        <w:t xml:space="preserve"> While the authors attribute 30% of the rise to the change in auditioning practices</w:t>
      </w:r>
      <w:r w:rsidR="00C45A47">
        <w:rPr>
          <w:rStyle w:val="FootnoteReference"/>
        </w:rPr>
        <w:footnoteReference w:id="29"/>
      </w:r>
      <w:r w:rsidR="000975D7" w:rsidRPr="004907C3">
        <w:t xml:space="preserve"> </w:t>
      </w:r>
      <w:r w:rsidRPr="004907C3">
        <w:t xml:space="preserve">this conclusion is </w:t>
      </w:r>
      <w:r w:rsidR="00E778AD" w:rsidRPr="004907C3">
        <w:t>speculative</w:t>
      </w:r>
      <w:r w:rsidR="008647BB" w:rsidRPr="004907C3">
        <w:t xml:space="preserve"> and</w:t>
      </w:r>
      <w:r w:rsidR="00AB1171" w:rsidRPr="004907C3">
        <w:t>, as the</w:t>
      </w:r>
      <w:r w:rsidR="00BB349E" w:rsidRPr="004907C3">
        <w:t>y mention</w:t>
      </w:r>
      <w:r w:rsidR="00660CBA" w:rsidRPr="004907C3">
        <w:t xml:space="preserve"> </w:t>
      </w:r>
      <w:r w:rsidR="000F1936">
        <w:t xml:space="preserve">in the abstract, </w:t>
      </w:r>
      <w:r w:rsidR="00342CFE">
        <w:t>is</w:t>
      </w:r>
      <w:r w:rsidR="00623A28" w:rsidRPr="004907C3">
        <w:t xml:space="preserve"> advanced w</w:t>
      </w:r>
      <w:r w:rsidR="00342CFE">
        <w:t>ith</w:t>
      </w:r>
      <w:r w:rsidR="00623A28" w:rsidRPr="004907C3">
        <w:t xml:space="preserve"> reservation</w:t>
      </w:r>
      <w:r w:rsidR="001E3EAD">
        <w:t>s</w:t>
      </w:r>
      <w:r w:rsidR="008F1778" w:rsidRPr="004907C3">
        <w:t xml:space="preserve">.  </w:t>
      </w:r>
      <w:r w:rsidR="0019605F" w:rsidRPr="004907C3">
        <w:t>As the</w:t>
      </w:r>
      <w:r w:rsidR="00623A28" w:rsidRPr="004907C3">
        <w:t>y note</w:t>
      </w:r>
      <w:r w:rsidR="0019605F" w:rsidRPr="004907C3">
        <w:t xml:space="preserve">, </w:t>
      </w:r>
      <w:r w:rsidR="00A01E52">
        <w:t xml:space="preserve">in </w:t>
      </w:r>
      <w:r w:rsidR="00AD63F3" w:rsidRPr="004907C3">
        <w:t xml:space="preserve">the </w:t>
      </w:r>
      <w:r w:rsidR="00E778AD" w:rsidRPr="004907C3">
        <w:t>19</w:t>
      </w:r>
      <w:r w:rsidR="00070C9F" w:rsidRPr="004907C3">
        <w:t>60s and 19</w:t>
      </w:r>
      <w:r w:rsidR="00AD63F3" w:rsidRPr="004907C3">
        <w:t>70s trade union</w:t>
      </w:r>
      <w:r w:rsidR="00065470" w:rsidRPr="004907C3">
        <w:t>ism</w:t>
      </w:r>
      <w:r w:rsidR="00376516" w:rsidRPr="004907C3">
        <w:t xml:space="preserve"> </w:t>
      </w:r>
      <w:r w:rsidR="00AD63F3" w:rsidRPr="004907C3">
        <w:t xml:space="preserve">led </w:t>
      </w:r>
      <w:r w:rsidR="00EC542F" w:rsidRPr="004907C3">
        <w:t>to</w:t>
      </w:r>
      <w:r w:rsidR="00376516" w:rsidRPr="004907C3">
        <w:t xml:space="preserve"> </w:t>
      </w:r>
      <w:r w:rsidR="0019605F" w:rsidRPr="004907C3">
        <w:t>democritization</w:t>
      </w:r>
      <w:r w:rsidR="00F94173">
        <w:t xml:space="preserve"> of the workplace and somewhat curtailed the </w:t>
      </w:r>
      <w:r w:rsidR="005E39B2">
        <w:t>C</w:t>
      </w:r>
      <w:r w:rsidR="00376516" w:rsidRPr="004907C3">
        <w:t>onductor’s tyrannical power</w:t>
      </w:r>
      <w:r w:rsidR="0019605F" w:rsidRPr="004907C3">
        <w:t>.</w:t>
      </w:r>
      <w:r w:rsidR="00E80C3B">
        <w:t xml:space="preserve">  Among the revised </w:t>
      </w:r>
      <w:r w:rsidR="00376516" w:rsidRPr="004907C3">
        <w:t>auditioning practices</w:t>
      </w:r>
      <w:r w:rsidR="00E80C3B">
        <w:t xml:space="preserve"> adopted in the 70s and 80s was t</w:t>
      </w:r>
      <w:r w:rsidR="00A01E52" w:rsidRPr="004907C3">
        <w:t xml:space="preserve">hat panels </w:t>
      </w:r>
      <w:r w:rsidR="00786BB3">
        <w:t>would draw</w:t>
      </w:r>
      <w:r w:rsidR="00A01E52" w:rsidRPr="004907C3">
        <w:t xml:space="preserve"> on </w:t>
      </w:r>
      <w:r w:rsidR="00A01E52">
        <w:t>rank-and-</w:t>
      </w:r>
      <w:r w:rsidR="00A01E52" w:rsidRPr="004907C3">
        <w:t>file playe</w:t>
      </w:r>
      <w:r w:rsidR="00E80C3B">
        <w:t xml:space="preserve">rs.  This </w:t>
      </w:r>
      <w:r w:rsidR="00376516" w:rsidRPr="004907C3">
        <w:t xml:space="preserve">was just one aspect </w:t>
      </w:r>
      <w:r w:rsidR="00262C5E">
        <w:t xml:space="preserve">of </w:t>
      </w:r>
      <w:r w:rsidR="009B5573" w:rsidRPr="004907C3">
        <w:t>broader effort</w:t>
      </w:r>
      <w:r w:rsidR="00262C5E">
        <w:t>s</w:t>
      </w:r>
      <w:r w:rsidR="009B5573" w:rsidRPr="004907C3">
        <w:t xml:space="preserve"> to </w:t>
      </w:r>
      <w:r w:rsidR="00EE55CF" w:rsidRPr="004907C3">
        <w:t>shift the power dynamics in</w:t>
      </w:r>
      <w:r w:rsidR="00376516" w:rsidRPr="004907C3">
        <w:t xml:space="preserve"> the management of orchestra</w:t>
      </w:r>
      <w:r w:rsidR="00ED628E" w:rsidRPr="004907C3">
        <w:t>s</w:t>
      </w:r>
      <w:r w:rsidR="00AD63F3" w:rsidRPr="004907C3">
        <w:t xml:space="preserve"> towards self-governance</w:t>
      </w:r>
      <w:r w:rsidR="00376516" w:rsidRPr="004907C3">
        <w:t xml:space="preserve">. </w:t>
      </w:r>
      <w:r w:rsidR="00786BB3">
        <w:t xml:space="preserve"> We </w:t>
      </w:r>
      <w:r w:rsidR="009B5573" w:rsidRPr="004907C3">
        <w:t xml:space="preserve">must </w:t>
      </w:r>
      <w:r w:rsidR="00786BB3">
        <w:t xml:space="preserve">therefore </w:t>
      </w:r>
      <w:r w:rsidR="009B5573" w:rsidRPr="004907C3">
        <w:t xml:space="preserve">be wary of a </w:t>
      </w:r>
      <w:r w:rsidR="009B5573" w:rsidRPr="004907C3">
        <w:rPr>
          <w:i/>
        </w:rPr>
        <w:t>post hoc</w:t>
      </w:r>
      <w:r w:rsidR="00087B1E">
        <w:t xml:space="preserve"> fallacy.  </w:t>
      </w:r>
      <w:r w:rsidR="009B5573" w:rsidRPr="004907C3">
        <w:t>There is an alternative hypothesis.</w:t>
      </w:r>
    </w:p>
    <w:p w14:paraId="271A8E77" w14:textId="77777777" w:rsidR="00D12F30" w:rsidRPr="004907C3" w:rsidRDefault="009B5573" w:rsidP="009B5573">
      <w:pPr>
        <w:spacing w:line="480" w:lineRule="auto"/>
      </w:pPr>
      <w:r w:rsidRPr="004907C3">
        <w:tab/>
      </w:r>
      <w:r w:rsidR="00EE55CF" w:rsidRPr="004907C3">
        <w:t>Perhaps the improved representation of women in orchestras would have happened anyway.  One reason to suspect this</w:t>
      </w:r>
      <w:r w:rsidR="00890983" w:rsidRPr="004907C3">
        <w:t>, as</w:t>
      </w:r>
      <w:r w:rsidR="00623A28" w:rsidRPr="004907C3">
        <w:t xml:space="preserve"> the authors acknowledge</w:t>
      </w:r>
      <w:r w:rsidR="00262C5E">
        <w:t>,</w:t>
      </w:r>
      <w:r w:rsidR="002A5D73">
        <w:rPr>
          <w:rStyle w:val="FootnoteReference"/>
        </w:rPr>
        <w:footnoteReference w:id="30"/>
      </w:r>
      <w:r w:rsidR="00EE55CF" w:rsidRPr="004907C3">
        <w:t xml:space="preserve"> is </w:t>
      </w:r>
      <w:r w:rsidR="002E20D1" w:rsidRPr="004907C3">
        <w:t xml:space="preserve">that </w:t>
      </w:r>
      <w:r w:rsidR="00EE55CF" w:rsidRPr="004907C3">
        <w:t xml:space="preserve">women </w:t>
      </w:r>
      <w:r w:rsidR="00237917" w:rsidRPr="004907C3">
        <w:t xml:space="preserve">sought more training and employment opportunities </w:t>
      </w:r>
      <w:r w:rsidR="007A632A" w:rsidRPr="004907C3">
        <w:t xml:space="preserve">in many professions throughout </w:t>
      </w:r>
      <w:r w:rsidR="00605627" w:rsidRPr="004907C3">
        <w:t>the 1970’s and</w:t>
      </w:r>
      <w:r w:rsidR="002C4F75">
        <w:t xml:space="preserve"> 1980’s.  </w:t>
      </w:r>
      <w:r w:rsidR="00B56C80" w:rsidRPr="004907C3">
        <w:t>W</w:t>
      </w:r>
      <w:r w:rsidR="00EE55CF" w:rsidRPr="004907C3">
        <w:t>omen didn’t need blind interviews to make inroads in science, law, m</w:t>
      </w:r>
      <w:r w:rsidR="00AE41F0" w:rsidRPr="004907C3">
        <w:t xml:space="preserve">edicine </w:t>
      </w:r>
      <w:r w:rsidR="00EE55CF" w:rsidRPr="004907C3">
        <w:t xml:space="preserve">and academia, </w:t>
      </w:r>
      <w:r w:rsidR="00B56C80" w:rsidRPr="004907C3">
        <w:t xml:space="preserve">so </w:t>
      </w:r>
      <w:r w:rsidR="00EE55CF" w:rsidRPr="004907C3">
        <w:t xml:space="preserve">why </w:t>
      </w:r>
      <w:r w:rsidR="00583D6B" w:rsidRPr="004907C3">
        <w:t>sh</w:t>
      </w:r>
      <w:r w:rsidR="00EE55CF" w:rsidRPr="004907C3">
        <w:t>ould orchestras</w:t>
      </w:r>
      <w:r w:rsidR="00B56C80" w:rsidRPr="004907C3">
        <w:t xml:space="preserve"> be any different</w:t>
      </w:r>
      <w:r w:rsidR="00EE55CF" w:rsidRPr="004907C3">
        <w:t>?</w:t>
      </w:r>
      <w:r w:rsidR="00342CFE">
        <w:rPr>
          <w:rStyle w:val="FootnoteReference"/>
        </w:rPr>
        <w:footnoteReference w:id="31"/>
      </w:r>
      <w:r w:rsidR="00E80C3B">
        <w:t xml:space="preserve">  </w:t>
      </w:r>
      <w:r w:rsidR="00B56C80" w:rsidRPr="004907C3">
        <w:t>In addition, the uptick begins prior to the adoption of blind auditions, and by the late 1960’s the process is a</w:t>
      </w:r>
      <w:r w:rsidR="00660CBA" w:rsidRPr="004907C3">
        <w:t>lready</w:t>
      </w:r>
      <w:r w:rsidR="00583D6B" w:rsidRPr="004907C3">
        <w:t xml:space="preserve"> under way</w:t>
      </w:r>
      <w:r w:rsidR="00B40102">
        <w:t xml:space="preserve">.  </w:t>
      </w:r>
      <w:r w:rsidR="00F94173">
        <w:t>Since s</w:t>
      </w:r>
      <w:r w:rsidR="00F94173" w:rsidRPr="004907C3">
        <w:t>creens were being adopted at the same time that orchestras</w:t>
      </w:r>
      <w:r w:rsidR="00F94173">
        <w:t xml:space="preserve"> were becoming more egalitarian, i</w:t>
      </w:r>
      <w:r w:rsidR="00EC542F" w:rsidRPr="004907C3">
        <w:t>s it</w:t>
      </w:r>
      <w:r w:rsidR="00D02550" w:rsidRPr="004907C3">
        <w:t xml:space="preserve"> </w:t>
      </w:r>
      <w:r w:rsidR="00EC542F" w:rsidRPr="004907C3">
        <w:t xml:space="preserve">not </w:t>
      </w:r>
      <w:r w:rsidR="00D02550" w:rsidRPr="004907C3">
        <w:t xml:space="preserve">plausible </w:t>
      </w:r>
      <w:r w:rsidR="00EC542F" w:rsidRPr="004907C3">
        <w:t>that the v</w:t>
      </w:r>
      <w:r w:rsidR="0071372A" w:rsidRPr="004907C3">
        <w:t xml:space="preserve">ery changes </w:t>
      </w:r>
      <w:r w:rsidR="00EC542F" w:rsidRPr="004907C3">
        <w:t xml:space="preserve">making orchestras friendly to screens would also </w:t>
      </w:r>
      <w:r w:rsidR="00E80C3B">
        <w:t xml:space="preserve">tend to </w:t>
      </w:r>
      <w:r w:rsidR="00EC542F" w:rsidRPr="004907C3">
        <w:t xml:space="preserve">make them </w:t>
      </w:r>
      <w:r w:rsidR="00D02550" w:rsidRPr="004907C3">
        <w:t>friendlier</w:t>
      </w:r>
      <w:r w:rsidR="00EC542F" w:rsidRPr="004907C3">
        <w:t xml:space="preserve"> to</w:t>
      </w:r>
      <w:r w:rsidR="00D02550" w:rsidRPr="004907C3">
        <w:t>wards</w:t>
      </w:r>
      <w:r w:rsidR="00EC542F" w:rsidRPr="004907C3">
        <w:t xml:space="preserve"> women</w:t>
      </w:r>
      <w:r w:rsidR="00F94173">
        <w:t xml:space="preserve">?  </w:t>
      </w:r>
      <w:r w:rsidR="0092680E">
        <w:t xml:space="preserve">To this, </w:t>
      </w:r>
      <w:r w:rsidR="00262C5E">
        <w:t>the authors</w:t>
      </w:r>
      <w:r w:rsidR="00605627" w:rsidRPr="004907C3">
        <w:t xml:space="preserve"> </w:t>
      </w:r>
      <w:r w:rsidR="00623A28" w:rsidRPr="004907C3">
        <w:t>retort</w:t>
      </w:r>
      <w:r w:rsidR="000975D7" w:rsidRPr="004907C3">
        <w:t xml:space="preserve"> that sex composition probably had little ef</w:t>
      </w:r>
      <w:r w:rsidR="0071372A" w:rsidRPr="004907C3">
        <w:t xml:space="preserve">fect on the </w:t>
      </w:r>
      <w:r w:rsidR="003A3ED8" w:rsidRPr="00BC6D34">
        <w:t xml:space="preserve">initial </w:t>
      </w:r>
      <w:r w:rsidR="0071372A" w:rsidRPr="00BC6D34">
        <w:t>adoption</w:t>
      </w:r>
      <w:r w:rsidR="0071372A" w:rsidRPr="004907C3">
        <w:t xml:space="preserve"> of </w:t>
      </w:r>
      <w:r w:rsidR="00065470" w:rsidRPr="004907C3">
        <w:t>blind auditioning</w:t>
      </w:r>
      <w:r w:rsidR="00686DE4">
        <w:t>.</w:t>
      </w:r>
      <w:r w:rsidR="002A5D73">
        <w:rPr>
          <w:rStyle w:val="FootnoteReference"/>
        </w:rPr>
        <w:footnoteReference w:id="32"/>
      </w:r>
      <w:r w:rsidR="00686DE4">
        <w:t xml:space="preserve"> </w:t>
      </w:r>
      <w:r w:rsidR="00664F37">
        <w:t>Yet</w:t>
      </w:r>
      <w:r w:rsidR="00810C96">
        <w:t xml:space="preserve"> </w:t>
      </w:r>
      <w:r w:rsidR="00E80C3B">
        <w:t xml:space="preserve">this </w:t>
      </w:r>
      <w:r w:rsidR="00664F37">
        <w:t xml:space="preserve">is </w:t>
      </w:r>
      <w:r w:rsidR="00E80C3B">
        <w:t>irrelevant because it is</w:t>
      </w:r>
      <w:r w:rsidR="000975D7" w:rsidRPr="004907C3">
        <w:t xml:space="preserve"> compatible with the post hoc alternative. </w:t>
      </w:r>
      <w:r w:rsidR="00810C96">
        <w:t xml:space="preserve"> Orchestras </w:t>
      </w:r>
      <w:r w:rsidR="000975D7" w:rsidRPr="004907C3">
        <w:t xml:space="preserve">adopted screens for different reasons: some willingly, in light of </w:t>
      </w:r>
      <w:r w:rsidR="008F1778" w:rsidRPr="004907C3">
        <w:t>more</w:t>
      </w:r>
      <w:r w:rsidR="00583D6B" w:rsidRPr="004907C3">
        <w:t xml:space="preserve"> </w:t>
      </w:r>
      <w:r w:rsidR="000975D7" w:rsidRPr="004907C3">
        <w:t>meritocratic attitudes</w:t>
      </w:r>
      <w:r w:rsidR="008F1778" w:rsidRPr="004907C3">
        <w:t xml:space="preserve"> taking root</w:t>
      </w:r>
      <w:r w:rsidR="000975D7" w:rsidRPr="004907C3">
        <w:t>, others as a response to various kinds of activism and pressure</w:t>
      </w:r>
      <w:r w:rsidR="0071372A" w:rsidRPr="004907C3">
        <w:t>, including lawsuits and union contacts</w:t>
      </w:r>
      <w:r w:rsidR="00660CBA" w:rsidRPr="004907C3">
        <w:t>.  T</w:t>
      </w:r>
      <w:r w:rsidR="00284CC2" w:rsidRPr="004907C3">
        <w:t>here is no expectation</w:t>
      </w:r>
      <w:r w:rsidR="00664F37">
        <w:t xml:space="preserve"> for</w:t>
      </w:r>
      <w:r w:rsidR="00284CC2" w:rsidRPr="004907C3">
        <w:t xml:space="preserve"> a correlation between the initial adoption of screens and sex composition.</w:t>
      </w:r>
      <w:r w:rsidR="005D470D" w:rsidRPr="004907C3">
        <w:t xml:space="preserve">  </w:t>
      </w:r>
    </w:p>
    <w:p w14:paraId="40D8296C" w14:textId="54DC4672" w:rsidR="00070C9F" w:rsidRPr="004907C3" w:rsidRDefault="000975D7" w:rsidP="00583D6B">
      <w:pPr>
        <w:spacing w:line="480" w:lineRule="auto"/>
      </w:pPr>
      <w:r w:rsidRPr="004907C3">
        <w:tab/>
        <w:t>There are also some odd patterns in the data that ought to</w:t>
      </w:r>
      <w:r w:rsidR="00E778AD" w:rsidRPr="004907C3">
        <w:t xml:space="preserve"> give one </w:t>
      </w:r>
      <w:r w:rsidR="00237917" w:rsidRPr="004907C3">
        <w:t xml:space="preserve">further </w:t>
      </w:r>
      <w:r w:rsidR="00E778AD" w:rsidRPr="004907C3">
        <w:t xml:space="preserve">pause. </w:t>
      </w:r>
      <w:r w:rsidR="00070C9F" w:rsidRPr="004907C3">
        <w:t xml:space="preserve"> </w:t>
      </w:r>
      <w:r w:rsidR="00E80C3B">
        <w:t>Goldin and Rouse</w:t>
      </w:r>
      <w:r w:rsidR="00623A28" w:rsidRPr="004907C3">
        <w:t xml:space="preserve"> </w:t>
      </w:r>
      <w:r w:rsidR="005102CB" w:rsidRPr="004907C3">
        <w:t>f</w:t>
      </w:r>
      <w:r w:rsidR="00623A28" w:rsidRPr="004907C3">
        <w:t xml:space="preserve">ound </w:t>
      </w:r>
      <w:r w:rsidR="00A96EB9" w:rsidRPr="004907C3">
        <w:t xml:space="preserve">that </w:t>
      </w:r>
      <w:r w:rsidR="00065470" w:rsidRPr="004907C3">
        <w:t>women</w:t>
      </w:r>
      <w:r w:rsidR="005102CB" w:rsidRPr="004907C3">
        <w:t>’s</w:t>
      </w:r>
      <w:r w:rsidR="00065470" w:rsidRPr="004907C3">
        <w:t xml:space="preserve"> chances improved from preliminaries (37% of candidates) to finals (43% of candidates) </w:t>
      </w:r>
      <w:r w:rsidR="00623A28" w:rsidRPr="00664F37">
        <w:t>even when</w:t>
      </w:r>
      <w:r w:rsidR="00065470" w:rsidRPr="00664F37">
        <w:t xml:space="preserve"> the auditions were </w:t>
      </w:r>
      <w:r w:rsidR="00583D6B" w:rsidRPr="00664F37">
        <w:t xml:space="preserve">not </w:t>
      </w:r>
      <w:r w:rsidR="00065470" w:rsidRPr="00664F37">
        <w:t>blind</w:t>
      </w:r>
      <w:r w:rsidR="00E42AAC" w:rsidRPr="004907C3">
        <w:t>.</w:t>
      </w:r>
      <w:r w:rsidR="002A5D73">
        <w:rPr>
          <w:rStyle w:val="FootnoteReference"/>
        </w:rPr>
        <w:footnoteReference w:id="33"/>
      </w:r>
      <w:r w:rsidR="005D0DB9">
        <w:t xml:space="preserve">  </w:t>
      </w:r>
      <w:r w:rsidR="008F1778" w:rsidRPr="004907C3">
        <w:t xml:space="preserve">Also </w:t>
      </w:r>
      <w:r w:rsidR="002C4F75">
        <w:t>noteworthy is</w:t>
      </w:r>
      <w:r w:rsidR="00583D6B" w:rsidRPr="004907C3">
        <w:t xml:space="preserve"> their </w:t>
      </w:r>
      <w:r w:rsidR="007806A3" w:rsidRPr="004907C3">
        <w:t xml:space="preserve">share of the candidate pool (only 33% </w:t>
      </w:r>
      <w:r w:rsidR="00583D6B" w:rsidRPr="004907C3">
        <w:t xml:space="preserve">female </w:t>
      </w:r>
      <w:r w:rsidR="007806A3" w:rsidRPr="004907C3">
        <w:t>in the 1970s up to 39% in the 1990s</w:t>
      </w:r>
      <w:r w:rsidR="00583D6B" w:rsidRPr="004907C3">
        <w:t>)</w:t>
      </w:r>
      <w:r w:rsidR="00660CBA" w:rsidRPr="004907C3">
        <w:t xml:space="preserve"> suggesting that </w:t>
      </w:r>
      <w:r w:rsidR="00262C5E">
        <w:t xml:space="preserve">women </w:t>
      </w:r>
      <w:r w:rsidR="002C4F75">
        <w:t xml:space="preserve">perhaps </w:t>
      </w:r>
      <w:r w:rsidR="003A3ED8" w:rsidRPr="004907C3">
        <w:t>enjoy</w:t>
      </w:r>
      <w:r w:rsidR="008F1778" w:rsidRPr="004907C3">
        <w:t>ed</w:t>
      </w:r>
      <w:r w:rsidR="003A3ED8" w:rsidRPr="004907C3">
        <w:t xml:space="preserve"> an advantage </w:t>
      </w:r>
      <w:r w:rsidR="00BB349E" w:rsidRPr="004907C3">
        <w:t>in</w:t>
      </w:r>
      <w:r w:rsidR="00623A28" w:rsidRPr="004907C3">
        <w:t xml:space="preserve"> the non-blind context</w:t>
      </w:r>
      <w:r w:rsidR="007806A3" w:rsidRPr="004907C3">
        <w:t>.</w:t>
      </w:r>
      <w:r w:rsidR="00434F76">
        <w:t xml:space="preserve">  </w:t>
      </w:r>
      <w:r w:rsidR="00623A28" w:rsidRPr="004907C3">
        <w:t>Indeed</w:t>
      </w:r>
      <w:r w:rsidR="00660CBA" w:rsidRPr="004907C3">
        <w:t>,</w:t>
      </w:r>
      <w:r w:rsidR="00A96EB9" w:rsidRPr="004907C3">
        <w:t xml:space="preserve"> </w:t>
      </w:r>
      <w:r w:rsidR="0000639D">
        <w:t>women</w:t>
      </w:r>
      <w:r w:rsidR="00BF78E7" w:rsidRPr="004907C3">
        <w:t xml:space="preserve"> </w:t>
      </w:r>
      <w:r w:rsidR="00890983" w:rsidRPr="004907C3">
        <w:t>seemed to fa</w:t>
      </w:r>
      <w:r w:rsidR="00623A28" w:rsidRPr="004907C3">
        <w:t>r</w:t>
      </w:r>
      <w:r w:rsidR="00890983" w:rsidRPr="004907C3">
        <w:t>e</w:t>
      </w:r>
      <w:r w:rsidR="00623A28" w:rsidRPr="004907C3">
        <w:t xml:space="preserve"> </w:t>
      </w:r>
      <w:r w:rsidR="00BF78E7" w:rsidRPr="00BC6D34">
        <w:t>worse</w:t>
      </w:r>
      <w:r w:rsidR="002A5D73">
        <w:t xml:space="preserve"> behind the screen</w:t>
      </w:r>
      <w:r w:rsidR="00664F37">
        <w:t xml:space="preserve">, </w:t>
      </w:r>
      <w:r w:rsidR="000279CE">
        <w:t>leadi</w:t>
      </w:r>
      <w:r w:rsidR="00664F37">
        <w:t>ng</w:t>
      </w:r>
      <w:r w:rsidR="00FB05B1">
        <w:t xml:space="preserve"> </w:t>
      </w:r>
      <w:r w:rsidR="008F1778" w:rsidRPr="004907C3">
        <w:t xml:space="preserve">Goldin and Rouse </w:t>
      </w:r>
      <w:r w:rsidR="00664F37">
        <w:t>to propose</w:t>
      </w:r>
      <w:r w:rsidR="00FB05B1">
        <w:t xml:space="preserve"> </w:t>
      </w:r>
      <w:r w:rsidR="00BF78E7" w:rsidRPr="004907C3">
        <w:t>that blind auditions attracted female candidates of lower quality.</w:t>
      </w:r>
      <w:r w:rsidR="002A5D73">
        <w:rPr>
          <w:rStyle w:val="FootnoteReference"/>
        </w:rPr>
        <w:footnoteReference w:id="34"/>
      </w:r>
      <w:r w:rsidR="009D1C5F">
        <w:t xml:space="preserve">  By restricting the data</w:t>
      </w:r>
      <w:r w:rsidR="00664F37">
        <w:t xml:space="preserve"> </w:t>
      </w:r>
      <w:r w:rsidR="00BF78E7" w:rsidRPr="004907C3">
        <w:t>to candidates who performed under both conditions the effect disappears</w:t>
      </w:r>
      <w:r w:rsidR="002A5D73">
        <w:t xml:space="preserve">.  </w:t>
      </w:r>
      <w:r w:rsidR="00070C9F" w:rsidRPr="004907C3">
        <w:t>In this case t</w:t>
      </w:r>
      <w:r w:rsidR="00BF78E7" w:rsidRPr="004907C3">
        <w:t xml:space="preserve">he success rate is “almost </w:t>
      </w:r>
      <w:r w:rsidR="00623A28" w:rsidRPr="004907C3">
        <w:t xml:space="preserve">always” higher with the screen </w:t>
      </w:r>
      <w:r w:rsidR="00070C9F" w:rsidRPr="004907C3">
        <w:t xml:space="preserve">when it comes to </w:t>
      </w:r>
      <w:r w:rsidR="00623A28" w:rsidRPr="004907C3">
        <w:t xml:space="preserve">being </w:t>
      </w:r>
      <w:r w:rsidR="00BF78E7" w:rsidRPr="004907C3">
        <w:t>advanced in preliminaries</w:t>
      </w:r>
      <w:r w:rsidR="005D0DB9">
        <w:t>, finals, and hiring</w:t>
      </w:r>
      <w:r w:rsidR="00BF78E7" w:rsidRPr="004907C3">
        <w:t>.</w:t>
      </w:r>
      <w:r w:rsidR="00070C9F" w:rsidRPr="004907C3">
        <w:t xml:space="preserve">  </w:t>
      </w:r>
      <w:r w:rsidR="00CB2107" w:rsidRPr="004907C3">
        <w:t xml:space="preserve">On the other hand, </w:t>
      </w:r>
      <w:r w:rsidR="001D3949">
        <w:t xml:space="preserve">while </w:t>
      </w:r>
      <w:r w:rsidR="009D1C5F">
        <w:t>this</w:t>
      </w:r>
      <w:r w:rsidR="004D4310">
        <w:t xml:space="preserve"> </w:t>
      </w:r>
      <w:r w:rsidR="00CF4DF5">
        <w:t>might ensure</w:t>
      </w:r>
      <w:r w:rsidR="004D4310">
        <w:t xml:space="preserve"> the quality of</w:t>
      </w:r>
      <w:r w:rsidR="00AF74F0">
        <w:t xml:space="preserve"> women </w:t>
      </w:r>
      <w:r w:rsidR="00CB2107" w:rsidRPr="004907C3">
        <w:t xml:space="preserve">performers </w:t>
      </w:r>
      <w:r w:rsidR="00EC7F24" w:rsidRPr="004907C3">
        <w:t xml:space="preserve">is held </w:t>
      </w:r>
      <w:r w:rsidR="00CB2107" w:rsidRPr="004907C3">
        <w:t xml:space="preserve">constant, there </w:t>
      </w:r>
      <w:r w:rsidR="00EC7F24" w:rsidRPr="004907C3">
        <w:t>is no reason to assume that the</w:t>
      </w:r>
      <w:r w:rsidR="001D3949">
        <w:t xml:space="preserve"> quality of the</w:t>
      </w:r>
      <w:r w:rsidR="00EC7F24" w:rsidRPr="004907C3">
        <w:rPr>
          <w:i/>
        </w:rPr>
        <w:t xml:space="preserve"> </w:t>
      </w:r>
      <w:r w:rsidR="00CB2107" w:rsidRPr="009D1C5F">
        <w:t>judges</w:t>
      </w:r>
      <w:r w:rsidR="00EC7F24" w:rsidRPr="004907C3">
        <w:t xml:space="preserve"> did not vary.  It is not just </w:t>
      </w:r>
      <w:r w:rsidR="001D3949">
        <w:t xml:space="preserve">candidate </w:t>
      </w:r>
      <w:r w:rsidR="00EC7F24" w:rsidRPr="004907C3">
        <w:t xml:space="preserve">quality, but </w:t>
      </w:r>
      <w:r w:rsidR="00CB2107" w:rsidRPr="009D1C5F">
        <w:t xml:space="preserve">standards for assessing quality </w:t>
      </w:r>
      <w:r w:rsidR="00117807" w:rsidRPr="004907C3">
        <w:t xml:space="preserve">that </w:t>
      </w:r>
      <w:r w:rsidR="00EC7F24" w:rsidRPr="004907C3">
        <w:t xml:space="preserve">must </w:t>
      </w:r>
      <w:r w:rsidR="0025356A" w:rsidRPr="004907C3">
        <w:t xml:space="preserve">be held constant.  </w:t>
      </w:r>
      <w:r w:rsidR="00CB2107" w:rsidRPr="004907C3">
        <w:t>This is because aud</w:t>
      </w:r>
      <w:r w:rsidR="003A3ED8" w:rsidRPr="004907C3">
        <w:t xml:space="preserve">itions without a </w:t>
      </w:r>
      <w:r w:rsidR="00117807" w:rsidRPr="004907C3">
        <w:t>screen</w:t>
      </w:r>
      <w:r w:rsidR="00EF0DD1" w:rsidRPr="004907C3">
        <w:t xml:space="preserve"> were</w:t>
      </w:r>
      <w:r w:rsidR="00117807" w:rsidRPr="004907C3">
        <w:t xml:space="preserve"> more likely to</w:t>
      </w:r>
      <w:r w:rsidR="003A3ED8" w:rsidRPr="004907C3">
        <w:t xml:space="preserve"> be administered by</w:t>
      </w:r>
      <w:r w:rsidR="00EF0DD1" w:rsidRPr="004907C3">
        <w:t xml:space="preserve"> judges who we</w:t>
      </w:r>
      <w:r w:rsidR="00CB2107" w:rsidRPr="004907C3">
        <w:t xml:space="preserve">re </w:t>
      </w:r>
      <w:r w:rsidR="00CB2107" w:rsidRPr="009D1C5F">
        <w:t>explicitly</w:t>
      </w:r>
      <w:r w:rsidR="00117807" w:rsidRPr="004907C3">
        <w:t xml:space="preserve"> </w:t>
      </w:r>
      <w:r w:rsidR="00AB41D7" w:rsidRPr="004907C3">
        <w:t>prejudiced against women</w:t>
      </w:r>
      <w:r w:rsidR="004D4310">
        <w:t>,</w:t>
      </w:r>
      <w:r w:rsidR="00AB41D7" w:rsidRPr="004907C3">
        <w:t xml:space="preserve"> since</w:t>
      </w:r>
      <w:r w:rsidR="003A3ED8" w:rsidRPr="004907C3">
        <w:t xml:space="preserve"> the</w:t>
      </w:r>
      <w:r w:rsidR="00237917" w:rsidRPr="004907C3">
        <w:t xml:space="preserve">se </w:t>
      </w:r>
      <w:r w:rsidR="00AB41D7" w:rsidRPr="004907C3">
        <w:t xml:space="preserve">took </w:t>
      </w:r>
      <w:r w:rsidR="00070C9F" w:rsidRPr="004907C3">
        <w:t xml:space="preserve">place </w:t>
      </w:r>
      <w:r w:rsidR="003A3ED8" w:rsidRPr="004907C3">
        <w:t>in</w:t>
      </w:r>
      <w:r w:rsidR="00070C9F" w:rsidRPr="004907C3">
        <w:t xml:space="preserve"> </w:t>
      </w:r>
      <w:r w:rsidR="00237917" w:rsidRPr="004907C3">
        <w:t>orchestras most resistant to social change</w:t>
      </w:r>
      <w:r w:rsidR="0025356A" w:rsidRPr="004907C3">
        <w:t xml:space="preserve">.  In any case, since the variable is uncontrolled, the result cannot be trusted.  </w:t>
      </w:r>
    </w:p>
    <w:p w14:paraId="3FB9E4EF" w14:textId="77777777" w:rsidR="00E80C3B" w:rsidRDefault="00117807" w:rsidP="00E80C3B">
      <w:pPr>
        <w:spacing w:line="480" w:lineRule="auto"/>
        <w:ind w:firstLine="720"/>
      </w:pPr>
      <w:r w:rsidRPr="004907C3">
        <w:t>T</w:t>
      </w:r>
      <w:r w:rsidR="0025356A" w:rsidRPr="004907C3">
        <w:t xml:space="preserve">heir </w:t>
      </w:r>
      <w:r w:rsidR="00EC7F24" w:rsidRPr="004907C3">
        <w:t>da</w:t>
      </w:r>
      <w:r w:rsidR="00664F37">
        <w:t xml:space="preserve">ta </w:t>
      </w:r>
      <w:r w:rsidR="00EC7F24" w:rsidRPr="004907C3">
        <w:t>also contains</w:t>
      </w:r>
      <w:r w:rsidR="002A5D73">
        <w:t xml:space="preserve"> the “anomalous result”</w:t>
      </w:r>
      <w:r w:rsidR="002A5D73">
        <w:rPr>
          <w:rStyle w:val="FootnoteReference"/>
        </w:rPr>
        <w:footnoteReference w:id="35"/>
      </w:r>
      <w:r w:rsidR="002A5D73">
        <w:t xml:space="preserve"> </w:t>
      </w:r>
      <w:r w:rsidR="00EC7F24" w:rsidRPr="004907C3">
        <w:t xml:space="preserve">that the screen </w:t>
      </w:r>
      <w:r w:rsidR="00EF0DD1" w:rsidRPr="004907C3">
        <w:t xml:space="preserve">once again </w:t>
      </w:r>
      <w:r w:rsidR="00D6438F" w:rsidRPr="004907C3">
        <w:t>appears to work sharply</w:t>
      </w:r>
      <w:r w:rsidR="00EC7F24" w:rsidRPr="004907C3">
        <w:t xml:space="preserve"> </w:t>
      </w:r>
      <w:r w:rsidR="00EC7F24" w:rsidRPr="00BC6D34">
        <w:t xml:space="preserve">against </w:t>
      </w:r>
      <w:r w:rsidR="00EC7F24" w:rsidRPr="004907C3">
        <w:t>women</w:t>
      </w:r>
      <w:r w:rsidR="00EF0DD1" w:rsidRPr="004907C3">
        <w:t xml:space="preserve"> </w:t>
      </w:r>
      <w:r w:rsidR="000279CE">
        <w:t>in</w:t>
      </w:r>
      <w:r w:rsidR="00EC7F24" w:rsidRPr="004907C3">
        <w:t xml:space="preserve"> </w:t>
      </w:r>
      <w:r w:rsidR="00EC7F24" w:rsidRPr="004907C3">
        <w:rPr>
          <w:i/>
        </w:rPr>
        <w:t>semifinals</w:t>
      </w:r>
      <w:r w:rsidR="00004A63">
        <w:t xml:space="preserve">.  </w:t>
      </w:r>
      <w:r w:rsidR="0025356A" w:rsidRPr="004907C3">
        <w:t>Goldin and Rouse attempt to dismiss this</w:t>
      </w:r>
      <w:r w:rsidR="00660CBA" w:rsidRPr="004907C3">
        <w:t xml:space="preserve"> paradoxical</w:t>
      </w:r>
      <w:r w:rsidR="00623A28" w:rsidRPr="004907C3">
        <w:t xml:space="preserve"> finding </w:t>
      </w:r>
      <w:r w:rsidR="0025356A" w:rsidRPr="004907C3">
        <w:t>as an artifact of the small s</w:t>
      </w:r>
      <w:r w:rsidR="00D6438F" w:rsidRPr="004907C3">
        <w:t xml:space="preserve">ize of the sample for </w:t>
      </w:r>
      <w:r w:rsidR="00EF0DD1" w:rsidRPr="004907C3">
        <w:t>non-blind</w:t>
      </w:r>
      <w:r w:rsidR="00EF0DD1" w:rsidRPr="004907C3">
        <w:rPr>
          <w:i/>
        </w:rPr>
        <w:t xml:space="preserve"> preliminaries </w:t>
      </w:r>
      <w:r w:rsidR="00EF0DD1" w:rsidRPr="004907C3">
        <w:t xml:space="preserve">with </w:t>
      </w:r>
      <w:r w:rsidR="00D6438F" w:rsidRPr="004907C3">
        <w:t>semifinal rounds (</w:t>
      </w:r>
      <w:r w:rsidR="00623A28" w:rsidRPr="004907C3">
        <w:t xml:space="preserve">there were </w:t>
      </w:r>
      <w:r w:rsidR="00D6438F" w:rsidRPr="004907C3">
        <w:t>only three</w:t>
      </w:r>
      <w:r w:rsidR="00660CBA" w:rsidRPr="004907C3">
        <w:t xml:space="preserve"> such preliminaries</w:t>
      </w:r>
      <w:r w:rsidR="00EF0DD1" w:rsidRPr="004907C3">
        <w:t>, comprising 23 distinct auditions</w:t>
      </w:r>
      <w:r w:rsidR="00D6438F" w:rsidRPr="004907C3">
        <w:t xml:space="preserve">).  </w:t>
      </w:r>
      <w:r w:rsidR="00EF0DD1" w:rsidRPr="004907C3">
        <w:t xml:space="preserve">However, the reader should </w:t>
      </w:r>
      <w:r w:rsidR="00453FA8" w:rsidRPr="004907C3">
        <w:t>consider</w:t>
      </w:r>
      <w:r w:rsidR="00EF0DD1" w:rsidRPr="004907C3">
        <w:t xml:space="preserve"> that they </w:t>
      </w:r>
      <w:r w:rsidR="003A3ED8" w:rsidRPr="004907C3">
        <w:t xml:space="preserve">also </w:t>
      </w:r>
      <w:r w:rsidR="00EF0DD1" w:rsidRPr="004907C3">
        <w:t>excluded audition data in which o</w:t>
      </w:r>
      <w:r w:rsidR="00237917" w:rsidRPr="004907C3">
        <w:t>nly men or only women competed</w:t>
      </w:r>
      <w:r w:rsidR="003A3ED8" w:rsidRPr="004907C3">
        <w:t>.  As a result</w:t>
      </w:r>
      <w:r w:rsidR="00237917" w:rsidRPr="004907C3">
        <w:t xml:space="preserve"> </w:t>
      </w:r>
      <w:r w:rsidR="009D3337" w:rsidRPr="004907C3">
        <w:t xml:space="preserve">many </w:t>
      </w:r>
      <w:r w:rsidR="00EF0DD1" w:rsidRPr="004907C3">
        <w:t xml:space="preserve">candidates who were </w:t>
      </w:r>
      <w:r w:rsidR="005D0DB9">
        <w:t>left out of</w:t>
      </w:r>
      <w:r w:rsidR="00623A28" w:rsidRPr="004907C3">
        <w:t xml:space="preserve"> the data set f</w:t>
      </w:r>
      <w:r w:rsidR="009D3337" w:rsidRPr="004907C3">
        <w:t>r</w:t>
      </w:r>
      <w:r w:rsidR="00623A28" w:rsidRPr="004907C3">
        <w:t>om certain</w:t>
      </w:r>
      <w:r w:rsidR="009D3337" w:rsidRPr="004907C3">
        <w:t xml:space="preserve"> </w:t>
      </w:r>
      <w:r w:rsidR="00EF0DD1" w:rsidRPr="004907C3">
        <w:t xml:space="preserve">preliminaries </w:t>
      </w:r>
      <w:r w:rsidR="00EF0DD1" w:rsidRPr="00FC4622">
        <w:rPr>
          <w:i/>
        </w:rPr>
        <w:t>reappeared</w:t>
      </w:r>
      <w:r w:rsidR="003A3ED8" w:rsidRPr="004907C3">
        <w:t xml:space="preserve"> when</w:t>
      </w:r>
      <w:r w:rsidR="00BB349E" w:rsidRPr="004907C3">
        <w:t xml:space="preserve"> they competed later in a</w:t>
      </w:r>
      <w:r w:rsidR="009D3337" w:rsidRPr="004907C3">
        <w:t xml:space="preserve"> mixed-sex s</w:t>
      </w:r>
      <w:r w:rsidR="00623A28" w:rsidRPr="004907C3">
        <w:t>emi</w:t>
      </w:r>
      <w:r w:rsidR="009D3337" w:rsidRPr="004907C3">
        <w:t>final round</w:t>
      </w:r>
      <w:r w:rsidR="00EF0DD1" w:rsidRPr="004907C3">
        <w:t xml:space="preserve">; </w:t>
      </w:r>
      <w:r w:rsidR="00623A28" w:rsidRPr="004907C3">
        <w:t>this</w:t>
      </w:r>
      <w:r w:rsidR="00EF0DD1" w:rsidRPr="004907C3">
        <w:t xml:space="preserve"> </w:t>
      </w:r>
      <w:r w:rsidR="00660CBA" w:rsidRPr="004907C3">
        <w:t xml:space="preserve">presumably </w:t>
      </w:r>
      <w:r w:rsidR="00623A28" w:rsidRPr="004907C3">
        <w:t>explains why there were over 200 separate audition</w:t>
      </w:r>
      <w:r w:rsidR="005D0DB9">
        <w:t>s</w:t>
      </w:r>
      <w:r w:rsidR="00453FA8" w:rsidRPr="004907C3">
        <w:t xml:space="preserve"> in the crucial </w:t>
      </w:r>
      <w:r w:rsidR="00623A28" w:rsidRPr="004907C3">
        <w:t>semi</w:t>
      </w:r>
      <w:r w:rsidR="00453FA8" w:rsidRPr="004907C3">
        <w:t>final rounds</w:t>
      </w:r>
      <w:r w:rsidR="00EF0DD1" w:rsidRPr="004907C3">
        <w:t xml:space="preserve"> (comprising 89 b</w:t>
      </w:r>
      <w:r w:rsidR="00583D6B" w:rsidRPr="004907C3">
        <w:t>lind and 25 non-blind audiences)</w:t>
      </w:r>
      <w:r w:rsidR="00623A28" w:rsidRPr="004907C3">
        <w:t xml:space="preserve"> where the</w:t>
      </w:r>
      <w:r w:rsidR="00660CBA" w:rsidRPr="004907C3">
        <w:t xml:space="preserve"> anomaly</w:t>
      </w:r>
      <w:r w:rsidR="00070C9F" w:rsidRPr="004907C3">
        <w:t xml:space="preserve"> actually</w:t>
      </w:r>
      <w:r w:rsidR="00660CBA" w:rsidRPr="004907C3">
        <w:t xml:space="preserve"> </w:t>
      </w:r>
      <w:r w:rsidR="00FC4622">
        <w:t>occurs</w:t>
      </w:r>
      <w:r w:rsidR="00583D6B" w:rsidRPr="004907C3">
        <w:t xml:space="preserve">. </w:t>
      </w:r>
      <w:r w:rsidR="00660CBA" w:rsidRPr="004907C3">
        <w:t xml:space="preserve"> It is</w:t>
      </w:r>
      <w:r w:rsidR="00070C9F" w:rsidRPr="004907C3">
        <w:t>, in other words,</w:t>
      </w:r>
      <w:r w:rsidR="00660CBA" w:rsidRPr="004907C3">
        <w:t xml:space="preserve"> </w:t>
      </w:r>
      <w:r w:rsidR="00583D6B" w:rsidRPr="004907C3">
        <w:t xml:space="preserve">not so easily dismissed. </w:t>
      </w:r>
    </w:p>
    <w:p w14:paraId="5990705A" w14:textId="7789A9AB" w:rsidR="00E778AD" w:rsidRPr="004907C3" w:rsidRDefault="00D81483" w:rsidP="00C61C82">
      <w:pPr>
        <w:spacing w:line="480" w:lineRule="auto"/>
        <w:ind w:firstLine="720"/>
      </w:pPr>
      <w:r w:rsidRPr="004907C3">
        <w:t xml:space="preserve">Despite these difficulties, </w:t>
      </w:r>
      <w:r w:rsidR="00583D6B" w:rsidRPr="004907C3">
        <w:t xml:space="preserve">Goldin and Rouse ultimately </w:t>
      </w:r>
      <w:r w:rsidR="00660CBA" w:rsidRPr="004907C3">
        <w:t xml:space="preserve">conclude </w:t>
      </w:r>
      <w:r w:rsidR="00583D6B" w:rsidRPr="004907C3">
        <w:t xml:space="preserve">that </w:t>
      </w:r>
      <w:r w:rsidR="00A96EB9" w:rsidRPr="004907C3">
        <w:t>women improved their chan</w:t>
      </w:r>
      <w:r w:rsidR="00664F37">
        <w:t>ces while</w:t>
      </w:r>
      <w:r w:rsidR="00A96EB9" w:rsidRPr="004907C3">
        <w:t xml:space="preserve"> </w:t>
      </w:r>
      <w:r w:rsidR="00996E13">
        <w:t>playing behind a screen</w:t>
      </w:r>
      <w:r w:rsidRPr="004907C3">
        <w:t>.</w:t>
      </w:r>
      <w:r w:rsidR="00996E13">
        <w:rPr>
          <w:rStyle w:val="FootnoteReference"/>
        </w:rPr>
        <w:footnoteReference w:id="36"/>
      </w:r>
      <w:r w:rsidR="00E80C3B">
        <w:t xml:space="preserve">  </w:t>
      </w:r>
      <w:r w:rsidR="00660CBA" w:rsidRPr="004907C3">
        <w:t>What are we to make of this</w:t>
      </w:r>
      <w:r w:rsidR="000279CE">
        <w:t xml:space="preserve"> claim</w:t>
      </w:r>
      <w:r w:rsidR="00660CBA" w:rsidRPr="004907C3">
        <w:t xml:space="preserve">?  </w:t>
      </w:r>
      <w:r w:rsidR="00E778AD" w:rsidRPr="004907C3">
        <w:t>Certainly, it flatters</w:t>
      </w:r>
      <w:r w:rsidR="009D1A8B" w:rsidRPr="004907C3">
        <w:t xml:space="preserve"> commonsense that b</w:t>
      </w:r>
      <w:r w:rsidR="00E778AD" w:rsidRPr="004907C3">
        <w:t xml:space="preserve">lind auditioning would remove </w:t>
      </w:r>
      <w:r w:rsidR="009D1A8B" w:rsidRPr="004907C3">
        <w:t>pos</w:t>
      </w:r>
      <w:r w:rsidR="00810C96">
        <w:t>sible sources of bias, and</w:t>
      </w:r>
      <w:r w:rsidR="009D1A8B" w:rsidRPr="004907C3">
        <w:t xml:space="preserve"> the</w:t>
      </w:r>
      <w:r w:rsidR="00AE41F0" w:rsidRPr="004907C3">
        <w:t xml:space="preserve"> </w:t>
      </w:r>
      <w:r w:rsidR="00E778AD" w:rsidRPr="004907C3">
        <w:t xml:space="preserve">required </w:t>
      </w:r>
      <w:r w:rsidR="00AE41F0" w:rsidRPr="004907C3">
        <w:t>effo</w:t>
      </w:r>
      <w:r w:rsidR="00810C96">
        <w:t>rt is</w:t>
      </w:r>
      <w:r w:rsidR="00105EE0">
        <w:t xml:space="preserve"> meager</w:t>
      </w:r>
      <w:r w:rsidR="00810C96">
        <w:t xml:space="preserve">.  </w:t>
      </w:r>
      <w:r w:rsidR="00CC4B62" w:rsidRPr="004907C3">
        <w:t xml:space="preserve">This is </w:t>
      </w:r>
      <w:r w:rsidR="009D3337" w:rsidRPr="004907C3">
        <w:t xml:space="preserve">all </w:t>
      </w:r>
      <w:r w:rsidR="00890983" w:rsidRPr="004907C3">
        <w:t xml:space="preserve">well and good.  </w:t>
      </w:r>
      <w:r w:rsidR="00CC4B62" w:rsidRPr="004907C3">
        <w:t xml:space="preserve">Nevertheless, </w:t>
      </w:r>
      <w:r w:rsidR="000A497E">
        <w:t>we ought to be</w:t>
      </w:r>
      <w:r w:rsidR="00CC4B62" w:rsidRPr="004907C3">
        <w:t xml:space="preserve"> circumspect</w:t>
      </w:r>
      <w:r w:rsidR="00AB41D7" w:rsidRPr="004907C3">
        <w:t xml:space="preserve"> i</w:t>
      </w:r>
      <w:r w:rsidR="00105EE0">
        <w:t>n the absence of</w:t>
      </w:r>
      <w:r w:rsidR="00CC4B62" w:rsidRPr="004907C3">
        <w:t xml:space="preserve"> rigorous</w:t>
      </w:r>
      <w:r w:rsidR="00105EE0">
        <w:t xml:space="preserve"> and replicated</w:t>
      </w:r>
      <w:r w:rsidR="00E80C3B">
        <w:t xml:space="preserve"> hypothesis testing.  </w:t>
      </w:r>
      <w:r w:rsidR="00E80C3B" w:rsidRPr="004907C3">
        <w:t xml:space="preserve">All in all, there is a great deal of variation and the evidence is hard to square with any great confidence that a woman’s chances of being hired </w:t>
      </w:r>
      <w:r w:rsidR="008D66E3">
        <w:t xml:space="preserve">modestly </w:t>
      </w:r>
      <w:r w:rsidR="00FB05B1">
        <w:t xml:space="preserve">improved </w:t>
      </w:r>
      <w:r w:rsidR="00E80C3B" w:rsidRPr="004907C3">
        <w:t xml:space="preserve">from about 23.5% to 30%. </w:t>
      </w:r>
      <w:r w:rsidR="00E80C3B">
        <w:t xml:space="preserve"> </w:t>
      </w:r>
      <w:r w:rsidR="00E80C3B" w:rsidRPr="004907C3">
        <w:t>To their credit, Goldin and Rouse</w:t>
      </w:r>
      <w:r w:rsidR="00E80C3B">
        <w:t xml:space="preserve"> </w:t>
      </w:r>
      <w:r w:rsidR="0000639D" w:rsidRPr="004907C3">
        <w:t>acknowledge that some of the</w:t>
      </w:r>
      <w:r w:rsidR="0000639D">
        <w:t>ir</w:t>
      </w:r>
      <w:r w:rsidR="0000639D" w:rsidRPr="004907C3">
        <w:t xml:space="preserve"> data “do not pass standard tests of s</w:t>
      </w:r>
      <w:r w:rsidR="0000639D">
        <w:t>tatistical significance”</w:t>
      </w:r>
      <w:r w:rsidR="0000639D">
        <w:rPr>
          <w:rStyle w:val="FootnoteReference"/>
        </w:rPr>
        <w:footnoteReference w:id="37"/>
      </w:r>
      <w:r w:rsidR="0000639D">
        <w:t xml:space="preserve"> conceding</w:t>
      </w:r>
      <w:r w:rsidR="0000639D" w:rsidRPr="004907C3">
        <w:t xml:space="preserve"> </w:t>
      </w:r>
      <w:r w:rsidR="00E80C3B" w:rsidRPr="004907C3">
        <w:t>t</w:t>
      </w:r>
      <w:r w:rsidR="00FB05B1">
        <w:t>he effect</w:t>
      </w:r>
      <w:r w:rsidR="00E80C3B" w:rsidRPr="004907C3">
        <w:t xml:space="preserve"> is literally “nil” when semifinals are included.</w:t>
      </w:r>
      <w:r w:rsidR="00E80C3B">
        <w:rPr>
          <w:rStyle w:val="FootnoteReference"/>
        </w:rPr>
        <w:footnoteReference w:id="38"/>
      </w:r>
      <w:r w:rsidR="00C61C82">
        <w:t xml:space="preserve">  </w:t>
      </w:r>
      <w:r w:rsidR="00EA38A6">
        <w:tab/>
        <w:t>In short,</w:t>
      </w:r>
      <w:r w:rsidR="008973D7">
        <w:t xml:space="preserve"> we have a hiring audit that is </w:t>
      </w:r>
      <w:r w:rsidR="00EA38A6">
        <w:t xml:space="preserve">compatible with a hypothesis about implicit bias, but did not examine cognitive mechanisms, and </w:t>
      </w:r>
      <w:r w:rsidR="008973D7">
        <w:t xml:space="preserve">provides </w:t>
      </w:r>
      <w:r w:rsidR="00EA38A6">
        <w:t>ambiguous correlative evidence</w:t>
      </w:r>
      <w:r w:rsidR="008973D7">
        <w:t xml:space="preserve"> (but even then only if semifinals are excluded)</w:t>
      </w:r>
      <w:r w:rsidR="00EA38A6">
        <w:t xml:space="preserve">.  </w:t>
      </w:r>
      <w:r w:rsidR="00CD57A1">
        <w:t xml:space="preserve">Certainly </w:t>
      </w:r>
      <w:r w:rsidR="00CF4DF5">
        <w:t>ther</w:t>
      </w:r>
      <w:r w:rsidR="007A1E0A">
        <w:t xml:space="preserve">e </w:t>
      </w:r>
      <w:r w:rsidR="00800309" w:rsidRPr="004907C3">
        <w:t>are</w:t>
      </w:r>
      <w:r w:rsidR="00FC4622">
        <w:t xml:space="preserve"> grounds for further study—for instance, </w:t>
      </w:r>
      <w:r w:rsidR="00FC4622" w:rsidRPr="009D1C5F">
        <w:t>do members of hiring committees implicitly associate female musicians with lesser musical ability?</w:t>
      </w:r>
      <w:r w:rsidR="00FC4622">
        <w:t xml:space="preserve">  </w:t>
      </w:r>
      <w:r w:rsidR="00C61C82">
        <w:t>Perhaps someone will l</w:t>
      </w:r>
      <w:r w:rsidR="000A497E">
        <w:t xml:space="preserve">ook into this, </w:t>
      </w:r>
      <w:r w:rsidR="008D66E3">
        <w:t xml:space="preserve">someday, </w:t>
      </w:r>
      <w:r w:rsidR="000A497E">
        <w:t xml:space="preserve">though </w:t>
      </w:r>
      <w:r w:rsidR="00C61C82" w:rsidRPr="004907C3">
        <w:t xml:space="preserve">at least one </w:t>
      </w:r>
      <w:r w:rsidR="00664F37">
        <w:t xml:space="preserve">experimental </w:t>
      </w:r>
      <w:r w:rsidR="00C61C82" w:rsidRPr="004907C3">
        <w:t xml:space="preserve">study suggests awareness </w:t>
      </w:r>
      <w:r w:rsidR="0073580B">
        <w:t>of gender makes no difference to</w:t>
      </w:r>
      <w:r w:rsidR="000279CE">
        <w:t xml:space="preserve"> </w:t>
      </w:r>
      <w:r w:rsidR="00C61C82" w:rsidRPr="004907C3">
        <w:t>assessment</w:t>
      </w:r>
      <w:r w:rsidR="000279CE">
        <w:t>s</w:t>
      </w:r>
      <w:r w:rsidR="00C61C82" w:rsidRPr="004907C3">
        <w:t xml:space="preserve"> of</w:t>
      </w:r>
      <w:r w:rsidR="00C61C82">
        <w:t xml:space="preserve"> musical performance</w:t>
      </w:r>
      <w:r w:rsidR="00C61C82" w:rsidRPr="004907C3">
        <w:t>.</w:t>
      </w:r>
      <w:r w:rsidR="00C61C82">
        <w:rPr>
          <w:rStyle w:val="FootnoteReference"/>
        </w:rPr>
        <w:footnoteReference w:id="39"/>
      </w:r>
      <w:r w:rsidR="00C61C82">
        <w:t xml:space="preserve">  </w:t>
      </w:r>
      <w:r w:rsidR="00EA38A6">
        <w:t>Clearly</w:t>
      </w:r>
      <w:r w:rsidR="00FF5E33" w:rsidRPr="004907C3">
        <w:t xml:space="preserve"> </w:t>
      </w:r>
      <w:r w:rsidR="00EA38A6">
        <w:t>we ought to</w:t>
      </w:r>
      <w:r w:rsidR="00CC4B62" w:rsidRPr="004907C3">
        <w:t xml:space="preserve"> reserve judgment</w:t>
      </w:r>
      <w:r w:rsidR="00EA38A6">
        <w:t xml:space="preserve"> about this study's support for claims about the</w:t>
      </w:r>
      <w:r w:rsidR="00660CBA" w:rsidRPr="004907C3">
        <w:t xml:space="preserve"> efficacy of blind auditions</w:t>
      </w:r>
      <w:r w:rsidR="002C2FEC">
        <w:t xml:space="preserve">.  </w:t>
      </w:r>
      <w:r w:rsidR="00546730" w:rsidRPr="004907C3">
        <w:t>T</w:t>
      </w:r>
      <w:r w:rsidR="00660CBA" w:rsidRPr="004907C3">
        <w:t xml:space="preserve">his skepticism ought to be magnified </w:t>
      </w:r>
      <w:r w:rsidR="00546730" w:rsidRPr="004907C3">
        <w:t xml:space="preserve">when it comes to applying this very tentative and conjectural </w:t>
      </w:r>
      <w:r w:rsidR="00D83F7E" w:rsidRPr="004907C3">
        <w:t>research</w:t>
      </w:r>
      <w:r w:rsidR="00546730" w:rsidRPr="004907C3">
        <w:t xml:space="preserve"> out of context</w:t>
      </w:r>
      <w:r w:rsidR="002C2FEC">
        <w:t xml:space="preserve"> to publ</w:t>
      </w:r>
      <w:r w:rsidR="00EA38A6">
        <w:t>ishing and hiring in philosophy</w:t>
      </w:r>
      <w:r w:rsidR="002C2FEC">
        <w:t xml:space="preserve"> where</w:t>
      </w:r>
      <w:r w:rsidR="00EA38A6">
        <w:t>, nonetheless,</w:t>
      </w:r>
      <w:r w:rsidR="00E80C3B">
        <w:t xml:space="preserve"> </w:t>
      </w:r>
      <w:r w:rsidR="002C2FEC">
        <w:t xml:space="preserve">one routinely hears calls for double, or even triple </w:t>
      </w:r>
      <w:r w:rsidR="00E80C3B">
        <w:t>blind reviewing</w:t>
      </w:r>
      <w:r w:rsidR="002C2FEC">
        <w:t>,</w:t>
      </w:r>
      <w:r w:rsidR="00E80C3B">
        <w:t xml:space="preserve"> </w:t>
      </w:r>
      <w:r w:rsidR="002C2FEC">
        <w:t>and sometimes outright quotas</w:t>
      </w:r>
      <w:r w:rsidR="000A1347">
        <w:t xml:space="preserve"> are mooted</w:t>
      </w:r>
      <w:r w:rsidR="00CC4B62" w:rsidRPr="004907C3">
        <w:t>.</w:t>
      </w:r>
      <w:r w:rsidR="00A84747">
        <w:rPr>
          <w:rStyle w:val="FootnoteReference"/>
        </w:rPr>
        <w:footnoteReference w:id="40"/>
      </w:r>
    </w:p>
    <w:p w14:paraId="15330A22" w14:textId="12675D23" w:rsidR="00C80ED9" w:rsidRDefault="00E96C4B" w:rsidP="00121354">
      <w:pPr>
        <w:spacing w:line="480" w:lineRule="auto"/>
        <w:ind w:firstLine="720"/>
      </w:pPr>
      <w:r w:rsidRPr="004907C3">
        <w:t>Next,</w:t>
      </w:r>
      <w:r w:rsidR="00546730" w:rsidRPr="004907C3">
        <w:t xml:space="preserve"> </w:t>
      </w:r>
      <w:r w:rsidR="00E0682D" w:rsidRPr="004907C3">
        <w:t>h</w:t>
      </w:r>
      <w:r w:rsidR="006F1BC0" w:rsidRPr="004907C3">
        <w:t>ow have philosophers</w:t>
      </w:r>
      <w:r w:rsidR="008B4066" w:rsidRPr="004907C3">
        <w:t xml:space="preserve"> </w:t>
      </w:r>
      <w:r w:rsidR="006F1BC0" w:rsidRPr="004907C3">
        <w:t>and others respond</w:t>
      </w:r>
      <w:r w:rsidR="00E42AAC" w:rsidRPr="004907C3">
        <w:t>ed to the audition study</w:t>
      </w:r>
      <w:r w:rsidR="0073580B">
        <w:t>?  Besides Saul’s contention that screens “worked beautifully” t</w:t>
      </w:r>
      <w:r w:rsidR="00247D85">
        <w:t xml:space="preserve">he </w:t>
      </w:r>
      <w:r w:rsidR="00E71166" w:rsidRPr="004907C3">
        <w:t xml:space="preserve">Rutgers </w:t>
      </w:r>
      <w:r w:rsidR="006F1BC0" w:rsidRPr="004907C3">
        <w:t>website</w:t>
      </w:r>
      <w:r w:rsidR="00635F2C">
        <w:t xml:space="preserve"> </w:t>
      </w:r>
      <w:r w:rsidR="00C61C82">
        <w:t>s</w:t>
      </w:r>
      <w:r w:rsidR="0073580B">
        <w:t xml:space="preserve">uggests </w:t>
      </w:r>
      <w:r w:rsidR="00E71166" w:rsidRPr="004907C3">
        <w:t>impl</w:t>
      </w:r>
      <w:r w:rsidR="006F1BC0" w:rsidRPr="004907C3">
        <w:t xml:space="preserve">icit bias </w:t>
      </w:r>
      <w:r w:rsidR="0073580B">
        <w:t xml:space="preserve">works </w:t>
      </w:r>
      <w:r w:rsidR="006F1BC0" w:rsidRPr="004907C3">
        <w:t>against female musicia</w:t>
      </w:r>
      <w:r w:rsidR="00E71166" w:rsidRPr="004907C3">
        <w:t>ns</w:t>
      </w:r>
      <w:r w:rsidR="00C61C82">
        <w:t xml:space="preserve"> </w:t>
      </w:r>
      <w:r w:rsidR="00E80C3B">
        <w:t>and</w:t>
      </w:r>
      <w:r w:rsidR="00C61C82">
        <w:t xml:space="preserve"> </w:t>
      </w:r>
      <w:r w:rsidR="00E80C3B">
        <w:t>t</w:t>
      </w:r>
      <w:r w:rsidR="00C61C82">
        <w:t>his has some sinister</w:t>
      </w:r>
      <w:r w:rsidR="00890983" w:rsidRPr="004907C3">
        <w:t xml:space="preserve"> relevance</w:t>
      </w:r>
      <w:r w:rsidR="00546730" w:rsidRPr="004907C3">
        <w:t xml:space="preserve"> </w:t>
      </w:r>
      <w:r w:rsidR="00890983" w:rsidRPr="004907C3">
        <w:t xml:space="preserve">to </w:t>
      </w:r>
      <w:r w:rsidR="00546730" w:rsidRPr="004907C3">
        <w:t>philosophy</w:t>
      </w:r>
      <w:r w:rsidR="00C61C82">
        <w:t xml:space="preserve">. </w:t>
      </w:r>
      <w:r w:rsidR="0073580B">
        <w:t xml:space="preserve"> </w:t>
      </w:r>
      <w:r w:rsidR="006079DF" w:rsidRPr="004907C3">
        <w:t>Un</w:t>
      </w:r>
      <w:r w:rsidR="00070C9F" w:rsidRPr="004907C3">
        <w:t>iversity press offices,</w:t>
      </w:r>
      <w:r w:rsidR="006079DF" w:rsidRPr="004907C3">
        <w:t xml:space="preserve"> news services</w:t>
      </w:r>
      <w:r w:rsidR="00070C9F" w:rsidRPr="004907C3">
        <w:t>, and hucksters</w:t>
      </w:r>
      <w:r w:rsidR="009930A7">
        <w:rPr>
          <w:rStyle w:val="FootnoteReference"/>
        </w:rPr>
        <w:footnoteReference w:id="41"/>
      </w:r>
      <w:r w:rsidR="006079DF" w:rsidRPr="004907C3">
        <w:t xml:space="preserve"> can take some of the blame for uncritically promoti</w:t>
      </w:r>
      <w:r w:rsidR="0071372A" w:rsidRPr="004907C3">
        <w:t xml:space="preserve">ng the </w:t>
      </w:r>
      <w:r w:rsidR="008C6E57">
        <w:t>idea</w:t>
      </w:r>
      <w:r w:rsidR="007422CC">
        <w:t xml:space="preserve"> </w:t>
      </w:r>
      <w:r w:rsidR="00AE71B3" w:rsidRPr="004907C3">
        <w:t>that blind auditions “boost the chances</w:t>
      </w:r>
      <w:r w:rsidR="00AF33BB" w:rsidRPr="004907C3">
        <w:t>.</w:t>
      </w:r>
      <w:r w:rsidR="00AE71B3" w:rsidRPr="004907C3">
        <w:t>”</w:t>
      </w:r>
      <w:r w:rsidR="006079DF" w:rsidRPr="004907C3">
        <w:rPr>
          <w:rStyle w:val="FootnoteReference"/>
        </w:rPr>
        <w:footnoteReference w:id="42"/>
      </w:r>
      <w:r w:rsidR="00EF1EC2">
        <w:t xml:space="preserve">  Some fail to get</w:t>
      </w:r>
      <w:r w:rsidR="00EF1EC2" w:rsidRPr="004907C3">
        <w:t xml:space="preserve"> elementary points c</w:t>
      </w:r>
      <w:r w:rsidR="00EF1EC2">
        <w:t>orrect, such as Haslanger</w:t>
      </w:r>
      <w:r w:rsidR="00EF1EC2" w:rsidRPr="004907C3">
        <w:t xml:space="preserve"> who</w:t>
      </w:r>
      <w:r w:rsidR="00EF1EC2">
        <w:t xml:space="preserve"> confuse</w:t>
      </w:r>
      <w:r w:rsidR="002E1E68">
        <w:t>s</w:t>
      </w:r>
      <w:r w:rsidR="00EF1EC2" w:rsidRPr="004907C3">
        <w:t xml:space="preserve"> Goldin and Rouse’s investigation for</w:t>
      </w:r>
      <w:r w:rsidR="00EF1EC2">
        <w:t xml:space="preserve"> experiments that</w:t>
      </w:r>
      <w:r w:rsidR="00EF1EC2" w:rsidRPr="004907C3">
        <w:t xml:space="preserve"> </w:t>
      </w:r>
      <w:r w:rsidR="00C74D58">
        <w:t xml:space="preserve">swapped names on “identical </w:t>
      </w:r>
      <w:r w:rsidR="00EF1EC2" w:rsidRPr="004907C3">
        <w:t>term papers</w:t>
      </w:r>
      <w:r w:rsidR="00C74D58">
        <w:t>, CVs and the like</w:t>
      </w:r>
      <w:r w:rsidR="00D83F7E" w:rsidRPr="004907C3">
        <w:t>.</w:t>
      </w:r>
      <w:r w:rsidR="00C74D58">
        <w:t>”</w:t>
      </w:r>
      <w:r w:rsidR="00105EE0">
        <w:rPr>
          <w:rStyle w:val="FootnoteReference"/>
        </w:rPr>
        <w:footnoteReference w:id="43"/>
      </w:r>
      <w:r w:rsidR="009930A7">
        <w:t xml:space="preserve">  I</w:t>
      </w:r>
      <w:r w:rsidR="00414E44">
        <w:t xml:space="preserve"> </w:t>
      </w:r>
      <w:r w:rsidR="007422CC">
        <w:t xml:space="preserve">mention Saul and Haslanger </w:t>
      </w:r>
      <w:r w:rsidR="00414E44">
        <w:t xml:space="preserve">specifically </w:t>
      </w:r>
      <w:r w:rsidR="003A390C" w:rsidRPr="004907C3">
        <w:t xml:space="preserve">because </w:t>
      </w:r>
      <w:r w:rsidR="00FB05B1">
        <w:t xml:space="preserve">their </w:t>
      </w:r>
      <w:r w:rsidR="00E14B22">
        <w:t>articles</w:t>
      </w:r>
      <w:r w:rsidR="003A390C" w:rsidRPr="004907C3">
        <w:t xml:space="preserve"> are credited with having “brought the matter of implicit bias to the attention</w:t>
      </w:r>
      <w:r w:rsidR="00105EE0">
        <w:t xml:space="preserve"> of the philosophical community</w:t>
      </w:r>
      <w:r w:rsidR="00243FAA">
        <w:t>.</w:t>
      </w:r>
      <w:r w:rsidR="00105EE0">
        <w:t>”</w:t>
      </w:r>
      <w:r w:rsidR="00105EE0">
        <w:rPr>
          <w:rStyle w:val="FootnoteReference"/>
        </w:rPr>
        <w:footnoteReference w:id="44"/>
      </w:r>
      <w:r w:rsidR="002B5BB5">
        <w:t xml:space="preserve">  </w:t>
      </w:r>
    </w:p>
    <w:p w14:paraId="6218813B" w14:textId="77777777" w:rsidR="00C80ED9" w:rsidRDefault="00C80ED9" w:rsidP="00C80ED9">
      <w:pPr>
        <w:spacing w:line="480" w:lineRule="auto"/>
      </w:pPr>
      <w:r>
        <w:t xml:space="preserve">5. PHILOSOPHERS </w:t>
      </w:r>
      <w:r w:rsidR="00C97752">
        <w:t>ON</w:t>
      </w:r>
      <w:r>
        <w:t xml:space="preserve"> BIAS IN HIRING</w:t>
      </w:r>
    </w:p>
    <w:p w14:paraId="6122AE31" w14:textId="2D7EAD27" w:rsidR="00C80ED9" w:rsidRPr="00C80D5D" w:rsidRDefault="001F3E04" w:rsidP="00C80ED9">
      <w:pPr>
        <w:spacing w:line="480" w:lineRule="auto"/>
      </w:pPr>
      <w:r>
        <w:t xml:space="preserve">Granted, little can be inferred </w:t>
      </w:r>
      <w:r w:rsidR="002B49A3">
        <w:t>from the blind-audition study, so l</w:t>
      </w:r>
      <w:r>
        <w:t xml:space="preserve">et us next consider what other data </w:t>
      </w:r>
      <w:r w:rsidR="00C80ED9">
        <w:t xml:space="preserve">philosophers </w:t>
      </w:r>
      <w:r w:rsidR="002B49A3">
        <w:t xml:space="preserve">have relied upon.  Several </w:t>
      </w:r>
      <w:r w:rsidR="00C80ED9">
        <w:t xml:space="preserve">think </w:t>
      </w:r>
      <w:r w:rsidR="00C80ED9" w:rsidRPr="009A4C8E">
        <w:t xml:space="preserve">implicit bias is real, in the sense of having measurable effects on real-world outcomes, </w:t>
      </w:r>
      <w:r w:rsidR="002B49A3">
        <w:t xml:space="preserve">including </w:t>
      </w:r>
      <w:r w:rsidR="00C80ED9" w:rsidRPr="009A4C8E">
        <w:t>that “</w:t>
      </w:r>
      <w:r w:rsidR="00C80ED9" w:rsidRPr="009A4C8E">
        <w:rPr>
          <w:szCs w:val="32"/>
        </w:rPr>
        <w:t>many pernicious and ubiquitous forms of prejudice are perpetuated because of</w:t>
      </w:r>
      <w:r w:rsidR="002E1E68">
        <w:rPr>
          <w:szCs w:val="32"/>
        </w:rPr>
        <w:t xml:space="preserve"> people’s implicit biases.”</w:t>
      </w:r>
      <w:r w:rsidR="00C80ED9" w:rsidRPr="009A4C8E">
        <w:rPr>
          <w:rStyle w:val="FootnoteReference"/>
          <w:szCs w:val="32"/>
        </w:rPr>
        <w:footnoteReference w:id="45"/>
      </w:r>
      <w:r w:rsidR="008D66E3">
        <w:rPr>
          <w:szCs w:val="32"/>
        </w:rPr>
        <w:t xml:space="preserve">  </w:t>
      </w:r>
      <w:r w:rsidR="00207F11">
        <w:rPr>
          <w:szCs w:val="32"/>
        </w:rPr>
        <w:t>Next, special attention will</w:t>
      </w:r>
      <w:r w:rsidR="00C80ED9">
        <w:rPr>
          <w:szCs w:val="32"/>
        </w:rPr>
        <w:t xml:space="preserve"> be given to what philosophers have said about cv biases and, especially, tenure-track hiring in academia and philosophy</w:t>
      </w:r>
      <w:r w:rsidR="00C80ED9" w:rsidRPr="009A4C8E">
        <w:rPr>
          <w:szCs w:val="32"/>
        </w:rPr>
        <w:t>.</w:t>
      </w:r>
    </w:p>
    <w:p w14:paraId="0A816E03" w14:textId="77777777" w:rsidR="00C80ED9" w:rsidRDefault="00C80ED9" w:rsidP="00C80ED9">
      <w:pPr>
        <w:spacing w:line="480" w:lineRule="auto"/>
        <w:ind w:firstLine="720"/>
      </w:pPr>
      <w:r>
        <w:t>On this score, first consider this general claim from Saul:</w:t>
      </w:r>
    </w:p>
    <w:p w14:paraId="22662542" w14:textId="77777777" w:rsidR="006A1C74" w:rsidRDefault="006A1C74" w:rsidP="006A1C74">
      <w:pPr>
        <w:ind w:left="720"/>
      </w:pPr>
      <w:r>
        <w:t>These are unconscious, automatic tendencies to associate certain traits with members of particular social groups, in ways that lead to some very disturbing errors: we tend to judge members of stigmatized groups more negatively, in a whole host of ways.</w:t>
      </w:r>
      <w:r>
        <w:rPr>
          <w:rStyle w:val="FootnoteReference"/>
        </w:rPr>
        <w:footnoteReference w:id="46"/>
      </w:r>
    </w:p>
    <w:p w14:paraId="43B02959" w14:textId="77777777" w:rsidR="006A1C74" w:rsidRDefault="006A1C74" w:rsidP="006A1C74"/>
    <w:p w14:paraId="582F030A" w14:textId="127EB430" w:rsidR="006A1C74" w:rsidRDefault="006A1C74" w:rsidP="006A1C74">
      <w:pPr>
        <w:spacing w:line="480" w:lineRule="auto"/>
      </w:pPr>
      <w:r>
        <w:t>She then offers the example of cv bias, where</w:t>
      </w:r>
      <w:r w:rsidRPr="009A4C8E">
        <w:t xml:space="preserve"> “The right name makes the reader rate one as more likely to be interviewed, more likely to be hired…and a better prospect for men</w:t>
      </w:r>
      <w:r>
        <w:t>toring.”</w:t>
      </w:r>
      <w:r>
        <w:rPr>
          <w:rStyle w:val="FootnoteReference"/>
        </w:rPr>
        <w:footnoteReference w:id="47"/>
      </w:r>
      <w:r>
        <w:t xml:space="preserve">  It is “almost certain” this “unfairness” also occurs “within philosophy” and so</w:t>
      </w:r>
      <w:r w:rsidRPr="009A4C8E">
        <w:t xml:space="preserve"> “there are almost certain</w:t>
      </w:r>
      <w:r>
        <w:t xml:space="preserve"> to be some excellent students receiving lower marks and less encouragement than they should; some excellent philosophers not getting the jobs they should get,”</w:t>
      </w:r>
      <w:r>
        <w:rPr>
          <w:rStyle w:val="FootnoteReference"/>
        </w:rPr>
        <w:footnoteReference w:id="48"/>
      </w:r>
      <w:r>
        <w:t xml:space="preserve"> and “Philosophy as a field is the worse for this.”</w:t>
      </w:r>
      <w:r>
        <w:rPr>
          <w:rStyle w:val="FootnoteReference"/>
        </w:rPr>
        <w:footnoteReference w:id="49"/>
      </w:r>
      <w:r w:rsidR="00554167">
        <w:t xml:space="preserve">  </w:t>
      </w:r>
      <w:r>
        <w:t>For support she offers a h</w:t>
      </w:r>
      <w:r w:rsidR="00EA38A6">
        <w:t xml:space="preserve">andful of name-swapping studies, most notably </w:t>
      </w:r>
      <w:r>
        <w:t xml:space="preserve">by Moss-Racusin </w:t>
      </w:r>
      <w:r w:rsidRPr="0092657E">
        <w:rPr>
          <w:i/>
        </w:rPr>
        <w:t>et al</w:t>
      </w:r>
      <w:r>
        <w:t xml:space="preserve">. and Steinpreis </w:t>
      </w:r>
      <w:r w:rsidRPr="0092657E">
        <w:rPr>
          <w:i/>
        </w:rPr>
        <w:t>et al</w:t>
      </w:r>
      <w:r>
        <w:t>.</w:t>
      </w:r>
      <w:r>
        <w:rPr>
          <w:rStyle w:val="FootnoteReference"/>
        </w:rPr>
        <w:footnoteReference w:id="50"/>
      </w:r>
      <w:r w:rsidR="00AF74F0">
        <w:t xml:space="preserve"> which </w:t>
      </w:r>
      <w:r>
        <w:t xml:space="preserve">occur in artificial contexts and in only the latter case </w:t>
      </w:r>
      <w:r w:rsidR="002B49A3">
        <w:t xml:space="preserve">concerned an academic position, </w:t>
      </w:r>
      <w:r>
        <w:t>though i</w:t>
      </w:r>
      <w:r w:rsidR="002B49A3">
        <w:t xml:space="preserve">n a different field: psychology. </w:t>
      </w:r>
      <w:r>
        <w:t xml:space="preserve"> </w:t>
      </w:r>
      <w:r w:rsidR="00EA38A6">
        <w:t>Curiously</w:t>
      </w:r>
      <w:r w:rsidR="00C55C2E">
        <w:t xml:space="preserve">, </w:t>
      </w:r>
      <w:r>
        <w:t xml:space="preserve">Steinpreis </w:t>
      </w:r>
      <w:r w:rsidRPr="0092657E">
        <w:rPr>
          <w:i/>
        </w:rPr>
        <w:t>et al</w:t>
      </w:r>
      <w:r w:rsidR="00C55C2E">
        <w:t xml:space="preserve">. </w:t>
      </w:r>
      <w:r>
        <w:t>found no gendered effects for tenure decisions</w:t>
      </w:r>
      <w:r w:rsidR="002B49A3">
        <w:t>,</w:t>
      </w:r>
      <w:r w:rsidR="00654900">
        <w:t xml:space="preserve"> </w:t>
      </w:r>
      <w:r w:rsidR="0092171D">
        <w:t>but perhaps</w:t>
      </w:r>
      <w:r w:rsidR="00654900">
        <w:t xml:space="preserve"> most importantly,</w:t>
      </w:r>
      <w:r>
        <w:t xml:space="preserve"> the sample size</w:t>
      </w:r>
      <w:r w:rsidR="00654900">
        <w:t>s of around 65</w:t>
      </w:r>
      <w:r>
        <w:t xml:space="preserve"> respondents </w:t>
      </w:r>
      <w:r w:rsidR="00654900">
        <w:t>for the female-cv and 60 for the male were</w:t>
      </w:r>
      <w:r>
        <w:t xml:space="preserve"> not huge</w:t>
      </w:r>
      <w:r w:rsidR="00C55C2E">
        <w:t>—</w:t>
      </w:r>
      <w:r w:rsidR="002E1E68">
        <w:t>the discrepancy in responses</w:t>
      </w:r>
      <w:r w:rsidR="0092171D">
        <w:t xml:space="preserve"> </w:t>
      </w:r>
      <w:r w:rsidR="00EA38A6">
        <w:t xml:space="preserve">is </w:t>
      </w:r>
      <w:r w:rsidR="0096688A">
        <w:t xml:space="preserve">just </w:t>
      </w:r>
      <w:r w:rsidR="00EA38A6">
        <w:t xml:space="preserve">at the fringes of </w:t>
      </w:r>
      <w:r w:rsidR="002E1E68">
        <w:t>the margin</w:t>
      </w:r>
      <w:r w:rsidR="00654900">
        <w:t xml:space="preserve"> of error</w:t>
      </w:r>
      <w:r>
        <w:t>.</w:t>
      </w:r>
      <w:r w:rsidR="00654900">
        <w:rPr>
          <w:rStyle w:val="FootnoteReference"/>
        </w:rPr>
        <w:footnoteReference w:id="51"/>
      </w:r>
      <w:r w:rsidR="008D66E3">
        <w:t xml:space="preserve">  </w:t>
      </w:r>
      <w:r w:rsidR="0096688A">
        <w:t>Also notably,</w:t>
      </w:r>
      <w:r>
        <w:t xml:space="preserve"> Steinpreis </w:t>
      </w:r>
      <w:r w:rsidRPr="0092657E">
        <w:rPr>
          <w:i/>
        </w:rPr>
        <w:t>et al</w:t>
      </w:r>
      <w:r>
        <w:t>.’s results</w:t>
      </w:r>
      <w:r w:rsidR="0096688A">
        <w:t xml:space="preserve"> </w:t>
      </w:r>
      <w:r>
        <w:t>have not been corr</w:t>
      </w:r>
      <w:r w:rsidR="00AF74F0">
        <w:t>oborated by STEM hiring audits</w:t>
      </w:r>
      <w:r w:rsidR="00A124CF">
        <w:rPr>
          <w:rStyle w:val="FootnoteReference"/>
        </w:rPr>
        <w:footnoteReference w:id="52"/>
      </w:r>
      <w:r>
        <w:t xml:space="preserve"> nor replicated by other recent </w:t>
      </w:r>
      <w:r w:rsidR="008D66E3">
        <w:t>work</w:t>
      </w:r>
      <w:r>
        <w:t xml:space="preserve">, </w:t>
      </w:r>
      <w:r w:rsidR="0096688A">
        <w:t>including</w:t>
      </w:r>
      <w:r>
        <w:t xml:space="preserve"> </w:t>
      </w:r>
      <w:r w:rsidR="00AF74F0">
        <w:rPr>
          <w:rFonts w:cs="Calibri"/>
        </w:rPr>
        <w:t>Bertrand and Mullainathan</w:t>
      </w:r>
      <w:r w:rsidR="00AF74F0">
        <w:rPr>
          <w:rStyle w:val="FootnoteReference"/>
          <w:rFonts w:cs="Calibri"/>
        </w:rPr>
        <w:footnoteReference w:id="53"/>
      </w:r>
      <w:r w:rsidR="00AF74F0">
        <w:rPr>
          <w:rFonts w:cs="Calibri"/>
        </w:rPr>
        <w:t xml:space="preserve"> and</w:t>
      </w:r>
      <w:r>
        <w:rPr>
          <w:rFonts w:cs="Calibri"/>
        </w:rPr>
        <w:t xml:space="preserve"> Williams</w:t>
      </w:r>
      <w:r w:rsidR="00AF74F0">
        <w:rPr>
          <w:rFonts w:cs="Calibri"/>
        </w:rPr>
        <w:t xml:space="preserve"> and Ceci</w:t>
      </w:r>
      <w:r>
        <w:rPr>
          <w:rFonts w:cs="Calibri"/>
        </w:rPr>
        <w:t>.</w:t>
      </w:r>
      <w:r w:rsidR="00AF74F0">
        <w:rPr>
          <w:rStyle w:val="FootnoteReference"/>
          <w:rFonts w:cs="Calibri"/>
        </w:rPr>
        <w:footnoteReference w:id="54"/>
      </w:r>
      <w:r>
        <w:rPr>
          <w:rFonts w:cs="Calibri"/>
        </w:rPr>
        <w:t xml:space="preserve">  </w:t>
      </w:r>
      <w:r w:rsidR="008D66E3">
        <w:rPr>
          <w:rFonts w:cs="Calibri"/>
        </w:rPr>
        <w:t>Despite this,</w:t>
      </w:r>
      <w:r w:rsidR="008D66E3">
        <w:t xml:space="preserve"> philosophers overlook these limitations and go on to make exaggerated claims about hiring biases.</w:t>
      </w:r>
      <w:r w:rsidR="0096688A">
        <w:t xml:space="preserve">  Given the zeal with which Departments are promoting diversity initiatives, it is not hard to explain why this is happening.</w:t>
      </w:r>
    </w:p>
    <w:p w14:paraId="1E9469F5" w14:textId="48709AAE" w:rsidR="006A1C74" w:rsidRPr="00A124CF" w:rsidRDefault="0092171D" w:rsidP="00A124CF">
      <w:pPr>
        <w:spacing w:line="480" w:lineRule="auto"/>
        <w:ind w:firstLine="720"/>
      </w:pPr>
      <w:r>
        <w:t>E</w:t>
      </w:r>
      <w:r w:rsidR="006A1C74">
        <w:t>lsewhere</w:t>
      </w:r>
      <w:r>
        <w:t xml:space="preserve"> Saul </w:t>
      </w:r>
      <w:r w:rsidR="008D66E3">
        <w:t>writes that</w:t>
      </w:r>
      <w:r w:rsidR="006A1C74">
        <w:t xml:space="preserve"> “</w:t>
      </w:r>
      <w:r w:rsidR="008D66E3">
        <w:t>[a]</w:t>
      </w:r>
      <w:r w:rsidR="006A1C74">
        <w:t>cademics are clearly affected”</w:t>
      </w:r>
      <w:r w:rsidR="008D66E3">
        <w:t xml:space="preserve"> by their implicit biases</w:t>
      </w:r>
      <w:r w:rsidR="006A1C74">
        <w:rPr>
          <w:rStyle w:val="FootnoteReference"/>
        </w:rPr>
        <w:footnoteReference w:id="55"/>
      </w:r>
      <w:r w:rsidR="006A1C74">
        <w:t>—though this remark is only supported by the discr</w:t>
      </w:r>
      <w:r w:rsidR="00554167">
        <w:t xml:space="preserve">edited study of blind review </w:t>
      </w:r>
      <w:r w:rsidR="006A1C74">
        <w:t xml:space="preserve">mentioned </w:t>
      </w:r>
      <w:r w:rsidR="00554167">
        <w:t>earlier</w:t>
      </w:r>
      <w:r w:rsidR="00DC7C19">
        <w:t>.  S</w:t>
      </w:r>
      <w:r w:rsidR="008D66E3">
        <w:t>aul continues:</w:t>
      </w:r>
      <w:r w:rsidR="006A1C74">
        <w:t xml:space="preserve"> “</w:t>
      </w:r>
      <w:r w:rsidR="006A1C74" w:rsidRPr="00580A6B">
        <w:rPr>
          <w:szCs w:val="32"/>
        </w:rPr>
        <w:t>Both stereotype and implicit bias may have strong effects on a woman’s performance</w:t>
      </w:r>
      <w:r w:rsidR="006A1C74">
        <w:rPr>
          <w:szCs w:val="32"/>
        </w:rPr>
        <w:t>”</w:t>
      </w:r>
      <w:r w:rsidR="006A1C74">
        <w:rPr>
          <w:rStyle w:val="FootnoteReference"/>
          <w:szCs w:val="32"/>
        </w:rPr>
        <w:footnoteReference w:id="56"/>
      </w:r>
      <w:r w:rsidR="006A1C74" w:rsidRPr="006557C1">
        <w:rPr>
          <w:rStyle w:val="FootnoteReference"/>
        </w:rPr>
        <w:t xml:space="preserve"> </w:t>
      </w:r>
      <w:r w:rsidR="006A1C74">
        <w:rPr>
          <w:szCs w:val="32"/>
        </w:rPr>
        <w:t>on</w:t>
      </w:r>
      <w:r w:rsidR="006A1C74" w:rsidRPr="00580A6B">
        <w:rPr>
          <w:szCs w:val="32"/>
        </w:rPr>
        <w:t xml:space="preserve"> </w:t>
      </w:r>
      <w:r w:rsidR="006A1C74">
        <w:t xml:space="preserve">the philosophy job market.  </w:t>
      </w:r>
      <w:r w:rsidR="006A1C74">
        <w:rPr>
          <w:szCs w:val="32"/>
        </w:rPr>
        <w:t>This is because:</w:t>
      </w:r>
    </w:p>
    <w:p w14:paraId="3EB18EE1" w14:textId="77777777" w:rsidR="00EA779B" w:rsidRDefault="006A1C74" w:rsidP="00EA779B">
      <w:pPr>
        <w:ind w:left="720"/>
        <w:rPr>
          <w:szCs w:val="32"/>
        </w:rPr>
      </w:pPr>
      <w:r w:rsidRPr="00580A6B">
        <w:rPr>
          <w:szCs w:val="32"/>
        </w:rPr>
        <w:t>CVs with women’s names are likely to be seen as less good than CVs with men’s names. As we have noted, letters of recommendation are likely to be wea</w:t>
      </w:r>
      <w:r>
        <w:rPr>
          <w:szCs w:val="32"/>
        </w:rPr>
        <w:t xml:space="preserve">ker for women than for men. </w:t>
      </w:r>
      <w:r w:rsidRPr="00580A6B">
        <w:rPr>
          <w:szCs w:val="32"/>
        </w:rPr>
        <w:t xml:space="preserve">And women may well have had more trouble than men at getting publications. Women will also very likely face </w:t>
      </w:r>
      <w:r>
        <w:rPr>
          <w:szCs w:val="32"/>
        </w:rPr>
        <w:t xml:space="preserve">stereotype threat, often in the </w:t>
      </w:r>
      <w:r w:rsidRPr="00580A6B">
        <w:rPr>
          <w:szCs w:val="32"/>
        </w:rPr>
        <w:t>form of an overwhelmingly (or wholly) male team of interviewers adding to the stress of the already hideously stressful interview process</w:t>
      </w:r>
      <w:r>
        <w:rPr>
          <w:szCs w:val="32"/>
        </w:rPr>
        <w:t>.</w:t>
      </w:r>
      <w:r>
        <w:rPr>
          <w:rStyle w:val="FootnoteReference"/>
          <w:szCs w:val="32"/>
        </w:rPr>
        <w:footnoteReference w:id="57"/>
      </w:r>
    </w:p>
    <w:p w14:paraId="3CC33464" w14:textId="77777777" w:rsidR="00EA779B" w:rsidRDefault="00EA779B" w:rsidP="00EA779B">
      <w:pPr>
        <w:rPr>
          <w:szCs w:val="32"/>
        </w:rPr>
      </w:pPr>
    </w:p>
    <w:p w14:paraId="27BDB453" w14:textId="77777777" w:rsidR="006A1C74" w:rsidRPr="00EA779B" w:rsidRDefault="006A1C74" w:rsidP="00EA779B">
      <w:pPr>
        <w:spacing w:line="480" w:lineRule="auto"/>
        <w:rPr>
          <w:szCs w:val="32"/>
        </w:rPr>
      </w:pPr>
      <w:r>
        <w:t>Saul also writes as if it is “well-established that the presence of a male or female name on a CV has a strong effect on how that CV is evaluated,”</w:t>
      </w:r>
      <w:r>
        <w:rPr>
          <w:rStyle w:val="FootnoteReference"/>
        </w:rPr>
        <w:footnoteReference w:id="58"/>
      </w:r>
      <w:r>
        <w:t xml:space="preserve"> but with support from only two works: Moss-Racusin </w:t>
      </w:r>
      <w:r w:rsidRPr="0092657E">
        <w:rPr>
          <w:i/>
        </w:rPr>
        <w:t>et al</w:t>
      </w:r>
      <w:r>
        <w:t xml:space="preserve">. and Steinpreis </w:t>
      </w:r>
      <w:r w:rsidRPr="0092657E">
        <w:rPr>
          <w:i/>
        </w:rPr>
        <w:t>et al</w:t>
      </w:r>
      <w:r>
        <w:t xml:space="preserve">. </w:t>
      </w:r>
    </w:p>
    <w:p w14:paraId="33BB9F62" w14:textId="6EBEDB54" w:rsidR="006A1C74" w:rsidRDefault="006A1C74" w:rsidP="006A1C74">
      <w:pPr>
        <w:spacing w:line="480" w:lineRule="auto"/>
        <w:ind w:firstLine="720"/>
      </w:pPr>
      <w:r>
        <w:t>S</w:t>
      </w:r>
      <w:r w:rsidR="00DC7C19">
        <w:t xml:space="preserve">aul is joined by Antony who </w:t>
      </w:r>
      <w:r>
        <w:t xml:space="preserve">also claims that women are likely not taken as seriously in philosophy, at a disadvantage in </w:t>
      </w:r>
      <w:r w:rsidRPr="00F960B1">
        <w:t>hiring competition</w:t>
      </w:r>
      <w:r>
        <w:t xml:space="preserve">s, and </w:t>
      </w:r>
      <w:r w:rsidR="00EF132E">
        <w:t xml:space="preserve">left out of </w:t>
      </w:r>
      <w:r>
        <w:t>special opportuniti</w:t>
      </w:r>
      <w:r w:rsidR="00DC7C19">
        <w:t xml:space="preserve">es for early career publishing.  </w:t>
      </w:r>
      <w:r>
        <w:t>Antony and Cudd have written about a mentoring project designed to “focus on the specific problems of implicit bias, sexual harassment and underrepresentation of women in philosophy”</w:t>
      </w:r>
      <w:r>
        <w:rPr>
          <w:rStyle w:val="FootnoteReference"/>
        </w:rPr>
        <w:footnoteReference w:id="59"/>
      </w:r>
      <w:r>
        <w:t xml:space="preserve"> by supporting efforts to neutralize (among other things) presumed “forces of implicit bias.”</w:t>
      </w:r>
      <w:r>
        <w:rPr>
          <w:rStyle w:val="FootnoteReference"/>
        </w:rPr>
        <w:footnoteReference w:id="60"/>
      </w:r>
      <w:r>
        <w:t xml:space="preserve">  In this case there is no </w:t>
      </w:r>
      <w:r w:rsidR="00DC7C19">
        <w:t xml:space="preserve">scientific evidence presented.  </w:t>
      </w:r>
      <w:r w:rsidR="00207F11">
        <w:t>I</w:t>
      </w:r>
      <w:r>
        <w:t xml:space="preserve"> take no stand on the legitimacy of me</w:t>
      </w:r>
      <w:r w:rsidR="00207F11">
        <w:t xml:space="preserve">ntoring programs, and nothing I </w:t>
      </w:r>
      <w:r>
        <w:t>have written is intended to minimize the impact of conscious and explicit bias</w:t>
      </w:r>
      <w:r w:rsidR="00207F11">
        <w:t>, such as sexual harassment.  I</w:t>
      </w:r>
      <w:r>
        <w:t xml:space="preserve"> only question the appropriateness of implicit bias as part of the underlying rationale</w:t>
      </w:r>
      <w:r w:rsidR="004A76E1">
        <w:t xml:space="preserve"> in the absence of compelling evidence</w:t>
      </w:r>
      <w:r>
        <w:t>.</w:t>
      </w:r>
    </w:p>
    <w:p w14:paraId="3FDE342A" w14:textId="4B5167B3" w:rsidR="006A1C74" w:rsidRDefault="001E3BDB" w:rsidP="00DC7C19">
      <w:pPr>
        <w:spacing w:line="480" w:lineRule="auto"/>
        <w:ind w:firstLine="720"/>
      </w:pPr>
      <w:r>
        <w:t>Nor</w:t>
      </w:r>
      <w:r w:rsidR="006A1C74">
        <w:t xml:space="preserve"> is </w:t>
      </w:r>
      <w:r>
        <w:t xml:space="preserve">this </w:t>
      </w:r>
      <w:r w:rsidR="006A1C74">
        <w:t xml:space="preserve">to deny there is nuance in their views: Antony, for instance, doesn’t say implicit bias is the only factor (indeed, elsewhere she invokes a “perfect storm” of vectors).  All the same, she also finds the evidence </w:t>
      </w:r>
      <w:r w:rsidR="004A76E1">
        <w:t>supports</w:t>
      </w:r>
      <w:r w:rsidR="006A1C74">
        <w:t xml:space="preserve"> a normative recommendation: she advocates (and acts on) steps to counteract implicit bias, for otherwise “Women academics are very likely to have their work systemically undervalued” as “multiple studies have shown that academic papers and professional CVs are rated more highly if they carry a man’s name…”</w:t>
      </w:r>
      <w:r w:rsidR="006A1C74">
        <w:rPr>
          <w:rStyle w:val="FootnoteReference"/>
        </w:rPr>
        <w:footnoteReference w:id="61"/>
      </w:r>
      <w:r w:rsidR="004A76E1">
        <w:t xml:space="preserve">  </w:t>
      </w:r>
      <w:r w:rsidR="006A1C74">
        <w:t>However, only one study is cited—once again</w:t>
      </w:r>
      <w:r w:rsidR="004A76E1">
        <w:t xml:space="preserve"> it is</w:t>
      </w:r>
      <w:r w:rsidR="006A1C74">
        <w:t xml:space="preserve"> Steinpreis </w:t>
      </w:r>
      <w:r w:rsidR="006A1C74" w:rsidRPr="0092657E">
        <w:rPr>
          <w:i/>
        </w:rPr>
        <w:t>et al</w:t>
      </w:r>
      <w:r w:rsidR="006A1C74">
        <w:t>.</w:t>
      </w:r>
    </w:p>
    <w:p w14:paraId="4A8406A0" w14:textId="65855F95" w:rsidR="006A1C74" w:rsidRDefault="006A1C74" w:rsidP="006A1C74">
      <w:pPr>
        <w:spacing w:line="480" w:lineRule="auto"/>
        <w:ind w:firstLine="720"/>
      </w:pPr>
      <w:r>
        <w:t>Brennan</w:t>
      </w:r>
      <w:r w:rsidR="001C5C85">
        <w:t>,</w:t>
      </w:r>
      <w:r w:rsidR="004A76E1">
        <w:t xml:space="preserve"> likewise </w:t>
      </w:r>
      <w:r>
        <w:t>regards implicit bias as one of a suite of factors with a real-world impact.  She suggests “The most compelling explanations of the situation of women which do not focus on intentional wrongdoing, such as harassment and deliberate discrimination, look to the twin-causes of implicit bias and micro-inequalities”</w:t>
      </w:r>
      <w:r>
        <w:rPr>
          <w:rStyle w:val="FootnoteReference"/>
        </w:rPr>
        <w:footnoteReference w:id="62"/>
      </w:r>
      <w:r>
        <w:t xml:space="preserve"> as these help explain failure to achieve “equity in hiring” at Canadian philosophy departments.</w:t>
      </w:r>
      <w:r>
        <w:rPr>
          <w:rStyle w:val="FootnoteReference"/>
        </w:rPr>
        <w:footnoteReference w:id="63"/>
      </w:r>
      <w:r>
        <w:t xml:space="preserve">  Micro-inequalities are described as “unconscious” or “often unintentional” prejudicial behaviors with “wide-ranging effects,”</w:t>
      </w:r>
      <w:r>
        <w:rPr>
          <w:rStyle w:val="FootnoteReference"/>
        </w:rPr>
        <w:footnoteReference w:id="64"/>
      </w:r>
      <w:r>
        <w:t xml:space="preserve"> yet no</w:t>
      </w:r>
      <w:r w:rsidR="004A76E1">
        <w:t xml:space="preserve"> scientific literature is provid</w:t>
      </w:r>
      <w:r>
        <w:t>ed.  Later Brennan proposes unconscious “bias demonstrated in various CV evaluation studies” among other “mistakes in our thinking” are “something we all do,” though once again scientific citations are absent.</w:t>
      </w:r>
      <w:r>
        <w:rPr>
          <w:rStyle w:val="FootnoteReference"/>
        </w:rPr>
        <w:footnoteReference w:id="65"/>
      </w:r>
      <w:r>
        <w:t xml:space="preserve">  </w:t>
      </w:r>
    </w:p>
    <w:p w14:paraId="45FEFA06" w14:textId="428D9A30" w:rsidR="006A1C74" w:rsidRDefault="004B6CA7" w:rsidP="00EE7C1E">
      <w:pPr>
        <w:spacing w:line="480" w:lineRule="auto"/>
        <w:ind w:firstLine="720"/>
      </w:pPr>
      <w:r>
        <w:t xml:space="preserve">Meanwhile </w:t>
      </w:r>
      <w:r w:rsidR="00A124CF">
        <w:t xml:space="preserve">Holroyd </w:t>
      </w:r>
      <w:r w:rsidR="006A1C74">
        <w:t xml:space="preserve">reminds “hiring committees” of their “epistemic responsibilities, which include familiarizing </w:t>
      </w:r>
      <w:r w:rsidR="006A1C74" w:rsidRPr="00893379">
        <w:t>themselves with that body of knowledge” s</w:t>
      </w:r>
      <w:r w:rsidR="006A1C74">
        <w:t>uch as “differential evaluations</w:t>
      </w:r>
      <w:r w:rsidR="006A1C74" w:rsidRPr="00893379">
        <w:t xml:space="preserve"> of the same cv” since “recent studies indicate” a tendency towards the delusion that we are “immune to bias.”</w:t>
      </w:r>
      <w:r w:rsidR="006A1C74" w:rsidRPr="00893379">
        <w:rPr>
          <w:rStyle w:val="FootnoteReference"/>
        </w:rPr>
        <w:footnoteReference w:id="66"/>
      </w:r>
      <w:r w:rsidR="006A1C74">
        <w:t xml:space="preserve">  Yet </w:t>
      </w:r>
      <w:r w:rsidR="001C5C85">
        <w:t>s</w:t>
      </w:r>
      <w:r w:rsidR="006A1C74">
        <w:t>he offers only one study about hiring by Dovidio and Gaertner.  Holroyd (with some qualifications) seems to endorse Washington and Kelly’s view that “gatekeepers” are “culpably ignorant” if they fail to agree: “they can be held responsible (and perhaps blamed) for not knowing what they should—given the availability of the relevant information, and the role they occupy, be aware of.”</w:t>
      </w:r>
      <w:r w:rsidR="006A1C74">
        <w:rPr>
          <w:rStyle w:val="FootnoteReference"/>
        </w:rPr>
        <w:footnoteReference w:id="67"/>
      </w:r>
      <w:r w:rsidR="006A1C74">
        <w:t xml:space="preserve">  Le</w:t>
      </w:r>
      <w:r w:rsidR="00DC7C19">
        <w:t>t us therefore take a moment to</w:t>
      </w:r>
      <w:r w:rsidR="006A1C74">
        <w:t xml:space="preserve"> consider what Dovidio and Gaertner’s findings were.</w:t>
      </w:r>
      <w:r w:rsidR="006A1C74">
        <w:rPr>
          <w:rStyle w:val="FootnoteReference"/>
        </w:rPr>
        <w:footnoteReference w:id="68"/>
      </w:r>
      <w:r w:rsidR="006A1C74">
        <w:t xml:space="preserve">  </w:t>
      </w:r>
    </w:p>
    <w:p w14:paraId="61CA801C" w14:textId="63C0A8A4" w:rsidR="006A1C74" w:rsidRDefault="006A1C74" w:rsidP="006A1C74">
      <w:pPr>
        <w:spacing w:line="480" w:lineRule="auto"/>
        <w:ind w:firstLine="720"/>
      </w:pPr>
      <w:r>
        <w:t>Undergraduates were asked to evaluate candidates for a peer-counseling program, and it was found they sometimes preferred a member of a mostly white fraternity to someone from the Black Students Union, but this was only when the qu</w:t>
      </w:r>
      <w:r w:rsidR="00A124CF">
        <w:t xml:space="preserve">alifications’ were ambiguous.  </w:t>
      </w:r>
      <w:r>
        <w:t>Complicating matters, subjects were twice as likely to select the BSU member when candidates’ qualifications were clearly weak, and slightly more likely to do so when qualifications were clearly strong.   These results were consistent over two time periods (the late 80s and 90s) for which the researchers also found a decline in overt expressions of prejudice.  They proposed subjects in the later t</w:t>
      </w:r>
      <w:r w:rsidR="00CC4A04">
        <w:t>ime period exhibited implicit</w:t>
      </w:r>
      <w:r>
        <w:t xml:space="preserve"> racial bias despite attempting to maintain a nonpred</w:t>
      </w:r>
      <w:r w:rsidR="00EF1BD3">
        <w:t>judiced self-image.  Once again, this ignores other plausible mechanisms, and in any case</w:t>
      </w:r>
      <w:r>
        <w:t xml:space="preserve"> nothing </w:t>
      </w:r>
      <w:r w:rsidR="00C55C2E">
        <w:t>here is suggestive of implicit bias in t</w:t>
      </w:r>
      <w:r>
        <w:t>he philosophy profession</w:t>
      </w:r>
      <w:r w:rsidR="00EF1BD3">
        <w:t xml:space="preserve">: </w:t>
      </w:r>
      <w:r w:rsidR="00C55C2E">
        <w:t>how often are candidates with less than outstanding qualifications in the running for a tenure-track job?</w:t>
      </w:r>
    </w:p>
    <w:p w14:paraId="30A19A66" w14:textId="5C1BE22B" w:rsidR="006A1C74" w:rsidRDefault="006A1C74" w:rsidP="006A1C74">
      <w:pPr>
        <w:spacing w:line="480" w:lineRule="auto"/>
        <w:ind w:firstLine="720"/>
      </w:pPr>
      <w:r>
        <w:t xml:space="preserve">The researchers suggest ambiguous qualifications </w:t>
      </w:r>
      <w:r w:rsidR="00C55C2E">
        <w:t>might</w:t>
      </w:r>
      <w:r>
        <w:t xml:space="preserve"> be interpreted differently depending on the candidates’ perceived ethnicity, yet </w:t>
      </w:r>
      <w:r w:rsidR="00C55C2E">
        <w:t xml:space="preserve">even </w:t>
      </w:r>
      <w:r>
        <w:t xml:space="preserve">this might be explained by explicit stereotypes and conscious prejudice—such as </w:t>
      </w:r>
      <w:r w:rsidR="00C55C2E">
        <w:t>stereotypes</w:t>
      </w:r>
      <w:r>
        <w:t xml:space="preserve"> deeming whites </w:t>
      </w:r>
      <w:r w:rsidRPr="00436BA2">
        <w:t xml:space="preserve">disciplined </w:t>
      </w:r>
      <w:r>
        <w:t xml:space="preserve">and blacks undisciplined (only the strong candidates were described as “disciplined”)—or </w:t>
      </w:r>
      <w:r w:rsidR="00EF1BD3">
        <w:t xml:space="preserve">even </w:t>
      </w:r>
      <w:r>
        <w:t xml:space="preserve">other background knowledge: perhaps the fraternity (which was on campus) had a good reputation and the BSU did not—certainly subjects were more likely to either be friends with, or even belong to, the former than the latter (hence, raising the possibility of an in-group effect that is not necessarily racial).  In any case, no evidence is given for ruling out the possibility that some subjects held explicit prejudices, but knew it would be embarrassing or “politically incorrect” to reveal as much.  Dovidio and Gaertner </w:t>
      </w:r>
      <w:r w:rsidR="00CD0C90">
        <w:t xml:space="preserve">even </w:t>
      </w:r>
      <w:r w:rsidR="00EF1BD3">
        <w:t xml:space="preserve">raise </w:t>
      </w:r>
      <w:r w:rsidR="00CD0C90">
        <w:t>possible</w:t>
      </w:r>
      <w:r>
        <w:t xml:space="preserve"> “cautiousness by whites about being too negative in evaluations of blacks (and thus appearing biased).”</w:t>
      </w:r>
      <w:r>
        <w:rPr>
          <w:rStyle w:val="FootnoteReference"/>
        </w:rPr>
        <w:footnoteReference w:id="69"/>
      </w:r>
      <w:r w:rsidR="00C55C2E">
        <w:t xml:space="preserve">  Hence, </w:t>
      </w:r>
      <w:r>
        <w:t xml:space="preserve">Holroyd errs in drawing such strong conclusions </w:t>
      </w:r>
      <w:r w:rsidR="00EF1BD3">
        <w:t xml:space="preserve">about philosophers </w:t>
      </w:r>
      <w:r>
        <w:t>on the basis of a single question</w:t>
      </w:r>
      <w:r w:rsidR="00EF1BD3">
        <w:t xml:space="preserve">able study about undergraduates </w:t>
      </w:r>
      <w:r>
        <w:t>making hyp</w:t>
      </w:r>
      <w:r w:rsidR="00EF1BD3">
        <w:t>othetical judgments in a non-scholarly, non-professional</w:t>
      </w:r>
      <w:r>
        <w:t xml:space="preserve"> context.  Notwithstanding these difficulties, others, such as Levy, seem to uncritically recycle Holroyd’s analysis of the Dovidio and Gaertner study</w:t>
      </w:r>
      <w:r>
        <w:rPr>
          <w:rStyle w:val="FootnoteReference"/>
        </w:rPr>
        <w:footnoteReference w:id="70"/>
      </w:r>
      <w:r>
        <w:t xml:space="preserve"> as support for thinking that “implicit attitudes make a difference” for such things as “being hired.”</w:t>
      </w:r>
      <w:r>
        <w:rPr>
          <w:rStyle w:val="FootnoteReference"/>
        </w:rPr>
        <w:footnoteReference w:id="71"/>
      </w:r>
      <w:r>
        <w:t xml:space="preserve"> </w:t>
      </w:r>
    </w:p>
    <w:p w14:paraId="42AD07EE" w14:textId="55574226" w:rsidR="00EA779B" w:rsidRDefault="006A1C74" w:rsidP="006A1C74">
      <w:pPr>
        <w:spacing w:line="480" w:lineRule="auto"/>
        <w:ind w:firstLine="720"/>
      </w:pPr>
      <w:r>
        <w:t>Elsewhere Holroyd repeats the claim that evaluations are “less positive” when a cv “bears a woman’s name rather than a man’s.”</w:t>
      </w:r>
      <w:r>
        <w:rPr>
          <w:rStyle w:val="FootnoteReference"/>
        </w:rPr>
        <w:footnoteReference w:id="72"/>
      </w:r>
      <w:r>
        <w:t xml:space="preserve">  This time </w:t>
      </w:r>
      <w:r w:rsidR="001C5C85">
        <w:t>s</w:t>
      </w:r>
      <w:r>
        <w:t>he cites no prima</w:t>
      </w:r>
      <w:r w:rsidR="00A124CF">
        <w:t xml:space="preserve">ry literature though </w:t>
      </w:r>
      <w:r w:rsidR="001C5C85">
        <w:t>s</w:t>
      </w:r>
      <w:r w:rsidR="00A124CF">
        <w:t>he includes</w:t>
      </w:r>
      <w:r>
        <w:t xml:space="preserve"> Valian’s </w:t>
      </w:r>
      <w:r>
        <w:rPr>
          <w:i/>
        </w:rPr>
        <w:t>Why so slow? The advancement of women</w:t>
      </w:r>
      <w:r w:rsidR="00A124CF">
        <w:t>, which in turn cites</w:t>
      </w:r>
      <w:r>
        <w:t xml:space="preserve"> only two dated works: a cv study in psychology from 1975 and a meta-analysis by Olian, Schwab and Haberfeld.</w:t>
      </w:r>
      <w:r>
        <w:rPr>
          <w:rStyle w:val="FootnoteReference"/>
        </w:rPr>
        <w:footnoteReference w:id="73"/>
      </w:r>
      <w:r>
        <w:t xml:space="preserve">  Looking further, “The phenomenon of overrating men and underrating women appears to be widespread,” Valian writes in 1998</w:t>
      </w:r>
      <w:r>
        <w:rPr>
          <w:rStyle w:val="FootnoteReference"/>
        </w:rPr>
        <w:footnoteReference w:id="74"/>
      </w:r>
      <w:r>
        <w:t xml:space="preserve"> despite Olian </w:t>
      </w:r>
      <w:r w:rsidRPr="0092657E">
        <w:rPr>
          <w:i/>
        </w:rPr>
        <w:t>et al</w:t>
      </w:r>
      <w:r>
        <w:t>.</w:t>
      </w:r>
      <w:r w:rsidR="001C5C85">
        <w:t>’s statement (in their abstract</w:t>
      </w:r>
      <w:r w:rsidR="00C55C2E">
        <w:t>!</w:t>
      </w:r>
      <w:r>
        <w:t>) that “this effect was not consistent and accounted for only 4% of the variance in hiring recommendations,” before concluding “with some methodological reservations” that the overall effect is “marginal.”</w:t>
      </w:r>
      <w:r>
        <w:rPr>
          <w:rStyle w:val="FootnoteReference"/>
        </w:rPr>
        <w:footnoteReference w:id="75"/>
      </w:r>
      <w:r>
        <w:t xml:space="preserve">  Perhaps slight effects ca</w:t>
      </w:r>
      <w:r w:rsidR="00EF1BD3">
        <w:t xml:space="preserve">n snowball into larger outcomes, </w:t>
      </w:r>
      <w:r>
        <w:t>though randomness and defects in experimental design can also account for marginal findings.</w:t>
      </w:r>
    </w:p>
    <w:p w14:paraId="03161D3E" w14:textId="4C779F41" w:rsidR="00EA779B" w:rsidRPr="00EA779B" w:rsidRDefault="00EA779B" w:rsidP="00EA779B">
      <w:pPr>
        <w:spacing w:line="480" w:lineRule="auto"/>
        <w:ind w:firstLine="720"/>
      </w:pPr>
      <w:r>
        <w:t xml:space="preserve">Some, such as </w:t>
      </w:r>
      <w:r>
        <w:rPr>
          <w:rFonts w:cs="Calibri"/>
        </w:rPr>
        <w:t xml:space="preserve">Haslanger may only seem to commit </w:t>
      </w:r>
      <w:r w:rsidR="00056C9B">
        <w:rPr>
          <w:rFonts w:cs="Calibri"/>
        </w:rPr>
        <w:t xml:space="preserve">themselves </w:t>
      </w:r>
      <w:r>
        <w:rPr>
          <w:rFonts w:cs="Calibri"/>
        </w:rPr>
        <w:t>to the weaker claim that “evaluation bias” i</w:t>
      </w:r>
      <w:r w:rsidR="000B70C9">
        <w:rPr>
          <w:rFonts w:cs="Calibri"/>
        </w:rPr>
        <w:t>s merely “potentially” relevant, though at every career stage</w:t>
      </w:r>
      <w:r>
        <w:rPr>
          <w:rFonts w:cs="Calibri"/>
        </w:rPr>
        <w:t xml:space="preserve"> including “a</w:t>
      </w:r>
      <w:r w:rsidR="000B70C9">
        <w:rPr>
          <w:rFonts w:cs="Calibri"/>
        </w:rPr>
        <w:t>pplications for jobs</w:t>
      </w:r>
      <w:r>
        <w:rPr>
          <w:rFonts w:cs="Calibri"/>
        </w:rPr>
        <w:t>”</w:t>
      </w:r>
      <w:r>
        <w:rPr>
          <w:rStyle w:val="FootnoteReference"/>
          <w:rFonts w:cs="Calibri"/>
        </w:rPr>
        <w:footnoteReference w:id="76"/>
      </w:r>
      <w:r>
        <w:rPr>
          <w:rFonts w:cs="Calibri"/>
        </w:rPr>
        <w:t xml:space="preserve"> and when a cv is “‘read’ as inferior.”</w:t>
      </w:r>
      <w:r>
        <w:rPr>
          <w:rStyle w:val="FootnoteReference"/>
          <w:rFonts w:cs="Calibri"/>
        </w:rPr>
        <w:footnoteReference w:id="77"/>
      </w:r>
      <w:r>
        <w:rPr>
          <w:rFonts w:cs="Calibri"/>
        </w:rPr>
        <w:t xml:space="preserve">  Yet as she finds gender-swapping experiments “plausibly” showing we indeed do “interpret information…differently” depending on perceived gender</w:t>
      </w:r>
      <w:r>
        <w:rPr>
          <w:rStyle w:val="FootnoteReference"/>
          <w:rFonts w:cs="Calibri"/>
        </w:rPr>
        <w:footnoteReference w:id="78"/>
      </w:r>
      <w:r>
        <w:rPr>
          <w:rFonts w:cs="Calibri"/>
        </w:rPr>
        <w:t xml:space="preserve"> it seems reasonable to upgrade her view to something like a strong suspicion, or expectation.  Only two studies (besides the one about blind-auditions) are mentioned: once again, Steinpreis </w:t>
      </w:r>
      <w:r w:rsidRPr="0092657E">
        <w:rPr>
          <w:rFonts w:cs="Calibri"/>
          <w:i/>
        </w:rPr>
        <w:t>et al</w:t>
      </w:r>
      <w:r>
        <w:rPr>
          <w:rFonts w:cs="Calibri"/>
        </w:rPr>
        <w:t>. along with a callback study for non-academic jobs conducted by Bertrand and Mullainathan about biases against applicants with “black-sounding” names.</w:t>
      </w:r>
      <w:r>
        <w:rPr>
          <w:rStyle w:val="FootnoteReference"/>
          <w:rFonts w:cs="Calibri"/>
        </w:rPr>
        <w:footnoteReference w:id="79"/>
      </w:r>
      <w:r>
        <w:rPr>
          <w:rFonts w:cs="Calibri"/>
        </w:rPr>
        <w:t xml:space="preserve">   </w:t>
      </w:r>
    </w:p>
    <w:p w14:paraId="026C7698" w14:textId="336CF043" w:rsidR="00EA779B" w:rsidRDefault="00EA779B" w:rsidP="00EA779B">
      <w:pPr>
        <w:spacing w:line="480" w:lineRule="auto"/>
        <w:ind w:firstLine="720"/>
        <w:rPr>
          <w:rFonts w:cs="Calibri"/>
        </w:rPr>
      </w:pPr>
      <w:r>
        <w:rPr>
          <w:rFonts w:cs="Calibri"/>
        </w:rPr>
        <w:t xml:space="preserve">While one might think that if study-A shows that applicants with female names are rated lower, and study-B shows that “black” names are rated lower, together they must indicate that female and black-sounding names are rated lower.  Except while the second study indeed found applicants with “black” names got fewer callbacks, it also found female names got slightly </w:t>
      </w:r>
      <w:r w:rsidRPr="00436BA2">
        <w:rPr>
          <w:rFonts w:cs="Calibri"/>
          <w:i/>
        </w:rPr>
        <w:t>more</w:t>
      </w:r>
      <w:r>
        <w:rPr>
          <w:rFonts w:cs="Calibri"/>
        </w:rPr>
        <w:t>.</w:t>
      </w:r>
      <w:r>
        <w:rPr>
          <w:rStyle w:val="FootnoteReference"/>
          <w:rFonts w:cs="Calibri"/>
        </w:rPr>
        <w:footnoteReference w:id="80"/>
      </w:r>
      <w:r>
        <w:rPr>
          <w:rFonts w:cs="Calibri"/>
        </w:rPr>
        <w:t xml:space="preserve">  </w:t>
      </w:r>
      <w:r w:rsidR="00DA63DD">
        <w:rPr>
          <w:rFonts w:cs="Calibri"/>
        </w:rPr>
        <w:t>Notwithstanding this, her</w:t>
      </w:r>
      <w:r>
        <w:rPr>
          <w:rFonts w:cs="Calibri"/>
        </w:rPr>
        <w:t xml:space="preserve"> paper has been described as “influential”</w:t>
      </w:r>
      <w:r>
        <w:rPr>
          <w:rStyle w:val="FootnoteReference"/>
          <w:rFonts w:cs="Calibri"/>
        </w:rPr>
        <w:footnoteReference w:id="81"/>
      </w:r>
      <w:r>
        <w:rPr>
          <w:rFonts w:cs="Calibri"/>
        </w:rPr>
        <w:t xml:space="preserve"> prompting some to wonder whether women should abandon philosophy for fields that  “value our work properly.”</w:t>
      </w:r>
      <w:r>
        <w:rPr>
          <w:rStyle w:val="FootnoteReference"/>
          <w:rFonts w:cs="Calibri"/>
        </w:rPr>
        <w:footnoteReference w:id="82"/>
      </w:r>
      <w:r w:rsidR="00DC7C19">
        <w:rPr>
          <w:rFonts w:cs="Calibri"/>
        </w:rPr>
        <w:t xml:space="preserve">  </w:t>
      </w:r>
    </w:p>
    <w:p w14:paraId="160E5900" w14:textId="356E0522" w:rsidR="006A1C74" w:rsidRPr="00EA779B" w:rsidRDefault="00207F11" w:rsidP="00EA779B">
      <w:pPr>
        <w:spacing w:line="480" w:lineRule="auto"/>
        <w:ind w:firstLine="720"/>
        <w:rPr>
          <w:rFonts w:cs="Calibri"/>
        </w:rPr>
      </w:pPr>
      <w:r>
        <w:rPr>
          <w:rFonts w:cs="Calibri"/>
        </w:rPr>
        <w:t>While I</w:t>
      </w:r>
      <w:r w:rsidR="00EA779B">
        <w:rPr>
          <w:rFonts w:cs="Calibri"/>
        </w:rPr>
        <w:t xml:space="preserve"> agree Haslanger does not claim</w:t>
      </w:r>
      <w:r w:rsidR="00EA779B" w:rsidRPr="00F960B1">
        <w:rPr>
          <w:rFonts w:cs="Calibri"/>
        </w:rPr>
        <w:t xml:space="preserve"> implicit bias explains everything, or that it is the </w:t>
      </w:r>
      <w:r w:rsidR="00EA779B">
        <w:rPr>
          <w:rFonts w:cs="Calibri"/>
        </w:rPr>
        <w:t xml:space="preserve">only factor, or even the primary factor, she has in some sense </w:t>
      </w:r>
      <w:r w:rsidR="00EA779B" w:rsidRPr="00884177">
        <w:rPr>
          <w:rFonts w:cs="Calibri"/>
        </w:rPr>
        <w:t xml:space="preserve">increased </w:t>
      </w:r>
      <w:r w:rsidR="00EA779B">
        <w:rPr>
          <w:rFonts w:cs="Calibri"/>
        </w:rPr>
        <w:t xml:space="preserve">her confidence, more recently writing that she is “convinced” implicit bias “plays a role” </w:t>
      </w:r>
      <w:r w:rsidR="00EA779B" w:rsidRPr="00F960B1">
        <w:rPr>
          <w:rFonts w:cs="Calibri"/>
        </w:rPr>
        <w:t>in the exp</w:t>
      </w:r>
      <w:r w:rsidR="00EA779B">
        <w:rPr>
          <w:rFonts w:cs="Calibri"/>
        </w:rPr>
        <w:t xml:space="preserve">lanation of persistent </w:t>
      </w:r>
      <w:r w:rsidR="00A14242">
        <w:rPr>
          <w:rFonts w:cs="Calibri"/>
        </w:rPr>
        <w:t>in</w:t>
      </w:r>
      <w:r w:rsidR="00EA779B">
        <w:rPr>
          <w:rFonts w:cs="Calibri"/>
        </w:rPr>
        <w:t>equality.</w:t>
      </w:r>
      <w:r w:rsidR="00EA779B" w:rsidRPr="00F960B1">
        <w:rPr>
          <w:rStyle w:val="FootnoteReference"/>
          <w:rFonts w:cs="Calibri"/>
        </w:rPr>
        <w:footnoteReference w:id="83"/>
      </w:r>
      <w:r w:rsidR="00EA779B" w:rsidRPr="00F960B1">
        <w:rPr>
          <w:rFonts w:cs="Calibri"/>
        </w:rPr>
        <w:t xml:space="preserve"> </w:t>
      </w:r>
      <w:r w:rsidR="00EA779B">
        <w:rPr>
          <w:rFonts w:cs="Calibri"/>
        </w:rPr>
        <w:t xml:space="preserve"> This is compatible with her view that implicit bias is a consequence of deeper social factors.</w:t>
      </w:r>
      <w:r w:rsidR="00EA779B">
        <w:rPr>
          <w:rStyle w:val="FootnoteReference"/>
          <w:rFonts w:cs="Calibri"/>
        </w:rPr>
        <w:footnoteReference w:id="84"/>
      </w:r>
      <w:r w:rsidR="00DC7C19">
        <w:rPr>
          <w:rFonts w:cs="Calibri"/>
        </w:rPr>
        <w:t xml:space="preserve">  </w:t>
      </w:r>
      <w:r w:rsidR="00EA779B">
        <w:rPr>
          <w:rFonts w:cs="Calibri"/>
        </w:rPr>
        <w:t>Haslanger writes “there is empirical evidence to support the claim that we are all biased”</w:t>
      </w:r>
      <w:r w:rsidR="00EA779B">
        <w:rPr>
          <w:rStyle w:val="FootnoteReference"/>
          <w:rFonts w:cs="Calibri"/>
        </w:rPr>
        <w:footnoteReference w:id="85"/>
      </w:r>
      <w:r w:rsidR="00EA779B">
        <w:rPr>
          <w:rFonts w:cs="Calibri"/>
        </w:rPr>
        <w:t xml:space="preserve"> yet no </w:t>
      </w:r>
      <w:r w:rsidR="00A124CF">
        <w:rPr>
          <w:rFonts w:cs="Calibri"/>
        </w:rPr>
        <w:t>experimental literature is provided</w:t>
      </w:r>
      <w:r w:rsidR="00EA779B">
        <w:rPr>
          <w:rFonts w:cs="Calibri"/>
        </w:rPr>
        <w:t>, and her example about hiring</w:t>
      </w:r>
      <w:r w:rsidR="00EA779B">
        <w:rPr>
          <w:rStyle w:val="FootnoteReference"/>
          <w:rFonts w:cs="Calibri"/>
        </w:rPr>
        <w:footnoteReference w:id="86"/>
      </w:r>
      <w:r w:rsidR="00EA779B">
        <w:rPr>
          <w:rFonts w:cs="Calibri"/>
        </w:rPr>
        <w:t xml:space="preserve"> suggests she continues to be unaware of Bertrand and Mu</w:t>
      </w:r>
      <w:r>
        <w:rPr>
          <w:rFonts w:cs="Calibri"/>
        </w:rPr>
        <w:t xml:space="preserve">llainathan’s </w:t>
      </w:r>
      <w:r w:rsidR="00413AC9">
        <w:rPr>
          <w:rFonts w:cs="Calibri"/>
        </w:rPr>
        <w:t xml:space="preserve">mixed </w:t>
      </w:r>
      <w:r w:rsidR="00335429">
        <w:rPr>
          <w:rFonts w:cs="Calibri"/>
        </w:rPr>
        <w:t xml:space="preserve">findings.  </w:t>
      </w:r>
      <w:r>
        <w:rPr>
          <w:rFonts w:cs="Calibri"/>
        </w:rPr>
        <w:t>I</w:t>
      </w:r>
      <w:r w:rsidR="00EA779B">
        <w:rPr>
          <w:rFonts w:cs="Calibri"/>
        </w:rPr>
        <w:t xml:space="preserve"> think this </w:t>
      </w:r>
      <w:r w:rsidR="00335429">
        <w:rPr>
          <w:rFonts w:cs="Calibri"/>
        </w:rPr>
        <w:t xml:space="preserve">suggests </w:t>
      </w:r>
      <w:r w:rsidR="00EA779B">
        <w:rPr>
          <w:rFonts w:cs="Calibri"/>
        </w:rPr>
        <w:t>her gener</w:t>
      </w:r>
      <w:r w:rsidR="000B70C9">
        <w:rPr>
          <w:rFonts w:cs="Calibri"/>
        </w:rPr>
        <w:t>al outlook is becoming orthodox.  E</w:t>
      </w:r>
      <w:r w:rsidR="00335429">
        <w:rPr>
          <w:rFonts w:cs="Calibri"/>
        </w:rPr>
        <w:t xml:space="preserve">videntiary standards, already low, are giving way to a default </w:t>
      </w:r>
      <w:r w:rsidR="000B70C9">
        <w:rPr>
          <w:rFonts w:cs="Calibri"/>
        </w:rPr>
        <w:t>politicized "liberation" ideology</w:t>
      </w:r>
      <w:r w:rsidR="00335429">
        <w:rPr>
          <w:rFonts w:cs="Calibri"/>
        </w:rPr>
        <w:t xml:space="preserve"> </w:t>
      </w:r>
      <w:r w:rsidR="000B70C9">
        <w:rPr>
          <w:rFonts w:cs="Calibri"/>
        </w:rPr>
        <w:t>founded on the assumption that</w:t>
      </w:r>
      <w:r w:rsidR="00335429">
        <w:rPr>
          <w:rFonts w:cs="Calibri"/>
        </w:rPr>
        <w:t xml:space="preserve"> implicit bias is real and well-substantiated, and</w:t>
      </w:r>
      <w:r w:rsidR="00EA779B">
        <w:rPr>
          <w:rFonts w:cs="Calibri"/>
        </w:rPr>
        <w:t xml:space="preserve"> interest is shifting towards abstract musings on how to best understand it and what the normative implications are.</w:t>
      </w:r>
      <w:r w:rsidR="008E43CC">
        <w:rPr>
          <w:rStyle w:val="FootnoteReference"/>
          <w:rFonts w:cs="Calibri"/>
        </w:rPr>
        <w:footnoteReference w:id="87"/>
      </w:r>
    </w:p>
    <w:p w14:paraId="3F790CD1" w14:textId="1AE3C966" w:rsidR="006A1C74" w:rsidRDefault="004B6CA7" w:rsidP="006A1C74">
      <w:pPr>
        <w:spacing w:line="480" w:lineRule="auto"/>
        <w:ind w:firstLine="720"/>
      </w:pPr>
      <w:r>
        <w:t>Despite these</w:t>
      </w:r>
      <w:r w:rsidR="006A1C74">
        <w:t xml:space="preserve"> weaknesses in empirical support, cv biases (among other examples) are being taken as so conclusively established as to make a firm</w:t>
      </w:r>
      <w:r w:rsidR="006A1C74" w:rsidRPr="00893379">
        <w:t xml:space="preserve"> </w:t>
      </w:r>
      <w:r w:rsidR="006A1C74">
        <w:t>basis for reflections on our blameworthiness in the “rapidly growing” literature on implicit bias and epistemic responsibility.</w:t>
      </w:r>
      <w:r w:rsidR="006A1C74">
        <w:rPr>
          <w:rStyle w:val="FootnoteReference"/>
        </w:rPr>
        <w:footnoteReference w:id="88"/>
      </w:r>
      <w:r w:rsidR="00207F11">
        <w:t xml:space="preserve">  I</w:t>
      </w:r>
      <w:r w:rsidR="006A1C74">
        <w:t xml:space="preserve"> think there is a different lesson about epistemic responsibility for philosophers, which is that they ought to quit making claims about implicit bias that far o</w:t>
      </w:r>
      <w:r w:rsidR="00335429">
        <w:t>utstrip the evidence.  Though the</w:t>
      </w:r>
      <w:r w:rsidR="006A1C74">
        <w:t xml:space="preserve"> focus has only been on evalua</w:t>
      </w:r>
      <w:r w:rsidR="00335429">
        <w:t>tive bias in hiring contexts,</w:t>
      </w:r>
      <w:r w:rsidR="006A1C74">
        <w:t xml:space="preserve"> these philosophers have diminished credibility when they turn to other examples.</w:t>
      </w:r>
    </w:p>
    <w:p w14:paraId="21ED8C82" w14:textId="1C95701C" w:rsidR="005D470D" w:rsidRPr="004907C3" w:rsidRDefault="00EA779B" w:rsidP="00BF4C93">
      <w:pPr>
        <w:spacing w:line="480" w:lineRule="auto"/>
      </w:pPr>
      <w:r>
        <w:t>8</w:t>
      </w:r>
      <w:r w:rsidR="00BF4C93">
        <w:t>.  OTHER EVIDENCE CON</w:t>
      </w:r>
      <w:r w:rsidR="00C77154">
        <w:t xml:space="preserve">CERNING </w:t>
      </w:r>
      <w:r w:rsidR="00CC4A04">
        <w:t>IMPLICIT</w:t>
      </w:r>
      <w:r w:rsidR="00C77154">
        <w:t xml:space="preserve"> BIAS IN ACADEMIA</w:t>
      </w:r>
    </w:p>
    <w:p w14:paraId="2BB2147B" w14:textId="55465B8D" w:rsidR="00D30237" w:rsidRDefault="00AB1BB4" w:rsidP="00D30237">
      <w:pPr>
        <w:spacing w:line="480" w:lineRule="auto"/>
        <w:rPr>
          <w:rFonts w:cs="Lucida Grande"/>
          <w:color w:val="000000" w:themeColor="text1"/>
          <w:szCs w:val="28"/>
        </w:rPr>
      </w:pPr>
      <w:r>
        <w:t xml:space="preserve">What about other </w:t>
      </w:r>
      <w:r w:rsidR="00E42AAC" w:rsidRPr="004907C3">
        <w:t>recent experiment</w:t>
      </w:r>
      <w:r w:rsidR="00E14B22">
        <w:t>al</w:t>
      </w:r>
      <w:r w:rsidR="00E42AAC" w:rsidRPr="004907C3">
        <w:t xml:space="preserve"> work on</w:t>
      </w:r>
      <w:r w:rsidR="00C61C82">
        <w:t xml:space="preserve"> judgments </w:t>
      </w:r>
      <w:r w:rsidR="00E42AAC" w:rsidRPr="004907C3">
        <w:t>of</w:t>
      </w:r>
      <w:r w:rsidR="00674C2F" w:rsidRPr="004907C3">
        <w:t xml:space="preserve"> professional competence</w:t>
      </w:r>
      <w:r w:rsidR="007D5646" w:rsidRPr="004907C3">
        <w:t xml:space="preserve"> in academia</w:t>
      </w:r>
      <w:r w:rsidR="00355334">
        <w:t xml:space="preserve">?  </w:t>
      </w:r>
      <w:r w:rsidR="007D5646" w:rsidRPr="004907C3">
        <w:t xml:space="preserve">Certainly, </w:t>
      </w:r>
      <w:r w:rsidR="00105EE0">
        <w:t xml:space="preserve">there is </w:t>
      </w:r>
      <w:r w:rsidR="007D5646" w:rsidRPr="004907C3">
        <w:t xml:space="preserve">some </w:t>
      </w:r>
      <w:r w:rsidR="00DC7C19">
        <w:t>evidence</w:t>
      </w:r>
      <w:r w:rsidR="00A20562" w:rsidRPr="004907C3">
        <w:t xml:space="preserve"> </w:t>
      </w:r>
      <w:r w:rsidR="007D5646" w:rsidRPr="004907C3">
        <w:t>women</w:t>
      </w:r>
      <w:r w:rsidR="004D4310">
        <w:t>’s credentials</w:t>
      </w:r>
      <w:r w:rsidR="007D5646" w:rsidRPr="004907C3">
        <w:t xml:space="preserve"> are</w:t>
      </w:r>
      <w:r w:rsidR="00A20562" w:rsidRPr="004907C3">
        <w:t xml:space="preserve"> sometimes</w:t>
      </w:r>
      <w:r w:rsidR="007D5646" w:rsidRPr="004907C3">
        <w:t xml:space="preserve"> evaluated more harshly</w:t>
      </w:r>
      <w:r w:rsidR="00004A63">
        <w:t xml:space="preserve"> in STEM disciplines</w:t>
      </w:r>
      <w:r w:rsidR="007D5646" w:rsidRPr="004907C3">
        <w:t>.</w:t>
      </w:r>
      <w:r w:rsidR="00105EE0">
        <w:rPr>
          <w:rStyle w:val="FootnoteReference"/>
        </w:rPr>
        <w:footnoteReference w:id="89"/>
      </w:r>
      <w:r w:rsidR="007D5646" w:rsidRPr="004907C3">
        <w:t xml:space="preserve"> </w:t>
      </w:r>
      <w:r w:rsidR="0088534D" w:rsidRPr="004907C3">
        <w:t xml:space="preserve"> </w:t>
      </w:r>
      <w:r w:rsidR="0017107A" w:rsidRPr="004907C3">
        <w:t xml:space="preserve">But others </w:t>
      </w:r>
      <w:r w:rsidR="00A20562" w:rsidRPr="004907C3">
        <w:t xml:space="preserve">failed to replicate these </w:t>
      </w:r>
      <w:r w:rsidR="00C5244E">
        <w:t>findings</w:t>
      </w:r>
      <w:r w:rsidR="00105EE0">
        <w:rPr>
          <w:rStyle w:val="FootnoteReference"/>
        </w:rPr>
        <w:footnoteReference w:id="90"/>
      </w:r>
      <w:r w:rsidR="0088534D" w:rsidRPr="004907C3">
        <w:rPr>
          <w:szCs w:val="22"/>
        </w:rPr>
        <w:t xml:space="preserve"> with</w:t>
      </w:r>
      <w:r w:rsidR="007D5646" w:rsidRPr="004907C3">
        <w:rPr>
          <w:szCs w:val="22"/>
        </w:rPr>
        <w:t xml:space="preserve"> some contending a systematic look a</w:t>
      </w:r>
      <w:r w:rsidR="008C6E57">
        <w:rPr>
          <w:szCs w:val="22"/>
        </w:rPr>
        <w:t>t twenty</w:t>
      </w:r>
      <w:r w:rsidR="00A20562" w:rsidRPr="004907C3">
        <w:rPr>
          <w:szCs w:val="22"/>
        </w:rPr>
        <w:t xml:space="preserve"> years of evidence shows no signs </w:t>
      </w:r>
      <w:r w:rsidR="007D5646" w:rsidRPr="004907C3">
        <w:rPr>
          <w:szCs w:val="22"/>
        </w:rPr>
        <w:t>of disc</w:t>
      </w:r>
      <w:r w:rsidR="007C07A9">
        <w:rPr>
          <w:szCs w:val="22"/>
        </w:rPr>
        <w:t xml:space="preserve">rimination in publishing, grant </w:t>
      </w:r>
      <w:r w:rsidR="007D5646" w:rsidRPr="004907C3">
        <w:rPr>
          <w:szCs w:val="22"/>
        </w:rPr>
        <w:t>competitions</w:t>
      </w:r>
      <w:r w:rsidR="00A20562" w:rsidRPr="004907C3">
        <w:rPr>
          <w:szCs w:val="22"/>
        </w:rPr>
        <w:t>,</w:t>
      </w:r>
      <w:r w:rsidR="007D5646" w:rsidRPr="004907C3">
        <w:rPr>
          <w:szCs w:val="22"/>
        </w:rPr>
        <w:t xml:space="preserve"> or hiring </w:t>
      </w:r>
      <w:r w:rsidR="001711B7">
        <w:rPr>
          <w:szCs w:val="22"/>
        </w:rPr>
        <w:t>in the</w:t>
      </w:r>
      <w:r w:rsidR="00105EE0">
        <w:rPr>
          <w:szCs w:val="22"/>
        </w:rPr>
        <w:t xml:space="preserve"> sciences</w:t>
      </w:r>
      <w:r w:rsidR="001711B7">
        <w:rPr>
          <w:szCs w:val="22"/>
        </w:rPr>
        <w:t>.</w:t>
      </w:r>
      <w:r w:rsidR="000C61D0" w:rsidRPr="004907C3">
        <w:rPr>
          <w:rStyle w:val="FootnoteReference"/>
          <w:szCs w:val="22"/>
        </w:rPr>
        <w:footnoteReference w:id="91"/>
      </w:r>
      <w:r w:rsidR="009228E0">
        <w:rPr>
          <w:szCs w:val="22"/>
        </w:rPr>
        <w:t xml:space="preserve">  These results have been reinforced by an experimental study</w:t>
      </w:r>
      <w:r w:rsidR="00B40102">
        <w:rPr>
          <w:szCs w:val="22"/>
        </w:rPr>
        <w:t xml:space="preserve"> </w:t>
      </w:r>
      <w:r w:rsidR="00987268">
        <w:rPr>
          <w:rFonts w:cs="Lucida Grande"/>
          <w:color w:val="000000" w:themeColor="text1"/>
          <w:szCs w:val="28"/>
        </w:rPr>
        <w:t>about</w:t>
      </w:r>
      <w:r w:rsidR="00BC6D34">
        <w:rPr>
          <w:rFonts w:cs="Lucida Grande"/>
          <w:color w:val="000000" w:themeColor="text1"/>
          <w:szCs w:val="28"/>
        </w:rPr>
        <w:t xml:space="preserve"> the evaluation of hypothetical tenure track candidates</w:t>
      </w:r>
      <w:r w:rsidR="00987268">
        <w:rPr>
          <w:rFonts w:cs="Lucida Grande"/>
          <w:color w:val="000000" w:themeColor="text1"/>
          <w:szCs w:val="28"/>
        </w:rPr>
        <w:t>, which</w:t>
      </w:r>
      <w:r w:rsidR="00BC6D34">
        <w:rPr>
          <w:szCs w:val="22"/>
        </w:rPr>
        <w:t xml:space="preserve"> </w:t>
      </w:r>
      <w:r w:rsidR="009228E0">
        <w:rPr>
          <w:szCs w:val="22"/>
        </w:rPr>
        <w:t>found no anti-female</w:t>
      </w:r>
      <w:r w:rsidR="009228E0">
        <w:rPr>
          <w:rFonts w:cs="Lucida Grande"/>
          <w:color w:val="000000" w:themeColor="text1"/>
          <w:szCs w:val="28"/>
        </w:rPr>
        <w:t xml:space="preserve"> bias</w:t>
      </w:r>
      <w:r w:rsidR="00B40102">
        <w:rPr>
          <w:rFonts w:cs="Lucida Grande"/>
          <w:color w:val="000000" w:themeColor="text1"/>
          <w:szCs w:val="28"/>
        </w:rPr>
        <w:t xml:space="preserve"> across several STEM disciplines</w:t>
      </w:r>
      <w:r w:rsidR="00BC6D34">
        <w:rPr>
          <w:rFonts w:cs="Lucida Grande"/>
          <w:color w:val="000000" w:themeColor="text1"/>
          <w:szCs w:val="28"/>
        </w:rPr>
        <w:t xml:space="preserve"> </w:t>
      </w:r>
      <w:r w:rsidR="009228E0">
        <w:rPr>
          <w:rFonts w:cs="Lucida Grande"/>
          <w:color w:val="000000" w:themeColor="text1"/>
          <w:szCs w:val="28"/>
        </w:rPr>
        <w:t xml:space="preserve">but </w:t>
      </w:r>
      <w:r w:rsidR="00FA291A">
        <w:rPr>
          <w:rFonts w:cs="Lucida Grande"/>
          <w:color w:val="000000" w:themeColor="text1"/>
          <w:szCs w:val="28"/>
        </w:rPr>
        <w:t xml:space="preserve">turned up </w:t>
      </w:r>
      <w:r w:rsidR="009228E0">
        <w:rPr>
          <w:rFonts w:cs="Lucida Grande"/>
          <w:color w:val="000000" w:themeColor="text1"/>
          <w:szCs w:val="28"/>
        </w:rPr>
        <w:t>strong anti-male bias</w:t>
      </w:r>
      <w:r w:rsidR="00625758">
        <w:rPr>
          <w:rFonts w:cs="Lucida Grande"/>
          <w:color w:val="000000" w:themeColor="text1"/>
          <w:szCs w:val="28"/>
        </w:rPr>
        <w:t xml:space="preserve"> by a factor of 2.</w:t>
      </w:r>
      <w:r w:rsidR="009228E0">
        <w:rPr>
          <w:rStyle w:val="FootnoteReference"/>
          <w:rFonts w:cs="Lucida Grande"/>
          <w:color w:val="000000" w:themeColor="text1"/>
          <w:szCs w:val="28"/>
        </w:rPr>
        <w:footnoteReference w:id="92"/>
      </w:r>
      <w:r w:rsidR="0027284D">
        <w:rPr>
          <w:rFonts w:cs="Lucida Grande"/>
          <w:color w:val="000000" w:themeColor="text1"/>
          <w:szCs w:val="28"/>
        </w:rPr>
        <w:t xml:space="preserve">  </w:t>
      </w:r>
      <w:r w:rsidR="00D1726E">
        <w:rPr>
          <w:rFonts w:cs="Lucida Grande"/>
          <w:color w:val="000000" w:themeColor="text1"/>
          <w:szCs w:val="28"/>
        </w:rPr>
        <w:t>C</w:t>
      </w:r>
      <w:r w:rsidR="001B78E9">
        <w:rPr>
          <w:rFonts w:cs="Lucida Grande"/>
          <w:color w:val="000000" w:themeColor="text1"/>
          <w:szCs w:val="28"/>
        </w:rPr>
        <w:t>ertainly C</w:t>
      </w:r>
      <w:r w:rsidR="00D1726E">
        <w:rPr>
          <w:rFonts w:cs="Lucida Grande"/>
          <w:color w:val="000000" w:themeColor="text1"/>
          <w:szCs w:val="28"/>
        </w:rPr>
        <w:t>eci and Willi</w:t>
      </w:r>
      <w:r w:rsidR="00D30237">
        <w:rPr>
          <w:rFonts w:cs="Lucida Grande"/>
          <w:color w:val="000000" w:themeColor="text1"/>
          <w:szCs w:val="28"/>
        </w:rPr>
        <w:t>ams</w:t>
      </w:r>
      <w:r w:rsidR="004D408E">
        <w:rPr>
          <w:rFonts w:cs="Lucida Grande"/>
          <w:color w:val="000000" w:themeColor="text1"/>
          <w:szCs w:val="28"/>
        </w:rPr>
        <w:t>’</w:t>
      </w:r>
      <w:r w:rsidR="00D30237">
        <w:rPr>
          <w:rFonts w:cs="Lucida Grande"/>
          <w:color w:val="000000" w:themeColor="text1"/>
          <w:szCs w:val="28"/>
        </w:rPr>
        <w:t xml:space="preserve"> </w:t>
      </w:r>
      <w:r w:rsidR="004D408E">
        <w:rPr>
          <w:rFonts w:cs="Lucida Grande"/>
          <w:color w:val="000000" w:themeColor="text1"/>
          <w:szCs w:val="28"/>
        </w:rPr>
        <w:t>research</w:t>
      </w:r>
      <w:r w:rsidR="00D30237">
        <w:rPr>
          <w:rFonts w:cs="Lucida Grande"/>
          <w:color w:val="000000" w:themeColor="text1"/>
          <w:szCs w:val="28"/>
        </w:rPr>
        <w:t xml:space="preserve"> is also controversial, </w:t>
      </w:r>
      <w:r w:rsidR="001B78E9">
        <w:rPr>
          <w:rFonts w:cs="Lucida Grande"/>
          <w:color w:val="000000" w:themeColor="text1"/>
          <w:szCs w:val="28"/>
        </w:rPr>
        <w:t xml:space="preserve">and there is no assumption here that it should be accorded more evidentiary weight than any other study, </w:t>
      </w:r>
      <w:r w:rsidR="00D30237">
        <w:rPr>
          <w:rFonts w:cs="Lucida Grande"/>
          <w:color w:val="000000" w:themeColor="text1"/>
          <w:szCs w:val="28"/>
        </w:rPr>
        <w:t>though</w:t>
      </w:r>
      <w:r w:rsidR="009E2919">
        <w:rPr>
          <w:rFonts w:cs="Lucida Grande"/>
          <w:color w:val="000000" w:themeColor="text1"/>
          <w:szCs w:val="28"/>
        </w:rPr>
        <w:t xml:space="preserve"> we must consider </w:t>
      </w:r>
      <w:r w:rsidR="001B78E9">
        <w:rPr>
          <w:rFonts w:cs="Lucida Grande"/>
          <w:color w:val="000000" w:themeColor="text1"/>
          <w:szCs w:val="28"/>
        </w:rPr>
        <w:t xml:space="preserve">whether </w:t>
      </w:r>
      <w:r w:rsidR="009E2919">
        <w:rPr>
          <w:rFonts w:cs="Lucida Grande"/>
          <w:color w:val="000000" w:themeColor="text1"/>
          <w:szCs w:val="28"/>
        </w:rPr>
        <w:t xml:space="preserve">some of the </w:t>
      </w:r>
      <w:r w:rsidR="001B78E9">
        <w:rPr>
          <w:rFonts w:cs="Lucida Grande"/>
          <w:color w:val="000000" w:themeColor="text1"/>
          <w:szCs w:val="28"/>
        </w:rPr>
        <w:t xml:space="preserve">negative responses </w:t>
      </w:r>
      <w:r w:rsidR="009E2919">
        <w:rPr>
          <w:rFonts w:cs="Lucida Grande"/>
          <w:color w:val="000000" w:themeColor="text1"/>
          <w:szCs w:val="28"/>
        </w:rPr>
        <w:t xml:space="preserve">they </w:t>
      </w:r>
      <w:r w:rsidR="001B78E9">
        <w:rPr>
          <w:rFonts w:cs="Lucida Grande"/>
          <w:color w:val="000000" w:themeColor="text1"/>
          <w:szCs w:val="28"/>
        </w:rPr>
        <w:t xml:space="preserve">have </w:t>
      </w:r>
      <w:r w:rsidR="009E2919">
        <w:rPr>
          <w:rFonts w:cs="Lucida Grande"/>
          <w:color w:val="000000" w:themeColor="text1"/>
          <w:szCs w:val="28"/>
        </w:rPr>
        <w:t>receive</w:t>
      </w:r>
      <w:r w:rsidR="001B78E9">
        <w:rPr>
          <w:rFonts w:cs="Lucida Grande"/>
          <w:color w:val="000000" w:themeColor="text1"/>
          <w:szCs w:val="28"/>
        </w:rPr>
        <w:t>d are</w:t>
      </w:r>
      <w:r w:rsidR="009E2919">
        <w:rPr>
          <w:rFonts w:cs="Lucida Grande"/>
          <w:color w:val="000000" w:themeColor="text1"/>
          <w:szCs w:val="28"/>
        </w:rPr>
        <w:t xml:space="preserve"> motivated by hostility to their </w:t>
      </w:r>
      <w:r w:rsidR="00D30237">
        <w:rPr>
          <w:rFonts w:cs="Lucida Grande"/>
          <w:color w:val="000000" w:themeColor="text1"/>
          <w:szCs w:val="28"/>
        </w:rPr>
        <w:t>findings</w:t>
      </w:r>
      <w:r w:rsidR="001B78E9">
        <w:rPr>
          <w:rFonts w:cs="Lucida Grande"/>
          <w:color w:val="000000" w:themeColor="text1"/>
          <w:szCs w:val="28"/>
        </w:rPr>
        <w:t>—</w:t>
      </w:r>
      <w:r w:rsidR="00D1726E">
        <w:rPr>
          <w:rFonts w:cs="Lucida Grande"/>
          <w:color w:val="000000" w:themeColor="text1"/>
          <w:szCs w:val="28"/>
        </w:rPr>
        <w:t>I dare the rea</w:t>
      </w:r>
      <w:r w:rsidR="00D30237">
        <w:rPr>
          <w:rFonts w:cs="Lucida Grande"/>
          <w:color w:val="000000" w:themeColor="text1"/>
          <w:szCs w:val="28"/>
        </w:rPr>
        <w:t>der to</w:t>
      </w:r>
      <w:r w:rsidR="009E2919">
        <w:rPr>
          <w:rFonts w:cs="Lucida Grande"/>
          <w:color w:val="000000" w:themeColor="text1"/>
          <w:szCs w:val="28"/>
        </w:rPr>
        <w:t xml:space="preserve"> even</w:t>
      </w:r>
      <w:r w:rsidR="00D30237">
        <w:rPr>
          <w:rFonts w:cs="Lucida Grande"/>
          <w:color w:val="000000" w:themeColor="text1"/>
          <w:szCs w:val="28"/>
        </w:rPr>
        <w:t xml:space="preserve"> find a favorable mention </w:t>
      </w:r>
      <w:r w:rsidR="000B70C9">
        <w:rPr>
          <w:rFonts w:cs="Lucida Grande"/>
          <w:color w:val="000000" w:themeColor="text1"/>
          <w:szCs w:val="28"/>
        </w:rPr>
        <w:t>of their work in an</w:t>
      </w:r>
      <w:r w:rsidR="009E2919">
        <w:rPr>
          <w:rFonts w:cs="Lucida Grande"/>
          <w:color w:val="000000" w:themeColor="text1"/>
          <w:szCs w:val="28"/>
        </w:rPr>
        <w:t xml:space="preserve"> article written by a philosopher</w:t>
      </w:r>
      <w:r w:rsidR="001B78E9">
        <w:rPr>
          <w:rFonts w:cs="Lucida Grande"/>
          <w:color w:val="000000" w:themeColor="text1"/>
          <w:szCs w:val="28"/>
        </w:rPr>
        <w:t xml:space="preserve"> in a mainstream journal</w:t>
      </w:r>
      <w:r w:rsidR="009E2919">
        <w:rPr>
          <w:rFonts w:cs="Lucida Grande"/>
          <w:color w:val="000000" w:themeColor="text1"/>
          <w:szCs w:val="28"/>
        </w:rPr>
        <w:t>.</w:t>
      </w:r>
      <w:r w:rsidR="008E66AB">
        <w:rPr>
          <w:rStyle w:val="FootnoteReference"/>
          <w:rFonts w:cs="Lucida Grande"/>
          <w:color w:val="000000" w:themeColor="text1"/>
          <w:szCs w:val="28"/>
        </w:rPr>
        <w:footnoteReference w:id="93"/>
      </w:r>
    </w:p>
    <w:p w14:paraId="34B0CB62" w14:textId="015145C8" w:rsidR="007E06C0" w:rsidRPr="00056C9B" w:rsidRDefault="00C61C82" w:rsidP="009E2919">
      <w:pPr>
        <w:spacing w:line="480" w:lineRule="auto"/>
        <w:ind w:firstLine="720"/>
      </w:pPr>
      <w:r>
        <w:rPr>
          <w:rFonts w:cs="Lucida Grande"/>
          <w:color w:val="000000" w:themeColor="text1"/>
          <w:szCs w:val="28"/>
        </w:rPr>
        <w:t>Meanwhile</w:t>
      </w:r>
      <w:r w:rsidR="00056C9B">
        <w:rPr>
          <w:rFonts w:cs="Lucida Grande"/>
          <w:color w:val="000000" w:themeColor="text1"/>
          <w:szCs w:val="28"/>
        </w:rPr>
        <w:t xml:space="preserve"> </w:t>
      </w:r>
      <w:r>
        <w:rPr>
          <w:rFonts w:cs="Times New Roman"/>
        </w:rPr>
        <w:t>t</w:t>
      </w:r>
      <w:r w:rsidR="007C07A9">
        <w:rPr>
          <w:rFonts w:cs="Times New Roman"/>
        </w:rPr>
        <w:t>here has been little direct wor</w:t>
      </w:r>
      <w:r w:rsidR="004D4310">
        <w:rPr>
          <w:rFonts w:cs="Times New Roman"/>
        </w:rPr>
        <w:t>k i</w:t>
      </w:r>
      <w:r w:rsidR="00475571">
        <w:rPr>
          <w:rFonts w:cs="Times New Roman"/>
        </w:rPr>
        <w:t xml:space="preserve">n </w:t>
      </w:r>
      <w:r w:rsidR="004D4310">
        <w:rPr>
          <w:rFonts w:cs="Times New Roman"/>
        </w:rPr>
        <w:t xml:space="preserve">the humanities.  </w:t>
      </w:r>
      <w:r w:rsidR="001711B7">
        <w:rPr>
          <w:rFonts w:cs="Times New Roman"/>
        </w:rPr>
        <w:t>O</w:t>
      </w:r>
      <w:r w:rsidR="007C07A9">
        <w:rPr>
          <w:rFonts w:cs="Times New Roman"/>
        </w:rPr>
        <w:t xml:space="preserve">ne exception is a </w:t>
      </w:r>
      <w:r w:rsidR="007D5646" w:rsidRPr="004907C3">
        <w:rPr>
          <w:rFonts w:cs="Times New Roman"/>
        </w:rPr>
        <w:t xml:space="preserve">widely reported </w:t>
      </w:r>
      <w:r w:rsidR="0088534D" w:rsidRPr="004907C3">
        <w:rPr>
          <w:rFonts w:cs="Times New Roman"/>
        </w:rPr>
        <w:t xml:space="preserve">recent </w:t>
      </w:r>
      <w:r w:rsidR="007C07A9">
        <w:rPr>
          <w:rFonts w:cs="Times New Roman"/>
        </w:rPr>
        <w:t>study</w:t>
      </w:r>
      <w:r w:rsidR="00BB62E9">
        <w:rPr>
          <w:rFonts w:cs="Times New Roman"/>
        </w:rPr>
        <w:t xml:space="preserve"> </w:t>
      </w:r>
      <w:r w:rsidR="00CD57A1">
        <w:rPr>
          <w:rFonts w:cs="Times New Roman"/>
        </w:rPr>
        <w:t xml:space="preserve">purporting to show </w:t>
      </w:r>
      <w:r w:rsidR="007D5646" w:rsidRPr="004907C3">
        <w:rPr>
          <w:rFonts w:cs="Times New Roman"/>
        </w:rPr>
        <w:t>that “</w:t>
      </w:r>
      <w:r w:rsidR="007D5646" w:rsidRPr="004907C3">
        <w:t>Emails sent to faculty members at universities, asking to talk about research opportunities, were more likely to get a reply if a stere</w:t>
      </w:r>
      <w:r w:rsidR="0068347F" w:rsidRPr="004907C3">
        <w:t>o</w:t>
      </w:r>
      <w:r w:rsidR="00BE2F1C">
        <w:t xml:space="preserve">typically white </w:t>
      </w:r>
      <w:r w:rsidR="00056C9B">
        <w:t>name was used</w:t>
      </w:r>
      <w:r w:rsidR="00FB5C4B">
        <w:t>.</w:t>
      </w:r>
      <w:r w:rsidR="0068347F" w:rsidRPr="004907C3">
        <w:t>”</w:t>
      </w:r>
      <w:r w:rsidR="007D5646" w:rsidRPr="004907C3">
        <w:rPr>
          <w:rStyle w:val="FootnoteReference"/>
        </w:rPr>
        <w:footnoteReference w:id="94"/>
      </w:r>
      <w:r w:rsidR="00FB5C4B">
        <w:t xml:space="preserve">  Though this work seems to have gone unnoticed by philosophers, certainly they</w:t>
      </w:r>
      <w:r w:rsidR="00236A89">
        <w:t xml:space="preserve"> </w:t>
      </w:r>
      <w:r w:rsidR="00FB5C4B">
        <w:t xml:space="preserve">often </w:t>
      </w:r>
      <w:r w:rsidR="00A8251F">
        <w:t>take claims about racial bias and</w:t>
      </w:r>
      <w:r w:rsidR="00056C9B">
        <w:t xml:space="preserve"> callbacks at face value.</w:t>
      </w:r>
      <w:r w:rsidR="00056C9B">
        <w:rPr>
          <w:rStyle w:val="FootnoteReference"/>
        </w:rPr>
        <w:footnoteReference w:id="95"/>
      </w:r>
      <w:r w:rsidR="00056C9B">
        <w:t xml:space="preserve">  </w:t>
      </w:r>
      <w:r w:rsidR="00236A89">
        <w:t>And yet on the assumption that the privilege of race and gender tend to increase callbacks, what are we to make of the</w:t>
      </w:r>
      <w:r w:rsidR="00AE1E33">
        <w:t>ir</w:t>
      </w:r>
      <w:r w:rsidR="00236A89">
        <w:t xml:space="preserve"> </w:t>
      </w:r>
      <w:r w:rsidR="00AE1E33">
        <w:t xml:space="preserve">underreported </w:t>
      </w:r>
      <w:r w:rsidR="00C76295">
        <w:t>finding that H</w:t>
      </w:r>
      <w:r w:rsidR="00774872">
        <w:t>ispanic women</w:t>
      </w:r>
      <w:r w:rsidR="0014798B">
        <w:t xml:space="preserve"> were favored</w:t>
      </w:r>
      <w:r w:rsidR="007513EC">
        <w:t xml:space="preserve"> </w:t>
      </w:r>
      <w:r w:rsidR="007E06C0">
        <w:t>a</w:t>
      </w:r>
      <w:r w:rsidR="00236A89">
        <w:t>s much as white males?</w:t>
      </w:r>
      <w:r w:rsidR="007E06C0" w:rsidRPr="004907C3">
        <w:t xml:space="preserve">  </w:t>
      </w:r>
      <w:r w:rsidR="007513EC">
        <w:t>The researcher</w:t>
      </w:r>
      <w:r w:rsidR="00AE1E33">
        <w:t xml:space="preserve">s </w:t>
      </w:r>
      <w:r w:rsidR="007E4837">
        <w:t xml:space="preserve">also </w:t>
      </w:r>
      <w:r w:rsidR="00AE1E33">
        <w:t>found</w:t>
      </w:r>
      <w:r w:rsidR="007E06C0">
        <w:t xml:space="preserve"> there was no effect </w:t>
      </w:r>
      <w:r w:rsidR="007513EC">
        <w:t>with</w:t>
      </w:r>
      <w:r w:rsidR="007E06C0">
        <w:t>in any discipline if the request w</w:t>
      </w:r>
      <w:r w:rsidR="000B70C9">
        <w:t>as urgent; t</w:t>
      </w:r>
      <w:r w:rsidR="00364A52">
        <w:t xml:space="preserve">his is </w:t>
      </w:r>
      <w:r w:rsidR="00150695">
        <w:t>a little</w:t>
      </w:r>
      <w:r w:rsidR="00364A52">
        <w:t xml:space="preserve"> curious assuming</w:t>
      </w:r>
      <w:r w:rsidR="00FB5C4B">
        <w:t xml:space="preserve"> that implicit </w:t>
      </w:r>
      <w:r w:rsidR="004B6CA7">
        <w:t>biases would be more likely to affect snap judgments</w:t>
      </w:r>
      <w:r w:rsidR="00150695">
        <w:t xml:space="preserve"> </w:t>
      </w:r>
      <w:r w:rsidR="00CA3103">
        <w:t>and that</w:t>
      </w:r>
      <w:r w:rsidR="00150695">
        <w:t xml:space="preserve"> conscious and deliberative</w:t>
      </w:r>
      <w:r w:rsidR="00CA3103">
        <w:t xml:space="preserve"> judgments would occur less often in such cases</w:t>
      </w:r>
      <w:r w:rsidR="00150695">
        <w:t>.</w:t>
      </w:r>
    </w:p>
    <w:p w14:paraId="7D7738C7" w14:textId="66E4D176" w:rsidR="00C77154" w:rsidRDefault="00C5244E" w:rsidP="00C77154">
      <w:pPr>
        <w:spacing w:line="480" w:lineRule="auto"/>
        <w:ind w:firstLine="720"/>
      </w:pPr>
      <w:r>
        <w:t>For the sake of argument let</w:t>
      </w:r>
      <w:r w:rsidR="007A45B7">
        <w:t xml:space="preserve"> us </w:t>
      </w:r>
      <w:r>
        <w:t>be charitable and take</w:t>
      </w:r>
      <w:r w:rsidR="008C6E57">
        <w:t xml:space="preserve"> the</w:t>
      </w:r>
      <w:r w:rsidR="00FB5C4B">
        <w:t>ir</w:t>
      </w:r>
      <w:r w:rsidR="007A45B7">
        <w:t xml:space="preserve"> results </w:t>
      </w:r>
      <w:r w:rsidR="008C6E57">
        <w:t xml:space="preserve">at face value.  In fact </w:t>
      </w:r>
      <w:r w:rsidR="00D423E0">
        <w:t xml:space="preserve">this means its support for </w:t>
      </w:r>
      <w:r w:rsidR="00CD57A1">
        <w:t xml:space="preserve">bias in philosophy is basically zero.  </w:t>
      </w:r>
      <w:r w:rsidR="0014798B">
        <w:t>This is because a</w:t>
      </w:r>
      <w:r w:rsidR="007D5646" w:rsidRPr="004907C3">
        <w:t>lmost half the evidence indicatin</w:t>
      </w:r>
      <w:r w:rsidR="00774872">
        <w:t>g favoritism towards white men</w:t>
      </w:r>
      <w:r w:rsidR="007D5646" w:rsidRPr="004907C3">
        <w:t xml:space="preserve"> was attributable to faculty in Business and Education, with Human and Health Services, and Health Sciences accounting for the vast majority of the rest.</w:t>
      </w:r>
      <w:r w:rsidR="00FB5C4B">
        <w:rPr>
          <w:rStyle w:val="FootnoteReference"/>
        </w:rPr>
        <w:footnoteReference w:id="96"/>
      </w:r>
      <w:r w:rsidR="007D5646" w:rsidRPr="004907C3">
        <w:t xml:space="preserve"> </w:t>
      </w:r>
      <w:r w:rsidR="0014798B">
        <w:t xml:space="preserve"> </w:t>
      </w:r>
      <w:r w:rsidR="007D5646" w:rsidRPr="004907C3">
        <w:t xml:space="preserve">There was </w:t>
      </w:r>
      <w:r w:rsidR="0014798B">
        <w:t>little evidence of prejudice</w:t>
      </w:r>
      <w:r w:rsidR="007D5646" w:rsidRPr="004907C3">
        <w:t xml:space="preserve"> in the h</w:t>
      </w:r>
      <w:r w:rsidR="00774872">
        <w:t>ard sciences, even less in the Social S</w:t>
      </w:r>
      <w:r w:rsidR="007D5646" w:rsidRPr="004907C3">
        <w:t xml:space="preserve">ciences, and essentially </w:t>
      </w:r>
      <w:r w:rsidR="007D5646" w:rsidRPr="00355334">
        <w:t>none at all</w:t>
      </w:r>
      <w:r w:rsidR="00774872">
        <w:t xml:space="preserve"> in the H</w:t>
      </w:r>
      <w:r w:rsidR="007E06C0">
        <w:t>umanities</w:t>
      </w:r>
      <w:r w:rsidR="0014798B">
        <w:t xml:space="preserve"> (and even </w:t>
      </w:r>
      <w:r w:rsidR="00774872">
        <w:t>reverse discrimination in the Fine A</w:t>
      </w:r>
      <w:r w:rsidR="0014798B">
        <w:t>rts)</w:t>
      </w:r>
      <w:r w:rsidR="007E06C0">
        <w:t>.</w:t>
      </w:r>
      <w:r w:rsidR="001B6853">
        <w:rPr>
          <w:rStyle w:val="FootnoteReference"/>
        </w:rPr>
        <w:footnoteReference w:id="97"/>
      </w:r>
      <w:r w:rsidR="00364A52">
        <w:t xml:space="preserve">  </w:t>
      </w:r>
      <w:r w:rsidR="00EB005C">
        <w:t>Thus, it</w:t>
      </w:r>
      <w:r w:rsidR="007513EC">
        <w:t xml:space="preserve"> </w:t>
      </w:r>
      <w:r w:rsidR="00C87BBF">
        <w:t xml:space="preserve">reports </w:t>
      </w:r>
      <w:r w:rsidR="0014798B">
        <w:t xml:space="preserve">no </w:t>
      </w:r>
      <w:r w:rsidR="007A45B7">
        <w:t>evidence of</w:t>
      </w:r>
      <w:r w:rsidR="00C87BBF">
        <w:t xml:space="preserve"> a </w:t>
      </w:r>
      <w:r w:rsidR="0014798B">
        <w:t xml:space="preserve">“temporal </w:t>
      </w:r>
      <w:r>
        <w:t>discrimination effect” for</w:t>
      </w:r>
      <w:r w:rsidR="0014798B">
        <w:t xml:space="preserve"> underrepresented groups</w:t>
      </w:r>
      <w:r w:rsidR="00C87BBF">
        <w:t xml:space="preserve"> in Arts and Sciences</w:t>
      </w:r>
      <w:r w:rsidR="000B70C9">
        <w:t>.  I</w:t>
      </w:r>
      <w:r w:rsidR="007F564D">
        <w:t>ndeed</w:t>
      </w:r>
      <w:r w:rsidR="000B70C9">
        <w:t>,</w:t>
      </w:r>
      <w:r w:rsidR="007F564D">
        <w:t xml:space="preserve"> A&amp;S </w:t>
      </w:r>
      <w:r w:rsidR="009D1C5F">
        <w:t>appears to be</w:t>
      </w:r>
      <w:r w:rsidR="007F564D">
        <w:t xml:space="preserve"> mostly welcoming regardless of a person’s background</w:t>
      </w:r>
      <w:r w:rsidR="000B70C9">
        <w:t xml:space="preserve">, </w:t>
      </w:r>
      <w:r w:rsidR="00207F11">
        <w:t>though I</w:t>
      </w:r>
      <w:r w:rsidR="00066FFD">
        <w:t xml:space="preserve"> </w:t>
      </w:r>
      <w:r w:rsidR="002913CC">
        <w:t>acknowledge</w:t>
      </w:r>
      <w:r w:rsidR="00066FFD">
        <w:t xml:space="preserve">, </w:t>
      </w:r>
      <w:r w:rsidR="007E4837">
        <w:t>again attired</w:t>
      </w:r>
      <w:r w:rsidR="00066FFD">
        <w:t xml:space="preserve"> in skepticism, </w:t>
      </w:r>
      <w:r w:rsidR="002913CC">
        <w:t>that</w:t>
      </w:r>
      <w:r w:rsidR="00C77154">
        <w:t xml:space="preserve"> this is only one </w:t>
      </w:r>
      <w:r w:rsidR="00AE1E33">
        <w:t>possibly flawed study.  However,</w:t>
      </w:r>
      <w:r w:rsidR="00C77154">
        <w:t xml:space="preserve"> in failing to find evidence of disproportionate treatment, the default supposition is not that </w:t>
      </w:r>
      <w:r w:rsidR="00977621">
        <w:t xml:space="preserve">implicit </w:t>
      </w:r>
      <w:r w:rsidR="00C77154">
        <w:t>bias exists and is in hiding.</w:t>
      </w:r>
      <w:r w:rsidR="00AE1E33">
        <w:t xml:space="preserve">  The burden of </w:t>
      </w:r>
      <w:r w:rsidR="007E4837">
        <w:t>argument is not on the skeptic.  But let us</w:t>
      </w:r>
      <w:r w:rsidR="00AE1E33">
        <w:t xml:space="preserve"> keep looking.</w:t>
      </w:r>
    </w:p>
    <w:p w14:paraId="61CA23C0" w14:textId="77777777" w:rsidR="00B07C64" w:rsidRDefault="00EA779B" w:rsidP="007E4837">
      <w:pPr>
        <w:spacing w:line="480" w:lineRule="auto"/>
      </w:pPr>
      <w:r>
        <w:t>9</w:t>
      </w:r>
      <w:r w:rsidR="00BF4C93">
        <w:t xml:space="preserve">. </w:t>
      </w:r>
      <w:r w:rsidR="002A5704" w:rsidRPr="00FB05B1">
        <w:t xml:space="preserve"> STEREOTYPE THREAT AND CURRICULUM INCLUSIVITY</w:t>
      </w:r>
    </w:p>
    <w:p w14:paraId="22CA6786" w14:textId="3B7A2ED2" w:rsidR="0093246F" w:rsidRDefault="00172E40" w:rsidP="004477F2">
      <w:pPr>
        <w:spacing w:line="480" w:lineRule="auto"/>
      </w:pPr>
      <w:r>
        <w:t>Another po</w:t>
      </w:r>
      <w:r w:rsidR="007422CC">
        <w:t>ssible factor</w:t>
      </w:r>
      <w:r>
        <w:t xml:space="preserve"> explaining t</w:t>
      </w:r>
      <w:r w:rsidR="00225F30">
        <w:t>he low representation of women are h</w:t>
      </w:r>
      <w:r w:rsidR="00FB05B1">
        <w:t xml:space="preserve">armful </w:t>
      </w:r>
      <w:r w:rsidR="00225F30">
        <w:t>stereotypes, which might inhibit</w:t>
      </w:r>
      <w:r>
        <w:t xml:space="preserve"> </w:t>
      </w:r>
      <w:r w:rsidR="00225F30">
        <w:t xml:space="preserve">academic </w:t>
      </w:r>
      <w:r>
        <w:t xml:space="preserve">performance and </w:t>
      </w:r>
      <w:r w:rsidR="00225F30">
        <w:t xml:space="preserve">reduce </w:t>
      </w:r>
      <w:r>
        <w:t>interest.</w:t>
      </w:r>
      <w:r w:rsidR="00225F30">
        <w:t xml:space="preserve"> </w:t>
      </w:r>
      <w:r w:rsidR="00057ED5">
        <w:t xml:space="preserve"> </w:t>
      </w:r>
      <w:r w:rsidR="00597DE1">
        <w:t>However, t</w:t>
      </w:r>
      <w:r w:rsidR="00BD4D09">
        <w:t xml:space="preserve">his </w:t>
      </w:r>
      <w:r w:rsidR="00780FC6">
        <w:t>research is</w:t>
      </w:r>
      <w:r w:rsidR="00AC120C">
        <w:t xml:space="preserve"> </w:t>
      </w:r>
      <w:r w:rsidR="00597DE1">
        <w:t xml:space="preserve">even more </w:t>
      </w:r>
      <w:r w:rsidR="00B12306">
        <w:t>controversial</w:t>
      </w:r>
      <w:r w:rsidR="00597DE1">
        <w:t xml:space="preserve"> than </w:t>
      </w:r>
      <w:r w:rsidR="00030FF6">
        <w:t>IAT tasks</w:t>
      </w:r>
      <w:r w:rsidR="00597DE1">
        <w:t>,</w:t>
      </w:r>
      <w:r w:rsidR="00B12306">
        <w:rPr>
          <w:rStyle w:val="FootnoteReference"/>
        </w:rPr>
        <w:footnoteReference w:id="98"/>
      </w:r>
      <w:r w:rsidR="00BF0BB2">
        <w:t xml:space="preserve"> </w:t>
      </w:r>
      <w:r w:rsidR="002841ED">
        <w:t xml:space="preserve">and </w:t>
      </w:r>
      <w:r w:rsidR="0093246F">
        <w:t>th</w:t>
      </w:r>
      <w:r w:rsidR="007A45B7">
        <w:t>e direct experimental studies</w:t>
      </w:r>
      <w:r w:rsidR="00E90051">
        <w:t xml:space="preserve"> beginning to trickle out offer</w:t>
      </w:r>
      <w:r w:rsidR="0093246F">
        <w:t xml:space="preserve"> no </w:t>
      </w:r>
      <w:r w:rsidR="000D09B5">
        <w:t xml:space="preserve">clear </w:t>
      </w:r>
      <w:r w:rsidR="0093246F">
        <w:t>evidence of climate issues</w:t>
      </w:r>
      <w:r w:rsidR="0065457C">
        <w:t xml:space="preserve"> in introductory </w:t>
      </w:r>
      <w:r w:rsidR="0014798B">
        <w:t xml:space="preserve">philosophy </w:t>
      </w:r>
      <w:r w:rsidR="0065457C">
        <w:t>course</w:t>
      </w:r>
      <w:r w:rsidR="00262C5E">
        <w:t>s</w:t>
      </w:r>
      <w:r w:rsidR="0065457C">
        <w:t xml:space="preserve"> where the </w:t>
      </w:r>
      <w:r w:rsidR="00BD4D09">
        <w:t xml:space="preserve">“the only statistically significant” </w:t>
      </w:r>
      <w:r w:rsidR="0065457C">
        <w:t xml:space="preserve">decline in </w:t>
      </w:r>
      <w:r w:rsidR="00797251">
        <w:t xml:space="preserve">women’s </w:t>
      </w:r>
      <w:r w:rsidR="0065457C">
        <w:t>participation occurs</w:t>
      </w:r>
      <w:r w:rsidR="00854271">
        <w:t xml:space="preserve"> (from 43% in introductory courses to 35% of majors)</w:t>
      </w:r>
      <w:r w:rsidR="00BD4D09">
        <w:t>.</w:t>
      </w:r>
      <w:r w:rsidR="00BD4D09">
        <w:rPr>
          <w:rStyle w:val="FootnoteReference"/>
        </w:rPr>
        <w:footnoteReference w:id="99"/>
      </w:r>
      <w:r w:rsidR="002841ED">
        <w:t xml:space="preserve">  For example, T</w:t>
      </w:r>
      <w:r w:rsidR="009F6C20">
        <w:t xml:space="preserve">hompson </w:t>
      </w:r>
      <w:r w:rsidR="009F6C20" w:rsidRPr="002841ED">
        <w:rPr>
          <w:i/>
        </w:rPr>
        <w:t>et al.</w:t>
      </w:r>
      <w:r w:rsidR="009F6C20">
        <w:t xml:space="preserve"> </w:t>
      </w:r>
      <w:r w:rsidR="00D82D25">
        <w:t xml:space="preserve">(2016) </w:t>
      </w:r>
      <w:r w:rsidR="00192330">
        <w:t>ask</w:t>
      </w:r>
      <w:r w:rsidR="002841ED">
        <w:t xml:space="preserve">ed introductory classes over fifty </w:t>
      </w:r>
      <w:r w:rsidR="00192330">
        <w:t>climate-related questions</w:t>
      </w:r>
      <w:r w:rsidR="00D82D25">
        <w:t xml:space="preserve"> </w:t>
      </w:r>
      <w:r w:rsidR="00192330">
        <w:t>(</w:t>
      </w:r>
      <w:r w:rsidR="00D82D25">
        <w:t xml:space="preserve">let us note </w:t>
      </w:r>
      <w:r w:rsidR="00192330">
        <w:t>what</w:t>
      </w:r>
      <w:r w:rsidR="00D82D25">
        <w:t xml:space="preserve"> </w:t>
      </w:r>
      <w:r w:rsidR="00AB6608">
        <w:t xml:space="preserve">questions and answers ought </w:t>
      </w:r>
      <w:r w:rsidR="00D82D25">
        <w:t xml:space="preserve">to count </w:t>
      </w:r>
      <w:r w:rsidR="00192330">
        <w:t xml:space="preserve">as </w:t>
      </w:r>
      <w:r w:rsidR="007D25FD">
        <w:t xml:space="preserve">pertaining to </w:t>
      </w:r>
      <w:r w:rsidR="00192330">
        <w:t xml:space="preserve">climate-related </w:t>
      </w:r>
      <w:r w:rsidR="00192330">
        <w:rPr>
          <w:i/>
        </w:rPr>
        <w:t>bias</w:t>
      </w:r>
      <w:r w:rsidR="00192330">
        <w:t xml:space="preserve"> is not </w:t>
      </w:r>
      <w:r w:rsidR="00221BB3">
        <w:t>obvious</w:t>
      </w:r>
      <w:r w:rsidR="00192330">
        <w:t xml:space="preserve">) and their results led them to propose </w:t>
      </w:r>
      <w:r w:rsidR="00595BE8">
        <w:t xml:space="preserve">that philosophers should </w:t>
      </w:r>
      <w:r w:rsidR="00AB6608">
        <w:t>consider changing</w:t>
      </w:r>
      <w:r w:rsidR="00595BE8">
        <w:t xml:space="preserve"> their course </w:t>
      </w:r>
      <w:r w:rsidR="000D09B5">
        <w:t>methods</w:t>
      </w:r>
      <w:r w:rsidR="00595BE8">
        <w:t xml:space="preserve"> and </w:t>
      </w:r>
      <w:r w:rsidR="000D09B5">
        <w:t>content to better fit women’s preferences</w:t>
      </w:r>
      <w:r w:rsidR="002841ED">
        <w:t xml:space="preserve">, </w:t>
      </w:r>
      <w:r w:rsidR="00B647F7">
        <w:t>such as</w:t>
      </w:r>
      <w:r w:rsidR="007E1BDA">
        <w:t xml:space="preserve"> </w:t>
      </w:r>
      <w:r w:rsidR="00221BB3">
        <w:t>by deemphasizing</w:t>
      </w:r>
      <w:r w:rsidR="007D25FD">
        <w:t xml:space="preserve"> </w:t>
      </w:r>
      <w:r w:rsidR="00595BE8">
        <w:t>thought experiments</w:t>
      </w:r>
      <w:r w:rsidR="000D09B5">
        <w:t>.</w:t>
      </w:r>
      <w:r w:rsidR="00595BE8">
        <w:rPr>
          <w:rStyle w:val="FootnoteReference"/>
        </w:rPr>
        <w:footnoteReference w:id="100"/>
      </w:r>
      <w:r w:rsidR="00353374">
        <w:t xml:space="preserve">  </w:t>
      </w:r>
      <w:r w:rsidR="00221BB3">
        <w:t xml:space="preserve">Oddly, they also recommended including more science-related readings despite their finding that </w:t>
      </w:r>
      <w:r w:rsidR="000D09B5">
        <w:t>women cared little (and much less than men) about curricula changes that would incorporate more scientific</w:t>
      </w:r>
      <w:r w:rsidR="00221BB3">
        <w:t xml:space="preserve"> approaches</w:t>
      </w:r>
      <w:r w:rsidR="000D09B5">
        <w:t>, and</w:t>
      </w:r>
      <w:r w:rsidR="00221BB3">
        <w:t xml:space="preserve"> </w:t>
      </w:r>
      <w:r w:rsidR="000D09B5">
        <w:t>showed a significantly stronger preference for “non-philosophical texts” such as literature and newspapers.</w:t>
      </w:r>
      <w:r w:rsidR="000D09B5">
        <w:rPr>
          <w:rStyle w:val="FootnoteReference"/>
        </w:rPr>
        <w:footnoteReference w:id="101"/>
      </w:r>
      <w:r w:rsidR="00221BB3">
        <w:t xml:space="preserve">  </w:t>
      </w:r>
      <w:r w:rsidR="007E1BDA">
        <w:t>Notably, both male and female students agreed strongly that students were treated with equal respect, regardless of race or gender.</w:t>
      </w:r>
      <w:r w:rsidR="007E1BDA">
        <w:rPr>
          <w:rStyle w:val="FootnoteReference"/>
        </w:rPr>
        <w:footnoteReference w:id="102"/>
      </w:r>
      <w:r w:rsidR="00062097">
        <w:t xml:space="preserve">  Thompson </w:t>
      </w:r>
      <w:r w:rsidR="00062097" w:rsidRPr="002841ED">
        <w:rPr>
          <w:i/>
        </w:rPr>
        <w:t xml:space="preserve">et al. </w:t>
      </w:r>
      <w:r w:rsidR="00221BB3">
        <w:t xml:space="preserve">also </w:t>
      </w:r>
      <w:r w:rsidR="00062097">
        <w:t xml:space="preserve">found that </w:t>
      </w:r>
      <w:r w:rsidR="00062097" w:rsidRPr="00062097">
        <w:t xml:space="preserve">women </w:t>
      </w:r>
      <w:r w:rsidR="00221BB3">
        <w:t>were</w:t>
      </w:r>
      <w:r w:rsidR="00062097">
        <w:t xml:space="preserve"> not </w:t>
      </w:r>
      <w:r w:rsidR="00062097" w:rsidRPr="00062097">
        <w:t>as</w:t>
      </w:r>
      <w:r w:rsidR="00353374">
        <w:t xml:space="preserve"> excited about</w:t>
      </w:r>
      <w:r w:rsidR="00221BB3">
        <w:t xml:space="preserve"> philosophy </w:t>
      </w:r>
      <w:r w:rsidR="00062097" w:rsidRPr="00062097">
        <w:t>as men</w:t>
      </w:r>
      <w:r w:rsidR="00062097">
        <w:t>: they enjoyed the class less, they found it le</w:t>
      </w:r>
      <w:r w:rsidR="00353374">
        <w:t>ss interesting, less relevant, though</w:t>
      </w:r>
      <w:r w:rsidR="00062097">
        <w:t xml:space="preserve"> they also didn’t think they’d be </w:t>
      </w:r>
      <w:r w:rsidR="00353374">
        <w:t xml:space="preserve">as </w:t>
      </w:r>
      <w:r w:rsidR="00062097">
        <w:t>good at it</w:t>
      </w:r>
      <w:r w:rsidR="00FC159C">
        <w:t xml:space="preserve">, </w:t>
      </w:r>
      <w:r w:rsidR="00353374">
        <w:t xml:space="preserve">and were less likely to think </w:t>
      </w:r>
      <w:r w:rsidR="00FC159C">
        <w:t>they had a lot in common with the typical philosophy major</w:t>
      </w:r>
      <w:r w:rsidR="00353374">
        <w:t>.  Bu</w:t>
      </w:r>
      <w:r w:rsidR="00062097">
        <w:t>t are they less interested because</w:t>
      </w:r>
      <w:r w:rsidR="00404750">
        <w:t xml:space="preserve"> they think aren’t as good</w:t>
      </w:r>
      <w:r w:rsidR="00062097">
        <w:t xml:space="preserve"> </w:t>
      </w:r>
      <w:r w:rsidR="00353374">
        <w:t xml:space="preserve">or don’t fit in, </w:t>
      </w:r>
      <w:r w:rsidR="00062097">
        <w:t>or</w:t>
      </w:r>
      <w:r w:rsidR="002E62A9">
        <w:t xml:space="preserve"> </w:t>
      </w:r>
      <w:r w:rsidR="00404750">
        <w:t xml:space="preserve">do they think </w:t>
      </w:r>
      <w:r w:rsidR="002E416D">
        <w:t>they aren’t as good or don’t fit in</w:t>
      </w:r>
      <w:r w:rsidR="00F53365">
        <w:t xml:space="preserve"> </w:t>
      </w:r>
      <w:r w:rsidR="00062097">
        <w:t>because interest is an important driver when it comes to performance</w:t>
      </w:r>
      <w:r w:rsidR="00F53365">
        <w:t xml:space="preserve"> and satisfaction</w:t>
      </w:r>
      <w:r w:rsidR="00062097">
        <w:t>?  Thompson</w:t>
      </w:r>
      <w:r w:rsidR="00364A52">
        <w:t xml:space="preserve"> </w:t>
      </w:r>
      <w:r w:rsidR="00364A52" w:rsidRPr="002E62A9">
        <w:rPr>
          <w:i/>
        </w:rPr>
        <w:t>et al.</w:t>
      </w:r>
      <w:r w:rsidR="00062097">
        <w:t>’s study cannot answer</w:t>
      </w:r>
      <w:r w:rsidR="006436C6">
        <w:t xml:space="preserve"> this question, and errs in assuming that philosophy has a burden to transform into something more non-philosophical just because some </w:t>
      </w:r>
      <w:r w:rsidR="00404750">
        <w:t>students</w:t>
      </w:r>
      <w:r w:rsidR="006436C6">
        <w:t xml:space="preserve"> might find it more enjoyable.</w:t>
      </w:r>
      <w:r w:rsidR="00AF5828">
        <w:t xml:space="preserve">  </w:t>
      </w:r>
      <w:r w:rsidR="00F53365">
        <w:t>Meanwhile</w:t>
      </w:r>
      <w:r w:rsidR="005E3A05">
        <w:t>,</w:t>
      </w:r>
      <w:r w:rsidR="00F53365">
        <w:t xml:space="preserve"> a</w:t>
      </w:r>
      <w:r w:rsidR="004477F2">
        <w:t xml:space="preserve"> recent U</w:t>
      </w:r>
      <w:r w:rsidR="005E3A05">
        <w:t xml:space="preserve">niversity of Sydney study </w:t>
      </w:r>
      <w:r w:rsidR="004477F2">
        <w:t>“f</w:t>
      </w:r>
      <w:r w:rsidR="00AB6608">
        <w:t xml:space="preserve">ailed to find any evidence that </w:t>
      </w:r>
      <w:r w:rsidR="004477F2">
        <w:t>introductory philosophy courses…disproportionately discourages female students from continuing in philosophy relative to male students.”</w:t>
      </w:r>
      <w:r w:rsidR="004477F2">
        <w:rPr>
          <w:rStyle w:val="FootnoteReference"/>
        </w:rPr>
        <w:footnoteReference w:id="103"/>
      </w:r>
      <w:r w:rsidR="004477F2">
        <w:t xml:space="preserve">  One noteworthy </w:t>
      </w:r>
      <w:r w:rsidR="0093246F">
        <w:t xml:space="preserve">finding </w:t>
      </w:r>
      <w:r w:rsidR="005E3A05">
        <w:t xml:space="preserve">here </w:t>
      </w:r>
      <w:r w:rsidR="0093246F">
        <w:t xml:space="preserve">is that </w:t>
      </w:r>
      <w:r w:rsidR="0060045E">
        <w:t>students who are not white men</w:t>
      </w:r>
      <w:r w:rsidR="0093246F">
        <w:t xml:space="preserve"> are more likely to perceive philosophy as impractical when it</w:t>
      </w:r>
      <w:r w:rsidR="0060045E">
        <w:t xml:space="preserve"> </w:t>
      </w:r>
      <w:r w:rsidR="0093246F">
        <w:t xml:space="preserve">comes to </w:t>
      </w:r>
      <w:r w:rsidR="00780FC6">
        <w:t xml:space="preserve">obtaining </w:t>
      </w:r>
      <w:r w:rsidR="009749D1">
        <w:t>a good job</w:t>
      </w:r>
      <w:r w:rsidR="0093246F">
        <w:t>.  A</w:t>
      </w:r>
      <w:r w:rsidR="0065457C">
        <w:t>lthough</w:t>
      </w:r>
      <w:r w:rsidR="00EE7783">
        <w:t xml:space="preserve"> a </w:t>
      </w:r>
      <w:r w:rsidR="0060045E">
        <w:t xml:space="preserve">brief </w:t>
      </w:r>
      <w:r w:rsidR="0093246F">
        <w:t xml:space="preserve">presentation about philosophy’s utility </w:t>
      </w:r>
      <w:r w:rsidR="0060045E">
        <w:t>seemed to improve</w:t>
      </w:r>
      <w:r w:rsidR="009749D1">
        <w:t xml:space="preserve"> </w:t>
      </w:r>
      <w:r w:rsidR="0093246F">
        <w:t>t</w:t>
      </w:r>
      <w:r w:rsidR="003E3680">
        <w:t>his perc</w:t>
      </w:r>
      <w:r w:rsidR="007A45B7">
        <w:t xml:space="preserve">eption, it </w:t>
      </w:r>
      <w:r w:rsidR="0093246F">
        <w:t>did not change the frequency at which women an</w:t>
      </w:r>
      <w:r w:rsidR="00F16EE4">
        <w:t>d visible minorities join</w:t>
      </w:r>
      <w:r w:rsidR="00270F3F">
        <w:t>ed</w:t>
      </w:r>
      <w:r w:rsidR="007422CC">
        <w:t xml:space="preserve"> the m</w:t>
      </w:r>
      <w:r w:rsidR="0093246F">
        <w:t>ajor.</w:t>
      </w:r>
      <w:r w:rsidR="00EE7783">
        <w:rPr>
          <w:rStyle w:val="FootnoteReference"/>
        </w:rPr>
        <w:footnoteReference w:id="104"/>
      </w:r>
      <w:r w:rsidR="0065457C">
        <w:t xml:space="preserve">  </w:t>
      </w:r>
      <w:r w:rsidR="007A45B7">
        <w:t>Some might find this discouraging.  But w</w:t>
      </w:r>
      <w:r w:rsidR="0065457C">
        <w:t>hile it is often assumed there should be</w:t>
      </w:r>
      <w:r w:rsidR="009749D1">
        <w:t xml:space="preserve"> efforts at changing stereotypes, there </w:t>
      </w:r>
      <w:r w:rsidR="002A5704">
        <w:t>is a degree of naivet</w:t>
      </w:r>
      <w:r w:rsidR="002A5704">
        <w:rPr>
          <w:rFonts w:ascii="Cambria" w:hAnsi="Cambria"/>
        </w:rPr>
        <w:t>é</w:t>
      </w:r>
      <w:r w:rsidR="00F81352">
        <w:t xml:space="preserve"> in the suggestion</w:t>
      </w:r>
      <w:r w:rsidR="00F16EE4">
        <w:t xml:space="preserve">.  </w:t>
      </w:r>
      <w:r w:rsidR="009749D1">
        <w:t xml:space="preserve">Why ought </w:t>
      </w:r>
      <w:r w:rsidR="000C7EA8">
        <w:t xml:space="preserve">perceptions of </w:t>
      </w:r>
      <w:r w:rsidR="009749D1">
        <w:t xml:space="preserve">stereotypes be changed if they are </w:t>
      </w:r>
      <w:r w:rsidR="000C7EA8" w:rsidRPr="002E62A9">
        <w:t>correct</w:t>
      </w:r>
      <w:r w:rsidR="00FB05B1" w:rsidRPr="002E62A9">
        <w:t xml:space="preserve"> </w:t>
      </w:r>
      <w:r w:rsidR="00FB05B1">
        <w:t xml:space="preserve">(such as that philosophy is </w:t>
      </w:r>
      <w:r w:rsidR="00E90051">
        <w:t xml:space="preserve">probably </w:t>
      </w:r>
      <w:r w:rsidR="0060045E">
        <w:t>far from an optimal</w:t>
      </w:r>
      <w:r w:rsidR="00FB05B1">
        <w:t xml:space="preserve"> major when it comes to finding a secure career)</w:t>
      </w:r>
      <w:r w:rsidR="00E71D44">
        <w:t>?</w:t>
      </w:r>
      <w:r w:rsidR="002A5704">
        <w:rPr>
          <w:rStyle w:val="FootnoteReference"/>
        </w:rPr>
        <w:footnoteReference w:id="105"/>
      </w:r>
      <w:r w:rsidR="00E71D44">
        <w:t xml:space="preserve">  </w:t>
      </w:r>
      <w:r w:rsidR="002E62A9">
        <w:t>This brings me</w:t>
      </w:r>
      <w:r w:rsidR="00D92DB5">
        <w:t xml:space="preserve"> </w:t>
      </w:r>
      <w:r w:rsidR="002E62A9">
        <w:t>to what I wil</w:t>
      </w:r>
      <w:r w:rsidR="009749D1">
        <w:t>l call the P</w:t>
      </w:r>
      <w:r w:rsidR="00F81352">
        <w:t xml:space="preserve">rudential Reasoning hypothesis: </w:t>
      </w:r>
      <w:r w:rsidR="008C6E57">
        <w:t xml:space="preserve">perhaps </w:t>
      </w:r>
      <w:r w:rsidR="0060045E">
        <w:t>men</w:t>
      </w:r>
      <w:r w:rsidR="009749D1">
        <w:t xml:space="preserve"> enjoying a high-Social Economic Status (SES) are more likely to take </w:t>
      </w:r>
      <w:r w:rsidR="008C6E57">
        <w:t>risks with their future careers</w:t>
      </w:r>
      <w:r w:rsidR="009749D1">
        <w:t xml:space="preserve"> because they are more</w:t>
      </w:r>
      <w:r w:rsidR="008C6E57">
        <w:t xml:space="preserve"> </w:t>
      </w:r>
      <w:r w:rsidR="009749D1">
        <w:t>c</w:t>
      </w:r>
      <w:r w:rsidR="002E62A9">
        <w:t>onfident</w:t>
      </w:r>
      <w:r w:rsidR="009749D1">
        <w:t xml:space="preserve"> that everything will turn out </w:t>
      </w:r>
      <w:r w:rsidR="008C6E57">
        <w:t>al</w:t>
      </w:r>
      <w:r w:rsidR="00E3169A">
        <w:t xml:space="preserve">l </w:t>
      </w:r>
      <w:r w:rsidR="009749D1">
        <w:t xml:space="preserve">right. </w:t>
      </w:r>
      <w:r w:rsidR="00FD57D2">
        <w:t xml:space="preserve"> </w:t>
      </w:r>
      <w:r w:rsidR="009749D1">
        <w:t xml:space="preserve">Meanwhile, </w:t>
      </w:r>
      <w:r w:rsidR="00FD57D2">
        <w:t xml:space="preserve">perhaps </w:t>
      </w:r>
      <w:r w:rsidR="0060045E">
        <w:t>women and lower-SES men</w:t>
      </w:r>
      <w:r w:rsidR="009749D1">
        <w:t xml:space="preserve"> have a more practical outlook and seek educational opportunities accordingly.</w:t>
      </w:r>
      <w:r w:rsidR="0065457C">
        <w:t xml:space="preserve"> </w:t>
      </w:r>
      <w:r w:rsidR="0080521D">
        <w:t xml:space="preserve"> </w:t>
      </w:r>
      <w:r w:rsidR="0065457C">
        <w:t>I</w:t>
      </w:r>
      <w:r w:rsidR="00780FC6">
        <w:t>n other words, i</w:t>
      </w:r>
      <w:r w:rsidR="0065457C">
        <w:t>f the perceptions</w:t>
      </w:r>
      <w:r w:rsidR="00A95ACA">
        <w:t xml:space="preserve"> of wome</w:t>
      </w:r>
      <w:r w:rsidR="0065457C">
        <w:t>n and</w:t>
      </w:r>
      <w:r w:rsidR="008257BB">
        <w:t xml:space="preserve"> lower-SES </w:t>
      </w:r>
      <w:r w:rsidR="0060045E">
        <w:t>men</w:t>
      </w:r>
      <w:r w:rsidR="008257BB">
        <w:t xml:space="preserve"> about the practical value of a philosophy degree are </w:t>
      </w:r>
      <w:r w:rsidR="000C7EA8">
        <w:t>right,</w:t>
      </w:r>
      <w:r w:rsidR="009E67AD">
        <w:t xml:space="preserve"> this turns the question of poor </w:t>
      </w:r>
      <w:r w:rsidR="002E62A9">
        <w:t xml:space="preserve">representation upside-down.  </w:t>
      </w:r>
      <w:r w:rsidR="008257BB">
        <w:t xml:space="preserve"> </w:t>
      </w:r>
      <w:r w:rsidR="002E62A9">
        <w:t>W</w:t>
      </w:r>
      <w:r w:rsidR="008257BB">
        <w:t xml:space="preserve">hy is there such a </w:t>
      </w:r>
      <w:r w:rsidR="008257BB" w:rsidRPr="000C7EA8">
        <w:rPr>
          <w:i/>
        </w:rPr>
        <w:t>surplus</w:t>
      </w:r>
      <w:r w:rsidR="008257BB" w:rsidRPr="00797251">
        <w:t xml:space="preserve"> </w:t>
      </w:r>
      <w:r w:rsidR="008257BB">
        <w:t>of high-SES individuals?</w:t>
      </w:r>
      <w:r w:rsidR="007A45B7">
        <w:t xml:space="preserve">  </w:t>
      </w:r>
      <w:r w:rsidR="007016A8">
        <w:t xml:space="preserve">Perhaps </w:t>
      </w:r>
      <w:r w:rsidR="00CD57A1">
        <w:t xml:space="preserve">high-SES </w:t>
      </w:r>
      <w:r w:rsidR="00CF4B2F">
        <w:t>men tend to be worse</w:t>
      </w:r>
      <w:r w:rsidR="007016A8">
        <w:t xml:space="preserve"> at prudential reasoning.  Or perhaps they are</w:t>
      </w:r>
      <w:r w:rsidR="00FD57D2">
        <w:t xml:space="preserve"> more likely to believe that what they stud</w:t>
      </w:r>
      <w:r w:rsidR="00FB05B1">
        <w:t>y doesn’t matter, since their</w:t>
      </w:r>
      <w:r w:rsidR="00E90051">
        <w:t xml:space="preserve"> career</w:t>
      </w:r>
      <w:r w:rsidR="00C87BBF">
        <w:t xml:space="preserve"> prospects depend</w:t>
      </w:r>
      <w:r w:rsidR="00FD57D2">
        <w:t xml:space="preserve"> on </w:t>
      </w:r>
      <w:r w:rsidR="00CD57A1">
        <w:t xml:space="preserve">other things, such as </w:t>
      </w:r>
      <w:r w:rsidR="00364A52">
        <w:t>social networking, racial or gender privilege, etc</w:t>
      </w:r>
      <w:r w:rsidR="00C5244E">
        <w:t xml:space="preserve">. </w:t>
      </w:r>
      <w:r w:rsidR="00DF38CF">
        <w:t xml:space="preserve"> Or </w:t>
      </w:r>
      <w:r w:rsidR="00FD57D2">
        <w:t xml:space="preserve">perhaps </w:t>
      </w:r>
      <w:r w:rsidR="009D1C5F">
        <w:t xml:space="preserve">it has nothing to do with prudential reasoning and </w:t>
      </w:r>
      <w:r w:rsidR="00FD57D2">
        <w:t xml:space="preserve">their interests </w:t>
      </w:r>
      <w:r w:rsidR="00CF4B2F">
        <w:t>or abilities</w:t>
      </w:r>
      <w:r w:rsidR="00FB05B1">
        <w:t xml:space="preserve"> </w:t>
      </w:r>
      <w:r w:rsidR="00207F11">
        <w:t>differ for some other reason.  I am</w:t>
      </w:r>
      <w:r w:rsidR="00DF38CF">
        <w:t xml:space="preserve"> not committed to the p</w:t>
      </w:r>
      <w:r w:rsidR="00D423E0">
        <w:t xml:space="preserve">rudential reasoning hypothesis </w:t>
      </w:r>
      <w:r w:rsidR="00DF38CF">
        <w:t xml:space="preserve">and only raise it to encourage the reader to consider </w:t>
      </w:r>
      <w:r w:rsidR="00A8251F">
        <w:t xml:space="preserve">further factors that might contribute to </w:t>
      </w:r>
      <w:r w:rsidR="008C6E57">
        <w:t>gender disparities</w:t>
      </w:r>
      <w:r w:rsidR="00DF38CF">
        <w:t>.</w:t>
      </w:r>
      <w:r w:rsidR="0080521D">
        <w:rPr>
          <w:rStyle w:val="FootnoteReference"/>
        </w:rPr>
        <w:footnoteReference w:id="106"/>
      </w:r>
      <w:r w:rsidR="00CF4B2F">
        <w:t xml:space="preserve">  </w:t>
      </w:r>
    </w:p>
    <w:p w14:paraId="49F2534D" w14:textId="6D470544" w:rsidR="00C33556" w:rsidRDefault="000C6492" w:rsidP="005B150A">
      <w:pPr>
        <w:spacing w:line="480" w:lineRule="auto"/>
        <w:ind w:firstLine="720"/>
      </w:pPr>
      <w:r>
        <w:t>Another</w:t>
      </w:r>
      <w:r w:rsidR="004D4310">
        <w:t xml:space="preserve"> </w:t>
      </w:r>
      <w:r w:rsidR="00434827">
        <w:t xml:space="preserve">way to counter </w:t>
      </w:r>
      <w:r w:rsidR="00B745DC">
        <w:t xml:space="preserve">possible </w:t>
      </w:r>
      <w:r w:rsidR="00225F30">
        <w:t>negative stereotypes</w:t>
      </w:r>
      <w:r>
        <w:t xml:space="preserve"> </w:t>
      </w:r>
      <w:r w:rsidR="00434827">
        <w:t>is</w:t>
      </w:r>
      <w:r>
        <w:t xml:space="preserve"> </w:t>
      </w:r>
      <w:r w:rsidR="0028086D" w:rsidRPr="004907C3">
        <w:t>curriculum reform</w:t>
      </w:r>
      <w:r w:rsidR="00635F2C">
        <w:t>, which may</w:t>
      </w:r>
      <w:r>
        <w:t xml:space="preserve"> help</w:t>
      </w:r>
      <w:r w:rsidR="008B7A29" w:rsidRPr="004907C3">
        <w:t xml:space="preserve"> foster </w:t>
      </w:r>
      <w:r w:rsidR="0028086D" w:rsidRPr="004907C3">
        <w:t xml:space="preserve">women’s </w:t>
      </w:r>
      <w:r w:rsidR="008B7A29" w:rsidRPr="004907C3">
        <w:t xml:space="preserve">interest and </w:t>
      </w:r>
      <w:r w:rsidR="0028086D" w:rsidRPr="004907C3">
        <w:t>sense of</w:t>
      </w:r>
      <w:r w:rsidR="008C3159" w:rsidRPr="004907C3">
        <w:t xml:space="preserve"> belonging in </w:t>
      </w:r>
      <w:r w:rsidR="0028086D" w:rsidRPr="004907C3">
        <w:t>philosophy classroom</w:t>
      </w:r>
      <w:r w:rsidR="008C3159" w:rsidRPr="004907C3">
        <w:t>s</w:t>
      </w:r>
      <w:r w:rsidR="0028086D" w:rsidRPr="004907C3">
        <w:t>.</w:t>
      </w:r>
      <w:r w:rsidR="002E3F9F">
        <w:rPr>
          <w:rStyle w:val="FootnoteReference"/>
        </w:rPr>
        <w:footnoteReference w:id="107"/>
      </w:r>
      <w:r w:rsidR="0028086D" w:rsidRPr="004907C3">
        <w:t xml:space="preserve"> </w:t>
      </w:r>
      <w:r w:rsidR="008C3159" w:rsidRPr="004907C3">
        <w:t xml:space="preserve"> </w:t>
      </w:r>
      <w:r w:rsidR="00FB05B1">
        <w:t xml:space="preserve">The most </w:t>
      </w:r>
      <w:r w:rsidR="007E4837">
        <w:t xml:space="preserve">elaborate </w:t>
      </w:r>
      <w:r w:rsidR="002E3F9F">
        <w:t xml:space="preserve">defense of this </w:t>
      </w:r>
      <w:r w:rsidR="007E4837">
        <w:t>strategy</w:t>
      </w:r>
      <w:r w:rsidR="00207F11">
        <w:t xml:space="preserve"> I </w:t>
      </w:r>
      <w:r w:rsidR="00FB05B1">
        <w:t>could find is</w:t>
      </w:r>
      <w:r w:rsidR="002E3F9F">
        <w:t xml:space="preserve"> </w:t>
      </w:r>
      <w:r w:rsidR="008C3159" w:rsidRPr="004907C3">
        <w:t>Norlock (2012)</w:t>
      </w:r>
      <w:r w:rsidR="002E3F9F">
        <w:t xml:space="preserve"> </w:t>
      </w:r>
      <w:r w:rsidR="00491342">
        <w:t>who writes that</w:t>
      </w:r>
      <w:r w:rsidR="0059553A">
        <w:t xml:space="preserve"> “empirical evidence” attests to</w:t>
      </w:r>
      <w:r w:rsidR="00E14B22">
        <w:t xml:space="preserve"> the benefits of more </w:t>
      </w:r>
      <w:r w:rsidR="00523B41">
        <w:t>“</w:t>
      </w:r>
      <w:r w:rsidR="00E14B22">
        <w:t xml:space="preserve">inclusive </w:t>
      </w:r>
      <w:r w:rsidR="00523B41">
        <w:t>curricula including diverse offerings on syllabi</w:t>
      </w:r>
      <w:r w:rsidR="005B150A">
        <w:t>.</w:t>
      </w:r>
      <w:r w:rsidR="00523B41">
        <w:t>”</w:t>
      </w:r>
      <w:r w:rsidR="00E71D44">
        <w:rPr>
          <w:rStyle w:val="FootnoteReference"/>
          <w:rFonts w:cs="Times New Roman"/>
          <w:color w:val="2B2E34"/>
          <w:szCs w:val="20"/>
        </w:rPr>
        <w:footnoteReference w:id="108"/>
      </w:r>
      <w:r w:rsidR="005B150A">
        <w:rPr>
          <w:rFonts w:cs="Times New Roman"/>
          <w:color w:val="2B2E34"/>
          <w:szCs w:val="20"/>
        </w:rPr>
        <w:t xml:space="preserve">  </w:t>
      </w:r>
      <w:r w:rsidR="008C3159" w:rsidRPr="004907C3">
        <w:t xml:space="preserve">Norlock </w:t>
      </w:r>
      <w:r w:rsidR="005B150A">
        <w:t xml:space="preserve">recommends </w:t>
      </w:r>
      <w:r w:rsidR="008C3159" w:rsidRPr="004907C3">
        <w:t>“the deliberate inclusion of perspectives of women and nonwhite scholars at those points in a course curriculum at which such perspectives are traditionally marginalized or overlooked” especially “the pointed effort to include women on int</w:t>
      </w:r>
      <w:r w:rsidR="00E71D44">
        <w:t>roductory syllabi.”</w:t>
      </w:r>
      <w:r w:rsidR="00E71D44">
        <w:rPr>
          <w:rStyle w:val="FootnoteReference"/>
        </w:rPr>
        <w:footnoteReference w:id="109"/>
      </w:r>
      <w:r w:rsidR="009A6448" w:rsidRPr="004907C3">
        <w:t xml:space="preserve">  </w:t>
      </w:r>
      <w:r w:rsidR="00DF38CF">
        <w:t>T</w:t>
      </w:r>
      <w:r w:rsidR="007E4837">
        <w:t>he</w:t>
      </w:r>
      <w:r w:rsidR="008C3159" w:rsidRPr="004907C3">
        <w:t xml:space="preserve"> benefits of i</w:t>
      </w:r>
      <w:r w:rsidR="00DF38CF">
        <w:t>nclusive curricula, she argues,</w:t>
      </w:r>
      <w:r w:rsidR="008C3159" w:rsidRPr="004907C3">
        <w:t xml:space="preserve"> are “repeatedly verified” when it comes to student eng</w:t>
      </w:r>
      <w:r w:rsidR="009A6448" w:rsidRPr="004907C3">
        <w:t>agement,</w:t>
      </w:r>
      <w:r w:rsidR="002B7F4C" w:rsidRPr="004907C3">
        <w:t xml:space="preserve"> learning outcomes and critical thinking</w:t>
      </w:r>
      <w:r w:rsidR="00495B89" w:rsidRPr="004907C3">
        <w:t xml:space="preserve">. </w:t>
      </w:r>
      <w:r w:rsidR="006539A5">
        <w:t xml:space="preserve">  </w:t>
      </w:r>
    </w:p>
    <w:p w14:paraId="70727FB8" w14:textId="3505775E" w:rsidR="00A3790C" w:rsidRPr="00C33556" w:rsidRDefault="0059553A" w:rsidP="00C33556">
      <w:pPr>
        <w:spacing w:line="480" w:lineRule="auto"/>
        <w:ind w:firstLine="720"/>
      </w:pPr>
      <w:r>
        <w:rPr>
          <w:rFonts w:cs="Times New Roman"/>
          <w:color w:val="2B2E34"/>
          <w:szCs w:val="20"/>
        </w:rPr>
        <w:t>This is strongly supported</w:t>
      </w:r>
      <w:r w:rsidR="00FB05B1">
        <w:rPr>
          <w:rFonts w:cs="Times New Roman"/>
          <w:color w:val="2B2E34"/>
          <w:szCs w:val="20"/>
        </w:rPr>
        <w:t xml:space="preserve">, </w:t>
      </w:r>
      <w:r>
        <w:rPr>
          <w:rFonts w:cs="Times New Roman"/>
          <w:color w:val="2B2E34"/>
          <w:szCs w:val="20"/>
        </w:rPr>
        <w:t xml:space="preserve">according to </w:t>
      </w:r>
      <w:r w:rsidR="00FB05B1">
        <w:rPr>
          <w:rFonts w:cs="Times New Roman"/>
          <w:color w:val="2B2E34"/>
          <w:szCs w:val="20"/>
        </w:rPr>
        <w:t>Norlock</w:t>
      </w:r>
      <w:r w:rsidR="00C33556">
        <w:rPr>
          <w:rFonts w:cs="Times New Roman"/>
          <w:color w:val="2B2E34"/>
          <w:szCs w:val="20"/>
        </w:rPr>
        <w:t>,</w:t>
      </w:r>
      <w:r w:rsidR="006539A5" w:rsidRPr="004907C3">
        <w:rPr>
          <w:rFonts w:cs="Times New Roman"/>
          <w:color w:val="2B2E34"/>
          <w:szCs w:val="20"/>
        </w:rPr>
        <w:t xml:space="preserve"> by empirical research in S</w:t>
      </w:r>
      <w:r w:rsidR="00C33556">
        <w:rPr>
          <w:rFonts w:cs="Times New Roman"/>
          <w:color w:val="2B2E34"/>
          <w:szCs w:val="20"/>
        </w:rPr>
        <w:t>TEM and business-related fields.  T</w:t>
      </w:r>
      <w:r w:rsidR="006539A5">
        <w:rPr>
          <w:rFonts w:cs="Times New Roman"/>
          <w:color w:val="2B2E34"/>
          <w:szCs w:val="20"/>
        </w:rPr>
        <w:t xml:space="preserve">hough </w:t>
      </w:r>
      <w:r w:rsidR="00762C4C">
        <w:rPr>
          <w:rFonts w:cs="Times New Roman"/>
          <w:color w:val="2B2E34"/>
          <w:szCs w:val="20"/>
        </w:rPr>
        <w:t xml:space="preserve">she concedes </w:t>
      </w:r>
      <w:r w:rsidR="006539A5">
        <w:rPr>
          <w:rFonts w:cs="Times New Roman"/>
          <w:color w:val="2B2E34"/>
          <w:szCs w:val="20"/>
        </w:rPr>
        <w:t>t</w:t>
      </w:r>
      <w:r w:rsidR="006539A5" w:rsidRPr="004907C3">
        <w:rPr>
          <w:rFonts w:cs="Times New Roman"/>
          <w:color w:val="2B2E34"/>
          <w:szCs w:val="20"/>
        </w:rPr>
        <w:t>here</w:t>
      </w:r>
      <w:r w:rsidR="006539A5">
        <w:rPr>
          <w:rFonts w:cs="Times New Roman"/>
          <w:color w:val="2B2E34"/>
          <w:szCs w:val="20"/>
        </w:rPr>
        <w:t xml:space="preserve"> is no direct </w:t>
      </w:r>
      <w:r w:rsidR="00270F3F">
        <w:rPr>
          <w:rFonts w:cs="Times New Roman"/>
          <w:color w:val="2B2E34"/>
          <w:szCs w:val="20"/>
        </w:rPr>
        <w:t>evidence</w:t>
      </w:r>
      <w:r w:rsidR="00A95ACA">
        <w:rPr>
          <w:rFonts w:cs="Times New Roman"/>
          <w:color w:val="2B2E34"/>
          <w:szCs w:val="20"/>
        </w:rPr>
        <w:t xml:space="preserve"> for philosophy, </w:t>
      </w:r>
      <w:r w:rsidR="006539A5">
        <w:t>“r</w:t>
      </w:r>
      <w:r w:rsidR="008C3159" w:rsidRPr="004907C3">
        <w:t>easonable inference</w:t>
      </w:r>
      <w:r w:rsidR="00495B89" w:rsidRPr="004907C3">
        <w:t>s</w:t>
      </w:r>
      <w:r w:rsidR="008C3159" w:rsidRPr="004907C3">
        <w:t>” extend these results</w:t>
      </w:r>
      <w:r w:rsidR="00495B89" w:rsidRPr="004907C3">
        <w:t>,</w:t>
      </w:r>
      <w:r w:rsidR="008C3159" w:rsidRPr="004907C3">
        <w:t xml:space="preserve"> since literally “every source to which I tu</w:t>
      </w:r>
      <w:r w:rsidR="00495B89" w:rsidRPr="004907C3">
        <w:t>rn cites the affective benefits</w:t>
      </w:r>
      <w:r w:rsidR="00E71D44">
        <w:t>.</w:t>
      </w:r>
      <w:r w:rsidR="008C3159" w:rsidRPr="004907C3">
        <w:t>”</w:t>
      </w:r>
      <w:r w:rsidR="00E71D44">
        <w:rPr>
          <w:rStyle w:val="FootnoteReference"/>
        </w:rPr>
        <w:footnoteReference w:id="110"/>
      </w:r>
      <w:r w:rsidR="00495B89" w:rsidRPr="004907C3">
        <w:t xml:space="preserve"> </w:t>
      </w:r>
      <w:r w:rsidR="00C33556">
        <w:t xml:space="preserve"> </w:t>
      </w:r>
      <w:r w:rsidR="00FD7E23" w:rsidRPr="004907C3">
        <w:rPr>
          <w:rFonts w:cs="Times New Roman"/>
          <w:color w:val="2B2E34"/>
          <w:szCs w:val="20"/>
        </w:rPr>
        <w:t>However,</w:t>
      </w:r>
      <w:r w:rsidR="00E71D44">
        <w:rPr>
          <w:rFonts w:cs="Times New Roman"/>
          <w:color w:val="2B2E34"/>
          <w:szCs w:val="20"/>
        </w:rPr>
        <w:t xml:space="preserve"> in reviewing</w:t>
      </w:r>
      <w:r w:rsidR="00FD7E23" w:rsidRPr="004907C3">
        <w:rPr>
          <w:rFonts w:cs="Times New Roman"/>
          <w:color w:val="2B2E34"/>
          <w:szCs w:val="20"/>
        </w:rPr>
        <w:t xml:space="preserve"> </w:t>
      </w:r>
      <w:r w:rsidR="00472171" w:rsidRPr="004907C3">
        <w:rPr>
          <w:rFonts w:cs="Times New Roman"/>
          <w:color w:val="2B2E34"/>
          <w:szCs w:val="20"/>
        </w:rPr>
        <w:t>the dozen or s</w:t>
      </w:r>
      <w:r w:rsidR="00004A63">
        <w:rPr>
          <w:rFonts w:cs="Times New Roman"/>
          <w:color w:val="2B2E34"/>
          <w:szCs w:val="20"/>
        </w:rPr>
        <w:t>o</w:t>
      </w:r>
      <w:r w:rsidR="009A6448" w:rsidRPr="004907C3">
        <w:rPr>
          <w:rFonts w:cs="Times New Roman"/>
          <w:color w:val="2B2E34"/>
          <w:szCs w:val="20"/>
        </w:rPr>
        <w:t xml:space="preserve"> </w:t>
      </w:r>
      <w:r w:rsidR="00E3103F">
        <w:rPr>
          <w:rFonts w:cs="Times New Roman"/>
          <w:color w:val="2B2E34"/>
          <w:szCs w:val="20"/>
        </w:rPr>
        <w:t>studies she provides</w:t>
      </w:r>
      <w:r w:rsidR="00472171" w:rsidRPr="004907C3">
        <w:rPr>
          <w:rFonts w:cs="Times New Roman"/>
          <w:color w:val="2B2E34"/>
          <w:szCs w:val="20"/>
        </w:rPr>
        <w:t>,</w:t>
      </w:r>
      <w:r w:rsidR="002243F6" w:rsidRPr="004907C3">
        <w:rPr>
          <w:rFonts w:cs="Times New Roman"/>
          <w:color w:val="2B2E34"/>
          <w:szCs w:val="20"/>
        </w:rPr>
        <w:t xml:space="preserve"> </w:t>
      </w:r>
      <w:r w:rsidR="00207F11">
        <w:rPr>
          <w:rFonts w:cs="Times New Roman"/>
          <w:color w:val="2B2E34"/>
          <w:szCs w:val="20"/>
        </w:rPr>
        <w:t xml:space="preserve">I </w:t>
      </w:r>
      <w:r w:rsidR="00143F9F">
        <w:rPr>
          <w:rFonts w:cs="Times New Roman"/>
          <w:color w:val="2B2E34"/>
          <w:szCs w:val="20"/>
        </w:rPr>
        <w:t>could find little</w:t>
      </w:r>
      <w:r w:rsidR="003F45B9" w:rsidRPr="004907C3">
        <w:rPr>
          <w:rFonts w:cs="Times New Roman"/>
          <w:color w:val="2B2E34"/>
          <w:szCs w:val="20"/>
        </w:rPr>
        <w:t xml:space="preserve"> </w:t>
      </w:r>
      <w:r w:rsidR="002243F6" w:rsidRPr="004907C3">
        <w:rPr>
          <w:rFonts w:cs="Times New Roman"/>
          <w:color w:val="2B2E34"/>
          <w:szCs w:val="20"/>
        </w:rPr>
        <w:t>that</w:t>
      </w:r>
      <w:r w:rsidR="00143F9F">
        <w:rPr>
          <w:rFonts w:cs="Times New Roman"/>
          <w:color w:val="2B2E34"/>
          <w:szCs w:val="20"/>
        </w:rPr>
        <w:t xml:space="preserve"> even spoke to</w:t>
      </w:r>
      <w:r w:rsidR="00472171" w:rsidRPr="004907C3">
        <w:rPr>
          <w:rFonts w:cs="Times New Roman"/>
          <w:color w:val="2B2E34"/>
          <w:szCs w:val="20"/>
        </w:rPr>
        <w:t xml:space="preserve"> the issue of inclusive curric</w:t>
      </w:r>
      <w:r w:rsidR="00DF38CF">
        <w:rPr>
          <w:rFonts w:cs="Times New Roman"/>
          <w:color w:val="2B2E34"/>
          <w:szCs w:val="20"/>
        </w:rPr>
        <w:t>ula</w:t>
      </w:r>
      <w:r w:rsidR="0055713C" w:rsidRPr="004907C3">
        <w:rPr>
          <w:rFonts w:cs="Times New Roman"/>
          <w:color w:val="2B2E34"/>
          <w:szCs w:val="20"/>
        </w:rPr>
        <w:t xml:space="preserve">, let </w:t>
      </w:r>
      <w:r w:rsidR="00143F9F">
        <w:rPr>
          <w:rFonts w:cs="Times New Roman"/>
          <w:color w:val="2B2E34"/>
          <w:szCs w:val="20"/>
        </w:rPr>
        <w:t>alone offered</w:t>
      </w:r>
      <w:r w:rsidR="00FD7E23" w:rsidRPr="004907C3">
        <w:rPr>
          <w:rFonts w:cs="Times New Roman"/>
          <w:color w:val="2B2E34"/>
          <w:szCs w:val="20"/>
        </w:rPr>
        <w:t xml:space="preserve"> evidence</w:t>
      </w:r>
      <w:r w:rsidR="00C87BBF">
        <w:rPr>
          <w:rFonts w:cs="Times New Roman"/>
          <w:color w:val="2B2E34"/>
          <w:szCs w:val="20"/>
        </w:rPr>
        <w:t>.</w:t>
      </w:r>
      <w:r w:rsidR="0055713C" w:rsidRPr="004907C3">
        <w:rPr>
          <w:rFonts w:cs="Times New Roman"/>
          <w:color w:val="2B2E34"/>
          <w:szCs w:val="20"/>
        </w:rPr>
        <w:t xml:space="preserve">  </w:t>
      </w:r>
      <w:r w:rsidR="002243F6" w:rsidRPr="004907C3">
        <w:rPr>
          <w:rFonts w:cs="Times New Roman"/>
          <w:color w:val="2B2E34"/>
          <w:szCs w:val="20"/>
        </w:rPr>
        <w:t xml:space="preserve">For example, </w:t>
      </w:r>
      <w:r w:rsidR="00FD7E23" w:rsidRPr="004907C3">
        <w:rPr>
          <w:rFonts w:cs="Times New Roman"/>
          <w:color w:val="2B2E34"/>
          <w:szCs w:val="20"/>
        </w:rPr>
        <w:t xml:space="preserve">a paper by </w:t>
      </w:r>
      <w:r w:rsidR="00CA56B8" w:rsidRPr="004907C3">
        <w:rPr>
          <w:rFonts w:cs="Times New Roman"/>
          <w:color w:val="2B2E34"/>
          <w:szCs w:val="20"/>
        </w:rPr>
        <w:t xml:space="preserve">Tonso says </w:t>
      </w:r>
      <w:r w:rsidR="002243F6" w:rsidRPr="004907C3">
        <w:rPr>
          <w:rFonts w:cs="Times New Roman"/>
          <w:color w:val="2B2E34"/>
          <w:szCs w:val="20"/>
        </w:rPr>
        <w:t xml:space="preserve">literally </w:t>
      </w:r>
      <w:r w:rsidR="00CA56B8" w:rsidRPr="004907C3">
        <w:rPr>
          <w:rFonts w:cs="Times New Roman"/>
          <w:color w:val="2B2E34"/>
          <w:szCs w:val="20"/>
        </w:rPr>
        <w:t>nothi</w:t>
      </w:r>
      <w:r w:rsidR="00491342">
        <w:rPr>
          <w:rFonts w:cs="Times New Roman"/>
          <w:color w:val="2B2E34"/>
          <w:szCs w:val="20"/>
        </w:rPr>
        <w:t>ng about curricula</w:t>
      </w:r>
      <w:r w:rsidR="0055713C" w:rsidRPr="004907C3">
        <w:rPr>
          <w:rFonts w:cs="Times New Roman"/>
          <w:color w:val="2B2E34"/>
          <w:szCs w:val="20"/>
        </w:rPr>
        <w:t>.</w:t>
      </w:r>
      <w:r w:rsidR="00E71D44">
        <w:rPr>
          <w:rStyle w:val="FootnoteReference"/>
          <w:rFonts w:cs="Times New Roman"/>
          <w:color w:val="2B2E34"/>
          <w:szCs w:val="20"/>
        </w:rPr>
        <w:footnoteReference w:id="111"/>
      </w:r>
      <w:r w:rsidR="0055713C" w:rsidRPr="004907C3">
        <w:rPr>
          <w:rFonts w:cs="Times New Roman"/>
          <w:color w:val="2B2E34"/>
          <w:szCs w:val="20"/>
        </w:rPr>
        <w:t xml:space="preserve">  A</w:t>
      </w:r>
      <w:r w:rsidR="00FD7E23" w:rsidRPr="004907C3">
        <w:rPr>
          <w:rFonts w:cs="Times New Roman"/>
          <w:color w:val="2B2E34"/>
          <w:szCs w:val="20"/>
        </w:rPr>
        <w:t xml:space="preserve">nother </w:t>
      </w:r>
      <w:r w:rsidR="00E71D44">
        <w:rPr>
          <w:rFonts w:cs="Times New Roman"/>
          <w:color w:val="2B2E34"/>
          <w:szCs w:val="20"/>
        </w:rPr>
        <w:t>by Anderson</w:t>
      </w:r>
      <w:r w:rsidR="00E71D44">
        <w:rPr>
          <w:rStyle w:val="FootnoteReference"/>
          <w:rFonts w:cs="Times New Roman"/>
          <w:color w:val="2B2E34"/>
          <w:szCs w:val="20"/>
        </w:rPr>
        <w:footnoteReference w:id="112"/>
      </w:r>
      <w:r w:rsidR="00E71D44">
        <w:rPr>
          <w:rFonts w:cs="Times New Roman"/>
          <w:color w:val="2B2E34"/>
          <w:szCs w:val="20"/>
        </w:rPr>
        <w:t xml:space="preserve"> </w:t>
      </w:r>
      <w:r w:rsidR="005B150A">
        <w:rPr>
          <w:rFonts w:cs="Times New Roman"/>
          <w:color w:val="2B2E34"/>
          <w:szCs w:val="20"/>
        </w:rPr>
        <w:t>shares</w:t>
      </w:r>
      <w:r w:rsidR="0055713C" w:rsidRPr="004907C3">
        <w:rPr>
          <w:rFonts w:cs="Times New Roman"/>
          <w:color w:val="2B2E34"/>
          <w:szCs w:val="20"/>
        </w:rPr>
        <w:t xml:space="preserve"> Norlock’</w:t>
      </w:r>
      <w:r w:rsidR="00FD7E23" w:rsidRPr="004907C3">
        <w:rPr>
          <w:rFonts w:cs="Times New Roman"/>
          <w:color w:val="2B2E34"/>
          <w:szCs w:val="20"/>
        </w:rPr>
        <w:t xml:space="preserve">s </w:t>
      </w:r>
      <w:r w:rsidR="005B150A">
        <w:rPr>
          <w:rFonts w:cs="Times New Roman"/>
          <w:color w:val="2B2E34"/>
          <w:szCs w:val="20"/>
        </w:rPr>
        <w:t xml:space="preserve">outlook </w:t>
      </w:r>
      <w:r w:rsidR="00FD7E23" w:rsidRPr="004907C3">
        <w:rPr>
          <w:rFonts w:cs="Times New Roman"/>
          <w:color w:val="2B2E34"/>
          <w:szCs w:val="20"/>
        </w:rPr>
        <w:t xml:space="preserve">but </w:t>
      </w:r>
      <w:r w:rsidR="005B150A">
        <w:rPr>
          <w:rFonts w:cs="Times New Roman"/>
          <w:color w:val="2B2E34"/>
          <w:szCs w:val="20"/>
        </w:rPr>
        <w:t>offer</w:t>
      </w:r>
      <w:r w:rsidR="0055713C" w:rsidRPr="004907C3">
        <w:rPr>
          <w:rFonts w:cs="Times New Roman"/>
          <w:color w:val="2B2E34"/>
          <w:szCs w:val="20"/>
        </w:rPr>
        <w:t>s</w:t>
      </w:r>
      <w:r w:rsidR="005B150A">
        <w:rPr>
          <w:rFonts w:cs="Times New Roman"/>
          <w:color w:val="2B2E34"/>
          <w:szCs w:val="20"/>
        </w:rPr>
        <w:t xml:space="preserve"> no empirical </w:t>
      </w:r>
      <w:r w:rsidR="0055713C" w:rsidRPr="004907C3">
        <w:rPr>
          <w:rFonts w:cs="Times New Roman"/>
          <w:color w:val="2B2E34"/>
          <w:szCs w:val="20"/>
        </w:rPr>
        <w:t>support</w:t>
      </w:r>
      <w:r w:rsidR="00FD7E23" w:rsidRPr="004907C3">
        <w:rPr>
          <w:rFonts w:cs="Times New Roman"/>
          <w:color w:val="2B2E34"/>
          <w:szCs w:val="20"/>
        </w:rPr>
        <w:t>.  Still an</w:t>
      </w:r>
      <w:r w:rsidR="00E3103F">
        <w:rPr>
          <w:rFonts w:cs="Times New Roman"/>
          <w:color w:val="2B2E34"/>
          <w:szCs w:val="20"/>
        </w:rPr>
        <w:t xml:space="preserve">other conducted an </w:t>
      </w:r>
      <w:r w:rsidR="009A6448" w:rsidRPr="004907C3">
        <w:rPr>
          <w:rFonts w:cs="Times New Roman"/>
          <w:color w:val="2B2E34"/>
          <w:szCs w:val="20"/>
        </w:rPr>
        <w:t xml:space="preserve">“explanatory </w:t>
      </w:r>
      <w:r w:rsidR="00FD7E23" w:rsidRPr="004907C3">
        <w:rPr>
          <w:rFonts w:cs="Times New Roman"/>
          <w:color w:val="2B2E34"/>
          <w:szCs w:val="20"/>
        </w:rPr>
        <w:t>survey” of MB</w:t>
      </w:r>
      <w:r w:rsidR="009A6448" w:rsidRPr="004907C3">
        <w:rPr>
          <w:rFonts w:cs="Times New Roman"/>
          <w:color w:val="2B2E34"/>
          <w:szCs w:val="20"/>
        </w:rPr>
        <w:t>A students on gender issues.</w:t>
      </w:r>
      <w:r w:rsidR="00E71D44">
        <w:rPr>
          <w:rStyle w:val="FootnoteReference"/>
          <w:rFonts w:cs="Times New Roman"/>
          <w:color w:val="2B2E34"/>
          <w:szCs w:val="20"/>
        </w:rPr>
        <w:footnoteReference w:id="113"/>
      </w:r>
      <w:r w:rsidR="00E90051">
        <w:rPr>
          <w:rFonts w:cs="Times New Roman"/>
          <w:color w:val="2B2E34"/>
          <w:szCs w:val="20"/>
        </w:rPr>
        <w:t xml:space="preserve">  </w:t>
      </w:r>
      <w:r w:rsidR="005B20AA">
        <w:rPr>
          <w:rFonts w:cs="Times New Roman"/>
          <w:color w:val="2B2E34"/>
          <w:szCs w:val="20"/>
        </w:rPr>
        <w:t>The most relevant result</w:t>
      </w:r>
      <w:r w:rsidR="00DB12FA">
        <w:rPr>
          <w:rFonts w:cs="Times New Roman"/>
          <w:color w:val="2B2E34"/>
          <w:szCs w:val="20"/>
        </w:rPr>
        <w:t xml:space="preserve"> here</w:t>
      </w:r>
      <w:r w:rsidR="005B20AA">
        <w:rPr>
          <w:rFonts w:cs="Times New Roman"/>
          <w:color w:val="2B2E34"/>
          <w:szCs w:val="20"/>
        </w:rPr>
        <w:t xml:space="preserve"> was that a</w:t>
      </w:r>
      <w:r w:rsidR="00FB05B1">
        <w:rPr>
          <w:rFonts w:cs="Times New Roman"/>
          <w:color w:val="2B2E34"/>
          <w:szCs w:val="20"/>
        </w:rPr>
        <w:t xml:space="preserve"> majority out of the</w:t>
      </w:r>
      <w:r w:rsidR="00DB12FA">
        <w:rPr>
          <w:rFonts w:cs="Times New Roman"/>
          <w:color w:val="2B2E34"/>
          <w:szCs w:val="20"/>
        </w:rPr>
        <w:t xml:space="preserve"> </w:t>
      </w:r>
      <w:r w:rsidR="009A6448" w:rsidRPr="004907C3">
        <w:rPr>
          <w:rFonts w:cs="Times New Roman"/>
          <w:color w:val="2B2E34"/>
          <w:szCs w:val="20"/>
        </w:rPr>
        <w:t xml:space="preserve">18% </w:t>
      </w:r>
      <w:r w:rsidR="00E3103F">
        <w:rPr>
          <w:rFonts w:cs="Times New Roman"/>
          <w:color w:val="2B2E34"/>
          <w:szCs w:val="20"/>
        </w:rPr>
        <w:t xml:space="preserve">self-selected </w:t>
      </w:r>
      <w:r w:rsidR="00FD7E23" w:rsidRPr="004907C3">
        <w:rPr>
          <w:rFonts w:cs="Times New Roman"/>
          <w:color w:val="2B2E34"/>
          <w:szCs w:val="20"/>
        </w:rPr>
        <w:t>respon</w:t>
      </w:r>
      <w:r w:rsidR="00FB05B1">
        <w:rPr>
          <w:rFonts w:cs="Times New Roman"/>
          <w:color w:val="2B2E34"/>
          <w:szCs w:val="20"/>
        </w:rPr>
        <w:t>dents</w:t>
      </w:r>
      <w:r w:rsidR="00DB12FA">
        <w:rPr>
          <w:rFonts w:cs="Times New Roman"/>
          <w:color w:val="2B2E34"/>
          <w:szCs w:val="20"/>
        </w:rPr>
        <w:t xml:space="preserve"> </w:t>
      </w:r>
      <w:r w:rsidR="0065457C">
        <w:rPr>
          <w:rFonts w:cs="Times New Roman"/>
          <w:color w:val="2B2E34"/>
          <w:szCs w:val="20"/>
        </w:rPr>
        <w:t>agreed with</w:t>
      </w:r>
      <w:r w:rsidR="00143F9F">
        <w:rPr>
          <w:rFonts w:cs="Times New Roman"/>
          <w:color w:val="2B2E34"/>
          <w:szCs w:val="20"/>
        </w:rPr>
        <w:t xml:space="preserve"> the anodyne proposal</w:t>
      </w:r>
      <w:r w:rsidR="009A6448" w:rsidRPr="004907C3">
        <w:rPr>
          <w:rFonts w:cs="Times New Roman"/>
          <w:color w:val="2B2E34"/>
          <w:szCs w:val="20"/>
        </w:rPr>
        <w:t xml:space="preserve"> that “inclusion of both female and male perspectives would pos</w:t>
      </w:r>
      <w:r w:rsidR="005B150A">
        <w:rPr>
          <w:rFonts w:cs="Times New Roman"/>
          <w:color w:val="2B2E34"/>
          <w:szCs w:val="20"/>
        </w:rPr>
        <w:t>itively affect learning</w:t>
      </w:r>
      <w:r w:rsidR="009A6448" w:rsidRPr="004907C3">
        <w:rPr>
          <w:rFonts w:cs="Times New Roman"/>
          <w:color w:val="2B2E34"/>
          <w:szCs w:val="20"/>
        </w:rPr>
        <w:t>.</w:t>
      </w:r>
      <w:r w:rsidR="005B150A">
        <w:rPr>
          <w:rFonts w:cs="Times New Roman"/>
          <w:color w:val="2B2E34"/>
          <w:szCs w:val="20"/>
        </w:rPr>
        <w:t>”</w:t>
      </w:r>
      <w:r w:rsidR="005B150A">
        <w:rPr>
          <w:rStyle w:val="FootnoteReference"/>
          <w:rFonts w:cs="Times New Roman"/>
          <w:color w:val="2B2E34"/>
          <w:szCs w:val="20"/>
        </w:rPr>
        <w:footnoteReference w:id="114"/>
      </w:r>
      <w:r w:rsidR="005B70CE" w:rsidRPr="004907C3">
        <w:rPr>
          <w:rFonts w:cs="Times New Roman"/>
          <w:color w:val="2B2E34"/>
          <w:szCs w:val="20"/>
        </w:rPr>
        <w:t xml:space="preserve">  A 300-page tome </w:t>
      </w:r>
      <w:r w:rsidR="004D68C8" w:rsidRPr="004907C3">
        <w:rPr>
          <w:rFonts w:cs="Times New Roman"/>
          <w:color w:val="2B2E34"/>
          <w:szCs w:val="20"/>
        </w:rPr>
        <w:t xml:space="preserve">by something called the Committee on Science, Engineering, and Public Policy </w:t>
      </w:r>
      <w:r w:rsidR="005B70CE" w:rsidRPr="004907C3">
        <w:rPr>
          <w:rFonts w:cs="Times New Roman"/>
          <w:color w:val="2B2E34"/>
          <w:szCs w:val="20"/>
        </w:rPr>
        <w:t xml:space="preserve">mentions curriculum a handful of times, but offers no </w:t>
      </w:r>
      <w:r w:rsidR="00C12027" w:rsidRPr="004907C3">
        <w:rPr>
          <w:rFonts w:cs="Times New Roman"/>
          <w:color w:val="2B2E34"/>
          <w:szCs w:val="20"/>
        </w:rPr>
        <w:t xml:space="preserve">new </w:t>
      </w:r>
      <w:r w:rsidR="005B70CE" w:rsidRPr="004907C3">
        <w:rPr>
          <w:rFonts w:cs="Times New Roman"/>
          <w:color w:val="2B2E34"/>
          <w:szCs w:val="20"/>
        </w:rPr>
        <w:t>data and indeed says exac</w:t>
      </w:r>
      <w:r w:rsidR="004D4310">
        <w:rPr>
          <w:rFonts w:cs="Times New Roman"/>
          <w:color w:val="2B2E34"/>
          <w:szCs w:val="20"/>
        </w:rPr>
        <w:t xml:space="preserve">tly nothing about </w:t>
      </w:r>
      <w:r w:rsidR="00E3103F">
        <w:rPr>
          <w:rFonts w:cs="Times New Roman"/>
          <w:color w:val="2B2E34"/>
          <w:szCs w:val="20"/>
        </w:rPr>
        <w:t xml:space="preserve">the </w:t>
      </w:r>
      <w:r w:rsidR="004D4310">
        <w:rPr>
          <w:rFonts w:cs="Times New Roman"/>
          <w:color w:val="2B2E34"/>
          <w:szCs w:val="20"/>
        </w:rPr>
        <w:t>inclusivity of</w:t>
      </w:r>
      <w:r w:rsidR="005B70CE" w:rsidRPr="004907C3">
        <w:rPr>
          <w:rFonts w:cs="Times New Roman"/>
          <w:color w:val="2B2E34"/>
          <w:szCs w:val="20"/>
        </w:rPr>
        <w:t xml:space="preserve"> syllabi</w:t>
      </w:r>
      <w:r w:rsidR="00EA1B6A">
        <w:rPr>
          <w:rFonts w:cs="Times New Roman"/>
          <w:color w:val="2B2E34"/>
          <w:szCs w:val="20"/>
        </w:rPr>
        <w:t>;</w:t>
      </w:r>
      <w:r w:rsidR="006F0616" w:rsidRPr="004907C3">
        <w:rPr>
          <w:rFonts w:cs="Times New Roman"/>
          <w:color w:val="2B2E34"/>
          <w:szCs w:val="20"/>
        </w:rPr>
        <w:t xml:space="preserve"> </w:t>
      </w:r>
      <w:r w:rsidR="00EA1B6A">
        <w:rPr>
          <w:rFonts w:cs="Times New Roman"/>
          <w:color w:val="2B2E34"/>
          <w:szCs w:val="20"/>
        </w:rPr>
        <w:t>likewise,</w:t>
      </w:r>
      <w:r w:rsidR="00BB7CDC">
        <w:rPr>
          <w:rFonts w:cs="Times New Roman"/>
          <w:color w:val="2B2E34"/>
          <w:szCs w:val="20"/>
        </w:rPr>
        <w:t xml:space="preserve"> a paper by</w:t>
      </w:r>
      <w:r w:rsidR="00EA1B6A">
        <w:rPr>
          <w:rFonts w:cs="Times New Roman"/>
          <w:color w:val="2B2E34"/>
          <w:szCs w:val="20"/>
        </w:rPr>
        <w:t xml:space="preserve"> </w:t>
      </w:r>
      <w:r w:rsidR="006F0616" w:rsidRPr="004907C3">
        <w:rPr>
          <w:rFonts w:cs="Times New Roman"/>
          <w:color w:val="2B2E34"/>
          <w:szCs w:val="20"/>
        </w:rPr>
        <w:t>Lawal</w:t>
      </w:r>
      <w:r w:rsidR="00BB7CDC">
        <w:rPr>
          <w:rFonts w:cs="Times New Roman"/>
          <w:color w:val="2B2E34"/>
          <w:szCs w:val="20"/>
        </w:rPr>
        <w:t>.</w:t>
      </w:r>
      <w:r w:rsidR="00BB7CDC">
        <w:rPr>
          <w:rStyle w:val="FootnoteReference"/>
          <w:rFonts w:cs="Times New Roman"/>
          <w:color w:val="2B2E34"/>
          <w:szCs w:val="20"/>
        </w:rPr>
        <w:footnoteReference w:id="115"/>
      </w:r>
      <w:r w:rsidR="003F45B9" w:rsidRPr="004907C3">
        <w:rPr>
          <w:rFonts w:cs="Times New Roman"/>
          <w:color w:val="2B2E34"/>
          <w:szCs w:val="20"/>
        </w:rPr>
        <w:t xml:space="preserve"> </w:t>
      </w:r>
      <w:r w:rsidR="000C6492">
        <w:rPr>
          <w:rFonts w:cs="Times New Roman"/>
          <w:color w:val="2B2E34"/>
          <w:szCs w:val="20"/>
        </w:rPr>
        <w:t xml:space="preserve"> </w:t>
      </w:r>
      <w:r w:rsidR="00BB7CDC">
        <w:rPr>
          <w:rFonts w:cs="Times New Roman"/>
          <w:color w:val="2B2E34"/>
          <w:szCs w:val="20"/>
        </w:rPr>
        <w:t xml:space="preserve">Mills and Ayre </w:t>
      </w:r>
      <w:r w:rsidR="00D05CC3" w:rsidRPr="004907C3">
        <w:rPr>
          <w:rFonts w:cs="Times New Roman"/>
          <w:color w:val="2B2E34"/>
          <w:szCs w:val="20"/>
        </w:rPr>
        <w:t xml:space="preserve">describe </w:t>
      </w:r>
      <w:r w:rsidR="00B91A58" w:rsidRPr="004907C3">
        <w:rPr>
          <w:rFonts w:cs="Times New Roman"/>
          <w:color w:val="2B2E34"/>
          <w:szCs w:val="20"/>
        </w:rPr>
        <w:t>efforts at making the engineering curricul</w:t>
      </w:r>
      <w:r w:rsidR="00CB429F" w:rsidRPr="004907C3">
        <w:rPr>
          <w:rFonts w:cs="Times New Roman"/>
          <w:color w:val="2B2E34"/>
          <w:szCs w:val="20"/>
        </w:rPr>
        <w:t xml:space="preserve">um at an Australian school more inclusive, but </w:t>
      </w:r>
      <w:r w:rsidR="00DB12FA">
        <w:rPr>
          <w:rFonts w:cs="Times New Roman"/>
          <w:color w:val="2B2E34"/>
          <w:szCs w:val="20"/>
        </w:rPr>
        <w:t>caution</w:t>
      </w:r>
      <w:r w:rsidR="00BB7CDC">
        <w:rPr>
          <w:rFonts w:cs="Times New Roman"/>
          <w:color w:val="2B2E34"/>
          <w:szCs w:val="20"/>
        </w:rPr>
        <w:t xml:space="preserve"> </w:t>
      </w:r>
      <w:r w:rsidR="00B91A58" w:rsidRPr="004907C3">
        <w:rPr>
          <w:rFonts w:cs="Times New Roman"/>
          <w:color w:val="2B2E34"/>
          <w:szCs w:val="20"/>
        </w:rPr>
        <w:t>no conc</w:t>
      </w:r>
      <w:r w:rsidR="00DB12FA">
        <w:rPr>
          <w:rFonts w:cs="Times New Roman"/>
          <w:color w:val="2B2E34"/>
          <w:szCs w:val="20"/>
        </w:rPr>
        <w:t>lusions can</w:t>
      </w:r>
      <w:r w:rsidR="00D05CC3" w:rsidRPr="004907C3">
        <w:rPr>
          <w:rFonts w:cs="Times New Roman"/>
          <w:color w:val="2B2E34"/>
          <w:szCs w:val="20"/>
        </w:rPr>
        <w:t xml:space="preserve"> be drawn about its</w:t>
      </w:r>
      <w:r w:rsidR="00B91A58" w:rsidRPr="004907C3">
        <w:rPr>
          <w:rFonts w:cs="Times New Roman"/>
          <w:color w:val="2B2E34"/>
          <w:szCs w:val="20"/>
        </w:rPr>
        <w:t xml:space="preserve"> effectiv</w:t>
      </w:r>
      <w:r w:rsidR="00D05CC3" w:rsidRPr="004907C3">
        <w:rPr>
          <w:rFonts w:cs="Times New Roman"/>
          <w:color w:val="2B2E34"/>
          <w:szCs w:val="20"/>
        </w:rPr>
        <w:t>e</w:t>
      </w:r>
      <w:r w:rsidR="00B91A58" w:rsidRPr="004907C3">
        <w:rPr>
          <w:rFonts w:cs="Times New Roman"/>
          <w:color w:val="2B2E34"/>
          <w:szCs w:val="20"/>
        </w:rPr>
        <w:t>ness in promoting retention or success.</w:t>
      </w:r>
      <w:r w:rsidR="00BB7CDC">
        <w:rPr>
          <w:rStyle w:val="FootnoteReference"/>
          <w:rFonts w:cs="Times New Roman"/>
          <w:color w:val="2B2E34"/>
          <w:szCs w:val="20"/>
        </w:rPr>
        <w:footnoteReference w:id="116"/>
      </w:r>
      <w:r w:rsidR="00D05CC3" w:rsidRPr="004907C3">
        <w:rPr>
          <w:rFonts w:cs="Times New Roman"/>
          <w:color w:val="2B2E34"/>
          <w:szCs w:val="20"/>
        </w:rPr>
        <w:t xml:space="preserve">  </w:t>
      </w:r>
      <w:r w:rsidR="00207F11">
        <w:rPr>
          <w:rFonts w:cs="Times New Roman"/>
          <w:color w:val="2B2E34"/>
          <w:szCs w:val="20"/>
        </w:rPr>
        <w:t xml:space="preserve">While it is possible I </w:t>
      </w:r>
      <w:r w:rsidR="0039296B">
        <w:rPr>
          <w:rFonts w:cs="Times New Roman"/>
          <w:color w:val="2B2E34"/>
          <w:szCs w:val="20"/>
        </w:rPr>
        <w:t xml:space="preserve">somehow overlooked something, </w:t>
      </w:r>
      <w:r w:rsidR="002E3F9F">
        <w:rPr>
          <w:rFonts w:cs="Times New Roman"/>
          <w:color w:val="2B2E34"/>
          <w:szCs w:val="20"/>
        </w:rPr>
        <w:t>s</w:t>
      </w:r>
      <w:r w:rsidR="0060045E">
        <w:rPr>
          <w:rFonts w:cs="Times New Roman"/>
          <w:color w:val="2B2E34"/>
          <w:szCs w:val="20"/>
        </w:rPr>
        <w:t>tudy after study</w:t>
      </w:r>
      <w:r w:rsidR="008120A9">
        <w:rPr>
          <w:rFonts w:cs="Times New Roman"/>
          <w:color w:val="2B2E34"/>
          <w:szCs w:val="20"/>
        </w:rPr>
        <w:t xml:space="preserve"> </w:t>
      </w:r>
      <w:r w:rsidR="002E3F9F">
        <w:rPr>
          <w:rFonts w:cs="Times New Roman"/>
          <w:color w:val="2B2E34"/>
          <w:szCs w:val="20"/>
        </w:rPr>
        <w:t>turned up no</w:t>
      </w:r>
      <w:r w:rsidR="00DC4AFD">
        <w:rPr>
          <w:rFonts w:cs="Times New Roman"/>
          <w:color w:val="2B2E34"/>
          <w:szCs w:val="20"/>
        </w:rPr>
        <w:t xml:space="preserve"> </w:t>
      </w:r>
      <w:r w:rsidR="000C5420">
        <w:rPr>
          <w:rFonts w:cs="Times New Roman"/>
          <w:color w:val="2B2E34"/>
          <w:szCs w:val="20"/>
        </w:rPr>
        <w:t>scientific basis</w:t>
      </w:r>
      <w:r w:rsidR="00C87BBF">
        <w:rPr>
          <w:rFonts w:cs="Times New Roman"/>
          <w:color w:val="2B2E34"/>
          <w:szCs w:val="20"/>
        </w:rPr>
        <w:t xml:space="preserve"> </w:t>
      </w:r>
      <w:r w:rsidR="004D4310">
        <w:rPr>
          <w:rFonts w:cs="Times New Roman"/>
          <w:color w:val="2B2E34"/>
          <w:szCs w:val="20"/>
        </w:rPr>
        <w:t>for Norlock’s assertions</w:t>
      </w:r>
      <w:r w:rsidR="002E62A9">
        <w:rPr>
          <w:rFonts w:cs="Times New Roman"/>
          <w:color w:val="2B2E34"/>
          <w:szCs w:val="20"/>
        </w:rPr>
        <w:t xml:space="preserve"> on this matter</w:t>
      </w:r>
      <w:r w:rsidR="00D13554" w:rsidRPr="004907C3">
        <w:rPr>
          <w:rFonts w:cs="Times New Roman"/>
          <w:color w:val="2B2E34"/>
          <w:szCs w:val="20"/>
        </w:rPr>
        <w:t>.</w:t>
      </w:r>
      <w:r w:rsidR="00711F4E">
        <w:rPr>
          <w:rStyle w:val="FootnoteReference"/>
          <w:rFonts w:cs="Times New Roman"/>
          <w:color w:val="2B2E34"/>
          <w:szCs w:val="20"/>
        </w:rPr>
        <w:footnoteReference w:id="117"/>
      </w:r>
    </w:p>
    <w:p w14:paraId="739AB25F" w14:textId="727BCBDA" w:rsidR="0065457C" w:rsidRDefault="003601DE" w:rsidP="00F16EE4">
      <w:pPr>
        <w:widowControl w:val="0"/>
        <w:autoSpaceDE w:val="0"/>
        <w:autoSpaceDN w:val="0"/>
        <w:adjustRightInd w:val="0"/>
        <w:spacing w:line="480" w:lineRule="auto"/>
        <w:ind w:firstLine="720"/>
      </w:pPr>
      <w:r>
        <w:t>Some of these works</w:t>
      </w:r>
      <w:r w:rsidR="004D4310">
        <w:t xml:space="preserve"> </w:t>
      </w:r>
      <w:r>
        <w:t>discuss</w:t>
      </w:r>
      <w:r w:rsidR="00A3790C">
        <w:t xml:space="preserve"> stereotype threat, but </w:t>
      </w:r>
      <w:r w:rsidR="00DF38CF">
        <w:t>they offer little to no empirical</w:t>
      </w:r>
      <w:r w:rsidR="00491342">
        <w:t xml:space="preserve"> </w:t>
      </w:r>
      <w:r w:rsidR="00143F9F">
        <w:t xml:space="preserve">evidence for </w:t>
      </w:r>
      <w:r w:rsidR="00491342">
        <w:t>the</w:t>
      </w:r>
      <w:r w:rsidR="005B150A">
        <w:t xml:space="preserve"> benefits of </w:t>
      </w:r>
      <w:r w:rsidR="00A3790C">
        <w:t>inclusive syllabi.  The</w:t>
      </w:r>
      <w:r w:rsidR="000C6492">
        <w:t>re has been a</w:t>
      </w:r>
      <w:r>
        <w:t xml:space="preserve"> </w:t>
      </w:r>
      <w:r w:rsidR="00D64B43">
        <w:t>small</w:t>
      </w:r>
      <w:r>
        <w:t xml:space="preserve"> amount of research</w:t>
      </w:r>
      <w:r w:rsidR="00A3790C">
        <w:t xml:space="preserve"> on this issue in philosophy</w:t>
      </w:r>
      <w:r w:rsidR="00414E44">
        <w:t>,</w:t>
      </w:r>
      <w:r w:rsidR="000C6492">
        <w:t xml:space="preserve"> th</w:t>
      </w:r>
      <w:r w:rsidR="004D4310">
        <w:t xml:space="preserve">ough so far the results have been </w:t>
      </w:r>
      <w:r w:rsidR="00DB12FA">
        <w:t xml:space="preserve">sharply </w:t>
      </w:r>
      <w:r w:rsidR="00A3790C">
        <w:t>negative</w:t>
      </w:r>
      <w:r w:rsidR="007422CC">
        <w:t xml:space="preserve">.  </w:t>
      </w:r>
      <w:r w:rsidR="00A3790C">
        <w:t xml:space="preserve">A recent </w:t>
      </w:r>
      <w:r w:rsidR="004D4310">
        <w:t xml:space="preserve">field </w:t>
      </w:r>
      <w:r w:rsidR="00A3790C">
        <w:t>experiment at Georgia State found that requiring at least 20% female authors on syllabi had no effect</w:t>
      </w:r>
      <w:r w:rsidR="005B150A">
        <w:t xml:space="preserve"> on </w:t>
      </w:r>
      <w:r w:rsidR="0065457C">
        <w:t>the recruitment of</w:t>
      </w:r>
      <w:r w:rsidR="00DF38CF">
        <w:t xml:space="preserve"> new m</w:t>
      </w:r>
      <w:r w:rsidR="005B150A">
        <w:t>ajors</w:t>
      </w:r>
      <w:r w:rsidR="00B745DC">
        <w:t>.</w:t>
      </w:r>
      <w:r w:rsidR="00F16EE4">
        <w:rPr>
          <w:rStyle w:val="FootnoteReference"/>
        </w:rPr>
        <w:footnoteReference w:id="118"/>
      </w:r>
      <w:r w:rsidR="00F16EE4">
        <w:t xml:space="preserve">  </w:t>
      </w:r>
      <w:r w:rsidR="00E3103F">
        <w:t>Perhaps Georgia State will</w:t>
      </w:r>
      <w:r>
        <w:t xml:space="preserve"> </w:t>
      </w:r>
      <w:r w:rsidR="00B67C04">
        <w:t>try again, though</w:t>
      </w:r>
      <w:r w:rsidR="005B20AA">
        <w:t xml:space="preserve"> </w:t>
      </w:r>
      <w:r w:rsidR="00207F11">
        <w:t>I</w:t>
      </w:r>
      <w:r w:rsidR="00B67C04">
        <w:t xml:space="preserve"> wonder </w:t>
      </w:r>
      <w:r w:rsidR="005B20AA">
        <w:t>if</w:t>
      </w:r>
      <w:r w:rsidR="00FB05B1">
        <w:t xml:space="preserve"> </w:t>
      </w:r>
      <w:r>
        <w:t>students</w:t>
      </w:r>
      <w:r w:rsidR="00B67C04">
        <w:t xml:space="preserve"> pay much </w:t>
      </w:r>
      <w:r>
        <w:t>a</w:t>
      </w:r>
      <w:r w:rsidR="00B67C04">
        <w:t xml:space="preserve">ttention to such things, and to the extent they do, how </w:t>
      </w:r>
      <w:r>
        <w:t xml:space="preserve">much weight </w:t>
      </w:r>
      <w:r w:rsidR="00B67C04">
        <w:t xml:space="preserve">they are given </w:t>
      </w:r>
      <w:r>
        <w:t>in deliberations about what subjects are worth devoting several years of one’s life to</w:t>
      </w:r>
      <w:r w:rsidR="007E4837">
        <w:t>.</w:t>
      </w:r>
    </w:p>
    <w:p w14:paraId="45219BA5" w14:textId="0ACB47D9" w:rsidR="002E416D" w:rsidRDefault="001667C1" w:rsidP="002E416D">
      <w:pPr>
        <w:widowControl w:val="0"/>
        <w:autoSpaceDE w:val="0"/>
        <w:autoSpaceDN w:val="0"/>
        <w:adjustRightInd w:val="0"/>
        <w:spacing w:line="480" w:lineRule="auto"/>
        <w:ind w:firstLine="720"/>
        <w:rPr>
          <w:rFonts w:cs="Times New Roman"/>
          <w:color w:val="2B2E34"/>
          <w:szCs w:val="20"/>
        </w:rPr>
      </w:pPr>
      <w:r>
        <w:rPr>
          <w:rFonts w:cs="Times New Roman"/>
          <w:color w:val="2B2E34"/>
          <w:szCs w:val="20"/>
        </w:rPr>
        <w:t xml:space="preserve">There are also </w:t>
      </w:r>
      <w:r w:rsidR="00FB05B1">
        <w:rPr>
          <w:rFonts w:cs="Times New Roman"/>
          <w:color w:val="2B2E34"/>
          <w:szCs w:val="20"/>
        </w:rPr>
        <w:t xml:space="preserve">general </w:t>
      </w:r>
      <w:r w:rsidR="00F91DDB">
        <w:rPr>
          <w:rFonts w:cs="Times New Roman"/>
          <w:color w:val="2B2E34"/>
          <w:szCs w:val="20"/>
        </w:rPr>
        <w:t>difficulties for</w:t>
      </w:r>
      <w:r w:rsidR="00FB05B1">
        <w:rPr>
          <w:rFonts w:cs="Times New Roman"/>
          <w:color w:val="2B2E34"/>
          <w:szCs w:val="20"/>
        </w:rPr>
        <w:t xml:space="preserve"> claims about </w:t>
      </w:r>
      <w:r w:rsidR="003E3680">
        <w:rPr>
          <w:rFonts w:cs="Times New Roman"/>
          <w:color w:val="2B2E34"/>
          <w:szCs w:val="20"/>
        </w:rPr>
        <w:t xml:space="preserve">stereotype </w:t>
      </w:r>
      <w:r w:rsidR="00FB05B1">
        <w:rPr>
          <w:rFonts w:cs="Times New Roman"/>
          <w:color w:val="2B2E34"/>
          <w:szCs w:val="20"/>
        </w:rPr>
        <w:t>threat in</w:t>
      </w:r>
      <w:r w:rsidR="007E4837">
        <w:rPr>
          <w:rFonts w:cs="Times New Roman"/>
          <w:color w:val="2B2E34"/>
          <w:szCs w:val="20"/>
        </w:rPr>
        <w:t xml:space="preserve"> </w:t>
      </w:r>
      <w:r w:rsidR="003E3680">
        <w:rPr>
          <w:rFonts w:cs="Times New Roman"/>
          <w:color w:val="2B2E34"/>
          <w:szCs w:val="20"/>
        </w:rPr>
        <w:t xml:space="preserve">philosophy.  Stereotype threat </w:t>
      </w:r>
      <w:r w:rsidR="00364A52">
        <w:rPr>
          <w:rFonts w:cs="Times New Roman"/>
          <w:color w:val="2B2E34"/>
          <w:szCs w:val="20"/>
        </w:rPr>
        <w:t>is supposed to involve</w:t>
      </w:r>
      <w:r w:rsidR="00C87BBF">
        <w:rPr>
          <w:rFonts w:cs="Times New Roman"/>
          <w:color w:val="2B2E34"/>
          <w:szCs w:val="20"/>
        </w:rPr>
        <w:t xml:space="preserve"> explicit awareness of</w:t>
      </w:r>
      <w:r w:rsidR="00884730">
        <w:rPr>
          <w:rFonts w:cs="Times New Roman"/>
          <w:color w:val="2B2E34"/>
          <w:szCs w:val="20"/>
        </w:rPr>
        <w:t xml:space="preserve"> </w:t>
      </w:r>
      <w:r w:rsidR="00F91DDB">
        <w:rPr>
          <w:rFonts w:cs="Times New Roman"/>
          <w:color w:val="2B2E34"/>
          <w:szCs w:val="20"/>
        </w:rPr>
        <w:t>and</w:t>
      </w:r>
      <w:r w:rsidR="00364A52">
        <w:rPr>
          <w:rFonts w:cs="Times New Roman"/>
          <w:color w:val="2B2E34"/>
          <w:szCs w:val="20"/>
        </w:rPr>
        <w:t xml:space="preserve"> </w:t>
      </w:r>
      <w:r w:rsidR="00F91DDB">
        <w:rPr>
          <w:rFonts w:cs="Times New Roman"/>
          <w:color w:val="2B2E34"/>
          <w:szCs w:val="20"/>
        </w:rPr>
        <w:t>identification with</w:t>
      </w:r>
      <w:r w:rsidR="003E3680">
        <w:rPr>
          <w:rFonts w:cs="Times New Roman"/>
          <w:color w:val="2B2E34"/>
          <w:szCs w:val="20"/>
        </w:rPr>
        <w:t xml:space="preserve"> ste</w:t>
      </w:r>
      <w:r w:rsidR="00884730">
        <w:rPr>
          <w:rFonts w:cs="Times New Roman"/>
          <w:color w:val="2B2E34"/>
          <w:szCs w:val="20"/>
        </w:rPr>
        <w:t xml:space="preserve">reotypes </w:t>
      </w:r>
      <w:r w:rsidR="003601DE">
        <w:rPr>
          <w:rFonts w:cs="Times New Roman"/>
          <w:color w:val="2B2E34"/>
          <w:szCs w:val="20"/>
        </w:rPr>
        <w:t>specific to a given</w:t>
      </w:r>
      <w:r w:rsidR="009E3850">
        <w:rPr>
          <w:rFonts w:cs="Times New Roman"/>
          <w:color w:val="2B2E34"/>
          <w:szCs w:val="20"/>
        </w:rPr>
        <w:t xml:space="preserve"> domain</w:t>
      </w:r>
      <w:r w:rsidR="00262C5E">
        <w:rPr>
          <w:rFonts w:cs="Times New Roman"/>
          <w:color w:val="2B2E34"/>
          <w:szCs w:val="20"/>
        </w:rPr>
        <w:t xml:space="preserve"> </w:t>
      </w:r>
      <w:r w:rsidR="00884730">
        <w:rPr>
          <w:rFonts w:cs="Times New Roman"/>
          <w:color w:val="2B2E34"/>
          <w:szCs w:val="20"/>
        </w:rPr>
        <w:t>and associated anxiety</w:t>
      </w:r>
      <w:r w:rsidR="003601DE">
        <w:rPr>
          <w:rFonts w:cs="Times New Roman"/>
          <w:color w:val="2B2E34"/>
          <w:szCs w:val="20"/>
        </w:rPr>
        <w:t xml:space="preserve"> for those who do</w:t>
      </w:r>
      <w:r w:rsidR="007E4837">
        <w:rPr>
          <w:rFonts w:cs="Times New Roman"/>
          <w:color w:val="2B2E34"/>
          <w:szCs w:val="20"/>
        </w:rPr>
        <w:t xml:space="preserve"> no</w:t>
      </w:r>
      <w:r w:rsidR="003601DE">
        <w:rPr>
          <w:rFonts w:cs="Times New Roman"/>
          <w:color w:val="2B2E34"/>
          <w:szCs w:val="20"/>
        </w:rPr>
        <w:t>t fit in</w:t>
      </w:r>
      <w:r w:rsidR="00884730">
        <w:rPr>
          <w:rFonts w:cs="Times New Roman"/>
          <w:color w:val="2B2E34"/>
          <w:szCs w:val="20"/>
        </w:rPr>
        <w:t xml:space="preserve">.  It also </w:t>
      </w:r>
      <w:r w:rsidR="00095DDC">
        <w:rPr>
          <w:rFonts w:cs="Times New Roman"/>
          <w:color w:val="2B2E34"/>
          <w:szCs w:val="20"/>
        </w:rPr>
        <w:t>is presumed to cause</w:t>
      </w:r>
      <w:r w:rsidR="00884730">
        <w:rPr>
          <w:rFonts w:cs="Times New Roman"/>
          <w:color w:val="2B2E34"/>
          <w:szCs w:val="20"/>
        </w:rPr>
        <w:t xml:space="preserve"> performance disparities</w:t>
      </w:r>
      <w:r w:rsidR="003601DE">
        <w:rPr>
          <w:rFonts w:cs="Times New Roman"/>
          <w:color w:val="2B2E34"/>
          <w:szCs w:val="20"/>
        </w:rPr>
        <w:t>.  Yet n</w:t>
      </w:r>
      <w:r w:rsidR="003E3680">
        <w:rPr>
          <w:rFonts w:cs="Times New Roman"/>
          <w:color w:val="2B2E34"/>
          <w:szCs w:val="20"/>
        </w:rPr>
        <w:t>one of this seems to be true of philosophy undergraduates.</w:t>
      </w:r>
      <w:r w:rsidR="003601DE">
        <w:rPr>
          <w:rFonts w:cs="Times New Roman"/>
          <w:color w:val="2B2E34"/>
          <w:szCs w:val="20"/>
        </w:rPr>
        <w:t xml:space="preserve">  Newcomers to philosophy don’t seem</w:t>
      </w:r>
      <w:r w:rsidR="00FB05B1">
        <w:rPr>
          <w:rFonts w:cs="Times New Roman"/>
          <w:color w:val="2B2E34"/>
          <w:szCs w:val="20"/>
        </w:rPr>
        <w:t xml:space="preserve"> to have stereotypes</w:t>
      </w:r>
      <w:r w:rsidR="003601DE">
        <w:rPr>
          <w:rFonts w:cs="Times New Roman"/>
          <w:color w:val="2B2E34"/>
          <w:szCs w:val="20"/>
        </w:rPr>
        <w:t xml:space="preserve"> comparable to other subjects</w:t>
      </w:r>
      <w:r>
        <w:rPr>
          <w:rFonts w:cs="Times New Roman"/>
          <w:color w:val="2B2E34"/>
          <w:szCs w:val="20"/>
        </w:rPr>
        <w:t xml:space="preserve"> </w:t>
      </w:r>
      <w:r w:rsidR="005B20AA">
        <w:rPr>
          <w:rFonts w:cs="Times New Roman"/>
          <w:color w:val="2B2E34"/>
          <w:szCs w:val="20"/>
        </w:rPr>
        <w:t>such as math</w:t>
      </w:r>
      <w:r w:rsidR="002E4543">
        <w:rPr>
          <w:rFonts w:cs="Times New Roman"/>
          <w:color w:val="2B2E34"/>
          <w:szCs w:val="20"/>
        </w:rPr>
        <w:t>.  There is</w:t>
      </w:r>
      <w:r w:rsidR="004715F3">
        <w:rPr>
          <w:rFonts w:cs="Times New Roman"/>
          <w:color w:val="2B2E34"/>
          <w:szCs w:val="20"/>
        </w:rPr>
        <w:t xml:space="preserve"> no evidence </w:t>
      </w:r>
      <w:r w:rsidR="005B20AA">
        <w:rPr>
          <w:rFonts w:cs="Times New Roman"/>
          <w:color w:val="2B2E34"/>
          <w:szCs w:val="20"/>
        </w:rPr>
        <w:t>of</w:t>
      </w:r>
      <w:r w:rsidR="003601DE">
        <w:rPr>
          <w:rFonts w:cs="Times New Roman"/>
          <w:color w:val="2B2E34"/>
          <w:szCs w:val="20"/>
        </w:rPr>
        <w:t xml:space="preserve"> performance disparities, especially in the crucial earliest stages of the </w:t>
      </w:r>
      <w:r w:rsidR="0052064F">
        <w:rPr>
          <w:rFonts w:cs="Times New Roman"/>
          <w:color w:val="2B2E34"/>
          <w:szCs w:val="20"/>
        </w:rPr>
        <w:t xml:space="preserve">career </w:t>
      </w:r>
      <w:r w:rsidR="003601DE">
        <w:rPr>
          <w:rFonts w:cs="Times New Roman"/>
          <w:color w:val="2B2E34"/>
          <w:szCs w:val="20"/>
        </w:rPr>
        <w:t>pipeline.</w:t>
      </w:r>
      <w:r w:rsidR="00D25F1F">
        <w:rPr>
          <w:rFonts w:cs="Times New Roman"/>
          <w:color w:val="2B2E34"/>
          <w:szCs w:val="20"/>
        </w:rPr>
        <w:t xml:space="preserve">  </w:t>
      </w:r>
      <w:r w:rsidR="00894C65">
        <w:rPr>
          <w:rFonts w:cs="Times New Roman"/>
          <w:color w:val="2B2E34"/>
          <w:szCs w:val="20"/>
        </w:rPr>
        <w:t>Some studies even suggest males can be disadvantaged on</w:t>
      </w:r>
      <w:r w:rsidR="0009363E">
        <w:rPr>
          <w:rFonts w:cs="Times New Roman"/>
          <w:color w:val="2B2E34"/>
          <w:szCs w:val="20"/>
        </w:rPr>
        <w:t xml:space="preserve"> high school and college entrance exams, including those testing for philosophical acumen.</w:t>
      </w:r>
      <w:r w:rsidR="0009363E">
        <w:rPr>
          <w:rStyle w:val="FootnoteReference"/>
          <w:rFonts w:cs="Times New Roman"/>
          <w:color w:val="2B2E34"/>
          <w:szCs w:val="20"/>
        </w:rPr>
        <w:footnoteReference w:id="119"/>
      </w:r>
      <w:r w:rsidR="00D224ED">
        <w:rPr>
          <w:rFonts w:cs="Times New Roman"/>
          <w:color w:val="2B2E34"/>
          <w:szCs w:val="20"/>
        </w:rPr>
        <w:t xml:space="preserve">  </w:t>
      </w:r>
    </w:p>
    <w:p w14:paraId="1B0ED29D" w14:textId="67DCEF18" w:rsidR="001C17DA" w:rsidRDefault="00A95BDA" w:rsidP="00565B44">
      <w:pPr>
        <w:widowControl w:val="0"/>
        <w:autoSpaceDE w:val="0"/>
        <w:autoSpaceDN w:val="0"/>
        <w:adjustRightInd w:val="0"/>
        <w:spacing w:line="480" w:lineRule="auto"/>
        <w:ind w:firstLine="720"/>
      </w:pPr>
      <w:r>
        <w:t>Others</w:t>
      </w:r>
      <w:r w:rsidR="007F6007">
        <w:t xml:space="preserve">, echoing Norlock, </w:t>
      </w:r>
      <w:r w:rsidR="005F1225">
        <w:t>call</w:t>
      </w:r>
      <w:r w:rsidR="007F6007">
        <w:t xml:space="preserve"> for syllabus reform in light of</w:t>
      </w:r>
      <w:r>
        <w:t xml:space="preserve"> the “large body of research”</w:t>
      </w:r>
      <w:r w:rsidR="007E7752">
        <w:t xml:space="preserve"> </w:t>
      </w:r>
      <w:r w:rsidR="007F6007">
        <w:t>indicating</w:t>
      </w:r>
      <w:r w:rsidR="007E7752">
        <w:t xml:space="preserve"> it is “vital to the process of inviting female students to the study and profession of philosoph</w:t>
      </w:r>
      <w:r w:rsidR="00400193">
        <w:t>y</w:t>
      </w:r>
      <w:r w:rsidR="00DA1034">
        <w:t>.</w:t>
      </w:r>
      <w:r w:rsidR="007E7752">
        <w:t>”</w:t>
      </w:r>
      <w:r>
        <w:rPr>
          <w:rStyle w:val="FootnoteReference"/>
        </w:rPr>
        <w:footnoteReference w:id="120"/>
      </w:r>
      <w:r w:rsidR="007F6007">
        <w:t xml:space="preserve">  </w:t>
      </w:r>
      <w:r w:rsidR="00AF7071">
        <w:t>Yet Walker only mentions</w:t>
      </w:r>
      <w:r w:rsidR="00B515E2">
        <w:t xml:space="preserve"> two or three</w:t>
      </w:r>
      <w:r w:rsidR="00AF7071">
        <w:t xml:space="preserve"> </w:t>
      </w:r>
      <w:r w:rsidR="00400193">
        <w:t xml:space="preserve">studies of dubious </w:t>
      </w:r>
      <w:r w:rsidR="00EB4ADD">
        <w:t>scientific value</w:t>
      </w:r>
      <w:r w:rsidR="00C2643C">
        <w:t xml:space="preserve">, </w:t>
      </w:r>
      <w:r w:rsidR="00400193">
        <w:t xml:space="preserve">including </w:t>
      </w:r>
      <w:r w:rsidR="00C21240">
        <w:t>Margolis and Romero</w:t>
      </w:r>
      <w:r w:rsidR="00C21240">
        <w:rPr>
          <w:rStyle w:val="FootnoteReference"/>
        </w:rPr>
        <w:footnoteReference w:id="121"/>
      </w:r>
      <w:r w:rsidR="00C21240">
        <w:t xml:space="preserve"> whose method was restricted to qualitative interviews of a few sociology graduate students, and </w:t>
      </w:r>
      <w:r w:rsidR="007E7752">
        <w:t xml:space="preserve">works </w:t>
      </w:r>
      <w:r w:rsidR="002E62A9">
        <w:t xml:space="preserve">by Hall and Sandler, who are </w:t>
      </w:r>
      <w:r w:rsidR="007E7752">
        <w:t>known for popularizing the phrase “chilly climate</w:t>
      </w:r>
      <w:r w:rsidR="00B515E2">
        <w:t>.</w:t>
      </w:r>
      <w:r w:rsidR="007E7752">
        <w:t>”</w:t>
      </w:r>
      <w:r w:rsidR="001C1BB7">
        <w:t xml:space="preserve">  L</w:t>
      </w:r>
      <w:r w:rsidR="007F6007">
        <w:t>ess well known is</w:t>
      </w:r>
      <w:r w:rsidR="007E7752">
        <w:t xml:space="preserve"> </w:t>
      </w:r>
      <w:r w:rsidR="00F627FD">
        <w:t xml:space="preserve">that </w:t>
      </w:r>
      <w:r w:rsidR="007E7752">
        <w:t>“they did not collect any data</w:t>
      </w:r>
      <w:r w:rsidR="00C21240">
        <w:t>.</w:t>
      </w:r>
      <w:r w:rsidR="00C54F24">
        <w:t>”</w:t>
      </w:r>
      <w:r w:rsidR="00C54F24">
        <w:rPr>
          <w:rStyle w:val="FootnoteReference"/>
        </w:rPr>
        <w:footnoteReference w:id="122"/>
      </w:r>
      <w:r w:rsidR="00C54F24">
        <w:t xml:space="preserve">  </w:t>
      </w:r>
      <w:r w:rsidR="005F1225">
        <w:t xml:space="preserve">Once again </w:t>
      </w:r>
      <w:r w:rsidR="00400193">
        <w:t xml:space="preserve">we </w:t>
      </w:r>
      <w:r w:rsidR="005F1225">
        <w:t>are</w:t>
      </w:r>
      <w:r w:rsidR="00C21240">
        <w:t xml:space="preserve"> </w:t>
      </w:r>
      <w:r w:rsidR="007F6007">
        <w:t xml:space="preserve">denied any </w:t>
      </w:r>
      <w:r w:rsidR="00901890">
        <w:t>substantial</w:t>
      </w:r>
      <w:r w:rsidR="00400193">
        <w:t xml:space="preserve"> </w:t>
      </w:r>
      <w:r w:rsidR="00C21240">
        <w:t xml:space="preserve">body of evidence </w:t>
      </w:r>
      <w:r w:rsidR="00400193">
        <w:t xml:space="preserve">for </w:t>
      </w:r>
      <w:r w:rsidR="00DA1034">
        <w:t>believing</w:t>
      </w:r>
      <w:r w:rsidR="00400193">
        <w:t xml:space="preserve"> that diversifying syllabi would be likely to increase the participation of women.</w:t>
      </w:r>
    </w:p>
    <w:p w14:paraId="5B15B245" w14:textId="422D3C4F" w:rsidR="001C17DA" w:rsidRDefault="001C17DA" w:rsidP="00310823">
      <w:pPr>
        <w:widowControl w:val="0"/>
        <w:autoSpaceDE w:val="0"/>
        <w:autoSpaceDN w:val="0"/>
        <w:adjustRightInd w:val="0"/>
        <w:spacing w:line="480" w:lineRule="auto"/>
        <w:ind w:firstLine="720"/>
      </w:pPr>
      <w:r>
        <w:t>To be sure</w:t>
      </w:r>
      <w:r w:rsidR="00310823">
        <w:t>,</w:t>
      </w:r>
      <w:r>
        <w:t xml:space="preserve"> just because real-wor</w:t>
      </w:r>
      <w:r w:rsidR="002E62A9">
        <w:t>l</w:t>
      </w:r>
      <w:r>
        <w:t xml:space="preserve">d studies tend to be messy, and controlled-experiments tend to be artificial, </w:t>
      </w:r>
      <w:r w:rsidR="008C2173">
        <w:t xml:space="preserve">this doesn’t mean each may be dismissed </w:t>
      </w:r>
      <w:r w:rsidR="004E5BC8">
        <w:t xml:space="preserve">though </w:t>
      </w:r>
      <w:r w:rsidR="008C2173">
        <w:t>for different reasons.  W</w:t>
      </w:r>
      <w:r>
        <w:t>e must think of research in terms of an overall aggregate</w:t>
      </w:r>
      <w:r w:rsidR="008C2173">
        <w:t xml:space="preserve"> in which the limitations of one approach are compensated for by another type</w:t>
      </w:r>
      <w:r>
        <w:t>.</w:t>
      </w:r>
      <w:r w:rsidR="004E5BC8">
        <w:t xml:space="preserve">   I have only </w:t>
      </w:r>
      <w:r w:rsidR="00515707">
        <w:t>scrutinized</w:t>
      </w:r>
      <w:r w:rsidR="004E5BC8">
        <w:t xml:space="preserve"> a few individual studies, and I acknowledge there </w:t>
      </w:r>
      <w:r w:rsidR="00756122">
        <w:t>may be</w:t>
      </w:r>
      <w:r w:rsidR="004E5BC8">
        <w:t xml:space="preserve"> other works that better substantiate the claims the</w:t>
      </w:r>
      <w:r w:rsidR="00515707">
        <w:t xml:space="preserve"> philosophers are making.  However, i</w:t>
      </w:r>
      <w:r w:rsidR="00DA63DD">
        <w:t xml:space="preserve">f this is so, </w:t>
      </w:r>
      <w:r w:rsidR="004E5BC8">
        <w:t>they should produce them.</w:t>
      </w:r>
      <w:r w:rsidR="00310823">
        <w:t xml:space="preserve">  </w:t>
      </w:r>
      <w:r w:rsidR="00DA63DD">
        <w:t xml:space="preserve"> A</w:t>
      </w:r>
      <w:r w:rsidR="00310823">
        <w:t xml:space="preserve">ppeals to aggregates cannot be used to simply dismiss </w:t>
      </w:r>
      <w:r w:rsidR="00310823" w:rsidRPr="00515707">
        <w:t>criticism</w:t>
      </w:r>
      <w:r w:rsidR="00310823">
        <w:t xml:space="preserve"> of individual studies</w:t>
      </w:r>
      <w:r w:rsidR="00DA63DD">
        <w:t xml:space="preserve"> either</w:t>
      </w:r>
      <w:r w:rsidR="00515707">
        <w:t>.  P</w:t>
      </w:r>
      <w:r w:rsidR="00310823">
        <w:t>hilosophers are invited to show exactly how the experimental studies compensate for the</w:t>
      </w:r>
      <w:r w:rsidR="00023BA7">
        <w:t xml:space="preserve"> hiring audits, and vice versa.  For example, </w:t>
      </w:r>
      <w:r w:rsidR="00DA63DD">
        <w:t>I proposed</w:t>
      </w:r>
      <w:r w:rsidR="00310823">
        <w:t xml:space="preserve"> in the</w:t>
      </w:r>
      <w:r w:rsidR="00023BA7">
        <w:t xml:space="preserve"> case of blind-auditions </w:t>
      </w:r>
      <w:r w:rsidR="00DA63DD">
        <w:t xml:space="preserve">that </w:t>
      </w:r>
      <w:r w:rsidR="00023BA7">
        <w:t>somebody should</w:t>
      </w:r>
      <w:r w:rsidR="00310823">
        <w:t xml:space="preserve"> actually </w:t>
      </w:r>
      <w:r w:rsidR="00023BA7">
        <w:t>conduct a</w:t>
      </w:r>
      <w:r w:rsidR="00310823">
        <w:t>n e</w:t>
      </w:r>
      <w:r w:rsidR="00515707">
        <w:t>xperiment, though as noted the one</w:t>
      </w:r>
      <w:r w:rsidR="00DA63DD">
        <w:t xml:space="preserve"> study</w:t>
      </w:r>
      <w:r w:rsidR="00023BA7">
        <w:t xml:space="preserve"> </w:t>
      </w:r>
      <w:r w:rsidR="00515707">
        <w:t xml:space="preserve">that essentially did so </w:t>
      </w:r>
      <w:r w:rsidR="00310823">
        <w:t>failed to find any gende</w:t>
      </w:r>
      <w:r w:rsidR="00023BA7">
        <w:t>r bias in the non-blind context</w:t>
      </w:r>
      <w:r w:rsidR="00310823">
        <w:t xml:space="preserve">. </w:t>
      </w:r>
    </w:p>
    <w:p w14:paraId="52EF31D9" w14:textId="633B4980" w:rsidR="00023BA7" w:rsidRDefault="000E5DFA" w:rsidP="00023BA7">
      <w:pPr>
        <w:tabs>
          <w:tab w:val="left" w:pos="2437"/>
        </w:tabs>
        <w:spacing w:line="480" w:lineRule="auto"/>
        <w:ind w:firstLine="720"/>
      </w:pPr>
      <w:r>
        <w:t>Instead of anecdotes, intuitions, pop-</w:t>
      </w:r>
      <w:r w:rsidR="00192C81">
        <w:t>science</w:t>
      </w:r>
      <w:r w:rsidR="00C97752">
        <w:t>,</w:t>
      </w:r>
      <w:r>
        <w:t xml:space="preserve"> and the selective and uncritical employment</w:t>
      </w:r>
      <w:r w:rsidR="00DA1034">
        <w:t xml:space="preserve"> of </w:t>
      </w:r>
      <w:r w:rsidR="00A172B8">
        <w:t xml:space="preserve">contested </w:t>
      </w:r>
      <w:r w:rsidR="00A3373F">
        <w:t>empirical literature, I</w:t>
      </w:r>
      <w:r>
        <w:t xml:space="preserve"> have</w:t>
      </w:r>
      <w:r w:rsidR="00207F11">
        <w:t xml:space="preserve"> taken a different approach.  I </w:t>
      </w:r>
      <w:r>
        <w:t>have alerted the reader to ongoing debates between psychologists about the significance of IAT tasks and the evid</w:t>
      </w:r>
      <w:r w:rsidR="00207F11">
        <w:t xml:space="preserve">ence for Stereotype Threat.  I </w:t>
      </w:r>
      <w:r>
        <w:t xml:space="preserve">also </w:t>
      </w:r>
      <w:r w:rsidR="00515707">
        <w:t xml:space="preserve">examined </w:t>
      </w:r>
      <w:r>
        <w:t>commonly cited claims about bl</w:t>
      </w:r>
      <w:r w:rsidR="00014482">
        <w:t xml:space="preserve">ind refereeing, </w:t>
      </w:r>
      <w:r w:rsidR="0027785E">
        <w:t>auditions, returned calls to</w:t>
      </w:r>
      <w:r>
        <w:t xml:space="preserve"> prospective graduate students, </w:t>
      </w:r>
      <w:r w:rsidR="006229AB">
        <w:t>and the purported</w:t>
      </w:r>
      <w:r>
        <w:t xml:space="preserve"> efficacy of syllabus reform.  In every case we have found the evidence</w:t>
      </w:r>
      <w:r w:rsidR="00DA1034">
        <w:t xml:space="preserve"> for disadvantage </w:t>
      </w:r>
      <w:r w:rsidR="00EB4ADD">
        <w:t>wanting</w:t>
      </w:r>
      <w:r>
        <w:t>.</w:t>
      </w:r>
      <w:r w:rsidR="00DD4AC2">
        <w:t xml:space="preserve">  </w:t>
      </w:r>
      <w:r w:rsidR="00A3373F">
        <w:t>This</w:t>
      </w:r>
      <w:r w:rsidR="00D16141">
        <w:t xml:space="preserve"> analysis</w:t>
      </w:r>
      <w:r w:rsidR="001C17DA">
        <w:t xml:space="preserve"> </w:t>
      </w:r>
      <w:r w:rsidR="0027785E">
        <w:t>contrasts</w:t>
      </w:r>
      <w:r w:rsidR="00097CD2">
        <w:t xml:space="preserve"> </w:t>
      </w:r>
      <w:r w:rsidR="0027785E">
        <w:t xml:space="preserve">with </w:t>
      </w:r>
      <w:r w:rsidR="00097CD2">
        <w:t xml:space="preserve">the </w:t>
      </w:r>
      <w:r w:rsidR="0027785E">
        <w:t xml:space="preserve">confidence some </w:t>
      </w:r>
      <w:r w:rsidR="00E34BC3">
        <w:t>philosophe</w:t>
      </w:r>
      <w:r w:rsidR="0027785E">
        <w:t xml:space="preserve">rs </w:t>
      </w:r>
      <w:r w:rsidR="00EB4ADD">
        <w:t xml:space="preserve">place </w:t>
      </w:r>
      <w:r w:rsidR="000E62CA">
        <w:t>in rather shaky findings</w:t>
      </w:r>
      <w:r w:rsidR="00D16141">
        <w:t xml:space="preserve"> and </w:t>
      </w:r>
      <w:r w:rsidR="00EB4ADD">
        <w:t xml:space="preserve">who </w:t>
      </w:r>
      <w:r w:rsidR="00097CD2">
        <w:t xml:space="preserve">seem unaware </w:t>
      </w:r>
      <w:r w:rsidR="002B0C65">
        <w:t>of</w:t>
      </w:r>
      <w:r w:rsidR="00E34BC3">
        <w:t xml:space="preserve"> social psychology’s </w:t>
      </w:r>
      <w:r w:rsidR="00515707">
        <w:t xml:space="preserve">even well </w:t>
      </w:r>
      <w:r w:rsidR="00E34BC3">
        <w:t xml:space="preserve">publicized internal difficulties, such the debate about </w:t>
      </w:r>
      <w:r w:rsidR="008B0107">
        <w:t xml:space="preserve">its </w:t>
      </w:r>
      <w:r w:rsidR="00E34BC3">
        <w:t>“replication crisis.”</w:t>
      </w:r>
      <w:r w:rsidR="00E34BC3">
        <w:rPr>
          <w:rStyle w:val="FootnoteReference"/>
        </w:rPr>
        <w:footnoteReference w:id="123"/>
      </w:r>
      <w:r w:rsidR="00207F11">
        <w:t xml:space="preserve">  I</w:t>
      </w:r>
      <w:r w:rsidR="00A3373F">
        <w:t xml:space="preserve">t is clear that the dominant </w:t>
      </w:r>
      <w:r w:rsidR="00E34BC3">
        <w:t>narrative about</w:t>
      </w:r>
      <w:r w:rsidR="00023BA7">
        <w:t xml:space="preserve"> </w:t>
      </w:r>
      <w:r w:rsidR="00977621">
        <w:t xml:space="preserve">implicit </w:t>
      </w:r>
      <w:r w:rsidR="00E34BC3">
        <w:t xml:space="preserve">bias is overdue for a </w:t>
      </w:r>
      <w:r w:rsidR="00BC4271">
        <w:t>reassessment</w:t>
      </w:r>
      <w:r w:rsidR="00E34BC3">
        <w:t xml:space="preserve">.  </w:t>
      </w:r>
    </w:p>
    <w:p w14:paraId="0D840457" w14:textId="439AD202" w:rsidR="009978F2" w:rsidRDefault="00023BA7" w:rsidP="00023BA7">
      <w:pPr>
        <w:tabs>
          <w:tab w:val="left" w:pos="2437"/>
        </w:tabs>
        <w:spacing w:line="480" w:lineRule="auto"/>
        <w:ind w:firstLine="720"/>
      </w:pPr>
      <w:r>
        <w:rPr>
          <w:rFonts w:cs="Calibri"/>
          <w:color w:val="191919"/>
        </w:rPr>
        <w:t>T</w:t>
      </w:r>
      <w:r w:rsidR="0047597C" w:rsidRPr="002754F2">
        <w:rPr>
          <w:rFonts w:cs="Calibri"/>
          <w:color w:val="191919"/>
        </w:rPr>
        <w:t>he evidence for thinking imp</w:t>
      </w:r>
      <w:r w:rsidR="00A3373F">
        <w:rPr>
          <w:rFonts w:cs="Calibri"/>
          <w:color w:val="191919"/>
        </w:rPr>
        <w:t xml:space="preserve">licit bias explains patterns of </w:t>
      </w:r>
      <w:r w:rsidR="0047597C" w:rsidRPr="002754F2">
        <w:rPr>
          <w:rFonts w:cs="Calibri"/>
          <w:color w:val="191919"/>
        </w:rPr>
        <w:t xml:space="preserve">underrepresentation in philosophy is undeniably lackluster, </w:t>
      </w:r>
      <w:r>
        <w:rPr>
          <w:rFonts w:cs="Calibri"/>
          <w:color w:val="191919"/>
        </w:rPr>
        <w:t>yet despite this</w:t>
      </w:r>
      <w:r w:rsidR="0047597C" w:rsidRPr="002754F2">
        <w:rPr>
          <w:rFonts w:cs="Calibri"/>
          <w:color w:val="191919"/>
        </w:rPr>
        <w:t> leading figures have consistently and overwhelmingly misrepresented key findings and made grossly unsubstantiated claims</w:t>
      </w:r>
      <w:r>
        <w:rPr>
          <w:rFonts w:cs="Calibri"/>
          <w:color w:val="191919"/>
        </w:rPr>
        <w:t xml:space="preserve">.  </w:t>
      </w:r>
      <w:r w:rsidR="00E34BC3" w:rsidRPr="002754F2">
        <w:t xml:space="preserve">Though </w:t>
      </w:r>
      <w:r>
        <w:t xml:space="preserve">my language is strong, I </w:t>
      </w:r>
      <w:r w:rsidR="00654461" w:rsidRPr="002754F2">
        <w:t xml:space="preserve">feel it is needed </w:t>
      </w:r>
      <w:r w:rsidR="00E34BC3" w:rsidRPr="002754F2">
        <w:t>to call att</w:t>
      </w:r>
      <w:r w:rsidR="00042C00" w:rsidRPr="002754F2">
        <w:t>ention to a pattern of</w:t>
      </w:r>
      <w:r w:rsidR="005534FB" w:rsidRPr="002754F2">
        <w:t xml:space="preserve"> </w:t>
      </w:r>
      <w:r w:rsidR="00042C00" w:rsidRPr="002754F2">
        <w:t>employing</w:t>
      </w:r>
      <w:r w:rsidR="005534FB">
        <w:t xml:space="preserve"> </w:t>
      </w:r>
      <w:r w:rsidR="009F6805">
        <w:t xml:space="preserve">marginal </w:t>
      </w:r>
      <w:r w:rsidR="00E34BC3">
        <w:t>results in</w:t>
      </w:r>
      <w:r w:rsidR="00097CD2">
        <w:t xml:space="preserve"> prominent</w:t>
      </w:r>
      <w:r w:rsidR="00E34BC3">
        <w:t xml:space="preserve"> journals, conferences, departmental websites, and professional blo</w:t>
      </w:r>
      <w:r w:rsidR="009F6805">
        <w:t>gs</w:t>
      </w:r>
      <w:r w:rsidR="00042C00">
        <w:t xml:space="preserve"> as settled science</w:t>
      </w:r>
      <w:r w:rsidR="00826CBB">
        <w:t>,</w:t>
      </w:r>
      <w:r w:rsidR="00E34BC3">
        <w:t xml:space="preserve"> while clear misses and alternative hypotheses are routinely ignored, and reporting is </w:t>
      </w:r>
      <w:r w:rsidR="00042C00">
        <w:t xml:space="preserve">insufficiently </w:t>
      </w:r>
      <w:r w:rsidR="00E34BC3">
        <w:t>critical</w:t>
      </w:r>
      <w:r w:rsidR="00010448">
        <w:t xml:space="preserve">.  This is not necessarily to </w:t>
      </w:r>
      <w:r w:rsidR="000501F4">
        <w:t>say</w:t>
      </w:r>
      <w:r w:rsidR="00FE4C33">
        <w:t xml:space="preserve"> </w:t>
      </w:r>
      <w:r w:rsidR="000501F4">
        <w:t>that</w:t>
      </w:r>
      <w:r w:rsidR="00BC4271">
        <w:t xml:space="preserve"> </w:t>
      </w:r>
      <w:r w:rsidR="00276872">
        <w:t xml:space="preserve">bias </w:t>
      </w:r>
      <w:r w:rsidR="00BC4271">
        <w:t xml:space="preserve">is nonexistent in </w:t>
      </w:r>
      <w:r w:rsidR="00276872">
        <w:t>philosophy</w:t>
      </w:r>
      <w:r w:rsidR="00BC4271">
        <w:t>,</w:t>
      </w:r>
      <w:r w:rsidR="00276872">
        <w:t xml:space="preserve"> </w:t>
      </w:r>
      <w:r w:rsidR="006C0081">
        <w:t>or</w:t>
      </w:r>
      <w:r w:rsidR="00BC4271">
        <w:t xml:space="preserve"> </w:t>
      </w:r>
      <w:r w:rsidR="00FE6E45">
        <w:t>that women are favored, e.g. o</w:t>
      </w:r>
      <w:r w:rsidR="006C0081">
        <w:t xml:space="preserve">n the </w:t>
      </w:r>
      <w:r w:rsidR="00977621">
        <w:t>job market.  My</w:t>
      </w:r>
      <w:r w:rsidR="00BC4271">
        <w:t xml:space="preserve"> claim</w:t>
      </w:r>
      <w:r w:rsidR="00010448">
        <w:t xml:space="preserve"> here</w:t>
      </w:r>
      <w:r w:rsidR="00BC4271">
        <w:t xml:space="preserve"> is</w:t>
      </w:r>
      <w:r w:rsidR="00010448">
        <w:t xml:space="preserve"> only</w:t>
      </w:r>
      <w:r w:rsidR="00BC4271">
        <w:t xml:space="preserve"> that</w:t>
      </w:r>
      <w:r w:rsidR="00276872">
        <w:t xml:space="preserve"> </w:t>
      </w:r>
      <w:r w:rsidR="008B0107">
        <w:t xml:space="preserve">the </w:t>
      </w:r>
      <w:r w:rsidR="008B0107" w:rsidRPr="00C275B9">
        <w:rPr>
          <w:i/>
        </w:rPr>
        <w:t>basis</w:t>
      </w:r>
      <w:r w:rsidR="008B0107" w:rsidRPr="003B520C">
        <w:t xml:space="preserve"> </w:t>
      </w:r>
      <w:r w:rsidR="00E34BC3">
        <w:t>for th</w:t>
      </w:r>
      <w:r w:rsidR="00FE6E45">
        <w:t xml:space="preserve">inking </w:t>
      </w:r>
      <w:r w:rsidR="00977621">
        <w:t xml:space="preserve">implicit </w:t>
      </w:r>
      <w:r w:rsidR="008B0107">
        <w:t xml:space="preserve">bias </w:t>
      </w:r>
      <w:r w:rsidR="00FE6E45">
        <w:t xml:space="preserve">is </w:t>
      </w:r>
      <w:r>
        <w:t xml:space="preserve">an important factor when it comes to </w:t>
      </w:r>
      <w:r w:rsidR="008B0107">
        <w:t>explain</w:t>
      </w:r>
      <w:r>
        <w:t>ing</w:t>
      </w:r>
      <w:r w:rsidR="00E34BC3">
        <w:t xml:space="preserve"> the low representation of women (and perhaps other underrepr</w:t>
      </w:r>
      <w:r w:rsidR="00BC4271">
        <w:t xml:space="preserve">esented groups) </w:t>
      </w:r>
      <w:r w:rsidR="00A3373F">
        <w:t>is</w:t>
      </w:r>
      <w:r w:rsidR="00FE6E45">
        <w:t xml:space="preserve"> </w:t>
      </w:r>
      <w:r w:rsidR="00DA63DD">
        <w:t>unimpressive</w:t>
      </w:r>
      <w:r w:rsidR="00BC4271">
        <w:t>.</w:t>
      </w:r>
    </w:p>
    <w:p w14:paraId="565D556D" w14:textId="5F702278" w:rsidR="009978F2" w:rsidRDefault="009978F2" w:rsidP="009978F2">
      <w:pPr>
        <w:spacing w:line="480" w:lineRule="auto"/>
        <w:rPr>
          <w:rFonts w:ascii="Cambria" w:hAnsi="Cambria" w:cs="Calibri"/>
          <w:color w:val="191919"/>
        </w:rPr>
      </w:pPr>
      <w:r>
        <w:rPr>
          <w:rFonts w:ascii="Cambria" w:hAnsi="Cambria"/>
        </w:rPr>
        <w:tab/>
        <w:t xml:space="preserve">Finally, what does this have to do with political correctness?  </w:t>
      </w:r>
      <w:r>
        <w:rPr>
          <w:rFonts w:ascii="Cambria" w:hAnsi="Cambria" w:cs="Calibri"/>
          <w:color w:val="191919"/>
        </w:rPr>
        <w:t>P</w:t>
      </w:r>
      <w:r w:rsidRPr="0005036B">
        <w:rPr>
          <w:rFonts w:ascii="Cambria" w:hAnsi="Cambria" w:cs="Calibri"/>
          <w:color w:val="191919"/>
        </w:rPr>
        <w:t xml:space="preserve">hilosophers have been seeking epistemic grounds for political aims with </w:t>
      </w:r>
      <w:r w:rsidR="00CC64EA">
        <w:rPr>
          <w:rFonts w:ascii="Cambria" w:hAnsi="Cambria" w:cs="Calibri"/>
          <w:color w:val="191919"/>
        </w:rPr>
        <w:t>Ant</w:t>
      </w:r>
      <w:r>
        <w:rPr>
          <w:rFonts w:ascii="Cambria" w:hAnsi="Cambria" w:cs="Calibri"/>
          <w:color w:val="191919"/>
        </w:rPr>
        <w:t xml:space="preserve">ony making a clear </w:t>
      </w:r>
      <w:r w:rsidR="004B1460">
        <w:rPr>
          <w:rFonts w:ascii="Cambria" w:hAnsi="Cambria" w:cs="Calibri"/>
          <w:color w:val="191919"/>
        </w:rPr>
        <w:t xml:space="preserve">and explicit </w:t>
      </w:r>
      <w:r>
        <w:rPr>
          <w:rFonts w:ascii="Cambria" w:hAnsi="Cambria" w:cs="Calibri"/>
          <w:color w:val="191919"/>
        </w:rPr>
        <w:t xml:space="preserve">statement </w:t>
      </w:r>
      <w:r w:rsidR="00DA63DD">
        <w:rPr>
          <w:rFonts w:ascii="Cambria" w:hAnsi="Cambria" w:cs="Calibri"/>
          <w:color w:val="191919"/>
        </w:rPr>
        <w:t xml:space="preserve">about the most promising avenue, </w:t>
      </w:r>
      <w:r w:rsidRPr="0005036B">
        <w:rPr>
          <w:rFonts w:ascii="Cambria" w:hAnsi="Cambria" w:cs="Calibri"/>
          <w:color w:val="191919"/>
        </w:rPr>
        <w:t>implicit b</w:t>
      </w:r>
      <w:r>
        <w:rPr>
          <w:rFonts w:ascii="Cambria" w:hAnsi="Cambria" w:cs="Calibri"/>
          <w:color w:val="191919"/>
        </w:rPr>
        <w:t>ias.  There i</w:t>
      </w:r>
      <w:r w:rsidRPr="0005036B">
        <w:rPr>
          <w:rFonts w:ascii="Cambria" w:hAnsi="Cambria" w:cs="Calibri"/>
          <w:color w:val="191919"/>
        </w:rPr>
        <w:t xml:space="preserve">s nothing wrong with </w:t>
      </w:r>
      <w:r>
        <w:rPr>
          <w:rFonts w:ascii="Cambria" w:hAnsi="Cambria" w:cs="Calibri"/>
          <w:color w:val="191919"/>
        </w:rPr>
        <w:t>appealing to scientific findings</w:t>
      </w:r>
      <w:r w:rsidRPr="0005036B">
        <w:rPr>
          <w:rFonts w:ascii="Cambria" w:hAnsi="Cambria" w:cs="Calibri"/>
          <w:color w:val="191919"/>
        </w:rPr>
        <w:t>, but the</w:t>
      </w:r>
      <w:r>
        <w:rPr>
          <w:rFonts w:ascii="Cambria" w:hAnsi="Cambria" w:cs="Calibri"/>
          <w:color w:val="191919"/>
        </w:rPr>
        <w:t xml:space="preserve"> concern of Haack and others about the danger of </w:t>
      </w:r>
      <w:r w:rsidRPr="0005036B">
        <w:rPr>
          <w:rFonts w:ascii="Cambria" w:hAnsi="Cambria" w:cs="Calibri"/>
          <w:color w:val="191919"/>
        </w:rPr>
        <w:t>political values constrain</w:t>
      </w:r>
      <w:r>
        <w:rPr>
          <w:rFonts w:ascii="Cambria" w:hAnsi="Cambria" w:cs="Calibri"/>
          <w:color w:val="191919"/>
        </w:rPr>
        <w:t>ing</w:t>
      </w:r>
      <w:r w:rsidRPr="0005036B">
        <w:rPr>
          <w:rFonts w:ascii="Cambria" w:hAnsi="Cambria" w:cs="Calibri"/>
          <w:color w:val="191919"/>
        </w:rPr>
        <w:t xml:space="preserve"> the context of justification with a net lo</w:t>
      </w:r>
      <w:r w:rsidR="00515707">
        <w:rPr>
          <w:rFonts w:ascii="Cambria" w:hAnsi="Cambria" w:cs="Calibri"/>
          <w:color w:val="191919"/>
        </w:rPr>
        <w:t xml:space="preserve">ss in objectivity seems highly plausible.  </w:t>
      </w:r>
      <w:r>
        <w:rPr>
          <w:rFonts w:ascii="Cambria" w:hAnsi="Cambria" w:cs="Calibri"/>
          <w:color w:val="191919"/>
        </w:rPr>
        <w:t xml:space="preserve">Underdetermined theories, and perhaps even false theories, are being accepted as true when we should at least suspend judgment.  Indeed, this </w:t>
      </w:r>
      <w:r w:rsidR="00515707">
        <w:rPr>
          <w:rFonts w:ascii="Cambria" w:hAnsi="Cambria" w:cs="Calibri"/>
          <w:color w:val="191919"/>
        </w:rPr>
        <w:t>is</w:t>
      </w:r>
      <w:r>
        <w:rPr>
          <w:rFonts w:ascii="Cambria" w:hAnsi="Cambria" w:cs="Calibri"/>
          <w:color w:val="191919"/>
        </w:rPr>
        <w:t xml:space="preserve"> t</w:t>
      </w:r>
      <w:r w:rsidR="00515707">
        <w:rPr>
          <w:rFonts w:ascii="Cambria" w:hAnsi="Cambria" w:cs="Calibri"/>
          <w:color w:val="191919"/>
        </w:rPr>
        <w:t>he case with Antony herself when she</w:t>
      </w:r>
      <w:r>
        <w:rPr>
          <w:rFonts w:ascii="Cambria" w:hAnsi="Cambria" w:cs="Calibri"/>
          <w:color w:val="191919"/>
        </w:rPr>
        <w:t xml:space="preserve"> uncritica</w:t>
      </w:r>
      <w:r w:rsidR="004F01B1">
        <w:rPr>
          <w:rFonts w:ascii="Cambria" w:hAnsi="Cambria" w:cs="Calibri"/>
          <w:color w:val="191919"/>
        </w:rPr>
        <w:t>lly relies on two, now familiar,</w:t>
      </w:r>
      <w:r>
        <w:rPr>
          <w:rFonts w:ascii="Cambria" w:hAnsi="Cambria" w:cs="Calibri"/>
          <w:color w:val="191919"/>
        </w:rPr>
        <w:t xml:space="preserve"> though questionable studies in order to make quite sweeping claims about hiring biases (2016, p.158).</w:t>
      </w:r>
      <w:r w:rsidR="004B1460">
        <w:rPr>
          <w:rStyle w:val="FootnoteReference"/>
          <w:rFonts w:ascii="Cambria" w:hAnsi="Cambria" w:cs="Calibri"/>
          <w:color w:val="191919"/>
        </w:rPr>
        <w:footnoteReference w:id="124"/>
      </w:r>
      <w:r>
        <w:rPr>
          <w:rFonts w:ascii="Cambria" w:hAnsi="Cambria" w:cs="Calibri"/>
          <w:color w:val="191919"/>
        </w:rPr>
        <w:t xml:space="preserve">  She also joins those who</w:t>
      </w:r>
      <w:r w:rsidR="00515707">
        <w:rPr>
          <w:rFonts w:ascii="Cambria" w:hAnsi="Cambria" w:cs="Calibri"/>
          <w:color w:val="191919"/>
        </w:rPr>
        <w:t xml:space="preserve"> erroneously</w:t>
      </w:r>
      <w:r>
        <w:rPr>
          <w:rFonts w:ascii="Cambria" w:hAnsi="Cambria" w:cs="Calibri"/>
          <w:color w:val="191919"/>
        </w:rPr>
        <w:t xml:space="preserve"> treat Goldin and Rouse's correlational hiring audit as if it was authoritative o</w:t>
      </w:r>
      <w:r w:rsidR="004B1460">
        <w:rPr>
          <w:rFonts w:ascii="Cambria" w:hAnsi="Cambria" w:cs="Calibri"/>
          <w:color w:val="191919"/>
        </w:rPr>
        <w:t>n the</w:t>
      </w:r>
      <w:r>
        <w:rPr>
          <w:rFonts w:ascii="Cambria" w:hAnsi="Cambria" w:cs="Calibri"/>
          <w:color w:val="191919"/>
        </w:rPr>
        <w:t xml:space="preserve"> matter of the "power" of blind auditions (2016, p.166).</w:t>
      </w:r>
      <w:r w:rsidR="00A3373F">
        <w:rPr>
          <w:rStyle w:val="FootnoteReference"/>
          <w:rFonts w:ascii="Cambria" w:hAnsi="Cambria" w:cs="Calibri"/>
          <w:color w:val="191919"/>
        </w:rPr>
        <w:footnoteReference w:id="125"/>
      </w:r>
      <w:r>
        <w:rPr>
          <w:rFonts w:ascii="Cambria" w:hAnsi="Cambria" w:cs="Calibri"/>
          <w:color w:val="191919"/>
        </w:rPr>
        <w:t xml:space="preserve"> </w:t>
      </w:r>
      <w:r w:rsidR="00CC64EA">
        <w:rPr>
          <w:rFonts w:ascii="Cambria" w:hAnsi="Cambria" w:cs="Calibri"/>
          <w:color w:val="191919"/>
        </w:rPr>
        <w:t xml:space="preserve"> To my knowledge, there are </w:t>
      </w:r>
      <w:r>
        <w:rPr>
          <w:rFonts w:ascii="Cambria" w:hAnsi="Cambria" w:cs="Calibri"/>
          <w:color w:val="191919"/>
        </w:rPr>
        <w:t>no exam</w:t>
      </w:r>
      <w:r w:rsidR="00515707">
        <w:rPr>
          <w:rFonts w:ascii="Cambria" w:hAnsi="Cambria" w:cs="Calibri"/>
          <w:color w:val="191919"/>
        </w:rPr>
        <w:t xml:space="preserve">ples of philosophers indicating </w:t>
      </w:r>
      <w:r w:rsidR="004B1460">
        <w:rPr>
          <w:rFonts w:ascii="Cambria" w:hAnsi="Cambria" w:cs="Calibri"/>
          <w:color w:val="191919"/>
        </w:rPr>
        <w:t xml:space="preserve">awareness </w:t>
      </w:r>
      <w:r w:rsidR="004F01B1">
        <w:rPr>
          <w:rFonts w:ascii="Cambria" w:hAnsi="Cambria" w:cs="Calibri"/>
          <w:color w:val="191919"/>
        </w:rPr>
        <w:t>of</w:t>
      </w:r>
      <w:r w:rsidR="004B1460">
        <w:rPr>
          <w:rFonts w:ascii="Cambria" w:hAnsi="Cambria" w:cs="Calibri"/>
          <w:color w:val="191919"/>
        </w:rPr>
        <w:t xml:space="preserve"> </w:t>
      </w:r>
      <w:r w:rsidR="00CC64EA">
        <w:rPr>
          <w:rFonts w:ascii="Cambria" w:hAnsi="Cambria" w:cs="Calibri"/>
          <w:color w:val="191919"/>
        </w:rPr>
        <w:t xml:space="preserve">even </w:t>
      </w:r>
      <w:r>
        <w:rPr>
          <w:rFonts w:ascii="Cambria" w:hAnsi="Cambria" w:cs="Calibri"/>
          <w:color w:val="191919"/>
        </w:rPr>
        <w:t>Goldin and Rouse's self-acknowledged</w:t>
      </w:r>
      <w:r w:rsidR="00515707">
        <w:rPr>
          <w:rFonts w:ascii="Cambria" w:hAnsi="Cambria" w:cs="Calibri"/>
          <w:color w:val="191919"/>
        </w:rPr>
        <w:t xml:space="preserve"> </w:t>
      </w:r>
      <w:r>
        <w:rPr>
          <w:rFonts w:ascii="Cambria" w:hAnsi="Cambria" w:cs="Calibri"/>
          <w:color w:val="191919"/>
        </w:rPr>
        <w:t>limitations.</w:t>
      </w:r>
    </w:p>
    <w:p w14:paraId="7C32A37E" w14:textId="11A867EC" w:rsidR="009D2318" w:rsidRPr="001C5395" w:rsidRDefault="009978F2" w:rsidP="001C5395">
      <w:pPr>
        <w:spacing w:line="480" w:lineRule="auto"/>
        <w:rPr>
          <w:rFonts w:cs="Calibri"/>
          <w:color w:val="191919"/>
        </w:rPr>
      </w:pPr>
      <w:r>
        <w:rPr>
          <w:rFonts w:ascii="Cambria" w:hAnsi="Cambria" w:cs="Calibri"/>
          <w:color w:val="191919"/>
        </w:rPr>
        <w:tab/>
        <w:t>Perhaps it will be objected that I am not in a position to determine what cognitive biases or ideological framew</w:t>
      </w:r>
      <w:r w:rsidR="004F01B1">
        <w:rPr>
          <w:rFonts w:ascii="Cambria" w:hAnsi="Cambria" w:cs="Calibri"/>
          <w:color w:val="191919"/>
        </w:rPr>
        <w:t xml:space="preserve">orks </w:t>
      </w:r>
      <w:r w:rsidR="00067D62">
        <w:rPr>
          <w:rFonts w:ascii="Cambria" w:hAnsi="Cambria" w:cs="Calibri"/>
          <w:color w:val="191919"/>
        </w:rPr>
        <w:t>are influencing</w:t>
      </w:r>
      <w:r>
        <w:rPr>
          <w:rFonts w:ascii="Cambria" w:hAnsi="Cambria" w:cs="Calibri"/>
          <w:color w:val="191919"/>
        </w:rPr>
        <w:t xml:space="preserve"> others.  I am certainly not claiming there is </w:t>
      </w:r>
      <w:r w:rsidRPr="003A07EF">
        <w:rPr>
          <w:rFonts w:cs="Calibri"/>
          <w:color w:val="191919"/>
        </w:rPr>
        <w:t>an intentional effort to undermine attempts at an objective assessment of</w:t>
      </w:r>
      <w:r>
        <w:rPr>
          <w:rFonts w:cs="Calibri"/>
          <w:color w:val="191919"/>
        </w:rPr>
        <w:t xml:space="preserve"> the science.  However, it is strongly</w:t>
      </w:r>
      <w:r w:rsidRPr="003A07EF">
        <w:rPr>
          <w:rFonts w:cs="Calibri"/>
          <w:color w:val="191919"/>
        </w:rPr>
        <w:t xml:space="preserve"> evidenced that philosophe</w:t>
      </w:r>
      <w:r>
        <w:rPr>
          <w:rFonts w:cs="Calibri"/>
          <w:color w:val="191919"/>
        </w:rPr>
        <w:t xml:space="preserve">rs writing about implicit bias </w:t>
      </w:r>
      <w:r w:rsidRPr="003A07EF">
        <w:rPr>
          <w:rFonts w:cs="Calibri"/>
          <w:color w:val="191919"/>
        </w:rPr>
        <w:t>te</w:t>
      </w:r>
      <w:r w:rsidR="00CC64EA">
        <w:rPr>
          <w:rFonts w:cs="Calibri"/>
          <w:color w:val="191919"/>
        </w:rPr>
        <w:t>nd to share a commitment to</w:t>
      </w:r>
      <w:r w:rsidR="00A646A0">
        <w:rPr>
          <w:rFonts w:cs="Calibri"/>
          <w:color w:val="191919"/>
        </w:rPr>
        <w:t xml:space="preserve"> progressive reform</w:t>
      </w:r>
      <w:r w:rsidR="00CC64EA">
        <w:rPr>
          <w:rFonts w:cs="Calibri"/>
          <w:color w:val="191919"/>
        </w:rPr>
        <w:t xml:space="preserve">s such </w:t>
      </w:r>
      <w:r w:rsidRPr="003A07EF">
        <w:rPr>
          <w:rFonts w:cs="Calibri"/>
          <w:color w:val="191919"/>
        </w:rPr>
        <w:t>as affirmative action initiatives (see author, forthcoming)</w:t>
      </w:r>
      <w:r>
        <w:rPr>
          <w:rFonts w:cs="Calibri"/>
          <w:color w:val="191919"/>
        </w:rPr>
        <w:t>.  Alongside this are errors and omissions otherwise difficult to explain</w:t>
      </w:r>
      <w:r w:rsidRPr="003A07EF">
        <w:rPr>
          <w:rFonts w:cs="Calibri"/>
          <w:color w:val="191919"/>
        </w:rPr>
        <w:t xml:space="preserve">.  </w:t>
      </w:r>
      <w:r w:rsidR="00515707">
        <w:rPr>
          <w:rFonts w:cs="Calibri"/>
          <w:color w:val="191919"/>
        </w:rPr>
        <w:t xml:space="preserve">To give one final example, </w:t>
      </w:r>
      <w:r w:rsidRPr="003A07EF">
        <w:rPr>
          <w:rFonts w:cs="Calibri"/>
          <w:color w:val="191919"/>
        </w:rPr>
        <w:t>Washington and Kelly</w:t>
      </w:r>
      <w:r>
        <w:rPr>
          <w:rFonts w:cs="Calibri"/>
          <w:color w:val="191919"/>
        </w:rPr>
        <w:t xml:space="preserve"> (2016)</w:t>
      </w:r>
      <w:r w:rsidR="00515707">
        <w:rPr>
          <w:rFonts w:cs="Calibri"/>
          <w:color w:val="191919"/>
        </w:rPr>
        <w:t xml:space="preserve"> </w:t>
      </w:r>
      <w:r>
        <w:rPr>
          <w:rFonts w:cs="Calibri"/>
          <w:color w:val="191919"/>
        </w:rPr>
        <w:t>wri</w:t>
      </w:r>
      <w:r w:rsidRPr="003A07EF">
        <w:rPr>
          <w:rFonts w:cs="Calibri"/>
          <w:color w:val="191919"/>
        </w:rPr>
        <w:t>te the sole acknowledgement I could find in</w:t>
      </w:r>
      <w:r w:rsidR="00A03E64">
        <w:rPr>
          <w:rFonts w:cs="Calibri"/>
          <w:color w:val="191919"/>
        </w:rPr>
        <w:t xml:space="preserve"> the main text of</w:t>
      </w:r>
      <w:r w:rsidRPr="003A07EF">
        <w:rPr>
          <w:rFonts w:cs="Calibri"/>
          <w:color w:val="191919"/>
        </w:rPr>
        <w:t xml:space="preserve"> </w:t>
      </w:r>
      <w:r w:rsidR="00CC64EA">
        <w:rPr>
          <w:rFonts w:cs="Calibri"/>
          <w:color w:val="191919"/>
        </w:rPr>
        <w:t>a</w:t>
      </w:r>
      <w:r>
        <w:rPr>
          <w:rFonts w:cs="Calibri"/>
          <w:color w:val="191919"/>
        </w:rPr>
        <w:t xml:space="preserve"> recent two-</w:t>
      </w:r>
      <w:r w:rsidR="00A03E64">
        <w:rPr>
          <w:rFonts w:cs="Calibri"/>
          <w:color w:val="191919"/>
        </w:rPr>
        <w:t xml:space="preserve">volume collection that </w:t>
      </w:r>
      <w:r w:rsidRPr="003A07EF">
        <w:rPr>
          <w:rFonts w:cs="Calibri"/>
          <w:color w:val="191919"/>
        </w:rPr>
        <w:t>there was anything controversial about t</w:t>
      </w:r>
      <w:r>
        <w:rPr>
          <w:rFonts w:cs="Calibri"/>
          <w:color w:val="191919"/>
        </w:rPr>
        <w:t xml:space="preserve">he implicit bias research, though only to remark that </w:t>
      </w:r>
      <w:r w:rsidRPr="003A07EF">
        <w:rPr>
          <w:rFonts w:cs="Calibri"/>
          <w:color w:val="191919"/>
        </w:rPr>
        <w:t>certain unnamed d</w:t>
      </w:r>
      <w:r>
        <w:rPr>
          <w:rFonts w:cs="Calibri"/>
          <w:color w:val="191919"/>
        </w:rPr>
        <w:t>isputes</w:t>
      </w:r>
      <w:r w:rsidR="00CC64EA">
        <w:rPr>
          <w:rFonts w:cs="Calibri"/>
          <w:color w:val="191919"/>
        </w:rPr>
        <w:t xml:space="preserve"> would</w:t>
      </w:r>
      <w:r w:rsidR="00DA63DD">
        <w:rPr>
          <w:rFonts w:cs="Calibri"/>
          <w:color w:val="191919"/>
        </w:rPr>
        <w:t xml:space="preserve"> be ignored</w:t>
      </w:r>
      <w:r>
        <w:rPr>
          <w:rFonts w:cs="Calibri"/>
          <w:color w:val="191919"/>
        </w:rPr>
        <w:t>.</w:t>
      </w:r>
      <w:r w:rsidR="004F01B1">
        <w:rPr>
          <w:rStyle w:val="FootnoteReference"/>
          <w:rFonts w:cs="Calibri"/>
          <w:color w:val="191919"/>
        </w:rPr>
        <w:footnoteReference w:id="126"/>
      </w:r>
      <w:r>
        <w:rPr>
          <w:rFonts w:cs="Calibri"/>
          <w:color w:val="191919"/>
        </w:rPr>
        <w:t xml:space="preserve">  </w:t>
      </w:r>
      <w:r w:rsidRPr="003A07EF">
        <w:rPr>
          <w:rFonts w:cs="Calibri"/>
          <w:color w:val="191919"/>
        </w:rPr>
        <w:t xml:space="preserve">Despite a </w:t>
      </w:r>
      <w:r w:rsidR="004B1460">
        <w:rPr>
          <w:rFonts w:cs="Calibri"/>
          <w:color w:val="191919"/>
        </w:rPr>
        <w:t>declaration</w:t>
      </w:r>
      <w:r w:rsidRPr="003A07EF">
        <w:rPr>
          <w:rFonts w:cs="Calibri"/>
          <w:color w:val="191919"/>
        </w:rPr>
        <w:t xml:space="preserve"> about stic</w:t>
      </w:r>
      <w:r>
        <w:rPr>
          <w:rFonts w:cs="Calibri"/>
          <w:color w:val="191919"/>
        </w:rPr>
        <w:t>king to "textbook facts," they go on to o</w:t>
      </w:r>
      <w:r w:rsidRPr="003A07EF">
        <w:rPr>
          <w:rFonts w:cs="Calibri"/>
          <w:color w:val="191919"/>
        </w:rPr>
        <w:t xml:space="preserve">verstate results on </w:t>
      </w:r>
      <w:r>
        <w:rPr>
          <w:rFonts w:cs="Calibri"/>
          <w:color w:val="191919"/>
        </w:rPr>
        <w:t>"</w:t>
      </w:r>
      <w:r w:rsidRPr="003A07EF">
        <w:rPr>
          <w:rFonts w:cs="Calibri"/>
          <w:color w:val="191919"/>
        </w:rPr>
        <w:t>shooter</w:t>
      </w:r>
      <w:r>
        <w:rPr>
          <w:rFonts w:cs="Calibri"/>
          <w:color w:val="191919"/>
        </w:rPr>
        <w:t>"</w:t>
      </w:r>
      <w:r w:rsidRPr="003A07EF">
        <w:rPr>
          <w:rFonts w:cs="Calibri"/>
          <w:color w:val="191919"/>
        </w:rPr>
        <w:t xml:space="preserve"> bias</w:t>
      </w:r>
      <w:r>
        <w:rPr>
          <w:rFonts w:cs="Calibri"/>
          <w:color w:val="191919"/>
        </w:rPr>
        <w:t> and selectively report other results</w:t>
      </w:r>
      <w:r w:rsidR="00CC64EA">
        <w:rPr>
          <w:rFonts w:cs="Calibri"/>
          <w:color w:val="191919"/>
        </w:rPr>
        <w:t>, such as</w:t>
      </w:r>
      <w:r w:rsidRPr="003A07EF">
        <w:rPr>
          <w:rFonts w:cs="Calibri"/>
          <w:color w:val="191919"/>
        </w:rPr>
        <w:t xml:space="preserve"> </w:t>
      </w:r>
      <w:r>
        <w:rPr>
          <w:rFonts w:cs="Calibri"/>
          <w:color w:val="191919"/>
        </w:rPr>
        <w:t xml:space="preserve">failing to note </w:t>
      </w:r>
      <w:r w:rsidR="001B7174">
        <w:rPr>
          <w:rFonts w:cs="Calibri"/>
          <w:color w:val="191919"/>
        </w:rPr>
        <w:t xml:space="preserve">that </w:t>
      </w:r>
      <w:r w:rsidRPr="003A07EF">
        <w:rPr>
          <w:rFonts w:cs="Calibri"/>
          <w:color w:val="191919"/>
        </w:rPr>
        <w:t>Ber</w:t>
      </w:r>
      <w:r w:rsidR="001F7BF5">
        <w:rPr>
          <w:rFonts w:cs="Calibri"/>
          <w:color w:val="191919"/>
        </w:rPr>
        <w:t>trand and Mullainathan's</w:t>
      </w:r>
      <w:r w:rsidR="001F7BF5">
        <w:rPr>
          <w:rStyle w:val="FootnoteReference"/>
          <w:rFonts w:cs="Calibri"/>
          <w:color w:val="191919"/>
        </w:rPr>
        <w:footnoteReference w:id="127"/>
      </w:r>
      <w:r w:rsidR="001F7BF5">
        <w:rPr>
          <w:rFonts w:cs="Calibri"/>
          <w:color w:val="191919"/>
        </w:rPr>
        <w:t xml:space="preserve"> </w:t>
      </w:r>
      <w:r w:rsidR="00515707">
        <w:rPr>
          <w:rFonts w:cs="Calibri"/>
          <w:color w:val="191919"/>
        </w:rPr>
        <w:t xml:space="preserve">findings </w:t>
      </w:r>
      <w:r>
        <w:rPr>
          <w:rFonts w:cs="Calibri"/>
          <w:color w:val="191919"/>
        </w:rPr>
        <w:t>did not suggest any gender effect</w:t>
      </w:r>
      <w:r w:rsidR="00515707">
        <w:rPr>
          <w:rFonts w:cs="Calibri"/>
          <w:color w:val="191919"/>
        </w:rPr>
        <w:t xml:space="preserve"> in hiring</w:t>
      </w:r>
      <w:r w:rsidR="001B7174">
        <w:rPr>
          <w:rFonts w:cs="Calibri"/>
          <w:color w:val="191919"/>
        </w:rPr>
        <w:t>.  Cert</w:t>
      </w:r>
      <w:r w:rsidR="00CC64EA">
        <w:rPr>
          <w:rFonts w:cs="Calibri"/>
          <w:color w:val="191919"/>
        </w:rPr>
        <w:t>a</w:t>
      </w:r>
      <w:r w:rsidR="001B7174">
        <w:rPr>
          <w:rFonts w:cs="Calibri"/>
          <w:color w:val="191919"/>
        </w:rPr>
        <w:t>i</w:t>
      </w:r>
      <w:r w:rsidR="00CC64EA">
        <w:rPr>
          <w:rFonts w:cs="Calibri"/>
          <w:color w:val="191919"/>
        </w:rPr>
        <w:t xml:space="preserve">nly </w:t>
      </w:r>
      <w:r>
        <w:rPr>
          <w:rFonts w:cs="Calibri"/>
          <w:color w:val="191919"/>
        </w:rPr>
        <w:t>this doesn't mean there is n</w:t>
      </w:r>
      <w:r w:rsidR="00CC64EA">
        <w:rPr>
          <w:rFonts w:cs="Calibri"/>
          <w:color w:val="191919"/>
        </w:rPr>
        <w:t>o gender effect, but surely it</w:t>
      </w:r>
      <w:r>
        <w:rPr>
          <w:rFonts w:cs="Calibri"/>
          <w:color w:val="191919"/>
        </w:rPr>
        <w:t xml:space="preserve"> calls into question the </w:t>
      </w:r>
      <w:r w:rsidRPr="00A03E64">
        <w:rPr>
          <w:rFonts w:cs="Calibri"/>
          <w:color w:val="191919"/>
        </w:rPr>
        <w:t>replicability</w:t>
      </w:r>
      <w:r>
        <w:rPr>
          <w:rFonts w:cs="Calibri"/>
          <w:color w:val="191919"/>
        </w:rPr>
        <w:t xml:space="preserve"> of claims about evaluative biases with respect to gender.  </w:t>
      </w:r>
      <w:r w:rsidRPr="003A07EF">
        <w:rPr>
          <w:rFonts w:cs="Calibri"/>
          <w:color w:val="191919"/>
        </w:rPr>
        <w:t xml:space="preserve">Washington </w:t>
      </w:r>
      <w:r w:rsidR="00C12DF7">
        <w:rPr>
          <w:rFonts w:cs="Calibri"/>
          <w:color w:val="191919"/>
        </w:rPr>
        <w:t>and Kelly also exemplify a</w:t>
      </w:r>
      <w:r>
        <w:rPr>
          <w:rFonts w:cs="Calibri"/>
          <w:color w:val="191919"/>
        </w:rPr>
        <w:t xml:space="preserve"> common error, henceforth du</w:t>
      </w:r>
      <w:r w:rsidR="00CC64EA">
        <w:rPr>
          <w:rFonts w:cs="Calibri"/>
          <w:color w:val="191919"/>
        </w:rPr>
        <w:t>bbed the "glass box" fallacy, which is</w:t>
      </w:r>
      <w:r>
        <w:rPr>
          <w:rFonts w:cs="Calibri"/>
          <w:color w:val="191919"/>
        </w:rPr>
        <w:t xml:space="preserve"> inferring the specific character of </w:t>
      </w:r>
      <w:r w:rsidRPr="003A07EF">
        <w:rPr>
          <w:rFonts w:cs="Calibri"/>
          <w:color w:val="191919"/>
        </w:rPr>
        <w:t>cognitive information processing mechanism</w:t>
      </w:r>
      <w:r>
        <w:rPr>
          <w:rFonts w:cs="Calibri"/>
          <w:color w:val="191919"/>
        </w:rPr>
        <w:t>s on the basis of</w:t>
      </w:r>
      <w:r w:rsidRPr="003A07EF">
        <w:rPr>
          <w:rFonts w:cs="Calibri"/>
          <w:color w:val="191919"/>
        </w:rPr>
        <w:t xml:space="preserve"> crude behavioral measures</w:t>
      </w:r>
      <w:r w:rsidR="00DA63DD">
        <w:rPr>
          <w:rFonts w:cs="Calibri"/>
          <w:color w:val="191919"/>
        </w:rPr>
        <w:t xml:space="preserve"> (which is to say they treat a "black b</w:t>
      </w:r>
      <w:r w:rsidR="00C12DF7">
        <w:rPr>
          <w:rFonts w:cs="Calibri"/>
          <w:color w:val="191919"/>
        </w:rPr>
        <w:t>ox</w:t>
      </w:r>
      <w:r w:rsidR="00DA63DD">
        <w:rPr>
          <w:rFonts w:cs="Calibri"/>
          <w:color w:val="191919"/>
        </w:rPr>
        <w:t>"</w:t>
      </w:r>
      <w:r w:rsidR="00C12DF7">
        <w:rPr>
          <w:rFonts w:cs="Calibri"/>
          <w:color w:val="191919"/>
        </w:rPr>
        <w:t xml:space="preserve"> as if its inner workings were transparent).  </w:t>
      </w:r>
      <w:r>
        <w:rPr>
          <w:rFonts w:cs="Calibri"/>
          <w:color w:val="191919"/>
        </w:rPr>
        <w:t>They also overlook</w:t>
      </w:r>
      <w:r w:rsidRPr="003A07EF">
        <w:rPr>
          <w:rFonts w:cs="Calibri"/>
          <w:color w:val="191919"/>
        </w:rPr>
        <w:t xml:space="preserve"> disconfirming evidence, such as a similarly run </w:t>
      </w:r>
      <w:r>
        <w:rPr>
          <w:rFonts w:cs="Calibri"/>
          <w:color w:val="191919"/>
        </w:rPr>
        <w:t xml:space="preserve">correlational </w:t>
      </w:r>
      <w:r w:rsidRPr="003A07EF">
        <w:rPr>
          <w:rFonts w:cs="Calibri"/>
          <w:color w:val="191919"/>
        </w:rPr>
        <w:t>study</w:t>
      </w:r>
      <w:r>
        <w:rPr>
          <w:rFonts w:cs="Calibri"/>
          <w:color w:val="191919"/>
        </w:rPr>
        <w:t>,</w:t>
      </w:r>
      <w:r w:rsidRPr="003A07EF">
        <w:rPr>
          <w:rFonts w:cs="Calibri"/>
          <w:color w:val="191919"/>
        </w:rPr>
        <w:t xml:space="preserve"> wh</w:t>
      </w:r>
      <w:r>
        <w:rPr>
          <w:rFonts w:cs="Calibri"/>
          <w:color w:val="191919"/>
        </w:rPr>
        <w:t>ich found no bias in hiring</w:t>
      </w:r>
      <w:r w:rsidRPr="003A07EF">
        <w:rPr>
          <w:rFonts w:cs="Calibri"/>
          <w:color w:val="191919"/>
        </w:rPr>
        <w:t xml:space="preserve"> with respect to race.</w:t>
      </w:r>
      <w:r>
        <w:rPr>
          <w:rStyle w:val="FootnoteReference"/>
          <w:rFonts w:cs="Calibri"/>
          <w:color w:val="191919"/>
        </w:rPr>
        <w:footnoteReference w:id="128"/>
      </w:r>
      <w:r>
        <w:rPr>
          <w:rFonts w:cs="Calibri"/>
          <w:color w:val="191919"/>
        </w:rPr>
        <w:t xml:space="preserve">  And </w:t>
      </w:r>
      <w:r w:rsidR="00AC6B2E">
        <w:rPr>
          <w:rFonts w:cs="Calibri"/>
          <w:color w:val="191919"/>
        </w:rPr>
        <w:t xml:space="preserve">as we have seen </w:t>
      </w:r>
      <w:r>
        <w:rPr>
          <w:rFonts w:cs="Calibri"/>
          <w:color w:val="191919"/>
        </w:rPr>
        <w:t xml:space="preserve">they </w:t>
      </w:r>
      <w:r w:rsidRPr="003A07EF">
        <w:rPr>
          <w:rFonts w:cs="Calibri"/>
          <w:color w:val="191919"/>
        </w:rPr>
        <w:t>are not unusual in th</w:t>
      </w:r>
      <w:r>
        <w:rPr>
          <w:rFonts w:cs="Calibri"/>
          <w:color w:val="191919"/>
        </w:rPr>
        <w:t xml:space="preserve">is respect.  </w:t>
      </w:r>
      <w:r w:rsidR="001C5395">
        <w:rPr>
          <w:rStyle w:val="PageNumber"/>
        </w:rPr>
        <w:t xml:space="preserve">Is </w:t>
      </w:r>
      <w:r>
        <w:rPr>
          <w:rFonts w:ascii="Cambria" w:hAnsi="Cambria" w:cs="Calibri"/>
          <w:color w:val="191919"/>
        </w:rPr>
        <w:t>something other than a concern with truth and warr</w:t>
      </w:r>
      <w:r w:rsidR="001C5395">
        <w:rPr>
          <w:rFonts w:ascii="Cambria" w:hAnsi="Cambria" w:cs="Calibri"/>
          <w:color w:val="191919"/>
        </w:rPr>
        <w:t>ant</w:t>
      </w:r>
      <w:r w:rsidR="00515707">
        <w:rPr>
          <w:rFonts w:ascii="Cambria" w:hAnsi="Cambria" w:cs="Calibri"/>
          <w:color w:val="191919"/>
        </w:rPr>
        <w:t xml:space="preserve"> influencing </w:t>
      </w:r>
      <w:r w:rsidR="00DD5CF5">
        <w:rPr>
          <w:rFonts w:ascii="Cambria" w:hAnsi="Cambria" w:cs="Calibri"/>
          <w:color w:val="191919"/>
        </w:rPr>
        <w:t>their</w:t>
      </w:r>
      <w:r>
        <w:rPr>
          <w:rFonts w:ascii="Cambria" w:hAnsi="Cambria" w:cs="Calibri"/>
          <w:color w:val="191919"/>
        </w:rPr>
        <w:t xml:space="preserve"> ideas and arguments</w:t>
      </w:r>
      <w:r w:rsidR="001C5395">
        <w:rPr>
          <w:rFonts w:ascii="Cambria" w:hAnsi="Cambria" w:cs="Calibri"/>
          <w:color w:val="191919"/>
        </w:rPr>
        <w:t>?</w:t>
      </w:r>
      <w:r w:rsidR="009D2318">
        <w:rPr>
          <w:rFonts w:ascii="Cambria" w:hAnsi="Cambria" w:cs="Calibri"/>
          <w:color w:val="191919"/>
        </w:rPr>
        <w:tab/>
      </w:r>
      <w:r w:rsidR="009D2318" w:rsidRPr="009D2318">
        <w:t xml:space="preserve">Although </w:t>
      </w:r>
      <w:r w:rsidR="00D27EED">
        <w:t>motivational</w:t>
      </w:r>
      <w:r w:rsidR="009D2318" w:rsidRPr="009D2318">
        <w:t xml:space="preserve"> mental states of others </w:t>
      </w:r>
      <w:r w:rsidR="00067D62">
        <w:t>are often hard to verify</w:t>
      </w:r>
      <w:r w:rsidR="00D27EED">
        <w:t xml:space="preserve">, </w:t>
      </w:r>
      <w:r w:rsidR="009D2318" w:rsidRPr="009D2318">
        <w:t xml:space="preserve">central players acknowledge in print that philosophers are indeed seeking empirical support for a </w:t>
      </w:r>
      <w:r w:rsidR="009D2318">
        <w:t>political agenda.   W</w:t>
      </w:r>
      <w:r w:rsidR="009D2318" w:rsidRPr="009D2318">
        <w:t>hile it is logically possible this plays no role in the assessment of</w:t>
      </w:r>
      <w:r w:rsidR="00D27EED">
        <w:t xml:space="preserve"> </w:t>
      </w:r>
      <w:r w:rsidR="009D2318" w:rsidRPr="009D2318">
        <w:t xml:space="preserve">evidence, </w:t>
      </w:r>
      <w:r w:rsidR="00D27EED">
        <w:t>it wo</w:t>
      </w:r>
      <w:r w:rsidR="00067D62">
        <w:t>uld make for</w:t>
      </w:r>
      <w:r w:rsidR="009D2318" w:rsidRPr="009D2318">
        <w:t xml:space="preserve"> a reckless </w:t>
      </w:r>
      <w:r w:rsidR="00067D62">
        <w:t>presumption</w:t>
      </w:r>
      <w:r w:rsidR="009D2318" w:rsidRPr="009D2318">
        <w:t xml:space="preserve"> </w:t>
      </w:r>
      <w:r w:rsidR="008973D7">
        <w:t>that this is the actually c</w:t>
      </w:r>
      <w:r w:rsidR="00D27EED">
        <w:t xml:space="preserve">ase </w:t>
      </w:r>
      <w:r w:rsidR="009D2318" w:rsidRPr="009D2318">
        <w:t xml:space="preserve">in light of the problem of confirmation biases.  When the same agenda is constantly and explicitly stated, and the errors are </w:t>
      </w:r>
      <w:r w:rsidR="009D2318" w:rsidRPr="009D2318">
        <w:rPr>
          <w:i/>
        </w:rPr>
        <w:t>so</w:t>
      </w:r>
      <w:r w:rsidR="009D2318" w:rsidRPr="009D2318">
        <w:t xml:space="preserve"> egregious and </w:t>
      </w:r>
      <w:r w:rsidR="009D2318" w:rsidRPr="009D2318">
        <w:rPr>
          <w:i/>
        </w:rPr>
        <w:t>always</w:t>
      </w:r>
      <w:r w:rsidR="009D2318" w:rsidRPr="009D2318">
        <w:t xml:space="preserve"> tending to favor that agenda, it seems reasonable to hypothesize </w:t>
      </w:r>
      <w:r w:rsidR="00CC64EA">
        <w:t>that</w:t>
      </w:r>
      <w:r w:rsidR="009D2318" w:rsidRPr="009D2318">
        <w:t xml:space="preserve"> political bias</w:t>
      </w:r>
      <w:r w:rsidR="002219D9">
        <w:t xml:space="preserve"> may be</w:t>
      </w:r>
      <w:r w:rsidR="00CC64EA">
        <w:t xml:space="preserve"> exerting a distorting effect</w:t>
      </w:r>
      <w:r w:rsidR="009D2318" w:rsidRPr="009D2318">
        <w:t xml:space="preserve">.  But supposing I am </w:t>
      </w:r>
      <w:r w:rsidR="00D27EED">
        <w:t>mistaken</w:t>
      </w:r>
      <w:r w:rsidR="009D2318" w:rsidRPr="009D2318">
        <w:t xml:space="preserve">, </w:t>
      </w:r>
      <w:r w:rsidR="00067D62">
        <w:t xml:space="preserve">it is still </w:t>
      </w:r>
      <w:r w:rsidR="009D2318" w:rsidRPr="009D2318">
        <w:t xml:space="preserve">reasonable to at least air the concern.  </w:t>
      </w:r>
      <w:r w:rsidR="00CC64EA">
        <w:t xml:space="preserve">The very possibility that political agendas might </w:t>
      </w:r>
      <w:r w:rsidR="00067D62">
        <w:t xml:space="preserve">be corrupting </w:t>
      </w:r>
      <w:r w:rsidR="0029096D">
        <w:t>the review of empirical hyp</w:t>
      </w:r>
      <w:r w:rsidR="0066195C">
        <w:t>othese</w:t>
      </w:r>
      <w:r w:rsidR="0029096D">
        <w:t>s</w:t>
      </w:r>
      <w:r w:rsidR="002219D9">
        <w:t xml:space="preserve"> should loom over these discussions, but </w:t>
      </w:r>
      <w:r w:rsidR="009D2318" w:rsidRPr="009D2318">
        <w:t xml:space="preserve">doesn't.  </w:t>
      </w:r>
      <w:r w:rsidR="00D27EED">
        <w:t xml:space="preserve">This should </w:t>
      </w:r>
      <w:r w:rsidR="00CC64EA">
        <w:t>be a concern for philosophers</w:t>
      </w:r>
      <w:r w:rsidR="00BA0BCC">
        <w:t>, not least those</w:t>
      </w:r>
      <w:r w:rsidR="00CC64EA">
        <w:t xml:space="preserve"> </w:t>
      </w:r>
      <w:r w:rsidR="00067D62">
        <w:t xml:space="preserve">attempting to put </w:t>
      </w:r>
      <w:r w:rsidR="0029096D">
        <w:t>those</w:t>
      </w:r>
      <w:r w:rsidR="00CC64EA">
        <w:t xml:space="preserve"> hypotheses </w:t>
      </w:r>
      <w:r w:rsidR="00067D62">
        <w:t>into the service of politics.</w:t>
      </w:r>
    </w:p>
    <w:sectPr w:rsidR="009D2318" w:rsidRPr="001C5395" w:rsidSect="000A08B5">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1691D" w14:textId="77777777" w:rsidR="00AA60E4" w:rsidRDefault="00AA60E4">
      <w:r>
        <w:separator/>
      </w:r>
    </w:p>
  </w:endnote>
  <w:endnote w:type="continuationSeparator" w:id="0">
    <w:p w14:paraId="376A152B" w14:textId="77777777" w:rsidR="00AA60E4" w:rsidRDefault="00AA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38CE" w14:textId="77777777" w:rsidR="00AA60E4" w:rsidRDefault="00AA60E4">
      <w:r>
        <w:separator/>
      </w:r>
    </w:p>
  </w:footnote>
  <w:footnote w:type="continuationSeparator" w:id="0">
    <w:p w14:paraId="066AC02F" w14:textId="77777777" w:rsidR="00AA60E4" w:rsidRDefault="00AA60E4">
      <w:r>
        <w:continuationSeparator/>
      </w:r>
    </w:p>
  </w:footnote>
  <w:footnote w:id="1">
    <w:p w14:paraId="0408EDF8" w14:textId="6E75FC39" w:rsidR="00AA60E4" w:rsidRDefault="00AA60E4">
      <w:pPr>
        <w:pStyle w:val="FootnoteText"/>
      </w:pPr>
      <w:r>
        <w:rPr>
          <w:rStyle w:val="FootnoteReference"/>
        </w:rPr>
        <w:footnoteRef/>
      </w:r>
      <w:r>
        <w:t xml:space="preserve"> Hunter, P. (2005). "Is Political Correctness Damaging Science?" </w:t>
      </w:r>
      <w:r>
        <w:rPr>
          <w:i/>
        </w:rPr>
        <w:t>National Center</w:t>
      </w:r>
      <w:r>
        <w:t xml:space="preserve"> </w:t>
      </w:r>
      <w:r>
        <w:rPr>
          <w:i/>
        </w:rPr>
        <w:t>fo</w:t>
      </w:r>
      <w:r w:rsidRPr="00B20E1B">
        <w:rPr>
          <w:i/>
        </w:rPr>
        <w:t>r</w:t>
      </w:r>
      <w:r>
        <w:rPr>
          <w:i/>
        </w:rPr>
        <w:t xml:space="preserve"> Biotechnology Information</w:t>
      </w:r>
      <w:r>
        <w:t xml:space="preserve"> </w:t>
      </w:r>
      <w:r>
        <w:rPr>
          <w:i/>
        </w:rPr>
        <w:t>Reports</w:t>
      </w:r>
      <w:r>
        <w:t xml:space="preserve"> 6(5): 405-7, </w:t>
      </w:r>
      <w:r>
        <w:rPr>
          <w:rFonts w:cs="Times New Roman"/>
        </w:rPr>
        <w:t>p.405.</w:t>
      </w:r>
    </w:p>
  </w:footnote>
  <w:footnote w:id="2">
    <w:p w14:paraId="6444C1F7" w14:textId="7B453BCF" w:rsidR="00AA60E4" w:rsidRPr="003C095D" w:rsidRDefault="00AA60E4">
      <w:pPr>
        <w:pStyle w:val="FootnoteText"/>
      </w:pPr>
      <w:r>
        <w:rPr>
          <w:rStyle w:val="FootnoteReference"/>
        </w:rPr>
        <w:footnoteRef/>
      </w:r>
      <w:r>
        <w:t xml:space="preserve"> Haack, S. (2003). " Knowledge and Propaganda: Reflections of an old feminist," in C. Pinnick, N. Koertge and R. Almeder (eds.) </w:t>
      </w:r>
      <w:r>
        <w:rPr>
          <w:i/>
        </w:rPr>
        <w:t>Scrutinizing Feminist Epistemology: An Examination of Gender in Science</w:t>
      </w:r>
      <w:r>
        <w:t xml:space="preserve"> (pp.7-19).  New Brunswick, N.J.: Rutgers University Press, pp.12, 15.</w:t>
      </w:r>
    </w:p>
  </w:footnote>
  <w:footnote w:id="3">
    <w:p w14:paraId="1EFDDBA3" w14:textId="3E6F4509" w:rsidR="00AA60E4" w:rsidRDefault="00AA60E4" w:rsidP="00886505">
      <w:pPr>
        <w:pStyle w:val="FootnoteText"/>
      </w:pPr>
      <w:r>
        <w:rPr>
          <w:rStyle w:val="FootnoteReference"/>
        </w:rPr>
        <w:footnoteRef/>
      </w:r>
      <w:r>
        <w:t xml:space="preserve"> Longino, H. (1990). </w:t>
      </w:r>
      <w:r>
        <w:rPr>
          <w:i/>
        </w:rPr>
        <w:t xml:space="preserve">Science as Social </w:t>
      </w:r>
      <w:r w:rsidRPr="00E5063C">
        <w:t>Knowledge</w:t>
      </w:r>
      <w:r>
        <w:t xml:space="preserve">. Princeton, N.J.: Princeton University Press, pp.81-2; </w:t>
      </w:r>
      <w:r w:rsidRPr="00E5063C">
        <w:t>Anderson</w:t>
      </w:r>
      <w:r>
        <w:t xml:space="preserve">, E. (1995). "Knowledge, Human Interests, and Objectivity in Feminist Epistemology," </w:t>
      </w:r>
      <w:r>
        <w:rPr>
          <w:i/>
        </w:rPr>
        <w:t>Philosophical Topics</w:t>
      </w:r>
      <w:r>
        <w:t xml:space="preserve"> 23(2): 27-58, p.54.</w:t>
      </w:r>
    </w:p>
  </w:footnote>
  <w:footnote w:id="4">
    <w:p w14:paraId="02B0B52C" w14:textId="4394F036" w:rsidR="00AA60E4" w:rsidRPr="004F01B1" w:rsidRDefault="00AA60E4">
      <w:pPr>
        <w:pStyle w:val="FootnoteText"/>
      </w:pPr>
      <w:r>
        <w:rPr>
          <w:rStyle w:val="FootnoteReference"/>
        </w:rPr>
        <w:footnoteRef/>
      </w:r>
      <w:r>
        <w:t xml:space="preserve"> Antony, L. (2016). "Bias: Friend or Foe?" in M. Brownstein and J. Saul (eds.) </w:t>
      </w:r>
      <w:r>
        <w:rPr>
          <w:i/>
        </w:rPr>
        <w:t>Implicit Bias and Philosophy, Volume 1: Metaphysics and epistemology</w:t>
      </w:r>
      <w:r>
        <w:t xml:space="preserve"> (pp.157-90). Oxford: Oxford University Press, p.168.</w:t>
      </w:r>
    </w:p>
  </w:footnote>
  <w:footnote w:id="5">
    <w:p w14:paraId="10A2CB44" w14:textId="25AB9544" w:rsidR="00AA60E4" w:rsidRDefault="00AA60E4">
      <w:pPr>
        <w:pStyle w:val="FootnoteText"/>
      </w:pPr>
      <w:r>
        <w:rPr>
          <w:rStyle w:val="FootnoteReference"/>
        </w:rPr>
        <w:footnoteRef/>
      </w:r>
      <w:r>
        <w:t xml:space="preserve"> Emphasis in original. </w:t>
      </w:r>
    </w:p>
  </w:footnote>
  <w:footnote w:id="6">
    <w:p w14:paraId="4F81CD51" w14:textId="778C31B4" w:rsidR="00AA60E4" w:rsidRDefault="00AA60E4">
      <w:pPr>
        <w:pStyle w:val="FootnoteText"/>
      </w:pPr>
      <w:r>
        <w:rPr>
          <w:rStyle w:val="FootnoteReference"/>
        </w:rPr>
        <w:footnoteRef/>
      </w:r>
      <w:r>
        <w:t xml:space="preserve"> </w:t>
      </w:r>
      <w:r>
        <w:rPr>
          <w:i/>
        </w:rPr>
        <w:t>Ibid.</w:t>
      </w:r>
      <w:r>
        <w:t>, p.168.</w:t>
      </w:r>
    </w:p>
  </w:footnote>
  <w:footnote w:id="7">
    <w:p w14:paraId="702ACED3" w14:textId="6404BEF4" w:rsidR="00AA60E4" w:rsidRDefault="00AA60E4">
      <w:pPr>
        <w:pStyle w:val="FootnoteText"/>
      </w:pPr>
      <w:r>
        <w:rPr>
          <w:rStyle w:val="FootnoteReference"/>
        </w:rPr>
        <w:footnoteRef/>
      </w:r>
      <w:r>
        <w:t xml:space="preserve"> </w:t>
      </w:r>
      <w:r>
        <w:rPr>
          <w:i/>
        </w:rPr>
        <w:t>Ibid.</w:t>
      </w:r>
      <w:r>
        <w:t xml:space="preserve">, p.170.  </w:t>
      </w:r>
    </w:p>
  </w:footnote>
  <w:footnote w:id="8">
    <w:p w14:paraId="5C7C1E59" w14:textId="06046EA0" w:rsidR="00AA60E4" w:rsidRPr="00A70696" w:rsidRDefault="00AA60E4">
      <w:pPr>
        <w:pStyle w:val="FootnoteText"/>
        <w:rPr>
          <w:i/>
        </w:rPr>
      </w:pPr>
      <w:r>
        <w:rPr>
          <w:rStyle w:val="FootnoteReference"/>
        </w:rPr>
        <w:footnoteRef/>
      </w:r>
      <w:r>
        <w:t xml:space="preserve"> </w:t>
      </w:r>
      <w:r>
        <w:rPr>
          <w:i/>
        </w:rPr>
        <w:t>Ibid.</w:t>
      </w:r>
      <w:r>
        <w:t>, 171.</w:t>
      </w:r>
    </w:p>
  </w:footnote>
  <w:footnote w:id="9">
    <w:p w14:paraId="6029BFB0" w14:textId="523124D1" w:rsidR="00AA60E4" w:rsidRPr="00A70696" w:rsidRDefault="00AA60E4">
      <w:pPr>
        <w:pStyle w:val="FootnoteText"/>
        <w:rPr>
          <w:i/>
        </w:rPr>
      </w:pPr>
      <w:r>
        <w:rPr>
          <w:rStyle w:val="FootnoteReference"/>
        </w:rPr>
        <w:footnoteRef/>
      </w:r>
      <w:r>
        <w:t xml:space="preserve"> </w:t>
      </w:r>
      <w:r w:rsidRPr="00A70696">
        <w:t>Ibid.</w:t>
      </w:r>
      <w:r>
        <w:t>,</w:t>
      </w:r>
      <w:r w:rsidRPr="00A70696">
        <w:t xml:space="preserve"> </w:t>
      </w:r>
      <w:r>
        <w:t>p.</w:t>
      </w:r>
      <w:r w:rsidRPr="00A70696">
        <w:t>172</w:t>
      </w:r>
      <w:r>
        <w:t>.</w:t>
      </w:r>
    </w:p>
  </w:footnote>
  <w:footnote w:id="10">
    <w:p w14:paraId="442F7A71" w14:textId="77777777" w:rsidR="00AA60E4" w:rsidRDefault="00AA60E4">
      <w:pPr>
        <w:pStyle w:val="FootnoteText"/>
      </w:pPr>
      <w:r>
        <w:rPr>
          <w:rStyle w:val="FootnoteReference"/>
        </w:rPr>
        <w:footnoteRef/>
      </w:r>
      <w:r>
        <w:t xml:space="preserve"> </w:t>
      </w:r>
      <w:r w:rsidRPr="008711D9">
        <w:t>http://www.phil.washington.edu</w:t>
      </w:r>
      <w:r>
        <w:t>/about-us/climate/chilly-climate</w:t>
      </w:r>
    </w:p>
  </w:footnote>
  <w:footnote w:id="11">
    <w:p w14:paraId="6C7910D9" w14:textId="77777777" w:rsidR="00AA60E4" w:rsidRDefault="00AA60E4">
      <w:pPr>
        <w:pStyle w:val="FootnoteText"/>
      </w:pPr>
      <w:r>
        <w:rPr>
          <w:rStyle w:val="FootnoteReference"/>
        </w:rPr>
        <w:footnoteRef/>
      </w:r>
      <w:r>
        <w:t xml:space="preserve"> </w:t>
      </w:r>
      <w:r w:rsidRPr="008711D9">
        <w:t>http://biasproject.org/recommended-reading</w:t>
      </w:r>
    </w:p>
  </w:footnote>
  <w:footnote w:id="12">
    <w:p w14:paraId="7B883FD4" w14:textId="77777777" w:rsidR="00AA60E4" w:rsidRDefault="00AA60E4" w:rsidP="00D458D2">
      <w:pPr>
        <w:pStyle w:val="FootnoteText"/>
      </w:pPr>
      <w:r>
        <w:rPr>
          <w:rStyle w:val="FootnoteReference"/>
        </w:rPr>
        <w:footnoteRef/>
      </w:r>
      <w:r>
        <w:t xml:space="preserve"> </w:t>
      </w:r>
      <w:r w:rsidRPr="00325A56">
        <w:t>http://www.biasproject.org/participants</w:t>
      </w:r>
    </w:p>
  </w:footnote>
  <w:footnote w:id="13">
    <w:p w14:paraId="3505908B" w14:textId="77777777" w:rsidR="00AA60E4" w:rsidRDefault="00AA60E4" w:rsidP="00D458D2">
      <w:pPr>
        <w:pStyle w:val="FootnoteText"/>
      </w:pPr>
      <w:r>
        <w:rPr>
          <w:rStyle w:val="FootnoteReference"/>
        </w:rPr>
        <w:footnoteRef/>
      </w:r>
      <w:r>
        <w:t xml:space="preserve"> </w:t>
      </w:r>
      <w:r w:rsidRPr="00713974">
        <w:t>https://www.sheffield.ac.uk/philosophy/research/implicit-bias-jennifer-saul-tackling-gender-bias-academia</w:t>
      </w:r>
    </w:p>
  </w:footnote>
  <w:footnote w:id="14">
    <w:p w14:paraId="3186E6F5" w14:textId="6C101A43" w:rsidR="00AA60E4" w:rsidRDefault="00AA60E4" w:rsidP="00D458D2">
      <w:pPr>
        <w:pStyle w:val="FootnoteText"/>
      </w:pPr>
      <w:r>
        <w:rPr>
          <w:rStyle w:val="FootnoteReference"/>
        </w:rPr>
        <w:footnoteRef/>
      </w:r>
      <w:r>
        <w:t xml:space="preserve"> Here are five examples I think are problematic for seeming to ignore the scientific controversies, especially about real-world effects, such as a course titled “Implicit Bias: A new (invisible) form of oppression”:</w:t>
      </w:r>
    </w:p>
    <w:p w14:paraId="1F572344" w14:textId="77777777" w:rsidR="00AA60E4" w:rsidRDefault="00AA60E4" w:rsidP="00D458D2">
      <w:pPr>
        <w:pStyle w:val="FootnoteText"/>
      </w:pPr>
      <w:r w:rsidRPr="007C7093">
        <w:t>http://www.kcl.ac.uk/artshums/depts/philosophy/modules/syllabus2014-15/6AANB039-syllabus-2014-15.pdf</w:t>
      </w:r>
      <w:r>
        <w:t xml:space="preserve">; </w:t>
      </w:r>
      <w:r w:rsidRPr="007C7093">
        <w:t>https://asiaferrin.files.wordpress.com/2012/06/syllabus_implicit-bias4.pdf</w:t>
      </w:r>
      <w:r>
        <w:t>;</w:t>
      </w:r>
    </w:p>
    <w:p w14:paraId="6CF0AE82" w14:textId="77777777" w:rsidR="00AA60E4" w:rsidRDefault="00AA60E4" w:rsidP="00D458D2">
      <w:pPr>
        <w:pStyle w:val="FootnoteText"/>
      </w:pPr>
      <w:r>
        <w:t xml:space="preserve"> </w:t>
      </w:r>
      <w:r w:rsidRPr="007C7093">
        <w:t>http://tigger.uic.edu/classes/phil/phil202h/202syllabus.htm</w:t>
      </w:r>
      <w:r>
        <w:t xml:space="preserve">; </w:t>
      </w:r>
      <w:r w:rsidRPr="007C7093">
        <w:t>http://courses.unh.edu/sites/courses.unh.edu/files/syllabus/witt_510_f14_1.pdf</w:t>
      </w:r>
      <w:r>
        <w:t>;</w:t>
      </w:r>
    </w:p>
    <w:p w14:paraId="6863A404" w14:textId="77777777" w:rsidR="00AA60E4" w:rsidRDefault="00AA60E4" w:rsidP="00D458D2">
      <w:pPr>
        <w:pStyle w:val="FootnoteText"/>
      </w:pPr>
      <w:r w:rsidRPr="007C7093">
        <w:t>http://static1.squarespace.com/static/5541674be4b035082e11cc94/t/5544ebc3e4b03724d70e430d/1430580163640/Philosophy+of+Bias.pdf</w:t>
      </w:r>
    </w:p>
  </w:footnote>
  <w:footnote w:id="15">
    <w:p w14:paraId="519811C8" w14:textId="77777777" w:rsidR="00AA60E4" w:rsidRPr="00E16A51" w:rsidRDefault="00AA60E4">
      <w:pPr>
        <w:pStyle w:val="FootnoteText"/>
      </w:pPr>
      <w:r>
        <w:rPr>
          <w:rStyle w:val="FootnoteReference"/>
        </w:rPr>
        <w:footnoteRef/>
      </w:r>
      <w:r>
        <w:t xml:space="preserve"> Arkes, H. R. and Tetlock P. E. (2004). “Attributions of Implicit Prejudice, or “Would Jesse Jackson ‘Fail’ the Implicit Association Test?” </w:t>
      </w:r>
      <w:r>
        <w:rPr>
          <w:i/>
        </w:rPr>
        <w:t>Psychological Inquiry</w:t>
      </w:r>
      <w:r>
        <w:t xml:space="preserve"> 15(4): 257-78.</w:t>
      </w:r>
    </w:p>
  </w:footnote>
  <w:footnote w:id="16">
    <w:p w14:paraId="51EF07D0" w14:textId="77777777" w:rsidR="00AA60E4" w:rsidRPr="008D3721" w:rsidRDefault="00AA60E4" w:rsidP="008D3721">
      <w:pPr>
        <w:rPr>
          <w:rFonts w:ascii="Times" w:hAnsi="Times"/>
          <w:sz w:val="20"/>
          <w:szCs w:val="20"/>
        </w:rPr>
      </w:pPr>
      <w:r>
        <w:rPr>
          <w:rStyle w:val="FootnoteReference"/>
        </w:rPr>
        <w:footnoteRef/>
      </w:r>
      <w:r>
        <w:t xml:space="preserve"> </w:t>
      </w:r>
      <w:r w:rsidRPr="004907C3">
        <w:t>Gross</w:t>
      </w:r>
      <w:r>
        <w:t>, E. F.</w:t>
      </w:r>
      <w:r w:rsidRPr="004907C3">
        <w:t xml:space="preserve"> and Hardin</w:t>
      </w:r>
      <w:r>
        <w:t>, C. D. (2007). “Implicit and explicit stereotyping of adolescents,”</w:t>
      </w:r>
      <w:r>
        <w:rPr>
          <w:i/>
        </w:rPr>
        <w:t xml:space="preserve"> Social Justice Research</w:t>
      </w:r>
      <w:r>
        <w:t xml:space="preserve"> 20(2): 140-160; White, M. J., and White, G. B. (2006). “Implicit and explicit occupational gender stereotypes,” </w:t>
      </w:r>
      <w:r>
        <w:rPr>
          <w:i/>
        </w:rPr>
        <w:t>Sex Roles</w:t>
      </w:r>
      <w:r>
        <w:t xml:space="preserve"> </w:t>
      </w:r>
      <w:r w:rsidRPr="002640E7">
        <w:t>55</w:t>
      </w:r>
      <w:r>
        <w:t>(3-4): 259-66.</w:t>
      </w:r>
    </w:p>
  </w:footnote>
  <w:footnote w:id="17">
    <w:p w14:paraId="5A0B8E74" w14:textId="77777777" w:rsidR="00AA60E4" w:rsidRPr="008D3721" w:rsidRDefault="00AA60E4" w:rsidP="008D3721">
      <w:pPr>
        <w:rPr>
          <w:rFonts w:ascii="Times" w:hAnsi="Times"/>
          <w:sz w:val="20"/>
          <w:szCs w:val="20"/>
        </w:rPr>
      </w:pPr>
      <w:r>
        <w:rPr>
          <w:rStyle w:val="FootnoteReference"/>
        </w:rPr>
        <w:footnoteRef/>
      </w:r>
      <w:r>
        <w:t xml:space="preserve"> </w:t>
      </w:r>
      <w:r w:rsidRPr="004907C3">
        <w:t>Van Ravenzwaaij,</w:t>
      </w:r>
      <w:r>
        <w:t xml:space="preserve"> D., Han, H. L., and Wagenmakers, E. J. (2011). “Does the name-race implicit association test measure racial prejudice?” </w:t>
      </w:r>
      <w:r>
        <w:rPr>
          <w:i/>
        </w:rPr>
        <w:t>Experimental Psychology</w:t>
      </w:r>
      <w:r>
        <w:t xml:space="preserve"> 58(4): 271-7.</w:t>
      </w:r>
    </w:p>
  </w:footnote>
  <w:footnote w:id="18">
    <w:p w14:paraId="0864D475" w14:textId="77777777" w:rsidR="00AA60E4" w:rsidRPr="003C2D34" w:rsidRDefault="00AA60E4">
      <w:pPr>
        <w:pStyle w:val="FootnoteText"/>
      </w:pPr>
      <w:r>
        <w:rPr>
          <w:rStyle w:val="FootnoteReference"/>
        </w:rPr>
        <w:footnoteRef/>
      </w:r>
      <w:r>
        <w:t xml:space="preserve"> Ranganath, K. A., Tucker Smith, C., Nosek, B. A. (2008). “Distinguishing Automatic and Controlled Components of Attitudes From Direct and Indirect Measurement Methods,” </w:t>
      </w:r>
      <w:r>
        <w:rPr>
          <w:i/>
        </w:rPr>
        <w:t>Journal of Experimental Social Psychology</w:t>
      </w:r>
      <w:r>
        <w:t xml:space="preserve"> 44: 386-96; Nosek, B. A. (2005). “Moderators of the Relationship Between Implicit and Explicit Evaluation,” </w:t>
      </w:r>
      <w:r>
        <w:rPr>
          <w:i/>
        </w:rPr>
        <w:t>Journal of Experimental Psychology</w:t>
      </w:r>
      <w:r>
        <w:t xml:space="preserve"> 134(4): 565-84.</w:t>
      </w:r>
    </w:p>
  </w:footnote>
  <w:footnote w:id="19">
    <w:p w14:paraId="1F373797" w14:textId="77777777" w:rsidR="00AA60E4" w:rsidRPr="008B3C01" w:rsidRDefault="00AA60E4" w:rsidP="008B3C01">
      <w:pPr>
        <w:rPr>
          <w:rFonts w:ascii="Times" w:hAnsi="Times"/>
          <w:sz w:val="20"/>
          <w:szCs w:val="20"/>
        </w:rPr>
      </w:pPr>
      <w:r>
        <w:rPr>
          <w:rStyle w:val="FootnoteReference"/>
        </w:rPr>
        <w:footnoteRef/>
      </w:r>
      <w:r>
        <w:t xml:space="preserve"> For a sense of this debate, see Oswald, F. L., Mitchell, G., Blanton, H., Jaccard, J. and Tetlock, P. E. (2015). “Using the IAT to predict ethnic and racial discrimination: Small effect sizes of unknown societal significance,” </w:t>
      </w:r>
      <w:r w:rsidRPr="00B53E45">
        <w:rPr>
          <w:i/>
        </w:rPr>
        <w:t>Journal of Personal</w:t>
      </w:r>
      <w:r>
        <w:rPr>
          <w:i/>
        </w:rPr>
        <w:t>ity and</w:t>
      </w:r>
      <w:r w:rsidRPr="00B53E45">
        <w:rPr>
          <w:i/>
        </w:rPr>
        <w:t xml:space="preserve"> Social Psychology</w:t>
      </w:r>
      <w:r>
        <w:t xml:space="preserve"> 108(4): 562-71 responding </w:t>
      </w:r>
      <w:r w:rsidRPr="008B3C01">
        <w:t xml:space="preserve">to </w:t>
      </w:r>
      <w:r w:rsidRPr="008B3C01">
        <w:rPr>
          <w:szCs w:val="20"/>
        </w:rPr>
        <w:t xml:space="preserve">Greenwald, </w:t>
      </w:r>
      <w:r>
        <w:rPr>
          <w:szCs w:val="20"/>
        </w:rPr>
        <w:t xml:space="preserve">A.G., </w:t>
      </w:r>
      <w:r w:rsidRPr="008B3C01">
        <w:rPr>
          <w:szCs w:val="20"/>
        </w:rPr>
        <w:t>Anthony</w:t>
      </w:r>
      <w:r>
        <w:rPr>
          <w:szCs w:val="20"/>
        </w:rPr>
        <w:t>,</w:t>
      </w:r>
      <w:r w:rsidRPr="008B3C01">
        <w:rPr>
          <w:szCs w:val="20"/>
        </w:rPr>
        <w:t xml:space="preserve"> G., Mahzarin</w:t>
      </w:r>
      <w:r>
        <w:rPr>
          <w:szCs w:val="20"/>
        </w:rPr>
        <w:t>,</w:t>
      </w:r>
      <w:r w:rsidRPr="008B3C01">
        <w:rPr>
          <w:szCs w:val="20"/>
        </w:rPr>
        <w:t xml:space="preserve"> R.</w:t>
      </w:r>
      <w:r>
        <w:rPr>
          <w:szCs w:val="20"/>
        </w:rPr>
        <w:t>, Banaji, and B.A. Nosek. (2014). “</w:t>
      </w:r>
      <w:r w:rsidRPr="008B3C01">
        <w:rPr>
          <w:szCs w:val="20"/>
        </w:rPr>
        <w:t>Statistically Small Effects of the Implicit Association Test Ca</w:t>
      </w:r>
      <w:r>
        <w:rPr>
          <w:szCs w:val="20"/>
        </w:rPr>
        <w:t xml:space="preserve">n Have Societally Large Effects,” </w:t>
      </w:r>
      <w:r>
        <w:rPr>
          <w:i/>
          <w:szCs w:val="20"/>
        </w:rPr>
        <w:t>Journal of Personality and Social Psychology</w:t>
      </w:r>
      <w:r>
        <w:rPr>
          <w:szCs w:val="20"/>
        </w:rPr>
        <w:t xml:space="preserve"> 108(4): 553-61.  </w:t>
      </w:r>
      <w:r>
        <w:t xml:space="preserve">See also </w:t>
      </w:r>
      <w:r>
        <w:rPr>
          <w:szCs w:val="20"/>
        </w:rPr>
        <w:t xml:space="preserve">Oswald, F. L., </w:t>
      </w:r>
      <w:r>
        <w:t>Mitchell, G., Blanton, H., Jaccard, J., and Tetlock, P. E.</w:t>
      </w:r>
      <w:r>
        <w:rPr>
          <w:szCs w:val="20"/>
        </w:rPr>
        <w:t xml:space="preserve"> (2013). “</w:t>
      </w:r>
      <w:r w:rsidRPr="00350F51">
        <w:rPr>
          <w:szCs w:val="20"/>
        </w:rPr>
        <w:t>Predicting ethnic and racial discrimination: a meta-ana</w:t>
      </w:r>
      <w:r>
        <w:rPr>
          <w:szCs w:val="20"/>
        </w:rPr>
        <w:t xml:space="preserve">lysis of IAT criterion studies,” </w:t>
      </w:r>
      <w:r>
        <w:rPr>
          <w:i/>
          <w:szCs w:val="20"/>
        </w:rPr>
        <w:t>Journal of Personality and Social Psychology</w:t>
      </w:r>
      <w:r>
        <w:rPr>
          <w:szCs w:val="20"/>
        </w:rPr>
        <w:t xml:space="preserve"> 105(2): 171-92 responding to </w:t>
      </w:r>
      <w:r w:rsidRPr="00350F51">
        <w:rPr>
          <w:szCs w:val="20"/>
        </w:rPr>
        <w:t>Greenwald, A. G.,</w:t>
      </w:r>
      <w:r>
        <w:rPr>
          <w:szCs w:val="20"/>
        </w:rPr>
        <w:t xml:space="preserve"> Poehlman, T. A., Uhlmann, E., and</w:t>
      </w:r>
      <w:r w:rsidRPr="00350F51">
        <w:rPr>
          <w:szCs w:val="20"/>
        </w:rPr>
        <w:t xml:space="preserve"> Banaji, M. R. (2009). “Understanding and using the Implicit Association Test: III. Meta-analysis of predictive validity</w:t>
      </w:r>
      <w:r>
        <w:rPr>
          <w:szCs w:val="20"/>
        </w:rPr>
        <w:t>,</w:t>
      </w:r>
      <w:r w:rsidRPr="00350F51">
        <w:rPr>
          <w:szCs w:val="20"/>
        </w:rPr>
        <w:t xml:space="preserve">” </w:t>
      </w:r>
      <w:r w:rsidRPr="00350F51">
        <w:rPr>
          <w:i/>
          <w:szCs w:val="20"/>
        </w:rPr>
        <w:t>Journal of Personality and Social Psychology</w:t>
      </w:r>
      <w:r>
        <w:rPr>
          <w:szCs w:val="20"/>
        </w:rPr>
        <w:t xml:space="preserve"> 97: 17-</w:t>
      </w:r>
      <w:r w:rsidRPr="00350F51">
        <w:rPr>
          <w:szCs w:val="20"/>
        </w:rPr>
        <w:t>41</w:t>
      </w:r>
      <w:r>
        <w:rPr>
          <w:szCs w:val="20"/>
        </w:rPr>
        <w:t>.</w:t>
      </w:r>
    </w:p>
  </w:footnote>
  <w:footnote w:id="20">
    <w:p w14:paraId="245C6058" w14:textId="77777777" w:rsidR="00AA60E4" w:rsidRPr="00D92DB5" w:rsidRDefault="00AA60E4">
      <w:pPr>
        <w:pStyle w:val="FootnoteText"/>
        <w:rPr>
          <w:i/>
        </w:rPr>
      </w:pPr>
      <w:r>
        <w:rPr>
          <w:rStyle w:val="FootnoteReference"/>
        </w:rPr>
        <w:footnoteRef/>
      </w:r>
      <w:r>
        <w:t xml:space="preserve"> “Psychologists have established that these biases are not (readily) amenable to direct conscious control...a conscious, direct effort to simply not be biased is unlikely to succeed…” Saul, J. (2012). “Ranking Exercises in Philosophy and Implicit Bias,” </w:t>
      </w:r>
      <w:r>
        <w:rPr>
          <w:i/>
        </w:rPr>
        <w:t>Journal of Social Philosophy</w:t>
      </w:r>
      <w:r>
        <w:t xml:space="preserve"> 43 (3): 256-73, pp.257, 259.</w:t>
      </w:r>
      <w:r>
        <w:rPr>
          <w:i/>
        </w:rPr>
        <w:t xml:space="preserve"> </w:t>
      </w:r>
    </w:p>
  </w:footnote>
  <w:footnote w:id="21">
    <w:p w14:paraId="06E8C433" w14:textId="77777777" w:rsidR="00AA60E4" w:rsidRPr="00CD0C5A" w:rsidRDefault="00AA60E4">
      <w:pPr>
        <w:pStyle w:val="FootnoteText"/>
      </w:pPr>
      <w:r>
        <w:rPr>
          <w:rStyle w:val="FootnoteReference"/>
        </w:rPr>
        <w:footnoteRef/>
      </w:r>
      <w:r>
        <w:t xml:space="preserve"> Bargh, J. A. (1994). “The Four Horsemen of Automaticity: Awareness, efficiency, intenion, and control in social cognition,” (pp.1:40) in R. S. Wyer, Jr. and T. K. Srull (Eds.) </w:t>
      </w:r>
      <w:r>
        <w:rPr>
          <w:i/>
        </w:rPr>
        <w:t xml:space="preserve">Handbook of Social Cognition </w:t>
      </w:r>
      <w:r>
        <w:t>(2</w:t>
      </w:r>
      <w:r w:rsidRPr="00CD0C5A">
        <w:rPr>
          <w:vertAlign w:val="superscript"/>
        </w:rPr>
        <w:t>nd</w:t>
      </w:r>
      <w:r>
        <w:t>), Hillsdale, NJ: Earlbaum.</w:t>
      </w:r>
    </w:p>
  </w:footnote>
  <w:footnote w:id="22">
    <w:p w14:paraId="2ABB7CCB" w14:textId="3829126E" w:rsidR="00AA60E4" w:rsidRDefault="00AA60E4" w:rsidP="00EE5EB1">
      <w:r>
        <w:rPr>
          <w:rStyle w:val="FootnoteReference"/>
        </w:rPr>
        <w:footnoteRef/>
      </w:r>
      <w:r>
        <w:t xml:space="preserve"> </w:t>
      </w:r>
      <w:r>
        <w:rPr>
          <w:szCs w:val="20"/>
        </w:rPr>
        <w:t>Daniel J. Levitin: &lt;</w:t>
      </w:r>
      <w:r w:rsidRPr="007E57CE">
        <w:rPr>
          <w:szCs w:val="20"/>
        </w:rPr>
        <w:t>http</w:t>
      </w:r>
      <w:r w:rsidRPr="00350F51">
        <w:rPr>
          <w:szCs w:val="20"/>
        </w:rPr>
        <w:t>://www.lse.ac.uk/newsAndMedia/videoAndAudio/channels/publicLecturesAndEvents/player.aspx?id=2838&gt;</w:t>
      </w:r>
      <w:r>
        <w:t xml:space="preserve">  For overviews of some of the scientific controversy see </w:t>
      </w:r>
      <w:r w:rsidRPr="00CF192E">
        <w:t>http://www.apa.org/monitor/2008/07-08/psychometric.aspx</w:t>
      </w:r>
      <w:r>
        <w:t>, and</w:t>
      </w:r>
    </w:p>
    <w:p w14:paraId="75AF4E49" w14:textId="665C7C40" w:rsidR="00AA60E4" w:rsidRPr="008D3721" w:rsidRDefault="00AA60E4" w:rsidP="008D3721">
      <w:pPr>
        <w:rPr>
          <w:szCs w:val="20"/>
        </w:rPr>
      </w:pPr>
      <w:r w:rsidRPr="00201986">
        <w:t>http://www.psychologytoday.com/blog/beautiful-minds/201101/does-the-implicit-association-test-iat-really-measure-racial-prejudice-p</w:t>
      </w:r>
      <w:r>
        <w:t xml:space="preserve">; </w:t>
      </w:r>
      <w:r w:rsidRPr="008D3721">
        <w:t xml:space="preserve">see also </w:t>
      </w:r>
      <w:r w:rsidRPr="008D3721">
        <w:rPr>
          <w:szCs w:val="20"/>
        </w:rPr>
        <w:t xml:space="preserve">Messner, </w:t>
      </w:r>
      <w:r>
        <w:rPr>
          <w:szCs w:val="20"/>
        </w:rPr>
        <w:t xml:space="preserve">C., and </w:t>
      </w:r>
      <w:r w:rsidRPr="008D3721">
        <w:rPr>
          <w:szCs w:val="20"/>
        </w:rPr>
        <w:t>Vosgerau</w:t>
      </w:r>
      <w:r>
        <w:rPr>
          <w:szCs w:val="20"/>
        </w:rPr>
        <w:t>, J. (2010). “</w:t>
      </w:r>
      <w:r w:rsidRPr="008D3721">
        <w:rPr>
          <w:szCs w:val="20"/>
        </w:rPr>
        <w:t>Cognitive inertia and</w:t>
      </w:r>
      <w:r>
        <w:rPr>
          <w:szCs w:val="20"/>
        </w:rPr>
        <w:t xml:space="preserve"> the implicit association test.”</w:t>
      </w:r>
      <w:r w:rsidRPr="008D3721">
        <w:rPr>
          <w:szCs w:val="20"/>
        </w:rPr>
        <w:t xml:space="preserve"> </w:t>
      </w:r>
      <w:r w:rsidRPr="008D3721">
        <w:rPr>
          <w:i/>
          <w:szCs w:val="20"/>
        </w:rPr>
        <w:t>Journal of Marketing Research</w:t>
      </w:r>
      <w:r>
        <w:rPr>
          <w:szCs w:val="20"/>
        </w:rPr>
        <w:t>. 47(</w:t>
      </w:r>
      <w:r w:rsidRPr="008D3721">
        <w:rPr>
          <w:szCs w:val="20"/>
        </w:rPr>
        <w:t>2</w:t>
      </w:r>
      <w:r>
        <w:rPr>
          <w:szCs w:val="20"/>
        </w:rPr>
        <w:t>)</w:t>
      </w:r>
      <w:r w:rsidRPr="008D3721">
        <w:rPr>
          <w:szCs w:val="20"/>
        </w:rPr>
        <w:t>: 374-386</w:t>
      </w:r>
      <w:r>
        <w:rPr>
          <w:szCs w:val="20"/>
        </w:rPr>
        <w:t>; Levitin, D.J</w:t>
      </w:r>
      <w:r w:rsidRPr="008D3721">
        <w:rPr>
          <w:szCs w:val="20"/>
        </w:rPr>
        <w:t>.</w:t>
      </w:r>
      <w:r>
        <w:rPr>
          <w:szCs w:val="20"/>
        </w:rPr>
        <w:t xml:space="preserve"> “What you might be missing,” </w:t>
      </w:r>
      <w:r>
        <w:rPr>
          <w:i/>
          <w:szCs w:val="20"/>
        </w:rPr>
        <w:t>The Wall Street Journal</w:t>
      </w:r>
      <w:r>
        <w:rPr>
          <w:szCs w:val="20"/>
        </w:rPr>
        <w:t>, February 8, 2013</w:t>
      </w:r>
      <w:r w:rsidRPr="00350F51">
        <w:rPr>
          <w:szCs w:val="20"/>
        </w:rPr>
        <w:t>; Newell, B.R. and Shanks, D.R. (2014).</w:t>
      </w:r>
      <w:r>
        <w:rPr>
          <w:szCs w:val="20"/>
        </w:rPr>
        <w:t xml:space="preserve"> </w:t>
      </w:r>
      <w:r w:rsidRPr="00350F51">
        <w:rPr>
          <w:szCs w:val="20"/>
        </w:rPr>
        <w:t xml:space="preserve">“Unconscious influences on decision making: A critical review,” </w:t>
      </w:r>
      <w:r w:rsidRPr="00350F51">
        <w:rPr>
          <w:i/>
          <w:szCs w:val="20"/>
        </w:rPr>
        <w:t>Behavioral and Brain Sciences</w:t>
      </w:r>
      <w:r>
        <w:rPr>
          <w:szCs w:val="20"/>
        </w:rPr>
        <w:t>. 37: 1-61.  See also replies to Newell and Shanks, including Hahn, A and Gawronski, B. who concede “unawareness of psychological processes is often inferred from insufficient evidence,”</w:t>
      </w:r>
      <w:r w:rsidRPr="00350F51">
        <w:rPr>
          <w:szCs w:val="20"/>
        </w:rPr>
        <w:t xml:space="preserve"> </w:t>
      </w:r>
      <w:r>
        <w:rPr>
          <w:szCs w:val="20"/>
        </w:rPr>
        <w:t xml:space="preserve">in their (2014) </w:t>
      </w:r>
      <w:r w:rsidRPr="00350F51">
        <w:rPr>
          <w:szCs w:val="20"/>
        </w:rPr>
        <w:t>“Do implicit evaluations reflect u</w:t>
      </w:r>
      <w:r>
        <w:rPr>
          <w:szCs w:val="20"/>
        </w:rPr>
        <w:t xml:space="preserve">nconscious attitudes?” </w:t>
      </w:r>
      <w:r w:rsidRPr="00350F51">
        <w:rPr>
          <w:i/>
          <w:szCs w:val="20"/>
        </w:rPr>
        <w:t>Behavioral and Brain Sciences</w:t>
      </w:r>
      <w:r>
        <w:rPr>
          <w:szCs w:val="20"/>
        </w:rPr>
        <w:t>.  37(1): 28-9.  In a rejoinder, Newell and Shanks “thoroughly concur…that the role of unconscious processes in [IAT tasks] has been substantially exaggerated.”</w:t>
      </w:r>
    </w:p>
  </w:footnote>
  <w:footnote w:id="23">
    <w:p w14:paraId="615B3EDA" w14:textId="77777777" w:rsidR="00AA60E4" w:rsidRDefault="00AA60E4" w:rsidP="002629D1">
      <w:r>
        <w:rPr>
          <w:rStyle w:val="FootnoteReference"/>
        </w:rPr>
        <w:footnoteRef/>
      </w:r>
      <w:r>
        <w:t xml:space="preserve"> </w:t>
      </w:r>
      <w:r w:rsidRPr="00DB4A1A">
        <w:t>http://www.philosophy.rutgers.edu/for-faculty/133-graduate/climate/529-climate-implicit-bias</w:t>
      </w:r>
    </w:p>
  </w:footnote>
  <w:footnote w:id="24">
    <w:p w14:paraId="0487269D" w14:textId="77777777" w:rsidR="00AA60E4" w:rsidRDefault="00AA60E4">
      <w:pPr>
        <w:pStyle w:val="FootnoteText"/>
      </w:pPr>
      <w:r>
        <w:rPr>
          <w:rStyle w:val="FootnoteReference"/>
        </w:rPr>
        <w:footnoteRef/>
      </w:r>
      <w:r>
        <w:t xml:space="preserve"> </w:t>
      </w:r>
      <w:r w:rsidRPr="001E4768">
        <w:t>http://blogs.nature.com/peer-to-peer/2008/02/working_doubleblind.html</w:t>
      </w:r>
    </w:p>
  </w:footnote>
  <w:footnote w:id="25">
    <w:p w14:paraId="4FE0FA59" w14:textId="77777777" w:rsidR="00AA60E4" w:rsidRDefault="00AA60E4">
      <w:pPr>
        <w:pStyle w:val="FootnoteText"/>
      </w:pPr>
      <w:r>
        <w:rPr>
          <w:rStyle w:val="FootnoteReference"/>
        </w:rPr>
        <w:footnoteRef/>
      </w:r>
      <w:r>
        <w:t xml:space="preserve"> http://blogs.nature.com/peer-to-</w:t>
      </w:r>
      <w:r w:rsidRPr="00D11DEC">
        <w:t>peer/2008/06/no_demonstrated_gender_bias_in.html</w:t>
      </w:r>
    </w:p>
  </w:footnote>
  <w:footnote w:id="26">
    <w:p w14:paraId="04F113B5" w14:textId="77777777" w:rsidR="00AA60E4" w:rsidRDefault="00AA60E4">
      <w:pPr>
        <w:pStyle w:val="FootnoteText"/>
      </w:pPr>
      <w:r>
        <w:rPr>
          <w:rStyle w:val="FootnoteReference"/>
        </w:rPr>
        <w:footnoteRef/>
      </w:r>
      <w:r>
        <w:t xml:space="preserve"> </w:t>
      </w:r>
      <w:r w:rsidRPr="00A93AAF">
        <w:rPr>
          <w:szCs w:val="20"/>
        </w:rPr>
        <w:t>Goldin, C. and Rouse</w:t>
      </w:r>
      <w:r>
        <w:rPr>
          <w:szCs w:val="20"/>
        </w:rPr>
        <w:t>, C. (2000</w:t>
      </w:r>
      <w:r w:rsidRPr="00A93AAF">
        <w:rPr>
          <w:szCs w:val="20"/>
        </w:rPr>
        <w:t xml:space="preserve">). </w:t>
      </w:r>
      <w:r>
        <w:rPr>
          <w:szCs w:val="20"/>
        </w:rPr>
        <w:t>“</w:t>
      </w:r>
      <w:r w:rsidRPr="00A93AAF">
        <w:rPr>
          <w:i/>
          <w:szCs w:val="20"/>
        </w:rPr>
        <w:t>Orchestrating impartiality: The impact of ‘blind’ auditions on female musicians</w:t>
      </w:r>
      <w:r>
        <w:rPr>
          <w:szCs w:val="20"/>
        </w:rPr>
        <w:t>,</w:t>
      </w:r>
      <w:r w:rsidRPr="00A93AAF">
        <w:rPr>
          <w:szCs w:val="20"/>
        </w:rPr>
        <w:t>”</w:t>
      </w:r>
      <w:r>
        <w:rPr>
          <w:szCs w:val="20"/>
        </w:rPr>
        <w:t xml:space="preserve"> </w:t>
      </w:r>
      <w:r w:rsidRPr="00A93AAF">
        <w:rPr>
          <w:i/>
        </w:rPr>
        <w:t>The American Economic Review</w:t>
      </w:r>
      <w:r>
        <w:t>, 90(</w:t>
      </w:r>
      <w:r w:rsidRPr="00A93AAF">
        <w:t>4</w:t>
      </w:r>
      <w:r>
        <w:t>): 715-</w:t>
      </w:r>
      <w:r w:rsidRPr="00A93AAF">
        <w:t>41</w:t>
      </w:r>
      <w:r>
        <w:t>.</w:t>
      </w:r>
    </w:p>
  </w:footnote>
  <w:footnote w:id="27">
    <w:p w14:paraId="2F8DC565" w14:textId="77777777" w:rsidR="00AA60E4" w:rsidRPr="00997C39" w:rsidRDefault="00AA60E4">
      <w:pPr>
        <w:pStyle w:val="FootnoteText"/>
      </w:pPr>
      <w:r>
        <w:rPr>
          <w:rStyle w:val="FootnoteReference"/>
        </w:rPr>
        <w:footnoteRef/>
      </w:r>
      <w:r>
        <w:t xml:space="preserve"> “Female Musicians Meet to Exchange Survival Hints,” </w:t>
      </w:r>
      <w:r>
        <w:rPr>
          <w:i/>
        </w:rPr>
        <w:t>Montreal Gazette</w:t>
      </w:r>
      <w:r>
        <w:t>, October 12, 1984.</w:t>
      </w:r>
    </w:p>
  </w:footnote>
  <w:footnote w:id="28">
    <w:p w14:paraId="6CDA87D5" w14:textId="77777777" w:rsidR="00AA60E4" w:rsidRDefault="00AA60E4" w:rsidP="006D5214">
      <w:r>
        <w:rPr>
          <w:rStyle w:val="FootnoteReference"/>
        </w:rPr>
        <w:footnoteRef/>
      </w:r>
      <w:r>
        <w:t xml:space="preserve"> </w:t>
      </w:r>
      <w:r w:rsidRPr="00E71166">
        <w:t>http://www.disputatio.com/wp-content/uploads/2013/11/Saul_Jennifer-Scepticism-and-Implicit-Bias.pdf</w:t>
      </w:r>
    </w:p>
  </w:footnote>
  <w:footnote w:id="29">
    <w:p w14:paraId="1699F5E9" w14:textId="287AB974" w:rsidR="00AA60E4" w:rsidRPr="00A93AAF" w:rsidRDefault="00AA60E4" w:rsidP="00A93AAF">
      <w:pPr>
        <w:rPr>
          <w:rFonts w:ascii="Times" w:hAnsi="Times"/>
          <w:sz w:val="20"/>
          <w:szCs w:val="20"/>
        </w:rPr>
      </w:pPr>
      <w:r>
        <w:rPr>
          <w:rStyle w:val="FootnoteReference"/>
        </w:rPr>
        <w:footnoteRef/>
      </w:r>
      <w:r>
        <w:t xml:space="preserve"> </w:t>
      </w:r>
      <w:r w:rsidRPr="00A93AAF">
        <w:rPr>
          <w:szCs w:val="20"/>
        </w:rPr>
        <w:t>Goldin, C. and Rouse</w:t>
      </w:r>
      <w:r>
        <w:rPr>
          <w:szCs w:val="20"/>
        </w:rPr>
        <w:t xml:space="preserve">, C. </w:t>
      </w:r>
      <w:r>
        <w:rPr>
          <w:i/>
        </w:rPr>
        <w:t>op cite.</w:t>
      </w:r>
      <w:r>
        <w:t>,</w:t>
      </w:r>
      <w:r w:rsidRPr="004907C3">
        <w:t xml:space="preserve"> </w:t>
      </w:r>
      <w:r>
        <w:t>p.738.</w:t>
      </w:r>
    </w:p>
  </w:footnote>
  <w:footnote w:id="30">
    <w:p w14:paraId="2B7BA51E" w14:textId="77777777" w:rsidR="00AA60E4" w:rsidRDefault="00AA60E4">
      <w:pPr>
        <w:pStyle w:val="FootnoteText"/>
      </w:pPr>
      <w:r>
        <w:rPr>
          <w:rStyle w:val="FootnoteReference"/>
        </w:rPr>
        <w:footnoteRef/>
      </w:r>
      <w:r>
        <w:t xml:space="preserve"> </w:t>
      </w:r>
      <w:r>
        <w:rPr>
          <w:i/>
        </w:rPr>
        <w:t>Ibid.</w:t>
      </w:r>
      <w:r>
        <w:t>,</w:t>
      </w:r>
      <w:r w:rsidRPr="004907C3">
        <w:t xml:space="preserve"> pp.718, 723</w:t>
      </w:r>
      <w:r>
        <w:t>.</w:t>
      </w:r>
    </w:p>
  </w:footnote>
  <w:footnote w:id="31">
    <w:p w14:paraId="417A2F96" w14:textId="77777777" w:rsidR="00AA60E4" w:rsidRPr="00342CFE" w:rsidRDefault="00AA60E4">
      <w:pPr>
        <w:pStyle w:val="FootnoteText"/>
      </w:pPr>
      <w:r>
        <w:rPr>
          <w:rStyle w:val="FootnoteReference"/>
        </w:rPr>
        <w:footnoteRef/>
      </w:r>
      <w:r>
        <w:t xml:space="preserve"> This parallels the reasoning that led </w:t>
      </w:r>
      <w:r>
        <w:rPr>
          <w:i/>
        </w:rPr>
        <w:t>Nature</w:t>
      </w:r>
      <w:r>
        <w:t xml:space="preserve"> to withdraw its endorsement of the study about gender bias in manuscript reviewing. </w:t>
      </w:r>
    </w:p>
  </w:footnote>
  <w:footnote w:id="32">
    <w:p w14:paraId="07807678" w14:textId="77777777" w:rsidR="00AA60E4" w:rsidRDefault="00AA60E4">
      <w:pPr>
        <w:pStyle w:val="FootnoteText"/>
      </w:pPr>
      <w:r>
        <w:rPr>
          <w:rStyle w:val="FootnoteReference"/>
        </w:rPr>
        <w:footnoteRef/>
      </w:r>
      <w:r>
        <w:t xml:space="preserve"> </w:t>
      </w:r>
      <w:r w:rsidRPr="002A5D73">
        <w:rPr>
          <w:i/>
        </w:rPr>
        <w:t>Ibid.</w:t>
      </w:r>
      <w:r>
        <w:t>, p.723.</w:t>
      </w:r>
    </w:p>
  </w:footnote>
  <w:footnote w:id="33">
    <w:p w14:paraId="664D9F6D" w14:textId="77777777" w:rsidR="00AA60E4" w:rsidRDefault="00AA60E4">
      <w:pPr>
        <w:pStyle w:val="FootnoteText"/>
      </w:pPr>
      <w:r>
        <w:rPr>
          <w:rStyle w:val="FootnoteReference"/>
        </w:rPr>
        <w:footnoteRef/>
      </w:r>
      <w:r>
        <w:t xml:space="preserve"> </w:t>
      </w:r>
      <w:r w:rsidRPr="002A5D73">
        <w:rPr>
          <w:i/>
        </w:rPr>
        <w:t>Ibid.</w:t>
      </w:r>
      <w:r>
        <w:t>, p.725.</w:t>
      </w:r>
    </w:p>
  </w:footnote>
  <w:footnote w:id="34">
    <w:p w14:paraId="4AE9FD87" w14:textId="77777777" w:rsidR="00AA60E4" w:rsidRPr="002A5D73" w:rsidRDefault="00AA60E4">
      <w:pPr>
        <w:pStyle w:val="FootnoteText"/>
      </w:pPr>
      <w:r>
        <w:rPr>
          <w:rStyle w:val="FootnoteReference"/>
        </w:rPr>
        <w:footnoteRef/>
      </w:r>
      <w:r>
        <w:t xml:space="preserve"> </w:t>
      </w:r>
      <w:r>
        <w:rPr>
          <w:i/>
        </w:rPr>
        <w:t>Ibid</w:t>
      </w:r>
      <w:r>
        <w:t>., p.726.</w:t>
      </w:r>
    </w:p>
  </w:footnote>
  <w:footnote w:id="35">
    <w:p w14:paraId="0DAFF139" w14:textId="77777777" w:rsidR="00AA60E4" w:rsidRDefault="00AA60E4">
      <w:pPr>
        <w:pStyle w:val="FootnoteText"/>
      </w:pPr>
      <w:r>
        <w:rPr>
          <w:rStyle w:val="FootnoteReference"/>
        </w:rPr>
        <w:footnoteRef/>
      </w:r>
      <w:r>
        <w:t xml:space="preserve"> </w:t>
      </w:r>
      <w:r w:rsidRPr="002A5D73">
        <w:rPr>
          <w:i/>
        </w:rPr>
        <w:t>Ibid</w:t>
      </w:r>
      <w:r>
        <w:t>., p.727.</w:t>
      </w:r>
    </w:p>
  </w:footnote>
  <w:footnote w:id="36">
    <w:p w14:paraId="31C5CEA1" w14:textId="77777777" w:rsidR="00AA60E4" w:rsidRPr="00996E13" w:rsidRDefault="00AA60E4">
      <w:pPr>
        <w:pStyle w:val="FootnoteText"/>
      </w:pPr>
      <w:r>
        <w:rPr>
          <w:rStyle w:val="FootnoteReference"/>
        </w:rPr>
        <w:footnoteRef/>
      </w:r>
      <w:r>
        <w:t xml:space="preserve"> </w:t>
      </w:r>
      <w:r>
        <w:rPr>
          <w:i/>
        </w:rPr>
        <w:t>Ibid.</w:t>
      </w:r>
      <w:r>
        <w:t>, p.726.</w:t>
      </w:r>
    </w:p>
  </w:footnote>
  <w:footnote w:id="37">
    <w:p w14:paraId="0C94D5CD" w14:textId="77777777" w:rsidR="00AA60E4" w:rsidRPr="00996E13" w:rsidRDefault="00AA60E4" w:rsidP="0000639D">
      <w:pPr>
        <w:pStyle w:val="FootnoteText"/>
      </w:pPr>
      <w:r>
        <w:rPr>
          <w:rStyle w:val="FootnoteReference"/>
        </w:rPr>
        <w:footnoteRef/>
      </w:r>
      <w:r>
        <w:t xml:space="preserve"> </w:t>
      </w:r>
      <w:r>
        <w:rPr>
          <w:i/>
        </w:rPr>
        <w:t>Ibid</w:t>
      </w:r>
      <w:r>
        <w:t>., p.737.</w:t>
      </w:r>
    </w:p>
  </w:footnote>
  <w:footnote w:id="38">
    <w:p w14:paraId="44DACEBF" w14:textId="77777777" w:rsidR="00AA60E4" w:rsidRPr="00105EE0" w:rsidRDefault="00AA60E4" w:rsidP="00E80C3B">
      <w:pPr>
        <w:pStyle w:val="FootnoteText"/>
      </w:pPr>
      <w:r>
        <w:rPr>
          <w:rStyle w:val="FootnoteReference"/>
        </w:rPr>
        <w:footnoteRef/>
      </w:r>
      <w:r>
        <w:t xml:space="preserve"> </w:t>
      </w:r>
      <w:r>
        <w:rPr>
          <w:i/>
        </w:rPr>
        <w:t>Ibid</w:t>
      </w:r>
      <w:r>
        <w:t>., p.734.</w:t>
      </w:r>
    </w:p>
  </w:footnote>
  <w:footnote w:id="39">
    <w:p w14:paraId="193A54D9" w14:textId="77777777" w:rsidR="00AA60E4" w:rsidRPr="0073580B" w:rsidRDefault="00AA60E4" w:rsidP="0073580B">
      <w:pPr>
        <w:rPr>
          <w:rFonts w:ascii="Times" w:hAnsi="Times"/>
          <w:sz w:val="20"/>
          <w:szCs w:val="20"/>
        </w:rPr>
      </w:pPr>
      <w:r>
        <w:rPr>
          <w:rStyle w:val="FootnoteReference"/>
        </w:rPr>
        <w:footnoteRef/>
      </w:r>
      <w:r>
        <w:rPr>
          <w:szCs w:val="20"/>
        </w:rPr>
        <w:t xml:space="preserve"> </w:t>
      </w:r>
      <w:r>
        <w:t xml:space="preserve">They found </w:t>
      </w:r>
      <w:r w:rsidRPr="004907C3">
        <w:t xml:space="preserve">quality judgments were “not differently affected” by </w:t>
      </w:r>
      <w:r>
        <w:t>open and double-</w:t>
      </w:r>
      <w:r w:rsidRPr="004907C3">
        <w:t>blind conditions</w:t>
      </w:r>
      <w:r>
        <w:t xml:space="preserve">.  See Brotons </w:t>
      </w:r>
      <w:r w:rsidRPr="00D3716C">
        <w:rPr>
          <w:szCs w:val="20"/>
        </w:rPr>
        <w:t xml:space="preserve">(1994). “Effects of performing conditions on music performance anxiety and performance quality,” </w:t>
      </w:r>
      <w:r w:rsidRPr="00D3716C">
        <w:rPr>
          <w:i/>
          <w:szCs w:val="20"/>
        </w:rPr>
        <w:t>Journal of music therapy</w:t>
      </w:r>
      <w:r w:rsidRPr="00D3716C">
        <w:rPr>
          <w:szCs w:val="20"/>
        </w:rPr>
        <w:t xml:space="preserve"> 31(1): 63-81, p.76.</w:t>
      </w:r>
    </w:p>
  </w:footnote>
  <w:footnote w:id="40">
    <w:p w14:paraId="6DD5CC0A" w14:textId="6467D225" w:rsidR="00AA60E4" w:rsidRPr="002531AB" w:rsidRDefault="00AA60E4" w:rsidP="002531AB">
      <w:pPr>
        <w:rPr>
          <w:sz w:val="22"/>
          <w:szCs w:val="22"/>
        </w:rPr>
      </w:pPr>
      <w:r>
        <w:rPr>
          <w:rStyle w:val="FootnoteReference"/>
        </w:rPr>
        <w:footnoteRef/>
      </w:r>
      <w:r>
        <w:t xml:space="preserve"> Consider </w:t>
      </w:r>
      <w:r w:rsidRPr="000A1347">
        <w:t>Krishnamurthy, M. (forthcoming). “The Underrepresentation of Women in Elite E</w:t>
      </w:r>
      <w:r>
        <w:t>thics Journals: To quota or not to q</w:t>
      </w:r>
      <w:r w:rsidRPr="000A1347">
        <w:t>uota,</w:t>
      </w:r>
      <w:r>
        <w:t>”</w:t>
      </w:r>
      <w:r w:rsidRPr="000A1347">
        <w:t xml:space="preserve"> </w:t>
      </w:r>
      <w:r w:rsidRPr="000A1347">
        <w:rPr>
          <w:i/>
        </w:rPr>
        <w:t>Public Affairs Quarterly</w:t>
      </w:r>
      <w:r>
        <w:t xml:space="preserve">, who relies on a single study of questionable relevance (Moss-Racusin </w:t>
      </w:r>
      <w:r>
        <w:rPr>
          <w:i/>
        </w:rPr>
        <w:t>et al., op. cite.</w:t>
      </w:r>
      <w:r>
        <w:t>)</w:t>
      </w:r>
      <w:r>
        <w:rPr>
          <w:rFonts w:ascii="Times New Roman" w:hAnsi="Times New Roman" w:cs="Times New Roman"/>
          <w:sz w:val="20"/>
          <w:szCs w:val="20"/>
        </w:rPr>
        <w:t xml:space="preserve"> </w:t>
      </w:r>
      <w:r>
        <w:t>along with two pieces of pop-literature by non-experts to argue that</w:t>
      </w:r>
      <w:r w:rsidRPr="000A1347">
        <w:t xml:space="preserve"> </w:t>
      </w:r>
      <w:r>
        <w:t xml:space="preserve">since </w:t>
      </w:r>
      <w:r w:rsidRPr="007D1542">
        <w:t>“</w:t>
      </w:r>
      <w:r w:rsidRPr="007D1542">
        <w:rPr>
          <w:szCs w:val="22"/>
        </w:rPr>
        <w:t xml:space="preserve">individuals with high levels of implicit gender bias are less likely to select a woman candidate for </w:t>
      </w:r>
      <w:r>
        <w:rPr>
          <w:szCs w:val="22"/>
        </w:rPr>
        <w:t>a job interview” in philosophy “I</w:t>
      </w:r>
      <w:r w:rsidRPr="007D1542">
        <w:rPr>
          <w:szCs w:val="22"/>
        </w:rPr>
        <w:t xml:space="preserve">mplicit gender biases likely play a similar role in the underrepresentation </w:t>
      </w:r>
      <w:r>
        <w:rPr>
          <w:szCs w:val="22"/>
        </w:rPr>
        <w:t xml:space="preserve">of women in elite journals” (p.7). </w:t>
      </w:r>
    </w:p>
  </w:footnote>
  <w:footnote w:id="41">
    <w:p w14:paraId="4C23D0BD" w14:textId="4E799229" w:rsidR="00AA60E4" w:rsidRDefault="00AA60E4">
      <w:pPr>
        <w:pStyle w:val="FootnoteText"/>
      </w:pPr>
      <w:r>
        <w:rPr>
          <w:rStyle w:val="FootnoteReference"/>
        </w:rPr>
        <w:footnoteRef/>
      </w:r>
      <w:r>
        <w:t xml:space="preserve"> See </w:t>
      </w:r>
      <w:r>
        <w:rPr>
          <w:i/>
        </w:rPr>
        <w:t>Blink</w:t>
      </w:r>
      <w:r>
        <w:t xml:space="preserve"> by Malcolm Gladwell.  The author shares the view expressed on Alternet that Gladwell is “America’s most successful propagandist and corporate shill.”  </w:t>
      </w:r>
    </w:p>
  </w:footnote>
  <w:footnote w:id="42">
    <w:p w14:paraId="3E019937" w14:textId="7D105A2E" w:rsidR="00AA60E4" w:rsidRDefault="00AA60E4" w:rsidP="00D44FFF">
      <w:r>
        <w:rPr>
          <w:rStyle w:val="FootnoteReference"/>
        </w:rPr>
        <w:footnoteRef/>
      </w:r>
      <w:r>
        <w:t xml:space="preserve"> </w:t>
      </w:r>
      <w:r w:rsidRPr="00AE71B3">
        <w:t>http://www.princeton.edu/main/news/archive/A94/90/73G00/</w:t>
      </w:r>
      <w:r>
        <w:t xml:space="preserve">. </w:t>
      </w:r>
    </w:p>
  </w:footnote>
  <w:footnote w:id="43">
    <w:p w14:paraId="5E5F96F0" w14:textId="77777777" w:rsidR="00AA60E4" w:rsidRPr="00EF1EC2" w:rsidRDefault="00AA60E4" w:rsidP="00295D01">
      <w:r>
        <w:rPr>
          <w:rStyle w:val="FootnoteReference"/>
        </w:rPr>
        <w:footnoteRef/>
      </w:r>
      <w:r>
        <w:t xml:space="preserve"> She writes: “The results show that evaluators—regardless of sex—respond differently, depending on whether the name is a man’s or a woman’s or is associated with blacks or whites,”</w:t>
      </w:r>
      <w:r>
        <w:rPr>
          <w:szCs w:val="20"/>
        </w:rPr>
        <w:t xml:space="preserve"> see Haslanger, S. (2008). “</w:t>
      </w:r>
      <w:r w:rsidRPr="00295D01">
        <w:rPr>
          <w:szCs w:val="20"/>
        </w:rPr>
        <w:t>Changing the ideology and culture of phi</w:t>
      </w:r>
      <w:r>
        <w:rPr>
          <w:szCs w:val="20"/>
        </w:rPr>
        <w:t>losophy: Not by reason (alone).”</w:t>
      </w:r>
      <w:r w:rsidRPr="00295D01">
        <w:rPr>
          <w:szCs w:val="20"/>
        </w:rPr>
        <w:t xml:space="preserve"> </w:t>
      </w:r>
      <w:r w:rsidRPr="00295D01">
        <w:rPr>
          <w:i/>
          <w:szCs w:val="20"/>
        </w:rPr>
        <w:t>Hypatia</w:t>
      </w:r>
      <w:r>
        <w:rPr>
          <w:szCs w:val="20"/>
        </w:rPr>
        <w:t xml:space="preserve"> 23(</w:t>
      </w:r>
      <w:r w:rsidRPr="00295D01">
        <w:rPr>
          <w:szCs w:val="20"/>
        </w:rPr>
        <w:t>2</w:t>
      </w:r>
      <w:r>
        <w:rPr>
          <w:szCs w:val="20"/>
        </w:rPr>
        <w:t>): 210-</w:t>
      </w:r>
      <w:r w:rsidRPr="00295D01">
        <w:rPr>
          <w:szCs w:val="20"/>
        </w:rPr>
        <w:t>23</w:t>
      </w:r>
      <w:r>
        <w:rPr>
          <w:szCs w:val="20"/>
        </w:rPr>
        <w:t>, p.213</w:t>
      </w:r>
      <w:r w:rsidRPr="00295D01">
        <w:rPr>
          <w:szCs w:val="20"/>
        </w:rPr>
        <w:t>.</w:t>
      </w:r>
    </w:p>
  </w:footnote>
  <w:footnote w:id="44">
    <w:p w14:paraId="142E6BBA" w14:textId="77777777" w:rsidR="00AA60E4" w:rsidRPr="00BE2D6F" w:rsidRDefault="00AA60E4" w:rsidP="00295D01">
      <w:pPr>
        <w:rPr>
          <w:sz w:val="20"/>
          <w:szCs w:val="20"/>
        </w:rPr>
      </w:pPr>
      <w:r>
        <w:rPr>
          <w:rStyle w:val="FootnoteReference"/>
        </w:rPr>
        <w:footnoteRef/>
      </w:r>
      <w:r>
        <w:t xml:space="preserve"> </w:t>
      </w:r>
      <w:r w:rsidRPr="00BE2D6F">
        <w:rPr>
          <w:szCs w:val="20"/>
        </w:rPr>
        <w:t>Crouch, M.</w:t>
      </w:r>
      <w:r>
        <w:rPr>
          <w:szCs w:val="20"/>
        </w:rPr>
        <w:t xml:space="preserve"> A.</w:t>
      </w:r>
      <w:r w:rsidRPr="00BE2D6F">
        <w:rPr>
          <w:szCs w:val="20"/>
        </w:rPr>
        <w:t xml:space="preserve"> and Schwartzman, L. </w:t>
      </w:r>
      <w:r>
        <w:rPr>
          <w:szCs w:val="20"/>
        </w:rPr>
        <w:t xml:space="preserve">H. (2012). “Introduction,” </w:t>
      </w:r>
      <w:r w:rsidRPr="00BE2D6F">
        <w:rPr>
          <w:i/>
          <w:szCs w:val="20"/>
        </w:rPr>
        <w:t>Journal of Social Philosophy</w:t>
      </w:r>
      <w:r>
        <w:rPr>
          <w:szCs w:val="20"/>
        </w:rPr>
        <w:t xml:space="preserve"> 43(3): 205-</w:t>
      </w:r>
      <w:r w:rsidRPr="00BE2D6F">
        <w:rPr>
          <w:szCs w:val="20"/>
        </w:rPr>
        <w:t>11</w:t>
      </w:r>
      <w:r w:rsidRPr="00BE2D6F">
        <w:t>, p.206.</w:t>
      </w:r>
    </w:p>
  </w:footnote>
  <w:footnote w:id="45">
    <w:p w14:paraId="53E77FAF" w14:textId="77777777" w:rsidR="00AA60E4" w:rsidRPr="00176FBF" w:rsidRDefault="00AA60E4" w:rsidP="00C80ED9">
      <w:pPr>
        <w:rPr>
          <w:rFonts w:ascii="Times" w:hAnsi="Times"/>
          <w:sz w:val="20"/>
          <w:szCs w:val="20"/>
        </w:rPr>
      </w:pPr>
      <w:r>
        <w:rPr>
          <w:rStyle w:val="FootnoteReference"/>
        </w:rPr>
        <w:footnoteRef/>
      </w:r>
      <w:r>
        <w:t xml:space="preserve"> </w:t>
      </w:r>
      <w:r w:rsidRPr="00176FBF">
        <w:t>Mandelbaum, E. (2015). “</w:t>
      </w:r>
      <w:r w:rsidRPr="00176FBF">
        <w:rPr>
          <w:szCs w:val="20"/>
        </w:rPr>
        <w:t xml:space="preserve">Attitude, inference, association: On the propositional structure of implicit bias,” </w:t>
      </w:r>
      <w:r w:rsidRPr="00176FBF">
        <w:rPr>
          <w:i/>
          <w:szCs w:val="20"/>
        </w:rPr>
        <w:t>Noûs</w:t>
      </w:r>
      <w:r>
        <w:rPr>
          <w:szCs w:val="20"/>
        </w:rPr>
        <w:t>, p.1.</w:t>
      </w:r>
    </w:p>
  </w:footnote>
  <w:footnote w:id="46">
    <w:p w14:paraId="731A307E" w14:textId="77777777" w:rsidR="00AA60E4" w:rsidRDefault="00AA60E4" w:rsidP="006A1C74">
      <w:pPr>
        <w:pStyle w:val="FootnoteText"/>
      </w:pPr>
      <w:r>
        <w:rPr>
          <w:rStyle w:val="FootnoteReference"/>
        </w:rPr>
        <w:footnoteRef/>
      </w:r>
      <w:r>
        <w:t xml:space="preserve"> Saul, J. (2013). “Scepticism and implicit bias,” </w:t>
      </w:r>
      <w:r w:rsidRPr="00E918B4">
        <w:rPr>
          <w:i/>
        </w:rPr>
        <w:t>Disputatio</w:t>
      </w:r>
      <w:r>
        <w:t xml:space="preserve"> 5(37): 243-263, p.244.</w:t>
      </w:r>
    </w:p>
  </w:footnote>
  <w:footnote w:id="47">
    <w:p w14:paraId="4EC33C65" w14:textId="77777777" w:rsidR="00AA60E4" w:rsidRDefault="00AA60E4" w:rsidP="006A1C74">
      <w:pPr>
        <w:pStyle w:val="FootnoteText"/>
      </w:pPr>
      <w:r>
        <w:rPr>
          <w:rStyle w:val="FootnoteReference"/>
        </w:rPr>
        <w:footnoteRef/>
      </w:r>
      <w:r>
        <w:t xml:space="preserve"> </w:t>
      </w:r>
      <w:r w:rsidRPr="00E04094">
        <w:rPr>
          <w:i/>
        </w:rPr>
        <w:t>Ibid.</w:t>
      </w:r>
      <w:r>
        <w:t>, p.244.</w:t>
      </w:r>
    </w:p>
  </w:footnote>
  <w:footnote w:id="48">
    <w:p w14:paraId="32F0DAD0" w14:textId="77777777" w:rsidR="00AA60E4" w:rsidRDefault="00AA60E4" w:rsidP="006A1C74">
      <w:pPr>
        <w:pStyle w:val="FootnoteText"/>
      </w:pPr>
      <w:r>
        <w:rPr>
          <w:rStyle w:val="FootnoteReference"/>
        </w:rPr>
        <w:footnoteRef/>
      </w:r>
      <w:r>
        <w:t xml:space="preserve"> </w:t>
      </w:r>
      <w:r w:rsidRPr="00E04094">
        <w:rPr>
          <w:i/>
        </w:rPr>
        <w:t>Ibid.</w:t>
      </w:r>
      <w:r>
        <w:t>, p.246.</w:t>
      </w:r>
    </w:p>
  </w:footnote>
  <w:footnote w:id="49">
    <w:p w14:paraId="5D073B85" w14:textId="77777777" w:rsidR="00AA60E4" w:rsidRDefault="00AA60E4" w:rsidP="006A1C74">
      <w:pPr>
        <w:pStyle w:val="FootnoteText"/>
      </w:pPr>
      <w:r>
        <w:rPr>
          <w:rStyle w:val="FootnoteReference"/>
        </w:rPr>
        <w:footnoteRef/>
      </w:r>
      <w:r>
        <w:t xml:space="preserve"> </w:t>
      </w:r>
      <w:r w:rsidRPr="00E04094">
        <w:rPr>
          <w:i/>
        </w:rPr>
        <w:t>Ibid.</w:t>
      </w:r>
      <w:r>
        <w:t>, p.247.</w:t>
      </w:r>
    </w:p>
  </w:footnote>
  <w:footnote w:id="50">
    <w:p w14:paraId="798354F9" w14:textId="77777777" w:rsidR="00AA60E4" w:rsidRDefault="00AA60E4" w:rsidP="006A1C74">
      <w:pPr>
        <w:pStyle w:val="FootnoteText"/>
      </w:pPr>
      <w:r>
        <w:rPr>
          <w:rStyle w:val="FootnoteReference"/>
        </w:rPr>
        <w:footnoteRef/>
      </w:r>
      <w:r>
        <w:t xml:space="preserve"> </w:t>
      </w:r>
      <w:r w:rsidRPr="00E04094">
        <w:rPr>
          <w:i/>
        </w:rPr>
        <w:t>Ibid.</w:t>
      </w:r>
      <w:r>
        <w:t xml:space="preserve">, p.244, fn.4.  See </w:t>
      </w:r>
      <w:r w:rsidRPr="00BE2D6F">
        <w:rPr>
          <w:szCs w:val="20"/>
        </w:rPr>
        <w:t>Steinpreis, R.</w:t>
      </w:r>
      <w:r>
        <w:rPr>
          <w:szCs w:val="20"/>
        </w:rPr>
        <w:t xml:space="preserve"> E.</w:t>
      </w:r>
      <w:r w:rsidRPr="00BE2D6F">
        <w:rPr>
          <w:szCs w:val="20"/>
        </w:rPr>
        <w:t>, Anders, K.</w:t>
      </w:r>
      <w:r>
        <w:rPr>
          <w:szCs w:val="20"/>
        </w:rPr>
        <w:t xml:space="preserve"> A.</w:t>
      </w:r>
      <w:r w:rsidRPr="00BE2D6F">
        <w:rPr>
          <w:szCs w:val="20"/>
        </w:rPr>
        <w:t xml:space="preserve">, and Ritzke, D. (1999). “The impact of gender on the review of the curricula vitae of job applicants and tenure candidates: A national empirical study,” </w:t>
      </w:r>
      <w:r w:rsidRPr="00BE2D6F">
        <w:rPr>
          <w:i/>
          <w:szCs w:val="20"/>
        </w:rPr>
        <w:t>Sex roles</w:t>
      </w:r>
      <w:r>
        <w:rPr>
          <w:szCs w:val="20"/>
        </w:rPr>
        <w:t xml:space="preserve"> 41(7-8): 509-28, and </w:t>
      </w:r>
      <w:r w:rsidRPr="00BE2D6F">
        <w:rPr>
          <w:szCs w:val="20"/>
        </w:rPr>
        <w:t>Moss-Racusin, C.</w:t>
      </w:r>
      <w:r>
        <w:rPr>
          <w:szCs w:val="20"/>
        </w:rPr>
        <w:t xml:space="preserve"> A.</w:t>
      </w:r>
      <w:r w:rsidRPr="00BE2D6F">
        <w:rPr>
          <w:szCs w:val="20"/>
        </w:rPr>
        <w:t>, Dovidio, J.</w:t>
      </w:r>
      <w:r>
        <w:rPr>
          <w:szCs w:val="20"/>
        </w:rPr>
        <w:t xml:space="preserve"> F.</w:t>
      </w:r>
      <w:r w:rsidRPr="00BE2D6F">
        <w:rPr>
          <w:szCs w:val="20"/>
        </w:rPr>
        <w:t>, Brescoll, V.</w:t>
      </w:r>
      <w:r>
        <w:rPr>
          <w:szCs w:val="20"/>
        </w:rPr>
        <w:t xml:space="preserve"> L.</w:t>
      </w:r>
      <w:r w:rsidRPr="00BE2D6F">
        <w:rPr>
          <w:szCs w:val="20"/>
        </w:rPr>
        <w:t>, Graham, M.</w:t>
      </w:r>
      <w:r>
        <w:rPr>
          <w:szCs w:val="20"/>
        </w:rPr>
        <w:t xml:space="preserve"> J.</w:t>
      </w:r>
      <w:r w:rsidRPr="00BE2D6F">
        <w:rPr>
          <w:szCs w:val="20"/>
        </w:rPr>
        <w:t xml:space="preserve">, and Handelsman, J. (2012). “Science faculty’s subtle gender biases favor male students.” </w:t>
      </w:r>
      <w:r w:rsidRPr="00BE2D6F">
        <w:rPr>
          <w:i/>
          <w:szCs w:val="20"/>
        </w:rPr>
        <w:t>Proceedings of the National Academy of Sciences</w:t>
      </w:r>
      <w:r>
        <w:rPr>
          <w:szCs w:val="20"/>
        </w:rPr>
        <w:t xml:space="preserve"> 109(41) (2012): 16474-</w:t>
      </w:r>
      <w:r w:rsidRPr="00BE2D6F">
        <w:rPr>
          <w:szCs w:val="20"/>
        </w:rPr>
        <w:t>9.</w:t>
      </w:r>
    </w:p>
  </w:footnote>
  <w:footnote w:id="51">
    <w:p w14:paraId="3E5FD7BB" w14:textId="77777777" w:rsidR="00AA60E4" w:rsidRDefault="00AA60E4">
      <w:pPr>
        <w:pStyle w:val="FootnoteText"/>
      </w:pPr>
      <w:r>
        <w:rPr>
          <w:rStyle w:val="FootnoteReference"/>
        </w:rPr>
        <w:footnoteRef/>
      </w:r>
      <w:r>
        <w:t xml:space="preserve"> 29/65 deemed the woman as hireable as did 45/60 for the man.  Assuming there were about 100k psychologists (with a university address), margins of error are about 16 and 14.5.  See Steinpreis </w:t>
      </w:r>
      <w:r w:rsidRPr="002B49A3">
        <w:rPr>
          <w:i/>
        </w:rPr>
        <w:t>et al.</w:t>
      </w:r>
      <w:r>
        <w:t xml:space="preserve"> fig.1, pp.509, 518.</w:t>
      </w:r>
    </w:p>
  </w:footnote>
  <w:footnote w:id="52">
    <w:p w14:paraId="7DE403C3" w14:textId="77777777" w:rsidR="00AA60E4" w:rsidRDefault="00AA60E4">
      <w:pPr>
        <w:pStyle w:val="FootnoteText"/>
      </w:pPr>
      <w:r>
        <w:rPr>
          <w:rStyle w:val="FootnoteReference"/>
        </w:rPr>
        <w:footnoteRef/>
      </w:r>
      <w:r>
        <w:t xml:space="preserve"> </w:t>
      </w:r>
      <w:r w:rsidRPr="00236327">
        <w:t>http://www.huffingtonpost.com/wendy-m-williams/women-scientists-academic_1_b_7181676.html</w:t>
      </w:r>
    </w:p>
  </w:footnote>
  <w:footnote w:id="53">
    <w:p w14:paraId="2F714015" w14:textId="77777777" w:rsidR="00AA60E4" w:rsidRDefault="00AA60E4">
      <w:pPr>
        <w:pStyle w:val="FootnoteText"/>
      </w:pPr>
      <w:r>
        <w:rPr>
          <w:rStyle w:val="FootnoteReference"/>
        </w:rPr>
        <w:footnoteRef/>
      </w:r>
      <w:r>
        <w:t xml:space="preserve"> See below.</w:t>
      </w:r>
    </w:p>
  </w:footnote>
  <w:footnote w:id="54">
    <w:p w14:paraId="26B4435E" w14:textId="77777777" w:rsidR="00AA60E4" w:rsidRDefault="00AA60E4">
      <w:pPr>
        <w:pStyle w:val="FootnoteText"/>
      </w:pPr>
      <w:r>
        <w:rPr>
          <w:rStyle w:val="FootnoteReference"/>
        </w:rPr>
        <w:footnoteRef/>
      </w:r>
      <w:r>
        <w:t xml:space="preserve"> Williams, W. M. and Ceci, S. J. (2015). “National hiring experiments reveal 2:1 faculty preference for women on STEM tenure track,”</w:t>
      </w:r>
      <w:r>
        <w:rPr>
          <w:i/>
        </w:rPr>
        <w:t xml:space="preserve"> Proceedings of the National Academy of Sciences</w:t>
      </w:r>
      <w:r>
        <w:t xml:space="preserve"> 112(17): 5360-5.</w:t>
      </w:r>
    </w:p>
  </w:footnote>
  <w:footnote w:id="55">
    <w:p w14:paraId="6C89298A" w14:textId="77777777" w:rsidR="00AA60E4" w:rsidRDefault="00AA60E4" w:rsidP="006A1C74">
      <w:pPr>
        <w:pStyle w:val="FootnoteText"/>
      </w:pPr>
      <w:r>
        <w:rPr>
          <w:rStyle w:val="FootnoteReference"/>
        </w:rPr>
        <w:footnoteRef/>
      </w:r>
      <w:r>
        <w:t xml:space="preserve"> Saul, J. (2013). “Implicit bias, stereotype threat, and women in philosophy,” in K. Hutchison and F. Jenkins (eds.) </w:t>
      </w:r>
      <w:r>
        <w:rPr>
          <w:i/>
        </w:rPr>
        <w:t>Women in philosophy: what needs to change?</w:t>
      </w:r>
      <w:r>
        <w:t xml:space="preserve">  (pp.39-60). New York, NY: Oxford University Press, p.41.</w:t>
      </w:r>
    </w:p>
  </w:footnote>
  <w:footnote w:id="56">
    <w:p w14:paraId="650B7C68" w14:textId="77777777" w:rsidR="00AA60E4" w:rsidRDefault="00AA60E4" w:rsidP="006A1C74">
      <w:pPr>
        <w:pStyle w:val="FootnoteText"/>
      </w:pPr>
      <w:r>
        <w:rPr>
          <w:rStyle w:val="FootnoteReference"/>
        </w:rPr>
        <w:footnoteRef/>
      </w:r>
      <w:r>
        <w:t xml:space="preserve"> </w:t>
      </w:r>
      <w:r w:rsidRPr="00E04094">
        <w:rPr>
          <w:i/>
        </w:rPr>
        <w:t>Ibid</w:t>
      </w:r>
      <w:r>
        <w:t>., p.45.</w:t>
      </w:r>
    </w:p>
  </w:footnote>
  <w:footnote w:id="57">
    <w:p w14:paraId="04B08391" w14:textId="77777777" w:rsidR="00AA60E4" w:rsidRDefault="00AA60E4" w:rsidP="006A1C74">
      <w:pPr>
        <w:pStyle w:val="FootnoteText"/>
      </w:pPr>
      <w:r>
        <w:rPr>
          <w:rStyle w:val="FootnoteReference"/>
        </w:rPr>
        <w:footnoteRef/>
      </w:r>
      <w:r>
        <w:t xml:space="preserve"> </w:t>
      </w:r>
      <w:r w:rsidRPr="00E04094">
        <w:rPr>
          <w:i/>
        </w:rPr>
        <w:t>Ibid</w:t>
      </w:r>
      <w:r>
        <w:t>., p.45.</w:t>
      </w:r>
    </w:p>
  </w:footnote>
  <w:footnote w:id="58">
    <w:p w14:paraId="02B406BB" w14:textId="77777777" w:rsidR="00AA60E4" w:rsidRDefault="00AA60E4" w:rsidP="006A1C74">
      <w:pPr>
        <w:pStyle w:val="FootnoteText"/>
      </w:pPr>
      <w:r>
        <w:rPr>
          <w:rStyle w:val="FootnoteReference"/>
        </w:rPr>
        <w:footnoteRef/>
      </w:r>
      <w:r>
        <w:t xml:space="preserve"> </w:t>
      </w:r>
      <w:r w:rsidRPr="00E04094">
        <w:rPr>
          <w:i/>
        </w:rPr>
        <w:t>Ibid</w:t>
      </w:r>
      <w:r>
        <w:t>., p.41.</w:t>
      </w:r>
    </w:p>
  </w:footnote>
  <w:footnote w:id="59">
    <w:p w14:paraId="4F72D820" w14:textId="77777777" w:rsidR="00AA60E4" w:rsidRDefault="00AA60E4" w:rsidP="006A1C74">
      <w:pPr>
        <w:pStyle w:val="FootnoteText"/>
      </w:pPr>
      <w:r>
        <w:rPr>
          <w:rStyle w:val="FootnoteReference"/>
        </w:rPr>
        <w:footnoteRef/>
      </w:r>
      <w:r>
        <w:t xml:space="preserve"> Antony, L and Cudd, A. E. (2012). “The Mentoring Project,” </w:t>
      </w:r>
      <w:r>
        <w:rPr>
          <w:i/>
        </w:rPr>
        <w:t>Hypatia</w:t>
      </w:r>
      <w:r>
        <w:t>. 27(2): 461-468, p.462.</w:t>
      </w:r>
    </w:p>
  </w:footnote>
  <w:footnote w:id="60">
    <w:p w14:paraId="03DA1335" w14:textId="77777777" w:rsidR="00AA60E4" w:rsidRDefault="00AA60E4" w:rsidP="006A1C74">
      <w:pPr>
        <w:pStyle w:val="FootnoteText"/>
      </w:pPr>
      <w:r>
        <w:rPr>
          <w:rStyle w:val="FootnoteReference"/>
        </w:rPr>
        <w:footnoteRef/>
      </w:r>
      <w:r>
        <w:t xml:space="preserve"> </w:t>
      </w:r>
      <w:r w:rsidRPr="00E04094">
        <w:rPr>
          <w:i/>
        </w:rPr>
        <w:t>Ibid</w:t>
      </w:r>
      <w:r>
        <w:t>., p.461.</w:t>
      </w:r>
    </w:p>
  </w:footnote>
  <w:footnote w:id="61">
    <w:p w14:paraId="601F789F" w14:textId="77777777" w:rsidR="00AA60E4" w:rsidRDefault="00AA60E4" w:rsidP="006A1C74">
      <w:pPr>
        <w:pStyle w:val="FootnoteText"/>
      </w:pPr>
      <w:r>
        <w:rPr>
          <w:rStyle w:val="FootnoteReference"/>
        </w:rPr>
        <w:footnoteRef/>
      </w:r>
      <w:r>
        <w:t xml:space="preserve"> Antony, L. (2012). “Different voices or perfect storm: Why are there so few women in philosophy?” </w:t>
      </w:r>
      <w:r>
        <w:rPr>
          <w:i/>
        </w:rPr>
        <w:t>Journal of social philosophy</w:t>
      </w:r>
      <w:r>
        <w:t xml:space="preserve"> 43(3): 227-55,</w:t>
      </w:r>
      <w:r>
        <w:rPr>
          <w:i/>
        </w:rPr>
        <w:t xml:space="preserve"> </w:t>
      </w:r>
      <w:r>
        <w:t>p.236.</w:t>
      </w:r>
    </w:p>
  </w:footnote>
  <w:footnote w:id="62">
    <w:p w14:paraId="32635796" w14:textId="77777777" w:rsidR="00AA60E4" w:rsidRDefault="00AA60E4" w:rsidP="006A1C74">
      <w:pPr>
        <w:pStyle w:val="FootnoteText"/>
      </w:pPr>
      <w:r>
        <w:rPr>
          <w:rStyle w:val="FootnoteReference"/>
        </w:rPr>
        <w:footnoteRef/>
      </w:r>
      <w:r>
        <w:t xml:space="preserve"> Brennan, S. (2013). “Rethinking the moral significance of micro-inequalities: The case of women in philosophy,” in K. Hutchison and F. Jenkins (eds.)</w:t>
      </w:r>
      <w:r>
        <w:rPr>
          <w:i/>
        </w:rPr>
        <w:t xml:space="preserve"> Women in Philosophy: What needs to change?</w:t>
      </w:r>
      <w:r>
        <w:t xml:space="preserve"> (pp.180-96). New York, NY: Oxford University Press, p.183.</w:t>
      </w:r>
    </w:p>
  </w:footnote>
  <w:footnote w:id="63">
    <w:p w14:paraId="2823D795" w14:textId="77777777" w:rsidR="00AA60E4" w:rsidRDefault="00AA60E4" w:rsidP="006A1C74">
      <w:pPr>
        <w:pStyle w:val="FootnoteText"/>
      </w:pPr>
      <w:r>
        <w:rPr>
          <w:rStyle w:val="FootnoteReference"/>
        </w:rPr>
        <w:footnoteRef/>
      </w:r>
      <w:r>
        <w:t xml:space="preserve"> </w:t>
      </w:r>
      <w:r w:rsidRPr="00E04094">
        <w:rPr>
          <w:i/>
        </w:rPr>
        <w:t>Ibid.</w:t>
      </w:r>
      <w:r>
        <w:t>, p.184.</w:t>
      </w:r>
    </w:p>
  </w:footnote>
  <w:footnote w:id="64">
    <w:p w14:paraId="02122A8D" w14:textId="77777777" w:rsidR="00AA60E4" w:rsidRDefault="00AA60E4" w:rsidP="006A1C74">
      <w:pPr>
        <w:pStyle w:val="FootnoteText"/>
      </w:pPr>
      <w:r>
        <w:rPr>
          <w:rStyle w:val="FootnoteReference"/>
        </w:rPr>
        <w:footnoteRef/>
      </w:r>
      <w:r>
        <w:t xml:space="preserve"> </w:t>
      </w:r>
      <w:r w:rsidRPr="00E04094">
        <w:rPr>
          <w:i/>
        </w:rPr>
        <w:t>Ibid.</w:t>
      </w:r>
      <w:r>
        <w:t>, pp.184-5.</w:t>
      </w:r>
    </w:p>
  </w:footnote>
  <w:footnote w:id="65">
    <w:p w14:paraId="0DF71846" w14:textId="77777777" w:rsidR="00AA60E4" w:rsidRPr="00893379" w:rsidRDefault="00AA60E4" w:rsidP="006A1C74">
      <w:pPr>
        <w:pStyle w:val="FootnoteText"/>
      </w:pPr>
      <w:r>
        <w:rPr>
          <w:rStyle w:val="FootnoteReference"/>
        </w:rPr>
        <w:footnoteRef/>
      </w:r>
      <w:r>
        <w:t xml:space="preserve"> Brennan, S. (2013). “Rethinking the moral significance of micro-inequalities: The case of women in philosophy,” in</w:t>
      </w:r>
      <w:r>
        <w:rPr>
          <w:i/>
        </w:rPr>
        <w:t xml:space="preserve"> Women in Philosophy: What needs to change?</w:t>
      </w:r>
      <w:r>
        <w:t xml:space="preserve"> Ed. Fiona Jenkins and Katrina Hutchinson (pp.180-96). New York, NY: Oxford University Press, p.190.</w:t>
      </w:r>
    </w:p>
  </w:footnote>
  <w:footnote w:id="66">
    <w:p w14:paraId="5B6AFFFC" w14:textId="77777777" w:rsidR="00AA60E4" w:rsidRPr="000919DD" w:rsidRDefault="00AA60E4" w:rsidP="006A1C74">
      <w:pPr>
        <w:pStyle w:val="FootnoteText"/>
      </w:pPr>
      <w:r>
        <w:rPr>
          <w:rStyle w:val="FootnoteReference"/>
        </w:rPr>
        <w:footnoteRef/>
      </w:r>
      <w:r>
        <w:t xml:space="preserve"> Holroyd, J. (2015). “Implicit bias, awareness and imperfect cognitions,” </w:t>
      </w:r>
      <w:r>
        <w:rPr>
          <w:i/>
        </w:rPr>
        <w:t>Consciousness and cognition.</w:t>
      </w:r>
      <w:r>
        <w:t xml:space="preserve"> 33: 511-23.  (pp.512-4, 519, 521).</w:t>
      </w:r>
    </w:p>
  </w:footnote>
  <w:footnote w:id="67">
    <w:p w14:paraId="32EB4D20" w14:textId="77777777" w:rsidR="00AA60E4" w:rsidRPr="00A92B83" w:rsidRDefault="00AA60E4" w:rsidP="006A1C74">
      <w:pPr>
        <w:pStyle w:val="FootnoteText"/>
      </w:pPr>
      <w:r>
        <w:rPr>
          <w:rStyle w:val="FootnoteReference"/>
        </w:rPr>
        <w:footnoteRef/>
      </w:r>
      <w:r>
        <w:t xml:space="preserve"> </w:t>
      </w:r>
      <w:r w:rsidRPr="00E04094">
        <w:rPr>
          <w:i/>
        </w:rPr>
        <w:t>Ibid.</w:t>
      </w:r>
      <w:r>
        <w:t xml:space="preserve">, p.517.  See also p.522 and Washington, N. and Kelly, D. (in press). “Who’s responsible for this? Moral responsibility, externalism and knowledge about implicit bias.” In M. Brownstein and J. Saul (eds.) </w:t>
      </w:r>
      <w:r>
        <w:rPr>
          <w:i/>
        </w:rPr>
        <w:t>Implicit bias and philosophy</w:t>
      </w:r>
      <w:r>
        <w:t>. Oxford University Press.</w:t>
      </w:r>
    </w:p>
  </w:footnote>
  <w:footnote w:id="68">
    <w:p w14:paraId="07FA91A8" w14:textId="77777777" w:rsidR="00AA60E4" w:rsidRPr="00C504CD" w:rsidRDefault="00AA60E4" w:rsidP="006A1C74">
      <w:pPr>
        <w:pStyle w:val="FootnoteText"/>
      </w:pPr>
      <w:r>
        <w:rPr>
          <w:rStyle w:val="FootnoteReference"/>
        </w:rPr>
        <w:footnoteRef/>
      </w:r>
      <w:r>
        <w:t xml:space="preserve"> Dovidio, J. F. and Gaertner, S. L. (2000). “Aversive racism and selection decisions,” </w:t>
      </w:r>
      <w:r>
        <w:rPr>
          <w:i/>
        </w:rPr>
        <w:t>Psychological science</w:t>
      </w:r>
      <w:r>
        <w:t xml:space="preserve"> 11(4): 315-9.</w:t>
      </w:r>
    </w:p>
  </w:footnote>
  <w:footnote w:id="69">
    <w:p w14:paraId="32B28305" w14:textId="77777777" w:rsidR="00AA60E4" w:rsidRDefault="00AA60E4" w:rsidP="006A1C74">
      <w:pPr>
        <w:pStyle w:val="FootnoteText"/>
      </w:pPr>
      <w:r>
        <w:rPr>
          <w:rStyle w:val="FootnoteReference"/>
        </w:rPr>
        <w:footnoteRef/>
      </w:r>
      <w:r>
        <w:t xml:space="preserve"> </w:t>
      </w:r>
      <w:r w:rsidRPr="00E04094">
        <w:rPr>
          <w:i/>
        </w:rPr>
        <w:t>Ibid.</w:t>
      </w:r>
      <w:r>
        <w:t>, p.318.</w:t>
      </w:r>
    </w:p>
  </w:footnote>
  <w:footnote w:id="70">
    <w:p w14:paraId="05591802" w14:textId="77777777" w:rsidR="00AA60E4" w:rsidRDefault="00AA60E4" w:rsidP="006A1C74">
      <w:r>
        <w:rPr>
          <w:rStyle w:val="FootnoteReference"/>
        </w:rPr>
        <w:footnoteRef/>
      </w:r>
      <w:r>
        <w:t xml:space="preserve"> Levy, N. (2014). “Neither fish nor fowl: Implicit attitudes as patchy endorsements,” </w:t>
      </w:r>
      <w:r w:rsidRPr="00EB7D30">
        <w:rPr>
          <w:i/>
        </w:rPr>
        <w:t>Noûs</w:t>
      </w:r>
      <w:r>
        <w:rPr>
          <w:i/>
        </w:rPr>
        <w:t xml:space="preserve">, </w:t>
      </w:r>
      <w:r>
        <w:t>p.1.</w:t>
      </w:r>
    </w:p>
  </w:footnote>
  <w:footnote w:id="71">
    <w:p w14:paraId="45FAB940" w14:textId="77777777" w:rsidR="00AA60E4" w:rsidRDefault="00AA60E4" w:rsidP="006A1C74">
      <w:pPr>
        <w:pStyle w:val="FootnoteText"/>
      </w:pPr>
      <w:r>
        <w:rPr>
          <w:rStyle w:val="FootnoteReference"/>
        </w:rPr>
        <w:footnoteRef/>
      </w:r>
      <w:r>
        <w:t xml:space="preserve"> </w:t>
      </w:r>
      <w:r w:rsidRPr="00E04094">
        <w:rPr>
          <w:i/>
        </w:rPr>
        <w:t>Ibid.</w:t>
      </w:r>
      <w:r>
        <w:t>, p.4.</w:t>
      </w:r>
    </w:p>
  </w:footnote>
  <w:footnote w:id="72">
    <w:p w14:paraId="3EA1B2C1" w14:textId="1A002327" w:rsidR="00AA60E4" w:rsidRDefault="00AA60E4" w:rsidP="006A1C74">
      <w:pPr>
        <w:pStyle w:val="FootnoteText"/>
      </w:pPr>
      <w:r>
        <w:rPr>
          <w:rStyle w:val="FootnoteReference"/>
        </w:rPr>
        <w:footnoteRef/>
      </w:r>
      <w:r>
        <w:t xml:space="preserve"> Holroyd, J. (2012). “Responsibility for implicit bias,” </w:t>
      </w:r>
      <w:r w:rsidRPr="00067370">
        <w:rPr>
          <w:i/>
        </w:rPr>
        <w:t>Journal of</w:t>
      </w:r>
      <w:r>
        <w:t xml:space="preserve"> </w:t>
      </w:r>
      <w:r w:rsidRPr="00067370">
        <w:rPr>
          <w:i/>
        </w:rPr>
        <w:t>social philosophy</w:t>
      </w:r>
      <w:r>
        <w:t>. 43(3): 274 -306, p.276.</w:t>
      </w:r>
    </w:p>
  </w:footnote>
  <w:footnote w:id="73">
    <w:p w14:paraId="5C535C2B" w14:textId="77777777" w:rsidR="00AA60E4" w:rsidRPr="00523147" w:rsidRDefault="00AA60E4" w:rsidP="006A1C74">
      <w:pPr>
        <w:rPr>
          <w:rFonts w:ascii="Times" w:hAnsi="Times"/>
          <w:sz w:val="20"/>
          <w:szCs w:val="20"/>
        </w:rPr>
      </w:pPr>
      <w:r>
        <w:rPr>
          <w:rStyle w:val="FootnoteReference"/>
        </w:rPr>
        <w:footnoteRef/>
      </w:r>
      <w:r>
        <w:t xml:space="preserve"> </w:t>
      </w:r>
      <w:r>
        <w:rPr>
          <w:szCs w:val="20"/>
        </w:rPr>
        <w:t>Valian, V</w:t>
      </w:r>
      <w:r w:rsidRPr="00523147">
        <w:rPr>
          <w:szCs w:val="20"/>
        </w:rPr>
        <w:t>.</w:t>
      </w:r>
      <w:r>
        <w:rPr>
          <w:szCs w:val="20"/>
        </w:rPr>
        <w:t xml:space="preserve"> (1998). </w:t>
      </w:r>
      <w:r w:rsidRPr="00523147">
        <w:rPr>
          <w:i/>
          <w:szCs w:val="20"/>
        </w:rPr>
        <w:t>Why so slow: The advancement of women</w:t>
      </w:r>
      <w:r>
        <w:rPr>
          <w:szCs w:val="20"/>
        </w:rPr>
        <w:t>.  The MIT Press, p.128.</w:t>
      </w:r>
    </w:p>
  </w:footnote>
  <w:footnote w:id="74">
    <w:p w14:paraId="0503D775" w14:textId="6B55A005" w:rsidR="00AA60E4" w:rsidRDefault="00AA60E4" w:rsidP="006A1C74">
      <w:pPr>
        <w:pStyle w:val="FootnoteText"/>
      </w:pPr>
      <w:r>
        <w:rPr>
          <w:rStyle w:val="FootnoteReference"/>
        </w:rPr>
        <w:footnoteRef/>
      </w:r>
      <w:r>
        <w:t xml:space="preserve"> </w:t>
      </w:r>
      <w:r w:rsidRPr="00E04094">
        <w:rPr>
          <w:i/>
        </w:rPr>
        <w:t>Ibid</w:t>
      </w:r>
      <w:r>
        <w:t>., p.128.</w:t>
      </w:r>
    </w:p>
  </w:footnote>
  <w:footnote w:id="75">
    <w:p w14:paraId="7F6D6450" w14:textId="77777777" w:rsidR="00AA60E4" w:rsidRDefault="00AA60E4" w:rsidP="006A1C74">
      <w:pPr>
        <w:pStyle w:val="FootnoteText"/>
      </w:pPr>
      <w:r>
        <w:rPr>
          <w:rStyle w:val="FootnoteReference"/>
        </w:rPr>
        <w:footnoteRef/>
      </w:r>
      <w:r>
        <w:t xml:space="preserve"> Olian, J. D., Schwab, D. P. and Haberfeld, Y. (1988). “The impact of applicant gender compared to qualifications on hiring recommendations: A meta-analysis of experimental studies,” </w:t>
      </w:r>
      <w:r>
        <w:rPr>
          <w:i/>
        </w:rPr>
        <w:t>Organizational Behavior and Human Decision Processes</w:t>
      </w:r>
      <w:r>
        <w:t xml:space="preserve"> 41(2): 180-195.</w:t>
      </w:r>
    </w:p>
  </w:footnote>
  <w:footnote w:id="76">
    <w:p w14:paraId="22AE55D6" w14:textId="77777777" w:rsidR="00AA60E4" w:rsidRDefault="00AA60E4" w:rsidP="00EA779B">
      <w:pPr>
        <w:pStyle w:val="FootnoteText"/>
      </w:pPr>
      <w:r>
        <w:rPr>
          <w:rStyle w:val="FootnoteReference"/>
        </w:rPr>
        <w:footnoteRef/>
      </w:r>
      <w:r>
        <w:t xml:space="preserve"> </w:t>
      </w:r>
      <w:r>
        <w:rPr>
          <w:szCs w:val="20"/>
        </w:rPr>
        <w:t>Haslanger, S. (2008). “</w:t>
      </w:r>
      <w:r w:rsidRPr="005142FA">
        <w:rPr>
          <w:szCs w:val="20"/>
        </w:rPr>
        <w:t>Changing the ideology and culture of phil</w:t>
      </w:r>
      <w:r>
        <w:rPr>
          <w:szCs w:val="20"/>
        </w:rPr>
        <w:t xml:space="preserve">osophy: Not by reason (alone).” </w:t>
      </w:r>
      <w:r w:rsidRPr="005142FA">
        <w:rPr>
          <w:i/>
          <w:szCs w:val="20"/>
        </w:rPr>
        <w:t>Hypatia</w:t>
      </w:r>
      <w:r>
        <w:rPr>
          <w:szCs w:val="20"/>
        </w:rPr>
        <w:t xml:space="preserve"> 23(</w:t>
      </w:r>
      <w:r w:rsidRPr="005142FA">
        <w:rPr>
          <w:szCs w:val="20"/>
        </w:rPr>
        <w:t>2</w:t>
      </w:r>
      <w:r>
        <w:rPr>
          <w:szCs w:val="20"/>
        </w:rPr>
        <w:t xml:space="preserve">): 210-223, </w:t>
      </w:r>
      <w:r>
        <w:t>p.213.</w:t>
      </w:r>
    </w:p>
  </w:footnote>
  <w:footnote w:id="77">
    <w:p w14:paraId="151FC77D" w14:textId="77777777" w:rsidR="00AA60E4" w:rsidRPr="005142FA" w:rsidRDefault="00AA60E4" w:rsidP="00EA779B">
      <w:pPr>
        <w:rPr>
          <w:rFonts w:ascii="Times" w:hAnsi="Times"/>
          <w:sz w:val="20"/>
          <w:szCs w:val="20"/>
        </w:rPr>
      </w:pPr>
      <w:r>
        <w:rPr>
          <w:rStyle w:val="FootnoteReference"/>
        </w:rPr>
        <w:footnoteRef/>
      </w:r>
      <w:r w:rsidRPr="005142FA">
        <w:t xml:space="preserve"> </w:t>
      </w:r>
      <w:r w:rsidRPr="00E04094">
        <w:rPr>
          <w:i/>
          <w:szCs w:val="20"/>
        </w:rPr>
        <w:t>Ibid.</w:t>
      </w:r>
      <w:r>
        <w:rPr>
          <w:szCs w:val="20"/>
        </w:rPr>
        <w:t>, p.214.</w:t>
      </w:r>
    </w:p>
  </w:footnote>
  <w:footnote w:id="78">
    <w:p w14:paraId="7F34CA97" w14:textId="77777777" w:rsidR="00AA60E4" w:rsidRDefault="00AA60E4" w:rsidP="00EA779B">
      <w:pPr>
        <w:pStyle w:val="FootnoteText"/>
      </w:pPr>
      <w:r>
        <w:rPr>
          <w:rStyle w:val="FootnoteReference"/>
        </w:rPr>
        <w:footnoteRef/>
      </w:r>
      <w:r>
        <w:t xml:space="preserve"> </w:t>
      </w:r>
      <w:r w:rsidRPr="00E04094">
        <w:rPr>
          <w:i/>
        </w:rPr>
        <w:t>Ibid.</w:t>
      </w:r>
      <w:r>
        <w:t>, p.213.</w:t>
      </w:r>
    </w:p>
  </w:footnote>
  <w:footnote w:id="79">
    <w:p w14:paraId="274D0E4D" w14:textId="77777777" w:rsidR="00AA60E4" w:rsidRDefault="00AA60E4" w:rsidP="00EA779B">
      <w:pPr>
        <w:pStyle w:val="FootnoteText"/>
      </w:pPr>
      <w:r>
        <w:rPr>
          <w:rStyle w:val="FootnoteReference"/>
        </w:rPr>
        <w:footnoteRef/>
      </w:r>
      <w:r>
        <w:t xml:space="preserve"> </w:t>
      </w:r>
      <w:r w:rsidRPr="00E04094">
        <w:rPr>
          <w:i/>
          <w:szCs w:val="20"/>
        </w:rPr>
        <w:t>Ibid.</w:t>
      </w:r>
      <w:r>
        <w:rPr>
          <w:szCs w:val="20"/>
        </w:rPr>
        <w:t>, p.213.</w:t>
      </w:r>
    </w:p>
  </w:footnote>
  <w:footnote w:id="80">
    <w:p w14:paraId="522A54CC" w14:textId="77777777" w:rsidR="00AA60E4" w:rsidRPr="00764B16" w:rsidRDefault="00AA60E4" w:rsidP="00EA779B">
      <w:pPr>
        <w:rPr>
          <w:rFonts w:ascii="Times" w:hAnsi="Times"/>
          <w:sz w:val="20"/>
          <w:szCs w:val="20"/>
        </w:rPr>
      </w:pPr>
      <w:r>
        <w:rPr>
          <w:rStyle w:val="FootnoteReference"/>
        </w:rPr>
        <w:footnoteRef/>
      </w:r>
      <w:r>
        <w:t xml:space="preserve"> To be precise, they found no evidence female-sounding names were disadvantaged, and small, “statistically insignificant” evidence they were favored, see </w:t>
      </w:r>
      <w:r>
        <w:rPr>
          <w:szCs w:val="20"/>
        </w:rPr>
        <w:t>Bertrand, M.</w:t>
      </w:r>
      <w:r w:rsidRPr="00764B16">
        <w:rPr>
          <w:szCs w:val="20"/>
        </w:rPr>
        <w:t xml:space="preserve"> and </w:t>
      </w:r>
      <w:r>
        <w:rPr>
          <w:szCs w:val="20"/>
        </w:rPr>
        <w:t xml:space="preserve">S. </w:t>
      </w:r>
      <w:r w:rsidRPr="00764B16">
        <w:rPr>
          <w:szCs w:val="20"/>
        </w:rPr>
        <w:t>Mullainathan</w:t>
      </w:r>
      <w:r>
        <w:rPr>
          <w:szCs w:val="20"/>
        </w:rPr>
        <w:t xml:space="preserve"> (2003). “</w:t>
      </w:r>
      <w:r w:rsidRPr="00764B16">
        <w:rPr>
          <w:szCs w:val="20"/>
        </w:rPr>
        <w:t>Are Emily and Greg more employable than Lakisha and Jamal? A field experiment on labor market discrimination</w:t>
      </w:r>
      <w:r>
        <w:rPr>
          <w:szCs w:val="20"/>
        </w:rPr>
        <w:t>,”</w:t>
      </w:r>
      <w:r w:rsidRPr="00764B16">
        <w:rPr>
          <w:szCs w:val="20"/>
        </w:rPr>
        <w:t xml:space="preserve"> </w:t>
      </w:r>
      <w:r w:rsidRPr="00764B16">
        <w:rPr>
          <w:i/>
          <w:szCs w:val="20"/>
        </w:rPr>
        <w:t>National Bureau of Economic Research</w:t>
      </w:r>
      <w:r>
        <w:rPr>
          <w:szCs w:val="20"/>
        </w:rPr>
        <w:t>, 94(4): 991-1013, p.998.</w:t>
      </w:r>
    </w:p>
  </w:footnote>
  <w:footnote w:id="81">
    <w:p w14:paraId="3D03F21F" w14:textId="77777777" w:rsidR="00AA60E4" w:rsidRPr="00444850" w:rsidRDefault="00AA60E4" w:rsidP="00EA779B">
      <w:pPr>
        <w:pStyle w:val="FootnoteText"/>
      </w:pPr>
      <w:r>
        <w:rPr>
          <w:rStyle w:val="FootnoteReference"/>
        </w:rPr>
        <w:footnoteRef/>
      </w:r>
      <w:r>
        <w:t xml:space="preserve"> Jenkins, F. and Hutchison , K. (2013). Introduction to </w:t>
      </w:r>
      <w:r>
        <w:rPr>
          <w:i/>
        </w:rPr>
        <w:t xml:space="preserve">Women and philosophy: what needs to change? </w:t>
      </w:r>
      <w:r>
        <w:t>New York, NY: Oxford University Press, p.1.</w:t>
      </w:r>
    </w:p>
  </w:footnote>
  <w:footnote w:id="82">
    <w:p w14:paraId="5B6C6B33" w14:textId="77777777" w:rsidR="00AA60E4" w:rsidRDefault="00AA60E4" w:rsidP="00EA779B">
      <w:pPr>
        <w:pStyle w:val="FootnoteText"/>
      </w:pPr>
      <w:r>
        <w:rPr>
          <w:rStyle w:val="FootnoteReference"/>
        </w:rPr>
        <w:footnoteRef/>
      </w:r>
      <w:r>
        <w:t xml:space="preserve"> Friedman, M. (2013). “Women in philosophy: Why should we care?” in F. Jenkins and K. Hutchinson (eds). </w:t>
      </w:r>
      <w:r w:rsidRPr="009134B1">
        <w:rPr>
          <w:i/>
        </w:rPr>
        <w:t>W</w:t>
      </w:r>
      <w:r>
        <w:rPr>
          <w:i/>
        </w:rPr>
        <w:t>omen in Philosophy: What needs to change?</w:t>
      </w:r>
      <w:r>
        <w:t xml:space="preserve"> (pp.21-38).  New York, NY: Oxford University Press, p.22.</w:t>
      </w:r>
    </w:p>
  </w:footnote>
  <w:footnote w:id="83">
    <w:p w14:paraId="23A4D93A" w14:textId="77777777" w:rsidR="00AA60E4" w:rsidRPr="00A675AD" w:rsidRDefault="00AA60E4" w:rsidP="00EA779B">
      <w:pPr>
        <w:pStyle w:val="FootnoteText"/>
      </w:pPr>
      <w:r>
        <w:rPr>
          <w:rStyle w:val="FootnoteReference"/>
        </w:rPr>
        <w:footnoteRef/>
      </w:r>
      <w:r>
        <w:t xml:space="preserve"> Haslanger, S (2015). “Social structure, narrative and explanation,” </w:t>
      </w:r>
      <w:r>
        <w:rPr>
          <w:i/>
        </w:rPr>
        <w:t>Canadian Journal of Philosophy</w:t>
      </w:r>
      <w:r>
        <w:t>. 45(1): 1-15, p.1.</w:t>
      </w:r>
    </w:p>
  </w:footnote>
  <w:footnote w:id="84">
    <w:p w14:paraId="062E5ECA" w14:textId="77777777" w:rsidR="00AA60E4" w:rsidRDefault="00AA60E4" w:rsidP="00EA779B">
      <w:pPr>
        <w:pStyle w:val="FootnoteText"/>
      </w:pPr>
      <w:r>
        <w:rPr>
          <w:rStyle w:val="FootnoteReference"/>
        </w:rPr>
        <w:footnoteRef/>
      </w:r>
      <w:r>
        <w:t xml:space="preserve"> </w:t>
      </w:r>
      <w:r w:rsidRPr="00E04094">
        <w:rPr>
          <w:i/>
        </w:rPr>
        <w:t>Ibid.</w:t>
      </w:r>
      <w:r>
        <w:t>, p.12.</w:t>
      </w:r>
    </w:p>
  </w:footnote>
  <w:footnote w:id="85">
    <w:p w14:paraId="3BF72142" w14:textId="77777777" w:rsidR="00AA60E4" w:rsidRDefault="00AA60E4" w:rsidP="00EA779B">
      <w:pPr>
        <w:pStyle w:val="FootnoteText"/>
      </w:pPr>
      <w:r>
        <w:rPr>
          <w:rStyle w:val="FootnoteReference"/>
        </w:rPr>
        <w:footnoteRef/>
      </w:r>
      <w:r>
        <w:t xml:space="preserve"> </w:t>
      </w:r>
      <w:r w:rsidRPr="00E04094">
        <w:rPr>
          <w:i/>
        </w:rPr>
        <w:t>Ibid.</w:t>
      </w:r>
      <w:r>
        <w:t>, p.12.</w:t>
      </w:r>
    </w:p>
  </w:footnote>
  <w:footnote w:id="86">
    <w:p w14:paraId="12C3AB75" w14:textId="77777777" w:rsidR="00AA60E4" w:rsidRDefault="00AA60E4" w:rsidP="00EA779B">
      <w:pPr>
        <w:pStyle w:val="FootnoteText"/>
      </w:pPr>
      <w:r>
        <w:rPr>
          <w:rStyle w:val="FootnoteReference"/>
        </w:rPr>
        <w:footnoteRef/>
      </w:r>
      <w:r>
        <w:t xml:space="preserve"> </w:t>
      </w:r>
      <w:r w:rsidRPr="00E04094">
        <w:rPr>
          <w:i/>
        </w:rPr>
        <w:t>Ibid.</w:t>
      </w:r>
      <w:r>
        <w:t>, p.3.</w:t>
      </w:r>
    </w:p>
  </w:footnote>
  <w:footnote w:id="87">
    <w:p w14:paraId="58C7BB3F" w14:textId="725C1E10" w:rsidR="00AA60E4" w:rsidRDefault="00AA60E4">
      <w:pPr>
        <w:pStyle w:val="FootnoteText"/>
      </w:pPr>
      <w:r>
        <w:rPr>
          <w:rStyle w:val="FootnoteReference"/>
        </w:rPr>
        <w:footnoteRef/>
      </w:r>
      <w:r>
        <w:t xml:space="preserve"> See </w:t>
      </w:r>
      <w:r>
        <w:rPr>
          <w:rFonts w:eastAsia="Times New Roman" w:cs="Times New Roman"/>
        </w:rPr>
        <w:t xml:space="preserve">Benétreau-Dupin, Y. and </w:t>
      </w:r>
      <w:r w:rsidRPr="00057E43">
        <w:rPr>
          <w:rFonts w:eastAsia="Times New Roman" w:cs="Times New Roman"/>
        </w:rPr>
        <w:t>Beaulac</w:t>
      </w:r>
      <w:r>
        <w:rPr>
          <w:rFonts w:eastAsia="Times New Roman" w:cs="Times New Roman"/>
        </w:rPr>
        <w:t>, G. (2015). "</w:t>
      </w:r>
      <w:r w:rsidRPr="00057E43">
        <w:rPr>
          <w:rFonts w:eastAsia="Times New Roman" w:cs="Times New Roman"/>
        </w:rPr>
        <w:t>Fair Numbers: What Data Can and Cannot Tell Us About the Underrepres</w:t>
      </w:r>
      <w:r>
        <w:rPr>
          <w:rFonts w:eastAsia="Times New Roman" w:cs="Times New Roman"/>
        </w:rPr>
        <w:t>entation of Women in Philosophy,</w:t>
      </w:r>
      <w:r w:rsidRPr="00057E43">
        <w:rPr>
          <w:rFonts w:eastAsia="Times New Roman" w:cs="Times New Roman"/>
        </w:rPr>
        <w:t xml:space="preserve">" </w:t>
      </w:r>
      <w:r w:rsidRPr="00057E43">
        <w:rPr>
          <w:rFonts w:eastAsia="Times New Roman" w:cs="Times New Roman"/>
          <w:i/>
          <w:iCs/>
        </w:rPr>
        <w:t>Ergo, an Open Access Journal of Philosophy</w:t>
      </w:r>
      <w:r>
        <w:rPr>
          <w:rFonts w:eastAsia="Times New Roman" w:cs="Times New Roman"/>
        </w:rPr>
        <w:t xml:space="preserve"> 2 for some further criticism of Haslanger.</w:t>
      </w:r>
    </w:p>
  </w:footnote>
  <w:footnote w:id="88">
    <w:p w14:paraId="7795701B" w14:textId="77777777" w:rsidR="00AA60E4" w:rsidRPr="00067370" w:rsidRDefault="00AA60E4" w:rsidP="006A1C74">
      <w:pPr>
        <w:pStyle w:val="FootnoteText"/>
      </w:pPr>
      <w:r>
        <w:rPr>
          <w:rStyle w:val="FootnoteReference"/>
        </w:rPr>
        <w:footnoteRef/>
      </w:r>
      <w:r>
        <w:t xml:space="preserve"> Levy, N. (2014). “Neither fish nor fowl: Implicit attitudes as patchy endorsements,” </w:t>
      </w:r>
      <w:r w:rsidRPr="00EB7D30">
        <w:rPr>
          <w:i/>
        </w:rPr>
        <w:t>Noûs</w:t>
      </w:r>
      <w:r>
        <w:rPr>
          <w:i/>
        </w:rPr>
        <w:t xml:space="preserve">, </w:t>
      </w:r>
      <w:r>
        <w:t xml:space="preserve">p.20, fn.20.  See also Levy, N. (2014). “Consciousness, implicit attitudes and moral responsibility,” </w:t>
      </w:r>
      <w:r w:rsidRPr="00EB7D30">
        <w:rPr>
          <w:i/>
        </w:rPr>
        <w:t>Noûs</w:t>
      </w:r>
      <w:r>
        <w:t xml:space="preserve"> 48(1): 21-40.</w:t>
      </w:r>
    </w:p>
  </w:footnote>
  <w:footnote w:id="89">
    <w:p w14:paraId="3AFABC63" w14:textId="77777777" w:rsidR="00AA60E4" w:rsidRPr="00DC7C19" w:rsidRDefault="00AA60E4" w:rsidP="00B53E71">
      <w:pPr>
        <w:rPr>
          <w:i/>
          <w:szCs w:val="20"/>
        </w:rPr>
      </w:pPr>
      <w:r w:rsidRPr="00BE2D6F">
        <w:rPr>
          <w:rStyle w:val="FootnoteReference"/>
        </w:rPr>
        <w:footnoteRef/>
      </w:r>
      <w:r>
        <w:t xml:space="preserve"> Though most notably:</w:t>
      </w:r>
      <w:r w:rsidRPr="00BE2D6F">
        <w:t xml:space="preserve"> </w:t>
      </w:r>
      <w:r w:rsidRPr="00BE2D6F">
        <w:rPr>
          <w:szCs w:val="20"/>
        </w:rPr>
        <w:t xml:space="preserve">Steinpreis, </w:t>
      </w:r>
      <w:r w:rsidRPr="00DC7C19">
        <w:rPr>
          <w:i/>
          <w:szCs w:val="20"/>
        </w:rPr>
        <w:t>et al.</w:t>
      </w:r>
      <w:r>
        <w:rPr>
          <w:i/>
          <w:szCs w:val="20"/>
        </w:rPr>
        <w:t>,</w:t>
      </w:r>
      <w:r>
        <w:rPr>
          <w:szCs w:val="20"/>
        </w:rPr>
        <w:t xml:space="preserve"> </w:t>
      </w:r>
      <w:r>
        <w:rPr>
          <w:i/>
          <w:szCs w:val="20"/>
        </w:rPr>
        <w:t xml:space="preserve">op. cit. </w:t>
      </w:r>
      <w:r w:rsidRPr="00BE2D6F">
        <w:rPr>
          <w:szCs w:val="20"/>
        </w:rPr>
        <w:t>Moss-Racusin</w:t>
      </w:r>
      <w:r>
        <w:rPr>
          <w:szCs w:val="20"/>
        </w:rPr>
        <w:t xml:space="preserve"> </w:t>
      </w:r>
      <w:r w:rsidRPr="00DC7C19">
        <w:rPr>
          <w:i/>
          <w:szCs w:val="20"/>
        </w:rPr>
        <w:t xml:space="preserve">et al., </w:t>
      </w:r>
      <w:r>
        <w:rPr>
          <w:i/>
          <w:szCs w:val="20"/>
        </w:rPr>
        <w:t>op. cit.</w:t>
      </w:r>
    </w:p>
  </w:footnote>
  <w:footnote w:id="90">
    <w:p w14:paraId="4019F01E" w14:textId="77777777" w:rsidR="00AA60E4" w:rsidRPr="00BE2D6F" w:rsidRDefault="00AA60E4">
      <w:pPr>
        <w:pStyle w:val="FootnoteText"/>
      </w:pPr>
      <w:r w:rsidRPr="00BE2D6F">
        <w:rPr>
          <w:rStyle w:val="FootnoteReference"/>
        </w:rPr>
        <w:footnoteRef/>
      </w:r>
      <w:r w:rsidRPr="00BE2D6F">
        <w:t xml:space="preserve"> Borsuk, R</w:t>
      </w:r>
      <w:r>
        <w:t>.</w:t>
      </w:r>
      <w:r w:rsidRPr="00BE2D6F">
        <w:t>, Budden, A., Leimu, R., Aarssen, L., and Lortie, C. (2009). “The influence of author gender, national language and number of authors on citation rate in ecology.</w:t>
      </w:r>
      <w:r w:rsidRPr="00241DC7">
        <w:t>”</w:t>
      </w:r>
      <w:r w:rsidRPr="00BE2D6F">
        <w:rPr>
          <w:i/>
        </w:rPr>
        <w:t xml:space="preserve"> Open Ecology Journal</w:t>
      </w:r>
      <w:r>
        <w:t>, 2: 25-2</w:t>
      </w:r>
      <w:r w:rsidRPr="00BE2D6F">
        <w:t>8.</w:t>
      </w:r>
    </w:p>
  </w:footnote>
  <w:footnote w:id="91">
    <w:p w14:paraId="3E1D73AF" w14:textId="77777777" w:rsidR="00AA60E4" w:rsidRPr="000C61D0" w:rsidRDefault="00AA60E4" w:rsidP="000C61D0">
      <w:pPr>
        <w:rPr>
          <w:rFonts w:ascii="Times" w:hAnsi="Times"/>
          <w:szCs w:val="22"/>
        </w:rPr>
      </w:pPr>
      <w:r w:rsidRPr="00BE2D6F">
        <w:rPr>
          <w:rStyle w:val="FootnoteReference"/>
        </w:rPr>
        <w:footnoteRef/>
      </w:r>
      <w:r w:rsidRPr="00BE2D6F">
        <w:t xml:space="preserve"> Ceci, S. J., and Williams, W. M. (2011). “Understanding current causes of women's underrepresentation in science,” </w:t>
      </w:r>
      <w:r w:rsidRPr="00BE2D6F">
        <w:rPr>
          <w:i/>
        </w:rPr>
        <w:t>Proceedings of the National Academy of Sciences</w:t>
      </w:r>
      <w:r>
        <w:t xml:space="preserve"> 108(8): 3157-</w:t>
      </w:r>
      <w:r w:rsidRPr="00BE2D6F">
        <w:t>62.</w:t>
      </w:r>
      <w:r w:rsidRPr="00BE2D6F">
        <w:rPr>
          <w:szCs w:val="22"/>
        </w:rPr>
        <w:t xml:space="preserve">  </w:t>
      </w:r>
      <w:r w:rsidRPr="00BE2D6F">
        <w:rPr>
          <w:rFonts w:cs="Lucida Grande"/>
          <w:color w:val="000000" w:themeColor="text1"/>
          <w:szCs w:val="28"/>
        </w:rPr>
        <w:t>See also the NSFs “</w:t>
      </w:r>
      <w:r w:rsidRPr="00BE2D6F">
        <w:rPr>
          <w:szCs w:val="22"/>
        </w:rPr>
        <w:t>Gender Differences at Critical Transitions in the Careers of Science, Engineering, and Mathematics Faculty” (2010).</w:t>
      </w:r>
    </w:p>
  </w:footnote>
  <w:footnote w:id="92">
    <w:p w14:paraId="0AEBD0AD" w14:textId="77777777" w:rsidR="00AA60E4" w:rsidRPr="00AF4AAC" w:rsidRDefault="00AA60E4" w:rsidP="00AF4AAC">
      <w:pPr>
        <w:rPr>
          <w:rFonts w:cs="Lucida Grande"/>
          <w:color w:val="000000" w:themeColor="text1"/>
          <w:szCs w:val="28"/>
        </w:rPr>
      </w:pPr>
      <w:r>
        <w:rPr>
          <w:rStyle w:val="FootnoteReference"/>
        </w:rPr>
        <w:footnoteRef/>
      </w:r>
      <w:r>
        <w:t xml:space="preserve"> Williams, W. M. and Ceci, S. J. (2015). “National hiring experiments reveal 2:1 faculty preference for women on STEM tenure track,”</w:t>
      </w:r>
      <w:r>
        <w:rPr>
          <w:i/>
        </w:rPr>
        <w:t xml:space="preserve"> Proceedings of the National Academy of Sciences</w:t>
      </w:r>
      <w:r>
        <w:t xml:space="preserve"> 112(17): 5360-5.  </w:t>
      </w:r>
      <w:r>
        <w:rPr>
          <w:rFonts w:cs="Lucida Grande"/>
          <w:color w:val="000000" w:themeColor="text1"/>
          <w:szCs w:val="28"/>
        </w:rPr>
        <w:t xml:space="preserve">The reaction to this study in the philosophical blogosphere was mostly negative and dismissive.  Williams responds to many alleged weaknesses in their approach and other criticisms in a series of blog posts: </w:t>
      </w:r>
      <w:r w:rsidRPr="00AF4AAC">
        <w:rPr>
          <w:rFonts w:cs="Lucida Grande"/>
          <w:color w:val="000000" w:themeColor="text1"/>
          <w:szCs w:val="28"/>
        </w:rPr>
        <w:t>http://www.huff</w:t>
      </w:r>
      <w:r>
        <w:rPr>
          <w:rFonts w:cs="Lucida Grande"/>
          <w:color w:val="000000" w:themeColor="text1"/>
          <w:szCs w:val="28"/>
        </w:rPr>
        <w:t>ingtonpost.com/news/hiring-bias.</w:t>
      </w:r>
    </w:p>
  </w:footnote>
  <w:footnote w:id="93">
    <w:p w14:paraId="2AD48520" w14:textId="616CB943" w:rsidR="00AA60E4" w:rsidRPr="00F47240" w:rsidRDefault="00AA60E4" w:rsidP="00094F80">
      <w:pPr>
        <w:pStyle w:val="NormalWeb"/>
        <w:spacing w:before="2" w:after="2"/>
        <w:rPr>
          <w:rFonts w:asciiTheme="minorHAnsi" w:hAnsiTheme="minorHAnsi"/>
          <w:sz w:val="24"/>
          <w:szCs w:val="24"/>
        </w:rPr>
      </w:pPr>
      <w:r>
        <w:rPr>
          <w:rStyle w:val="FootnoteReference"/>
        </w:rPr>
        <w:footnoteRef/>
      </w:r>
      <w:r>
        <w:t xml:space="preserve"> </w:t>
      </w:r>
      <w:r>
        <w:rPr>
          <w:rFonts w:asciiTheme="minorHAnsi" w:hAnsiTheme="minorHAnsi"/>
          <w:sz w:val="24"/>
          <w:szCs w:val="24"/>
        </w:rPr>
        <w:t>Sesardic, N. and de Clercq, R</w:t>
      </w:r>
      <w:r w:rsidRPr="00094F80">
        <w:rPr>
          <w:rFonts w:asciiTheme="minorHAnsi" w:hAnsiTheme="minorHAnsi"/>
          <w:sz w:val="24"/>
          <w:szCs w:val="24"/>
        </w:rPr>
        <w:t>. (2014). "Women in Philosophy: Problems with the Discrimination Hy</w:t>
      </w:r>
      <w:r>
        <w:rPr>
          <w:rFonts w:asciiTheme="minorHAnsi" w:hAnsiTheme="minorHAnsi"/>
          <w:sz w:val="24"/>
          <w:szCs w:val="24"/>
        </w:rPr>
        <w:t>pothesis,</w:t>
      </w:r>
      <w:r w:rsidRPr="00094F80">
        <w:rPr>
          <w:rFonts w:asciiTheme="minorHAnsi" w:hAnsiTheme="minorHAnsi"/>
          <w:sz w:val="24"/>
          <w:szCs w:val="24"/>
        </w:rPr>
        <w:t>" </w:t>
      </w:r>
      <w:r w:rsidRPr="00094F80">
        <w:rPr>
          <w:rStyle w:val="Emphasis"/>
          <w:rFonts w:asciiTheme="minorHAnsi" w:hAnsiTheme="minorHAnsi"/>
          <w:sz w:val="24"/>
          <w:szCs w:val="24"/>
        </w:rPr>
        <w:t>Academic Questions</w:t>
      </w:r>
      <w:r>
        <w:rPr>
          <w:rFonts w:asciiTheme="minorHAnsi" w:hAnsiTheme="minorHAnsi"/>
          <w:sz w:val="24"/>
          <w:szCs w:val="24"/>
        </w:rPr>
        <w:t xml:space="preserve"> 27(4): 461-73 is cogently argued and worthy of philosophers' attention despite appearing in the obscure organ of a right-wing think tank.  Their vehicle of publication perhaps says more about the biases of editors and referees at philosophy journals than the authors' political orientation (the frosty reception of the present manuscript by reviewers, rising even to sexist ad hominem, has been instructive to this author).  </w:t>
      </w:r>
    </w:p>
  </w:footnote>
  <w:footnote w:id="94">
    <w:p w14:paraId="13B136FF" w14:textId="77777777" w:rsidR="00AA60E4" w:rsidRPr="004E4107" w:rsidRDefault="00AA60E4" w:rsidP="004E4107">
      <w:pPr>
        <w:rPr>
          <w:rFonts w:ascii="Times" w:hAnsi="Times"/>
          <w:sz w:val="20"/>
          <w:szCs w:val="20"/>
        </w:rPr>
      </w:pPr>
      <w:r w:rsidRPr="004E4107">
        <w:rPr>
          <w:rStyle w:val="FootnoteReference"/>
        </w:rPr>
        <w:footnoteRef/>
      </w:r>
      <w:r w:rsidRPr="004E4107">
        <w:t xml:space="preserve"> </w:t>
      </w:r>
      <w:r w:rsidRPr="004E4107">
        <w:rPr>
          <w:szCs w:val="20"/>
        </w:rPr>
        <w:t>Milkman, K</w:t>
      </w:r>
      <w:r>
        <w:rPr>
          <w:szCs w:val="20"/>
        </w:rPr>
        <w:t xml:space="preserve">. L., </w:t>
      </w:r>
      <w:r w:rsidRPr="004E4107">
        <w:rPr>
          <w:szCs w:val="20"/>
        </w:rPr>
        <w:t>Akinola,</w:t>
      </w:r>
      <w:r>
        <w:rPr>
          <w:szCs w:val="20"/>
        </w:rPr>
        <w:t xml:space="preserve"> M., and </w:t>
      </w:r>
      <w:r w:rsidRPr="004E4107">
        <w:rPr>
          <w:szCs w:val="20"/>
        </w:rPr>
        <w:t>Chugh</w:t>
      </w:r>
      <w:r>
        <w:rPr>
          <w:szCs w:val="20"/>
        </w:rPr>
        <w:t>, D. (2012). “Temporal distance and discrimination: An audit s</w:t>
      </w:r>
      <w:r w:rsidRPr="004E4107">
        <w:rPr>
          <w:szCs w:val="20"/>
        </w:rPr>
        <w:t>t</w:t>
      </w:r>
      <w:r>
        <w:rPr>
          <w:szCs w:val="20"/>
        </w:rPr>
        <w:t>udy in academia.”</w:t>
      </w:r>
      <w:r w:rsidRPr="004E4107">
        <w:rPr>
          <w:szCs w:val="20"/>
        </w:rPr>
        <w:t xml:space="preserve"> </w:t>
      </w:r>
      <w:r w:rsidRPr="004E4107">
        <w:rPr>
          <w:i/>
          <w:szCs w:val="20"/>
        </w:rPr>
        <w:t>Psychological science</w:t>
      </w:r>
      <w:r>
        <w:rPr>
          <w:szCs w:val="20"/>
        </w:rPr>
        <w:t xml:space="preserve"> 23(</w:t>
      </w:r>
      <w:r w:rsidRPr="004E4107">
        <w:rPr>
          <w:szCs w:val="20"/>
        </w:rPr>
        <w:t>7</w:t>
      </w:r>
      <w:r>
        <w:rPr>
          <w:szCs w:val="20"/>
        </w:rPr>
        <w:t>): 710-</w:t>
      </w:r>
      <w:r w:rsidRPr="004E4107">
        <w:rPr>
          <w:szCs w:val="20"/>
        </w:rPr>
        <w:t xml:space="preserve">7. </w:t>
      </w:r>
      <w:r w:rsidRPr="004E4107">
        <w:t>NYT quoted by: https://feministphilosophers.wordpress.com/page</w:t>
      </w:r>
      <w:r w:rsidRPr="00966D4E">
        <w:t>/2/</w:t>
      </w:r>
      <w:r>
        <w:t xml:space="preserve"> </w:t>
      </w:r>
    </w:p>
  </w:footnote>
  <w:footnote w:id="95">
    <w:p w14:paraId="041E5126" w14:textId="77777777" w:rsidR="00EA5ADD" w:rsidRDefault="00AA60E4">
      <w:pPr>
        <w:pStyle w:val="FootnoteText"/>
      </w:pPr>
      <w:r>
        <w:rPr>
          <w:rStyle w:val="FootnoteReference"/>
        </w:rPr>
        <w:footnoteRef/>
      </w:r>
      <w:r>
        <w:t xml:space="preserve"> </w:t>
      </w:r>
      <w:r w:rsidRPr="003B5208">
        <w:rPr>
          <w:szCs w:val="20"/>
        </w:rPr>
        <w:t xml:space="preserve">Kelly, Daniel, and Erica Roedder (2008). “Racial cognition and the ethics of implicit bias,” </w:t>
      </w:r>
      <w:r w:rsidRPr="003B5208">
        <w:rPr>
          <w:i/>
          <w:szCs w:val="20"/>
        </w:rPr>
        <w:t>Philosophy Compass</w:t>
      </w:r>
      <w:r w:rsidRPr="003B5208">
        <w:rPr>
          <w:szCs w:val="20"/>
        </w:rPr>
        <w:t xml:space="preserve"> 3(3): 522-540</w:t>
      </w:r>
      <w:r w:rsidRPr="003B5208">
        <w:t xml:space="preserve">; </w:t>
      </w:r>
    </w:p>
    <w:p w14:paraId="37CC4C6D" w14:textId="77777777" w:rsidR="00EA5ADD" w:rsidRDefault="00EA5ADD">
      <w:pPr>
        <w:pStyle w:val="FootnoteText"/>
      </w:pPr>
    </w:p>
    <w:p w14:paraId="339CB6FB" w14:textId="77777777" w:rsidR="00EA5ADD" w:rsidRDefault="00AA60E4">
      <w:pPr>
        <w:pStyle w:val="FootnoteText"/>
        <w:rPr>
          <w:szCs w:val="20"/>
        </w:rPr>
      </w:pPr>
      <w:r w:rsidRPr="003B5208">
        <w:rPr>
          <w:szCs w:val="20"/>
        </w:rPr>
        <w:t xml:space="preserve">Kelly, Daniel, Edouard Machery, and Ron Mallon (2010). “Race and racial cognition,” in </w:t>
      </w:r>
      <w:r w:rsidRPr="003B5208">
        <w:rPr>
          <w:i/>
          <w:szCs w:val="20"/>
        </w:rPr>
        <w:t>The Oxford handbook of moral psychology</w:t>
      </w:r>
      <w:r w:rsidRPr="003B5208">
        <w:rPr>
          <w:szCs w:val="20"/>
        </w:rPr>
        <w:t xml:space="preserve">: 433-472; </w:t>
      </w:r>
    </w:p>
    <w:p w14:paraId="7D9B0BA8" w14:textId="77777777" w:rsidR="00EA5ADD" w:rsidRDefault="00EA5ADD">
      <w:pPr>
        <w:pStyle w:val="FootnoteText"/>
        <w:rPr>
          <w:szCs w:val="20"/>
        </w:rPr>
      </w:pPr>
    </w:p>
    <w:p w14:paraId="39C3660F" w14:textId="77777777" w:rsidR="00EA5ADD" w:rsidRDefault="00AA60E4">
      <w:pPr>
        <w:pStyle w:val="FootnoteText"/>
        <w:rPr>
          <w:szCs w:val="20"/>
        </w:rPr>
      </w:pPr>
      <w:r w:rsidRPr="003B5208">
        <w:rPr>
          <w:szCs w:val="20"/>
        </w:rPr>
        <w:t xml:space="preserve">Mallon, Ron, and Daniel Kelly (2012). “Making race out of nothing: psychologically constrained social roles,” </w:t>
      </w:r>
      <w:r w:rsidRPr="003B5208">
        <w:rPr>
          <w:i/>
          <w:szCs w:val="20"/>
        </w:rPr>
        <w:t>The Oxford handbook of the philosophy of the social sciences. Oxford, Oxford University Press</w:t>
      </w:r>
      <w:r w:rsidRPr="003B5208">
        <w:rPr>
          <w:szCs w:val="20"/>
        </w:rPr>
        <w:t xml:space="preserve">; </w:t>
      </w:r>
    </w:p>
    <w:p w14:paraId="6159D234" w14:textId="77777777" w:rsidR="00EA5ADD" w:rsidRDefault="00EA5ADD">
      <w:pPr>
        <w:pStyle w:val="FootnoteText"/>
        <w:rPr>
          <w:szCs w:val="20"/>
        </w:rPr>
      </w:pPr>
    </w:p>
    <w:p w14:paraId="10978651" w14:textId="182F1588" w:rsidR="00AA60E4" w:rsidRDefault="00AA60E4">
      <w:pPr>
        <w:pStyle w:val="FootnoteText"/>
      </w:pPr>
      <w:bookmarkStart w:id="0" w:name="_GoBack"/>
      <w:bookmarkEnd w:id="0"/>
      <w:r w:rsidRPr="003B5208">
        <w:rPr>
          <w:szCs w:val="20"/>
        </w:rPr>
        <w:t xml:space="preserve">Yap, Audrey (2013). “Ad hominem fallacies, bias, and testimony,” </w:t>
      </w:r>
      <w:r w:rsidRPr="003B5208">
        <w:rPr>
          <w:i/>
          <w:szCs w:val="20"/>
        </w:rPr>
        <w:t>Argumentation</w:t>
      </w:r>
      <w:r w:rsidRPr="003B5208">
        <w:rPr>
          <w:szCs w:val="20"/>
        </w:rPr>
        <w:t xml:space="preserve"> 27(2): 97-109.</w:t>
      </w:r>
    </w:p>
  </w:footnote>
  <w:footnote w:id="96">
    <w:p w14:paraId="20089550" w14:textId="215A9D97" w:rsidR="00AA60E4" w:rsidRDefault="00AA60E4">
      <w:pPr>
        <w:pStyle w:val="FootnoteText"/>
      </w:pPr>
      <w:r>
        <w:rPr>
          <w:rStyle w:val="FootnoteReference"/>
        </w:rPr>
        <w:footnoteRef/>
      </w:r>
      <w:r>
        <w:t xml:space="preserve"> Perhaps I am stereotyping, but I would not be surprised to find explicit prejudices in business schools.  Meanwhile, in at least two of the other fields exhibiting temporal discrimination—health and education—men are so underrepresented that this might be a factor in recruitment. </w:t>
      </w:r>
    </w:p>
  </w:footnote>
  <w:footnote w:id="97">
    <w:p w14:paraId="0454E745" w14:textId="77777777" w:rsidR="00AA60E4" w:rsidRDefault="00AA60E4">
      <w:pPr>
        <w:pStyle w:val="FootnoteText"/>
      </w:pPr>
      <w:r>
        <w:rPr>
          <w:rStyle w:val="FootnoteReference"/>
        </w:rPr>
        <w:footnoteRef/>
      </w:r>
      <w:r>
        <w:t xml:space="preserve"> These results are not found in either the main article or the supplemental material, but can be accessed for free here: </w:t>
      </w:r>
      <w:r w:rsidRPr="001B6853">
        <w:t>http://knowledge.wharton.upenn.edu/article/e-mails-ignored-meetings-denied-bias-at-the-search-stage-limits-diversity/</w:t>
      </w:r>
    </w:p>
  </w:footnote>
  <w:footnote w:id="98">
    <w:p w14:paraId="74F396A1" w14:textId="54ED5B83" w:rsidR="00AA60E4" w:rsidRPr="00086ADA" w:rsidRDefault="00AA60E4" w:rsidP="00B12306">
      <w:pPr>
        <w:rPr>
          <w:szCs w:val="20"/>
        </w:rPr>
      </w:pPr>
      <w:r>
        <w:rPr>
          <w:rStyle w:val="FootnoteReference"/>
        </w:rPr>
        <w:footnoteRef/>
      </w:r>
      <w:r>
        <w:t xml:space="preserve"> </w:t>
      </w:r>
      <w:r>
        <w:rPr>
          <w:szCs w:val="20"/>
        </w:rPr>
        <w:t xml:space="preserve">Stoet, G. and </w:t>
      </w:r>
      <w:r w:rsidRPr="00B12306">
        <w:rPr>
          <w:szCs w:val="20"/>
        </w:rPr>
        <w:t>Geary</w:t>
      </w:r>
      <w:r>
        <w:rPr>
          <w:szCs w:val="20"/>
        </w:rPr>
        <w:t>, D. C</w:t>
      </w:r>
      <w:r w:rsidRPr="00B12306">
        <w:rPr>
          <w:szCs w:val="20"/>
        </w:rPr>
        <w:t>.</w:t>
      </w:r>
      <w:r>
        <w:rPr>
          <w:szCs w:val="20"/>
        </w:rPr>
        <w:t xml:space="preserve"> (2012). “</w:t>
      </w:r>
      <w:r w:rsidRPr="00B12306">
        <w:rPr>
          <w:szCs w:val="20"/>
        </w:rPr>
        <w:t>Can stereotype threat explain the gender gap in mathematic</w:t>
      </w:r>
      <w:r>
        <w:rPr>
          <w:szCs w:val="20"/>
        </w:rPr>
        <w:t>s performance and achievement?”</w:t>
      </w:r>
      <w:r w:rsidRPr="00B12306">
        <w:rPr>
          <w:szCs w:val="20"/>
        </w:rPr>
        <w:t xml:space="preserve"> </w:t>
      </w:r>
      <w:r w:rsidRPr="00B12306">
        <w:rPr>
          <w:i/>
          <w:szCs w:val="20"/>
        </w:rPr>
        <w:t>Review of General Psychology</w:t>
      </w:r>
      <w:r>
        <w:rPr>
          <w:szCs w:val="20"/>
        </w:rPr>
        <w:t xml:space="preserve"> 16(</w:t>
      </w:r>
      <w:r w:rsidRPr="00B12306">
        <w:rPr>
          <w:szCs w:val="20"/>
        </w:rPr>
        <w:t>1</w:t>
      </w:r>
      <w:r>
        <w:rPr>
          <w:szCs w:val="20"/>
        </w:rPr>
        <w:t xml:space="preserve">): </w:t>
      </w:r>
      <w:r w:rsidRPr="00B12306">
        <w:rPr>
          <w:szCs w:val="20"/>
        </w:rPr>
        <w:t>93</w:t>
      </w:r>
      <w:r>
        <w:rPr>
          <w:szCs w:val="20"/>
        </w:rPr>
        <w:t>-102</w:t>
      </w:r>
      <w:r w:rsidRPr="00B12306">
        <w:rPr>
          <w:szCs w:val="20"/>
        </w:rPr>
        <w:t>.</w:t>
      </w:r>
      <w:r>
        <w:rPr>
          <w:szCs w:val="20"/>
        </w:rPr>
        <w:t xml:space="preserve">  See also </w:t>
      </w:r>
      <w:r w:rsidRPr="00086ADA">
        <w:rPr>
          <w:szCs w:val="20"/>
        </w:rPr>
        <w:t>http://heterodoxacademy.org/2015/12/30/is-stereotype-threat-overcooked-overstated-and-oversold/</w:t>
      </w:r>
    </w:p>
  </w:footnote>
  <w:footnote w:id="99">
    <w:p w14:paraId="495600AF" w14:textId="522E9C5D" w:rsidR="00AA60E4" w:rsidRPr="00221BB3" w:rsidRDefault="00AA60E4" w:rsidP="00BD4D09">
      <w:pPr>
        <w:rPr>
          <w:szCs w:val="18"/>
        </w:rPr>
      </w:pPr>
      <w:r>
        <w:rPr>
          <w:rStyle w:val="FootnoteReference"/>
        </w:rPr>
        <w:footnoteRef/>
      </w:r>
      <w:r w:rsidRPr="00EE7783">
        <w:t xml:space="preserve"> </w:t>
      </w:r>
      <w:r>
        <w:t xml:space="preserve">Thompson, M., Adleberg, T., Sims, S., and Nahmias, E. (2016). “Why do women leave philosophy?  Surveying students at the introductory level,” </w:t>
      </w:r>
      <w:r>
        <w:rPr>
          <w:i/>
        </w:rPr>
        <w:t>Philosopher’s Imprint</w:t>
      </w:r>
      <w:r>
        <w:t xml:space="preserve"> 16(6): 1-36, p.2; Paxton, M., Figdor, C., and Tiberius, V. (2012). “Quantifying the gender gap: An empirical study of the underrepresentation of women in philosophy,” </w:t>
      </w:r>
      <w:r>
        <w:rPr>
          <w:i/>
        </w:rPr>
        <w:t>Hypatia</w:t>
      </w:r>
      <w:r>
        <w:t xml:space="preserve"> </w:t>
      </w:r>
      <w:r w:rsidRPr="0019661D">
        <w:t>27</w:t>
      </w:r>
      <w:r>
        <w:t xml:space="preserve">(4): 949-57; </w:t>
      </w:r>
      <w:r w:rsidRPr="00EE7783">
        <w:rPr>
          <w:szCs w:val="20"/>
        </w:rPr>
        <w:t>Dougherty,</w:t>
      </w:r>
      <w:r>
        <w:rPr>
          <w:szCs w:val="20"/>
        </w:rPr>
        <w:t xml:space="preserve"> T., </w:t>
      </w:r>
      <w:r w:rsidRPr="00EE7783">
        <w:rPr>
          <w:szCs w:val="20"/>
        </w:rPr>
        <w:t>Baron,</w:t>
      </w:r>
      <w:r>
        <w:rPr>
          <w:szCs w:val="20"/>
        </w:rPr>
        <w:t xml:space="preserve"> S., and </w:t>
      </w:r>
      <w:r w:rsidRPr="00EE7783">
        <w:rPr>
          <w:szCs w:val="20"/>
        </w:rPr>
        <w:t>Miller,</w:t>
      </w:r>
      <w:r>
        <w:rPr>
          <w:szCs w:val="20"/>
        </w:rPr>
        <w:t xml:space="preserve"> K.</w:t>
      </w:r>
      <w:r w:rsidRPr="00EE7783">
        <w:rPr>
          <w:szCs w:val="20"/>
        </w:rPr>
        <w:t xml:space="preserve"> </w:t>
      </w:r>
      <w:r>
        <w:rPr>
          <w:szCs w:val="20"/>
        </w:rPr>
        <w:t>(2015). “Why do female students leave philosophy? The story from Sydney,</w:t>
      </w:r>
      <w:r w:rsidRPr="009F6C20">
        <w:rPr>
          <w:szCs w:val="20"/>
        </w:rPr>
        <w:t>”</w:t>
      </w:r>
      <w:r>
        <w:rPr>
          <w:szCs w:val="20"/>
        </w:rPr>
        <w:t xml:space="preserve"> </w:t>
      </w:r>
      <w:r>
        <w:rPr>
          <w:i/>
          <w:szCs w:val="20"/>
        </w:rPr>
        <w:t xml:space="preserve">Hypatia </w:t>
      </w:r>
      <w:r>
        <w:rPr>
          <w:szCs w:val="20"/>
        </w:rPr>
        <w:t>30(2): 467-74.</w:t>
      </w:r>
    </w:p>
  </w:footnote>
  <w:footnote w:id="100">
    <w:p w14:paraId="5BC886FF" w14:textId="038661B6" w:rsidR="00AA60E4" w:rsidRDefault="00AA60E4">
      <w:pPr>
        <w:pStyle w:val="FootnoteText"/>
      </w:pPr>
      <w:r>
        <w:rPr>
          <w:rStyle w:val="FootnoteReference"/>
        </w:rPr>
        <w:footnoteRef/>
      </w:r>
      <w:r>
        <w:t xml:space="preserve"> Thompson, M., Adleberg, T., Sims, S., and Nahmias, E. (2016). “Why do women leave philosophy?  Surveying students at the introductory level,” </w:t>
      </w:r>
      <w:r>
        <w:rPr>
          <w:i/>
        </w:rPr>
        <w:t>Philosopher’s Imprint</w:t>
      </w:r>
      <w:r>
        <w:t xml:space="preserve"> 16(6): 1-36, pp.18-19, 21, 26.</w:t>
      </w:r>
    </w:p>
  </w:footnote>
  <w:footnote w:id="101">
    <w:p w14:paraId="37E2BB49" w14:textId="250B94DB" w:rsidR="00AA60E4" w:rsidRDefault="00AA60E4">
      <w:pPr>
        <w:pStyle w:val="FootnoteText"/>
      </w:pPr>
      <w:r>
        <w:rPr>
          <w:rStyle w:val="FootnoteReference"/>
        </w:rPr>
        <w:footnoteRef/>
      </w:r>
      <w:r>
        <w:t xml:space="preserve"> </w:t>
      </w:r>
      <w:r w:rsidRPr="00E04094">
        <w:rPr>
          <w:i/>
        </w:rPr>
        <w:t>Ibid.</w:t>
      </w:r>
      <w:r>
        <w:rPr>
          <w:i/>
        </w:rPr>
        <w:t>,</w:t>
      </w:r>
      <w:r>
        <w:t xml:space="preserve"> pp.26, 28.</w:t>
      </w:r>
    </w:p>
  </w:footnote>
  <w:footnote w:id="102">
    <w:p w14:paraId="568D0EE3" w14:textId="3297AE8F" w:rsidR="00AA60E4" w:rsidRDefault="00AA60E4">
      <w:pPr>
        <w:pStyle w:val="FootnoteText"/>
      </w:pPr>
      <w:r>
        <w:rPr>
          <w:rStyle w:val="FootnoteReference"/>
        </w:rPr>
        <w:footnoteRef/>
      </w:r>
      <w:r>
        <w:t xml:space="preserve"> </w:t>
      </w:r>
      <w:r w:rsidRPr="00E04094">
        <w:rPr>
          <w:i/>
        </w:rPr>
        <w:t>Ibid.,</w:t>
      </w:r>
      <w:r>
        <w:t xml:space="preserve"> p.24.</w:t>
      </w:r>
    </w:p>
  </w:footnote>
  <w:footnote w:id="103">
    <w:p w14:paraId="18B9FE1A" w14:textId="77777777" w:rsidR="00AA60E4" w:rsidRDefault="00AA60E4">
      <w:pPr>
        <w:pStyle w:val="FootnoteText"/>
      </w:pPr>
      <w:r>
        <w:rPr>
          <w:rStyle w:val="FootnoteReference"/>
        </w:rPr>
        <w:footnoteRef/>
      </w:r>
      <w:r>
        <w:t xml:space="preserve"> </w:t>
      </w:r>
      <w:r w:rsidRPr="00EE7783">
        <w:rPr>
          <w:szCs w:val="20"/>
        </w:rPr>
        <w:t>Baron,</w:t>
      </w:r>
      <w:r>
        <w:rPr>
          <w:szCs w:val="20"/>
        </w:rPr>
        <w:t xml:space="preserve"> S.,</w:t>
      </w:r>
      <w:r w:rsidRPr="00EE7783">
        <w:rPr>
          <w:szCs w:val="20"/>
        </w:rPr>
        <w:t xml:space="preserve"> Dougherty, </w:t>
      </w:r>
      <w:r>
        <w:rPr>
          <w:szCs w:val="20"/>
        </w:rPr>
        <w:t xml:space="preserve">T., and </w:t>
      </w:r>
      <w:r w:rsidRPr="00EE7783">
        <w:rPr>
          <w:szCs w:val="20"/>
        </w:rPr>
        <w:t>Miller,</w:t>
      </w:r>
      <w:r>
        <w:rPr>
          <w:szCs w:val="20"/>
        </w:rPr>
        <w:t xml:space="preserve"> K. (2015). “Why is there female under-representation among philosophy majors?  Evidence of a pre</w:t>
      </w:r>
      <w:r>
        <w:rPr>
          <w:szCs w:val="20"/>
        </w:rPr>
        <w:softHyphen/>
        <w:t>‐University effect”</w:t>
      </w:r>
      <w:r>
        <w:rPr>
          <w:i/>
          <w:szCs w:val="20"/>
        </w:rPr>
        <w:t xml:space="preserve"> Ergo</w:t>
      </w:r>
      <w:r>
        <w:rPr>
          <w:szCs w:val="20"/>
        </w:rPr>
        <w:t xml:space="preserve"> (2)14.</w:t>
      </w:r>
    </w:p>
  </w:footnote>
  <w:footnote w:id="104">
    <w:p w14:paraId="3255DF5F" w14:textId="267B60B0" w:rsidR="00AA60E4" w:rsidRPr="00B0348A" w:rsidRDefault="00AA60E4">
      <w:pPr>
        <w:pStyle w:val="FootnoteText"/>
      </w:pPr>
      <w:r>
        <w:rPr>
          <w:rStyle w:val="FootnoteReference"/>
        </w:rPr>
        <w:footnoteRef/>
      </w:r>
      <w:r>
        <w:t xml:space="preserve"> Thompson, M., Adleberg, T., Sims, S., and Nahmias, E. (2016). “Why do women leave philosophy?  Surveying students at the introductory level,” </w:t>
      </w:r>
      <w:r>
        <w:rPr>
          <w:i/>
        </w:rPr>
        <w:t>Philosopher’s Imprint</w:t>
      </w:r>
      <w:r>
        <w:t xml:space="preserve"> 16(6): 1-36, p.18.</w:t>
      </w:r>
    </w:p>
  </w:footnote>
  <w:footnote w:id="105">
    <w:p w14:paraId="236714A2" w14:textId="77777777" w:rsidR="00AA60E4" w:rsidRDefault="00AA60E4">
      <w:pPr>
        <w:pStyle w:val="FootnoteText"/>
      </w:pPr>
      <w:r>
        <w:rPr>
          <w:rStyle w:val="FootnoteReference"/>
        </w:rPr>
        <w:footnoteRef/>
      </w:r>
      <w:r>
        <w:t xml:space="preserve"> How do we know that?  Let us be reminded of the ubiquitous post hoc fallacy that since many philosophy majors tend to find decent employment, philosophy is a good career choice.  Philosophy is also unusual amongst the humanities in that an undergraduate degree normally doesn’t qualify one for employment as </w:t>
      </w:r>
      <w:r w:rsidRPr="007A45B7">
        <w:t>a</w:t>
      </w:r>
      <w:r w:rsidRPr="007A45B7">
        <w:rPr>
          <w:i/>
        </w:rPr>
        <w:t xml:space="preserve"> teacher</w:t>
      </w:r>
      <w:r>
        <w:t xml:space="preserve"> in the </w:t>
      </w:r>
      <w:r w:rsidRPr="007A45B7">
        <w:rPr>
          <w:i/>
        </w:rPr>
        <w:t>local</w:t>
      </w:r>
      <w:r>
        <w:t xml:space="preserve"> school system.  Might many students realize this? </w:t>
      </w:r>
    </w:p>
  </w:footnote>
  <w:footnote w:id="106">
    <w:p w14:paraId="448F4B84" w14:textId="18861524" w:rsidR="00AA60E4" w:rsidRPr="00A95ACA" w:rsidRDefault="00AA60E4" w:rsidP="00A95ACA">
      <w:pPr>
        <w:rPr>
          <w:szCs w:val="20"/>
        </w:rPr>
      </w:pPr>
      <w:r>
        <w:rPr>
          <w:rStyle w:val="FootnoteReference"/>
        </w:rPr>
        <w:footnoteRef/>
      </w:r>
      <w:r>
        <w:t xml:space="preserve"> One possibly important way philosophy is unlike the rest of the humanities (and like STEM disciplines) is that the average doctoral candidate has exceptional GRE scores, which are more often achieved by high-SES men.  See </w:t>
      </w:r>
      <w:r>
        <w:rPr>
          <w:szCs w:val="20"/>
        </w:rPr>
        <w:t xml:space="preserve">Templer, D. </w:t>
      </w:r>
      <w:r w:rsidRPr="00406A4E">
        <w:rPr>
          <w:szCs w:val="20"/>
        </w:rPr>
        <w:t>I., and Tomeo</w:t>
      </w:r>
      <w:r>
        <w:rPr>
          <w:szCs w:val="20"/>
        </w:rPr>
        <w:t>, M. E. (2002). “</w:t>
      </w:r>
      <w:r w:rsidRPr="00406A4E">
        <w:rPr>
          <w:szCs w:val="20"/>
        </w:rPr>
        <w:t xml:space="preserve">Mean Graduate Record Examination (GRE) score and gender distribution as </w:t>
      </w:r>
      <w:r>
        <w:rPr>
          <w:szCs w:val="20"/>
        </w:rPr>
        <w:t>function of academic discipline,”</w:t>
      </w:r>
      <w:r w:rsidRPr="00406A4E">
        <w:rPr>
          <w:szCs w:val="20"/>
        </w:rPr>
        <w:t xml:space="preserve"> </w:t>
      </w:r>
      <w:r w:rsidRPr="00406A4E">
        <w:rPr>
          <w:i/>
          <w:szCs w:val="20"/>
        </w:rPr>
        <w:t>Personality and individual differences</w:t>
      </w:r>
      <w:r>
        <w:rPr>
          <w:szCs w:val="20"/>
        </w:rPr>
        <w:t xml:space="preserve"> 32(</w:t>
      </w:r>
      <w:r w:rsidRPr="00406A4E">
        <w:rPr>
          <w:szCs w:val="20"/>
        </w:rPr>
        <w:t>1</w:t>
      </w:r>
      <w:r>
        <w:rPr>
          <w:szCs w:val="20"/>
        </w:rPr>
        <w:t xml:space="preserve">): 175-9.  I note that mean quantitative scores might be better predictors of gender distributions than other factors, such as “ability beliefs”: </w:t>
      </w:r>
      <w:r w:rsidRPr="00DF38CF">
        <w:rPr>
          <w:szCs w:val="20"/>
        </w:rPr>
        <w:t>http://slatestarcodex.com/2015/01/24/perceptions-of-required-ability-act-as-a-proxy-for-actual-required-ability-in-explaining-the-gender-gap/</w:t>
      </w:r>
      <w:r>
        <w:rPr>
          <w:szCs w:val="20"/>
        </w:rPr>
        <w:t xml:space="preserve"> </w:t>
      </w:r>
    </w:p>
  </w:footnote>
  <w:footnote w:id="107">
    <w:p w14:paraId="4850D76D" w14:textId="77777777" w:rsidR="00AA60E4" w:rsidRDefault="00AA60E4">
      <w:pPr>
        <w:pStyle w:val="FootnoteText"/>
      </w:pPr>
      <w:r>
        <w:rPr>
          <w:rStyle w:val="FootnoteReference"/>
        </w:rPr>
        <w:footnoteRef/>
      </w:r>
      <w:r>
        <w:t xml:space="preserve"> </w:t>
      </w:r>
      <w:r w:rsidRPr="002E3F9F">
        <w:t>http://www.apaonlinecsw.org/</w:t>
      </w:r>
      <w:r>
        <w:t xml:space="preserve">resources; </w:t>
      </w:r>
      <w:r w:rsidRPr="002E3F9F">
        <w:t>https://feministphilosophers.wordpress.com/2014/11/03/diversifying-syllabi/</w:t>
      </w:r>
    </w:p>
  </w:footnote>
  <w:footnote w:id="108">
    <w:p w14:paraId="60654D95" w14:textId="77777777" w:rsidR="00AA60E4" w:rsidRDefault="00AA60E4">
      <w:pPr>
        <w:pStyle w:val="FootnoteText"/>
      </w:pPr>
      <w:r>
        <w:rPr>
          <w:rStyle w:val="FootnoteReference"/>
        </w:rPr>
        <w:footnoteRef/>
      </w:r>
      <w:r>
        <w:t xml:space="preserve"> Norlock, K. (2012). “Gender perception as a habit of moral perception: Implications for philosophical methodology and introductory curriculum,” </w:t>
      </w:r>
      <w:r>
        <w:rPr>
          <w:i/>
        </w:rPr>
        <w:t>Journal of Social Philosophy</w:t>
      </w:r>
      <w:r>
        <w:rPr>
          <w:rFonts w:cs="Times New Roman"/>
          <w:color w:val="2B2E34"/>
          <w:szCs w:val="20"/>
        </w:rPr>
        <w:t xml:space="preserve"> 43(3): 347-62</w:t>
      </w:r>
      <w:r>
        <w:rPr>
          <w:rFonts w:cs="Times New Roman"/>
          <w:i/>
          <w:color w:val="2B2E34"/>
          <w:szCs w:val="20"/>
        </w:rPr>
        <w:t xml:space="preserve">, </w:t>
      </w:r>
      <w:r>
        <w:rPr>
          <w:rFonts w:cs="Times New Roman"/>
          <w:color w:val="2B2E34"/>
          <w:szCs w:val="20"/>
        </w:rPr>
        <w:t>p.348.</w:t>
      </w:r>
    </w:p>
  </w:footnote>
  <w:footnote w:id="109">
    <w:p w14:paraId="295E36EE" w14:textId="77777777" w:rsidR="00AA60E4" w:rsidRPr="00E71D44" w:rsidRDefault="00AA60E4">
      <w:pPr>
        <w:pStyle w:val="FootnoteText"/>
      </w:pPr>
      <w:r>
        <w:rPr>
          <w:rStyle w:val="FootnoteReference"/>
        </w:rPr>
        <w:footnoteRef/>
      </w:r>
      <w:r>
        <w:t xml:space="preserve"> </w:t>
      </w:r>
      <w:r>
        <w:rPr>
          <w:i/>
        </w:rPr>
        <w:t>Ibid.</w:t>
      </w:r>
      <w:r>
        <w:t>, p.354.</w:t>
      </w:r>
    </w:p>
  </w:footnote>
  <w:footnote w:id="110">
    <w:p w14:paraId="1E6E0E39" w14:textId="77777777" w:rsidR="00AA60E4" w:rsidRDefault="00AA60E4">
      <w:pPr>
        <w:pStyle w:val="FootnoteText"/>
      </w:pPr>
      <w:r>
        <w:rPr>
          <w:rStyle w:val="FootnoteReference"/>
        </w:rPr>
        <w:footnoteRef/>
      </w:r>
      <w:r>
        <w:t xml:space="preserve"> </w:t>
      </w:r>
      <w:r>
        <w:rPr>
          <w:i/>
        </w:rPr>
        <w:t xml:space="preserve">Ibid., </w:t>
      </w:r>
      <w:r>
        <w:t>p.361, n.37</w:t>
      </w:r>
      <w:r w:rsidRPr="004907C3">
        <w:t>.</w:t>
      </w:r>
    </w:p>
  </w:footnote>
  <w:footnote w:id="111">
    <w:p w14:paraId="7F24584D" w14:textId="77777777" w:rsidR="00AA60E4" w:rsidRDefault="00AA60E4">
      <w:pPr>
        <w:pStyle w:val="FootnoteText"/>
      </w:pPr>
      <w:r>
        <w:rPr>
          <w:rStyle w:val="FootnoteReference"/>
        </w:rPr>
        <w:footnoteRef/>
      </w:r>
      <w:r>
        <w:t xml:space="preserve"> Tonso, K. L. (2006). “Student engineers and engineer identity: Campus engineer identities as figured world.” </w:t>
      </w:r>
      <w:r>
        <w:rPr>
          <w:i/>
        </w:rPr>
        <w:t>Cultural studies of science education</w:t>
      </w:r>
      <w:r>
        <w:t xml:space="preserve"> </w:t>
      </w:r>
      <w:r w:rsidRPr="00DA6C45">
        <w:t>1(</w:t>
      </w:r>
      <w:r>
        <w:t>2): 273-307.</w:t>
      </w:r>
    </w:p>
  </w:footnote>
  <w:footnote w:id="112">
    <w:p w14:paraId="305C79A2" w14:textId="77777777" w:rsidR="00AA60E4" w:rsidRDefault="00AA60E4">
      <w:pPr>
        <w:pStyle w:val="FootnoteText"/>
      </w:pPr>
      <w:r>
        <w:rPr>
          <w:rStyle w:val="FootnoteReference"/>
        </w:rPr>
        <w:footnoteRef/>
      </w:r>
      <w:r>
        <w:t xml:space="preserve"> Andersen, M. L. (1987). “Changing the curriculum in higher education,” </w:t>
      </w:r>
      <w:r>
        <w:rPr>
          <w:i/>
        </w:rPr>
        <w:t>Signs</w:t>
      </w:r>
      <w:r>
        <w:t xml:space="preserve"> 12(2): 222-54. </w:t>
      </w:r>
    </w:p>
  </w:footnote>
  <w:footnote w:id="113">
    <w:p w14:paraId="66B318D6" w14:textId="77777777" w:rsidR="00AA60E4" w:rsidRPr="003A7646" w:rsidRDefault="00AA60E4">
      <w:pPr>
        <w:pStyle w:val="FootnoteText"/>
      </w:pPr>
      <w:r>
        <w:rPr>
          <w:rStyle w:val="FootnoteReference"/>
        </w:rPr>
        <w:footnoteRef/>
      </w:r>
      <w:r>
        <w:t xml:space="preserve"> </w:t>
      </w:r>
      <w:r>
        <w:rPr>
          <w:rFonts w:cs="Times New Roman"/>
          <w:color w:val="2B2E34"/>
          <w:szCs w:val="20"/>
        </w:rPr>
        <w:t xml:space="preserve">Smith, C.R. (2000). “Notes from the field: Gender issues in the management curriculum: A survey of student experiences.” </w:t>
      </w:r>
      <w:r>
        <w:rPr>
          <w:rFonts w:cs="Times New Roman"/>
          <w:i/>
          <w:color w:val="2B2E34"/>
          <w:szCs w:val="20"/>
        </w:rPr>
        <w:t>Gender, Work and Organization</w:t>
      </w:r>
      <w:r>
        <w:rPr>
          <w:rFonts w:cs="Times New Roman"/>
          <w:color w:val="2B2E34"/>
          <w:szCs w:val="20"/>
        </w:rPr>
        <w:t xml:space="preserve"> 7(3): 158:67.</w:t>
      </w:r>
    </w:p>
  </w:footnote>
  <w:footnote w:id="114">
    <w:p w14:paraId="7FCCB38A" w14:textId="77777777" w:rsidR="00AA60E4" w:rsidRDefault="00AA60E4">
      <w:pPr>
        <w:pStyle w:val="FootnoteText"/>
      </w:pPr>
      <w:r>
        <w:rPr>
          <w:rStyle w:val="FootnoteReference"/>
        </w:rPr>
        <w:footnoteRef/>
      </w:r>
      <w:r>
        <w:t xml:space="preserve"> </w:t>
      </w:r>
      <w:r>
        <w:rPr>
          <w:i/>
        </w:rPr>
        <w:t>Ibid.</w:t>
      </w:r>
      <w:r>
        <w:t>, p.163.</w:t>
      </w:r>
    </w:p>
  </w:footnote>
  <w:footnote w:id="115">
    <w:p w14:paraId="6B10A141" w14:textId="77777777" w:rsidR="00AA60E4" w:rsidRPr="004C60DE" w:rsidRDefault="00AA60E4">
      <w:pPr>
        <w:pStyle w:val="FootnoteText"/>
      </w:pPr>
      <w:r>
        <w:rPr>
          <w:rStyle w:val="FootnoteReference"/>
        </w:rPr>
        <w:footnoteRef/>
      </w:r>
      <w:r>
        <w:t xml:space="preserve"> </w:t>
      </w:r>
      <w:r w:rsidRPr="004907C3">
        <w:rPr>
          <w:rFonts w:cs="Times New Roman"/>
          <w:color w:val="2B2E34"/>
          <w:szCs w:val="20"/>
        </w:rPr>
        <w:t>Committee on Science, Engineering, and Public Policy (2007)</w:t>
      </w:r>
      <w:r>
        <w:rPr>
          <w:rFonts w:cs="Times New Roman"/>
          <w:color w:val="2B2E34"/>
          <w:szCs w:val="20"/>
        </w:rPr>
        <w:t xml:space="preserve">. </w:t>
      </w:r>
      <w:r>
        <w:rPr>
          <w:rFonts w:cs="Times New Roman"/>
          <w:i/>
          <w:color w:val="2B2E34"/>
          <w:szCs w:val="20"/>
        </w:rPr>
        <w:t>Beyond bias and barriers: Fulfilling the potential of women in academic science and engineering</w:t>
      </w:r>
      <w:r>
        <w:rPr>
          <w:rFonts w:cs="Times New Roman"/>
          <w:color w:val="2B2E34"/>
          <w:szCs w:val="20"/>
        </w:rPr>
        <w:t xml:space="preserve"> (National Academies Press: Washington, D.C); Lawal, I. (2007). “Women in science and engineering: Politics of gender,” </w:t>
      </w:r>
      <w:r>
        <w:rPr>
          <w:rFonts w:cs="Times New Roman"/>
          <w:i/>
          <w:color w:val="2B2E34"/>
          <w:szCs w:val="20"/>
        </w:rPr>
        <w:t>American Society for Engineering Education</w:t>
      </w:r>
      <w:r>
        <w:rPr>
          <w:rFonts w:cs="Times New Roman"/>
          <w:color w:val="2B2E34"/>
          <w:szCs w:val="20"/>
        </w:rPr>
        <w:t xml:space="preserve"> </w:t>
      </w:r>
      <w:r>
        <w:rPr>
          <w:rFonts w:cs="Times New Roman"/>
          <w:i/>
          <w:color w:val="2B2E34"/>
          <w:szCs w:val="20"/>
        </w:rPr>
        <w:t>Conference proceedings</w:t>
      </w:r>
      <w:r>
        <w:rPr>
          <w:rFonts w:cs="Times New Roman"/>
          <w:color w:val="2B2E34"/>
          <w:szCs w:val="20"/>
        </w:rPr>
        <w:t>.</w:t>
      </w:r>
    </w:p>
  </w:footnote>
  <w:footnote w:id="116">
    <w:p w14:paraId="780718A5" w14:textId="77777777" w:rsidR="00AA60E4" w:rsidRPr="004C60DE" w:rsidRDefault="00AA60E4">
      <w:pPr>
        <w:pStyle w:val="FootnoteText"/>
      </w:pPr>
      <w:r>
        <w:rPr>
          <w:rStyle w:val="FootnoteReference"/>
        </w:rPr>
        <w:footnoteRef/>
      </w:r>
      <w:r>
        <w:t xml:space="preserve"> </w:t>
      </w:r>
      <w:r>
        <w:rPr>
          <w:rFonts w:cs="Times New Roman"/>
          <w:color w:val="2B2E34"/>
          <w:szCs w:val="20"/>
        </w:rPr>
        <w:t xml:space="preserve">Mills, J. and Ayre, M. (2003). “Implementing an inclusive curriculum for women in engineering education,” </w:t>
      </w:r>
      <w:r>
        <w:rPr>
          <w:rFonts w:cs="Times New Roman"/>
          <w:i/>
          <w:color w:val="2B2E34"/>
          <w:szCs w:val="20"/>
        </w:rPr>
        <w:t>Journal of professional issues in engineering education and practice</w:t>
      </w:r>
      <w:r>
        <w:rPr>
          <w:rFonts w:cs="Times New Roman"/>
          <w:color w:val="2B2E34"/>
          <w:szCs w:val="20"/>
        </w:rPr>
        <w:t xml:space="preserve"> 129(4): 203-11.</w:t>
      </w:r>
    </w:p>
  </w:footnote>
  <w:footnote w:id="117">
    <w:p w14:paraId="434970A5" w14:textId="77777777" w:rsidR="00AA60E4" w:rsidRDefault="00AA60E4">
      <w:pPr>
        <w:pStyle w:val="FootnoteText"/>
      </w:pPr>
      <w:r>
        <w:rPr>
          <w:rStyle w:val="FootnoteReference"/>
        </w:rPr>
        <w:footnoteRef/>
      </w:r>
      <w:r>
        <w:t xml:space="preserve"> It is nevertheless recommended by the APA: </w:t>
      </w:r>
      <w:r w:rsidRPr="00304F9D">
        <w:t>http://www.apaonline.org/?page=diversity_resources</w:t>
      </w:r>
    </w:p>
  </w:footnote>
  <w:footnote w:id="118">
    <w:p w14:paraId="737349C6" w14:textId="363FF7F0" w:rsidR="00AA60E4" w:rsidRDefault="00AA60E4">
      <w:pPr>
        <w:pStyle w:val="FootnoteText"/>
      </w:pPr>
      <w:r>
        <w:rPr>
          <w:rStyle w:val="FootnoteReference"/>
        </w:rPr>
        <w:footnoteRef/>
      </w:r>
      <w:r>
        <w:t xml:space="preserve"> Thompson, M., Adleberg, T., Sims, S., and Nahmias, E. (2016). “Why do women leave philosophy?  Surveying students at the introductory level,” </w:t>
      </w:r>
      <w:r>
        <w:rPr>
          <w:i/>
        </w:rPr>
        <w:t>Philosopher’s Imprint</w:t>
      </w:r>
      <w:r>
        <w:t xml:space="preserve"> 16(6): 1-36, pp.15, 20.</w:t>
      </w:r>
    </w:p>
  </w:footnote>
  <w:footnote w:id="119">
    <w:p w14:paraId="04988450" w14:textId="77777777" w:rsidR="00AA60E4" w:rsidRPr="00BC2A89" w:rsidRDefault="00AA60E4" w:rsidP="00BC2A89">
      <w:pPr>
        <w:widowControl w:val="0"/>
        <w:autoSpaceDE w:val="0"/>
        <w:autoSpaceDN w:val="0"/>
        <w:adjustRightInd w:val="0"/>
        <w:rPr>
          <w:rFonts w:cs="Times New Roman"/>
          <w:szCs w:val="22"/>
        </w:rPr>
      </w:pPr>
      <w:r>
        <w:rPr>
          <w:rStyle w:val="FootnoteReference"/>
        </w:rPr>
        <w:footnoteRef/>
      </w:r>
      <w:r>
        <w:t xml:space="preserve"> </w:t>
      </w:r>
      <w:r>
        <w:rPr>
          <w:rFonts w:cs="Times New Roman"/>
          <w:szCs w:val="22"/>
        </w:rPr>
        <w:t>Lavy, V.</w:t>
      </w:r>
      <w:r w:rsidRPr="00BC2A89">
        <w:rPr>
          <w:rFonts w:cs="Times New Roman"/>
          <w:szCs w:val="22"/>
        </w:rPr>
        <w:t xml:space="preserve"> (2008). </w:t>
      </w:r>
      <w:r>
        <w:rPr>
          <w:rFonts w:cs="Times New Roman"/>
          <w:szCs w:val="22"/>
        </w:rPr>
        <w:t>“</w:t>
      </w:r>
      <w:r w:rsidRPr="00BC2A89">
        <w:rPr>
          <w:rFonts w:cs="Times New Roman"/>
          <w:szCs w:val="22"/>
        </w:rPr>
        <w:t>Do Gender Stereotypes Reduce Girls' Human Capital Outcomes?</w:t>
      </w:r>
    </w:p>
    <w:p w14:paraId="6A189E78" w14:textId="77777777" w:rsidR="00AA60E4" w:rsidRPr="00BC2A89" w:rsidRDefault="00AA60E4" w:rsidP="00BC2A89">
      <w:pPr>
        <w:widowControl w:val="0"/>
        <w:autoSpaceDE w:val="0"/>
        <w:autoSpaceDN w:val="0"/>
        <w:adjustRightInd w:val="0"/>
        <w:rPr>
          <w:rFonts w:cs="Times New Roman"/>
          <w:szCs w:val="22"/>
        </w:rPr>
      </w:pPr>
      <w:r w:rsidRPr="00BC2A89">
        <w:rPr>
          <w:rFonts w:cs="Times New Roman"/>
          <w:szCs w:val="22"/>
        </w:rPr>
        <w:t>Evid</w:t>
      </w:r>
      <w:r>
        <w:rPr>
          <w:rFonts w:cs="Times New Roman"/>
          <w:szCs w:val="22"/>
        </w:rPr>
        <w:t xml:space="preserve">ence from a natural experiment,” </w:t>
      </w:r>
      <w:r w:rsidRPr="00BC2A89">
        <w:rPr>
          <w:rFonts w:cs="Times New Roman"/>
          <w:i/>
          <w:szCs w:val="22"/>
        </w:rPr>
        <w:t>Journal of Public Economics</w:t>
      </w:r>
      <w:r>
        <w:rPr>
          <w:rFonts w:cs="Times New Roman"/>
          <w:szCs w:val="22"/>
        </w:rPr>
        <w:t xml:space="preserve">, 92(10): 2083-105; </w:t>
      </w:r>
      <w:r w:rsidRPr="00BC2A89">
        <w:rPr>
          <w:rFonts w:cs="Times New Roman"/>
          <w:szCs w:val="22"/>
        </w:rPr>
        <w:t>Breda, T. and Ly, S. T. (2012). “Do Professors Really Perpetuate the Gender</w:t>
      </w:r>
    </w:p>
    <w:p w14:paraId="4D843E48" w14:textId="77777777" w:rsidR="00AA60E4" w:rsidRPr="0009363E" w:rsidRDefault="00AA60E4" w:rsidP="0009363E">
      <w:pPr>
        <w:widowControl w:val="0"/>
        <w:autoSpaceDE w:val="0"/>
        <w:autoSpaceDN w:val="0"/>
        <w:adjustRightInd w:val="0"/>
        <w:rPr>
          <w:rFonts w:cs="Times New Roman"/>
          <w:szCs w:val="22"/>
        </w:rPr>
      </w:pPr>
      <w:r w:rsidRPr="00BC2A89">
        <w:rPr>
          <w:rFonts w:cs="Times New Roman"/>
          <w:szCs w:val="22"/>
        </w:rPr>
        <w:t>Gap i</w:t>
      </w:r>
      <w:r>
        <w:rPr>
          <w:rFonts w:cs="Times New Roman"/>
          <w:szCs w:val="22"/>
        </w:rPr>
        <w:t>n Science? Evidence from a natural experiment in a French higher e</w:t>
      </w:r>
      <w:r w:rsidRPr="0009363E">
        <w:rPr>
          <w:rFonts w:cs="Times New Roman"/>
          <w:szCs w:val="22"/>
        </w:rPr>
        <w:t>ducation</w:t>
      </w:r>
    </w:p>
    <w:p w14:paraId="65561E14" w14:textId="77777777" w:rsidR="00AA60E4" w:rsidRPr="00BC2A89" w:rsidRDefault="00AA60E4" w:rsidP="00BC2A89">
      <w:pPr>
        <w:widowControl w:val="0"/>
        <w:autoSpaceDE w:val="0"/>
        <w:autoSpaceDN w:val="0"/>
        <w:adjustRightInd w:val="0"/>
        <w:rPr>
          <w:rFonts w:cs="Times New Roman"/>
          <w:szCs w:val="22"/>
        </w:rPr>
      </w:pPr>
      <w:r>
        <w:rPr>
          <w:rFonts w:cs="Times New Roman"/>
          <w:szCs w:val="22"/>
        </w:rPr>
        <w:t>Institution,”</w:t>
      </w:r>
      <w:r w:rsidRPr="0009363E">
        <w:rPr>
          <w:rFonts w:cs="Times New Roman"/>
          <w:szCs w:val="22"/>
        </w:rPr>
        <w:t xml:space="preserve"> </w:t>
      </w:r>
      <w:r>
        <w:rPr>
          <w:rFonts w:cs="Times New Roman"/>
          <w:szCs w:val="22"/>
        </w:rPr>
        <w:t>CEE DP 138</w:t>
      </w:r>
      <w:r w:rsidRPr="0009363E">
        <w:rPr>
          <w:rFonts w:cs="Times New Roman"/>
          <w:szCs w:val="22"/>
        </w:rPr>
        <w:t>, Centre for the Economics</w:t>
      </w:r>
      <w:r>
        <w:rPr>
          <w:rFonts w:cs="Times New Roman"/>
          <w:szCs w:val="22"/>
        </w:rPr>
        <w:t xml:space="preserve"> of Education, London School of </w:t>
      </w:r>
      <w:r w:rsidRPr="0009363E">
        <w:rPr>
          <w:rFonts w:cs="Times New Roman"/>
          <w:szCs w:val="22"/>
        </w:rPr>
        <w:t>Economics</w:t>
      </w:r>
      <w:r>
        <w:rPr>
          <w:rFonts w:cs="Times New Roman"/>
          <w:szCs w:val="22"/>
        </w:rPr>
        <w:t xml:space="preserve"> (NJ1)</w:t>
      </w:r>
      <w:r w:rsidRPr="0009363E">
        <w:rPr>
          <w:rFonts w:cs="Times New Roman"/>
          <w:szCs w:val="22"/>
        </w:rPr>
        <w:t>.</w:t>
      </w:r>
    </w:p>
  </w:footnote>
  <w:footnote w:id="120">
    <w:p w14:paraId="21C3F3EB" w14:textId="77777777" w:rsidR="00AA60E4" w:rsidRDefault="00AA60E4">
      <w:pPr>
        <w:pStyle w:val="FootnoteText"/>
      </w:pPr>
      <w:r>
        <w:rPr>
          <w:rStyle w:val="FootnoteReference"/>
        </w:rPr>
        <w:footnoteRef/>
      </w:r>
      <w:r>
        <w:t xml:space="preserve"> Walker, M.U. (2005). “Diotima’s Ghost: The Uncertain Place of Feminist Philosophy in Professional Philosophy,” </w:t>
      </w:r>
      <w:r>
        <w:rPr>
          <w:i/>
        </w:rPr>
        <w:t>Hypatia</w:t>
      </w:r>
      <w:r>
        <w:t xml:space="preserve"> 20(3): 153-64, p.156.</w:t>
      </w:r>
    </w:p>
  </w:footnote>
  <w:footnote w:id="121">
    <w:p w14:paraId="75714733" w14:textId="77777777" w:rsidR="00AA60E4" w:rsidRDefault="00AA60E4">
      <w:pPr>
        <w:pStyle w:val="FootnoteText"/>
      </w:pPr>
      <w:r>
        <w:rPr>
          <w:rStyle w:val="FootnoteReference"/>
        </w:rPr>
        <w:footnoteRef/>
      </w:r>
      <w:r>
        <w:t xml:space="preserve"> Margolis, E and Romero, M. (1988). “‘The Department is Very Male, Very White, Very Old, and Very Conservative’: The functioning of the hidden curriculum in graduate sociology departments.</w:t>
      </w:r>
      <w:r>
        <w:rPr>
          <w:i/>
        </w:rPr>
        <w:t xml:space="preserve"> Harvard Educational Review</w:t>
      </w:r>
      <w:r>
        <w:t xml:space="preserve"> 68: 1-32. </w:t>
      </w:r>
    </w:p>
  </w:footnote>
  <w:footnote w:id="122">
    <w:p w14:paraId="15C55EA6" w14:textId="77777777" w:rsidR="00AA60E4" w:rsidRDefault="00AA60E4">
      <w:pPr>
        <w:pStyle w:val="FootnoteText"/>
      </w:pPr>
      <w:r>
        <w:rPr>
          <w:rStyle w:val="FootnoteReference"/>
        </w:rPr>
        <w:footnoteRef/>
      </w:r>
      <w:r>
        <w:t xml:space="preserve"> Seifried, T.J. (2000). “The Chilly Classroom Climate Revisited: What have we learned, Are male faculty the culpruits?” </w:t>
      </w:r>
      <w:r>
        <w:rPr>
          <w:i/>
        </w:rPr>
        <w:t>PAACE Journal of Lifelong Learning</w:t>
      </w:r>
      <w:r>
        <w:t xml:space="preserve"> 9: 25-37, p.30.</w:t>
      </w:r>
    </w:p>
  </w:footnote>
  <w:footnote w:id="123">
    <w:p w14:paraId="4F654383" w14:textId="77777777" w:rsidR="00AA60E4" w:rsidRPr="003F2F2D" w:rsidRDefault="00AA60E4" w:rsidP="00E34BC3">
      <w:pPr>
        <w:rPr>
          <w:szCs w:val="20"/>
        </w:rPr>
      </w:pPr>
      <w:r w:rsidRPr="003F2F2D">
        <w:rPr>
          <w:rStyle w:val="FootnoteReference"/>
        </w:rPr>
        <w:footnoteRef/>
      </w:r>
      <w:r w:rsidRPr="003F2F2D">
        <w:t xml:space="preserve"> </w:t>
      </w:r>
      <w:r w:rsidRPr="003F2F2D">
        <w:rPr>
          <w:szCs w:val="20"/>
        </w:rPr>
        <w:t>Pashler, H. and Wagenmakers, E.</w:t>
      </w:r>
      <w:r>
        <w:rPr>
          <w:szCs w:val="20"/>
        </w:rPr>
        <w:t xml:space="preserve"> </w:t>
      </w:r>
      <w:r w:rsidRPr="003F2F2D">
        <w:rPr>
          <w:szCs w:val="20"/>
        </w:rPr>
        <w:t>J. (2012). “Editors’ Introduction to the Special Section on Replicability in Psychological Science</w:t>
      </w:r>
      <w:r>
        <w:rPr>
          <w:szCs w:val="20"/>
        </w:rPr>
        <w:t>:</w:t>
      </w:r>
      <w:r w:rsidRPr="003F2F2D">
        <w:rPr>
          <w:szCs w:val="20"/>
        </w:rPr>
        <w:t xml:space="preserve"> A Crisis of Confidence?” </w:t>
      </w:r>
      <w:r w:rsidRPr="003F2F2D">
        <w:rPr>
          <w:i/>
          <w:szCs w:val="20"/>
        </w:rPr>
        <w:t>Perspectives on Psychological Science</w:t>
      </w:r>
      <w:r w:rsidRPr="003F2F2D">
        <w:rPr>
          <w:szCs w:val="20"/>
        </w:rPr>
        <w:t xml:space="preserve"> 7(6): 528-30.</w:t>
      </w:r>
      <w:r>
        <w:rPr>
          <w:szCs w:val="20"/>
        </w:rPr>
        <w:t xml:space="preserve">  See also: </w:t>
      </w:r>
      <w:r w:rsidRPr="00FF755C">
        <w:rPr>
          <w:szCs w:val="20"/>
        </w:rPr>
        <w:t>http://www.nature.com/news/psychologists-strike-a-blow-for-reproducibility-1.14232</w:t>
      </w:r>
      <w:r>
        <w:rPr>
          <w:szCs w:val="20"/>
        </w:rPr>
        <w:t xml:space="preserve">; </w:t>
      </w:r>
      <w:r w:rsidRPr="00FF755C">
        <w:rPr>
          <w:szCs w:val="20"/>
        </w:rPr>
        <w:t>https://osf.io/ezcuj/wiki/Frequently%20Asked%20Questions/</w:t>
      </w:r>
      <w:r>
        <w:rPr>
          <w:szCs w:val="20"/>
        </w:rPr>
        <w:t xml:space="preserve"> and </w:t>
      </w:r>
      <w:r w:rsidRPr="000B6560">
        <w:rPr>
          <w:szCs w:val="20"/>
        </w:rPr>
        <w:t>http://www.nature.com/news/first-results-from-psychology-s-largest-reproducibility-test-1.17433?r=1</w:t>
      </w:r>
    </w:p>
  </w:footnote>
  <w:footnote w:id="124">
    <w:p w14:paraId="6211F006" w14:textId="49320218" w:rsidR="00AA60E4" w:rsidRPr="004B1460" w:rsidRDefault="00AA60E4">
      <w:pPr>
        <w:pStyle w:val="FootnoteText"/>
        <w:rPr>
          <w:i/>
        </w:rPr>
      </w:pPr>
      <w:r>
        <w:rPr>
          <w:rStyle w:val="FootnoteReference"/>
        </w:rPr>
        <w:footnoteRef/>
      </w:r>
      <w:r>
        <w:t xml:space="preserve"> </w:t>
      </w:r>
      <w:r>
        <w:rPr>
          <w:i/>
        </w:rPr>
        <w:t>Ibid.</w:t>
      </w:r>
    </w:p>
  </w:footnote>
  <w:footnote w:id="125">
    <w:p w14:paraId="10223583" w14:textId="7C4B900B" w:rsidR="00AA60E4" w:rsidRPr="00A3373F" w:rsidRDefault="00AA60E4">
      <w:pPr>
        <w:pStyle w:val="FootnoteText"/>
        <w:rPr>
          <w:i/>
        </w:rPr>
      </w:pPr>
      <w:r>
        <w:rPr>
          <w:rStyle w:val="FootnoteReference"/>
        </w:rPr>
        <w:footnoteRef/>
      </w:r>
      <w:r>
        <w:t xml:space="preserve"> </w:t>
      </w:r>
      <w:r>
        <w:rPr>
          <w:i/>
        </w:rPr>
        <w:t>Ibid.</w:t>
      </w:r>
    </w:p>
  </w:footnote>
  <w:footnote w:id="126">
    <w:p w14:paraId="65A1A011" w14:textId="2A7AE1B4" w:rsidR="00AA60E4" w:rsidRDefault="00AA60E4">
      <w:pPr>
        <w:pStyle w:val="FootnoteText"/>
      </w:pPr>
      <w:r>
        <w:rPr>
          <w:rStyle w:val="FootnoteReference"/>
        </w:rPr>
        <w:footnoteRef/>
      </w:r>
      <w:r>
        <w:t xml:space="preserve"> Washington, N. and Kelly, D. (2016). "Who's Responsible for This?  Moral responsibility, externalism, and knowledge about implicit bias," in M. Brownstein and J. Saul (eds.) </w:t>
      </w:r>
      <w:r>
        <w:rPr>
          <w:i/>
        </w:rPr>
        <w:t>Implicit Bias and Philosophy, Volume 2: Moral responsibility, structural injustice, and ethics</w:t>
      </w:r>
      <w:r>
        <w:t xml:space="preserve"> (pp.11-36).  Oxford: Oxford University Press.</w:t>
      </w:r>
    </w:p>
  </w:footnote>
  <w:footnote w:id="127">
    <w:p w14:paraId="639BED8C" w14:textId="2ED573A4" w:rsidR="00AA60E4" w:rsidRPr="001F7BF5" w:rsidRDefault="00AA60E4">
      <w:pPr>
        <w:pStyle w:val="FootnoteText"/>
        <w:rPr>
          <w:i/>
        </w:rPr>
      </w:pPr>
      <w:r>
        <w:rPr>
          <w:rStyle w:val="FootnoteReference"/>
        </w:rPr>
        <w:footnoteRef/>
      </w:r>
      <w:r>
        <w:t xml:space="preserve"> </w:t>
      </w:r>
      <w:r>
        <w:rPr>
          <w:i/>
        </w:rPr>
        <w:t>Ibid.</w:t>
      </w:r>
    </w:p>
  </w:footnote>
  <w:footnote w:id="128">
    <w:p w14:paraId="6F60A053" w14:textId="77777777" w:rsidR="00AA60E4" w:rsidRDefault="00AA60E4" w:rsidP="009978F2">
      <w:pPr>
        <w:pStyle w:val="FootnoteText"/>
      </w:pPr>
      <w:r>
        <w:rPr>
          <w:rStyle w:val="FootnoteReference"/>
        </w:rPr>
        <w:footnoteRef/>
      </w:r>
      <w:r>
        <w:t xml:space="preserve"> S</w:t>
      </w:r>
      <w:r w:rsidRPr="00C21866">
        <w:t xml:space="preserve">ee </w:t>
      </w:r>
      <w:r>
        <w:rPr>
          <w:rFonts w:cs="Arial"/>
          <w:color w:val="1A1A1A"/>
        </w:rPr>
        <w:t>Darolia et al. (2016).  As</w:t>
      </w:r>
      <w:r w:rsidRPr="00C21866">
        <w:rPr>
          <w:rFonts w:cs="Arial"/>
          <w:color w:val="1A1A1A"/>
        </w:rPr>
        <w:t xml:space="preserve"> the study </w:t>
      </w:r>
      <w:r>
        <w:rPr>
          <w:rFonts w:cs="Arial"/>
          <w:color w:val="1A1A1A"/>
        </w:rPr>
        <w:t xml:space="preserve">was published </w:t>
      </w:r>
      <w:r w:rsidRPr="00C21866">
        <w:rPr>
          <w:rFonts w:cs="Arial"/>
          <w:color w:val="1A1A1A"/>
        </w:rPr>
        <w:t xml:space="preserve">online </w:t>
      </w:r>
      <w:r>
        <w:rPr>
          <w:rFonts w:cs="Arial"/>
          <w:color w:val="1A1A1A"/>
        </w:rPr>
        <w:t xml:space="preserve">only </w:t>
      </w:r>
      <w:r w:rsidRPr="00C21866">
        <w:rPr>
          <w:rFonts w:cs="Arial"/>
          <w:color w:val="1A1A1A"/>
        </w:rPr>
        <w:t>in late 2015</w:t>
      </w:r>
      <w:r>
        <w:rPr>
          <w:rFonts w:cs="Arial"/>
          <w:color w:val="1A1A1A"/>
        </w:rPr>
        <w:t xml:space="preserve"> this</w:t>
      </w:r>
      <w:r w:rsidRPr="00C21866">
        <w:rPr>
          <w:rFonts w:cs="Arial"/>
          <w:color w:val="1A1A1A"/>
        </w:rPr>
        <w:t xml:space="preserve"> might explain why Washington and Kelly </w:t>
      </w:r>
      <w:r>
        <w:rPr>
          <w:rFonts w:cs="Arial"/>
          <w:color w:val="1A1A1A"/>
        </w:rPr>
        <w:t>missed it</w:t>
      </w:r>
      <w:r w:rsidRPr="00C21866">
        <w:rPr>
          <w:rFonts w:cs="Arial"/>
          <w:color w:val="1A1A1A"/>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D5E3" w14:textId="77777777" w:rsidR="00AA60E4" w:rsidRDefault="00AA60E4" w:rsidP="000A08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C411A" w14:textId="77777777" w:rsidR="00AA60E4" w:rsidRDefault="00AA60E4" w:rsidP="00F819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C47D" w14:textId="77777777" w:rsidR="00AA60E4" w:rsidRDefault="00AA60E4" w:rsidP="000A08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ADD">
      <w:rPr>
        <w:rStyle w:val="PageNumber"/>
        <w:noProof/>
      </w:rPr>
      <w:t>26</w:t>
    </w:r>
    <w:r>
      <w:rPr>
        <w:rStyle w:val="PageNumber"/>
      </w:rPr>
      <w:fldChar w:fldCharType="end"/>
    </w:r>
  </w:p>
  <w:p w14:paraId="7590ECFD" w14:textId="77777777" w:rsidR="00AA60E4" w:rsidRDefault="00AA60E4" w:rsidP="00F819E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4520"/>
    <w:multiLevelType w:val="multilevel"/>
    <w:tmpl w:val="3FB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60ABB"/>
    <w:multiLevelType w:val="multilevel"/>
    <w:tmpl w:val="A1A6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40E75"/>
    <w:multiLevelType w:val="multilevel"/>
    <w:tmpl w:val="955E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711D9"/>
    <w:rsid w:val="0000034C"/>
    <w:rsid w:val="0000275E"/>
    <w:rsid w:val="00002F3F"/>
    <w:rsid w:val="00003560"/>
    <w:rsid w:val="00004920"/>
    <w:rsid w:val="00004A63"/>
    <w:rsid w:val="0000639D"/>
    <w:rsid w:val="000101AC"/>
    <w:rsid w:val="00010448"/>
    <w:rsid w:val="00014482"/>
    <w:rsid w:val="00014C0A"/>
    <w:rsid w:val="00016040"/>
    <w:rsid w:val="000165C2"/>
    <w:rsid w:val="00022468"/>
    <w:rsid w:val="00023899"/>
    <w:rsid w:val="00023BA7"/>
    <w:rsid w:val="00025248"/>
    <w:rsid w:val="000270BF"/>
    <w:rsid w:val="000279CE"/>
    <w:rsid w:val="00030FF6"/>
    <w:rsid w:val="00032101"/>
    <w:rsid w:val="0003327B"/>
    <w:rsid w:val="00033408"/>
    <w:rsid w:val="00033572"/>
    <w:rsid w:val="00033F48"/>
    <w:rsid w:val="00034054"/>
    <w:rsid w:val="000370E5"/>
    <w:rsid w:val="00040DA9"/>
    <w:rsid w:val="00042C00"/>
    <w:rsid w:val="00042C6D"/>
    <w:rsid w:val="00043095"/>
    <w:rsid w:val="00050061"/>
    <w:rsid w:val="000501F4"/>
    <w:rsid w:val="00050939"/>
    <w:rsid w:val="0005263D"/>
    <w:rsid w:val="0005338F"/>
    <w:rsid w:val="0005377F"/>
    <w:rsid w:val="00053E37"/>
    <w:rsid w:val="00056554"/>
    <w:rsid w:val="00056C9B"/>
    <w:rsid w:val="00057E43"/>
    <w:rsid w:val="00057ED5"/>
    <w:rsid w:val="00060A3A"/>
    <w:rsid w:val="00062097"/>
    <w:rsid w:val="000647FA"/>
    <w:rsid w:val="00065470"/>
    <w:rsid w:val="00066FFD"/>
    <w:rsid w:val="00067D62"/>
    <w:rsid w:val="00070C9F"/>
    <w:rsid w:val="00070D13"/>
    <w:rsid w:val="00073E45"/>
    <w:rsid w:val="0007469B"/>
    <w:rsid w:val="0007643B"/>
    <w:rsid w:val="000766AC"/>
    <w:rsid w:val="0007781C"/>
    <w:rsid w:val="00081FA5"/>
    <w:rsid w:val="000839FF"/>
    <w:rsid w:val="000846BB"/>
    <w:rsid w:val="00086ADA"/>
    <w:rsid w:val="00087B1E"/>
    <w:rsid w:val="000914F8"/>
    <w:rsid w:val="0009282E"/>
    <w:rsid w:val="0009330C"/>
    <w:rsid w:val="00093417"/>
    <w:rsid w:val="0009363E"/>
    <w:rsid w:val="00094F80"/>
    <w:rsid w:val="000952E5"/>
    <w:rsid w:val="00095DDC"/>
    <w:rsid w:val="000975D7"/>
    <w:rsid w:val="00097CD2"/>
    <w:rsid w:val="000A08B5"/>
    <w:rsid w:val="000A1347"/>
    <w:rsid w:val="000A497E"/>
    <w:rsid w:val="000A579F"/>
    <w:rsid w:val="000A5DFA"/>
    <w:rsid w:val="000A655F"/>
    <w:rsid w:val="000A6A6E"/>
    <w:rsid w:val="000B5101"/>
    <w:rsid w:val="000B6560"/>
    <w:rsid w:val="000B70C9"/>
    <w:rsid w:val="000B77A5"/>
    <w:rsid w:val="000B7B39"/>
    <w:rsid w:val="000C1B46"/>
    <w:rsid w:val="000C2ADB"/>
    <w:rsid w:val="000C5420"/>
    <w:rsid w:val="000C5E51"/>
    <w:rsid w:val="000C61D0"/>
    <w:rsid w:val="000C6492"/>
    <w:rsid w:val="000C6B43"/>
    <w:rsid w:val="000C71E8"/>
    <w:rsid w:val="000C78E0"/>
    <w:rsid w:val="000C7EA8"/>
    <w:rsid w:val="000D09B5"/>
    <w:rsid w:val="000D2807"/>
    <w:rsid w:val="000D2E3C"/>
    <w:rsid w:val="000D5C84"/>
    <w:rsid w:val="000E08D7"/>
    <w:rsid w:val="000E5DFA"/>
    <w:rsid w:val="000E62CA"/>
    <w:rsid w:val="000F1936"/>
    <w:rsid w:val="000F3B74"/>
    <w:rsid w:val="000F4384"/>
    <w:rsid w:val="000F6003"/>
    <w:rsid w:val="000F6D00"/>
    <w:rsid w:val="000F7B2D"/>
    <w:rsid w:val="00102BF8"/>
    <w:rsid w:val="00103122"/>
    <w:rsid w:val="001031D6"/>
    <w:rsid w:val="00103256"/>
    <w:rsid w:val="00105EE0"/>
    <w:rsid w:val="00107856"/>
    <w:rsid w:val="001107B5"/>
    <w:rsid w:val="0011201D"/>
    <w:rsid w:val="0011203D"/>
    <w:rsid w:val="00112A2E"/>
    <w:rsid w:val="001130B0"/>
    <w:rsid w:val="00113F2A"/>
    <w:rsid w:val="001150DE"/>
    <w:rsid w:val="00117807"/>
    <w:rsid w:val="00121354"/>
    <w:rsid w:val="00122BEE"/>
    <w:rsid w:val="00123728"/>
    <w:rsid w:val="00126418"/>
    <w:rsid w:val="001315BF"/>
    <w:rsid w:val="001328FE"/>
    <w:rsid w:val="001339DC"/>
    <w:rsid w:val="001357B1"/>
    <w:rsid w:val="001363BF"/>
    <w:rsid w:val="00136BC3"/>
    <w:rsid w:val="00137C01"/>
    <w:rsid w:val="001401A8"/>
    <w:rsid w:val="001435B1"/>
    <w:rsid w:val="00143977"/>
    <w:rsid w:val="00143F9F"/>
    <w:rsid w:val="001475C4"/>
    <w:rsid w:val="0014798B"/>
    <w:rsid w:val="00150695"/>
    <w:rsid w:val="00150BB1"/>
    <w:rsid w:val="001517C6"/>
    <w:rsid w:val="00151A6B"/>
    <w:rsid w:val="00151F05"/>
    <w:rsid w:val="00157BBB"/>
    <w:rsid w:val="00160805"/>
    <w:rsid w:val="00162E34"/>
    <w:rsid w:val="00164D69"/>
    <w:rsid w:val="00165E8E"/>
    <w:rsid w:val="001667C1"/>
    <w:rsid w:val="001673B5"/>
    <w:rsid w:val="0017107A"/>
    <w:rsid w:val="001711B7"/>
    <w:rsid w:val="00172628"/>
    <w:rsid w:val="00172E40"/>
    <w:rsid w:val="00175041"/>
    <w:rsid w:val="00176C29"/>
    <w:rsid w:val="0017742B"/>
    <w:rsid w:val="0017744A"/>
    <w:rsid w:val="001803CD"/>
    <w:rsid w:val="00182646"/>
    <w:rsid w:val="00187747"/>
    <w:rsid w:val="0019052A"/>
    <w:rsid w:val="00192330"/>
    <w:rsid w:val="00192819"/>
    <w:rsid w:val="00192A36"/>
    <w:rsid w:val="00192C81"/>
    <w:rsid w:val="00194492"/>
    <w:rsid w:val="001957EA"/>
    <w:rsid w:val="0019605F"/>
    <w:rsid w:val="0019661D"/>
    <w:rsid w:val="001A2068"/>
    <w:rsid w:val="001A2EE9"/>
    <w:rsid w:val="001B0342"/>
    <w:rsid w:val="001B3E4E"/>
    <w:rsid w:val="001B53E6"/>
    <w:rsid w:val="001B5DFD"/>
    <w:rsid w:val="001B633D"/>
    <w:rsid w:val="001B6853"/>
    <w:rsid w:val="001B7174"/>
    <w:rsid w:val="001B78E9"/>
    <w:rsid w:val="001C068C"/>
    <w:rsid w:val="001C17DA"/>
    <w:rsid w:val="001C1BB7"/>
    <w:rsid w:val="001C42BC"/>
    <w:rsid w:val="001C4588"/>
    <w:rsid w:val="001C4D3A"/>
    <w:rsid w:val="001C5395"/>
    <w:rsid w:val="001C5C85"/>
    <w:rsid w:val="001D126E"/>
    <w:rsid w:val="001D2C32"/>
    <w:rsid w:val="001D3949"/>
    <w:rsid w:val="001D407F"/>
    <w:rsid w:val="001D41A7"/>
    <w:rsid w:val="001D79A2"/>
    <w:rsid w:val="001E0C0D"/>
    <w:rsid w:val="001E118A"/>
    <w:rsid w:val="001E2B17"/>
    <w:rsid w:val="001E2B8D"/>
    <w:rsid w:val="001E3BDB"/>
    <w:rsid w:val="001E3EAD"/>
    <w:rsid w:val="001E4768"/>
    <w:rsid w:val="001E4A11"/>
    <w:rsid w:val="001E628F"/>
    <w:rsid w:val="001F133D"/>
    <w:rsid w:val="001F140E"/>
    <w:rsid w:val="001F195F"/>
    <w:rsid w:val="001F3E04"/>
    <w:rsid w:val="001F7982"/>
    <w:rsid w:val="001F79DE"/>
    <w:rsid w:val="001F7BF5"/>
    <w:rsid w:val="0020016B"/>
    <w:rsid w:val="00201986"/>
    <w:rsid w:val="00206D2A"/>
    <w:rsid w:val="00207F11"/>
    <w:rsid w:val="002152A4"/>
    <w:rsid w:val="002219D9"/>
    <w:rsid w:val="00221BB3"/>
    <w:rsid w:val="002235D0"/>
    <w:rsid w:val="00224028"/>
    <w:rsid w:val="002243F6"/>
    <w:rsid w:val="00225F30"/>
    <w:rsid w:val="00227C4D"/>
    <w:rsid w:val="0023150D"/>
    <w:rsid w:val="00233B83"/>
    <w:rsid w:val="00236327"/>
    <w:rsid w:val="00236A89"/>
    <w:rsid w:val="002373CE"/>
    <w:rsid w:val="002374E0"/>
    <w:rsid w:val="00237917"/>
    <w:rsid w:val="00237BA1"/>
    <w:rsid w:val="002400A1"/>
    <w:rsid w:val="00241822"/>
    <w:rsid w:val="00241DC7"/>
    <w:rsid w:val="00243BB9"/>
    <w:rsid w:val="00243FAA"/>
    <w:rsid w:val="00244BD3"/>
    <w:rsid w:val="00246D15"/>
    <w:rsid w:val="00247D85"/>
    <w:rsid w:val="00247DDA"/>
    <w:rsid w:val="002531AB"/>
    <w:rsid w:val="0025335C"/>
    <w:rsid w:val="0025356A"/>
    <w:rsid w:val="00256AC6"/>
    <w:rsid w:val="00257B11"/>
    <w:rsid w:val="00261055"/>
    <w:rsid w:val="002629D1"/>
    <w:rsid w:val="00262C5E"/>
    <w:rsid w:val="002640E7"/>
    <w:rsid w:val="00264B7C"/>
    <w:rsid w:val="00270468"/>
    <w:rsid w:val="00270F3F"/>
    <w:rsid w:val="00271020"/>
    <w:rsid w:val="002710CE"/>
    <w:rsid w:val="0027284D"/>
    <w:rsid w:val="002754F2"/>
    <w:rsid w:val="00275B23"/>
    <w:rsid w:val="00276848"/>
    <w:rsid w:val="00276872"/>
    <w:rsid w:val="0027785E"/>
    <w:rsid w:val="0028086D"/>
    <w:rsid w:val="00281917"/>
    <w:rsid w:val="002841ED"/>
    <w:rsid w:val="00284CC2"/>
    <w:rsid w:val="00286ED7"/>
    <w:rsid w:val="00286FEB"/>
    <w:rsid w:val="0029096D"/>
    <w:rsid w:val="00290F26"/>
    <w:rsid w:val="002913CC"/>
    <w:rsid w:val="00293E14"/>
    <w:rsid w:val="00295D01"/>
    <w:rsid w:val="002A036D"/>
    <w:rsid w:val="002A0CE1"/>
    <w:rsid w:val="002A5704"/>
    <w:rsid w:val="002A5D73"/>
    <w:rsid w:val="002A6159"/>
    <w:rsid w:val="002B0C65"/>
    <w:rsid w:val="002B1339"/>
    <w:rsid w:val="002B49A3"/>
    <w:rsid w:val="002B5966"/>
    <w:rsid w:val="002B5BB5"/>
    <w:rsid w:val="002B7F4C"/>
    <w:rsid w:val="002C2FEC"/>
    <w:rsid w:val="002C4F75"/>
    <w:rsid w:val="002D00C3"/>
    <w:rsid w:val="002D1C76"/>
    <w:rsid w:val="002D25C7"/>
    <w:rsid w:val="002D428D"/>
    <w:rsid w:val="002E053C"/>
    <w:rsid w:val="002E168E"/>
    <w:rsid w:val="002E1E68"/>
    <w:rsid w:val="002E20D1"/>
    <w:rsid w:val="002E2D17"/>
    <w:rsid w:val="002E3F9F"/>
    <w:rsid w:val="002E416D"/>
    <w:rsid w:val="002E4543"/>
    <w:rsid w:val="002E62A9"/>
    <w:rsid w:val="002F2399"/>
    <w:rsid w:val="002F30C0"/>
    <w:rsid w:val="002F336E"/>
    <w:rsid w:val="002F4874"/>
    <w:rsid w:val="002F7706"/>
    <w:rsid w:val="00301A93"/>
    <w:rsid w:val="00303056"/>
    <w:rsid w:val="00304F9D"/>
    <w:rsid w:val="00306918"/>
    <w:rsid w:val="003071A3"/>
    <w:rsid w:val="00310823"/>
    <w:rsid w:val="00311BDF"/>
    <w:rsid w:val="00314ED8"/>
    <w:rsid w:val="00315F56"/>
    <w:rsid w:val="003164DB"/>
    <w:rsid w:val="00317C3F"/>
    <w:rsid w:val="00317CDE"/>
    <w:rsid w:val="0032129C"/>
    <w:rsid w:val="00321581"/>
    <w:rsid w:val="00321B72"/>
    <w:rsid w:val="00322DB8"/>
    <w:rsid w:val="0032471D"/>
    <w:rsid w:val="00324977"/>
    <w:rsid w:val="003256B5"/>
    <w:rsid w:val="00330B4F"/>
    <w:rsid w:val="00331E0D"/>
    <w:rsid w:val="0033237C"/>
    <w:rsid w:val="00332A9B"/>
    <w:rsid w:val="00333BEC"/>
    <w:rsid w:val="00334855"/>
    <w:rsid w:val="0033520D"/>
    <w:rsid w:val="00335429"/>
    <w:rsid w:val="00341A2E"/>
    <w:rsid w:val="003428FA"/>
    <w:rsid w:val="00342CFE"/>
    <w:rsid w:val="003430C3"/>
    <w:rsid w:val="00344881"/>
    <w:rsid w:val="00344C23"/>
    <w:rsid w:val="00350F51"/>
    <w:rsid w:val="003521E2"/>
    <w:rsid w:val="00352859"/>
    <w:rsid w:val="00353374"/>
    <w:rsid w:val="0035375C"/>
    <w:rsid w:val="00355334"/>
    <w:rsid w:val="00355A51"/>
    <w:rsid w:val="00356080"/>
    <w:rsid w:val="00357DCB"/>
    <w:rsid w:val="003601DE"/>
    <w:rsid w:val="003613F4"/>
    <w:rsid w:val="00361DA9"/>
    <w:rsid w:val="0036224A"/>
    <w:rsid w:val="0036386A"/>
    <w:rsid w:val="00364A52"/>
    <w:rsid w:val="0037486E"/>
    <w:rsid w:val="00374C28"/>
    <w:rsid w:val="0037560C"/>
    <w:rsid w:val="00376308"/>
    <w:rsid w:val="00376516"/>
    <w:rsid w:val="00377DC8"/>
    <w:rsid w:val="00380E10"/>
    <w:rsid w:val="003840A1"/>
    <w:rsid w:val="00384C4C"/>
    <w:rsid w:val="0038674E"/>
    <w:rsid w:val="00386B51"/>
    <w:rsid w:val="00386C9A"/>
    <w:rsid w:val="0038706F"/>
    <w:rsid w:val="00387DB4"/>
    <w:rsid w:val="00391124"/>
    <w:rsid w:val="0039247E"/>
    <w:rsid w:val="0039296B"/>
    <w:rsid w:val="00394C9F"/>
    <w:rsid w:val="003A390C"/>
    <w:rsid w:val="003A3ED8"/>
    <w:rsid w:val="003A7646"/>
    <w:rsid w:val="003B0754"/>
    <w:rsid w:val="003B520C"/>
    <w:rsid w:val="003B5ED8"/>
    <w:rsid w:val="003B713C"/>
    <w:rsid w:val="003C095D"/>
    <w:rsid w:val="003C0D15"/>
    <w:rsid w:val="003C19F1"/>
    <w:rsid w:val="003C2D34"/>
    <w:rsid w:val="003C52A4"/>
    <w:rsid w:val="003D7C0C"/>
    <w:rsid w:val="003E0BC4"/>
    <w:rsid w:val="003E3680"/>
    <w:rsid w:val="003E6D05"/>
    <w:rsid w:val="003F2F2D"/>
    <w:rsid w:val="003F3D69"/>
    <w:rsid w:val="003F450B"/>
    <w:rsid w:val="003F45B9"/>
    <w:rsid w:val="003F4BF9"/>
    <w:rsid w:val="003F4E72"/>
    <w:rsid w:val="00400193"/>
    <w:rsid w:val="00404750"/>
    <w:rsid w:val="00406A4E"/>
    <w:rsid w:val="00413AC9"/>
    <w:rsid w:val="00413FB5"/>
    <w:rsid w:val="0041401D"/>
    <w:rsid w:val="004142F8"/>
    <w:rsid w:val="00414E44"/>
    <w:rsid w:val="00423827"/>
    <w:rsid w:val="00426E42"/>
    <w:rsid w:val="004276B6"/>
    <w:rsid w:val="00427F4B"/>
    <w:rsid w:val="00431C4F"/>
    <w:rsid w:val="004322C8"/>
    <w:rsid w:val="00434827"/>
    <w:rsid w:val="00434F76"/>
    <w:rsid w:val="0043796E"/>
    <w:rsid w:val="00440D06"/>
    <w:rsid w:val="00441C07"/>
    <w:rsid w:val="00442544"/>
    <w:rsid w:val="0044552B"/>
    <w:rsid w:val="004477F2"/>
    <w:rsid w:val="00451013"/>
    <w:rsid w:val="00453FA8"/>
    <w:rsid w:val="00454292"/>
    <w:rsid w:val="004556A9"/>
    <w:rsid w:val="00456BB1"/>
    <w:rsid w:val="00463B30"/>
    <w:rsid w:val="00466BED"/>
    <w:rsid w:val="00467735"/>
    <w:rsid w:val="004715F3"/>
    <w:rsid w:val="00471FFE"/>
    <w:rsid w:val="00472171"/>
    <w:rsid w:val="004740EB"/>
    <w:rsid w:val="004752E1"/>
    <w:rsid w:val="00475571"/>
    <w:rsid w:val="0047597C"/>
    <w:rsid w:val="00476F09"/>
    <w:rsid w:val="00481495"/>
    <w:rsid w:val="00482269"/>
    <w:rsid w:val="00483EE9"/>
    <w:rsid w:val="00485C02"/>
    <w:rsid w:val="00487397"/>
    <w:rsid w:val="00487411"/>
    <w:rsid w:val="00487E4B"/>
    <w:rsid w:val="004904BC"/>
    <w:rsid w:val="004907C3"/>
    <w:rsid w:val="00491342"/>
    <w:rsid w:val="00494161"/>
    <w:rsid w:val="00494927"/>
    <w:rsid w:val="00494DDB"/>
    <w:rsid w:val="00495B89"/>
    <w:rsid w:val="00496377"/>
    <w:rsid w:val="00496A0D"/>
    <w:rsid w:val="004A5F16"/>
    <w:rsid w:val="004A76E1"/>
    <w:rsid w:val="004B0981"/>
    <w:rsid w:val="004B1460"/>
    <w:rsid w:val="004B15B6"/>
    <w:rsid w:val="004B2C9F"/>
    <w:rsid w:val="004B3703"/>
    <w:rsid w:val="004B4C2A"/>
    <w:rsid w:val="004B6CA7"/>
    <w:rsid w:val="004C3C4D"/>
    <w:rsid w:val="004C466D"/>
    <w:rsid w:val="004C4BFF"/>
    <w:rsid w:val="004C5514"/>
    <w:rsid w:val="004C5A62"/>
    <w:rsid w:val="004C60DE"/>
    <w:rsid w:val="004C6B5F"/>
    <w:rsid w:val="004C7E88"/>
    <w:rsid w:val="004D137B"/>
    <w:rsid w:val="004D408E"/>
    <w:rsid w:val="004D415E"/>
    <w:rsid w:val="004D4310"/>
    <w:rsid w:val="004D5931"/>
    <w:rsid w:val="004D5FC8"/>
    <w:rsid w:val="004D68C8"/>
    <w:rsid w:val="004D6A35"/>
    <w:rsid w:val="004E3E03"/>
    <w:rsid w:val="004E4107"/>
    <w:rsid w:val="004E5BC8"/>
    <w:rsid w:val="004E5E84"/>
    <w:rsid w:val="004E7F98"/>
    <w:rsid w:val="004F01B1"/>
    <w:rsid w:val="004F0FA2"/>
    <w:rsid w:val="004F240D"/>
    <w:rsid w:val="004F30C3"/>
    <w:rsid w:val="00506A23"/>
    <w:rsid w:val="00506EAA"/>
    <w:rsid w:val="005102CB"/>
    <w:rsid w:val="00510728"/>
    <w:rsid w:val="0051367E"/>
    <w:rsid w:val="00514A8D"/>
    <w:rsid w:val="00515351"/>
    <w:rsid w:val="00515707"/>
    <w:rsid w:val="0051771F"/>
    <w:rsid w:val="00517C6A"/>
    <w:rsid w:val="0052064F"/>
    <w:rsid w:val="00522C33"/>
    <w:rsid w:val="00523B41"/>
    <w:rsid w:val="0052615D"/>
    <w:rsid w:val="00526E3D"/>
    <w:rsid w:val="0053071E"/>
    <w:rsid w:val="005313AB"/>
    <w:rsid w:val="00531951"/>
    <w:rsid w:val="0053456F"/>
    <w:rsid w:val="00534982"/>
    <w:rsid w:val="005417FD"/>
    <w:rsid w:val="0054254E"/>
    <w:rsid w:val="0054271A"/>
    <w:rsid w:val="00545332"/>
    <w:rsid w:val="00546730"/>
    <w:rsid w:val="00550E54"/>
    <w:rsid w:val="00551C6D"/>
    <w:rsid w:val="005534FB"/>
    <w:rsid w:val="00554167"/>
    <w:rsid w:val="00554E29"/>
    <w:rsid w:val="00555101"/>
    <w:rsid w:val="0055713C"/>
    <w:rsid w:val="005627EA"/>
    <w:rsid w:val="00563C1E"/>
    <w:rsid w:val="00565B44"/>
    <w:rsid w:val="00565EFE"/>
    <w:rsid w:val="00566078"/>
    <w:rsid w:val="005676AF"/>
    <w:rsid w:val="00567C93"/>
    <w:rsid w:val="00570575"/>
    <w:rsid w:val="00571385"/>
    <w:rsid w:val="00583D6B"/>
    <w:rsid w:val="00590681"/>
    <w:rsid w:val="00590B57"/>
    <w:rsid w:val="005912DF"/>
    <w:rsid w:val="0059553A"/>
    <w:rsid w:val="00595B0C"/>
    <w:rsid w:val="00595BE8"/>
    <w:rsid w:val="00597DE1"/>
    <w:rsid w:val="005A0D8E"/>
    <w:rsid w:val="005A2BD9"/>
    <w:rsid w:val="005A50BA"/>
    <w:rsid w:val="005A57AF"/>
    <w:rsid w:val="005A7DC0"/>
    <w:rsid w:val="005B150A"/>
    <w:rsid w:val="005B1DD3"/>
    <w:rsid w:val="005B20AA"/>
    <w:rsid w:val="005B5F12"/>
    <w:rsid w:val="005B70CE"/>
    <w:rsid w:val="005C0D65"/>
    <w:rsid w:val="005C3661"/>
    <w:rsid w:val="005D0DB9"/>
    <w:rsid w:val="005D16BD"/>
    <w:rsid w:val="005D2CCA"/>
    <w:rsid w:val="005D3193"/>
    <w:rsid w:val="005D470D"/>
    <w:rsid w:val="005D4832"/>
    <w:rsid w:val="005D5858"/>
    <w:rsid w:val="005D59EA"/>
    <w:rsid w:val="005E3995"/>
    <w:rsid w:val="005E39B2"/>
    <w:rsid w:val="005E3A05"/>
    <w:rsid w:val="005E569C"/>
    <w:rsid w:val="005E5BCE"/>
    <w:rsid w:val="005F0BB0"/>
    <w:rsid w:val="005F1225"/>
    <w:rsid w:val="005F28ED"/>
    <w:rsid w:val="005F3F64"/>
    <w:rsid w:val="0060045E"/>
    <w:rsid w:val="00600E41"/>
    <w:rsid w:val="0060294C"/>
    <w:rsid w:val="0060329F"/>
    <w:rsid w:val="00605627"/>
    <w:rsid w:val="006079DF"/>
    <w:rsid w:val="00607BF1"/>
    <w:rsid w:val="00611152"/>
    <w:rsid w:val="0061128A"/>
    <w:rsid w:val="006140E5"/>
    <w:rsid w:val="00615AF5"/>
    <w:rsid w:val="006172B5"/>
    <w:rsid w:val="00620D0B"/>
    <w:rsid w:val="00621EC1"/>
    <w:rsid w:val="00622264"/>
    <w:rsid w:val="006228A6"/>
    <w:rsid w:val="006229AB"/>
    <w:rsid w:val="00622BD9"/>
    <w:rsid w:val="00623A28"/>
    <w:rsid w:val="00625252"/>
    <w:rsid w:val="00625758"/>
    <w:rsid w:val="00625F92"/>
    <w:rsid w:val="006358AC"/>
    <w:rsid w:val="00635F2C"/>
    <w:rsid w:val="0063782C"/>
    <w:rsid w:val="006406AD"/>
    <w:rsid w:val="006421A9"/>
    <w:rsid w:val="006436C6"/>
    <w:rsid w:val="006447AE"/>
    <w:rsid w:val="00645A3D"/>
    <w:rsid w:val="0064620C"/>
    <w:rsid w:val="00651D6D"/>
    <w:rsid w:val="006539A5"/>
    <w:rsid w:val="0065434D"/>
    <w:rsid w:val="00654461"/>
    <w:rsid w:val="0065457C"/>
    <w:rsid w:val="00654900"/>
    <w:rsid w:val="00656DEF"/>
    <w:rsid w:val="00660CBA"/>
    <w:rsid w:val="0066195C"/>
    <w:rsid w:val="00663013"/>
    <w:rsid w:val="00664B4C"/>
    <w:rsid w:val="00664F37"/>
    <w:rsid w:val="006664B2"/>
    <w:rsid w:val="006664D0"/>
    <w:rsid w:val="00667A52"/>
    <w:rsid w:val="0067299E"/>
    <w:rsid w:val="00674C2F"/>
    <w:rsid w:val="00680846"/>
    <w:rsid w:val="00681A95"/>
    <w:rsid w:val="00682FF8"/>
    <w:rsid w:val="00683058"/>
    <w:rsid w:val="0068347F"/>
    <w:rsid w:val="00686DE4"/>
    <w:rsid w:val="00692ACE"/>
    <w:rsid w:val="006931E6"/>
    <w:rsid w:val="006A0D32"/>
    <w:rsid w:val="006A1C74"/>
    <w:rsid w:val="006A2359"/>
    <w:rsid w:val="006A35DE"/>
    <w:rsid w:val="006A5C7F"/>
    <w:rsid w:val="006A6462"/>
    <w:rsid w:val="006A7CAE"/>
    <w:rsid w:val="006B3D4F"/>
    <w:rsid w:val="006C0081"/>
    <w:rsid w:val="006C0C29"/>
    <w:rsid w:val="006C16E7"/>
    <w:rsid w:val="006C1701"/>
    <w:rsid w:val="006C1E71"/>
    <w:rsid w:val="006C4FE5"/>
    <w:rsid w:val="006C736E"/>
    <w:rsid w:val="006D2DE5"/>
    <w:rsid w:val="006D5214"/>
    <w:rsid w:val="006E51ED"/>
    <w:rsid w:val="006E5F93"/>
    <w:rsid w:val="006F0616"/>
    <w:rsid w:val="006F1BC0"/>
    <w:rsid w:val="006F3928"/>
    <w:rsid w:val="006F79E6"/>
    <w:rsid w:val="007016A8"/>
    <w:rsid w:val="00703CD3"/>
    <w:rsid w:val="007057F3"/>
    <w:rsid w:val="00707A6D"/>
    <w:rsid w:val="0071032C"/>
    <w:rsid w:val="00711F4E"/>
    <w:rsid w:val="0071200B"/>
    <w:rsid w:val="0071372A"/>
    <w:rsid w:val="00713764"/>
    <w:rsid w:val="00713B18"/>
    <w:rsid w:val="00725B3E"/>
    <w:rsid w:val="0073580B"/>
    <w:rsid w:val="00735CEA"/>
    <w:rsid w:val="007361BF"/>
    <w:rsid w:val="0074107B"/>
    <w:rsid w:val="007422CC"/>
    <w:rsid w:val="0074398D"/>
    <w:rsid w:val="0074600D"/>
    <w:rsid w:val="00747668"/>
    <w:rsid w:val="007513EC"/>
    <w:rsid w:val="00752B5F"/>
    <w:rsid w:val="00756122"/>
    <w:rsid w:val="007576E4"/>
    <w:rsid w:val="0076274D"/>
    <w:rsid w:val="00762C4C"/>
    <w:rsid w:val="00762E43"/>
    <w:rsid w:val="00764ABB"/>
    <w:rsid w:val="007666C1"/>
    <w:rsid w:val="00770638"/>
    <w:rsid w:val="00772376"/>
    <w:rsid w:val="00772642"/>
    <w:rsid w:val="00774872"/>
    <w:rsid w:val="0077530E"/>
    <w:rsid w:val="0078007D"/>
    <w:rsid w:val="007806A3"/>
    <w:rsid w:val="00780FC6"/>
    <w:rsid w:val="00782242"/>
    <w:rsid w:val="0078375C"/>
    <w:rsid w:val="00786BB3"/>
    <w:rsid w:val="00791261"/>
    <w:rsid w:val="00793E03"/>
    <w:rsid w:val="00795693"/>
    <w:rsid w:val="00797216"/>
    <w:rsid w:val="00797251"/>
    <w:rsid w:val="007A00AC"/>
    <w:rsid w:val="007A1CC1"/>
    <w:rsid w:val="007A1E0A"/>
    <w:rsid w:val="007A45B7"/>
    <w:rsid w:val="007A632A"/>
    <w:rsid w:val="007A6C91"/>
    <w:rsid w:val="007A7EBE"/>
    <w:rsid w:val="007A7F92"/>
    <w:rsid w:val="007B3ABB"/>
    <w:rsid w:val="007B41FF"/>
    <w:rsid w:val="007B4AD9"/>
    <w:rsid w:val="007B58CE"/>
    <w:rsid w:val="007C07A9"/>
    <w:rsid w:val="007C6C8A"/>
    <w:rsid w:val="007D041C"/>
    <w:rsid w:val="007D0EA5"/>
    <w:rsid w:val="007D1542"/>
    <w:rsid w:val="007D25FD"/>
    <w:rsid w:val="007D2C21"/>
    <w:rsid w:val="007D30C5"/>
    <w:rsid w:val="007D3507"/>
    <w:rsid w:val="007D3C2E"/>
    <w:rsid w:val="007D4AA6"/>
    <w:rsid w:val="007D5646"/>
    <w:rsid w:val="007D7D29"/>
    <w:rsid w:val="007E06C0"/>
    <w:rsid w:val="007E1247"/>
    <w:rsid w:val="007E1287"/>
    <w:rsid w:val="007E1BDA"/>
    <w:rsid w:val="007E43B3"/>
    <w:rsid w:val="007E4837"/>
    <w:rsid w:val="007E57CE"/>
    <w:rsid w:val="007E5DAB"/>
    <w:rsid w:val="007E64A6"/>
    <w:rsid w:val="007E6B95"/>
    <w:rsid w:val="007E7752"/>
    <w:rsid w:val="007E7FB2"/>
    <w:rsid w:val="007F0EA6"/>
    <w:rsid w:val="007F175A"/>
    <w:rsid w:val="007F3E51"/>
    <w:rsid w:val="007F53E6"/>
    <w:rsid w:val="007F564D"/>
    <w:rsid w:val="007F6007"/>
    <w:rsid w:val="00800309"/>
    <w:rsid w:val="008008D1"/>
    <w:rsid w:val="00800AEF"/>
    <w:rsid w:val="00801BDD"/>
    <w:rsid w:val="0080521D"/>
    <w:rsid w:val="008054BD"/>
    <w:rsid w:val="00810C96"/>
    <w:rsid w:val="0081111B"/>
    <w:rsid w:val="008120A9"/>
    <w:rsid w:val="00814901"/>
    <w:rsid w:val="00815DBD"/>
    <w:rsid w:val="008257BB"/>
    <w:rsid w:val="00826CBB"/>
    <w:rsid w:val="0083037C"/>
    <w:rsid w:val="008326F0"/>
    <w:rsid w:val="008365F0"/>
    <w:rsid w:val="008371ED"/>
    <w:rsid w:val="00842588"/>
    <w:rsid w:val="00842AB9"/>
    <w:rsid w:val="00843450"/>
    <w:rsid w:val="008522DD"/>
    <w:rsid w:val="00854271"/>
    <w:rsid w:val="008564A4"/>
    <w:rsid w:val="00860309"/>
    <w:rsid w:val="00862DC6"/>
    <w:rsid w:val="00863532"/>
    <w:rsid w:val="008647BB"/>
    <w:rsid w:val="0086585B"/>
    <w:rsid w:val="00865B00"/>
    <w:rsid w:val="00867D52"/>
    <w:rsid w:val="008711D9"/>
    <w:rsid w:val="0087155D"/>
    <w:rsid w:val="0087222F"/>
    <w:rsid w:val="00877DF7"/>
    <w:rsid w:val="008815B6"/>
    <w:rsid w:val="00882DA9"/>
    <w:rsid w:val="00884320"/>
    <w:rsid w:val="00884730"/>
    <w:rsid w:val="0088522C"/>
    <w:rsid w:val="0088534D"/>
    <w:rsid w:val="00886505"/>
    <w:rsid w:val="0089006C"/>
    <w:rsid w:val="00890983"/>
    <w:rsid w:val="00892BB6"/>
    <w:rsid w:val="00894C65"/>
    <w:rsid w:val="008973D7"/>
    <w:rsid w:val="008A3B3A"/>
    <w:rsid w:val="008A5AE4"/>
    <w:rsid w:val="008A6223"/>
    <w:rsid w:val="008A6B1D"/>
    <w:rsid w:val="008B0107"/>
    <w:rsid w:val="008B1051"/>
    <w:rsid w:val="008B3C01"/>
    <w:rsid w:val="008B4066"/>
    <w:rsid w:val="008B485D"/>
    <w:rsid w:val="008B5267"/>
    <w:rsid w:val="008B56B2"/>
    <w:rsid w:val="008B57A3"/>
    <w:rsid w:val="008B6651"/>
    <w:rsid w:val="008B7568"/>
    <w:rsid w:val="008B7A29"/>
    <w:rsid w:val="008C0E5C"/>
    <w:rsid w:val="008C1D0B"/>
    <w:rsid w:val="008C2173"/>
    <w:rsid w:val="008C3159"/>
    <w:rsid w:val="008C3B08"/>
    <w:rsid w:val="008C49C1"/>
    <w:rsid w:val="008C6E57"/>
    <w:rsid w:val="008C7A35"/>
    <w:rsid w:val="008C7BDC"/>
    <w:rsid w:val="008D035C"/>
    <w:rsid w:val="008D3721"/>
    <w:rsid w:val="008D41AC"/>
    <w:rsid w:val="008D56F3"/>
    <w:rsid w:val="008D66E3"/>
    <w:rsid w:val="008E0659"/>
    <w:rsid w:val="008E2917"/>
    <w:rsid w:val="008E34A7"/>
    <w:rsid w:val="008E43CC"/>
    <w:rsid w:val="008E66AB"/>
    <w:rsid w:val="008F1778"/>
    <w:rsid w:val="008F1FC6"/>
    <w:rsid w:val="008F2DC4"/>
    <w:rsid w:val="008F32F6"/>
    <w:rsid w:val="008F3D5D"/>
    <w:rsid w:val="008F4C42"/>
    <w:rsid w:val="008F4D96"/>
    <w:rsid w:val="008F5280"/>
    <w:rsid w:val="008F5720"/>
    <w:rsid w:val="008F5A0A"/>
    <w:rsid w:val="00900BCC"/>
    <w:rsid w:val="00901870"/>
    <w:rsid w:val="00901890"/>
    <w:rsid w:val="00902FDF"/>
    <w:rsid w:val="009064C5"/>
    <w:rsid w:val="0091028E"/>
    <w:rsid w:val="00912E19"/>
    <w:rsid w:val="0091654E"/>
    <w:rsid w:val="0092171D"/>
    <w:rsid w:val="00922450"/>
    <w:rsid w:val="009226B0"/>
    <w:rsid w:val="009228E0"/>
    <w:rsid w:val="00925CEF"/>
    <w:rsid w:val="0092657E"/>
    <w:rsid w:val="0092680E"/>
    <w:rsid w:val="00926A7F"/>
    <w:rsid w:val="0093246F"/>
    <w:rsid w:val="00933F87"/>
    <w:rsid w:val="009357E5"/>
    <w:rsid w:val="009358A8"/>
    <w:rsid w:val="00946778"/>
    <w:rsid w:val="009501D1"/>
    <w:rsid w:val="00950695"/>
    <w:rsid w:val="00954CBE"/>
    <w:rsid w:val="00955872"/>
    <w:rsid w:val="00960523"/>
    <w:rsid w:val="00963281"/>
    <w:rsid w:val="00963FAF"/>
    <w:rsid w:val="00965262"/>
    <w:rsid w:val="00965CC8"/>
    <w:rsid w:val="0096688A"/>
    <w:rsid w:val="00966D4E"/>
    <w:rsid w:val="0097085A"/>
    <w:rsid w:val="009718AD"/>
    <w:rsid w:val="009749D1"/>
    <w:rsid w:val="009767F5"/>
    <w:rsid w:val="00977621"/>
    <w:rsid w:val="0098044D"/>
    <w:rsid w:val="0098306B"/>
    <w:rsid w:val="009853CE"/>
    <w:rsid w:val="00987268"/>
    <w:rsid w:val="009930A7"/>
    <w:rsid w:val="0099428A"/>
    <w:rsid w:val="00996E13"/>
    <w:rsid w:val="00996FDE"/>
    <w:rsid w:val="009978F2"/>
    <w:rsid w:val="00997C39"/>
    <w:rsid w:val="009A2661"/>
    <w:rsid w:val="009A36C0"/>
    <w:rsid w:val="009A381A"/>
    <w:rsid w:val="009A454C"/>
    <w:rsid w:val="009A6448"/>
    <w:rsid w:val="009A661A"/>
    <w:rsid w:val="009A7F92"/>
    <w:rsid w:val="009A7FF6"/>
    <w:rsid w:val="009B5573"/>
    <w:rsid w:val="009B58E3"/>
    <w:rsid w:val="009B644F"/>
    <w:rsid w:val="009B692D"/>
    <w:rsid w:val="009C01E6"/>
    <w:rsid w:val="009C2F24"/>
    <w:rsid w:val="009C5CD3"/>
    <w:rsid w:val="009C7553"/>
    <w:rsid w:val="009D1A8B"/>
    <w:rsid w:val="009D1C5F"/>
    <w:rsid w:val="009D2318"/>
    <w:rsid w:val="009D3337"/>
    <w:rsid w:val="009D513E"/>
    <w:rsid w:val="009D6E45"/>
    <w:rsid w:val="009D70CF"/>
    <w:rsid w:val="009E280D"/>
    <w:rsid w:val="009E2919"/>
    <w:rsid w:val="009E3850"/>
    <w:rsid w:val="009E5975"/>
    <w:rsid w:val="009E67AD"/>
    <w:rsid w:val="009F14B3"/>
    <w:rsid w:val="009F4B92"/>
    <w:rsid w:val="009F4CB8"/>
    <w:rsid w:val="009F6805"/>
    <w:rsid w:val="009F6C20"/>
    <w:rsid w:val="00A00981"/>
    <w:rsid w:val="00A0112F"/>
    <w:rsid w:val="00A01E52"/>
    <w:rsid w:val="00A03E64"/>
    <w:rsid w:val="00A046A9"/>
    <w:rsid w:val="00A04C1B"/>
    <w:rsid w:val="00A0547D"/>
    <w:rsid w:val="00A0783E"/>
    <w:rsid w:val="00A124CF"/>
    <w:rsid w:val="00A14242"/>
    <w:rsid w:val="00A148DF"/>
    <w:rsid w:val="00A1492E"/>
    <w:rsid w:val="00A172B8"/>
    <w:rsid w:val="00A20562"/>
    <w:rsid w:val="00A25F43"/>
    <w:rsid w:val="00A267C2"/>
    <w:rsid w:val="00A278B9"/>
    <w:rsid w:val="00A31581"/>
    <w:rsid w:val="00A3368F"/>
    <w:rsid w:val="00A3373F"/>
    <w:rsid w:val="00A3589D"/>
    <w:rsid w:val="00A3790C"/>
    <w:rsid w:val="00A4162C"/>
    <w:rsid w:val="00A42EAC"/>
    <w:rsid w:val="00A434EE"/>
    <w:rsid w:val="00A50417"/>
    <w:rsid w:val="00A526C1"/>
    <w:rsid w:val="00A52906"/>
    <w:rsid w:val="00A52A58"/>
    <w:rsid w:val="00A54643"/>
    <w:rsid w:val="00A546D6"/>
    <w:rsid w:val="00A54A20"/>
    <w:rsid w:val="00A600BF"/>
    <w:rsid w:val="00A601F3"/>
    <w:rsid w:val="00A60D8E"/>
    <w:rsid w:val="00A6194A"/>
    <w:rsid w:val="00A62481"/>
    <w:rsid w:val="00A63D96"/>
    <w:rsid w:val="00A646A0"/>
    <w:rsid w:val="00A67C50"/>
    <w:rsid w:val="00A70696"/>
    <w:rsid w:val="00A72490"/>
    <w:rsid w:val="00A75EC3"/>
    <w:rsid w:val="00A775D9"/>
    <w:rsid w:val="00A77FF5"/>
    <w:rsid w:val="00A8251F"/>
    <w:rsid w:val="00A826D9"/>
    <w:rsid w:val="00A8382E"/>
    <w:rsid w:val="00A84747"/>
    <w:rsid w:val="00A90F9F"/>
    <w:rsid w:val="00A91A5E"/>
    <w:rsid w:val="00A923D7"/>
    <w:rsid w:val="00A924DD"/>
    <w:rsid w:val="00A92C63"/>
    <w:rsid w:val="00A92D71"/>
    <w:rsid w:val="00A93AAF"/>
    <w:rsid w:val="00A94839"/>
    <w:rsid w:val="00A95ACA"/>
    <w:rsid w:val="00A95BDA"/>
    <w:rsid w:val="00A96EB9"/>
    <w:rsid w:val="00AA01FD"/>
    <w:rsid w:val="00AA1291"/>
    <w:rsid w:val="00AA475C"/>
    <w:rsid w:val="00AA4899"/>
    <w:rsid w:val="00AA58BF"/>
    <w:rsid w:val="00AA59D7"/>
    <w:rsid w:val="00AA60E4"/>
    <w:rsid w:val="00AA7E33"/>
    <w:rsid w:val="00AB1171"/>
    <w:rsid w:val="00AB1BB4"/>
    <w:rsid w:val="00AB3179"/>
    <w:rsid w:val="00AB3745"/>
    <w:rsid w:val="00AB3765"/>
    <w:rsid w:val="00AB41D7"/>
    <w:rsid w:val="00AB6608"/>
    <w:rsid w:val="00AB79D3"/>
    <w:rsid w:val="00AC120C"/>
    <w:rsid w:val="00AC27F1"/>
    <w:rsid w:val="00AC4B8D"/>
    <w:rsid w:val="00AC65B4"/>
    <w:rsid w:val="00AC6B2E"/>
    <w:rsid w:val="00AC6F20"/>
    <w:rsid w:val="00AD0149"/>
    <w:rsid w:val="00AD22D2"/>
    <w:rsid w:val="00AD5FE3"/>
    <w:rsid w:val="00AD613C"/>
    <w:rsid w:val="00AD63F3"/>
    <w:rsid w:val="00AE1E33"/>
    <w:rsid w:val="00AE41DF"/>
    <w:rsid w:val="00AE41F0"/>
    <w:rsid w:val="00AE71B3"/>
    <w:rsid w:val="00AE77C5"/>
    <w:rsid w:val="00AE77CC"/>
    <w:rsid w:val="00AE7FE7"/>
    <w:rsid w:val="00AF33BB"/>
    <w:rsid w:val="00AF4AAC"/>
    <w:rsid w:val="00AF5828"/>
    <w:rsid w:val="00AF6851"/>
    <w:rsid w:val="00AF7071"/>
    <w:rsid w:val="00AF74F0"/>
    <w:rsid w:val="00AF7A46"/>
    <w:rsid w:val="00B01E78"/>
    <w:rsid w:val="00B020D9"/>
    <w:rsid w:val="00B0348A"/>
    <w:rsid w:val="00B03548"/>
    <w:rsid w:val="00B04781"/>
    <w:rsid w:val="00B06051"/>
    <w:rsid w:val="00B06143"/>
    <w:rsid w:val="00B07C64"/>
    <w:rsid w:val="00B10950"/>
    <w:rsid w:val="00B12306"/>
    <w:rsid w:val="00B13050"/>
    <w:rsid w:val="00B13FF7"/>
    <w:rsid w:val="00B14580"/>
    <w:rsid w:val="00B15235"/>
    <w:rsid w:val="00B16A70"/>
    <w:rsid w:val="00B20E1B"/>
    <w:rsid w:val="00B223BF"/>
    <w:rsid w:val="00B262DD"/>
    <w:rsid w:val="00B26664"/>
    <w:rsid w:val="00B2687E"/>
    <w:rsid w:val="00B32B4F"/>
    <w:rsid w:val="00B34292"/>
    <w:rsid w:val="00B348C0"/>
    <w:rsid w:val="00B35302"/>
    <w:rsid w:val="00B36CCC"/>
    <w:rsid w:val="00B40102"/>
    <w:rsid w:val="00B501D7"/>
    <w:rsid w:val="00B515E2"/>
    <w:rsid w:val="00B528E7"/>
    <w:rsid w:val="00B53E45"/>
    <w:rsid w:val="00B53E71"/>
    <w:rsid w:val="00B55A5B"/>
    <w:rsid w:val="00B56C80"/>
    <w:rsid w:val="00B56EF4"/>
    <w:rsid w:val="00B57434"/>
    <w:rsid w:val="00B6021C"/>
    <w:rsid w:val="00B630F5"/>
    <w:rsid w:val="00B647F7"/>
    <w:rsid w:val="00B65557"/>
    <w:rsid w:val="00B67C04"/>
    <w:rsid w:val="00B704E9"/>
    <w:rsid w:val="00B73BB0"/>
    <w:rsid w:val="00B74075"/>
    <w:rsid w:val="00B741CF"/>
    <w:rsid w:val="00B745DC"/>
    <w:rsid w:val="00B75FC4"/>
    <w:rsid w:val="00B76141"/>
    <w:rsid w:val="00B80A0D"/>
    <w:rsid w:val="00B80AFE"/>
    <w:rsid w:val="00B81138"/>
    <w:rsid w:val="00B81FB5"/>
    <w:rsid w:val="00B9067C"/>
    <w:rsid w:val="00B91A58"/>
    <w:rsid w:val="00B91D94"/>
    <w:rsid w:val="00B959FF"/>
    <w:rsid w:val="00BA0BCC"/>
    <w:rsid w:val="00BA35BD"/>
    <w:rsid w:val="00BA3B40"/>
    <w:rsid w:val="00BA4B6D"/>
    <w:rsid w:val="00BA5926"/>
    <w:rsid w:val="00BB0C2A"/>
    <w:rsid w:val="00BB1FD0"/>
    <w:rsid w:val="00BB349E"/>
    <w:rsid w:val="00BB4CEF"/>
    <w:rsid w:val="00BB62E9"/>
    <w:rsid w:val="00BB6305"/>
    <w:rsid w:val="00BB7CDC"/>
    <w:rsid w:val="00BC2846"/>
    <w:rsid w:val="00BC2A89"/>
    <w:rsid w:val="00BC4271"/>
    <w:rsid w:val="00BC6D34"/>
    <w:rsid w:val="00BC71CC"/>
    <w:rsid w:val="00BD01CF"/>
    <w:rsid w:val="00BD11B9"/>
    <w:rsid w:val="00BD49B2"/>
    <w:rsid w:val="00BD4D09"/>
    <w:rsid w:val="00BD56C5"/>
    <w:rsid w:val="00BE008E"/>
    <w:rsid w:val="00BE03E9"/>
    <w:rsid w:val="00BE2D6F"/>
    <w:rsid w:val="00BE2F1C"/>
    <w:rsid w:val="00BE2FB0"/>
    <w:rsid w:val="00BE78A0"/>
    <w:rsid w:val="00BF0BB2"/>
    <w:rsid w:val="00BF0C50"/>
    <w:rsid w:val="00BF1595"/>
    <w:rsid w:val="00BF392D"/>
    <w:rsid w:val="00BF3B48"/>
    <w:rsid w:val="00BF4C93"/>
    <w:rsid w:val="00BF63EA"/>
    <w:rsid w:val="00BF78E7"/>
    <w:rsid w:val="00BF7C87"/>
    <w:rsid w:val="00C069B3"/>
    <w:rsid w:val="00C103A8"/>
    <w:rsid w:val="00C111CE"/>
    <w:rsid w:val="00C11C85"/>
    <w:rsid w:val="00C12027"/>
    <w:rsid w:val="00C12DF7"/>
    <w:rsid w:val="00C13019"/>
    <w:rsid w:val="00C20B45"/>
    <w:rsid w:val="00C21240"/>
    <w:rsid w:val="00C23BCC"/>
    <w:rsid w:val="00C2643C"/>
    <w:rsid w:val="00C275B9"/>
    <w:rsid w:val="00C33556"/>
    <w:rsid w:val="00C353BF"/>
    <w:rsid w:val="00C407DD"/>
    <w:rsid w:val="00C4219F"/>
    <w:rsid w:val="00C4284F"/>
    <w:rsid w:val="00C42A7C"/>
    <w:rsid w:val="00C4443C"/>
    <w:rsid w:val="00C446EB"/>
    <w:rsid w:val="00C44796"/>
    <w:rsid w:val="00C448DD"/>
    <w:rsid w:val="00C45A47"/>
    <w:rsid w:val="00C45AE0"/>
    <w:rsid w:val="00C50F65"/>
    <w:rsid w:val="00C5244E"/>
    <w:rsid w:val="00C5465D"/>
    <w:rsid w:val="00C54F24"/>
    <w:rsid w:val="00C54FBB"/>
    <w:rsid w:val="00C55C2E"/>
    <w:rsid w:val="00C61C82"/>
    <w:rsid w:val="00C628D5"/>
    <w:rsid w:val="00C62A1B"/>
    <w:rsid w:val="00C62AFB"/>
    <w:rsid w:val="00C651BD"/>
    <w:rsid w:val="00C67467"/>
    <w:rsid w:val="00C71A17"/>
    <w:rsid w:val="00C724C6"/>
    <w:rsid w:val="00C7256A"/>
    <w:rsid w:val="00C73A88"/>
    <w:rsid w:val="00C74064"/>
    <w:rsid w:val="00C742CE"/>
    <w:rsid w:val="00C74D58"/>
    <w:rsid w:val="00C7586B"/>
    <w:rsid w:val="00C76295"/>
    <w:rsid w:val="00C77154"/>
    <w:rsid w:val="00C80ED9"/>
    <w:rsid w:val="00C82BA6"/>
    <w:rsid w:val="00C87BBF"/>
    <w:rsid w:val="00C90BCC"/>
    <w:rsid w:val="00C931BE"/>
    <w:rsid w:val="00C93EC9"/>
    <w:rsid w:val="00C951CE"/>
    <w:rsid w:val="00C956C1"/>
    <w:rsid w:val="00C96F59"/>
    <w:rsid w:val="00C97752"/>
    <w:rsid w:val="00CA3103"/>
    <w:rsid w:val="00CA336C"/>
    <w:rsid w:val="00CA442B"/>
    <w:rsid w:val="00CA51AF"/>
    <w:rsid w:val="00CA55B8"/>
    <w:rsid w:val="00CA56B8"/>
    <w:rsid w:val="00CB18C3"/>
    <w:rsid w:val="00CB2107"/>
    <w:rsid w:val="00CB429F"/>
    <w:rsid w:val="00CB4843"/>
    <w:rsid w:val="00CB6FD3"/>
    <w:rsid w:val="00CB72BA"/>
    <w:rsid w:val="00CB7A47"/>
    <w:rsid w:val="00CB7B5D"/>
    <w:rsid w:val="00CC1061"/>
    <w:rsid w:val="00CC2495"/>
    <w:rsid w:val="00CC2A3B"/>
    <w:rsid w:val="00CC31A5"/>
    <w:rsid w:val="00CC4A04"/>
    <w:rsid w:val="00CC4B62"/>
    <w:rsid w:val="00CC64EA"/>
    <w:rsid w:val="00CC72AB"/>
    <w:rsid w:val="00CC76A4"/>
    <w:rsid w:val="00CD0C5A"/>
    <w:rsid w:val="00CD0C90"/>
    <w:rsid w:val="00CD2EBB"/>
    <w:rsid w:val="00CD4158"/>
    <w:rsid w:val="00CD53FE"/>
    <w:rsid w:val="00CD57A1"/>
    <w:rsid w:val="00CD6017"/>
    <w:rsid w:val="00CD632D"/>
    <w:rsid w:val="00CD7AA6"/>
    <w:rsid w:val="00CE005E"/>
    <w:rsid w:val="00CE0683"/>
    <w:rsid w:val="00CE06A3"/>
    <w:rsid w:val="00CE09BF"/>
    <w:rsid w:val="00CE1118"/>
    <w:rsid w:val="00CE3CD1"/>
    <w:rsid w:val="00CE4EE4"/>
    <w:rsid w:val="00CE64BF"/>
    <w:rsid w:val="00CE7F89"/>
    <w:rsid w:val="00CF192E"/>
    <w:rsid w:val="00CF4B2F"/>
    <w:rsid w:val="00CF4DF5"/>
    <w:rsid w:val="00CF5EFE"/>
    <w:rsid w:val="00D01287"/>
    <w:rsid w:val="00D021A0"/>
    <w:rsid w:val="00D02550"/>
    <w:rsid w:val="00D03CF6"/>
    <w:rsid w:val="00D05CC3"/>
    <w:rsid w:val="00D06A55"/>
    <w:rsid w:val="00D0756E"/>
    <w:rsid w:val="00D10F89"/>
    <w:rsid w:val="00D11DEC"/>
    <w:rsid w:val="00D12F30"/>
    <w:rsid w:val="00D13554"/>
    <w:rsid w:val="00D13E1D"/>
    <w:rsid w:val="00D14E1C"/>
    <w:rsid w:val="00D16141"/>
    <w:rsid w:val="00D1726E"/>
    <w:rsid w:val="00D17913"/>
    <w:rsid w:val="00D224ED"/>
    <w:rsid w:val="00D22E82"/>
    <w:rsid w:val="00D23755"/>
    <w:rsid w:val="00D25AA5"/>
    <w:rsid w:val="00D25F1F"/>
    <w:rsid w:val="00D26645"/>
    <w:rsid w:val="00D268F9"/>
    <w:rsid w:val="00D27EED"/>
    <w:rsid w:val="00D30237"/>
    <w:rsid w:val="00D3597C"/>
    <w:rsid w:val="00D3716C"/>
    <w:rsid w:val="00D37641"/>
    <w:rsid w:val="00D423E0"/>
    <w:rsid w:val="00D44FFF"/>
    <w:rsid w:val="00D458D2"/>
    <w:rsid w:val="00D45917"/>
    <w:rsid w:val="00D46A0E"/>
    <w:rsid w:val="00D47F08"/>
    <w:rsid w:val="00D5075F"/>
    <w:rsid w:val="00D56924"/>
    <w:rsid w:val="00D61210"/>
    <w:rsid w:val="00D6160D"/>
    <w:rsid w:val="00D61BC8"/>
    <w:rsid w:val="00D61E25"/>
    <w:rsid w:val="00D63091"/>
    <w:rsid w:val="00D6438F"/>
    <w:rsid w:val="00D64B43"/>
    <w:rsid w:val="00D709D8"/>
    <w:rsid w:val="00D70E82"/>
    <w:rsid w:val="00D71438"/>
    <w:rsid w:val="00D71731"/>
    <w:rsid w:val="00D73A9E"/>
    <w:rsid w:val="00D754EE"/>
    <w:rsid w:val="00D76AD3"/>
    <w:rsid w:val="00D81483"/>
    <w:rsid w:val="00D82D25"/>
    <w:rsid w:val="00D83F7E"/>
    <w:rsid w:val="00D858B4"/>
    <w:rsid w:val="00D8614D"/>
    <w:rsid w:val="00D900F9"/>
    <w:rsid w:val="00D90165"/>
    <w:rsid w:val="00D91BB1"/>
    <w:rsid w:val="00D92DB5"/>
    <w:rsid w:val="00D934EE"/>
    <w:rsid w:val="00D9384D"/>
    <w:rsid w:val="00D95A49"/>
    <w:rsid w:val="00D970AB"/>
    <w:rsid w:val="00D97FAC"/>
    <w:rsid w:val="00DA1034"/>
    <w:rsid w:val="00DA180D"/>
    <w:rsid w:val="00DA2A05"/>
    <w:rsid w:val="00DA2E9C"/>
    <w:rsid w:val="00DA336D"/>
    <w:rsid w:val="00DA4905"/>
    <w:rsid w:val="00DA63DD"/>
    <w:rsid w:val="00DA6C45"/>
    <w:rsid w:val="00DA758F"/>
    <w:rsid w:val="00DB1063"/>
    <w:rsid w:val="00DB12FA"/>
    <w:rsid w:val="00DB1705"/>
    <w:rsid w:val="00DB1958"/>
    <w:rsid w:val="00DB4A1A"/>
    <w:rsid w:val="00DB5BE5"/>
    <w:rsid w:val="00DB7DFD"/>
    <w:rsid w:val="00DC172B"/>
    <w:rsid w:val="00DC2530"/>
    <w:rsid w:val="00DC4AFD"/>
    <w:rsid w:val="00DC7704"/>
    <w:rsid w:val="00DC7C19"/>
    <w:rsid w:val="00DD19BF"/>
    <w:rsid w:val="00DD4AC2"/>
    <w:rsid w:val="00DD51B8"/>
    <w:rsid w:val="00DD5CF5"/>
    <w:rsid w:val="00DD64F1"/>
    <w:rsid w:val="00DD7DD6"/>
    <w:rsid w:val="00DE601A"/>
    <w:rsid w:val="00DE773B"/>
    <w:rsid w:val="00DF3587"/>
    <w:rsid w:val="00DF38CF"/>
    <w:rsid w:val="00DF5C29"/>
    <w:rsid w:val="00DF66FC"/>
    <w:rsid w:val="00DF7D21"/>
    <w:rsid w:val="00E00D3E"/>
    <w:rsid w:val="00E012BD"/>
    <w:rsid w:val="00E033A9"/>
    <w:rsid w:val="00E04094"/>
    <w:rsid w:val="00E053C6"/>
    <w:rsid w:val="00E0682D"/>
    <w:rsid w:val="00E06ADE"/>
    <w:rsid w:val="00E06F8F"/>
    <w:rsid w:val="00E1142B"/>
    <w:rsid w:val="00E12A4B"/>
    <w:rsid w:val="00E13E5A"/>
    <w:rsid w:val="00E14B22"/>
    <w:rsid w:val="00E14D7E"/>
    <w:rsid w:val="00E15174"/>
    <w:rsid w:val="00E1568F"/>
    <w:rsid w:val="00E15C4B"/>
    <w:rsid w:val="00E15D7B"/>
    <w:rsid w:val="00E16A51"/>
    <w:rsid w:val="00E17B13"/>
    <w:rsid w:val="00E21717"/>
    <w:rsid w:val="00E23345"/>
    <w:rsid w:val="00E23AB4"/>
    <w:rsid w:val="00E2540D"/>
    <w:rsid w:val="00E257DC"/>
    <w:rsid w:val="00E262A0"/>
    <w:rsid w:val="00E264C6"/>
    <w:rsid w:val="00E3027D"/>
    <w:rsid w:val="00E3103F"/>
    <w:rsid w:val="00E3169A"/>
    <w:rsid w:val="00E32840"/>
    <w:rsid w:val="00E32E40"/>
    <w:rsid w:val="00E3389B"/>
    <w:rsid w:val="00E34714"/>
    <w:rsid w:val="00E34BC3"/>
    <w:rsid w:val="00E34C76"/>
    <w:rsid w:val="00E35D1C"/>
    <w:rsid w:val="00E41693"/>
    <w:rsid w:val="00E41ED3"/>
    <w:rsid w:val="00E42AAC"/>
    <w:rsid w:val="00E448A5"/>
    <w:rsid w:val="00E47268"/>
    <w:rsid w:val="00E4753B"/>
    <w:rsid w:val="00E5063C"/>
    <w:rsid w:val="00E51804"/>
    <w:rsid w:val="00E53D9E"/>
    <w:rsid w:val="00E54110"/>
    <w:rsid w:val="00E55E91"/>
    <w:rsid w:val="00E56206"/>
    <w:rsid w:val="00E5699F"/>
    <w:rsid w:val="00E62B86"/>
    <w:rsid w:val="00E64249"/>
    <w:rsid w:val="00E65CE9"/>
    <w:rsid w:val="00E66E8E"/>
    <w:rsid w:val="00E71166"/>
    <w:rsid w:val="00E7169B"/>
    <w:rsid w:val="00E71D44"/>
    <w:rsid w:val="00E770AF"/>
    <w:rsid w:val="00E77390"/>
    <w:rsid w:val="00E778AD"/>
    <w:rsid w:val="00E80C3B"/>
    <w:rsid w:val="00E82F38"/>
    <w:rsid w:val="00E84A3D"/>
    <w:rsid w:val="00E86546"/>
    <w:rsid w:val="00E86DFF"/>
    <w:rsid w:val="00E90051"/>
    <w:rsid w:val="00E92DB5"/>
    <w:rsid w:val="00E9453B"/>
    <w:rsid w:val="00E949F4"/>
    <w:rsid w:val="00E96C4B"/>
    <w:rsid w:val="00EA0CF8"/>
    <w:rsid w:val="00EA0E63"/>
    <w:rsid w:val="00EA1B6A"/>
    <w:rsid w:val="00EA211F"/>
    <w:rsid w:val="00EA2A03"/>
    <w:rsid w:val="00EA38A6"/>
    <w:rsid w:val="00EA4E84"/>
    <w:rsid w:val="00EA5ADD"/>
    <w:rsid w:val="00EA779B"/>
    <w:rsid w:val="00EB005C"/>
    <w:rsid w:val="00EB3E1B"/>
    <w:rsid w:val="00EB45DE"/>
    <w:rsid w:val="00EB4ADD"/>
    <w:rsid w:val="00EB5349"/>
    <w:rsid w:val="00EB6AB3"/>
    <w:rsid w:val="00EB7FC5"/>
    <w:rsid w:val="00EC2475"/>
    <w:rsid w:val="00EC3AF3"/>
    <w:rsid w:val="00EC4197"/>
    <w:rsid w:val="00EC542F"/>
    <w:rsid w:val="00EC5583"/>
    <w:rsid w:val="00EC7509"/>
    <w:rsid w:val="00EC7F24"/>
    <w:rsid w:val="00ED2EB4"/>
    <w:rsid w:val="00ED3CDF"/>
    <w:rsid w:val="00ED628E"/>
    <w:rsid w:val="00ED711C"/>
    <w:rsid w:val="00ED76B1"/>
    <w:rsid w:val="00EE55CF"/>
    <w:rsid w:val="00EE5EB1"/>
    <w:rsid w:val="00EE65CA"/>
    <w:rsid w:val="00EE680F"/>
    <w:rsid w:val="00EE7783"/>
    <w:rsid w:val="00EE7C1E"/>
    <w:rsid w:val="00EF0AEB"/>
    <w:rsid w:val="00EF0DD1"/>
    <w:rsid w:val="00EF132E"/>
    <w:rsid w:val="00EF18E4"/>
    <w:rsid w:val="00EF1BD3"/>
    <w:rsid w:val="00EF1EC2"/>
    <w:rsid w:val="00EF3D08"/>
    <w:rsid w:val="00F06946"/>
    <w:rsid w:val="00F110CA"/>
    <w:rsid w:val="00F132F4"/>
    <w:rsid w:val="00F13DE5"/>
    <w:rsid w:val="00F16EE4"/>
    <w:rsid w:val="00F17EB4"/>
    <w:rsid w:val="00F212CE"/>
    <w:rsid w:val="00F229F5"/>
    <w:rsid w:val="00F22B1C"/>
    <w:rsid w:val="00F22F66"/>
    <w:rsid w:val="00F322D8"/>
    <w:rsid w:val="00F32797"/>
    <w:rsid w:val="00F32C95"/>
    <w:rsid w:val="00F32E08"/>
    <w:rsid w:val="00F35A2A"/>
    <w:rsid w:val="00F40A41"/>
    <w:rsid w:val="00F4185A"/>
    <w:rsid w:val="00F42DB8"/>
    <w:rsid w:val="00F43C56"/>
    <w:rsid w:val="00F44E12"/>
    <w:rsid w:val="00F4722B"/>
    <w:rsid w:val="00F47240"/>
    <w:rsid w:val="00F513F6"/>
    <w:rsid w:val="00F53365"/>
    <w:rsid w:val="00F54049"/>
    <w:rsid w:val="00F5577A"/>
    <w:rsid w:val="00F562E6"/>
    <w:rsid w:val="00F57546"/>
    <w:rsid w:val="00F5765B"/>
    <w:rsid w:val="00F627FD"/>
    <w:rsid w:val="00F648BE"/>
    <w:rsid w:val="00F67E0E"/>
    <w:rsid w:val="00F71A27"/>
    <w:rsid w:val="00F72000"/>
    <w:rsid w:val="00F725C2"/>
    <w:rsid w:val="00F81352"/>
    <w:rsid w:val="00F8186B"/>
    <w:rsid w:val="00F819E5"/>
    <w:rsid w:val="00F82C81"/>
    <w:rsid w:val="00F859B0"/>
    <w:rsid w:val="00F85A3D"/>
    <w:rsid w:val="00F87B3C"/>
    <w:rsid w:val="00F91C5D"/>
    <w:rsid w:val="00F91DDB"/>
    <w:rsid w:val="00F924AC"/>
    <w:rsid w:val="00F9274C"/>
    <w:rsid w:val="00F94173"/>
    <w:rsid w:val="00F95663"/>
    <w:rsid w:val="00F96145"/>
    <w:rsid w:val="00F9748A"/>
    <w:rsid w:val="00FA085E"/>
    <w:rsid w:val="00FA08EB"/>
    <w:rsid w:val="00FA291A"/>
    <w:rsid w:val="00FA7A48"/>
    <w:rsid w:val="00FB05B1"/>
    <w:rsid w:val="00FB3B65"/>
    <w:rsid w:val="00FB5B4B"/>
    <w:rsid w:val="00FB5BE2"/>
    <w:rsid w:val="00FB5C4B"/>
    <w:rsid w:val="00FB6921"/>
    <w:rsid w:val="00FC00FC"/>
    <w:rsid w:val="00FC1046"/>
    <w:rsid w:val="00FC159C"/>
    <w:rsid w:val="00FC3E16"/>
    <w:rsid w:val="00FC4622"/>
    <w:rsid w:val="00FC7321"/>
    <w:rsid w:val="00FD0AC7"/>
    <w:rsid w:val="00FD3E29"/>
    <w:rsid w:val="00FD3FE4"/>
    <w:rsid w:val="00FD48AD"/>
    <w:rsid w:val="00FD57D2"/>
    <w:rsid w:val="00FD67E4"/>
    <w:rsid w:val="00FD7E23"/>
    <w:rsid w:val="00FE0EDA"/>
    <w:rsid w:val="00FE1BE6"/>
    <w:rsid w:val="00FE3129"/>
    <w:rsid w:val="00FE487C"/>
    <w:rsid w:val="00FE4C33"/>
    <w:rsid w:val="00FE6E45"/>
    <w:rsid w:val="00FF161D"/>
    <w:rsid w:val="00FF4642"/>
    <w:rsid w:val="00FF5E33"/>
    <w:rsid w:val="00FF6BFF"/>
    <w:rsid w:val="00FF75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7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atentStyles>
  <w:style w:type="paragraph" w:default="1" w:styleId="Normal">
    <w:name w:val="Normal"/>
    <w:qFormat/>
    <w:rsid w:val="00D424BD"/>
  </w:style>
  <w:style w:type="paragraph" w:styleId="Heading3">
    <w:name w:val="heading 3"/>
    <w:basedOn w:val="Normal"/>
    <w:link w:val="Heading3Char"/>
    <w:uiPriority w:val="9"/>
    <w:rsid w:val="006A1C74"/>
    <w:pPr>
      <w:spacing w:beforeLines="1" w:afterLines="1"/>
      <w:outlineLvl w:val="2"/>
    </w:pPr>
    <w:rPr>
      <w:rFonts w:ascii="Times" w:eastAsiaTheme="minorEastAsia"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628E"/>
  </w:style>
  <w:style w:type="character" w:customStyle="1" w:styleId="FootnoteTextChar">
    <w:name w:val="Footnote Text Char"/>
    <w:basedOn w:val="DefaultParagraphFont"/>
    <w:link w:val="FootnoteText"/>
    <w:uiPriority w:val="99"/>
    <w:rsid w:val="00ED628E"/>
  </w:style>
  <w:style w:type="character" w:styleId="FootnoteReference">
    <w:name w:val="footnote reference"/>
    <w:basedOn w:val="DefaultParagraphFont"/>
    <w:uiPriority w:val="99"/>
    <w:unhideWhenUsed/>
    <w:rsid w:val="00ED628E"/>
    <w:rPr>
      <w:vertAlign w:val="superscript"/>
    </w:rPr>
  </w:style>
  <w:style w:type="paragraph" w:styleId="Header">
    <w:name w:val="header"/>
    <w:basedOn w:val="Normal"/>
    <w:link w:val="HeaderChar"/>
    <w:uiPriority w:val="99"/>
    <w:semiHidden/>
    <w:unhideWhenUsed/>
    <w:rsid w:val="00F819E5"/>
    <w:pPr>
      <w:tabs>
        <w:tab w:val="center" w:pos="4320"/>
        <w:tab w:val="right" w:pos="8640"/>
      </w:tabs>
    </w:pPr>
  </w:style>
  <w:style w:type="character" w:customStyle="1" w:styleId="HeaderChar">
    <w:name w:val="Header Char"/>
    <w:basedOn w:val="DefaultParagraphFont"/>
    <w:link w:val="Header"/>
    <w:uiPriority w:val="99"/>
    <w:semiHidden/>
    <w:rsid w:val="00F819E5"/>
  </w:style>
  <w:style w:type="character" w:styleId="PageNumber">
    <w:name w:val="page number"/>
    <w:basedOn w:val="DefaultParagraphFont"/>
    <w:uiPriority w:val="99"/>
    <w:semiHidden/>
    <w:unhideWhenUsed/>
    <w:rsid w:val="00F819E5"/>
  </w:style>
  <w:style w:type="paragraph" w:styleId="Footer">
    <w:name w:val="footer"/>
    <w:basedOn w:val="Normal"/>
    <w:link w:val="FooterChar"/>
    <w:uiPriority w:val="99"/>
    <w:semiHidden/>
    <w:unhideWhenUsed/>
    <w:rsid w:val="001C42BC"/>
    <w:pPr>
      <w:tabs>
        <w:tab w:val="center" w:pos="4320"/>
        <w:tab w:val="right" w:pos="8640"/>
      </w:tabs>
    </w:pPr>
  </w:style>
  <w:style w:type="character" w:customStyle="1" w:styleId="FooterChar">
    <w:name w:val="Footer Char"/>
    <w:basedOn w:val="DefaultParagraphFont"/>
    <w:link w:val="Footer"/>
    <w:uiPriority w:val="99"/>
    <w:semiHidden/>
    <w:rsid w:val="001C42BC"/>
  </w:style>
  <w:style w:type="character" w:styleId="Hyperlink">
    <w:name w:val="Hyperlink"/>
    <w:basedOn w:val="DefaultParagraphFont"/>
    <w:uiPriority w:val="99"/>
    <w:rsid w:val="008326F0"/>
    <w:rPr>
      <w:color w:val="0000FF"/>
      <w:u w:val="single"/>
    </w:rPr>
  </w:style>
  <w:style w:type="character" w:customStyle="1" w:styleId="i">
    <w:name w:val="i"/>
    <w:basedOn w:val="DefaultParagraphFont"/>
    <w:rsid w:val="008326F0"/>
  </w:style>
  <w:style w:type="character" w:styleId="Emphasis">
    <w:name w:val="Emphasis"/>
    <w:basedOn w:val="DefaultParagraphFont"/>
    <w:uiPriority w:val="20"/>
    <w:qFormat/>
    <w:rsid w:val="00A75EC3"/>
    <w:rPr>
      <w:i/>
    </w:rPr>
  </w:style>
  <w:style w:type="character" w:styleId="FollowedHyperlink">
    <w:name w:val="FollowedHyperlink"/>
    <w:basedOn w:val="DefaultParagraphFont"/>
    <w:uiPriority w:val="99"/>
    <w:semiHidden/>
    <w:unhideWhenUsed/>
    <w:rsid w:val="0088534D"/>
    <w:rPr>
      <w:color w:val="800080" w:themeColor="followedHyperlink"/>
      <w:u w:val="single"/>
    </w:rPr>
  </w:style>
  <w:style w:type="character" w:styleId="Strong">
    <w:name w:val="Strong"/>
    <w:basedOn w:val="DefaultParagraphFont"/>
    <w:uiPriority w:val="22"/>
    <w:rsid w:val="00567C93"/>
    <w:rPr>
      <w:b/>
    </w:rPr>
  </w:style>
  <w:style w:type="character" w:customStyle="1" w:styleId="name">
    <w:name w:val="name"/>
    <w:basedOn w:val="DefaultParagraphFont"/>
    <w:rsid w:val="00B53E71"/>
  </w:style>
  <w:style w:type="character" w:customStyle="1" w:styleId="xref-sep">
    <w:name w:val="xref-sep"/>
    <w:basedOn w:val="DefaultParagraphFont"/>
    <w:rsid w:val="00B53E71"/>
  </w:style>
  <w:style w:type="character" w:customStyle="1" w:styleId="Heading3Char">
    <w:name w:val="Heading 3 Char"/>
    <w:basedOn w:val="DefaultParagraphFont"/>
    <w:link w:val="Heading3"/>
    <w:uiPriority w:val="9"/>
    <w:rsid w:val="006A1C74"/>
    <w:rPr>
      <w:rFonts w:ascii="Times" w:eastAsiaTheme="minorEastAsia" w:hAnsi="Times"/>
      <w:b/>
      <w:sz w:val="27"/>
      <w:szCs w:val="20"/>
    </w:rPr>
  </w:style>
  <w:style w:type="paragraph" w:styleId="NormalWeb">
    <w:name w:val="Normal (Web)"/>
    <w:basedOn w:val="Normal"/>
    <w:uiPriority w:val="99"/>
    <w:rsid w:val="006A1C74"/>
    <w:pPr>
      <w:spacing w:beforeLines="1" w:afterLines="1"/>
    </w:pPr>
    <w:rPr>
      <w:rFonts w:ascii="Times" w:eastAsiaTheme="minorEastAsia" w:hAnsi="Times" w:cs="Times New Roman"/>
      <w:sz w:val="20"/>
      <w:szCs w:val="20"/>
    </w:rPr>
  </w:style>
  <w:style w:type="paragraph" w:styleId="BalloonText">
    <w:name w:val="Balloon Text"/>
    <w:basedOn w:val="Normal"/>
    <w:link w:val="BalloonTextChar"/>
    <w:rsid w:val="00BC4271"/>
    <w:rPr>
      <w:rFonts w:ascii="Lucida Grande" w:hAnsi="Lucida Grande" w:cs="Lucida Grande"/>
      <w:sz w:val="18"/>
      <w:szCs w:val="18"/>
    </w:rPr>
  </w:style>
  <w:style w:type="character" w:customStyle="1" w:styleId="BalloonTextChar">
    <w:name w:val="Balloon Text Char"/>
    <w:basedOn w:val="DefaultParagraphFont"/>
    <w:link w:val="BalloonText"/>
    <w:rsid w:val="00BC42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019">
      <w:bodyDiv w:val="1"/>
      <w:marLeft w:val="0"/>
      <w:marRight w:val="0"/>
      <w:marTop w:val="0"/>
      <w:marBottom w:val="0"/>
      <w:divBdr>
        <w:top w:val="none" w:sz="0" w:space="0" w:color="auto"/>
        <w:left w:val="none" w:sz="0" w:space="0" w:color="auto"/>
        <w:bottom w:val="none" w:sz="0" w:space="0" w:color="auto"/>
        <w:right w:val="none" w:sz="0" w:space="0" w:color="auto"/>
      </w:divBdr>
      <w:divsChild>
        <w:div w:id="1877035984">
          <w:marLeft w:val="0"/>
          <w:marRight w:val="0"/>
          <w:marTop w:val="0"/>
          <w:marBottom w:val="0"/>
          <w:divBdr>
            <w:top w:val="none" w:sz="0" w:space="0" w:color="auto"/>
            <w:left w:val="none" w:sz="0" w:space="0" w:color="auto"/>
            <w:bottom w:val="none" w:sz="0" w:space="0" w:color="auto"/>
            <w:right w:val="none" w:sz="0" w:space="0" w:color="auto"/>
          </w:divBdr>
        </w:div>
      </w:divsChild>
    </w:div>
    <w:div w:id="39135495">
      <w:bodyDiv w:val="1"/>
      <w:marLeft w:val="0"/>
      <w:marRight w:val="0"/>
      <w:marTop w:val="0"/>
      <w:marBottom w:val="0"/>
      <w:divBdr>
        <w:top w:val="none" w:sz="0" w:space="0" w:color="auto"/>
        <w:left w:val="none" w:sz="0" w:space="0" w:color="auto"/>
        <w:bottom w:val="none" w:sz="0" w:space="0" w:color="auto"/>
        <w:right w:val="none" w:sz="0" w:space="0" w:color="auto"/>
      </w:divBdr>
    </w:div>
    <w:div w:id="99493090">
      <w:bodyDiv w:val="1"/>
      <w:marLeft w:val="0"/>
      <w:marRight w:val="0"/>
      <w:marTop w:val="0"/>
      <w:marBottom w:val="0"/>
      <w:divBdr>
        <w:top w:val="none" w:sz="0" w:space="0" w:color="auto"/>
        <w:left w:val="none" w:sz="0" w:space="0" w:color="auto"/>
        <w:bottom w:val="none" w:sz="0" w:space="0" w:color="auto"/>
        <w:right w:val="none" w:sz="0" w:space="0" w:color="auto"/>
      </w:divBdr>
      <w:divsChild>
        <w:div w:id="1269658846">
          <w:marLeft w:val="0"/>
          <w:marRight w:val="0"/>
          <w:marTop w:val="0"/>
          <w:marBottom w:val="0"/>
          <w:divBdr>
            <w:top w:val="none" w:sz="0" w:space="0" w:color="auto"/>
            <w:left w:val="none" w:sz="0" w:space="0" w:color="auto"/>
            <w:bottom w:val="none" w:sz="0" w:space="0" w:color="auto"/>
            <w:right w:val="none" w:sz="0" w:space="0" w:color="auto"/>
          </w:divBdr>
        </w:div>
      </w:divsChild>
    </w:div>
    <w:div w:id="144587757">
      <w:bodyDiv w:val="1"/>
      <w:marLeft w:val="0"/>
      <w:marRight w:val="0"/>
      <w:marTop w:val="0"/>
      <w:marBottom w:val="0"/>
      <w:divBdr>
        <w:top w:val="none" w:sz="0" w:space="0" w:color="auto"/>
        <w:left w:val="none" w:sz="0" w:space="0" w:color="auto"/>
        <w:bottom w:val="none" w:sz="0" w:space="0" w:color="auto"/>
        <w:right w:val="none" w:sz="0" w:space="0" w:color="auto"/>
      </w:divBdr>
      <w:divsChild>
        <w:div w:id="280962474">
          <w:marLeft w:val="0"/>
          <w:marRight w:val="0"/>
          <w:marTop w:val="0"/>
          <w:marBottom w:val="0"/>
          <w:divBdr>
            <w:top w:val="none" w:sz="0" w:space="0" w:color="auto"/>
            <w:left w:val="none" w:sz="0" w:space="0" w:color="auto"/>
            <w:bottom w:val="none" w:sz="0" w:space="0" w:color="auto"/>
            <w:right w:val="none" w:sz="0" w:space="0" w:color="auto"/>
          </w:divBdr>
        </w:div>
      </w:divsChild>
    </w:div>
    <w:div w:id="593975906">
      <w:bodyDiv w:val="1"/>
      <w:marLeft w:val="0"/>
      <w:marRight w:val="0"/>
      <w:marTop w:val="0"/>
      <w:marBottom w:val="0"/>
      <w:divBdr>
        <w:top w:val="none" w:sz="0" w:space="0" w:color="auto"/>
        <w:left w:val="none" w:sz="0" w:space="0" w:color="auto"/>
        <w:bottom w:val="none" w:sz="0" w:space="0" w:color="auto"/>
        <w:right w:val="none" w:sz="0" w:space="0" w:color="auto"/>
      </w:divBdr>
      <w:divsChild>
        <w:div w:id="2101757493">
          <w:marLeft w:val="0"/>
          <w:marRight w:val="0"/>
          <w:marTop w:val="0"/>
          <w:marBottom w:val="0"/>
          <w:divBdr>
            <w:top w:val="none" w:sz="0" w:space="0" w:color="auto"/>
            <w:left w:val="none" w:sz="0" w:space="0" w:color="auto"/>
            <w:bottom w:val="none" w:sz="0" w:space="0" w:color="auto"/>
            <w:right w:val="none" w:sz="0" w:space="0" w:color="auto"/>
          </w:divBdr>
        </w:div>
        <w:div w:id="224145271">
          <w:marLeft w:val="0"/>
          <w:marRight w:val="0"/>
          <w:marTop w:val="0"/>
          <w:marBottom w:val="0"/>
          <w:divBdr>
            <w:top w:val="none" w:sz="0" w:space="0" w:color="auto"/>
            <w:left w:val="none" w:sz="0" w:space="0" w:color="auto"/>
            <w:bottom w:val="none" w:sz="0" w:space="0" w:color="auto"/>
            <w:right w:val="none" w:sz="0" w:space="0" w:color="auto"/>
          </w:divBdr>
        </w:div>
        <w:div w:id="1815218354">
          <w:marLeft w:val="0"/>
          <w:marRight w:val="0"/>
          <w:marTop w:val="0"/>
          <w:marBottom w:val="0"/>
          <w:divBdr>
            <w:top w:val="none" w:sz="0" w:space="0" w:color="auto"/>
            <w:left w:val="none" w:sz="0" w:space="0" w:color="auto"/>
            <w:bottom w:val="none" w:sz="0" w:space="0" w:color="auto"/>
            <w:right w:val="none" w:sz="0" w:space="0" w:color="auto"/>
          </w:divBdr>
        </w:div>
      </w:divsChild>
    </w:div>
    <w:div w:id="601642734">
      <w:bodyDiv w:val="1"/>
      <w:marLeft w:val="0"/>
      <w:marRight w:val="0"/>
      <w:marTop w:val="0"/>
      <w:marBottom w:val="0"/>
      <w:divBdr>
        <w:top w:val="none" w:sz="0" w:space="0" w:color="auto"/>
        <w:left w:val="none" w:sz="0" w:space="0" w:color="auto"/>
        <w:bottom w:val="none" w:sz="0" w:space="0" w:color="auto"/>
        <w:right w:val="none" w:sz="0" w:space="0" w:color="auto"/>
      </w:divBdr>
      <w:divsChild>
        <w:div w:id="1112895043">
          <w:marLeft w:val="0"/>
          <w:marRight w:val="0"/>
          <w:marTop w:val="0"/>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sChild>
        <w:div w:id="1007555603">
          <w:marLeft w:val="0"/>
          <w:marRight w:val="0"/>
          <w:marTop w:val="0"/>
          <w:marBottom w:val="0"/>
          <w:divBdr>
            <w:top w:val="none" w:sz="0" w:space="0" w:color="auto"/>
            <w:left w:val="none" w:sz="0" w:space="0" w:color="auto"/>
            <w:bottom w:val="none" w:sz="0" w:space="0" w:color="auto"/>
            <w:right w:val="none" w:sz="0" w:space="0" w:color="auto"/>
          </w:divBdr>
        </w:div>
      </w:divsChild>
    </w:div>
    <w:div w:id="669455732">
      <w:bodyDiv w:val="1"/>
      <w:marLeft w:val="0"/>
      <w:marRight w:val="0"/>
      <w:marTop w:val="0"/>
      <w:marBottom w:val="0"/>
      <w:divBdr>
        <w:top w:val="none" w:sz="0" w:space="0" w:color="auto"/>
        <w:left w:val="none" w:sz="0" w:space="0" w:color="auto"/>
        <w:bottom w:val="none" w:sz="0" w:space="0" w:color="auto"/>
        <w:right w:val="none" w:sz="0" w:space="0" w:color="auto"/>
      </w:divBdr>
      <w:divsChild>
        <w:div w:id="1289821265">
          <w:marLeft w:val="0"/>
          <w:marRight w:val="0"/>
          <w:marTop w:val="0"/>
          <w:marBottom w:val="0"/>
          <w:divBdr>
            <w:top w:val="none" w:sz="0" w:space="0" w:color="auto"/>
            <w:left w:val="none" w:sz="0" w:space="0" w:color="auto"/>
            <w:bottom w:val="none" w:sz="0" w:space="0" w:color="auto"/>
            <w:right w:val="none" w:sz="0" w:space="0" w:color="auto"/>
          </w:divBdr>
          <w:divsChild>
            <w:div w:id="767651333">
              <w:marLeft w:val="0"/>
              <w:marRight w:val="0"/>
              <w:marTop w:val="0"/>
              <w:marBottom w:val="0"/>
              <w:divBdr>
                <w:top w:val="none" w:sz="0" w:space="0" w:color="auto"/>
                <w:left w:val="none" w:sz="0" w:space="0" w:color="auto"/>
                <w:bottom w:val="none" w:sz="0" w:space="0" w:color="auto"/>
                <w:right w:val="none" w:sz="0" w:space="0" w:color="auto"/>
              </w:divBdr>
              <w:divsChild>
                <w:div w:id="1489443013">
                  <w:marLeft w:val="0"/>
                  <w:marRight w:val="0"/>
                  <w:marTop w:val="0"/>
                  <w:marBottom w:val="0"/>
                  <w:divBdr>
                    <w:top w:val="none" w:sz="0" w:space="0" w:color="auto"/>
                    <w:left w:val="none" w:sz="0" w:space="0" w:color="auto"/>
                    <w:bottom w:val="none" w:sz="0" w:space="0" w:color="auto"/>
                    <w:right w:val="none" w:sz="0" w:space="0" w:color="auto"/>
                  </w:divBdr>
                </w:div>
                <w:div w:id="1529291921">
                  <w:marLeft w:val="0"/>
                  <w:marRight w:val="0"/>
                  <w:marTop w:val="0"/>
                  <w:marBottom w:val="0"/>
                  <w:divBdr>
                    <w:top w:val="none" w:sz="0" w:space="0" w:color="auto"/>
                    <w:left w:val="none" w:sz="0" w:space="0" w:color="auto"/>
                    <w:bottom w:val="none" w:sz="0" w:space="0" w:color="auto"/>
                    <w:right w:val="none" w:sz="0" w:space="0" w:color="auto"/>
                  </w:divBdr>
                </w:div>
                <w:div w:id="1868061131">
                  <w:marLeft w:val="0"/>
                  <w:marRight w:val="0"/>
                  <w:marTop w:val="0"/>
                  <w:marBottom w:val="0"/>
                  <w:divBdr>
                    <w:top w:val="none" w:sz="0" w:space="0" w:color="auto"/>
                    <w:left w:val="none" w:sz="0" w:space="0" w:color="auto"/>
                    <w:bottom w:val="none" w:sz="0" w:space="0" w:color="auto"/>
                    <w:right w:val="none" w:sz="0" w:space="0" w:color="auto"/>
                  </w:divBdr>
                </w:div>
                <w:div w:id="1502965910">
                  <w:marLeft w:val="0"/>
                  <w:marRight w:val="0"/>
                  <w:marTop w:val="0"/>
                  <w:marBottom w:val="0"/>
                  <w:divBdr>
                    <w:top w:val="none" w:sz="0" w:space="0" w:color="auto"/>
                    <w:left w:val="none" w:sz="0" w:space="0" w:color="auto"/>
                    <w:bottom w:val="none" w:sz="0" w:space="0" w:color="auto"/>
                    <w:right w:val="none" w:sz="0" w:space="0" w:color="auto"/>
                  </w:divBdr>
                </w:div>
                <w:div w:id="16520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027">
          <w:marLeft w:val="0"/>
          <w:marRight w:val="0"/>
          <w:marTop w:val="0"/>
          <w:marBottom w:val="0"/>
          <w:divBdr>
            <w:top w:val="none" w:sz="0" w:space="0" w:color="auto"/>
            <w:left w:val="none" w:sz="0" w:space="0" w:color="auto"/>
            <w:bottom w:val="none" w:sz="0" w:space="0" w:color="auto"/>
            <w:right w:val="none" w:sz="0" w:space="0" w:color="auto"/>
          </w:divBdr>
          <w:divsChild>
            <w:div w:id="1874996008">
              <w:marLeft w:val="0"/>
              <w:marRight w:val="0"/>
              <w:marTop w:val="0"/>
              <w:marBottom w:val="0"/>
              <w:divBdr>
                <w:top w:val="none" w:sz="0" w:space="0" w:color="auto"/>
                <w:left w:val="none" w:sz="0" w:space="0" w:color="auto"/>
                <w:bottom w:val="none" w:sz="0" w:space="0" w:color="auto"/>
                <w:right w:val="none" w:sz="0" w:space="0" w:color="auto"/>
              </w:divBdr>
              <w:divsChild>
                <w:div w:id="1742171734">
                  <w:marLeft w:val="0"/>
                  <w:marRight w:val="0"/>
                  <w:marTop w:val="0"/>
                  <w:marBottom w:val="0"/>
                  <w:divBdr>
                    <w:top w:val="none" w:sz="0" w:space="0" w:color="auto"/>
                    <w:left w:val="none" w:sz="0" w:space="0" w:color="auto"/>
                    <w:bottom w:val="none" w:sz="0" w:space="0" w:color="auto"/>
                    <w:right w:val="none" w:sz="0" w:space="0" w:color="auto"/>
                  </w:divBdr>
                </w:div>
                <w:div w:id="2026325987">
                  <w:marLeft w:val="0"/>
                  <w:marRight w:val="0"/>
                  <w:marTop w:val="0"/>
                  <w:marBottom w:val="0"/>
                  <w:divBdr>
                    <w:top w:val="none" w:sz="0" w:space="0" w:color="auto"/>
                    <w:left w:val="none" w:sz="0" w:space="0" w:color="auto"/>
                    <w:bottom w:val="none" w:sz="0" w:space="0" w:color="auto"/>
                    <w:right w:val="none" w:sz="0" w:space="0" w:color="auto"/>
                  </w:divBdr>
                </w:div>
                <w:div w:id="2141804467">
                  <w:marLeft w:val="0"/>
                  <w:marRight w:val="0"/>
                  <w:marTop w:val="0"/>
                  <w:marBottom w:val="0"/>
                  <w:divBdr>
                    <w:top w:val="none" w:sz="0" w:space="0" w:color="auto"/>
                    <w:left w:val="none" w:sz="0" w:space="0" w:color="auto"/>
                    <w:bottom w:val="none" w:sz="0" w:space="0" w:color="auto"/>
                    <w:right w:val="none" w:sz="0" w:space="0" w:color="auto"/>
                  </w:divBdr>
                </w:div>
                <w:div w:id="563762828">
                  <w:marLeft w:val="0"/>
                  <w:marRight w:val="0"/>
                  <w:marTop w:val="0"/>
                  <w:marBottom w:val="0"/>
                  <w:divBdr>
                    <w:top w:val="none" w:sz="0" w:space="0" w:color="auto"/>
                    <w:left w:val="none" w:sz="0" w:space="0" w:color="auto"/>
                    <w:bottom w:val="none" w:sz="0" w:space="0" w:color="auto"/>
                    <w:right w:val="none" w:sz="0" w:space="0" w:color="auto"/>
                  </w:divBdr>
                </w:div>
                <w:div w:id="16650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49364">
      <w:bodyDiv w:val="1"/>
      <w:marLeft w:val="0"/>
      <w:marRight w:val="0"/>
      <w:marTop w:val="0"/>
      <w:marBottom w:val="0"/>
      <w:divBdr>
        <w:top w:val="none" w:sz="0" w:space="0" w:color="auto"/>
        <w:left w:val="none" w:sz="0" w:space="0" w:color="auto"/>
        <w:bottom w:val="none" w:sz="0" w:space="0" w:color="auto"/>
        <w:right w:val="none" w:sz="0" w:space="0" w:color="auto"/>
      </w:divBdr>
      <w:divsChild>
        <w:div w:id="164322938">
          <w:marLeft w:val="0"/>
          <w:marRight w:val="0"/>
          <w:marTop w:val="0"/>
          <w:marBottom w:val="0"/>
          <w:divBdr>
            <w:top w:val="none" w:sz="0" w:space="0" w:color="auto"/>
            <w:left w:val="none" w:sz="0" w:space="0" w:color="auto"/>
            <w:bottom w:val="none" w:sz="0" w:space="0" w:color="auto"/>
            <w:right w:val="none" w:sz="0" w:space="0" w:color="auto"/>
          </w:divBdr>
        </w:div>
        <w:div w:id="132136586">
          <w:marLeft w:val="0"/>
          <w:marRight w:val="0"/>
          <w:marTop w:val="0"/>
          <w:marBottom w:val="0"/>
          <w:divBdr>
            <w:top w:val="none" w:sz="0" w:space="0" w:color="auto"/>
            <w:left w:val="none" w:sz="0" w:space="0" w:color="auto"/>
            <w:bottom w:val="none" w:sz="0" w:space="0" w:color="auto"/>
            <w:right w:val="none" w:sz="0" w:space="0" w:color="auto"/>
          </w:divBdr>
        </w:div>
        <w:div w:id="1241257426">
          <w:marLeft w:val="0"/>
          <w:marRight w:val="0"/>
          <w:marTop w:val="0"/>
          <w:marBottom w:val="0"/>
          <w:divBdr>
            <w:top w:val="none" w:sz="0" w:space="0" w:color="auto"/>
            <w:left w:val="none" w:sz="0" w:space="0" w:color="auto"/>
            <w:bottom w:val="none" w:sz="0" w:space="0" w:color="auto"/>
            <w:right w:val="none" w:sz="0" w:space="0" w:color="auto"/>
          </w:divBdr>
        </w:div>
      </w:divsChild>
    </w:div>
    <w:div w:id="772287181">
      <w:bodyDiv w:val="1"/>
      <w:marLeft w:val="0"/>
      <w:marRight w:val="0"/>
      <w:marTop w:val="0"/>
      <w:marBottom w:val="0"/>
      <w:divBdr>
        <w:top w:val="none" w:sz="0" w:space="0" w:color="auto"/>
        <w:left w:val="none" w:sz="0" w:space="0" w:color="auto"/>
        <w:bottom w:val="none" w:sz="0" w:space="0" w:color="auto"/>
        <w:right w:val="none" w:sz="0" w:space="0" w:color="auto"/>
      </w:divBdr>
      <w:divsChild>
        <w:div w:id="1324973098">
          <w:marLeft w:val="0"/>
          <w:marRight w:val="0"/>
          <w:marTop w:val="0"/>
          <w:marBottom w:val="0"/>
          <w:divBdr>
            <w:top w:val="none" w:sz="0" w:space="0" w:color="auto"/>
            <w:left w:val="none" w:sz="0" w:space="0" w:color="auto"/>
            <w:bottom w:val="none" w:sz="0" w:space="0" w:color="auto"/>
            <w:right w:val="none" w:sz="0" w:space="0" w:color="auto"/>
          </w:divBdr>
        </w:div>
        <w:div w:id="317850811">
          <w:marLeft w:val="0"/>
          <w:marRight w:val="0"/>
          <w:marTop w:val="0"/>
          <w:marBottom w:val="0"/>
          <w:divBdr>
            <w:top w:val="none" w:sz="0" w:space="0" w:color="auto"/>
            <w:left w:val="none" w:sz="0" w:space="0" w:color="auto"/>
            <w:bottom w:val="none" w:sz="0" w:space="0" w:color="auto"/>
            <w:right w:val="none" w:sz="0" w:space="0" w:color="auto"/>
          </w:divBdr>
        </w:div>
        <w:div w:id="302514933">
          <w:marLeft w:val="0"/>
          <w:marRight w:val="0"/>
          <w:marTop w:val="0"/>
          <w:marBottom w:val="0"/>
          <w:divBdr>
            <w:top w:val="none" w:sz="0" w:space="0" w:color="auto"/>
            <w:left w:val="none" w:sz="0" w:space="0" w:color="auto"/>
            <w:bottom w:val="none" w:sz="0" w:space="0" w:color="auto"/>
            <w:right w:val="none" w:sz="0" w:space="0" w:color="auto"/>
          </w:divBdr>
        </w:div>
        <w:div w:id="141582247">
          <w:marLeft w:val="0"/>
          <w:marRight w:val="0"/>
          <w:marTop w:val="0"/>
          <w:marBottom w:val="0"/>
          <w:divBdr>
            <w:top w:val="none" w:sz="0" w:space="0" w:color="auto"/>
            <w:left w:val="none" w:sz="0" w:space="0" w:color="auto"/>
            <w:bottom w:val="none" w:sz="0" w:space="0" w:color="auto"/>
            <w:right w:val="none" w:sz="0" w:space="0" w:color="auto"/>
          </w:divBdr>
        </w:div>
        <w:div w:id="689140024">
          <w:marLeft w:val="0"/>
          <w:marRight w:val="0"/>
          <w:marTop w:val="0"/>
          <w:marBottom w:val="0"/>
          <w:divBdr>
            <w:top w:val="none" w:sz="0" w:space="0" w:color="auto"/>
            <w:left w:val="none" w:sz="0" w:space="0" w:color="auto"/>
            <w:bottom w:val="none" w:sz="0" w:space="0" w:color="auto"/>
            <w:right w:val="none" w:sz="0" w:space="0" w:color="auto"/>
          </w:divBdr>
        </w:div>
        <w:div w:id="321743019">
          <w:marLeft w:val="0"/>
          <w:marRight w:val="0"/>
          <w:marTop w:val="0"/>
          <w:marBottom w:val="0"/>
          <w:divBdr>
            <w:top w:val="none" w:sz="0" w:space="0" w:color="auto"/>
            <w:left w:val="none" w:sz="0" w:space="0" w:color="auto"/>
            <w:bottom w:val="none" w:sz="0" w:space="0" w:color="auto"/>
            <w:right w:val="none" w:sz="0" w:space="0" w:color="auto"/>
          </w:divBdr>
        </w:div>
        <w:div w:id="197083336">
          <w:marLeft w:val="0"/>
          <w:marRight w:val="0"/>
          <w:marTop w:val="0"/>
          <w:marBottom w:val="0"/>
          <w:divBdr>
            <w:top w:val="none" w:sz="0" w:space="0" w:color="auto"/>
            <w:left w:val="none" w:sz="0" w:space="0" w:color="auto"/>
            <w:bottom w:val="none" w:sz="0" w:space="0" w:color="auto"/>
            <w:right w:val="none" w:sz="0" w:space="0" w:color="auto"/>
          </w:divBdr>
        </w:div>
        <w:div w:id="1145439121">
          <w:marLeft w:val="0"/>
          <w:marRight w:val="0"/>
          <w:marTop w:val="0"/>
          <w:marBottom w:val="0"/>
          <w:divBdr>
            <w:top w:val="none" w:sz="0" w:space="0" w:color="auto"/>
            <w:left w:val="none" w:sz="0" w:space="0" w:color="auto"/>
            <w:bottom w:val="none" w:sz="0" w:space="0" w:color="auto"/>
            <w:right w:val="none" w:sz="0" w:space="0" w:color="auto"/>
          </w:divBdr>
        </w:div>
        <w:div w:id="1288045114">
          <w:marLeft w:val="0"/>
          <w:marRight w:val="0"/>
          <w:marTop w:val="0"/>
          <w:marBottom w:val="0"/>
          <w:divBdr>
            <w:top w:val="none" w:sz="0" w:space="0" w:color="auto"/>
            <w:left w:val="none" w:sz="0" w:space="0" w:color="auto"/>
            <w:bottom w:val="none" w:sz="0" w:space="0" w:color="auto"/>
            <w:right w:val="none" w:sz="0" w:space="0" w:color="auto"/>
          </w:divBdr>
        </w:div>
        <w:div w:id="1750614442">
          <w:marLeft w:val="0"/>
          <w:marRight w:val="0"/>
          <w:marTop w:val="0"/>
          <w:marBottom w:val="0"/>
          <w:divBdr>
            <w:top w:val="none" w:sz="0" w:space="0" w:color="auto"/>
            <w:left w:val="none" w:sz="0" w:space="0" w:color="auto"/>
            <w:bottom w:val="none" w:sz="0" w:space="0" w:color="auto"/>
            <w:right w:val="none" w:sz="0" w:space="0" w:color="auto"/>
          </w:divBdr>
        </w:div>
      </w:divsChild>
    </w:div>
    <w:div w:id="802118014">
      <w:bodyDiv w:val="1"/>
      <w:marLeft w:val="0"/>
      <w:marRight w:val="0"/>
      <w:marTop w:val="0"/>
      <w:marBottom w:val="0"/>
      <w:divBdr>
        <w:top w:val="none" w:sz="0" w:space="0" w:color="auto"/>
        <w:left w:val="none" w:sz="0" w:space="0" w:color="auto"/>
        <w:bottom w:val="none" w:sz="0" w:space="0" w:color="auto"/>
        <w:right w:val="none" w:sz="0" w:space="0" w:color="auto"/>
      </w:divBdr>
      <w:divsChild>
        <w:div w:id="59523731">
          <w:marLeft w:val="0"/>
          <w:marRight w:val="0"/>
          <w:marTop w:val="0"/>
          <w:marBottom w:val="0"/>
          <w:divBdr>
            <w:top w:val="none" w:sz="0" w:space="0" w:color="auto"/>
            <w:left w:val="none" w:sz="0" w:space="0" w:color="auto"/>
            <w:bottom w:val="none" w:sz="0" w:space="0" w:color="auto"/>
            <w:right w:val="none" w:sz="0" w:space="0" w:color="auto"/>
          </w:divBdr>
        </w:div>
      </w:divsChild>
    </w:div>
    <w:div w:id="847478087">
      <w:bodyDiv w:val="1"/>
      <w:marLeft w:val="0"/>
      <w:marRight w:val="0"/>
      <w:marTop w:val="0"/>
      <w:marBottom w:val="0"/>
      <w:divBdr>
        <w:top w:val="none" w:sz="0" w:space="0" w:color="auto"/>
        <w:left w:val="none" w:sz="0" w:space="0" w:color="auto"/>
        <w:bottom w:val="none" w:sz="0" w:space="0" w:color="auto"/>
        <w:right w:val="none" w:sz="0" w:space="0" w:color="auto"/>
      </w:divBdr>
      <w:divsChild>
        <w:div w:id="932933561">
          <w:marLeft w:val="0"/>
          <w:marRight w:val="0"/>
          <w:marTop w:val="0"/>
          <w:marBottom w:val="0"/>
          <w:divBdr>
            <w:top w:val="none" w:sz="0" w:space="0" w:color="auto"/>
            <w:left w:val="none" w:sz="0" w:space="0" w:color="auto"/>
            <w:bottom w:val="none" w:sz="0" w:space="0" w:color="auto"/>
            <w:right w:val="none" w:sz="0" w:space="0" w:color="auto"/>
          </w:divBdr>
        </w:div>
      </w:divsChild>
    </w:div>
    <w:div w:id="890925043">
      <w:bodyDiv w:val="1"/>
      <w:marLeft w:val="0"/>
      <w:marRight w:val="0"/>
      <w:marTop w:val="0"/>
      <w:marBottom w:val="0"/>
      <w:divBdr>
        <w:top w:val="none" w:sz="0" w:space="0" w:color="auto"/>
        <w:left w:val="none" w:sz="0" w:space="0" w:color="auto"/>
        <w:bottom w:val="none" w:sz="0" w:space="0" w:color="auto"/>
        <w:right w:val="none" w:sz="0" w:space="0" w:color="auto"/>
      </w:divBdr>
      <w:divsChild>
        <w:div w:id="805784189">
          <w:marLeft w:val="0"/>
          <w:marRight w:val="0"/>
          <w:marTop w:val="0"/>
          <w:marBottom w:val="0"/>
          <w:divBdr>
            <w:top w:val="none" w:sz="0" w:space="0" w:color="auto"/>
            <w:left w:val="none" w:sz="0" w:space="0" w:color="auto"/>
            <w:bottom w:val="none" w:sz="0" w:space="0" w:color="auto"/>
            <w:right w:val="none" w:sz="0" w:space="0" w:color="auto"/>
          </w:divBdr>
        </w:div>
        <w:div w:id="1086539903">
          <w:marLeft w:val="0"/>
          <w:marRight w:val="0"/>
          <w:marTop w:val="0"/>
          <w:marBottom w:val="0"/>
          <w:divBdr>
            <w:top w:val="none" w:sz="0" w:space="0" w:color="auto"/>
            <w:left w:val="none" w:sz="0" w:space="0" w:color="auto"/>
            <w:bottom w:val="none" w:sz="0" w:space="0" w:color="auto"/>
            <w:right w:val="none" w:sz="0" w:space="0" w:color="auto"/>
          </w:divBdr>
        </w:div>
        <w:div w:id="1104421054">
          <w:marLeft w:val="0"/>
          <w:marRight w:val="0"/>
          <w:marTop w:val="0"/>
          <w:marBottom w:val="0"/>
          <w:divBdr>
            <w:top w:val="none" w:sz="0" w:space="0" w:color="auto"/>
            <w:left w:val="none" w:sz="0" w:space="0" w:color="auto"/>
            <w:bottom w:val="none" w:sz="0" w:space="0" w:color="auto"/>
            <w:right w:val="none" w:sz="0" w:space="0" w:color="auto"/>
          </w:divBdr>
        </w:div>
        <w:div w:id="547107501">
          <w:marLeft w:val="0"/>
          <w:marRight w:val="0"/>
          <w:marTop w:val="0"/>
          <w:marBottom w:val="0"/>
          <w:divBdr>
            <w:top w:val="none" w:sz="0" w:space="0" w:color="auto"/>
            <w:left w:val="none" w:sz="0" w:space="0" w:color="auto"/>
            <w:bottom w:val="none" w:sz="0" w:space="0" w:color="auto"/>
            <w:right w:val="none" w:sz="0" w:space="0" w:color="auto"/>
          </w:divBdr>
        </w:div>
        <w:div w:id="814493725">
          <w:marLeft w:val="0"/>
          <w:marRight w:val="0"/>
          <w:marTop w:val="0"/>
          <w:marBottom w:val="0"/>
          <w:divBdr>
            <w:top w:val="none" w:sz="0" w:space="0" w:color="auto"/>
            <w:left w:val="none" w:sz="0" w:space="0" w:color="auto"/>
            <w:bottom w:val="none" w:sz="0" w:space="0" w:color="auto"/>
            <w:right w:val="none" w:sz="0" w:space="0" w:color="auto"/>
          </w:divBdr>
        </w:div>
        <w:div w:id="1290089124">
          <w:marLeft w:val="0"/>
          <w:marRight w:val="0"/>
          <w:marTop w:val="0"/>
          <w:marBottom w:val="0"/>
          <w:divBdr>
            <w:top w:val="none" w:sz="0" w:space="0" w:color="auto"/>
            <w:left w:val="none" w:sz="0" w:space="0" w:color="auto"/>
            <w:bottom w:val="none" w:sz="0" w:space="0" w:color="auto"/>
            <w:right w:val="none" w:sz="0" w:space="0" w:color="auto"/>
          </w:divBdr>
        </w:div>
        <w:div w:id="1655599560">
          <w:marLeft w:val="0"/>
          <w:marRight w:val="0"/>
          <w:marTop w:val="0"/>
          <w:marBottom w:val="0"/>
          <w:divBdr>
            <w:top w:val="none" w:sz="0" w:space="0" w:color="auto"/>
            <w:left w:val="none" w:sz="0" w:space="0" w:color="auto"/>
            <w:bottom w:val="none" w:sz="0" w:space="0" w:color="auto"/>
            <w:right w:val="none" w:sz="0" w:space="0" w:color="auto"/>
          </w:divBdr>
        </w:div>
        <w:div w:id="1037050472">
          <w:marLeft w:val="0"/>
          <w:marRight w:val="0"/>
          <w:marTop w:val="0"/>
          <w:marBottom w:val="0"/>
          <w:divBdr>
            <w:top w:val="none" w:sz="0" w:space="0" w:color="auto"/>
            <w:left w:val="none" w:sz="0" w:space="0" w:color="auto"/>
            <w:bottom w:val="none" w:sz="0" w:space="0" w:color="auto"/>
            <w:right w:val="none" w:sz="0" w:space="0" w:color="auto"/>
          </w:divBdr>
        </w:div>
        <w:div w:id="2127651921">
          <w:marLeft w:val="0"/>
          <w:marRight w:val="0"/>
          <w:marTop w:val="0"/>
          <w:marBottom w:val="0"/>
          <w:divBdr>
            <w:top w:val="none" w:sz="0" w:space="0" w:color="auto"/>
            <w:left w:val="none" w:sz="0" w:space="0" w:color="auto"/>
            <w:bottom w:val="none" w:sz="0" w:space="0" w:color="auto"/>
            <w:right w:val="none" w:sz="0" w:space="0" w:color="auto"/>
          </w:divBdr>
        </w:div>
        <w:div w:id="586425687">
          <w:marLeft w:val="0"/>
          <w:marRight w:val="0"/>
          <w:marTop w:val="0"/>
          <w:marBottom w:val="0"/>
          <w:divBdr>
            <w:top w:val="none" w:sz="0" w:space="0" w:color="auto"/>
            <w:left w:val="none" w:sz="0" w:space="0" w:color="auto"/>
            <w:bottom w:val="none" w:sz="0" w:space="0" w:color="auto"/>
            <w:right w:val="none" w:sz="0" w:space="0" w:color="auto"/>
          </w:divBdr>
        </w:div>
        <w:div w:id="3407967">
          <w:marLeft w:val="0"/>
          <w:marRight w:val="0"/>
          <w:marTop w:val="0"/>
          <w:marBottom w:val="0"/>
          <w:divBdr>
            <w:top w:val="none" w:sz="0" w:space="0" w:color="auto"/>
            <w:left w:val="none" w:sz="0" w:space="0" w:color="auto"/>
            <w:bottom w:val="none" w:sz="0" w:space="0" w:color="auto"/>
            <w:right w:val="none" w:sz="0" w:space="0" w:color="auto"/>
          </w:divBdr>
        </w:div>
        <w:div w:id="1366128568">
          <w:marLeft w:val="0"/>
          <w:marRight w:val="0"/>
          <w:marTop w:val="0"/>
          <w:marBottom w:val="0"/>
          <w:divBdr>
            <w:top w:val="none" w:sz="0" w:space="0" w:color="auto"/>
            <w:left w:val="none" w:sz="0" w:space="0" w:color="auto"/>
            <w:bottom w:val="none" w:sz="0" w:space="0" w:color="auto"/>
            <w:right w:val="none" w:sz="0" w:space="0" w:color="auto"/>
          </w:divBdr>
        </w:div>
        <w:div w:id="1782144508">
          <w:marLeft w:val="0"/>
          <w:marRight w:val="0"/>
          <w:marTop w:val="0"/>
          <w:marBottom w:val="0"/>
          <w:divBdr>
            <w:top w:val="none" w:sz="0" w:space="0" w:color="auto"/>
            <w:left w:val="none" w:sz="0" w:space="0" w:color="auto"/>
            <w:bottom w:val="none" w:sz="0" w:space="0" w:color="auto"/>
            <w:right w:val="none" w:sz="0" w:space="0" w:color="auto"/>
          </w:divBdr>
        </w:div>
        <w:div w:id="960570066">
          <w:marLeft w:val="0"/>
          <w:marRight w:val="0"/>
          <w:marTop w:val="0"/>
          <w:marBottom w:val="0"/>
          <w:divBdr>
            <w:top w:val="none" w:sz="0" w:space="0" w:color="auto"/>
            <w:left w:val="none" w:sz="0" w:space="0" w:color="auto"/>
            <w:bottom w:val="none" w:sz="0" w:space="0" w:color="auto"/>
            <w:right w:val="none" w:sz="0" w:space="0" w:color="auto"/>
          </w:divBdr>
        </w:div>
        <w:div w:id="1697392324">
          <w:marLeft w:val="0"/>
          <w:marRight w:val="0"/>
          <w:marTop w:val="0"/>
          <w:marBottom w:val="0"/>
          <w:divBdr>
            <w:top w:val="none" w:sz="0" w:space="0" w:color="auto"/>
            <w:left w:val="none" w:sz="0" w:space="0" w:color="auto"/>
            <w:bottom w:val="none" w:sz="0" w:space="0" w:color="auto"/>
            <w:right w:val="none" w:sz="0" w:space="0" w:color="auto"/>
          </w:divBdr>
        </w:div>
        <w:div w:id="1239093941">
          <w:marLeft w:val="0"/>
          <w:marRight w:val="0"/>
          <w:marTop w:val="0"/>
          <w:marBottom w:val="0"/>
          <w:divBdr>
            <w:top w:val="none" w:sz="0" w:space="0" w:color="auto"/>
            <w:left w:val="none" w:sz="0" w:space="0" w:color="auto"/>
            <w:bottom w:val="none" w:sz="0" w:space="0" w:color="auto"/>
            <w:right w:val="none" w:sz="0" w:space="0" w:color="auto"/>
          </w:divBdr>
        </w:div>
      </w:divsChild>
    </w:div>
    <w:div w:id="927810684">
      <w:bodyDiv w:val="1"/>
      <w:marLeft w:val="0"/>
      <w:marRight w:val="0"/>
      <w:marTop w:val="0"/>
      <w:marBottom w:val="0"/>
      <w:divBdr>
        <w:top w:val="none" w:sz="0" w:space="0" w:color="auto"/>
        <w:left w:val="none" w:sz="0" w:space="0" w:color="auto"/>
        <w:bottom w:val="none" w:sz="0" w:space="0" w:color="auto"/>
        <w:right w:val="none" w:sz="0" w:space="0" w:color="auto"/>
      </w:divBdr>
      <w:divsChild>
        <w:div w:id="1291134773">
          <w:marLeft w:val="0"/>
          <w:marRight w:val="0"/>
          <w:marTop w:val="0"/>
          <w:marBottom w:val="0"/>
          <w:divBdr>
            <w:top w:val="none" w:sz="0" w:space="0" w:color="auto"/>
            <w:left w:val="none" w:sz="0" w:space="0" w:color="auto"/>
            <w:bottom w:val="none" w:sz="0" w:space="0" w:color="auto"/>
            <w:right w:val="none" w:sz="0" w:space="0" w:color="auto"/>
          </w:divBdr>
        </w:div>
      </w:divsChild>
    </w:div>
    <w:div w:id="941494541">
      <w:bodyDiv w:val="1"/>
      <w:marLeft w:val="0"/>
      <w:marRight w:val="0"/>
      <w:marTop w:val="0"/>
      <w:marBottom w:val="0"/>
      <w:divBdr>
        <w:top w:val="none" w:sz="0" w:space="0" w:color="auto"/>
        <w:left w:val="none" w:sz="0" w:space="0" w:color="auto"/>
        <w:bottom w:val="none" w:sz="0" w:space="0" w:color="auto"/>
        <w:right w:val="none" w:sz="0" w:space="0" w:color="auto"/>
      </w:divBdr>
      <w:divsChild>
        <w:div w:id="172495066">
          <w:marLeft w:val="0"/>
          <w:marRight w:val="0"/>
          <w:marTop w:val="0"/>
          <w:marBottom w:val="0"/>
          <w:divBdr>
            <w:top w:val="none" w:sz="0" w:space="0" w:color="auto"/>
            <w:left w:val="none" w:sz="0" w:space="0" w:color="auto"/>
            <w:bottom w:val="none" w:sz="0" w:space="0" w:color="auto"/>
            <w:right w:val="none" w:sz="0" w:space="0" w:color="auto"/>
          </w:divBdr>
        </w:div>
        <w:div w:id="384985690">
          <w:marLeft w:val="0"/>
          <w:marRight w:val="0"/>
          <w:marTop w:val="0"/>
          <w:marBottom w:val="0"/>
          <w:divBdr>
            <w:top w:val="none" w:sz="0" w:space="0" w:color="auto"/>
            <w:left w:val="none" w:sz="0" w:space="0" w:color="auto"/>
            <w:bottom w:val="none" w:sz="0" w:space="0" w:color="auto"/>
            <w:right w:val="none" w:sz="0" w:space="0" w:color="auto"/>
          </w:divBdr>
        </w:div>
        <w:div w:id="388459198">
          <w:marLeft w:val="0"/>
          <w:marRight w:val="0"/>
          <w:marTop w:val="0"/>
          <w:marBottom w:val="0"/>
          <w:divBdr>
            <w:top w:val="none" w:sz="0" w:space="0" w:color="auto"/>
            <w:left w:val="none" w:sz="0" w:space="0" w:color="auto"/>
            <w:bottom w:val="none" w:sz="0" w:space="0" w:color="auto"/>
            <w:right w:val="none" w:sz="0" w:space="0" w:color="auto"/>
          </w:divBdr>
        </w:div>
        <w:div w:id="380255670">
          <w:marLeft w:val="0"/>
          <w:marRight w:val="0"/>
          <w:marTop w:val="0"/>
          <w:marBottom w:val="0"/>
          <w:divBdr>
            <w:top w:val="none" w:sz="0" w:space="0" w:color="auto"/>
            <w:left w:val="none" w:sz="0" w:space="0" w:color="auto"/>
            <w:bottom w:val="none" w:sz="0" w:space="0" w:color="auto"/>
            <w:right w:val="none" w:sz="0" w:space="0" w:color="auto"/>
          </w:divBdr>
        </w:div>
        <w:div w:id="448819190">
          <w:marLeft w:val="0"/>
          <w:marRight w:val="0"/>
          <w:marTop w:val="0"/>
          <w:marBottom w:val="0"/>
          <w:divBdr>
            <w:top w:val="none" w:sz="0" w:space="0" w:color="auto"/>
            <w:left w:val="none" w:sz="0" w:space="0" w:color="auto"/>
            <w:bottom w:val="none" w:sz="0" w:space="0" w:color="auto"/>
            <w:right w:val="none" w:sz="0" w:space="0" w:color="auto"/>
          </w:divBdr>
        </w:div>
        <w:div w:id="1635793143">
          <w:marLeft w:val="0"/>
          <w:marRight w:val="0"/>
          <w:marTop w:val="0"/>
          <w:marBottom w:val="0"/>
          <w:divBdr>
            <w:top w:val="none" w:sz="0" w:space="0" w:color="auto"/>
            <w:left w:val="none" w:sz="0" w:space="0" w:color="auto"/>
            <w:bottom w:val="none" w:sz="0" w:space="0" w:color="auto"/>
            <w:right w:val="none" w:sz="0" w:space="0" w:color="auto"/>
          </w:divBdr>
        </w:div>
        <w:div w:id="2100982666">
          <w:marLeft w:val="0"/>
          <w:marRight w:val="0"/>
          <w:marTop w:val="0"/>
          <w:marBottom w:val="0"/>
          <w:divBdr>
            <w:top w:val="none" w:sz="0" w:space="0" w:color="auto"/>
            <w:left w:val="none" w:sz="0" w:space="0" w:color="auto"/>
            <w:bottom w:val="none" w:sz="0" w:space="0" w:color="auto"/>
            <w:right w:val="none" w:sz="0" w:space="0" w:color="auto"/>
          </w:divBdr>
        </w:div>
        <w:div w:id="617297875">
          <w:marLeft w:val="0"/>
          <w:marRight w:val="0"/>
          <w:marTop w:val="0"/>
          <w:marBottom w:val="0"/>
          <w:divBdr>
            <w:top w:val="none" w:sz="0" w:space="0" w:color="auto"/>
            <w:left w:val="none" w:sz="0" w:space="0" w:color="auto"/>
            <w:bottom w:val="none" w:sz="0" w:space="0" w:color="auto"/>
            <w:right w:val="none" w:sz="0" w:space="0" w:color="auto"/>
          </w:divBdr>
        </w:div>
        <w:div w:id="1016660026">
          <w:marLeft w:val="0"/>
          <w:marRight w:val="0"/>
          <w:marTop w:val="0"/>
          <w:marBottom w:val="0"/>
          <w:divBdr>
            <w:top w:val="none" w:sz="0" w:space="0" w:color="auto"/>
            <w:left w:val="none" w:sz="0" w:space="0" w:color="auto"/>
            <w:bottom w:val="none" w:sz="0" w:space="0" w:color="auto"/>
            <w:right w:val="none" w:sz="0" w:space="0" w:color="auto"/>
          </w:divBdr>
        </w:div>
        <w:div w:id="1141926227">
          <w:marLeft w:val="0"/>
          <w:marRight w:val="0"/>
          <w:marTop w:val="0"/>
          <w:marBottom w:val="0"/>
          <w:divBdr>
            <w:top w:val="none" w:sz="0" w:space="0" w:color="auto"/>
            <w:left w:val="none" w:sz="0" w:space="0" w:color="auto"/>
            <w:bottom w:val="none" w:sz="0" w:space="0" w:color="auto"/>
            <w:right w:val="none" w:sz="0" w:space="0" w:color="auto"/>
          </w:divBdr>
        </w:div>
        <w:div w:id="876889985">
          <w:marLeft w:val="0"/>
          <w:marRight w:val="0"/>
          <w:marTop w:val="0"/>
          <w:marBottom w:val="0"/>
          <w:divBdr>
            <w:top w:val="none" w:sz="0" w:space="0" w:color="auto"/>
            <w:left w:val="none" w:sz="0" w:space="0" w:color="auto"/>
            <w:bottom w:val="none" w:sz="0" w:space="0" w:color="auto"/>
            <w:right w:val="none" w:sz="0" w:space="0" w:color="auto"/>
          </w:divBdr>
        </w:div>
        <w:div w:id="1235624657">
          <w:marLeft w:val="0"/>
          <w:marRight w:val="0"/>
          <w:marTop w:val="0"/>
          <w:marBottom w:val="0"/>
          <w:divBdr>
            <w:top w:val="none" w:sz="0" w:space="0" w:color="auto"/>
            <w:left w:val="none" w:sz="0" w:space="0" w:color="auto"/>
            <w:bottom w:val="none" w:sz="0" w:space="0" w:color="auto"/>
            <w:right w:val="none" w:sz="0" w:space="0" w:color="auto"/>
          </w:divBdr>
        </w:div>
        <w:div w:id="1340739134">
          <w:marLeft w:val="0"/>
          <w:marRight w:val="0"/>
          <w:marTop w:val="0"/>
          <w:marBottom w:val="0"/>
          <w:divBdr>
            <w:top w:val="none" w:sz="0" w:space="0" w:color="auto"/>
            <w:left w:val="none" w:sz="0" w:space="0" w:color="auto"/>
            <w:bottom w:val="none" w:sz="0" w:space="0" w:color="auto"/>
            <w:right w:val="none" w:sz="0" w:space="0" w:color="auto"/>
          </w:divBdr>
        </w:div>
        <w:div w:id="1936591705">
          <w:marLeft w:val="0"/>
          <w:marRight w:val="0"/>
          <w:marTop w:val="0"/>
          <w:marBottom w:val="0"/>
          <w:divBdr>
            <w:top w:val="none" w:sz="0" w:space="0" w:color="auto"/>
            <w:left w:val="none" w:sz="0" w:space="0" w:color="auto"/>
            <w:bottom w:val="none" w:sz="0" w:space="0" w:color="auto"/>
            <w:right w:val="none" w:sz="0" w:space="0" w:color="auto"/>
          </w:divBdr>
        </w:div>
        <w:div w:id="1498302141">
          <w:marLeft w:val="0"/>
          <w:marRight w:val="0"/>
          <w:marTop w:val="0"/>
          <w:marBottom w:val="0"/>
          <w:divBdr>
            <w:top w:val="none" w:sz="0" w:space="0" w:color="auto"/>
            <w:left w:val="none" w:sz="0" w:space="0" w:color="auto"/>
            <w:bottom w:val="none" w:sz="0" w:space="0" w:color="auto"/>
            <w:right w:val="none" w:sz="0" w:space="0" w:color="auto"/>
          </w:divBdr>
        </w:div>
        <w:div w:id="1421296723">
          <w:marLeft w:val="0"/>
          <w:marRight w:val="0"/>
          <w:marTop w:val="0"/>
          <w:marBottom w:val="0"/>
          <w:divBdr>
            <w:top w:val="none" w:sz="0" w:space="0" w:color="auto"/>
            <w:left w:val="none" w:sz="0" w:space="0" w:color="auto"/>
            <w:bottom w:val="none" w:sz="0" w:space="0" w:color="auto"/>
            <w:right w:val="none" w:sz="0" w:space="0" w:color="auto"/>
          </w:divBdr>
        </w:div>
      </w:divsChild>
    </w:div>
    <w:div w:id="994725739">
      <w:bodyDiv w:val="1"/>
      <w:marLeft w:val="0"/>
      <w:marRight w:val="0"/>
      <w:marTop w:val="0"/>
      <w:marBottom w:val="0"/>
      <w:divBdr>
        <w:top w:val="none" w:sz="0" w:space="0" w:color="auto"/>
        <w:left w:val="none" w:sz="0" w:space="0" w:color="auto"/>
        <w:bottom w:val="none" w:sz="0" w:space="0" w:color="auto"/>
        <w:right w:val="none" w:sz="0" w:space="0" w:color="auto"/>
      </w:divBdr>
      <w:divsChild>
        <w:div w:id="185367146">
          <w:marLeft w:val="0"/>
          <w:marRight w:val="0"/>
          <w:marTop w:val="0"/>
          <w:marBottom w:val="0"/>
          <w:divBdr>
            <w:top w:val="none" w:sz="0" w:space="0" w:color="auto"/>
            <w:left w:val="none" w:sz="0" w:space="0" w:color="auto"/>
            <w:bottom w:val="none" w:sz="0" w:space="0" w:color="auto"/>
            <w:right w:val="none" w:sz="0" w:space="0" w:color="auto"/>
          </w:divBdr>
        </w:div>
        <w:div w:id="1744646362">
          <w:marLeft w:val="0"/>
          <w:marRight w:val="0"/>
          <w:marTop w:val="0"/>
          <w:marBottom w:val="0"/>
          <w:divBdr>
            <w:top w:val="none" w:sz="0" w:space="0" w:color="auto"/>
            <w:left w:val="none" w:sz="0" w:space="0" w:color="auto"/>
            <w:bottom w:val="none" w:sz="0" w:space="0" w:color="auto"/>
            <w:right w:val="none" w:sz="0" w:space="0" w:color="auto"/>
          </w:divBdr>
        </w:div>
        <w:div w:id="874197058">
          <w:marLeft w:val="0"/>
          <w:marRight w:val="0"/>
          <w:marTop w:val="0"/>
          <w:marBottom w:val="0"/>
          <w:divBdr>
            <w:top w:val="none" w:sz="0" w:space="0" w:color="auto"/>
            <w:left w:val="none" w:sz="0" w:space="0" w:color="auto"/>
            <w:bottom w:val="none" w:sz="0" w:space="0" w:color="auto"/>
            <w:right w:val="none" w:sz="0" w:space="0" w:color="auto"/>
          </w:divBdr>
        </w:div>
        <w:div w:id="1798794243">
          <w:marLeft w:val="0"/>
          <w:marRight w:val="0"/>
          <w:marTop w:val="0"/>
          <w:marBottom w:val="0"/>
          <w:divBdr>
            <w:top w:val="none" w:sz="0" w:space="0" w:color="auto"/>
            <w:left w:val="none" w:sz="0" w:space="0" w:color="auto"/>
            <w:bottom w:val="none" w:sz="0" w:space="0" w:color="auto"/>
            <w:right w:val="none" w:sz="0" w:space="0" w:color="auto"/>
          </w:divBdr>
        </w:div>
        <w:div w:id="1707563469">
          <w:marLeft w:val="0"/>
          <w:marRight w:val="0"/>
          <w:marTop w:val="0"/>
          <w:marBottom w:val="0"/>
          <w:divBdr>
            <w:top w:val="none" w:sz="0" w:space="0" w:color="auto"/>
            <w:left w:val="none" w:sz="0" w:space="0" w:color="auto"/>
            <w:bottom w:val="none" w:sz="0" w:space="0" w:color="auto"/>
            <w:right w:val="none" w:sz="0" w:space="0" w:color="auto"/>
          </w:divBdr>
        </w:div>
        <w:div w:id="693506403">
          <w:marLeft w:val="0"/>
          <w:marRight w:val="0"/>
          <w:marTop w:val="0"/>
          <w:marBottom w:val="0"/>
          <w:divBdr>
            <w:top w:val="none" w:sz="0" w:space="0" w:color="auto"/>
            <w:left w:val="none" w:sz="0" w:space="0" w:color="auto"/>
            <w:bottom w:val="none" w:sz="0" w:space="0" w:color="auto"/>
            <w:right w:val="none" w:sz="0" w:space="0" w:color="auto"/>
          </w:divBdr>
        </w:div>
        <w:div w:id="2108571755">
          <w:marLeft w:val="0"/>
          <w:marRight w:val="0"/>
          <w:marTop w:val="0"/>
          <w:marBottom w:val="0"/>
          <w:divBdr>
            <w:top w:val="none" w:sz="0" w:space="0" w:color="auto"/>
            <w:left w:val="none" w:sz="0" w:space="0" w:color="auto"/>
            <w:bottom w:val="none" w:sz="0" w:space="0" w:color="auto"/>
            <w:right w:val="none" w:sz="0" w:space="0" w:color="auto"/>
          </w:divBdr>
        </w:div>
        <w:div w:id="1628390353">
          <w:marLeft w:val="0"/>
          <w:marRight w:val="0"/>
          <w:marTop w:val="0"/>
          <w:marBottom w:val="0"/>
          <w:divBdr>
            <w:top w:val="none" w:sz="0" w:space="0" w:color="auto"/>
            <w:left w:val="none" w:sz="0" w:space="0" w:color="auto"/>
            <w:bottom w:val="none" w:sz="0" w:space="0" w:color="auto"/>
            <w:right w:val="none" w:sz="0" w:space="0" w:color="auto"/>
          </w:divBdr>
        </w:div>
      </w:divsChild>
    </w:div>
    <w:div w:id="1116949695">
      <w:bodyDiv w:val="1"/>
      <w:marLeft w:val="0"/>
      <w:marRight w:val="0"/>
      <w:marTop w:val="0"/>
      <w:marBottom w:val="0"/>
      <w:divBdr>
        <w:top w:val="none" w:sz="0" w:space="0" w:color="auto"/>
        <w:left w:val="none" w:sz="0" w:space="0" w:color="auto"/>
        <w:bottom w:val="none" w:sz="0" w:space="0" w:color="auto"/>
        <w:right w:val="none" w:sz="0" w:space="0" w:color="auto"/>
      </w:divBdr>
      <w:divsChild>
        <w:div w:id="867330878">
          <w:marLeft w:val="0"/>
          <w:marRight w:val="0"/>
          <w:marTop w:val="0"/>
          <w:marBottom w:val="0"/>
          <w:divBdr>
            <w:top w:val="none" w:sz="0" w:space="0" w:color="auto"/>
            <w:left w:val="none" w:sz="0" w:space="0" w:color="auto"/>
            <w:bottom w:val="none" w:sz="0" w:space="0" w:color="auto"/>
            <w:right w:val="none" w:sz="0" w:space="0" w:color="auto"/>
          </w:divBdr>
        </w:div>
      </w:divsChild>
    </w:div>
    <w:div w:id="1149205773">
      <w:bodyDiv w:val="1"/>
      <w:marLeft w:val="0"/>
      <w:marRight w:val="0"/>
      <w:marTop w:val="0"/>
      <w:marBottom w:val="0"/>
      <w:divBdr>
        <w:top w:val="none" w:sz="0" w:space="0" w:color="auto"/>
        <w:left w:val="none" w:sz="0" w:space="0" w:color="auto"/>
        <w:bottom w:val="none" w:sz="0" w:space="0" w:color="auto"/>
        <w:right w:val="none" w:sz="0" w:space="0" w:color="auto"/>
      </w:divBdr>
      <w:divsChild>
        <w:div w:id="1563710341">
          <w:marLeft w:val="0"/>
          <w:marRight w:val="0"/>
          <w:marTop w:val="0"/>
          <w:marBottom w:val="0"/>
          <w:divBdr>
            <w:top w:val="none" w:sz="0" w:space="0" w:color="auto"/>
            <w:left w:val="none" w:sz="0" w:space="0" w:color="auto"/>
            <w:bottom w:val="none" w:sz="0" w:space="0" w:color="auto"/>
            <w:right w:val="none" w:sz="0" w:space="0" w:color="auto"/>
          </w:divBdr>
        </w:div>
      </w:divsChild>
    </w:div>
    <w:div w:id="1312321685">
      <w:bodyDiv w:val="1"/>
      <w:marLeft w:val="0"/>
      <w:marRight w:val="0"/>
      <w:marTop w:val="0"/>
      <w:marBottom w:val="0"/>
      <w:divBdr>
        <w:top w:val="none" w:sz="0" w:space="0" w:color="auto"/>
        <w:left w:val="none" w:sz="0" w:space="0" w:color="auto"/>
        <w:bottom w:val="none" w:sz="0" w:space="0" w:color="auto"/>
        <w:right w:val="none" w:sz="0" w:space="0" w:color="auto"/>
      </w:divBdr>
      <w:divsChild>
        <w:div w:id="1701321742">
          <w:marLeft w:val="0"/>
          <w:marRight w:val="0"/>
          <w:marTop w:val="0"/>
          <w:marBottom w:val="0"/>
          <w:divBdr>
            <w:top w:val="none" w:sz="0" w:space="0" w:color="auto"/>
            <w:left w:val="none" w:sz="0" w:space="0" w:color="auto"/>
            <w:bottom w:val="none" w:sz="0" w:space="0" w:color="auto"/>
            <w:right w:val="none" w:sz="0" w:space="0" w:color="auto"/>
          </w:divBdr>
        </w:div>
      </w:divsChild>
    </w:div>
    <w:div w:id="1395660223">
      <w:bodyDiv w:val="1"/>
      <w:marLeft w:val="0"/>
      <w:marRight w:val="0"/>
      <w:marTop w:val="0"/>
      <w:marBottom w:val="0"/>
      <w:divBdr>
        <w:top w:val="none" w:sz="0" w:space="0" w:color="auto"/>
        <w:left w:val="none" w:sz="0" w:space="0" w:color="auto"/>
        <w:bottom w:val="none" w:sz="0" w:space="0" w:color="auto"/>
        <w:right w:val="none" w:sz="0" w:space="0" w:color="auto"/>
      </w:divBdr>
      <w:divsChild>
        <w:div w:id="109589599">
          <w:marLeft w:val="0"/>
          <w:marRight w:val="0"/>
          <w:marTop w:val="0"/>
          <w:marBottom w:val="0"/>
          <w:divBdr>
            <w:top w:val="none" w:sz="0" w:space="0" w:color="auto"/>
            <w:left w:val="none" w:sz="0" w:space="0" w:color="auto"/>
            <w:bottom w:val="none" w:sz="0" w:space="0" w:color="auto"/>
            <w:right w:val="none" w:sz="0" w:space="0" w:color="auto"/>
          </w:divBdr>
        </w:div>
        <w:div w:id="931816578">
          <w:marLeft w:val="0"/>
          <w:marRight w:val="0"/>
          <w:marTop w:val="0"/>
          <w:marBottom w:val="0"/>
          <w:divBdr>
            <w:top w:val="none" w:sz="0" w:space="0" w:color="auto"/>
            <w:left w:val="none" w:sz="0" w:space="0" w:color="auto"/>
            <w:bottom w:val="none" w:sz="0" w:space="0" w:color="auto"/>
            <w:right w:val="none" w:sz="0" w:space="0" w:color="auto"/>
          </w:divBdr>
        </w:div>
        <w:div w:id="75590517">
          <w:marLeft w:val="0"/>
          <w:marRight w:val="0"/>
          <w:marTop w:val="0"/>
          <w:marBottom w:val="0"/>
          <w:divBdr>
            <w:top w:val="none" w:sz="0" w:space="0" w:color="auto"/>
            <w:left w:val="none" w:sz="0" w:space="0" w:color="auto"/>
            <w:bottom w:val="none" w:sz="0" w:space="0" w:color="auto"/>
            <w:right w:val="none" w:sz="0" w:space="0" w:color="auto"/>
          </w:divBdr>
        </w:div>
        <w:div w:id="326566071">
          <w:marLeft w:val="0"/>
          <w:marRight w:val="0"/>
          <w:marTop w:val="0"/>
          <w:marBottom w:val="0"/>
          <w:divBdr>
            <w:top w:val="none" w:sz="0" w:space="0" w:color="auto"/>
            <w:left w:val="none" w:sz="0" w:space="0" w:color="auto"/>
            <w:bottom w:val="none" w:sz="0" w:space="0" w:color="auto"/>
            <w:right w:val="none" w:sz="0" w:space="0" w:color="auto"/>
          </w:divBdr>
        </w:div>
        <w:div w:id="1736660112">
          <w:marLeft w:val="0"/>
          <w:marRight w:val="0"/>
          <w:marTop w:val="0"/>
          <w:marBottom w:val="0"/>
          <w:divBdr>
            <w:top w:val="none" w:sz="0" w:space="0" w:color="auto"/>
            <w:left w:val="none" w:sz="0" w:space="0" w:color="auto"/>
            <w:bottom w:val="none" w:sz="0" w:space="0" w:color="auto"/>
            <w:right w:val="none" w:sz="0" w:space="0" w:color="auto"/>
          </w:divBdr>
        </w:div>
        <w:div w:id="829760081">
          <w:marLeft w:val="0"/>
          <w:marRight w:val="0"/>
          <w:marTop w:val="0"/>
          <w:marBottom w:val="0"/>
          <w:divBdr>
            <w:top w:val="none" w:sz="0" w:space="0" w:color="auto"/>
            <w:left w:val="none" w:sz="0" w:space="0" w:color="auto"/>
            <w:bottom w:val="none" w:sz="0" w:space="0" w:color="auto"/>
            <w:right w:val="none" w:sz="0" w:space="0" w:color="auto"/>
          </w:divBdr>
        </w:div>
        <w:div w:id="191725022">
          <w:marLeft w:val="0"/>
          <w:marRight w:val="0"/>
          <w:marTop w:val="0"/>
          <w:marBottom w:val="0"/>
          <w:divBdr>
            <w:top w:val="none" w:sz="0" w:space="0" w:color="auto"/>
            <w:left w:val="none" w:sz="0" w:space="0" w:color="auto"/>
            <w:bottom w:val="none" w:sz="0" w:space="0" w:color="auto"/>
            <w:right w:val="none" w:sz="0" w:space="0" w:color="auto"/>
          </w:divBdr>
        </w:div>
      </w:divsChild>
    </w:div>
    <w:div w:id="1444956885">
      <w:bodyDiv w:val="1"/>
      <w:marLeft w:val="0"/>
      <w:marRight w:val="0"/>
      <w:marTop w:val="0"/>
      <w:marBottom w:val="0"/>
      <w:divBdr>
        <w:top w:val="none" w:sz="0" w:space="0" w:color="auto"/>
        <w:left w:val="none" w:sz="0" w:space="0" w:color="auto"/>
        <w:bottom w:val="none" w:sz="0" w:space="0" w:color="auto"/>
        <w:right w:val="none" w:sz="0" w:space="0" w:color="auto"/>
      </w:divBdr>
      <w:divsChild>
        <w:div w:id="369458490">
          <w:marLeft w:val="0"/>
          <w:marRight w:val="0"/>
          <w:marTop w:val="0"/>
          <w:marBottom w:val="0"/>
          <w:divBdr>
            <w:top w:val="none" w:sz="0" w:space="0" w:color="auto"/>
            <w:left w:val="none" w:sz="0" w:space="0" w:color="auto"/>
            <w:bottom w:val="none" w:sz="0" w:space="0" w:color="auto"/>
            <w:right w:val="none" w:sz="0" w:space="0" w:color="auto"/>
          </w:divBdr>
        </w:div>
      </w:divsChild>
    </w:div>
    <w:div w:id="1453790883">
      <w:bodyDiv w:val="1"/>
      <w:marLeft w:val="0"/>
      <w:marRight w:val="0"/>
      <w:marTop w:val="0"/>
      <w:marBottom w:val="0"/>
      <w:divBdr>
        <w:top w:val="none" w:sz="0" w:space="0" w:color="auto"/>
        <w:left w:val="none" w:sz="0" w:space="0" w:color="auto"/>
        <w:bottom w:val="none" w:sz="0" w:space="0" w:color="auto"/>
        <w:right w:val="none" w:sz="0" w:space="0" w:color="auto"/>
      </w:divBdr>
      <w:divsChild>
        <w:div w:id="1975131987">
          <w:marLeft w:val="0"/>
          <w:marRight w:val="0"/>
          <w:marTop w:val="0"/>
          <w:marBottom w:val="0"/>
          <w:divBdr>
            <w:top w:val="none" w:sz="0" w:space="0" w:color="auto"/>
            <w:left w:val="none" w:sz="0" w:space="0" w:color="auto"/>
            <w:bottom w:val="none" w:sz="0" w:space="0" w:color="auto"/>
            <w:right w:val="none" w:sz="0" w:space="0" w:color="auto"/>
          </w:divBdr>
        </w:div>
        <w:div w:id="1237858544">
          <w:marLeft w:val="0"/>
          <w:marRight w:val="0"/>
          <w:marTop w:val="0"/>
          <w:marBottom w:val="0"/>
          <w:divBdr>
            <w:top w:val="none" w:sz="0" w:space="0" w:color="auto"/>
            <w:left w:val="none" w:sz="0" w:space="0" w:color="auto"/>
            <w:bottom w:val="none" w:sz="0" w:space="0" w:color="auto"/>
            <w:right w:val="none" w:sz="0" w:space="0" w:color="auto"/>
          </w:divBdr>
        </w:div>
      </w:divsChild>
    </w:div>
    <w:div w:id="1470441680">
      <w:bodyDiv w:val="1"/>
      <w:marLeft w:val="0"/>
      <w:marRight w:val="0"/>
      <w:marTop w:val="0"/>
      <w:marBottom w:val="0"/>
      <w:divBdr>
        <w:top w:val="none" w:sz="0" w:space="0" w:color="auto"/>
        <w:left w:val="none" w:sz="0" w:space="0" w:color="auto"/>
        <w:bottom w:val="none" w:sz="0" w:space="0" w:color="auto"/>
        <w:right w:val="none" w:sz="0" w:space="0" w:color="auto"/>
      </w:divBdr>
      <w:divsChild>
        <w:div w:id="693193942">
          <w:marLeft w:val="0"/>
          <w:marRight w:val="0"/>
          <w:marTop w:val="0"/>
          <w:marBottom w:val="0"/>
          <w:divBdr>
            <w:top w:val="none" w:sz="0" w:space="0" w:color="auto"/>
            <w:left w:val="none" w:sz="0" w:space="0" w:color="auto"/>
            <w:bottom w:val="none" w:sz="0" w:space="0" w:color="auto"/>
            <w:right w:val="none" w:sz="0" w:space="0" w:color="auto"/>
          </w:divBdr>
        </w:div>
      </w:divsChild>
    </w:div>
    <w:div w:id="1511984742">
      <w:bodyDiv w:val="1"/>
      <w:marLeft w:val="0"/>
      <w:marRight w:val="0"/>
      <w:marTop w:val="0"/>
      <w:marBottom w:val="0"/>
      <w:divBdr>
        <w:top w:val="none" w:sz="0" w:space="0" w:color="auto"/>
        <w:left w:val="none" w:sz="0" w:space="0" w:color="auto"/>
        <w:bottom w:val="none" w:sz="0" w:space="0" w:color="auto"/>
        <w:right w:val="none" w:sz="0" w:space="0" w:color="auto"/>
      </w:divBdr>
      <w:divsChild>
        <w:div w:id="1884630272">
          <w:marLeft w:val="0"/>
          <w:marRight w:val="0"/>
          <w:marTop w:val="0"/>
          <w:marBottom w:val="0"/>
          <w:divBdr>
            <w:top w:val="none" w:sz="0" w:space="0" w:color="auto"/>
            <w:left w:val="none" w:sz="0" w:space="0" w:color="auto"/>
            <w:bottom w:val="none" w:sz="0" w:space="0" w:color="auto"/>
            <w:right w:val="none" w:sz="0" w:space="0" w:color="auto"/>
          </w:divBdr>
        </w:div>
        <w:div w:id="1778597851">
          <w:marLeft w:val="0"/>
          <w:marRight w:val="0"/>
          <w:marTop w:val="0"/>
          <w:marBottom w:val="0"/>
          <w:divBdr>
            <w:top w:val="none" w:sz="0" w:space="0" w:color="auto"/>
            <w:left w:val="none" w:sz="0" w:space="0" w:color="auto"/>
            <w:bottom w:val="none" w:sz="0" w:space="0" w:color="auto"/>
            <w:right w:val="none" w:sz="0" w:space="0" w:color="auto"/>
          </w:divBdr>
        </w:div>
      </w:divsChild>
    </w:div>
    <w:div w:id="1541435612">
      <w:bodyDiv w:val="1"/>
      <w:marLeft w:val="0"/>
      <w:marRight w:val="0"/>
      <w:marTop w:val="0"/>
      <w:marBottom w:val="0"/>
      <w:divBdr>
        <w:top w:val="none" w:sz="0" w:space="0" w:color="auto"/>
        <w:left w:val="none" w:sz="0" w:space="0" w:color="auto"/>
        <w:bottom w:val="none" w:sz="0" w:space="0" w:color="auto"/>
        <w:right w:val="none" w:sz="0" w:space="0" w:color="auto"/>
      </w:divBdr>
      <w:divsChild>
        <w:div w:id="1730615637">
          <w:marLeft w:val="0"/>
          <w:marRight w:val="0"/>
          <w:marTop w:val="0"/>
          <w:marBottom w:val="0"/>
          <w:divBdr>
            <w:top w:val="none" w:sz="0" w:space="0" w:color="auto"/>
            <w:left w:val="none" w:sz="0" w:space="0" w:color="auto"/>
            <w:bottom w:val="none" w:sz="0" w:space="0" w:color="auto"/>
            <w:right w:val="none" w:sz="0" w:space="0" w:color="auto"/>
          </w:divBdr>
        </w:div>
      </w:divsChild>
    </w:div>
    <w:div w:id="1690331366">
      <w:bodyDiv w:val="1"/>
      <w:marLeft w:val="0"/>
      <w:marRight w:val="0"/>
      <w:marTop w:val="0"/>
      <w:marBottom w:val="0"/>
      <w:divBdr>
        <w:top w:val="none" w:sz="0" w:space="0" w:color="auto"/>
        <w:left w:val="none" w:sz="0" w:space="0" w:color="auto"/>
        <w:bottom w:val="none" w:sz="0" w:space="0" w:color="auto"/>
        <w:right w:val="none" w:sz="0" w:space="0" w:color="auto"/>
      </w:divBdr>
      <w:divsChild>
        <w:div w:id="366217639">
          <w:marLeft w:val="0"/>
          <w:marRight w:val="0"/>
          <w:marTop w:val="0"/>
          <w:marBottom w:val="0"/>
          <w:divBdr>
            <w:top w:val="none" w:sz="0" w:space="0" w:color="auto"/>
            <w:left w:val="none" w:sz="0" w:space="0" w:color="auto"/>
            <w:bottom w:val="none" w:sz="0" w:space="0" w:color="auto"/>
            <w:right w:val="none" w:sz="0" w:space="0" w:color="auto"/>
          </w:divBdr>
        </w:div>
        <w:div w:id="1610240117">
          <w:marLeft w:val="0"/>
          <w:marRight w:val="0"/>
          <w:marTop w:val="0"/>
          <w:marBottom w:val="0"/>
          <w:divBdr>
            <w:top w:val="none" w:sz="0" w:space="0" w:color="auto"/>
            <w:left w:val="none" w:sz="0" w:space="0" w:color="auto"/>
            <w:bottom w:val="none" w:sz="0" w:space="0" w:color="auto"/>
            <w:right w:val="none" w:sz="0" w:space="0" w:color="auto"/>
          </w:divBdr>
        </w:div>
        <w:div w:id="1186603980">
          <w:marLeft w:val="0"/>
          <w:marRight w:val="0"/>
          <w:marTop w:val="0"/>
          <w:marBottom w:val="0"/>
          <w:divBdr>
            <w:top w:val="none" w:sz="0" w:space="0" w:color="auto"/>
            <w:left w:val="none" w:sz="0" w:space="0" w:color="auto"/>
            <w:bottom w:val="none" w:sz="0" w:space="0" w:color="auto"/>
            <w:right w:val="none" w:sz="0" w:space="0" w:color="auto"/>
          </w:divBdr>
        </w:div>
      </w:divsChild>
    </w:div>
    <w:div w:id="1883327884">
      <w:bodyDiv w:val="1"/>
      <w:marLeft w:val="0"/>
      <w:marRight w:val="0"/>
      <w:marTop w:val="0"/>
      <w:marBottom w:val="0"/>
      <w:divBdr>
        <w:top w:val="none" w:sz="0" w:space="0" w:color="auto"/>
        <w:left w:val="none" w:sz="0" w:space="0" w:color="auto"/>
        <w:bottom w:val="none" w:sz="0" w:space="0" w:color="auto"/>
        <w:right w:val="none" w:sz="0" w:space="0" w:color="auto"/>
      </w:divBdr>
      <w:divsChild>
        <w:div w:id="2052413342">
          <w:marLeft w:val="0"/>
          <w:marRight w:val="0"/>
          <w:marTop w:val="0"/>
          <w:marBottom w:val="0"/>
          <w:divBdr>
            <w:top w:val="none" w:sz="0" w:space="0" w:color="auto"/>
            <w:left w:val="none" w:sz="0" w:space="0" w:color="auto"/>
            <w:bottom w:val="none" w:sz="0" w:space="0" w:color="auto"/>
            <w:right w:val="none" w:sz="0" w:space="0" w:color="auto"/>
          </w:divBdr>
        </w:div>
      </w:divsChild>
    </w:div>
    <w:div w:id="1987391299">
      <w:bodyDiv w:val="1"/>
      <w:marLeft w:val="0"/>
      <w:marRight w:val="0"/>
      <w:marTop w:val="0"/>
      <w:marBottom w:val="0"/>
      <w:divBdr>
        <w:top w:val="none" w:sz="0" w:space="0" w:color="auto"/>
        <w:left w:val="none" w:sz="0" w:space="0" w:color="auto"/>
        <w:bottom w:val="none" w:sz="0" w:space="0" w:color="auto"/>
        <w:right w:val="none" w:sz="0" w:space="0" w:color="auto"/>
      </w:divBdr>
      <w:divsChild>
        <w:div w:id="836308836">
          <w:marLeft w:val="0"/>
          <w:marRight w:val="0"/>
          <w:marTop w:val="0"/>
          <w:marBottom w:val="0"/>
          <w:divBdr>
            <w:top w:val="none" w:sz="0" w:space="0" w:color="auto"/>
            <w:left w:val="none" w:sz="0" w:space="0" w:color="auto"/>
            <w:bottom w:val="none" w:sz="0" w:space="0" w:color="auto"/>
            <w:right w:val="none" w:sz="0" w:space="0" w:color="auto"/>
          </w:divBdr>
        </w:div>
      </w:divsChild>
    </w:div>
    <w:div w:id="2003971881">
      <w:bodyDiv w:val="1"/>
      <w:marLeft w:val="0"/>
      <w:marRight w:val="0"/>
      <w:marTop w:val="0"/>
      <w:marBottom w:val="0"/>
      <w:divBdr>
        <w:top w:val="none" w:sz="0" w:space="0" w:color="auto"/>
        <w:left w:val="none" w:sz="0" w:space="0" w:color="auto"/>
        <w:bottom w:val="none" w:sz="0" w:space="0" w:color="auto"/>
        <w:right w:val="none" w:sz="0" w:space="0" w:color="auto"/>
      </w:divBdr>
      <w:divsChild>
        <w:div w:id="843786332">
          <w:marLeft w:val="0"/>
          <w:marRight w:val="0"/>
          <w:marTop w:val="0"/>
          <w:marBottom w:val="0"/>
          <w:divBdr>
            <w:top w:val="none" w:sz="0" w:space="0" w:color="auto"/>
            <w:left w:val="none" w:sz="0" w:space="0" w:color="auto"/>
            <w:bottom w:val="none" w:sz="0" w:space="0" w:color="auto"/>
            <w:right w:val="none" w:sz="0" w:space="0" w:color="auto"/>
          </w:divBdr>
        </w:div>
        <w:div w:id="1524783219">
          <w:marLeft w:val="0"/>
          <w:marRight w:val="0"/>
          <w:marTop w:val="0"/>
          <w:marBottom w:val="0"/>
          <w:divBdr>
            <w:top w:val="none" w:sz="0" w:space="0" w:color="auto"/>
            <w:left w:val="none" w:sz="0" w:space="0" w:color="auto"/>
            <w:bottom w:val="none" w:sz="0" w:space="0" w:color="auto"/>
            <w:right w:val="none" w:sz="0" w:space="0" w:color="auto"/>
          </w:divBdr>
        </w:div>
        <w:div w:id="1149904335">
          <w:marLeft w:val="0"/>
          <w:marRight w:val="0"/>
          <w:marTop w:val="0"/>
          <w:marBottom w:val="0"/>
          <w:divBdr>
            <w:top w:val="none" w:sz="0" w:space="0" w:color="auto"/>
            <w:left w:val="none" w:sz="0" w:space="0" w:color="auto"/>
            <w:bottom w:val="none" w:sz="0" w:space="0" w:color="auto"/>
            <w:right w:val="none" w:sz="0" w:space="0" w:color="auto"/>
          </w:divBdr>
        </w:div>
        <w:div w:id="165025538">
          <w:marLeft w:val="0"/>
          <w:marRight w:val="0"/>
          <w:marTop w:val="0"/>
          <w:marBottom w:val="0"/>
          <w:divBdr>
            <w:top w:val="none" w:sz="0" w:space="0" w:color="auto"/>
            <w:left w:val="none" w:sz="0" w:space="0" w:color="auto"/>
            <w:bottom w:val="none" w:sz="0" w:space="0" w:color="auto"/>
            <w:right w:val="none" w:sz="0" w:space="0" w:color="auto"/>
          </w:divBdr>
        </w:div>
        <w:div w:id="719792920">
          <w:marLeft w:val="0"/>
          <w:marRight w:val="0"/>
          <w:marTop w:val="0"/>
          <w:marBottom w:val="0"/>
          <w:divBdr>
            <w:top w:val="none" w:sz="0" w:space="0" w:color="auto"/>
            <w:left w:val="none" w:sz="0" w:space="0" w:color="auto"/>
            <w:bottom w:val="none" w:sz="0" w:space="0" w:color="auto"/>
            <w:right w:val="none" w:sz="0" w:space="0" w:color="auto"/>
          </w:divBdr>
        </w:div>
        <w:div w:id="1376392437">
          <w:marLeft w:val="0"/>
          <w:marRight w:val="0"/>
          <w:marTop w:val="0"/>
          <w:marBottom w:val="0"/>
          <w:divBdr>
            <w:top w:val="none" w:sz="0" w:space="0" w:color="auto"/>
            <w:left w:val="none" w:sz="0" w:space="0" w:color="auto"/>
            <w:bottom w:val="none" w:sz="0" w:space="0" w:color="auto"/>
            <w:right w:val="none" w:sz="0" w:space="0" w:color="auto"/>
          </w:divBdr>
        </w:div>
      </w:divsChild>
    </w:div>
    <w:div w:id="2006008658">
      <w:bodyDiv w:val="1"/>
      <w:marLeft w:val="0"/>
      <w:marRight w:val="0"/>
      <w:marTop w:val="0"/>
      <w:marBottom w:val="0"/>
      <w:divBdr>
        <w:top w:val="none" w:sz="0" w:space="0" w:color="auto"/>
        <w:left w:val="none" w:sz="0" w:space="0" w:color="auto"/>
        <w:bottom w:val="none" w:sz="0" w:space="0" w:color="auto"/>
        <w:right w:val="none" w:sz="0" w:space="0" w:color="auto"/>
      </w:divBdr>
      <w:divsChild>
        <w:div w:id="1949308252">
          <w:marLeft w:val="0"/>
          <w:marRight w:val="0"/>
          <w:marTop w:val="0"/>
          <w:marBottom w:val="0"/>
          <w:divBdr>
            <w:top w:val="none" w:sz="0" w:space="0" w:color="auto"/>
            <w:left w:val="none" w:sz="0" w:space="0" w:color="auto"/>
            <w:bottom w:val="none" w:sz="0" w:space="0" w:color="auto"/>
            <w:right w:val="none" w:sz="0" w:space="0" w:color="auto"/>
          </w:divBdr>
        </w:div>
      </w:divsChild>
    </w:div>
    <w:div w:id="2068139254">
      <w:bodyDiv w:val="1"/>
      <w:marLeft w:val="0"/>
      <w:marRight w:val="0"/>
      <w:marTop w:val="0"/>
      <w:marBottom w:val="0"/>
      <w:divBdr>
        <w:top w:val="none" w:sz="0" w:space="0" w:color="auto"/>
        <w:left w:val="none" w:sz="0" w:space="0" w:color="auto"/>
        <w:bottom w:val="none" w:sz="0" w:space="0" w:color="auto"/>
        <w:right w:val="none" w:sz="0" w:space="0" w:color="auto"/>
      </w:divBdr>
      <w:divsChild>
        <w:div w:id="1147817108">
          <w:marLeft w:val="0"/>
          <w:marRight w:val="0"/>
          <w:marTop w:val="0"/>
          <w:marBottom w:val="0"/>
          <w:divBdr>
            <w:top w:val="none" w:sz="0" w:space="0" w:color="auto"/>
            <w:left w:val="none" w:sz="0" w:space="0" w:color="auto"/>
            <w:bottom w:val="none" w:sz="0" w:space="0" w:color="auto"/>
            <w:right w:val="none" w:sz="0" w:space="0" w:color="auto"/>
          </w:divBdr>
        </w:div>
      </w:divsChild>
    </w:div>
    <w:div w:id="2141074675">
      <w:bodyDiv w:val="1"/>
      <w:marLeft w:val="0"/>
      <w:marRight w:val="0"/>
      <w:marTop w:val="0"/>
      <w:marBottom w:val="0"/>
      <w:divBdr>
        <w:top w:val="none" w:sz="0" w:space="0" w:color="auto"/>
        <w:left w:val="none" w:sz="0" w:space="0" w:color="auto"/>
        <w:bottom w:val="none" w:sz="0" w:space="0" w:color="auto"/>
        <w:right w:val="none" w:sz="0" w:space="0" w:color="auto"/>
      </w:divBdr>
      <w:divsChild>
        <w:div w:id="9599944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CDB0-B815-F242-87EF-BAB26A56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5488</TotalTime>
  <Pages>37</Pages>
  <Words>7616</Words>
  <Characters>42122</Characters>
  <Application>Microsoft Macintosh Word</Application>
  <DocSecurity>0</DocSecurity>
  <Lines>658</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Sean Hermanson</cp:lastModifiedBy>
  <cp:revision>970</cp:revision>
  <cp:lastPrinted>2016-08-10T02:36:00Z</cp:lastPrinted>
  <dcterms:created xsi:type="dcterms:W3CDTF">2015-01-04T14:36:00Z</dcterms:created>
  <dcterms:modified xsi:type="dcterms:W3CDTF">2017-05-17T01:59:00Z</dcterms:modified>
  <cp:category/>
</cp:coreProperties>
</file>