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1225D" w14:textId="2DA5F3CB" w:rsidR="00BE764E" w:rsidRPr="00BE764E" w:rsidRDefault="00BF35D4" w:rsidP="00581756">
      <w:pPr>
        <w:spacing w:line="480" w:lineRule="auto"/>
        <w:rPr>
          <w:b/>
        </w:rPr>
      </w:pPr>
      <w:r>
        <w:rPr>
          <w:b/>
        </w:rPr>
        <w:t>Leaky Pipeline Myths: In Search of Gender Effects on the Job Market and Early Career Publishing in Philosophy</w:t>
      </w:r>
    </w:p>
    <w:p w14:paraId="7639F4F1" w14:textId="70106E21" w:rsidR="00D66841" w:rsidRDefault="00D66841" w:rsidP="00581756">
      <w:pPr>
        <w:spacing w:line="480" w:lineRule="auto"/>
        <w:rPr>
          <w:b/>
        </w:rPr>
      </w:pPr>
      <w:r>
        <w:rPr>
          <w:b/>
        </w:rPr>
        <w:t>Abstract</w:t>
      </w:r>
    </w:p>
    <w:p w14:paraId="0103AB17" w14:textId="2876C92C" w:rsidR="007E78C9" w:rsidRPr="00D66841" w:rsidRDefault="007E78C9" w:rsidP="00581756">
      <w:pPr>
        <w:spacing w:line="480" w:lineRule="auto"/>
        <w:rPr>
          <w:b/>
        </w:rPr>
      </w:pPr>
      <w:r>
        <w:t xml:space="preserve">That philosophy is an outlier in the humanities when it comes to the underrepresentation of women </w:t>
      </w:r>
      <w:r w:rsidRPr="004907C3">
        <w:t xml:space="preserve">has </w:t>
      </w:r>
      <w:r>
        <w:t xml:space="preserve">been the occasion for much discussion about possible </w:t>
      </w:r>
      <w:r w:rsidRPr="004907C3">
        <w:t>effe</w:t>
      </w:r>
      <w:r>
        <w:t>cts of subtle forms of prejudice, including implicit bias and stereotype threat.   While these ideas have become familiar to the p</w:t>
      </w:r>
      <w:r w:rsidR="009659B1">
        <w:t xml:space="preserve">hilosophical community, there has only recently been a surge of interest in acquiring </w:t>
      </w:r>
      <w:r>
        <w:t>field-speci</w:t>
      </w:r>
      <w:r w:rsidR="009659B1">
        <w:t>fic data.  This paper adds to</w:t>
      </w:r>
      <w:r>
        <w:t xml:space="preserve"> quantitative findings bearing on</w:t>
      </w:r>
      <w:r w:rsidRPr="004907C3">
        <w:t xml:space="preserve"> hypothese</w:t>
      </w:r>
      <w:r>
        <w:t>s about the effects of unconscious prejudice on two important stages along career pathways:</w:t>
      </w:r>
      <w:r w:rsidRPr="004907C3">
        <w:t xml:space="preserve"> tenure-track hiring and early career publishing.</w:t>
      </w:r>
    </w:p>
    <w:p w14:paraId="4C004608" w14:textId="77777777" w:rsidR="00D66841" w:rsidRDefault="00D66841" w:rsidP="00581756">
      <w:pPr>
        <w:spacing w:line="480" w:lineRule="auto"/>
        <w:rPr>
          <w:b/>
        </w:rPr>
      </w:pPr>
      <w:r>
        <w:rPr>
          <w:b/>
        </w:rPr>
        <w:t>Introduction</w:t>
      </w:r>
    </w:p>
    <w:p w14:paraId="41F2B9CD" w14:textId="418B7F77" w:rsidR="00581756" w:rsidRPr="00D66841" w:rsidRDefault="00581756" w:rsidP="00581756">
      <w:pPr>
        <w:spacing w:line="480" w:lineRule="auto"/>
        <w:rPr>
          <w:b/>
        </w:rPr>
      </w:pPr>
      <w:r>
        <w:t xml:space="preserve">That philosophy is an outlier in the humanities when it comes to the underrepresentation of women </w:t>
      </w:r>
      <w:r w:rsidRPr="004907C3">
        <w:t xml:space="preserve">has </w:t>
      </w:r>
      <w:r>
        <w:t>been the occasion for a</w:t>
      </w:r>
      <w:r w:rsidRPr="004907C3">
        <w:t xml:space="preserve"> lot of </w:t>
      </w:r>
      <w:r>
        <w:t xml:space="preserve">discussion about possible </w:t>
      </w:r>
      <w:r w:rsidRPr="004907C3">
        <w:t>effe</w:t>
      </w:r>
      <w:r>
        <w:t xml:space="preserve">cts of subtle forms of prejudice, including implicit bias and stereotype threat.   </w:t>
      </w:r>
      <w:r w:rsidR="001D7DE2">
        <w:t xml:space="preserve">Though </w:t>
      </w:r>
      <w:r w:rsidR="005103D6">
        <w:t>r</w:t>
      </w:r>
      <w:r w:rsidR="001D7DE2">
        <w:t>eal-world effects are not strongly evidenced,</w:t>
      </w:r>
      <w:r w:rsidR="005103D6">
        <w:rPr>
          <w:rStyle w:val="FootnoteReference"/>
        </w:rPr>
        <w:footnoteReference w:id="1"/>
      </w:r>
      <w:r w:rsidR="001D7DE2">
        <w:t xml:space="preserve"> there is widespread concern in philosophy that involuntary and unconscious i</w:t>
      </w:r>
      <w:r>
        <w:t xml:space="preserve">mplicit associations </w:t>
      </w:r>
      <w:r w:rsidR="00F30086">
        <w:t>might</w:t>
      </w:r>
      <w:r>
        <w:t xml:space="preserve"> diverge from a person’s declared beliefs affecting our actions, judgments, and attitudes.  Unconscious bias might influence how we treat junior colleagues from socially stigmatized groups when it comes to sharing opportuniti</w:t>
      </w:r>
      <w:r w:rsidR="00044BCB">
        <w:t>es for professional development,</w:t>
      </w:r>
      <w:r>
        <w:t xml:space="preserve"> advancement, and in evaluating scholarly potential and credentials.  For example, a departmental committee might implicitly prefer a male candidate to </w:t>
      </w:r>
      <w:r>
        <w:lastRenderedPageBreak/>
        <w:t xml:space="preserve">a female candidate with the same qualifications despite holding conscious and explicit attitudes about the equality of the sexes.  Meanwhile, stereotype threat is when </w:t>
      </w:r>
      <w:r>
        <w:rPr>
          <w:rFonts w:cs="Times New Roman"/>
          <w:color w:val="2B2E34"/>
          <w:szCs w:val="20"/>
        </w:rPr>
        <w:t xml:space="preserve">awareness of and identification with stereotypes </w:t>
      </w:r>
      <w:r>
        <w:t>(such as that philosophy is for white males) results in</w:t>
      </w:r>
      <w:r>
        <w:rPr>
          <w:rFonts w:cs="Times New Roman"/>
          <w:color w:val="2B2E34"/>
          <w:szCs w:val="20"/>
        </w:rPr>
        <w:t xml:space="preserve"> heightened anxiety, performance disparities, and reduced interest.</w:t>
      </w:r>
    </w:p>
    <w:p w14:paraId="17CEC4D8" w14:textId="52EEB4AF" w:rsidR="00BE764E" w:rsidRDefault="00581756" w:rsidP="00587E75">
      <w:pPr>
        <w:spacing w:line="480" w:lineRule="auto"/>
        <w:ind w:firstLine="720"/>
      </w:pPr>
      <w:r>
        <w:t>These ideas have become familiar to the philosophical community, which continues to debate policy initiatives and other measures for improving diversity, such as making syllabi and conference line-ups more inclusive, adjusting the management of professional organizations, and reforming journa</w:t>
      </w:r>
      <w:r w:rsidR="005103D6">
        <w:t>l and hiring practices.  T</w:t>
      </w:r>
      <w:r>
        <w:t>hese ongoing discussions need to be informed b</w:t>
      </w:r>
      <w:r w:rsidR="005103D6">
        <w:t>y the best possible evidence, and there is a growing interest in acquiring field-specific data.  The investigatory model informi</w:t>
      </w:r>
      <w:r w:rsidR="002A46E2">
        <w:t>ng this study is inspired by</w:t>
      </w:r>
      <w:r w:rsidR="005103D6">
        <w:t xml:space="preserve"> </w:t>
      </w:r>
      <w:r w:rsidR="002A46E2">
        <w:t xml:space="preserve">the </w:t>
      </w:r>
      <w:r w:rsidR="005103D6">
        <w:t>hiring audits used in STEM disciplines</w:t>
      </w:r>
      <w:r>
        <w:t>.</w:t>
      </w:r>
      <w:r w:rsidR="00587E75">
        <w:t xml:space="preserve">  </w:t>
      </w:r>
      <w:r w:rsidR="005103D6">
        <w:t xml:space="preserve">This paper contributes </w:t>
      </w:r>
      <w:r w:rsidR="006C1E71">
        <w:t xml:space="preserve">data </w:t>
      </w:r>
      <w:r w:rsidR="00127E2E">
        <w:t>pertinent to</w:t>
      </w:r>
      <w:r w:rsidR="001673B5" w:rsidRPr="004907C3">
        <w:t xml:space="preserve"> hypothese</w:t>
      </w:r>
      <w:r w:rsidR="00056554">
        <w:t>s</w:t>
      </w:r>
      <w:r w:rsidR="00B06143">
        <w:t xml:space="preserve"> about </w:t>
      </w:r>
      <w:r w:rsidR="00D76AD3">
        <w:t>the effects of prejudice on</w:t>
      </w:r>
      <w:r w:rsidR="00B06143">
        <w:t xml:space="preserve"> </w:t>
      </w:r>
      <w:r w:rsidR="005E3995">
        <w:t>two</w:t>
      </w:r>
      <w:r w:rsidR="00056554">
        <w:t xml:space="preserve"> important </w:t>
      </w:r>
      <w:r w:rsidR="002A46E2">
        <w:t xml:space="preserve">stages of </w:t>
      </w:r>
      <w:r w:rsidR="005E3995">
        <w:t>career pathways:</w:t>
      </w:r>
      <w:r w:rsidR="001673B5" w:rsidRPr="004907C3">
        <w:t xml:space="preserve"> tenure-track hiring and early career publishing.</w:t>
      </w:r>
      <w:r w:rsidR="00D16141">
        <w:t xml:space="preserve">  </w:t>
      </w:r>
    </w:p>
    <w:p w14:paraId="6824A790" w14:textId="6FDA6DA5" w:rsidR="007E78C9" w:rsidRDefault="009F4B92" w:rsidP="00311BDF">
      <w:pPr>
        <w:spacing w:line="480" w:lineRule="auto"/>
        <w:ind w:firstLine="720"/>
      </w:pPr>
      <w:r>
        <w:t>If women are evaluated more harshly because of unconscious bias on the part of letter writers and hiring committees, or</w:t>
      </w:r>
      <w:r w:rsidR="00143977">
        <w:t xml:space="preserve"> </w:t>
      </w:r>
      <w:r w:rsidR="00121354">
        <w:t>have weaker files</w:t>
      </w:r>
      <w:r w:rsidR="00143977">
        <w:t xml:space="preserve"> and</w:t>
      </w:r>
      <w:r w:rsidR="00482269">
        <w:t xml:space="preserve"> </w:t>
      </w:r>
      <w:r>
        <w:t>perform</w:t>
      </w:r>
      <w:r w:rsidR="005103D6">
        <w:t xml:space="preserve"> less well</w:t>
      </w:r>
      <w:r>
        <w:t xml:space="preserve"> </w:t>
      </w:r>
      <w:r w:rsidR="00482269">
        <w:t>in interviews</w:t>
      </w:r>
      <w:r>
        <w:t xml:space="preserve"> </w:t>
      </w:r>
      <w:r w:rsidR="00143977">
        <w:t xml:space="preserve">because of stereotype threat, </w:t>
      </w:r>
      <w:r w:rsidR="00C62AFB">
        <w:t xml:space="preserve">or even face conscious and explicit discrimination, </w:t>
      </w:r>
      <w:r w:rsidR="00587E75">
        <w:t>then they</w:t>
      </w:r>
      <w:r>
        <w:t xml:space="preserve"> might </w:t>
      </w:r>
      <w:r w:rsidR="00587E75">
        <w:t xml:space="preserve">be </w:t>
      </w:r>
      <w:r>
        <w:t>expect</w:t>
      </w:r>
      <w:r w:rsidR="00587E75">
        <w:t>ed</w:t>
      </w:r>
      <w:r>
        <w:t xml:space="preserve"> to </w:t>
      </w:r>
      <w:r w:rsidR="004D5931">
        <w:t xml:space="preserve">be </w:t>
      </w:r>
      <w:r>
        <w:t xml:space="preserve">less </w:t>
      </w:r>
      <w:r w:rsidR="00D25F1F">
        <w:t>successful at</w:t>
      </w:r>
      <w:r>
        <w:t xml:space="preserve"> finding </w:t>
      </w:r>
      <w:r w:rsidR="002274F5">
        <w:t>tenure-track</w:t>
      </w:r>
      <w:r>
        <w:t xml:space="preserve"> employment.  Inde</w:t>
      </w:r>
      <w:r w:rsidR="00C62AFB">
        <w:t xml:space="preserve">ed, </w:t>
      </w:r>
      <w:r w:rsidR="00143977">
        <w:t>biases are often</w:t>
      </w:r>
      <w:r>
        <w:t xml:space="preserve"> conjectured to be a major cause of </w:t>
      </w:r>
      <w:r w:rsidR="00482269" w:rsidRPr="00572545">
        <w:t xml:space="preserve">the </w:t>
      </w:r>
      <w:r w:rsidRPr="00572545">
        <w:t xml:space="preserve">underrepresentation </w:t>
      </w:r>
      <w:r w:rsidR="00482269" w:rsidRPr="00572545">
        <w:t xml:space="preserve">of women </w:t>
      </w:r>
      <w:r w:rsidR="00143977" w:rsidRPr="00572545">
        <w:t>in philosophy</w:t>
      </w:r>
      <w:r w:rsidR="00044088">
        <w:t>.</w:t>
      </w:r>
      <w:r w:rsidR="00143977" w:rsidRPr="00572545">
        <w:rPr>
          <w:rStyle w:val="FootnoteReference"/>
        </w:rPr>
        <w:footnoteReference w:id="2"/>
      </w:r>
      <w:r w:rsidRPr="00572545">
        <w:t xml:space="preserve"> </w:t>
      </w:r>
      <w:r w:rsidR="00044088">
        <w:t xml:space="preserve"> </w:t>
      </w:r>
      <w:r w:rsidR="00143977" w:rsidRPr="00572545">
        <w:t xml:space="preserve">Fortunately </w:t>
      </w:r>
      <w:r w:rsidRPr="00572545">
        <w:t>there have been several</w:t>
      </w:r>
      <w:r w:rsidR="00471FFE" w:rsidRPr="00572545">
        <w:t xml:space="preserve"> </w:t>
      </w:r>
      <w:r w:rsidR="00143977" w:rsidRPr="00572545">
        <w:t xml:space="preserve">recent </w:t>
      </w:r>
      <w:r w:rsidR="00965CC8" w:rsidRPr="00572545">
        <w:t>studies</w:t>
      </w:r>
      <w:r w:rsidR="00D71438" w:rsidRPr="00572545">
        <w:t xml:space="preserve"> of </w:t>
      </w:r>
      <w:r w:rsidR="004E3E03" w:rsidRPr="00572545">
        <w:t>employment</w:t>
      </w:r>
      <w:r w:rsidR="00D71438" w:rsidRPr="00572545">
        <w:t xml:space="preserve"> trends</w:t>
      </w:r>
      <w:r w:rsidR="001C068C" w:rsidRPr="00572545">
        <w:t xml:space="preserve">, </w:t>
      </w:r>
      <w:r w:rsidR="0098044D" w:rsidRPr="00572545">
        <w:t xml:space="preserve">including </w:t>
      </w:r>
      <w:r w:rsidR="004E3E03" w:rsidRPr="00572545">
        <w:t>Jennings’</w:t>
      </w:r>
      <w:r w:rsidR="00471FFE" w:rsidRPr="00572545">
        <w:t xml:space="preserve"> </w:t>
      </w:r>
      <w:r w:rsidR="00D25F1F" w:rsidRPr="00572545">
        <w:t>for a</w:t>
      </w:r>
      <w:r w:rsidR="00311BDF" w:rsidRPr="00572545">
        <w:t xml:space="preserve"> </w:t>
      </w:r>
      <w:r w:rsidR="00D25F1F" w:rsidRPr="00572545">
        <w:t>two-year period (2012 &amp;</w:t>
      </w:r>
      <w:r w:rsidR="00123728" w:rsidRPr="00572545">
        <w:t xml:space="preserve"> 201</w:t>
      </w:r>
      <w:r w:rsidR="001401A8" w:rsidRPr="00572545">
        <w:t>3</w:t>
      </w:r>
      <w:r w:rsidR="006A3CF3">
        <w:t xml:space="preserve">) and a follow-up </w:t>
      </w:r>
      <w:r w:rsidR="00266847">
        <w:t>funded by the American Philosophical Association</w:t>
      </w:r>
      <w:r w:rsidR="006A3CF3">
        <w:t xml:space="preserve"> known as the APDA report</w:t>
      </w:r>
      <w:r w:rsidR="00437FCF">
        <w:t>.</w:t>
      </w:r>
      <w:r w:rsidR="00437FCF">
        <w:rPr>
          <w:rStyle w:val="FootnoteReference"/>
        </w:rPr>
        <w:footnoteReference w:id="3"/>
      </w:r>
      <w:r w:rsidR="00437FCF">
        <w:t xml:space="preserve">  These and other resources can </w:t>
      </w:r>
      <w:r w:rsidR="00B56EF4" w:rsidRPr="00572545">
        <w:t>help test hypotheses</w:t>
      </w:r>
      <w:r w:rsidR="005D16BD" w:rsidRPr="00572545">
        <w:t xml:space="preserve"> predict</w:t>
      </w:r>
      <w:r w:rsidR="00B56EF4" w:rsidRPr="00572545">
        <w:t>ing</w:t>
      </w:r>
      <w:r w:rsidR="002A46E2">
        <w:t xml:space="preserve"> effects of biases o</w:t>
      </w:r>
      <w:r w:rsidR="005103D6">
        <w:t>n</w:t>
      </w:r>
      <w:r w:rsidR="005D16BD" w:rsidRPr="00572545">
        <w:t xml:space="preserve"> hiring</w:t>
      </w:r>
      <w:r w:rsidR="00081FA5" w:rsidRPr="00572545">
        <w:t>.</w:t>
      </w:r>
      <w:r w:rsidR="001401A8" w:rsidRPr="00572545">
        <w:rPr>
          <w:rStyle w:val="FootnoteReference"/>
        </w:rPr>
        <w:footnoteReference w:id="4"/>
      </w:r>
      <w:r w:rsidR="00587E75" w:rsidRPr="00572545">
        <w:t xml:space="preserve">  Working from</w:t>
      </w:r>
      <w:r w:rsidR="0053456F" w:rsidRPr="00572545">
        <w:t xml:space="preserve"> her </w:t>
      </w:r>
      <w:r w:rsidR="00437FCF">
        <w:t xml:space="preserve">original </w:t>
      </w:r>
      <w:r w:rsidR="005103D6">
        <w:t xml:space="preserve">data, it was decided that </w:t>
      </w:r>
      <w:r w:rsidR="00311BDF" w:rsidRPr="00572545">
        <w:t>post-doc</w:t>
      </w:r>
      <w:r w:rsidR="00E3169A" w:rsidRPr="00572545">
        <w:t>torate</w:t>
      </w:r>
      <w:r w:rsidR="00311BDF">
        <w:t xml:space="preserve"> appointments </w:t>
      </w:r>
      <w:r w:rsidR="005103D6">
        <w:t xml:space="preserve">would be ignored in order to </w:t>
      </w:r>
      <w:r w:rsidR="00FC00FC">
        <w:t xml:space="preserve">focus on </w:t>
      </w:r>
      <w:r w:rsidR="005103D6">
        <w:t xml:space="preserve">more desirable </w:t>
      </w:r>
      <w:r w:rsidR="002274F5">
        <w:t>tenure-track</w:t>
      </w:r>
      <w:r w:rsidR="00FC00FC">
        <w:t xml:space="preserve"> </w:t>
      </w:r>
      <w:r w:rsidR="005103D6">
        <w:t xml:space="preserve">lines, </w:t>
      </w:r>
      <w:r w:rsidR="00311BDF">
        <w:t xml:space="preserve">leaving us with 229 men and 109 women in </w:t>
      </w:r>
      <w:r w:rsidR="0053456F">
        <w:t xml:space="preserve">the pool.  </w:t>
      </w:r>
      <w:r w:rsidR="00266847">
        <w:t xml:space="preserve"> Since this manuscript was </w:t>
      </w:r>
      <w:r w:rsidR="00D86220">
        <w:t>written, the</w:t>
      </w:r>
      <w:r w:rsidR="006A3CF3">
        <w:t xml:space="preserve"> data used in the</w:t>
      </w:r>
      <w:r w:rsidR="00D86220">
        <w:t xml:space="preserve"> APDA report</w:t>
      </w:r>
      <w:r w:rsidR="006A3CF3">
        <w:t xml:space="preserve"> has been corrected and r</w:t>
      </w:r>
      <w:r w:rsidR="005103D6">
        <w:t xml:space="preserve">evised and </w:t>
      </w:r>
      <w:r w:rsidR="002A46E2">
        <w:t>will also be taken into</w:t>
      </w:r>
      <w:r w:rsidR="006A3CF3">
        <w:t xml:space="preserve"> account.  </w:t>
      </w:r>
      <w:r w:rsidR="00311BDF">
        <w:t>So</w:t>
      </w:r>
      <w:r w:rsidR="00394C9F">
        <w:t>:</w:t>
      </w:r>
      <w:r w:rsidR="00311BDF">
        <w:t xml:space="preserve"> how are women doing on the job market?</w:t>
      </w:r>
      <w:r w:rsidR="00A90F9F">
        <w:rPr>
          <w:rStyle w:val="FootnoteReference"/>
        </w:rPr>
        <w:footnoteReference w:id="5"/>
      </w:r>
      <w:r w:rsidR="00311BDF">
        <w:t xml:space="preserve"> </w:t>
      </w:r>
    </w:p>
    <w:p w14:paraId="04224EFE" w14:textId="38CBFEF4" w:rsidR="007E78C9" w:rsidRPr="00D66841" w:rsidRDefault="00D66841" w:rsidP="007E78C9">
      <w:pPr>
        <w:spacing w:line="480" w:lineRule="auto"/>
        <w:rPr>
          <w:b/>
        </w:rPr>
      </w:pPr>
      <w:r>
        <w:rPr>
          <w:b/>
        </w:rPr>
        <w:t>Results</w:t>
      </w:r>
    </w:p>
    <w:p w14:paraId="3E852CC7" w14:textId="3029E3ED" w:rsidR="00266847" w:rsidRDefault="00394C9F" w:rsidP="007E78C9">
      <w:pPr>
        <w:spacing w:line="480" w:lineRule="auto"/>
      </w:pPr>
      <w:r>
        <w:t>A</w:t>
      </w:r>
      <w:r w:rsidR="00143977">
        <w:t xml:space="preserve">nalysis </w:t>
      </w:r>
      <w:r>
        <w:t xml:space="preserve">of Jennings’ </w:t>
      </w:r>
      <w:r w:rsidR="006A05B0">
        <w:t xml:space="preserve">original </w:t>
      </w:r>
      <w:r>
        <w:t xml:space="preserve">data </w:t>
      </w:r>
      <w:r w:rsidR="00143977">
        <w:t xml:space="preserve">suggests </w:t>
      </w:r>
      <w:r w:rsidR="001C068C" w:rsidRPr="004907C3">
        <w:t xml:space="preserve">women </w:t>
      </w:r>
      <w:r w:rsidR="00E23345">
        <w:t xml:space="preserve">and men </w:t>
      </w:r>
      <w:r w:rsidR="00095DDC">
        <w:t>are</w:t>
      </w:r>
      <w:r w:rsidR="009F4B92">
        <w:t xml:space="preserve"> </w:t>
      </w:r>
      <w:r w:rsidR="001C068C" w:rsidRPr="004907C3">
        <w:t xml:space="preserve">hired at a </w:t>
      </w:r>
      <w:r w:rsidR="004F240D" w:rsidRPr="004907C3">
        <w:t xml:space="preserve">rate </w:t>
      </w:r>
      <w:r w:rsidR="001C068C" w:rsidRPr="00BF392D">
        <w:t xml:space="preserve">roughly </w:t>
      </w:r>
      <w:r w:rsidR="00471FFE" w:rsidRPr="00BF392D">
        <w:t xml:space="preserve">proportionate to their numbers for </w:t>
      </w:r>
      <w:r w:rsidR="009F4B92">
        <w:t xml:space="preserve">entry-level </w:t>
      </w:r>
      <w:r w:rsidR="002274F5">
        <w:t>tenure-track</w:t>
      </w:r>
      <w:r w:rsidR="00471FFE" w:rsidRPr="00BF392D">
        <w:t xml:space="preserve"> jobs</w:t>
      </w:r>
      <w:r w:rsidR="00674C2F" w:rsidRPr="00BF392D">
        <w:t xml:space="preserve"> in philosophy</w:t>
      </w:r>
      <w:r w:rsidR="005D16BD">
        <w:t>.</w:t>
      </w:r>
      <w:r w:rsidR="00033572">
        <w:rPr>
          <w:rStyle w:val="FootnoteReference"/>
        </w:rPr>
        <w:footnoteReference w:id="6"/>
      </w:r>
      <w:r w:rsidR="005D16BD">
        <w:t xml:space="preserve">  </w:t>
      </w:r>
      <w:r w:rsidR="006A05B0">
        <w:t xml:space="preserve">Concerning the follow-ups, the first APDA report in 2015 </w:t>
      </w:r>
      <w:r w:rsidR="00B25135">
        <w:t xml:space="preserve">actually </w:t>
      </w:r>
      <w:r w:rsidR="006A05B0">
        <w:t>found women were hired significantly more often</w:t>
      </w:r>
      <w:r w:rsidR="003315D7">
        <w:t>,</w:t>
      </w:r>
      <w:r w:rsidR="00783F1C">
        <w:t xml:space="preserve"> </w:t>
      </w:r>
      <w:r w:rsidR="00E81F05">
        <w:t xml:space="preserve">increasing the </w:t>
      </w:r>
      <w:r w:rsidR="00FD3084">
        <w:t>odds</w:t>
      </w:r>
      <w:r w:rsidR="00B25135">
        <w:t xml:space="preserve"> </w:t>
      </w:r>
      <w:r w:rsidR="00E17700">
        <w:t>of</w:t>
      </w:r>
      <w:r w:rsidR="00783F1C">
        <w:t xml:space="preserve"> </w:t>
      </w:r>
      <w:r w:rsidR="006C6380">
        <w:t>obtaining</w:t>
      </w:r>
      <w:r w:rsidR="00783F1C">
        <w:t xml:space="preserve"> a permanent academic position</w:t>
      </w:r>
      <w:r w:rsidR="00E90939">
        <w:t xml:space="preserve"> by 85%</w:t>
      </w:r>
      <w:r w:rsidR="00783F1C">
        <w:t>.</w:t>
      </w:r>
      <w:r w:rsidR="00783F1C">
        <w:rPr>
          <w:rStyle w:val="FootnoteReference"/>
        </w:rPr>
        <w:footnoteReference w:id="7"/>
      </w:r>
      <w:r w:rsidR="00B25135">
        <w:t xml:space="preserve">  </w:t>
      </w:r>
      <w:r w:rsidR="006C6380">
        <w:t>A 2016</w:t>
      </w:r>
      <w:r w:rsidR="00B25135">
        <w:t xml:space="preserve"> </w:t>
      </w:r>
      <w:r w:rsidR="006A05B0">
        <w:t>update</w:t>
      </w:r>
      <w:r w:rsidR="009B2986">
        <w:t xml:space="preserve"> </w:t>
      </w:r>
      <w:r w:rsidR="00B25135">
        <w:t>corroborated</w:t>
      </w:r>
      <w:r w:rsidR="00D6050E">
        <w:t xml:space="preserve"> this finding </w:t>
      </w:r>
      <w:r w:rsidR="002456A0">
        <w:t>notwithstanding Jennings'</w:t>
      </w:r>
      <w:r w:rsidR="009B0B97">
        <w:t xml:space="preserve"> </w:t>
      </w:r>
      <w:r w:rsidR="00D95D69">
        <w:t>statement</w:t>
      </w:r>
      <w:r w:rsidR="00B25135">
        <w:t xml:space="preserve"> </w:t>
      </w:r>
      <w:r w:rsidR="00E17700">
        <w:t xml:space="preserve">that </w:t>
      </w:r>
      <w:r w:rsidR="00266847">
        <w:t>"</w:t>
      </w:r>
      <w:r w:rsidR="00E17700">
        <w:t>we did not find a</w:t>
      </w:r>
      <w:r w:rsidR="00266847">
        <w:t xml:space="preserve"> significant effect of gender on placement</w:t>
      </w:r>
      <w:r w:rsidR="008647F5">
        <w:t>...</w:t>
      </w:r>
      <w:r w:rsidR="00D6050E">
        <w:t>"</w:t>
      </w:r>
      <w:r w:rsidR="00266847">
        <w:rPr>
          <w:rStyle w:val="FootnoteReference"/>
        </w:rPr>
        <w:footnoteReference w:id="8"/>
      </w:r>
      <w:r w:rsidR="002A46E2">
        <w:t xml:space="preserve">  </w:t>
      </w:r>
      <w:r w:rsidR="00E17700">
        <w:t>While technical</w:t>
      </w:r>
      <w:r w:rsidR="004E6976">
        <w:t>ly true</w:t>
      </w:r>
      <w:r w:rsidR="005103D6">
        <w:t>, however,</w:t>
      </w:r>
      <w:r w:rsidR="004E6976">
        <w:t xml:space="preserve"> </w:t>
      </w:r>
      <w:r w:rsidR="006C6380">
        <w:t>this wa</w:t>
      </w:r>
      <w:r w:rsidR="001A000D">
        <w:t xml:space="preserve">s only </w:t>
      </w:r>
      <w:r w:rsidR="008647F5">
        <w:t xml:space="preserve">because </w:t>
      </w:r>
      <w:r w:rsidR="009B6AA0">
        <w:t xml:space="preserve">in 2016 </w:t>
      </w:r>
      <w:r w:rsidR="00E17700">
        <w:t xml:space="preserve">they elected </w:t>
      </w:r>
      <w:r w:rsidR="00E17700" w:rsidRPr="002A46E2">
        <w:t xml:space="preserve">not </w:t>
      </w:r>
      <w:r w:rsidR="00D95D69" w:rsidRPr="002A46E2">
        <w:t xml:space="preserve">to </w:t>
      </w:r>
      <w:r w:rsidR="00E17700" w:rsidRPr="002A46E2">
        <w:t>examine</w:t>
      </w:r>
      <w:r w:rsidR="00E17700">
        <w:t xml:space="preserve"> </w:t>
      </w:r>
      <w:r w:rsidR="009F5623">
        <w:t>th</w:t>
      </w:r>
      <w:r w:rsidR="002A46E2">
        <w:t>is low hanging fruit.</w:t>
      </w:r>
      <w:r w:rsidR="006C6380">
        <w:t xml:space="preserve">  Despite </w:t>
      </w:r>
      <w:r w:rsidR="009B2986">
        <w:t>this</w:t>
      </w:r>
      <w:r w:rsidR="008647F5">
        <w:t xml:space="preserve"> f</w:t>
      </w:r>
      <w:r w:rsidR="000161A3">
        <w:t xml:space="preserve">lagging of interest in this </w:t>
      </w:r>
      <w:r w:rsidR="008647F5">
        <w:t>aspect of the gender question</w:t>
      </w:r>
      <w:r w:rsidR="009B2986">
        <w:t xml:space="preserve">, she </w:t>
      </w:r>
      <w:r w:rsidR="008647F5">
        <w:t>did acknowledge</w:t>
      </w:r>
      <w:r w:rsidR="00DB10C3">
        <w:t xml:space="preserve"> </w:t>
      </w:r>
      <w:r w:rsidR="009B0B97">
        <w:t xml:space="preserve">there were about 10% more </w:t>
      </w:r>
      <w:r w:rsidR="00D6050E">
        <w:t xml:space="preserve">women </w:t>
      </w:r>
      <w:r w:rsidR="009B0B97">
        <w:t xml:space="preserve">than men </w:t>
      </w:r>
      <w:r w:rsidR="00D6050E">
        <w:t xml:space="preserve">among those obtaining a permanent position </w:t>
      </w:r>
      <w:r w:rsidR="00DB10C3">
        <w:t>over the</w:t>
      </w:r>
      <w:r w:rsidR="009B0B97">
        <w:t xml:space="preserve"> entire data set</w:t>
      </w:r>
      <w:r w:rsidR="00FC1F72">
        <w:t xml:space="preserve"> (chi-squared test p&lt;.01)</w:t>
      </w:r>
      <w:r w:rsidR="002A46E2">
        <w:t xml:space="preserve"> and (with</w:t>
      </w:r>
      <w:r w:rsidR="009B0B97">
        <w:t xml:space="preserve"> </w:t>
      </w:r>
      <w:r w:rsidR="001E37BD">
        <w:t>prompting</w:t>
      </w:r>
      <w:r w:rsidR="00DB10C3">
        <w:t xml:space="preserve"> by a</w:t>
      </w:r>
      <w:r w:rsidR="009B6AA0">
        <w:t>n anonymous</w:t>
      </w:r>
      <w:r w:rsidR="00DB10C3">
        <w:t xml:space="preserve"> commenter) </w:t>
      </w:r>
      <w:r w:rsidR="009B0B97">
        <w:t xml:space="preserve">admitted the number was </w:t>
      </w:r>
      <w:r w:rsidR="00FC1F72">
        <w:t>much higher (around</w:t>
      </w:r>
      <w:r w:rsidR="00935025">
        <w:t xml:space="preserve"> 23%</w:t>
      </w:r>
      <w:r w:rsidR="00FC1F72">
        <w:t>)</w:t>
      </w:r>
      <w:r w:rsidR="00935025">
        <w:t xml:space="preserve"> </w:t>
      </w:r>
      <w:r w:rsidR="00FC1F72">
        <w:t>concerning</w:t>
      </w:r>
      <w:r w:rsidR="00935025">
        <w:t xml:space="preserve"> those graduating within the most recent hiring cycles (2012-2015)</w:t>
      </w:r>
      <w:r w:rsidR="00D6050E">
        <w:t>.</w:t>
      </w:r>
      <w:r w:rsidR="001D6AF2">
        <w:t xml:space="preserve">  </w:t>
      </w:r>
      <w:r w:rsidR="0039319A">
        <w:t>Another commentator also brought</w:t>
      </w:r>
      <w:r w:rsidR="001D6AF2">
        <w:t xml:space="preserve"> </w:t>
      </w:r>
      <w:r w:rsidR="009F5623">
        <w:t xml:space="preserve">the high significance of this result </w:t>
      </w:r>
      <w:r w:rsidR="003315D7">
        <w:t xml:space="preserve">to </w:t>
      </w:r>
      <w:r w:rsidR="009F5623">
        <w:t>our attention (chi-square</w:t>
      </w:r>
      <w:r w:rsidR="00451524">
        <w:t>,</w:t>
      </w:r>
      <w:r w:rsidR="006C6380">
        <w:t xml:space="preserve"> </w:t>
      </w:r>
      <w:r w:rsidR="009B6AA0">
        <w:t>p=0.0007</w:t>
      </w:r>
      <w:r w:rsidR="009F5623">
        <w:t xml:space="preserve">).   </w:t>
      </w:r>
      <w:r w:rsidR="000D2C12">
        <w:t xml:space="preserve">The upshot is that </w:t>
      </w:r>
      <w:r w:rsidR="00D95D69">
        <w:t>with the help of various anonymous commen</w:t>
      </w:r>
      <w:r w:rsidR="0039319A">
        <w:t>tators, we can be confident that the APDA</w:t>
      </w:r>
      <w:r w:rsidR="00D95D69">
        <w:t xml:space="preserve"> </w:t>
      </w:r>
      <w:r w:rsidR="000D2C12">
        <w:t>findi</w:t>
      </w:r>
      <w:r w:rsidR="00D95D69">
        <w:t xml:space="preserve">ngs </w:t>
      </w:r>
      <w:r w:rsidR="0039319A">
        <w:t xml:space="preserve">offer </w:t>
      </w:r>
      <w:r w:rsidR="00D95D69">
        <w:t>strong support</w:t>
      </w:r>
      <w:r w:rsidR="003315D7">
        <w:t xml:space="preserve"> that</w:t>
      </w:r>
      <w:r w:rsidR="00D95D69">
        <w:t xml:space="preserve"> </w:t>
      </w:r>
      <w:r w:rsidR="000D2C12">
        <w:t xml:space="preserve">men are significantly less likely to obtain permanent positions.  </w:t>
      </w:r>
    </w:p>
    <w:p w14:paraId="73074978" w14:textId="0F3AFB39" w:rsidR="005C0D65" w:rsidRDefault="006A05B0" w:rsidP="007E78C9">
      <w:pPr>
        <w:spacing w:line="480" w:lineRule="auto"/>
      </w:pPr>
      <w:r>
        <w:tab/>
        <w:t>Another</w:t>
      </w:r>
      <w:r w:rsidR="00AC0CFA">
        <w:t xml:space="preserve"> noteworthy </w:t>
      </w:r>
      <w:r w:rsidR="00131B29">
        <w:t>finding</w:t>
      </w:r>
      <w:r w:rsidR="00A52177">
        <w:t xml:space="preserve"> </w:t>
      </w:r>
      <w:r w:rsidR="0039319A">
        <w:t xml:space="preserve">obtained </w:t>
      </w:r>
      <w:r w:rsidR="00A52177">
        <w:t>from Jennings' earlier results</w:t>
      </w:r>
      <w:r w:rsidR="00131B29">
        <w:t xml:space="preserve"> is</w:t>
      </w:r>
      <w:r w:rsidR="00482269">
        <w:t xml:space="preserve"> that</w:t>
      </w:r>
      <w:r w:rsidR="00AC0CFA">
        <w:t xml:space="preserve"> female </w:t>
      </w:r>
      <w:r w:rsidR="008C0E5C" w:rsidRPr="00BF392D">
        <w:t>candidates</w:t>
      </w:r>
      <w:r w:rsidR="00482269">
        <w:t xml:space="preserve"> had</w:t>
      </w:r>
      <w:r w:rsidR="00471FFE" w:rsidRPr="00BF392D">
        <w:t xml:space="preserve"> about half as many publications as their male c</w:t>
      </w:r>
      <w:r w:rsidR="001401A8" w:rsidRPr="00BF392D">
        <w:t>ounterparts</w:t>
      </w:r>
      <w:r w:rsidR="00E90051">
        <w:t xml:space="preserve">. </w:t>
      </w:r>
      <w:r w:rsidR="000C5420">
        <w:t xml:space="preserve"> The average </w:t>
      </w:r>
      <w:r w:rsidR="00003560">
        <w:t>publica</w:t>
      </w:r>
      <w:r w:rsidR="007F3E51">
        <w:t>tion counts</w:t>
      </w:r>
      <w:r w:rsidR="00003560">
        <w:t xml:space="preserve"> for candidates </w:t>
      </w:r>
      <w:r w:rsidR="00194492">
        <w:t>(</w:t>
      </w:r>
      <w:r w:rsidR="00003560">
        <w:t>having no prior acad</w:t>
      </w:r>
      <w:r w:rsidR="007F3E51">
        <w:t>e</w:t>
      </w:r>
      <w:r w:rsidR="00003560">
        <w:t>mic appointment</w:t>
      </w:r>
      <w:r w:rsidR="00194492">
        <w:t>)</w:t>
      </w:r>
      <w:r w:rsidR="00003560">
        <w:t xml:space="preserve"> were </w:t>
      </w:r>
      <w:r w:rsidR="007F3E51">
        <w:t>1.37 for men and .77 for wome</w:t>
      </w:r>
      <w:r w:rsidR="0039319A">
        <w:t>n (medians 1 and 0; p</w:t>
      </w:r>
      <w:r w:rsidR="007F3E51">
        <w:t>=</w:t>
      </w:r>
      <w:r w:rsidR="00317CDE">
        <w:t>0.000808</w:t>
      </w:r>
      <w:r w:rsidR="007F3E51">
        <w:t>)</w:t>
      </w:r>
      <w:r w:rsidR="009F4B92">
        <w:rPr>
          <w:rStyle w:val="FootnoteReference"/>
        </w:rPr>
        <w:footnoteReference w:id="9"/>
      </w:r>
      <w:r w:rsidR="002A46E2">
        <w:t xml:space="preserve"> and i</w:t>
      </w:r>
      <w:r w:rsidR="00AC0CFA">
        <w:t xml:space="preserve">s </w:t>
      </w:r>
      <w:r w:rsidR="00825724">
        <w:t xml:space="preserve">also </w:t>
      </w:r>
      <w:r w:rsidR="00AC0CFA">
        <w:t>extremely significant</w:t>
      </w:r>
      <w:r w:rsidR="009718AD">
        <w:t xml:space="preserve">.  However, </w:t>
      </w:r>
      <w:r w:rsidR="00764ABB">
        <w:t>as</w:t>
      </w:r>
      <w:r w:rsidR="00317CDE">
        <w:t xml:space="preserve"> the</w:t>
      </w:r>
      <w:r w:rsidR="00764ABB">
        <w:t xml:space="preserve"> quantity of publications is only one</w:t>
      </w:r>
      <w:r w:rsidR="00AC0CFA">
        <w:t xml:space="preserve"> very</w:t>
      </w:r>
      <w:r w:rsidR="00764ABB">
        <w:t xml:space="preserve"> crude measure of a candidate’s strengths, </w:t>
      </w:r>
      <w:r w:rsidR="009718AD">
        <w:t xml:space="preserve">we </w:t>
      </w:r>
      <w:r w:rsidR="00825724">
        <w:t>can also look</w:t>
      </w:r>
      <w:r w:rsidR="00764ABB">
        <w:t xml:space="preserve"> at how several other</w:t>
      </w:r>
      <w:r w:rsidR="009718AD">
        <w:t xml:space="preserve"> variables </w:t>
      </w:r>
      <w:r w:rsidR="00522C33">
        <w:t>might depart</w:t>
      </w:r>
      <w:r w:rsidR="009C5CD3">
        <w:t xml:space="preserve"> from these</w:t>
      </w:r>
      <w:r w:rsidR="00764ABB">
        <w:t xml:space="preserve"> aggregated result</w:t>
      </w:r>
      <w:r w:rsidR="007F3E51">
        <w:t>s</w:t>
      </w:r>
      <w:r w:rsidR="00764ABB">
        <w:t xml:space="preserve">.  </w:t>
      </w:r>
      <w:r w:rsidR="006E51ED">
        <w:t>For example, b</w:t>
      </w:r>
      <w:r w:rsidR="009718AD">
        <w:t>esides quantity, Jennings’ data also contained information about</w:t>
      </w:r>
      <w:r w:rsidR="00764ABB">
        <w:t xml:space="preserve"> the</w:t>
      </w:r>
      <w:r w:rsidR="009718AD">
        <w:t xml:space="preserve"> </w:t>
      </w:r>
      <w:r w:rsidR="00AC0CFA">
        <w:t xml:space="preserve">putative </w:t>
      </w:r>
      <w:r w:rsidR="009718AD">
        <w:t xml:space="preserve">“quality” </w:t>
      </w:r>
      <w:r w:rsidR="00764ABB">
        <w:t xml:space="preserve">of </w:t>
      </w:r>
      <w:r w:rsidR="00587E75">
        <w:t>a</w:t>
      </w:r>
      <w:r w:rsidR="00764ABB">
        <w:t xml:space="preserve"> publication</w:t>
      </w:r>
      <w:r w:rsidR="009C5CD3">
        <w:t xml:space="preserve"> (</w:t>
      </w:r>
      <w:r w:rsidR="00764ABB">
        <w:t xml:space="preserve">defined </w:t>
      </w:r>
      <w:r w:rsidR="00587E75">
        <w:t xml:space="preserve">as </w:t>
      </w:r>
      <w:r w:rsidR="009718AD">
        <w:t>a “top-15” journal according to a pol</w:t>
      </w:r>
      <w:r w:rsidR="00317CDE">
        <w:t>l</w:t>
      </w:r>
      <w:r w:rsidR="009718AD">
        <w:t xml:space="preserve"> a</w:t>
      </w:r>
      <w:r w:rsidR="009C5CD3">
        <w:t>t the Brooks Blog).</w:t>
      </w:r>
      <w:r w:rsidR="00B74075">
        <w:t xml:space="preserve"> </w:t>
      </w:r>
      <w:r w:rsidR="00AC0CFA">
        <w:t xml:space="preserve">  Here </w:t>
      </w:r>
      <w:r w:rsidR="00B74075">
        <w:t xml:space="preserve">male </w:t>
      </w:r>
      <w:r w:rsidR="002274F5">
        <w:t>tenure-track</w:t>
      </w:r>
      <w:r w:rsidR="00B74075">
        <w:t xml:space="preserve"> hires are about three times more likely to have published in a highly regarded venue (</w:t>
      </w:r>
      <w:r w:rsidR="00FC00FC">
        <w:t xml:space="preserve">see Appendix, </w:t>
      </w:r>
      <w:r w:rsidR="00680846">
        <w:t>fig.</w:t>
      </w:r>
      <w:r w:rsidR="00B74075">
        <w:t xml:space="preserve">1).  </w:t>
      </w:r>
    </w:p>
    <w:p w14:paraId="799A73D5" w14:textId="3761BFBF" w:rsidR="009718AD" w:rsidRDefault="00656CDD" w:rsidP="00311BDF">
      <w:pPr>
        <w:spacing w:line="480" w:lineRule="auto"/>
        <w:ind w:firstLine="720"/>
      </w:pPr>
      <w:r>
        <w:t>I</w:t>
      </w:r>
      <w:r w:rsidR="007F5B4B">
        <w:t>t is natural to wonder how important publications are when it come</w:t>
      </w:r>
      <w:r>
        <w:t>s to assessing job candidates, and c</w:t>
      </w:r>
      <w:r w:rsidR="00311BDF">
        <w:t>ert</w:t>
      </w:r>
      <w:r w:rsidR="009C5CD3">
        <w:t>a</w:t>
      </w:r>
      <w:r w:rsidR="00311BDF">
        <w:t>inly we can agree</w:t>
      </w:r>
      <w:r w:rsidR="007F5B4B">
        <w:t xml:space="preserve"> </w:t>
      </w:r>
      <w:r w:rsidR="009C5CD3">
        <w:t>p</w:t>
      </w:r>
      <w:r w:rsidR="0078375C">
        <w:t xml:space="preserve">ublications are not the only </w:t>
      </w:r>
      <w:r w:rsidR="007F5B4B">
        <w:t>relevant factor</w:t>
      </w:r>
      <w:r>
        <w:t>.  E</w:t>
      </w:r>
      <w:r w:rsidR="007F5B4B">
        <w:t>ven fo</w:t>
      </w:r>
      <w:r w:rsidR="00277F8B">
        <w:t xml:space="preserve">r a research-oriented position </w:t>
      </w:r>
      <w:r w:rsidR="007F5B4B">
        <w:t xml:space="preserve">the quality of writing samples, </w:t>
      </w:r>
      <w:r w:rsidR="00656DEF">
        <w:t>the reputation</w:t>
      </w:r>
      <w:r w:rsidR="007F5B4B">
        <w:t xml:space="preserve"> of d</w:t>
      </w:r>
      <w:r w:rsidR="0078375C">
        <w:t>octoral institution</w:t>
      </w:r>
      <w:r w:rsidR="007F5B4B">
        <w:t>s,</w:t>
      </w:r>
      <w:r w:rsidR="0078375C">
        <w:t xml:space="preserve"> and the weight assign</w:t>
      </w:r>
      <w:r w:rsidR="007F5B4B">
        <w:t>ed to letters of recommendation</w:t>
      </w:r>
      <w:r w:rsidR="00277F8B">
        <w:t xml:space="preserve"> will also be taken into account</w:t>
      </w:r>
      <w:r w:rsidR="0078375C">
        <w:t>.</w:t>
      </w:r>
      <w:r w:rsidR="009C5CD3">
        <w:t xml:space="preserve">  As a rough p</w:t>
      </w:r>
      <w:r w:rsidR="007F5B4B">
        <w:t>roxy for reputational</w:t>
      </w:r>
      <w:r w:rsidR="00277F8B">
        <w:t xml:space="preserve"> factors </w:t>
      </w:r>
      <w:r w:rsidR="009C5CD3">
        <w:t>rankings of degree-granting programs obtained from the 2006-2008 edition of the Gourmet Report</w:t>
      </w:r>
      <w:r w:rsidR="002A46E2">
        <w:t xml:space="preserve"> were utilized</w:t>
      </w:r>
      <w:r w:rsidR="009C5CD3">
        <w:t>.</w:t>
      </w:r>
      <w:r w:rsidR="005E5BCE">
        <w:rPr>
          <w:rStyle w:val="FootnoteReference"/>
        </w:rPr>
        <w:footnoteReference w:id="10"/>
      </w:r>
      <w:r w:rsidR="0078375C">
        <w:t xml:space="preserve">  </w:t>
      </w:r>
      <w:r w:rsidR="002A46E2">
        <w:t>How</w:t>
      </w:r>
      <w:r w:rsidR="00764ABB">
        <w:t xml:space="preserve"> publicati</w:t>
      </w:r>
      <w:r w:rsidR="007F3E51">
        <w:t xml:space="preserve">on records of new hires </w:t>
      </w:r>
      <w:r w:rsidR="002A46E2">
        <w:t xml:space="preserve">might </w:t>
      </w:r>
      <w:r w:rsidR="007F3E51">
        <w:t>differ</w:t>
      </w:r>
      <w:r w:rsidR="002A46E2">
        <w:t xml:space="preserve"> </w:t>
      </w:r>
      <w:r w:rsidR="00764ABB">
        <w:t>depending on whether they had a prior position</w:t>
      </w:r>
      <w:r w:rsidR="00F562E6">
        <w:t xml:space="preserve"> or accepted a </w:t>
      </w:r>
      <w:r w:rsidR="002274F5">
        <w:t>tenure-track</w:t>
      </w:r>
      <w:r w:rsidR="00F562E6">
        <w:t xml:space="preserve"> job</w:t>
      </w:r>
      <w:r w:rsidR="00764ABB">
        <w:t xml:space="preserve"> straight out of grad</w:t>
      </w:r>
      <w:r w:rsidR="0053456F">
        <w:t>uate</w:t>
      </w:r>
      <w:r w:rsidR="00764ABB">
        <w:t xml:space="preserve"> school</w:t>
      </w:r>
      <w:r w:rsidR="00277F8B">
        <w:t xml:space="preserve"> was </w:t>
      </w:r>
      <w:r w:rsidR="002A46E2">
        <w:t xml:space="preserve">also </w:t>
      </w:r>
      <w:r w:rsidR="00277F8B">
        <w:t>considered</w:t>
      </w:r>
      <w:r w:rsidR="00764ABB">
        <w:t xml:space="preserve">.  </w:t>
      </w:r>
    </w:p>
    <w:p w14:paraId="355A9A4E" w14:textId="1B31B31F" w:rsidR="0053456F" w:rsidRDefault="0053456F" w:rsidP="00C71A17">
      <w:pPr>
        <w:spacing w:line="480" w:lineRule="auto"/>
        <w:ind w:firstLine="720"/>
      </w:pPr>
      <w:r>
        <w:t>Some have claimed that</w:t>
      </w:r>
      <w:r w:rsidR="005E5BCE">
        <w:t xml:space="preserve"> prestige interacts with gender in </w:t>
      </w:r>
      <w:r>
        <w:t>that women from highly regarded</w:t>
      </w:r>
      <w:r w:rsidR="005E5BCE">
        <w:t xml:space="preserve"> programs tend to publish the least, whereas men from </w:t>
      </w:r>
      <w:r>
        <w:t xml:space="preserve">less fancy </w:t>
      </w:r>
      <w:r w:rsidR="005E5BCE">
        <w:t>programs publish the most.</w:t>
      </w:r>
      <w:r w:rsidR="005E5BCE">
        <w:rPr>
          <w:rStyle w:val="FootnoteReference"/>
        </w:rPr>
        <w:footnoteReference w:id="11"/>
      </w:r>
      <w:r w:rsidR="005E5BCE">
        <w:t xml:space="preserve">  However, we find the relationship between gender and prestige to be somewhat murk</w:t>
      </w:r>
      <w:r w:rsidR="002A46E2">
        <w:t xml:space="preserve">ier.  Although the finding </w:t>
      </w:r>
      <w:r w:rsidR="005E5BCE">
        <w:t xml:space="preserve">men </w:t>
      </w:r>
      <w:r>
        <w:t xml:space="preserve">in general </w:t>
      </w:r>
      <w:r w:rsidR="005E5BCE">
        <w:t>tend to publish more an</w:t>
      </w:r>
      <w:r>
        <w:t>d in more prestigious places</w:t>
      </w:r>
      <w:r w:rsidR="00277F8B">
        <w:t xml:space="preserve"> was corroborated</w:t>
      </w:r>
      <w:r w:rsidR="005E5BCE">
        <w:t xml:space="preserve">, </w:t>
      </w:r>
      <w:r w:rsidR="00AA59D7">
        <w:t xml:space="preserve">program prestige correlated positively with </w:t>
      </w:r>
      <w:r w:rsidR="006E51ED">
        <w:t>the output of high-</w:t>
      </w:r>
      <w:r w:rsidR="00AA59D7">
        <w:t xml:space="preserve">quality </w:t>
      </w:r>
      <w:r w:rsidR="006E51ED">
        <w:t>publications</w:t>
      </w:r>
      <w:r w:rsidR="00277F8B">
        <w:t xml:space="preserve"> </w:t>
      </w:r>
      <w:r w:rsidR="002A46E2">
        <w:t>regardless of gender.  G</w:t>
      </w:r>
      <w:r w:rsidR="00522C33">
        <w:t xml:space="preserve">endered differences </w:t>
      </w:r>
      <w:r w:rsidR="00017026">
        <w:t xml:space="preserve">also </w:t>
      </w:r>
      <w:r w:rsidR="00522C33">
        <w:t>depended</w:t>
      </w:r>
      <w:r w:rsidR="005E5BCE">
        <w:t xml:space="preserve"> </w:t>
      </w:r>
      <w:r w:rsidR="006E51ED">
        <w:t xml:space="preserve">somewhat </w:t>
      </w:r>
      <w:r w:rsidR="005E5BCE">
        <w:t>on whether we were looking at candidates who had held a prior academic appointment</w:t>
      </w:r>
      <w:r>
        <w:t>.</w:t>
      </w:r>
    </w:p>
    <w:p w14:paraId="6FDE79C6" w14:textId="4A1F9C94" w:rsidR="00F725C2" w:rsidRDefault="00C71A17" w:rsidP="00EA0E63">
      <w:pPr>
        <w:spacing w:line="480" w:lineRule="auto"/>
        <w:ind w:firstLine="720"/>
      </w:pPr>
      <w:r>
        <w:t>First</w:t>
      </w:r>
      <w:r w:rsidR="00AA59D7">
        <w:t>,</w:t>
      </w:r>
      <w:r w:rsidR="00BF392D">
        <w:t xml:space="preserve"> </w:t>
      </w:r>
      <w:r w:rsidR="009F4B92">
        <w:t>mean Gourmet Report sc</w:t>
      </w:r>
      <w:r>
        <w:t>ores</w:t>
      </w:r>
      <w:r w:rsidR="00277F8B">
        <w:t xml:space="preserve"> were incorporated within</w:t>
      </w:r>
      <w:r>
        <w:t xml:space="preserve"> Jenn</w:t>
      </w:r>
      <w:r w:rsidR="00AA59D7">
        <w:t xml:space="preserve">ings’ spreadsheet </w:t>
      </w:r>
      <w:r w:rsidR="00277F8B">
        <w:t>revealing</w:t>
      </w:r>
      <w:r w:rsidR="00AA59D7">
        <w:t xml:space="preserve"> </w:t>
      </w:r>
      <w:r w:rsidR="00FC00FC">
        <w:t xml:space="preserve">a disparity in </w:t>
      </w:r>
      <w:r w:rsidR="00AA59D7">
        <w:t>a</w:t>
      </w:r>
      <w:r w:rsidR="00FC00FC">
        <w:t>ve</w:t>
      </w:r>
      <w:r w:rsidR="00F562E6">
        <w:t>rage home department rankings of</w:t>
      </w:r>
      <w:r w:rsidR="00FC00FC">
        <w:t xml:space="preserve"> </w:t>
      </w:r>
      <w:r>
        <w:t xml:space="preserve">3.31 for men and 2.93 for women (medians were 3.6 and 3.2).  High prestige “top-20” departments have a </w:t>
      </w:r>
      <w:r w:rsidR="00277F8B">
        <w:t>score of at least 3.4, and so next</w:t>
      </w:r>
      <w:r>
        <w:t xml:space="preserve"> men and women</w:t>
      </w:r>
      <w:r w:rsidR="00277F8B">
        <w:t xml:space="preserve"> were divided</w:t>
      </w:r>
      <w:r>
        <w:t xml:space="preserve"> into </w:t>
      </w:r>
      <w:r w:rsidR="00F562E6">
        <w:t>elite</w:t>
      </w:r>
      <w:r>
        <w:t xml:space="preserve"> (“top-</w:t>
      </w:r>
      <w:r w:rsidR="00522C33">
        <w:t>20”) and non-</w:t>
      </w:r>
      <w:r w:rsidR="00F562E6">
        <w:t>elite</w:t>
      </w:r>
      <w:r w:rsidR="00522C33">
        <w:t xml:space="preserve"> (“non</w:t>
      </w:r>
      <w:r w:rsidR="00AA59D7">
        <w:t>t</w:t>
      </w:r>
      <w:r>
        <w:t>op-20”) subgroups to see if there would be any interesting effects.</w:t>
      </w:r>
      <w:r>
        <w:rPr>
          <w:rStyle w:val="FootnoteReference"/>
        </w:rPr>
        <w:footnoteReference w:id="12"/>
      </w:r>
      <w:r w:rsidR="006E51ED">
        <w:t xml:space="preserve">  T</w:t>
      </w:r>
      <w:r>
        <w:t xml:space="preserve">he rankings for </w:t>
      </w:r>
      <w:r w:rsidR="00F562E6">
        <w:t xml:space="preserve">male and female </w:t>
      </w:r>
      <w:r>
        <w:t xml:space="preserve">“top-20” hires turn out to be </w:t>
      </w:r>
      <w:r w:rsidR="00AA59D7">
        <w:t>very similar</w:t>
      </w:r>
      <w:r>
        <w:t xml:space="preserve"> with mean scores of 3.94 for men and 4.02 for women (with med</w:t>
      </w:r>
      <w:r w:rsidR="00AA59D7">
        <w:t xml:space="preserve">ians of 3.7 each).  Given this, </w:t>
      </w:r>
      <w:r w:rsidR="00C73905">
        <w:t>we</w:t>
      </w:r>
      <w:r w:rsidR="00AA59D7">
        <w:t xml:space="preserve"> expect to find </w:t>
      </w:r>
      <w:r w:rsidR="00522C33">
        <w:t>a</w:t>
      </w:r>
      <w:r>
        <w:t xml:space="preserve"> </w:t>
      </w:r>
      <w:r w:rsidR="00F562E6">
        <w:t xml:space="preserve">small </w:t>
      </w:r>
      <w:r>
        <w:t>gendered diff</w:t>
      </w:r>
      <w:r w:rsidR="00AA59D7">
        <w:t xml:space="preserve">erence in prestige </w:t>
      </w:r>
      <w:r w:rsidR="00522C33">
        <w:t>among the remainder</w:t>
      </w:r>
      <w:r w:rsidR="00AA59D7">
        <w:t>, and indeed the averages</w:t>
      </w:r>
      <w:r>
        <w:t xml:space="preserve"> </w:t>
      </w:r>
      <w:r w:rsidR="00AA59D7">
        <w:t xml:space="preserve">here are 2.26 for men and 1.9 for women (with </w:t>
      </w:r>
      <w:r>
        <w:t xml:space="preserve">medians </w:t>
      </w:r>
      <w:r w:rsidR="00AA59D7">
        <w:t>of</w:t>
      </w:r>
      <w:r>
        <w:t xml:space="preserve"> 2.6 and 2.3).</w:t>
      </w:r>
      <w:r w:rsidR="00AA59D7">
        <w:rPr>
          <w:rStyle w:val="FootnoteReference"/>
        </w:rPr>
        <w:footnoteReference w:id="13"/>
      </w:r>
      <w:r w:rsidR="004D5931">
        <w:t xml:space="preserve">  </w:t>
      </w:r>
      <w:r w:rsidR="00277F8B">
        <w:t>It was also not</w:t>
      </w:r>
      <w:r>
        <w:t xml:space="preserve">ed </w:t>
      </w:r>
      <w:r w:rsidR="00277F8B">
        <w:t xml:space="preserve">that there was </w:t>
      </w:r>
      <w:r>
        <w:t xml:space="preserve">no significant interaction between gender and the prestige of hiring departments, though </w:t>
      </w:r>
      <w:r w:rsidR="00277F8B">
        <w:t xml:space="preserve">there was </w:t>
      </w:r>
      <w:r>
        <w:t>evide</w:t>
      </w:r>
      <w:r w:rsidR="00522C33">
        <w:t>nce candidates from relatively l</w:t>
      </w:r>
      <w:r>
        <w:t xml:space="preserve">ower prestige institutions lack upward mobility: </w:t>
      </w:r>
      <w:r w:rsidR="0053456F">
        <w:t>Whereas t</w:t>
      </w:r>
      <w:r>
        <w:t xml:space="preserve">op candidates </w:t>
      </w:r>
      <w:r w:rsidR="0053456F">
        <w:t xml:space="preserve">of either gender </w:t>
      </w:r>
      <w:r>
        <w:t xml:space="preserve">could expect </w:t>
      </w:r>
      <w:r w:rsidR="0053456F">
        <w:t>to find a position at a Gourmet-</w:t>
      </w:r>
      <w:r>
        <w:t xml:space="preserve">ranked institution </w:t>
      </w:r>
      <w:r w:rsidR="00AA59D7">
        <w:t>a bit less than</w:t>
      </w:r>
      <w:r>
        <w:t xml:space="preserve"> </w:t>
      </w:r>
      <w:r w:rsidR="0053456F">
        <w:t xml:space="preserve">half the time, </w:t>
      </w:r>
      <w:r w:rsidR="00AA59D7">
        <w:t>this was true of other candidates only 7-8 percent of the time</w:t>
      </w:r>
      <w:r w:rsidR="006E51ED">
        <w:t xml:space="preserve"> (fig.2).  T</w:t>
      </w:r>
      <w:r w:rsidR="00F725C2">
        <w:t xml:space="preserve">his </w:t>
      </w:r>
      <w:r w:rsidR="006E51ED">
        <w:t xml:space="preserve">might indicate </w:t>
      </w:r>
      <w:r w:rsidR="00F725C2">
        <w:t>that there are</w:t>
      </w:r>
      <w:r w:rsidR="00277F8B">
        <w:t>,</w:t>
      </w:r>
      <w:r w:rsidR="00F725C2">
        <w:t xml:space="preserve"> </w:t>
      </w:r>
      <w:r w:rsidR="00F562E6">
        <w:t>in effect</w:t>
      </w:r>
      <w:r w:rsidR="00277F8B">
        <w:t>,</w:t>
      </w:r>
      <w:r w:rsidR="00F725C2">
        <w:t xml:space="preserve"> two semi-independent</w:t>
      </w:r>
      <w:r w:rsidR="00AA59D7">
        <w:t xml:space="preserve"> </w:t>
      </w:r>
      <w:r w:rsidR="00F725C2">
        <w:t>job markets.  In terms of outcomes, the</w:t>
      </w:r>
      <w:r w:rsidR="008D47EC">
        <w:t>re seems to be</w:t>
      </w:r>
      <w:r w:rsidR="006E51ED">
        <w:t xml:space="preserve"> a</w:t>
      </w:r>
      <w:r w:rsidR="00F725C2">
        <w:t xml:space="preserve"> top-20 market mostly closed to non-el</w:t>
      </w:r>
      <w:r w:rsidR="006E51ED">
        <w:t>ite candidates</w:t>
      </w:r>
      <w:r w:rsidR="00522C33">
        <w:t xml:space="preserve"> </w:t>
      </w:r>
      <w:r w:rsidR="006E51ED">
        <w:t>and a</w:t>
      </w:r>
      <w:r w:rsidR="00522C33">
        <w:t xml:space="preserve"> non</w:t>
      </w:r>
      <w:r w:rsidR="006E51ED">
        <w:t xml:space="preserve">top-20 market </w:t>
      </w:r>
      <w:r w:rsidR="00F725C2">
        <w:t>open to all.</w:t>
      </w:r>
    </w:p>
    <w:p w14:paraId="44F2A028" w14:textId="7E267C7F" w:rsidR="007D041C" w:rsidRDefault="00277F8B" w:rsidP="002F2399">
      <w:pPr>
        <w:spacing w:line="480" w:lineRule="auto"/>
        <w:ind w:firstLine="720"/>
      </w:pPr>
      <w:r>
        <w:t xml:space="preserve">Next, </w:t>
      </w:r>
      <w:r w:rsidR="00522C33">
        <w:t>turn</w:t>
      </w:r>
      <w:r w:rsidR="00AA59D7">
        <w:t xml:space="preserve"> to consider how prestige might interact with gender when it comes to publishing.  As men</w:t>
      </w:r>
      <w:r>
        <w:t xml:space="preserve">tioned earlier, differences depended on whether </w:t>
      </w:r>
      <w:r w:rsidR="00EA0E63">
        <w:t xml:space="preserve">candidates </w:t>
      </w:r>
      <w:r>
        <w:t xml:space="preserve">had a </w:t>
      </w:r>
      <w:r w:rsidR="00AA59D7">
        <w:t xml:space="preserve">prior appointment.  </w:t>
      </w:r>
      <w:r w:rsidR="00F725C2">
        <w:t xml:space="preserve">In considering </w:t>
      </w:r>
      <w:r w:rsidR="00AA59D7">
        <w:t>those with no prior</w:t>
      </w:r>
      <w:r>
        <w:t xml:space="preserve"> appointment, it was found that</w:t>
      </w:r>
      <w:r w:rsidR="00F725C2">
        <w:t xml:space="preserve"> </w:t>
      </w:r>
      <w:r w:rsidR="00EA0E63">
        <w:t>top-20 men stand out: they publish more, an</w:t>
      </w:r>
      <w:r w:rsidR="00522C33">
        <w:t xml:space="preserve">d in </w:t>
      </w:r>
      <w:r w:rsidR="008D47EC">
        <w:t>“</w:t>
      </w:r>
      <w:r w:rsidR="00522C33">
        <w:t>better</w:t>
      </w:r>
      <w:r w:rsidR="008D47EC">
        <w:t>”</w:t>
      </w:r>
      <w:r w:rsidR="00522C33">
        <w:t xml:space="preserve"> places than the </w:t>
      </w:r>
      <w:r w:rsidR="00510728">
        <w:t>others</w:t>
      </w:r>
      <w:r>
        <w:t xml:space="preserve">.  </w:t>
      </w:r>
      <w:r w:rsidR="00EA0E63">
        <w:t>Meanwhile, top-20 wo</w:t>
      </w:r>
      <w:r w:rsidR="00522C33">
        <w:t>men publish less often than non</w:t>
      </w:r>
      <w:r w:rsidR="00EA0E63">
        <w:t>top-20 men and women, nevertheless they tend to do better when it comes to quality</w:t>
      </w:r>
      <w:r w:rsidR="00FC1046">
        <w:t xml:space="preserve"> (fig</w:t>
      </w:r>
      <w:r w:rsidR="00680846">
        <w:t>.</w:t>
      </w:r>
      <w:r w:rsidR="00FC1046">
        <w:t>3)</w:t>
      </w:r>
      <w:r w:rsidR="00017026">
        <w:t xml:space="preserve">.  As it is unclear </w:t>
      </w:r>
      <w:r w:rsidR="00EA0E63">
        <w:t xml:space="preserve">how to </w:t>
      </w:r>
      <w:r w:rsidR="00FC1046">
        <w:t>weight</w:t>
      </w:r>
      <w:r w:rsidR="00EA0E63">
        <w:t xml:space="preserve"> </w:t>
      </w:r>
      <w:r w:rsidR="00FC1046">
        <w:t xml:space="preserve">quantity versus </w:t>
      </w:r>
      <w:r w:rsidR="008D47EC">
        <w:t>“</w:t>
      </w:r>
      <w:r w:rsidR="00FC1046">
        <w:t>quality</w:t>
      </w:r>
      <w:r w:rsidR="008D47EC">
        <w:t>”</w:t>
      </w:r>
      <w:r>
        <w:t xml:space="preserve"> in assessing candidate strength, no </w:t>
      </w:r>
      <w:r w:rsidR="00EA0E63">
        <w:t xml:space="preserve">conclusions </w:t>
      </w:r>
      <w:r>
        <w:t xml:space="preserve">are drawn here </w:t>
      </w:r>
      <w:r w:rsidR="00EA0E63">
        <w:t>about the advantages or disadvantages of the remaining subgroups.</w:t>
      </w:r>
      <w:r w:rsidR="00FC1046">
        <w:t xml:space="preserve">  We can observe that top-20 women have much more access to top-20 jobs, which might suggest </w:t>
      </w:r>
      <w:r w:rsidR="008D47EC">
        <w:t>“</w:t>
      </w:r>
      <w:r w:rsidR="00FC1046">
        <w:t>quality</w:t>
      </w:r>
      <w:r w:rsidR="008D47EC">
        <w:t>”</w:t>
      </w:r>
      <w:r w:rsidR="00FC1046">
        <w:t xml:space="preserve"> counts for more</w:t>
      </w:r>
      <w:r w:rsidR="004F30C3">
        <w:t xml:space="preserve"> across the market</w:t>
      </w:r>
      <w:r w:rsidR="00FC1046">
        <w:t>.  Alternatively, there might be different standards</w:t>
      </w:r>
      <w:r w:rsidR="00522C33">
        <w:t xml:space="preserve"> for the different “markets” </w:t>
      </w:r>
      <w:r w:rsidR="00FC1046">
        <w:t>proposed</w:t>
      </w:r>
      <w:r w:rsidR="00522C33">
        <w:t xml:space="preserve"> above</w:t>
      </w:r>
      <w:r w:rsidR="00FC1046">
        <w:t xml:space="preserve">: </w:t>
      </w:r>
      <w:r w:rsidR="002F2399">
        <w:t xml:space="preserve">top-20 individuals </w:t>
      </w:r>
      <w:r w:rsidR="008B57A3">
        <w:t>appear</w:t>
      </w:r>
      <w:r w:rsidR="002F2399">
        <w:t xml:space="preserve"> </w:t>
      </w:r>
      <w:r w:rsidR="00C146AA">
        <w:t xml:space="preserve">to </w:t>
      </w:r>
      <w:r w:rsidR="002F2399">
        <w:t>be a little stronger</w:t>
      </w:r>
      <w:r w:rsidR="006E51ED">
        <w:t xml:space="preserve"> </w:t>
      </w:r>
      <w:r w:rsidR="00AC6F20">
        <w:t xml:space="preserve">concerning </w:t>
      </w:r>
      <w:r w:rsidR="008D47EC">
        <w:t>“</w:t>
      </w:r>
      <w:r w:rsidR="00AC6F20">
        <w:t>quality</w:t>
      </w:r>
      <w:r w:rsidR="008D47EC">
        <w:t>”</w:t>
      </w:r>
      <w:r w:rsidR="00AC6F20">
        <w:t xml:space="preserve"> and non</w:t>
      </w:r>
      <w:r w:rsidR="006E51ED">
        <w:t>top</w:t>
      </w:r>
      <w:r w:rsidR="00AC6F20">
        <w:t>-20 are stronger for</w:t>
      </w:r>
      <w:r w:rsidR="002F2399">
        <w:t xml:space="preserve"> quantity</w:t>
      </w:r>
      <w:r w:rsidR="00656DEF">
        <w:t xml:space="preserve"> (fig</w:t>
      </w:r>
      <w:r w:rsidR="00680846">
        <w:t>.</w:t>
      </w:r>
      <w:r w:rsidR="00656DEF">
        <w:t>4)</w:t>
      </w:r>
      <w:r w:rsidR="008B57A3">
        <w:t>.  Perhaps then publishing</w:t>
      </w:r>
      <w:r w:rsidR="002F2399">
        <w:t xml:space="preserve"> </w:t>
      </w:r>
      <w:r w:rsidR="008B57A3">
        <w:t>counts, but counts differently depending only whether one is competing on the</w:t>
      </w:r>
      <w:r w:rsidR="00FC1046">
        <w:t xml:space="preserve"> </w:t>
      </w:r>
      <w:r w:rsidR="004F30C3">
        <w:t>“</w:t>
      </w:r>
      <w:r w:rsidR="008B57A3">
        <w:t xml:space="preserve">elite” market favoring </w:t>
      </w:r>
      <w:r w:rsidR="008D47EC">
        <w:t>“</w:t>
      </w:r>
      <w:r w:rsidR="008B57A3">
        <w:t>quality</w:t>
      </w:r>
      <w:r w:rsidR="008D47EC">
        <w:t>”</w:t>
      </w:r>
      <w:r w:rsidR="008B57A3">
        <w:t xml:space="preserve"> or the</w:t>
      </w:r>
      <w:r w:rsidR="004F30C3">
        <w:t xml:space="preserve"> “</w:t>
      </w:r>
      <w:r w:rsidR="00FC1046">
        <w:t>non-</w:t>
      </w:r>
      <w:r w:rsidR="008B57A3">
        <w:t>elite</w:t>
      </w:r>
      <w:r w:rsidR="004F30C3">
        <w:t xml:space="preserve">” market favoring </w:t>
      </w:r>
      <w:r w:rsidR="002F2399">
        <w:t>raw output.</w:t>
      </w:r>
      <w:r w:rsidR="008B57A3">
        <w:rPr>
          <w:rStyle w:val="FootnoteReference"/>
        </w:rPr>
        <w:footnoteReference w:id="14"/>
      </w:r>
      <w:r>
        <w:t xml:space="preserve">   </w:t>
      </w:r>
      <w:r w:rsidR="004F30C3">
        <w:t xml:space="preserve"> </w:t>
      </w:r>
    </w:p>
    <w:p w14:paraId="2AF708DB" w14:textId="5FEA83EE" w:rsidR="00FC1046" w:rsidRDefault="00FC1046" w:rsidP="007D041C">
      <w:pPr>
        <w:spacing w:line="480" w:lineRule="auto"/>
        <w:ind w:firstLine="720"/>
      </w:pPr>
      <w:r>
        <w:t xml:space="preserve">Now </w:t>
      </w:r>
      <w:r w:rsidR="002F2399">
        <w:t xml:space="preserve">we </w:t>
      </w:r>
      <w:r w:rsidR="00656DEF">
        <w:t xml:space="preserve">can </w:t>
      </w:r>
      <w:r>
        <w:t>consider the candidates who did have a prior position.  Here men had significantly higher averag</w:t>
      </w:r>
      <w:r w:rsidR="002F2399">
        <w:t>es for quantity and</w:t>
      </w:r>
      <w:r w:rsidR="008D47EC">
        <w:t xml:space="preserve"> “</w:t>
      </w:r>
      <w:r w:rsidR="002F2399">
        <w:t>quali</w:t>
      </w:r>
      <w:r w:rsidR="006E51ED">
        <w:t>ty</w:t>
      </w:r>
      <w:r w:rsidR="008D47EC">
        <w:t>”</w:t>
      </w:r>
      <w:r w:rsidR="006E51ED">
        <w:t xml:space="preserve"> </w:t>
      </w:r>
      <w:r w:rsidR="002F2399">
        <w:t>(</w:t>
      </w:r>
      <w:r w:rsidR="00656DEF">
        <w:t>fig.5</w:t>
      </w:r>
      <w:r w:rsidR="000370E5">
        <w:t>)</w:t>
      </w:r>
      <w:r w:rsidR="006E51ED">
        <w:t xml:space="preserve">.  For example, </w:t>
      </w:r>
      <w:r>
        <w:t xml:space="preserve">low-prestige men published </w:t>
      </w:r>
      <w:r w:rsidR="000370E5">
        <w:t>almost three times as much as the average</w:t>
      </w:r>
      <w:r>
        <w:t xml:space="preserve"> high-prestige </w:t>
      </w:r>
      <w:r w:rsidR="000370E5">
        <w:t>women and were about two times more likely to have a top-15 publication.</w:t>
      </w:r>
      <w:r w:rsidR="006E51ED">
        <w:t xml:space="preserve">  T</w:t>
      </w:r>
      <w:r w:rsidR="007D041C">
        <w:t>his might indicate that women, regardless of prestige, tend to submit to journals less frequently because t</w:t>
      </w:r>
      <w:r w:rsidR="00277F8B">
        <w:t>hey are less con</w:t>
      </w:r>
      <w:r w:rsidR="006E6046">
        <w:t>fident, as expected by hypothese</w:t>
      </w:r>
      <w:r w:rsidR="00277F8B">
        <w:t xml:space="preserve">s invoking </w:t>
      </w:r>
      <w:r w:rsidR="007D041C">
        <w:t>stereotype threat</w:t>
      </w:r>
      <w:r w:rsidR="00136593">
        <w:rPr>
          <w:rStyle w:val="FootnoteReference"/>
        </w:rPr>
        <w:footnoteReference w:id="15"/>
      </w:r>
      <w:r w:rsidR="007D041C">
        <w:t xml:space="preserve"> or </w:t>
      </w:r>
      <w:r w:rsidR="00277F8B">
        <w:t xml:space="preserve">even </w:t>
      </w:r>
      <w:r w:rsidR="002F2399">
        <w:t>disadvantages</w:t>
      </w:r>
      <w:r w:rsidR="007D041C">
        <w:t xml:space="preserve"> in the reviewing process.</w:t>
      </w:r>
      <w:r w:rsidR="00136593">
        <w:rPr>
          <w:rStyle w:val="FootnoteReference"/>
        </w:rPr>
        <w:footnoteReference w:id="16"/>
      </w:r>
      <w:r w:rsidR="004A162D">
        <w:t xml:space="preserve">  Then again, </w:t>
      </w:r>
      <w:r w:rsidR="00277F8B">
        <w:t>the</w:t>
      </w:r>
      <w:r w:rsidR="007D041C">
        <w:t xml:space="preserve">re </w:t>
      </w:r>
      <w:r w:rsidR="004A162D">
        <w:t xml:space="preserve">are </w:t>
      </w:r>
      <w:r w:rsidR="007D041C">
        <w:t>several other e</w:t>
      </w:r>
      <w:r w:rsidR="006E51ED">
        <w:t>xplanations for the publishing</w:t>
      </w:r>
      <w:r w:rsidR="007D041C">
        <w:t xml:space="preserve"> gap</w:t>
      </w:r>
      <w:r w:rsidR="00656DEF">
        <w:t xml:space="preserve">.  </w:t>
      </w:r>
      <w:r w:rsidR="007D041C">
        <w:t>Notwithstanding this uncertainty, men and women</w:t>
      </w:r>
      <w:r w:rsidR="00656DEF">
        <w:t xml:space="preserve"> </w:t>
      </w:r>
      <w:r w:rsidR="007D041C">
        <w:t>appear to be held to different standards.</w:t>
      </w:r>
    </w:p>
    <w:p w14:paraId="557FB269" w14:textId="55116E93" w:rsidR="00DA180D" w:rsidRPr="004907C3" w:rsidRDefault="00656CDD" w:rsidP="00095DDC">
      <w:pPr>
        <w:spacing w:line="480" w:lineRule="auto"/>
        <w:ind w:firstLine="720"/>
      </w:pPr>
      <w:r>
        <w:t>Returning to an earlier suggestion, m</w:t>
      </w:r>
      <w:r w:rsidR="00656DEF">
        <w:t>ight it</w:t>
      </w:r>
      <w:r w:rsidR="00DA180D">
        <w:t xml:space="preserve"> be</w:t>
      </w:r>
      <w:r w:rsidR="003430C3">
        <w:t xml:space="preserve"> </w:t>
      </w:r>
      <w:r w:rsidR="00656DEF">
        <w:t xml:space="preserve">the case </w:t>
      </w:r>
      <w:r w:rsidR="003430C3">
        <w:t>that</w:t>
      </w:r>
      <w:r w:rsidR="00DA180D" w:rsidRPr="004907C3">
        <w:t xml:space="preserve"> public</w:t>
      </w:r>
      <w:r w:rsidR="00DA180D">
        <w:t>ations are not that important</w:t>
      </w:r>
      <w:r w:rsidR="00D06A55">
        <w:t xml:space="preserve"> in hiring</w:t>
      </w:r>
      <w:r w:rsidR="005F1225">
        <w:t xml:space="preserve">?  </w:t>
      </w:r>
      <w:r w:rsidR="00570575">
        <w:t>This is hard to accept given that</w:t>
      </w:r>
      <w:r w:rsidR="00DA180D">
        <w:t xml:space="preserve"> productivity</w:t>
      </w:r>
      <w:r w:rsidR="00DA180D" w:rsidRPr="004907C3">
        <w:t xml:space="preserve"> </w:t>
      </w:r>
      <w:r w:rsidR="00570575">
        <w:t>is so often tied</w:t>
      </w:r>
      <w:r w:rsidR="00DA180D">
        <w:t xml:space="preserve"> </w:t>
      </w:r>
      <w:r w:rsidR="00570575">
        <w:t xml:space="preserve">to </w:t>
      </w:r>
      <w:r w:rsidR="00DA180D">
        <w:t>securing resea</w:t>
      </w:r>
      <w:r w:rsidR="00E033A9">
        <w:t xml:space="preserve">rch-intensive positions in the </w:t>
      </w:r>
      <w:r w:rsidR="00DA180D">
        <w:t>competitive acad</w:t>
      </w:r>
      <w:r w:rsidR="007576E4">
        <w:t>emic environment</w:t>
      </w:r>
      <w:r>
        <w:t xml:space="preserve"> and critical </w:t>
      </w:r>
      <w:r w:rsidR="00D22E82">
        <w:t>to determinations about prospects for earning tenure</w:t>
      </w:r>
      <w:r w:rsidR="007576E4">
        <w:t>.  T</w:t>
      </w:r>
      <w:r w:rsidR="00656DEF">
        <w:t xml:space="preserve">his seems clear </w:t>
      </w:r>
      <w:r w:rsidR="00095DDC">
        <w:t>when we</w:t>
      </w:r>
      <w:r w:rsidR="00C4443C">
        <w:t xml:space="preserve"> consider</w:t>
      </w:r>
      <w:r w:rsidR="00656DEF">
        <w:t xml:space="preserve"> </w:t>
      </w:r>
      <w:r w:rsidR="004D5931">
        <w:t>lateral hires,</w:t>
      </w:r>
      <w:r w:rsidR="009358A8">
        <w:t xml:space="preserve"> which constitute much of </w:t>
      </w:r>
      <w:r w:rsidR="00095DDC">
        <w:t>the data</w:t>
      </w:r>
      <w:r w:rsidR="004D5931">
        <w:t>,</w:t>
      </w:r>
      <w:r w:rsidR="009358A8">
        <w:t xml:space="preserve"> </w:t>
      </w:r>
      <w:r w:rsidR="005E569C">
        <w:t>and as</w:t>
      </w:r>
      <w:r w:rsidR="00656DEF">
        <w:t xml:space="preserve"> just mentioned indicate upward</w:t>
      </w:r>
      <w:r w:rsidR="004D5931">
        <w:t xml:space="preserve"> trend</w:t>
      </w:r>
      <w:r w:rsidR="005E569C">
        <w:t xml:space="preserve">s </w:t>
      </w:r>
      <w:r w:rsidR="001031D6">
        <w:t>in output</w:t>
      </w:r>
      <w:r w:rsidR="0025335C">
        <w:t>.</w:t>
      </w:r>
      <w:r w:rsidR="001031D6">
        <w:t xml:space="preserve">  </w:t>
      </w:r>
      <w:r w:rsidR="008D41AC">
        <w:t>That</w:t>
      </w:r>
      <w:r w:rsidR="00656DEF">
        <w:t xml:space="preserve"> c</w:t>
      </w:r>
      <w:r w:rsidR="00DA180D">
        <w:t>andidates from less fancy programs publish more regardl</w:t>
      </w:r>
      <w:r w:rsidR="00570575">
        <w:t xml:space="preserve">ess of gender </w:t>
      </w:r>
      <w:r w:rsidR="00D06A55">
        <w:t xml:space="preserve">also </w:t>
      </w:r>
      <w:r w:rsidR="00570575">
        <w:t xml:space="preserve">suggests </w:t>
      </w:r>
      <w:r w:rsidR="00D970AB">
        <w:t xml:space="preserve">a widespread presumption </w:t>
      </w:r>
      <w:r w:rsidR="00095DDC">
        <w:t xml:space="preserve">that </w:t>
      </w:r>
      <w:r w:rsidR="00570575">
        <w:t xml:space="preserve">publishing compensates for other </w:t>
      </w:r>
      <w:r w:rsidR="00D970AB">
        <w:t>deficiencies</w:t>
      </w:r>
      <w:r w:rsidR="00D22E82">
        <w:t xml:space="preserve">. </w:t>
      </w:r>
      <w:r w:rsidR="00B6151B">
        <w:t xml:space="preserve"> We can also note that prev</w:t>
      </w:r>
      <w:r w:rsidR="00CA42C2">
        <w:t>ious research indicates that</w:t>
      </w:r>
      <w:r w:rsidR="00B6151B">
        <w:t xml:space="preserve"> publication record</w:t>
      </w:r>
      <w:r w:rsidR="00CA42C2">
        <w:t>s are a critical indicator of candidate</w:t>
      </w:r>
      <w:r w:rsidR="00B6151B">
        <w:t xml:space="preserve"> strength.</w:t>
      </w:r>
      <w:r>
        <w:rPr>
          <w:rStyle w:val="FootnoteReference"/>
        </w:rPr>
        <w:footnoteReference w:id="17"/>
      </w:r>
    </w:p>
    <w:p w14:paraId="1EEC3A11" w14:textId="23E9F503" w:rsidR="00DA180D" w:rsidRDefault="00DA180D" w:rsidP="00DA180D">
      <w:pPr>
        <w:spacing w:line="480" w:lineRule="auto"/>
      </w:pPr>
      <w:r w:rsidRPr="004907C3">
        <w:tab/>
        <w:t>In a blog comment, Jennings</w:t>
      </w:r>
      <w:r w:rsidRPr="004907C3">
        <w:rPr>
          <w:rStyle w:val="FootnoteReference"/>
        </w:rPr>
        <w:footnoteReference w:id="18"/>
      </w:r>
      <w:r w:rsidRPr="004907C3">
        <w:t xml:space="preserve"> attempts to explain away the publishing gap by proposing that enhanced opportunities are more often offered to males.  </w:t>
      </w:r>
      <w:r w:rsidR="0004354A">
        <w:t xml:space="preserve">Others have also worried that </w:t>
      </w:r>
      <w:r w:rsidR="0004354A">
        <w:rPr>
          <w:rFonts w:cs="Times New Roman"/>
        </w:rPr>
        <w:t>“a</w:t>
      </w:r>
      <w:r w:rsidR="0004354A" w:rsidRPr="00572545">
        <w:rPr>
          <w:rFonts w:cs="Times New Roman"/>
        </w:rPr>
        <w:t>t the graduate level, supervisors may be more likely to encourage men to publish their work.</w:t>
      </w:r>
      <w:r w:rsidR="0004354A">
        <w:rPr>
          <w:rFonts w:cs="Times New Roman"/>
        </w:rPr>
        <w:t>”</w:t>
      </w:r>
      <w:r w:rsidR="0004354A">
        <w:rPr>
          <w:rStyle w:val="FootnoteReference"/>
          <w:rFonts w:cs="Times New Roman"/>
        </w:rPr>
        <w:footnoteReference w:id="19"/>
      </w:r>
      <w:r w:rsidR="0004354A">
        <w:rPr>
          <w:rFonts w:cs="Times New Roman"/>
        </w:rPr>
        <w:t xml:space="preserve">  Jennings</w:t>
      </w:r>
      <w:r w:rsidRPr="004907C3">
        <w:t xml:space="preserve"> </w:t>
      </w:r>
      <w:r w:rsidR="00C92E87">
        <w:t xml:space="preserve">wonders if </w:t>
      </w:r>
      <w:r w:rsidRPr="004907C3">
        <w:t xml:space="preserve">most of the difference between genders is attributable to a handful (15%) of high productivity </w:t>
      </w:r>
      <w:r>
        <w:t xml:space="preserve">(HP) </w:t>
      </w:r>
      <w:r w:rsidRPr="004907C3">
        <w:t>men</w:t>
      </w:r>
      <w:r>
        <w:t xml:space="preserve">, </w:t>
      </w:r>
      <w:r w:rsidRPr="004907C3">
        <w:t>defined as those with at least five publ</w:t>
      </w:r>
      <w:r>
        <w:t>ications at the time of hiring (</w:t>
      </w:r>
      <w:r w:rsidRPr="004907C3">
        <w:t>5% of women are</w:t>
      </w:r>
      <w:r>
        <w:t xml:space="preserve"> HP by the same standard).</w:t>
      </w:r>
      <w:r>
        <w:rPr>
          <w:rStyle w:val="FootnoteReference"/>
        </w:rPr>
        <w:footnoteReference w:id="20"/>
      </w:r>
      <w:r>
        <w:t xml:space="preserve">  Yet these numbers are derived from looking at all hires, including those candidates who had a prior academic appointment, and therefore more opportunities to publish.  When we consider those with no prior position, </w:t>
      </w:r>
      <w:r w:rsidR="008F5A0A">
        <w:t>none</w:t>
      </w:r>
      <w:r>
        <w:t xml:space="preserve"> of </w:t>
      </w:r>
      <w:r w:rsidR="008F5A0A">
        <w:t>women and only 3% of the men (n= 7</w:t>
      </w:r>
      <w:r>
        <w:t>) are HP.  Since there are so few, the gap cannot be explained by those who are highly productive.</w:t>
      </w:r>
    </w:p>
    <w:p w14:paraId="677C626F" w14:textId="06529B2C" w:rsidR="002460D5" w:rsidRDefault="00C92E87" w:rsidP="00DA180D">
      <w:pPr>
        <w:spacing w:line="480" w:lineRule="auto"/>
      </w:pPr>
      <w:r>
        <w:tab/>
        <w:t>Nevertheless,</w:t>
      </w:r>
      <w:r w:rsidR="00CA42C2">
        <w:t xml:space="preserve"> </w:t>
      </w:r>
      <w:r w:rsidR="00DA180D">
        <w:t xml:space="preserve">all HP hires </w:t>
      </w:r>
      <w:r>
        <w:t xml:space="preserve">were examined </w:t>
      </w:r>
      <w:r w:rsidR="00DA180D" w:rsidRPr="004907C3">
        <w:t>in order to see what proportion of th</w:t>
      </w:r>
      <w:r w:rsidR="00DA180D">
        <w:t xml:space="preserve">eir work might be </w:t>
      </w:r>
      <w:r w:rsidR="00DA180D" w:rsidRPr="004907C3">
        <w:t>attributable to enhanced opportunities</w:t>
      </w:r>
      <w:r w:rsidR="001E118A">
        <w:t>.</w:t>
      </w:r>
      <w:r w:rsidR="001E118A">
        <w:rPr>
          <w:rStyle w:val="FootnoteReference"/>
        </w:rPr>
        <w:footnoteReference w:id="21"/>
      </w:r>
      <w:r w:rsidR="0004354A">
        <w:t xml:space="preserve">  </w:t>
      </w:r>
      <w:r w:rsidR="00DA180D">
        <w:t>Using Google searches of cvs the number of such publications for</w:t>
      </w:r>
      <w:r w:rsidR="008F5A0A">
        <w:t xml:space="preserve"> each of the 61</w:t>
      </w:r>
      <w:r w:rsidR="00DA180D">
        <w:t xml:space="preserve"> HP candidates </w:t>
      </w:r>
      <w:r>
        <w:t xml:space="preserve">was obtained </w:t>
      </w:r>
      <w:r w:rsidR="00DA180D">
        <w:t xml:space="preserve">by counting works that were </w:t>
      </w:r>
      <w:r w:rsidR="00DA180D" w:rsidRPr="004907C3">
        <w:t>co-authored with a senior figure, articles or chapters in edited volumes, conference proce</w:t>
      </w:r>
      <w:r w:rsidR="00DA180D">
        <w:t>edings, and publications</w:t>
      </w:r>
      <w:r w:rsidR="00DA180D" w:rsidRPr="004907C3">
        <w:t xml:space="preserve"> </w:t>
      </w:r>
      <w:r w:rsidR="00DA180D">
        <w:t>which</w:t>
      </w:r>
      <w:r w:rsidR="00DA180D" w:rsidRPr="004907C3">
        <w:t xml:space="preserve"> otherwis</w:t>
      </w:r>
      <w:r w:rsidR="005F1225">
        <w:t xml:space="preserve">e appeared to be by invitation, </w:t>
      </w:r>
      <w:r w:rsidR="00DA180D" w:rsidRPr="004907C3">
        <w:t xml:space="preserve">such as </w:t>
      </w:r>
      <w:r w:rsidR="005F1225">
        <w:t>introductions to special issues</w:t>
      </w:r>
      <w:r w:rsidR="00DA180D" w:rsidRPr="004907C3">
        <w:t>.</w:t>
      </w:r>
      <w:r w:rsidR="00DA180D" w:rsidRPr="004907C3">
        <w:rPr>
          <w:rStyle w:val="FootnoteReference"/>
        </w:rPr>
        <w:footnoteReference w:id="22"/>
      </w:r>
      <w:r w:rsidR="00DA180D">
        <w:t xml:space="preserve">  </w:t>
      </w:r>
      <w:r w:rsidR="00DA180D" w:rsidRPr="004907C3">
        <w:t>Although the pool of HP women</w:t>
      </w:r>
      <w:r w:rsidR="00AA1236">
        <w:t xml:space="preserve"> is small</w:t>
      </w:r>
      <w:r w:rsidR="00AA1236">
        <w:rPr>
          <w:rStyle w:val="FootnoteReference"/>
        </w:rPr>
        <w:footnoteReference w:id="23"/>
      </w:r>
      <w:r>
        <w:t xml:space="preserve"> it was</w:t>
      </w:r>
      <w:r w:rsidR="00DA180D" w:rsidRPr="004907C3">
        <w:t xml:space="preserve"> found that 37.5% of their publications fell into this </w:t>
      </w:r>
      <w:r w:rsidR="00DA180D">
        <w:t xml:space="preserve">category. </w:t>
      </w:r>
      <w:r w:rsidR="00DA180D" w:rsidRPr="004907C3">
        <w:t xml:space="preserve"> </w:t>
      </w:r>
      <w:r w:rsidR="00DA180D">
        <w:t xml:space="preserve">Turning </w:t>
      </w:r>
      <w:r w:rsidR="00DA180D" w:rsidRPr="004907C3">
        <w:t>to the</w:t>
      </w:r>
      <w:r>
        <w:t xml:space="preserve"> men,</w:t>
      </w:r>
      <w:r w:rsidR="00DA180D" w:rsidRPr="004907C3">
        <w:t xml:space="preserve"> first those who were exceptionally productive (having at l</w:t>
      </w:r>
      <w:r w:rsidR="00BB6305">
        <w:t>east 10 publications)</w:t>
      </w:r>
      <w:r>
        <w:t xml:space="preserve"> were examined</w:t>
      </w:r>
      <w:r w:rsidR="00BB6305">
        <w:t xml:space="preserve">.  </w:t>
      </w:r>
      <w:r>
        <w:t>The rationale here is that i</w:t>
      </w:r>
      <w:r w:rsidR="00DA180D" w:rsidRPr="004907C3">
        <w:t>f the HP men are favored with ex</w:t>
      </w:r>
      <w:r w:rsidR="00BB6305">
        <w:t xml:space="preserve">tra opportunities, this will likely be </w:t>
      </w:r>
      <w:r w:rsidR="00DA180D" w:rsidRPr="004907C3">
        <w:t>reflected in the output of those who publish the most</w:t>
      </w:r>
      <w:r w:rsidR="00CF03F9">
        <w:t>.  Yet f</w:t>
      </w:r>
      <w:r w:rsidR="00DA180D">
        <w:t>or</w:t>
      </w:r>
      <w:r w:rsidR="00DA180D" w:rsidRPr="004907C3">
        <w:t xml:space="preserve"> this group, </w:t>
      </w:r>
      <w:r>
        <w:t xml:space="preserve">only </w:t>
      </w:r>
      <w:r w:rsidR="00DA180D" w:rsidRPr="004907C3">
        <w:t>34.3% of their work was attributable to enhanced opportunities</w:t>
      </w:r>
      <w:r w:rsidR="00DA180D" w:rsidRPr="004907C3">
        <w:rPr>
          <w:rStyle w:val="FootnoteReference"/>
        </w:rPr>
        <w:footnoteReference w:id="24"/>
      </w:r>
      <w:r w:rsidR="00C4443C">
        <w:t xml:space="preserve"> </w:t>
      </w:r>
      <w:r w:rsidR="00CF03F9">
        <w:t>while t</w:t>
      </w:r>
      <w:r w:rsidR="008E34A7">
        <w:t xml:space="preserve">he result </w:t>
      </w:r>
      <w:r>
        <w:t>wa</w:t>
      </w:r>
      <w:r w:rsidR="00DA180D">
        <w:t>s 37.7% for all HP men</w:t>
      </w:r>
      <w:r w:rsidR="00DA180D" w:rsidRPr="004907C3">
        <w:t>.</w:t>
      </w:r>
      <w:r w:rsidR="00DA180D" w:rsidRPr="004907C3">
        <w:rPr>
          <w:rStyle w:val="FootnoteReference"/>
        </w:rPr>
        <w:footnoteReference w:id="25"/>
      </w:r>
      <w:r>
        <w:t xml:space="preserve">  In addition, t</w:t>
      </w:r>
      <w:r w:rsidR="00DA180D" w:rsidRPr="004907C3">
        <w:t>he means, medians</w:t>
      </w:r>
      <w:r w:rsidR="00DA180D">
        <w:t>,</w:t>
      </w:r>
      <w:r w:rsidR="00DA180D" w:rsidRPr="004907C3">
        <w:t xml:space="preserve"> and modes for those in the HP group did not s</w:t>
      </w:r>
      <w:r w:rsidR="00DA180D">
        <w:t xml:space="preserve">ignificantly vary by gender.  </w:t>
      </w:r>
      <w:r w:rsidR="00DA180D" w:rsidRPr="004907C3">
        <w:t>While</w:t>
      </w:r>
      <w:r w:rsidR="00DA180D">
        <w:t xml:space="preserve"> not </w:t>
      </w:r>
      <w:r w:rsidR="00DA180D" w:rsidRPr="004907C3">
        <w:t>exhaustive, as there could be other</w:t>
      </w:r>
      <w:r w:rsidR="00DA180D">
        <w:t xml:space="preserve"> kinds of special opportunities</w:t>
      </w:r>
      <w:r>
        <w:t>, favoritism in a non-blind review process</w:t>
      </w:r>
      <w:r w:rsidR="005F1225">
        <w:t>,</w:t>
      </w:r>
      <w:r w:rsidR="00DA180D" w:rsidRPr="004907C3">
        <w:t xml:space="preserve"> </w:t>
      </w:r>
      <w:r w:rsidR="00DA180D">
        <w:t>as well as differential barriers to</w:t>
      </w:r>
      <w:r w:rsidR="00C407DD">
        <w:t xml:space="preserve"> obtaining prior positions, the</w:t>
      </w:r>
      <w:r w:rsidR="00DA180D">
        <w:t xml:space="preserve"> data</w:t>
      </w:r>
      <w:r w:rsidR="00DA180D" w:rsidRPr="004907C3">
        <w:t xml:space="preserve"> </w:t>
      </w:r>
      <w:r>
        <w:t xml:space="preserve">offered here </w:t>
      </w:r>
      <w:r w:rsidR="00DA180D">
        <w:t xml:space="preserve">suggests HP </w:t>
      </w:r>
      <w:r w:rsidR="00DA180D" w:rsidRPr="004907C3">
        <w:t xml:space="preserve">men and women </w:t>
      </w:r>
      <w:r w:rsidR="00DA180D">
        <w:t>are treated about equally</w:t>
      </w:r>
      <w:r w:rsidR="00DA180D" w:rsidRPr="004907C3">
        <w:t xml:space="preserve">.  </w:t>
      </w:r>
      <w:r>
        <w:t>It was</w:t>
      </w:r>
      <w:r w:rsidR="00DA180D">
        <w:t xml:space="preserve"> found that highly productive </w:t>
      </w:r>
      <w:r w:rsidR="00DA180D" w:rsidRPr="004907C3">
        <w:t xml:space="preserve">men </w:t>
      </w:r>
      <w:r w:rsidR="00DA180D">
        <w:t xml:space="preserve">were </w:t>
      </w:r>
      <w:r w:rsidR="00DA180D" w:rsidRPr="004907C3">
        <w:t xml:space="preserve">about twice as likely to publish </w:t>
      </w:r>
      <w:r w:rsidR="00DA180D">
        <w:t>in well-regarded (“top-15”) journals.</w:t>
      </w:r>
      <w:r w:rsidR="00DA180D" w:rsidRPr="004907C3">
        <w:rPr>
          <w:rStyle w:val="FootnoteReference"/>
        </w:rPr>
        <w:footnoteReference w:id="26"/>
      </w:r>
      <w:r w:rsidR="00DA180D">
        <w:t xml:space="preserve">  </w:t>
      </w:r>
    </w:p>
    <w:p w14:paraId="0AEE9B82" w14:textId="720A220E" w:rsidR="00EB7FC5" w:rsidRDefault="00D53C42" w:rsidP="005627EA">
      <w:pPr>
        <w:spacing w:line="480" w:lineRule="auto"/>
        <w:ind w:firstLine="720"/>
      </w:pPr>
      <w:r>
        <w:t>Returning to market outcomes, t</w:t>
      </w:r>
      <w:r w:rsidR="00C92E87">
        <w:t>he</w:t>
      </w:r>
      <w:r>
        <w:t xml:space="preserve"> previous</w:t>
      </w:r>
      <w:r w:rsidR="00C92E87">
        <w:t xml:space="preserve"> results</w:t>
      </w:r>
      <w:r>
        <w:t xml:space="preserve"> we</w:t>
      </w:r>
      <w:r w:rsidR="00CF03F9">
        <w:t xml:space="preserve">re </w:t>
      </w:r>
      <w:r w:rsidR="00BB6305">
        <w:t>augmented</w:t>
      </w:r>
      <w:r w:rsidR="002F4874">
        <w:t xml:space="preserve"> by pl</w:t>
      </w:r>
      <w:r w:rsidR="0032471D">
        <w:t xml:space="preserve">acement data </w:t>
      </w:r>
      <w:r w:rsidR="00B56EF4">
        <w:t>obtained from</w:t>
      </w:r>
      <w:r w:rsidR="00EB7FC5">
        <w:t xml:space="preserve"> two additional sources: the American Philosophical Association’s Guide to Graduate Programs</w:t>
      </w:r>
      <w:r w:rsidR="0003327B">
        <w:rPr>
          <w:rStyle w:val="FootnoteReference"/>
        </w:rPr>
        <w:footnoteReference w:id="27"/>
      </w:r>
      <w:r w:rsidR="00EB7FC5">
        <w:t xml:space="preserve"> and</w:t>
      </w:r>
      <w:r w:rsidR="00B81138">
        <w:t xml:space="preserve"> the </w:t>
      </w:r>
      <w:r w:rsidR="00EB7FC5">
        <w:t>Philjobs</w:t>
      </w:r>
      <w:r w:rsidR="00B81138">
        <w:t xml:space="preserve"> website</w:t>
      </w:r>
      <w:r w:rsidR="00EB7FC5">
        <w:rPr>
          <w:rStyle w:val="FootnoteReference"/>
        </w:rPr>
        <w:footnoteReference w:id="28"/>
      </w:r>
      <w:r w:rsidR="00C92E87">
        <w:t xml:space="preserve"> and </w:t>
      </w:r>
      <w:r w:rsidR="0091206B">
        <w:t>cohere with similar findings from hiring audits</w:t>
      </w:r>
      <w:r w:rsidR="00A40DAC">
        <w:t xml:space="preserve"> </w:t>
      </w:r>
      <w:r w:rsidR="0091206B">
        <w:t xml:space="preserve">in </w:t>
      </w:r>
      <w:r w:rsidR="00A40DAC">
        <w:t>STEM fields.</w:t>
      </w:r>
      <w:r w:rsidR="00A40DAC">
        <w:rPr>
          <w:rStyle w:val="FootnoteReference"/>
        </w:rPr>
        <w:footnoteReference w:id="29"/>
      </w:r>
      <w:r w:rsidR="00C92E87">
        <w:t xml:space="preserve">  In addition, </w:t>
      </w:r>
      <w:r w:rsidR="0003327B">
        <w:t>individual notices of new appointments from Philjobs</w:t>
      </w:r>
      <w:r w:rsidR="00B56EF4">
        <w:t xml:space="preserve"> for th</w:t>
      </w:r>
      <w:r w:rsidR="00C92E87">
        <w:t xml:space="preserve">e 2014 </w:t>
      </w:r>
      <w:r w:rsidR="00B56EF4">
        <w:t>hiring season</w:t>
      </w:r>
      <w:r w:rsidR="00C92E87">
        <w:t xml:space="preserve"> were monitored</w:t>
      </w:r>
      <w:r w:rsidR="0003327B">
        <w:t>.</w:t>
      </w:r>
      <w:r w:rsidR="0003327B">
        <w:rPr>
          <w:rStyle w:val="FootnoteReference"/>
        </w:rPr>
        <w:footnoteReference w:id="30"/>
      </w:r>
      <w:r w:rsidR="00C92E87">
        <w:t xml:space="preserve">  Next the </w:t>
      </w:r>
      <w:r w:rsidR="00DA180D">
        <w:t xml:space="preserve">analysis of the APA data </w:t>
      </w:r>
      <w:r w:rsidR="00C92E87">
        <w:t>is presented followed by a consideration of the</w:t>
      </w:r>
      <w:r w:rsidR="00C4443C">
        <w:t xml:space="preserve"> </w:t>
      </w:r>
      <w:r w:rsidR="005627EA">
        <w:t xml:space="preserve">findings </w:t>
      </w:r>
      <w:r w:rsidR="00C4443C">
        <w:t xml:space="preserve">obtained </w:t>
      </w:r>
      <w:r w:rsidR="005627EA">
        <w:t>from Philjobs.</w:t>
      </w:r>
      <w:r w:rsidR="00EB7FC5">
        <w:t xml:space="preserve"> </w:t>
      </w:r>
    </w:p>
    <w:p w14:paraId="7ED07947" w14:textId="31D8321C" w:rsidR="00D9384D" w:rsidRDefault="00C92E87" w:rsidP="0060294C">
      <w:pPr>
        <w:spacing w:line="480" w:lineRule="auto"/>
        <w:ind w:firstLine="720"/>
      </w:pPr>
      <w:r>
        <w:t>Data was t</w:t>
      </w:r>
      <w:r w:rsidR="009C01E6">
        <w:t xml:space="preserve">ranscribed </w:t>
      </w:r>
      <w:r w:rsidR="005627EA">
        <w:t>about gender</w:t>
      </w:r>
      <w:r w:rsidR="00AB3179">
        <w:t xml:space="preserve"> and hiring</w:t>
      </w:r>
      <w:r w:rsidR="005627EA">
        <w:t xml:space="preserve"> found in the </w:t>
      </w:r>
      <w:r w:rsidR="002F4874">
        <w:t>APA’s</w:t>
      </w:r>
      <w:r w:rsidR="0000275E">
        <w:t xml:space="preserve"> 2013</w:t>
      </w:r>
      <w:r w:rsidR="002F4874">
        <w:t xml:space="preserve"> </w:t>
      </w:r>
      <w:r w:rsidR="0000275E">
        <w:t xml:space="preserve">and 2014 </w:t>
      </w:r>
      <w:r w:rsidR="00A54643">
        <w:t>G</w:t>
      </w:r>
      <w:r w:rsidR="002F4874">
        <w:t>uide</w:t>
      </w:r>
      <w:r w:rsidR="0000275E">
        <w:t>s</w:t>
      </w:r>
      <w:r w:rsidR="00A54643">
        <w:t xml:space="preserve"> to G</w:t>
      </w:r>
      <w:r w:rsidR="002F4874">
        <w:t>raduate</w:t>
      </w:r>
      <w:r w:rsidR="009F4B92">
        <w:t xml:space="preserve"> </w:t>
      </w:r>
      <w:r w:rsidR="00A54643">
        <w:t>P</w:t>
      </w:r>
      <w:r w:rsidR="002F4874">
        <w:t>rograms</w:t>
      </w:r>
      <w:r w:rsidR="007A7F92">
        <w:t xml:space="preserve"> for two five-year periods:</w:t>
      </w:r>
      <w:r w:rsidR="00AB3179">
        <w:t xml:space="preserve"> 2008-2013 and 2009-2014</w:t>
      </w:r>
      <w:r w:rsidR="005627EA">
        <w:t xml:space="preserve">.  Only programs that </w:t>
      </w:r>
      <w:r w:rsidR="007A7F92">
        <w:t xml:space="preserve">allowed </w:t>
      </w:r>
      <w:r w:rsidR="00A54643">
        <w:t xml:space="preserve">for a </w:t>
      </w:r>
      <w:r w:rsidR="007A7F92">
        <w:t>comparison between</w:t>
      </w:r>
      <w:r w:rsidR="005627EA">
        <w:t xml:space="preserve"> hiring outcomes </w:t>
      </w:r>
      <w:r w:rsidR="00C069B3">
        <w:t xml:space="preserve">and how </w:t>
      </w:r>
      <w:r w:rsidR="005627EA">
        <w:t>many men and women went to market were included</w:t>
      </w:r>
      <w:r>
        <w:t xml:space="preserve"> in the </w:t>
      </w:r>
      <w:r w:rsidR="00D9384D">
        <w:t>calculations</w:t>
      </w:r>
      <w:r w:rsidR="005627EA">
        <w:t xml:space="preserve">. </w:t>
      </w:r>
      <w:r w:rsidR="00241822">
        <w:t xml:space="preserve"> The Guides provided d</w:t>
      </w:r>
      <w:r w:rsidR="005D2CCA">
        <w:t>ata for 64</w:t>
      </w:r>
      <w:r w:rsidR="00C742CE">
        <w:t xml:space="preserve"> schools in the 2013 e</w:t>
      </w:r>
      <w:r w:rsidR="005D2CCA">
        <w:t>dition and 65</w:t>
      </w:r>
      <w:r w:rsidR="00C742CE">
        <w:t xml:space="preserve"> for 2014 (</w:t>
      </w:r>
      <w:r w:rsidR="007A7F92">
        <w:t>37</w:t>
      </w:r>
      <w:r w:rsidR="00241822">
        <w:t xml:space="preserve"> schools provided data twice, </w:t>
      </w:r>
      <w:r w:rsidR="00C742CE">
        <w:t xml:space="preserve">so </w:t>
      </w:r>
      <w:r w:rsidR="00241822">
        <w:t xml:space="preserve">there is placement information available </w:t>
      </w:r>
      <w:r w:rsidR="00C742CE">
        <w:t xml:space="preserve">for </w:t>
      </w:r>
      <w:r w:rsidR="007A7F92">
        <w:t>92</w:t>
      </w:r>
      <w:r w:rsidR="00A52A58">
        <w:t xml:space="preserve"> distinct</w:t>
      </w:r>
      <w:r w:rsidR="00C742CE">
        <w:t xml:space="preserve"> programs</w:t>
      </w:r>
      <w:r w:rsidR="00AB3179">
        <w:t xml:space="preserve"> for </w:t>
      </w:r>
      <w:r w:rsidR="009C01E6">
        <w:t xml:space="preserve">these </w:t>
      </w:r>
      <w:r w:rsidR="002274F5">
        <w:t>mostly overlapping timespans).  For</w:t>
      </w:r>
      <w:r w:rsidR="00AB3179">
        <w:t xml:space="preserve"> </w:t>
      </w:r>
      <w:r w:rsidR="00C742CE">
        <w:t>2008-2013</w:t>
      </w:r>
      <w:r w:rsidR="002274F5">
        <w:t xml:space="preserve"> it was </w:t>
      </w:r>
      <w:r w:rsidR="00AB3179">
        <w:t xml:space="preserve">found that </w:t>
      </w:r>
      <w:r w:rsidR="002274F5">
        <w:t>40% of</w:t>
      </w:r>
      <w:r w:rsidR="0098044D">
        <w:t xml:space="preserve"> m</w:t>
      </w:r>
      <w:r w:rsidR="002F4874">
        <w:t>en who went on t</w:t>
      </w:r>
      <w:r w:rsidR="0098044D">
        <w:t>he market</w:t>
      </w:r>
      <w:r w:rsidR="002F4874">
        <w:t xml:space="preserve"> </w:t>
      </w:r>
      <w:r w:rsidR="00D46A0E">
        <w:t xml:space="preserve">eventually </w:t>
      </w:r>
      <w:r w:rsidR="002F4874">
        <w:t xml:space="preserve">landed a </w:t>
      </w:r>
      <w:r w:rsidR="002274F5">
        <w:t>tenure-track</w:t>
      </w:r>
      <w:r w:rsidR="00D22E82">
        <w:t xml:space="preserve"> job</w:t>
      </w:r>
      <w:r w:rsidR="0098044D">
        <w:t xml:space="preserve"> compared to 50.6% of the</w:t>
      </w:r>
      <w:r w:rsidR="002F4874">
        <w:t xml:space="preserve"> women</w:t>
      </w:r>
      <w:r w:rsidR="00AB3179">
        <w:t>,</w:t>
      </w:r>
      <w:r w:rsidR="00C742CE">
        <w:t xml:space="preserve"> </w:t>
      </w:r>
      <w:r w:rsidR="00E81F05">
        <w:t>meanin</w:t>
      </w:r>
      <w:r w:rsidR="000F7B2D">
        <w:t xml:space="preserve">g </w:t>
      </w:r>
      <w:r w:rsidR="00E81F05">
        <w:t xml:space="preserve">a woman’s probability </w:t>
      </w:r>
      <w:r w:rsidR="0032471D">
        <w:t xml:space="preserve">of obtaining </w:t>
      </w:r>
      <w:r w:rsidR="002274F5">
        <w:t>tenure-track</w:t>
      </w:r>
      <w:r w:rsidR="0032471D">
        <w:t xml:space="preserve"> employment </w:t>
      </w:r>
      <w:r w:rsidR="00017026">
        <w:t>was</w:t>
      </w:r>
      <w:r w:rsidR="0098044D">
        <w:t xml:space="preserve"> about 25% better</w:t>
      </w:r>
      <w:r w:rsidR="00D9384D">
        <w:t xml:space="preserve"> (</w:t>
      </w:r>
      <w:r w:rsidR="00C90F16">
        <w:t>p=</w:t>
      </w:r>
      <w:r w:rsidR="0054254E">
        <w:t>0.037</w:t>
      </w:r>
      <w:r w:rsidR="00D9384D">
        <w:t>)</w:t>
      </w:r>
      <w:r w:rsidR="003613F4">
        <w:t>.</w:t>
      </w:r>
      <w:r w:rsidR="003521E2">
        <w:rPr>
          <w:rStyle w:val="FootnoteReference"/>
        </w:rPr>
        <w:footnoteReference w:id="31"/>
      </w:r>
      <w:r w:rsidR="003613F4">
        <w:t xml:space="preserve">  </w:t>
      </w:r>
      <w:r w:rsidR="002F4874">
        <w:t xml:space="preserve">The corresponding </w:t>
      </w:r>
      <w:r w:rsidR="00E81F05">
        <w:t>probabilities</w:t>
      </w:r>
      <w:r w:rsidR="002F4874">
        <w:t xml:space="preserve"> of obtaining </w:t>
      </w:r>
      <w:r w:rsidR="0098044D">
        <w:t xml:space="preserve">any kind of </w:t>
      </w:r>
      <w:r w:rsidR="002F4874">
        <w:t xml:space="preserve">academic position </w:t>
      </w:r>
      <w:r w:rsidR="0098044D">
        <w:t xml:space="preserve">(including much less desirable temporary appointments) </w:t>
      </w:r>
      <w:r w:rsidR="002F4874">
        <w:t>were</w:t>
      </w:r>
      <w:r w:rsidR="00BF4C93">
        <w:t xml:space="preserve"> a lot</w:t>
      </w:r>
      <w:r w:rsidR="0098044D">
        <w:t xml:space="preserve"> closer at</w:t>
      </w:r>
      <w:r w:rsidR="00A42EAC">
        <w:t xml:space="preserve"> 86% and </w:t>
      </w:r>
      <w:r w:rsidR="00E92DB5">
        <w:t xml:space="preserve">89%. </w:t>
      </w:r>
      <w:r w:rsidR="00AB3179">
        <w:t xml:space="preserve"> W</w:t>
      </w:r>
      <w:r w:rsidR="00E92DB5">
        <w:t xml:space="preserve">omen </w:t>
      </w:r>
      <w:r w:rsidR="00D9384D">
        <w:t xml:space="preserve">also </w:t>
      </w:r>
      <w:r w:rsidR="00C069B3">
        <w:t xml:space="preserve">made up 26.3% of the market and 31.1% of the </w:t>
      </w:r>
      <w:r w:rsidR="002274F5">
        <w:t>tenure-track</w:t>
      </w:r>
      <w:r w:rsidR="00C069B3">
        <w:t xml:space="preserve"> placements.</w:t>
      </w:r>
      <w:r w:rsidR="008522DD">
        <w:t xml:space="preserve">  The 2014 Guide </w:t>
      </w:r>
      <w:r w:rsidR="002274F5">
        <w:t xml:space="preserve">reinforces </w:t>
      </w:r>
      <w:r w:rsidR="00CF03F9">
        <w:t>this pattern</w:t>
      </w:r>
      <w:r w:rsidR="008522DD">
        <w:t>, with 35.3% of men and 46.7% of women f</w:t>
      </w:r>
      <w:r w:rsidR="00E21717">
        <w:t>inding tenure-track employment</w:t>
      </w:r>
      <w:r w:rsidR="00C90F16">
        <w:t xml:space="preserve"> from 2009-2014</w:t>
      </w:r>
      <w:r w:rsidR="009C01E6">
        <w:t xml:space="preserve"> meaning </w:t>
      </w:r>
      <w:r w:rsidR="00E81F05">
        <w:t>the probabilities</w:t>
      </w:r>
      <w:r w:rsidR="00DA180D">
        <w:t xml:space="preserve"> we</w:t>
      </w:r>
      <w:r w:rsidR="00E21717">
        <w:t xml:space="preserve">re about one-third better </w:t>
      </w:r>
      <w:r w:rsidR="00E81F05">
        <w:t xml:space="preserve">for women </w:t>
      </w:r>
      <w:r w:rsidR="00E21717">
        <w:t>(</w:t>
      </w:r>
      <w:r w:rsidR="00C90F16">
        <w:t>p</w:t>
      </w:r>
      <w:r w:rsidR="008522DD">
        <w:t>=0.016)</w:t>
      </w:r>
      <w:r w:rsidR="00E21717">
        <w:t>.</w:t>
      </w:r>
      <w:r w:rsidR="00CC2495">
        <w:rPr>
          <w:rStyle w:val="FootnoteReference"/>
        </w:rPr>
        <w:footnoteReference w:id="32"/>
      </w:r>
      <w:r w:rsidR="00E21717">
        <w:t xml:space="preserve">  Similar to before, </w:t>
      </w:r>
      <w:r w:rsidR="0060294C">
        <w:t>83.6% o</w:t>
      </w:r>
      <w:r w:rsidR="00E21717">
        <w:t>f men and 87.8% of women found</w:t>
      </w:r>
      <w:r w:rsidR="0060294C">
        <w:t xml:space="preserve"> any kind of academic job</w:t>
      </w:r>
      <w:r w:rsidR="008522DD">
        <w:t>.</w:t>
      </w:r>
      <w:r w:rsidR="00611152">
        <w:t xml:space="preserve">  </w:t>
      </w:r>
      <w:r w:rsidR="00DA180D">
        <w:t>W</w:t>
      </w:r>
      <w:r w:rsidR="00E21717">
        <w:t>omen made up 25.2% of the market and 31% of junior tenure-track hires.</w:t>
      </w:r>
      <w:r w:rsidR="00D9384D">
        <w:t xml:space="preserve">  </w:t>
      </w:r>
    </w:p>
    <w:p w14:paraId="1EC99BB2" w14:textId="176E9F61" w:rsidR="00D9384D" w:rsidRDefault="00BE6D24" w:rsidP="009C01E6">
      <w:pPr>
        <w:spacing w:line="480" w:lineRule="auto"/>
        <w:ind w:firstLine="720"/>
      </w:pPr>
      <w:r>
        <w:t>O</w:t>
      </w:r>
      <w:r w:rsidR="00DA180D">
        <w:t>n</w:t>
      </w:r>
      <w:r w:rsidR="0009330C">
        <w:t xml:space="preserve">e might wonder if schools with good </w:t>
      </w:r>
      <w:r w:rsidR="003430C3">
        <w:t>placement</w:t>
      </w:r>
      <w:r w:rsidR="0009330C">
        <w:t xml:space="preserve"> records, and</w:t>
      </w:r>
      <w:r w:rsidR="009501D1">
        <w:t>,</w:t>
      </w:r>
      <w:r w:rsidR="0009330C">
        <w:t xml:space="preserve"> especially</w:t>
      </w:r>
      <w:r w:rsidR="009501D1">
        <w:t>,</w:t>
      </w:r>
      <w:r w:rsidR="00E033A9">
        <w:t xml:space="preserve"> good records for placing women</w:t>
      </w:r>
      <w:r w:rsidR="0009330C">
        <w:t xml:space="preserve"> might be overrepresented</w:t>
      </w:r>
      <w:r w:rsidR="00121354">
        <w:t xml:space="preserve"> in the APA data</w:t>
      </w:r>
      <w:r w:rsidR="0009330C">
        <w:t xml:space="preserve">.  However this concern is not realistic.  Consider what it would take for </w:t>
      </w:r>
      <w:r w:rsidR="00683058">
        <w:t xml:space="preserve">the schools where </w:t>
      </w:r>
      <w:r w:rsidR="00121354">
        <w:t xml:space="preserve">we </w:t>
      </w:r>
      <w:r w:rsidR="0009330C">
        <w:t>didn’t have dat</w:t>
      </w:r>
      <w:r w:rsidR="00BF392D">
        <w:t xml:space="preserve">a to close the gender gap.  </w:t>
      </w:r>
      <w:r w:rsidR="00C73A88">
        <w:t>According to the APA</w:t>
      </w:r>
      <w:r w:rsidR="004D5931">
        <w:t>,</w:t>
      </w:r>
      <w:r w:rsidR="00C73A88">
        <w:t xml:space="preserve"> the</w:t>
      </w:r>
      <w:r w:rsidR="0060294C">
        <w:t xml:space="preserve"> 2008-2013 period </w:t>
      </w:r>
      <w:r w:rsidR="0086585B">
        <w:t>comp</w:t>
      </w:r>
      <w:r w:rsidR="00C73A88">
        <w:t>rised</w:t>
      </w:r>
      <w:r w:rsidR="0086585B">
        <w:t xml:space="preserve"> 530 junior </w:t>
      </w:r>
      <w:r w:rsidR="002274F5">
        <w:t>tenure-track</w:t>
      </w:r>
      <w:r w:rsidR="0086585B">
        <w:t xml:space="preserve"> placements</w:t>
      </w:r>
      <w:r w:rsidR="00E033A9">
        <w:t>,</w:t>
      </w:r>
      <w:r w:rsidR="0086585B">
        <w:t xml:space="preserve"> and yet </w:t>
      </w:r>
      <w:r w:rsidR="0060294C">
        <w:t>w</w:t>
      </w:r>
      <w:r w:rsidR="00BF392D">
        <w:t>e w</w:t>
      </w:r>
      <w:r w:rsidR="0009330C">
        <w:t xml:space="preserve">ould </w:t>
      </w:r>
      <w:r w:rsidR="00BF392D">
        <w:t xml:space="preserve">have to </w:t>
      </w:r>
      <w:r w:rsidR="0009330C">
        <w:t>suppose an a</w:t>
      </w:r>
      <w:r w:rsidR="00C90F16">
        <w:t xml:space="preserve">dditional 200 competitions </w:t>
      </w:r>
      <w:r w:rsidR="0009330C">
        <w:t>went unreported in whic</w:t>
      </w:r>
      <w:r w:rsidR="00BF392D">
        <w:t xml:space="preserve">h a man won every single time—in that case the chances </w:t>
      </w:r>
      <w:r w:rsidR="0009330C">
        <w:t>equalize to 50%.  There would have t</w:t>
      </w:r>
      <w:r w:rsidR="00136BC3">
        <w:t>o be more than 500 unrep</w:t>
      </w:r>
      <w:r w:rsidR="00C4443C">
        <w:t>orted tenure-</w:t>
      </w:r>
      <w:r w:rsidR="00136BC3">
        <w:t>earning</w:t>
      </w:r>
      <w:r w:rsidR="0009330C">
        <w:t xml:space="preserve"> jobs going s</w:t>
      </w:r>
      <w:r w:rsidR="0086585B">
        <w:t>olely to men for the disproportion</w:t>
      </w:r>
      <w:r w:rsidR="0009330C">
        <w:t xml:space="preserve"> to be reversed (i.e. for men</w:t>
      </w:r>
      <w:r w:rsidR="00136BC3">
        <w:t xml:space="preserve"> to have a 25% greater chance</w:t>
      </w:r>
      <w:r w:rsidR="0060294C">
        <w:t>).  In such a small profession, there are probably not enough unreporte</w:t>
      </w:r>
      <w:r w:rsidR="0086585B">
        <w:t>d</w:t>
      </w:r>
      <w:r w:rsidR="003430C3">
        <w:t xml:space="preserve"> jobs for this to be the case: w</w:t>
      </w:r>
      <w:r w:rsidR="00C4443C">
        <w:t xml:space="preserve">hile </w:t>
      </w:r>
      <w:r w:rsidR="0060294C">
        <w:t>Philjobs</w:t>
      </w:r>
      <w:r w:rsidR="00136BC3">
        <w:t xml:space="preserve"> </w:t>
      </w:r>
      <w:r w:rsidR="0086585B">
        <w:t xml:space="preserve">reported 816 junior </w:t>
      </w:r>
      <w:r w:rsidR="002274F5">
        <w:t>tenure-track</w:t>
      </w:r>
      <w:r w:rsidR="0086585B">
        <w:t xml:space="preserve"> placements for the same period, </w:t>
      </w:r>
      <w:r w:rsidR="00C4443C">
        <w:t>m</w:t>
      </w:r>
      <w:r w:rsidR="009C01E6">
        <w:t xml:space="preserve">any of these </w:t>
      </w:r>
      <w:r w:rsidR="00515351">
        <w:t>are</w:t>
      </w:r>
      <w:r w:rsidR="00E033A9">
        <w:t xml:space="preserve"> lateral moves that </w:t>
      </w:r>
      <w:r w:rsidR="009C01E6">
        <w:t>placement officers</w:t>
      </w:r>
      <w:r w:rsidR="005F1225">
        <w:t xml:space="preserve"> would not normally </w:t>
      </w:r>
      <w:r w:rsidR="00E033A9">
        <w:t>pass on to the</w:t>
      </w:r>
      <w:r w:rsidR="005F1225">
        <w:t xml:space="preserve"> APA</w:t>
      </w:r>
      <w:r w:rsidR="009C01E6">
        <w:t>.</w:t>
      </w:r>
    </w:p>
    <w:p w14:paraId="3766BBBB" w14:textId="7128D286" w:rsidR="00441C07" w:rsidRDefault="00A54643" w:rsidP="00276848">
      <w:pPr>
        <w:spacing w:line="480" w:lineRule="auto"/>
        <w:ind w:firstLine="720"/>
      </w:pPr>
      <w:r>
        <w:t xml:space="preserve">Adding to </w:t>
      </w:r>
      <w:r w:rsidR="009C01E6">
        <w:t xml:space="preserve">uncertainty about possible unreported hires, </w:t>
      </w:r>
      <w:r w:rsidR="008B7568">
        <w:t>one might</w:t>
      </w:r>
      <w:r>
        <w:t xml:space="preserve"> also</w:t>
      </w:r>
      <w:r w:rsidR="008B7568">
        <w:t xml:space="preserve"> wonder if </w:t>
      </w:r>
      <w:r w:rsidR="004B4C2A">
        <w:t>these results</w:t>
      </w:r>
      <w:r w:rsidR="00BE2FB0">
        <w:t xml:space="preserve"> would hold up for periods other than 2009-2014</w:t>
      </w:r>
      <w:r w:rsidR="009C01E6">
        <w:t xml:space="preserve">, and what </w:t>
      </w:r>
      <w:r w:rsidR="00C4443C">
        <w:t>the year-to-year results look</w:t>
      </w:r>
      <w:r w:rsidR="009C01E6">
        <w:t xml:space="preserve"> like</w:t>
      </w:r>
      <w:r w:rsidR="00BE2FB0">
        <w:t>.</w:t>
      </w:r>
      <w:r w:rsidR="000E08D7">
        <w:t xml:space="preserve">  </w:t>
      </w:r>
      <w:r w:rsidR="009C01E6">
        <w:t>With the</w:t>
      </w:r>
      <w:r w:rsidR="00BE2FB0">
        <w:t>s</w:t>
      </w:r>
      <w:r w:rsidR="009C01E6">
        <w:t>e</w:t>
      </w:r>
      <w:r w:rsidR="00BE2FB0">
        <w:t xml:space="preserve"> </w:t>
      </w:r>
      <w:r w:rsidR="000E08D7">
        <w:t>concern</w:t>
      </w:r>
      <w:r w:rsidR="009C01E6">
        <w:t xml:space="preserve">s </w:t>
      </w:r>
      <w:r w:rsidR="003F3CC8">
        <w:t xml:space="preserve">in mind we can turn to </w:t>
      </w:r>
      <w:r w:rsidR="009C01E6">
        <w:t xml:space="preserve">data provided by </w:t>
      </w:r>
      <w:r w:rsidR="00BE2FB0">
        <w:t>Phil</w:t>
      </w:r>
      <w:r w:rsidR="009C01E6">
        <w:t>jobs</w:t>
      </w:r>
      <w:r w:rsidR="000E08D7">
        <w:t xml:space="preserve">. </w:t>
      </w:r>
      <w:r w:rsidR="00D06A55">
        <w:t xml:space="preserve"> </w:t>
      </w:r>
      <w:r w:rsidR="003F3CC8">
        <w:t xml:space="preserve">This process began by </w:t>
      </w:r>
      <w:r w:rsidR="0009282E">
        <w:t>examining</w:t>
      </w:r>
      <w:r w:rsidR="00E17B13">
        <w:t xml:space="preserve"> th</w:t>
      </w:r>
      <w:r w:rsidR="004B4C2A">
        <w:t xml:space="preserve">e </w:t>
      </w:r>
      <w:r w:rsidR="0009282E">
        <w:t>2014</w:t>
      </w:r>
      <w:r w:rsidR="004B4C2A">
        <w:t xml:space="preserve"> hiring season, which was</w:t>
      </w:r>
      <w:r w:rsidR="00E17B13">
        <w:t xml:space="preserve"> arbitrarily defined as spanning July 1</w:t>
      </w:r>
      <w:r w:rsidR="000E08D7">
        <w:t>,</w:t>
      </w:r>
      <w:r w:rsidR="00B34292">
        <w:t xml:space="preserve"> 2014 to June 30</w:t>
      </w:r>
      <w:r w:rsidR="000E08D7">
        <w:t>,</w:t>
      </w:r>
      <w:r w:rsidR="00C4443C">
        <w:t xml:space="preserve"> 2015.  O</w:t>
      </w:r>
      <w:r w:rsidR="00276848">
        <w:t>ver the course of the year</w:t>
      </w:r>
      <w:r w:rsidR="00F4185A">
        <w:t xml:space="preserve"> </w:t>
      </w:r>
      <w:r w:rsidR="003F3CC8">
        <w:t>information was</w:t>
      </w:r>
      <w:r w:rsidR="009C01E6">
        <w:t xml:space="preserve"> </w:t>
      </w:r>
      <w:r w:rsidR="00276848">
        <w:t xml:space="preserve">gathered </w:t>
      </w:r>
      <w:r w:rsidR="009C01E6">
        <w:t>about individua</w:t>
      </w:r>
      <w:r w:rsidR="00C90F16">
        <w:t>l tenure-track hires, including</w:t>
      </w:r>
      <w:r>
        <w:t xml:space="preserve"> </w:t>
      </w:r>
      <w:r w:rsidR="009C01E6">
        <w:t>those who had</w:t>
      </w:r>
      <w:r w:rsidR="00F5765B">
        <w:t xml:space="preserve"> a</w:t>
      </w:r>
      <w:r w:rsidR="00276848">
        <w:t xml:space="preserve"> previous</w:t>
      </w:r>
      <w:r w:rsidR="00441C07">
        <w:t xml:space="preserve"> academic appointment</w:t>
      </w:r>
      <w:r w:rsidR="003F3CC8">
        <w:t xml:space="preserve"> as well as</w:t>
      </w:r>
      <w:r>
        <w:t xml:space="preserve"> those going to market straight from graduate school</w:t>
      </w:r>
      <w:r w:rsidR="009C01E6">
        <w:t xml:space="preserve">.  </w:t>
      </w:r>
      <w:r w:rsidR="003F3CC8">
        <w:t>For 2014 it was</w:t>
      </w:r>
      <w:r w:rsidR="00276848">
        <w:t xml:space="preserve"> found</w:t>
      </w:r>
      <w:r w:rsidR="00C4443C">
        <w:t xml:space="preserve"> </w:t>
      </w:r>
      <w:r>
        <w:t xml:space="preserve">that </w:t>
      </w:r>
      <w:r w:rsidR="00C4443C">
        <w:t>56 out of</w:t>
      </w:r>
      <w:r w:rsidR="00276848">
        <w:t xml:space="preserve"> </w:t>
      </w:r>
      <w:r w:rsidR="00A546D6">
        <w:t>148</w:t>
      </w:r>
      <w:r w:rsidR="00441C07">
        <w:t xml:space="preserve"> hires</w:t>
      </w:r>
      <w:r w:rsidR="00276848">
        <w:t xml:space="preserve"> </w:t>
      </w:r>
      <w:r w:rsidR="00C90F16">
        <w:t>(</w:t>
      </w:r>
      <w:r w:rsidR="009C01E6">
        <w:t>37.8%</w:t>
      </w:r>
      <w:r w:rsidR="00C90F16">
        <w:t>)</w:t>
      </w:r>
      <w:r w:rsidR="009C01E6">
        <w:t xml:space="preserve"> went to </w:t>
      </w:r>
      <w:r w:rsidR="00121354">
        <w:t>women</w:t>
      </w:r>
      <w:r w:rsidR="00C4443C">
        <w:t xml:space="preserve">.  </w:t>
      </w:r>
      <w:r w:rsidR="00276848">
        <w:t>While t</w:t>
      </w:r>
      <w:r w:rsidR="00441C07">
        <w:t>he number of doctorates awarded to women as a percentage of</w:t>
      </w:r>
      <w:r w:rsidR="00A52906">
        <w:t xml:space="preserve"> the</w:t>
      </w:r>
      <w:r w:rsidR="00441C07">
        <w:t xml:space="preserve"> total doct</w:t>
      </w:r>
      <w:r w:rsidR="00545332">
        <w:t>orates in philosophy fluctuates somewhat from</w:t>
      </w:r>
      <w:r w:rsidR="00EF0AEB">
        <w:t xml:space="preserve"> one </w:t>
      </w:r>
      <w:r w:rsidR="00441C07">
        <w:t xml:space="preserve">year to </w:t>
      </w:r>
      <w:r w:rsidR="00EF0AEB">
        <w:t>the next</w:t>
      </w:r>
      <w:r w:rsidR="003F3CC8">
        <w:t>, it was</w:t>
      </w:r>
      <w:r w:rsidR="00276848">
        <w:t xml:space="preserve"> assumed that the year immediately prior would</w:t>
      </w:r>
      <w:r w:rsidR="00892BB6">
        <w:t xml:space="preserve"> give a reasonable</w:t>
      </w:r>
      <w:r w:rsidR="001363BF">
        <w:t xml:space="preserve"> approximation of how </w:t>
      </w:r>
      <w:r w:rsidR="00276848">
        <w:t xml:space="preserve">gender </w:t>
      </w:r>
      <w:r w:rsidR="001363BF">
        <w:t>is distributed</w:t>
      </w:r>
      <w:r w:rsidR="00C407DD">
        <w:t xml:space="preserve"> o</w:t>
      </w:r>
      <w:r>
        <w:t>n</w:t>
      </w:r>
      <w:r w:rsidR="00D06A55">
        <w:t xml:space="preserve"> the job market</w:t>
      </w:r>
      <w:r w:rsidR="00892BB6">
        <w:t>;</w:t>
      </w:r>
      <w:r w:rsidR="00276848">
        <w:t xml:space="preserve"> in 2013</w:t>
      </w:r>
      <w:r w:rsidR="00033F48">
        <w:t>, for example,</w:t>
      </w:r>
      <w:r w:rsidR="00276848">
        <w:t xml:space="preserve"> 27% were awarded to women.</w:t>
      </w:r>
      <w:r w:rsidR="00E033A9">
        <w:rPr>
          <w:rStyle w:val="FootnoteReference"/>
        </w:rPr>
        <w:footnoteReference w:id="33"/>
      </w:r>
      <w:r w:rsidR="00276848">
        <w:t xml:space="preserve"> </w:t>
      </w:r>
    </w:p>
    <w:p w14:paraId="514062EC" w14:textId="26A9011E" w:rsidR="004A208E" w:rsidRDefault="00B528E7" w:rsidP="009064C5">
      <w:pPr>
        <w:spacing w:line="480" w:lineRule="auto"/>
        <w:ind w:firstLine="720"/>
      </w:pPr>
      <w:r>
        <w:t>To add</w:t>
      </w:r>
      <w:r w:rsidR="003F3CC8">
        <w:t xml:space="preserve"> more depth to the</w:t>
      </w:r>
      <w:r w:rsidR="00BE2FB0">
        <w:t xml:space="preserve"> investigation</w:t>
      </w:r>
      <w:r w:rsidR="00A064B6">
        <w:t xml:space="preserve"> </w:t>
      </w:r>
      <w:r w:rsidR="00A52906">
        <w:t xml:space="preserve">hiring outcomes </w:t>
      </w:r>
      <w:r w:rsidR="00892BB6">
        <w:t>for nine further years (</w:t>
      </w:r>
      <w:r w:rsidR="00A52906">
        <w:t>2005-2013</w:t>
      </w:r>
      <w:r w:rsidR="00892BB6">
        <w:t>)</w:t>
      </w:r>
      <w:r w:rsidR="00033F48">
        <w:t xml:space="preserve"> </w:t>
      </w:r>
      <w:r w:rsidR="003F3CC8">
        <w:t xml:space="preserve">were also examined </w:t>
      </w:r>
      <w:r w:rsidR="00033F48">
        <w:t xml:space="preserve">using data </w:t>
      </w:r>
      <w:r w:rsidR="009501D1">
        <w:t>provided by</w:t>
      </w:r>
      <w:r w:rsidR="00033F48">
        <w:t xml:space="preserve"> </w:t>
      </w:r>
      <w:r w:rsidR="003430C3">
        <w:t>the Philjobs website</w:t>
      </w:r>
      <w:r w:rsidR="00441C07">
        <w:t>.</w:t>
      </w:r>
      <w:r w:rsidR="00D06A55" w:rsidRPr="00D06A55">
        <w:t xml:space="preserve"> </w:t>
      </w:r>
      <w:r w:rsidR="00D06A55">
        <w:t xml:space="preserve">  In order to </w:t>
      </w:r>
      <w:r w:rsidR="00A064B6">
        <w:t xml:space="preserve">make this information useable </w:t>
      </w:r>
      <w:r w:rsidR="00D06A55">
        <w:t>certain cor</w:t>
      </w:r>
      <w:r w:rsidR="003430C3">
        <w:t xml:space="preserve">rections and additions to their </w:t>
      </w:r>
      <w:r w:rsidR="00D06A55">
        <w:t>spreadsheet</w:t>
      </w:r>
      <w:r w:rsidR="003F3CC8">
        <w:t xml:space="preserve"> were </w:t>
      </w:r>
      <w:r w:rsidR="0036732D">
        <w:t>necessary</w:t>
      </w:r>
      <w:r w:rsidR="00D06A55">
        <w:t xml:space="preserve">, including the elimination of duplicated entries, filtering </w:t>
      </w:r>
      <w:r w:rsidR="004E5E84">
        <w:t>out senior appointments and non-</w:t>
      </w:r>
      <w:r w:rsidR="002274F5">
        <w:t>tenure-track</w:t>
      </w:r>
      <w:r w:rsidR="00D06A55">
        <w:t xml:space="preserve"> hires, spot-checking for accuracy, and using Google searches to ascertain gender where it was missing or in doubt.</w:t>
      </w:r>
      <w:r w:rsidR="00441C07">
        <w:t xml:space="preserve">  </w:t>
      </w:r>
      <w:r w:rsidR="003F3CC8">
        <w:t>Next,</w:t>
      </w:r>
      <w:r w:rsidR="00545332">
        <w:t xml:space="preserve"> </w:t>
      </w:r>
      <w:r w:rsidR="00892BB6">
        <w:t>year-by-year</w:t>
      </w:r>
      <w:r w:rsidR="00545332">
        <w:t xml:space="preserve"> </w:t>
      </w:r>
      <w:r w:rsidR="00862DC6">
        <w:t>comparison</w:t>
      </w:r>
      <w:r w:rsidR="00892BB6">
        <w:t>s</w:t>
      </w:r>
      <w:r w:rsidR="00862DC6">
        <w:t xml:space="preserve"> </w:t>
      </w:r>
      <w:r w:rsidR="003F3CC8">
        <w:t xml:space="preserve">were made </w:t>
      </w:r>
      <w:r w:rsidR="00862DC6">
        <w:t>between</w:t>
      </w:r>
      <w:r w:rsidR="00A52906">
        <w:t xml:space="preserve"> </w:t>
      </w:r>
      <w:r w:rsidR="00C4443C">
        <w:t xml:space="preserve">placement and </w:t>
      </w:r>
      <w:r w:rsidR="002373CE">
        <w:t xml:space="preserve">the distribution of </w:t>
      </w:r>
      <w:r w:rsidR="00033F48">
        <w:t xml:space="preserve">philosophy </w:t>
      </w:r>
      <w:r w:rsidR="003F3CC8">
        <w:t xml:space="preserve">PhDs </w:t>
      </w:r>
      <w:r w:rsidR="00D06A55">
        <w:t>using the NSF’s Survey of Earned Doctorates</w:t>
      </w:r>
      <w:r w:rsidR="00CA55B8">
        <w:t>.</w:t>
      </w:r>
      <w:r w:rsidR="00C353BF">
        <w:t xml:space="preserve">  T</w:t>
      </w:r>
      <w:r w:rsidR="00DB7DFD">
        <w:t>he relationship between awarded PhDs and junior hiring from 2005-2014</w:t>
      </w:r>
      <w:r w:rsidR="008D41AC">
        <w:t xml:space="preserve"> is depicted in figure 6</w:t>
      </w:r>
      <w:r w:rsidR="00C353BF">
        <w:t xml:space="preserve"> and</w:t>
      </w:r>
      <w:r w:rsidR="00DB7DFD">
        <w:t xml:space="preserve"> gives a general sense of the market.  The distribution of </w:t>
      </w:r>
      <w:r w:rsidR="00033F48">
        <w:t xml:space="preserve">philosophy </w:t>
      </w:r>
      <w:r w:rsidR="00DB7DFD">
        <w:t>doctorates by gender for the sam</w:t>
      </w:r>
      <w:r w:rsidR="008D41AC">
        <w:t>e period is found in figure 7</w:t>
      </w:r>
      <w:r w:rsidR="00DB7DFD">
        <w:t>.</w:t>
      </w:r>
      <w:r w:rsidR="00C353BF">
        <w:t xml:space="preserve"> </w:t>
      </w:r>
      <w:r w:rsidR="00D92DB5">
        <w:t xml:space="preserve"> </w:t>
      </w:r>
      <w:r w:rsidR="003F3CC8">
        <w:t xml:space="preserve">For some years (05, 06, 08, 09, 12) there was a </w:t>
      </w:r>
      <w:r w:rsidR="00A064B6">
        <w:t xml:space="preserve">rough </w:t>
      </w:r>
      <w:r w:rsidR="00F43C56">
        <w:t>corr</w:t>
      </w:r>
      <w:r w:rsidR="00892BB6">
        <w:t>espondence</w:t>
      </w:r>
      <w:r w:rsidR="00F43C56">
        <w:t xml:space="preserve"> between the per</w:t>
      </w:r>
      <w:r w:rsidR="003F3CC8">
        <w:t xml:space="preserve">centage of women who were hired </w:t>
      </w:r>
      <w:r w:rsidR="00F43C56">
        <w:t>and the</w:t>
      </w:r>
      <w:r w:rsidR="004E5E84">
        <w:t>ir</w:t>
      </w:r>
      <w:r w:rsidR="009501D1">
        <w:t xml:space="preserve"> share</w:t>
      </w:r>
      <w:r w:rsidR="00F43C56">
        <w:t xml:space="preserve"> of </w:t>
      </w:r>
      <w:r w:rsidR="00033F48">
        <w:t xml:space="preserve">philosophy </w:t>
      </w:r>
      <w:r w:rsidR="00F43C56">
        <w:t xml:space="preserve">doctorates awarded </w:t>
      </w:r>
      <w:r>
        <w:t xml:space="preserve">in the year immediately </w:t>
      </w:r>
      <w:r w:rsidR="00C53772">
        <w:t xml:space="preserve">prior.  </w:t>
      </w:r>
      <w:r w:rsidR="00121354">
        <w:t>As a further check</w:t>
      </w:r>
      <w:r w:rsidR="003F3CC8">
        <w:t xml:space="preserve"> the </w:t>
      </w:r>
      <w:r w:rsidR="007E64A6">
        <w:t>rankings</w:t>
      </w:r>
      <w:r w:rsidR="00F43C56">
        <w:t xml:space="preserve"> </w:t>
      </w:r>
      <w:r w:rsidR="00121354">
        <w:t xml:space="preserve">for the 2005 market </w:t>
      </w:r>
      <w:r w:rsidR="00F43C56">
        <w:t xml:space="preserve">(using the </w:t>
      </w:r>
      <w:r w:rsidR="00D06A55">
        <w:t>2001 edition of the Gourmet Report</w:t>
      </w:r>
      <w:r w:rsidR="00F43C56">
        <w:t xml:space="preserve">) </w:t>
      </w:r>
      <w:r w:rsidR="003F3CC8">
        <w:t>were consulted</w:t>
      </w:r>
      <w:r w:rsidR="00C53772">
        <w:t>,</w:t>
      </w:r>
      <w:r w:rsidR="003F3CC8">
        <w:t xml:space="preserve"> though there were </w:t>
      </w:r>
      <w:r w:rsidR="002F7706">
        <w:t>no significan</w:t>
      </w:r>
      <w:r w:rsidR="00B10950">
        <w:t>t differences in the means (3.00 for men and 3.01</w:t>
      </w:r>
      <w:r w:rsidR="002F7706">
        <w:t xml:space="preserve"> for women) </w:t>
      </w:r>
      <w:r w:rsidR="00B10950">
        <w:t>or medians (men: 3.3; women: 3.35</w:t>
      </w:r>
      <w:r w:rsidR="002F7706">
        <w:t>)</w:t>
      </w:r>
      <w:r w:rsidR="00033F48">
        <w:t xml:space="preserve"> of candidates</w:t>
      </w:r>
      <w:r w:rsidR="002F7706">
        <w:t>.</w:t>
      </w:r>
      <w:r w:rsidR="00C53772">
        <w:t xml:space="preserve">  For the remaining years (including most recent hiring seasons) </w:t>
      </w:r>
      <w:r w:rsidR="00C90F16">
        <w:t xml:space="preserve">women </w:t>
      </w:r>
      <w:r w:rsidR="00C53772">
        <w:t>appear to be overrepresented</w:t>
      </w:r>
      <w:r w:rsidR="00A52906">
        <w:t xml:space="preserve">, </w:t>
      </w:r>
      <w:r w:rsidR="00E033A9">
        <w:t>accounting for</w:t>
      </w:r>
      <w:r w:rsidR="00545332">
        <w:t xml:space="preserve"> 28.4% o</w:t>
      </w:r>
      <w:r w:rsidR="00B10950">
        <w:t xml:space="preserve">f the earned </w:t>
      </w:r>
      <w:r w:rsidR="00BF7C87">
        <w:t>doctorates but 35.73</w:t>
      </w:r>
      <w:r w:rsidR="00545332">
        <w:t>% of tenure-track hires</w:t>
      </w:r>
      <w:r w:rsidR="00CC2495">
        <w:t xml:space="preserve"> (figure 8</w:t>
      </w:r>
      <w:r w:rsidR="000101AC">
        <w:t>)</w:t>
      </w:r>
      <w:r w:rsidR="00CC2495">
        <w:t>.</w:t>
      </w:r>
      <w:r w:rsidR="004A208E">
        <w:rPr>
          <w:rStyle w:val="FootnoteReference"/>
        </w:rPr>
        <w:footnoteReference w:id="34"/>
      </w:r>
      <w:r w:rsidR="00CC2495">
        <w:t xml:space="preserve">  </w:t>
      </w:r>
    </w:p>
    <w:p w14:paraId="4CAB33BC" w14:textId="38D4EB59" w:rsidR="00A60202" w:rsidRDefault="00EA3BC5" w:rsidP="00A60202">
      <w:pPr>
        <w:spacing w:line="480" w:lineRule="auto"/>
      </w:pPr>
      <w:r>
        <w:tab/>
        <w:t xml:space="preserve">Finally, </w:t>
      </w:r>
      <w:r w:rsidR="00C53772">
        <w:t>these</w:t>
      </w:r>
      <w:r>
        <w:t xml:space="preserve"> results </w:t>
      </w:r>
      <w:r w:rsidR="00C53772">
        <w:t xml:space="preserve">were compared to updates </w:t>
      </w:r>
      <w:r>
        <w:t>f</w:t>
      </w:r>
      <w:r w:rsidR="00C53772">
        <w:t xml:space="preserve">ound in the 2016 APDA report.  </w:t>
      </w:r>
      <w:r>
        <w:t xml:space="preserve">First, </w:t>
      </w:r>
      <w:r w:rsidR="00DE0927">
        <w:t xml:space="preserve">my list </w:t>
      </w:r>
      <w:r>
        <w:t>of successful job candidates for the 2012 season</w:t>
      </w:r>
      <w:r w:rsidR="00DE0927">
        <w:t xml:space="preserve"> was merged with the APDA's</w:t>
      </w:r>
      <w:r>
        <w:t>.  Although the</w:t>
      </w:r>
      <w:r w:rsidR="00DE0927">
        <w:t xml:space="preserve">se </w:t>
      </w:r>
      <w:r>
        <w:t xml:space="preserve">mostly overlapped, there were some differences.  </w:t>
      </w:r>
      <w:r w:rsidR="00F14D66">
        <w:t>In order to seek greater accuracy</w:t>
      </w:r>
      <w:r>
        <w:t xml:space="preserve"> every candidate</w:t>
      </w:r>
      <w:r w:rsidR="00DE0927">
        <w:t xml:space="preserve"> was re-checked, one-by-one, i</w:t>
      </w:r>
      <w:r w:rsidR="00C90F16">
        <w:t>n attempts to</w:t>
      </w:r>
      <w:r w:rsidR="00DE0927">
        <w:t xml:space="preserve"> verif</w:t>
      </w:r>
      <w:r w:rsidR="00C90F16">
        <w:t>y</w:t>
      </w:r>
      <w:r w:rsidR="00DE0927">
        <w:t xml:space="preserve"> </w:t>
      </w:r>
      <w:r>
        <w:t xml:space="preserve">gender and </w:t>
      </w:r>
      <w:r w:rsidR="00DE0927">
        <w:t xml:space="preserve">success in a </w:t>
      </w:r>
      <w:r w:rsidR="002274F5">
        <w:t>tenure-track</w:t>
      </w:r>
      <w:r w:rsidR="00DE0927">
        <w:t xml:space="preserve"> competition</w:t>
      </w:r>
      <w:r>
        <w:t xml:space="preserve"> </w:t>
      </w:r>
      <w:r w:rsidR="00DE0927">
        <w:t xml:space="preserve">in </w:t>
      </w:r>
      <w:r>
        <w:t>2012</w:t>
      </w:r>
      <w:r w:rsidR="008F0187">
        <w:t xml:space="preserve"> (e.g. by c</w:t>
      </w:r>
      <w:r w:rsidR="00DE0927">
        <w:t xml:space="preserve">onsulting </w:t>
      </w:r>
      <w:r w:rsidR="008F0187">
        <w:t>cv</w:t>
      </w:r>
      <w:r w:rsidR="00DE0927">
        <w:t>s</w:t>
      </w:r>
      <w:r w:rsidR="008F0187">
        <w:t xml:space="preserve">, </w:t>
      </w:r>
      <w:r w:rsidR="00DE0927">
        <w:t xml:space="preserve">locating </w:t>
      </w:r>
      <w:r w:rsidR="008F0187">
        <w:t>welcome message</w:t>
      </w:r>
      <w:r w:rsidR="00DE0927">
        <w:t xml:space="preserve">s at </w:t>
      </w:r>
      <w:r w:rsidR="008F0187">
        <w:t>hiring Department</w:t>
      </w:r>
      <w:r w:rsidR="00DE0927">
        <w:t>s</w:t>
      </w:r>
      <w:r w:rsidR="008F0187">
        <w:t>, etc</w:t>
      </w:r>
      <w:r w:rsidR="00A064B6">
        <w:t>...</w:t>
      </w:r>
      <w:r w:rsidR="008F0187">
        <w:t>)</w:t>
      </w:r>
      <w:r w:rsidR="00F14D66">
        <w:t xml:space="preserve">.  </w:t>
      </w:r>
      <w:r w:rsidR="008F0187">
        <w:t xml:space="preserve">Both data sets contained errors resulting </w:t>
      </w:r>
      <w:r w:rsidR="00A064B6">
        <w:t xml:space="preserve">in </w:t>
      </w:r>
      <w:r w:rsidR="008F0187">
        <w:t>5</w:t>
      </w:r>
      <w:r>
        <w:t xml:space="preserve">6 changes to my list </w:t>
      </w:r>
      <w:r w:rsidR="008F0187">
        <w:t xml:space="preserve">(37 </w:t>
      </w:r>
      <w:r w:rsidR="00DE0927">
        <w:t>additions and 19 deletions) and</w:t>
      </w:r>
      <w:r w:rsidR="008F0187">
        <w:t xml:space="preserve"> </w:t>
      </w:r>
      <w:r>
        <w:t>36 changes to the APDA</w:t>
      </w:r>
      <w:r w:rsidR="00F14D66">
        <w:t>'s</w:t>
      </w:r>
      <w:r w:rsidR="008F0187">
        <w:t xml:space="preserve"> (29 additions and 7 deletions), thus bringing </w:t>
      </w:r>
      <w:r w:rsidR="00F14D66">
        <w:t xml:space="preserve">the two </w:t>
      </w:r>
      <w:r>
        <w:t>into harmony</w:t>
      </w:r>
      <w:r w:rsidR="003A169E">
        <w:t>.</w:t>
      </w:r>
      <w:r w:rsidR="003A169E">
        <w:rPr>
          <w:rStyle w:val="FootnoteReference"/>
        </w:rPr>
        <w:footnoteReference w:id="35"/>
      </w:r>
      <w:r w:rsidR="003A169E">
        <w:t xml:space="preserve">  </w:t>
      </w:r>
      <w:r w:rsidR="008F0187">
        <w:t>Though this process w</w:t>
      </w:r>
      <w:r w:rsidR="003E01AD">
        <w:t>as tedious and time-consuming, it was hop</w:t>
      </w:r>
      <w:r w:rsidR="003A169E">
        <w:t>ed it</w:t>
      </w:r>
      <w:r w:rsidR="003E01AD">
        <w:t xml:space="preserve"> would</w:t>
      </w:r>
      <w:r w:rsidR="008F0187">
        <w:t xml:space="preserve"> maximize the accuracy of the data for at least one year and </w:t>
      </w:r>
      <w:r w:rsidR="003E01AD">
        <w:t xml:space="preserve">so allow us </w:t>
      </w:r>
      <w:r w:rsidR="008F0187">
        <w:t>to see if this additional scrutiny would alter the re</w:t>
      </w:r>
      <w:r w:rsidR="00D1767C">
        <w:t>sults in any significant way.  With this</w:t>
      </w:r>
      <w:r w:rsidR="003A169E">
        <w:t xml:space="preserve"> revised data</w:t>
      </w:r>
      <w:r w:rsidR="008F0187">
        <w:t xml:space="preserve"> it was then a simple task to recalculate the hiring figures.  </w:t>
      </w:r>
      <w:r w:rsidR="00D1767C">
        <w:t>According to my</w:t>
      </w:r>
      <w:r w:rsidR="00B44570">
        <w:t xml:space="preserve"> origi</w:t>
      </w:r>
      <w:r w:rsidR="00A064B6">
        <w:t>nal survey</w:t>
      </w:r>
      <w:r w:rsidR="00B44570">
        <w:t xml:space="preserve"> 32.7% of </w:t>
      </w:r>
      <w:r w:rsidR="002274F5">
        <w:t>tenure-track</w:t>
      </w:r>
      <w:r w:rsidR="00B44570">
        <w:t xml:space="preserve"> hires </w:t>
      </w:r>
      <w:r w:rsidR="00A064B6">
        <w:t xml:space="preserve">went to women in 2012 whereas </w:t>
      </w:r>
      <w:r w:rsidR="008A35E1">
        <w:t>the A</w:t>
      </w:r>
      <w:r w:rsidR="00B44570">
        <w:t>P</w:t>
      </w:r>
      <w:r w:rsidR="008A35E1">
        <w:t>D</w:t>
      </w:r>
      <w:r w:rsidR="00B44570">
        <w:t xml:space="preserve">A's 2016 </w:t>
      </w:r>
      <w:r w:rsidR="00A064B6">
        <w:t>report put</w:t>
      </w:r>
      <w:r w:rsidR="003A169E">
        <w:t>s</w:t>
      </w:r>
      <w:r w:rsidR="00A064B6">
        <w:t xml:space="preserve"> this a little</w:t>
      </w:r>
      <w:r w:rsidR="00B44570">
        <w:t xml:space="preserve"> lower at 30.7</w:t>
      </w:r>
      <w:r w:rsidR="00D1767C">
        <w:t>%.</w:t>
      </w:r>
      <w:r w:rsidR="00B44570">
        <w:t xml:space="preserve">  The </w:t>
      </w:r>
      <w:r w:rsidR="003A169E">
        <w:t xml:space="preserve">outcome for the </w:t>
      </w:r>
      <w:r w:rsidR="00B44570">
        <w:t xml:space="preserve">revised and </w:t>
      </w:r>
      <w:r w:rsidR="003A169E">
        <w:t>re-</w:t>
      </w:r>
      <w:r w:rsidR="00B44570">
        <w:t xml:space="preserve">verified </w:t>
      </w:r>
      <w:r w:rsidR="00D1767C">
        <w:t xml:space="preserve">data </w:t>
      </w:r>
      <w:r w:rsidR="003A169E">
        <w:t>is ju</w:t>
      </w:r>
      <w:r w:rsidR="00A064B6">
        <w:t>s</w:t>
      </w:r>
      <w:r w:rsidR="003A169E">
        <w:t>t</w:t>
      </w:r>
      <w:r w:rsidR="00A064B6">
        <w:t xml:space="preserve"> shy of their result </w:t>
      </w:r>
      <w:r w:rsidR="00B44570">
        <w:t xml:space="preserve">at 30.3%.  </w:t>
      </w:r>
      <w:r w:rsidR="003A169E">
        <w:t>To place</w:t>
      </w:r>
      <w:r w:rsidR="00D1767C">
        <w:t xml:space="preserve"> </w:t>
      </w:r>
      <w:r w:rsidR="00A064B6">
        <w:t>this</w:t>
      </w:r>
      <w:r w:rsidR="00D1767C">
        <w:t xml:space="preserve"> in context, note that in the previous year 31.3% of doctorates in philosophy went to women.  Hence, </w:t>
      </w:r>
      <w:r w:rsidR="004E152D">
        <w:t>it</w:t>
      </w:r>
      <w:r w:rsidR="00A064B6">
        <w:t xml:space="preserve"> can </w:t>
      </w:r>
      <w:r w:rsidR="004E152D">
        <w:t xml:space="preserve">be reaffirmed </w:t>
      </w:r>
      <w:r w:rsidR="00A064B6">
        <w:t xml:space="preserve">that the </w:t>
      </w:r>
      <w:r w:rsidR="00D1767C">
        <w:t xml:space="preserve">2012 </w:t>
      </w:r>
      <w:r w:rsidR="00A064B6">
        <w:t xml:space="preserve">market outcomes </w:t>
      </w:r>
      <w:r w:rsidR="0036732D">
        <w:t>do</w:t>
      </w:r>
      <w:r w:rsidR="00C90F16">
        <w:t xml:space="preserve"> not </w:t>
      </w:r>
      <w:r w:rsidR="00A064B6">
        <w:t>attest</w:t>
      </w:r>
      <w:r w:rsidR="00D1767C">
        <w:t xml:space="preserve"> to </w:t>
      </w:r>
      <w:r w:rsidR="00C90F16">
        <w:t>a significant</w:t>
      </w:r>
      <w:r w:rsidR="00D1767C">
        <w:t xml:space="preserve"> gender effect in hiring.  However</w:t>
      </w:r>
      <w:r w:rsidR="00A064B6">
        <w:t>, 2</w:t>
      </w:r>
      <w:r w:rsidR="003A169E">
        <w:t xml:space="preserve">012 was also unusual in light of the pattern for the </w:t>
      </w:r>
      <w:r w:rsidR="00D1767C">
        <w:t>years 2010, 2011, 2013, and 2014</w:t>
      </w:r>
      <w:r w:rsidR="003A169E">
        <w:t>,</w:t>
      </w:r>
      <w:r w:rsidR="00D1767C">
        <w:t xml:space="preserve"> </w:t>
      </w:r>
      <w:r w:rsidR="004E152D">
        <w:t>which might indicate</w:t>
      </w:r>
      <w:r w:rsidR="00A064B6">
        <w:t xml:space="preserve"> </w:t>
      </w:r>
      <w:r w:rsidR="00D1767C">
        <w:t>significant bias in favor of female candidates (fig.8).</w:t>
      </w:r>
      <w:r w:rsidR="00A60202">
        <w:t xml:space="preserve">  </w:t>
      </w:r>
      <w:r w:rsidR="00A064B6">
        <w:t xml:space="preserve">Would this pattern </w:t>
      </w:r>
      <w:r w:rsidR="004E152D">
        <w:t xml:space="preserve">also </w:t>
      </w:r>
      <w:r w:rsidR="00A064B6">
        <w:t xml:space="preserve">stand up to </w:t>
      </w:r>
      <w:r w:rsidR="004E152D">
        <w:t xml:space="preserve">further </w:t>
      </w:r>
      <w:r w:rsidR="00C90F16">
        <w:t>scrutiny</w:t>
      </w:r>
      <w:r w:rsidR="00A064B6">
        <w:t>?  This time i</w:t>
      </w:r>
      <w:r w:rsidR="00A60202">
        <w:t>nstead of more forensic ch</w:t>
      </w:r>
      <w:r w:rsidR="004E152D">
        <w:t xml:space="preserve">ecking of merged data sets, </w:t>
      </w:r>
      <w:r w:rsidR="008A35E1">
        <w:t>the A</w:t>
      </w:r>
      <w:r w:rsidR="004E152D">
        <w:t>P</w:t>
      </w:r>
      <w:r w:rsidR="008A35E1">
        <w:t>D</w:t>
      </w:r>
      <w:r w:rsidR="004E152D">
        <w:t xml:space="preserve">A's </w:t>
      </w:r>
      <w:r w:rsidR="00C90F16">
        <w:t>numbers were</w:t>
      </w:r>
      <w:r w:rsidR="004E152D">
        <w:t xml:space="preserve"> taken</w:t>
      </w:r>
      <w:r w:rsidR="00A064B6">
        <w:t xml:space="preserve"> at face value</w:t>
      </w:r>
      <w:r w:rsidR="008A35E1">
        <w:t xml:space="preserve"> with a result</w:t>
      </w:r>
      <w:r w:rsidR="00A60202">
        <w:t xml:space="preserve"> in keeping with my original fi</w:t>
      </w:r>
      <w:r w:rsidR="00A064B6">
        <w:t>ndings provided in Figure 8.  Going by</w:t>
      </w:r>
      <w:r w:rsidR="008A35E1">
        <w:t xml:space="preserve"> the A</w:t>
      </w:r>
      <w:r w:rsidR="00A60202">
        <w:t>P</w:t>
      </w:r>
      <w:r w:rsidR="008A35E1">
        <w:t>DA's data</w:t>
      </w:r>
      <w:r w:rsidR="00A60202">
        <w:t xml:space="preserve"> women obtained 32.5% of the </w:t>
      </w:r>
      <w:r w:rsidR="002274F5">
        <w:t>tenure-track</w:t>
      </w:r>
      <w:r w:rsidR="00A60202">
        <w:t xml:space="preserve"> </w:t>
      </w:r>
      <w:r w:rsidR="00A064B6">
        <w:t>jobs in 2013 and 39% in 2014 whereas my</w:t>
      </w:r>
      <w:r w:rsidR="00A60202">
        <w:t xml:space="preserve"> results were 35.1% (with 26.7% earning doctorates) and</w:t>
      </w:r>
      <w:r w:rsidR="008A35E1">
        <w:t xml:space="preserve"> 37.8% (</w:t>
      </w:r>
      <w:r w:rsidR="00A60202">
        <w:t>27% earning doctorates).  Instead of quibbling about a pe</w:t>
      </w:r>
      <w:r w:rsidR="008A35E1">
        <w:t>rcentage point here or there, it</w:t>
      </w:r>
      <w:r w:rsidR="00A60202">
        <w:t xml:space="preserve"> can </w:t>
      </w:r>
      <w:r w:rsidR="008A35E1">
        <w:t xml:space="preserve">be </w:t>
      </w:r>
      <w:r w:rsidR="00A60202">
        <w:t>agree</w:t>
      </w:r>
      <w:r w:rsidR="008A35E1">
        <w:t xml:space="preserve">d there is no evidence </w:t>
      </w:r>
      <w:r w:rsidR="00A60202">
        <w:t xml:space="preserve">women are underrepresented among those obtaining </w:t>
      </w:r>
      <w:r w:rsidR="002274F5">
        <w:t>tenure-track</w:t>
      </w:r>
      <w:r w:rsidR="00A60202">
        <w:t xml:space="preserve"> jobs</w:t>
      </w:r>
      <w:r w:rsidR="008A35E1">
        <w:t xml:space="preserve"> for at least a decade</w:t>
      </w:r>
      <w:r w:rsidR="00A60202">
        <w:t xml:space="preserve">.  To the contrary, </w:t>
      </w:r>
      <w:r w:rsidR="00A064B6">
        <w:t xml:space="preserve">recent </w:t>
      </w:r>
      <w:r w:rsidR="00A60202">
        <w:t>years seem to</w:t>
      </w:r>
      <w:r w:rsidR="00A064B6">
        <w:t xml:space="preserve"> attest to a reverse gender effect.</w:t>
      </w:r>
    </w:p>
    <w:p w14:paraId="647D4CB2" w14:textId="4447E1F9" w:rsidR="007E78C9" w:rsidRPr="00D66841" w:rsidRDefault="00D66841" w:rsidP="007E78C9">
      <w:pPr>
        <w:spacing w:line="480" w:lineRule="auto"/>
        <w:rPr>
          <w:b/>
        </w:rPr>
      </w:pPr>
      <w:r>
        <w:rPr>
          <w:b/>
        </w:rPr>
        <w:t>Discussion</w:t>
      </w:r>
    </w:p>
    <w:p w14:paraId="62D321C5" w14:textId="352B9F28" w:rsidR="00F212CE" w:rsidRDefault="008A35E1" w:rsidP="007E78C9">
      <w:pPr>
        <w:spacing w:line="480" w:lineRule="auto"/>
      </w:pPr>
      <w:r>
        <w:t>M</w:t>
      </w:r>
      <w:r w:rsidR="00317C3F">
        <w:t xml:space="preserve">arket outcomes </w:t>
      </w:r>
      <w:r>
        <w:t xml:space="preserve">starting in 2014 and </w:t>
      </w:r>
      <w:r w:rsidR="00F43C56">
        <w:t>going back ten years</w:t>
      </w:r>
      <w:r w:rsidR="00DD7DD6">
        <w:t xml:space="preserve"> offer</w:t>
      </w:r>
      <w:r w:rsidR="00C4443C">
        <w:t xml:space="preserve"> no evidence </w:t>
      </w:r>
      <w:r w:rsidR="001824E3">
        <w:t xml:space="preserve">women are at a </w:t>
      </w:r>
      <w:r w:rsidR="00243BB9">
        <w:t xml:space="preserve">disadvantage in </w:t>
      </w:r>
      <w:r w:rsidR="002274F5">
        <w:t>tenure-track</w:t>
      </w:r>
      <w:r w:rsidR="00243BB9">
        <w:t xml:space="preserve"> competitions.  </w:t>
      </w:r>
      <w:r w:rsidR="009226B0">
        <w:t>The same can be said for the other</w:t>
      </w:r>
      <w:r w:rsidR="00121354">
        <w:t xml:space="preserve"> objective measures</w:t>
      </w:r>
      <w:r w:rsidR="00620176">
        <w:t xml:space="preserve"> that were</w:t>
      </w:r>
      <w:r w:rsidR="009226B0">
        <w:t xml:space="preserve"> examined</w:t>
      </w:r>
      <w:r w:rsidR="001824E3">
        <w:t xml:space="preserve"> </w:t>
      </w:r>
      <w:r w:rsidR="00C407DD">
        <w:t>including publishing and the reputation</w:t>
      </w:r>
      <w:r w:rsidR="006F3A16">
        <w:t>s</w:t>
      </w:r>
      <w:r w:rsidR="00C407DD">
        <w:t xml:space="preserve"> of home and hi</w:t>
      </w:r>
      <w:r w:rsidR="00620176">
        <w:t>ring departments.  N</w:t>
      </w:r>
      <w:r w:rsidR="002373CE">
        <w:t>o stati</w:t>
      </w:r>
      <w:r w:rsidR="00A54643">
        <w:t>stically significant evidence that</w:t>
      </w:r>
      <w:r w:rsidR="002373CE">
        <w:t xml:space="preserve"> pervasive dysfunction </w:t>
      </w:r>
      <w:r w:rsidR="001363BF">
        <w:t xml:space="preserve">in departmental cultures </w:t>
      </w:r>
      <w:r w:rsidR="00E033A9">
        <w:t xml:space="preserve">is </w:t>
      </w:r>
      <w:r w:rsidR="001363BF">
        <w:t>harming</w:t>
      </w:r>
      <w:r w:rsidR="00A54643">
        <w:t xml:space="preserve"> </w:t>
      </w:r>
      <w:r w:rsidR="00267BE3">
        <w:t xml:space="preserve">early career </w:t>
      </w:r>
      <w:r w:rsidR="00772C59">
        <w:t xml:space="preserve">market outcomes </w:t>
      </w:r>
      <w:r w:rsidR="00A54643">
        <w:t>of budding women philosophers</w:t>
      </w:r>
      <w:r w:rsidR="00620176">
        <w:t xml:space="preserve"> could be found</w:t>
      </w:r>
      <w:r w:rsidR="002373CE">
        <w:t>.</w:t>
      </w:r>
      <w:r w:rsidR="009459A4">
        <w:t xml:space="preserve">  </w:t>
      </w:r>
      <w:r w:rsidR="00050061">
        <w:t xml:space="preserve">Meanwhile, the biggest drop in women’s participation </w:t>
      </w:r>
      <w:r w:rsidR="00A54643">
        <w:t>appears to occur</w:t>
      </w:r>
      <w:r w:rsidR="00050061">
        <w:t xml:space="preserve"> </w:t>
      </w:r>
      <w:r w:rsidR="0074600D">
        <w:t xml:space="preserve">almost </w:t>
      </w:r>
      <w:r w:rsidR="00050061">
        <w:t xml:space="preserve">immediately, </w:t>
      </w:r>
      <w:r w:rsidR="0074600D">
        <w:t>right after</w:t>
      </w:r>
      <w:r w:rsidR="00050061">
        <w:t xml:space="preserve"> first exposure to philosophy’s th</w:t>
      </w:r>
      <w:r w:rsidR="0074600D">
        <w:t>emes, methods, and traditions</w:t>
      </w:r>
      <w:r w:rsidR="00C4443C">
        <w:t>.</w:t>
      </w:r>
      <w:r w:rsidR="00B1316B">
        <w:rPr>
          <w:rStyle w:val="FootnoteReference"/>
        </w:rPr>
        <w:footnoteReference w:id="36"/>
      </w:r>
      <w:r w:rsidR="004B3DC0">
        <w:t xml:space="preserve">  </w:t>
      </w:r>
      <w:r w:rsidR="00A72A63">
        <w:t>Although e</w:t>
      </w:r>
      <w:r w:rsidR="00772C59">
        <w:t>vidence that the gender gap in philosophy is attributable to pre-university influences has been available since at least 2012</w:t>
      </w:r>
      <w:r w:rsidR="00772C59">
        <w:rPr>
          <w:rStyle w:val="FootnoteReference"/>
        </w:rPr>
        <w:footnoteReference w:id="37"/>
      </w:r>
      <w:r w:rsidR="00A72A63">
        <w:t xml:space="preserve"> t</w:t>
      </w:r>
      <w:r w:rsidR="00772C59">
        <w:t xml:space="preserve">he present </w:t>
      </w:r>
      <w:r w:rsidR="006F3A16">
        <w:t>study adds to the case</w:t>
      </w:r>
      <w:r w:rsidR="00A72A63">
        <w:t xml:space="preserve"> </w:t>
      </w:r>
      <w:r w:rsidR="00772C59">
        <w:t xml:space="preserve">against the hypothesis </w:t>
      </w:r>
      <w:r w:rsidR="00050061">
        <w:t xml:space="preserve">that </w:t>
      </w:r>
      <w:r w:rsidR="002373CE">
        <w:t xml:space="preserve">sexist attitudes </w:t>
      </w:r>
      <w:r w:rsidR="00401509">
        <w:t xml:space="preserve">(whether conscious or unconscious) </w:t>
      </w:r>
      <w:r w:rsidR="002373CE">
        <w:t xml:space="preserve">held by philosophers are </w:t>
      </w:r>
      <w:r w:rsidR="0074600D">
        <w:t xml:space="preserve">a major cause of </w:t>
      </w:r>
      <w:r w:rsidR="00050061">
        <w:t>disproportion</w:t>
      </w:r>
      <w:r w:rsidR="000F4384">
        <w:t xml:space="preserve"> according to gender</w:t>
      </w:r>
      <w:r w:rsidR="00050061">
        <w:t xml:space="preserve">.  </w:t>
      </w:r>
    </w:p>
    <w:p w14:paraId="58C36971" w14:textId="02AC8946" w:rsidR="0037486E" w:rsidRDefault="00D71438" w:rsidP="00D92DB5">
      <w:pPr>
        <w:spacing w:line="480" w:lineRule="auto"/>
        <w:ind w:firstLine="720"/>
      </w:pPr>
      <w:r>
        <w:t xml:space="preserve">All the same, </w:t>
      </w:r>
      <w:r w:rsidR="00D06A55">
        <w:t xml:space="preserve">we </w:t>
      </w:r>
      <w:r w:rsidR="00620176">
        <w:t xml:space="preserve">can be </w:t>
      </w:r>
      <w:r w:rsidR="00D06A55">
        <w:t>s</w:t>
      </w:r>
      <w:r w:rsidR="00050061">
        <w:t xml:space="preserve">omewhat </w:t>
      </w:r>
      <w:r>
        <w:t xml:space="preserve">reticent </w:t>
      </w:r>
      <w:r w:rsidR="00050061">
        <w:t xml:space="preserve">to draw </w:t>
      </w:r>
      <w:r w:rsidR="00A72A63">
        <w:t xml:space="preserve">strong </w:t>
      </w:r>
      <w:r>
        <w:t>conclusions</w:t>
      </w:r>
      <w:r w:rsidR="004276B6">
        <w:t xml:space="preserve"> </w:t>
      </w:r>
      <w:r w:rsidR="00032101">
        <w:t xml:space="preserve">about the extent of philosophy’s </w:t>
      </w:r>
      <w:r w:rsidR="006A7CAE" w:rsidRPr="004907C3">
        <w:t>climate pr</w:t>
      </w:r>
      <w:r w:rsidR="00F44E12">
        <w:t>oblems</w:t>
      </w:r>
      <w:r w:rsidR="0074600D">
        <w:t>, and</w:t>
      </w:r>
      <w:r w:rsidR="00E033A9">
        <w:t xml:space="preserve"> </w:t>
      </w:r>
      <w:r w:rsidR="006F3A16">
        <w:t xml:space="preserve">it might be </w:t>
      </w:r>
      <w:r w:rsidR="00050061">
        <w:t xml:space="preserve">premature to say that </w:t>
      </w:r>
      <w:r w:rsidR="00892BB6">
        <w:t xml:space="preserve">there is no </w:t>
      </w:r>
      <w:r w:rsidR="00B1316B">
        <w:t xml:space="preserve">systemic </w:t>
      </w:r>
      <w:r w:rsidR="00B06051">
        <w:t>anti-female</w:t>
      </w:r>
      <w:r w:rsidR="000F4384">
        <w:t xml:space="preserve"> prejudice</w:t>
      </w:r>
      <w:r w:rsidR="00050061">
        <w:t>.</w:t>
      </w:r>
      <w:r w:rsidR="000F4384">
        <w:t xml:space="preserve">  </w:t>
      </w:r>
      <w:r w:rsidR="00620176">
        <w:t>B</w:t>
      </w:r>
      <w:r w:rsidR="007E64A6">
        <w:t xml:space="preserve">ias </w:t>
      </w:r>
      <w:r w:rsidR="00C4443C">
        <w:t>that was</w:t>
      </w:r>
      <w:r w:rsidR="009226B0">
        <w:t xml:space="preserve"> present </w:t>
      </w:r>
      <w:r w:rsidR="00B06051">
        <w:t xml:space="preserve">but </w:t>
      </w:r>
      <w:r w:rsidR="00E033A9">
        <w:t xml:space="preserve">somehow </w:t>
      </w:r>
      <w:r w:rsidR="00C4443C">
        <w:t>neutralized</w:t>
      </w:r>
      <w:r w:rsidR="00C407DD">
        <w:t xml:space="preserve"> </w:t>
      </w:r>
      <w:r w:rsidR="00C4443C">
        <w:t>by measures</w:t>
      </w:r>
      <w:r w:rsidR="008B6651">
        <w:t xml:space="preserve"> departments</w:t>
      </w:r>
      <w:r w:rsidR="007E64A6">
        <w:t xml:space="preserve"> </w:t>
      </w:r>
      <w:r w:rsidR="00A54643">
        <w:t xml:space="preserve">have </w:t>
      </w:r>
      <w:r w:rsidR="007E64A6">
        <w:t>t</w:t>
      </w:r>
      <w:r w:rsidR="008B6651">
        <w:t>aken</w:t>
      </w:r>
      <w:r w:rsidR="00A54643">
        <w:t xml:space="preserve"> or</w:t>
      </w:r>
      <w:r w:rsidR="00C4443C">
        <w:t xml:space="preserve"> </w:t>
      </w:r>
      <w:r w:rsidR="009226B0">
        <w:t>c</w:t>
      </w:r>
      <w:r w:rsidR="007E64A6">
        <w:t>oping</w:t>
      </w:r>
      <w:r w:rsidR="008B6651">
        <w:t xml:space="preserve"> strate</w:t>
      </w:r>
      <w:r w:rsidR="00F212CE">
        <w:t>gi</w:t>
      </w:r>
      <w:r w:rsidR="009226B0">
        <w:t xml:space="preserve">es </w:t>
      </w:r>
      <w:r w:rsidR="00703CD3">
        <w:t>adopted</w:t>
      </w:r>
      <w:r w:rsidR="004A208E">
        <w:t xml:space="preserve"> by women</w:t>
      </w:r>
      <w:r w:rsidR="00620176">
        <w:t xml:space="preserve"> might have been overlooked</w:t>
      </w:r>
      <w:r w:rsidR="00A72A63">
        <w:t xml:space="preserve">.   </w:t>
      </w:r>
      <w:r w:rsidR="0036732D">
        <w:t>Then again</w:t>
      </w:r>
      <w:r w:rsidR="00A72A63">
        <w:t xml:space="preserve"> it seems doubtful</w:t>
      </w:r>
      <w:r w:rsidR="00620176">
        <w:t xml:space="preserve"> that</w:t>
      </w:r>
      <w:r w:rsidR="004A208E">
        <w:t xml:space="preserve"> </w:t>
      </w:r>
      <w:r w:rsidR="00F212CE">
        <w:t>e</w:t>
      </w:r>
      <w:r w:rsidR="008B6651">
        <w:t>xplicit policy ch</w:t>
      </w:r>
      <w:r w:rsidR="00620176">
        <w:t>anges and coping strategies were</w:t>
      </w:r>
      <w:r w:rsidR="00B06051">
        <w:t xml:space="preserve"> </w:t>
      </w:r>
      <w:r w:rsidR="00620176">
        <w:t>adopted more</w:t>
      </w:r>
      <w:r w:rsidR="008B6651">
        <w:t xml:space="preserve"> than ten years ago</w:t>
      </w:r>
      <w:r w:rsidR="00F212CE">
        <w:t>,</w:t>
      </w:r>
      <w:r w:rsidR="008B6651">
        <w:t xml:space="preserve"> long before </w:t>
      </w:r>
      <w:r w:rsidR="009226B0">
        <w:t>there was wide</w:t>
      </w:r>
      <w:r w:rsidR="00C4443C">
        <w:t>r</w:t>
      </w:r>
      <w:r w:rsidR="00F212CE">
        <w:t xml:space="preserve"> awareness of </w:t>
      </w:r>
      <w:r w:rsidR="008B6651">
        <w:t xml:space="preserve">the issue of </w:t>
      </w:r>
      <w:r w:rsidR="00620176">
        <w:t>unconscious bias.</w:t>
      </w:r>
      <w:r w:rsidR="004A208E">
        <w:t xml:space="preserve"> </w:t>
      </w:r>
      <w:r w:rsidR="00B06051">
        <w:t xml:space="preserve"> </w:t>
      </w:r>
      <w:r w:rsidR="00322124">
        <w:t>It is</w:t>
      </w:r>
      <w:r w:rsidR="004A208E">
        <w:t xml:space="preserve"> </w:t>
      </w:r>
      <w:r w:rsidR="00620176">
        <w:t xml:space="preserve">also </w:t>
      </w:r>
      <w:r w:rsidR="00884320">
        <w:t>conceivable</w:t>
      </w:r>
      <w:r w:rsidR="00C407DD">
        <w:t xml:space="preserve"> </w:t>
      </w:r>
      <w:r w:rsidR="004A208E">
        <w:t xml:space="preserve">that </w:t>
      </w:r>
      <w:r w:rsidR="00C407DD">
        <w:t xml:space="preserve">bias shows up elsewhere, </w:t>
      </w:r>
      <w:r w:rsidR="0064620C">
        <w:t>affecting</w:t>
      </w:r>
      <w:r w:rsidR="00F212CE">
        <w:t xml:space="preserve"> ou</w:t>
      </w:r>
      <w:r w:rsidR="00884320">
        <w:t>tcomes for tenure and promotion</w:t>
      </w:r>
      <w:r w:rsidR="00622BD9">
        <w:t>, though</w:t>
      </w:r>
      <w:r w:rsidR="00884320">
        <w:t xml:space="preserve"> </w:t>
      </w:r>
      <w:r w:rsidR="00BA3B40">
        <w:t xml:space="preserve">keep in mind </w:t>
      </w:r>
      <w:r w:rsidR="00884320">
        <w:t xml:space="preserve">this </w:t>
      </w:r>
      <w:r w:rsidR="00622BD9">
        <w:t>conjecture is</w:t>
      </w:r>
      <w:r w:rsidR="00BA3B40">
        <w:t xml:space="preserve"> not supported </w:t>
      </w:r>
      <w:r w:rsidR="00940805">
        <w:t xml:space="preserve">even </w:t>
      </w:r>
      <w:r w:rsidR="00BA3B40">
        <w:t xml:space="preserve">by </w:t>
      </w:r>
      <w:r w:rsidR="002373CE">
        <w:t xml:space="preserve">mainstays </w:t>
      </w:r>
      <w:r w:rsidR="00BA3B40">
        <w:t xml:space="preserve">of the </w:t>
      </w:r>
      <w:r w:rsidR="00884320">
        <w:t xml:space="preserve">implicit bias literature, </w:t>
      </w:r>
      <w:r w:rsidR="00BA3B40">
        <w:t xml:space="preserve">such as </w:t>
      </w:r>
      <w:r w:rsidR="00EC3AF3" w:rsidRPr="00BE2D6F">
        <w:rPr>
          <w:szCs w:val="20"/>
        </w:rPr>
        <w:t>Steinpreis,</w:t>
      </w:r>
      <w:r w:rsidR="00EC3AF3">
        <w:rPr>
          <w:szCs w:val="20"/>
        </w:rPr>
        <w:t xml:space="preserve"> </w:t>
      </w:r>
      <w:r w:rsidR="00EC3AF3" w:rsidRPr="006F3A16">
        <w:rPr>
          <w:i/>
          <w:szCs w:val="20"/>
        </w:rPr>
        <w:t>et al</w:t>
      </w:r>
      <w:r w:rsidR="00EC3AF3" w:rsidRPr="00BA3B40">
        <w:rPr>
          <w:i/>
          <w:szCs w:val="20"/>
        </w:rPr>
        <w:t>.</w:t>
      </w:r>
      <w:r w:rsidR="000F4384" w:rsidRPr="00C407DD">
        <w:rPr>
          <w:rStyle w:val="FootnoteReference"/>
          <w:szCs w:val="20"/>
        </w:rPr>
        <w:footnoteReference w:id="38"/>
      </w:r>
      <w:r w:rsidR="00EC3AF3" w:rsidRPr="00BE2D6F">
        <w:rPr>
          <w:szCs w:val="20"/>
        </w:rPr>
        <w:t xml:space="preserve"> </w:t>
      </w:r>
      <w:r w:rsidR="00884320">
        <w:t>who</w:t>
      </w:r>
      <w:r w:rsidR="00EC3AF3">
        <w:t>se name-swapping experiment</w:t>
      </w:r>
      <w:r w:rsidR="00BA3B40">
        <w:t>s</w:t>
      </w:r>
      <w:r w:rsidR="0037486E">
        <w:t xml:space="preserve"> found “no main effects” </w:t>
      </w:r>
      <w:r w:rsidR="0064620C">
        <w:t>for</w:t>
      </w:r>
      <w:r w:rsidR="0037486E">
        <w:t xml:space="preserve"> tenurability</w:t>
      </w:r>
      <w:r w:rsidR="0036732D">
        <w:t>.  The present</w:t>
      </w:r>
      <w:r w:rsidR="005318F1">
        <w:t xml:space="preserve"> findings are a better fit with </w:t>
      </w:r>
      <w:r w:rsidR="008D6C8C">
        <w:t xml:space="preserve">the </w:t>
      </w:r>
      <w:r w:rsidR="004C36A4">
        <w:t>strong preference for women</w:t>
      </w:r>
      <w:r w:rsidR="008D6C8C">
        <w:t xml:space="preserve"> in STEM found by experimental manipulations</w:t>
      </w:r>
      <w:r w:rsidR="004C36A4">
        <w:t>.</w:t>
      </w:r>
      <w:r w:rsidR="009A3A98">
        <w:rPr>
          <w:rStyle w:val="FootnoteReference"/>
        </w:rPr>
        <w:footnoteReference w:id="39"/>
      </w:r>
    </w:p>
    <w:p w14:paraId="5BB96FAE" w14:textId="28369A8F" w:rsidR="00A64460" w:rsidRDefault="001824E3" w:rsidP="00392E3F">
      <w:pPr>
        <w:spacing w:line="480" w:lineRule="auto"/>
        <w:ind w:firstLine="720"/>
      </w:pPr>
      <w:r>
        <w:t xml:space="preserve">  </w:t>
      </w:r>
      <w:r w:rsidR="008D6C8C">
        <w:t xml:space="preserve">While </w:t>
      </w:r>
      <w:r>
        <w:t>counter thoughts are not to be d</w:t>
      </w:r>
      <w:r w:rsidR="0036732D">
        <w:t>ismissed lightly,</w:t>
      </w:r>
      <w:r>
        <w:t xml:space="preserve"> </w:t>
      </w:r>
      <w:r w:rsidR="004A208E">
        <w:t>the hypothesis that</w:t>
      </w:r>
      <w:r w:rsidR="009226B0">
        <w:t xml:space="preserve"> </w:t>
      </w:r>
      <w:r w:rsidR="007E64A6">
        <w:t xml:space="preserve">unconscious bias </w:t>
      </w:r>
      <w:r w:rsidR="00703CD3">
        <w:t>works against women in hir</w:t>
      </w:r>
      <w:r>
        <w:t>ing and early career publishing</w:t>
      </w:r>
      <w:r w:rsidR="0036732D">
        <w:t xml:space="preserve"> is not well supported</w:t>
      </w:r>
      <w:r w:rsidR="007E64A6">
        <w:t>.</w:t>
      </w:r>
      <w:r w:rsidR="00EB19A6">
        <w:t xml:space="preserve">  </w:t>
      </w:r>
      <w:r w:rsidR="008D6C8C">
        <w:t xml:space="preserve">Although </w:t>
      </w:r>
      <w:r w:rsidR="004A208E">
        <w:t xml:space="preserve">it is </w:t>
      </w:r>
      <w:r w:rsidR="0036732D">
        <w:t xml:space="preserve">conceivable </w:t>
      </w:r>
      <w:r w:rsidR="002F336E">
        <w:t xml:space="preserve">implicit bias initially reduces perception of </w:t>
      </w:r>
      <w:r w:rsidR="000F4384">
        <w:t>a woman's cv</w:t>
      </w:r>
      <w:r w:rsidR="002F336E">
        <w:t xml:space="preserve"> and then </w:t>
      </w:r>
      <w:r w:rsidR="00B06051">
        <w:t>“</w:t>
      </w:r>
      <w:r w:rsidR="002F336E">
        <w:t>affirmative actors</w:t>
      </w:r>
      <w:r w:rsidR="00B06051">
        <w:t>”</w:t>
      </w:r>
      <w:r w:rsidR="00C407DD">
        <w:t xml:space="preserve"> reverse its</w:t>
      </w:r>
      <w:r w:rsidR="004A208E">
        <w:t xml:space="preserve"> impact, this </w:t>
      </w:r>
      <w:r w:rsidR="0036732D">
        <w:t xml:space="preserve">proposal strikes one as </w:t>
      </w:r>
      <w:r w:rsidR="002F336E">
        <w:t xml:space="preserve">overly complicated: why not just assume people </w:t>
      </w:r>
      <w:r w:rsidR="006F3A16">
        <w:t xml:space="preserve">are not downgrading </w:t>
      </w:r>
      <w:r w:rsidR="00A64460">
        <w:t>the accomplishments of talented women?</w:t>
      </w:r>
      <w:r w:rsidR="00EB19A6">
        <w:t xml:space="preserve"> </w:t>
      </w:r>
    </w:p>
    <w:p w14:paraId="4865A6FF" w14:textId="43C5F5A8" w:rsidR="00B1316B" w:rsidRDefault="00A72A63" w:rsidP="00392E3F">
      <w:pPr>
        <w:spacing w:line="480" w:lineRule="auto"/>
        <w:ind w:firstLine="720"/>
      </w:pPr>
      <w:r>
        <w:t xml:space="preserve">The suggestion that there is a shyness effect making bias hard to detect </w:t>
      </w:r>
      <w:r w:rsidR="00392E3F">
        <w:t>is also hard to square with the evidence about pre-market publishing opportunities.</w:t>
      </w:r>
      <w:r w:rsidR="006F3A16">
        <w:t xml:space="preserve">  Why doesn’t</w:t>
      </w:r>
      <w:r>
        <w:t xml:space="preserve"> bias reveal</w:t>
      </w:r>
      <w:r w:rsidR="00392E3F">
        <w:t xml:space="preserve"> itself </w:t>
      </w:r>
      <w:r>
        <w:t>in disparities for</w:t>
      </w:r>
      <w:r w:rsidR="00392E3F">
        <w:t xml:space="preserve"> special invitations to publish where there are no equity polic</w:t>
      </w:r>
      <w:r w:rsidR="006F3A16">
        <w:t xml:space="preserve">ies or structures, little to no collegial oversight, </w:t>
      </w:r>
      <w:r w:rsidR="00392E3F">
        <w:t>and it is hard t</w:t>
      </w:r>
      <w:r w:rsidR="006F3A16">
        <w:t>o conceive of coping strategies</w:t>
      </w:r>
      <w:r w:rsidR="00392E3F">
        <w:t xml:space="preserve">?  We </w:t>
      </w:r>
      <w:r w:rsidR="00620176">
        <w:t xml:space="preserve">should </w:t>
      </w:r>
      <w:r w:rsidR="004A208E">
        <w:t>also worry that e</w:t>
      </w:r>
      <w:r w:rsidR="008E0659">
        <w:t>fforts to improve th</w:t>
      </w:r>
      <w:r w:rsidR="00F54049">
        <w:t xml:space="preserve">e representation of women could </w:t>
      </w:r>
      <w:r w:rsidR="00355A51">
        <w:t xml:space="preserve">even </w:t>
      </w:r>
      <w:r w:rsidR="008E0659">
        <w:t>backfire,</w:t>
      </w:r>
      <w:r w:rsidR="008C0E5C">
        <w:t xml:space="preserve"> e.g.</w:t>
      </w:r>
      <w:r w:rsidR="008E0659">
        <w:t xml:space="preserve"> </w:t>
      </w:r>
      <w:r w:rsidR="003164DB">
        <w:t>if</w:t>
      </w:r>
      <w:r w:rsidR="008E0659">
        <w:t xml:space="preserve"> committees adopted blind review of candidates</w:t>
      </w:r>
      <w:r w:rsidR="000C71E8">
        <w:t xml:space="preserve"> under the dubious assu</w:t>
      </w:r>
      <w:r w:rsidR="001130B0">
        <w:t xml:space="preserve">mption that more accomplished women </w:t>
      </w:r>
      <w:r w:rsidR="000C71E8">
        <w:t>are systematically undervalued</w:t>
      </w:r>
      <w:r w:rsidR="00151A6B">
        <w:t>.</w:t>
      </w:r>
    </w:p>
    <w:p w14:paraId="7EC46FB5" w14:textId="58E34969" w:rsidR="00B1316B" w:rsidRPr="00D66841" w:rsidRDefault="00D66841" w:rsidP="002400A1">
      <w:pPr>
        <w:spacing w:line="480" w:lineRule="auto"/>
        <w:rPr>
          <w:b/>
        </w:rPr>
      </w:pPr>
      <w:r w:rsidRPr="00D66841">
        <w:rPr>
          <w:b/>
        </w:rPr>
        <w:t>Acknowledgments</w:t>
      </w:r>
    </w:p>
    <w:p w14:paraId="73929176" w14:textId="34B7302D" w:rsidR="00D66841" w:rsidRDefault="00D66841" w:rsidP="002400A1">
      <w:pPr>
        <w:spacing w:line="480" w:lineRule="auto"/>
      </w:pPr>
      <w:r>
        <w:t xml:space="preserve">The author is indebted to the anonymous referees, Calvin K. Lai, Shen-yi Liao, Paul Draper, </w:t>
      </w:r>
      <w:r w:rsidR="00625F3B">
        <w:t xml:space="preserve">Neb Kujundzic, </w:t>
      </w:r>
      <w:bookmarkStart w:id="0" w:name="_GoBack"/>
      <w:bookmarkEnd w:id="0"/>
      <w:r>
        <w:t>Matthew Mosdell, Monika Piotrowska</w:t>
      </w:r>
      <w:r w:rsidR="00CD67C6">
        <w:t>,</w:t>
      </w:r>
      <w:r w:rsidR="004B4572">
        <w:t xml:space="preserve"> </w:t>
      </w:r>
      <w:r w:rsidR="00365463">
        <w:t xml:space="preserve">and </w:t>
      </w:r>
      <w:r w:rsidR="00F01C68">
        <w:t>Louis-Philippe Hodgson,</w:t>
      </w:r>
      <w:r>
        <w:t xml:space="preserve"> </w:t>
      </w:r>
      <w:r w:rsidR="00365463">
        <w:t>as well as</w:t>
      </w:r>
      <w:r w:rsidR="004B4572">
        <w:t xml:space="preserve"> </w:t>
      </w:r>
      <w:r>
        <w:t xml:space="preserve">audiences at </w:t>
      </w:r>
      <w:r w:rsidR="00F01C68">
        <w:t>t</w:t>
      </w:r>
      <w:r w:rsidR="004B4572">
        <w:t>he Atlantic Region Philosophers</w:t>
      </w:r>
      <w:r w:rsidR="00F01C68">
        <w:t xml:space="preserve"> Association</w:t>
      </w:r>
      <w:r w:rsidR="004B4572">
        <w:t>, the University of Louisville, and</w:t>
      </w:r>
      <w:r w:rsidR="00F01C68">
        <w:t xml:space="preserve"> the University of Miami </w:t>
      </w:r>
      <w:r>
        <w:t xml:space="preserve">for their insightful feedback and suggestions. </w:t>
      </w:r>
    </w:p>
    <w:p w14:paraId="50FE623F" w14:textId="77777777" w:rsidR="00B1316B" w:rsidRDefault="00B1316B" w:rsidP="002400A1">
      <w:pPr>
        <w:spacing w:line="480" w:lineRule="auto"/>
      </w:pPr>
    </w:p>
    <w:p w14:paraId="4A0BEF84" w14:textId="77777777" w:rsidR="00B1316B" w:rsidRDefault="00B1316B" w:rsidP="002400A1">
      <w:pPr>
        <w:spacing w:line="480" w:lineRule="auto"/>
      </w:pPr>
    </w:p>
    <w:p w14:paraId="75EC33A0" w14:textId="77777777" w:rsidR="00180D8C" w:rsidRDefault="00180D8C" w:rsidP="002400A1">
      <w:pPr>
        <w:spacing w:line="480" w:lineRule="auto"/>
      </w:pPr>
    </w:p>
    <w:p w14:paraId="01857FE8" w14:textId="77777777" w:rsidR="00180D8C" w:rsidRDefault="00180D8C" w:rsidP="002400A1">
      <w:pPr>
        <w:spacing w:line="480" w:lineRule="auto"/>
      </w:pPr>
    </w:p>
    <w:p w14:paraId="7988A7A4" w14:textId="77777777" w:rsidR="00180D8C" w:rsidRDefault="00180D8C" w:rsidP="002400A1">
      <w:pPr>
        <w:spacing w:line="480" w:lineRule="auto"/>
      </w:pPr>
    </w:p>
    <w:p w14:paraId="0A943FE9" w14:textId="77777777" w:rsidR="00180D8C" w:rsidRDefault="00180D8C" w:rsidP="002400A1">
      <w:pPr>
        <w:spacing w:line="480" w:lineRule="auto"/>
      </w:pPr>
    </w:p>
    <w:p w14:paraId="746479ED" w14:textId="77777777" w:rsidR="00180D8C" w:rsidRDefault="00180D8C" w:rsidP="002400A1">
      <w:pPr>
        <w:spacing w:line="480" w:lineRule="auto"/>
      </w:pPr>
    </w:p>
    <w:p w14:paraId="69FD9C58" w14:textId="77777777" w:rsidR="007E78C9" w:rsidRDefault="007E78C9" w:rsidP="002400A1">
      <w:pPr>
        <w:spacing w:line="480" w:lineRule="auto"/>
      </w:pPr>
    </w:p>
    <w:p w14:paraId="3D4C0E90" w14:textId="77777777" w:rsidR="004A208E" w:rsidRDefault="004A208E" w:rsidP="002400A1">
      <w:pPr>
        <w:spacing w:line="480" w:lineRule="auto"/>
      </w:pPr>
    </w:p>
    <w:p w14:paraId="1C6DFD15" w14:textId="77777777" w:rsidR="006F3A16" w:rsidRDefault="006F3A16" w:rsidP="002400A1">
      <w:pPr>
        <w:spacing w:line="480" w:lineRule="auto"/>
      </w:pPr>
    </w:p>
    <w:p w14:paraId="51D417FF" w14:textId="77777777" w:rsidR="0036732D" w:rsidRDefault="0036732D" w:rsidP="002400A1">
      <w:pPr>
        <w:spacing w:line="480" w:lineRule="auto"/>
      </w:pPr>
    </w:p>
    <w:p w14:paraId="50A96661" w14:textId="77777777" w:rsidR="0036732D" w:rsidRDefault="0036732D" w:rsidP="002400A1">
      <w:pPr>
        <w:spacing w:line="480" w:lineRule="auto"/>
      </w:pPr>
    </w:p>
    <w:p w14:paraId="0DC981CA" w14:textId="77777777" w:rsidR="0036732D" w:rsidRDefault="0036732D" w:rsidP="002400A1">
      <w:pPr>
        <w:spacing w:line="480" w:lineRule="auto"/>
      </w:pPr>
    </w:p>
    <w:p w14:paraId="0684E11A" w14:textId="77777777" w:rsidR="0036732D" w:rsidRDefault="0036732D" w:rsidP="002400A1">
      <w:pPr>
        <w:spacing w:line="480" w:lineRule="auto"/>
      </w:pPr>
    </w:p>
    <w:p w14:paraId="1D1C7001" w14:textId="69820D7B" w:rsidR="008E34A7" w:rsidRPr="0036732D" w:rsidRDefault="004B3703" w:rsidP="002400A1">
      <w:pPr>
        <w:spacing w:line="480" w:lineRule="auto"/>
        <w:rPr>
          <w:b/>
        </w:rPr>
      </w:pPr>
      <w:r w:rsidRPr="0036732D">
        <w:rPr>
          <w:b/>
        </w:rPr>
        <w:t>Appendix</w:t>
      </w:r>
    </w:p>
    <w:p w14:paraId="670197C6" w14:textId="77777777" w:rsidR="008E34A7" w:rsidRDefault="008E34A7" w:rsidP="002400A1">
      <w:pPr>
        <w:spacing w:line="480" w:lineRule="auto"/>
      </w:pPr>
      <w:r>
        <w:t>Raw data is available at genderandphilosophy.blogspot.com</w:t>
      </w:r>
    </w:p>
    <w:p w14:paraId="16DC7563" w14:textId="77777777" w:rsidR="0036732D" w:rsidRDefault="0036732D" w:rsidP="00DB7DFD">
      <w:pPr>
        <w:spacing w:line="480" w:lineRule="auto"/>
      </w:pPr>
    </w:p>
    <w:p w14:paraId="432876B9" w14:textId="77777777" w:rsidR="00DB7DFD" w:rsidRDefault="00FC00FC" w:rsidP="00DB7DFD">
      <w:pPr>
        <w:spacing w:line="480" w:lineRule="auto"/>
      </w:pPr>
      <w:r>
        <w:t>Figure 1</w:t>
      </w:r>
    </w:p>
    <w:p w14:paraId="025F715A" w14:textId="77777777" w:rsidR="008C7BDC" w:rsidRDefault="00D934EE" w:rsidP="00DB7DFD">
      <w:pPr>
        <w:spacing w:line="480" w:lineRule="auto"/>
      </w:pPr>
      <w:r w:rsidRPr="00D934EE">
        <w:rPr>
          <w:noProof/>
          <w:lang w:eastAsia="en-US"/>
        </w:rPr>
        <w:drawing>
          <wp:inline distT="0" distB="0" distL="0" distR="0" wp14:anchorId="471CC572" wp14:editId="35CF87D2">
            <wp:extent cx="4556760" cy="2786381"/>
            <wp:effectExtent l="25400" t="0" r="0" b="0"/>
            <wp:docPr id="6"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8C2A84" w14:textId="77777777" w:rsidR="00386C9A" w:rsidRDefault="00386C9A" w:rsidP="00DB7DFD">
      <w:pPr>
        <w:spacing w:line="480" w:lineRule="auto"/>
      </w:pPr>
      <w:r>
        <w:t>Figure 2</w:t>
      </w:r>
    </w:p>
    <w:p w14:paraId="7647D2DC" w14:textId="77777777" w:rsidR="00386C9A" w:rsidRDefault="00386C9A" w:rsidP="00DB7DFD">
      <w:pPr>
        <w:spacing w:line="480" w:lineRule="auto"/>
      </w:pPr>
      <w:r w:rsidRPr="00386C9A">
        <w:rPr>
          <w:noProof/>
          <w:lang w:eastAsia="en-US"/>
        </w:rPr>
        <w:drawing>
          <wp:inline distT="0" distB="0" distL="0" distR="0" wp14:anchorId="759A6238" wp14:editId="3EB703DE">
            <wp:extent cx="4572000" cy="2743200"/>
            <wp:effectExtent l="25400" t="25400" r="0" b="0"/>
            <wp:docPr id="2"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7128A6" w14:textId="77777777" w:rsidR="006C1701" w:rsidRDefault="006C1701" w:rsidP="00DB7DFD">
      <w:pPr>
        <w:spacing w:line="480" w:lineRule="auto"/>
      </w:pPr>
    </w:p>
    <w:p w14:paraId="68F1550B" w14:textId="77777777" w:rsidR="00451013" w:rsidRDefault="00451013" w:rsidP="00DB7DFD">
      <w:pPr>
        <w:spacing w:line="480" w:lineRule="auto"/>
      </w:pPr>
      <w:r>
        <w:t>Figure 3</w:t>
      </w:r>
    </w:p>
    <w:p w14:paraId="0D586B2E" w14:textId="77777777" w:rsidR="00E15D7B" w:rsidRDefault="00451013" w:rsidP="00DB7DFD">
      <w:pPr>
        <w:spacing w:line="480" w:lineRule="auto"/>
      </w:pPr>
      <w:r w:rsidRPr="00451013">
        <w:rPr>
          <w:noProof/>
          <w:lang w:eastAsia="en-US"/>
        </w:rPr>
        <w:drawing>
          <wp:inline distT="0" distB="0" distL="0" distR="0" wp14:anchorId="0E1C2981" wp14:editId="6970E2C6">
            <wp:extent cx="4816111" cy="2915920"/>
            <wp:effectExtent l="25400" t="0" r="9889" b="0"/>
            <wp:docPr id="11" name="C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147192" w14:textId="77777777" w:rsidR="006C1701" w:rsidRDefault="00451013" w:rsidP="00DB7DFD">
      <w:pPr>
        <w:spacing w:line="480" w:lineRule="auto"/>
      </w:pPr>
      <w:r>
        <w:t>Figure 4</w:t>
      </w:r>
    </w:p>
    <w:p w14:paraId="6F55A7CE" w14:textId="77777777" w:rsidR="00451013" w:rsidRDefault="00451013" w:rsidP="00DB7DFD">
      <w:pPr>
        <w:spacing w:line="480" w:lineRule="auto"/>
      </w:pPr>
      <w:r w:rsidRPr="00451013">
        <w:rPr>
          <w:noProof/>
          <w:lang w:eastAsia="en-US"/>
        </w:rPr>
        <w:drawing>
          <wp:inline distT="0" distB="0" distL="0" distR="0" wp14:anchorId="2AB8A684" wp14:editId="08D8CE9A">
            <wp:extent cx="4572000" cy="2743200"/>
            <wp:effectExtent l="25400" t="0" r="0" b="0"/>
            <wp:docPr id="5"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138BC3" w14:textId="77777777" w:rsidR="00451013" w:rsidRDefault="00451013" w:rsidP="00DB7DFD">
      <w:pPr>
        <w:spacing w:line="480" w:lineRule="auto"/>
      </w:pPr>
    </w:p>
    <w:p w14:paraId="3CE5907B" w14:textId="77777777" w:rsidR="00451013" w:rsidRDefault="00451013" w:rsidP="00DB7DFD">
      <w:pPr>
        <w:spacing w:line="480" w:lineRule="auto"/>
      </w:pPr>
    </w:p>
    <w:p w14:paraId="4DE493F4" w14:textId="77777777" w:rsidR="00451013" w:rsidRDefault="00451013" w:rsidP="00DB7DFD">
      <w:pPr>
        <w:spacing w:line="480" w:lineRule="auto"/>
      </w:pPr>
    </w:p>
    <w:p w14:paraId="550CC63D" w14:textId="77777777" w:rsidR="00FB5B4B" w:rsidRDefault="00FB5B4B" w:rsidP="00DB7DFD">
      <w:pPr>
        <w:spacing w:line="480" w:lineRule="auto"/>
      </w:pPr>
    </w:p>
    <w:p w14:paraId="661E00C1" w14:textId="77777777" w:rsidR="006C1701" w:rsidRDefault="00451013" w:rsidP="00DB7DFD">
      <w:pPr>
        <w:spacing w:line="480" w:lineRule="auto"/>
      </w:pPr>
      <w:r>
        <w:t>Figure 5</w:t>
      </w:r>
    </w:p>
    <w:p w14:paraId="280FC9DA" w14:textId="77777777" w:rsidR="006C1701" w:rsidRDefault="00510728" w:rsidP="00DB7DFD">
      <w:pPr>
        <w:spacing w:line="480" w:lineRule="auto"/>
      </w:pPr>
      <w:r w:rsidRPr="00510728">
        <w:rPr>
          <w:noProof/>
          <w:lang w:eastAsia="en-US"/>
        </w:rPr>
        <w:drawing>
          <wp:inline distT="0" distB="0" distL="0" distR="0" wp14:anchorId="007AA9B7" wp14:editId="7CCD74B2">
            <wp:extent cx="4841795" cy="2923540"/>
            <wp:effectExtent l="25400" t="0" r="9605" b="0"/>
            <wp:docPr id="4" name="C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BF6C97" w14:textId="77777777" w:rsidR="00FB5B4B" w:rsidRDefault="00451013" w:rsidP="00DB7DFD">
      <w:pPr>
        <w:spacing w:line="480" w:lineRule="auto"/>
      </w:pPr>
      <w:r>
        <w:t>Figure 6</w:t>
      </w:r>
      <w:r w:rsidR="00E15D7B" w:rsidRPr="006C1701">
        <w:rPr>
          <w:noProof/>
          <w:lang w:eastAsia="en-US"/>
        </w:rPr>
        <w:drawing>
          <wp:inline distT="0" distB="0" distL="0" distR="0" wp14:anchorId="7102B8BD" wp14:editId="10761B95">
            <wp:extent cx="5130800" cy="4254500"/>
            <wp:effectExtent l="25400" t="0" r="0" b="0"/>
            <wp:docPr id="9"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B59FC4" w14:textId="77777777" w:rsidR="00DB7DFD" w:rsidRDefault="008D41AC" w:rsidP="00DB7DFD">
      <w:pPr>
        <w:spacing w:line="480" w:lineRule="auto"/>
      </w:pPr>
      <w:r>
        <w:t>Figure 7</w:t>
      </w:r>
    </w:p>
    <w:p w14:paraId="34BF03E9" w14:textId="77777777" w:rsidR="008D41AC" w:rsidRDefault="00DB7DFD" w:rsidP="00DB7DFD">
      <w:pPr>
        <w:spacing w:line="480" w:lineRule="auto"/>
      </w:pPr>
      <w:r w:rsidRPr="00442AD3">
        <w:rPr>
          <w:noProof/>
          <w:lang w:eastAsia="en-US"/>
        </w:rPr>
        <w:drawing>
          <wp:inline distT="0" distB="0" distL="0" distR="0" wp14:anchorId="1E0CCC6B" wp14:editId="6C0ADB91">
            <wp:extent cx="4572000" cy="2743200"/>
            <wp:effectExtent l="25400" t="25400" r="0" b="0"/>
            <wp:docPr id="3"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05E18E" w14:textId="77777777" w:rsidR="008D41AC" w:rsidRDefault="008D41AC" w:rsidP="00DB7DFD">
      <w:pPr>
        <w:spacing w:line="480" w:lineRule="auto"/>
      </w:pPr>
      <w:r>
        <w:t>Figure 8</w:t>
      </w:r>
    </w:p>
    <w:p w14:paraId="3FAACB3E" w14:textId="2B4E9F72" w:rsidR="00B15235" w:rsidRPr="008D41AC" w:rsidRDefault="008D41AC" w:rsidP="008D41AC">
      <w:pPr>
        <w:spacing w:line="480" w:lineRule="auto"/>
        <w:jc w:val="center"/>
        <w:rPr>
          <w:b/>
          <w:noProof/>
          <w:sz w:val="36"/>
        </w:rPr>
      </w:pPr>
      <w:r w:rsidRPr="008D41AC">
        <w:rPr>
          <w:b/>
          <w:sz w:val="36"/>
        </w:rPr>
        <w:t>Gen</w:t>
      </w:r>
      <w:r>
        <w:rPr>
          <w:b/>
          <w:sz w:val="36"/>
        </w:rPr>
        <w:t xml:space="preserve">der and </w:t>
      </w:r>
      <w:r w:rsidR="002274F5">
        <w:rPr>
          <w:b/>
          <w:sz w:val="36"/>
        </w:rPr>
        <w:t>Tenure-track</w:t>
      </w:r>
      <w:r>
        <w:rPr>
          <w:b/>
          <w:sz w:val="36"/>
        </w:rPr>
        <w:t xml:space="preserve"> Hiring</w:t>
      </w:r>
    </w:p>
    <w:p w14:paraId="1643EE61" w14:textId="77777777" w:rsidR="00237BA1" w:rsidRPr="00B12306" w:rsidRDefault="00620D0B" w:rsidP="00DB7DFD">
      <w:pPr>
        <w:spacing w:line="480" w:lineRule="auto"/>
        <w:rPr>
          <w:noProof/>
        </w:rPr>
      </w:pPr>
      <w:r w:rsidRPr="00620D0B">
        <w:rPr>
          <w:noProof/>
          <w:lang w:eastAsia="en-US"/>
        </w:rPr>
        <w:drawing>
          <wp:inline distT="0" distB="0" distL="0" distR="0" wp14:anchorId="77963A71" wp14:editId="594CE920">
            <wp:extent cx="5486400" cy="3660775"/>
            <wp:effectExtent l="0" t="0" r="0" b="0"/>
            <wp:docPr id="1"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237BA1" w:rsidRPr="00B12306" w:rsidSect="000A08B5">
      <w:headerReference w:type="even" r:id="rId16"/>
      <w:headerReference w:type="default" r:id="rId1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089AC" w14:textId="77777777" w:rsidR="00C90F16" w:rsidRDefault="00C90F16">
      <w:r>
        <w:separator/>
      </w:r>
    </w:p>
  </w:endnote>
  <w:endnote w:type="continuationSeparator" w:id="0">
    <w:p w14:paraId="0B8195A8" w14:textId="77777777" w:rsidR="00C90F16" w:rsidRDefault="00C9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85600" w14:textId="77777777" w:rsidR="00C90F16" w:rsidRDefault="00C90F16">
      <w:r>
        <w:separator/>
      </w:r>
    </w:p>
  </w:footnote>
  <w:footnote w:type="continuationSeparator" w:id="0">
    <w:p w14:paraId="1A859279" w14:textId="77777777" w:rsidR="00C90F16" w:rsidRDefault="00C90F16">
      <w:r>
        <w:continuationSeparator/>
      </w:r>
    </w:p>
  </w:footnote>
  <w:footnote w:id="1">
    <w:p w14:paraId="670C09DA" w14:textId="7959A569" w:rsidR="00C90F16" w:rsidRDefault="00C90F16">
      <w:pPr>
        <w:pStyle w:val="FootnoteText"/>
      </w:pPr>
      <w:r>
        <w:rPr>
          <w:rStyle w:val="FootnoteReference"/>
        </w:rPr>
        <w:footnoteRef/>
      </w:r>
      <w:r>
        <w:t xml:space="preserve"> See, for example, this meta-analysis by Lai et al: </w:t>
      </w:r>
      <w:r w:rsidRPr="005103D6">
        <w:t>https://osf.io/awz2p/</w:t>
      </w:r>
    </w:p>
  </w:footnote>
  <w:footnote w:id="2">
    <w:p w14:paraId="152200F4" w14:textId="77F71439" w:rsidR="00C90F16" w:rsidRDefault="00C90F16" w:rsidP="00143977">
      <w:pPr>
        <w:tabs>
          <w:tab w:val="left" w:pos="2437"/>
        </w:tabs>
      </w:pPr>
      <w:r>
        <w:rPr>
          <w:rStyle w:val="FootnoteReference"/>
        </w:rPr>
        <w:footnoteRef/>
      </w:r>
      <w:r>
        <w:t xml:space="preserve"> “Implicit bias and stereotype threat…will make it harder for women to do well…to be recognized in graduate school, less likely to get strong letters of recommendation, and less likely to be hired.  The women who, despite this, get hired at strong research departments are likely to be especially exceptional philosophers ” (J. Saul. (2012). “Ranking Exercises in Philosophy and Implicit Bias,” </w:t>
      </w:r>
      <w:r w:rsidRPr="00143977">
        <w:rPr>
          <w:i/>
        </w:rPr>
        <w:t>Journal of Social Philosophy</w:t>
      </w:r>
      <w:r>
        <w:t>, 43 (3): 256-73, pp.276, 268).</w:t>
      </w:r>
    </w:p>
  </w:footnote>
  <w:footnote w:id="3">
    <w:p w14:paraId="2A0E02AD" w14:textId="28535439" w:rsidR="00C90F16" w:rsidRDefault="00C90F16">
      <w:pPr>
        <w:pStyle w:val="FootnoteText"/>
      </w:pPr>
      <w:r>
        <w:rPr>
          <w:rStyle w:val="FootnoteReference"/>
        </w:rPr>
        <w:footnoteRef/>
      </w:r>
      <w:r>
        <w:t xml:space="preserve"> The Academic Placement and Data Analysis project's results can be found here: http://dailynous.com/wp</w:t>
      </w:r>
      <w:r w:rsidRPr="00437FCF">
        <w:t>content/uploads/2016/04/apdareportupdateto2015report.pdf</w:t>
      </w:r>
    </w:p>
  </w:footnote>
  <w:footnote w:id="4">
    <w:p w14:paraId="548B593F" w14:textId="77777777" w:rsidR="00C90F16" w:rsidRPr="00126418" w:rsidRDefault="00C90F16" w:rsidP="00143977">
      <w:pPr>
        <w:widowControl w:val="0"/>
        <w:autoSpaceDE w:val="0"/>
        <w:autoSpaceDN w:val="0"/>
        <w:adjustRightInd w:val="0"/>
        <w:rPr>
          <w:rFonts w:ascii="Times New Roman" w:hAnsi="Times New Roman" w:cs="Times New Roman"/>
          <w:sz w:val="21"/>
          <w:szCs w:val="21"/>
        </w:rPr>
      </w:pPr>
      <w:r>
        <w:rPr>
          <w:rStyle w:val="FootnoteReference"/>
        </w:rPr>
        <w:footnoteRef/>
      </w:r>
      <w:r>
        <w:t xml:space="preserve"> </w:t>
      </w:r>
      <w:r w:rsidRPr="00414E44">
        <w:t xml:space="preserve">http://www.newappsblog.com/2014/12/gender-and-publications.html#more.  See also </w:t>
      </w:r>
      <w:r w:rsidRPr="00414E44">
        <w:rPr>
          <w:rFonts w:cs="Times New Roman"/>
          <w:szCs w:val="21"/>
        </w:rPr>
        <w:t>Solomon</w:t>
      </w:r>
      <w:r>
        <w:rPr>
          <w:rFonts w:cs="Times New Roman"/>
          <w:szCs w:val="21"/>
        </w:rPr>
        <w:t xml:space="preserve">, M. and </w:t>
      </w:r>
      <w:r w:rsidRPr="00414E44">
        <w:rPr>
          <w:rFonts w:cs="Times New Roman"/>
          <w:szCs w:val="21"/>
        </w:rPr>
        <w:t>Clarke</w:t>
      </w:r>
      <w:r>
        <w:rPr>
          <w:rFonts w:cs="Times New Roman"/>
          <w:szCs w:val="21"/>
        </w:rPr>
        <w:t>, J. (2009). “CSW Jobs for Philosophers employment s</w:t>
      </w:r>
      <w:r w:rsidRPr="00414E44">
        <w:rPr>
          <w:rFonts w:cs="Times New Roman"/>
          <w:szCs w:val="21"/>
        </w:rPr>
        <w:t xml:space="preserve">tudy,” </w:t>
      </w:r>
      <w:r w:rsidRPr="00414E44">
        <w:rPr>
          <w:rFonts w:cs="Times New Roman"/>
          <w:i/>
          <w:szCs w:val="21"/>
        </w:rPr>
        <w:t>Proceedings and Addresses of the American Philosophical Association</w:t>
      </w:r>
      <w:r>
        <w:rPr>
          <w:rFonts w:cs="Times New Roman"/>
          <w:szCs w:val="21"/>
        </w:rPr>
        <w:t xml:space="preserve"> 8(2): 3-6</w:t>
      </w:r>
      <w:r w:rsidRPr="00414E44">
        <w:rPr>
          <w:rFonts w:cs="Times New Roman"/>
          <w:szCs w:val="21"/>
        </w:rPr>
        <w:t xml:space="preserve">. </w:t>
      </w:r>
      <w:r>
        <w:rPr>
          <w:rFonts w:ascii="Times New Roman" w:hAnsi="Times New Roman" w:cs="Times New Roman"/>
          <w:sz w:val="21"/>
          <w:szCs w:val="21"/>
        </w:rPr>
        <w:t xml:space="preserve"> </w:t>
      </w:r>
    </w:p>
  </w:footnote>
  <w:footnote w:id="5">
    <w:p w14:paraId="00EBA01B" w14:textId="53ED2A93" w:rsidR="00C90F16" w:rsidRDefault="00C90F16">
      <w:pPr>
        <w:pStyle w:val="FootnoteText"/>
      </w:pPr>
      <w:r>
        <w:rPr>
          <w:rStyle w:val="FootnoteReference"/>
        </w:rPr>
        <w:footnoteRef/>
      </w:r>
      <w:r>
        <w:t xml:space="preserve"> Here and there minor corrections were made for errors, such as duplicate entries.</w:t>
      </w:r>
    </w:p>
  </w:footnote>
  <w:footnote w:id="6">
    <w:p w14:paraId="6A69D398" w14:textId="77777777" w:rsidR="00C90F16" w:rsidRDefault="00C90F16">
      <w:pPr>
        <w:pStyle w:val="FootnoteText"/>
      </w:pPr>
      <w:r>
        <w:rPr>
          <w:rStyle w:val="FootnoteReference"/>
        </w:rPr>
        <w:footnoteRef/>
      </w:r>
      <w:r>
        <w:t xml:space="preserve"> All of our raw data can be accessed at Genderandphilosophy.blogspot.com</w:t>
      </w:r>
    </w:p>
  </w:footnote>
  <w:footnote w:id="7">
    <w:p w14:paraId="4863E64C" w14:textId="038006AB" w:rsidR="00C90F16" w:rsidRDefault="00C90F16">
      <w:pPr>
        <w:pStyle w:val="FootnoteText"/>
      </w:pPr>
      <w:r>
        <w:rPr>
          <w:rStyle w:val="FootnoteReference"/>
        </w:rPr>
        <w:footnoteRef/>
      </w:r>
      <w:r>
        <w:t xml:space="preserve"> See p.11 of the 2015 report: </w:t>
      </w:r>
      <w:r w:rsidRPr="00783F1C">
        <w:t>http://dailynous.com/wp-content/uploads/2016/04/apdafinalreport2015.pdf</w:t>
      </w:r>
    </w:p>
  </w:footnote>
  <w:footnote w:id="8">
    <w:p w14:paraId="76A4D22A" w14:textId="5041F11E" w:rsidR="00C90F16" w:rsidRDefault="00C90F16">
      <w:pPr>
        <w:pStyle w:val="FootnoteText"/>
      </w:pPr>
      <w:r>
        <w:rPr>
          <w:rStyle w:val="FootnoteReference"/>
        </w:rPr>
        <w:footnoteRef/>
      </w:r>
      <w:r>
        <w:t xml:space="preserve"> </w:t>
      </w:r>
      <w:r w:rsidRPr="00266847">
        <w:t>http://dailynous.com/2016/04/15/philosophy-placement-data-and-analysis-an-update/</w:t>
      </w:r>
    </w:p>
  </w:footnote>
  <w:footnote w:id="9">
    <w:p w14:paraId="78E7595D" w14:textId="77777777" w:rsidR="00C90F16" w:rsidRDefault="00C90F16">
      <w:pPr>
        <w:pStyle w:val="FootnoteText"/>
      </w:pPr>
      <w:r>
        <w:rPr>
          <w:rStyle w:val="FootnoteReference"/>
        </w:rPr>
        <w:footnoteRef/>
      </w:r>
      <w:r>
        <w:t xml:space="preserve"> Meaning a 99.9192% confidence that the result is not due to chance.  P was obtained using a Fisher exact test.</w:t>
      </w:r>
    </w:p>
  </w:footnote>
  <w:footnote w:id="10">
    <w:p w14:paraId="5E5C46B6" w14:textId="227E2B5F" w:rsidR="00C90F16" w:rsidRDefault="00C90F16">
      <w:pPr>
        <w:pStyle w:val="FootnoteText"/>
      </w:pPr>
      <w:r>
        <w:rPr>
          <w:rStyle w:val="FootnoteReference"/>
        </w:rPr>
        <w:footnoteRef/>
      </w:r>
      <w:r>
        <w:t xml:space="preserve"> It was reasoned that the reputational ranking should reflect the fact that candidates take around five or six years to obtain their degrees.  But the results do not differ much if a slightly more recent or less recent edition is used instead.</w:t>
      </w:r>
    </w:p>
  </w:footnote>
  <w:footnote w:id="11">
    <w:p w14:paraId="15118CC3" w14:textId="77777777" w:rsidR="00C90F16" w:rsidRDefault="00C90F16">
      <w:pPr>
        <w:pStyle w:val="FootnoteText"/>
      </w:pPr>
      <w:r>
        <w:rPr>
          <w:rStyle w:val="FootnoteReference"/>
        </w:rPr>
        <w:footnoteRef/>
      </w:r>
      <w:r>
        <w:t xml:space="preserve"> See </w:t>
      </w:r>
      <w:r w:rsidRPr="007F175A">
        <w:t>http:/</w:t>
      </w:r>
      <w:r>
        <w:t>/genderandprestige.blogspot.com</w:t>
      </w:r>
    </w:p>
  </w:footnote>
  <w:footnote w:id="12">
    <w:p w14:paraId="5D51C3BE" w14:textId="77777777" w:rsidR="00C90F16" w:rsidRDefault="00C90F16" w:rsidP="00C71A17">
      <w:pPr>
        <w:pStyle w:val="FootnoteText"/>
      </w:pPr>
      <w:r>
        <w:rPr>
          <w:rStyle w:val="FootnoteReference"/>
        </w:rPr>
        <w:footnoteRef/>
      </w:r>
      <w:r>
        <w:t xml:space="preserve"> Note that candidates from top-20 schools appear to fill half of new tenure-line positions. </w:t>
      </w:r>
    </w:p>
  </w:footnote>
  <w:footnote w:id="13">
    <w:p w14:paraId="24CF44FD" w14:textId="39C6C776" w:rsidR="00C90F16" w:rsidRDefault="00C90F16">
      <w:pPr>
        <w:pStyle w:val="FootnoteText"/>
      </w:pPr>
      <w:r>
        <w:rPr>
          <w:rStyle w:val="FootnoteReference"/>
        </w:rPr>
        <w:footnoteRef/>
      </w:r>
      <w:r>
        <w:t xml:space="preserve"> Women seem to be slightly more likely to obtain degrees from unranked programs, which were scored as a “0.”  Hence, if we ignore unranked programs these small differences in the overall rankings disappear.</w:t>
      </w:r>
    </w:p>
  </w:footnote>
  <w:footnote w:id="14">
    <w:p w14:paraId="3E966624" w14:textId="7C90EB69" w:rsidR="00C90F16" w:rsidRDefault="00C90F16">
      <w:pPr>
        <w:pStyle w:val="FootnoteText"/>
      </w:pPr>
      <w:r>
        <w:rPr>
          <w:rStyle w:val="FootnoteReference"/>
        </w:rPr>
        <w:footnoteRef/>
      </w:r>
      <w:r>
        <w:t xml:space="preserve"> Against this the reader is asked to compare the data in figures 3 &amp; 5, which might suggest that when it comes to re-entering the market with a prior position it may be more important for non-elite candidates of either gender to improve “quality” and elite candidates to improve quantity.</w:t>
      </w:r>
    </w:p>
  </w:footnote>
  <w:footnote w:id="15">
    <w:p w14:paraId="73C6C999" w14:textId="27664226" w:rsidR="00C90F16" w:rsidRPr="008330FF" w:rsidRDefault="00C90F16" w:rsidP="00136593">
      <w:pPr>
        <w:rPr>
          <w:rFonts w:ascii="Times" w:eastAsia="Times New Roman" w:hAnsi="Times" w:cs="Times New Roman"/>
          <w:sz w:val="20"/>
          <w:szCs w:val="20"/>
          <w:lang w:eastAsia="en-US"/>
        </w:rPr>
      </w:pPr>
      <w:r>
        <w:rPr>
          <w:rStyle w:val="FootnoteReference"/>
        </w:rPr>
        <w:footnoteRef/>
      </w:r>
      <w:r>
        <w:t xml:space="preserve"> Though we note that enthusiasm for stereotype threat theory is in rapid decline thanks to concerns about ecological validity, experimental design and interpretation, replicability, and evidence of publication bias, see e.g. Sesardic, N. and De Clercq, R. (2014). </w:t>
      </w:r>
      <w:r w:rsidRPr="008330FF">
        <w:rPr>
          <w:rFonts w:ascii="Cambria" w:eastAsia="Times New Roman" w:hAnsi="Cambria" w:cs="Times New Roman"/>
          <w:lang w:eastAsia="en-US"/>
        </w:rPr>
        <w:t>"Women in philosophy: problems wit</w:t>
      </w:r>
      <w:r>
        <w:rPr>
          <w:rFonts w:ascii="Cambria" w:eastAsia="Times New Roman" w:hAnsi="Cambria" w:cs="Times New Roman"/>
          <w:lang w:eastAsia="en-US"/>
        </w:rPr>
        <w:t>h the discrimination hypothesis,</w:t>
      </w:r>
      <w:r w:rsidRPr="008330FF">
        <w:rPr>
          <w:rFonts w:ascii="Cambria" w:eastAsia="Times New Roman" w:hAnsi="Cambria" w:cs="Times New Roman"/>
          <w:lang w:eastAsia="en-US"/>
        </w:rPr>
        <w:t xml:space="preserve">" </w:t>
      </w:r>
      <w:r w:rsidRPr="008330FF">
        <w:rPr>
          <w:rFonts w:ascii="Cambria" w:eastAsia="Times New Roman" w:hAnsi="Cambria" w:cs="Times New Roman"/>
          <w:i/>
          <w:iCs/>
          <w:lang w:eastAsia="en-US"/>
        </w:rPr>
        <w:t>Academic Questions</w:t>
      </w:r>
      <w:r w:rsidRPr="008330FF">
        <w:rPr>
          <w:rFonts w:ascii="Cambria" w:eastAsia="Times New Roman" w:hAnsi="Cambria" w:cs="Times New Roman"/>
          <w:lang w:eastAsia="en-US"/>
        </w:rPr>
        <w:t xml:space="preserve"> 27(4): 461-73.</w:t>
      </w:r>
    </w:p>
  </w:footnote>
  <w:footnote w:id="16">
    <w:p w14:paraId="34D72400" w14:textId="66CA00B3" w:rsidR="00C90F16" w:rsidRPr="00D53C42" w:rsidRDefault="00C90F16" w:rsidP="00136593">
      <w:pPr>
        <w:rPr>
          <w:rFonts w:ascii="Times" w:eastAsia="Times New Roman" w:hAnsi="Times" w:cs="Times New Roman"/>
          <w:sz w:val="20"/>
          <w:szCs w:val="20"/>
          <w:lang w:eastAsia="en-US"/>
        </w:rPr>
      </w:pPr>
      <w:r>
        <w:rPr>
          <w:rStyle w:val="FootnoteReference"/>
        </w:rPr>
        <w:footnoteRef/>
      </w:r>
      <w:r>
        <w:t xml:space="preserve"> This finding of a gender gap in publishing is in step with </w:t>
      </w:r>
      <w:r w:rsidRPr="00136593">
        <w:rPr>
          <w:rFonts w:eastAsia="Times New Roman" w:cs="Times New Roman"/>
          <w:lang w:eastAsia="en-US"/>
        </w:rPr>
        <w:t>Krishnamurt</w:t>
      </w:r>
      <w:r>
        <w:rPr>
          <w:rFonts w:eastAsia="Times New Roman" w:cs="Times New Roman"/>
          <w:lang w:eastAsia="en-US"/>
        </w:rPr>
        <w:t xml:space="preserve">hy, M., Liao, S., Deveaux, M. and Dalecki, M. (forthcoming). </w:t>
      </w:r>
      <w:r w:rsidRPr="00136593">
        <w:rPr>
          <w:rFonts w:eastAsia="Times New Roman" w:cs="Times New Roman"/>
          <w:lang w:eastAsia="en-US"/>
        </w:rPr>
        <w:t>"The Underrepresentation of Women</w:t>
      </w:r>
      <w:r>
        <w:rPr>
          <w:rFonts w:eastAsia="Times New Roman" w:cs="Times New Roman"/>
          <w:lang w:eastAsia="en-US"/>
        </w:rPr>
        <w:t xml:space="preserve"> in Prestigious Ethics Journals,</w:t>
      </w:r>
      <w:r w:rsidRPr="00136593">
        <w:rPr>
          <w:rFonts w:eastAsia="Times New Roman" w:cs="Times New Roman"/>
          <w:lang w:eastAsia="en-US"/>
        </w:rPr>
        <w:t>"</w:t>
      </w:r>
      <w:r>
        <w:rPr>
          <w:rFonts w:eastAsia="Times New Roman" w:cs="Times New Roman"/>
          <w:lang w:eastAsia="en-US"/>
        </w:rPr>
        <w:t xml:space="preserve"> </w:t>
      </w:r>
      <w:r>
        <w:rPr>
          <w:rFonts w:eastAsia="Times New Roman" w:cs="Times New Roman"/>
          <w:i/>
          <w:lang w:eastAsia="en-US"/>
        </w:rPr>
        <w:t>Hypatia</w:t>
      </w:r>
      <w:r>
        <w:rPr>
          <w:rFonts w:eastAsia="Times New Roman" w:cs="Times New Roman"/>
          <w:lang w:eastAsia="en-US"/>
        </w:rPr>
        <w:t>.</w:t>
      </w:r>
    </w:p>
  </w:footnote>
  <w:footnote w:id="17">
    <w:p w14:paraId="6A141185" w14:textId="5F48BB0C" w:rsidR="00C90F16" w:rsidRDefault="00C90F16">
      <w:pPr>
        <w:pStyle w:val="FootnoteText"/>
      </w:pPr>
      <w:r>
        <w:rPr>
          <w:rStyle w:val="FootnoteReference"/>
        </w:rPr>
        <w:footnoteRef/>
      </w:r>
      <w:r>
        <w:t xml:space="preserve"> </w:t>
      </w:r>
      <w:r>
        <w:rPr>
          <w:rFonts w:eastAsia="Times New Roman" w:cs="Times New Roman"/>
          <w:lang w:eastAsia="en-US"/>
        </w:rPr>
        <w:t>Steinpreis, R</w:t>
      </w:r>
      <w:r w:rsidRPr="00AC5BBD">
        <w:rPr>
          <w:rFonts w:eastAsia="Times New Roman" w:cs="Times New Roman"/>
          <w:lang w:eastAsia="en-US"/>
        </w:rPr>
        <w:t>., Anders,</w:t>
      </w:r>
      <w:r>
        <w:rPr>
          <w:rFonts w:eastAsia="Times New Roman" w:cs="Times New Roman"/>
          <w:lang w:eastAsia="en-US"/>
        </w:rPr>
        <w:t xml:space="preserve"> K., and </w:t>
      </w:r>
      <w:r w:rsidRPr="00AC5BBD">
        <w:rPr>
          <w:rFonts w:eastAsia="Times New Roman" w:cs="Times New Roman"/>
          <w:lang w:eastAsia="en-US"/>
        </w:rPr>
        <w:t>Ritzke</w:t>
      </w:r>
      <w:r>
        <w:rPr>
          <w:rFonts w:eastAsia="Times New Roman" w:cs="Times New Roman"/>
          <w:lang w:eastAsia="en-US"/>
        </w:rPr>
        <w:t>. D. (1999). "</w:t>
      </w:r>
      <w:r w:rsidRPr="00AC5BBD">
        <w:rPr>
          <w:rFonts w:eastAsia="Times New Roman" w:cs="Times New Roman"/>
          <w:lang w:eastAsia="en-US"/>
        </w:rPr>
        <w:t>The impact of gender on the review of the curricula vitae of job applicants and tenure candida</w:t>
      </w:r>
      <w:r>
        <w:rPr>
          <w:rFonts w:eastAsia="Times New Roman" w:cs="Times New Roman"/>
          <w:lang w:eastAsia="en-US"/>
        </w:rPr>
        <w:t>tes: A national empirical study,</w:t>
      </w:r>
      <w:r w:rsidRPr="00AC5BBD">
        <w:rPr>
          <w:rFonts w:eastAsia="Times New Roman" w:cs="Times New Roman"/>
          <w:lang w:eastAsia="en-US"/>
        </w:rPr>
        <w:t xml:space="preserve">" </w:t>
      </w:r>
      <w:r w:rsidRPr="00AC5BBD">
        <w:rPr>
          <w:rFonts w:eastAsia="Times New Roman" w:cs="Times New Roman"/>
          <w:i/>
          <w:iCs/>
          <w:lang w:eastAsia="en-US"/>
        </w:rPr>
        <w:t>Sex roles</w:t>
      </w:r>
      <w:r>
        <w:rPr>
          <w:rFonts w:eastAsia="Times New Roman" w:cs="Times New Roman"/>
          <w:lang w:eastAsia="en-US"/>
        </w:rPr>
        <w:t xml:space="preserve"> 41(7): 509-</w:t>
      </w:r>
      <w:r w:rsidRPr="00AC5BBD">
        <w:rPr>
          <w:rFonts w:eastAsia="Times New Roman" w:cs="Times New Roman"/>
          <w:lang w:eastAsia="en-US"/>
        </w:rPr>
        <w:t>28.</w:t>
      </w:r>
    </w:p>
  </w:footnote>
  <w:footnote w:id="18">
    <w:p w14:paraId="6DFE1E51" w14:textId="77777777" w:rsidR="00C90F16" w:rsidRDefault="00C90F16" w:rsidP="00DA180D">
      <w:pPr>
        <w:pStyle w:val="FootnoteText"/>
      </w:pPr>
      <w:r>
        <w:rPr>
          <w:rStyle w:val="FootnoteReference"/>
        </w:rPr>
        <w:footnoteRef/>
      </w:r>
      <w:r>
        <w:t xml:space="preserve"> </w:t>
      </w:r>
      <w:r w:rsidRPr="005E4DA1">
        <w:t>http://www.newappsblog.com/2014/12/gender-and-publications.html#more</w:t>
      </w:r>
    </w:p>
  </w:footnote>
  <w:footnote w:id="19">
    <w:p w14:paraId="60ECE1FF" w14:textId="0CA3C3F0" w:rsidR="00C90F16" w:rsidRPr="00572545" w:rsidRDefault="00C90F16" w:rsidP="0004354A">
      <w:pPr>
        <w:pStyle w:val="FootnoteText"/>
      </w:pPr>
      <w:r>
        <w:rPr>
          <w:rStyle w:val="FootnoteReference"/>
        </w:rPr>
        <w:footnoteRef/>
      </w:r>
      <w:r>
        <w:t xml:space="preserve"> Saul, J. (2013). “Implicit bias, stereotype threat and women in philosophy,” in F. Jenkins and K. Hutchison, </w:t>
      </w:r>
      <w:r>
        <w:rPr>
          <w:i/>
        </w:rPr>
        <w:t>Women in Philosophy: What needs to change?</w:t>
      </w:r>
      <w:r>
        <w:t xml:space="preserve"> Oxford: Oxford University Press (pp.39-60).</w:t>
      </w:r>
    </w:p>
  </w:footnote>
  <w:footnote w:id="20">
    <w:p w14:paraId="48DDF2B3" w14:textId="77777777" w:rsidR="00C90F16" w:rsidRDefault="00C90F16" w:rsidP="00DA180D">
      <w:pPr>
        <w:pStyle w:val="FootnoteText"/>
      </w:pPr>
      <w:r>
        <w:rPr>
          <w:rStyle w:val="FootnoteReference"/>
        </w:rPr>
        <w:footnoteRef/>
      </w:r>
      <w:r>
        <w:t xml:space="preserve"> HP candidates were very likely to have had at least one prior position (median for both genders = 1; means were 0.88 for men and 0.86 for women).</w:t>
      </w:r>
    </w:p>
  </w:footnote>
  <w:footnote w:id="21">
    <w:p w14:paraId="05B49ED0" w14:textId="0FBE46B7" w:rsidR="00C90F16" w:rsidRDefault="00C90F16">
      <w:pPr>
        <w:pStyle w:val="FootnoteText"/>
      </w:pPr>
      <w:r>
        <w:rPr>
          <w:rStyle w:val="FootnoteReference"/>
        </w:rPr>
        <w:footnoteRef/>
      </w:r>
      <w:r>
        <w:t xml:space="preserve"> In this case we also included ten highly productive individuals with post-doctorates in order to increase the population. M = 54; F = 7</w:t>
      </w:r>
      <w:r w:rsidRPr="004907C3">
        <w:t>.</w:t>
      </w:r>
      <w:r>
        <w:t xml:space="preserve">  Post-docs are shaded in blue in the spreadsheet titled “high performers” and tenure-track hires are in yellow.</w:t>
      </w:r>
    </w:p>
  </w:footnote>
  <w:footnote w:id="22">
    <w:p w14:paraId="7D3D469C" w14:textId="77777777" w:rsidR="00C90F16" w:rsidRDefault="00C90F16" w:rsidP="00DA180D">
      <w:pPr>
        <w:pStyle w:val="FootnoteText"/>
      </w:pPr>
      <w:r>
        <w:rPr>
          <w:rStyle w:val="FootnoteReference"/>
        </w:rPr>
        <w:footnoteRef/>
      </w:r>
      <w:r>
        <w:t xml:space="preserve"> We didn’t count book reviews as peer-reviewed publications.  If we do, the proportion of work attributable to enhanced opportunities falls to 31%.</w:t>
      </w:r>
    </w:p>
  </w:footnote>
  <w:footnote w:id="23">
    <w:p w14:paraId="32CABF97" w14:textId="77777777" w:rsidR="00C90F16" w:rsidRDefault="00C90F16">
      <w:pPr>
        <w:pStyle w:val="FootnoteText"/>
      </w:pPr>
      <w:r>
        <w:rPr>
          <w:rStyle w:val="FootnoteReference"/>
        </w:rPr>
        <w:footnoteRef/>
      </w:r>
      <w:r>
        <w:t xml:space="preserve"> There are about a third </w:t>
      </w:r>
      <w:r w:rsidRPr="004907C3">
        <w:t>as many as one would expect</w:t>
      </w:r>
      <w:r>
        <w:t xml:space="preserve"> given that women account for 32.2% of the hires.</w:t>
      </w:r>
    </w:p>
  </w:footnote>
  <w:footnote w:id="24">
    <w:p w14:paraId="2724D382" w14:textId="77777777" w:rsidR="00C90F16" w:rsidRDefault="00C90F16" w:rsidP="00DA180D">
      <w:pPr>
        <w:pStyle w:val="FootnoteText"/>
      </w:pPr>
      <w:r>
        <w:rPr>
          <w:rStyle w:val="FootnoteReference"/>
        </w:rPr>
        <w:footnoteRef/>
      </w:r>
      <w:r>
        <w:t xml:space="preserve"> Falling to 31% with book reviews.</w:t>
      </w:r>
    </w:p>
  </w:footnote>
  <w:footnote w:id="25">
    <w:p w14:paraId="4AD2D8ED" w14:textId="77777777" w:rsidR="00C90F16" w:rsidRDefault="00C90F16" w:rsidP="00DA180D">
      <w:pPr>
        <w:pStyle w:val="FootnoteText"/>
      </w:pPr>
      <w:r>
        <w:rPr>
          <w:rStyle w:val="FootnoteReference"/>
        </w:rPr>
        <w:footnoteRef/>
      </w:r>
      <w:r>
        <w:t xml:space="preserve"> Falling to 32.8% with book reviews.</w:t>
      </w:r>
    </w:p>
  </w:footnote>
  <w:footnote w:id="26">
    <w:p w14:paraId="15D8C681" w14:textId="640F9F39" w:rsidR="00C90F16" w:rsidRDefault="00C90F16" w:rsidP="00DA180D">
      <w:pPr>
        <w:pStyle w:val="FootnoteText"/>
      </w:pPr>
      <w:r>
        <w:rPr>
          <w:rStyle w:val="FootnoteReference"/>
        </w:rPr>
        <w:footnoteRef/>
      </w:r>
      <w:r>
        <w:t xml:space="preserve"> Using Jennings’ data, we found that the highly productive men (with at least 5 publications) had an average of 1.98 publications in top journals.  Women had an average of 1.14.  The median was 1 in both cases.</w:t>
      </w:r>
    </w:p>
  </w:footnote>
  <w:footnote w:id="27">
    <w:p w14:paraId="38440480" w14:textId="77777777" w:rsidR="00C90F16" w:rsidRDefault="00C90F16">
      <w:pPr>
        <w:pStyle w:val="FootnoteText"/>
      </w:pPr>
      <w:r>
        <w:rPr>
          <w:rStyle w:val="FootnoteReference"/>
        </w:rPr>
        <w:footnoteRef/>
      </w:r>
      <w:r>
        <w:t xml:space="preserve"> </w:t>
      </w:r>
      <w:r w:rsidRPr="0003327B">
        <w:t>http://www.apaonline.org/?page=gradguide</w:t>
      </w:r>
    </w:p>
  </w:footnote>
  <w:footnote w:id="28">
    <w:p w14:paraId="246D80D6" w14:textId="77777777" w:rsidR="00C90F16" w:rsidRDefault="00C90F16">
      <w:pPr>
        <w:pStyle w:val="FootnoteText"/>
      </w:pPr>
      <w:r>
        <w:rPr>
          <w:rStyle w:val="FootnoteReference"/>
        </w:rPr>
        <w:footnoteRef/>
      </w:r>
      <w:r>
        <w:t xml:space="preserve"> </w:t>
      </w:r>
      <w:r w:rsidRPr="0003327B">
        <w:t>http://philjobs.org/appointments/dataFeed</w:t>
      </w:r>
    </w:p>
  </w:footnote>
  <w:footnote w:id="29">
    <w:p w14:paraId="48855CEC" w14:textId="00E719D9" w:rsidR="00C90F16" w:rsidRPr="00A40DAC" w:rsidRDefault="00C90F16" w:rsidP="00A40DAC">
      <w:pPr>
        <w:rPr>
          <w:rFonts w:ascii="Times" w:eastAsia="Times New Roman" w:hAnsi="Times" w:cs="Times New Roman"/>
          <w:sz w:val="20"/>
          <w:szCs w:val="20"/>
          <w:lang w:eastAsia="en-US"/>
        </w:rPr>
      </w:pPr>
      <w:r>
        <w:rPr>
          <w:rStyle w:val="FootnoteReference"/>
        </w:rPr>
        <w:footnoteRef/>
      </w:r>
      <w:r>
        <w:t xml:space="preserve"> </w:t>
      </w:r>
      <w:r w:rsidRPr="00D506F8">
        <w:t xml:space="preserve">See pp.26ff. of the Appendix to </w:t>
      </w:r>
      <w:r w:rsidRPr="00D506F8">
        <w:rPr>
          <w:rFonts w:eastAsia="Times New Roman" w:cs="Times New Roman"/>
          <w:lang w:eastAsia="en-US"/>
        </w:rPr>
        <w:t xml:space="preserve">Williams, W. M. and Ceci, S. J. (2015). "National hiring experiments reveal 2:1 faculty preference for women on STEM </w:t>
      </w:r>
      <w:r>
        <w:rPr>
          <w:rFonts w:eastAsia="Times New Roman" w:cs="Times New Roman"/>
          <w:lang w:eastAsia="en-US"/>
        </w:rPr>
        <w:t>tenure-track</w:t>
      </w:r>
      <w:r w:rsidRPr="00D506F8">
        <w:rPr>
          <w:rFonts w:eastAsia="Times New Roman" w:cs="Times New Roman"/>
          <w:lang w:eastAsia="en-US"/>
        </w:rPr>
        <w:t xml:space="preserve">," </w:t>
      </w:r>
      <w:r w:rsidRPr="00D506F8">
        <w:rPr>
          <w:rFonts w:eastAsia="Times New Roman" w:cs="Times New Roman"/>
          <w:i/>
          <w:iCs/>
          <w:lang w:eastAsia="en-US"/>
        </w:rPr>
        <w:t>Proceedings of the National Academy of Sciences</w:t>
      </w:r>
      <w:r w:rsidRPr="00D506F8">
        <w:rPr>
          <w:rFonts w:eastAsia="Times New Roman" w:cs="Times New Roman"/>
          <w:lang w:eastAsia="en-US"/>
        </w:rPr>
        <w:t xml:space="preserve"> </w:t>
      </w:r>
      <w:r w:rsidRPr="00D506F8">
        <w:rPr>
          <w:rFonts w:eastAsia="Times New Roman" w:cs="Times New Roman"/>
          <w:iCs/>
          <w:lang w:eastAsia="en-US"/>
        </w:rPr>
        <w:t>112</w:t>
      </w:r>
      <w:r w:rsidRPr="00D506F8">
        <w:rPr>
          <w:rFonts w:eastAsia="Times New Roman" w:cs="Times New Roman"/>
          <w:lang w:eastAsia="en-US"/>
        </w:rPr>
        <w:t>(17): 5360-5.</w:t>
      </w:r>
    </w:p>
  </w:footnote>
  <w:footnote w:id="30">
    <w:p w14:paraId="17F45F85" w14:textId="77777777" w:rsidR="00C90F16" w:rsidRDefault="00C90F16">
      <w:pPr>
        <w:pStyle w:val="FootnoteText"/>
      </w:pPr>
      <w:r>
        <w:rPr>
          <w:rStyle w:val="FootnoteReference"/>
        </w:rPr>
        <w:footnoteRef/>
      </w:r>
      <w:r>
        <w:t xml:space="preserve"> Philjobs </w:t>
      </w:r>
      <w:r w:rsidRPr="0003327B">
        <w:t>http://philjobs.org/appointments</w:t>
      </w:r>
    </w:p>
  </w:footnote>
  <w:footnote w:id="31">
    <w:p w14:paraId="150139A0" w14:textId="77777777" w:rsidR="00C90F16" w:rsidRDefault="00C90F16">
      <w:pPr>
        <w:pStyle w:val="FootnoteText"/>
      </w:pPr>
      <w:r>
        <w:rPr>
          <w:rStyle w:val="FootnoteReference"/>
        </w:rPr>
        <w:footnoteRef/>
      </w:r>
      <w:r>
        <w:t xml:space="preserve"> Calculated using a Fisher Test.</w:t>
      </w:r>
    </w:p>
  </w:footnote>
  <w:footnote w:id="32">
    <w:p w14:paraId="6B0C6D77" w14:textId="77777777" w:rsidR="00C90F16" w:rsidRDefault="00C90F16">
      <w:pPr>
        <w:pStyle w:val="FootnoteText"/>
      </w:pPr>
      <w:r>
        <w:rPr>
          <w:rStyle w:val="FootnoteReference"/>
        </w:rPr>
        <w:footnoteRef/>
      </w:r>
      <w:r>
        <w:t xml:space="preserve">  Fisher Test.</w:t>
      </w:r>
    </w:p>
  </w:footnote>
  <w:footnote w:id="33">
    <w:p w14:paraId="56D04CDD" w14:textId="77777777" w:rsidR="00C90F16" w:rsidRDefault="00C90F16">
      <w:pPr>
        <w:pStyle w:val="FootnoteText"/>
      </w:pPr>
      <w:r>
        <w:rPr>
          <w:rStyle w:val="FootnoteReference"/>
        </w:rPr>
        <w:footnoteRef/>
      </w:r>
      <w:r>
        <w:t xml:space="preserve"> See the 2013 edition of the NSF’s Survey of Earned Doctorates.</w:t>
      </w:r>
    </w:p>
  </w:footnote>
  <w:footnote w:id="34">
    <w:p w14:paraId="2434A936" w14:textId="49E3E54E" w:rsidR="00C90F16" w:rsidRDefault="00C90F16">
      <w:pPr>
        <w:pStyle w:val="FootnoteText"/>
      </w:pPr>
      <w:r>
        <w:rPr>
          <w:rStyle w:val="FootnoteReference"/>
        </w:rPr>
        <w:footnoteRef/>
      </w:r>
      <w:r>
        <w:t xml:space="preserve"> p=0.000372 </w:t>
      </w:r>
    </w:p>
  </w:footnote>
  <w:footnote w:id="35">
    <w:p w14:paraId="2AA1237C" w14:textId="4039733E" w:rsidR="00C90F16" w:rsidRDefault="00C90F16">
      <w:pPr>
        <w:pStyle w:val="FootnoteText"/>
      </w:pPr>
      <w:r>
        <w:rPr>
          <w:rStyle w:val="FootnoteReference"/>
        </w:rPr>
        <w:footnoteRef/>
      </w:r>
      <w:r>
        <w:t xml:space="preserve"> The final tally for 2012 was 140 men and 61 women.  Note that there was only one instance where a </w:t>
      </w:r>
      <w:r w:rsidR="0036732D">
        <w:t>gender was assigned incorrectly</w:t>
      </w:r>
      <w:r>
        <w:t xml:space="preserve"> </w:t>
      </w:r>
      <w:r w:rsidR="0036732D">
        <w:t xml:space="preserve">due to a </w:t>
      </w:r>
      <w:r>
        <w:t xml:space="preserve">limitation of the software used by the APDA project.   </w:t>
      </w:r>
    </w:p>
  </w:footnote>
  <w:footnote w:id="36">
    <w:p w14:paraId="759DC5E0" w14:textId="255BEF7A" w:rsidR="00C90F16" w:rsidRPr="008F084A" w:rsidRDefault="00C90F16">
      <w:pPr>
        <w:pStyle w:val="FootnoteText"/>
        <w:rPr>
          <w:szCs w:val="20"/>
        </w:rPr>
      </w:pPr>
      <w:r>
        <w:rPr>
          <w:rStyle w:val="FootnoteReference"/>
        </w:rPr>
        <w:footnoteRef/>
      </w:r>
      <w:r>
        <w:t xml:space="preserve"> </w:t>
      </w:r>
      <w:r w:rsidRPr="00EE7783">
        <w:rPr>
          <w:szCs w:val="18"/>
        </w:rPr>
        <w:t>Adelberg,</w:t>
      </w:r>
      <w:r>
        <w:rPr>
          <w:szCs w:val="18"/>
        </w:rPr>
        <w:t xml:space="preserve"> T., </w:t>
      </w:r>
      <w:r w:rsidRPr="00EE7783">
        <w:rPr>
          <w:szCs w:val="18"/>
        </w:rPr>
        <w:t>Thompson,</w:t>
      </w:r>
      <w:r>
        <w:rPr>
          <w:szCs w:val="18"/>
        </w:rPr>
        <w:t xml:space="preserve"> M., and Nahmias, E. “Women and philosophy:  Why is it ‘Goodbye’ at </w:t>
      </w:r>
      <w:r w:rsidRPr="00EE7783">
        <w:rPr>
          <w:szCs w:val="18"/>
        </w:rPr>
        <w:t>‘He</w:t>
      </w:r>
      <w:r>
        <w:rPr>
          <w:szCs w:val="18"/>
        </w:rPr>
        <w:t xml:space="preserve">llo?’ was presented at the Society for Philosophy and Psychology, Providence, RI, June 2013; </w:t>
      </w:r>
      <w:r w:rsidRPr="00EE7783">
        <w:rPr>
          <w:szCs w:val="20"/>
        </w:rPr>
        <w:t>Dougherty,</w:t>
      </w:r>
      <w:r>
        <w:rPr>
          <w:szCs w:val="20"/>
        </w:rPr>
        <w:t xml:space="preserve"> T., </w:t>
      </w:r>
      <w:r w:rsidRPr="00EE7783">
        <w:rPr>
          <w:szCs w:val="20"/>
        </w:rPr>
        <w:t>Baron,</w:t>
      </w:r>
      <w:r>
        <w:rPr>
          <w:szCs w:val="20"/>
        </w:rPr>
        <w:t xml:space="preserve"> S., and </w:t>
      </w:r>
      <w:r w:rsidRPr="00EE7783">
        <w:rPr>
          <w:szCs w:val="20"/>
        </w:rPr>
        <w:t>Miller,</w:t>
      </w:r>
      <w:r>
        <w:rPr>
          <w:szCs w:val="20"/>
        </w:rPr>
        <w:t xml:space="preserve"> K.</w:t>
      </w:r>
      <w:r w:rsidRPr="00EE7783">
        <w:rPr>
          <w:szCs w:val="20"/>
        </w:rPr>
        <w:t xml:space="preserve"> </w:t>
      </w:r>
      <w:r>
        <w:rPr>
          <w:szCs w:val="20"/>
        </w:rPr>
        <w:t xml:space="preserve">(2015). "Female under-representation among philosophy majors: A map of the hypotheses and a survey of the evidence," </w:t>
      </w:r>
      <w:r>
        <w:rPr>
          <w:i/>
          <w:szCs w:val="20"/>
        </w:rPr>
        <w:t>Feminist Philosophy Quarterly</w:t>
      </w:r>
      <w:r>
        <w:rPr>
          <w:szCs w:val="20"/>
        </w:rPr>
        <w:t xml:space="preserve"> 1(1), Article 4.</w:t>
      </w:r>
    </w:p>
  </w:footnote>
  <w:footnote w:id="37">
    <w:p w14:paraId="188CC608" w14:textId="3BAF1308" w:rsidR="00C90F16" w:rsidRDefault="00C90F16">
      <w:pPr>
        <w:pStyle w:val="FootnoteText"/>
      </w:pPr>
      <w:r>
        <w:rPr>
          <w:rStyle w:val="FootnoteReference"/>
        </w:rPr>
        <w:footnoteRef/>
      </w:r>
      <w:r>
        <w:t xml:space="preserve"> Paxton, M., Figdor, C., and Tiberius, V. (2012). “Quantifying the gender gap: An empirical study of the underrepresentation of women in philosophy,” </w:t>
      </w:r>
      <w:r>
        <w:rPr>
          <w:i/>
        </w:rPr>
        <w:t>Hypatia</w:t>
      </w:r>
      <w:r>
        <w:t xml:space="preserve"> </w:t>
      </w:r>
      <w:r w:rsidRPr="0019661D">
        <w:t>27</w:t>
      </w:r>
      <w:r>
        <w:t>(4): 949-57.</w:t>
      </w:r>
    </w:p>
  </w:footnote>
  <w:footnote w:id="38">
    <w:p w14:paraId="40BD2AD2" w14:textId="32AA6DBD" w:rsidR="00C90F16" w:rsidRPr="00AC5BBD" w:rsidRDefault="00C90F16" w:rsidP="00AC5BBD">
      <w:pPr>
        <w:rPr>
          <w:rFonts w:eastAsia="Times New Roman" w:cs="Times New Roman"/>
          <w:lang w:eastAsia="en-US"/>
        </w:rPr>
      </w:pPr>
      <w:r>
        <w:rPr>
          <w:rStyle w:val="FootnoteReference"/>
        </w:rPr>
        <w:footnoteRef/>
      </w:r>
      <w:r>
        <w:rPr>
          <w:i/>
        </w:rPr>
        <w:t xml:space="preserve"> </w:t>
      </w:r>
      <w:r>
        <w:rPr>
          <w:rFonts w:eastAsia="Times New Roman" w:cs="Times New Roman"/>
          <w:lang w:eastAsia="en-US"/>
        </w:rPr>
        <w:t>Steinpreis, R</w:t>
      </w:r>
      <w:r w:rsidRPr="00AC5BBD">
        <w:rPr>
          <w:rFonts w:eastAsia="Times New Roman" w:cs="Times New Roman"/>
          <w:lang w:eastAsia="en-US"/>
        </w:rPr>
        <w:t>., Anders,</w:t>
      </w:r>
      <w:r>
        <w:rPr>
          <w:rFonts w:eastAsia="Times New Roman" w:cs="Times New Roman"/>
          <w:lang w:eastAsia="en-US"/>
        </w:rPr>
        <w:t xml:space="preserve"> K., and </w:t>
      </w:r>
      <w:r w:rsidRPr="00AC5BBD">
        <w:rPr>
          <w:rFonts w:eastAsia="Times New Roman" w:cs="Times New Roman"/>
          <w:lang w:eastAsia="en-US"/>
        </w:rPr>
        <w:t>Ritzke</w:t>
      </w:r>
      <w:r>
        <w:rPr>
          <w:rFonts w:eastAsia="Times New Roman" w:cs="Times New Roman"/>
          <w:lang w:eastAsia="en-US"/>
        </w:rPr>
        <w:t>. D. (1999). "</w:t>
      </w:r>
      <w:r w:rsidRPr="00AC5BBD">
        <w:rPr>
          <w:rFonts w:eastAsia="Times New Roman" w:cs="Times New Roman"/>
          <w:lang w:eastAsia="en-US"/>
        </w:rPr>
        <w:t>The impact of gender on the review of the curricula vitae of job applicants and tenure candida</w:t>
      </w:r>
      <w:r>
        <w:rPr>
          <w:rFonts w:eastAsia="Times New Roman" w:cs="Times New Roman"/>
          <w:lang w:eastAsia="en-US"/>
        </w:rPr>
        <w:t>tes: A national empirical study,</w:t>
      </w:r>
      <w:r w:rsidRPr="00AC5BBD">
        <w:rPr>
          <w:rFonts w:eastAsia="Times New Roman" w:cs="Times New Roman"/>
          <w:lang w:eastAsia="en-US"/>
        </w:rPr>
        <w:t xml:space="preserve">" </w:t>
      </w:r>
      <w:r w:rsidRPr="00AC5BBD">
        <w:rPr>
          <w:rFonts w:eastAsia="Times New Roman" w:cs="Times New Roman"/>
          <w:i/>
          <w:iCs/>
          <w:lang w:eastAsia="en-US"/>
        </w:rPr>
        <w:t>Sex roles</w:t>
      </w:r>
      <w:r>
        <w:rPr>
          <w:rFonts w:eastAsia="Times New Roman" w:cs="Times New Roman"/>
          <w:lang w:eastAsia="en-US"/>
        </w:rPr>
        <w:t xml:space="preserve"> 41(7): 509-</w:t>
      </w:r>
      <w:r w:rsidRPr="00AC5BBD">
        <w:rPr>
          <w:rFonts w:eastAsia="Times New Roman" w:cs="Times New Roman"/>
          <w:lang w:eastAsia="en-US"/>
        </w:rPr>
        <w:t>28.</w:t>
      </w:r>
    </w:p>
  </w:footnote>
  <w:footnote w:id="39">
    <w:p w14:paraId="74CCECD5" w14:textId="2A2DE7D7" w:rsidR="00C90F16" w:rsidRPr="00B6151B" w:rsidRDefault="00C90F16" w:rsidP="009A3A98">
      <w:pPr>
        <w:rPr>
          <w:rFonts w:eastAsia="Times New Roman" w:cs="Times New Roman"/>
          <w:sz w:val="20"/>
          <w:szCs w:val="20"/>
          <w:lang w:eastAsia="en-US"/>
        </w:rPr>
      </w:pPr>
      <w:r>
        <w:rPr>
          <w:rStyle w:val="FootnoteReference"/>
        </w:rPr>
        <w:footnoteRef/>
      </w:r>
      <w:r>
        <w:t xml:space="preserve"> </w:t>
      </w:r>
      <w:r w:rsidRPr="00B6151B">
        <w:rPr>
          <w:rFonts w:eastAsia="Times New Roman" w:cs="Times New Roman"/>
          <w:lang w:eastAsia="en-US"/>
        </w:rPr>
        <w:t xml:space="preserve">Williams, W. M. and Ceci, S. J. (2015). "National hiring experiments reveal 2:1 faculty preference for women on STEM </w:t>
      </w:r>
      <w:r>
        <w:rPr>
          <w:rFonts w:eastAsia="Times New Roman" w:cs="Times New Roman"/>
          <w:lang w:eastAsia="en-US"/>
        </w:rPr>
        <w:t>tenure-track</w:t>
      </w:r>
      <w:r w:rsidRPr="00B6151B">
        <w:rPr>
          <w:rFonts w:eastAsia="Times New Roman" w:cs="Times New Roman"/>
          <w:lang w:eastAsia="en-US"/>
        </w:rPr>
        <w:t xml:space="preserve">," </w:t>
      </w:r>
      <w:r w:rsidRPr="00B6151B">
        <w:rPr>
          <w:rFonts w:eastAsia="Times New Roman" w:cs="Times New Roman"/>
          <w:i/>
          <w:iCs/>
          <w:lang w:eastAsia="en-US"/>
        </w:rPr>
        <w:t>Proceedings of the National Academy of Sciences</w:t>
      </w:r>
      <w:r w:rsidRPr="00B6151B">
        <w:rPr>
          <w:rFonts w:eastAsia="Times New Roman" w:cs="Times New Roman"/>
          <w:lang w:eastAsia="en-US"/>
        </w:rPr>
        <w:t xml:space="preserve"> </w:t>
      </w:r>
      <w:r w:rsidRPr="00B6151B">
        <w:rPr>
          <w:rFonts w:eastAsia="Times New Roman" w:cs="Times New Roman"/>
          <w:iCs/>
          <w:lang w:eastAsia="en-US"/>
        </w:rPr>
        <w:t>112</w:t>
      </w:r>
      <w:r w:rsidRPr="00B6151B">
        <w:rPr>
          <w:rFonts w:eastAsia="Times New Roman" w:cs="Times New Roman"/>
          <w:lang w:eastAsia="en-US"/>
        </w:rPr>
        <w:t>(17): 5360-5.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73E20" w14:textId="77777777" w:rsidR="00C90F16" w:rsidRDefault="00C90F16" w:rsidP="000A08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759FF" w14:textId="77777777" w:rsidR="00C90F16" w:rsidRDefault="00C90F16" w:rsidP="00F819E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46668" w14:textId="77777777" w:rsidR="00C90F16" w:rsidRDefault="00C90F16" w:rsidP="000A08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F3B">
      <w:rPr>
        <w:rStyle w:val="PageNumber"/>
        <w:noProof/>
      </w:rPr>
      <w:t>17</w:t>
    </w:r>
    <w:r>
      <w:rPr>
        <w:rStyle w:val="PageNumber"/>
      </w:rPr>
      <w:fldChar w:fldCharType="end"/>
    </w:r>
  </w:p>
  <w:p w14:paraId="78B99AFD" w14:textId="77777777" w:rsidR="00C90F16" w:rsidRDefault="00C90F16" w:rsidP="00F819E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D9"/>
    <w:rsid w:val="0000034C"/>
    <w:rsid w:val="0000275E"/>
    <w:rsid w:val="00002F3F"/>
    <w:rsid w:val="00003560"/>
    <w:rsid w:val="00004920"/>
    <w:rsid w:val="00004A63"/>
    <w:rsid w:val="0000639D"/>
    <w:rsid w:val="000101AC"/>
    <w:rsid w:val="00014482"/>
    <w:rsid w:val="00014C0A"/>
    <w:rsid w:val="00016040"/>
    <w:rsid w:val="000161A3"/>
    <w:rsid w:val="00017026"/>
    <w:rsid w:val="00023899"/>
    <w:rsid w:val="00025248"/>
    <w:rsid w:val="000279CE"/>
    <w:rsid w:val="00032101"/>
    <w:rsid w:val="0003327B"/>
    <w:rsid w:val="00033408"/>
    <w:rsid w:val="00033572"/>
    <w:rsid w:val="00033F48"/>
    <w:rsid w:val="00034054"/>
    <w:rsid w:val="000370E5"/>
    <w:rsid w:val="00040DA9"/>
    <w:rsid w:val="00042C6D"/>
    <w:rsid w:val="00043095"/>
    <w:rsid w:val="0004354A"/>
    <w:rsid w:val="00044088"/>
    <w:rsid w:val="00044BCB"/>
    <w:rsid w:val="00050061"/>
    <w:rsid w:val="0005263D"/>
    <w:rsid w:val="0005338F"/>
    <w:rsid w:val="0005377F"/>
    <w:rsid w:val="00053E37"/>
    <w:rsid w:val="00056554"/>
    <w:rsid w:val="00057ED5"/>
    <w:rsid w:val="00060A3A"/>
    <w:rsid w:val="000647FA"/>
    <w:rsid w:val="00065470"/>
    <w:rsid w:val="00066FFD"/>
    <w:rsid w:val="00067FD7"/>
    <w:rsid w:val="00070C9F"/>
    <w:rsid w:val="00070D13"/>
    <w:rsid w:val="00073E45"/>
    <w:rsid w:val="0007469B"/>
    <w:rsid w:val="0007643B"/>
    <w:rsid w:val="000766AC"/>
    <w:rsid w:val="0007781C"/>
    <w:rsid w:val="00081FA5"/>
    <w:rsid w:val="000839FF"/>
    <w:rsid w:val="000846BB"/>
    <w:rsid w:val="00087B1E"/>
    <w:rsid w:val="000914F8"/>
    <w:rsid w:val="0009282E"/>
    <w:rsid w:val="0009330C"/>
    <w:rsid w:val="00093417"/>
    <w:rsid w:val="0009363E"/>
    <w:rsid w:val="00095DDC"/>
    <w:rsid w:val="000975D7"/>
    <w:rsid w:val="00097CD2"/>
    <w:rsid w:val="000A08B5"/>
    <w:rsid w:val="000A1347"/>
    <w:rsid w:val="000A497E"/>
    <w:rsid w:val="000A579F"/>
    <w:rsid w:val="000A655F"/>
    <w:rsid w:val="000B5101"/>
    <w:rsid w:val="000B6560"/>
    <w:rsid w:val="000B7B39"/>
    <w:rsid w:val="000C1B46"/>
    <w:rsid w:val="000C2ADB"/>
    <w:rsid w:val="000C5420"/>
    <w:rsid w:val="000C5E51"/>
    <w:rsid w:val="000C61D0"/>
    <w:rsid w:val="000C6492"/>
    <w:rsid w:val="000C6B43"/>
    <w:rsid w:val="000C71E8"/>
    <w:rsid w:val="000D2807"/>
    <w:rsid w:val="000D2C12"/>
    <w:rsid w:val="000D2E3C"/>
    <w:rsid w:val="000D5C84"/>
    <w:rsid w:val="000E08D7"/>
    <w:rsid w:val="000E5DFA"/>
    <w:rsid w:val="000E62CA"/>
    <w:rsid w:val="000F1936"/>
    <w:rsid w:val="000F4384"/>
    <w:rsid w:val="000F6003"/>
    <w:rsid w:val="000F6D00"/>
    <w:rsid w:val="000F7B2D"/>
    <w:rsid w:val="00102BF8"/>
    <w:rsid w:val="00103122"/>
    <w:rsid w:val="001031D6"/>
    <w:rsid w:val="00103256"/>
    <w:rsid w:val="00105EE0"/>
    <w:rsid w:val="0011201D"/>
    <w:rsid w:val="0011203D"/>
    <w:rsid w:val="00112A2E"/>
    <w:rsid w:val="001130B0"/>
    <w:rsid w:val="00113F2A"/>
    <w:rsid w:val="00117807"/>
    <w:rsid w:val="00121354"/>
    <w:rsid w:val="00123728"/>
    <w:rsid w:val="00126418"/>
    <w:rsid w:val="00127E2E"/>
    <w:rsid w:val="001315BF"/>
    <w:rsid w:val="00131B29"/>
    <w:rsid w:val="001328FE"/>
    <w:rsid w:val="001339DC"/>
    <w:rsid w:val="001357B1"/>
    <w:rsid w:val="001363BF"/>
    <w:rsid w:val="00136593"/>
    <w:rsid w:val="00136BC3"/>
    <w:rsid w:val="001401A8"/>
    <w:rsid w:val="001435B1"/>
    <w:rsid w:val="00143977"/>
    <w:rsid w:val="00143F9F"/>
    <w:rsid w:val="0014798B"/>
    <w:rsid w:val="001517C6"/>
    <w:rsid w:val="00151A6B"/>
    <w:rsid w:val="00151F05"/>
    <w:rsid w:val="00157BBB"/>
    <w:rsid w:val="00160805"/>
    <w:rsid w:val="00162E34"/>
    <w:rsid w:val="00164D69"/>
    <w:rsid w:val="001667C1"/>
    <w:rsid w:val="001673B5"/>
    <w:rsid w:val="0017107A"/>
    <w:rsid w:val="001711B7"/>
    <w:rsid w:val="00172628"/>
    <w:rsid w:val="00172E40"/>
    <w:rsid w:val="00175041"/>
    <w:rsid w:val="00176C29"/>
    <w:rsid w:val="0017742B"/>
    <w:rsid w:val="0017744A"/>
    <w:rsid w:val="001803CD"/>
    <w:rsid w:val="00180D8C"/>
    <w:rsid w:val="001824E3"/>
    <w:rsid w:val="00182646"/>
    <w:rsid w:val="00187747"/>
    <w:rsid w:val="0019052A"/>
    <w:rsid w:val="00194492"/>
    <w:rsid w:val="001957EA"/>
    <w:rsid w:val="0019605F"/>
    <w:rsid w:val="0019661D"/>
    <w:rsid w:val="001A000D"/>
    <w:rsid w:val="001A2068"/>
    <w:rsid w:val="001A2EE9"/>
    <w:rsid w:val="001B0342"/>
    <w:rsid w:val="001B3E4E"/>
    <w:rsid w:val="001B4E25"/>
    <w:rsid w:val="001B53E6"/>
    <w:rsid w:val="001B6853"/>
    <w:rsid w:val="001C068C"/>
    <w:rsid w:val="001C1BB7"/>
    <w:rsid w:val="001C42BC"/>
    <w:rsid w:val="001C4588"/>
    <w:rsid w:val="001C4D3A"/>
    <w:rsid w:val="001D126E"/>
    <w:rsid w:val="001D2C32"/>
    <w:rsid w:val="001D3949"/>
    <w:rsid w:val="001D407F"/>
    <w:rsid w:val="001D6AF2"/>
    <w:rsid w:val="001D79A2"/>
    <w:rsid w:val="001D7DE2"/>
    <w:rsid w:val="001E0C0D"/>
    <w:rsid w:val="001E118A"/>
    <w:rsid w:val="001E28B9"/>
    <w:rsid w:val="001E2B17"/>
    <w:rsid w:val="001E2B8D"/>
    <w:rsid w:val="001E37BD"/>
    <w:rsid w:val="001E4768"/>
    <w:rsid w:val="001E484F"/>
    <w:rsid w:val="001E4A11"/>
    <w:rsid w:val="001E628F"/>
    <w:rsid w:val="001F133D"/>
    <w:rsid w:val="001F140E"/>
    <w:rsid w:val="001F195F"/>
    <w:rsid w:val="001F1FD0"/>
    <w:rsid w:val="001F7982"/>
    <w:rsid w:val="0020016B"/>
    <w:rsid w:val="00201986"/>
    <w:rsid w:val="00206D2A"/>
    <w:rsid w:val="002152A4"/>
    <w:rsid w:val="00224028"/>
    <w:rsid w:val="002243F6"/>
    <w:rsid w:val="00225F30"/>
    <w:rsid w:val="002274F5"/>
    <w:rsid w:val="00227C4D"/>
    <w:rsid w:val="0023150D"/>
    <w:rsid w:val="00233B83"/>
    <w:rsid w:val="00236327"/>
    <w:rsid w:val="00236A89"/>
    <w:rsid w:val="002373CE"/>
    <w:rsid w:val="002374E0"/>
    <w:rsid w:val="00237917"/>
    <w:rsid w:val="00237BA1"/>
    <w:rsid w:val="002400A1"/>
    <w:rsid w:val="00241822"/>
    <w:rsid w:val="00241DC7"/>
    <w:rsid w:val="00243BB9"/>
    <w:rsid w:val="00243FAA"/>
    <w:rsid w:val="00244BD3"/>
    <w:rsid w:val="002456A0"/>
    <w:rsid w:val="002460D5"/>
    <w:rsid w:val="00247D85"/>
    <w:rsid w:val="002531AB"/>
    <w:rsid w:val="0025335C"/>
    <w:rsid w:val="0025356A"/>
    <w:rsid w:val="00256AC6"/>
    <w:rsid w:val="00261055"/>
    <w:rsid w:val="002629D1"/>
    <w:rsid w:val="00262C5E"/>
    <w:rsid w:val="002640E7"/>
    <w:rsid w:val="002655C8"/>
    <w:rsid w:val="00266847"/>
    <w:rsid w:val="00267BE3"/>
    <w:rsid w:val="00270468"/>
    <w:rsid w:val="00270F3F"/>
    <w:rsid w:val="00271020"/>
    <w:rsid w:val="0027284D"/>
    <w:rsid w:val="00276848"/>
    <w:rsid w:val="00276872"/>
    <w:rsid w:val="0027785E"/>
    <w:rsid w:val="00277F8B"/>
    <w:rsid w:val="0028086D"/>
    <w:rsid w:val="00281917"/>
    <w:rsid w:val="00284CC2"/>
    <w:rsid w:val="00284EFD"/>
    <w:rsid w:val="00286ED7"/>
    <w:rsid w:val="00286FEB"/>
    <w:rsid w:val="00290F26"/>
    <w:rsid w:val="002913CC"/>
    <w:rsid w:val="00293E14"/>
    <w:rsid w:val="00295D01"/>
    <w:rsid w:val="002A46E2"/>
    <w:rsid w:val="002A5704"/>
    <w:rsid w:val="002A5D73"/>
    <w:rsid w:val="002A6159"/>
    <w:rsid w:val="002B1339"/>
    <w:rsid w:val="002B4147"/>
    <w:rsid w:val="002B5BB5"/>
    <w:rsid w:val="002B7F4C"/>
    <w:rsid w:val="002C2FEC"/>
    <w:rsid w:val="002C4F75"/>
    <w:rsid w:val="002D00C3"/>
    <w:rsid w:val="002D1C76"/>
    <w:rsid w:val="002D25C7"/>
    <w:rsid w:val="002D673A"/>
    <w:rsid w:val="002E053C"/>
    <w:rsid w:val="002E168E"/>
    <w:rsid w:val="002E20D1"/>
    <w:rsid w:val="002E2D17"/>
    <w:rsid w:val="002E3F9F"/>
    <w:rsid w:val="002E4543"/>
    <w:rsid w:val="002F2399"/>
    <w:rsid w:val="002F336E"/>
    <w:rsid w:val="002F4874"/>
    <w:rsid w:val="002F7706"/>
    <w:rsid w:val="0030111A"/>
    <w:rsid w:val="00301A93"/>
    <w:rsid w:val="00303056"/>
    <w:rsid w:val="00304F9D"/>
    <w:rsid w:val="00306918"/>
    <w:rsid w:val="00311BDF"/>
    <w:rsid w:val="00314ED8"/>
    <w:rsid w:val="00315F56"/>
    <w:rsid w:val="003164DB"/>
    <w:rsid w:val="00317C3F"/>
    <w:rsid w:val="00317CDE"/>
    <w:rsid w:val="0032129C"/>
    <w:rsid w:val="00321581"/>
    <w:rsid w:val="00321B72"/>
    <w:rsid w:val="00322124"/>
    <w:rsid w:val="0032471D"/>
    <w:rsid w:val="00324977"/>
    <w:rsid w:val="00324A60"/>
    <w:rsid w:val="00330B4F"/>
    <w:rsid w:val="003315D7"/>
    <w:rsid w:val="00331E0D"/>
    <w:rsid w:val="00333BEC"/>
    <w:rsid w:val="0033520D"/>
    <w:rsid w:val="003428FA"/>
    <w:rsid w:val="00342CFE"/>
    <w:rsid w:val="003430C3"/>
    <w:rsid w:val="00350F51"/>
    <w:rsid w:val="003521E2"/>
    <w:rsid w:val="00352859"/>
    <w:rsid w:val="0035375C"/>
    <w:rsid w:val="00355334"/>
    <w:rsid w:val="00355A51"/>
    <w:rsid w:val="003601DE"/>
    <w:rsid w:val="003613F4"/>
    <w:rsid w:val="00361DA9"/>
    <w:rsid w:val="0036224A"/>
    <w:rsid w:val="0036386A"/>
    <w:rsid w:val="00365463"/>
    <w:rsid w:val="0036732D"/>
    <w:rsid w:val="0037486E"/>
    <w:rsid w:val="00374C28"/>
    <w:rsid w:val="0037560C"/>
    <w:rsid w:val="00376308"/>
    <w:rsid w:val="00376516"/>
    <w:rsid w:val="00377DC8"/>
    <w:rsid w:val="003840A1"/>
    <w:rsid w:val="00384C4C"/>
    <w:rsid w:val="0038674E"/>
    <w:rsid w:val="00386B51"/>
    <w:rsid w:val="00386C9A"/>
    <w:rsid w:val="0038706F"/>
    <w:rsid w:val="00387DB4"/>
    <w:rsid w:val="0039247E"/>
    <w:rsid w:val="00392E3F"/>
    <w:rsid w:val="0039319A"/>
    <w:rsid w:val="00394C9F"/>
    <w:rsid w:val="003A169E"/>
    <w:rsid w:val="003A390C"/>
    <w:rsid w:val="003A3ED8"/>
    <w:rsid w:val="003A7646"/>
    <w:rsid w:val="003B0754"/>
    <w:rsid w:val="003B713C"/>
    <w:rsid w:val="003C0D15"/>
    <w:rsid w:val="003C19F1"/>
    <w:rsid w:val="003C2D34"/>
    <w:rsid w:val="003C52A4"/>
    <w:rsid w:val="003E01AD"/>
    <w:rsid w:val="003E3680"/>
    <w:rsid w:val="003F2F2D"/>
    <w:rsid w:val="003F3CC8"/>
    <w:rsid w:val="003F3D69"/>
    <w:rsid w:val="003F450B"/>
    <w:rsid w:val="003F45B9"/>
    <w:rsid w:val="003F4E72"/>
    <w:rsid w:val="00400193"/>
    <w:rsid w:val="00401509"/>
    <w:rsid w:val="00406A4E"/>
    <w:rsid w:val="00413FB5"/>
    <w:rsid w:val="0041401D"/>
    <w:rsid w:val="004142F8"/>
    <w:rsid w:val="00414E44"/>
    <w:rsid w:val="00423827"/>
    <w:rsid w:val="00426E42"/>
    <w:rsid w:val="004276B6"/>
    <w:rsid w:val="00431C4F"/>
    <w:rsid w:val="004322C8"/>
    <w:rsid w:val="00434827"/>
    <w:rsid w:val="0043796E"/>
    <w:rsid w:val="00437FCF"/>
    <w:rsid w:val="00440D06"/>
    <w:rsid w:val="00441C07"/>
    <w:rsid w:val="00442544"/>
    <w:rsid w:val="0044552B"/>
    <w:rsid w:val="004477F2"/>
    <w:rsid w:val="00451013"/>
    <w:rsid w:val="00451524"/>
    <w:rsid w:val="00453FA8"/>
    <w:rsid w:val="004556A9"/>
    <w:rsid w:val="00456BB1"/>
    <w:rsid w:val="00463B30"/>
    <w:rsid w:val="00466BED"/>
    <w:rsid w:val="00467735"/>
    <w:rsid w:val="004715F3"/>
    <w:rsid w:val="00471FFE"/>
    <w:rsid w:val="00472171"/>
    <w:rsid w:val="00475052"/>
    <w:rsid w:val="00475571"/>
    <w:rsid w:val="00476F09"/>
    <w:rsid w:val="00481495"/>
    <w:rsid w:val="00482269"/>
    <w:rsid w:val="00483EE9"/>
    <w:rsid w:val="00487397"/>
    <w:rsid w:val="00487411"/>
    <w:rsid w:val="00487E4B"/>
    <w:rsid w:val="004904BC"/>
    <w:rsid w:val="004907C3"/>
    <w:rsid w:val="00491342"/>
    <w:rsid w:val="00494161"/>
    <w:rsid w:val="00494927"/>
    <w:rsid w:val="00494DDB"/>
    <w:rsid w:val="00495B89"/>
    <w:rsid w:val="00496A0D"/>
    <w:rsid w:val="004A162D"/>
    <w:rsid w:val="004A208E"/>
    <w:rsid w:val="004A5F16"/>
    <w:rsid w:val="004B0981"/>
    <w:rsid w:val="004B15B6"/>
    <w:rsid w:val="004B2C9F"/>
    <w:rsid w:val="004B3703"/>
    <w:rsid w:val="004B3DC0"/>
    <w:rsid w:val="004B4572"/>
    <w:rsid w:val="004B4C2A"/>
    <w:rsid w:val="004C36A4"/>
    <w:rsid w:val="004C3C4D"/>
    <w:rsid w:val="004C466D"/>
    <w:rsid w:val="004C4BFF"/>
    <w:rsid w:val="004C5514"/>
    <w:rsid w:val="004C5A62"/>
    <w:rsid w:val="004C60DE"/>
    <w:rsid w:val="004C6B5F"/>
    <w:rsid w:val="004C7E88"/>
    <w:rsid w:val="004D4310"/>
    <w:rsid w:val="004D5931"/>
    <w:rsid w:val="004D5FC8"/>
    <w:rsid w:val="004D68C8"/>
    <w:rsid w:val="004D6977"/>
    <w:rsid w:val="004D6A35"/>
    <w:rsid w:val="004E152D"/>
    <w:rsid w:val="004E3E03"/>
    <w:rsid w:val="004E4107"/>
    <w:rsid w:val="004E5E84"/>
    <w:rsid w:val="004E6976"/>
    <w:rsid w:val="004E7F98"/>
    <w:rsid w:val="004F240D"/>
    <w:rsid w:val="004F30C3"/>
    <w:rsid w:val="00506EAA"/>
    <w:rsid w:val="005102CB"/>
    <w:rsid w:val="005103D6"/>
    <w:rsid w:val="00510728"/>
    <w:rsid w:val="00514A8D"/>
    <w:rsid w:val="00515351"/>
    <w:rsid w:val="0051771F"/>
    <w:rsid w:val="0052064F"/>
    <w:rsid w:val="00522C33"/>
    <w:rsid w:val="00523B41"/>
    <w:rsid w:val="0052615D"/>
    <w:rsid w:val="0053071E"/>
    <w:rsid w:val="005313AB"/>
    <w:rsid w:val="005318F1"/>
    <w:rsid w:val="00531951"/>
    <w:rsid w:val="0053456F"/>
    <w:rsid w:val="00534982"/>
    <w:rsid w:val="005417FD"/>
    <w:rsid w:val="0054254E"/>
    <w:rsid w:val="0054271A"/>
    <w:rsid w:val="00545332"/>
    <w:rsid w:val="00546730"/>
    <w:rsid w:val="00550E54"/>
    <w:rsid w:val="00551C6D"/>
    <w:rsid w:val="00554E29"/>
    <w:rsid w:val="00555101"/>
    <w:rsid w:val="0055713C"/>
    <w:rsid w:val="005627EA"/>
    <w:rsid w:val="0056366F"/>
    <w:rsid w:val="00563C1E"/>
    <w:rsid w:val="00565EFE"/>
    <w:rsid w:val="00566078"/>
    <w:rsid w:val="005676AF"/>
    <w:rsid w:val="00567C93"/>
    <w:rsid w:val="00570575"/>
    <w:rsid w:val="00571385"/>
    <w:rsid w:val="00572545"/>
    <w:rsid w:val="00581756"/>
    <w:rsid w:val="00583D6B"/>
    <w:rsid w:val="00587E75"/>
    <w:rsid w:val="00590B57"/>
    <w:rsid w:val="00591EEB"/>
    <w:rsid w:val="0059553A"/>
    <w:rsid w:val="00595B0C"/>
    <w:rsid w:val="005A2BD9"/>
    <w:rsid w:val="005A50BA"/>
    <w:rsid w:val="005B150A"/>
    <w:rsid w:val="005B1DD3"/>
    <w:rsid w:val="005B20AA"/>
    <w:rsid w:val="005B5F12"/>
    <w:rsid w:val="005B70CE"/>
    <w:rsid w:val="005C0A62"/>
    <w:rsid w:val="005C0D65"/>
    <w:rsid w:val="005C3661"/>
    <w:rsid w:val="005D0DB9"/>
    <w:rsid w:val="005D16BD"/>
    <w:rsid w:val="005D1ADA"/>
    <w:rsid w:val="005D2CCA"/>
    <w:rsid w:val="005D3193"/>
    <w:rsid w:val="005D470D"/>
    <w:rsid w:val="005D4832"/>
    <w:rsid w:val="005D5858"/>
    <w:rsid w:val="005D59EA"/>
    <w:rsid w:val="005E3995"/>
    <w:rsid w:val="005E49F0"/>
    <w:rsid w:val="005E569C"/>
    <w:rsid w:val="005E5BCE"/>
    <w:rsid w:val="005F1225"/>
    <w:rsid w:val="005F28ED"/>
    <w:rsid w:val="0060045E"/>
    <w:rsid w:val="00600E41"/>
    <w:rsid w:val="0060294C"/>
    <w:rsid w:val="00605627"/>
    <w:rsid w:val="006079DF"/>
    <w:rsid w:val="00607BF1"/>
    <w:rsid w:val="00611152"/>
    <w:rsid w:val="0061128A"/>
    <w:rsid w:val="006140E5"/>
    <w:rsid w:val="00615AF5"/>
    <w:rsid w:val="006172B5"/>
    <w:rsid w:val="00620176"/>
    <w:rsid w:val="00620D0B"/>
    <w:rsid w:val="00621EC1"/>
    <w:rsid w:val="00622264"/>
    <w:rsid w:val="006228A6"/>
    <w:rsid w:val="006229AB"/>
    <w:rsid w:val="00622BD9"/>
    <w:rsid w:val="00623A28"/>
    <w:rsid w:val="00625252"/>
    <w:rsid w:val="00625758"/>
    <w:rsid w:val="00625F3B"/>
    <w:rsid w:val="00625F92"/>
    <w:rsid w:val="0063340D"/>
    <w:rsid w:val="006358AC"/>
    <w:rsid w:val="00635F2C"/>
    <w:rsid w:val="006406AD"/>
    <w:rsid w:val="006421A9"/>
    <w:rsid w:val="00645A3D"/>
    <w:rsid w:val="0064620C"/>
    <w:rsid w:val="006539A5"/>
    <w:rsid w:val="0065434D"/>
    <w:rsid w:val="00654461"/>
    <w:rsid w:val="0065457C"/>
    <w:rsid w:val="00656CDD"/>
    <w:rsid w:val="00656DEF"/>
    <w:rsid w:val="00660CBA"/>
    <w:rsid w:val="00663013"/>
    <w:rsid w:val="00664B4C"/>
    <w:rsid w:val="00664F37"/>
    <w:rsid w:val="006664B2"/>
    <w:rsid w:val="006664D0"/>
    <w:rsid w:val="00667A52"/>
    <w:rsid w:val="0067299E"/>
    <w:rsid w:val="00674C2F"/>
    <w:rsid w:val="00680846"/>
    <w:rsid w:val="00681A95"/>
    <w:rsid w:val="00683058"/>
    <w:rsid w:val="0068347F"/>
    <w:rsid w:val="00686DE4"/>
    <w:rsid w:val="00690FAE"/>
    <w:rsid w:val="00692ACE"/>
    <w:rsid w:val="006A05B0"/>
    <w:rsid w:val="006A0D32"/>
    <w:rsid w:val="006A2359"/>
    <w:rsid w:val="006A35DE"/>
    <w:rsid w:val="006A3CF3"/>
    <w:rsid w:val="006A5C7F"/>
    <w:rsid w:val="006A7CAE"/>
    <w:rsid w:val="006C0081"/>
    <w:rsid w:val="006C0C29"/>
    <w:rsid w:val="006C16E7"/>
    <w:rsid w:val="006C1701"/>
    <w:rsid w:val="006C1E71"/>
    <w:rsid w:val="006C4FE5"/>
    <w:rsid w:val="006C6380"/>
    <w:rsid w:val="006C7A62"/>
    <w:rsid w:val="006D2DE5"/>
    <w:rsid w:val="006D5214"/>
    <w:rsid w:val="006E51ED"/>
    <w:rsid w:val="006E5F93"/>
    <w:rsid w:val="006E6046"/>
    <w:rsid w:val="006F0616"/>
    <w:rsid w:val="006F1BC0"/>
    <w:rsid w:val="006F3928"/>
    <w:rsid w:val="006F3A16"/>
    <w:rsid w:val="006F403F"/>
    <w:rsid w:val="006F79E6"/>
    <w:rsid w:val="007016A8"/>
    <w:rsid w:val="00703CD3"/>
    <w:rsid w:val="007057F3"/>
    <w:rsid w:val="00707A6D"/>
    <w:rsid w:val="0071032C"/>
    <w:rsid w:val="00711F4E"/>
    <w:rsid w:val="0071200B"/>
    <w:rsid w:val="0071372A"/>
    <w:rsid w:val="00713B18"/>
    <w:rsid w:val="0073580B"/>
    <w:rsid w:val="00735CEA"/>
    <w:rsid w:val="007361BF"/>
    <w:rsid w:val="007422CC"/>
    <w:rsid w:val="0074398D"/>
    <w:rsid w:val="0074600D"/>
    <w:rsid w:val="00747668"/>
    <w:rsid w:val="007513EC"/>
    <w:rsid w:val="00752B5F"/>
    <w:rsid w:val="007576E4"/>
    <w:rsid w:val="0076274D"/>
    <w:rsid w:val="00762C4C"/>
    <w:rsid w:val="00762E43"/>
    <w:rsid w:val="00764ABB"/>
    <w:rsid w:val="00770638"/>
    <w:rsid w:val="00772376"/>
    <w:rsid w:val="00772642"/>
    <w:rsid w:val="00772C59"/>
    <w:rsid w:val="00774872"/>
    <w:rsid w:val="0077530E"/>
    <w:rsid w:val="007806A3"/>
    <w:rsid w:val="00780FC6"/>
    <w:rsid w:val="0078375C"/>
    <w:rsid w:val="00783F1C"/>
    <w:rsid w:val="00786BB3"/>
    <w:rsid w:val="00791261"/>
    <w:rsid w:val="00793E03"/>
    <w:rsid w:val="00795693"/>
    <w:rsid w:val="00797216"/>
    <w:rsid w:val="007A00AC"/>
    <w:rsid w:val="007A1CC1"/>
    <w:rsid w:val="007A1E0A"/>
    <w:rsid w:val="007A45B7"/>
    <w:rsid w:val="007A632A"/>
    <w:rsid w:val="007A6C91"/>
    <w:rsid w:val="007A7EBE"/>
    <w:rsid w:val="007A7F92"/>
    <w:rsid w:val="007B3ABB"/>
    <w:rsid w:val="007B41FF"/>
    <w:rsid w:val="007B4AD9"/>
    <w:rsid w:val="007B58CE"/>
    <w:rsid w:val="007C07A9"/>
    <w:rsid w:val="007C6C8A"/>
    <w:rsid w:val="007D041C"/>
    <w:rsid w:val="007D1542"/>
    <w:rsid w:val="007D30C5"/>
    <w:rsid w:val="007D3507"/>
    <w:rsid w:val="007D3C2E"/>
    <w:rsid w:val="007D5646"/>
    <w:rsid w:val="007E06C0"/>
    <w:rsid w:val="007E1247"/>
    <w:rsid w:val="007E382B"/>
    <w:rsid w:val="007E43B3"/>
    <w:rsid w:val="007E4837"/>
    <w:rsid w:val="007E57CE"/>
    <w:rsid w:val="007E64A6"/>
    <w:rsid w:val="007E7752"/>
    <w:rsid w:val="007E78C9"/>
    <w:rsid w:val="007E7FB2"/>
    <w:rsid w:val="007F0EA6"/>
    <w:rsid w:val="007F175A"/>
    <w:rsid w:val="007F3E51"/>
    <w:rsid w:val="007F53E6"/>
    <w:rsid w:val="007F564D"/>
    <w:rsid w:val="007F567A"/>
    <w:rsid w:val="007F5B4B"/>
    <w:rsid w:val="007F6007"/>
    <w:rsid w:val="00800309"/>
    <w:rsid w:val="0080034B"/>
    <w:rsid w:val="008008D1"/>
    <w:rsid w:val="00800AEF"/>
    <w:rsid w:val="0080521D"/>
    <w:rsid w:val="008054BD"/>
    <w:rsid w:val="00810C96"/>
    <w:rsid w:val="008120A9"/>
    <w:rsid w:val="00814901"/>
    <w:rsid w:val="00815DBD"/>
    <w:rsid w:val="00825724"/>
    <w:rsid w:val="008257BB"/>
    <w:rsid w:val="0083037C"/>
    <w:rsid w:val="008326F0"/>
    <w:rsid w:val="008330FF"/>
    <w:rsid w:val="008365F0"/>
    <w:rsid w:val="008368A0"/>
    <w:rsid w:val="00842588"/>
    <w:rsid w:val="00842AB9"/>
    <w:rsid w:val="008522DD"/>
    <w:rsid w:val="008564A4"/>
    <w:rsid w:val="00860309"/>
    <w:rsid w:val="00862DC6"/>
    <w:rsid w:val="00863532"/>
    <w:rsid w:val="008647BB"/>
    <w:rsid w:val="008647F5"/>
    <w:rsid w:val="00865036"/>
    <w:rsid w:val="0086585B"/>
    <w:rsid w:val="00865B00"/>
    <w:rsid w:val="00867D52"/>
    <w:rsid w:val="008711D9"/>
    <w:rsid w:val="0087155D"/>
    <w:rsid w:val="0087222F"/>
    <w:rsid w:val="008815B6"/>
    <w:rsid w:val="00882DEE"/>
    <w:rsid w:val="00884320"/>
    <w:rsid w:val="00884730"/>
    <w:rsid w:val="0088522C"/>
    <w:rsid w:val="0088534D"/>
    <w:rsid w:val="0089006C"/>
    <w:rsid w:val="00890983"/>
    <w:rsid w:val="00892BB6"/>
    <w:rsid w:val="00892D94"/>
    <w:rsid w:val="00894C65"/>
    <w:rsid w:val="008A35E1"/>
    <w:rsid w:val="008A5AE4"/>
    <w:rsid w:val="008A6223"/>
    <w:rsid w:val="008A6B1D"/>
    <w:rsid w:val="008B0107"/>
    <w:rsid w:val="008B1051"/>
    <w:rsid w:val="008B3C01"/>
    <w:rsid w:val="008B4066"/>
    <w:rsid w:val="008B485D"/>
    <w:rsid w:val="008B56B2"/>
    <w:rsid w:val="008B57A3"/>
    <w:rsid w:val="008B6651"/>
    <w:rsid w:val="008B7568"/>
    <w:rsid w:val="008B7A29"/>
    <w:rsid w:val="008C0E5C"/>
    <w:rsid w:val="008C1D0B"/>
    <w:rsid w:val="008C3159"/>
    <w:rsid w:val="008C3B08"/>
    <w:rsid w:val="008C49C1"/>
    <w:rsid w:val="008C6E57"/>
    <w:rsid w:val="008C7A35"/>
    <w:rsid w:val="008C7BDC"/>
    <w:rsid w:val="008D035C"/>
    <w:rsid w:val="008D3721"/>
    <w:rsid w:val="008D41AC"/>
    <w:rsid w:val="008D47EC"/>
    <w:rsid w:val="008D56F3"/>
    <w:rsid w:val="008D6C8C"/>
    <w:rsid w:val="008E0659"/>
    <w:rsid w:val="008E2917"/>
    <w:rsid w:val="008E34A7"/>
    <w:rsid w:val="008E78F0"/>
    <w:rsid w:val="008F0187"/>
    <w:rsid w:val="008F084A"/>
    <w:rsid w:val="008F1778"/>
    <w:rsid w:val="008F1FC6"/>
    <w:rsid w:val="008F2DC4"/>
    <w:rsid w:val="008F32F6"/>
    <w:rsid w:val="008F3D5D"/>
    <w:rsid w:val="008F4D96"/>
    <w:rsid w:val="008F5280"/>
    <w:rsid w:val="008F5720"/>
    <w:rsid w:val="008F5A0A"/>
    <w:rsid w:val="00900BCC"/>
    <w:rsid w:val="00901870"/>
    <w:rsid w:val="00901890"/>
    <w:rsid w:val="00902FDF"/>
    <w:rsid w:val="009064C5"/>
    <w:rsid w:val="0091028E"/>
    <w:rsid w:val="0091206B"/>
    <w:rsid w:val="00922450"/>
    <w:rsid w:val="009226B0"/>
    <w:rsid w:val="009228E0"/>
    <w:rsid w:val="00925CEF"/>
    <w:rsid w:val="0092680E"/>
    <w:rsid w:val="00926A7F"/>
    <w:rsid w:val="0093246F"/>
    <w:rsid w:val="00933F87"/>
    <w:rsid w:val="00935025"/>
    <w:rsid w:val="009357E5"/>
    <w:rsid w:val="009358A8"/>
    <w:rsid w:val="00940805"/>
    <w:rsid w:val="009459A4"/>
    <w:rsid w:val="00946778"/>
    <w:rsid w:val="009501D1"/>
    <w:rsid w:val="00950695"/>
    <w:rsid w:val="00954CBE"/>
    <w:rsid w:val="00955872"/>
    <w:rsid w:val="00963281"/>
    <w:rsid w:val="009659B1"/>
    <w:rsid w:val="00965CC8"/>
    <w:rsid w:val="00966D4E"/>
    <w:rsid w:val="0097085A"/>
    <w:rsid w:val="009718AD"/>
    <w:rsid w:val="009749D1"/>
    <w:rsid w:val="0098044D"/>
    <w:rsid w:val="00981F8D"/>
    <w:rsid w:val="00982917"/>
    <w:rsid w:val="0098306B"/>
    <w:rsid w:val="009853CE"/>
    <w:rsid w:val="00987268"/>
    <w:rsid w:val="00992FAB"/>
    <w:rsid w:val="00996E13"/>
    <w:rsid w:val="00996FDE"/>
    <w:rsid w:val="00997C39"/>
    <w:rsid w:val="009A2661"/>
    <w:rsid w:val="009A36C0"/>
    <w:rsid w:val="009A3A98"/>
    <w:rsid w:val="009A6448"/>
    <w:rsid w:val="009A661A"/>
    <w:rsid w:val="009A7F92"/>
    <w:rsid w:val="009B0B97"/>
    <w:rsid w:val="009B2986"/>
    <w:rsid w:val="009B5573"/>
    <w:rsid w:val="009B58E3"/>
    <w:rsid w:val="009B644F"/>
    <w:rsid w:val="009B692D"/>
    <w:rsid w:val="009B6AA0"/>
    <w:rsid w:val="009C01E6"/>
    <w:rsid w:val="009C2F24"/>
    <w:rsid w:val="009C552A"/>
    <w:rsid w:val="009C5CD3"/>
    <w:rsid w:val="009C7553"/>
    <w:rsid w:val="009D1A8B"/>
    <w:rsid w:val="009D1C5F"/>
    <w:rsid w:val="009D3337"/>
    <w:rsid w:val="009D513E"/>
    <w:rsid w:val="009D6E45"/>
    <w:rsid w:val="009D70CF"/>
    <w:rsid w:val="009E3850"/>
    <w:rsid w:val="009E5975"/>
    <w:rsid w:val="009E67AD"/>
    <w:rsid w:val="009F14B3"/>
    <w:rsid w:val="009F4B92"/>
    <w:rsid w:val="009F5623"/>
    <w:rsid w:val="00A00981"/>
    <w:rsid w:val="00A0112F"/>
    <w:rsid w:val="00A01E52"/>
    <w:rsid w:val="00A046A9"/>
    <w:rsid w:val="00A0547D"/>
    <w:rsid w:val="00A064B6"/>
    <w:rsid w:val="00A148DF"/>
    <w:rsid w:val="00A1492E"/>
    <w:rsid w:val="00A172B8"/>
    <w:rsid w:val="00A20562"/>
    <w:rsid w:val="00A25F43"/>
    <w:rsid w:val="00A267C2"/>
    <w:rsid w:val="00A278B9"/>
    <w:rsid w:val="00A31581"/>
    <w:rsid w:val="00A3368F"/>
    <w:rsid w:val="00A3790C"/>
    <w:rsid w:val="00A40DAC"/>
    <w:rsid w:val="00A4162C"/>
    <w:rsid w:val="00A42EAC"/>
    <w:rsid w:val="00A52177"/>
    <w:rsid w:val="00A526C1"/>
    <w:rsid w:val="00A52906"/>
    <w:rsid w:val="00A52A58"/>
    <w:rsid w:val="00A54643"/>
    <w:rsid w:val="00A546D6"/>
    <w:rsid w:val="00A54A20"/>
    <w:rsid w:val="00A601F3"/>
    <w:rsid w:val="00A60202"/>
    <w:rsid w:val="00A60D8E"/>
    <w:rsid w:val="00A6194A"/>
    <w:rsid w:val="00A63D96"/>
    <w:rsid w:val="00A64460"/>
    <w:rsid w:val="00A67C50"/>
    <w:rsid w:val="00A72A63"/>
    <w:rsid w:val="00A75EC3"/>
    <w:rsid w:val="00A775D9"/>
    <w:rsid w:val="00A77FF5"/>
    <w:rsid w:val="00A84747"/>
    <w:rsid w:val="00A90F9F"/>
    <w:rsid w:val="00A91A5E"/>
    <w:rsid w:val="00A923D7"/>
    <w:rsid w:val="00A924DD"/>
    <w:rsid w:val="00A92C63"/>
    <w:rsid w:val="00A93AAF"/>
    <w:rsid w:val="00A94839"/>
    <w:rsid w:val="00A95ACA"/>
    <w:rsid w:val="00A95BDA"/>
    <w:rsid w:val="00A96EB9"/>
    <w:rsid w:val="00AA01FD"/>
    <w:rsid w:val="00AA1236"/>
    <w:rsid w:val="00AA1291"/>
    <w:rsid w:val="00AA54AC"/>
    <w:rsid w:val="00AA59D7"/>
    <w:rsid w:val="00AA7E33"/>
    <w:rsid w:val="00AB1171"/>
    <w:rsid w:val="00AB3179"/>
    <w:rsid w:val="00AB3745"/>
    <w:rsid w:val="00AB3765"/>
    <w:rsid w:val="00AB41D7"/>
    <w:rsid w:val="00AB79D3"/>
    <w:rsid w:val="00AC0CFA"/>
    <w:rsid w:val="00AC5BBD"/>
    <w:rsid w:val="00AC65B4"/>
    <w:rsid w:val="00AC6F20"/>
    <w:rsid w:val="00AD22D2"/>
    <w:rsid w:val="00AD5FE3"/>
    <w:rsid w:val="00AD613C"/>
    <w:rsid w:val="00AD63F3"/>
    <w:rsid w:val="00AD655B"/>
    <w:rsid w:val="00AE1E33"/>
    <w:rsid w:val="00AE41DF"/>
    <w:rsid w:val="00AE41F0"/>
    <w:rsid w:val="00AE71B3"/>
    <w:rsid w:val="00AE77C5"/>
    <w:rsid w:val="00AE77CC"/>
    <w:rsid w:val="00AE7FE7"/>
    <w:rsid w:val="00AF33BB"/>
    <w:rsid w:val="00AF4AAC"/>
    <w:rsid w:val="00AF7071"/>
    <w:rsid w:val="00B01E78"/>
    <w:rsid w:val="00B020D9"/>
    <w:rsid w:val="00B025BB"/>
    <w:rsid w:val="00B06051"/>
    <w:rsid w:val="00B06143"/>
    <w:rsid w:val="00B07C64"/>
    <w:rsid w:val="00B10950"/>
    <w:rsid w:val="00B12306"/>
    <w:rsid w:val="00B13050"/>
    <w:rsid w:val="00B1316B"/>
    <w:rsid w:val="00B13FF7"/>
    <w:rsid w:val="00B15235"/>
    <w:rsid w:val="00B16A70"/>
    <w:rsid w:val="00B223BF"/>
    <w:rsid w:val="00B25135"/>
    <w:rsid w:val="00B26664"/>
    <w:rsid w:val="00B2687E"/>
    <w:rsid w:val="00B32B4F"/>
    <w:rsid w:val="00B34292"/>
    <w:rsid w:val="00B36CCC"/>
    <w:rsid w:val="00B40102"/>
    <w:rsid w:val="00B44570"/>
    <w:rsid w:val="00B501D7"/>
    <w:rsid w:val="00B515E2"/>
    <w:rsid w:val="00B528E7"/>
    <w:rsid w:val="00B53E45"/>
    <w:rsid w:val="00B53E71"/>
    <w:rsid w:val="00B55A5B"/>
    <w:rsid w:val="00B562CF"/>
    <w:rsid w:val="00B56C80"/>
    <w:rsid w:val="00B56EF4"/>
    <w:rsid w:val="00B57434"/>
    <w:rsid w:val="00B6021C"/>
    <w:rsid w:val="00B6151B"/>
    <w:rsid w:val="00B630F5"/>
    <w:rsid w:val="00B67C04"/>
    <w:rsid w:val="00B704E9"/>
    <w:rsid w:val="00B73BB0"/>
    <w:rsid w:val="00B74075"/>
    <w:rsid w:val="00B741CF"/>
    <w:rsid w:val="00B745DC"/>
    <w:rsid w:val="00B75FC4"/>
    <w:rsid w:val="00B76141"/>
    <w:rsid w:val="00B779AE"/>
    <w:rsid w:val="00B80A0D"/>
    <w:rsid w:val="00B80AFE"/>
    <w:rsid w:val="00B81138"/>
    <w:rsid w:val="00B81FB5"/>
    <w:rsid w:val="00B9067C"/>
    <w:rsid w:val="00B91A58"/>
    <w:rsid w:val="00B91D94"/>
    <w:rsid w:val="00BA2C23"/>
    <w:rsid w:val="00BA35BD"/>
    <w:rsid w:val="00BA3B40"/>
    <w:rsid w:val="00BA4B6D"/>
    <w:rsid w:val="00BA5926"/>
    <w:rsid w:val="00BB0C2A"/>
    <w:rsid w:val="00BB1FD0"/>
    <w:rsid w:val="00BB349E"/>
    <w:rsid w:val="00BB4CEF"/>
    <w:rsid w:val="00BB62E9"/>
    <w:rsid w:val="00BB6305"/>
    <w:rsid w:val="00BB7CDC"/>
    <w:rsid w:val="00BC2846"/>
    <w:rsid w:val="00BC2A89"/>
    <w:rsid w:val="00BC6D34"/>
    <w:rsid w:val="00BC71CC"/>
    <w:rsid w:val="00BD01CF"/>
    <w:rsid w:val="00BD49B2"/>
    <w:rsid w:val="00BD56C5"/>
    <w:rsid w:val="00BD5758"/>
    <w:rsid w:val="00BE008E"/>
    <w:rsid w:val="00BE03E9"/>
    <w:rsid w:val="00BE2D6F"/>
    <w:rsid w:val="00BE2F1C"/>
    <w:rsid w:val="00BE2FB0"/>
    <w:rsid w:val="00BE6D24"/>
    <w:rsid w:val="00BE764E"/>
    <w:rsid w:val="00BE78A0"/>
    <w:rsid w:val="00BF0BB2"/>
    <w:rsid w:val="00BF1595"/>
    <w:rsid w:val="00BF35D4"/>
    <w:rsid w:val="00BF392D"/>
    <w:rsid w:val="00BF4C93"/>
    <w:rsid w:val="00BF63EA"/>
    <w:rsid w:val="00BF78E7"/>
    <w:rsid w:val="00BF7C87"/>
    <w:rsid w:val="00C069B3"/>
    <w:rsid w:val="00C103A8"/>
    <w:rsid w:val="00C11C85"/>
    <w:rsid w:val="00C12027"/>
    <w:rsid w:val="00C146AA"/>
    <w:rsid w:val="00C173C0"/>
    <w:rsid w:val="00C20B45"/>
    <w:rsid w:val="00C21240"/>
    <w:rsid w:val="00C23BCC"/>
    <w:rsid w:val="00C33556"/>
    <w:rsid w:val="00C353BF"/>
    <w:rsid w:val="00C407DD"/>
    <w:rsid w:val="00C4219F"/>
    <w:rsid w:val="00C4284F"/>
    <w:rsid w:val="00C42A7C"/>
    <w:rsid w:val="00C4443C"/>
    <w:rsid w:val="00C446EB"/>
    <w:rsid w:val="00C448DD"/>
    <w:rsid w:val="00C45A47"/>
    <w:rsid w:val="00C45AE0"/>
    <w:rsid w:val="00C50F65"/>
    <w:rsid w:val="00C5244E"/>
    <w:rsid w:val="00C53772"/>
    <w:rsid w:val="00C5465D"/>
    <w:rsid w:val="00C54F24"/>
    <w:rsid w:val="00C54FBB"/>
    <w:rsid w:val="00C61C82"/>
    <w:rsid w:val="00C628D5"/>
    <w:rsid w:val="00C62A1B"/>
    <w:rsid w:val="00C62AFB"/>
    <w:rsid w:val="00C651BD"/>
    <w:rsid w:val="00C67467"/>
    <w:rsid w:val="00C71A17"/>
    <w:rsid w:val="00C7256A"/>
    <w:rsid w:val="00C73905"/>
    <w:rsid w:val="00C73A88"/>
    <w:rsid w:val="00C74064"/>
    <w:rsid w:val="00C742CE"/>
    <w:rsid w:val="00C7586B"/>
    <w:rsid w:val="00C75A32"/>
    <w:rsid w:val="00C76295"/>
    <w:rsid w:val="00C77154"/>
    <w:rsid w:val="00C87BBF"/>
    <w:rsid w:val="00C90BCC"/>
    <w:rsid w:val="00C90F16"/>
    <w:rsid w:val="00C92E87"/>
    <w:rsid w:val="00C931BE"/>
    <w:rsid w:val="00C93EC9"/>
    <w:rsid w:val="00C940D2"/>
    <w:rsid w:val="00C951CE"/>
    <w:rsid w:val="00C96F59"/>
    <w:rsid w:val="00CA336C"/>
    <w:rsid w:val="00CA42C2"/>
    <w:rsid w:val="00CA51AF"/>
    <w:rsid w:val="00CA55B8"/>
    <w:rsid w:val="00CA56B8"/>
    <w:rsid w:val="00CB18C3"/>
    <w:rsid w:val="00CB2107"/>
    <w:rsid w:val="00CB35A8"/>
    <w:rsid w:val="00CB429F"/>
    <w:rsid w:val="00CB4843"/>
    <w:rsid w:val="00CB6FD3"/>
    <w:rsid w:val="00CB7B5D"/>
    <w:rsid w:val="00CC1061"/>
    <w:rsid w:val="00CC2495"/>
    <w:rsid w:val="00CC2A3B"/>
    <w:rsid w:val="00CC31A5"/>
    <w:rsid w:val="00CC4B62"/>
    <w:rsid w:val="00CC72AB"/>
    <w:rsid w:val="00CC76A4"/>
    <w:rsid w:val="00CD0C5A"/>
    <w:rsid w:val="00CD2C2F"/>
    <w:rsid w:val="00CD2EBB"/>
    <w:rsid w:val="00CD53FE"/>
    <w:rsid w:val="00CD57A1"/>
    <w:rsid w:val="00CD6017"/>
    <w:rsid w:val="00CD632D"/>
    <w:rsid w:val="00CD67C6"/>
    <w:rsid w:val="00CD7AA6"/>
    <w:rsid w:val="00CE005E"/>
    <w:rsid w:val="00CE0683"/>
    <w:rsid w:val="00CE06A3"/>
    <w:rsid w:val="00CE09BF"/>
    <w:rsid w:val="00CE1118"/>
    <w:rsid w:val="00CE3CD1"/>
    <w:rsid w:val="00CE4EE4"/>
    <w:rsid w:val="00CE7F89"/>
    <w:rsid w:val="00CF03F9"/>
    <w:rsid w:val="00CF192E"/>
    <w:rsid w:val="00CF4B2F"/>
    <w:rsid w:val="00CF4DF5"/>
    <w:rsid w:val="00CF5EFE"/>
    <w:rsid w:val="00D01287"/>
    <w:rsid w:val="00D021A0"/>
    <w:rsid w:val="00D02550"/>
    <w:rsid w:val="00D03CF6"/>
    <w:rsid w:val="00D05CC3"/>
    <w:rsid w:val="00D06A55"/>
    <w:rsid w:val="00D0756E"/>
    <w:rsid w:val="00D10F89"/>
    <w:rsid w:val="00D11DEC"/>
    <w:rsid w:val="00D12F30"/>
    <w:rsid w:val="00D13554"/>
    <w:rsid w:val="00D13E1D"/>
    <w:rsid w:val="00D16141"/>
    <w:rsid w:val="00D1767C"/>
    <w:rsid w:val="00D17913"/>
    <w:rsid w:val="00D224ED"/>
    <w:rsid w:val="00D22E82"/>
    <w:rsid w:val="00D23755"/>
    <w:rsid w:val="00D25F1F"/>
    <w:rsid w:val="00D26645"/>
    <w:rsid w:val="00D268F9"/>
    <w:rsid w:val="00D3597C"/>
    <w:rsid w:val="00D3716C"/>
    <w:rsid w:val="00D37641"/>
    <w:rsid w:val="00D423E0"/>
    <w:rsid w:val="00D44FFF"/>
    <w:rsid w:val="00D45917"/>
    <w:rsid w:val="00D46A0E"/>
    <w:rsid w:val="00D47F08"/>
    <w:rsid w:val="00D506F8"/>
    <w:rsid w:val="00D53C42"/>
    <w:rsid w:val="00D56924"/>
    <w:rsid w:val="00D6050E"/>
    <w:rsid w:val="00D6160D"/>
    <w:rsid w:val="00D61BC8"/>
    <w:rsid w:val="00D61E25"/>
    <w:rsid w:val="00D63091"/>
    <w:rsid w:val="00D6438F"/>
    <w:rsid w:val="00D64B43"/>
    <w:rsid w:val="00D66841"/>
    <w:rsid w:val="00D709D8"/>
    <w:rsid w:val="00D70E82"/>
    <w:rsid w:val="00D71438"/>
    <w:rsid w:val="00D71731"/>
    <w:rsid w:val="00D73A9E"/>
    <w:rsid w:val="00D76AD3"/>
    <w:rsid w:val="00D81483"/>
    <w:rsid w:val="00D83F7E"/>
    <w:rsid w:val="00D858B4"/>
    <w:rsid w:val="00D8614D"/>
    <w:rsid w:val="00D86220"/>
    <w:rsid w:val="00D900F9"/>
    <w:rsid w:val="00D90165"/>
    <w:rsid w:val="00D91BB1"/>
    <w:rsid w:val="00D92DB5"/>
    <w:rsid w:val="00D934EE"/>
    <w:rsid w:val="00D9384D"/>
    <w:rsid w:val="00D95A49"/>
    <w:rsid w:val="00D95D69"/>
    <w:rsid w:val="00D970AB"/>
    <w:rsid w:val="00D97FAC"/>
    <w:rsid w:val="00DA1034"/>
    <w:rsid w:val="00DA180D"/>
    <w:rsid w:val="00DA2A05"/>
    <w:rsid w:val="00DA2E9C"/>
    <w:rsid w:val="00DA336D"/>
    <w:rsid w:val="00DA4905"/>
    <w:rsid w:val="00DA6C45"/>
    <w:rsid w:val="00DA758F"/>
    <w:rsid w:val="00DB10C3"/>
    <w:rsid w:val="00DB12FA"/>
    <w:rsid w:val="00DB1705"/>
    <w:rsid w:val="00DB1958"/>
    <w:rsid w:val="00DB4A1A"/>
    <w:rsid w:val="00DB7DFD"/>
    <w:rsid w:val="00DC2530"/>
    <w:rsid w:val="00DC4AFD"/>
    <w:rsid w:val="00DC7704"/>
    <w:rsid w:val="00DD7DD6"/>
    <w:rsid w:val="00DE0927"/>
    <w:rsid w:val="00DE601A"/>
    <w:rsid w:val="00DE773B"/>
    <w:rsid w:val="00DF38CF"/>
    <w:rsid w:val="00DF5C29"/>
    <w:rsid w:val="00DF7D21"/>
    <w:rsid w:val="00E00D3E"/>
    <w:rsid w:val="00E012BD"/>
    <w:rsid w:val="00E033A9"/>
    <w:rsid w:val="00E053C6"/>
    <w:rsid w:val="00E0682D"/>
    <w:rsid w:val="00E06F8F"/>
    <w:rsid w:val="00E1142B"/>
    <w:rsid w:val="00E12A4B"/>
    <w:rsid w:val="00E14B22"/>
    <w:rsid w:val="00E14D7E"/>
    <w:rsid w:val="00E15174"/>
    <w:rsid w:val="00E1568F"/>
    <w:rsid w:val="00E15D7B"/>
    <w:rsid w:val="00E16A51"/>
    <w:rsid w:val="00E17700"/>
    <w:rsid w:val="00E17B13"/>
    <w:rsid w:val="00E17DD0"/>
    <w:rsid w:val="00E21717"/>
    <w:rsid w:val="00E23345"/>
    <w:rsid w:val="00E23AB4"/>
    <w:rsid w:val="00E2540D"/>
    <w:rsid w:val="00E262A0"/>
    <w:rsid w:val="00E264C6"/>
    <w:rsid w:val="00E3027D"/>
    <w:rsid w:val="00E3103F"/>
    <w:rsid w:val="00E3169A"/>
    <w:rsid w:val="00E32E40"/>
    <w:rsid w:val="00E3389B"/>
    <w:rsid w:val="00E34BC3"/>
    <w:rsid w:val="00E34C76"/>
    <w:rsid w:val="00E35D1C"/>
    <w:rsid w:val="00E41693"/>
    <w:rsid w:val="00E41ED3"/>
    <w:rsid w:val="00E42AAC"/>
    <w:rsid w:val="00E448A5"/>
    <w:rsid w:val="00E47268"/>
    <w:rsid w:val="00E4753B"/>
    <w:rsid w:val="00E51804"/>
    <w:rsid w:val="00E53D9E"/>
    <w:rsid w:val="00E54110"/>
    <w:rsid w:val="00E55E91"/>
    <w:rsid w:val="00E56206"/>
    <w:rsid w:val="00E5699F"/>
    <w:rsid w:val="00E60719"/>
    <w:rsid w:val="00E62B86"/>
    <w:rsid w:val="00E64249"/>
    <w:rsid w:val="00E64CC1"/>
    <w:rsid w:val="00E65CE9"/>
    <w:rsid w:val="00E66E8E"/>
    <w:rsid w:val="00E71166"/>
    <w:rsid w:val="00E7169B"/>
    <w:rsid w:val="00E71D44"/>
    <w:rsid w:val="00E778AD"/>
    <w:rsid w:val="00E80C3B"/>
    <w:rsid w:val="00E81F05"/>
    <w:rsid w:val="00E82F38"/>
    <w:rsid w:val="00E86546"/>
    <w:rsid w:val="00E90051"/>
    <w:rsid w:val="00E90939"/>
    <w:rsid w:val="00E92DB5"/>
    <w:rsid w:val="00E9453B"/>
    <w:rsid w:val="00E949F4"/>
    <w:rsid w:val="00E96C4B"/>
    <w:rsid w:val="00EA0CF8"/>
    <w:rsid w:val="00EA0E63"/>
    <w:rsid w:val="00EA1B6A"/>
    <w:rsid w:val="00EA2A03"/>
    <w:rsid w:val="00EA3BC5"/>
    <w:rsid w:val="00EA4E84"/>
    <w:rsid w:val="00EB19A6"/>
    <w:rsid w:val="00EB3E1B"/>
    <w:rsid w:val="00EB4ADD"/>
    <w:rsid w:val="00EB5349"/>
    <w:rsid w:val="00EB6AB3"/>
    <w:rsid w:val="00EB7FC5"/>
    <w:rsid w:val="00EC2475"/>
    <w:rsid w:val="00EC3AF3"/>
    <w:rsid w:val="00EC4197"/>
    <w:rsid w:val="00EC542F"/>
    <w:rsid w:val="00EC5583"/>
    <w:rsid w:val="00EC5DB6"/>
    <w:rsid w:val="00EC7F24"/>
    <w:rsid w:val="00ED2EB4"/>
    <w:rsid w:val="00ED3CDF"/>
    <w:rsid w:val="00ED628E"/>
    <w:rsid w:val="00ED711C"/>
    <w:rsid w:val="00ED76B1"/>
    <w:rsid w:val="00EE0144"/>
    <w:rsid w:val="00EE55CF"/>
    <w:rsid w:val="00EE5EB1"/>
    <w:rsid w:val="00EE65CA"/>
    <w:rsid w:val="00EE680F"/>
    <w:rsid w:val="00EE7783"/>
    <w:rsid w:val="00EF0AEB"/>
    <w:rsid w:val="00EF0DD1"/>
    <w:rsid w:val="00F01C68"/>
    <w:rsid w:val="00F06946"/>
    <w:rsid w:val="00F110CA"/>
    <w:rsid w:val="00F132F4"/>
    <w:rsid w:val="00F13DE5"/>
    <w:rsid w:val="00F14D66"/>
    <w:rsid w:val="00F16EE4"/>
    <w:rsid w:val="00F17EB4"/>
    <w:rsid w:val="00F212CE"/>
    <w:rsid w:val="00F22F66"/>
    <w:rsid w:val="00F30086"/>
    <w:rsid w:val="00F322D8"/>
    <w:rsid w:val="00F32797"/>
    <w:rsid w:val="00F32C95"/>
    <w:rsid w:val="00F32E08"/>
    <w:rsid w:val="00F35A2A"/>
    <w:rsid w:val="00F36D5E"/>
    <w:rsid w:val="00F40A41"/>
    <w:rsid w:val="00F4185A"/>
    <w:rsid w:val="00F42DB8"/>
    <w:rsid w:val="00F43C56"/>
    <w:rsid w:val="00F44E12"/>
    <w:rsid w:val="00F4722B"/>
    <w:rsid w:val="00F513F6"/>
    <w:rsid w:val="00F54049"/>
    <w:rsid w:val="00F5577A"/>
    <w:rsid w:val="00F562E6"/>
    <w:rsid w:val="00F5765B"/>
    <w:rsid w:val="00F627FD"/>
    <w:rsid w:val="00F648BE"/>
    <w:rsid w:val="00F72000"/>
    <w:rsid w:val="00F725C2"/>
    <w:rsid w:val="00F72DA5"/>
    <w:rsid w:val="00F81352"/>
    <w:rsid w:val="00F8186B"/>
    <w:rsid w:val="00F819E5"/>
    <w:rsid w:val="00F82C81"/>
    <w:rsid w:val="00F859B0"/>
    <w:rsid w:val="00F85A3D"/>
    <w:rsid w:val="00F87B3C"/>
    <w:rsid w:val="00F91C5D"/>
    <w:rsid w:val="00F91DDB"/>
    <w:rsid w:val="00F924AC"/>
    <w:rsid w:val="00F9274C"/>
    <w:rsid w:val="00F94173"/>
    <w:rsid w:val="00F95663"/>
    <w:rsid w:val="00F96145"/>
    <w:rsid w:val="00F9748A"/>
    <w:rsid w:val="00FA1CD7"/>
    <w:rsid w:val="00FA291A"/>
    <w:rsid w:val="00FA7A48"/>
    <w:rsid w:val="00FB05B1"/>
    <w:rsid w:val="00FB3B65"/>
    <w:rsid w:val="00FB5B4B"/>
    <w:rsid w:val="00FB5BE2"/>
    <w:rsid w:val="00FB6921"/>
    <w:rsid w:val="00FC00FC"/>
    <w:rsid w:val="00FC1046"/>
    <w:rsid w:val="00FC1F72"/>
    <w:rsid w:val="00FC3E16"/>
    <w:rsid w:val="00FC4622"/>
    <w:rsid w:val="00FC5F8C"/>
    <w:rsid w:val="00FC7321"/>
    <w:rsid w:val="00FD0AC7"/>
    <w:rsid w:val="00FD3084"/>
    <w:rsid w:val="00FD3E29"/>
    <w:rsid w:val="00FD3FE4"/>
    <w:rsid w:val="00FD48AD"/>
    <w:rsid w:val="00FD57D2"/>
    <w:rsid w:val="00FD67E4"/>
    <w:rsid w:val="00FD7E23"/>
    <w:rsid w:val="00FE0512"/>
    <w:rsid w:val="00FE0EDA"/>
    <w:rsid w:val="00FE1BE6"/>
    <w:rsid w:val="00FF161D"/>
    <w:rsid w:val="00FF5E33"/>
    <w:rsid w:val="00FF6BFF"/>
    <w:rsid w:val="00FF75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80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628E"/>
  </w:style>
  <w:style w:type="character" w:customStyle="1" w:styleId="FootnoteTextChar">
    <w:name w:val="Footnote Text Char"/>
    <w:basedOn w:val="DefaultParagraphFont"/>
    <w:link w:val="FootnoteText"/>
    <w:uiPriority w:val="99"/>
    <w:rsid w:val="00ED628E"/>
  </w:style>
  <w:style w:type="character" w:styleId="FootnoteReference">
    <w:name w:val="footnote reference"/>
    <w:basedOn w:val="DefaultParagraphFont"/>
    <w:uiPriority w:val="99"/>
    <w:unhideWhenUsed/>
    <w:rsid w:val="00ED628E"/>
    <w:rPr>
      <w:vertAlign w:val="superscript"/>
    </w:rPr>
  </w:style>
  <w:style w:type="paragraph" w:styleId="Header">
    <w:name w:val="header"/>
    <w:basedOn w:val="Normal"/>
    <w:link w:val="HeaderChar"/>
    <w:uiPriority w:val="99"/>
    <w:semiHidden/>
    <w:unhideWhenUsed/>
    <w:rsid w:val="00F819E5"/>
    <w:pPr>
      <w:tabs>
        <w:tab w:val="center" w:pos="4320"/>
        <w:tab w:val="right" w:pos="8640"/>
      </w:tabs>
    </w:pPr>
  </w:style>
  <w:style w:type="character" w:customStyle="1" w:styleId="HeaderChar">
    <w:name w:val="Header Char"/>
    <w:basedOn w:val="DefaultParagraphFont"/>
    <w:link w:val="Header"/>
    <w:uiPriority w:val="99"/>
    <w:semiHidden/>
    <w:rsid w:val="00F819E5"/>
  </w:style>
  <w:style w:type="character" w:styleId="PageNumber">
    <w:name w:val="page number"/>
    <w:basedOn w:val="DefaultParagraphFont"/>
    <w:uiPriority w:val="99"/>
    <w:semiHidden/>
    <w:unhideWhenUsed/>
    <w:rsid w:val="00F819E5"/>
  </w:style>
  <w:style w:type="paragraph" w:styleId="Footer">
    <w:name w:val="footer"/>
    <w:basedOn w:val="Normal"/>
    <w:link w:val="FooterChar"/>
    <w:uiPriority w:val="99"/>
    <w:semiHidden/>
    <w:unhideWhenUsed/>
    <w:rsid w:val="001C42BC"/>
    <w:pPr>
      <w:tabs>
        <w:tab w:val="center" w:pos="4320"/>
        <w:tab w:val="right" w:pos="8640"/>
      </w:tabs>
    </w:pPr>
  </w:style>
  <w:style w:type="character" w:customStyle="1" w:styleId="FooterChar">
    <w:name w:val="Footer Char"/>
    <w:basedOn w:val="DefaultParagraphFont"/>
    <w:link w:val="Footer"/>
    <w:uiPriority w:val="99"/>
    <w:semiHidden/>
    <w:rsid w:val="001C42BC"/>
  </w:style>
  <w:style w:type="character" w:styleId="Hyperlink">
    <w:name w:val="Hyperlink"/>
    <w:basedOn w:val="DefaultParagraphFont"/>
    <w:uiPriority w:val="99"/>
    <w:rsid w:val="008326F0"/>
    <w:rPr>
      <w:color w:val="0000FF"/>
      <w:u w:val="single"/>
    </w:rPr>
  </w:style>
  <w:style w:type="character" w:customStyle="1" w:styleId="i">
    <w:name w:val="i"/>
    <w:basedOn w:val="DefaultParagraphFont"/>
    <w:rsid w:val="008326F0"/>
  </w:style>
  <w:style w:type="character" w:styleId="Emphasis">
    <w:name w:val="Emphasis"/>
    <w:basedOn w:val="DefaultParagraphFont"/>
    <w:uiPriority w:val="20"/>
    <w:rsid w:val="00A75EC3"/>
    <w:rPr>
      <w:i/>
    </w:rPr>
  </w:style>
  <w:style w:type="character" w:styleId="FollowedHyperlink">
    <w:name w:val="FollowedHyperlink"/>
    <w:basedOn w:val="DefaultParagraphFont"/>
    <w:uiPriority w:val="99"/>
    <w:semiHidden/>
    <w:unhideWhenUsed/>
    <w:rsid w:val="0088534D"/>
    <w:rPr>
      <w:color w:val="800080" w:themeColor="followedHyperlink"/>
      <w:u w:val="single"/>
    </w:rPr>
  </w:style>
  <w:style w:type="character" w:styleId="Strong">
    <w:name w:val="Strong"/>
    <w:basedOn w:val="DefaultParagraphFont"/>
    <w:uiPriority w:val="22"/>
    <w:rsid w:val="00567C93"/>
    <w:rPr>
      <w:b/>
    </w:rPr>
  </w:style>
  <w:style w:type="character" w:customStyle="1" w:styleId="name">
    <w:name w:val="name"/>
    <w:basedOn w:val="DefaultParagraphFont"/>
    <w:rsid w:val="00B53E71"/>
  </w:style>
  <w:style w:type="character" w:customStyle="1" w:styleId="xref-sep">
    <w:name w:val="xref-sep"/>
    <w:basedOn w:val="DefaultParagraphFont"/>
    <w:rsid w:val="00B53E71"/>
  </w:style>
  <w:style w:type="paragraph" w:styleId="BalloonText">
    <w:name w:val="Balloon Text"/>
    <w:basedOn w:val="Normal"/>
    <w:link w:val="BalloonTextChar"/>
    <w:rsid w:val="00CB35A8"/>
    <w:rPr>
      <w:rFonts w:ascii="Lucida Grande" w:hAnsi="Lucida Grande" w:cs="Lucida Grande"/>
      <w:sz w:val="18"/>
      <w:szCs w:val="18"/>
    </w:rPr>
  </w:style>
  <w:style w:type="character" w:customStyle="1" w:styleId="BalloonTextChar">
    <w:name w:val="Balloon Text Char"/>
    <w:basedOn w:val="DefaultParagraphFont"/>
    <w:link w:val="BalloonText"/>
    <w:rsid w:val="00CB35A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628E"/>
  </w:style>
  <w:style w:type="character" w:customStyle="1" w:styleId="FootnoteTextChar">
    <w:name w:val="Footnote Text Char"/>
    <w:basedOn w:val="DefaultParagraphFont"/>
    <w:link w:val="FootnoteText"/>
    <w:uiPriority w:val="99"/>
    <w:rsid w:val="00ED628E"/>
  </w:style>
  <w:style w:type="character" w:styleId="FootnoteReference">
    <w:name w:val="footnote reference"/>
    <w:basedOn w:val="DefaultParagraphFont"/>
    <w:uiPriority w:val="99"/>
    <w:unhideWhenUsed/>
    <w:rsid w:val="00ED628E"/>
    <w:rPr>
      <w:vertAlign w:val="superscript"/>
    </w:rPr>
  </w:style>
  <w:style w:type="paragraph" w:styleId="Header">
    <w:name w:val="header"/>
    <w:basedOn w:val="Normal"/>
    <w:link w:val="HeaderChar"/>
    <w:uiPriority w:val="99"/>
    <w:semiHidden/>
    <w:unhideWhenUsed/>
    <w:rsid w:val="00F819E5"/>
    <w:pPr>
      <w:tabs>
        <w:tab w:val="center" w:pos="4320"/>
        <w:tab w:val="right" w:pos="8640"/>
      </w:tabs>
    </w:pPr>
  </w:style>
  <w:style w:type="character" w:customStyle="1" w:styleId="HeaderChar">
    <w:name w:val="Header Char"/>
    <w:basedOn w:val="DefaultParagraphFont"/>
    <w:link w:val="Header"/>
    <w:uiPriority w:val="99"/>
    <w:semiHidden/>
    <w:rsid w:val="00F819E5"/>
  </w:style>
  <w:style w:type="character" w:styleId="PageNumber">
    <w:name w:val="page number"/>
    <w:basedOn w:val="DefaultParagraphFont"/>
    <w:uiPriority w:val="99"/>
    <w:semiHidden/>
    <w:unhideWhenUsed/>
    <w:rsid w:val="00F819E5"/>
  </w:style>
  <w:style w:type="paragraph" w:styleId="Footer">
    <w:name w:val="footer"/>
    <w:basedOn w:val="Normal"/>
    <w:link w:val="FooterChar"/>
    <w:uiPriority w:val="99"/>
    <w:semiHidden/>
    <w:unhideWhenUsed/>
    <w:rsid w:val="001C42BC"/>
    <w:pPr>
      <w:tabs>
        <w:tab w:val="center" w:pos="4320"/>
        <w:tab w:val="right" w:pos="8640"/>
      </w:tabs>
    </w:pPr>
  </w:style>
  <w:style w:type="character" w:customStyle="1" w:styleId="FooterChar">
    <w:name w:val="Footer Char"/>
    <w:basedOn w:val="DefaultParagraphFont"/>
    <w:link w:val="Footer"/>
    <w:uiPriority w:val="99"/>
    <w:semiHidden/>
    <w:rsid w:val="001C42BC"/>
  </w:style>
  <w:style w:type="character" w:styleId="Hyperlink">
    <w:name w:val="Hyperlink"/>
    <w:basedOn w:val="DefaultParagraphFont"/>
    <w:uiPriority w:val="99"/>
    <w:rsid w:val="008326F0"/>
    <w:rPr>
      <w:color w:val="0000FF"/>
      <w:u w:val="single"/>
    </w:rPr>
  </w:style>
  <w:style w:type="character" w:customStyle="1" w:styleId="i">
    <w:name w:val="i"/>
    <w:basedOn w:val="DefaultParagraphFont"/>
    <w:rsid w:val="008326F0"/>
  </w:style>
  <w:style w:type="character" w:styleId="Emphasis">
    <w:name w:val="Emphasis"/>
    <w:basedOn w:val="DefaultParagraphFont"/>
    <w:uiPriority w:val="20"/>
    <w:rsid w:val="00A75EC3"/>
    <w:rPr>
      <w:i/>
    </w:rPr>
  </w:style>
  <w:style w:type="character" w:styleId="FollowedHyperlink">
    <w:name w:val="FollowedHyperlink"/>
    <w:basedOn w:val="DefaultParagraphFont"/>
    <w:uiPriority w:val="99"/>
    <w:semiHidden/>
    <w:unhideWhenUsed/>
    <w:rsid w:val="0088534D"/>
    <w:rPr>
      <w:color w:val="800080" w:themeColor="followedHyperlink"/>
      <w:u w:val="single"/>
    </w:rPr>
  </w:style>
  <w:style w:type="character" w:styleId="Strong">
    <w:name w:val="Strong"/>
    <w:basedOn w:val="DefaultParagraphFont"/>
    <w:uiPriority w:val="22"/>
    <w:rsid w:val="00567C93"/>
    <w:rPr>
      <w:b/>
    </w:rPr>
  </w:style>
  <w:style w:type="character" w:customStyle="1" w:styleId="name">
    <w:name w:val="name"/>
    <w:basedOn w:val="DefaultParagraphFont"/>
    <w:rsid w:val="00B53E71"/>
  </w:style>
  <w:style w:type="character" w:customStyle="1" w:styleId="xref-sep">
    <w:name w:val="xref-sep"/>
    <w:basedOn w:val="DefaultParagraphFont"/>
    <w:rsid w:val="00B53E71"/>
  </w:style>
  <w:style w:type="paragraph" w:styleId="BalloonText">
    <w:name w:val="Balloon Text"/>
    <w:basedOn w:val="Normal"/>
    <w:link w:val="BalloonTextChar"/>
    <w:rsid w:val="00CB35A8"/>
    <w:rPr>
      <w:rFonts w:ascii="Lucida Grande" w:hAnsi="Lucida Grande" w:cs="Lucida Grande"/>
      <w:sz w:val="18"/>
      <w:szCs w:val="18"/>
    </w:rPr>
  </w:style>
  <w:style w:type="character" w:customStyle="1" w:styleId="BalloonTextChar">
    <w:name w:val="Balloon Text Char"/>
    <w:basedOn w:val="DefaultParagraphFont"/>
    <w:link w:val="BalloonText"/>
    <w:rsid w:val="00CB35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9019">
      <w:bodyDiv w:val="1"/>
      <w:marLeft w:val="0"/>
      <w:marRight w:val="0"/>
      <w:marTop w:val="0"/>
      <w:marBottom w:val="0"/>
      <w:divBdr>
        <w:top w:val="none" w:sz="0" w:space="0" w:color="auto"/>
        <w:left w:val="none" w:sz="0" w:space="0" w:color="auto"/>
        <w:bottom w:val="none" w:sz="0" w:space="0" w:color="auto"/>
        <w:right w:val="none" w:sz="0" w:space="0" w:color="auto"/>
      </w:divBdr>
      <w:divsChild>
        <w:div w:id="1877035984">
          <w:marLeft w:val="0"/>
          <w:marRight w:val="0"/>
          <w:marTop w:val="0"/>
          <w:marBottom w:val="0"/>
          <w:divBdr>
            <w:top w:val="none" w:sz="0" w:space="0" w:color="auto"/>
            <w:left w:val="none" w:sz="0" w:space="0" w:color="auto"/>
            <w:bottom w:val="none" w:sz="0" w:space="0" w:color="auto"/>
            <w:right w:val="none" w:sz="0" w:space="0" w:color="auto"/>
          </w:divBdr>
        </w:div>
      </w:divsChild>
    </w:div>
    <w:div w:id="39135495">
      <w:bodyDiv w:val="1"/>
      <w:marLeft w:val="0"/>
      <w:marRight w:val="0"/>
      <w:marTop w:val="0"/>
      <w:marBottom w:val="0"/>
      <w:divBdr>
        <w:top w:val="none" w:sz="0" w:space="0" w:color="auto"/>
        <w:left w:val="none" w:sz="0" w:space="0" w:color="auto"/>
        <w:bottom w:val="none" w:sz="0" w:space="0" w:color="auto"/>
        <w:right w:val="none" w:sz="0" w:space="0" w:color="auto"/>
      </w:divBdr>
    </w:div>
    <w:div w:id="99493090">
      <w:bodyDiv w:val="1"/>
      <w:marLeft w:val="0"/>
      <w:marRight w:val="0"/>
      <w:marTop w:val="0"/>
      <w:marBottom w:val="0"/>
      <w:divBdr>
        <w:top w:val="none" w:sz="0" w:space="0" w:color="auto"/>
        <w:left w:val="none" w:sz="0" w:space="0" w:color="auto"/>
        <w:bottom w:val="none" w:sz="0" w:space="0" w:color="auto"/>
        <w:right w:val="none" w:sz="0" w:space="0" w:color="auto"/>
      </w:divBdr>
      <w:divsChild>
        <w:div w:id="1269658846">
          <w:marLeft w:val="0"/>
          <w:marRight w:val="0"/>
          <w:marTop w:val="0"/>
          <w:marBottom w:val="0"/>
          <w:divBdr>
            <w:top w:val="none" w:sz="0" w:space="0" w:color="auto"/>
            <w:left w:val="none" w:sz="0" w:space="0" w:color="auto"/>
            <w:bottom w:val="none" w:sz="0" w:space="0" w:color="auto"/>
            <w:right w:val="none" w:sz="0" w:space="0" w:color="auto"/>
          </w:divBdr>
        </w:div>
      </w:divsChild>
    </w:div>
    <w:div w:id="144587757">
      <w:bodyDiv w:val="1"/>
      <w:marLeft w:val="0"/>
      <w:marRight w:val="0"/>
      <w:marTop w:val="0"/>
      <w:marBottom w:val="0"/>
      <w:divBdr>
        <w:top w:val="none" w:sz="0" w:space="0" w:color="auto"/>
        <w:left w:val="none" w:sz="0" w:space="0" w:color="auto"/>
        <w:bottom w:val="none" w:sz="0" w:space="0" w:color="auto"/>
        <w:right w:val="none" w:sz="0" w:space="0" w:color="auto"/>
      </w:divBdr>
      <w:divsChild>
        <w:div w:id="280962474">
          <w:marLeft w:val="0"/>
          <w:marRight w:val="0"/>
          <w:marTop w:val="0"/>
          <w:marBottom w:val="0"/>
          <w:divBdr>
            <w:top w:val="none" w:sz="0" w:space="0" w:color="auto"/>
            <w:left w:val="none" w:sz="0" w:space="0" w:color="auto"/>
            <w:bottom w:val="none" w:sz="0" w:space="0" w:color="auto"/>
            <w:right w:val="none" w:sz="0" w:space="0" w:color="auto"/>
          </w:divBdr>
        </w:div>
      </w:divsChild>
    </w:div>
    <w:div w:id="580524944">
      <w:bodyDiv w:val="1"/>
      <w:marLeft w:val="0"/>
      <w:marRight w:val="0"/>
      <w:marTop w:val="0"/>
      <w:marBottom w:val="0"/>
      <w:divBdr>
        <w:top w:val="none" w:sz="0" w:space="0" w:color="auto"/>
        <w:left w:val="none" w:sz="0" w:space="0" w:color="auto"/>
        <w:bottom w:val="none" w:sz="0" w:space="0" w:color="auto"/>
        <w:right w:val="none" w:sz="0" w:space="0" w:color="auto"/>
      </w:divBdr>
      <w:divsChild>
        <w:div w:id="434404395">
          <w:marLeft w:val="0"/>
          <w:marRight w:val="0"/>
          <w:marTop w:val="0"/>
          <w:marBottom w:val="0"/>
          <w:divBdr>
            <w:top w:val="none" w:sz="0" w:space="0" w:color="auto"/>
            <w:left w:val="none" w:sz="0" w:space="0" w:color="auto"/>
            <w:bottom w:val="none" w:sz="0" w:space="0" w:color="auto"/>
            <w:right w:val="none" w:sz="0" w:space="0" w:color="auto"/>
          </w:divBdr>
        </w:div>
      </w:divsChild>
    </w:div>
    <w:div w:id="593975906">
      <w:bodyDiv w:val="1"/>
      <w:marLeft w:val="0"/>
      <w:marRight w:val="0"/>
      <w:marTop w:val="0"/>
      <w:marBottom w:val="0"/>
      <w:divBdr>
        <w:top w:val="none" w:sz="0" w:space="0" w:color="auto"/>
        <w:left w:val="none" w:sz="0" w:space="0" w:color="auto"/>
        <w:bottom w:val="none" w:sz="0" w:space="0" w:color="auto"/>
        <w:right w:val="none" w:sz="0" w:space="0" w:color="auto"/>
      </w:divBdr>
      <w:divsChild>
        <w:div w:id="2101757493">
          <w:marLeft w:val="0"/>
          <w:marRight w:val="0"/>
          <w:marTop w:val="0"/>
          <w:marBottom w:val="0"/>
          <w:divBdr>
            <w:top w:val="none" w:sz="0" w:space="0" w:color="auto"/>
            <w:left w:val="none" w:sz="0" w:space="0" w:color="auto"/>
            <w:bottom w:val="none" w:sz="0" w:space="0" w:color="auto"/>
            <w:right w:val="none" w:sz="0" w:space="0" w:color="auto"/>
          </w:divBdr>
        </w:div>
        <w:div w:id="224145271">
          <w:marLeft w:val="0"/>
          <w:marRight w:val="0"/>
          <w:marTop w:val="0"/>
          <w:marBottom w:val="0"/>
          <w:divBdr>
            <w:top w:val="none" w:sz="0" w:space="0" w:color="auto"/>
            <w:left w:val="none" w:sz="0" w:space="0" w:color="auto"/>
            <w:bottom w:val="none" w:sz="0" w:space="0" w:color="auto"/>
            <w:right w:val="none" w:sz="0" w:space="0" w:color="auto"/>
          </w:divBdr>
        </w:div>
        <w:div w:id="1815218354">
          <w:marLeft w:val="0"/>
          <w:marRight w:val="0"/>
          <w:marTop w:val="0"/>
          <w:marBottom w:val="0"/>
          <w:divBdr>
            <w:top w:val="none" w:sz="0" w:space="0" w:color="auto"/>
            <w:left w:val="none" w:sz="0" w:space="0" w:color="auto"/>
            <w:bottom w:val="none" w:sz="0" w:space="0" w:color="auto"/>
            <w:right w:val="none" w:sz="0" w:space="0" w:color="auto"/>
          </w:divBdr>
        </w:div>
      </w:divsChild>
    </w:div>
    <w:div w:id="601642734">
      <w:bodyDiv w:val="1"/>
      <w:marLeft w:val="0"/>
      <w:marRight w:val="0"/>
      <w:marTop w:val="0"/>
      <w:marBottom w:val="0"/>
      <w:divBdr>
        <w:top w:val="none" w:sz="0" w:space="0" w:color="auto"/>
        <w:left w:val="none" w:sz="0" w:space="0" w:color="auto"/>
        <w:bottom w:val="none" w:sz="0" w:space="0" w:color="auto"/>
        <w:right w:val="none" w:sz="0" w:space="0" w:color="auto"/>
      </w:divBdr>
      <w:divsChild>
        <w:div w:id="1112895043">
          <w:marLeft w:val="0"/>
          <w:marRight w:val="0"/>
          <w:marTop w:val="0"/>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sChild>
        <w:div w:id="1007555603">
          <w:marLeft w:val="0"/>
          <w:marRight w:val="0"/>
          <w:marTop w:val="0"/>
          <w:marBottom w:val="0"/>
          <w:divBdr>
            <w:top w:val="none" w:sz="0" w:space="0" w:color="auto"/>
            <w:left w:val="none" w:sz="0" w:space="0" w:color="auto"/>
            <w:bottom w:val="none" w:sz="0" w:space="0" w:color="auto"/>
            <w:right w:val="none" w:sz="0" w:space="0" w:color="auto"/>
          </w:divBdr>
        </w:div>
      </w:divsChild>
    </w:div>
    <w:div w:id="669455732">
      <w:bodyDiv w:val="1"/>
      <w:marLeft w:val="0"/>
      <w:marRight w:val="0"/>
      <w:marTop w:val="0"/>
      <w:marBottom w:val="0"/>
      <w:divBdr>
        <w:top w:val="none" w:sz="0" w:space="0" w:color="auto"/>
        <w:left w:val="none" w:sz="0" w:space="0" w:color="auto"/>
        <w:bottom w:val="none" w:sz="0" w:space="0" w:color="auto"/>
        <w:right w:val="none" w:sz="0" w:space="0" w:color="auto"/>
      </w:divBdr>
      <w:divsChild>
        <w:div w:id="1289821265">
          <w:marLeft w:val="0"/>
          <w:marRight w:val="0"/>
          <w:marTop w:val="0"/>
          <w:marBottom w:val="0"/>
          <w:divBdr>
            <w:top w:val="none" w:sz="0" w:space="0" w:color="auto"/>
            <w:left w:val="none" w:sz="0" w:space="0" w:color="auto"/>
            <w:bottom w:val="none" w:sz="0" w:space="0" w:color="auto"/>
            <w:right w:val="none" w:sz="0" w:space="0" w:color="auto"/>
          </w:divBdr>
          <w:divsChild>
            <w:div w:id="767651333">
              <w:marLeft w:val="0"/>
              <w:marRight w:val="0"/>
              <w:marTop w:val="0"/>
              <w:marBottom w:val="0"/>
              <w:divBdr>
                <w:top w:val="none" w:sz="0" w:space="0" w:color="auto"/>
                <w:left w:val="none" w:sz="0" w:space="0" w:color="auto"/>
                <w:bottom w:val="none" w:sz="0" w:space="0" w:color="auto"/>
                <w:right w:val="none" w:sz="0" w:space="0" w:color="auto"/>
              </w:divBdr>
              <w:divsChild>
                <w:div w:id="1489443013">
                  <w:marLeft w:val="0"/>
                  <w:marRight w:val="0"/>
                  <w:marTop w:val="0"/>
                  <w:marBottom w:val="0"/>
                  <w:divBdr>
                    <w:top w:val="none" w:sz="0" w:space="0" w:color="auto"/>
                    <w:left w:val="none" w:sz="0" w:space="0" w:color="auto"/>
                    <w:bottom w:val="none" w:sz="0" w:space="0" w:color="auto"/>
                    <w:right w:val="none" w:sz="0" w:space="0" w:color="auto"/>
                  </w:divBdr>
                </w:div>
                <w:div w:id="1529291921">
                  <w:marLeft w:val="0"/>
                  <w:marRight w:val="0"/>
                  <w:marTop w:val="0"/>
                  <w:marBottom w:val="0"/>
                  <w:divBdr>
                    <w:top w:val="none" w:sz="0" w:space="0" w:color="auto"/>
                    <w:left w:val="none" w:sz="0" w:space="0" w:color="auto"/>
                    <w:bottom w:val="none" w:sz="0" w:space="0" w:color="auto"/>
                    <w:right w:val="none" w:sz="0" w:space="0" w:color="auto"/>
                  </w:divBdr>
                </w:div>
                <w:div w:id="1868061131">
                  <w:marLeft w:val="0"/>
                  <w:marRight w:val="0"/>
                  <w:marTop w:val="0"/>
                  <w:marBottom w:val="0"/>
                  <w:divBdr>
                    <w:top w:val="none" w:sz="0" w:space="0" w:color="auto"/>
                    <w:left w:val="none" w:sz="0" w:space="0" w:color="auto"/>
                    <w:bottom w:val="none" w:sz="0" w:space="0" w:color="auto"/>
                    <w:right w:val="none" w:sz="0" w:space="0" w:color="auto"/>
                  </w:divBdr>
                </w:div>
                <w:div w:id="1502965910">
                  <w:marLeft w:val="0"/>
                  <w:marRight w:val="0"/>
                  <w:marTop w:val="0"/>
                  <w:marBottom w:val="0"/>
                  <w:divBdr>
                    <w:top w:val="none" w:sz="0" w:space="0" w:color="auto"/>
                    <w:left w:val="none" w:sz="0" w:space="0" w:color="auto"/>
                    <w:bottom w:val="none" w:sz="0" w:space="0" w:color="auto"/>
                    <w:right w:val="none" w:sz="0" w:space="0" w:color="auto"/>
                  </w:divBdr>
                </w:div>
                <w:div w:id="16520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9027">
          <w:marLeft w:val="0"/>
          <w:marRight w:val="0"/>
          <w:marTop w:val="0"/>
          <w:marBottom w:val="0"/>
          <w:divBdr>
            <w:top w:val="none" w:sz="0" w:space="0" w:color="auto"/>
            <w:left w:val="none" w:sz="0" w:space="0" w:color="auto"/>
            <w:bottom w:val="none" w:sz="0" w:space="0" w:color="auto"/>
            <w:right w:val="none" w:sz="0" w:space="0" w:color="auto"/>
          </w:divBdr>
          <w:divsChild>
            <w:div w:id="1874996008">
              <w:marLeft w:val="0"/>
              <w:marRight w:val="0"/>
              <w:marTop w:val="0"/>
              <w:marBottom w:val="0"/>
              <w:divBdr>
                <w:top w:val="none" w:sz="0" w:space="0" w:color="auto"/>
                <w:left w:val="none" w:sz="0" w:space="0" w:color="auto"/>
                <w:bottom w:val="none" w:sz="0" w:space="0" w:color="auto"/>
                <w:right w:val="none" w:sz="0" w:space="0" w:color="auto"/>
              </w:divBdr>
              <w:divsChild>
                <w:div w:id="1742171734">
                  <w:marLeft w:val="0"/>
                  <w:marRight w:val="0"/>
                  <w:marTop w:val="0"/>
                  <w:marBottom w:val="0"/>
                  <w:divBdr>
                    <w:top w:val="none" w:sz="0" w:space="0" w:color="auto"/>
                    <w:left w:val="none" w:sz="0" w:space="0" w:color="auto"/>
                    <w:bottom w:val="none" w:sz="0" w:space="0" w:color="auto"/>
                    <w:right w:val="none" w:sz="0" w:space="0" w:color="auto"/>
                  </w:divBdr>
                </w:div>
                <w:div w:id="2026325987">
                  <w:marLeft w:val="0"/>
                  <w:marRight w:val="0"/>
                  <w:marTop w:val="0"/>
                  <w:marBottom w:val="0"/>
                  <w:divBdr>
                    <w:top w:val="none" w:sz="0" w:space="0" w:color="auto"/>
                    <w:left w:val="none" w:sz="0" w:space="0" w:color="auto"/>
                    <w:bottom w:val="none" w:sz="0" w:space="0" w:color="auto"/>
                    <w:right w:val="none" w:sz="0" w:space="0" w:color="auto"/>
                  </w:divBdr>
                </w:div>
                <w:div w:id="2141804467">
                  <w:marLeft w:val="0"/>
                  <w:marRight w:val="0"/>
                  <w:marTop w:val="0"/>
                  <w:marBottom w:val="0"/>
                  <w:divBdr>
                    <w:top w:val="none" w:sz="0" w:space="0" w:color="auto"/>
                    <w:left w:val="none" w:sz="0" w:space="0" w:color="auto"/>
                    <w:bottom w:val="none" w:sz="0" w:space="0" w:color="auto"/>
                    <w:right w:val="none" w:sz="0" w:space="0" w:color="auto"/>
                  </w:divBdr>
                </w:div>
                <w:div w:id="563762828">
                  <w:marLeft w:val="0"/>
                  <w:marRight w:val="0"/>
                  <w:marTop w:val="0"/>
                  <w:marBottom w:val="0"/>
                  <w:divBdr>
                    <w:top w:val="none" w:sz="0" w:space="0" w:color="auto"/>
                    <w:left w:val="none" w:sz="0" w:space="0" w:color="auto"/>
                    <w:bottom w:val="none" w:sz="0" w:space="0" w:color="auto"/>
                    <w:right w:val="none" w:sz="0" w:space="0" w:color="auto"/>
                  </w:divBdr>
                </w:div>
                <w:div w:id="16650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49364">
      <w:bodyDiv w:val="1"/>
      <w:marLeft w:val="0"/>
      <w:marRight w:val="0"/>
      <w:marTop w:val="0"/>
      <w:marBottom w:val="0"/>
      <w:divBdr>
        <w:top w:val="none" w:sz="0" w:space="0" w:color="auto"/>
        <w:left w:val="none" w:sz="0" w:space="0" w:color="auto"/>
        <w:bottom w:val="none" w:sz="0" w:space="0" w:color="auto"/>
        <w:right w:val="none" w:sz="0" w:space="0" w:color="auto"/>
      </w:divBdr>
      <w:divsChild>
        <w:div w:id="164322938">
          <w:marLeft w:val="0"/>
          <w:marRight w:val="0"/>
          <w:marTop w:val="0"/>
          <w:marBottom w:val="0"/>
          <w:divBdr>
            <w:top w:val="none" w:sz="0" w:space="0" w:color="auto"/>
            <w:left w:val="none" w:sz="0" w:space="0" w:color="auto"/>
            <w:bottom w:val="none" w:sz="0" w:space="0" w:color="auto"/>
            <w:right w:val="none" w:sz="0" w:space="0" w:color="auto"/>
          </w:divBdr>
        </w:div>
        <w:div w:id="132136586">
          <w:marLeft w:val="0"/>
          <w:marRight w:val="0"/>
          <w:marTop w:val="0"/>
          <w:marBottom w:val="0"/>
          <w:divBdr>
            <w:top w:val="none" w:sz="0" w:space="0" w:color="auto"/>
            <w:left w:val="none" w:sz="0" w:space="0" w:color="auto"/>
            <w:bottom w:val="none" w:sz="0" w:space="0" w:color="auto"/>
            <w:right w:val="none" w:sz="0" w:space="0" w:color="auto"/>
          </w:divBdr>
        </w:div>
        <w:div w:id="1241257426">
          <w:marLeft w:val="0"/>
          <w:marRight w:val="0"/>
          <w:marTop w:val="0"/>
          <w:marBottom w:val="0"/>
          <w:divBdr>
            <w:top w:val="none" w:sz="0" w:space="0" w:color="auto"/>
            <w:left w:val="none" w:sz="0" w:space="0" w:color="auto"/>
            <w:bottom w:val="none" w:sz="0" w:space="0" w:color="auto"/>
            <w:right w:val="none" w:sz="0" w:space="0" w:color="auto"/>
          </w:divBdr>
        </w:div>
      </w:divsChild>
    </w:div>
    <w:div w:id="772287181">
      <w:bodyDiv w:val="1"/>
      <w:marLeft w:val="0"/>
      <w:marRight w:val="0"/>
      <w:marTop w:val="0"/>
      <w:marBottom w:val="0"/>
      <w:divBdr>
        <w:top w:val="none" w:sz="0" w:space="0" w:color="auto"/>
        <w:left w:val="none" w:sz="0" w:space="0" w:color="auto"/>
        <w:bottom w:val="none" w:sz="0" w:space="0" w:color="auto"/>
        <w:right w:val="none" w:sz="0" w:space="0" w:color="auto"/>
      </w:divBdr>
      <w:divsChild>
        <w:div w:id="1324973098">
          <w:marLeft w:val="0"/>
          <w:marRight w:val="0"/>
          <w:marTop w:val="0"/>
          <w:marBottom w:val="0"/>
          <w:divBdr>
            <w:top w:val="none" w:sz="0" w:space="0" w:color="auto"/>
            <w:left w:val="none" w:sz="0" w:space="0" w:color="auto"/>
            <w:bottom w:val="none" w:sz="0" w:space="0" w:color="auto"/>
            <w:right w:val="none" w:sz="0" w:space="0" w:color="auto"/>
          </w:divBdr>
        </w:div>
        <w:div w:id="317850811">
          <w:marLeft w:val="0"/>
          <w:marRight w:val="0"/>
          <w:marTop w:val="0"/>
          <w:marBottom w:val="0"/>
          <w:divBdr>
            <w:top w:val="none" w:sz="0" w:space="0" w:color="auto"/>
            <w:left w:val="none" w:sz="0" w:space="0" w:color="auto"/>
            <w:bottom w:val="none" w:sz="0" w:space="0" w:color="auto"/>
            <w:right w:val="none" w:sz="0" w:space="0" w:color="auto"/>
          </w:divBdr>
        </w:div>
        <w:div w:id="302514933">
          <w:marLeft w:val="0"/>
          <w:marRight w:val="0"/>
          <w:marTop w:val="0"/>
          <w:marBottom w:val="0"/>
          <w:divBdr>
            <w:top w:val="none" w:sz="0" w:space="0" w:color="auto"/>
            <w:left w:val="none" w:sz="0" w:space="0" w:color="auto"/>
            <w:bottom w:val="none" w:sz="0" w:space="0" w:color="auto"/>
            <w:right w:val="none" w:sz="0" w:space="0" w:color="auto"/>
          </w:divBdr>
        </w:div>
        <w:div w:id="141582247">
          <w:marLeft w:val="0"/>
          <w:marRight w:val="0"/>
          <w:marTop w:val="0"/>
          <w:marBottom w:val="0"/>
          <w:divBdr>
            <w:top w:val="none" w:sz="0" w:space="0" w:color="auto"/>
            <w:left w:val="none" w:sz="0" w:space="0" w:color="auto"/>
            <w:bottom w:val="none" w:sz="0" w:space="0" w:color="auto"/>
            <w:right w:val="none" w:sz="0" w:space="0" w:color="auto"/>
          </w:divBdr>
        </w:div>
        <w:div w:id="689140024">
          <w:marLeft w:val="0"/>
          <w:marRight w:val="0"/>
          <w:marTop w:val="0"/>
          <w:marBottom w:val="0"/>
          <w:divBdr>
            <w:top w:val="none" w:sz="0" w:space="0" w:color="auto"/>
            <w:left w:val="none" w:sz="0" w:space="0" w:color="auto"/>
            <w:bottom w:val="none" w:sz="0" w:space="0" w:color="auto"/>
            <w:right w:val="none" w:sz="0" w:space="0" w:color="auto"/>
          </w:divBdr>
        </w:div>
        <w:div w:id="321743019">
          <w:marLeft w:val="0"/>
          <w:marRight w:val="0"/>
          <w:marTop w:val="0"/>
          <w:marBottom w:val="0"/>
          <w:divBdr>
            <w:top w:val="none" w:sz="0" w:space="0" w:color="auto"/>
            <w:left w:val="none" w:sz="0" w:space="0" w:color="auto"/>
            <w:bottom w:val="none" w:sz="0" w:space="0" w:color="auto"/>
            <w:right w:val="none" w:sz="0" w:space="0" w:color="auto"/>
          </w:divBdr>
        </w:div>
        <w:div w:id="197083336">
          <w:marLeft w:val="0"/>
          <w:marRight w:val="0"/>
          <w:marTop w:val="0"/>
          <w:marBottom w:val="0"/>
          <w:divBdr>
            <w:top w:val="none" w:sz="0" w:space="0" w:color="auto"/>
            <w:left w:val="none" w:sz="0" w:space="0" w:color="auto"/>
            <w:bottom w:val="none" w:sz="0" w:space="0" w:color="auto"/>
            <w:right w:val="none" w:sz="0" w:space="0" w:color="auto"/>
          </w:divBdr>
        </w:div>
        <w:div w:id="1145439121">
          <w:marLeft w:val="0"/>
          <w:marRight w:val="0"/>
          <w:marTop w:val="0"/>
          <w:marBottom w:val="0"/>
          <w:divBdr>
            <w:top w:val="none" w:sz="0" w:space="0" w:color="auto"/>
            <w:left w:val="none" w:sz="0" w:space="0" w:color="auto"/>
            <w:bottom w:val="none" w:sz="0" w:space="0" w:color="auto"/>
            <w:right w:val="none" w:sz="0" w:space="0" w:color="auto"/>
          </w:divBdr>
        </w:div>
        <w:div w:id="1288045114">
          <w:marLeft w:val="0"/>
          <w:marRight w:val="0"/>
          <w:marTop w:val="0"/>
          <w:marBottom w:val="0"/>
          <w:divBdr>
            <w:top w:val="none" w:sz="0" w:space="0" w:color="auto"/>
            <w:left w:val="none" w:sz="0" w:space="0" w:color="auto"/>
            <w:bottom w:val="none" w:sz="0" w:space="0" w:color="auto"/>
            <w:right w:val="none" w:sz="0" w:space="0" w:color="auto"/>
          </w:divBdr>
        </w:div>
        <w:div w:id="1750614442">
          <w:marLeft w:val="0"/>
          <w:marRight w:val="0"/>
          <w:marTop w:val="0"/>
          <w:marBottom w:val="0"/>
          <w:divBdr>
            <w:top w:val="none" w:sz="0" w:space="0" w:color="auto"/>
            <w:left w:val="none" w:sz="0" w:space="0" w:color="auto"/>
            <w:bottom w:val="none" w:sz="0" w:space="0" w:color="auto"/>
            <w:right w:val="none" w:sz="0" w:space="0" w:color="auto"/>
          </w:divBdr>
        </w:div>
      </w:divsChild>
    </w:div>
    <w:div w:id="802118014">
      <w:bodyDiv w:val="1"/>
      <w:marLeft w:val="0"/>
      <w:marRight w:val="0"/>
      <w:marTop w:val="0"/>
      <w:marBottom w:val="0"/>
      <w:divBdr>
        <w:top w:val="none" w:sz="0" w:space="0" w:color="auto"/>
        <w:left w:val="none" w:sz="0" w:space="0" w:color="auto"/>
        <w:bottom w:val="none" w:sz="0" w:space="0" w:color="auto"/>
        <w:right w:val="none" w:sz="0" w:space="0" w:color="auto"/>
      </w:divBdr>
      <w:divsChild>
        <w:div w:id="59523731">
          <w:marLeft w:val="0"/>
          <w:marRight w:val="0"/>
          <w:marTop w:val="0"/>
          <w:marBottom w:val="0"/>
          <w:divBdr>
            <w:top w:val="none" w:sz="0" w:space="0" w:color="auto"/>
            <w:left w:val="none" w:sz="0" w:space="0" w:color="auto"/>
            <w:bottom w:val="none" w:sz="0" w:space="0" w:color="auto"/>
            <w:right w:val="none" w:sz="0" w:space="0" w:color="auto"/>
          </w:divBdr>
        </w:div>
      </w:divsChild>
    </w:div>
    <w:div w:id="847478087">
      <w:bodyDiv w:val="1"/>
      <w:marLeft w:val="0"/>
      <w:marRight w:val="0"/>
      <w:marTop w:val="0"/>
      <w:marBottom w:val="0"/>
      <w:divBdr>
        <w:top w:val="none" w:sz="0" w:space="0" w:color="auto"/>
        <w:left w:val="none" w:sz="0" w:space="0" w:color="auto"/>
        <w:bottom w:val="none" w:sz="0" w:space="0" w:color="auto"/>
        <w:right w:val="none" w:sz="0" w:space="0" w:color="auto"/>
      </w:divBdr>
      <w:divsChild>
        <w:div w:id="932933561">
          <w:marLeft w:val="0"/>
          <w:marRight w:val="0"/>
          <w:marTop w:val="0"/>
          <w:marBottom w:val="0"/>
          <w:divBdr>
            <w:top w:val="none" w:sz="0" w:space="0" w:color="auto"/>
            <w:left w:val="none" w:sz="0" w:space="0" w:color="auto"/>
            <w:bottom w:val="none" w:sz="0" w:space="0" w:color="auto"/>
            <w:right w:val="none" w:sz="0" w:space="0" w:color="auto"/>
          </w:divBdr>
        </w:div>
      </w:divsChild>
    </w:div>
    <w:div w:id="866869610">
      <w:bodyDiv w:val="1"/>
      <w:marLeft w:val="0"/>
      <w:marRight w:val="0"/>
      <w:marTop w:val="0"/>
      <w:marBottom w:val="0"/>
      <w:divBdr>
        <w:top w:val="none" w:sz="0" w:space="0" w:color="auto"/>
        <w:left w:val="none" w:sz="0" w:space="0" w:color="auto"/>
        <w:bottom w:val="none" w:sz="0" w:space="0" w:color="auto"/>
        <w:right w:val="none" w:sz="0" w:space="0" w:color="auto"/>
      </w:divBdr>
      <w:divsChild>
        <w:div w:id="367609772">
          <w:marLeft w:val="0"/>
          <w:marRight w:val="0"/>
          <w:marTop w:val="0"/>
          <w:marBottom w:val="0"/>
          <w:divBdr>
            <w:top w:val="none" w:sz="0" w:space="0" w:color="auto"/>
            <w:left w:val="none" w:sz="0" w:space="0" w:color="auto"/>
            <w:bottom w:val="none" w:sz="0" w:space="0" w:color="auto"/>
            <w:right w:val="none" w:sz="0" w:space="0" w:color="auto"/>
          </w:divBdr>
        </w:div>
      </w:divsChild>
    </w:div>
    <w:div w:id="890925043">
      <w:bodyDiv w:val="1"/>
      <w:marLeft w:val="0"/>
      <w:marRight w:val="0"/>
      <w:marTop w:val="0"/>
      <w:marBottom w:val="0"/>
      <w:divBdr>
        <w:top w:val="none" w:sz="0" w:space="0" w:color="auto"/>
        <w:left w:val="none" w:sz="0" w:space="0" w:color="auto"/>
        <w:bottom w:val="none" w:sz="0" w:space="0" w:color="auto"/>
        <w:right w:val="none" w:sz="0" w:space="0" w:color="auto"/>
      </w:divBdr>
      <w:divsChild>
        <w:div w:id="805784189">
          <w:marLeft w:val="0"/>
          <w:marRight w:val="0"/>
          <w:marTop w:val="0"/>
          <w:marBottom w:val="0"/>
          <w:divBdr>
            <w:top w:val="none" w:sz="0" w:space="0" w:color="auto"/>
            <w:left w:val="none" w:sz="0" w:space="0" w:color="auto"/>
            <w:bottom w:val="none" w:sz="0" w:space="0" w:color="auto"/>
            <w:right w:val="none" w:sz="0" w:space="0" w:color="auto"/>
          </w:divBdr>
        </w:div>
        <w:div w:id="1086539903">
          <w:marLeft w:val="0"/>
          <w:marRight w:val="0"/>
          <w:marTop w:val="0"/>
          <w:marBottom w:val="0"/>
          <w:divBdr>
            <w:top w:val="none" w:sz="0" w:space="0" w:color="auto"/>
            <w:left w:val="none" w:sz="0" w:space="0" w:color="auto"/>
            <w:bottom w:val="none" w:sz="0" w:space="0" w:color="auto"/>
            <w:right w:val="none" w:sz="0" w:space="0" w:color="auto"/>
          </w:divBdr>
        </w:div>
        <w:div w:id="1104421054">
          <w:marLeft w:val="0"/>
          <w:marRight w:val="0"/>
          <w:marTop w:val="0"/>
          <w:marBottom w:val="0"/>
          <w:divBdr>
            <w:top w:val="none" w:sz="0" w:space="0" w:color="auto"/>
            <w:left w:val="none" w:sz="0" w:space="0" w:color="auto"/>
            <w:bottom w:val="none" w:sz="0" w:space="0" w:color="auto"/>
            <w:right w:val="none" w:sz="0" w:space="0" w:color="auto"/>
          </w:divBdr>
        </w:div>
        <w:div w:id="547107501">
          <w:marLeft w:val="0"/>
          <w:marRight w:val="0"/>
          <w:marTop w:val="0"/>
          <w:marBottom w:val="0"/>
          <w:divBdr>
            <w:top w:val="none" w:sz="0" w:space="0" w:color="auto"/>
            <w:left w:val="none" w:sz="0" w:space="0" w:color="auto"/>
            <w:bottom w:val="none" w:sz="0" w:space="0" w:color="auto"/>
            <w:right w:val="none" w:sz="0" w:space="0" w:color="auto"/>
          </w:divBdr>
        </w:div>
        <w:div w:id="814493725">
          <w:marLeft w:val="0"/>
          <w:marRight w:val="0"/>
          <w:marTop w:val="0"/>
          <w:marBottom w:val="0"/>
          <w:divBdr>
            <w:top w:val="none" w:sz="0" w:space="0" w:color="auto"/>
            <w:left w:val="none" w:sz="0" w:space="0" w:color="auto"/>
            <w:bottom w:val="none" w:sz="0" w:space="0" w:color="auto"/>
            <w:right w:val="none" w:sz="0" w:space="0" w:color="auto"/>
          </w:divBdr>
        </w:div>
        <w:div w:id="1290089124">
          <w:marLeft w:val="0"/>
          <w:marRight w:val="0"/>
          <w:marTop w:val="0"/>
          <w:marBottom w:val="0"/>
          <w:divBdr>
            <w:top w:val="none" w:sz="0" w:space="0" w:color="auto"/>
            <w:left w:val="none" w:sz="0" w:space="0" w:color="auto"/>
            <w:bottom w:val="none" w:sz="0" w:space="0" w:color="auto"/>
            <w:right w:val="none" w:sz="0" w:space="0" w:color="auto"/>
          </w:divBdr>
        </w:div>
        <w:div w:id="1655599560">
          <w:marLeft w:val="0"/>
          <w:marRight w:val="0"/>
          <w:marTop w:val="0"/>
          <w:marBottom w:val="0"/>
          <w:divBdr>
            <w:top w:val="none" w:sz="0" w:space="0" w:color="auto"/>
            <w:left w:val="none" w:sz="0" w:space="0" w:color="auto"/>
            <w:bottom w:val="none" w:sz="0" w:space="0" w:color="auto"/>
            <w:right w:val="none" w:sz="0" w:space="0" w:color="auto"/>
          </w:divBdr>
        </w:div>
        <w:div w:id="1037050472">
          <w:marLeft w:val="0"/>
          <w:marRight w:val="0"/>
          <w:marTop w:val="0"/>
          <w:marBottom w:val="0"/>
          <w:divBdr>
            <w:top w:val="none" w:sz="0" w:space="0" w:color="auto"/>
            <w:left w:val="none" w:sz="0" w:space="0" w:color="auto"/>
            <w:bottom w:val="none" w:sz="0" w:space="0" w:color="auto"/>
            <w:right w:val="none" w:sz="0" w:space="0" w:color="auto"/>
          </w:divBdr>
        </w:div>
        <w:div w:id="2127651921">
          <w:marLeft w:val="0"/>
          <w:marRight w:val="0"/>
          <w:marTop w:val="0"/>
          <w:marBottom w:val="0"/>
          <w:divBdr>
            <w:top w:val="none" w:sz="0" w:space="0" w:color="auto"/>
            <w:left w:val="none" w:sz="0" w:space="0" w:color="auto"/>
            <w:bottom w:val="none" w:sz="0" w:space="0" w:color="auto"/>
            <w:right w:val="none" w:sz="0" w:space="0" w:color="auto"/>
          </w:divBdr>
        </w:div>
        <w:div w:id="586425687">
          <w:marLeft w:val="0"/>
          <w:marRight w:val="0"/>
          <w:marTop w:val="0"/>
          <w:marBottom w:val="0"/>
          <w:divBdr>
            <w:top w:val="none" w:sz="0" w:space="0" w:color="auto"/>
            <w:left w:val="none" w:sz="0" w:space="0" w:color="auto"/>
            <w:bottom w:val="none" w:sz="0" w:space="0" w:color="auto"/>
            <w:right w:val="none" w:sz="0" w:space="0" w:color="auto"/>
          </w:divBdr>
        </w:div>
        <w:div w:id="3407967">
          <w:marLeft w:val="0"/>
          <w:marRight w:val="0"/>
          <w:marTop w:val="0"/>
          <w:marBottom w:val="0"/>
          <w:divBdr>
            <w:top w:val="none" w:sz="0" w:space="0" w:color="auto"/>
            <w:left w:val="none" w:sz="0" w:space="0" w:color="auto"/>
            <w:bottom w:val="none" w:sz="0" w:space="0" w:color="auto"/>
            <w:right w:val="none" w:sz="0" w:space="0" w:color="auto"/>
          </w:divBdr>
        </w:div>
        <w:div w:id="1366128568">
          <w:marLeft w:val="0"/>
          <w:marRight w:val="0"/>
          <w:marTop w:val="0"/>
          <w:marBottom w:val="0"/>
          <w:divBdr>
            <w:top w:val="none" w:sz="0" w:space="0" w:color="auto"/>
            <w:left w:val="none" w:sz="0" w:space="0" w:color="auto"/>
            <w:bottom w:val="none" w:sz="0" w:space="0" w:color="auto"/>
            <w:right w:val="none" w:sz="0" w:space="0" w:color="auto"/>
          </w:divBdr>
        </w:div>
        <w:div w:id="1782144508">
          <w:marLeft w:val="0"/>
          <w:marRight w:val="0"/>
          <w:marTop w:val="0"/>
          <w:marBottom w:val="0"/>
          <w:divBdr>
            <w:top w:val="none" w:sz="0" w:space="0" w:color="auto"/>
            <w:left w:val="none" w:sz="0" w:space="0" w:color="auto"/>
            <w:bottom w:val="none" w:sz="0" w:space="0" w:color="auto"/>
            <w:right w:val="none" w:sz="0" w:space="0" w:color="auto"/>
          </w:divBdr>
        </w:div>
        <w:div w:id="960570066">
          <w:marLeft w:val="0"/>
          <w:marRight w:val="0"/>
          <w:marTop w:val="0"/>
          <w:marBottom w:val="0"/>
          <w:divBdr>
            <w:top w:val="none" w:sz="0" w:space="0" w:color="auto"/>
            <w:left w:val="none" w:sz="0" w:space="0" w:color="auto"/>
            <w:bottom w:val="none" w:sz="0" w:space="0" w:color="auto"/>
            <w:right w:val="none" w:sz="0" w:space="0" w:color="auto"/>
          </w:divBdr>
        </w:div>
        <w:div w:id="1697392324">
          <w:marLeft w:val="0"/>
          <w:marRight w:val="0"/>
          <w:marTop w:val="0"/>
          <w:marBottom w:val="0"/>
          <w:divBdr>
            <w:top w:val="none" w:sz="0" w:space="0" w:color="auto"/>
            <w:left w:val="none" w:sz="0" w:space="0" w:color="auto"/>
            <w:bottom w:val="none" w:sz="0" w:space="0" w:color="auto"/>
            <w:right w:val="none" w:sz="0" w:space="0" w:color="auto"/>
          </w:divBdr>
        </w:div>
        <w:div w:id="1239093941">
          <w:marLeft w:val="0"/>
          <w:marRight w:val="0"/>
          <w:marTop w:val="0"/>
          <w:marBottom w:val="0"/>
          <w:divBdr>
            <w:top w:val="none" w:sz="0" w:space="0" w:color="auto"/>
            <w:left w:val="none" w:sz="0" w:space="0" w:color="auto"/>
            <w:bottom w:val="none" w:sz="0" w:space="0" w:color="auto"/>
            <w:right w:val="none" w:sz="0" w:space="0" w:color="auto"/>
          </w:divBdr>
        </w:div>
      </w:divsChild>
    </w:div>
    <w:div w:id="927810684">
      <w:bodyDiv w:val="1"/>
      <w:marLeft w:val="0"/>
      <w:marRight w:val="0"/>
      <w:marTop w:val="0"/>
      <w:marBottom w:val="0"/>
      <w:divBdr>
        <w:top w:val="none" w:sz="0" w:space="0" w:color="auto"/>
        <w:left w:val="none" w:sz="0" w:space="0" w:color="auto"/>
        <w:bottom w:val="none" w:sz="0" w:space="0" w:color="auto"/>
        <w:right w:val="none" w:sz="0" w:space="0" w:color="auto"/>
      </w:divBdr>
      <w:divsChild>
        <w:div w:id="1291134773">
          <w:marLeft w:val="0"/>
          <w:marRight w:val="0"/>
          <w:marTop w:val="0"/>
          <w:marBottom w:val="0"/>
          <w:divBdr>
            <w:top w:val="none" w:sz="0" w:space="0" w:color="auto"/>
            <w:left w:val="none" w:sz="0" w:space="0" w:color="auto"/>
            <w:bottom w:val="none" w:sz="0" w:space="0" w:color="auto"/>
            <w:right w:val="none" w:sz="0" w:space="0" w:color="auto"/>
          </w:divBdr>
        </w:div>
      </w:divsChild>
    </w:div>
    <w:div w:id="940453034">
      <w:bodyDiv w:val="1"/>
      <w:marLeft w:val="0"/>
      <w:marRight w:val="0"/>
      <w:marTop w:val="0"/>
      <w:marBottom w:val="0"/>
      <w:divBdr>
        <w:top w:val="none" w:sz="0" w:space="0" w:color="auto"/>
        <w:left w:val="none" w:sz="0" w:space="0" w:color="auto"/>
        <w:bottom w:val="none" w:sz="0" w:space="0" w:color="auto"/>
        <w:right w:val="none" w:sz="0" w:space="0" w:color="auto"/>
      </w:divBdr>
      <w:divsChild>
        <w:div w:id="1915315292">
          <w:marLeft w:val="0"/>
          <w:marRight w:val="0"/>
          <w:marTop w:val="0"/>
          <w:marBottom w:val="0"/>
          <w:divBdr>
            <w:top w:val="none" w:sz="0" w:space="0" w:color="auto"/>
            <w:left w:val="none" w:sz="0" w:space="0" w:color="auto"/>
            <w:bottom w:val="none" w:sz="0" w:space="0" w:color="auto"/>
            <w:right w:val="none" w:sz="0" w:space="0" w:color="auto"/>
          </w:divBdr>
        </w:div>
      </w:divsChild>
    </w:div>
    <w:div w:id="941494541">
      <w:bodyDiv w:val="1"/>
      <w:marLeft w:val="0"/>
      <w:marRight w:val="0"/>
      <w:marTop w:val="0"/>
      <w:marBottom w:val="0"/>
      <w:divBdr>
        <w:top w:val="none" w:sz="0" w:space="0" w:color="auto"/>
        <w:left w:val="none" w:sz="0" w:space="0" w:color="auto"/>
        <w:bottom w:val="none" w:sz="0" w:space="0" w:color="auto"/>
        <w:right w:val="none" w:sz="0" w:space="0" w:color="auto"/>
      </w:divBdr>
      <w:divsChild>
        <w:div w:id="172495066">
          <w:marLeft w:val="0"/>
          <w:marRight w:val="0"/>
          <w:marTop w:val="0"/>
          <w:marBottom w:val="0"/>
          <w:divBdr>
            <w:top w:val="none" w:sz="0" w:space="0" w:color="auto"/>
            <w:left w:val="none" w:sz="0" w:space="0" w:color="auto"/>
            <w:bottom w:val="none" w:sz="0" w:space="0" w:color="auto"/>
            <w:right w:val="none" w:sz="0" w:space="0" w:color="auto"/>
          </w:divBdr>
        </w:div>
        <w:div w:id="384985690">
          <w:marLeft w:val="0"/>
          <w:marRight w:val="0"/>
          <w:marTop w:val="0"/>
          <w:marBottom w:val="0"/>
          <w:divBdr>
            <w:top w:val="none" w:sz="0" w:space="0" w:color="auto"/>
            <w:left w:val="none" w:sz="0" w:space="0" w:color="auto"/>
            <w:bottom w:val="none" w:sz="0" w:space="0" w:color="auto"/>
            <w:right w:val="none" w:sz="0" w:space="0" w:color="auto"/>
          </w:divBdr>
        </w:div>
        <w:div w:id="388459198">
          <w:marLeft w:val="0"/>
          <w:marRight w:val="0"/>
          <w:marTop w:val="0"/>
          <w:marBottom w:val="0"/>
          <w:divBdr>
            <w:top w:val="none" w:sz="0" w:space="0" w:color="auto"/>
            <w:left w:val="none" w:sz="0" w:space="0" w:color="auto"/>
            <w:bottom w:val="none" w:sz="0" w:space="0" w:color="auto"/>
            <w:right w:val="none" w:sz="0" w:space="0" w:color="auto"/>
          </w:divBdr>
        </w:div>
        <w:div w:id="380255670">
          <w:marLeft w:val="0"/>
          <w:marRight w:val="0"/>
          <w:marTop w:val="0"/>
          <w:marBottom w:val="0"/>
          <w:divBdr>
            <w:top w:val="none" w:sz="0" w:space="0" w:color="auto"/>
            <w:left w:val="none" w:sz="0" w:space="0" w:color="auto"/>
            <w:bottom w:val="none" w:sz="0" w:space="0" w:color="auto"/>
            <w:right w:val="none" w:sz="0" w:space="0" w:color="auto"/>
          </w:divBdr>
        </w:div>
        <w:div w:id="448819190">
          <w:marLeft w:val="0"/>
          <w:marRight w:val="0"/>
          <w:marTop w:val="0"/>
          <w:marBottom w:val="0"/>
          <w:divBdr>
            <w:top w:val="none" w:sz="0" w:space="0" w:color="auto"/>
            <w:left w:val="none" w:sz="0" w:space="0" w:color="auto"/>
            <w:bottom w:val="none" w:sz="0" w:space="0" w:color="auto"/>
            <w:right w:val="none" w:sz="0" w:space="0" w:color="auto"/>
          </w:divBdr>
        </w:div>
        <w:div w:id="1635793143">
          <w:marLeft w:val="0"/>
          <w:marRight w:val="0"/>
          <w:marTop w:val="0"/>
          <w:marBottom w:val="0"/>
          <w:divBdr>
            <w:top w:val="none" w:sz="0" w:space="0" w:color="auto"/>
            <w:left w:val="none" w:sz="0" w:space="0" w:color="auto"/>
            <w:bottom w:val="none" w:sz="0" w:space="0" w:color="auto"/>
            <w:right w:val="none" w:sz="0" w:space="0" w:color="auto"/>
          </w:divBdr>
        </w:div>
        <w:div w:id="2100982666">
          <w:marLeft w:val="0"/>
          <w:marRight w:val="0"/>
          <w:marTop w:val="0"/>
          <w:marBottom w:val="0"/>
          <w:divBdr>
            <w:top w:val="none" w:sz="0" w:space="0" w:color="auto"/>
            <w:left w:val="none" w:sz="0" w:space="0" w:color="auto"/>
            <w:bottom w:val="none" w:sz="0" w:space="0" w:color="auto"/>
            <w:right w:val="none" w:sz="0" w:space="0" w:color="auto"/>
          </w:divBdr>
        </w:div>
        <w:div w:id="617297875">
          <w:marLeft w:val="0"/>
          <w:marRight w:val="0"/>
          <w:marTop w:val="0"/>
          <w:marBottom w:val="0"/>
          <w:divBdr>
            <w:top w:val="none" w:sz="0" w:space="0" w:color="auto"/>
            <w:left w:val="none" w:sz="0" w:space="0" w:color="auto"/>
            <w:bottom w:val="none" w:sz="0" w:space="0" w:color="auto"/>
            <w:right w:val="none" w:sz="0" w:space="0" w:color="auto"/>
          </w:divBdr>
        </w:div>
        <w:div w:id="1016660026">
          <w:marLeft w:val="0"/>
          <w:marRight w:val="0"/>
          <w:marTop w:val="0"/>
          <w:marBottom w:val="0"/>
          <w:divBdr>
            <w:top w:val="none" w:sz="0" w:space="0" w:color="auto"/>
            <w:left w:val="none" w:sz="0" w:space="0" w:color="auto"/>
            <w:bottom w:val="none" w:sz="0" w:space="0" w:color="auto"/>
            <w:right w:val="none" w:sz="0" w:space="0" w:color="auto"/>
          </w:divBdr>
        </w:div>
        <w:div w:id="1141926227">
          <w:marLeft w:val="0"/>
          <w:marRight w:val="0"/>
          <w:marTop w:val="0"/>
          <w:marBottom w:val="0"/>
          <w:divBdr>
            <w:top w:val="none" w:sz="0" w:space="0" w:color="auto"/>
            <w:left w:val="none" w:sz="0" w:space="0" w:color="auto"/>
            <w:bottom w:val="none" w:sz="0" w:space="0" w:color="auto"/>
            <w:right w:val="none" w:sz="0" w:space="0" w:color="auto"/>
          </w:divBdr>
        </w:div>
        <w:div w:id="876889985">
          <w:marLeft w:val="0"/>
          <w:marRight w:val="0"/>
          <w:marTop w:val="0"/>
          <w:marBottom w:val="0"/>
          <w:divBdr>
            <w:top w:val="none" w:sz="0" w:space="0" w:color="auto"/>
            <w:left w:val="none" w:sz="0" w:space="0" w:color="auto"/>
            <w:bottom w:val="none" w:sz="0" w:space="0" w:color="auto"/>
            <w:right w:val="none" w:sz="0" w:space="0" w:color="auto"/>
          </w:divBdr>
        </w:div>
        <w:div w:id="1235624657">
          <w:marLeft w:val="0"/>
          <w:marRight w:val="0"/>
          <w:marTop w:val="0"/>
          <w:marBottom w:val="0"/>
          <w:divBdr>
            <w:top w:val="none" w:sz="0" w:space="0" w:color="auto"/>
            <w:left w:val="none" w:sz="0" w:space="0" w:color="auto"/>
            <w:bottom w:val="none" w:sz="0" w:space="0" w:color="auto"/>
            <w:right w:val="none" w:sz="0" w:space="0" w:color="auto"/>
          </w:divBdr>
        </w:div>
        <w:div w:id="1340739134">
          <w:marLeft w:val="0"/>
          <w:marRight w:val="0"/>
          <w:marTop w:val="0"/>
          <w:marBottom w:val="0"/>
          <w:divBdr>
            <w:top w:val="none" w:sz="0" w:space="0" w:color="auto"/>
            <w:left w:val="none" w:sz="0" w:space="0" w:color="auto"/>
            <w:bottom w:val="none" w:sz="0" w:space="0" w:color="auto"/>
            <w:right w:val="none" w:sz="0" w:space="0" w:color="auto"/>
          </w:divBdr>
        </w:div>
        <w:div w:id="1936591705">
          <w:marLeft w:val="0"/>
          <w:marRight w:val="0"/>
          <w:marTop w:val="0"/>
          <w:marBottom w:val="0"/>
          <w:divBdr>
            <w:top w:val="none" w:sz="0" w:space="0" w:color="auto"/>
            <w:left w:val="none" w:sz="0" w:space="0" w:color="auto"/>
            <w:bottom w:val="none" w:sz="0" w:space="0" w:color="auto"/>
            <w:right w:val="none" w:sz="0" w:space="0" w:color="auto"/>
          </w:divBdr>
        </w:div>
        <w:div w:id="1498302141">
          <w:marLeft w:val="0"/>
          <w:marRight w:val="0"/>
          <w:marTop w:val="0"/>
          <w:marBottom w:val="0"/>
          <w:divBdr>
            <w:top w:val="none" w:sz="0" w:space="0" w:color="auto"/>
            <w:left w:val="none" w:sz="0" w:space="0" w:color="auto"/>
            <w:bottom w:val="none" w:sz="0" w:space="0" w:color="auto"/>
            <w:right w:val="none" w:sz="0" w:space="0" w:color="auto"/>
          </w:divBdr>
        </w:div>
        <w:div w:id="1421296723">
          <w:marLeft w:val="0"/>
          <w:marRight w:val="0"/>
          <w:marTop w:val="0"/>
          <w:marBottom w:val="0"/>
          <w:divBdr>
            <w:top w:val="none" w:sz="0" w:space="0" w:color="auto"/>
            <w:left w:val="none" w:sz="0" w:space="0" w:color="auto"/>
            <w:bottom w:val="none" w:sz="0" w:space="0" w:color="auto"/>
            <w:right w:val="none" w:sz="0" w:space="0" w:color="auto"/>
          </w:divBdr>
        </w:div>
      </w:divsChild>
    </w:div>
    <w:div w:id="994725739">
      <w:bodyDiv w:val="1"/>
      <w:marLeft w:val="0"/>
      <w:marRight w:val="0"/>
      <w:marTop w:val="0"/>
      <w:marBottom w:val="0"/>
      <w:divBdr>
        <w:top w:val="none" w:sz="0" w:space="0" w:color="auto"/>
        <w:left w:val="none" w:sz="0" w:space="0" w:color="auto"/>
        <w:bottom w:val="none" w:sz="0" w:space="0" w:color="auto"/>
        <w:right w:val="none" w:sz="0" w:space="0" w:color="auto"/>
      </w:divBdr>
      <w:divsChild>
        <w:div w:id="185367146">
          <w:marLeft w:val="0"/>
          <w:marRight w:val="0"/>
          <w:marTop w:val="0"/>
          <w:marBottom w:val="0"/>
          <w:divBdr>
            <w:top w:val="none" w:sz="0" w:space="0" w:color="auto"/>
            <w:left w:val="none" w:sz="0" w:space="0" w:color="auto"/>
            <w:bottom w:val="none" w:sz="0" w:space="0" w:color="auto"/>
            <w:right w:val="none" w:sz="0" w:space="0" w:color="auto"/>
          </w:divBdr>
        </w:div>
        <w:div w:id="1744646362">
          <w:marLeft w:val="0"/>
          <w:marRight w:val="0"/>
          <w:marTop w:val="0"/>
          <w:marBottom w:val="0"/>
          <w:divBdr>
            <w:top w:val="none" w:sz="0" w:space="0" w:color="auto"/>
            <w:left w:val="none" w:sz="0" w:space="0" w:color="auto"/>
            <w:bottom w:val="none" w:sz="0" w:space="0" w:color="auto"/>
            <w:right w:val="none" w:sz="0" w:space="0" w:color="auto"/>
          </w:divBdr>
        </w:div>
        <w:div w:id="874197058">
          <w:marLeft w:val="0"/>
          <w:marRight w:val="0"/>
          <w:marTop w:val="0"/>
          <w:marBottom w:val="0"/>
          <w:divBdr>
            <w:top w:val="none" w:sz="0" w:space="0" w:color="auto"/>
            <w:left w:val="none" w:sz="0" w:space="0" w:color="auto"/>
            <w:bottom w:val="none" w:sz="0" w:space="0" w:color="auto"/>
            <w:right w:val="none" w:sz="0" w:space="0" w:color="auto"/>
          </w:divBdr>
        </w:div>
        <w:div w:id="1798794243">
          <w:marLeft w:val="0"/>
          <w:marRight w:val="0"/>
          <w:marTop w:val="0"/>
          <w:marBottom w:val="0"/>
          <w:divBdr>
            <w:top w:val="none" w:sz="0" w:space="0" w:color="auto"/>
            <w:left w:val="none" w:sz="0" w:space="0" w:color="auto"/>
            <w:bottom w:val="none" w:sz="0" w:space="0" w:color="auto"/>
            <w:right w:val="none" w:sz="0" w:space="0" w:color="auto"/>
          </w:divBdr>
        </w:div>
        <w:div w:id="1707563469">
          <w:marLeft w:val="0"/>
          <w:marRight w:val="0"/>
          <w:marTop w:val="0"/>
          <w:marBottom w:val="0"/>
          <w:divBdr>
            <w:top w:val="none" w:sz="0" w:space="0" w:color="auto"/>
            <w:left w:val="none" w:sz="0" w:space="0" w:color="auto"/>
            <w:bottom w:val="none" w:sz="0" w:space="0" w:color="auto"/>
            <w:right w:val="none" w:sz="0" w:space="0" w:color="auto"/>
          </w:divBdr>
        </w:div>
        <w:div w:id="693506403">
          <w:marLeft w:val="0"/>
          <w:marRight w:val="0"/>
          <w:marTop w:val="0"/>
          <w:marBottom w:val="0"/>
          <w:divBdr>
            <w:top w:val="none" w:sz="0" w:space="0" w:color="auto"/>
            <w:left w:val="none" w:sz="0" w:space="0" w:color="auto"/>
            <w:bottom w:val="none" w:sz="0" w:space="0" w:color="auto"/>
            <w:right w:val="none" w:sz="0" w:space="0" w:color="auto"/>
          </w:divBdr>
        </w:div>
        <w:div w:id="2108571755">
          <w:marLeft w:val="0"/>
          <w:marRight w:val="0"/>
          <w:marTop w:val="0"/>
          <w:marBottom w:val="0"/>
          <w:divBdr>
            <w:top w:val="none" w:sz="0" w:space="0" w:color="auto"/>
            <w:left w:val="none" w:sz="0" w:space="0" w:color="auto"/>
            <w:bottom w:val="none" w:sz="0" w:space="0" w:color="auto"/>
            <w:right w:val="none" w:sz="0" w:space="0" w:color="auto"/>
          </w:divBdr>
        </w:div>
        <w:div w:id="1628390353">
          <w:marLeft w:val="0"/>
          <w:marRight w:val="0"/>
          <w:marTop w:val="0"/>
          <w:marBottom w:val="0"/>
          <w:divBdr>
            <w:top w:val="none" w:sz="0" w:space="0" w:color="auto"/>
            <w:left w:val="none" w:sz="0" w:space="0" w:color="auto"/>
            <w:bottom w:val="none" w:sz="0" w:space="0" w:color="auto"/>
            <w:right w:val="none" w:sz="0" w:space="0" w:color="auto"/>
          </w:divBdr>
        </w:div>
      </w:divsChild>
    </w:div>
    <w:div w:id="1116949695">
      <w:bodyDiv w:val="1"/>
      <w:marLeft w:val="0"/>
      <w:marRight w:val="0"/>
      <w:marTop w:val="0"/>
      <w:marBottom w:val="0"/>
      <w:divBdr>
        <w:top w:val="none" w:sz="0" w:space="0" w:color="auto"/>
        <w:left w:val="none" w:sz="0" w:space="0" w:color="auto"/>
        <w:bottom w:val="none" w:sz="0" w:space="0" w:color="auto"/>
        <w:right w:val="none" w:sz="0" w:space="0" w:color="auto"/>
      </w:divBdr>
      <w:divsChild>
        <w:div w:id="867330878">
          <w:marLeft w:val="0"/>
          <w:marRight w:val="0"/>
          <w:marTop w:val="0"/>
          <w:marBottom w:val="0"/>
          <w:divBdr>
            <w:top w:val="none" w:sz="0" w:space="0" w:color="auto"/>
            <w:left w:val="none" w:sz="0" w:space="0" w:color="auto"/>
            <w:bottom w:val="none" w:sz="0" w:space="0" w:color="auto"/>
            <w:right w:val="none" w:sz="0" w:space="0" w:color="auto"/>
          </w:divBdr>
        </w:div>
      </w:divsChild>
    </w:div>
    <w:div w:id="1149205773">
      <w:bodyDiv w:val="1"/>
      <w:marLeft w:val="0"/>
      <w:marRight w:val="0"/>
      <w:marTop w:val="0"/>
      <w:marBottom w:val="0"/>
      <w:divBdr>
        <w:top w:val="none" w:sz="0" w:space="0" w:color="auto"/>
        <w:left w:val="none" w:sz="0" w:space="0" w:color="auto"/>
        <w:bottom w:val="none" w:sz="0" w:space="0" w:color="auto"/>
        <w:right w:val="none" w:sz="0" w:space="0" w:color="auto"/>
      </w:divBdr>
      <w:divsChild>
        <w:div w:id="1563710341">
          <w:marLeft w:val="0"/>
          <w:marRight w:val="0"/>
          <w:marTop w:val="0"/>
          <w:marBottom w:val="0"/>
          <w:divBdr>
            <w:top w:val="none" w:sz="0" w:space="0" w:color="auto"/>
            <w:left w:val="none" w:sz="0" w:space="0" w:color="auto"/>
            <w:bottom w:val="none" w:sz="0" w:space="0" w:color="auto"/>
            <w:right w:val="none" w:sz="0" w:space="0" w:color="auto"/>
          </w:divBdr>
        </w:div>
      </w:divsChild>
    </w:div>
    <w:div w:id="1157526856">
      <w:bodyDiv w:val="1"/>
      <w:marLeft w:val="0"/>
      <w:marRight w:val="0"/>
      <w:marTop w:val="0"/>
      <w:marBottom w:val="0"/>
      <w:divBdr>
        <w:top w:val="none" w:sz="0" w:space="0" w:color="auto"/>
        <w:left w:val="none" w:sz="0" w:space="0" w:color="auto"/>
        <w:bottom w:val="none" w:sz="0" w:space="0" w:color="auto"/>
        <w:right w:val="none" w:sz="0" w:space="0" w:color="auto"/>
      </w:divBdr>
      <w:divsChild>
        <w:div w:id="2056194894">
          <w:marLeft w:val="0"/>
          <w:marRight w:val="0"/>
          <w:marTop w:val="0"/>
          <w:marBottom w:val="0"/>
          <w:divBdr>
            <w:top w:val="none" w:sz="0" w:space="0" w:color="auto"/>
            <w:left w:val="none" w:sz="0" w:space="0" w:color="auto"/>
            <w:bottom w:val="none" w:sz="0" w:space="0" w:color="auto"/>
            <w:right w:val="none" w:sz="0" w:space="0" w:color="auto"/>
          </w:divBdr>
        </w:div>
      </w:divsChild>
    </w:div>
    <w:div w:id="1261597594">
      <w:bodyDiv w:val="1"/>
      <w:marLeft w:val="0"/>
      <w:marRight w:val="0"/>
      <w:marTop w:val="0"/>
      <w:marBottom w:val="0"/>
      <w:divBdr>
        <w:top w:val="none" w:sz="0" w:space="0" w:color="auto"/>
        <w:left w:val="none" w:sz="0" w:space="0" w:color="auto"/>
        <w:bottom w:val="none" w:sz="0" w:space="0" w:color="auto"/>
        <w:right w:val="none" w:sz="0" w:space="0" w:color="auto"/>
      </w:divBdr>
      <w:divsChild>
        <w:div w:id="1753357836">
          <w:marLeft w:val="0"/>
          <w:marRight w:val="0"/>
          <w:marTop w:val="0"/>
          <w:marBottom w:val="0"/>
          <w:divBdr>
            <w:top w:val="none" w:sz="0" w:space="0" w:color="auto"/>
            <w:left w:val="none" w:sz="0" w:space="0" w:color="auto"/>
            <w:bottom w:val="none" w:sz="0" w:space="0" w:color="auto"/>
            <w:right w:val="none" w:sz="0" w:space="0" w:color="auto"/>
          </w:divBdr>
        </w:div>
      </w:divsChild>
    </w:div>
    <w:div w:id="1308634696">
      <w:bodyDiv w:val="1"/>
      <w:marLeft w:val="0"/>
      <w:marRight w:val="0"/>
      <w:marTop w:val="0"/>
      <w:marBottom w:val="0"/>
      <w:divBdr>
        <w:top w:val="none" w:sz="0" w:space="0" w:color="auto"/>
        <w:left w:val="none" w:sz="0" w:space="0" w:color="auto"/>
        <w:bottom w:val="none" w:sz="0" w:space="0" w:color="auto"/>
        <w:right w:val="none" w:sz="0" w:space="0" w:color="auto"/>
      </w:divBdr>
      <w:divsChild>
        <w:div w:id="173957923">
          <w:marLeft w:val="0"/>
          <w:marRight w:val="0"/>
          <w:marTop w:val="0"/>
          <w:marBottom w:val="0"/>
          <w:divBdr>
            <w:top w:val="none" w:sz="0" w:space="0" w:color="auto"/>
            <w:left w:val="none" w:sz="0" w:space="0" w:color="auto"/>
            <w:bottom w:val="none" w:sz="0" w:space="0" w:color="auto"/>
            <w:right w:val="none" w:sz="0" w:space="0" w:color="auto"/>
          </w:divBdr>
        </w:div>
      </w:divsChild>
    </w:div>
    <w:div w:id="1312321685">
      <w:bodyDiv w:val="1"/>
      <w:marLeft w:val="0"/>
      <w:marRight w:val="0"/>
      <w:marTop w:val="0"/>
      <w:marBottom w:val="0"/>
      <w:divBdr>
        <w:top w:val="none" w:sz="0" w:space="0" w:color="auto"/>
        <w:left w:val="none" w:sz="0" w:space="0" w:color="auto"/>
        <w:bottom w:val="none" w:sz="0" w:space="0" w:color="auto"/>
        <w:right w:val="none" w:sz="0" w:space="0" w:color="auto"/>
      </w:divBdr>
      <w:divsChild>
        <w:div w:id="1701321742">
          <w:marLeft w:val="0"/>
          <w:marRight w:val="0"/>
          <w:marTop w:val="0"/>
          <w:marBottom w:val="0"/>
          <w:divBdr>
            <w:top w:val="none" w:sz="0" w:space="0" w:color="auto"/>
            <w:left w:val="none" w:sz="0" w:space="0" w:color="auto"/>
            <w:bottom w:val="none" w:sz="0" w:space="0" w:color="auto"/>
            <w:right w:val="none" w:sz="0" w:space="0" w:color="auto"/>
          </w:divBdr>
        </w:div>
      </w:divsChild>
    </w:div>
    <w:div w:id="1395660223">
      <w:bodyDiv w:val="1"/>
      <w:marLeft w:val="0"/>
      <w:marRight w:val="0"/>
      <w:marTop w:val="0"/>
      <w:marBottom w:val="0"/>
      <w:divBdr>
        <w:top w:val="none" w:sz="0" w:space="0" w:color="auto"/>
        <w:left w:val="none" w:sz="0" w:space="0" w:color="auto"/>
        <w:bottom w:val="none" w:sz="0" w:space="0" w:color="auto"/>
        <w:right w:val="none" w:sz="0" w:space="0" w:color="auto"/>
      </w:divBdr>
      <w:divsChild>
        <w:div w:id="109589599">
          <w:marLeft w:val="0"/>
          <w:marRight w:val="0"/>
          <w:marTop w:val="0"/>
          <w:marBottom w:val="0"/>
          <w:divBdr>
            <w:top w:val="none" w:sz="0" w:space="0" w:color="auto"/>
            <w:left w:val="none" w:sz="0" w:space="0" w:color="auto"/>
            <w:bottom w:val="none" w:sz="0" w:space="0" w:color="auto"/>
            <w:right w:val="none" w:sz="0" w:space="0" w:color="auto"/>
          </w:divBdr>
        </w:div>
        <w:div w:id="931816578">
          <w:marLeft w:val="0"/>
          <w:marRight w:val="0"/>
          <w:marTop w:val="0"/>
          <w:marBottom w:val="0"/>
          <w:divBdr>
            <w:top w:val="none" w:sz="0" w:space="0" w:color="auto"/>
            <w:left w:val="none" w:sz="0" w:space="0" w:color="auto"/>
            <w:bottom w:val="none" w:sz="0" w:space="0" w:color="auto"/>
            <w:right w:val="none" w:sz="0" w:space="0" w:color="auto"/>
          </w:divBdr>
        </w:div>
        <w:div w:id="75590517">
          <w:marLeft w:val="0"/>
          <w:marRight w:val="0"/>
          <w:marTop w:val="0"/>
          <w:marBottom w:val="0"/>
          <w:divBdr>
            <w:top w:val="none" w:sz="0" w:space="0" w:color="auto"/>
            <w:left w:val="none" w:sz="0" w:space="0" w:color="auto"/>
            <w:bottom w:val="none" w:sz="0" w:space="0" w:color="auto"/>
            <w:right w:val="none" w:sz="0" w:space="0" w:color="auto"/>
          </w:divBdr>
        </w:div>
        <w:div w:id="326566071">
          <w:marLeft w:val="0"/>
          <w:marRight w:val="0"/>
          <w:marTop w:val="0"/>
          <w:marBottom w:val="0"/>
          <w:divBdr>
            <w:top w:val="none" w:sz="0" w:space="0" w:color="auto"/>
            <w:left w:val="none" w:sz="0" w:space="0" w:color="auto"/>
            <w:bottom w:val="none" w:sz="0" w:space="0" w:color="auto"/>
            <w:right w:val="none" w:sz="0" w:space="0" w:color="auto"/>
          </w:divBdr>
        </w:div>
        <w:div w:id="1736660112">
          <w:marLeft w:val="0"/>
          <w:marRight w:val="0"/>
          <w:marTop w:val="0"/>
          <w:marBottom w:val="0"/>
          <w:divBdr>
            <w:top w:val="none" w:sz="0" w:space="0" w:color="auto"/>
            <w:left w:val="none" w:sz="0" w:space="0" w:color="auto"/>
            <w:bottom w:val="none" w:sz="0" w:space="0" w:color="auto"/>
            <w:right w:val="none" w:sz="0" w:space="0" w:color="auto"/>
          </w:divBdr>
        </w:div>
        <w:div w:id="829760081">
          <w:marLeft w:val="0"/>
          <w:marRight w:val="0"/>
          <w:marTop w:val="0"/>
          <w:marBottom w:val="0"/>
          <w:divBdr>
            <w:top w:val="none" w:sz="0" w:space="0" w:color="auto"/>
            <w:left w:val="none" w:sz="0" w:space="0" w:color="auto"/>
            <w:bottom w:val="none" w:sz="0" w:space="0" w:color="auto"/>
            <w:right w:val="none" w:sz="0" w:space="0" w:color="auto"/>
          </w:divBdr>
        </w:div>
        <w:div w:id="191725022">
          <w:marLeft w:val="0"/>
          <w:marRight w:val="0"/>
          <w:marTop w:val="0"/>
          <w:marBottom w:val="0"/>
          <w:divBdr>
            <w:top w:val="none" w:sz="0" w:space="0" w:color="auto"/>
            <w:left w:val="none" w:sz="0" w:space="0" w:color="auto"/>
            <w:bottom w:val="none" w:sz="0" w:space="0" w:color="auto"/>
            <w:right w:val="none" w:sz="0" w:space="0" w:color="auto"/>
          </w:divBdr>
        </w:div>
      </w:divsChild>
    </w:div>
    <w:div w:id="1444956885">
      <w:bodyDiv w:val="1"/>
      <w:marLeft w:val="0"/>
      <w:marRight w:val="0"/>
      <w:marTop w:val="0"/>
      <w:marBottom w:val="0"/>
      <w:divBdr>
        <w:top w:val="none" w:sz="0" w:space="0" w:color="auto"/>
        <w:left w:val="none" w:sz="0" w:space="0" w:color="auto"/>
        <w:bottom w:val="none" w:sz="0" w:space="0" w:color="auto"/>
        <w:right w:val="none" w:sz="0" w:space="0" w:color="auto"/>
      </w:divBdr>
      <w:divsChild>
        <w:div w:id="369458490">
          <w:marLeft w:val="0"/>
          <w:marRight w:val="0"/>
          <w:marTop w:val="0"/>
          <w:marBottom w:val="0"/>
          <w:divBdr>
            <w:top w:val="none" w:sz="0" w:space="0" w:color="auto"/>
            <w:left w:val="none" w:sz="0" w:space="0" w:color="auto"/>
            <w:bottom w:val="none" w:sz="0" w:space="0" w:color="auto"/>
            <w:right w:val="none" w:sz="0" w:space="0" w:color="auto"/>
          </w:divBdr>
        </w:div>
      </w:divsChild>
    </w:div>
    <w:div w:id="1453790883">
      <w:bodyDiv w:val="1"/>
      <w:marLeft w:val="0"/>
      <w:marRight w:val="0"/>
      <w:marTop w:val="0"/>
      <w:marBottom w:val="0"/>
      <w:divBdr>
        <w:top w:val="none" w:sz="0" w:space="0" w:color="auto"/>
        <w:left w:val="none" w:sz="0" w:space="0" w:color="auto"/>
        <w:bottom w:val="none" w:sz="0" w:space="0" w:color="auto"/>
        <w:right w:val="none" w:sz="0" w:space="0" w:color="auto"/>
      </w:divBdr>
      <w:divsChild>
        <w:div w:id="1975131987">
          <w:marLeft w:val="0"/>
          <w:marRight w:val="0"/>
          <w:marTop w:val="0"/>
          <w:marBottom w:val="0"/>
          <w:divBdr>
            <w:top w:val="none" w:sz="0" w:space="0" w:color="auto"/>
            <w:left w:val="none" w:sz="0" w:space="0" w:color="auto"/>
            <w:bottom w:val="none" w:sz="0" w:space="0" w:color="auto"/>
            <w:right w:val="none" w:sz="0" w:space="0" w:color="auto"/>
          </w:divBdr>
        </w:div>
        <w:div w:id="1237858544">
          <w:marLeft w:val="0"/>
          <w:marRight w:val="0"/>
          <w:marTop w:val="0"/>
          <w:marBottom w:val="0"/>
          <w:divBdr>
            <w:top w:val="none" w:sz="0" w:space="0" w:color="auto"/>
            <w:left w:val="none" w:sz="0" w:space="0" w:color="auto"/>
            <w:bottom w:val="none" w:sz="0" w:space="0" w:color="auto"/>
            <w:right w:val="none" w:sz="0" w:space="0" w:color="auto"/>
          </w:divBdr>
        </w:div>
      </w:divsChild>
    </w:div>
    <w:div w:id="1470441680">
      <w:bodyDiv w:val="1"/>
      <w:marLeft w:val="0"/>
      <w:marRight w:val="0"/>
      <w:marTop w:val="0"/>
      <w:marBottom w:val="0"/>
      <w:divBdr>
        <w:top w:val="none" w:sz="0" w:space="0" w:color="auto"/>
        <w:left w:val="none" w:sz="0" w:space="0" w:color="auto"/>
        <w:bottom w:val="none" w:sz="0" w:space="0" w:color="auto"/>
        <w:right w:val="none" w:sz="0" w:space="0" w:color="auto"/>
      </w:divBdr>
      <w:divsChild>
        <w:div w:id="693193942">
          <w:marLeft w:val="0"/>
          <w:marRight w:val="0"/>
          <w:marTop w:val="0"/>
          <w:marBottom w:val="0"/>
          <w:divBdr>
            <w:top w:val="none" w:sz="0" w:space="0" w:color="auto"/>
            <w:left w:val="none" w:sz="0" w:space="0" w:color="auto"/>
            <w:bottom w:val="none" w:sz="0" w:space="0" w:color="auto"/>
            <w:right w:val="none" w:sz="0" w:space="0" w:color="auto"/>
          </w:divBdr>
        </w:div>
      </w:divsChild>
    </w:div>
    <w:div w:id="1511984742">
      <w:bodyDiv w:val="1"/>
      <w:marLeft w:val="0"/>
      <w:marRight w:val="0"/>
      <w:marTop w:val="0"/>
      <w:marBottom w:val="0"/>
      <w:divBdr>
        <w:top w:val="none" w:sz="0" w:space="0" w:color="auto"/>
        <w:left w:val="none" w:sz="0" w:space="0" w:color="auto"/>
        <w:bottom w:val="none" w:sz="0" w:space="0" w:color="auto"/>
        <w:right w:val="none" w:sz="0" w:space="0" w:color="auto"/>
      </w:divBdr>
      <w:divsChild>
        <w:div w:id="1884630272">
          <w:marLeft w:val="0"/>
          <w:marRight w:val="0"/>
          <w:marTop w:val="0"/>
          <w:marBottom w:val="0"/>
          <w:divBdr>
            <w:top w:val="none" w:sz="0" w:space="0" w:color="auto"/>
            <w:left w:val="none" w:sz="0" w:space="0" w:color="auto"/>
            <w:bottom w:val="none" w:sz="0" w:space="0" w:color="auto"/>
            <w:right w:val="none" w:sz="0" w:space="0" w:color="auto"/>
          </w:divBdr>
        </w:div>
        <w:div w:id="1778597851">
          <w:marLeft w:val="0"/>
          <w:marRight w:val="0"/>
          <w:marTop w:val="0"/>
          <w:marBottom w:val="0"/>
          <w:divBdr>
            <w:top w:val="none" w:sz="0" w:space="0" w:color="auto"/>
            <w:left w:val="none" w:sz="0" w:space="0" w:color="auto"/>
            <w:bottom w:val="none" w:sz="0" w:space="0" w:color="auto"/>
            <w:right w:val="none" w:sz="0" w:space="0" w:color="auto"/>
          </w:divBdr>
        </w:div>
      </w:divsChild>
    </w:div>
    <w:div w:id="1541435612">
      <w:bodyDiv w:val="1"/>
      <w:marLeft w:val="0"/>
      <w:marRight w:val="0"/>
      <w:marTop w:val="0"/>
      <w:marBottom w:val="0"/>
      <w:divBdr>
        <w:top w:val="none" w:sz="0" w:space="0" w:color="auto"/>
        <w:left w:val="none" w:sz="0" w:space="0" w:color="auto"/>
        <w:bottom w:val="none" w:sz="0" w:space="0" w:color="auto"/>
        <w:right w:val="none" w:sz="0" w:space="0" w:color="auto"/>
      </w:divBdr>
      <w:divsChild>
        <w:div w:id="1730615637">
          <w:marLeft w:val="0"/>
          <w:marRight w:val="0"/>
          <w:marTop w:val="0"/>
          <w:marBottom w:val="0"/>
          <w:divBdr>
            <w:top w:val="none" w:sz="0" w:space="0" w:color="auto"/>
            <w:left w:val="none" w:sz="0" w:space="0" w:color="auto"/>
            <w:bottom w:val="none" w:sz="0" w:space="0" w:color="auto"/>
            <w:right w:val="none" w:sz="0" w:space="0" w:color="auto"/>
          </w:divBdr>
        </w:div>
      </w:divsChild>
    </w:div>
    <w:div w:id="1690331366">
      <w:bodyDiv w:val="1"/>
      <w:marLeft w:val="0"/>
      <w:marRight w:val="0"/>
      <w:marTop w:val="0"/>
      <w:marBottom w:val="0"/>
      <w:divBdr>
        <w:top w:val="none" w:sz="0" w:space="0" w:color="auto"/>
        <w:left w:val="none" w:sz="0" w:space="0" w:color="auto"/>
        <w:bottom w:val="none" w:sz="0" w:space="0" w:color="auto"/>
        <w:right w:val="none" w:sz="0" w:space="0" w:color="auto"/>
      </w:divBdr>
      <w:divsChild>
        <w:div w:id="366217639">
          <w:marLeft w:val="0"/>
          <w:marRight w:val="0"/>
          <w:marTop w:val="0"/>
          <w:marBottom w:val="0"/>
          <w:divBdr>
            <w:top w:val="none" w:sz="0" w:space="0" w:color="auto"/>
            <w:left w:val="none" w:sz="0" w:space="0" w:color="auto"/>
            <w:bottom w:val="none" w:sz="0" w:space="0" w:color="auto"/>
            <w:right w:val="none" w:sz="0" w:space="0" w:color="auto"/>
          </w:divBdr>
        </w:div>
        <w:div w:id="1610240117">
          <w:marLeft w:val="0"/>
          <w:marRight w:val="0"/>
          <w:marTop w:val="0"/>
          <w:marBottom w:val="0"/>
          <w:divBdr>
            <w:top w:val="none" w:sz="0" w:space="0" w:color="auto"/>
            <w:left w:val="none" w:sz="0" w:space="0" w:color="auto"/>
            <w:bottom w:val="none" w:sz="0" w:space="0" w:color="auto"/>
            <w:right w:val="none" w:sz="0" w:space="0" w:color="auto"/>
          </w:divBdr>
        </w:div>
        <w:div w:id="1186603980">
          <w:marLeft w:val="0"/>
          <w:marRight w:val="0"/>
          <w:marTop w:val="0"/>
          <w:marBottom w:val="0"/>
          <w:divBdr>
            <w:top w:val="none" w:sz="0" w:space="0" w:color="auto"/>
            <w:left w:val="none" w:sz="0" w:space="0" w:color="auto"/>
            <w:bottom w:val="none" w:sz="0" w:space="0" w:color="auto"/>
            <w:right w:val="none" w:sz="0" w:space="0" w:color="auto"/>
          </w:divBdr>
        </w:div>
      </w:divsChild>
    </w:div>
    <w:div w:id="1758942920">
      <w:bodyDiv w:val="1"/>
      <w:marLeft w:val="0"/>
      <w:marRight w:val="0"/>
      <w:marTop w:val="0"/>
      <w:marBottom w:val="0"/>
      <w:divBdr>
        <w:top w:val="none" w:sz="0" w:space="0" w:color="auto"/>
        <w:left w:val="none" w:sz="0" w:space="0" w:color="auto"/>
        <w:bottom w:val="none" w:sz="0" w:space="0" w:color="auto"/>
        <w:right w:val="none" w:sz="0" w:space="0" w:color="auto"/>
      </w:divBdr>
      <w:divsChild>
        <w:div w:id="1428186876">
          <w:marLeft w:val="0"/>
          <w:marRight w:val="0"/>
          <w:marTop w:val="0"/>
          <w:marBottom w:val="0"/>
          <w:divBdr>
            <w:top w:val="none" w:sz="0" w:space="0" w:color="auto"/>
            <w:left w:val="none" w:sz="0" w:space="0" w:color="auto"/>
            <w:bottom w:val="none" w:sz="0" w:space="0" w:color="auto"/>
            <w:right w:val="none" w:sz="0" w:space="0" w:color="auto"/>
          </w:divBdr>
        </w:div>
      </w:divsChild>
    </w:div>
    <w:div w:id="1883327884">
      <w:bodyDiv w:val="1"/>
      <w:marLeft w:val="0"/>
      <w:marRight w:val="0"/>
      <w:marTop w:val="0"/>
      <w:marBottom w:val="0"/>
      <w:divBdr>
        <w:top w:val="none" w:sz="0" w:space="0" w:color="auto"/>
        <w:left w:val="none" w:sz="0" w:space="0" w:color="auto"/>
        <w:bottom w:val="none" w:sz="0" w:space="0" w:color="auto"/>
        <w:right w:val="none" w:sz="0" w:space="0" w:color="auto"/>
      </w:divBdr>
      <w:divsChild>
        <w:div w:id="2052413342">
          <w:marLeft w:val="0"/>
          <w:marRight w:val="0"/>
          <w:marTop w:val="0"/>
          <w:marBottom w:val="0"/>
          <w:divBdr>
            <w:top w:val="none" w:sz="0" w:space="0" w:color="auto"/>
            <w:left w:val="none" w:sz="0" w:space="0" w:color="auto"/>
            <w:bottom w:val="none" w:sz="0" w:space="0" w:color="auto"/>
            <w:right w:val="none" w:sz="0" w:space="0" w:color="auto"/>
          </w:divBdr>
        </w:div>
      </w:divsChild>
    </w:div>
    <w:div w:id="2003971881">
      <w:bodyDiv w:val="1"/>
      <w:marLeft w:val="0"/>
      <w:marRight w:val="0"/>
      <w:marTop w:val="0"/>
      <w:marBottom w:val="0"/>
      <w:divBdr>
        <w:top w:val="none" w:sz="0" w:space="0" w:color="auto"/>
        <w:left w:val="none" w:sz="0" w:space="0" w:color="auto"/>
        <w:bottom w:val="none" w:sz="0" w:space="0" w:color="auto"/>
        <w:right w:val="none" w:sz="0" w:space="0" w:color="auto"/>
      </w:divBdr>
      <w:divsChild>
        <w:div w:id="843786332">
          <w:marLeft w:val="0"/>
          <w:marRight w:val="0"/>
          <w:marTop w:val="0"/>
          <w:marBottom w:val="0"/>
          <w:divBdr>
            <w:top w:val="none" w:sz="0" w:space="0" w:color="auto"/>
            <w:left w:val="none" w:sz="0" w:space="0" w:color="auto"/>
            <w:bottom w:val="none" w:sz="0" w:space="0" w:color="auto"/>
            <w:right w:val="none" w:sz="0" w:space="0" w:color="auto"/>
          </w:divBdr>
        </w:div>
        <w:div w:id="1524783219">
          <w:marLeft w:val="0"/>
          <w:marRight w:val="0"/>
          <w:marTop w:val="0"/>
          <w:marBottom w:val="0"/>
          <w:divBdr>
            <w:top w:val="none" w:sz="0" w:space="0" w:color="auto"/>
            <w:left w:val="none" w:sz="0" w:space="0" w:color="auto"/>
            <w:bottom w:val="none" w:sz="0" w:space="0" w:color="auto"/>
            <w:right w:val="none" w:sz="0" w:space="0" w:color="auto"/>
          </w:divBdr>
        </w:div>
        <w:div w:id="1149904335">
          <w:marLeft w:val="0"/>
          <w:marRight w:val="0"/>
          <w:marTop w:val="0"/>
          <w:marBottom w:val="0"/>
          <w:divBdr>
            <w:top w:val="none" w:sz="0" w:space="0" w:color="auto"/>
            <w:left w:val="none" w:sz="0" w:space="0" w:color="auto"/>
            <w:bottom w:val="none" w:sz="0" w:space="0" w:color="auto"/>
            <w:right w:val="none" w:sz="0" w:space="0" w:color="auto"/>
          </w:divBdr>
        </w:div>
        <w:div w:id="165025538">
          <w:marLeft w:val="0"/>
          <w:marRight w:val="0"/>
          <w:marTop w:val="0"/>
          <w:marBottom w:val="0"/>
          <w:divBdr>
            <w:top w:val="none" w:sz="0" w:space="0" w:color="auto"/>
            <w:left w:val="none" w:sz="0" w:space="0" w:color="auto"/>
            <w:bottom w:val="none" w:sz="0" w:space="0" w:color="auto"/>
            <w:right w:val="none" w:sz="0" w:space="0" w:color="auto"/>
          </w:divBdr>
        </w:div>
        <w:div w:id="719792920">
          <w:marLeft w:val="0"/>
          <w:marRight w:val="0"/>
          <w:marTop w:val="0"/>
          <w:marBottom w:val="0"/>
          <w:divBdr>
            <w:top w:val="none" w:sz="0" w:space="0" w:color="auto"/>
            <w:left w:val="none" w:sz="0" w:space="0" w:color="auto"/>
            <w:bottom w:val="none" w:sz="0" w:space="0" w:color="auto"/>
            <w:right w:val="none" w:sz="0" w:space="0" w:color="auto"/>
          </w:divBdr>
        </w:div>
        <w:div w:id="1376392437">
          <w:marLeft w:val="0"/>
          <w:marRight w:val="0"/>
          <w:marTop w:val="0"/>
          <w:marBottom w:val="0"/>
          <w:divBdr>
            <w:top w:val="none" w:sz="0" w:space="0" w:color="auto"/>
            <w:left w:val="none" w:sz="0" w:space="0" w:color="auto"/>
            <w:bottom w:val="none" w:sz="0" w:space="0" w:color="auto"/>
            <w:right w:val="none" w:sz="0" w:space="0" w:color="auto"/>
          </w:divBdr>
        </w:div>
      </w:divsChild>
    </w:div>
    <w:div w:id="2006008658">
      <w:bodyDiv w:val="1"/>
      <w:marLeft w:val="0"/>
      <w:marRight w:val="0"/>
      <w:marTop w:val="0"/>
      <w:marBottom w:val="0"/>
      <w:divBdr>
        <w:top w:val="none" w:sz="0" w:space="0" w:color="auto"/>
        <w:left w:val="none" w:sz="0" w:space="0" w:color="auto"/>
        <w:bottom w:val="none" w:sz="0" w:space="0" w:color="auto"/>
        <w:right w:val="none" w:sz="0" w:space="0" w:color="auto"/>
      </w:divBdr>
      <w:divsChild>
        <w:div w:id="1949308252">
          <w:marLeft w:val="0"/>
          <w:marRight w:val="0"/>
          <w:marTop w:val="0"/>
          <w:marBottom w:val="0"/>
          <w:divBdr>
            <w:top w:val="none" w:sz="0" w:space="0" w:color="auto"/>
            <w:left w:val="none" w:sz="0" w:space="0" w:color="auto"/>
            <w:bottom w:val="none" w:sz="0" w:space="0" w:color="auto"/>
            <w:right w:val="none" w:sz="0" w:space="0" w:color="auto"/>
          </w:divBdr>
        </w:div>
      </w:divsChild>
    </w:div>
    <w:div w:id="2068139254">
      <w:bodyDiv w:val="1"/>
      <w:marLeft w:val="0"/>
      <w:marRight w:val="0"/>
      <w:marTop w:val="0"/>
      <w:marBottom w:val="0"/>
      <w:divBdr>
        <w:top w:val="none" w:sz="0" w:space="0" w:color="auto"/>
        <w:left w:val="none" w:sz="0" w:space="0" w:color="auto"/>
        <w:bottom w:val="none" w:sz="0" w:space="0" w:color="auto"/>
        <w:right w:val="none" w:sz="0" w:space="0" w:color="auto"/>
      </w:divBdr>
      <w:divsChild>
        <w:div w:id="1147817108">
          <w:marLeft w:val="0"/>
          <w:marRight w:val="0"/>
          <w:marTop w:val="0"/>
          <w:marBottom w:val="0"/>
          <w:divBdr>
            <w:top w:val="none" w:sz="0" w:space="0" w:color="auto"/>
            <w:left w:val="none" w:sz="0" w:space="0" w:color="auto"/>
            <w:bottom w:val="none" w:sz="0" w:space="0" w:color="auto"/>
            <w:right w:val="none" w:sz="0" w:space="0" w:color="auto"/>
          </w:divBdr>
        </w:div>
      </w:divsChild>
    </w:div>
    <w:div w:id="2141074675">
      <w:bodyDiv w:val="1"/>
      <w:marLeft w:val="0"/>
      <w:marRight w:val="0"/>
      <w:marTop w:val="0"/>
      <w:marBottom w:val="0"/>
      <w:divBdr>
        <w:top w:val="none" w:sz="0" w:space="0" w:color="auto"/>
        <w:left w:val="none" w:sz="0" w:space="0" w:color="auto"/>
        <w:bottom w:val="none" w:sz="0" w:space="0" w:color="auto"/>
        <w:right w:val="none" w:sz="0" w:space="0" w:color="auto"/>
      </w:divBdr>
      <w:divsChild>
        <w:div w:id="95999446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chart" Target="charts/chart6.xml"/><Relationship Id="rId14" Type="http://schemas.openxmlformats.org/officeDocument/2006/relationships/chart" Target="charts/chart7.xml"/><Relationship Id="rId15" Type="http://schemas.openxmlformats.org/officeDocument/2006/relationships/chart" Target="charts/chart8.xm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jallenh:Desktop:Jennings%2012-13%20rankings%20red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sjallenh:Desktop:Jennings%2012-13%20rankings%20red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sjallenh:Desktop:Jennings%2012-13%20rankings%20red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sjallenh:Desktop:Jennings%2012-13%20rankings%20red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sjallenh:Desktop:Jennings%2012-13%20rankings%20red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sjallenh:Desktop:Philjobs%20data:apa%20earned%20degrees%20and%20hiring%202005-2014%20summar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sjallenh:Desktop:2005-2014%20hiring%20summar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sjallenh:Desktop:Philjobs%20data:2005-2014%20apa%20placement%20summa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Gender and Publishing</a:t>
            </a:r>
          </a:p>
        </c:rich>
      </c:tx>
      <c:layout/>
      <c:overlay val="0"/>
    </c:title>
    <c:autoTitleDeleted val="0"/>
    <c:plotArea>
      <c:layout/>
      <c:barChart>
        <c:barDir val="col"/>
        <c:grouping val="clustered"/>
        <c:varyColors val="0"/>
        <c:ser>
          <c:idx val="0"/>
          <c:order val="0"/>
          <c:tx>
            <c:v>Total publications</c:v>
          </c:tx>
          <c:invertIfNegative val="0"/>
          <c:cat>
            <c:strLit>
              <c:ptCount val="2"/>
              <c:pt idx="0">
                <c:v>_x0003_Men</c:v>
              </c:pt>
              <c:pt idx="1">
                <c:v>_x0006_ Women</c:v>
              </c:pt>
            </c:strLit>
          </c:cat>
          <c:val>
            <c:numRef>
              <c:f>Sheet1!$D$356:$D$357</c:f>
              <c:numCache>
                <c:formatCode>0.00</c:formatCode>
                <c:ptCount val="2"/>
                <c:pt idx="0">
                  <c:v>2.441048034934496</c:v>
                </c:pt>
                <c:pt idx="1">
                  <c:v>1.174311926605505</c:v>
                </c:pt>
              </c:numCache>
            </c:numRef>
          </c:val>
        </c:ser>
        <c:ser>
          <c:idx val="1"/>
          <c:order val="1"/>
          <c:tx>
            <c:v>Brooks Blog Top-15</c:v>
          </c:tx>
          <c:invertIfNegative val="0"/>
          <c:cat>
            <c:strLit>
              <c:ptCount val="2"/>
              <c:pt idx="0">
                <c:v>_x0003_Men</c:v>
              </c:pt>
              <c:pt idx="1">
                <c:v>_x0006_ Women</c:v>
              </c:pt>
            </c:strLit>
          </c:cat>
          <c:val>
            <c:numRef>
              <c:f>Sheet1!$E$356:$E$357</c:f>
              <c:numCache>
                <c:formatCode>0.00</c:formatCode>
                <c:ptCount val="2"/>
                <c:pt idx="0">
                  <c:v>0.641921397379913</c:v>
                </c:pt>
                <c:pt idx="1">
                  <c:v>0.211009174311927</c:v>
                </c:pt>
              </c:numCache>
            </c:numRef>
          </c:val>
        </c:ser>
        <c:dLbls>
          <c:showLegendKey val="0"/>
          <c:showVal val="0"/>
          <c:showCatName val="0"/>
          <c:showSerName val="0"/>
          <c:showPercent val="0"/>
          <c:showBubbleSize val="0"/>
        </c:dLbls>
        <c:gapWidth val="150"/>
        <c:axId val="2144383176"/>
        <c:axId val="-2132800472"/>
      </c:barChart>
      <c:catAx>
        <c:axId val="2144383176"/>
        <c:scaling>
          <c:orientation val="minMax"/>
        </c:scaling>
        <c:delete val="0"/>
        <c:axPos val="b"/>
        <c:title>
          <c:tx>
            <c:rich>
              <a:bodyPr/>
              <a:lstStyle/>
              <a:p>
                <a:pPr>
                  <a:defRPr/>
                </a:pPr>
                <a:r>
                  <a:rPr lang="en-US"/>
                  <a:t>Junior TT hires (2012 &amp; 2013)</a:t>
                </a:r>
              </a:p>
            </c:rich>
          </c:tx>
          <c:layout/>
          <c:overlay val="0"/>
        </c:title>
        <c:majorTickMark val="out"/>
        <c:minorTickMark val="none"/>
        <c:tickLblPos val="nextTo"/>
        <c:crossAx val="-2132800472"/>
        <c:crosses val="autoZero"/>
        <c:auto val="1"/>
        <c:lblAlgn val="ctr"/>
        <c:lblOffset val="100"/>
        <c:noMultiLvlLbl val="0"/>
      </c:catAx>
      <c:valAx>
        <c:axId val="-2132800472"/>
        <c:scaling>
          <c:orientation val="minMax"/>
        </c:scaling>
        <c:delete val="0"/>
        <c:axPos val="l"/>
        <c:majorGridlines>
          <c:spPr>
            <a:ln>
              <a:noFill/>
            </a:ln>
          </c:spPr>
        </c:majorGridlines>
        <c:title>
          <c:tx>
            <c:rich>
              <a:bodyPr/>
              <a:lstStyle/>
              <a:p>
                <a:pPr>
                  <a:defRPr/>
                </a:pPr>
                <a:r>
                  <a:rPr lang="en-US"/>
                  <a:t>Mean publications</a:t>
                </a:r>
              </a:p>
            </c:rich>
          </c:tx>
          <c:layout/>
          <c:overlay val="0"/>
        </c:title>
        <c:numFmt formatCode="0.00" sourceLinked="1"/>
        <c:majorTickMark val="out"/>
        <c:minorTickMark val="none"/>
        <c:tickLblPos val="nextTo"/>
        <c:crossAx val="2144383176"/>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Gourmet-Ranked TT positions</a:t>
            </a:r>
          </a:p>
        </c:rich>
      </c:tx>
      <c:layout/>
      <c:overlay val="0"/>
    </c:title>
    <c:autoTitleDeleted val="0"/>
    <c:plotArea>
      <c:layout/>
      <c:barChart>
        <c:barDir val="col"/>
        <c:grouping val="clustered"/>
        <c:varyColors val="0"/>
        <c:ser>
          <c:idx val="0"/>
          <c:order val="0"/>
          <c:tx>
            <c:v>TT positions</c:v>
          </c:tx>
          <c:invertIfNegative val="0"/>
          <c:cat>
            <c:strLit>
              <c:ptCount val="4"/>
              <c:pt idx="0">
                <c:v>
Top-20 men</c:v>
              </c:pt>
              <c:pt idx="1">
                <c:v>	  &lt;20 men</c:v>
              </c:pt>
              <c:pt idx="2">
                <c:v>_x000d_ Top-20 women</c:v>
              </c:pt>
              <c:pt idx="3">
                <c:v>
 &lt;20 women</c:v>
              </c:pt>
            </c:strLit>
          </c:cat>
          <c:val>
            <c:numRef>
              <c:f>Sheet1!$L$344:$L$347</c:f>
              <c:numCache>
                <c:formatCode>0.00</c:formatCode>
                <c:ptCount val="4"/>
                <c:pt idx="0">
                  <c:v>0.430555555555556</c:v>
                </c:pt>
                <c:pt idx="1">
                  <c:v>0.0823529411764706</c:v>
                </c:pt>
                <c:pt idx="2">
                  <c:v>0.471698113207547</c:v>
                </c:pt>
                <c:pt idx="3">
                  <c:v>0.0714285714285714</c:v>
                </c:pt>
              </c:numCache>
            </c:numRef>
          </c:val>
        </c:ser>
        <c:dLbls>
          <c:showLegendKey val="0"/>
          <c:showVal val="0"/>
          <c:showCatName val="0"/>
          <c:showSerName val="0"/>
          <c:showPercent val="0"/>
          <c:showBubbleSize val="0"/>
        </c:dLbls>
        <c:gapWidth val="150"/>
        <c:axId val="-2108004184"/>
        <c:axId val="-2108347064"/>
      </c:barChart>
      <c:catAx>
        <c:axId val="-2108004184"/>
        <c:scaling>
          <c:orientation val="minMax"/>
        </c:scaling>
        <c:delete val="0"/>
        <c:axPos val="b"/>
        <c:title>
          <c:tx>
            <c:rich>
              <a:bodyPr/>
              <a:lstStyle/>
              <a:p>
                <a:pPr>
                  <a:defRPr/>
                </a:pPr>
                <a:r>
                  <a:rPr lang="en-US"/>
                  <a:t>Junior TT hires (2012 &amp; 2013)</a:t>
                </a:r>
              </a:p>
            </c:rich>
          </c:tx>
          <c:layout/>
          <c:overlay val="0"/>
        </c:title>
        <c:majorTickMark val="out"/>
        <c:minorTickMark val="none"/>
        <c:tickLblPos val="nextTo"/>
        <c:crossAx val="-2108347064"/>
        <c:crosses val="autoZero"/>
        <c:auto val="1"/>
        <c:lblAlgn val="ctr"/>
        <c:lblOffset val="100"/>
        <c:noMultiLvlLbl val="0"/>
      </c:catAx>
      <c:valAx>
        <c:axId val="-2108347064"/>
        <c:scaling>
          <c:orientation val="minMax"/>
        </c:scaling>
        <c:delete val="0"/>
        <c:axPos val="l"/>
        <c:majorGridlines/>
        <c:title>
          <c:tx>
            <c:rich>
              <a:bodyPr/>
              <a:lstStyle/>
              <a:p>
                <a:pPr>
                  <a:defRPr/>
                </a:pPr>
                <a:r>
                  <a:rPr lang="en-US"/>
                  <a:t>Proportion of candidates</a:t>
                </a:r>
              </a:p>
            </c:rich>
          </c:tx>
          <c:layout/>
          <c:overlay val="0"/>
        </c:title>
        <c:numFmt formatCode="0.00" sourceLinked="1"/>
        <c:majorTickMark val="out"/>
        <c:minorTickMark val="none"/>
        <c:tickLblPos val="nextTo"/>
        <c:crossAx val="-2108004184"/>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Publishing (no prior position)</a:t>
            </a:r>
          </a:p>
        </c:rich>
      </c:tx>
      <c:layout/>
      <c:overlay val="0"/>
    </c:title>
    <c:autoTitleDeleted val="0"/>
    <c:plotArea>
      <c:layout/>
      <c:barChart>
        <c:barDir val="col"/>
        <c:grouping val="clustered"/>
        <c:varyColors val="0"/>
        <c:ser>
          <c:idx val="0"/>
          <c:order val="0"/>
          <c:tx>
            <c:v>Total publications</c:v>
          </c:tx>
          <c:invertIfNegative val="0"/>
          <c:cat>
            <c:strLit>
              <c:ptCount val="4"/>
              <c:pt idx="0">
                <c:v>_x0007_&lt;20 men</c:v>
              </c:pt>
              <c:pt idx="1">
                <c:v>_x000b_ Top-20 men</c:v>
              </c:pt>
              <c:pt idx="2">
                <c:v>
 &lt;20 women</c:v>
              </c:pt>
              <c:pt idx="3">
                <c:v>_x000d_ Top-20 women</c:v>
              </c:pt>
            </c:strLit>
          </c:cat>
          <c:val>
            <c:numRef>
              <c:f>Sheet1!$D$344:$D$347</c:f>
              <c:numCache>
                <c:formatCode>0.00</c:formatCode>
                <c:ptCount val="4"/>
                <c:pt idx="0">
                  <c:v>1.025641025641026</c:v>
                </c:pt>
                <c:pt idx="1">
                  <c:v>1.554054054054054</c:v>
                </c:pt>
                <c:pt idx="2">
                  <c:v>0.966666666666667</c:v>
                </c:pt>
                <c:pt idx="3">
                  <c:v>0.6</c:v>
                </c:pt>
              </c:numCache>
            </c:numRef>
          </c:val>
        </c:ser>
        <c:ser>
          <c:idx val="1"/>
          <c:order val="1"/>
          <c:tx>
            <c:v>Brooks Blog Top-15</c:v>
          </c:tx>
          <c:invertIfNegative val="0"/>
          <c:cat>
            <c:strLit>
              <c:ptCount val="4"/>
              <c:pt idx="0">
                <c:v>_x0007_&lt;20 men</c:v>
              </c:pt>
              <c:pt idx="1">
                <c:v>_x000b_ Top-20 men</c:v>
              </c:pt>
              <c:pt idx="2">
                <c:v>
 &lt;20 women</c:v>
              </c:pt>
              <c:pt idx="3">
                <c:v>_x000d_ Top-20 women</c:v>
              </c:pt>
            </c:strLit>
          </c:cat>
          <c:val>
            <c:numRef>
              <c:f>Sheet1!$E$344:$E$347</c:f>
              <c:numCache>
                <c:formatCode>0.00</c:formatCode>
                <c:ptCount val="4"/>
                <c:pt idx="0">
                  <c:v>0.128205128205128</c:v>
                </c:pt>
                <c:pt idx="1">
                  <c:v>0.554054054054054</c:v>
                </c:pt>
                <c:pt idx="2">
                  <c:v>0.0666666666666667</c:v>
                </c:pt>
                <c:pt idx="3">
                  <c:v>0.228571428571429</c:v>
                </c:pt>
              </c:numCache>
            </c:numRef>
          </c:val>
        </c:ser>
        <c:dLbls>
          <c:showLegendKey val="0"/>
          <c:showVal val="0"/>
          <c:showCatName val="0"/>
          <c:showSerName val="0"/>
          <c:showPercent val="0"/>
          <c:showBubbleSize val="0"/>
        </c:dLbls>
        <c:gapWidth val="150"/>
        <c:axId val="-2108025976"/>
        <c:axId val="-2136931112"/>
      </c:barChart>
      <c:catAx>
        <c:axId val="-2108025976"/>
        <c:scaling>
          <c:orientation val="minMax"/>
        </c:scaling>
        <c:delete val="0"/>
        <c:axPos val="b"/>
        <c:title>
          <c:tx>
            <c:rich>
              <a:bodyPr/>
              <a:lstStyle/>
              <a:p>
                <a:pPr>
                  <a:defRPr/>
                </a:pPr>
                <a:r>
                  <a:rPr lang="en-US"/>
                  <a:t>Junior TT hires with no prior position (2012 &amp; 2013)</a:t>
                </a:r>
              </a:p>
            </c:rich>
          </c:tx>
          <c:layout/>
          <c:overlay val="0"/>
        </c:title>
        <c:majorTickMark val="out"/>
        <c:minorTickMark val="none"/>
        <c:tickLblPos val="nextTo"/>
        <c:crossAx val="-2136931112"/>
        <c:crosses val="autoZero"/>
        <c:auto val="1"/>
        <c:lblAlgn val="ctr"/>
        <c:lblOffset val="100"/>
        <c:noMultiLvlLbl val="0"/>
      </c:catAx>
      <c:valAx>
        <c:axId val="-2136931112"/>
        <c:scaling>
          <c:orientation val="minMax"/>
        </c:scaling>
        <c:delete val="0"/>
        <c:axPos val="l"/>
        <c:majorGridlines/>
        <c:title>
          <c:tx>
            <c:rich>
              <a:bodyPr/>
              <a:lstStyle/>
              <a:p>
                <a:pPr>
                  <a:defRPr/>
                </a:pPr>
                <a:r>
                  <a:rPr lang="en-US"/>
                  <a:t>Mean Publications</a:t>
                </a:r>
              </a:p>
            </c:rich>
          </c:tx>
          <c:layout/>
          <c:overlay val="0"/>
        </c:title>
        <c:numFmt formatCode="0.00" sourceLinked="1"/>
        <c:majorTickMark val="out"/>
        <c:minorTickMark val="none"/>
        <c:tickLblPos val="nextTo"/>
        <c:crossAx val="-2108025976"/>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Prestige and Publishing</a:t>
            </a:r>
          </a:p>
        </c:rich>
      </c:tx>
      <c:layout/>
      <c:overlay val="0"/>
    </c:title>
    <c:autoTitleDeleted val="0"/>
    <c:plotArea>
      <c:layout/>
      <c:barChart>
        <c:barDir val="col"/>
        <c:grouping val="clustered"/>
        <c:varyColors val="0"/>
        <c:ser>
          <c:idx val="0"/>
          <c:order val="0"/>
          <c:tx>
            <c:v>Top-20 candidates</c:v>
          </c:tx>
          <c:invertIfNegative val="0"/>
          <c:cat>
            <c:strLit>
              <c:ptCount val="2"/>
              <c:pt idx="0">
                <c:v>_x0010_All publications</c:v>
              </c:pt>
              <c:pt idx="1">
                <c:v>_x0007_ Top-15</c:v>
              </c:pt>
            </c:strLit>
          </c:cat>
          <c:val>
            <c:numRef>
              <c:f>Sheet1!$D$397:$E$397</c:f>
              <c:numCache>
                <c:formatCode>0.00</c:formatCode>
                <c:ptCount val="2"/>
                <c:pt idx="0">
                  <c:v>2.075949367088608</c:v>
                </c:pt>
                <c:pt idx="1">
                  <c:v>0.604430379746835</c:v>
                </c:pt>
              </c:numCache>
            </c:numRef>
          </c:val>
        </c:ser>
        <c:ser>
          <c:idx val="1"/>
          <c:order val="1"/>
          <c:tx>
            <c:v>&lt;20 candidates</c:v>
          </c:tx>
          <c:invertIfNegative val="0"/>
          <c:cat>
            <c:strLit>
              <c:ptCount val="2"/>
              <c:pt idx="0">
                <c:v>_x0010_All publications</c:v>
              </c:pt>
              <c:pt idx="1">
                <c:v>_x0007_ Top-15</c:v>
              </c:pt>
            </c:strLit>
          </c:cat>
          <c:val>
            <c:numRef>
              <c:f>Sheet1!$D$398:$E$398</c:f>
              <c:numCache>
                <c:formatCode>0.00</c:formatCode>
                <c:ptCount val="2"/>
                <c:pt idx="0">
                  <c:v>2.404651162790698</c:v>
                </c:pt>
                <c:pt idx="1">
                  <c:v>0.441860465116279</c:v>
                </c:pt>
              </c:numCache>
            </c:numRef>
          </c:val>
        </c:ser>
        <c:dLbls>
          <c:showLegendKey val="0"/>
          <c:showVal val="0"/>
          <c:showCatName val="0"/>
          <c:showSerName val="0"/>
          <c:showPercent val="0"/>
          <c:showBubbleSize val="0"/>
        </c:dLbls>
        <c:gapWidth val="150"/>
        <c:axId val="-2113877608"/>
        <c:axId val="2135760888"/>
      </c:barChart>
      <c:catAx>
        <c:axId val="-2113877608"/>
        <c:scaling>
          <c:orientation val="minMax"/>
        </c:scaling>
        <c:delete val="0"/>
        <c:axPos val="b"/>
        <c:title>
          <c:tx>
            <c:rich>
              <a:bodyPr/>
              <a:lstStyle/>
              <a:p>
                <a:pPr>
                  <a:defRPr/>
                </a:pPr>
                <a:r>
                  <a:rPr lang="en-US"/>
                  <a:t>Junior TT hires (2012 &amp; 2013)</a:t>
                </a:r>
              </a:p>
            </c:rich>
          </c:tx>
          <c:layout/>
          <c:overlay val="0"/>
        </c:title>
        <c:numFmt formatCode="General" sourceLinked="1"/>
        <c:majorTickMark val="out"/>
        <c:minorTickMark val="none"/>
        <c:tickLblPos val="nextTo"/>
        <c:crossAx val="2135760888"/>
        <c:crosses val="autoZero"/>
        <c:auto val="1"/>
        <c:lblAlgn val="ctr"/>
        <c:lblOffset val="100"/>
        <c:noMultiLvlLbl val="0"/>
      </c:catAx>
      <c:valAx>
        <c:axId val="2135760888"/>
        <c:scaling>
          <c:orientation val="minMax"/>
        </c:scaling>
        <c:delete val="0"/>
        <c:axPos val="l"/>
        <c:majorGridlines/>
        <c:title>
          <c:tx>
            <c:rich>
              <a:bodyPr/>
              <a:lstStyle/>
              <a:p>
                <a:pPr>
                  <a:defRPr/>
                </a:pPr>
                <a:r>
                  <a:rPr lang="en-US"/>
                  <a:t>Mean publications</a:t>
                </a:r>
              </a:p>
            </c:rich>
          </c:tx>
          <c:layout/>
          <c:overlay val="0"/>
        </c:title>
        <c:numFmt formatCode="0.00" sourceLinked="1"/>
        <c:majorTickMark val="out"/>
        <c:minorTickMark val="none"/>
        <c:tickLblPos val="nextTo"/>
        <c:crossAx val="-2113877608"/>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Publishing (with prior position)</a:t>
            </a:r>
          </a:p>
        </c:rich>
      </c:tx>
      <c:layout/>
      <c:overlay val="0"/>
    </c:title>
    <c:autoTitleDeleted val="0"/>
    <c:plotArea>
      <c:layout/>
      <c:barChart>
        <c:barDir val="col"/>
        <c:grouping val="clustered"/>
        <c:varyColors val="0"/>
        <c:ser>
          <c:idx val="0"/>
          <c:order val="0"/>
          <c:tx>
            <c:v>Total publications</c:v>
          </c:tx>
          <c:invertIfNegative val="0"/>
          <c:cat>
            <c:strLit>
              <c:ptCount val="4"/>
              <c:pt idx="0">
                <c:v>_x0007_&lt;20 men</c:v>
              </c:pt>
              <c:pt idx="1">
                <c:v>_x000b_ Top-20 men</c:v>
              </c:pt>
              <c:pt idx="2">
                <c:v>
 &lt;20 women</c:v>
              </c:pt>
              <c:pt idx="3">
                <c:v>_x000d_ Top-20 women</c:v>
              </c:pt>
            </c:strLit>
          </c:cat>
          <c:val>
            <c:numRef>
              <c:f>Sheet1!$D$367:$D$370</c:f>
              <c:numCache>
                <c:formatCode>0.00</c:formatCode>
                <c:ptCount val="4"/>
                <c:pt idx="0">
                  <c:v>3.782608695652174</c:v>
                </c:pt>
                <c:pt idx="1">
                  <c:v>3.285714285714286</c:v>
                </c:pt>
                <c:pt idx="2">
                  <c:v>2.038461538461538</c:v>
                </c:pt>
                <c:pt idx="3">
                  <c:v>1.38888888888889</c:v>
                </c:pt>
              </c:numCache>
            </c:numRef>
          </c:val>
        </c:ser>
        <c:ser>
          <c:idx val="1"/>
          <c:order val="1"/>
          <c:tx>
            <c:v>Brooks Blog Top-15</c:v>
          </c:tx>
          <c:invertIfNegative val="0"/>
          <c:cat>
            <c:strLit>
              <c:ptCount val="4"/>
              <c:pt idx="0">
                <c:v>_x0007_&lt;20 men</c:v>
              </c:pt>
              <c:pt idx="1">
                <c:v>_x000b_ Top-20 men</c:v>
              </c:pt>
              <c:pt idx="2">
                <c:v>
 &lt;20 women</c:v>
              </c:pt>
              <c:pt idx="3">
                <c:v>_x000d_ Top-20 women</c:v>
              </c:pt>
            </c:strLit>
          </c:cat>
          <c:val>
            <c:numRef>
              <c:f>Sheet1!$E$367:$E$370</c:f>
              <c:numCache>
                <c:formatCode>0.00</c:formatCode>
                <c:ptCount val="4"/>
                <c:pt idx="0">
                  <c:v>0.673913043478261</c:v>
                </c:pt>
                <c:pt idx="1">
                  <c:v>1.0</c:v>
                </c:pt>
                <c:pt idx="2">
                  <c:v>0.269230769230769</c:v>
                </c:pt>
                <c:pt idx="3">
                  <c:v>0.333333333333333</c:v>
                </c:pt>
              </c:numCache>
            </c:numRef>
          </c:val>
        </c:ser>
        <c:dLbls>
          <c:showLegendKey val="0"/>
          <c:showVal val="0"/>
          <c:showCatName val="0"/>
          <c:showSerName val="0"/>
          <c:showPercent val="0"/>
          <c:showBubbleSize val="0"/>
        </c:dLbls>
        <c:gapWidth val="150"/>
        <c:axId val="-2111391336"/>
        <c:axId val="-2111156424"/>
      </c:barChart>
      <c:catAx>
        <c:axId val="-2111391336"/>
        <c:scaling>
          <c:orientation val="minMax"/>
        </c:scaling>
        <c:delete val="0"/>
        <c:axPos val="b"/>
        <c:title>
          <c:tx>
            <c:rich>
              <a:bodyPr/>
              <a:lstStyle/>
              <a:p>
                <a:pPr>
                  <a:defRPr/>
                </a:pPr>
                <a:r>
                  <a:rPr lang="en-US"/>
                  <a:t>Junior TT with a prior position (2012 &amp; 2013)</a:t>
                </a:r>
              </a:p>
            </c:rich>
          </c:tx>
          <c:layout/>
          <c:overlay val="0"/>
        </c:title>
        <c:majorTickMark val="out"/>
        <c:minorTickMark val="none"/>
        <c:tickLblPos val="nextTo"/>
        <c:crossAx val="-2111156424"/>
        <c:crosses val="autoZero"/>
        <c:auto val="1"/>
        <c:lblAlgn val="ctr"/>
        <c:lblOffset val="100"/>
        <c:noMultiLvlLbl val="0"/>
      </c:catAx>
      <c:valAx>
        <c:axId val="-2111156424"/>
        <c:scaling>
          <c:orientation val="minMax"/>
        </c:scaling>
        <c:delete val="0"/>
        <c:axPos val="l"/>
        <c:majorGridlines/>
        <c:title>
          <c:tx>
            <c:rich>
              <a:bodyPr/>
              <a:lstStyle/>
              <a:p>
                <a:pPr>
                  <a:defRPr/>
                </a:pPr>
                <a:r>
                  <a:rPr lang="en-US"/>
                  <a:t>Mean publications</a:t>
                </a:r>
              </a:p>
            </c:rich>
          </c:tx>
          <c:layout/>
          <c:overlay val="0"/>
        </c:title>
        <c:numFmt formatCode="0.00" sourceLinked="1"/>
        <c:majorTickMark val="out"/>
        <c:minorTickMark val="none"/>
        <c:tickLblPos val="nextTo"/>
        <c:crossAx val="-2111391336"/>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Earned PhDs and TT hiring</a:t>
            </a:r>
          </a:p>
        </c:rich>
      </c:tx>
      <c:layout/>
      <c:overlay val="0"/>
    </c:title>
    <c:autoTitleDeleted val="0"/>
    <c:plotArea>
      <c:layout/>
      <c:barChart>
        <c:barDir val="col"/>
        <c:grouping val="clustered"/>
        <c:varyColors val="0"/>
        <c:ser>
          <c:idx val="0"/>
          <c:order val="0"/>
          <c:tx>
            <c:v>Total junior tenure track  hires</c:v>
          </c:tx>
          <c:invertIfNegative val="0"/>
          <c:cat>
            <c:numLit>
              <c:formatCode>General</c:formatCode>
              <c:ptCount val="10"/>
              <c:pt idx="0">
                <c:v>2005.0</c:v>
              </c:pt>
              <c:pt idx="1">
                <c:v>2006.0</c:v>
              </c:pt>
              <c:pt idx="2">
                <c:v>2007.0</c:v>
              </c:pt>
              <c:pt idx="3">
                <c:v>2008.0</c:v>
              </c:pt>
              <c:pt idx="4">
                <c:v>2009.0</c:v>
              </c:pt>
              <c:pt idx="5">
                <c:v>2010.0</c:v>
              </c:pt>
              <c:pt idx="6">
                <c:v>2011.0</c:v>
              </c:pt>
              <c:pt idx="7">
                <c:v>2012.0</c:v>
              </c:pt>
              <c:pt idx="8">
                <c:v>2013.0</c:v>
              </c:pt>
              <c:pt idx="9">
                <c:v>2014.0</c:v>
              </c:pt>
            </c:numLit>
          </c:cat>
          <c:val>
            <c:numRef>
              <c:f>Sheet1!$B$2:$K$2</c:f>
              <c:numCache>
                <c:formatCode>General</c:formatCode>
                <c:ptCount val="10"/>
                <c:pt idx="0">
                  <c:v>124.0</c:v>
                </c:pt>
                <c:pt idx="1">
                  <c:v>137.0</c:v>
                </c:pt>
                <c:pt idx="2">
                  <c:v>102.0</c:v>
                </c:pt>
                <c:pt idx="3">
                  <c:v>159.0</c:v>
                </c:pt>
                <c:pt idx="4">
                  <c:v>98.0</c:v>
                </c:pt>
                <c:pt idx="5">
                  <c:v>86.0</c:v>
                </c:pt>
                <c:pt idx="6">
                  <c:v>94.0</c:v>
                </c:pt>
                <c:pt idx="7">
                  <c:v>185.0</c:v>
                </c:pt>
                <c:pt idx="8">
                  <c:v>171.0</c:v>
                </c:pt>
                <c:pt idx="9">
                  <c:v>148.0</c:v>
                </c:pt>
              </c:numCache>
            </c:numRef>
          </c:val>
        </c:ser>
        <c:ser>
          <c:idx val="1"/>
          <c:order val="1"/>
          <c:tx>
            <c:v>Total earned doctorates</c:v>
          </c:tx>
          <c:invertIfNegative val="0"/>
          <c:cat>
            <c:numLit>
              <c:formatCode>General</c:formatCode>
              <c:ptCount val="10"/>
              <c:pt idx="0">
                <c:v>2005.0</c:v>
              </c:pt>
              <c:pt idx="1">
                <c:v>2006.0</c:v>
              </c:pt>
              <c:pt idx="2">
                <c:v>2007.0</c:v>
              </c:pt>
              <c:pt idx="3">
                <c:v>2008.0</c:v>
              </c:pt>
              <c:pt idx="4">
                <c:v>2009.0</c:v>
              </c:pt>
              <c:pt idx="5">
                <c:v>2010.0</c:v>
              </c:pt>
              <c:pt idx="6">
                <c:v>2011.0</c:v>
              </c:pt>
              <c:pt idx="7">
                <c:v>2012.0</c:v>
              </c:pt>
              <c:pt idx="8">
                <c:v>2013.0</c:v>
              </c:pt>
              <c:pt idx="9">
                <c:v>2014.0</c:v>
              </c:pt>
            </c:numLit>
          </c:cat>
          <c:val>
            <c:numRef>
              <c:f>Sheet1!$B$3:$K$3</c:f>
              <c:numCache>
                <c:formatCode>General</c:formatCode>
                <c:ptCount val="10"/>
                <c:pt idx="0">
                  <c:v>363.0</c:v>
                </c:pt>
                <c:pt idx="1">
                  <c:v>354.0</c:v>
                </c:pt>
                <c:pt idx="2">
                  <c:v>370.0</c:v>
                </c:pt>
                <c:pt idx="3">
                  <c:v>411.0</c:v>
                </c:pt>
                <c:pt idx="4">
                  <c:v>401.0</c:v>
                </c:pt>
                <c:pt idx="5">
                  <c:v>423.0</c:v>
                </c:pt>
                <c:pt idx="6">
                  <c:v>434.0</c:v>
                </c:pt>
                <c:pt idx="7">
                  <c:v>462.0</c:v>
                </c:pt>
                <c:pt idx="8">
                  <c:v>527.0</c:v>
                </c:pt>
                <c:pt idx="9">
                  <c:v>519.0</c:v>
                </c:pt>
              </c:numCache>
            </c:numRef>
          </c:val>
        </c:ser>
        <c:dLbls>
          <c:showLegendKey val="0"/>
          <c:showVal val="0"/>
          <c:showCatName val="0"/>
          <c:showSerName val="0"/>
          <c:showPercent val="0"/>
          <c:showBubbleSize val="0"/>
        </c:dLbls>
        <c:gapWidth val="150"/>
        <c:axId val="-2111239480"/>
        <c:axId val="-2111238072"/>
      </c:barChart>
      <c:catAx>
        <c:axId val="-2111239480"/>
        <c:scaling>
          <c:orientation val="minMax"/>
        </c:scaling>
        <c:delete val="0"/>
        <c:axPos val="b"/>
        <c:numFmt formatCode="General" sourceLinked="1"/>
        <c:majorTickMark val="out"/>
        <c:minorTickMark val="none"/>
        <c:tickLblPos val="nextTo"/>
        <c:crossAx val="-2111238072"/>
        <c:crosses val="autoZero"/>
        <c:auto val="1"/>
        <c:lblAlgn val="ctr"/>
        <c:lblOffset val="100"/>
        <c:noMultiLvlLbl val="0"/>
      </c:catAx>
      <c:valAx>
        <c:axId val="-2111238072"/>
        <c:scaling>
          <c:orientation val="minMax"/>
        </c:scaling>
        <c:delete val="0"/>
        <c:axPos val="l"/>
        <c:majorGridlines/>
        <c:numFmt formatCode="General" sourceLinked="1"/>
        <c:majorTickMark val="out"/>
        <c:minorTickMark val="none"/>
        <c:tickLblPos val="nextTo"/>
        <c:crossAx val="-2111239480"/>
        <c:crosses val="autoZero"/>
        <c:crossBetween val="between"/>
      </c:valAx>
      <c:spPr>
        <a:noFill/>
        <a:ln>
          <a:noFill/>
        </a:ln>
      </c:spPr>
    </c:plotArea>
    <c:legend>
      <c:legendPos val="b"/>
      <c:layout/>
      <c:overlay val="0"/>
    </c:legend>
    <c:plotVisOnly val="1"/>
    <c:dispBlanksAs val="gap"/>
    <c:showDLblsOverMax val="0"/>
  </c:chart>
  <c:spPr>
    <a:solidFill>
      <a:schemeClr val="bg1"/>
    </a:solid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Earned Doctorates by Gender</a:t>
            </a:r>
          </a:p>
        </c:rich>
      </c:tx>
      <c:layout/>
      <c:overlay val="0"/>
    </c:title>
    <c:autoTitleDeleted val="0"/>
    <c:plotArea>
      <c:layout/>
      <c:barChart>
        <c:barDir val="col"/>
        <c:grouping val="clustered"/>
        <c:varyColors val="0"/>
        <c:ser>
          <c:idx val="0"/>
          <c:order val="0"/>
          <c:tx>
            <c:v>Men</c:v>
          </c:tx>
          <c:invertIfNegative val="0"/>
          <c:cat>
            <c:numLit>
              <c:formatCode>General</c:formatCode>
              <c:ptCount val="10"/>
              <c:pt idx="0">
                <c:v>2004.0</c:v>
              </c:pt>
              <c:pt idx="1">
                <c:v>2005.0</c:v>
              </c:pt>
              <c:pt idx="2">
                <c:v>2006.0</c:v>
              </c:pt>
              <c:pt idx="3">
                <c:v>2007.0</c:v>
              </c:pt>
              <c:pt idx="4">
                <c:v>2008.0</c:v>
              </c:pt>
              <c:pt idx="5">
                <c:v>2009.0</c:v>
              </c:pt>
              <c:pt idx="6">
                <c:v>2010.0</c:v>
              </c:pt>
              <c:pt idx="7">
                <c:v>2011.0</c:v>
              </c:pt>
              <c:pt idx="8">
                <c:v>2012.0</c:v>
              </c:pt>
              <c:pt idx="9">
                <c:v>2013.0</c:v>
              </c:pt>
            </c:numLit>
          </c:cat>
          <c:val>
            <c:numRef>
              <c:f>Sheet1!$C$3:$L$3</c:f>
              <c:numCache>
                <c:formatCode>0.0</c:formatCode>
                <c:ptCount val="10"/>
                <c:pt idx="0">
                  <c:v>242.0</c:v>
                </c:pt>
                <c:pt idx="1">
                  <c:v>265.0</c:v>
                </c:pt>
                <c:pt idx="2">
                  <c:v>264.0</c:v>
                </c:pt>
                <c:pt idx="3">
                  <c:v>313.0</c:v>
                </c:pt>
                <c:pt idx="4">
                  <c:v>298.0</c:v>
                </c:pt>
                <c:pt idx="5">
                  <c:v>298.0</c:v>
                </c:pt>
                <c:pt idx="6">
                  <c:v>313.0</c:v>
                </c:pt>
                <c:pt idx="7">
                  <c:v>317.0</c:v>
                </c:pt>
                <c:pt idx="8">
                  <c:v>385.0</c:v>
                </c:pt>
                <c:pt idx="9">
                  <c:v>379.0</c:v>
                </c:pt>
              </c:numCache>
            </c:numRef>
          </c:val>
        </c:ser>
        <c:ser>
          <c:idx val="1"/>
          <c:order val="1"/>
          <c:tx>
            <c:v>Women</c:v>
          </c:tx>
          <c:invertIfNegative val="0"/>
          <c:cat>
            <c:numLit>
              <c:formatCode>General</c:formatCode>
              <c:ptCount val="10"/>
              <c:pt idx="0">
                <c:v>2004.0</c:v>
              </c:pt>
              <c:pt idx="1">
                <c:v>2005.0</c:v>
              </c:pt>
              <c:pt idx="2">
                <c:v>2006.0</c:v>
              </c:pt>
              <c:pt idx="3">
                <c:v>2007.0</c:v>
              </c:pt>
              <c:pt idx="4">
                <c:v>2008.0</c:v>
              </c:pt>
              <c:pt idx="5">
                <c:v>2009.0</c:v>
              </c:pt>
              <c:pt idx="6">
                <c:v>2010.0</c:v>
              </c:pt>
              <c:pt idx="7">
                <c:v>2011.0</c:v>
              </c:pt>
              <c:pt idx="8">
                <c:v>2012.0</c:v>
              </c:pt>
              <c:pt idx="9">
                <c:v>2013.0</c:v>
              </c:pt>
            </c:numLit>
          </c:cat>
          <c:val>
            <c:numRef>
              <c:f>Sheet1!$C$4:$L$4</c:f>
              <c:numCache>
                <c:formatCode>0.0</c:formatCode>
                <c:ptCount val="10"/>
                <c:pt idx="0">
                  <c:v>121.0</c:v>
                </c:pt>
                <c:pt idx="1">
                  <c:v>89.0</c:v>
                </c:pt>
                <c:pt idx="2">
                  <c:v>106.0</c:v>
                </c:pt>
                <c:pt idx="3">
                  <c:v>98.0</c:v>
                </c:pt>
                <c:pt idx="4">
                  <c:v>103.0</c:v>
                </c:pt>
                <c:pt idx="5">
                  <c:v>125.0</c:v>
                </c:pt>
                <c:pt idx="6">
                  <c:v>121.0</c:v>
                </c:pt>
                <c:pt idx="7">
                  <c:v>145.0</c:v>
                </c:pt>
                <c:pt idx="8">
                  <c:v>141.0</c:v>
                </c:pt>
                <c:pt idx="9">
                  <c:v>140.0</c:v>
                </c:pt>
              </c:numCache>
            </c:numRef>
          </c:val>
        </c:ser>
        <c:dLbls>
          <c:showLegendKey val="0"/>
          <c:showVal val="0"/>
          <c:showCatName val="0"/>
          <c:showSerName val="0"/>
          <c:showPercent val="0"/>
          <c:showBubbleSize val="0"/>
        </c:dLbls>
        <c:gapWidth val="150"/>
        <c:axId val="2089898024"/>
        <c:axId val="2090539656"/>
      </c:barChart>
      <c:catAx>
        <c:axId val="2089898024"/>
        <c:scaling>
          <c:orientation val="minMax"/>
        </c:scaling>
        <c:delete val="0"/>
        <c:axPos val="b"/>
        <c:numFmt formatCode="General" sourceLinked="1"/>
        <c:majorTickMark val="out"/>
        <c:minorTickMark val="none"/>
        <c:tickLblPos val="nextTo"/>
        <c:crossAx val="2090539656"/>
        <c:crosses val="autoZero"/>
        <c:auto val="1"/>
        <c:lblAlgn val="ctr"/>
        <c:lblOffset val="100"/>
        <c:noMultiLvlLbl val="0"/>
      </c:catAx>
      <c:valAx>
        <c:axId val="2090539656"/>
        <c:scaling>
          <c:orientation val="minMax"/>
        </c:scaling>
        <c:delete val="0"/>
        <c:axPos val="l"/>
        <c:majorGridlines/>
        <c:numFmt formatCode="0.0" sourceLinked="1"/>
        <c:majorTickMark val="out"/>
        <c:minorTickMark val="none"/>
        <c:tickLblPos val="nextTo"/>
        <c:crossAx val="2089898024"/>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35374146112531"/>
          <c:y val="0.0148883374689826"/>
          <c:w val="0.764625853887469"/>
          <c:h val="0.833492897755026"/>
        </c:manualLayout>
      </c:layout>
      <c:barChart>
        <c:barDir val="col"/>
        <c:grouping val="clustered"/>
        <c:varyColors val="0"/>
        <c:ser>
          <c:idx val="0"/>
          <c:order val="0"/>
          <c:tx>
            <c:v>Earned phds 1 year prior</c:v>
          </c:tx>
          <c:invertIfNegative val="0"/>
          <c:cat>
            <c:numLit>
              <c:formatCode>General</c:formatCode>
              <c:ptCount val="10"/>
              <c:pt idx="0">
                <c:v>2005.0</c:v>
              </c:pt>
              <c:pt idx="1">
                <c:v>2006.0</c:v>
              </c:pt>
              <c:pt idx="2">
                <c:v>2007.0</c:v>
              </c:pt>
              <c:pt idx="3">
                <c:v>2008.0</c:v>
              </c:pt>
              <c:pt idx="4">
                <c:v>2009.0</c:v>
              </c:pt>
              <c:pt idx="5">
                <c:v>2010.0</c:v>
              </c:pt>
              <c:pt idx="6">
                <c:v>2011.0</c:v>
              </c:pt>
              <c:pt idx="7">
                <c:v>2012.0</c:v>
              </c:pt>
              <c:pt idx="8">
                <c:v>2013.0</c:v>
              </c:pt>
              <c:pt idx="9">
                <c:v>2014.0</c:v>
              </c:pt>
            </c:numLit>
          </c:cat>
          <c:val>
            <c:numRef>
              <c:f>Sheet1!$C$14:$L$14</c:f>
              <c:numCache>
                <c:formatCode>General</c:formatCode>
                <c:ptCount val="10"/>
                <c:pt idx="0">
                  <c:v>33.3</c:v>
                </c:pt>
                <c:pt idx="1">
                  <c:v>24.4</c:v>
                </c:pt>
                <c:pt idx="2">
                  <c:v>28.6</c:v>
                </c:pt>
                <c:pt idx="3">
                  <c:v>23.8</c:v>
                </c:pt>
                <c:pt idx="4">
                  <c:v>25.7</c:v>
                </c:pt>
                <c:pt idx="5">
                  <c:v>29.6</c:v>
                </c:pt>
                <c:pt idx="6">
                  <c:v>27.9</c:v>
                </c:pt>
                <c:pt idx="7">
                  <c:v>31.3</c:v>
                </c:pt>
                <c:pt idx="8">
                  <c:v>26.8</c:v>
                </c:pt>
                <c:pt idx="9">
                  <c:v>27.0</c:v>
                </c:pt>
              </c:numCache>
            </c:numRef>
          </c:val>
        </c:ser>
        <c:ser>
          <c:idx val="1"/>
          <c:order val="1"/>
          <c:tx>
            <c:v>Junior TT hires</c:v>
          </c:tx>
          <c:invertIfNegative val="0"/>
          <c:cat>
            <c:numLit>
              <c:formatCode>General</c:formatCode>
              <c:ptCount val="10"/>
              <c:pt idx="0">
                <c:v>2005.0</c:v>
              </c:pt>
              <c:pt idx="1">
                <c:v>2006.0</c:v>
              </c:pt>
              <c:pt idx="2">
                <c:v>2007.0</c:v>
              </c:pt>
              <c:pt idx="3">
                <c:v>2008.0</c:v>
              </c:pt>
              <c:pt idx="4">
                <c:v>2009.0</c:v>
              </c:pt>
              <c:pt idx="5">
                <c:v>2010.0</c:v>
              </c:pt>
              <c:pt idx="6">
                <c:v>2011.0</c:v>
              </c:pt>
              <c:pt idx="7">
                <c:v>2012.0</c:v>
              </c:pt>
              <c:pt idx="8">
                <c:v>2013.0</c:v>
              </c:pt>
              <c:pt idx="9">
                <c:v>2014.0</c:v>
              </c:pt>
            </c:numLit>
          </c:cat>
          <c:val>
            <c:numRef>
              <c:f>Sheet1!$C$15:$L$15</c:f>
              <c:numCache>
                <c:formatCode>General</c:formatCode>
                <c:ptCount val="10"/>
                <c:pt idx="0">
                  <c:v>32.3</c:v>
                </c:pt>
                <c:pt idx="1">
                  <c:v>24.5</c:v>
                </c:pt>
                <c:pt idx="2">
                  <c:v>33.3</c:v>
                </c:pt>
                <c:pt idx="3">
                  <c:v>22.0</c:v>
                </c:pt>
                <c:pt idx="4">
                  <c:v>25.5</c:v>
                </c:pt>
                <c:pt idx="5">
                  <c:v>40.1</c:v>
                </c:pt>
                <c:pt idx="6">
                  <c:v>35.1</c:v>
                </c:pt>
                <c:pt idx="7">
                  <c:v>32.8</c:v>
                </c:pt>
                <c:pt idx="8">
                  <c:v>35.1</c:v>
                </c:pt>
                <c:pt idx="9">
                  <c:v>37.8</c:v>
                </c:pt>
              </c:numCache>
            </c:numRef>
          </c:val>
        </c:ser>
        <c:dLbls>
          <c:showLegendKey val="0"/>
          <c:showVal val="0"/>
          <c:showCatName val="0"/>
          <c:showSerName val="0"/>
          <c:showPercent val="0"/>
          <c:showBubbleSize val="0"/>
        </c:dLbls>
        <c:gapWidth val="150"/>
        <c:axId val="-2135827368"/>
        <c:axId val="-2135656904"/>
      </c:barChart>
      <c:catAx>
        <c:axId val="-2135827368"/>
        <c:scaling>
          <c:orientation val="minMax"/>
        </c:scaling>
        <c:delete val="0"/>
        <c:axPos val="b"/>
        <c:numFmt formatCode="General" sourceLinked="1"/>
        <c:majorTickMark val="out"/>
        <c:minorTickMark val="none"/>
        <c:tickLblPos val="nextTo"/>
        <c:crossAx val="-2135656904"/>
        <c:crosses val="autoZero"/>
        <c:auto val="1"/>
        <c:lblAlgn val="ctr"/>
        <c:lblOffset val="100"/>
        <c:noMultiLvlLbl val="0"/>
      </c:catAx>
      <c:valAx>
        <c:axId val="-2135656904"/>
        <c:scaling>
          <c:orientation val="minMax"/>
        </c:scaling>
        <c:delete val="0"/>
        <c:axPos val="l"/>
        <c:title>
          <c:tx>
            <c:rich>
              <a:bodyPr/>
              <a:lstStyle/>
              <a:p>
                <a:pPr>
                  <a:defRPr/>
                </a:pPr>
                <a:r>
                  <a:rPr lang="en-US"/>
                  <a:t>% Female</a:t>
                </a:r>
              </a:p>
            </c:rich>
          </c:tx>
          <c:layout/>
          <c:overlay val="0"/>
        </c:title>
        <c:numFmt formatCode="General" sourceLinked="1"/>
        <c:majorTickMark val="out"/>
        <c:minorTickMark val="none"/>
        <c:tickLblPos val="nextTo"/>
        <c:crossAx val="-2135827368"/>
        <c:crosses val="autoZero"/>
        <c:crossBetween val="between"/>
      </c:valAx>
      <c:dTable>
        <c:showHorzBorder val="1"/>
        <c:showVertBorder val="1"/>
        <c:showOutline val="1"/>
        <c:showKeys val="1"/>
      </c:dTable>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A99D-A186-A841-AE51-5927EF48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22</Pages>
  <Words>3830</Words>
  <Characters>21182</Characters>
  <Application>Microsoft Macintosh Word</Application>
  <DocSecurity>0</DocSecurity>
  <Lines>330</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Sean Hermanson</cp:lastModifiedBy>
  <cp:revision>127</cp:revision>
  <cp:lastPrinted>2017-04-21T14:13:00Z</cp:lastPrinted>
  <dcterms:created xsi:type="dcterms:W3CDTF">2016-07-06T17:33:00Z</dcterms:created>
  <dcterms:modified xsi:type="dcterms:W3CDTF">2017-05-17T14:15:00Z</dcterms:modified>
  <cp:category/>
</cp:coreProperties>
</file>