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BA" w:rsidRPr="00DA3CBA" w:rsidRDefault="00DA3CBA" w:rsidP="009C5E60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Nature of </w:t>
      </w:r>
      <w:proofErr w:type="spellStart"/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 Metaphysics in the Light of the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Challenges of Development</w:t>
      </w:r>
    </w:p>
    <w:p w:rsidR="009C5E60" w:rsidRDefault="00DA3CBA" w:rsidP="009C5E60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Terfa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Kahaga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Anjov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</w:p>
    <w:p w:rsidR="009C5E60" w:rsidRDefault="009C5E60" w:rsidP="009C5E60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>Department of Philosophy,</w:t>
      </w:r>
    </w:p>
    <w:p w:rsidR="009C5E60" w:rsidRDefault="009C5E60" w:rsidP="009C5E60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Benue State University,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Makurdi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DA3CBA" w:rsidRPr="00DA3CBA" w:rsidRDefault="00DA3CBA" w:rsidP="009C5E60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Nigeria</w:t>
      </w:r>
    </w:p>
    <w:p w:rsidR="00DA3CBA" w:rsidRPr="00DA3CBA" w:rsidRDefault="00DA3CBA" w:rsidP="009C5E60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anjovterfa@yahoo.com</w:t>
      </w:r>
    </w:p>
    <w:p w:rsidR="009C5E60" w:rsidRDefault="009C5E60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</w:p>
    <w:p w:rsidR="00DA3CBA" w:rsidRPr="00DA3CBA" w:rsidRDefault="009C5E60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Abstract</w:t>
      </w:r>
    </w:p>
    <w:p w:rsidR="00DA3CBA" w:rsidRPr="00DA3CBA" w:rsidRDefault="00DA3CBA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Man’s life has been challenged in various ways. Despite the numerous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challenges a man faces in life, no man seems to give up easily on life.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 are blessed with both human and natural resources, yet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they have not been experiencing these endowments in their lives for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several decades. There are new waves of knowledge which appear to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be motivating factors for an integral development of society.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people are yearning for change in every sphere of their lives. The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desired change can come about when the people are able to answer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following questions; what is the true nature of development and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how is metaphysics related to development? How virile is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value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system in meeting up with the challenges of development in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contemporary society? The answer to these questions is obtained in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way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person conceives reality and the human person and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how such understanding contributes to the actualization of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society. The study recommends that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aspirations are directly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linked to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Tiv's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conception of reality which is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metaphysics. This is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new approach to understanding the link between metaphysics and</w:t>
      </w:r>
    </w:p>
    <w:p w:rsidR="00DA3CBA" w:rsidRDefault="00DA3CBA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gram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</w:t>
      </w:r>
      <w:proofErr w:type="gram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development of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society.</w:t>
      </w:r>
      <w:r w:rsidR="009C5E60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9C5E60" w:rsidRPr="00DA3CBA" w:rsidRDefault="009C5E60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:rsidR="003475C1" w:rsidRDefault="003475C1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Fonts w:ascii="Times New Roman" w:eastAsia="Batang" w:hAnsi="Times New Roman" w:cs="Times New Roman"/>
          <w:sz w:val="24"/>
          <w:szCs w:val="24"/>
          <w:lang w:val="en-US"/>
        </w:rPr>
        <w:t>Keywords:</w:t>
      </w:r>
    </w:p>
    <w:p w:rsidR="00DA3CBA" w:rsidRPr="00DA3CBA" w:rsidRDefault="00DA3CBA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gram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change</w:t>
      </w:r>
      <w:proofErr w:type="gram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, Culture, Development, Knowledge, Metaphysics, Person,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</w:p>
    <w:p w:rsidR="00DA3CBA" w:rsidRPr="00DA3CBA" w:rsidRDefault="00DA3CBA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:rsidR="00DA3CBA" w:rsidRPr="00DA3CBA" w:rsidRDefault="00DA3CBA" w:rsidP="003475C1">
      <w:pPr>
        <w:autoSpaceDE w:val="0"/>
        <w:autoSpaceDN w:val="0"/>
        <w:adjustRightInd w:val="0"/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Introduction</w:t>
      </w:r>
    </w:p>
    <w:p w:rsidR="003475C1" w:rsidRDefault="00DA3CBA" w:rsidP="003475C1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society has been morally degenerated due to the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manner some members of society pursue their basic human needs in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life. The attitudes of some leaders reveal that they sought for these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basic needs outside the socially approved bounds thereby triggering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injustice, violence and destruction instead of peace and development.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refusal of leaders in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land to apply the metaphysical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understanding of reality and man in the art of governance for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sustainable justice, peace and social development actually motivated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me to embark on this study.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3475C1" w:rsidRDefault="00DA3CBA" w:rsidP="003475C1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land is highly underdeveloped despite the abundant rich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human and natural resources. One wonders why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Tivs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are not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moving with the pace of development in the world. Fundamental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questions are inevitable. They are; what is the true nature of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development and its relation to metaphysics? Are there any causal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relationships between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lastRenderedPageBreak/>
        <w:t>Philosophy, Metaphysics and Development?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Has the nature of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metaphysics any concomitant relationship with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development in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Tivland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?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3475C1" w:rsidRDefault="00DA3CBA" w:rsidP="003475C1">
      <w:pPr>
        <w:autoSpaceDE w:val="0"/>
        <w:autoSpaceDN w:val="0"/>
        <w:adjustRightInd w:val="0"/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Metaphysics, Philosophy and Development</w:t>
      </w:r>
      <w:r w:rsidR="003475C1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475C1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Metaphysics is a branch of philosophy. It is the “first philosophy”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because it is the foundation of all intellectual knowledge with the aim of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understanding reality for the purpose of creating the desired change in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any society. Karl Marx once declared that: “The philosophers have only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interpreted the world, in various wa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>ys; the point is to change it”.</w:t>
      </w:r>
      <w:r w:rsidR="003E35F4">
        <w:rPr>
          <w:rStyle w:val="FootnoteReference"/>
          <w:rFonts w:ascii="Times New Roman" w:eastAsia="Batang" w:hAnsi="Times New Roman" w:cs="Times New Roman"/>
          <w:sz w:val="24"/>
          <w:szCs w:val="24"/>
          <w:lang w:val="en-US"/>
        </w:rPr>
        <w:footnoteReference w:id="1"/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The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philosopher attempts to understand why life is as it is and the principles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governing life. Development is “change”. Quantitative changes result in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growth, while qualitative change is linked to development.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Agazzi</w:t>
      </w:r>
      <w:proofErr w:type="spellEnd"/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Evandro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relates this when she said that: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“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Development is a process to which some value judgment is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attached; positive judgment as in the application of the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phrase “well developed” to a thing or state and negative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judgment as in the application of the phrase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“under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>developed” to a thing or state”.</w:t>
      </w:r>
      <w:r w:rsidR="003E35F4">
        <w:rPr>
          <w:rStyle w:val="FootnoteReference"/>
          <w:rFonts w:ascii="Times New Roman" w:eastAsia="Batang" w:hAnsi="Times New Roman" w:cs="Times New Roman"/>
          <w:sz w:val="24"/>
          <w:szCs w:val="24"/>
          <w:lang w:val="en-US"/>
        </w:rPr>
        <w:footnoteReference w:id="2"/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emphasis here is not about relating development not just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with value judgments; it is an insistence that values are the vital forces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that challenge a man to conduct himself in actions that would culminate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in both human and infrastructural development. This integral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development is primarily built on the worldview of a people. What is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important is the fact that the human being is guided by the choices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made in a particular environment.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Ackoff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Russell while narrating his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“Aha” experience as quoted by Acosta-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Pasricha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Josephine thus: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DA3CBA" w:rsidRDefault="00DA3CBA" w:rsidP="003475C1">
      <w:pPr>
        <w:autoSpaceDE w:val="0"/>
        <w:autoSpaceDN w:val="0"/>
        <w:adjustRightInd w:val="0"/>
        <w:ind w:left="144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 came to realize this on the island of Leyte in the Philippines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during World War II. After hostilities on that island was over,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 group of soldiers with nothing else to do, began to convert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their camp into a community that provided a high quality of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life. They used nothing but native materials, with which they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were initially unfamiliar, and their imagination and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D653B5">
        <w:rPr>
          <w:rFonts w:ascii="Times New Roman" w:eastAsia="Batang" w:hAnsi="Times New Roman" w:cs="Times New Roman"/>
          <w:sz w:val="24"/>
          <w:szCs w:val="24"/>
          <w:lang w:val="en-US"/>
        </w:rPr>
        <w:t>ingenuity....</w:t>
      </w:r>
      <w:r w:rsidR="00D653B5">
        <w:rPr>
          <w:rStyle w:val="FootnoteReference"/>
          <w:rFonts w:ascii="Times New Roman" w:eastAsia="Batang" w:hAnsi="Times New Roman" w:cs="Times New Roman"/>
          <w:sz w:val="24"/>
          <w:szCs w:val="24"/>
          <w:lang w:val="en-US"/>
        </w:rPr>
        <w:footnoteReference w:id="3"/>
      </w:r>
    </w:p>
    <w:p w:rsidR="003475C1" w:rsidRPr="00DA3CBA" w:rsidRDefault="003475C1" w:rsidP="003475C1">
      <w:pPr>
        <w:autoSpaceDE w:val="0"/>
        <w:autoSpaceDN w:val="0"/>
        <w:adjustRightInd w:val="0"/>
        <w:ind w:left="1440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:rsidR="003E35F4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lastRenderedPageBreak/>
        <w:t xml:space="preserve">This is the kind of initiative a philosopher like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Raimon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Panikkar</w:t>
      </w:r>
      <w:proofErr w:type="spellEnd"/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presents in the relationship between philosophy and culture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as: 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>“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...philosophy and culture are “elements” of the human reality. ...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philosophy</w:t>
      </w:r>
      <w:proofErr w:type="gram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could represent the eyes that scrutinize that journey, and culture,</w:t>
      </w:r>
      <w:r w:rsidR="003475C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earth on which Man is walking d</w:t>
      </w:r>
      <w:r w:rsidR="007B0101">
        <w:rPr>
          <w:rFonts w:ascii="Times New Roman" w:eastAsia="Batang" w:hAnsi="Times New Roman" w:cs="Times New Roman"/>
          <w:sz w:val="24"/>
          <w:szCs w:val="24"/>
          <w:lang w:val="en-US"/>
        </w:rPr>
        <w:t>uring his concrete pilgrimage”.</w:t>
      </w:r>
      <w:r w:rsidR="007B0101">
        <w:rPr>
          <w:rStyle w:val="FootnoteReference"/>
          <w:rFonts w:ascii="Times New Roman" w:eastAsia="Batang" w:hAnsi="Times New Roman" w:cs="Times New Roman"/>
          <w:sz w:val="24"/>
          <w:szCs w:val="24"/>
          <w:lang w:val="en-US"/>
        </w:rPr>
        <w:footnoteReference w:id="4"/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Culture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becomes the element that nurtures the philosophy of a people. So,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when a culture cannot contribute to the progress and development of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society, then the cultural factors that militate against human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progress must be removed. This is the point where metaphysics of the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 becomes necessary as an enhancement of the development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of the society.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The Nature of </w:t>
      </w:r>
      <w:proofErr w:type="spellStart"/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 Metaphysics</w:t>
      </w:r>
      <w:r w:rsidR="003E35F4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nature of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metaphysics and philosophy is traced to their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distinct features of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worldview concerning what reality is and their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conceptualization of man who is a thinking being.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metaphysics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understands reality as truth-pursuing rather than good-pursuing.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African ethics has its foundation built on their conception of man and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reality. Any attempt not to understanding these concepts leads to a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poor perception of the philosophy of the African person. African ethics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is communitarian in nature. Though there is no unique ethics among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different ethical systems in Africa. 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Nevertheless, African ethics is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inherently character-based and the quality of the individual’s character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is very crucial to the moral life, but the individual needs the help of the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bigger society to ensure that adequate knowledge is imparted on its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members. The belief in the choice of good over evil is tied to the idea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that the gods of the land are the sources of the community’s ethical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codes and laws. When the pattern of life is not followed man becomes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sad and cannot actualize himself. When these elements are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internalized and achieved then the impact of metaphysics on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development is greatly appreciated and cherished.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Reality in </w:t>
      </w:r>
      <w:proofErr w:type="spellStart"/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 Philosophy</w:t>
      </w:r>
      <w:r w:rsidR="003E35F4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lastRenderedPageBreak/>
        <w:t xml:space="preserve">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 understand reality as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mlu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u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taregh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which means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way reality is. </w:t>
      </w:r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Tar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is the place upon which man dwells.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people prefer to discuss their relationship between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Aondo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and man as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Creator and the creature.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person may be seen as given in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to the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mlu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u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taregh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to the point that he does not find solace in the way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life is treating him in a given circumstance. He becomes hopeless in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face of suffering and desolation. Life becomes meaningless. He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refuses to swim against the challenges of life. Life is a continuum for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people. Life in itself is a prime value in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society. It is the life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that makes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person work towards achieving a fulfilled life. Life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involves the individual, the land, the people and the cosmos. 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 new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way of life prevalent among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 as life is full of challenges is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idea of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ya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zwa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poo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(eat and have your mouth full) a clear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manifestation of human greed (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hua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). This is translated into a vice which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has inhibited the development of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people. Socially,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people practice egalitarianism. Politically, they lack a central political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authority. It is apt to declare in agreement with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Anshi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that: “The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are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an independent people, who have no tradition of royal families, cohesion, a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central </w:t>
      </w:r>
      <w:r w:rsidR="00C62339">
        <w:rPr>
          <w:rFonts w:ascii="Times New Roman" w:eastAsia="Batang" w:hAnsi="Times New Roman" w:cs="Times New Roman"/>
          <w:sz w:val="24"/>
          <w:szCs w:val="24"/>
          <w:lang w:val="en-US"/>
        </w:rPr>
        <w:t>authority and a unifying code”.</w:t>
      </w:r>
      <w:r w:rsidR="00C62339">
        <w:rPr>
          <w:rStyle w:val="FootnoteReference"/>
          <w:rFonts w:ascii="Times New Roman" w:eastAsia="Batang" w:hAnsi="Times New Roman" w:cs="Times New Roman"/>
          <w:sz w:val="24"/>
          <w:szCs w:val="24"/>
          <w:lang w:val="en-US"/>
        </w:rPr>
        <w:footnoteReference w:id="5"/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What is important is that they were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to live together as a people. Eugene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Rubingh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wrote about brotherhood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saying that: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One’s genealogy is important to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as securing one’s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place in the tribe. The sense of corporate responsibility is great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because of the common ancestry of the group. Each individual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has a stake in the woe and weal of all; in fact, the individual is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submerged into the gr</w:t>
      </w:r>
      <w:r w:rsidR="00F9663B">
        <w:rPr>
          <w:rFonts w:ascii="Times New Roman" w:eastAsia="Batang" w:hAnsi="Times New Roman" w:cs="Times New Roman"/>
          <w:sz w:val="24"/>
          <w:szCs w:val="24"/>
          <w:lang w:val="en-US"/>
        </w:rPr>
        <w:t>oup with whom he is identified.</w:t>
      </w:r>
      <w:r w:rsidR="00F9663B">
        <w:rPr>
          <w:rStyle w:val="FootnoteReference"/>
          <w:rFonts w:ascii="Times New Roman" w:eastAsia="Batang" w:hAnsi="Times New Roman" w:cs="Times New Roman"/>
          <w:sz w:val="24"/>
          <w:szCs w:val="24"/>
          <w:lang w:val="en-US"/>
        </w:rPr>
        <w:footnoteReference w:id="6"/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 implication is simple.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 are ontologically linked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with one another through the value of truth (</w:t>
      </w:r>
      <w:proofErr w:type="spellStart"/>
      <w:proofErr w:type="gram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mimi</w:t>
      </w:r>
      <w:proofErr w:type="spellEnd"/>
      <w:proofErr w:type="gram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) and nothing else can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come in between them. The pride of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 is measured by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their degree of truthfulness. This brings out the value of metaphysics in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society.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lastRenderedPageBreak/>
        <w:t xml:space="preserve">Human Person in </w:t>
      </w:r>
      <w:proofErr w:type="spellStart"/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 Philosophy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A person as understood by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 is different from one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being a human being. A new born child is a human being, a young boy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and girl are human beings, a woman is a human being, but none of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them can be referred to as a person in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society. Who then is a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person in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? Personhood is associated with the conduct of an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individual particularly the man. He is not just a composition of body and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soul. He is someone who has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vanger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(chest). This power is not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personalised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, but used for the common good of the community. The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word for person in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is </w:t>
      </w:r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or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. When women are in a village and a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stranger comes in and asks, </w:t>
      </w:r>
      <w:proofErr w:type="gram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Or</w:t>
      </w:r>
      <w:proofErr w:type="gram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ngu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hen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ya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ne?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Which is translated to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mean “Is there any person in this house?” the women would reply,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eii</w:t>
      </w:r>
      <w:proofErr w:type="spellEnd"/>
      <w:r w:rsidR="003E35F4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or </w:t>
      </w:r>
      <w:proofErr w:type="spellStart"/>
      <w:proofErr w:type="gram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ngu</w:t>
      </w:r>
      <w:proofErr w:type="spellEnd"/>
      <w:proofErr w:type="gram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ga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saa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se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kwase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this is interpreted to mean “No there is no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person here except women”. The application of the concept of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personhood in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society is more sociological than metaphysical. 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moral nature of both sexes is not affected by this understanding. This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brings us to the idea of moral responsibility which is the outcome of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rational assent. This is what is captured in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notion of the unity of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human being in life or death. On one hand, there is no separation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between the body and soul. The human being becomes an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allembracing</w:t>
      </w:r>
      <w:proofErr w:type="spellEnd"/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being, truth-seeking, truth-affirming, promise-making,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justice-seeking, other-accepting, and law-abiding. This task brings us to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ultimate goal of providing the man with “a sense of who he is, that he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is someone, and he has an intrinsic value... which provides him with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fulfillment and contentment as much as possible”</w:t>
      </w:r>
      <w:r w:rsidR="003F3240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  <w:r w:rsidR="003F3240">
        <w:rPr>
          <w:rStyle w:val="FootnoteReference"/>
          <w:rFonts w:ascii="Times New Roman" w:eastAsia="Batang" w:hAnsi="Times New Roman" w:cs="Times New Roman"/>
          <w:sz w:val="24"/>
          <w:szCs w:val="24"/>
          <w:lang w:val="en-US"/>
        </w:rPr>
        <w:footnoteReference w:id="7"/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Indeed, our own kind of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development is that which the human being seeks to maximize the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realization of the self.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people are restive as a result of hunger,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thirst,</w:t>
      </w:r>
      <w:proofErr w:type="gram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flood because the leaders are corrupt, indignant and unjust to the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vulnerable members of the society. Society has become a war zone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where children, pregnant women and virgins are desecrated with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impunity.</w:t>
      </w:r>
    </w:p>
    <w:p w:rsidR="003E35F4" w:rsidRDefault="00DA3CBA" w:rsidP="003E35F4">
      <w:pPr>
        <w:autoSpaceDE w:val="0"/>
        <w:autoSpaceDN w:val="0"/>
        <w:adjustRightInd w:val="0"/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lastRenderedPageBreak/>
        <w:t>Conclusion</w:t>
      </w:r>
      <w:r w:rsidR="003E35F4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DA3CBA" w:rsidRPr="00DA3CBA" w:rsidRDefault="00DA3CBA" w:rsidP="003E35F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study clearly shows that a cordial relationship between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metaphysics and development will go a long way in bringing true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development to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society. People will no longer be conceived as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tools for the aggrandizement of others, but equal persons that can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assist one another on the path of development. It is in this way that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metaphysics contribute to the actualization of the human being and the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society. The study recommends that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aspirations are directly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linked to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conception of reality which is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metaphysics. This is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the new approach to understanding the link between metaphysics and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development of the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society.</w:t>
      </w:r>
    </w:p>
    <w:p w:rsidR="00DA3CBA" w:rsidRPr="00DA3CBA" w:rsidRDefault="00DA3CBA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Endnotes</w:t>
      </w:r>
    </w:p>
    <w:p w:rsidR="00DA3CBA" w:rsidRDefault="003E35F4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Batang" w:hAnsi="Times New Roman" w:cs="Times New Roman"/>
          <w:sz w:val="24"/>
          <w:szCs w:val="24"/>
          <w:lang w:val="en-US"/>
        </w:rPr>
        <w:t>1</w:t>
      </w:r>
      <w:r w:rsidR="00DA3CBA"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Karl Marx, “Theses on Feuerbach”.</w:t>
      </w:r>
      <w:proofErr w:type="gramEnd"/>
      <w:r w:rsidR="00DA3CBA"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3CBA"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In Marx Karl (1818 – 1883);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DA3CBA"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Engels, Friedrich (1820 – 1895) </w:t>
      </w:r>
      <w:r w:rsidR="00DA3CBA"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German Ideology</w:t>
      </w:r>
      <w:r w:rsidR="00DA3CBA"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  <w:proofErr w:type="gramEnd"/>
      <w:r w:rsidR="00DA3CBA"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3CBA"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3rd ed.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DA3CBA"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(Moscow: Progress Publishers, 1976), 617.</w:t>
      </w:r>
      <w:proofErr w:type="gramEnd"/>
    </w:p>
    <w:p w:rsidR="003E35F4" w:rsidRPr="00DA3CBA" w:rsidRDefault="003E35F4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:rsidR="00DA3CBA" w:rsidRDefault="00DA3CBA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Evandro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Agazzi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, “Philosophical Reflections on the Concept of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Development” in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Kucuradi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Ioanna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(ed.) </w:t>
      </w:r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Development: The Idea</w:t>
      </w:r>
      <w:r w:rsidR="003E35F4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and the Concept.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(Ankara: International Federation of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Philosophical Societies, 1993), 18-24.</w:t>
      </w:r>
    </w:p>
    <w:p w:rsidR="003E35F4" w:rsidRPr="00DA3CBA" w:rsidRDefault="003E35F4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:rsidR="00DA3CBA" w:rsidRDefault="00DA3CBA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3 Josephine Acosta-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Pasricha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, Philosophy and Culture, with Russell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Ackoff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3E35F4" w:rsidRPr="00C22B69">
          <w:rPr>
            <w:rStyle w:val="Hyperlink"/>
            <w:rFonts w:ascii="Times New Roman" w:eastAsia="Batang" w:hAnsi="Times New Roman" w:cs="Times New Roman"/>
            <w:i/>
            <w:iCs/>
            <w:sz w:val="24"/>
            <w:szCs w:val="24"/>
            <w:lang w:val="en-US"/>
          </w:rPr>
          <w:t>http://knol.google.com/k/philosophy-and-culture-withrussell-ackoff#</w:t>
        </w:r>
      </w:hyperlink>
    </w:p>
    <w:p w:rsidR="003E35F4" w:rsidRPr="00DA3CBA" w:rsidRDefault="003E35F4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</w:pPr>
    </w:p>
    <w:p w:rsidR="00DA3CBA" w:rsidRDefault="00DA3CBA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gram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4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Raimon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Panikkar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Religion, Philosophy and Culture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  <w:proofErr w:type="gramEnd"/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3E35F4" w:rsidRPr="00C22B69">
          <w:rPr>
            <w:rStyle w:val="Hyperlink"/>
            <w:rFonts w:ascii="Times New Roman" w:eastAsia="Batang" w:hAnsi="Times New Roman" w:cs="Times New Roman"/>
            <w:sz w:val="24"/>
            <w:szCs w:val="24"/>
            <w:lang w:val="en-US"/>
          </w:rPr>
          <w:t>http://them.polylog.org/1/fpr-en.htm</w:t>
        </w:r>
      </w:hyperlink>
    </w:p>
    <w:p w:rsidR="003E35F4" w:rsidRPr="00DA3CBA" w:rsidRDefault="003E35F4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:rsidR="00DA3CBA" w:rsidRDefault="00DA3CBA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5 Martin Wang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Anshi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Ieren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: An Introduction to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Philosophy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, 1 – 2.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6Rubingh Eugene, </w:t>
      </w:r>
      <w:proofErr w:type="gram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Sons of </w:t>
      </w:r>
      <w:proofErr w:type="spell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Tiv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(Grand Rapids: Baker Book House,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1969), 60.</w:t>
      </w:r>
      <w:proofErr w:type="gramEnd"/>
    </w:p>
    <w:p w:rsidR="003E35F4" w:rsidRPr="00DA3CBA" w:rsidRDefault="003E35F4" w:rsidP="00DA3CBA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:rsidR="00BA1C20" w:rsidRPr="00DA3CBA" w:rsidRDefault="00DA3CBA" w:rsidP="003E35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7 </w:t>
      </w:r>
      <w:proofErr w:type="spell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Scruton</w:t>
      </w:r>
      <w:proofErr w:type="spell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Roger, </w:t>
      </w:r>
      <w:proofErr w:type="gramStart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 xml:space="preserve"> Dictionary of Political Thought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(New York: Hill and</w:t>
      </w:r>
      <w:r w:rsidR="003E35F4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Wang, 1984), 422.</w:t>
      </w:r>
      <w:proofErr w:type="gramEnd"/>
    </w:p>
    <w:sectPr w:rsidR="00BA1C20" w:rsidRPr="00DA3CBA" w:rsidSect="00BA1C2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77" w:rsidRDefault="00022377" w:rsidP="003E35F4">
      <w:r>
        <w:separator/>
      </w:r>
    </w:p>
  </w:endnote>
  <w:endnote w:type="continuationSeparator" w:id="0">
    <w:p w:rsidR="00022377" w:rsidRDefault="00022377" w:rsidP="003E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77" w:rsidRDefault="00022377" w:rsidP="003E35F4">
      <w:r>
        <w:separator/>
      </w:r>
    </w:p>
  </w:footnote>
  <w:footnote w:type="continuationSeparator" w:id="0">
    <w:p w:rsidR="00022377" w:rsidRDefault="00022377" w:rsidP="003E35F4">
      <w:r>
        <w:continuationSeparator/>
      </w:r>
    </w:p>
  </w:footnote>
  <w:footnote w:id="1">
    <w:p w:rsidR="003E35F4" w:rsidRDefault="003E35F4" w:rsidP="003E35F4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Karl Marx, “Theses on Feuerbach”. </w:t>
      </w:r>
      <w:proofErr w:type="gram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In Marx Karl (1818 – 1883);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Engels, Friedrich (1820 – 1895) </w:t>
      </w:r>
      <w:r w:rsidRPr="00DA3CBA"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German Ideology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  <w:proofErr w:type="gramEnd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3rd ed.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DA3CBA">
        <w:rPr>
          <w:rFonts w:ascii="Times New Roman" w:eastAsia="Batang" w:hAnsi="Times New Roman" w:cs="Times New Roman"/>
          <w:sz w:val="24"/>
          <w:szCs w:val="24"/>
          <w:lang w:val="en-US"/>
        </w:rPr>
        <w:t>(Moscow: Progress Publishers, 1976), 617.</w:t>
      </w:r>
      <w:proofErr w:type="gramEnd"/>
    </w:p>
    <w:p w:rsidR="003E35F4" w:rsidRPr="003E35F4" w:rsidRDefault="003E35F4">
      <w:pPr>
        <w:pStyle w:val="FootnoteText"/>
        <w:rPr>
          <w:lang w:val="en-US"/>
        </w:rPr>
      </w:pPr>
    </w:p>
  </w:footnote>
  <w:footnote w:id="2">
    <w:p w:rsidR="003E35F4" w:rsidRPr="003E35F4" w:rsidRDefault="003E35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3">
    <w:p w:rsidR="00D653B5" w:rsidRPr="00D653B5" w:rsidRDefault="00D653B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4">
    <w:p w:rsidR="007B0101" w:rsidRPr="007B0101" w:rsidRDefault="007B010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5">
    <w:p w:rsidR="00C62339" w:rsidRPr="00C62339" w:rsidRDefault="00C6233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6">
    <w:p w:rsidR="00F9663B" w:rsidRPr="00F9663B" w:rsidRDefault="00F966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7">
    <w:p w:rsidR="003F3240" w:rsidRPr="003F3240" w:rsidRDefault="003F324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2NDc1MzUzNjMwMzVR0lEKTi0uzszPAykwrAUA36BkzCwAAAA="/>
  </w:docVars>
  <w:rsids>
    <w:rsidRoot w:val="00DA3CBA"/>
    <w:rsid w:val="00022377"/>
    <w:rsid w:val="0024060F"/>
    <w:rsid w:val="003475C1"/>
    <w:rsid w:val="003E35F4"/>
    <w:rsid w:val="003F3240"/>
    <w:rsid w:val="00771899"/>
    <w:rsid w:val="007B0101"/>
    <w:rsid w:val="0089457D"/>
    <w:rsid w:val="009372D2"/>
    <w:rsid w:val="009C5E60"/>
    <w:rsid w:val="00BA1C20"/>
    <w:rsid w:val="00C62339"/>
    <w:rsid w:val="00D4589C"/>
    <w:rsid w:val="00D653B5"/>
    <w:rsid w:val="00DA3CBA"/>
    <w:rsid w:val="00E803F2"/>
    <w:rsid w:val="00EF4B89"/>
    <w:rsid w:val="00F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5F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5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5F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E35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5F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5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5F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E3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l.google.com/k/philosophy-and-culture-withrussell-ackoff#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hem.polylog.org/1/fpr-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5B0D4B-CC13-4ADE-A564-72A2DF88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2021-03-28T09:22:00Z</dcterms:created>
  <dcterms:modified xsi:type="dcterms:W3CDTF">2021-03-28T12:06:00Z</dcterms:modified>
</cp:coreProperties>
</file>