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98" w:rsidRPr="000D111F" w:rsidRDefault="00730398" w:rsidP="00730398">
      <w:pPr>
        <w:spacing w:line="360" w:lineRule="auto"/>
        <w:jc w:val="center"/>
        <w:rPr>
          <w:b/>
        </w:rPr>
      </w:pPr>
      <w:r w:rsidRPr="000D111F">
        <w:rPr>
          <w:b/>
        </w:rPr>
        <w:t>Theory and Praxis in Leibniz’s Theological Thought</w:t>
      </w:r>
    </w:p>
    <w:p w:rsidR="00730398" w:rsidRPr="000D111F" w:rsidRDefault="00730398" w:rsidP="00730398">
      <w:pPr>
        <w:spacing w:line="360" w:lineRule="auto"/>
        <w:jc w:val="center"/>
      </w:pPr>
      <w:r w:rsidRPr="000D111F">
        <w:t>By</w:t>
      </w:r>
    </w:p>
    <w:p w:rsidR="00730398" w:rsidRPr="000D111F" w:rsidRDefault="00730398" w:rsidP="00730398">
      <w:pPr>
        <w:spacing w:line="360" w:lineRule="auto"/>
        <w:jc w:val="center"/>
      </w:pPr>
      <w:r w:rsidRPr="000D111F">
        <w:t>MARIA ROSA ANTOGNAZZA (KING’S COLLEGE LONDON)</w:t>
      </w:r>
    </w:p>
    <w:p w:rsidR="00730398" w:rsidRPr="000B078C" w:rsidRDefault="00730398" w:rsidP="000B078C">
      <w:pPr>
        <w:spacing w:line="360" w:lineRule="auto"/>
        <w:jc w:val="center"/>
        <w:rPr>
          <w:rFonts w:cs="Times New Roman"/>
          <w:szCs w:val="24"/>
        </w:rPr>
      </w:pPr>
    </w:p>
    <w:p w:rsidR="000B078C" w:rsidRPr="000B078C" w:rsidRDefault="000B078C" w:rsidP="000B078C">
      <w:pPr>
        <w:autoSpaceDE w:val="0"/>
        <w:autoSpaceDN w:val="0"/>
        <w:adjustRightInd w:val="0"/>
        <w:spacing w:line="360" w:lineRule="auto"/>
        <w:rPr>
          <w:rFonts w:cs="Times New Roman"/>
          <w:szCs w:val="24"/>
        </w:rPr>
      </w:pPr>
      <w:proofErr w:type="gramStart"/>
      <w:r w:rsidRPr="000B078C">
        <w:rPr>
          <w:rFonts w:cs="Times New Roman"/>
          <w:szCs w:val="24"/>
        </w:rPr>
        <w:t xml:space="preserve">Forthcoming in </w:t>
      </w:r>
      <w:r w:rsidRPr="000B078C">
        <w:rPr>
          <w:rFonts w:cs="Times New Roman"/>
          <w:i/>
          <w:iCs/>
          <w:szCs w:val="24"/>
        </w:rPr>
        <w:t xml:space="preserve">G. W. Leibniz </w:t>
      </w:r>
      <w:proofErr w:type="spellStart"/>
      <w:r w:rsidRPr="000B078C">
        <w:rPr>
          <w:rFonts w:cs="Times New Roman"/>
          <w:i/>
          <w:iCs/>
          <w:szCs w:val="24"/>
        </w:rPr>
        <w:t>im</w:t>
      </w:r>
      <w:proofErr w:type="spellEnd"/>
      <w:r w:rsidRPr="000B078C">
        <w:rPr>
          <w:rFonts w:cs="Times New Roman"/>
          <w:i/>
          <w:iCs/>
          <w:szCs w:val="24"/>
        </w:rPr>
        <w:t xml:space="preserve"> </w:t>
      </w:r>
      <w:proofErr w:type="spellStart"/>
      <w:r w:rsidRPr="000B078C">
        <w:rPr>
          <w:rFonts w:cs="Times New Roman"/>
          <w:i/>
          <w:iCs/>
          <w:szCs w:val="24"/>
        </w:rPr>
        <w:t>Lichte</w:t>
      </w:r>
      <w:proofErr w:type="spellEnd"/>
      <w:r w:rsidRPr="000B078C">
        <w:rPr>
          <w:rFonts w:cs="Times New Roman"/>
          <w:i/>
          <w:iCs/>
          <w:szCs w:val="24"/>
        </w:rPr>
        <w:t xml:space="preserve"> der </w:t>
      </w:r>
      <w:proofErr w:type="spellStart"/>
      <w:r w:rsidRPr="000B078C">
        <w:rPr>
          <w:rFonts w:cs="Times New Roman"/>
          <w:i/>
          <w:iCs/>
          <w:szCs w:val="24"/>
        </w:rPr>
        <w:t>Theologien</w:t>
      </w:r>
      <w:proofErr w:type="spellEnd"/>
      <w:r w:rsidRPr="000B078C">
        <w:rPr>
          <w:rFonts w:cs="Times New Roman"/>
          <w:iCs/>
          <w:szCs w:val="24"/>
        </w:rPr>
        <w:t xml:space="preserve"> [Leibniz in the Light of Theology]</w:t>
      </w:r>
      <w:r w:rsidR="00E47AE9">
        <w:rPr>
          <w:rFonts w:cs="Times New Roman"/>
          <w:iCs/>
          <w:szCs w:val="24"/>
        </w:rPr>
        <w:t>.</w:t>
      </w:r>
      <w:proofErr w:type="gramEnd"/>
      <w:r w:rsidR="00E47AE9">
        <w:rPr>
          <w:rFonts w:cs="Times New Roman"/>
          <w:iCs/>
          <w:szCs w:val="24"/>
        </w:rPr>
        <w:t xml:space="preserve"> </w:t>
      </w:r>
      <w:proofErr w:type="gramStart"/>
      <w:r w:rsidR="00E47AE9">
        <w:rPr>
          <w:rFonts w:cs="Times New Roman"/>
          <w:iCs/>
          <w:szCs w:val="24"/>
        </w:rPr>
        <w:t>Ed</w:t>
      </w:r>
      <w:r w:rsidRPr="000B078C">
        <w:rPr>
          <w:rFonts w:cs="Times New Roman"/>
          <w:szCs w:val="24"/>
        </w:rPr>
        <w:t xml:space="preserve">. by </w:t>
      </w:r>
      <w:r w:rsidRPr="000B078C">
        <w:rPr>
          <w:rFonts w:cs="Times New Roman"/>
          <w:szCs w:val="24"/>
        </w:rPr>
        <w:t xml:space="preserve">Irena Backus, </w:t>
      </w:r>
      <w:proofErr w:type="spellStart"/>
      <w:r w:rsidRPr="000B078C">
        <w:rPr>
          <w:rFonts w:cs="Times New Roman"/>
          <w:szCs w:val="24"/>
        </w:rPr>
        <w:t>Wenchao</w:t>
      </w:r>
      <w:proofErr w:type="spellEnd"/>
      <w:r w:rsidRPr="000B078C">
        <w:rPr>
          <w:rFonts w:cs="Times New Roman"/>
          <w:szCs w:val="24"/>
        </w:rPr>
        <w:t xml:space="preserve"> Li, Hartmut Rudolph</w:t>
      </w:r>
      <w:r w:rsidRPr="000B078C">
        <w:rPr>
          <w:rFonts w:cs="Times New Roman"/>
          <w:szCs w:val="24"/>
        </w:rPr>
        <w:t xml:space="preserve"> </w:t>
      </w:r>
      <w:r w:rsidR="00E47AE9">
        <w:rPr>
          <w:szCs w:val="24"/>
          <w:lang w:val="en-US"/>
        </w:rPr>
        <w:t>[</w:t>
      </w:r>
      <w:proofErr w:type="spellStart"/>
      <w:r w:rsidR="00E47AE9" w:rsidRPr="003760CC">
        <w:rPr>
          <w:spacing w:val="-2"/>
          <w:szCs w:val="24"/>
          <w:lang w:val="en-US"/>
        </w:rPr>
        <w:t>Studia</w:t>
      </w:r>
      <w:proofErr w:type="spellEnd"/>
      <w:r w:rsidR="00E47AE9" w:rsidRPr="003760CC">
        <w:rPr>
          <w:spacing w:val="-2"/>
          <w:szCs w:val="24"/>
          <w:lang w:val="en-US"/>
        </w:rPr>
        <w:t xml:space="preserve"> </w:t>
      </w:r>
      <w:proofErr w:type="spellStart"/>
      <w:r w:rsidR="00E47AE9" w:rsidRPr="003760CC">
        <w:rPr>
          <w:spacing w:val="-2"/>
          <w:szCs w:val="24"/>
          <w:lang w:val="en-US"/>
        </w:rPr>
        <w:t>Leibnitiana</w:t>
      </w:r>
      <w:proofErr w:type="spellEnd"/>
      <w:r w:rsidR="00E47AE9" w:rsidRPr="003760CC">
        <w:rPr>
          <w:spacing w:val="-2"/>
          <w:szCs w:val="24"/>
          <w:lang w:val="en-US"/>
        </w:rPr>
        <w:t xml:space="preserve"> </w:t>
      </w:r>
      <w:proofErr w:type="spellStart"/>
      <w:r w:rsidR="00E47AE9" w:rsidRPr="003760CC">
        <w:rPr>
          <w:spacing w:val="-2"/>
          <w:szCs w:val="24"/>
          <w:lang w:val="en-US"/>
        </w:rPr>
        <w:t>Sonderhefte</w:t>
      </w:r>
      <w:proofErr w:type="spellEnd"/>
      <w:r w:rsidR="00E47AE9">
        <w:rPr>
          <w:spacing w:val="-2"/>
          <w:szCs w:val="24"/>
          <w:lang w:val="en-US"/>
        </w:rPr>
        <w:t>].</w:t>
      </w:r>
      <w:proofErr w:type="gramEnd"/>
      <w:r w:rsidR="00E47AE9">
        <w:rPr>
          <w:spacing w:val="-2"/>
          <w:szCs w:val="24"/>
          <w:lang w:val="en-US"/>
        </w:rPr>
        <w:t xml:space="preserve"> Stuttgart: Steiner,</w:t>
      </w:r>
      <w:r w:rsidRPr="000B078C">
        <w:rPr>
          <w:rFonts w:cs="Times New Roman"/>
          <w:szCs w:val="24"/>
        </w:rPr>
        <w:t xml:space="preserve"> 2014.</w:t>
      </w:r>
    </w:p>
    <w:p w:rsidR="000B078C" w:rsidRPr="000B078C" w:rsidRDefault="000B078C" w:rsidP="000B078C">
      <w:pPr>
        <w:spacing w:line="360" w:lineRule="auto"/>
        <w:jc w:val="center"/>
        <w:rPr>
          <w:rFonts w:cs="Times New Roman"/>
          <w:szCs w:val="24"/>
        </w:rPr>
      </w:pPr>
    </w:p>
    <w:p w:rsidR="00730398" w:rsidRPr="000D111F" w:rsidRDefault="00730398" w:rsidP="00730398">
      <w:pPr>
        <w:spacing w:line="360" w:lineRule="auto"/>
        <w:jc w:val="center"/>
      </w:pPr>
      <w:r w:rsidRPr="000D111F">
        <w:t>Introduction</w:t>
      </w:r>
    </w:p>
    <w:p w:rsidR="00730398" w:rsidRPr="000D111F" w:rsidRDefault="00730398" w:rsidP="00730398">
      <w:pPr>
        <w:spacing w:line="360" w:lineRule="auto"/>
      </w:pPr>
    </w:p>
    <w:p w:rsidR="00730398" w:rsidRPr="000D111F" w:rsidRDefault="00730398" w:rsidP="00730398">
      <w:pPr>
        <w:spacing w:line="360" w:lineRule="auto"/>
      </w:pPr>
      <w:r w:rsidRPr="000D111F">
        <w:t>The importance of properly theological concerns in Leibniz’s thought has long been underestimated.</w:t>
      </w:r>
      <w:r w:rsidRPr="000D111F">
        <w:rPr>
          <w:vertAlign w:val="superscript"/>
        </w:rPr>
        <w:footnoteReference w:id="1"/>
      </w:r>
      <w:r>
        <w:t xml:space="preserve"> </w:t>
      </w:r>
      <w:r w:rsidRPr="000D111F">
        <w:t xml:space="preserve">A striking example is provided by the critical edition of Leibniz’s writings and correspondence planned at the beginning of the twentieth-century Leibniz renaissance. In the catalogue of Leibniz’s manuscripts compiled by Eduard </w:t>
      </w:r>
      <w:proofErr w:type="spellStart"/>
      <w:r w:rsidRPr="000D111F">
        <w:t>Bodemann</w:t>
      </w:r>
      <w:proofErr w:type="spellEnd"/>
      <w:r w:rsidRPr="000D111F">
        <w:t xml:space="preserve"> and published in 1889, the first, substantial group of manuscripts is labelled ‘</w:t>
      </w:r>
      <w:proofErr w:type="spellStart"/>
      <w:r w:rsidRPr="000D111F">
        <w:t>Theologie</w:t>
      </w:r>
      <w:proofErr w:type="spellEnd"/>
      <w:r w:rsidRPr="000D111F">
        <w:t>’.</w:t>
      </w:r>
      <w:r w:rsidRPr="000D111F">
        <w:rPr>
          <w:vertAlign w:val="superscript"/>
        </w:rPr>
        <w:footnoteReference w:id="2"/>
      </w:r>
      <w:r w:rsidRPr="000D111F">
        <w:t xml:space="preserve"> Yet, in the </w:t>
      </w:r>
      <w:proofErr w:type="spellStart"/>
      <w:r w:rsidRPr="000D111F">
        <w:t>Akademie</w:t>
      </w:r>
      <w:proofErr w:type="spellEnd"/>
      <w:r w:rsidRPr="000D111F">
        <w:t xml:space="preserve"> </w:t>
      </w:r>
      <w:proofErr w:type="spellStart"/>
      <w:r w:rsidRPr="000D111F">
        <w:t>Ausgabe</w:t>
      </w:r>
      <w:proofErr w:type="spellEnd"/>
      <w:r w:rsidRPr="000D111F">
        <w:t xml:space="preserve"> there is no theological series. Alongside philosophy and mathematics, in the titles of the eight series we find listed politics, history, the natural sciences, technology, linguistics, and even medicine, but not theology.</w:t>
      </w:r>
      <w:r w:rsidRPr="000D111F">
        <w:rPr>
          <w:vertAlign w:val="superscript"/>
        </w:rPr>
        <w:t xml:space="preserve"> </w:t>
      </w:r>
      <w:r w:rsidRPr="000D111F">
        <w:rPr>
          <w:vertAlign w:val="superscript"/>
        </w:rPr>
        <w:footnoteReference w:id="3"/>
      </w:r>
      <w:r w:rsidRPr="000D111F">
        <w:t xml:space="preserve"> The editorial decision to leave theology out </w:t>
      </w:r>
      <w:r w:rsidRPr="000D111F">
        <w:lastRenderedPageBreak/>
        <w:t>of the main thematic structure of the critical edition offers one of the most compelling illustrations of the dominant historiograph</w:t>
      </w:r>
      <w:r>
        <w:t>ical</w:t>
      </w:r>
      <w:r w:rsidRPr="000D111F">
        <w:t xml:space="preserve"> </w:t>
      </w:r>
      <w:r>
        <w:t xml:space="preserve">paradigm </w:t>
      </w:r>
      <w:r w:rsidRPr="000D111F">
        <w:t>of the</w:t>
      </w:r>
      <w:r>
        <w:t xml:space="preserve"> era before the outbreak of the Great War, which linked inevitable progress with irresistible secularisation</w:t>
      </w:r>
      <w:r w:rsidRPr="000D111F">
        <w:t xml:space="preserve">. Theology in Leibniz was seen as reducible either to metaphysics or to </w:t>
      </w:r>
      <w:proofErr w:type="spellStart"/>
      <w:proofErr w:type="gramStart"/>
      <w:r w:rsidRPr="000D111F">
        <w:rPr>
          <w:i/>
        </w:rPr>
        <w:t>Kirchenpolitik</w:t>
      </w:r>
      <w:proofErr w:type="spellEnd"/>
      <w:r w:rsidRPr="000D111F">
        <w:t>, that</w:t>
      </w:r>
      <w:proofErr w:type="gramEnd"/>
      <w:r w:rsidRPr="000D111F">
        <w:t xml:space="preserve"> is, </w:t>
      </w:r>
      <w:r>
        <w:t>to the church politics related</w:t>
      </w:r>
      <w:r w:rsidRPr="000D111F">
        <w:t xml:space="preserve"> to Leibniz’s well known project of ecclesiastical reunification, </w:t>
      </w:r>
      <w:r w:rsidR="00F72137">
        <w:t xml:space="preserve">which </w:t>
      </w:r>
      <w:r w:rsidRPr="000D111F">
        <w:t xml:space="preserve">in turn </w:t>
      </w:r>
      <w:r w:rsidR="00F72137">
        <w:t xml:space="preserve">was </w:t>
      </w:r>
      <w:r w:rsidRPr="000D111F">
        <w:t>conceived as essentially instrumental to a broader political agenda of stability and pacification. In brief, when it came to theology, Leibniz was considered either a metaphysician or a political pragmatist. The metaphysician dealt with the classical debates of natural theology; the pragmatist dealt with revealed theology as a courtier who devoted needless attention to theological questions in order to please his patrons or, more sympathetically, to serve the political needs of his day: to keep the peace, re-establish a degree of ecclesiastical harmony, and thus prevent the re-occurrence of the horrors of the Thirty Years’ War.</w:t>
      </w:r>
      <w:r w:rsidRPr="000D111F">
        <w:rPr>
          <w:vertAlign w:val="superscript"/>
        </w:rPr>
        <w:footnoteReference w:id="4"/>
      </w:r>
      <w:r w:rsidRPr="000D111F">
        <w:t xml:space="preserve"> As a result of this historiography, </w:t>
      </w:r>
      <w:r>
        <w:t xml:space="preserve">although </w:t>
      </w:r>
      <w:r w:rsidRPr="000D111F">
        <w:t xml:space="preserve">the role of natural theology has at least been acknowledged in the context of Leibniz’s metaphysics and theodicy, the importance for Leibniz’s thought of theological issues pertaining specifically to Christian revealed theology </w:t>
      </w:r>
      <w:r>
        <w:t>w</w:t>
      </w:r>
      <w:r w:rsidRPr="000D111F">
        <w:t>as persistently underplayed</w:t>
      </w:r>
      <w:r>
        <w:t xml:space="preserve"> throughout virtually the entire twentieth century</w:t>
      </w:r>
      <w:r w:rsidRPr="000D111F">
        <w:t>.</w:t>
      </w:r>
    </w:p>
    <w:p w:rsidR="00730398" w:rsidRPr="000D111F" w:rsidRDefault="00730398" w:rsidP="00730398">
      <w:pPr>
        <w:spacing w:line="360" w:lineRule="auto"/>
        <w:ind w:firstLine="720"/>
      </w:pPr>
      <w:r>
        <w:t xml:space="preserve">During the past twenty years, </w:t>
      </w:r>
      <w:r w:rsidRPr="000D111F">
        <w:t xml:space="preserve">this situation has begun to change. As </w:t>
      </w:r>
      <w:proofErr w:type="spellStart"/>
      <w:r w:rsidRPr="000D111F">
        <w:t>Fontenelle</w:t>
      </w:r>
      <w:proofErr w:type="spellEnd"/>
      <w:r w:rsidRPr="000D111F">
        <w:t xml:space="preserve"> had already noted </w:t>
      </w:r>
      <w:r>
        <w:t xml:space="preserve">three hundred years ago, </w:t>
      </w:r>
      <w:r w:rsidRPr="000D111F">
        <w:t xml:space="preserve">in his </w:t>
      </w:r>
      <w:proofErr w:type="spellStart"/>
      <w:r w:rsidRPr="000D111F">
        <w:rPr>
          <w:i/>
        </w:rPr>
        <w:t>Éloge</w:t>
      </w:r>
      <w:proofErr w:type="spellEnd"/>
      <w:r w:rsidRPr="000D111F">
        <w:t xml:space="preserve"> of Leibniz</w:t>
      </w:r>
      <w:r>
        <w:t xml:space="preserve"> in 1717</w:t>
      </w:r>
      <w:r w:rsidRPr="000D111F">
        <w:t>, Leibniz “was a theologian, not only as a philosopher or a metaphysician, but also in the strict sense”.</w:t>
      </w:r>
      <w:r w:rsidRPr="000D111F">
        <w:rPr>
          <w:vertAlign w:val="superscript"/>
        </w:rPr>
        <w:footnoteReference w:id="5"/>
      </w:r>
      <w:r w:rsidRPr="000D111F">
        <w:t xml:space="preserve"> </w:t>
      </w:r>
      <w:r>
        <w:t xml:space="preserve">Thanks </w:t>
      </w:r>
      <w:r w:rsidRPr="000D111F">
        <w:t xml:space="preserve">not least to the great advances in the critical edition of previously unpublished </w:t>
      </w:r>
      <w:r w:rsidR="00F72137">
        <w:t>and difficult to access</w:t>
      </w:r>
      <w:r w:rsidRPr="000D111F">
        <w:t xml:space="preserve"> texts, an increasing number of studies ha</w:t>
      </w:r>
      <w:r>
        <w:t>ve</w:t>
      </w:r>
      <w:r w:rsidRPr="000D111F">
        <w:t xml:space="preserve"> drawn attention to the sheer </w:t>
      </w:r>
      <w:r>
        <w:t xml:space="preserve">mass </w:t>
      </w:r>
      <w:r w:rsidRPr="000D111F">
        <w:t xml:space="preserve">and </w:t>
      </w:r>
      <w:r w:rsidRPr="000D111F">
        <w:lastRenderedPageBreak/>
        <w:t>sophistication of Leibniz’s writings on issues specific to Christian theology, and to their rel</w:t>
      </w:r>
      <w:r w:rsidR="00F72137">
        <w:t>evance to and impact on hi</w:t>
      </w:r>
      <w:r w:rsidRPr="000D111F">
        <w:t>s philosophical views.</w:t>
      </w:r>
      <w:r w:rsidRPr="000D111F">
        <w:rPr>
          <w:vertAlign w:val="superscript"/>
        </w:rPr>
        <w:footnoteReference w:id="6"/>
      </w:r>
    </w:p>
    <w:p w:rsidR="00730398" w:rsidRPr="000D111F" w:rsidRDefault="00730398" w:rsidP="00730398">
      <w:pPr>
        <w:spacing w:line="360" w:lineRule="auto"/>
      </w:pPr>
      <w:r w:rsidRPr="000D111F">
        <w:tab/>
        <w:t xml:space="preserve">In the light of this recent scholarship, this paper will re-assess the place of theology in Leibniz’s thought focusing on the relationship between theory and praxis. </w:t>
      </w:r>
      <w:proofErr w:type="spellStart"/>
      <w:r w:rsidRPr="000D111F">
        <w:t>Fontenelle</w:t>
      </w:r>
      <w:proofErr w:type="spellEnd"/>
      <w:r w:rsidRPr="000D111F">
        <w:t xml:space="preserve"> had already seen that Leibniz the metaphysician did not capture the whole of Leibniz the theologian. But</w:t>
      </w:r>
      <w:r>
        <w:t xml:space="preserve"> can</w:t>
      </w:r>
      <w:r w:rsidRPr="000D111F">
        <w:t xml:space="preserve"> one </w:t>
      </w:r>
      <w:r>
        <w:t>nevertheless conclude</w:t>
      </w:r>
      <w:r w:rsidRPr="000D111F">
        <w:t xml:space="preserve">, in line with </w:t>
      </w:r>
      <w:r>
        <w:t xml:space="preserve">the </w:t>
      </w:r>
      <w:r w:rsidRPr="000D111F">
        <w:t xml:space="preserve">thematic structure </w:t>
      </w:r>
      <w:r>
        <w:t xml:space="preserve">of </w:t>
      </w:r>
      <w:r w:rsidRPr="000D111F">
        <w:t xml:space="preserve">the </w:t>
      </w:r>
      <w:proofErr w:type="spellStart"/>
      <w:r w:rsidRPr="000D111F">
        <w:t>Akademie</w:t>
      </w:r>
      <w:proofErr w:type="spellEnd"/>
      <w:r w:rsidRPr="000D111F">
        <w:t xml:space="preserve"> </w:t>
      </w:r>
      <w:proofErr w:type="spellStart"/>
      <w:r w:rsidRPr="000D111F">
        <w:t>Ausgabe</w:t>
      </w:r>
      <w:proofErr w:type="spellEnd"/>
      <w:r w:rsidRPr="000D111F">
        <w:t>, that anything over and above metaphysics is adequately captured by Leibniz’s political agenda</w:t>
      </w:r>
      <w:r>
        <w:t>?</w:t>
      </w:r>
      <w:r w:rsidRPr="000D111F">
        <w:t xml:space="preserve"> </w:t>
      </w:r>
      <w:r>
        <w:t>It is beyond dispute t</w:t>
      </w:r>
      <w:r w:rsidRPr="000D111F">
        <w:t>hat Leibniz’s theological views were shaped by his political context</w:t>
      </w:r>
      <w:r>
        <w:t>;</w:t>
      </w:r>
      <w:r w:rsidRPr="000D111F">
        <w:t xml:space="preserve"> but </w:t>
      </w:r>
      <w:r>
        <w:t xml:space="preserve">the question to be posed here is whether this political dimension justifies </w:t>
      </w:r>
      <w:r w:rsidRPr="000D111F">
        <w:t xml:space="preserve">the reduction of Leibniz’s engagement with Christian theology to mere </w:t>
      </w:r>
      <w:proofErr w:type="spellStart"/>
      <w:r w:rsidRPr="000D111F">
        <w:rPr>
          <w:i/>
        </w:rPr>
        <w:t>Kirchenpolitik</w:t>
      </w:r>
      <w:proofErr w:type="spellEnd"/>
      <w:r>
        <w:t>.</w:t>
      </w:r>
      <w:r w:rsidRPr="000D111F">
        <w:t xml:space="preserve"> </w:t>
      </w:r>
      <w:r>
        <w:t xml:space="preserve">In a number of ways, </w:t>
      </w:r>
      <w:r w:rsidRPr="000D111F">
        <w:t>Leibniz’s approach to revealed theology was profoundly pragmatic</w:t>
      </w:r>
      <w:r>
        <w:t>.</w:t>
      </w:r>
      <w:r w:rsidRPr="000D111F">
        <w:t xml:space="preserve"> </w:t>
      </w:r>
      <w:r>
        <w:t>B</w:t>
      </w:r>
      <w:r w:rsidRPr="000D111F">
        <w:t>ut is this pragmatism irreducibly political</w:t>
      </w:r>
      <w:r>
        <w:t xml:space="preserve">? Or did it rest, in turn, on an emphasis on praxis which was </w:t>
      </w:r>
      <w:r w:rsidRPr="000D111F">
        <w:t>theological?</w:t>
      </w:r>
    </w:p>
    <w:p w:rsidR="00730398" w:rsidRDefault="00730398" w:rsidP="00730398">
      <w:pPr>
        <w:spacing w:line="360" w:lineRule="auto"/>
        <w:ind w:firstLine="720"/>
      </w:pPr>
      <w:r>
        <w:t>I</w:t>
      </w:r>
      <w:r w:rsidRPr="000D111F">
        <w:t>n answer</w:t>
      </w:r>
      <w:r>
        <w:t>ing</w:t>
      </w:r>
      <w:r w:rsidRPr="000D111F">
        <w:t xml:space="preserve"> these questions</w:t>
      </w:r>
      <w:r>
        <w:t>,</w:t>
      </w:r>
      <w:r w:rsidRPr="000D111F">
        <w:t xml:space="preserve"> </w:t>
      </w:r>
      <w:r>
        <w:t>t</w:t>
      </w:r>
      <w:r w:rsidRPr="000D111F">
        <w:t xml:space="preserve">his paper </w:t>
      </w:r>
      <w:r>
        <w:t xml:space="preserve">takes as its point of departure a general conclusion </w:t>
      </w:r>
      <w:r w:rsidR="008A32B4">
        <w:t>that</w:t>
      </w:r>
      <w:r>
        <w:t xml:space="preserve"> I have tried to establish in </w:t>
      </w:r>
      <w:proofErr w:type="spellStart"/>
      <w:r>
        <w:t>extenso</w:t>
      </w:r>
      <w:proofErr w:type="spellEnd"/>
      <w:r>
        <w:t xml:space="preserve"> in previous work, namely that Leibniz’s key </w:t>
      </w:r>
      <w:r w:rsidRPr="000D111F">
        <w:t>formulation</w:t>
      </w:r>
      <w:r>
        <w:t>s</w:t>
      </w:r>
      <w:r w:rsidRPr="000D111F">
        <w:t xml:space="preserve"> of his overarching plan </w:t>
      </w:r>
      <w:r>
        <w:t xml:space="preserve">for the </w:t>
      </w:r>
      <w:r w:rsidRPr="000D111F">
        <w:t>reform and advancement of all the sciences</w:t>
      </w:r>
      <w:r>
        <w:t>,</w:t>
      </w:r>
      <w:r w:rsidRPr="000D111F">
        <w:t xml:space="preserve"> </w:t>
      </w:r>
      <w:r>
        <w:t xml:space="preserve">from </w:t>
      </w:r>
      <w:r w:rsidRPr="000D111F">
        <w:t xml:space="preserve">his </w:t>
      </w:r>
      <w:r>
        <w:t xml:space="preserve">youthful </w:t>
      </w:r>
      <w:proofErr w:type="spellStart"/>
      <w:r w:rsidRPr="000D111F">
        <w:rPr>
          <w:i/>
        </w:rPr>
        <w:t>Demonstrationum</w:t>
      </w:r>
      <w:proofErr w:type="spellEnd"/>
      <w:r w:rsidRPr="000D111F">
        <w:rPr>
          <w:i/>
        </w:rPr>
        <w:t xml:space="preserve"> </w:t>
      </w:r>
      <w:proofErr w:type="spellStart"/>
      <w:r w:rsidRPr="000D111F">
        <w:rPr>
          <w:i/>
        </w:rPr>
        <w:t>Catholicarum</w:t>
      </w:r>
      <w:proofErr w:type="spellEnd"/>
      <w:r w:rsidRPr="000D111F">
        <w:rPr>
          <w:i/>
        </w:rPr>
        <w:t xml:space="preserve"> Conspectus</w:t>
      </w:r>
      <w:r w:rsidRPr="000D111F">
        <w:t xml:space="preserve"> (1668-69)</w:t>
      </w:r>
      <w:r>
        <w:t xml:space="preserve"> onward, are devoted to a set of objectives which is both shaped by broadly theological concerns and ultimately practical.</w:t>
      </w:r>
      <w:r>
        <w:rPr>
          <w:rStyle w:val="FootnoteReference"/>
        </w:rPr>
        <w:footnoteReference w:id="7"/>
      </w:r>
      <w:r>
        <w:t xml:space="preserve"> Against this backdrop, the</w:t>
      </w:r>
      <w:r w:rsidRPr="000D111F">
        <w:t xml:space="preserve"> discussion will then turn to an exploration of how Leibniz thought of theology as such. </w:t>
      </w:r>
      <w:r>
        <w:t xml:space="preserve">On the basis, once again, of my previous work and of a wave of recent research on Leibniz’s theological writings, </w:t>
      </w:r>
      <w:r>
        <w:rPr>
          <w:rFonts w:cs="Times New Roman"/>
          <w:szCs w:val="24"/>
        </w:rPr>
        <w:t>I will</w:t>
      </w:r>
      <w:r>
        <w:rPr>
          <w:rFonts w:cs="Times New Roman"/>
        </w:rPr>
        <w:t xml:space="preserve"> argue</w:t>
      </w:r>
      <w:r>
        <w:rPr>
          <w:rFonts w:cs="Times New Roman"/>
          <w:szCs w:val="24"/>
        </w:rPr>
        <w:t xml:space="preserve"> that Leibniz was committed to the elaboration of a robust Christian dogmatic which was rationally defensible, and that this commitment resulted in a genuine engagement with Christian theology</w:t>
      </w:r>
      <w:r w:rsidR="00C059F7">
        <w:rPr>
          <w:rFonts w:cs="Times New Roman"/>
          <w:szCs w:val="24"/>
        </w:rPr>
        <w:t xml:space="preserve"> </w:t>
      </w:r>
      <w:r w:rsidR="008D1B56">
        <w:rPr>
          <w:rFonts w:cs="Times New Roman"/>
          <w:szCs w:val="24"/>
        </w:rPr>
        <w:t>which</w:t>
      </w:r>
      <w:r w:rsidR="00443C26">
        <w:rPr>
          <w:rFonts w:cs="Times New Roman"/>
          <w:szCs w:val="24"/>
        </w:rPr>
        <w:t xml:space="preserve"> took very seriously its </w:t>
      </w:r>
      <w:r w:rsidR="00443C26" w:rsidRPr="00395EBF">
        <w:rPr>
          <w:rFonts w:cs="Times New Roman"/>
          <w:szCs w:val="24"/>
        </w:rPr>
        <w:t>theoretical dogmatic content</w:t>
      </w:r>
      <w:r>
        <w:rPr>
          <w:rFonts w:cs="Times New Roman"/>
          <w:szCs w:val="24"/>
        </w:rPr>
        <w:t xml:space="preserve">. </w:t>
      </w:r>
      <w:r w:rsidR="007762B2">
        <w:rPr>
          <w:rFonts w:cs="Times New Roman"/>
          <w:szCs w:val="24"/>
        </w:rPr>
        <w:t xml:space="preserve">The key additional thesis to be argued for in this paper is </w:t>
      </w:r>
      <w:r>
        <w:rPr>
          <w:rFonts w:cs="Times New Roman"/>
          <w:szCs w:val="24"/>
        </w:rPr>
        <w:t xml:space="preserve">that this theoretical engagement was in the service of a science which </w:t>
      </w:r>
      <w:r w:rsidRPr="00395EBF">
        <w:rPr>
          <w:rFonts w:cs="Times New Roman"/>
          <w:szCs w:val="24"/>
        </w:rPr>
        <w:t>he conceiv</w:t>
      </w:r>
      <w:r>
        <w:rPr>
          <w:rFonts w:cs="Times New Roman"/>
          <w:szCs w:val="24"/>
        </w:rPr>
        <w:t>ed as ultimately practical. For Leibniz, the ultimate aim of theology was to lead to the love of God above all things and, in so doing, to salvation and eternal happiness</w:t>
      </w:r>
      <w:r w:rsidRPr="00395EBF">
        <w:rPr>
          <w:rFonts w:cs="Times New Roman"/>
          <w:szCs w:val="24"/>
        </w:rPr>
        <w:t xml:space="preserve">. </w:t>
      </w:r>
      <w:r>
        <w:t xml:space="preserve">It is </w:t>
      </w:r>
      <w:r w:rsidRPr="000D111F">
        <w:t>in the light of this practical end that his theological p</w:t>
      </w:r>
      <w:r w:rsidR="007762B2">
        <w:t>ragmatism should be evaluated. When this is done</w:t>
      </w:r>
      <w:r>
        <w:t>, i</w:t>
      </w:r>
      <w:r w:rsidRPr="000D111F">
        <w:t>t become</w:t>
      </w:r>
      <w:r>
        <w:t>s</w:t>
      </w:r>
      <w:r w:rsidRPr="000D111F">
        <w:t xml:space="preserve"> apparent that</w:t>
      </w:r>
      <w:r w:rsidR="007762B2">
        <w:t>, beneath Leibniz’s efforts at</w:t>
      </w:r>
      <w:r>
        <w:t xml:space="preserve"> theological reconciliation </w:t>
      </w:r>
      <w:r w:rsidR="00123796">
        <w:t>in the context of his</w:t>
      </w:r>
      <w:r>
        <w:t xml:space="preserve"> </w:t>
      </w:r>
      <w:proofErr w:type="spellStart"/>
      <w:r w:rsidRPr="00840BBC">
        <w:rPr>
          <w:i/>
        </w:rPr>
        <w:t>Kirchenpolitik</w:t>
      </w:r>
      <w:proofErr w:type="spellEnd"/>
      <w:r>
        <w:t>, there lies</w:t>
      </w:r>
      <w:r w:rsidRPr="000D111F">
        <w:t xml:space="preserve"> a deeper, </w:t>
      </w:r>
      <w:r>
        <w:t xml:space="preserve">fundamental </w:t>
      </w:r>
      <w:r w:rsidRPr="000D111F">
        <w:t xml:space="preserve">and properly theological </w:t>
      </w:r>
      <w:r>
        <w:lastRenderedPageBreak/>
        <w:t>emphasis on praxis,</w:t>
      </w:r>
      <w:r w:rsidRPr="000D111F">
        <w:t xml:space="preserve"> ground</w:t>
      </w:r>
      <w:r w:rsidRPr="00840BBC">
        <w:rPr>
          <w:b/>
        </w:rPr>
        <w:t>e</w:t>
      </w:r>
      <w:r w:rsidRPr="000D111F">
        <w:t>d in Leibniz’s epistemology and driven by his conception of salvation as ultimately dependent on a practical attitude – t</w:t>
      </w:r>
      <w:r>
        <w:t>he love of God above of things.</w:t>
      </w:r>
    </w:p>
    <w:p w:rsidR="00730398" w:rsidRPr="000D111F" w:rsidRDefault="00730398" w:rsidP="00730398">
      <w:pPr>
        <w:spacing w:line="360" w:lineRule="auto"/>
        <w:ind w:firstLine="720"/>
      </w:pPr>
      <w:r w:rsidRPr="000D111F">
        <w:t xml:space="preserve">The paper will conclude that this is very much in line with the whole thrust of Leibniz’s intellectual programme as expressed in the over-arching plans discussed in the first section. </w:t>
      </w:r>
      <w:r>
        <w:t xml:space="preserve">These plans too were driven by a </w:t>
      </w:r>
      <w:r w:rsidRPr="000D111F">
        <w:t xml:space="preserve">practical end: the promotion of the common good and of human happiness as the celebration of the glory of God in his creation. </w:t>
      </w:r>
      <w:r>
        <w:t xml:space="preserve">Leibniz’s writings on revealed as well as natural theology were therefore composed as part of an overarching set of purposes with a </w:t>
      </w:r>
      <w:r w:rsidR="0088009A">
        <w:t>broadly theological inspiration</w:t>
      </w:r>
      <w:r w:rsidR="00DA2271">
        <w:t xml:space="preserve"> and an ultimately practical aim</w:t>
      </w:r>
      <w:r>
        <w:t xml:space="preserve">. </w:t>
      </w:r>
      <w:r w:rsidR="0088009A">
        <w:t>In conclusion</w:t>
      </w:r>
      <w:r w:rsidRPr="000D111F">
        <w:t xml:space="preserve">, it will </w:t>
      </w:r>
      <w:r w:rsidR="0088009A">
        <w:t xml:space="preserve">also </w:t>
      </w:r>
      <w:r w:rsidRPr="000D111F">
        <w:t>be stressed that the end of happiness – whether worldly or eternal -- should not be regarded as competing with Leibniz’s theoretical endeavours</w:t>
      </w:r>
      <w:r>
        <w:t xml:space="preserve"> – whether in the sciences or in theology --</w:t>
      </w:r>
      <w:r w:rsidRPr="000D111F">
        <w:t xml:space="preserve"> but as directly supported by them.</w:t>
      </w:r>
      <w:r>
        <w:t xml:space="preserve"> </w:t>
      </w:r>
    </w:p>
    <w:p w:rsidR="00C4241C" w:rsidRPr="00395EBF" w:rsidRDefault="00C4241C" w:rsidP="007B7129">
      <w:pPr>
        <w:spacing w:line="360" w:lineRule="auto"/>
        <w:ind w:firstLine="720"/>
        <w:rPr>
          <w:rFonts w:cs="Times New Roman"/>
          <w:szCs w:val="24"/>
        </w:rPr>
      </w:pPr>
    </w:p>
    <w:p w:rsidR="00254908" w:rsidRPr="002518B1" w:rsidRDefault="003F3B14" w:rsidP="007B7129">
      <w:pPr>
        <w:spacing w:line="360" w:lineRule="auto"/>
        <w:jc w:val="center"/>
        <w:rPr>
          <w:rFonts w:cs="Times New Roman"/>
          <w:szCs w:val="24"/>
        </w:rPr>
      </w:pPr>
      <w:r>
        <w:rPr>
          <w:rFonts w:cs="Times New Roman"/>
          <w:szCs w:val="24"/>
        </w:rPr>
        <w:t>The t</w:t>
      </w:r>
      <w:r w:rsidR="00D00A0F" w:rsidRPr="002518B1">
        <w:rPr>
          <w:rFonts w:cs="Times New Roman"/>
          <w:szCs w:val="24"/>
        </w:rPr>
        <w:t>he</w:t>
      </w:r>
      <w:r w:rsidR="008A32B4">
        <w:rPr>
          <w:rFonts w:cs="Times New Roman"/>
          <w:szCs w:val="24"/>
        </w:rPr>
        <w:t xml:space="preserve">ological inspiration and practical </w:t>
      </w:r>
      <w:r>
        <w:rPr>
          <w:rFonts w:cs="Times New Roman"/>
          <w:szCs w:val="24"/>
        </w:rPr>
        <w:t>aim</w:t>
      </w:r>
      <w:r w:rsidR="008A32B4">
        <w:rPr>
          <w:rFonts w:cs="Times New Roman"/>
          <w:szCs w:val="24"/>
        </w:rPr>
        <w:t xml:space="preserve"> of </w:t>
      </w:r>
      <w:r w:rsidR="00D00A0F" w:rsidRPr="002518B1">
        <w:rPr>
          <w:rFonts w:cs="Times New Roman"/>
          <w:szCs w:val="24"/>
        </w:rPr>
        <w:t>Leibniz’s all-embracing programme</w:t>
      </w:r>
    </w:p>
    <w:p w:rsidR="00D00A0F" w:rsidRPr="00395EBF" w:rsidRDefault="00D00A0F" w:rsidP="007B7129">
      <w:pPr>
        <w:spacing w:line="360" w:lineRule="auto"/>
        <w:rPr>
          <w:rFonts w:cs="Times New Roman"/>
          <w:szCs w:val="24"/>
          <w:u w:val="single"/>
        </w:rPr>
      </w:pPr>
    </w:p>
    <w:p w:rsidR="001A06AC" w:rsidRDefault="000D71B1" w:rsidP="007B7129">
      <w:pPr>
        <w:spacing w:line="360" w:lineRule="auto"/>
        <w:rPr>
          <w:rFonts w:cs="Times New Roman"/>
          <w:szCs w:val="24"/>
        </w:rPr>
      </w:pPr>
      <w:r w:rsidRPr="00395EBF">
        <w:rPr>
          <w:rFonts w:cs="Times New Roman"/>
          <w:szCs w:val="24"/>
        </w:rPr>
        <w:t xml:space="preserve">Around 1668-9, </w:t>
      </w:r>
      <w:r w:rsidR="006E04FC">
        <w:rPr>
          <w:rFonts w:cs="Times New Roman"/>
          <w:szCs w:val="24"/>
        </w:rPr>
        <w:t>a twen</w:t>
      </w:r>
      <w:r w:rsidR="00AD63FB" w:rsidRPr="00395EBF">
        <w:rPr>
          <w:rFonts w:cs="Times New Roman"/>
          <w:szCs w:val="24"/>
        </w:rPr>
        <w:t>ty-two</w:t>
      </w:r>
      <w:r w:rsidR="006E04FC">
        <w:rPr>
          <w:rFonts w:cs="Times New Roman"/>
          <w:szCs w:val="24"/>
        </w:rPr>
        <w:t>-year</w:t>
      </w:r>
      <w:r w:rsidR="00C04397">
        <w:rPr>
          <w:rFonts w:cs="Times New Roman"/>
          <w:szCs w:val="24"/>
        </w:rPr>
        <w:t xml:space="preserve"> </w:t>
      </w:r>
      <w:r w:rsidRPr="00395EBF">
        <w:rPr>
          <w:rFonts w:cs="Times New Roman"/>
          <w:szCs w:val="24"/>
        </w:rPr>
        <w:t>old</w:t>
      </w:r>
      <w:r w:rsidR="00C04397">
        <w:rPr>
          <w:rFonts w:cs="Times New Roman"/>
          <w:szCs w:val="24"/>
        </w:rPr>
        <w:t xml:space="preserve"> Leibniz penned the plan of an </w:t>
      </w:r>
      <w:r w:rsidR="00AD63FB" w:rsidRPr="00395EBF">
        <w:rPr>
          <w:rFonts w:cs="Times New Roman"/>
          <w:szCs w:val="24"/>
        </w:rPr>
        <w:t>all-encompassing intellectual programme which</w:t>
      </w:r>
      <w:r w:rsidR="00716F19" w:rsidRPr="00395EBF">
        <w:rPr>
          <w:rFonts w:cs="Times New Roman"/>
          <w:szCs w:val="24"/>
        </w:rPr>
        <w:t xml:space="preserve"> was to guide</w:t>
      </w:r>
      <w:r w:rsidR="003E59E0">
        <w:rPr>
          <w:rFonts w:cs="Times New Roman"/>
          <w:szCs w:val="24"/>
        </w:rPr>
        <w:t>, to one extent or another,</w:t>
      </w:r>
      <w:r w:rsidR="00716F19" w:rsidRPr="00395EBF">
        <w:rPr>
          <w:rFonts w:cs="Times New Roman"/>
          <w:szCs w:val="24"/>
        </w:rPr>
        <w:t xml:space="preserve"> </w:t>
      </w:r>
      <w:r w:rsidR="00AD63FB" w:rsidRPr="00395EBF">
        <w:rPr>
          <w:rFonts w:cs="Times New Roman"/>
          <w:szCs w:val="24"/>
        </w:rPr>
        <w:t xml:space="preserve">his entire </w:t>
      </w:r>
      <w:r w:rsidR="00716F19" w:rsidRPr="00395EBF">
        <w:rPr>
          <w:rFonts w:cs="Times New Roman"/>
          <w:szCs w:val="24"/>
        </w:rPr>
        <w:t xml:space="preserve">intellectual </w:t>
      </w:r>
      <w:r w:rsidR="00AD63FB" w:rsidRPr="00395EBF">
        <w:rPr>
          <w:rFonts w:cs="Times New Roman"/>
          <w:szCs w:val="24"/>
        </w:rPr>
        <w:t xml:space="preserve">journey. Theology, both in the form of natural theology and in the form of revealed theology, was </w:t>
      </w:r>
      <w:r w:rsidR="00A60D75" w:rsidRPr="00395EBF">
        <w:rPr>
          <w:rFonts w:cs="Times New Roman"/>
          <w:szCs w:val="24"/>
        </w:rPr>
        <w:t>at the heart</w:t>
      </w:r>
      <w:r w:rsidR="006E04FC">
        <w:rPr>
          <w:rFonts w:cs="Times New Roman"/>
          <w:szCs w:val="24"/>
        </w:rPr>
        <w:t xml:space="preserve"> of this youthful formulation of his life-long plan</w:t>
      </w:r>
      <w:r w:rsidR="00716F19" w:rsidRPr="00395EBF">
        <w:rPr>
          <w:rFonts w:cs="Times New Roman"/>
          <w:szCs w:val="24"/>
        </w:rPr>
        <w:t>. A</w:t>
      </w:r>
      <w:r w:rsidR="00AD63FB" w:rsidRPr="00395EBF">
        <w:rPr>
          <w:rFonts w:cs="Times New Roman"/>
          <w:szCs w:val="24"/>
        </w:rPr>
        <w:t xml:space="preserve">lready carefully divided into parts and chapters, </w:t>
      </w:r>
      <w:r w:rsidR="00716F19" w:rsidRPr="00395EBF">
        <w:rPr>
          <w:rFonts w:cs="Times New Roman"/>
          <w:szCs w:val="24"/>
        </w:rPr>
        <w:t xml:space="preserve">Leibniz’s plan </w:t>
      </w:r>
      <w:r w:rsidR="00AD63FB" w:rsidRPr="00395EBF">
        <w:rPr>
          <w:rFonts w:cs="Times New Roman"/>
          <w:szCs w:val="24"/>
        </w:rPr>
        <w:t>foresaw the</w:t>
      </w:r>
      <w:r w:rsidR="00716F19" w:rsidRPr="00395EBF">
        <w:rPr>
          <w:rFonts w:cs="Times New Roman"/>
          <w:szCs w:val="24"/>
        </w:rPr>
        <w:t xml:space="preserve"> “Demonstration of God’s existence” (part 1); the “Demonstration of the Immortality and Incorporeity of the Soul” (part 2); </w:t>
      </w:r>
      <w:r w:rsidR="00EB7C54" w:rsidRPr="00395EBF">
        <w:rPr>
          <w:rFonts w:cs="Times New Roman"/>
          <w:szCs w:val="24"/>
        </w:rPr>
        <w:t>the “Demonstration of the Possibility of the Mysteries of the Christian Faith” (part 3); and the “Demonstration of the Authority of the Catholic Church” and “of</w:t>
      </w:r>
      <w:r w:rsidR="001D0AA0">
        <w:rPr>
          <w:rFonts w:cs="Times New Roman"/>
          <w:szCs w:val="24"/>
        </w:rPr>
        <w:t xml:space="preserve"> </w:t>
      </w:r>
      <w:r w:rsidR="00EB7C54" w:rsidRPr="00395EBF">
        <w:rPr>
          <w:rFonts w:cs="Times New Roman"/>
          <w:szCs w:val="24"/>
        </w:rPr>
        <w:t>the Authority of Scripture” (part 4).</w:t>
      </w:r>
      <w:r w:rsidR="00EB7C54" w:rsidRPr="00395EBF">
        <w:rPr>
          <w:rStyle w:val="FootnoteReference"/>
          <w:rFonts w:cs="Times New Roman"/>
          <w:szCs w:val="24"/>
        </w:rPr>
        <w:footnoteReference w:id="8"/>
      </w:r>
      <w:r w:rsidR="00EB7C54" w:rsidRPr="00395EBF">
        <w:rPr>
          <w:rFonts w:cs="Times New Roman"/>
          <w:szCs w:val="24"/>
        </w:rPr>
        <w:t xml:space="preserve"> </w:t>
      </w:r>
      <w:r w:rsidR="00E37539" w:rsidRPr="00395EBF">
        <w:rPr>
          <w:rFonts w:cs="Times New Roman"/>
          <w:szCs w:val="24"/>
        </w:rPr>
        <w:t>In order to carry out successfully these catholic (that is, universal) demonstration</w:t>
      </w:r>
      <w:r w:rsidR="003E59E0">
        <w:rPr>
          <w:rFonts w:cs="Times New Roman"/>
          <w:szCs w:val="24"/>
        </w:rPr>
        <w:t>s, Leibniz envisaged the need for</w:t>
      </w:r>
      <w:r w:rsidR="00E37539" w:rsidRPr="00395EBF">
        <w:rPr>
          <w:rFonts w:cs="Times New Roman"/>
          <w:szCs w:val="24"/>
        </w:rPr>
        <w:t xml:space="preserve"> a comprehensive reform and development of the “elements of philosophy”. </w:t>
      </w:r>
      <w:r w:rsidR="00610A06" w:rsidRPr="00395EBF">
        <w:rPr>
          <w:rFonts w:cs="Times New Roman"/>
          <w:szCs w:val="24"/>
        </w:rPr>
        <w:t>A</w:t>
      </w:r>
      <w:r w:rsidR="00E37539" w:rsidRPr="00395EBF">
        <w:rPr>
          <w:rFonts w:cs="Times New Roman"/>
          <w:szCs w:val="24"/>
        </w:rPr>
        <w:t xml:space="preserve">s </w:t>
      </w:r>
      <w:r w:rsidR="00E37539" w:rsidRPr="00395EBF">
        <w:rPr>
          <w:rFonts w:cs="Times New Roman"/>
          <w:i/>
          <w:szCs w:val="24"/>
        </w:rPr>
        <w:t>prolegomena</w:t>
      </w:r>
      <w:r w:rsidR="00E37539" w:rsidRPr="00395EBF">
        <w:rPr>
          <w:rFonts w:cs="Times New Roman"/>
          <w:szCs w:val="24"/>
        </w:rPr>
        <w:t xml:space="preserve"> to the demonstrations proper, the young man </w:t>
      </w:r>
      <w:r w:rsidR="00610A06" w:rsidRPr="00395EBF">
        <w:rPr>
          <w:rFonts w:cs="Times New Roman"/>
          <w:szCs w:val="24"/>
        </w:rPr>
        <w:t xml:space="preserve">therefore </w:t>
      </w:r>
      <w:r w:rsidR="00102462" w:rsidRPr="00395EBF">
        <w:rPr>
          <w:rFonts w:cs="Times New Roman"/>
          <w:szCs w:val="24"/>
        </w:rPr>
        <w:t xml:space="preserve">took </w:t>
      </w:r>
      <w:r w:rsidR="00E37539" w:rsidRPr="00395EBF">
        <w:rPr>
          <w:rFonts w:cs="Times New Roman"/>
          <w:szCs w:val="24"/>
        </w:rPr>
        <w:t>upon himself to rewrite, in due course, the first principle</w:t>
      </w:r>
      <w:r w:rsidR="00375176">
        <w:rPr>
          <w:rFonts w:cs="Times New Roman"/>
          <w:szCs w:val="24"/>
        </w:rPr>
        <w:t>s</w:t>
      </w:r>
      <w:r w:rsidR="00E37539" w:rsidRPr="00395EBF">
        <w:rPr>
          <w:rFonts w:cs="Times New Roman"/>
          <w:szCs w:val="24"/>
        </w:rPr>
        <w:t xml:space="preserve"> of metaphysics (</w:t>
      </w:r>
      <w:r w:rsidR="00E37539" w:rsidRPr="00395EBF">
        <w:rPr>
          <w:rFonts w:cs="Times New Roman"/>
          <w:i/>
          <w:szCs w:val="24"/>
        </w:rPr>
        <w:t xml:space="preserve">de </w:t>
      </w:r>
      <w:proofErr w:type="spellStart"/>
      <w:r w:rsidR="00E37539" w:rsidRPr="00395EBF">
        <w:rPr>
          <w:rFonts w:cs="Times New Roman"/>
          <w:i/>
          <w:szCs w:val="24"/>
        </w:rPr>
        <w:t>Ente</w:t>
      </w:r>
      <w:proofErr w:type="spellEnd"/>
      <w:r w:rsidR="00E37539" w:rsidRPr="00395EBF">
        <w:rPr>
          <w:rFonts w:cs="Times New Roman"/>
          <w:szCs w:val="24"/>
        </w:rPr>
        <w:t>), of logic (</w:t>
      </w:r>
      <w:r w:rsidR="00E37539" w:rsidRPr="00395EBF">
        <w:rPr>
          <w:rFonts w:cs="Times New Roman"/>
          <w:i/>
          <w:szCs w:val="24"/>
        </w:rPr>
        <w:t xml:space="preserve">de </w:t>
      </w:r>
      <w:proofErr w:type="spellStart"/>
      <w:r w:rsidR="00E37539" w:rsidRPr="00395EBF">
        <w:rPr>
          <w:rFonts w:cs="Times New Roman"/>
          <w:i/>
          <w:szCs w:val="24"/>
        </w:rPr>
        <w:t>Mente</w:t>
      </w:r>
      <w:proofErr w:type="spellEnd"/>
      <w:r w:rsidR="00E37539" w:rsidRPr="00395EBF">
        <w:rPr>
          <w:rFonts w:cs="Times New Roman"/>
          <w:szCs w:val="24"/>
        </w:rPr>
        <w:t>), of mathematics (</w:t>
      </w:r>
      <w:r w:rsidR="00E37539" w:rsidRPr="00395EBF">
        <w:rPr>
          <w:rFonts w:cs="Times New Roman"/>
          <w:i/>
          <w:szCs w:val="24"/>
        </w:rPr>
        <w:t xml:space="preserve">de </w:t>
      </w:r>
      <w:proofErr w:type="spellStart"/>
      <w:r w:rsidR="00E37539" w:rsidRPr="00395EBF">
        <w:rPr>
          <w:rFonts w:cs="Times New Roman"/>
          <w:i/>
          <w:szCs w:val="24"/>
        </w:rPr>
        <w:t>Spatio</w:t>
      </w:r>
      <w:proofErr w:type="spellEnd"/>
      <w:r w:rsidR="00E37539" w:rsidRPr="00395EBF">
        <w:rPr>
          <w:rFonts w:cs="Times New Roman"/>
          <w:szCs w:val="24"/>
        </w:rPr>
        <w:t>), of physics (</w:t>
      </w:r>
      <w:r w:rsidR="00E37539" w:rsidRPr="00395EBF">
        <w:rPr>
          <w:rFonts w:cs="Times New Roman"/>
          <w:i/>
          <w:szCs w:val="24"/>
        </w:rPr>
        <w:t xml:space="preserve">de </w:t>
      </w:r>
      <w:proofErr w:type="spellStart"/>
      <w:r w:rsidR="00E37539" w:rsidRPr="00395EBF">
        <w:rPr>
          <w:rFonts w:cs="Times New Roman"/>
          <w:i/>
          <w:szCs w:val="24"/>
        </w:rPr>
        <w:t>Corpore</w:t>
      </w:r>
      <w:proofErr w:type="spellEnd"/>
      <w:r w:rsidR="00E37539" w:rsidRPr="00395EBF">
        <w:rPr>
          <w:rFonts w:cs="Times New Roman"/>
          <w:szCs w:val="24"/>
        </w:rPr>
        <w:t>), and of ethics and politics or “practical philosophy” (</w:t>
      </w:r>
      <w:r w:rsidR="00E37539" w:rsidRPr="00395EBF">
        <w:rPr>
          <w:rFonts w:cs="Times New Roman"/>
          <w:i/>
          <w:szCs w:val="24"/>
        </w:rPr>
        <w:t xml:space="preserve">de </w:t>
      </w:r>
      <w:proofErr w:type="spellStart"/>
      <w:r w:rsidR="00E37539" w:rsidRPr="00395EBF">
        <w:rPr>
          <w:rFonts w:cs="Times New Roman"/>
          <w:i/>
          <w:szCs w:val="24"/>
        </w:rPr>
        <w:t>Civitate</w:t>
      </w:r>
      <w:proofErr w:type="spellEnd"/>
      <w:r w:rsidR="00E37539" w:rsidRPr="00395EBF">
        <w:rPr>
          <w:rFonts w:cs="Times New Roman"/>
          <w:szCs w:val="24"/>
        </w:rPr>
        <w:t xml:space="preserve">). </w:t>
      </w:r>
      <w:r w:rsidR="00610A06" w:rsidRPr="00395EBF">
        <w:rPr>
          <w:rFonts w:cs="Times New Roman"/>
          <w:szCs w:val="24"/>
        </w:rPr>
        <w:t>In other words, t</w:t>
      </w:r>
      <w:r w:rsidR="00A60D75" w:rsidRPr="00395EBF">
        <w:rPr>
          <w:rFonts w:cs="Times New Roman"/>
          <w:szCs w:val="24"/>
        </w:rPr>
        <w:t xml:space="preserve">his plan as </w:t>
      </w:r>
      <w:r w:rsidR="00356C04" w:rsidRPr="00395EBF">
        <w:rPr>
          <w:rFonts w:cs="Times New Roman"/>
          <w:szCs w:val="24"/>
        </w:rPr>
        <w:t xml:space="preserve">a </w:t>
      </w:r>
      <w:r w:rsidR="00A60D75" w:rsidRPr="00395EBF">
        <w:rPr>
          <w:rFonts w:cs="Times New Roman"/>
          <w:szCs w:val="24"/>
        </w:rPr>
        <w:t>whole</w:t>
      </w:r>
      <w:r w:rsidR="00E37539" w:rsidRPr="00395EBF">
        <w:rPr>
          <w:rFonts w:cs="Times New Roman"/>
          <w:szCs w:val="24"/>
        </w:rPr>
        <w:t xml:space="preserve"> </w:t>
      </w:r>
      <w:r w:rsidR="00A60D75" w:rsidRPr="00395EBF">
        <w:rPr>
          <w:rFonts w:cs="Times New Roman"/>
          <w:szCs w:val="24"/>
        </w:rPr>
        <w:t>represented the core of a systematic encyclopa</w:t>
      </w:r>
      <w:r w:rsidR="00C04397">
        <w:rPr>
          <w:rFonts w:cs="Times New Roman"/>
          <w:szCs w:val="24"/>
        </w:rPr>
        <w:t xml:space="preserve">edia of the sciences </w:t>
      </w:r>
      <w:r w:rsidR="00A60D75" w:rsidRPr="00395EBF">
        <w:rPr>
          <w:rFonts w:cs="Times New Roman"/>
          <w:szCs w:val="24"/>
        </w:rPr>
        <w:t xml:space="preserve">aimed at supporting the key tenets of natural and revealed theology. </w:t>
      </w:r>
      <w:r w:rsidR="004D50F9" w:rsidRPr="00395EBF">
        <w:rPr>
          <w:rFonts w:cs="Times New Roman"/>
          <w:szCs w:val="24"/>
        </w:rPr>
        <w:t>It</w:t>
      </w:r>
      <w:r w:rsidR="00FE0498" w:rsidRPr="00395EBF">
        <w:rPr>
          <w:rFonts w:cs="Times New Roman"/>
          <w:szCs w:val="24"/>
        </w:rPr>
        <w:t xml:space="preserve"> embodied both a comprehensive </w:t>
      </w:r>
      <w:r w:rsidR="00375176">
        <w:rPr>
          <w:rFonts w:cs="Times New Roman"/>
          <w:szCs w:val="24"/>
        </w:rPr>
        <w:t xml:space="preserve">theoretical project of reform and </w:t>
      </w:r>
      <w:r w:rsidR="00375176">
        <w:rPr>
          <w:rFonts w:cs="Times New Roman"/>
          <w:szCs w:val="24"/>
        </w:rPr>
        <w:lastRenderedPageBreak/>
        <w:t>development of</w:t>
      </w:r>
      <w:r w:rsidR="00FE0498" w:rsidRPr="00395EBF">
        <w:rPr>
          <w:rFonts w:cs="Times New Roman"/>
          <w:szCs w:val="24"/>
        </w:rPr>
        <w:t xml:space="preserve"> the sciences</w:t>
      </w:r>
      <w:r w:rsidR="00C04397">
        <w:rPr>
          <w:rFonts w:cs="Times New Roman"/>
          <w:szCs w:val="24"/>
        </w:rPr>
        <w:t>,</w:t>
      </w:r>
      <w:r w:rsidR="00FE0498" w:rsidRPr="00395EBF">
        <w:rPr>
          <w:rFonts w:cs="Times New Roman"/>
          <w:szCs w:val="24"/>
        </w:rPr>
        <w:t xml:space="preserve"> and an equally ambitious practical project of political and ecclesiastical reconciliation.</w:t>
      </w:r>
      <w:r w:rsidR="00DF3475" w:rsidRPr="00395EBF">
        <w:rPr>
          <w:rFonts w:cs="Times New Roman"/>
          <w:szCs w:val="24"/>
        </w:rPr>
        <w:t xml:space="preserve"> </w:t>
      </w:r>
    </w:p>
    <w:p w:rsidR="00B327C2" w:rsidRPr="00B327C2" w:rsidRDefault="00114E1B" w:rsidP="007B7129">
      <w:pPr>
        <w:autoSpaceDE w:val="0"/>
        <w:autoSpaceDN w:val="0"/>
        <w:adjustRightInd w:val="0"/>
        <w:spacing w:line="360" w:lineRule="auto"/>
        <w:ind w:firstLine="720"/>
        <w:rPr>
          <w:rFonts w:cs="Times New Roman"/>
          <w:szCs w:val="24"/>
        </w:rPr>
      </w:pPr>
      <w:r>
        <w:rPr>
          <w:rFonts w:cs="Times New Roman"/>
          <w:szCs w:val="24"/>
        </w:rPr>
        <w:t xml:space="preserve">In a letter of </w:t>
      </w:r>
      <w:r w:rsidR="006F68B6">
        <w:rPr>
          <w:rFonts w:cs="Times New Roman"/>
          <w:szCs w:val="24"/>
        </w:rPr>
        <w:t>the a</w:t>
      </w:r>
      <w:r w:rsidR="00375176">
        <w:rPr>
          <w:rFonts w:cs="Times New Roman"/>
          <w:szCs w:val="24"/>
        </w:rPr>
        <w:t xml:space="preserve">utumn 1679, </w:t>
      </w:r>
      <w:r w:rsidR="00B327C2">
        <w:rPr>
          <w:rFonts w:cs="Times New Roman"/>
          <w:szCs w:val="24"/>
        </w:rPr>
        <w:t xml:space="preserve">having found </w:t>
      </w:r>
      <w:r w:rsidR="006C16B5">
        <w:rPr>
          <w:rFonts w:cs="Times New Roman"/>
          <w:szCs w:val="24"/>
        </w:rPr>
        <w:t xml:space="preserve">in </w:t>
      </w:r>
      <w:r w:rsidR="00375176">
        <w:rPr>
          <w:rFonts w:cs="Times New Roman"/>
          <w:szCs w:val="24"/>
        </w:rPr>
        <w:t>Johan</w:t>
      </w:r>
      <w:r w:rsidR="0004454E">
        <w:rPr>
          <w:rFonts w:cs="Times New Roman"/>
          <w:szCs w:val="24"/>
        </w:rPr>
        <w:t>n</w:t>
      </w:r>
      <w:r w:rsidR="00375176">
        <w:rPr>
          <w:rFonts w:cs="Times New Roman"/>
          <w:szCs w:val="24"/>
        </w:rPr>
        <w:t xml:space="preserve"> Friedrich </w:t>
      </w:r>
      <w:r w:rsidR="00B327C2">
        <w:rPr>
          <w:rFonts w:cs="Times New Roman"/>
          <w:szCs w:val="24"/>
        </w:rPr>
        <w:t xml:space="preserve">of Hanover </w:t>
      </w:r>
      <w:r w:rsidR="00375176">
        <w:rPr>
          <w:rFonts w:cs="Times New Roman"/>
          <w:szCs w:val="24"/>
        </w:rPr>
        <w:t xml:space="preserve">a sympathetic patron, </w:t>
      </w:r>
      <w:r w:rsidR="006C16B5">
        <w:rPr>
          <w:rFonts w:cs="Times New Roman"/>
          <w:szCs w:val="24"/>
        </w:rPr>
        <w:t>Leibniz</w:t>
      </w:r>
      <w:r w:rsidR="00375176">
        <w:rPr>
          <w:rFonts w:cs="Times New Roman"/>
          <w:szCs w:val="24"/>
        </w:rPr>
        <w:t xml:space="preserve"> presented </w:t>
      </w:r>
      <w:r w:rsidR="0004454E">
        <w:rPr>
          <w:rFonts w:cs="Times New Roman"/>
          <w:szCs w:val="24"/>
        </w:rPr>
        <w:t>to the d</w:t>
      </w:r>
      <w:r w:rsidR="00B327C2">
        <w:rPr>
          <w:rFonts w:cs="Times New Roman"/>
          <w:szCs w:val="24"/>
        </w:rPr>
        <w:t xml:space="preserve">uke </w:t>
      </w:r>
      <w:r w:rsidR="00375176">
        <w:rPr>
          <w:rFonts w:cs="Times New Roman"/>
          <w:szCs w:val="24"/>
        </w:rPr>
        <w:t xml:space="preserve">his </w:t>
      </w:r>
      <w:r w:rsidR="006C16B5">
        <w:rPr>
          <w:rFonts w:cs="Times New Roman"/>
          <w:szCs w:val="24"/>
        </w:rPr>
        <w:t xml:space="preserve">over-arching </w:t>
      </w:r>
      <w:r w:rsidR="00375176" w:rsidRPr="00B327C2">
        <w:rPr>
          <w:rFonts w:cs="Times New Roman"/>
          <w:szCs w:val="24"/>
        </w:rPr>
        <w:t xml:space="preserve">plan of </w:t>
      </w:r>
      <w:proofErr w:type="spellStart"/>
      <w:r w:rsidR="00375176" w:rsidRPr="00B327C2">
        <w:rPr>
          <w:rFonts w:cs="Times New Roman"/>
          <w:i/>
          <w:szCs w:val="24"/>
        </w:rPr>
        <w:t>Demonstrationes</w:t>
      </w:r>
      <w:proofErr w:type="spellEnd"/>
      <w:r w:rsidR="00375176" w:rsidRPr="00B327C2">
        <w:rPr>
          <w:rFonts w:cs="Times New Roman"/>
          <w:i/>
          <w:szCs w:val="24"/>
        </w:rPr>
        <w:t xml:space="preserve"> </w:t>
      </w:r>
      <w:proofErr w:type="spellStart"/>
      <w:r w:rsidR="00375176" w:rsidRPr="00B327C2">
        <w:rPr>
          <w:rFonts w:cs="Times New Roman"/>
          <w:i/>
          <w:szCs w:val="24"/>
        </w:rPr>
        <w:t>Catholicae</w:t>
      </w:r>
      <w:proofErr w:type="spellEnd"/>
      <w:r w:rsidR="00375176" w:rsidRPr="00B327C2">
        <w:rPr>
          <w:rFonts w:cs="Times New Roman"/>
          <w:szCs w:val="24"/>
        </w:rPr>
        <w:t xml:space="preserve"> </w:t>
      </w:r>
      <w:r w:rsidR="006C16B5" w:rsidRPr="00B327C2">
        <w:rPr>
          <w:rFonts w:cs="Times New Roman"/>
          <w:szCs w:val="24"/>
        </w:rPr>
        <w:t>as “a work of the greatest importance”.</w:t>
      </w:r>
      <w:r w:rsidR="006C16B5" w:rsidRPr="00B327C2">
        <w:rPr>
          <w:rStyle w:val="FootnoteReference"/>
          <w:rFonts w:cs="Times New Roman"/>
          <w:szCs w:val="24"/>
        </w:rPr>
        <w:footnoteReference w:id="9"/>
      </w:r>
      <w:r w:rsidR="00800966" w:rsidRPr="00B327C2">
        <w:rPr>
          <w:rFonts w:cs="Times New Roman"/>
          <w:szCs w:val="24"/>
        </w:rPr>
        <w:t xml:space="preserve"> This</w:t>
      </w:r>
      <w:r w:rsidRPr="00B327C2">
        <w:rPr>
          <w:rFonts w:cs="Times New Roman"/>
          <w:szCs w:val="24"/>
        </w:rPr>
        <w:t xml:space="preserve"> plan, </w:t>
      </w:r>
      <w:r w:rsidR="00800966" w:rsidRPr="00B327C2">
        <w:rPr>
          <w:rFonts w:cs="Times New Roman"/>
          <w:szCs w:val="24"/>
        </w:rPr>
        <w:t>Leibniz explained</w:t>
      </w:r>
      <w:r w:rsidRPr="00B327C2">
        <w:rPr>
          <w:rFonts w:cs="Times New Roman"/>
          <w:szCs w:val="24"/>
        </w:rPr>
        <w:t>, embraced the whole of natural and revealed theology, including the demonstrations of the existence of God and of the immortality</w:t>
      </w:r>
      <w:r w:rsidR="00800966" w:rsidRPr="00B327C2">
        <w:rPr>
          <w:rFonts w:cs="Times New Roman"/>
          <w:szCs w:val="24"/>
        </w:rPr>
        <w:t xml:space="preserve"> </w:t>
      </w:r>
      <w:r w:rsidRPr="00B327C2">
        <w:rPr>
          <w:rFonts w:cs="Times New Roman"/>
          <w:szCs w:val="24"/>
        </w:rPr>
        <w:t>and incorporeity of the soul on the one hand,</w:t>
      </w:r>
      <w:r w:rsidR="00AA6C8C">
        <w:rPr>
          <w:rStyle w:val="FootnoteReference"/>
          <w:rFonts w:cs="Times New Roman"/>
          <w:szCs w:val="24"/>
        </w:rPr>
        <w:footnoteReference w:id="10"/>
      </w:r>
      <w:r w:rsidRPr="00B327C2">
        <w:rPr>
          <w:rFonts w:cs="Times New Roman"/>
          <w:szCs w:val="24"/>
        </w:rPr>
        <w:t xml:space="preserve"> and the defence</w:t>
      </w:r>
      <w:r w:rsidR="00800966" w:rsidRPr="00B327C2">
        <w:rPr>
          <w:rFonts w:cs="Times New Roman"/>
          <w:szCs w:val="24"/>
        </w:rPr>
        <w:t xml:space="preserve"> </w:t>
      </w:r>
      <w:r w:rsidRPr="00B327C2">
        <w:rPr>
          <w:rFonts w:cs="Times New Roman"/>
          <w:szCs w:val="24"/>
        </w:rPr>
        <w:t>of the mysteries of the Christian religion against the charge of absurdity</w:t>
      </w:r>
      <w:r w:rsidR="00800966" w:rsidRPr="00B327C2">
        <w:rPr>
          <w:rFonts w:cs="Times New Roman"/>
          <w:szCs w:val="24"/>
        </w:rPr>
        <w:t xml:space="preserve"> </w:t>
      </w:r>
      <w:r w:rsidRPr="00B327C2">
        <w:rPr>
          <w:rFonts w:cs="Times New Roman"/>
          <w:szCs w:val="24"/>
        </w:rPr>
        <w:t>on the other.</w:t>
      </w:r>
      <w:r w:rsidR="00AA6C8C">
        <w:rPr>
          <w:rStyle w:val="FootnoteReference"/>
          <w:rFonts w:cs="Times New Roman"/>
          <w:szCs w:val="24"/>
        </w:rPr>
        <w:footnoteReference w:id="11"/>
      </w:r>
      <w:r w:rsidRPr="00B327C2">
        <w:rPr>
          <w:rFonts w:cs="Times New Roman"/>
          <w:szCs w:val="24"/>
        </w:rPr>
        <w:t xml:space="preserve"> Moreover, </w:t>
      </w:r>
      <w:r w:rsidR="00800966" w:rsidRPr="00B327C2">
        <w:rPr>
          <w:rFonts w:cs="Times New Roman"/>
          <w:szCs w:val="24"/>
        </w:rPr>
        <w:t xml:space="preserve">it intended to show </w:t>
      </w:r>
      <w:r w:rsidRPr="00B327C2">
        <w:rPr>
          <w:rFonts w:cs="Times New Roman"/>
          <w:szCs w:val="24"/>
        </w:rPr>
        <w:t>the authority of what Leibniz regarded as</w:t>
      </w:r>
      <w:r w:rsidR="00800966" w:rsidRPr="00B327C2">
        <w:rPr>
          <w:rFonts w:cs="Times New Roman"/>
          <w:szCs w:val="24"/>
        </w:rPr>
        <w:t xml:space="preserve"> </w:t>
      </w:r>
      <w:r w:rsidRPr="00B327C2">
        <w:rPr>
          <w:rFonts w:cs="Times New Roman"/>
          <w:szCs w:val="24"/>
        </w:rPr>
        <w:t>the two complementary sources of theolog</w:t>
      </w:r>
      <w:r w:rsidR="0027285D">
        <w:rPr>
          <w:rFonts w:cs="Times New Roman"/>
          <w:szCs w:val="24"/>
        </w:rPr>
        <w:t xml:space="preserve">ical truth: </w:t>
      </w:r>
      <w:r w:rsidR="003763DE" w:rsidRPr="00B327C2">
        <w:rPr>
          <w:rFonts w:cs="Times New Roman"/>
          <w:szCs w:val="24"/>
        </w:rPr>
        <w:t>Scripture</w:t>
      </w:r>
      <w:r w:rsidR="003763DE">
        <w:rPr>
          <w:rFonts w:cs="Times New Roman"/>
          <w:szCs w:val="24"/>
        </w:rPr>
        <w:t xml:space="preserve"> and </w:t>
      </w:r>
      <w:r w:rsidR="0027285D">
        <w:rPr>
          <w:rFonts w:cs="Times New Roman"/>
          <w:szCs w:val="24"/>
        </w:rPr>
        <w:t xml:space="preserve">the catholic (that is, </w:t>
      </w:r>
      <w:r w:rsidR="003763DE">
        <w:rPr>
          <w:rFonts w:cs="Times New Roman"/>
          <w:szCs w:val="24"/>
        </w:rPr>
        <w:t>‘universal’) church</w:t>
      </w:r>
      <w:r w:rsidRPr="00B327C2">
        <w:rPr>
          <w:rFonts w:cs="Times New Roman"/>
          <w:szCs w:val="24"/>
        </w:rPr>
        <w:t>.</w:t>
      </w:r>
      <w:r w:rsidR="009D3CE7">
        <w:rPr>
          <w:rStyle w:val="FootnoteReference"/>
          <w:rFonts w:cs="Times New Roman"/>
          <w:szCs w:val="24"/>
        </w:rPr>
        <w:footnoteReference w:id="12"/>
      </w:r>
      <w:r w:rsidRPr="00B327C2">
        <w:rPr>
          <w:rFonts w:cs="Times New Roman"/>
          <w:szCs w:val="24"/>
        </w:rPr>
        <w:t xml:space="preserve"> </w:t>
      </w:r>
      <w:r w:rsidR="00800966" w:rsidRPr="00B327C2">
        <w:rPr>
          <w:rFonts w:cs="Times New Roman"/>
          <w:szCs w:val="24"/>
        </w:rPr>
        <w:t>Most importan</w:t>
      </w:r>
      <w:r w:rsidR="0004454E">
        <w:rPr>
          <w:rFonts w:cs="Times New Roman"/>
          <w:szCs w:val="24"/>
        </w:rPr>
        <w:t>tly, Leibniz clarified for the d</w:t>
      </w:r>
      <w:r w:rsidR="00800966" w:rsidRPr="00B327C2">
        <w:rPr>
          <w:rFonts w:cs="Times New Roman"/>
          <w:szCs w:val="24"/>
        </w:rPr>
        <w:t>uke</w:t>
      </w:r>
      <w:r w:rsidRPr="00B327C2">
        <w:rPr>
          <w:rFonts w:cs="Times New Roman"/>
          <w:szCs w:val="24"/>
        </w:rPr>
        <w:t xml:space="preserve"> why these theological</w:t>
      </w:r>
      <w:r w:rsidR="00800966" w:rsidRPr="00B327C2">
        <w:rPr>
          <w:rFonts w:cs="Times New Roman"/>
          <w:szCs w:val="24"/>
        </w:rPr>
        <w:t xml:space="preserve"> </w:t>
      </w:r>
      <w:r w:rsidRPr="00B327C2">
        <w:rPr>
          <w:rFonts w:cs="Times New Roman"/>
          <w:szCs w:val="24"/>
        </w:rPr>
        <w:t>demo</w:t>
      </w:r>
      <w:r w:rsidR="00034B02">
        <w:rPr>
          <w:rFonts w:cs="Times New Roman"/>
          <w:szCs w:val="24"/>
        </w:rPr>
        <w:t xml:space="preserve">nstrations </w:t>
      </w:r>
      <w:r w:rsidR="00BE248B">
        <w:rPr>
          <w:rFonts w:cs="Times New Roman"/>
          <w:szCs w:val="24"/>
        </w:rPr>
        <w:t>had to</w:t>
      </w:r>
      <w:r w:rsidR="00800966" w:rsidRPr="00B327C2">
        <w:rPr>
          <w:rFonts w:cs="Times New Roman"/>
          <w:szCs w:val="24"/>
        </w:rPr>
        <w:t xml:space="preserve"> be prepared</w:t>
      </w:r>
      <w:r w:rsidRPr="00B327C2">
        <w:rPr>
          <w:rFonts w:cs="Times New Roman"/>
          <w:szCs w:val="24"/>
        </w:rPr>
        <w:t xml:space="preserve"> by an inquiry into the foundations</w:t>
      </w:r>
      <w:r w:rsidR="00800966" w:rsidRPr="00B327C2">
        <w:rPr>
          <w:rFonts w:cs="Times New Roman"/>
          <w:szCs w:val="24"/>
        </w:rPr>
        <w:t xml:space="preserve"> </w:t>
      </w:r>
      <w:r w:rsidRPr="00B327C2">
        <w:rPr>
          <w:rFonts w:cs="Times New Roman"/>
          <w:szCs w:val="24"/>
        </w:rPr>
        <w:t>of the entire encyclopaedia of sciences, notably logic, metaphysics,</w:t>
      </w:r>
      <w:r w:rsidR="00800966" w:rsidRPr="00B327C2">
        <w:rPr>
          <w:rFonts w:cs="Times New Roman"/>
          <w:szCs w:val="24"/>
        </w:rPr>
        <w:t xml:space="preserve"> </w:t>
      </w:r>
      <w:r w:rsidRPr="00B327C2">
        <w:rPr>
          <w:rFonts w:cs="Times New Roman"/>
          <w:szCs w:val="24"/>
        </w:rPr>
        <w:t>physics, ethics, politics, and m</w:t>
      </w:r>
      <w:r w:rsidR="00800966" w:rsidRPr="00B327C2">
        <w:rPr>
          <w:rFonts w:cs="Times New Roman"/>
          <w:szCs w:val="24"/>
        </w:rPr>
        <w:t xml:space="preserve">athematics. First of all, </w:t>
      </w:r>
      <w:r w:rsidR="0004454E">
        <w:rPr>
          <w:rFonts w:cs="Times New Roman"/>
          <w:szCs w:val="24"/>
        </w:rPr>
        <w:t xml:space="preserve">it would not be sufficient merely to develop </w:t>
      </w:r>
      <w:r w:rsidR="00800966" w:rsidRPr="00B327C2">
        <w:rPr>
          <w:rFonts w:cs="Times New Roman"/>
          <w:szCs w:val="24"/>
        </w:rPr>
        <w:t>traditional logic</w:t>
      </w:r>
      <w:r w:rsidRPr="00B327C2">
        <w:rPr>
          <w:rFonts w:cs="Times New Roman"/>
          <w:szCs w:val="24"/>
        </w:rPr>
        <w:t xml:space="preserve">. </w:t>
      </w:r>
      <w:r w:rsidR="00800966" w:rsidRPr="00B327C2">
        <w:rPr>
          <w:rFonts w:cs="Times New Roman"/>
          <w:szCs w:val="24"/>
        </w:rPr>
        <w:t>For t</w:t>
      </w:r>
      <w:r w:rsidRPr="00B327C2">
        <w:rPr>
          <w:rFonts w:cs="Times New Roman"/>
          <w:szCs w:val="24"/>
        </w:rPr>
        <w:t xml:space="preserve">he kind of demonstrations </w:t>
      </w:r>
      <w:r w:rsidR="00800966" w:rsidRPr="00B327C2">
        <w:rPr>
          <w:rFonts w:cs="Times New Roman"/>
          <w:szCs w:val="24"/>
        </w:rPr>
        <w:t xml:space="preserve">envisaged by </w:t>
      </w:r>
      <w:r w:rsidRPr="00B327C2">
        <w:rPr>
          <w:rFonts w:cs="Times New Roman"/>
          <w:szCs w:val="24"/>
        </w:rPr>
        <w:t>Leibniz in the part of his plan devoted to the defence of the Christian mysteries</w:t>
      </w:r>
      <w:r w:rsidR="00800966" w:rsidRPr="00B327C2">
        <w:rPr>
          <w:rFonts w:cs="Times New Roman"/>
          <w:szCs w:val="24"/>
        </w:rPr>
        <w:t xml:space="preserve">, </w:t>
      </w:r>
      <w:r w:rsidRPr="00B327C2">
        <w:rPr>
          <w:rFonts w:cs="Times New Roman"/>
          <w:szCs w:val="24"/>
        </w:rPr>
        <w:t>a new branch of logic capable of “weighing” probabilities</w:t>
      </w:r>
      <w:r w:rsidR="00800966" w:rsidRPr="00B327C2">
        <w:rPr>
          <w:rFonts w:cs="Times New Roman"/>
          <w:szCs w:val="24"/>
        </w:rPr>
        <w:t xml:space="preserve"> was required</w:t>
      </w:r>
      <w:r w:rsidRPr="00B327C2">
        <w:rPr>
          <w:rFonts w:cs="Times New Roman"/>
          <w:szCs w:val="24"/>
        </w:rPr>
        <w:t>.</w:t>
      </w:r>
      <w:r w:rsidR="00A87149">
        <w:rPr>
          <w:rStyle w:val="FootnoteReference"/>
          <w:rFonts w:cs="Times New Roman"/>
          <w:szCs w:val="24"/>
        </w:rPr>
        <w:footnoteReference w:id="13"/>
      </w:r>
      <w:r w:rsidR="00800966" w:rsidRPr="00B327C2">
        <w:rPr>
          <w:rFonts w:cs="Times New Roman"/>
          <w:szCs w:val="24"/>
        </w:rPr>
        <w:t xml:space="preserve"> Moreover, </w:t>
      </w:r>
      <w:r w:rsidRPr="00B327C2">
        <w:rPr>
          <w:rFonts w:cs="Times New Roman"/>
          <w:szCs w:val="24"/>
        </w:rPr>
        <w:t>a formal,</w:t>
      </w:r>
      <w:r w:rsidR="00800966" w:rsidRPr="00B327C2">
        <w:rPr>
          <w:rFonts w:cs="Times New Roman"/>
          <w:szCs w:val="24"/>
        </w:rPr>
        <w:t xml:space="preserve"> </w:t>
      </w:r>
      <w:r w:rsidRPr="00B327C2">
        <w:rPr>
          <w:rFonts w:cs="Times New Roman"/>
          <w:szCs w:val="24"/>
        </w:rPr>
        <w:t xml:space="preserve">universal language or </w:t>
      </w:r>
      <w:proofErr w:type="spellStart"/>
      <w:r w:rsidRPr="00B327C2">
        <w:rPr>
          <w:rFonts w:cs="Times New Roman"/>
          <w:i/>
          <w:iCs/>
          <w:szCs w:val="24"/>
        </w:rPr>
        <w:t>characteristica</w:t>
      </w:r>
      <w:proofErr w:type="spellEnd"/>
      <w:r w:rsidRPr="00B327C2">
        <w:rPr>
          <w:rFonts w:cs="Times New Roman"/>
          <w:i/>
          <w:iCs/>
          <w:szCs w:val="24"/>
        </w:rPr>
        <w:t xml:space="preserve"> </w:t>
      </w:r>
      <w:proofErr w:type="spellStart"/>
      <w:r w:rsidRPr="00B327C2">
        <w:rPr>
          <w:rFonts w:cs="Times New Roman"/>
          <w:i/>
          <w:iCs/>
          <w:szCs w:val="24"/>
        </w:rPr>
        <w:t>universalis</w:t>
      </w:r>
      <w:proofErr w:type="spellEnd"/>
      <w:r w:rsidR="00800966" w:rsidRPr="00B327C2">
        <w:rPr>
          <w:rFonts w:cs="Times New Roman"/>
          <w:i/>
          <w:iCs/>
          <w:szCs w:val="24"/>
        </w:rPr>
        <w:t xml:space="preserve"> </w:t>
      </w:r>
      <w:r w:rsidR="00800966" w:rsidRPr="00B327C2">
        <w:rPr>
          <w:rFonts w:cs="Times New Roman"/>
          <w:iCs/>
          <w:szCs w:val="24"/>
        </w:rPr>
        <w:t xml:space="preserve">was urgently needed </w:t>
      </w:r>
      <w:r w:rsidRPr="00B327C2">
        <w:rPr>
          <w:rFonts w:cs="Times New Roman"/>
          <w:szCs w:val="24"/>
        </w:rPr>
        <w:t>for solving religious</w:t>
      </w:r>
      <w:r w:rsidR="00800966" w:rsidRPr="00B327C2">
        <w:rPr>
          <w:rFonts w:cs="Times New Roman"/>
          <w:szCs w:val="24"/>
        </w:rPr>
        <w:t xml:space="preserve"> </w:t>
      </w:r>
      <w:r w:rsidRPr="00B327C2">
        <w:rPr>
          <w:rFonts w:cs="Times New Roman"/>
          <w:szCs w:val="24"/>
        </w:rPr>
        <w:t>controversies and propagating the Christian religion through the</w:t>
      </w:r>
      <w:r w:rsidR="00800966" w:rsidRPr="00B327C2">
        <w:rPr>
          <w:rFonts w:cs="Times New Roman"/>
          <w:szCs w:val="24"/>
        </w:rPr>
        <w:t xml:space="preserve"> </w:t>
      </w:r>
      <w:r w:rsidRPr="00B327C2">
        <w:rPr>
          <w:rFonts w:cs="Times New Roman"/>
          <w:szCs w:val="24"/>
        </w:rPr>
        <w:t>work of missionaries.</w:t>
      </w:r>
      <w:r w:rsidR="00BF43D0">
        <w:rPr>
          <w:rStyle w:val="FootnoteReference"/>
          <w:rFonts w:cs="Times New Roman"/>
          <w:szCs w:val="24"/>
        </w:rPr>
        <w:footnoteReference w:id="14"/>
      </w:r>
      <w:r w:rsidRPr="00B327C2">
        <w:rPr>
          <w:rFonts w:cs="Times New Roman"/>
          <w:szCs w:val="24"/>
        </w:rPr>
        <w:t xml:space="preserve"> In turn, a development of metaphysics or </w:t>
      </w:r>
      <w:proofErr w:type="spellStart"/>
      <w:r w:rsidRPr="00B327C2">
        <w:rPr>
          <w:rFonts w:cs="Times New Roman"/>
          <w:i/>
          <w:iCs/>
          <w:szCs w:val="24"/>
        </w:rPr>
        <w:t>scientia</w:t>
      </w:r>
      <w:proofErr w:type="spellEnd"/>
      <w:r w:rsidR="00800966" w:rsidRPr="00B327C2">
        <w:rPr>
          <w:rFonts w:cs="Times New Roman"/>
          <w:i/>
          <w:iCs/>
          <w:szCs w:val="24"/>
        </w:rPr>
        <w:t xml:space="preserve"> </w:t>
      </w:r>
      <w:r w:rsidRPr="00B327C2">
        <w:rPr>
          <w:rFonts w:cs="Times New Roman"/>
          <w:i/>
          <w:iCs/>
          <w:szCs w:val="24"/>
        </w:rPr>
        <w:t xml:space="preserve">de </w:t>
      </w:r>
      <w:proofErr w:type="spellStart"/>
      <w:r w:rsidRPr="00B327C2">
        <w:rPr>
          <w:rFonts w:cs="Times New Roman"/>
          <w:i/>
          <w:iCs/>
          <w:szCs w:val="24"/>
        </w:rPr>
        <w:t>ente</w:t>
      </w:r>
      <w:proofErr w:type="spellEnd"/>
      <w:r w:rsidRPr="00B327C2">
        <w:rPr>
          <w:rFonts w:cs="Times New Roman"/>
          <w:i/>
          <w:iCs/>
          <w:szCs w:val="24"/>
        </w:rPr>
        <w:t xml:space="preserve"> </w:t>
      </w:r>
      <w:r w:rsidR="00800966" w:rsidRPr="00B327C2">
        <w:rPr>
          <w:rFonts w:cs="Times New Roman"/>
          <w:szCs w:val="24"/>
        </w:rPr>
        <w:t>was essential</w:t>
      </w:r>
      <w:r w:rsidRPr="00B327C2">
        <w:rPr>
          <w:rFonts w:cs="Times New Roman"/>
          <w:szCs w:val="24"/>
        </w:rPr>
        <w:t xml:space="preserve"> in order to reach true notions of “God, the soul, person,</w:t>
      </w:r>
      <w:r w:rsidR="00800966" w:rsidRPr="00B327C2">
        <w:rPr>
          <w:rFonts w:cs="Times New Roman"/>
          <w:szCs w:val="24"/>
        </w:rPr>
        <w:t xml:space="preserve"> </w:t>
      </w:r>
      <w:r w:rsidRPr="00B327C2">
        <w:rPr>
          <w:rFonts w:cs="Times New Roman"/>
          <w:szCs w:val="24"/>
        </w:rPr>
        <w:t>substance, and accident”,</w:t>
      </w:r>
      <w:r w:rsidR="00BF43D0">
        <w:rPr>
          <w:rStyle w:val="FootnoteReference"/>
          <w:rFonts w:cs="Times New Roman"/>
          <w:szCs w:val="24"/>
        </w:rPr>
        <w:footnoteReference w:id="15"/>
      </w:r>
      <w:r w:rsidR="00BF43D0">
        <w:rPr>
          <w:rFonts w:cs="Times New Roman"/>
          <w:szCs w:val="24"/>
        </w:rPr>
        <w:t xml:space="preserve"> </w:t>
      </w:r>
      <w:r w:rsidRPr="00B327C2">
        <w:rPr>
          <w:rFonts w:cs="Times New Roman"/>
          <w:szCs w:val="24"/>
        </w:rPr>
        <w:t>all of them fundamental for the planned</w:t>
      </w:r>
      <w:r w:rsidR="0027285D">
        <w:rPr>
          <w:rFonts w:cs="Times New Roman"/>
          <w:szCs w:val="24"/>
        </w:rPr>
        <w:t xml:space="preserve"> </w:t>
      </w:r>
      <w:r w:rsidRPr="00B327C2">
        <w:rPr>
          <w:rFonts w:cs="Times New Roman"/>
          <w:szCs w:val="24"/>
        </w:rPr>
        <w:t>demonstrations of the existence of God and the immortality of the soul,</w:t>
      </w:r>
      <w:r w:rsidR="00800966" w:rsidRPr="00B327C2">
        <w:rPr>
          <w:rFonts w:cs="Times New Roman"/>
          <w:szCs w:val="24"/>
        </w:rPr>
        <w:t xml:space="preserve"> </w:t>
      </w:r>
      <w:r w:rsidRPr="00B327C2">
        <w:rPr>
          <w:rFonts w:cs="Times New Roman"/>
          <w:szCs w:val="24"/>
        </w:rPr>
        <w:t>for the defence of mysteries such as the Trinity, the Incarnation, and the</w:t>
      </w:r>
      <w:r w:rsidR="00800966" w:rsidRPr="00B327C2">
        <w:rPr>
          <w:rFonts w:cs="Times New Roman"/>
          <w:szCs w:val="24"/>
        </w:rPr>
        <w:t xml:space="preserve"> </w:t>
      </w:r>
      <w:r w:rsidRPr="00B327C2">
        <w:rPr>
          <w:rFonts w:cs="Times New Roman"/>
          <w:szCs w:val="24"/>
        </w:rPr>
        <w:t>resurrection, and for the explanation of the Eucharist.</w:t>
      </w:r>
    </w:p>
    <w:p w:rsidR="00B327C2" w:rsidRPr="00B327C2" w:rsidRDefault="00B327C2" w:rsidP="007B7129">
      <w:pPr>
        <w:autoSpaceDE w:val="0"/>
        <w:autoSpaceDN w:val="0"/>
        <w:adjustRightInd w:val="0"/>
        <w:spacing w:line="360" w:lineRule="auto"/>
        <w:ind w:firstLine="720"/>
        <w:rPr>
          <w:rFonts w:cs="Times New Roman"/>
          <w:szCs w:val="24"/>
        </w:rPr>
      </w:pPr>
      <w:r w:rsidRPr="00B327C2">
        <w:rPr>
          <w:rFonts w:cs="Times New Roman"/>
          <w:szCs w:val="24"/>
        </w:rPr>
        <w:lastRenderedPageBreak/>
        <w:t xml:space="preserve">A new doctrine of mind or </w:t>
      </w:r>
      <w:proofErr w:type="spellStart"/>
      <w:r w:rsidRPr="00B327C2">
        <w:rPr>
          <w:rFonts w:cs="Times New Roman"/>
          <w:i/>
          <w:iCs/>
          <w:szCs w:val="24"/>
        </w:rPr>
        <w:t>elementa</w:t>
      </w:r>
      <w:proofErr w:type="spellEnd"/>
      <w:r w:rsidRPr="00B327C2">
        <w:rPr>
          <w:rFonts w:cs="Times New Roman"/>
          <w:i/>
          <w:iCs/>
          <w:szCs w:val="24"/>
        </w:rPr>
        <w:t xml:space="preserve"> de </w:t>
      </w:r>
      <w:proofErr w:type="spellStart"/>
      <w:r w:rsidRPr="00B327C2">
        <w:rPr>
          <w:rFonts w:cs="Times New Roman"/>
          <w:i/>
          <w:iCs/>
          <w:szCs w:val="24"/>
        </w:rPr>
        <w:t>mente</w:t>
      </w:r>
      <w:proofErr w:type="spellEnd"/>
      <w:r w:rsidRPr="00B327C2">
        <w:rPr>
          <w:rFonts w:cs="Times New Roman"/>
          <w:szCs w:val="24"/>
        </w:rPr>
        <w:t xml:space="preserve">, and a new doctrine of bodies (physics or the </w:t>
      </w:r>
      <w:proofErr w:type="spellStart"/>
      <w:r w:rsidRPr="00B327C2">
        <w:rPr>
          <w:rFonts w:cs="Times New Roman"/>
          <w:i/>
          <w:iCs/>
          <w:szCs w:val="24"/>
        </w:rPr>
        <w:t>elementa</w:t>
      </w:r>
      <w:proofErr w:type="spellEnd"/>
      <w:r w:rsidRPr="00B327C2">
        <w:rPr>
          <w:rFonts w:cs="Times New Roman"/>
          <w:i/>
          <w:iCs/>
          <w:szCs w:val="24"/>
        </w:rPr>
        <w:t xml:space="preserve"> de </w:t>
      </w:r>
      <w:proofErr w:type="spellStart"/>
      <w:r w:rsidRPr="001E31DA">
        <w:rPr>
          <w:rFonts w:cs="Times New Roman"/>
          <w:i/>
          <w:iCs/>
          <w:szCs w:val="24"/>
        </w:rPr>
        <w:t>corpore</w:t>
      </w:r>
      <w:proofErr w:type="spellEnd"/>
      <w:r w:rsidRPr="00B327C2">
        <w:rPr>
          <w:rFonts w:cs="Times New Roman"/>
          <w:iCs/>
          <w:szCs w:val="24"/>
        </w:rPr>
        <w:t>)</w:t>
      </w:r>
      <w:r w:rsidR="0027285D">
        <w:rPr>
          <w:rFonts w:cs="Times New Roman"/>
          <w:iCs/>
          <w:szCs w:val="24"/>
        </w:rPr>
        <w:t>, were</w:t>
      </w:r>
      <w:r w:rsidRPr="00B327C2">
        <w:rPr>
          <w:rFonts w:cs="Times New Roman"/>
          <w:iCs/>
          <w:szCs w:val="24"/>
        </w:rPr>
        <w:t xml:space="preserve"> also needed </w:t>
      </w:r>
      <w:r w:rsidRPr="00B327C2">
        <w:rPr>
          <w:rFonts w:cs="Times New Roman"/>
          <w:szCs w:val="24"/>
        </w:rPr>
        <w:t>especially for the demonstrations of the existence of God, of the immortality and incorporeity of the soul, and of the possibility of the resurrection of bodies.</w:t>
      </w:r>
      <w:r w:rsidR="00BF43D0">
        <w:rPr>
          <w:rStyle w:val="FootnoteReference"/>
          <w:rFonts w:cs="Times New Roman"/>
          <w:szCs w:val="24"/>
        </w:rPr>
        <w:footnoteReference w:id="16"/>
      </w:r>
      <w:r w:rsidRPr="00B327C2">
        <w:rPr>
          <w:rFonts w:cs="Times New Roman"/>
          <w:szCs w:val="24"/>
        </w:rPr>
        <w:t xml:space="preserve"> Finally, it was necessary to demonstrate “the true ethics and politics” in order to know what “justice, justification, freedom, pleasure, beatitude, </w:t>
      </w:r>
      <w:proofErr w:type="spellStart"/>
      <w:r w:rsidRPr="00B327C2">
        <w:rPr>
          <w:rFonts w:cs="Times New Roman"/>
          <w:szCs w:val="24"/>
        </w:rPr>
        <w:t>beatifical</w:t>
      </w:r>
      <w:proofErr w:type="spellEnd"/>
      <w:r w:rsidRPr="00B327C2">
        <w:rPr>
          <w:rFonts w:cs="Times New Roman"/>
          <w:szCs w:val="24"/>
        </w:rPr>
        <w:t xml:space="preserve"> vision” are</w:t>
      </w:r>
      <w:r w:rsidR="0027285D">
        <w:rPr>
          <w:rFonts w:cs="Times New Roman"/>
          <w:szCs w:val="24"/>
        </w:rPr>
        <w:t>,</w:t>
      </w:r>
      <w:r w:rsidRPr="00B327C2">
        <w:rPr>
          <w:rFonts w:cs="Times New Roman"/>
          <w:szCs w:val="24"/>
        </w:rPr>
        <w:t xml:space="preserve"> and how to reach the “happiness of the</w:t>
      </w:r>
      <w:r w:rsidR="0027285D">
        <w:rPr>
          <w:rFonts w:cs="Times New Roman"/>
          <w:szCs w:val="24"/>
        </w:rPr>
        <w:t xml:space="preserve"> </w:t>
      </w:r>
      <w:r w:rsidRPr="00B327C2">
        <w:rPr>
          <w:rFonts w:cs="Times New Roman"/>
          <w:szCs w:val="24"/>
        </w:rPr>
        <w:t>human kind also down here and in this life.”</w:t>
      </w:r>
      <w:r w:rsidR="00161F1B">
        <w:rPr>
          <w:rStyle w:val="FootnoteReference"/>
          <w:rFonts w:cs="Times New Roman"/>
          <w:szCs w:val="24"/>
        </w:rPr>
        <w:footnoteReference w:id="17"/>
      </w:r>
      <w:r w:rsidR="00161F1B">
        <w:rPr>
          <w:rFonts w:cs="Times New Roman"/>
          <w:szCs w:val="24"/>
        </w:rPr>
        <w:t xml:space="preserve"> </w:t>
      </w:r>
      <w:r w:rsidR="0027285D">
        <w:rPr>
          <w:rFonts w:cs="Times New Roman"/>
          <w:szCs w:val="24"/>
        </w:rPr>
        <w:t>It was with the aim of forging</w:t>
      </w:r>
      <w:r w:rsidRPr="00B327C2">
        <w:rPr>
          <w:rFonts w:cs="Times New Roman"/>
          <w:szCs w:val="24"/>
        </w:rPr>
        <w:t xml:space="preserve"> the rigorous way of thinking required by all these demonstrations, Leibniz concluded, </w:t>
      </w:r>
      <w:r w:rsidR="0027285D">
        <w:rPr>
          <w:rFonts w:cs="Times New Roman"/>
          <w:szCs w:val="24"/>
        </w:rPr>
        <w:t xml:space="preserve">that he had </w:t>
      </w:r>
      <w:r w:rsidRPr="00B327C2">
        <w:rPr>
          <w:rFonts w:cs="Times New Roman"/>
          <w:szCs w:val="24"/>
        </w:rPr>
        <w:t xml:space="preserve">spent so </w:t>
      </w:r>
      <w:r w:rsidR="0027285D">
        <w:rPr>
          <w:rFonts w:cs="Times New Roman"/>
          <w:szCs w:val="24"/>
        </w:rPr>
        <w:t xml:space="preserve">much time studying mathematics </w:t>
      </w:r>
      <w:r w:rsidRPr="00B327C2">
        <w:rPr>
          <w:rFonts w:cs="Times New Roman"/>
          <w:szCs w:val="24"/>
        </w:rPr>
        <w:t xml:space="preserve">in Paris. </w:t>
      </w:r>
      <w:r w:rsidR="0027285D">
        <w:rPr>
          <w:rFonts w:cs="Times New Roman"/>
          <w:szCs w:val="24"/>
        </w:rPr>
        <w:t>By his own lights, h</w:t>
      </w:r>
      <w:r w:rsidRPr="00B327C2">
        <w:rPr>
          <w:rFonts w:cs="Times New Roman"/>
          <w:szCs w:val="24"/>
        </w:rPr>
        <w:t xml:space="preserve">is interest in mathematics was not </w:t>
      </w:r>
      <w:r w:rsidR="0027285D">
        <w:rPr>
          <w:rFonts w:cs="Times New Roman"/>
          <w:szCs w:val="24"/>
        </w:rPr>
        <w:t xml:space="preserve">to be seen as </w:t>
      </w:r>
      <w:r w:rsidRPr="00B327C2">
        <w:rPr>
          <w:rFonts w:cs="Times New Roman"/>
          <w:szCs w:val="24"/>
        </w:rPr>
        <w:t>an end in itself</w:t>
      </w:r>
      <w:r w:rsidR="0027285D">
        <w:rPr>
          <w:rFonts w:cs="Times New Roman"/>
          <w:szCs w:val="24"/>
        </w:rPr>
        <w:t xml:space="preserve"> but as </w:t>
      </w:r>
      <w:r w:rsidRPr="00B327C2">
        <w:rPr>
          <w:rFonts w:cs="Times New Roman"/>
          <w:szCs w:val="24"/>
        </w:rPr>
        <w:t>aimed in the last instance at the realisation of his grand plan.</w:t>
      </w:r>
      <w:r w:rsidR="00161F1B">
        <w:rPr>
          <w:rStyle w:val="FootnoteReference"/>
          <w:rFonts w:cs="Times New Roman"/>
          <w:szCs w:val="24"/>
        </w:rPr>
        <w:footnoteReference w:id="18"/>
      </w:r>
    </w:p>
    <w:p w:rsidR="002770EF" w:rsidRPr="002770EF" w:rsidRDefault="00B327C2" w:rsidP="007B7129">
      <w:pPr>
        <w:autoSpaceDE w:val="0"/>
        <w:autoSpaceDN w:val="0"/>
        <w:adjustRightInd w:val="0"/>
        <w:spacing w:line="360" w:lineRule="auto"/>
        <w:ind w:firstLine="720"/>
        <w:rPr>
          <w:rFonts w:cs="Times New Roman"/>
          <w:szCs w:val="24"/>
        </w:rPr>
      </w:pPr>
      <w:r w:rsidRPr="00B327C2">
        <w:rPr>
          <w:rFonts w:cs="Times New Roman"/>
          <w:szCs w:val="24"/>
        </w:rPr>
        <w:t>In sum, o</w:t>
      </w:r>
      <w:r w:rsidR="00DF3475" w:rsidRPr="00B327C2">
        <w:rPr>
          <w:rFonts w:cs="Times New Roman"/>
          <w:szCs w:val="24"/>
        </w:rPr>
        <w:t>ne way to read Leibniz’s theoretical and practical endeavours in much of his life is as a tenacious attempt to realize his</w:t>
      </w:r>
      <w:r w:rsidR="0004454E" w:rsidRPr="0004454E">
        <w:rPr>
          <w:rFonts w:cs="Times New Roman"/>
          <w:szCs w:val="24"/>
        </w:rPr>
        <w:t xml:space="preserve"> </w:t>
      </w:r>
      <w:r w:rsidR="0004454E" w:rsidRPr="00B327C2">
        <w:rPr>
          <w:rFonts w:cs="Times New Roman"/>
          <w:szCs w:val="24"/>
        </w:rPr>
        <w:t>titanic</w:t>
      </w:r>
      <w:r w:rsidR="00DF3475" w:rsidRPr="00B327C2">
        <w:rPr>
          <w:rFonts w:cs="Times New Roman"/>
          <w:szCs w:val="24"/>
        </w:rPr>
        <w:t xml:space="preserve"> youthful </w:t>
      </w:r>
      <w:r w:rsidR="00610A06" w:rsidRPr="00B327C2">
        <w:rPr>
          <w:rFonts w:cs="Times New Roman"/>
          <w:szCs w:val="24"/>
        </w:rPr>
        <w:t>project</w:t>
      </w:r>
      <w:r w:rsidR="009F2C2D" w:rsidRPr="00B327C2">
        <w:rPr>
          <w:rFonts w:cs="Times New Roman"/>
          <w:szCs w:val="24"/>
        </w:rPr>
        <w:t>.</w:t>
      </w:r>
      <w:r w:rsidR="009F2C2D" w:rsidRPr="00B327C2">
        <w:rPr>
          <w:rStyle w:val="FootnoteReference"/>
          <w:rFonts w:cs="Times New Roman"/>
          <w:szCs w:val="24"/>
        </w:rPr>
        <w:footnoteReference w:id="19"/>
      </w:r>
      <w:r w:rsidRPr="00B327C2">
        <w:rPr>
          <w:rFonts w:cs="Times New Roman"/>
          <w:szCs w:val="24"/>
        </w:rPr>
        <w:t xml:space="preserve"> </w:t>
      </w:r>
      <w:r w:rsidR="00DF3475" w:rsidRPr="00B327C2">
        <w:rPr>
          <w:rFonts w:cs="Times New Roman"/>
          <w:szCs w:val="24"/>
        </w:rPr>
        <w:t>Later formulations soften</w:t>
      </w:r>
      <w:r w:rsidR="008915E8" w:rsidRPr="00B327C2">
        <w:rPr>
          <w:rFonts w:cs="Times New Roman"/>
          <w:szCs w:val="24"/>
        </w:rPr>
        <w:t>ed</w:t>
      </w:r>
      <w:r w:rsidR="00DF3475" w:rsidRPr="00B327C2">
        <w:rPr>
          <w:rFonts w:cs="Times New Roman"/>
          <w:szCs w:val="24"/>
        </w:rPr>
        <w:t xml:space="preserve"> the early </w:t>
      </w:r>
      <w:r w:rsidR="008915E8" w:rsidRPr="00B327C2">
        <w:rPr>
          <w:rFonts w:cs="Times New Roman"/>
          <w:szCs w:val="24"/>
        </w:rPr>
        <w:t xml:space="preserve">explicit </w:t>
      </w:r>
      <w:r w:rsidR="00DF3475" w:rsidRPr="00B327C2">
        <w:rPr>
          <w:rFonts w:cs="Times New Roman"/>
          <w:szCs w:val="24"/>
        </w:rPr>
        <w:t xml:space="preserve">emphasis on </w:t>
      </w:r>
      <w:r w:rsidR="006549D6" w:rsidRPr="00B327C2">
        <w:rPr>
          <w:rFonts w:cs="Times New Roman"/>
          <w:szCs w:val="24"/>
        </w:rPr>
        <w:t xml:space="preserve">Christian theology </w:t>
      </w:r>
      <w:r w:rsidR="0004454E">
        <w:rPr>
          <w:rFonts w:cs="Times New Roman"/>
          <w:szCs w:val="24"/>
        </w:rPr>
        <w:t>while maintaining</w:t>
      </w:r>
      <w:r w:rsidR="008915E8" w:rsidRPr="00B327C2">
        <w:rPr>
          <w:rFonts w:cs="Times New Roman"/>
          <w:szCs w:val="24"/>
        </w:rPr>
        <w:t xml:space="preserve"> the fundamentally theological orientation of the plan</w:t>
      </w:r>
      <w:r w:rsidR="00CE169F" w:rsidRPr="00B327C2">
        <w:rPr>
          <w:rFonts w:cs="Times New Roman"/>
          <w:szCs w:val="24"/>
        </w:rPr>
        <w:t xml:space="preserve">. </w:t>
      </w:r>
      <w:r w:rsidR="002770EF" w:rsidRPr="00B327C2">
        <w:rPr>
          <w:rFonts w:cs="Times New Roman"/>
          <w:szCs w:val="24"/>
        </w:rPr>
        <w:t xml:space="preserve">In 1688, </w:t>
      </w:r>
      <w:r w:rsidR="0004454E">
        <w:rPr>
          <w:rFonts w:cs="Times New Roman"/>
          <w:szCs w:val="24"/>
        </w:rPr>
        <w:t xml:space="preserve">for example, </w:t>
      </w:r>
      <w:r w:rsidR="002770EF" w:rsidRPr="00B327C2">
        <w:rPr>
          <w:rFonts w:cs="Times New Roman"/>
          <w:szCs w:val="24"/>
        </w:rPr>
        <w:t>in the extensive notes prepared for an audience with the Holy Roman Emperor Leopold I, Leibniz introduced his wide-ranging proposals for political, administrati</w:t>
      </w:r>
      <w:r w:rsidR="0004454E">
        <w:rPr>
          <w:rFonts w:cs="Times New Roman"/>
          <w:szCs w:val="24"/>
        </w:rPr>
        <w:t>ve, economic, and social reform</w:t>
      </w:r>
      <w:r w:rsidR="002770EF" w:rsidRPr="00B327C2">
        <w:rPr>
          <w:rFonts w:cs="Times New Roman"/>
          <w:szCs w:val="24"/>
        </w:rPr>
        <w:t xml:space="preserve"> with the claim that the developme</w:t>
      </w:r>
      <w:r w:rsidR="00467625">
        <w:rPr>
          <w:rFonts w:cs="Times New Roman"/>
          <w:szCs w:val="24"/>
        </w:rPr>
        <w:t>nt and applicatio</w:t>
      </w:r>
      <w:r w:rsidR="004D3894">
        <w:rPr>
          <w:rFonts w:cs="Times New Roman"/>
          <w:szCs w:val="24"/>
        </w:rPr>
        <w:t>n of science was</w:t>
      </w:r>
      <w:r w:rsidR="002770EF" w:rsidRPr="00B327C2">
        <w:rPr>
          <w:rFonts w:cs="Times New Roman"/>
          <w:szCs w:val="24"/>
        </w:rPr>
        <w:t xml:space="preserve"> the activity which above</w:t>
      </w:r>
      <w:r w:rsidR="002770EF">
        <w:t xml:space="preserve"> all other wo</w:t>
      </w:r>
      <w:r w:rsidR="00467625">
        <w:t>rldly activities “promotes the g</w:t>
      </w:r>
      <w:r w:rsidR="002770EF">
        <w:t xml:space="preserve">lory of God, unveils his power and wisdom, and ignites human beings with </w:t>
      </w:r>
      <w:r w:rsidR="00A413D3">
        <w:t>the love of God” while fostering</w:t>
      </w:r>
      <w:r w:rsidR="002770EF">
        <w:t xml:space="preserve"> their welfare and temporal happiness. </w:t>
      </w:r>
      <w:r w:rsidR="002770EF">
        <w:lastRenderedPageBreak/>
        <w:t xml:space="preserve">From the lack of temporal happiness, Leibniz went on to say, originates </w:t>
      </w:r>
      <w:r w:rsidR="002D6A15">
        <w:t xml:space="preserve">in fact </w:t>
      </w:r>
      <w:r w:rsidR="002770EF">
        <w:t>disorder and lack of virtue which in turn produce not only temporal but eternal unhappiness.</w:t>
      </w:r>
      <w:r w:rsidR="002770EF">
        <w:rPr>
          <w:rStyle w:val="FootnoteReference"/>
        </w:rPr>
        <w:footnoteReference w:id="20"/>
      </w:r>
    </w:p>
    <w:p w:rsidR="0004454E" w:rsidRDefault="00CE169F" w:rsidP="007B7129">
      <w:pPr>
        <w:autoSpaceDE w:val="0"/>
        <w:autoSpaceDN w:val="0"/>
        <w:adjustRightInd w:val="0"/>
        <w:spacing w:line="360" w:lineRule="auto"/>
        <w:ind w:firstLine="720"/>
        <w:rPr>
          <w:rFonts w:cs="Times New Roman"/>
          <w:szCs w:val="24"/>
        </w:rPr>
      </w:pPr>
      <w:r w:rsidRPr="00395EBF">
        <w:rPr>
          <w:rFonts w:cs="Times New Roman"/>
          <w:szCs w:val="24"/>
        </w:rPr>
        <w:t xml:space="preserve">In the mid-1690s, </w:t>
      </w:r>
      <w:r w:rsidR="0004454E">
        <w:rPr>
          <w:rFonts w:cs="Times New Roman"/>
          <w:szCs w:val="24"/>
        </w:rPr>
        <w:t xml:space="preserve">again, </w:t>
      </w:r>
      <w:r w:rsidRPr="00395EBF">
        <w:rPr>
          <w:rFonts w:cs="Times New Roman"/>
          <w:szCs w:val="24"/>
        </w:rPr>
        <w:t xml:space="preserve">in a </w:t>
      </w:r>
      <w:proofErr w:type="spellStart"/>
      <w:r w:rsidRPr="00395EBF">
        <w:rPr>
          <w:rFonts w:cs="Times New Roman"/>
          <w:i/>
          <w:iCs/>
          <w:szCs w:val="24"/>
        </w:rPr>
        <w:t>Mémoire</w:t>
      </w:r>
      <w:proofErr w:type="spellEnd"/>
      <w:r w:rsidRPr="00395EBF">
        <w:rPr>
          <w:rFonts w:cs="Times New Roman"/>
          <w:i/>
          <w:iCs/>
          <w:szCs w:val="24"/>
        </w:rPr>
        <w:t xml:space="preserve"> pour des </w:t>
      </w:r>
      <w:proofErr w:type="spellStart"/>
      <w:r w:rsidRPr="00395EBF">
        <w:rPr>
          <w:rFonts w:cs="Times New Roman"/>
          <w:i/>
          <w:iCs/>
          <w:szCs w:val="24"/>
        </w:rPr>
        <w:t>Personnes</w:t>
      </w:r>
      <w:proofErr w:type="spellEnd"/>
      <w:r w:rsidRPr="00395EBF">
        <w:rPr>
          <w:rFonts w:cs="Times New Roman"/>
          <w:i/>
          <w:iCs/>
          <w:szCs w:val="24"/>
        </w:rPr>
        <w:t xml:space="preserve"> </w:t>
      </w:r>
      <w:proofErr w:type="spellStart"/>
      <w:r w:rsidRPr="00395EBF">
        <w:rPr>
          <w:rFonts w:cs="Times New Roman"/>
          <w:i/>
          <w:iCs/>
          <w:szCs w:val="24"/>
        </w:rPr>
        <w:t>éclairées</w:t>
      </w:r>
      <w:proofErr w:type="spellEnd"/>
      <w:r w:rsidR="008915E8" w:rsidRPr="00395EBF">
        <w:rPr>
          <w:rFonts w:cs="Times New Roman"/>
          <w:i/>
          <w:iCs/>
          <w:szCs w:val="24"/>
        </w:rPr>
        <w:t xml:space="preserve"> </w:t>
      </w:r>
      <w:proofErr w:type="gramStart"/>
      <w:r w:rsidRPr="00395EBF">
        <w:rPr>
          <w:rFonts w:cs="Times New Roman"/>
          <w:i/>
          <w:iCs/>
          <w:szCs w:val="24"/>
        </w:rPr>
        <w:t>et</w:t>
      </w:r>
      <w:proofErr w:type="gramEnd"/>
      <w:r w:rsidRPr="00395EBF">
        <w:rPr>
          <w:rFonts w:cs="Times New Roman"/>
          <w:i/>
          <w:iCs/>
          <w:szCs w:val="24"/>
        </w:rPr>
        <w:t xml:space="preserve"> de bonne intention </w:t>
      </w:r>
      <w:r w:rsidRPr="00395EBF">
        <w:rPr>
          <w:rFonts w:cs="Times New Roman"/>
          <w:szCs w:val="24"/>
        </w:rPr>
        <w:t>(</w:t>
      </w:r>
      <w:r w:rsidRPr="00395EBF">
        <w:rPr>
          <w:rFonts w:cs="Times New Roman"/>
          <w:i/>
          <w:iCs/>
          <w:szCs w:val="24"/>
        </w:rPr>
        <w:t>Memoir for Enlightened Persons of Good Intention</w:t>
      </w:r>
      <w:r w:rsidR="00422F4E">
        <w:rPr>
          <w:rFonts w:cs="Times New Roman"/>
          <w:szCs w:val="24"/>
        </w:rPr>
        <w:t>) Leibniz offered</w:t>
      </w:r>
      <w:r w:rsidRPr="00395EBF">
        <w:rPr>
          <w:rFonts w:cs="Times New Roman"/>
          <w:szCs w:val="24"/>
        </w:rPr>
        <w:t xml:space="preserve"> one of the most rounded summaries of the vision guiding his intellectual life. The ultimate aim </w:t>
      </w:r>
      <w:r w:rsidR="008915E8" w:rsidRPr="00395EBF">
        <w:rPr>
          <w:rFonts w:cs="Times New Roman"/>
          <w:szCs w:val="24"/>
        </w:rPr>
        <w:t xml:space="preserve">of all the various sciences and disciplines </w:t>
      </w:r>
      <w:r w:rsidR="00E914B7">
        <w:rPr>
          <w:rFonts w:cs="Times New Roman"/>
          <w:szCs w:val="24"/>
        </w:rPr>
        <w:t xml:space="preserve">listed in the </w:t>
      </w:r>
      <w:proofErr w:type="spellStart"/>
      <w:r w:rsidR="001E31DA" w:rsidRPr="00395EBF">
        <w:rPr>
          <w:rFonts w:cs="Times New Roman"/>
          <w:i/>
          <w:iCs/>
          <w:szCs w:val="24"/>
        </w:rPr>
        <w:t>Mémoire</w:t>
      </w:r>
      <w:proofErr w:type="spellEnd"/>
      <w:r w:rsidR="00E914B7">
        <w:rPr>
          <w:rFonts w:cs="Times New Roman"/>
          <w:szCs w:val="24"/>
        </w:rPr>
        <w:t xml:space="preserve"> </w:t>
      </w:r>
      <w:r w:rsidR="008915E8" w:rsidRPr="00395EBF">
        <w:rPr>
          <w:rFonts w:cs="Times New Roman"/>
          <w:szCs w:val="24"/>
        </w:rPr>
        <w:t>was</w:t>
      </w:r>
      <w:r w:rsidRPr="00395EBF">
        <w:rPr>
          <w:rFonts w:cs="Times New Roman"/>
          <w:szCs w:val="24"/>
        </w:rPr>
        <w:t xml:space="preserve"> identified in the contribution “to the glory of God, or (what is the same thing) to the common good”. </w:t>
      </w:r>
      <w:r w:rsidR="00035B67">
        <w:rPr>
          <w:rFonts w:cs="Times New Roman"/>
          <w:szCs w:val="24"/>
        </w:rPr>
        <w:t>According to Leibniz,</w:t>
      </w:r>
      <w:r w:rsidR="00063E7A" w:rsidRPr="00395EBF">
        <w:rPr>
          <w:rFonts w:cs="Times New Roman"/>
          <w:szCs w:val="24"/>
        </w:rPr>
        <w:t xml:space="preserve"> “the great principle of metaphysics as well as of morality” </w:t>
      </w:r>
      <w:r w:rsidR="00035B67">
        <w:rPr>
          <w:rFonts w:cs="Times New Roman"/>
          <w:szCs w:val="24"/>
        </w:rPr>
        <w:t xml:space="preserve">was </w:t>
      </w:r>
      <w:r w:rsidR="00063E7A" w:rsidRPr="00395EBF">
        <w:rPr>
          <w:rFonts w:cs="Times New Roman"/>
          <w:szCs w:val="24"/>
        </w:rPr>
        <w:t xml:space="preserve">that the world is </w:t>
      </w:r>
      <w:r w:rsidR="000C29CF" w:rsidRPr="00395EBF">
        <w:rPr>
          <w:rFonts w:cs="Times New Roman"/>
          <w:szCs w:val="24"/>
        </w:rPr>
        <w:t xml:space="preserve">a universal monarchy of spirits governed </w:t>
      </w:r>
      <w:r w:rsidR="00BE6E4A" w:rsidRPr="00395EBF">
        <w:rPr>
          <w:rFonts w:cs="Times New Roman"/>
          <w:szCs w:val="24"/>
        </w:rPr>
        <w:t xml:space="preserve">by God. </w:t>
      </w:r>
      <w:r w:rsidR="007E4780" w:rsidRPr="00395EBF">
        <w:rPr>
          <w:rFonts w:cs="Times New Roman"/>
          <w:szCs w:val="24"/>
        </w:rPr>
        <w:t>“</w:t>
      </w:r>
      <w:r w:rsidR="00BE6E4A" w:rsidRPr="00395EBF">
        <w:rPr>
          <w:rFonts w:cs="Times New Roman"/>
          <w:szCs w:val="24"/>
        </w:rPr>
        <w:t>This being established,</w:t>
      </w:r>
      <w:r w:rsidR="007E4780" w:rsidRPr="00395EBF">
        <w:rPr>
          <w:rFonts w:cs="Times New Roman"/>
          <w:szCs w:val="24"/>
        </w:rPr>
        <w:t>”</w:t>
      </w:r>
      <w:r w:rsidR="0020273D">
        <w:rPr>
          <w:rFonts w:cs="Times New Roman"/>
          <w:szCs w:val="24"/>
        </w:rPr>
        <w:t xml:space="preserve"> Leibniz continued,</w:t>
      </w:r>
    </w:p>
    <w:p w:rsidR="0004454E" w:rsidRDefault="0004454E" w:rsidP="007B7129">
      <w:pPr>
        <w:autoSpaceDE w:val="0"/>
        <w:autoSpaceDN w:val="0"/>
        <w:adjustRightInd w:val="0"/>
        <w:spacing w:line="360" w:lineRule="auto"/>
        <w:ind w:firstLine="720"/>
        <w:rPr>
          <w:rFonts w:cs="Times New Roman"/>
          <w:szCs w:val="24"/>
        </w:rPr>
      </w:pPr>
    </w:p>
    <w:p w:rsidR="0004454E" w:rsidRDefault="00BE6E4A" w:rsidP="0004454E">
      <w:pPr>
        <w:autoSpaceDE w:val="0"/>
        <w:autoSpaceDN w:val="0"/>
        <w:adjustRightInd w:val="0"/>
        <w:spacing w:line="360" w:lineRule="auto"/>
        <w:ind w:left="567"/>
        <w:rPr>
          <w:rFonts w:cs="Times New Roman"/>
          <w:szCs w:val="24"/>
        </w:rPr>
      </w:pPr>
      <w:r w:rsidRPr="00395EBF">
        <w:rPr>
          <w:rFonts w:cs="Times New Roman"/>
          <w:szCs w:val="24"/>
        </w:rPr>
        <w:t>every enlightened person must judge that the t</w:t>
      </w:r>
      <w:r w:rsidR="00063E7A" w:rsidRPr="00395EBF">
        <w:rPr>
          <w:rFonts w:cs="Times New Roman"/>
          <w:szCs w:val="24"/>
        </w:rPr>
        <w:t>r</w:t>
      </w:r>
      <w:r w:rsidRPr="00395EBF">
        <w:rPr>
          <w:rFonts w:cs="Times New Roman"/>
          <w:szCs w:val="24"/>
        </w:rPr>
        <w:t>ue means of guaranteeing fo</w:t>
      </w:r>
      <w:r w:rsidR="00063E7A" w:rsidRPr="00395EBF">
        <w:rPr>
          <w:rFonts w:cs="Times New Roman"/>
          <w:szCs w:val="24"/>
        </w:rPr>
        <w:t>r</w:t>
      </w:r>
      <w:r w:rsidRPr="00395EBF">
        <w:rPr>
          <w:rFonts w:cs="Times New Roman"/>
          <w:szCs w:val="24"/>
        </w:rPr>
        <w:t xml:space="preserve">ever his own individual happiness is to seek his satisfaction in occupations which </w:t>
      </w:r>
      <w:r w:rsidR="00063E7A" w:rsidRPr="00395EBF">
        <w:rPr>
          <w:rFonts w:cs="Times New Roman"/>
          <w:szCs w:val="24"/>
        </w:rPr>
        <w:t>tend</w:t>
      </w:r>
      <w:r w:rsidRPr="00395EBF">
        <w:rPr>
          <w:rFonts w:cs="Times New Roman"/>
          <w:szCs w:val="24"/>
        </w:rPr>
        <w:t xml:space="preserve"> t</w:t>
      </w:r>
      <w:r w:rsidR="00063E7A" w:rsidRPr="00395EBF">
        <w:rPr>
          <w:rFonts w:cs="Times New Roman"/>
          <w:szCs w:val="24"/>
        </w:rPr>
        <w:t>ow</w:t>
      </w:r>
      <w:r w:rsidRPr="00395EBF">
        <w:rPr>
          <w:rFonts w:cs="Times New Roman"/>
          <w:szCs w:val="24"/>
        </w:rPr>
        <w:t>a</w:t>
      </w:r>
      <w:r w:rsidR="00063E7A" w:rsidRPr="00395EBF">
        <w:rPr>
          <w:rFonts w:cs="Times New Roman"/>
          <w:szCs w:val="24"/>
        </w:rPr>
        <w:t>r</w:t>
      </w:r>
      <w:r w:rsidRPr="00395EBF">
        <w:rPr>
          <w:rFonts w:cs="Times New Roman"/>
          <w:szCs w:val="24"/>
        </w:rPr>
        <w:t>d the general good</w:t>
      </w:r>
      <w:r w:rsidR="00063E7A" w:rsidRPr="00395EBF">
        <w:rPr>
          <w:rFonts w:cs="Times New Roman"/>
          <w:szCs w:val="24"/>
        </w:rPr>
        <w:t>; for the love of God, above all, and the necessary enlightenment</w:t>
      </w:r>
      <w:r w:rsidR="00261E5E" w:rsidRPr="00395EBF">
        <w:rPr>
          <w:rFonts w:cs="Times New Roman"/>
          <w:szCs w:val="24"/>
        </w:rPr>
        <w:t>, will not be denied to a mind which is animated in this way, God never refusing his grace to those who seek it</w:t>
      </w:r>
      <w:r w:rsidRPr="00395EBF">
        <w:rPr>
          <w:rFonts w:cs="Times New Roman"/>
          <w:szCs w:val="24"/>
        </w:rPr>
        <w:t xml:space="preserve"> </w:t>
      </w:r>
      <w:r w:rsidR="00261E5E" w:rsidRPr="00395EBF">
        <w:rPr>
          <w:rFonts w:cs="Times New Roman"/>
          <w:szCs w:val="24"/>
        </w:rPr>
        <w:t>with a good heart. Now</w:t>
      </w:r>
      <w:r w:rsidR="00F11B9F">
        <w:rPr>
          <w:rFonts w:cs="Times New Roman"/>
          <w:szCs w:val="24"/>
        </w:rPr>
        <w:t>,</w:t>
      </w:r>
      <w:r w:rsidR="00261E5E" w:rsidRPr="00395EBF">
        <w:rPr>
          <w:rFonts w:cs="Times New Roman"/>
          <w:szCs w:val="24"/>
        </w:rPr>
        <w:t xml:space="preserve"> this general good, in so far as we can contribute to it, is the </w:t>
      </w:r>
      <w:r w:rsidR="007E4780" w:rsidRPr="00395EBF">
        <w:rPr>
          <w:rFonts w:cs="Times New Roman"/>
          <w:szCs w:val="24"/>
        </w:rPr>
        <w:t>advancement</w:t>
      </w:r>
      <w:r w:rsidR="00261E5E" w:rsidRPr="00395EBF">
        <w:rPr>
          <w:rFonts w:cs="Times New Roman"/>
          <w:szCs w:val="24"/>
        </w:rPr>
        <w:t xml:space="preserve"> toward perfection of men, as much as by enlightening them so that they can know the marvels of the sovereign substance, as by helping them to remove the obstacles which stop the progress of our </w:t>
      </w:r>
      <w:r w:rsidR="007E4780" w:rsidRPr="00395EBF">
        <w:rPr>
          <w:rFonts w:cs="Times New Roman"/>
          <w:szCs w:val="24"/>
        </w:rPr>
        <w:t>enlightenment</w:t>
      </w:r>
      <w:r w:rsidR="0004454E">
        <w:rPr>
          <w:rFonts w:cs="Times New Roman"/>
          <w:szCs w:val="24"/>
        </w:rPr>
        <w:t>.</w:t>
      </w:r>
      <w:r w:rsidR="00B93DA3">
        <w:rPr>
          <w:rStyle w:val="FootnoteReference"/>
          <w:rFonts w:cs="Times New Roman"/>
          <w:szCs w:val="24"/>
        </w:rPr>
        <w:footnoteReference w:id="21"/>
      </w:r>
    </w:p>
    <w:p w:rsidR="0004454E" w:rsidRDefault="0004454E" w:rsidP="007B7129">
      <w:pPr>
        <w:autoSpaceDE w:val="0"/>
        <w:autoSpaceDN w:val="0"/>
        <w:adjustRightInd w:val="0"/>
        <w:spacing w:line="360" w:lineRule="auto"/>
        <w:ind w:firstLine="720"/>
        <w:rPr>
          <w:rFonts w:cs="Times New Roman"/>
          <w:szCs w:val="24"/>
        </w:rPr>
      </w:pPr>
    </w:p>
    <w:p w:rsidR="00CE169F" w:rsidRPr="00395EBF" w:rsidRDefault="0004454E" w:rsidP="0004454E">
      <w:pPr>
        <w:autoSpaceDE w:val="0"/>
        <w:autoSpaceDN w:val="0"/>
        <w:adjustRightInd w:val="0"/>
        <w:spacing w:line="360" w:lineRule="auto"/>
        <w:rPr>
          <w:rFonts w:cs="Times New Roman"/>
          <w:szCs w:val="24"/>
        </w:rPr>
      </w:pPr>
      <w:r>
        <w:rPr>
          <w:rFonts w:cs="Times New Roman"/>
          <w:szCs w:val="24"/>
        </w:rPr>
        <w:t>There</w:t>
      </w:r>
      <w:r w:rsidR="00520685" w:rsidRPr="00395EBF">
        <w:rPr>
          <w:rFonts w:cs="Times New Roman"/>
          <w:szCs w:val="24"/>
        </w:rPr>
        <w:t xml:space="preserve"> followed a</w:t>
      </w:r>
      <w:r w:rsidR="004F6DC9" w:rsidRPr="00395EBF">
        <w:rPr>
          <w:rFonts w:cs="Times New Roman"/>
          <w:szCs w:val="24"/>
        </w:rPr>
        <w:t xml:space="preserve"> sweeping overvie</w:t>
      </w:r>
      <w:r w:rsidR="00520685" w:rsidRPr="00395EBF">
        <w:rPr>
          <w:rFonts w:cs="Times New Roman"/>
          <w:szCs w:val="24"/>
        </w:rPr>
        <w:t xml:space="preserve">w of all </w:t>
      </w:r>
      <w:r w:rsidR="00C11D97" w:rsidRPr="00395EBF">
        <w:rPr>
          <w:rFonts w:cs="Times New Roman"/>
          <w:szCs w:val="24"/>
        </w:rPr>
        <w:t xml:space="preserve">the </w:t>
      </w:r>
      <w:r w:rsidR="00520685" w:rsidRPr="00395EBF">
        <w:rPr>
          <w:rFonts w:cs="Times New Roman"/>
          <w:szCs w:val="24"/>
        </w:rPr>
        <w:t xml:space="preserve">sciences to be developed </w:t>
      </w:r>
      <w:r w:rsidR="00610A06" w:rsidRPr="00395EBF">
        <w:rPr>
          <w:rFonts w:cs="Times New Roman"/>
          <w:szCs w:val="24"/>
        </w:rPr>
        <w:t>in order to advance</w:t>
      </w:r>
      <w:r w:rsidR="00520685" w:rsidRPr="00395EBF">
        <w:rPr>
          <w:rFonts w:cs="Times New Roman"/>
          <w:szCs w:val="24"/>
        </w:rPr>
        <w:t xml:space="preserve"> human happiness and perfection – from logic to</w:t>
      </w:r>
      <w:r w:rsidR="00610A06" w:rsidRPr="00395EBF">
        <w:rPr>
          <w:rFonts w:cs="Times New Roman"/>
          <w:szCs w:val="24"/>
        </w:rPr>
        <w:t xml:space="preserve"> </w:t>
      </w:r>
      <w:r w:rsidR="00683559" w:rsidRPr="00395EBF">
        <w:rPr>
          <w:rFonts w:cs="Times New Roman"/>
          <w:szCs w:val="24"/>
        </w:rPr>
        <w:t xml:space="preserve">medicine and </w:t>
      </w:r>
      <w:r w:rsidR="00610A06" w:rsidRPr="00395EBF">
        <w:rPr>
          <w:rFonts w:cs="Times New Roman"/>
          <w:szCs w:val="24"/>
        </w:rPr>
        <w:t>the</w:t>
      </w:r>
      <w:r w:rsidR="00683559" w:rsidRPr="00395EBF">
        <w:rPr>
          <w:rFonts w:cs="Times New Roman"/>
          <w:szCs w:val="24"/>
        </w:rPr>
        <w:t xml:space="preserve"> natural sciences</w:t>
      </w:r>
      <w:r w:rsidR="00C11D97" w:rsidRPr="00395EBF">
        <w:rPr>
          <w:rFonts w:cs="Times New Roman"/>
          <w:szCs w:val="24"/>
        </w:rPr>
        <w:t>, to the study of human history including "the universal history of time, the geography of places, the recovery of antiquities ... the knowledge of languages and what is called philology”</w:t>
      </w:r>
      <w:r w:rsidR="0086562A" w:rsidRPr="00395EBF">
        <w:rPr>
          <w:rFonts w:cs="Times New Roman"/>
          <w:szCs w:val="24"/>
        </w:rPr>
        <w:t>,</w:t>
      </w:r>
      <w:r w:rsidR="00035B67">
        <w:rPr>
          <w:rFonts w:cs="Times New Roman"/>
          <w:szCs w:val="24"/>
        </w:rPr>
        <w:t xml:space="preserve"> and so on.</w:t>
      </w:r>
    </w:p>
    <w:p w:rsidR="0020273D" w:rsidRDefault="000D71B1" w:rsidP="007B7129">
      <w:pPr>
        <w:autoSpaceDE w:val="0"/>
        <w:autoSpaceDN w:val="0"/>
        <w:adjustRightInd w:val="0"/>
        <w:spacing w:line="360" w:lineRule="auto"/>
        <w:rPr>
          <w:rFonts w:cs="Times New Roman"/>
          <w:szCs w:val="24"/>
        </w:rPr>
      </w:pPr>
      <w:r w:rsidRPr="00395EBF">
        <w:rPr>
          <w:rFonts w:cs="Times New Roman"/>
          <w:szCs w:val="24"/>
        </w:rPr>
        <w:tab/>
      </w:r>
      <w:r w:rsidR="002C5997">
        <w:rPr>
          <w:rFonts w:cs="Times New Roman"/>
          <w:szCs w:val="24"/>
        </w:rPr>
        <w:t xml:space="preserve">Approaching the end of his life, Leibniz continued to maintain that </w:t>
      </w:r>
      <w:r w:rsidR="002C5997" w:rsidRPr="00395EBF">
        <w:rPr>
          <w:rFonts w:cs="Times New Roman"/>
          <w:szCs w:val="24"/>
        </w:rPr>
        <w:t>his programme as a whole was intended</w:t>
      </w:r>
      <w:r w:rsidR="0020273D">
        <w:rPr>
          <w:rFonts w:cs="Times New Roman"/>
          <w:szCs w:val="24"/>
        </w:rPr>
        <w:t xml:space="preserve"> </w:t>
      </w:r>
      <w:r w:rsidR="002C5997" w:rsidRPr="00395EBF">
        <w:rPr>
          <w:rFonts w:cs="Times New Roman"/>
          <w:szCs w:val="24"/>
        </w:rPr>
        <w:t>to celebrate God’s glory through the improvement of the human condition, for which the advancement of the sciences was the key instrument</w:t>
      </w:r>
      <w:r w:rsidR="002C5997">
        <w:rPr>
          <w:rFonts w:cs="Times New Roman"/>
          <w:szCs w:val="24"/>
        </w:rPr>
        <w:t>.</w:t>
      </w:r>
      <w:r w:rsidR="002C5997" w:rsidRPr="00395EBF">
        <w:rPr>
          <w:rFonts w:cs="Times New Roman"/>
          <w:szCs w:val="24"/>
        </w:rPr>
        <w:t xml:space="preserve"> </w:t>
      </w:r>
      <w:r w:rsidRPr="00395EBF">
        <w:rPr>
          <w:rFonts w:cs="Times New Roman"/>
          <w:szCs w:val="24"/>
        </w:rPr>
        <w:t xml:space="preserve">In a letter addressed to Peter the Great on </w:t>
      </w:r>
      <w:r w:rsidR="002C5997">
        <w:rPr>
          <w:rFonts w:cs="Times New Roman"/>
          <w:szCs w:val="24"/>
        </w:rPr>
        <w:t>16 January 1712</w:t>
      </w:r>
      <w:r w:rsidR="00F11B9F">
        <w:rPr>
          <w:rFonts w:cs="Times New Roman"/>
          <w:szCs w:val="24"/>
        </w:rPr>
        <w:t>,</w:t>
      </w:r>
      <w:r w:rsidR="002C5997">
        <w:rPr>
          <w:rFonts w:cs="Times New Roman"/>
          <w:szCs w:val="24"/>
        </w:rPr>
        <w:t xml:space="preserve"> he explained</w:t>
      </w:r>
      <w:r w:rsidR="00B676FE">
        <w:rPr>
          <w:rFonts w:cs="Times New Roman"/>
          <w:szCs w:val="24"/>
        </w:rPr>
        <w:t xml:space="preserve"> to </w:t>
      </w:r>
      <w:r w:rsidR="008A3D55">
        <w:rPr>
          <w:rFonts w:cs="Times New Roman"/>
          <w:szCs w:val="24"/>
        </w:rPr>
        <w:t xml:space="preserve">the </w:t>
      </w:r>
      <w:r w:rsidR="00B676FE">
        <w:rPr>
          <w:rFonts w:cs="Times New Roman"/>
          <w:szCs w:val="24"/>
        </w:rPr>
        <w:t>Czar</w:t>
      </w:r>
      <w:r w:rsidRPr="00395EBF">
        <w:rPr>
          <w:rFonts w:cs="Times New Roman"/>
          <w:szCs w:val="24"/>
        </w:rPr>
        <w:t xml:space="preserve">: </w:t>
      </w:r>
    </w:p>
    <w:p w:rsidR="0020273D" w:rsidRDefault="0020273D" w:rsidP="007B7129">
      <w:pPr>
        <w:autoSpaceDE w:val="0"/>
        <w:autoSpaceDN w:val="0"/>
        <w:adjustRightInd w:val="0"/>
        <w:spacing w:line="360" w:lineRule="auto"/>
        <w:rPr>
          <w:rFonts w:cs="Times New Roman"/>
          <w:szCs w:val="24"/>
        </w:rPr>
      </w:pPr>
    </w:p>
    <w:p w:rsidR="00FB4E1E" w:rsidRDefault="000D71B1" w:rsidP="0020273D">
      <w:pPr>
        <w:autoSpaceDE w:val="0"/>
        <w:autoSpaceDN w:val="0"/>
        <w:adjustRightInd w:val="0"/>
        <w:spacing w:line="360" w:lineRule="auto"/>
        <w:ind w:left="567"/>
      </w:pPr>
      <w:r w:rsidRPr="00395EBF">
        <w:rPr>
          <w:rFonts w:cs="Times New Roman"/>
          <w:szCs w:val="24"/>
        </w:rPr>
        <w:lastRenderedPageBreak/>
        <w:t>Although I have very frequently been employed in public affairs and also in the judiciary system and am consulted on such matters by great princes on an ongoing</w:t>
      </w:r>
      <w:r w:rsidR="002C5997">
        <w:rPr>
          <w:rFonts w:cs="Times New Roman"/>
          <w:szCs w:val="24"/>
        </w:rPr>
        <w:t xml:space="preserve"> </w:t>
      </w:r>
      <w:r w:rsidRPr="00395EBF">
        <w:rPr>
          <w:rFonts w:cs="Times New Roman"/>
          <w:szCs w:val="24"/>
        </w:rPr>
        <w:t>basis, I nevertheless regard the arts and sciences as a higher calling, since through them</w:t>
      </w:r>
      <w:r w:rsidR="002C5997">
        <w:rPr>
          <w:rFonts w:cs="Times New Roman"/>
          <w:szCs w:val="24"/>
        </w:rPr>
        <w:t xml:space="preserve"> </w:t>
      </w:r>
      <w:r w:rsidRPr="00395EBF">
        <w:rPr>
          <w:rFonts w:cs="Times New Roman"/>
          <w:szCs w:val="24"/>
        </w:rPr>
        <w:t>the glory of God and the best interests of the whole of human race is continuously</w:t>
      </w:r>
      <w:r w:rsidR="002C5997">
        <w:rPr>
          <w:rFonts w:cs="Times New Roman"/>
          <w:szCs w:val="24"/>
        </w:rPr>
        <w:t xml:space="preserve"> </w:t>
      </w:r>
      <w:r w:rsidRPr="00395EBF">
        <w:rPr>
          <w:rFonts w:cs="Times New Roman"/>
          <w:szCs w:val="24"/>
        </w:rPr>
        <w:t>promoted. For in the sciences and the knowledge of nature and art, the wonder of God,</w:t>
      </w:r>
      <w:r w:rsidR="002C5997">
        <w:rPr>
          <w:rFonts w:cs="Times New Roman"/>
          <w:szCs w:val="24"/>
        </w:rPr>
        <w:t xml:space="preserve"> </w:t>
      </w:r>
      <w:r w:rsidRPr="00395EBF">
        <w:rPr>
          <w:rFonts w:cs="Times New Roman"/>
          <w:szCs w:val="24"/>
        </w:rPr>
        <w:t>his power, wisdom, and goodness are especially manifest; and the arts and sciences</w:t>
      </w:r>
      <w:r w:rsidR="002C5997">
        <w:rPr>
          <w:rFonts w:cs="Times New Roman"/>
          <w:szCs w:val="24"/>
        </w:rPr>
        <w:t xml:space="preserve"> </w:t>
      </w:r>
      <w:r w:rsidRPr="00395EBF">
        <w:rPr>
          <w:rFonts w:cs="Times New Roman"/>
          <w:szCs w:val="24"/>
        </w:rPr>
        <w:t>are also the true treasury of the human race, t</w:t>
      </w:r>
      <w:r w:rsidR="0020273D">
        <w:rPr>
          <w:rFonts w:cs="Times New Roman"/>
          <w:szCs w:val="24"/>
        </w:rPr>
        <w:t>hrough which art masters nature</w:t>
      </w:r>
      <w:r w:rsidR="00C80EEB" w:rsidRPr="00395EBF">
        <w:rPr>
          <w:rFonts w:cs="Times New Roman"/>
          <w:szCs w:val="24"/>
        </w:rPr>
        <w:t>.</w:t>
      </w:r>
      <w:r w:rsidR="00C80EEB" w:rsidRPr="00395EBF">
        <w:rPr>
          <w:rStyle w:val="FootnoteReference"/>
          <w:rFonts w:cs="Times New Roman"/>
          <w:szCs w:val="24"/>
        </w:rPr>
        <w:footnoteReference w:id="22"/>
      </w:r>
    </w:p>
    <w:p w:rsidR="0020273D" w:rsidRDefault="0020273D" w:rsidP="0020273D">
      <w:pPr>
        <w:autoSpaceDE w:val="0"/>
        <w:autoSpaceDN w:val="0"/>
        <w:adjustRightInd w:val="0"/>
        <w:spacing w:line="360" w:lineRule="auto"/>
        <w:rPr>
          <w:rFonts w:cs="Times New Roman"/>
          <w:szCs w:val="24"/>
        </w:rPr>
      </w:pPr>
    </w:p>
    <w:p w:rsidR="00E260F1" w:rsidRPr="002D6A15" w:rsidRDefault="00E260F1" w:rsidP="0020273D">
      <w:pPr>
        <w:autoSpaceDE w:val="0"/>
        <w:autoSpaceDN w:val="0"/>
        <w:adjustRightInd w:val="0"/>
        <w:spacing w:line="360" w:lineRule="auto"/>
      </w:pPr>
      <w:r w:rsidRPr="00395EBF">
        <w:rPr>
          <w:rFonts w:cs="Times New Roman"/>
          <w:szCs w:val="24"/>
        </w:rPr>
        <w:t>In short, Leibniz’s own formula for pulling together the numerous threads of his extraordin</w:t>
      </w:r>
      <w:r w:rsidR="00A44D5B">
        <w:rPr>
          <w:rFonts w:cs="Times New Roman"/>
          <w:szCs w:val="24"/>
        </w:rPr>
        <w:t xml:space="preserve">ary </w:t>
      </w:r>
      <w:r w:rsidR="00BA47C6">
        <w:rPr>
          <w:rFonts w:cs="Times New Roman"/>
          <w:szCs w:val="24"/>
        </w:rPr>
        <w:t>life’s work reveal</w:t>
      </w:r>
      <w:r w:rsidR="00A44D5B">
        <w:rPr>
          <w:rFonts w:cs="Times New Roman"/>
          <w:szCs w:val="24"/>
        </w:rPr>
        <w:t>s a broadly</w:t>
      </w:r>
      <w:r w:rsidR="00923CCF">
        <w:rPr>
          <w:rFonts w:cs="Times New Roman"/>
          <w:szCs w:val="24"/>
        </w:rPr>
        <w:t xml:space="preserve"> theological inspiration. </w:t>
      </w:r>
      <w:r w:rsidR="002D6A15">
        <w:rPr>
          <w:rFonts w:cs="Times New Roman"/>
          <w:szCs w:val="24"/>
        </w:rPr>
        <w:t xml:space="preserve">In a text of 1671, ending with a set of </w:t>
      </w:r>
      <w:r w:rsidR="002D6A15" w:rsidRPr="006C603F">
        <w:t xml:space="preserve">social and economic reform proposals </w:t>
      </w:r>
      <w:r w:rsidR="002D6A15">
        <w:rPr>
          <w:rFonts w:cs="Times New Roman"/>
          <w:szCs w:val="24"/>
        </w:rPr>
        <w:t>in fields as disp</w:t>
      </w:r>
      <w:r w:rsidR="00422F4E">
        <w:rPr>
          <w:rFonts w:cs="Times New Roman"/>
          <w:szCs w:val="24"/>
        </w:rPr>
        <w:t xml:space="preserve">arate as medicine and coinage, </w:t>
      </w:r>
      <w:r w:rsidR="002D6A15">
        <w:rPr>
          <w:rFonts w:cs="Times New Roman"/>
          <w:szCs w:val="24"/>
        </w:rPr>
        <w:t xml:space="preserve">we read: </w:t>
      </w:r>
      <w:r w:rsidR="002D6A15" w:rsidRPr="006C603F">
        <w:t>"to practice charity, the love of God above all, [...] is in fact to love the common good (</w:t>
      </w:r>
      <w:proofErr w:type="spellStart"/>
      <w:r w:rsidR="002D6A15" w:rsidRPr="006C603F">
        <w:rPr>
          <w:i/>
        </w:rPr>
        <w:t>bonum</w:t>
      </w:r>
      <w:proofErr w:type="spellEnd"/>
      <w:r w:rsidR="002D6A15" w:rsidRPr="006C603F">
        <w:rPr>
          <w:i/>
        </w:rPr>
        <w:t xml:space="preserve"> </w:t>
      </w:r>
      <w:proofErr w:type="spellStart"/>
      <w:r w:rsidR="002D6A15" w:rsidRPr="006C603F">
        <w:rPr>
          <w:i/>
        </w:rPr>
        <w:t>publicum</w:t>
      </w:r>
      <w:proofErr w:type="spellEnd"/>
      <w:r w:rsidR="002D6A15" w:rsidRPr="006C603F">
        <w:t>) and universal harmony; or, which is the same thing, the glory of God."</w:t>
      </w:r>
      <w:r w:rsidR="002D6A15" w:rsidRPr="006C603F">
        <w:rPr>
          <w:rStyle w:val="FootnoteReference"/>
        </w:rPr>
        <w:footnoteReference w:id="23"/>
      </w:r>
      <w:r w:rsidR="002D6A15">
        <w:t xml:space="preserve"> And </w:t>
      </w:r>
      <w:r w:rsidR="002D6A15">
        <w:rPr>
          <w:rFonts w:cs="Times New Roman"/>
          <w:szCs w:val="24"/>
        </w:rPr>
        <w:t>a</w:t>
      </w:r>
      <w:r w:rsidRPr="00395EBF">
        <w:rPr>
          <w:rFonts w:cs="Times New Roman"/>
          <w:szCs w:val="24"/>
        </w:rPr>
        <w:t>s he wrote to Duke Johann Friedrich of Hanover in 1678 “all these things are connected and have to be directed to the same aim, which is the glory of God and the advancement of the public good by means of useful works and beautiful discoveries.”</w:t>
      </w:r>
      <w:r w:rsidR="00B676FE">
        <w:rPr>
          <w:rStyle w:val="FootnoteReference"/>
          <w:rFonts w:cs="Times New Roman"/>
          <w:szCs w:val="24"/>
        </w:rPr>
        <w:footnoteReference w:id="24"/>
      </w:r>
      <w:r w:rsidR="00A44D5B">
        <w:rPr>
          <w:rFonts w:cs="Times New Roman"/>
          <w:szCs w:val="24"/>
        </w:rPr>
        <w:t xml:space="preserve"> </w:t>
      </w:r>
      <w:r w:rsidR="00193F19">
        <w:rPr>
          <w:rFonts w:cs="Times New Roman"/>
          <w:szCs w:val="24"/>
        </w:rPr>
        <w:t>In a way</w:t>
      </w:r>
      <w:r w:rsidR="00BA47C6">
        <w:rPr>
          <w:rFonts w:cs="Times New Roman"/>
          <w:szCs w:val="24"/>
        </w:rPr>
        <w:t xml:space="preserve"> not uncommon to</w:t>
      </w:r>
      <w:r w:rsidR="008A3D55">
        <w:rPr>
          <w:rFonts w:cs="Times New Roman"/>
          <w:szCs w:val="24"/>
        </w:rPr>
        <w:t xml:space="preserve"> </w:t>
      </w:r>
      <w:r w:rsidR="00CC56C7">
        <w:rPr>
          <w:rFonts w:cs="Times New Roman"/>
          <w:szCs w:val="24"/>
        </w:rPr>
        <w:t xml:space="preserve">other architects of early modern science, Leibniz conceived </w:t>
      </w:r>
      <w:r w:rsidR="00193F19">
        <w:rPr>
          <w:rFonts w:cs="Times New Roman"/>
          <w:szCs w:val="24"/>
        </w:rPr>
        <w:t>of</w:t>
      </w:r>
      <w:r w:rsidR="00CC56C7">
        <w:rPr>
          <w:rFonts w:cs="Times New Roman"/>
          <w:szCs w:val="24"/>
        </w:rPr>
        <w:t xml:space="preserve"> the development of science as a celebration of the g</w:t>
      </w:r>
      <w:r w:rsidR="00193F19">
        <w:rPr>
          <w:rFonts w:cs="Times New Roman"/>
          <w:szCs w:val="24"/>
        </w:rPr>
        <w:t>lory of God in his creation</w:t>
      </w:r>
      <w:r w:rsidR="008A3D55">
        <w:rPr>
          <w:rFonts w:cs="Times New Roman"/>
          <w:szCs w:val="24"/>
        </w:rPr>
        <w:t xml:space="preserve"> due to </w:t>
      </w:r>
      <w:r w:rsidR="001062D3">
        <w:rPr>
          <w:rFonts w:cs="Times New Roman"/>
          <w:szCs w:val="24"/>
        </w:rPr>
        <w:t>the</w:t>
      </w:r>
      <w:r w:rsidR="008A3D55">
        <w:rPr>
          <w:rFonts w:cs="Times New Roman"/>
          <w:szCs w:val="24"/>
        </w:rPr>
        <w:t xml:space="preserve"> role played by science in the improvement of the human condition – that is to say, the improvement of </w:t>
      </w:r>
      <w:r w:rsidR="00193F19">
        <w:rPr>
          <w:rFonts w:cs="Times New Roman"/>
          <w:szCs w:val="24"/>
        </w:rPr>
        <w:t>the rational creatures which crowned creation through their ability to enter in</w:t>
      </w:r>
      <w:r w:rsidR="00EC2331">
        <w:rPr>
          <w:rFonts w:cs="Times New Roman"/>
          <w:szCs w:val="24"/>
        </w:rPr>
        <w:t>to</w:t>
      </w:r>
      <w:r w:rsidR="00193F19">
        <w:rPr>
          <w:rFonts w:cs="Times New Roman"/>
          <w:szCs w:val="24"/>
        </w:rPr>
        <w:t xml:space="preserve"> society with God.</w:t>
      </w:r>
    </w:p>
    <w:p w:rsidR="0016158B" w:rsidRDefault="002770EF" w:rsidP="000461AA">
      <w:pPr>
        <w:spacing w:line="360" w:lineRule="auto"/>
        <w:ind w:firstLine="720"/>
        <w:rPr>
          <w:rFonts w:cs="Times New Roman"/>
          <w:szCs w:val="24"/>
        </w:rPr>
      </w:pPr>
      <w:r>
        <w:rPr>
          <w:rFonts w:cs="Times New Roman"/>
          <w:szCs w:val="24"/>
        </w:rPr>
        <w:t>The reference to God and the divine order</w:t>
      </w:r>
      <w:r w:rsidR="00750454">
        <w:rPr>
          <w:rFonts w:cs="Times New Roman"/>
          <w:szCs w:val="24"/>
        </w:rPr>
        <w:t xml:space="preserve"> </w:t>
      </w:r>
      <w:r>
        <w:rPr>
          <w:rFonts w:cs="Times New Roman"/>
          <w:szCs w:val="24"/>
        </w:rPr>
        <w:t>as the framework in which</w:t>
      </w:r>
      <w:r w:rsidR="00750454">
        <w:rPr>
          <w:rFonts w:cs="Times New Roman"/>
          <w:szCs w:val="24"/>
        </w:rPr>
        <w:t xml:space="preserve"> </w:t>
      </w:r>
      <w:r w:rsidR="008A3D55">
        <w:rPr>
          <w:rFonts w:cs="Times New Roman"/>
          <w:szCs w:val="24"/>
        </w:rPr>
        <w:t xml:space="preserve">Leibniz’s over-arching </w:t>
      </w:r>
      <w:r w:rsidR="00750454">
        <w:rPr>
          <w:rFonts w:cs="Times New Roman"/>
          <w:szCs w:val="24"/>
        </w:rPr>
        <w:t>intellectual programme</w:t>
      </w:r>
      <w:r w:rsidR="008A3D55" w:rsidRPr="00395EBF">
        <w:rPr>
          <w:rFonts w:cs="Times New Roman"/>
          <w:szCs w:val="24"/>
        </w:rPr>
        <w:t xml:space="preserve"> </w:t>
      </w:r>
      <w:r>
        <w:rPr>
          <w:rFonts w:cs="Times New Roman"/>
          <w:szCs w:val="24"/>
        </w:rPr>
        <w:t xml:space="preserve">is situated </w:t>
      </w:r>
      <w:r w:rsidR="0070411F">
        <w:rPr>
          <w:rFonts w:cs="Times New Roman"/>
          <w:szCs w:val="24"/>
        </w:rPr>
        <w:t>seems therefore beyond doubt</w:t>
      </w:r>
      <w:r w:rsidR="008A3D55" w:rsidRPr="00395EBF">
        <w:rPr>
          <w:rFonts w:cs="Times New Roman"/>
          <w:szCs w:val="24"/>
        </w:rPr>
        <w:t xml:space="preserve">. </w:t>
      </w:r>
      <w:r w:rsidR="00B53425">
        <w:rPr>
          <w:rFonts w:cs="Times New Roman"/>
          <w:szCs w:val="24"/>
        </w:rPr>
        <w:t xml:space="preserve">From these </w:t>
      </w:r>
      <w:r w:rsidR="00750454">
        <w:rPr>
          <w:rFonts w:cs="Times New Roman"/>
          <w:szCs w:val="24"/>
        </w:rPr>
        <w:t>broad</w:t>
      </w:r>
      <w:r>
        <w:rPr>
          <w:rFonts w:cs="Times New Roman"/>
          <w:szCs w:val="24"/>
        </w:rPr>
        <w:t>ly</w:t>
      </w:r>
      <w:r w:rsidR="00750454">
        <w:rPr>
          <w:rFonts w:cs="Times New Roman"/>
          <w:szCs w:val="24"/>
        </w:rPr>
        <w:t xml:space="preserve"> theological</w:t>
      </w:r>
      <w:r w:rsidR="001062D3">
        <w:rPr>
          <w:rFonts w:cs="Times New Roman"/>
          <w:szCs w:val="24"/>
        </w:rPr>
        <w:t xml:space="preserve"> </w:t>
      </w:r>
      <w:r w:rsidR="00750454">
        <w:rPr>
          <w:rFonts w:cs="Times New Roman"/>
          <w:szCs w:val="24"/>
        </w:rPr>
        <w:t>concerns</w:t>
      </w:r>
      <w:r>
        <w:rPr>
          <w:rFonts w:cs="Times New Roman"/>
          <w:szCs w:val="24"/>
        </w:rPr>
        <w:t xml:space="preserve"> </w:t>
      </w:r>
      <w:r w:rsidR="00B53425">
        <w:rPr>
          <w:rFonts w:cs="Times New Roman"/>
          <w:szCs w:val="24"/>
        </w:rPr>
        <w:t xml:space="preserve">we turn now to a more specific investigation of his </w:t>
      </w:r>
      <w:r w:rsidR="001062D3">
        <w:rPr>
          <w:rFonts w:cs="Times New Roman"/>
          <w:szCs w:val="24"/>
        </w:rPr>
        <w:t>en</w:t>
      </w:r>
      <w:r w:rsidR="00750454">
        <w:rPr>
          <w:rFonts w:cs="Times New Roman"/>
          <w:szCs w:val="24"/>
        </w:rPr>
        <w:t>gagement</w:t>
      </w:r>
      <w:r w:rsidR="001062D3">
        <w:rPr>
          <w:rFonts w:cs="Times New Roman"/>
          <w:szCs w:val="24"/>
        </w:rPr>
        <w:t xml:space="preserve"> with </w:t>
      </w:r>
      <w:r w:rsidR="00C652A2">
        <w:rPr>
          <w:rFonts w:cs="Times New Roman"/>
          <w:szCs w:val="24"/>
        </w:rPr>
        <w:t xml:space="preserve">theology </w:t>
      </w:r>
      <w:proofErr w:type="spellStart"/>
      <w:r w:rsidR="00C652A2">
        <w:rPr>
          <w:rFonts w:cs="Times New Roman"/>
          <w:szCs w:val="24"/>
        </w:rPr>
        <w:t>strictu</w:t>
      </w:r>
      <w:proofErr w:type="spellEnd"/>
      <w:r w:rsidR="00C652A2">
        <w:rPr>
          <w:rFonts w:cs="Times New Roman"/>
          <w:szCs w:val="24"/>
        </w:rPr>
        <w:t xml:space="preserve"> </w:t>
      </w:r>
      <w:proofErr w:type="spellStart"/>
      <w:r w:rsidR="00C652A2">
        <w:rPr>
          <w:rFonts w:cs="Times New Roman"/>
          <w:szCs w:val="24"/>
        </w:rPr>
        <w:t>senso</w:t>
      </w:r>
      <w:proofErr w:type="spellEnd"/>
      <w:r w:rsidR="00C652A2">
        <w:rPr>
          <w:rFonts w:cs="Times New Roman"/>
          <w:szCs w:val="24"/>
        </w:rPr>
        <w:t>.</w:t>
      </w:r>
    </w:p>
    <w:p w:rsidR="002D6A15" w:rsidRPr="00395EBF" w:rsidRDefault="002D6A15" w:rsidP="007B7129">
      <w:pPr>
        <w:spacing w:line="360" w:lineRule="auto"/>
        <w:rPr>
          <w:rFonts w:cs="Times New Roman"/>
          <w:szCs w:val="24"/>
          <w:u w:val="single"/>
        </w:rPr>
      </w:pPr>
    </w:p>
    <w:p w:rsidR="0016158B" w:rsidRPr="000461AA" w:rsidRDefault="003F3B14" w:rsidP="000461AA">
      <w:pPr>
        <w:spacing w:line="360" w:lineRule="auto"/>
        <w:jc w:val="center"/>
        <w:rPr>
          <w:rFonts w:cs="Times New Roman"/>
          <w:szCs w:val="24"/>
        </w:rPr>
      </w:pPr>
      <w:r>
        <w:rPr>
          <w:rFonts w:cs="Times New Roman"/>
          <w:szCs w:val="24"/>
        </w:rPr>
        <w:t xml:space="preserve">Theology and theory: the </w:t>
      </w:r>
      <w:r w:rsidR="0016158B" w:rsidRPr="000461AA">
        <w:rPr>
          <w:rFonts w:cs="Times New Roman"/>
          <w:szCs w:val="24"/>
        </w:rPr>
        <w:t>engagement</w:t>
      </w:r>
      <w:r w:rsidR="000461AA">
        <w:rPr>
          <w:rFonts w:cs="Times New Roman"/>
          <w:szCs w:val="24"/>
        </w:rPr>
        <w:t xml:space="preserve"> with </w:t>
      </w:r>
      <w:r>
        <w:rPr>
          <w:rFonts w:cs="Times New Roman"/>
          <w:szCs w:val="24"/>
        </w:rPr>
        <w:t>Christian orthodoxy</w:t>
      </w:r>
    </w:p>
    <w:p w:rsidR="0016158B" w:rsidRPr="00395EBF" w:rsidRDefault="0016158B" w:rsidP="007B7129">
      <w:pPr>
        <w:spacing w:line="360" w:lineRule="auto"/>
        <w:rPr>
          <w:rFonts w:cs="Times New Roman"/>
          <w:szCs w:val="24"/>
        </w:rPr>
      </w:pPr>
    </w:p>
    <w:p w:rsidR="00B04A77" w:rsidRDefault="00531A58" w:rsidP="007B7129">
      <w:pPr>
        <w:spacing w:line="360" w:lineRule="auto"/>
        <w:rPr>
          <w:rFonts w:cs="Times New Roman"/>
          <w:szCs w:val="24"/>
        </w:rPr>
      </w:pPr>
      <w:r w:rsidRPr="00395EBF">
        <w:rPr>
          <w:rFonts w:cs="Times New Roman"/>
          <w:szCs w:val="24"/>
        </w:rPr>
        <w:t xml:space="preserve">The </w:t>
      </w:r>
      <w:r w:rsidR="00003E0E" w:rsidRPr="00395EBF">
        <w:rPr>
          <w:rFonts w:cs="Times New Roman"/>
          <w:szCs w:val="24"/>
        </w:rPr>
        <w:t>brea</w:t>
      </w:r>
      <w:r w:rsidR="00DA2C4B">
        <w:rPr>
          <w:rFonts w:cs="Times New Roman"/>
          <w:szCs w:val="24"/>
        </w:rPr>
        <w:t>d</w:t>
      </w:r>
      <w:r w:rsidR="00003E0E" w:rsidRPr="00395EBF">
        <w:rPr>
          <w:rFonts w:cs="Times New Roman"/>
          <w:szCs w:val="24"/>
        </w:rPr>
        <w:t xml:space="preserve">th and </w:t>
      </w:r>
      <w:r w:rsidRPr="00395EBF">
        <w:rPr>
          <w:rFonts w:cs="Times New Roman"/>
          <w:szCs w:val="24"/>
        </w:rPr>
        <w:t>depth</w:t>
      </w:r>
      <w:r w:rsidR="00003E0E" w:rsidRPr="00395EBF">
        <w:rPr>
          <w:rFonts w:cs="Times New Roman"/>
          <w:szCs w:val="24"/>
        </w:rPr>
        <w:t xml:space="preserve"> </w:t>
      </w:r>
      <w:r w:rsidRPr="00395EBF">
        <w:rPr>
          <w:rFonts w:cs="Times New Roman"/>
          <w:szCs w:val="24"/>
        </w:rPr>
        <w:t xml:space="preserve">of Leibniz’s theoretical engagement </w:t>
      </w:r>
      <w:r w:rsidR="00C652A2">
        <w:rPr>
          <w:rFonts w:cs="Times New Roman"/>
          <w:szCs w:val="24"/>
        </w:rPr>
        <w:t>with theological matters is not difficult</w:t>
      </w:r>
      <w:r w:rsidRPr="00395EBF">
        <w:rPr>
          <w:rFonts w:cs="Times New Roman"/>
          <w:szCs w:val="24"/>
        </w:rPr>
        <w:t xml:space="preserve"> to show. Most obviously</w:t>
      </w:r>
      <w:r w:rsidR="00214260">
        <w:rPr>
          <w:rFonts w:cs="Times New Roman"/>
          <w:szCs w:val="24"/>
        </w:rPr>
        <w:t>,</w:t>
      </w:r>
      <w:r w:rsidRPr="00395EBF">
        <w:rPr>
          <w:rFonts w:cs="Times New Roman"/>
          <w:szCs w:val="24"/>
        </w:rPr>
        <w:t xml:space="preserve"> theological issues </w:t>
      </w:r>
      <w:r w:rsidR="00214260">
        <w:rPr>
          <w:rFonts w:cs="Times New Roman"/>
          <w:szCs w:val="24"/>
        </w:rPr>
        <w:t xml:space="preserve">can be found </w:t>
      </w:r>
      <w:r w:rsidRPr="00395EBF">
        <w:rPr>
          <w:rFonts w:cs="Times New Roman"/>
          <w:szCs w:val="24"/>
        </w:rPr>
        <w:t>at the very heart of his metaphysical system</w:t>
      </w:r>
      <w:r w:rsidR="00214260">
        <w:rPr>
          <w:rFonts w:cs="Times New Roman"/>
          <w:szCs w:val="24"/>
        </w:rPr>
        <w:t>,</w:t>
      </w:r>
      <w:r w:rsidRPr="00395EBF">
        <w:rPr>
          <w:rFonts w:cs="Times New Roman"/>
          <w:szCs w:val="24"/>
        </w:rPr>
        <w:t xml:space="preserve"> such as the concept of God and of his attributes, with their </w:t>
      </w:r>
      <w:r w:rsidR="006C2DD4" w:rsidRPr="00395EBF">
        <w:rPr>
          <w:rFonts w:cs="Times New Roman"/>
          <w:szCs w:val="24"/>
        </w:rPr>
        <w:t xml:space="preserve">immediate </w:t>
      </w:r>
      <w:r w:rsidRPr="00395EBF">
        <w:rPr>
          <w:rFonts w:cs="Times New Roman"/>
          <w:szCs w:val="24"/>
        </w:rPr>
        <w:t>relevance for Leibniz’s theodicy.</w:t>
      </w:r>
      <w:r w:rsidR="00142358">
        <w:rPr>
          <w:rStyle w:val="FootnoteReference"/>
          <w:rFonts w:cs="Times New Roman"/>
          <w:szCs w:val="24"/>
        </w:rPr>
        <w:footnoteReference w:id="25"/>
      </w:r>
      <w:r w:rsidRPr="00395EBF">
        <w:rPr>
          <w:rFonts w:cs="Times New Roman"/>
          <w:szCs w:val="24"/>
        </w:rPr>
        <w:t xml:space="preserve"> More specifically linked to the tradition of natural theology</w:t>
      </w:r>
      <w:r w:rsidR="006C2DD4" w:rsidRPr="00395EBF">
        <w:rPr>
          <w:rFonts w:cs="Times New Roman"/>
          <w:szCs w:val="24"/>
        </w:rPr>
        <w:t xml:space="preserve"> </w:t>
      </w:r>
      <w:r w:rsidRPr="00395EBF">
        <w:rPr>
          <w:rFonts w:cs="Times New Roman"/>
          <w:szCs w:val="24"/>
        </w:rPr>
        <w:t xml:space="preserve">is Leibniz’s highly original </w:t>
      </w:r>
      <w:r w:rsidR="008E732E" w:rsidRPr="00395EBF">
        <w:rPr>
          <w:rFonts w:cs="Times New Roman"/>
          <w:szCs w:val="24"/>
        </w:rPr>
        <w:t xml:space="preserve">and fairly well known </w:t>
      </w:r>
      <w:r w:rsidRPr="00395EBF">
        <w:rPr>
          <w:rFonts w:cs="Times New Roman"/>
          <w:szCs w:val="24"/>
        </w:rPr>
        <w:t>treatment of a priori and a posteriori argu</w:t>
      </w:r>
      <w:r w:rsidR="006F2AFD">
        <w:rPr>
          <w:rFonts w:cs="Times New Roman"/>
          <w:szCs w:val="24"/>
        </w:rPr>
        <w:t>ments for the existence of God.</w:t>
      </w:r>
      <w:r w:rsidR="006F2AFD">
        <w:rPr>
          <w:rStyle w:val="FootnoteReference"/>
          <w:rFonts w:cs="Times New Roman"/>
          <w:szCs w:val="24"/>
        </w:rPr>
        <w:footnoteReference w:id="26"/>
      </w:r>
      <w:r w:rsidR="00214260">
        <w:rPr>
          <w:rFonts w:cs="Times New Roman"/>
          <w:szCs w:val="24"/>
        </w:rPr>
        <w:t xml:space="preserve"> In brief, </w:t>
      </w:r>
      <w:r w:rsidR="003F3B14">
        <w:rPr>
          <w:rFonts w:cs="Times New Roman"/>
          <w:szCs w:val="24"/>
        </w:rPr>
        <w:t xml:space="preserve">the fact </w:t>
      </w:r>
      <w:proofErr w:type="gramStart"/>
      <w:r w:rsidR="00214260">
        <w:rPr>
          <w:rFonts w:cs="Times New Roman"/>
          <w:szCs w:val="24"/>
        </w:rPr>
        <w:t>that arguments relating to natural theology played on integral role in Leibniz’s</w:t>
      </w:r>
      <w:proofErr w:type="gramEnd"/>
      <w:r w:rsidR="00214260">
        <w:rPr>
          <w:rFonts w:cs="Times New Roman"/>
          <w:szCs w:val="24"/>
        </w:rPr>
        <w:t xml:space="preserve"> thought has been acknowledged for some time.</w:t>
      </w:r>
    </w:p>
    <w:p w:rsidR="00FC276F" w:rsidRPr="00395EBF" w:rsidRDefault="00865E43" w:rsidP="007B7129">
      <w:pPr>
        <w:spacing w:line="360" w:lineRule="auto"/>
        <w:ind w:firstLine="720"/>
        <w:rPr>
          <w:rFonts w:cs="Times New Roman"/>
          <w:szCs w:val="24"/>
        </w:rPr>
      </w:pPr>
      <w:r w:rsidRPr="00395EBF">
        <w:rPr>
          <w:rFonts w:cs="Times New Roman"/>
          <w:szCs w:val="24"/>
        </w:rPr>
        <w:t>On the other hand, h</w:t>
      </w:r>
      <w:r w:rsidR="00531A58" w:rsidRPr="00395EBF">
        <w:rPr>
          <w:rFonts w:cs="Times New Roman"/>
          <w:szCs w:val="24"/>
        </w:rPr>
        <w:t xml:space="preserve">is theoretical engagement with issues of revealed </w:t>
      </w:r>
      <w:r w:rsidR="006C2DD4" w:rsidRPr="00395EBF">
        <w:rPr>
          <w:rFonts w:cs="Times New Roman"/>
          <w:szCs w:val="24"/>
        </w:rPr>
        <w:t>theology</w:t>
      </w:r>
      <w:r w:rsidR="00531A58" w:rsidRPr="00395EBF">
        <w:rPr>
          <w:rFonts w:cs="Times New Roman"/>
          <w:szCs w:val="24"/>
        </w:rPr>
        <w:t xml:space="preserve"> </w:t>
      </w:r>
      <w:r w:rsidR="006C2DD4" w:rsidRPr="00395EBF">
        <w:rPr>
          <w:rFonts w:cs="Times New Roman"/>
          <w:szCs w:val="24"/>
        </w:rPr>
        <w:t>is</w:t>
      </w:r>
      <w:r w:rsidRPr="00395EBF">
        <w:rPr>
          <w:rFonts w:cs="Times New Roman"/>
          <w:szCs w:val="24"/>
        </w:rPr>
        <w:t xml:space="preserve"> </w:t>
      </w:r>
      <w:r w:rsidR="008E732E" w:rsidRPr="00395EBF">
        <w:rPr>
          <w:rFonts w:cs="Times New Roman"/>
          <w:szCs w:val="24"/>
        </w:rPr>
        <w:t xml:space="preserve">much </w:t>
      </w:r>
      <w:r w:rsidR="00531A58" w:rsidRPr="00395EBF">
        <w:rPr>
          <w:rFonts w:cs="Times New Roman"/>
          <w:szCs w:val="24"/>
        </w:rPr>
        <w:t xml:space="preserve">less well known. Yet Leibniz </w:t>
      </w:r>
      <w:r w:rsidR="00B04A77">
        <w:rPr>
          <w:rFonts w:cs="Times New Roman"/>
          <w:szCs w:val="24"/>
        </w:rPr>
        <w:t>wrote extensively</w:t>
      </w:r>
      <w:r w:rsidR="006C2DD4" w:rsidRPr="00395EBF">
        <w:rPr>
          <w:rFonts w:cs="Times New Roman"/>
          <w:szCs w:val="24"/>
        </w:rPr>
        <w:t xml:space="preserve"> on </w:t>
      </w:r>
      <w:r w:rsidR="00003E0E" w:rsidRPr="00395EBF">
        <w:rPr>
          <w:rFonts w:cs="Times New Roman"/>
          <w:szCs w:val="24"/>
        </w:rPr>
        <w:t>key doctrines of the Christi</w:t>
      </w:r>
      <w:r w:rsidR="006C2DD4" w:rsidRPr="00395EBF">
        <w:rPr>
          <w:rFonts w:cs="Times New Roman"/>
          <w:szCs w:val="24"/>
        </w:rPr>
        <w:t>a</w:t>
      </w:r>
      <w:r w:rsidR="00003E0E" w:rsidRPr="00395EBF">
        <w:rPr>
          <w:rFonts w:cs="Times New Roman"/>
          <w:szCs w:val="24"/>
        </w:rPr>
        <w:t>n</w:t>
      </w:r>
      <w:r w:rsidR="006C2DD4" w:rsidRPr="00395EBF">
        <w:rPr>
          <w:rFonts w:cs="Times New Roman"/>
          <w:szCs w:val="24"/>
        </w:rPr>
        <w:t xml:space="preserve"> revelation such as the </w:t>
      </w:r>
      <w:r w:rsidR="00015737" w:rsidRPr="00395EBF">
        <w:rPr>
          <w:rFonts w:cs="Times New Roman"/>
          <w:szCs w:val="24"/>
        </w:rPr>
        <w:t>Trinity</w:t>
      </w:r>
      <w:r w:rsidR="006C2DD4" w:rsidRPr="00395EBF">
        <w:rPr>
          <w:rFonts w:cs="Times New Roman"/>
          <w:szCs w:val="24"/>
        </w:rPr>
        <w:t xml:space="preserve">, the </w:t>
      </w:r>
      <w:r w:rsidR="00015737" w:rsidRPr="00395EBF">
        <w:rPr>
          <w:rFonts w:cs="Times New Roman"/>
          <w:szCs w:val="24"/>
        </w:rPr>
        <w:t>Incarnation</w:t>
      </w:r>
      <w:r w:rsidR="00CA0CA3" w:rsidRPr="00395EBF">
        <w:rPr>
          <w:rFonts w:cs="Times New Roman"/>
          <w:szCs w:val="24"/>
        </w:rPr>
        <w:t>,</w:t>
      </w:r>
      <w:r w:rsidR="00A60423" w:rsidRPr="00395EBF">
        <w:rPr>
          <w:rFonts w:cs="Times New Roman"/>
          <w:szCs w:val="24"/>
        </w:rPr>
        <w:t xml:space="preserve"> </w:t>
      </w:r>
      <w:r w:rsidR="006C2DD4" w:rsidRPr="00395EBF">
        <w:rPr>
          <w:rFonts w:cs="Times New Roman"/>
          <w:szCs w:val="24"/>
        </w:rPr>
        <w:t>the Eucharist</w:t>
      </w:r>
      <w:r w:rsidR="00CA0CA3" w:rsidRPr="00395EBF">
        <w:rPr>
          <w:rFonts w:cs="Times New Roman"/>
          <w:szCs w:val="24"/>
        </w:rPr>
        <w:t xml:space="preserve">, </w:t>
      </w:r>
      <w:r w:rsidR="00372DC6">
        <w:rPr>
          <w:rFonts w:cs="Times New Roman"/>
          <w:szCs w:val="24"/>
        </w:rPr>
        <w:t xml:space="preserve">Predestination, </w:t>
      </w:r>
      <w:r w:rsidR="00CA0CA3" w:rsidRPr="00395EBF">
        <w:rPr>
          <w:rFonts w:cs="Times New Roman"/>
          <w:szCs w:val="24"/>
        </w:rPr>
        <w:t>and (to a lesser extent) the Resurrection</w:t>
      </w:r>
      <w:r w:rsidR="006C2DD4" w:rsidRPr="00395EBF">
        <w:rPr>
          <w:rFonts w:cs="Times New Roman"/>
          <w:szCs w:val="24"/>
        </w:rPr>
        <w:t>.</w:t>
      </w:r>
      <w:r w:rsidR="00372DC6">
        <w:rPr>
          <w:rStyle w:val="FootnoteReference"/>
          <w:rFonts w:cs="Times New Roman"/>
          <w:szCs w:val="24"/>
        </w:rPr>
        <w:footnoteReference w:id="27"/>
      </w:r>
      <w:r w:rsidR="00003E0E" w:rsidRPr="00395EBF">
        <w:rPr>
          <w:rFonts w:cs="Times New Roman"/>
          <w:szCs w:val="24"/>
        </w:rPr>
        <w:t xml:space="preserve"> </w:t>
      </w:r>
      <w:r w:rsidR="00B04A77">
        <w:rPr>
          <w:rFonts w:cs="Times New Roman"/>
          <w:szCs w:val="24"/>
        </w:rPr>
        <w:t>On t</w:t>
      </w:r>
      <w:r w:rsidR="00003E0E" w:rsidRPr="00395EBF">
        <w:rPr>
          <w:rFonts w:cs="Times New Roman"/>
          <w:szCs w:val="24"/>
        </w:rPr>
        <w:t xml:space="preserve">hese </w:t>
      </w:r>
      <w:r w:rsidR="00B04A77">
        <w:rPr>
          <w:rFonts w:cs="Times New Roman"/>
          <w:szCs w:val="24"/>
        </w:rPr>
        <w:t xml:space="preserve">doctrines </w:t>
      </w:r>
      <w:r w:rsidR="00DE5FE0" w:rsidRPr="00395EBF">
        <w:rPr>
          <w:rFonts w:cs="Times New Roman"/>
          <w:szCs w:val="24"/>
        </w:rPr>
        <w:t>he</w:t>
      </w:r>
      <w:r w:rsidR="00003E0E" w:rsidRPr="00395EBF">
        <w:rPr>
          <w:rFonts w:cs="Times New Roman"/>
          <w:szCs w:val="24"/>
        </w:rPr>
        <w:t xml:space="preserve"> </w:t>
      </w:r>
      <w:r w:rsidR="008E732E" w:rsidRPr="00395EBF">
        <w:rPr>
          <w:rFonts w:cs="Times New Roman"/>
          <w:szCs w:val="24"/>
        </w:rPr>
        <w:t>brought</w:t>
      </w:r>
      <w:r w:rsidR="00003E0E" w:rsidRPr="00395EBF">
        <w:rPr>
          <w:rFonts w:cs="Times New Roman"/>
          <w:szCs w:val="24"/>
        </w:rPr>
        <w:t xml:space="preserve"> to bear the full weight of a formidable theological tradition of the highest</w:t>
      </w:r>
      <w:r w:rsidR="00214260">
        <w:rPr>
          <w:rFonts w:cs="Times New Roman"/>
          <w:szCs w:val="24"/>
        </w:rPr>
        <w:t xml:space="preserve"> theoretical sophistication, </w:t>
      </w:r>
      <w:r w:rsidR="00003E0E" w:rsidRPr="00395EBF">
        <w:rPr>
          <w:rFonts w:cs="Times New Roman"/>
          <w:szCs w:val="24"/>
        </w:rPr>
        <w:t>with which he was fully conversant.</w:t>
      </w:r>
      <w:r w:rsidR="00D10221" w:rsidRPr="00395EBF">
        <w:rPr>
          <w:rFonts w:cs="Times New Roman"/>
          <w:szCs w:val="24"/>
        </w:rPr>
        <w:t xml:space="preserve"> </w:t>
      </w:r>
      <w:r w:rsidR="00214260">
        <w:rPr>
          <w:rFonts w:cs="Times New Roman"/>
          <w:szCs w:val="24"/>
        </w:rPr>
        <w:t>I</w:t>
      </w:r>
      <w:r w:rsidR="00D10221" w:rsidRPr="00395EBF">
        <w:rPr>
          <w:rFonts w:cs="Times New Roman"/>
          <w:szCs w:val="24"/>
        </w:rPr>
        <w:t>n this sphere</w:t>
      </w:r>
      <w:r w:rsidR="00FD6AA4" w:rsidRPr="00395EBF">
        <w:rPr>
          <w:rFonts w:cs="Times New Roman"/>
          <w:szCs w:val="24"/>
        </w:rPr>
        <w:t xml:space="preserve"> of revealed theology</w:t>
      </w:r>
      <w:r w:rsidR="00214260">
        <w:rPr>
          <w:rFonts w:cs="Times New Roman"/>
          <w:szCs w:val="24"/>
        </w:rPr>
        <w:t xml:space="preserve">, the truth of </w:t>
      </w:r>
      <w:proofErr w:type="spellStart"/>
      <w:r w:rsidR="00214260">
        <w:rPr>
          <w:rFonts w:cs="Times New Roman"/>
          <w:szCs w:val="24"/>
        </w:rPr>
        <w:t>Fontenelle’</w:t>
      </w:r>
      <w:r w:rsidR="00683F4D">
        <w:rPr>
          <w:rFonts w:cs="Times New Roman"/>
          <w:szCs w:val="24"/>
        </w:rPr>
        <w:t>s</w:t>
      </w:r>
      <w:proofErr w:type="spellEnd"/>
      <w:r w:rsidR="00683F4D">
        <w:rPr>
          <w:rFonts w:cs="Times New Roman"/>
          <w:szCs w:val="24"/>
        </w:rPr>
        <w:t xml:space="preserve"> words become</w:t>
      </w:r>
      <w:r w:rsidR="002F7543">
        <w:rPr>
          <w:rFonts w:cs="Times New Roman"/>
          <w:szCs w:val="24"/>
        </w:rPr>
        <w:t>s</w:t>
      </w:r>
      <w:r w:rsidR="00683F4D">
        <w:rPr>
          <w:rFonts w:cs="Times New Roman"/>
          <w:szCs w:val="24"/>
        </w:rPr>
        <w:t xml:space="preserve"> most apparent, namely that </w:t>
      </w:r>
      <w:r w:rsidR="008E732E" w:rsidRPr="00395EBF">
        <w:rPr>
          <w:rFonts w:cs="Times New Roman"/>
          <w:szCs w:val="24"/>
        </w:rPr>
        <w:t xml:space="preserve">Leibniz </w:t>
      </w:r>
      <w:r w:rsidR="00214260">
        <w:rPr>
          <w:rFonts w:cs="Times New Roman"/>
          <w:szCs w:val="24"/>
        </w:rPr>
        <w:t xml:space="preserve">also </w:t>
      </w:r>
      <w:r w:rsidR="008E732E" w:rsidRPr="00395EBF">
        <w:rPr>
          <w:rFonts w:cs="Times New Roman"/>
          <w:szCs w:val="24"/>
        </w:rPr>
        <w:t xml:space="preserve">engaged with theology </w:t>
      </w:r>
      <w:r w:rsidR="00D10221" w:rsidRPr="00395EBF">
        <w:rPr>
          <w:rFonts w:cs="Times New Roman"/>
          <w:szCs w:val="24"/>
        </w:rPr>
        <w:t>in the strict sense of the term</w:t>
      </w:r>
      <w:r w:rsidR="008E732E" w:rsidRPr="00395EBF">
        <w:rPr>
          <w:rFonts w:cs="Times New Roman"/>
          <w:szCs w:val="24"/>
        </w:rPr>
        <w:t xml:space="preserve"> and not merely as an aspect of metaphysics</w:t>
      </w:r>
      <w:r w:rsidR="00D10221" w:rsidRPr="00395EBF">
        <w:rPr>
          <w:rFonts w:cs="Times New Roman"/>
          <w:szCs w:val="24"/>
        </w:rPr>
        <w:t>.</w:t>
      </w:r>
      <w:r w:rsidR="00DE5FE0" w:rsidRPr="00395EBF">
        <w:rPr>
          <w:rFonts w:cs="Times New Roman"/>
          <w:szCs w:val="24"/>
        </w:rPr>
        <w:t xml:space="preserve"> It </w:t>
      </w:r>
      <w:r w:rsidR="00FE4964">
        <w:rPr>
          <w:rFonts w:cs="Times New Roman"/>
          <w:szCs w:val="24"/>
        </w:rPr>
        <w:t xml:space="preserve">also </w:t>
      </w:r>
      <w:r w:rsidR="00DE5FE0" w:rsidRPr="00395EBF">
        <w:rPr>
          <w:rFonts w:cs="Times New Roman"/>
          <w:szCs w:val="24"/>
        </w:rPr>
        <w:t>becomes</w:t>
      </w:r>
      <w:r w:rsidR="008E732E" w:rsidRPr="00395EBF">
        <w:rPr>
          <w:rFonts w:cs="Times New Roman"/>
          <w:szCs w:val="24"/>
        </w:rPr>
        <w:t xml:space="preserve"> clear that a reduction of these texts to</w:t>
      </w:r>
      <w:r w:rsidR="00BA64FF" w:rsidRPr="00395EBF">
        <w:rPr>
          <w:rFonts w:cs="Times New Roman"/>
          <w:szCs w:val="24"/>
        </w:rPr>
        <w:t xml:space="preserve"> metaphysical</w:t>
      </w:r>
      <w:r w:rsidR="008E732E" w:rsidRPr="00395EBF">
        <w:rPr>
          <w:rFonts w:cs="Times New Roman"/>
          <w:szCs w:val="24"/>
        </w:rPr>
        <w:t xml:space="preserve"> or (at the other end of the spectrum) political</w:t>
      </w:r>
      <w:r w:rsidR="00DE5FE0" w:rsidRPr="00395EBF">
        <w:rPr>
          <w:rFonts w:cs="Times New Roman"/>
          <w:szCs w:val="24"/>
        </w:rPr>
        <w:t xml:space="preserve"> </w:t>
      </w:r>
      <w:r w:rsidR="008E732E" w:rsidRPr="00395EBF">
        <w:rPr>
          <w:rFonts w:cs="Times New Roman"/>
          <w:szCs w:val="24"/>
        </w:rPr>
        <w:t>interests does not do justice to their content.</w:t>
      </w:r>
      <w:r w:rsidR="00B04A77">
        <w:rPr>
          <w:rFonts w:cs="Times New Roman"/>
          <w:szCs w:val="24"/>
        </w:rPr>
        <w:t xml:space="preserve"> T</w:t>
      </w:r>
      <w:r w:rsidR="00BA64FF" w:rsidRPr="00395EBF">
        <w:rPr>
          <w:rFonts w:cs="Times New Roman"/>
          <w:szCs w:val="24"/>
        </w:rPr>
        <w:t xml:space="preserve">he issues discussed are </w:t>
      </w:r>
      <w:r w:rsidR="00B04A77">
        <w:rPr>
          <w:rFonts w:cs="Times New Roman"/>
          <w:szCs w:val="24"/>
        </w:rPr>
        <w:t xml:space="preserve">of course </w:t>
      </w:r>
      <w:r w:rsidR="00BA64FF" w:rsidRPr="00395EBF">
        <w:rPr>
          <w:rFonts w:cs="Times New Roman"/>
          <w:szCs w:val="24"/>
        </w:rPr>
        <w:t>closely linked to</w:t>
      </w:r>
      <w:r w:rsidR="001B3430" w:rsidRPr="00395EBF">
        <w:rPr>
          <w:rFonts w:cs="Times New Roman"/>
          <w:szCs w:val="24"/>
        </w:rPr>
        <w:t xml:space="preserve"> metaphysical or political concern</w:t>
      </w:r>
      <w:r w:rsidR="00BA64FF" w:rsidRPr="00395EBF">
        <w:rPr>
          <w:rFonts w:cs="Times New Roman"/>
          <w:szCs w:val="24"/>
        </w:rPr>
        <w:t>s but this does not detract from th</w:t>
      </w:r>
      <w:r w:rsidR="00B04A77">
        <w:rPr>
          <w:rFonts w:cs="Times New Roman"/>
          <w:szCs w:val="24"/>
        </w:rPr>
        <w:t>eir properly theological</w:t>
      </w:r>
      <w:r w:rsidR="002D6D5F">
        <w:rPr>
          <w:rFonts w:cs="Times New Roman"/>
          <w:szCs w:val="24"/>
        </w:rPr>
        <w:t xml:space="preserve"> </w:t>
      </w:r>
      <w:r w:rsidR="00FE4964">
        <w:rPr>
          <w:rFonts w:cs="Times New Roman"/>
          <w:szCs w:val="24"/>
        </w:rPr>
        <w:t>depth</w:t>
      </w:r>
      <w:r w:rsidR="00BA64FF" w:rsidRPr="00395EBF">
        <w:rPr>
          <w:rFonts w:cs="Times New Roman"/>
          <w:szCs w:val="24"/>
        </w:rPr>
        <w:t xml:space="preserve"> </w:t>
      </w:r>
      <w:r w:rsidR="003F3B14">
        <w:rPr>
          <w:rFonts w:cs="Times New Roman"/>
          <w:szCs w:val="24"/>
        </w:rPr>
        <w:t xml:space="preserve">any </w:t>
      </w:r>
      <w:r w:rsidR="00BA64FF" w:rsidRPr="00395EBF">
        <w:rPr>
          <w:rFonts w:cs="Times New Roman"/>
          <w:szCs w:val="24"/>
        </w:rPr>
        <w:t>more than the fact that Leibniz’s logic</w:t>
      </w:r>
      <w:r w:rsidR="00FC276F" w:rsidRPr="00395EBF">
        <w:rPr>
          <w:rFonts w:cs="Times New Roman"/>
          <w:szCs w:val="24"/>
        </w:rPr>
        <w:t xml:space="preserve"> </w:t>
      </w:r>
      <w:r w:rsidR="00BA64FF" w:rsidRPr="00395EBF">
        <w:rPr>
          <w:rFonts w:cs="Times New Roman"/>
          <w:szCs w:val="24"/>
        </w:rPr>
        <w:t>is linked to his metaphysics detract</w:t>
      </w:r>
      <w:r w:rsidR="00421071">
        <w:rPr>
          <w:rFonts w:cs="Times New Roman"/>
          <w:szCs w:val="24"/>
        </w:rPr>
        <w:t>s</w:t>
      </w:r>
      <w:r w:rsidR="00BA64FF" w:rsidRPr="00395EBF">
        <w:rPr>
          <w:rFonts w:cs="Times New Roman"/>
          <w:szCs w:val="24"/>
        </w:rPr>
        <w:t xml:space="preserve"> from the </w:t>
      </w:r>
      <w:r w:rsidR="00FE4964">
        <w:rPr>
          <w:rFonts w:cs="Times New Roman"/>
          <w:szCs w:val="24"/>
        </w:rPr>
        <w:t>originality</w:t>
      </w:r>
      <w:r w:rsidRPr="00395EBF">
        <w:rPr>
          <w:rFonts w:cs="Times New Roman"/>
          <w:szCs w:val="24"/>
        </w:rPr>
        <w:t xml:space="preserve"> of </w:t>
      </w:r>
      <w:r w:rsidRPr="00395EBF">
        <w:rPr>
          <w:rFonts w:cs="Times New Roman"/>
          <w:szCs w:val="24"/>
        </w:rPr>
        <w:lastRenderedPageBreak/>
        <w:t>his logic per se. Rather, this</w:t>
      </w:r>
      <w:r w:rsidR="00FC276F" w:rsidRPr="00395EBF">
        <w:rPr>
          <w:rFonts w:cs="Times New Roman"/>
          <w:szCs w:val="24"/>
        </w:rPr>
        <w:t xml:space="preserve"> is another </w:t>
      </w:r>
      <w:r w:rsidR="00FD6AA4" w:rsidRPr="00395EBF">
        <w:rPr>
          <w:rFonts w:cs="Times New Roman"/>
          <w:szCs w:val="24"/>
        </w:rPr>
        <w:t xml:space="preserve">case </w:t>
      </w:r>
      <w:r w:rsidR="00FC276F" w:rsidRPr="00395EBF">
        <w:rPr>
          <w:rFonts w:cs="Times New Roman"/>
          <w:szCs w:val="24"/>
        </w:rPr>
        <w:t xml:space="preserve">of </w:t>
      </w:r>
      <w:r w:rsidRPr="00395EBF">
        <w:rPr>
          <w:rFonts w:cs="Times New Roman"/>
          <w:szCs w:val="24"/>
        </w:rPr>
        <w:t xml:space="preserve">the connection of everything </w:t>
      </w:r>
      <w:r w:rsidR="0036303A">
        <w:rPr>
          <w:rFonts w:cs="Times New Roman"/>
          <w:szCs w:val="24"/>
        </w:rPr>
        <w:t>with</w:t>
      </w:r>
      <w:r w:rsidR="00FC276F" w:rsidRPr="00395EBF">
        <w:rPr>
          <w:rFonts w:cs="Times New Roman"/>
          <w:szCs w:val="24"/>
        </w:rPr>
        <w:t xml:space="preserve"> everything in L</w:t>
      </w:r>
      <w:r w:rsidRPr="00395EBF">
        <w:rPr>
          <w:rFonts w:cs="Times New Roman"/>
          <w:szCs w:val="24"/>
        </w:rPr>
        <w:t xml:space="preserve">eibniz’s system of thought, so that a text is fully illuminated only </w:t>
      </w:r>
      <w:r w:rsidR="00B04A77">
        <w:rPr>
          <w:rFonts w:cs="Times New Roman"/>
          <w:szCs w:val="24"/>
        </w:rPr>
        <w:t xml:space="preserve">if taken in its </w:t>
      </w:r>
      <w:r w:rsidR="00FC276F" w:rsidRPr="00395EBF">
        <w:rPr>
          <w:rFonts w:cs="Times New Roman"/>
          <w:szCs w:val="24"/>
        </w:rPr>
        <w:t>holistic context.</w:t>
      </w:r>
    </w:p>
    <w:p w:rsidR="00796663" w:rsidRDefault="00507CDF" w:rsidP="007B7129">
      <w:pPr>
        <w:autoSpaceDE w:val="0"/>
        <w:autoSpaceDN w:val="0"/>
        <w:adjustRightInd w:val="0"/>
        <w:spacing w:line="360" w:lineRule="auto"/>
        <w:rPr>
          <w:rFonts w:cs="Times New Roman"/>
          <w:szCs w:val="24"/>
        </w:rPr>
      </w:pPr>
      <w:r w:rsidRPr="00395EBF">
        <w:rPr>
          <w:rFonts w:cs="Times New Roman"/>
          <w:szCs w:val="24"/>
        </w:rPr>
        <w:tab/>
      </w:r>
      <w:r w:rsidR="00983BA5" w:rsidRPr="00395EBF">
        <w:rPr>
          <w:rFonts w:cs="Times New Roman"/>
          <w:szCs w:val="24"/>
        </w:rPr>
        <w:t>I</w:t>
      </w:r>
      <w:r w:rsidR="00093137" w:rsidRPr="00395EBF">
        <w:rPr>
          <w:rFonts w:cs="Times New Roman"/>
          <w:szCs w:val="24"/>
        </w:rPr>
        <w:t xml:space="preserve">t is striking that with regard to central doctrines of </w:t>
      </w:r>
      <w:r w:rsidRPr="00395EBF">
        <w:rPr>
          <w:rFonts w:cs="Times New Roman"/>
          <w:szCs w:val="24"/>
        </w:rPr>
        <w:t>Christian theology</w:t>
      </w:r>
      <w:r w:rsidR="00093137" w:rsidRPr="00395EBF">
        <w:rPr>
          <w:rFonts w:cs="Times New Roman"/>
          <w:szCs w:val="24"/>
        </w:rPr>
        <w:t xml:space="preserve"> such as the Trinity and the Incarnation</w:t>
      </w:r>
      <w:r w:rsidR="00C62F7E">
        <w:rPr>
          <w:rFonts w:cs="Times New Roman"/>
          <w:szCs w:val="24"/>
        </w:rPr>
        <w:t>, Leibniz did</w:t>
      </w:r>
      <w:r w:rsidRPr="00395EBF">
        <w:rPr>
          <w:rFonts w:cs="Times New Roman"/>
          <w:szCs w:val="24"/>
        </w:rPr>
        <w:t xml:space="preserve"> not adopt a minimalist dogmatic attitude </w:t>
      </w:r>
      <w:r w:rsidR="00517EF3" w:rsidRPr="00395EBF">
        <w:rPr>
          <w:rFonts w:cs="Times New Roman"/>
          <w:szCs w:val="24"/>
        </w:rPr>
        <w:t xml:space="preserve">in </w:t>
      </w:r>
      <w:r w:rsidR="00C62F7E">
        <w:rPr>
          <w:rFonts w:cs="Times New Roman"/>
          <w:szCs w:val="24"/>
        </w:rPr>
        <w:t xml:space="preserve">the </w:t>
      </w:r>
      <w:r w:rsidR="00517EF3" w:rsidRPr="00395EBF">
        <w:rPr>
          <w:rFonts w:cs="Times New Roman"/>
          <w:szCs w:val="24"/>
        </w:rPr>
        <w:t xml:space="preserve">service of his </w:t>
      </w:r>
      <w:proofErr w:type="spellStart"/>
      <w:r w:rsidR="00093137" w:rsidRPr="00395EBF">
        <w:rPr>
          <w:rFonts w:cs="Times New Roman"/>
          <w:szCs w:val="24"/>
        </w:rPr>
        <w:t>irenicism</w:t>
      </w:r>
      <w:proofErr w:type="spellEnd"/>
      <w:r w:rsidR="00517EF3" w:rsidRPr="00395EBF">
        <w:rPr>
          <w:rFonts w:cs="Times New Roman"/>
          <w:szCs w:val="24"/>
        </w:rPr>
        <w:t xml:space="preserve"> and ecumenism</w:t>
      </w:r>
      <w:r w:rsidR="00C62F7E">
        <w:rPr>
          <w:rFonts w:cs="Times New Roman"/>
          <w:szCs w:val="24"/>
        </w:rPr>
        <w:t xml:space="preserve">. </w:t>
      </w:r>
      <w:r w:rsidR="00796663">
        <w:rPr>
          <w:rFonts w:cs="Times New Roman"/>
          <w:szCs w:val="24"/>
        </w:rPr>
        <w:t>For instance, h</w:t>
      </w:r>
      <w:r w:rsidR="00C62F7E">
        <w:rPr>
          <w:rFonts w:cs="Times New Roman"/>
          <w:szCs w:val="24"/>
        </w:rPr>
        <w:t>e did</w:t>
      </w:r>
      <w:r w:rsidR="00165DDF">
        <w:rPr>
          <w:rFonts w:cs="Times New Roman"/>
          <w:szCs w:val="24"/>
        </w:rPr>
        <w:t xml:space="preserve"> not </w:t>
      </w:r>
      <w:r w:rsidR="00983BA5" w:rsidRPr="00395EBF">
        <w:rPr>
          <w:rFonts w:cs="Times New Roman"/>
          <w:szCs w:val="24"/>
        </w:rPr>
        <w:t xml:space="preserve">embrace the controversial but </w:t>
      </w:r>
      <w:r w:rsidR="006F2BD0" w:rsidRPr="00395EBF">
        <w:rPr>
          <w:rFonts w:cs="Times New Roman"/>
          <w:szCs w:val="24"/>
        </w:rPr>
        <w:t xml:space="preserve">(amongst protestants) </w:t>
      </w:r>
      <w:r w:rsidR="00983BA5" w:rsidRPr="00395EBF">
        <w:rPr>
          <w:rFonts w:cs="Times New Roman"/>
          <w:szCs w:val="24"/>
        </w:rPr>
        <w:t>well established doctrine of a distinction between fundamental and non-fundamental articles of faith accord</w:t>
      </w:r>
      <w:r w:rsidR="00093137" w:rsidRPr="00395EBF">
        <w:rPr>
          <w:rFonts w:cs="Times New Roman"/>
          <w:szCs w:val="24"/>
        </w:rPr>
        <w:t>ing to which all fundamental article</w:t>
      </w:r>
      <w:r w:rsidR="00983BA5" w:rsidRPr="00395EBF">
        <w:rPr>
          <w:rFonts w:cs="Times New Roman"/>
          <w:szCs w:val="24"/>
        </w:rPr>
        <w:t>s</w:t>
      </w:r>
      <w:r w:rsidR="00093137" w:rsidRPr="00395EBF">
        <w:rPr>
          <w:rFonts w:cs="Times New Roman"/>
          <w:szCs w:val="24"/>
        </w:rPr>
        <w:t xml:space="preserve"> </w:t>
      </w:r>
      <w:r w:rsidR="00983BA5" w:rsidRPr="00395EBF">
        <w:rPr>
          <w:rFonts w:cs="Times New Roman"/>
          <w:szCs w:val="24"/>
        </w:rPr>
        <w:t xml:space="preserve">of faith are to be found </w:t>
      </w:r>
      <w:r w:rsidR="00983BA5" w:rsidRPr="00395EBF">
        <w:rPr>
          <w:rFonts w:cs="Times New Roman"/>
          <w:i/>
          <w:szCs w:val="24"/>
        </w:rPr>
        <w:t xml:space="preserve">in </w:t>
      </w:r>
      <w:proofErr w:type="spellStart"/>
      <w:r w:rsidR="00983BA5" w:rsidRPr="00395EBF">
        <w:rPr>
          <w:rFonts w:cs="Times New Roman"/>
          <w:i/>
          <w:szCs w:val="24"/>
        </w:rPr>
        <w:t>terminis</w:t>
      </w:r>
      <w:proofErr w:type="spellEnd"/>
      <w:r w:rsidR="00983BA5" w:rsidRPr="00395EBF">
        <w:rPr>
          <w:rFonts w:cs="Times New Roman"/>
          <w:szCs w:val="24"/>
        </w:rPr>
        <w:t xml:space="preserve"> in Scripture</w:t>
      </w:r>
      <w:r w:rsidR="00C62F7E">
        <w:rPr>
          <w:rFonts w:cs="Times New Roman"/>
          <w:szCs w:val="24"/>
        </w:rPr>
        <w:t>,</w:t>
      </w:r>
      <w:r w:rsidR="00093137" w:rsidRPr="00395EBF">
        <w:rPr>
          <w:rFonts w:cs="Times New Roman"/>
          <w:szCs w:val="24"/>
        </w:rPr>
        <w:t xml:space="preserve"> and </w:t>
      </w:r>
      <w:r w:rsidR="00C62F7E">
        <w:rPr>
          <w:rFonts w:cs="Times New Roman"/>
          <w:szCs w:val="24"/>
        </w:rPr>
        <w:t xml:space="preserve">only </w:t>
      </w:r>
      <w:r w:rsidR="00093137" w:rsidRPr="00395EBF">
        <w:rPr>
          <w:rFonts w:cs="Times New Roman"/>
          <w:szCs w:val="24"/>
        </w:rPr>
        <w:t xml:space="preserve">belief in such </w:t>
      </w:r>
      <w:r w:rsidR="00C62F7E">
        <w:rPr>
          <w:rFonts w:cs="Times New Roman"/>
          <w:szCs w:val="24"/>
        </w:rPr>
        <w:t>fundam</w:t>
      </w:r>
      <w:r w:rsidR="00A36A09">
        <w:rPr>
          <w:rFonts w:cs="Times New Roman"/>
          <w:szCs w:val="24"/>
        </w:rPr>
        <w:t>ental articles is required for s</w:t>
      </w:r>
      <w:r w:rsidR="00093137" w:rsidRPr="00395EBF">
        <w:rPr>
          <w:rFonts w:cs="Times New Roman"/>
          <w:szCs w:val="24"/>
        </w:rPr>
        <w:t>alvation.</w:t>
      </w:r>
      <w:r w:rsidR="00B93073">
        <w:rPr>
          <w:rStyle w:val="FootnoteReference"/>
          <w:rFonts w:cs="Times New Roman"/>
          <w:szCs w:val="24"/>
        </w:rPr>
        <w:footnoteReference w:id="28"/>
      </w:r>
      <w:r w:rsidR="00AD20FF" w:rsidRPr="00395EBF">
        <w:rPr>
          <w:rFonts w:cs="Times New Roman"/>
          <w:szCs w:val="24"/>
        </w:rPr>
        <w:t xml:space="preserve"> </w:t>
      </w:r>
      <w:r w:rsidR="004E7707">
        <w:rPr>
          <w:rFonts w:cs="Times New Roman"/>
          <w:szCs w:val="24"/>
        </w:rPr>
        <w:t xml:space="preserve">This doctrine had been proposed in protestant circles (notably </w:t>
      </w:r>
      <w:r w:rsidR="0036303A">
        <w:rPr>
          <w:rFonts w:cs="Times New Roman"/>
          <w:szCs w:val="24"/>
        </w:rPr>
        <w:t xml:space="preserve">by </w:t>
      </w:r>
      <w:r w:rsidR="004E7707">
        <w:rPr>
          <w:rFonts w:cs="Times New Roman"/>
          <w:szCs w:val="24"/>
        </w:rPr>
        <w:t xml:space="preserve">the Dutch </w:t>
      </w:r>
      <w:proofErr w:type="spellStart"/>
      <w:r w:rsidR="004E7707">
        <w:rPr>
          <w:rFonts w:cs="Times New Roman"/>
          <w:szCs w:val="24"/>
        </w:rPr>
        <w:t>Remostrants</w:t>
      </w:r>
      <w:proofErr w:type="spellEnd"/>
      <w:r w:rsidR="004E7707">
        <w:rPr>
          <w:rFonts w:cs="Times New Roman"/>
          <w:szCs w:val="24"/>
        </w:rPr>
        <w:t>)</w:t>
      </w:r>
      <w:r w:rsidR="00780EDB">
        <w:rPr>
          <w:rFonts w:cs="Times New Roman"/>
          <w:szCs w:val="24"/>
        </w:rPr>
        <w:t>,</w:t>
      </w:r>
      <w:r w:rsidR="004E7707">
        <w:rPr>
          <w:rFonts w:cs="Times New Roman"/>
          <w:szCs w:val="24"/>
        </w:rPr>
        <w:t xml:space="preserve"> and had been embraced by illustrious t</w:t>
      </w:r>
      <w:r w:rsidR="00780EDB">
        <w:rPr>
          <w:rFonts w:cs="Times New Roman"/>
          <w:szCs w:val="24"/>
        </w:rPr>
        <w:t>h</w:t>
      </w:r>
      <w:r w:rsidR="004E7707">
        <w:rPr>
          <w:rFonts w:cs="Times New Roman"/>
          <w:szCs w:val="24"/>
        </w:rPr>
        <w:t xml:space="preserve">inkers of the calibre of </w:t>
      </w:r>
      <w:r w:rsidR="00780EDB">
        <w:rPr>
          <w:rFonts w:cs="Times New Roman"/>
          <w:szCs w:val="24"/>
        </w:rPr>
        <w:t xml:space="preserve">Hugo Grotius and </w:t>
      </w:r>
      <w:r w:rsidR="004E7707">
        <w:rPr>
          <w:rFonts w:cs="Times New Roman"/>
          <w:szCs w:val="24"/>
        </w:rPr>
        <w:t>John Locke</w:t>
      </w:r>
      <w:r w:rsidR="00780EDB">
        <w:rPr>
          <w:rFonts w:cs="Times New Roman"/>
          <w:szCs w:val="24"/>
        </w:rPr>
        <w:t>,</w:t>
      </w:r>
      <w:r w:rsidR="004E7707">
        <w:rPr>
          <w:rFonts w:cs="Times New Roman"/>
          <w:szCs w:val="24"/>
        </w:rPr>
        <w:t xml:space="preserve"> as a way to end bloody religious confrontations amongst Christian</w:t>
      </w:r>
      <w:r w:rsidR="00116325">
        <w:rPr>
          <w:rFonts w:cs="Times New Roman"/>
          <w:szCs w:val="24"/>
        </w:rPr>
        <w:t>s</w:t>
      </w:r>
      <w:r w:rsidR="004E7707">
        <w:rPr>
          <w:rFonts w:cs="Times New Roman"/>
          <w:szCs w:val="24"/>
        </w:rPr>
        <w:t xml:space="preserve">. </w:t>
      </w:r>
      <w:r w:rsidR="00116325">
        <w:rPr>
          <w:rFonts w:cs="Times New Roman"/>
          <w:szCs w:val="24"/>
        </w:rPr>
        <w:t>Distinctive doctrines of the Christian revelation</w:t>
      </w:r>
      <w:r w:rsidR="0036303A">
        <w:rPr>
          <w:rFonts w:cs="Times New Roman"/>
          <w:szCs w:val="24"/>
        </w:rPr>
        <w:t>,</w:t>
      </w:r>
      <w:r w:rsidR="005D36CB">
        <w:rPr>
          <w:rFonts w:cs="Times New Roman"/>
          <w:szCs w:val="24"/>
        </w:rPr>
        <w:t xml:space="preserve"> such as the d</w:t>
      </w:r>
      <w:r w:rsidR="00116325">
        <w:rPr>
          <w:rFonts w:cs="Times New Roman"/>
          <w:szCs w:val="24"/>
        </w:rPr>
        <w:t>ivinity of Christ and</w:t>
      </w:r>
      <w:r w:rsidR="004C738B">
        <w:rPr>
          <w:rFonts w:cs="Times New Roman"/>
          <w:szCs w:val="24"/>
        </w:rPr>
        <w:t xml:space="preserve"> </w:t>
      </w:r>
      <w:r w:rsidR="00AD03F8">
        <w:rPr>
          <w:rFonts w:cs="Times New Roman"/>
          <w:szCs w:val="24"/>
        </w:rPr>
        <w:t>the doctrine of the Trinity</w:t>
      </w:r>
      <w:r w:rsidR="0036303A">
        <w:rPr>
          <w:rFonts w:cs="Times New Roman"/>
          <w:szCs w:val="24"/>
        </w:rPr>
        <w:t>,</w:t>
      </w:r>
      <w:r w:rsidR="00AD03F8">
        <w:rPr>
          <w:rFonts w:cs="Times New Roman"/>
          <w:szCs w:val="24"/>
        </w:rPr>
        <w:t xml:space="preserve"> </w:t>
      </w:r>
      <w:proofErr w:type="gramStart"/>
      <w:r w:rsidR="00116325">
        <w:rPr>
          <w:rFonts w:cs="Times New Roman"/>
          <w:szCs w:val="24"/>
        </w:rPr>
        <w:t xml:space="preserve">were </w:t>
      </w:r>
      <w:r w:rsidR="00AD03F8">
        <w:rPr>
          <w:rFonts w:cs="Times New Roman"/>
          <w:szCs w:val="24"/>
        </w:rPr>
        <w:t xml:space="preserve">typically </w:t>
      </w:r>
      <w:r w:rsidR="00116325">
        <w:rPr>
          <w:rFonts w:cs="Times New Roman"/>
          <w:szCs w:val="24"/>
        </w:rPr>
        <w:t xml:space="preserve">underplayed or </w:t>
      </w:r>
      <w:r w:rsidR="0036303A">
        <w:rPr>
          <w:rFonts w:cs="Times New Roman"/>
          <w:szCs w:val="24"/>
        </w:rPr>
        <w:t>passed over in</w:t>
      </w:r>
      <w:r w:rsidR="00116325">
        <w:rPr>
          <w:rFonts w:cs="Times New Roman"/>
          <w:szCs w:val="24"/>
        </w:rPr>
        <w:t xml:space="preserve"> silence</w:t>
      </w:r>
      <w:proofErr w:type="gramEnd"/>
      <w:r w:rsidR="00116325">
        <w:rPr>
          <w:rFonts w:cs="Times New Roman"/>
          <w:szCs w:val="24"/>
        </w:rPr>
        <w:t xml:space="preserve"> </w:t>
      </w:r>
      <w:r w:rsidR="0036303A">
        <w:rPr>
          <w:rFonts w:cs="Times New Roman"/>
          <w:szCs w:val="24"/>
        </w:rPr>
        <w:t xml:space="preserve">altogether </w:t>
      </w:r>
      <w:r w:rsidR="00116325">
        <w:rPr>
          <w:rFonts w:cs="Times New Roman"/>
          <w:szCs w:val="24"/>
        </w:rPr>
        <w:t xml:space="preserve">by those pointing to </w:t>
      </w:r>
      <w:r w:rsidR="005D36CB">
        <w:rPr>
          <w:rFonts w:cs="Times New Roman"/>
          <w:i/>
          <w:szCs w:val="24"/>
        </w:rPr>
        <w:t>s</w:t>
      </w:r>
      <w:r w:rsidR="00116325" w:rsidRPr="00116325">
        <w:rPr>
          <w:rFonts w:cs="Times New Roman"/>
          <w:i/>
          <w:szCs w:val="24"/>
        </w:rPr>
        <w:t>ola Scriptura</w:t>
      </w:r>
      <w:r w:rsidR="00116325">
        <w:rPr>
          <w:rFonts w:cs="Times New Roman"/>
          <w:szCs w:val="24"/>
        </w:rPr>
        <w:t xml:space="preserve"> as the </w:t>
      </w:r>
      <w:r w:rsidR="00421071">
        <w:rPr>
          <w:rFonts w:cs="Times New Roman"/>
          <w:szCs w:val="24"/>
        </w:rPr>
        <w:t>explicit source</w:t>
      </w:r>
      <w:r w:rsidR="00D51D2D">
        <w:rPr>
          <w:rFonts w:cs="Times New Roman"/>
          <w:szCs w:val="24"/>
        </w:rPr>
        <w:t xml:space="preserve"> of all </w:t>
      </w:r>
      <w:r w:rsidR="00116325">
        <w:rPr>
          <w:rFonts w:cs="Times New Roman"/>
          <w:szCs w:val="24"/>
        </w:rPr>
        <w:t xml:space="preserve">articles of faith </w:t>
      </w:r>
      <w:r w:rsidR="00D51D2D">
        <w:rPr>
          <w:rFonts w:cs="Times New Roman"/>
          <w:szCs w:val="24"/>
        </w:rPr>
        <w:t xml:space="preserve">necessary and </w:t>
      </w:r>
      <w:r w:rsidR="00165DDF">
        <w:rPr>
          <w:rFonts w:cs="Times New Roman"/>
          <w:szCs w:val="24"/>
        </w:rPr>
        <w:t>sufficient to s</w:t>
      </w:r>
      <w:r w:rsidR="00D51D2D">
        <w:rPr>
          <w:rFonts w:cs="Times New Roman"/>
          <w:szCs w:val="24"/>
        </w:rPr>
        <w:t>alvation.</w:t>
      </w:r>
      <w:r w:rsidR="00E15490">
        <w:rPr>
          <w:rStyle w:val="FootnoteReference"/>
          <w:rFonts w:cs="Times New Roman"/>
          <w:szCs w:val="24"/>
        </w:rPr>
        <w:footnoteReference w:id="29"/>
      </w:r>
      <w:r w:rsidR="00D51D2D">
        <w:rPr>
          <w:rFonts w:cs="Times New Roman"/>
          <w:szCs w:val="24"/>
        </w:rPr>
        <w:t xml:space="preserve"> </w:t>
      </w:r>
      <w:r w:rsidR="00E15490">
        <w:rPr>
          <w:rFonts w:cs="Times New Roman"/>
          <w:szCs w:val="24"/>
        </w:rPr>
        <w:t>Leibniz</w:t>
      </w:r>
      <w:r w:rsidR="00355D1A">
        <w:rPr>
          <w:rFonts w:cs="Times New Roman"/>
          <w:szCs w:val="24"/>
        </w:rPr>
        <w:t>, however,</w:t>
      </w:r>
      <w:r w:rsidR="00E15490">
        <w:rPr>
          <w:rFonts w:cs="Times New Roman"/>
          <w:szCs w:val="24"/>
        </w:rPr>
        <w:t xml:space="preserve"> </w:t>
      </w:r>
      <w:r w:rsidR="00D22C77">
        <w:rPr>
          <w:rFonts w:cs="Times New Roman"/>
          <w:szCs w:val="24"/>
        </w:rPr>
        <w:t>acknowledged</w:t>
      </w:r>
      <w:r w:rsidR="00D51D2D">
        <w:rPr>
          <w:rFonts w:cs="Times New Roman"/>
          <w:szCs w:val="24"/>
        </w:rPr>
        <w:t xml:space="preserve"> </w:t>
      </w:r>
      <w:r w:rsidR="000A7E3C">
        <w:rPr>
          <w:rFonts w:cs="Times New Roman"/>
          <w:szCs w:val="24"/>
        </w:rPr>
        <w:t>that</w:t>
      </w:r>
      <w:r w:rsidR="00355D1A">
        <w:rPr>
          <w:rFonts w:cs="Times New Roman"/>
          <w:szCs w:val="24"/>
        </w:rPr>
        <w:t xml:space="preserve">, even </w:t>
      </w:r>
      <w:r w:rsidR="000A7E3C">
        <w:rPr>
          <w:rFonts w:cs="Times New Roman"/>
          <w:szCs w:val="24"/>
        </w:rPr>
        <w:t>on fundam</w:t>
      </w:r>
      <w:r w:rsidR="00165DDF">
        <w:rPr>
          <w:rFonts w:cs="Times New Roman"/>
          <w:szCs w:val="24"/>
        </w:rPr>
        <w:t>ental issues with a bearing on s</w:t>
      </w:r>
      <w:r w:rsidR="000A7E3C">
        <w:rPr>
          <w:rFonts w:cs="Times New Roman"/>
          <w:szCs w:val="24"/>
        </w:rPr>
        <w:t>alvation</w:t>
      </w:r>
      <w:r w:rsidR="00355D1A">
        <w:rPr>
          <w:rFonts w:cs="Times New Roman"/>
          <w:szCs w:val="24"/>
        </w:rPr>
        <w:t>,</w:t>
      </w:r>
      <w:r w:rsidR="000A7E3C">
        <w:rPr>
          <w:rFonts w:cs="Times New Roman"/>
          <w:szCs w:val="24"/>
        </w:rPr>
        <w:t xml:space="preserve"> </w:t>
      </w:r>
      <w:r w:rsidR="00E15490">
        <w:rPr>
          <w:rFonts w:cs="Times New Roman"/>
          <w:szCs w:val="24"/>
        </w:rPr>
        <w:t xml:space="preserve">a correct interpretation of Scripture </w:t>
      </w:r>
      <w:r w:rsidR="00CD45DF">
        <w:rPr>
          <w:rFonts w:cs="Times New Roman"/>
          <w:szCs w:val="24"/>
        </w:rPr>
        <w:t>requires the mediation of the truly universal Christian tradition.</w:t>
      </w:r>
      <w:r w:rsidR="00CD45DF">
        <w:rPr>
          <w:rStyle w:val="FootnoteReference"/>
          <w:rFonts w:cs="Times New Roman"/>
          <w:szCs w:val="24"/>
        </w:rPr>
        <w:footnoteReference w:id="30"/>
      </w:r>
      <w:r w:rsidR="004C738B">
        <w:rPr>
          <w:rFonts w:cs="Times New Roman"/>
          <w:szCs w:val="24"/>
        </w:rPr>
        <w:t xml:space="preserve"> Moreover, </w:t>
      </w:r>
      <w:r w:rsidR="000D13B3">
        <w:rPr>
          <w:rFonts w:cs="Times New Roman"/>
          <w:szCs w:val="24"/>
        </w:rPr>
        <w:t xml:space="preserve">in his own theological writings, </w:t>
      </w:r>
      <w:r w:rsidR="004C738B">
        <w:rPr>
          <w:rFonts w:cs="Times New Roman"/>
          <w:szCs w:val="24"/>
        </w:rPr>
        <w:t xml:space="preserve">far from marginalizing </w:t>
      </w:r>
      <w:r w:rsidR="000D13B3">
        <w:rPr>
          <w:rFonts w:cs="Times New Roman"/>
          <w:szCs w:val="24"/>
        </w:rPr>
        <w:t xml:space="preserve">controversial dogmas </w:t>
      </w:r>
      <w:r w:rsidR="002A16BF">
        <w:rPr>
          <w:rFonts w:cs="Times New Roman"/>
          <w:szCs w:val="24"/>
        </w:rPr>
        <w:t>(</w:t>
      </w:r>
      <w:r w:rsidR="000D13B3">
        <w:rPr>
          <w:rFonts w:cs="Times New Roman"/>
          <w:szCs w:val="24"/>
        </w:rPr>
        <w:t>such as</w:t>
      </w:r>
      <w:r w:rsidR="002A16BF">
        <w:rPr>
          <w:rFonts w:cs="Times New Roman"/>
          <w:szCs w:val="24"/>
        </w:rPr>
        <w:t xml:space="preserve">, </w:t>
      </w:r>
      <w:r w:rsidR="000D13B3">
        <w:rPr>
          <w:rFonts w:cs="Times New Roman"/>
          <w:szCs w:val="24"/>
        </w:rPr>
        <w:t>above all</w:t>
      </w:r>
      <w:r w:rsidR="002A16BF">
        <w:rPr>
          <w:rFonts w:cs="Times New Roman"/>
          <w:szCs w:val="24"/>
        </w:rPr>
        <w:t>,</w:t>
      </w:r>
      <w:r w:rsidR="000D13B3">
        <w:rPr>
          <w:rFonts w:cs="Times New Roman"/>
          <w:szCs w:val="24"/>
        </w:rPr>
        <w:t xml:space="preserve"> the Trinity</w:t>
      </w:r>
      <w:r w:rsidR="002A16BF">
        <w:rPr>
          <w:rFonts w:cs="Times New Roman"/>
          <w:szCs w:val="24"/>
        </w:rPr>
        <w:t>)</w:t>
      </w:r>
      <w:r w:rsidR="000D13B3">
        <w:rPr>
          <w:rFonts w:cs="Times New Roman"/>
          <w:szCs w:val="24"/>
        </w:rPr>
        <w:t xml:space="preserve">, in favour of the promotion of a purely rational natural religion, Leibniz </w:t>
      </w:r>
      <w:r w:rsidR="00AD03F8">
        <w:rPr>
          <w:rFonts w:cs="Times New Roman"/>
          <w:szCs w:val="24"/>
        </w:rPr>
        <w:t xml:space="preserve">proposed his own distinctive and </w:t>
      </w:r>
      <w:r w:rsidR="00AD03F8">
        <w:rPr>
          <w:rFonts w:cs="Times New Roman"/>
          <w:szCs w:val="24"/>
        </w:rPr>
        <w:lastRenderedPageBreak/>
        <w:t>remarkably sophisticated doctrines ‘De Deo Trino’ and ‘De Persona Christi’</w:t>
      </w:r>
      <w:r w:rsidR="004F2916">
        <w:rPr>
          <w:rFonts w:cs="Times New Roman"/>
          <w:szCs w:val="24"/>
        </w:rPr>
        <w:t>, in which he sided with certain specific theological positions while firmly opposing others</w:t>
      </w:r>
      <w:r w:rsidR="00AD03F8">
        <w:rPr>
          <w:rFonts w:cs="Times New Roman"/>
          <w:szCs w:val="24"/>
        </w:rPr>
        <w:t>.</w:t>
      </w:r>
      <w:r w:rsidR="00AD03F8">
        <w:rPr>
          <w:rStyle w:val="FootnoteReference"/>
          <w:rFonts w:cs="Times New Roman"/>
          <w:szCs w:val="24"/>
        </w:rPr>
        <w:footnoteReference w:id="31"/>
      </w:r>
    </w:p>
    <w:p w:rsidR="00A413D3" w:rsidRDefault="00431FD0" w:rsidP="007B7129">
      <w:pPr>
        <w:autoSpaceDE w:val="0"/>
        <w:autoSpaceDN w:val="0"/>
        <w:adjustRightInd w:val="0"/>
        <w:spacing w:line="360" w:lineRule="auto"/>
        <w:ind w:firstLine="720"/>
        <w:rPr>
          <w:rFonts w:cs="Times New Roman"/>
          <w:szCs w:val="24"/>
        </w:rPr>
      </w:pPr>
      <w:r>
        <w:rPr>
          <w:rFonts w:cs="Times New Roman"/>
          <w:szCs w:val="24"/>
        </w:rPr>
        <w:t>For instance</w:t>
      </w:r>
      <w:r w:rsidR="00C62F7E">
        <w:rPr>
          <w:rFonts w:cs="Times New Roman"/>
          <w:szCs w:val="24"/>
        </w:rPr>
        <w:t xml:space="preserve">, </w:t>
      </w:r>
      <w:r w:rsidR="00E00FC0">
        <w:rPr>
          <w:rFonts w:cs="Times New Roman"/>
          <w:szCs w:val="24"/>
        </w:rPr>
        <w:t xml:space="preserve">with regard to his Christology, </w:t>
      </w:r>
      <w:r w:rsidR="00796663">
        <w:rPr>
          <w:rFonts w:cs="Times New Roman"/>
          <w:szCs w:val="24"/>
        </w:rPr>
        <w:t>Leibniz was</w:t>
      </w:r>
      <w:r w:rsidR="00AD20FF" w:rsidRPr="00395EBF">
        <w:rPr>
          <w:rFonts w:cs="Times New Roman"/>
          <w:szCs w:val="24"/>
        </w:rPr>
        <w:t xml:space="preserve"> committed to rejecting doctrines which in his view imply contradiction</w:t>
      </w:r>
      <w:r w:rsidR="00355D1A">
        <w:rPr>
          <w:rFonts w:cs="Times New Roman"/>
          <w:szCs w:val="24"/>
        </w:rPr>
        <w:t>,</w:t>
      </w:r>
      <w:r w:rsidR="00AD20FF" w:rsidRPr="00395EBF">
        <w:rPr>
          <w:rFonts w:cs="Times New Roman"/>
          <w:szCs w:val="24"/>
        </w:rPr>
        <w:t xml:space="preserve"> such as the </w:t>
      </w:r>
      <w:proofErr w:type="spellStart"/>
      <w:r w:rsidR="00AD20FF" w:rsidRPr="00395EBF">
        <w:rPr>
          <w:rFonts w:cs="Times New Roman"/>
          <w:i/>
          <w:szCs w:val="24"/>
        </w:rPr>
        <w:t>communicatio</w:t>
      </w:r>
      <w:proofErr w:type="spellEnd"/>
      <w:r w:rsidR="00AD20FF" w:rsidRPr="00395EBF">
        <w:rPr>
          <w:rFonts w:cs="Times New Roman"/>
          <w:i/>
          <w:szCs w:val="24"/>
        </w:rPr>
        <w:t xml:space="preserve"> </w:t>
      </w:r>
      <w:proofErr w:type="spellStart"/>
      <w:r w:rsidR="00AD20FF" w:rsidRPr="00395EBF">
        <w:rPr>
          <w:rFonts w:cs="Times New Roman"/>
          <w:i/>
          <w:szCs w:val="24"/>
        </w:rPr>
        <w:t>idiomatum</w:t>
      </w:r>
      <w:proofErr w:type="spellEnd"/>
      <w:r w:rsidR="00AD20FF" w:rsidRPr="00395EBF">
        <w:rPr>
          <w:rFonts w:cs="Times New Roman"/>
          <w:szCs w:val="24"/>
        </w:rPr>
        <w:t xml:space="preserve"> (that is, the communication of properties between the human and divine nature of Ch</w:t>
      </w:r>
      <w:r w:rsidR="00355D1A">
        <w:rPr>
          <w:rFonts w:cs="Times New Roman"/>
          <w:szCs w:val="24"/>
        </w:rPr>
        <w:t>rist) despite the fact that this</w:t>
      </w:r>
      <w:r w:rsidR="00AD20FF" w:rsidRPr="00395EBF">
        <w:rPr>
          <w:rFonts w:cs="Times New Roman"/>
          <w:szCs w:val="24"/>
        </w:rPr>
        <w:t xml:space="preserve"> </w:t>
      </w:r>
      <w:r w:rsidR="007A54F9" w:rsidRPr="00395EBF">
        <w:rPr>
          <w:rFonts w:cs="Times New Roman"/>
          <w:szCs w:val="24"/>
        </w:rPr>
        <w:t>doctrine was widely accepted</w:t>
      </w:r>
      <w:r w:rsidR="00AD20FF" w:rsidRPr="00395EBF">
        <w:rPr>
          <w:rFonts w:cs="Times New Roman"/>
          <w:szCs w:val="24"/>
        </w:rPr>
        <w:t xml:space="preserve"> in Lutheran circles in the form of </w:t>
      </w:r>
      <w:proofErr w:type="spellStart"/>
      <w:r w:rsidR="00AD20FF" w:rsidRPr="00395EBF">
        <w:rPr>
          <w:rFonts w:cs="Times New Roman"/>
          <w:szCs w:val="24"/>
        </w:rPr>
        <w:t>Ubiquitism</w:t>
      </w:r>
      <w:proofErr w:type="spellEnd"/>
      <w:r w:rsidR="00AD20FF" w:rsidRPr="00395EBF">
        <w:rPr>
          <w:rFonts w:cs="Times New Roman"/>
          <w:szCs w:val="24"/>
        </w:rPr>
        <w:t>.</w:t>
      </w:r>
      <w:r w:rsidR="00B93073">
        <w:rPr>
          <w:rStyle w:val="FootnoteReference"/>
          <w:rFonts w:cs="Times New Roman"/>
          <w:szCs w:val="24"/>
        </w:rPr>
        <w:footnoteReference w:id="32"/>
      </w:r>
      <w:r w:rsidR="00FD7430" w:rsidRPr="00395EBF">
        <w:rPr>
          <w:rFonts w:cs="Times New Roman"/>
          <w:szCs w:val="24"/>
        </w:rPr>
        <w:t xml:space="preserve"> This is</w:t>
      </w:r>
      <w:r w:rsidR="00C62F7E">
        <w:rPr>
          <w:rFonts w:cs="Times New Roman"/>
          <w:szCs w:val="24"/>
        </w:rPr>
        <w:t>, in my view,</w:t>
      </w:r>
      <w:r w:rsidR="00FD7430" w:rsidRPr="00395EBF">
        <w:rPr>
          <w:rFonts w:cs="Times New Roman"/>
          <w:szCs w:val="24"/>
        </w:rPr>
        <w:t xml:space="preserve"> </w:t>
      </w:r>
      <w:r w:rsidR="00090649">
        <w:rPr>
          <w:rFonts w:cs="Times New Roman"/>
          <w:szCs w:val="24"/>
        </w:rPr>
        <w:t xml:space="preserve">evidence </w:t>
      </w:r>
      <w:r w:rsidR="00FD7430" w:rsidRPr="00395EBF">
        <w:rPr>
          <w:rFonts w:cs="Times New Roman"/>
          <w:szCs w:val="24"/>
        </w:rPr>
        <w:t xml:space="preserve">that Leibniz, as a </w:t>
      </w:r>
      <w:r w:rsidR="00421071">
        <w:rPr>
          <w:rFonts w:cs="Times New Roman"/>
          <w:szCs w:val="24"/>
        </w:rPr>
        <w:t>Christian theologian, was</w:t>
      </w:r>
      <w:r w:rsidR="000E1ED8" w:rsidRPr="00395EBF">
        <w:rPr>
          <w:rFonts w:cs="Times New Roman"/>
          <w:szCs w:val="24"/>
        </w:rPr>
        <w:t xml:space="preserve"> committed to</w:t>
      </w:r>
      <w:r w:rsidR="00FD7430" w:rsidRPr="00395EBF">
        <w:rPr>
          <w:rFonts w:cs="Times New Roman"/>
          <w:szCs w:val="24"/>
        </w:rPr>
        <w:t xml:space="preserve"> the task of devel</w:t>
      </w:r>
      <w:r w:rsidR="000E1ED8" w:rsidRPr="00395EBF">
        <w:rPr>
          <w:rFonts w:cs="Times New Roman"/>
          <w:szCs w:val="24"/>
        </w:rPr>
        <w:t>oping a robust and rationally defensible</w:t>
      </w:r>
      <w:r w:rsidR="00FD7430" w:rsidRPr="00395EBF">
        <w:rPr>
          <w:rFonts w:cs="Times New Roman"/>
          <w:szCs w:val="24"/>
        </w:rPr>
        <w:t xml:space="preserve"> Christian </w:t>
      </w:r>
      <w:r w:rsidR="000E1ED8" w:rsidRPr="00395EBF">
        <w:rPr>
          <w:rFonts w:cs="Times New Roman"/>
          <w:szCs w:val="24"/>
        </w:rPr>
        <w:t xml:space="preserve">dogmatic </w:t>
      </w:r>
      <w:r w:rsidR="002A3437" w:rsidRPr="00395EBF">
        <w:rPr>
          <w:rFonts w:cs="Times New Roman"/>
          <w:szCs w:val="24"/>
        </w:rPr>
        <w:t xml:space="preserve">free of absurdities </w:t>
      </w:r>
      <w:r w:rsidR="000E1ED8" w:rsidRPr="00395EBF">
        <w:rPr>
          <w:rFonts w:cs="Times New Roman"/>
          <w:szCs w:val="24"/>
        </w:rPr>
        <w:t>in the technical sense of not implying contra</w:t>
      </w:r>
      <w:r w:rsidR="002A3437" w:rsidRPr="00395EBF">
        <w:rPr>
          <w:rFonts w:cs="Times New Roman"/>
          <w:szCs w:val="24"/>
        </w:rPr>
        <w:t>ction</w:t>
      </w:r>
      <w:r w:rsidR="001B3430" w:rsidRPr="00395EBF">
        <w:rPr>
          <w:rFonts w:cs="Times New Roman"/>
          <w:szCs w:val="24"/>
        </w:rPr>
        <w:t>. A</w:t>
      </w:r>
      <w:r w:rsidR="007A0BAE" w:rsidRPr="00395EBF">
        <w:rPr>
          <w:rFonts w:cs="Times New Roman"/>
          <w:szCs w:val="24"/>
        </w:rPr>
        <w:t xml:space="preserve">s any other </w:t>
      </w:r>
      <w:r w:rsidR="007C7727" w:rsidRPr="00395EBF">
        <w:rPr>
          <w:rFonts w:cs="Times New Roman"/>
          <w:szCs w:val="24"/>
        </w:rPr>
        <w:t>theologian who</w:t>
      </w:r>
      <w:r w:rsidR="000E1ED8" w:rsidRPr="00395EBF">
        <w:rPr>
          <w:rFonts w:cs="Times New Roman"/>
          <w:szCs w:val="24"/>
        </w:rPr>
        <w:t xml:space="preserve"> takes the theoretical dogmatic content of Christianity seriously</w:t>
      </w:r>
      <w:r w:rsidR="001B3430" w:rsidRPr="00395EBF">
        <w:rPr>
          <w:rFonts w:cs="Times New Roman"/>
          <w:szCs w:val="24"/>
        </w:rPr>
        <w:t>, Leibniz was very far</w:t>
      </w:r>
      <w:r w:rsidR="000E1ED8" w:rsidRPr="00395EBF">
        <w:rPr>
          <w:rFonts w:cs="Times New Roman"/>
          <w:szCs w:val="24"/>
        </w:rPr>
        <w:t xml:space="preserve"> from regarding Christian doctrines on the nature of God as poetical or </w:t>
      </w:r>
      <w:r w:rsidR="007A0BAE" w:rsidRPr="00395EBF">
        <w:rPr>
          <w:rFonts w:cs="Times New Roman"/>
          <w:szCs w:val="24"/>
        </w:rPr>
        <w:t xml:space="preserve">mythological </w:t>
      </w:r>
      <w:r w:rsidR="007C7727" w:rsidRPr="00395EBF">
        <w:rPr>
          <w:rFonts w:cs="Times New Roman"/>
          <w:szCs w:val="24"/>
        </w:rPr>
        <w:t>expressions</w:t>
      </w:r>
      <w:r w:rsidR="000B2102">
        <w:rPr>
          <w:rFonts w:cs="Times New Roman"/>
          <w:szCs w:val="24"/>
        </w:rPr>
        <w:t>,</w:t>
      </w:r>
      <w:r w:rsidR="007C7727" w:rsidRPr="00395EBF">
        <w:rPr>
          <w:rFonts w:cs="Times New Roman"/>
          <w:szCs w:val="24"/>
        </w:rPr>
        <w:t xml:space="preserve"> </w:t>
      </w:r>
      <w:r w:rsidR="000B2102">
        <w:rPr>
          <w:rFonts w:cs="Times New Roman"/>
          <w:szCs w:val="24"/>
        </w:rPr>
        <w:t>in which any</w:t>
      </w:r>
      <w:r w:rsidR="007A0BAE" w:rsidRPr="00395EBF">
        <w:rPr>
          <w:rFonts w:cs="Times New Roman"/>
          <w:szCs w:val="24"/>
        </w:rPr>
        <w:t>thing goes as long as one is clear that they have no truth content</w:t>
      </w:r>
      <w:r w:rsidR="007C7727" w:rsidRPr="00395EBF">
        <w:rPr>
          <w:rFonts w:cs="Times New Roman"/>
          <w:szCs w:val="24"/>
        </w:rPr>
        <w:t xml:space="preserve"> beyond</w:t>
      </w:r>
      <w:r w:rsidR="000B2102">
        <w:rPr>
          <w:rFonts w:cs="Times New Roman"/>
          <w:szCs w:val="24"/>
        </w:rPr>
        <w:t xml:space="preserve"> conveying in </w:t>
      </w:r>
      <w:r w:rsidR="00E01F64" w:rsidRPr="00395EBF">
        <w:rPr>
          <w:rFonts w:cs="Times New Roman"/>
          <w:szCs w:val="24"/>
        </w:rPr>
        <w:t>vivid and imaginative language</w:t>
      </w:r>
      <w:r w:rsidR="007C7727" w:rsidRPr="00395EBF">
        <w:rPr>
          <w:rFonts w:cs="Times New Roman"/>
          <w:szCs w:val="24"/>
        </w:rPr>
        <w:t xml:space="preserve"> what </w:t>
      </w:r>
      <w:r w:rsidR="001B3430" w:rsidRPr="00395EBF">
        <w:rPr>
          <w:rFonts w:cs="Times New Roman"/>
          <w:szCs w:val="24"/>
        </w:rPr>
        <w:t xml:space="preserve">human reason is </w:t>
      </w:r>
      <w:r w:rsidR="00E01F64" w:rsidRPr="00395EBF">
        <w:rPr>
          <w:rFonts w:cs="Times New Roman"/>
          <w:szCs w:val="24"/>
        </w:rPr>
        <w:t>capable to know on its own about God. T</w:t>
      </w:r>
      <w:r w:rsidR="00471FD1" w:rsidRPr="00395EBF">
        <w:rPr>
          <w:rFonts w:cs="Times New Roman"/>
          <w:szCs w:val="24"/>
        </w:rPr>
        <w:t>hat is, for Leibniz the Bible</w:t>
      </w:r>
      <w:r w:rsidR="002A3437" w:rsidRPr="00395EBF">
        <w:rPr>
          <w:rFonts w:cs="Times New Roman"/>
          <w:szCs w:val="24"/>
        </w:rPr>
        <w:t xml:space="preserve"> was not some m</w:t>
      </w:r>
      <w:r w:rsidR="00471FD1" w:rsidRPr="00395EBF">
        <w:rPr>
          <w:rFonts w:cs="Times New Roman"/>
          <w:szCs w:val="24"/>
        </w:rPr>
        <w:t>ythological epic</w:t>
      </w:r>
      <w:r w:rsidR="00165DDF">
        <w:rPr>
          <w:rFonts w:cs="Times New Roman"/>
          <w:szCs w:val="24"/>
        </w:rPr>
        <w:t xml:space="preserve"> that despite</w:t>
      </w:r>
      <w:r w:rsidR="001B3430" w:rsidRPr="00395EBF">
        <w:rPr>
          <w:rFonts w:cs="Times New Roman"/>
          <w:szCs w:val="24"/>
        </w:rPr>
        <w:t xml:space="preserve"> its </w:t>
      </w:r>
      <w:r w:rsidR="002A3437" w:rsidRPr="00395EBF">
        <w:rPr>
          <w:rFonts w:cs="Times New Roman"/>
          <w:szCs w:val="24"/>
        </w:rPr>
        <w:t>central</w:t>
      </w:r>
      <w:r w:rsidR="001B3430" w:rsidRPr="00395EBF">
        <w:rPr>
          <w:rFonts w:cs="Times New Roman"/>
          <w:szCs w:val="24"/>
        </w:rPr>
        <w:t>ity</w:t>
      </w:r>
      <w:r w:rsidR="00165DDF">
        <w:rPr>
          <w:rFonts w:cs="Times New Roman"/>
          <w:szCs w:val="24"/>
        </w:rPr>
        <w:t xml:space="preserve"> to Western culture</w:t>
      </w:r>
      <w:r w:rsidR="002A3437" w:rsidRPr="00395EBF">
        <w:rPr>
          <w:rFonts w:cs="Times New Roman"/>
          <w:szCs w:val="24"/>
        </w:rPr>
        <w:t xml:space="preserve"> was still in the same category as the </w:t>
      </w:r>
      <w:proofErr w:type="spellStart"/>
      <w:r w:rsidR="002A3437" w:rsidRPr="00395EBF">
        <w:rPr>
          <w:rFonts w:cs="Times New Roman"/>
          <w:i/>
          <w:szCs w:val="24"/>
        </w:rPr>
        <w:t>Uranias</w:t>
      </w:r>
      <w:proofErr w:type="spellEnd"/>
      <w:r w:rsidR="002A3437" w:rsidRPr="00395EBF">
        <w:rPr>
          <w:rFonts w:cs="Times New Roman"/>
          <w:szCs w:val="24"/>
        </w:rPr>
        <w:t xml:space="preserve"> to which he devoted time and effort at the end of his life.</w:t>
      </w:r>
      <w:r w:rsidR="00796663">
        <w:rPr>
          <w:rStyle w:val="FootnoteReference"/>
          <w:rFonts w:cs="Times New Roman"/>
          <w:szCs w:val="24"/>
        </w:rPr>
        <w:footnoteReference w:id="33"/>
      </w:r>
      <w:r w:rsidR="00E01F64" w:rsidRPr="00395EBF">
        <w:rPr>
          <w:rFonts w:cs="Times New Roman"/>
          <w:szCs w:val="24"/>
        </w:rPr>
        <w:t xml:space="preserve"> </w:t>
      </w:r>
      <w:r w:rsidR="00FC5F0F" w:rsidRPr="00395EBF">
        <w:rPr>
          <w:rFonts w:cs="Times New Roman"/>
          <w:szCs w:val="24"/>
        </w:rPr>
        <w:t>Christian dogmatic had</w:t>
      </w:r>
      <w:r w:rsidR="00747994" w:rsidRPr="00395EBF">
        <w:rPr>
          <w:rFonts w:cs="Times New Roman"/>
          <w:szCs w:val="24"/>
        </w:rPr>
        <w:t xml:space="preserve"> for him</w:t>
      </w:r>
      <w:r w:rsidR="00FC5F0F" w:rsidRPr="00395EBF">
        <w:rPr>
          <w:rFonts w:cs="Times New Roman"/>
          <w:szCs w:val="24"/>
        </w:rPr>
        <w:t xml:space="preserve"> a </w:t>
      </w:r>
      <w:r w:rsidR="00747994" w:rsidRPr="00395EBF">
        <w:rPr>
          <w:rFonts w:cs="Times New Roman"/>
          <w:szCs w:val="24"/>
        </w:rPr>
        <w:t xml:space="preserve">genuine </w:t>
      </w:r>
      <w:r w:rsidR="00FC5F0F" w:rsidRPr="00395EBF">
        <w:rPr>
          <w:rFonts w:cs="Times New Roman"/>
          <w:szCs w:val="24"/>
        </w:rPr>
        <w:t xml:space="preserve">claim to expressing truths above human reason </w:t>
      </w:r>
      <w:r w:rsidR="00B34D5D" w:rsidRPr="00395EBF">
        <w:rPr>
          <w:rFonts w:cs="Times New Roman"/>
          <w:szCs w:val="24"/>
        </w:rPr>
        <w:t xml:space="preserve">while at the same time </w:t>
      </w:r>
      <w:r w:rsidR="00FC5F0F" w:rsidRPr="00395EBF">
        <w:rPr>
          <w:rFonts w:cs="Times New Roman"/>
          <w:szCs w:val="24"/>
        </w:rPr>
        <w:t>still need</w:t>
      </w:r>
      <w:r w:rsidR="00B34D5D" w:rsidRPr="00395EBF">
        <w:rPr>
          <w:rFonts w:cs="Times New Roman"/>
          <w:szCs w:val="24"/>
        </w:rPr>
        <w:t>ing</w:t>
      </w:r>
      <w:r w:rsidR="00165DDF">
        <w:rPr>
          <w:rFonts w:cs="Times New Roman"/>
          <w:szCs w:val="24"/>
        </w:rPr>
        <w:t xml:space="preserve"> to be rationally defensible.</w:t>
      </w:r>
    </w:p>
    <w:p w:rsidR="002A3437" w:rsidRPr="00395EBF" w:rsidRDefault="00FC5F0F" w:rsidP="007B7129">
      <w:pPr>
        <w:autoSpaceDE w:val="0"/>
        <w:autoSpaceDN w:val="0"/>
        <w:adjustRightInd w:val="0"/>
        <w:spacing w:line="360" w:lineRule="auto"/>
        <w:ind w:firstLine="720"/>
        <w:rPr>
          <w:rFonts w:cs="Times New Roman"/>
          <w:szCs w:val="24"/>
        </w:rPr>
      </w:pPr>
      <w:r w:rsidRPr="00395EBF">
        <w:rPr>
          <w:rFonts w:cs="Times New Roman"/>
          <w:szCs w:val="24"/>
        </w:rPr>
        <w:t>In my view</w:t>
      </w:r>
      <w:r w:rsidR="00747994" w:rsidRPr="00395EBF">
        <w:rPr>
          <w:rFonts w:cs="Times New Roman"/>
          <w:szCs w:val="24"/>
        </w:rPr>
        <w:t>,</w:t>
      </w:r>
      <w:r w:rsidRPr="00395EBF">
        <w:rPr>
          <w:rFonts w:cs="Times New Roman"/>
          <w:szCs w:val="24"/>
        </w:rPr>
        <w:t xml:space="preserve"> </w:t>
      </w:r>
      <w:r w:rsidR="00747994" w:rsidRPr="00395EBF">
        <w:rPr>
          <w:rFonts w:cs="Times New Roman"/>
          <w:szCs w:val="24"/>
        </w:rPr>
        <w:t>Leibniz intended</w:t>
      </w:r>
      <w:r w:rsidRPr="00395EBF">
        <w:rPr>
          <w:rFonts w:cs="Times New Roman"/>
          <w:szCs w:val="24"/>
        </w:rPr>
        <w:t xml:space="preserve"> this rational defensibility</w:t>
      </w:r>
      <w:r w:rsidR="00747994" w:rsidRPr="00395EBF">
        <w:rPr>
          <w:rFonts w:cs="Times New Roman"/>
          <w:szCs w:val="24"/>
        </w:rPr>
        <w:t xml:space="preserve"> in three</w:t>
      </w:r>
      <w:r w:rsidRPr="00395EBF">
        <w:rPr>
          <w:rFonts w:cs="Times New Roman"/>
          <w:szCs w:val="24"/>
        </w:rPr>
        <w:t xml:space="preserve"> main ways: </w:t>
      </w:r>
      <w:r w:rsidR="00747994" w:rsidRPr="00395EBF">
        <w:rPr>
          <w:rFonts w:cs="Times New Roman"/>
          <w:szCs w:val="24"/>
        </w:rPr>
        <w:t xml:space="preserve">there must be </w:t>
      </w:r>
      <w:r w:rsidR="00A538C8" w:rsidRPr="00395EBF">
        <w:rPr>
          <w:rFonts w:cs="Times New Roman"/>
          <w:szCs w:val="24"/>
        </w:rPr>
        <w:t>phi</w:t>
      </w:r>
      <w:r w:rsidR="00A36A09">
        <w:rPr>
          <w:rFonts w:cs="Times New Roman"/>
          <w:szCs w:val="24"/>
        </w:rPr>
        <w:t xml:space="preserve">lological and historical support for </w:t>
      </w:r>
      <w:r w:rsidR="00747994" w:rsidRPr="00395EBF">
        <w:rPr>
          <w:rFonts w:cs="Times New Roman"/>
          <w:szCs w:val="24"/>
        </w:rPr>
        <w:t xml:space="preserve">the </w:t>
      </w:r>
      <w:r w:rsidR="00A36A09">
        <w:rPr>
          <w:rFonts w:cs="Times New Roman"/>
          <w:szCs w:val="24"/>
        </w:rPr>
        <w:t>authenticity of the texts and</w:t>
      </w:r>
      <w:r w:rsidR="00747994" w:rsidRPr="00395EBF">
        <w:rPr>
          <w:rFonts w:cs="Times New Roman"/>
          <w:szCs w:val="24"/>
        </w:rPr>
        <w:t xml:space="preserve"> the antiquity of the tradition; </w:t>
      </w:r>
      <w:r w:rsidRPr="00395EBF">
        <w:rPr>
          <w:rFonts w:cs="Times New Roman"/>
          <w:szCs w:val="24"/>
        </w:rPr>
        <w:t>it must be possible to defend any given Christian doctrine</w:t>
      </w:r>
      <w:r w:rsidR="00747994" w:rsidRPr="00395EBF">
        <w:rPr>
          <w:rFonts w:cs="Times New Roman"/>
          <w:szCs w:val="24"/>
        </w:rPr>
        <w:t xml:space="preserve"> f</w:t>
      </w:r>
      <w:r w:rsidRPr="00395EBF">
        <w:rPr>
          <w:rFonts w:cs="Times New Roman"/>
          <w:szCs w:val="24"/>
        </w:rPr>
        <w:t>r</w:t>
      </w:r>
      <w:r w:rsidR="00747994" w:rsidRPr="00395EBF">
        <w:rPr>
          <w:rFonts w:cs="Times New Roman"/>
          <w:szCs w:val="24"/>
        </w:rPr>
        <w:t>o</w:t>
      </w:r>
      <w:r w:rsidRPr="00395EBF">
        <w:rPr>
          <w:rFonts w:cs="Times New Roman"/>
          <w:szCs w:val="24"/>
        </w:rPr>
        <w:t xml:space="preserve">m the charge of contradiction; </w:t>
      </w:r>
      <w:r w:rsidR="009164BF">
        <w:rPr>
          <w:rFonts w:cs="Times New Roman"/>
          <w:szCs w:val="24"/>
        </w:rPr>
        <w:t xml:space="preserve">and </w:t>
      </w:r>
      <w:r w:rsidRPr="00395EBF">
        <w:rPr>
          <w:rFonts w:cs="Times New Roman"/>
          <w:szCs w:val="24"/>
        </w:rPr>
        <w:t>it must be possible to give a plausible explanation</w:t>
      </w:r>
      <w:r w:rsidR="00747994" w:rsidRPr="00395EBF">
        <w:rPr>
          <w:rFonts w:cs="Times New Roman"/>
          <w:szCs w:val="24"/>
        </w:rPr>
        <w:t xml:space="preserve"> of how such d</w:t>
      </w:r>
      <w:r w:rsidR="001B3430" w:rsidRPr="00395EBF">
        <w:rPr>
          <w:rFonts w:cs="Times New Roman"/>
          <w:szCs w:val="24"/>
        </w:rPr>
        <w:t>octrine could be true. T</w:t>
      </w:r>
      <w:r w:rsidR="00747994" w:rsidRPr="00395EBF">
        <w:rPr>
          <w:rFonts w:cs="Times New Roman"/>
          <w:szCs w:val="24"/>
        </w:rPr>
        <w:t xml:space="preserve">his </w:t>
      </w:r>
      <w:r w:rsidR="00A538C8" w:rsidRPr="00395EBF">
        <w:rPr>
          <w:rFonts w:cs="Times New Roman"/>
          <w:szCs w:val="24"/>
        </w:rPr>
        <w:t>explanation</w:t>
      </w:r>
      <w:r w:rsidR="001B3430" w:rsidRPr="00395EBF">
        <w:rPr>
          <w:rFonts w:cs="Times New Roman"/>
          <w:szCs w:val="24"/>
        </w:rPr>
        <w:t>, however,</w:t>
      </w:r>
      <w:r w:rsidR="00A538C8" w:rsidRPr="00395EBF">
        <w:rPr>
          <w:rFonts w:cs="Times New Roman"/>
          <w:szCs w:val="24"/>
        </w:rPr>
        <w:t xml:space="preserve"> </w:t>
      </w:r>
      <w:r w:rsidR="001B3430" w:rsidRPr="00395EBF">
        <w:rPr>
          <w:rFonts w:cs="Times New Roman"/>
          <w:szCs w:val="24"/>
        </w:rPr>
        <w:t>would not</w:t>
      </w:r>
      <w:r w:rsidR="00747994" w:rsidRPr="00395EBF">
        <w:rPr>
          <w:rFonts w:cs="Times New Roman"/>
          <w:szCs w:val="24"/>
        </w:rPr>
        <w:t xml:space="preserve"> amount to </w:t>
      </w:r>
      <w:r w:rsidR="00A538C8" w:rsidRPr="00395EBF">
        <w:rPr>
          <w:rFonts w:cs="Times New Roman"/>
          <w:szCs w:val="24"/>
        </w:rPr>
        <w:t xml:space="preserve">a </w:t>
      </w:r>
      <w:r w:rsidR="00747994" w:rsidRPr="00395EBF">
        <w:rPr>
          <w:rFonts w:cs="Times New Roman"/>
          <w:szCs w:val="24"/>
        </w:rPr>
        <w:t xml:space="preserve">demonstration of truth but, </w:t>
      </w:r>
      <w:r w:rsidR="00747994" w:rsidRPr="00395EBF">
        <w:rPr>
          <w:rFonts w:cs="Times New Roman"/>
          <w:szCs w:val="24"/>
        </w:rPr>
        <w:lastRenderedPageBreak/>
        <w:t>as it were, to a provisional and incomplete explanatory hypothesis which allows for competing explanatory hypotheses.</w:t>
      </w:r>
      <w:r w:rsidR="001C6668">
        <w:rPr>
          <w:rStyle w:val="FootnoteReference"/>
          <w:rFonts w:cs="Times New Roman"/>
          <w:szCs w:val="24"/>
        </w:rPr>
        <w:footnoteReference w:id="34"/>
      </w:r>
      <w:r w:rsidR="00796425">
        <w:rPr>
          <w:rFonts w:cs="Times New Roman"/>
          <w:szCs w:val="24"/>
        </w:rPr>
        <w:t xml:space="preserve"> </w:t>
      </w:r>
    </w:p>
    <w:p w:rsidR="00C34B72" w:rsidRDefault="005F0B05" w:rsidP="00C72919">
      <w:pPr>
        <w:autoSpaceDE w:val="0"/>
        <w:autoSpaceDN w:val="0"/>
        <w:adjustRightInd w:val="0"/>
        <w:spacing w:line="360" w:lineRule="auto"/>
        <w:ind w:firstLine="720"/>
        <w:rPr>
          <w:rFonts w:cs="Times New Roman"/>
          <w:szCs w:val="24"/>
        </w:rPr>
      </w:pPr>
      <w:r w:rsidRPr="00395EBF">
        <w:rPr>
          <w:rFonts w:cs="Times New Roman"/>
          <w:szCs w:val="24"/>
        </w:rPr>
        <w:t xml:space="preserve">This last point </w:t>
      </w:r>
      <w:r w:rsidR="00634AAB">
        <w:rPr>
          <w:rFonts w:cs="Times New Roman"/>
          <w:szCs w:val="24"/>
        </w:rPr>
        <w:t xml:space="preserve">introduces </w:t>
      </w:r>
      <w:r w:rsidR="00F36D4B" w:rsidRPr="00395EBF">
        <w:rPr>
          <w:rFonts w:cs="Times New Roman"/>
          <w:szCs w:val="24"/>
        </w:rPr>
        <w:t xml:space="preserve">the </w:t>
      </w:r>
      <w:r w:rsidRPr="00395EBF">
        <w:rPr>
          <w:rFonts w:cs="Times New Roman"/>
          <w:szCs w:val="24"/>
        </w:rPr>
        <w:t>next aspect of Leibniz’s engagement with theolog</w:t>
      </w:r>
      <w:r w:rsidR="00D81B0C" w:rsidRPr="00395EBF">
        <w:rPr>
          <w:rFonts w:cs="Times New Roman"/>
          <w:szCs w:val="24"/>
        </w:rPr>
        <w:t>y which I would like to explore, namely the ultimately pr</w:t>
      </w:r>
      <w:r w:rsidR="00CE5145" w:rsidRPr="00395EBF">
        <w:rPr>
          <w:rFonts w:cs="Times New Roman"/>
          <w:szCs w:val="24"/>
        </w:rPr>
        <w:t>actical end of theology according to</w:t>
      </w:r>
      <w:r w:rsidR="00D81B0C" w:rsidRPr="00395EBF">
        <w:rPr>
          <w:rFonts w:cs="Times New Roman"/>
          <w:szCs w:val="24"/>
        </w:rPr>
        <w:t xml:space="preserve"> Leibniz.</w:t>
      </w:r>
      <w:r w:rsidR="001A13D1" w:rsidRPr="00395EBF">
        <w:rPr>
          <w:rFonts w:cs="Times New Roman"/>
          <w:szCs w:val="24"/>
        </w:rPr>
        <w:t xml:space="preserve"> </w:t>
      </w:r>
    </w:p>
    <w:p w:rsidR="00C34B72" w:rsidRDefault="00C34B72" w:rsidP="007B7129">
      <w:pPr>
        <w:autoSpaceDE w:val="0"/>
        <w:autoSpaceDN w:val="0"/>
        <w:adjustRightInd w:val="0"/>
        <w:spacing w:line="360" w:lineRule="auto"/>
        <w:rPr>
          <w:rFonts w:cs="Times New Roman"/>
          <w:szCs w:val="24"/>
        </w:rPr>
      </w:pPr>
    </w:p>
    <w:p w:rsidR="0067100B" w:rsidRPr="00C72919" w:rsidRDefault="0067100B" w:rsidP="00C72919">
      <w:pPr>
        <w:spacing w:line="360" w:lineRule="auto"/>
        <w:jc w:val="center"/>
        <w:rPr>
          <w:rFonts w:cs="Times New Roman"/>
          <w:szCs w:val="24"/>
        </w:rPr>
      </w:pPr>
      <w:r w:rsidRPr="00C72919">
        <w:rPr>
          <w:rFonts w:cs="Times New Roman"/>
          <w:szCs w:val="24"/>
        </w:rPr>
        <w:t xml:space="preserve">Theology and </w:t>
      </w:r>
      <w:r w:rsidR="008461A9">
        <w:rPr>
          <w:rFonts w:cs="Times New Roman"/>
          <w:szCs w:val="24"/>
        </w:rPr>
        <w:t>praxis: the analogy with j</w:t>
      </w:r>
      <w:r w:rsidRPr="00C72919">
        <w:rPr>
          <w:rFonts w:cs="Times New Roman"/>
          <w:szCs w:val="24"/>
        </w:rPr>
        <w:t>urisprudence</w:t>
      </w:r>
    </w:p>
    <w:p w:rsidR="0067100B" w:rsidRPr="00395EBF" w:rsidRDefault="0067100B" w:rsidP="007B7129">
      <w:pPr>
        <w:spacing w:line="360" w:lineRule="auto"/>
        <w:rPr>
          <w:rFonts w:cs="Times New Roman"/>
          <w:szCs w:val="24"/>
        </w:rPr>
      </w:pPr>
    </w:p>
    <w:p w:rsidR="0067100B" w:rsidRPr="00395EBF" w:rsidRDefault="00C72919" w:rsidP="007B7129">
      <w:pPr>
        <w:autoSpaceDE w:val="0"/>
        <w:autoSpaceDN w:val="0"/>
        <w:adjustRightInd w:val="0"/>
        <w:spacing w:line="360" w:lineRule="auto"/>
        <w:rPr>
          <w:rFonts w:cs="Times New Roman"/>
          <w:szCs w:val="24"/>
        </w:rPr>
      </w:pPr>
      <w:r>
        <w:rPr>
          <w:rFonts w:cs="Times New Roman"/>
          <w:szCs w:val="24"/>
        </w:rPr>
        <w:t xml:space="preserve">One way of appreciating </w:t>
      </w:r>
      <w:r w:rsidR="00A26DE7">
        <w:rPr>
          <w:rFonts w:cs="Times New Roman"/>
          <w:szCs w:val="24"/>
        </w:rPr>
        <w:t>Leibniz</w:t>
      </w:r>
      <w:r>
        <w:rPr>
          <w:rFonts w:cs="Times New Roman"/>
          <w:szCs w:val="24"/>
        </w:rPr>
        <w:t xml:space="preserve">’s conception of the practical end of theology is via the </w:t>
      </w:r>
      <w:r w:rsidR="00A26DE7">
        <w:rPr>
          <w:rFonts w:cs="Times New Roman"/>
          <w:szCs w:val="24"/>
        </w:rPr>
        <w:t>strong</w:t>
      </w:r>
      <w:r w:rsidR="0067100B" w:rsidRPr="00395EBF">
        <w:rPr>
          <w:rFonts w:cs="Times New Roman"/>
          <w:szCs w:val="24"/>
        </w:rPr>
        <w:t xml:space="preserve"> an</w:t>
      </w:r>
      <w:r w:rsidR="00A26DE7">
        <w:rPr>
          <w:rFonts w:cs="Times New Roman"/>
          <w:szCs w:val="24"/>
        </w:rPr>
        <w:t xml:space="preserve">alogy between </w:t>
      </w:r>
      <w:r w:rsidR="0067100B" w:rsidRPr="00395EBF">
        <w:rPr>
          <w:rFonts w:cs="Times New Roman"/>
          <w:szCs w:val="24"/>
        </w:rPr>
        <w:t>theology</w:t>
      </w:r>
      <w:r w:rsidR="00A26DE7">
        <w:rPr>
          <w:rFonts w:cs="Times New Roman"/>
          <w:szCs w:val="24"/>
        </w:rPr>
        <w:t xml:space="preserve"> and jurisprudence</w:t>
      </w:r>
      <w:r>
        <w:rPr>
          <w:rFonts w:cs="Times New Roman"/>
          <w:szCs w:val="24"/>
        </w:rPr>
        <w:t xml:space="preserve"> which he maintained from his youth</w:t>
      </w:r>
      <w:r w:rsidR="0067100B" w:rsidRPr="00395EBF">
        <w:rPr>
          <w:rFonts w:cs="Times New Roman"/>
          <w:szCs w:val="24"/>
        </w:rPr>
        <w:t>.</w:t>
      </w:r>
      <w:r w:rsidR="00A26DE7">
        <w:rPr>
          <w:rFonts w:cs="Times New Roman"/>
          <w:szCs w:val="24"/>
        </w:rPr>
        <w:t xml:space="preserve"> In the </w:t>
      </w:r>
      <w:r w:rsidR="009904E4">
        <w:rPr>
          <w:rFonts w:cs="Times New Roman"/>
          <w:szCs w:val="24"/>
        </w:rPr>
        <w:t>years</w:t>
      </w:r>
      <w:r>
        <w:rPr>
          <w:rFonts w:cs="Times New Roman"/>
          <w:szCs w:val="24"/>
        </w:rPr>
        <w:t xml:space="preserve"> in which he was</w:t>
      </w:r>
      <w:r w:rsidR="00A26DE7">
        <w:rPr>
          <w:rFonts w:cs="Times New Roman"/>
          <w:szCs w:val="24"/>
        </w:rPr>
        <w:t xml:space="preserve"> award</w:t>
      </w:r>
      <w:r>
        <w:rPr>
          <w:rFonts w:cs="Times New Roman"/>
          <w:szCs w:val="24"/>
        </w:rPr>
        <w:t xml:space="preserve">ed </w:t>
      </w:r>
      <w:r w:rsidR="00A26DE7">
        <w:rPr>
          <w:rFonts w:cs="Times New Roman"/>
          <w:szCs w:val="24"/>
        </w:rPr>
        <w:t>his Doctorate in Law from the University of Altdorf (November 1666), the young jurist wr</w:t>
      </w:r>
      <w:r w:rsidR="009904E4">
        <w:rPr>
          <w:rFonts w:cs="Times New Roman"/>
          <w:szCs w:val="24"/>
        </w:rPr>
        <w:t>ote</w:t>
      </w:r>
      <w:r w:rsidR="0067100B" w:rsidRPr="00395EBF">
        <w:rPr>
          <w:rFonts w:cs="Times New Roman"/>
          <w:szCs w:val="24"/>
        </w:rPr>
        <w:t xml:space="preserve"> in the </w:t>
      </w:r>
      <w:r w:rsidR="0067100B" w:rsidRPr="00395EBF">
        <w:rPr>
          <w:rFonts w:cs="Times New Roman"/>
          <w:i/>
          <w:szCs w:val="24"/>
        </w:rPr>
        <w:t xml:space="preserve">Nova </w:t>
      </w:r>
      <w:proofErr w:type="spellStart"/>
      <w:r w:rsidR="0067100B" w:rsidRPr="00395EBF">
        <w:rPr>
          <w:rFonts w:cs="Times New Roman"/>
          <w:i/>
          <w:szCs w:val="24"/>
        </w:rPr>
        <w:t>Methodus</w:t>
      </w:r>
      <w:proofErr w:type="spellEnd"/>
      <w:r w:rsidR="0067100B" w:rsidRPr="00395EBF">
        <w:rPr>
          <w:rFonts w:cs="Times New Roman"/>
          <w:i/>
          <w:szCs w:val="24"/>
        </w:rPr>
        <w:t xml:space="preserve"> </w:t>
      </w:r>
      <w:proofErr w:type="spellStart"/>
      <w:r w:rsidR="0067100B" w:rsidRPr="00395EBF">
        <w:rPr>
          <w:rFonts w:cs="Times New Roman"/>
          <w:i/>
          <w:szCs w:val="24"/>
        </w:rPr>
        <w:t>Discendae</w:t>
      </w:r>
      <w:proofErr w:type="spellEnd"/>
      <w:r w:rsidR="0067100B" w:rsidRPr="00395EBF">
        <w:rPr>
          <w:rFonts w:cs="Times New Roman"/>
          <w:i/>
          <w:szCs w:val="24"/>
        </w:rPr>
        <w:t xml:space="preserve"> </w:t>
      </w:r>
      <w:proofErr w:type="spellStart"/>
      <w:r w:rsidR="0067100B" w:rsidRPr="00395EBF">
        <w:rPr>
          <w:rFonts w:cs="Times New Roman"/>
          <w:i/>
          <w:szCs w:val="24"/>
        </w:rPr>
        <w:t>Docendaeque</w:t>
      </w:r>
      <w:proofErr w:type="spellEnd"/>
      <w:r w:rsidR="0067100B" w:rsidRPr="00395EBF">
        <w:rPr>
          <w:rFonts w:cs="Times New Roman"/>
          <w:i/>
          <w:szCs w:val="24"/>
        </w:rPr>
        <w:t xml:space="preserve"> </w:t>
      </w:r>
      <w:proofErr w:type="spellStart"/>
      <w:r w:rsidR="0067100B" w:rsidRPr="00395EBF">
        <w:rPr>
          <w:rFonts w:cs="Times New Roman"/>
          <w:i/>
          <w:szCs w:val="24"/>
        </w:rPr>
        <w:t>Jurisprudentia</w:t>
      </w:r>
      <w:proofErr w:type="spellEnd"/>
      <w:r w:rsidR="00A26DE7">
        <w:rPr>
          <w:rFonts w:cs="Times New Roman"/>
          <w:i/>
          <w:szCs w:val="24"/>
        </w:rPr>
        <w:t xml:space="preserve"> </w:t>
      </w:r>
      <w:r w:rsidR="00A26DE7">
        <w:rPr>
          <w:rFonts w:cs="Times New Roman"/>
          <w:szCs w:val="24"/>
        </w:rPr>
        <w:t>(1667)</w:t>
      </w:r>
      <w:r w:rsidR="00F64CD1">
        <w:rPr>
          <w:rFonts w:cs="Times New Roman"/>
          <w:szCs w:val="24"/>
        </w:rPr>
        <w:t>:</w:t>
      </w:r>
      <w:r w:rsidR="0067100B" w:rsidRPr="00395EBF">
        <w:rPr>
          <w:rFonts w:cs="Times New Roman"/>
          <w:i/>
          <w:szCs w:val="24"/>
        </w:rPr>
        <w:t xml:space="preserve"> </w:t>
      </w:r>
      <w:r w:rsidR="0067100B" w:rsidRPr="00395EBF">
        <w:rPr>
          <w:rFonts w:cs="Times New Roman"/>
          <w:szCs w:val="24"/>
        </w:rPr>
        <w:t>“</w:t>
      </w:r>
      <w:r w:rsidR="00B43CBD">
        <w:rPr>
          <w:rFonts w:cs="Times New Roman"/>
          <w:szCs w:val="24"/>
        </w:rPr>
        <w:t xml:space="preserve">Theology is a </w:t>
      </w:r>
      <w:r w:rsidR="002564F6">
        <w:rPr>
          <w:rFonts w:cs="Times New Roman"/>
          <w:szCs w:val="24"/>
        </w:rPr>
        <w:t xml:space="preserve">certain kind of Jurisprudence taken generally; it </w:t>
      </w:r>
      <w:r w:rsidR="0005425E">
        <w:rPr>
          <w:rFonts w:cs="Times New Roman"/>
          <w:szCs w:val="24"/>
        </w:rPr>
        <w:t>concerns</w:t>
      </w:r>
      <w:r w:rsidR="002564F6">
        <w:rPr>
          <w:rFonts w:cs="Times New Roman"/>
          <w:szCs w:val="24"/>
        </w:rPr>
        <w:t xml:space="preserve"> in fact the </w:t>
      </w:r>
      <w:r w:rsidR="0005425E">
        <w:rPr>
          <w:rFonts w:cs="Times New Roman"/>
          <w:szCs w:val="24"/>
        </w:rPr>
        <w:t>Right and Laws</w:t>
      </w:r>
      <w:r w:rsidR="000A0507">
        <w:rPr>
          <w:rFonts w:cs="Times New Roman"/>
          <w:szCs w:val="24"/>
        </w:rPr>
        <w:t xml:space="preserve"> [</w:t>
      </w:r>
      <w:proofErr w:type="spellStart"/>
      <w:r w:rsidR="000A0507" w:rsidRPr="00395EBF">
        <w:rPr>
          <w:rFonts w:cs="Times New Roman"/>
          <w:szCs w:val="24"/>
        </w:rPr>
        <w:t>agit</w:t>
      </w:r>
      <w:proofErr w:type="spellEnd"/>
      <w:r w:rsidR="000A0507" w:rsidRPr="00395EBF">
        <w:rPr>
          <w:rFonts w:cs="Times New Roman"/>
          <w:szCs w:val="24"/>
        </w:rPr>
        <w:t xml:space="preserve"> </w:t>
      </w:r>
      <w:proofErr w:type="spellStart"/>
      <w:r w:rsidR="000A0507" w:rsidRPr="00395EBF">
        <w:rPr>
          <w:rFonts w:cs="Times New Roman"/>
          <w:szCs w:val="24"/>
        </w:rPr>
        <w:t>enim</w:t>
      </w:r>
      <w:proofErr w:type="spellEnd"/>
      <w:r w:rsidR="000A0507" w:rsidRPr="00395EBF">
        <w:rPr>
          <w:rFonts w:cs="Times New Roman"/>
          <w:szCs w:val="24"/>
        </w:rPr>
        <w:t xml:space="preserve"> de Jure et </w:t>
      </w:r>
      <w:proofErr w:type="spellStart"/>
      <w:r w:rsidR="000A0507" w:rsidRPr="00395EBF">
        <w:rPr>
          <w:rFonts w:cs="Times New Roman"/>
          <w:szCs w:val="24"/>
        </w:rPr>
        <w:t>Legibus</w:t>
      </w:r>
      <w:proofErr w:type="spellEnd"/>
      <w:r w:rsidR="000A0507">
        <w:rPr>
          <w:rFonts w:cs="Times New Roman"/>
          <w:szCs w:val="24"/>
        </w:rPr>
        <w:t>]</w:t>
      </w:r>
      <w:r w:rsidR="0005425E">
        <w:rPr>
          <w:rFonts w:cs="Times New Roman"/>
          <w:szCs w:val="24"/>
        </w:rPr>
        <w:t xml:space="preserve"> which obtain in the Republic or, rather, the reign of God over human beings</w:t>
      </w:r>
      <w:r w:rsidR="0067100B" w:rsidRPr="00395EBF">
        <w:rPr>
          <w:rFonts w:cs="Times New Roman"/>
          <w:szCs w:val="24"/>
        </w:rPr>
        <w:t>”</w:t>
      </w:r>
      <w:r w:rsidR="003213AF">
        <w:rPr>
          <w:rFonts w:cs="Times New Roman"/>
          <w:szCs w:val="24"/>
        </w:rPr>
        <w:t>.</w:t>
      </w:r>
      <w:r w:rsidR="0067100B" w:rsidRPr="00395EBF">
        <w:rPr>
          <w:rStyle w:val="FootnoteReference"/>
          <w:rFonts w:cs="Times New Roman"/>
          <w:szCs w:val="24"/>
        </w:rPr>
        <w:footnoteReference w:id="35"/>
      </w:r>
      <w:r w:rsidR="0067100B" w:rsidRPr="00395EBF">
        <w:rPr>
          <w:rFonts w:cs="Times New Roman"/>
          <w:szCs w:val="24"/>
        </w:rPr>
        <w:t xml:space="preserve"> The analogy continues with the distinction in both theology and jurisprudence of a natural part, of which the principle is reason (grounding, respectively, natural theology and natural law), and a positive part, of which the principle is the authority of a text (“</w:t>
      </w:r>
      <w:proofErr w:type="spellStart"/>
      <w:r w:rsidR="0067100B" w:rsidRPr="00395EBF">
        <w:rPr>
          <w:rFonts w:cs="Times New Roman"/>
          <w:szCs w:val="24"/>
        </w:rPr>
        <w:t>Scripturam</w:t>
      </w:r>
      <w:proofErr w:type="spellEnd"/>
      <w:r w:rsidR="0067100B" w:rsidRPr="00395EBF">
        <w:rPr>
          <w:rFonts w:cs="Times New Roman"/>
          <w:szCs w:val="24"/>
        </w:rPr>
        <w:t xml:space="preserve"> </w:t>
      </w:r>
      <w:proofErr w:type="spellStart"/>
      <w:r w:rsidR="0067100B" w:rsidRPr="00395EBF">
        <w:rPr>
          <w:rFonts w:cs="Times New Roman"/>
          <w:szCs w:val="24"/>
        </w:rPr>
        <w:t>seu</w:t>
      </w:r>
      <w:proofErr w:type="spellEnd"/>
      <w:r w:rsidR="0067100B" w:rsidRPr="00395EBF">
        <w:rPr>
          <w:rFonts w:cs="Times New Roman"/>
          <w:szCs w:val="24"/>
        </w:rPr>
        <w:t xml:space="preserve"> </w:t>
      </w:r>
      <w:proofErr w:type="spellStart"/>
      <w:r w:rsidR="0067100B" w:rsidRPr="00395EBF">
        <w:rPr>
          <w:rFonts w:cs="Times New Roman"/>
          <w:szCs w:val="24"/>
        </w:rPr>
        <w:t>librum</w:t>
      </w:r>
      <w:proofErr w:type="spellEnd"/>
      <w:r w:rsidR="0067100B" w:rsidRPr="00395EBF">
        <w:rPr>
          <w:rFonts w:cs="Times New Roman"/>
          <w:szCs w:val="24"/>
        </w:rPr>
        <w:t>”, grounding respectively divine positive law and human positive law).</w:t>
      </w:r>
      <w:r w:rsidR="0067100B" w:rsidRPr="00395EBF">
        <w:rPr>
          <w:rStyle w:val="FootnoteReference"/>
          <w:rFonts w:cs="Times New Roman"/>
          <w:szCs w:val="24"/>
        </w:rPr>
        <w:footnoteReference w:id="36"/>
      </w:r>
    </w:p>
    <w:p w:rsidR="00D9401E" w:rsidRDefault="00421071" w:rsidP="007B7129">
      <w:pPr>
        <w:autoSpaceDE w:val="0"/>
        <w:autoSpaceDN w:val="0"/>
        <w:adjustRightInd w:val="0"/>
        <w:spacing w:line="360" w:lineRule="auto"/>
        <w:rPr>
          <w:rFonts w:cs="Times New Roman"/>
          <w:szCs w:val="24"/>
        </w:rPr>
      </w:pPr>
      <w:r>
        <w:rPr>
          <w:rFonts w:cs="Times New Roman"/>
          <w:szCs w:val="24"/>
        </w:rPr>
        <w:lastRenderedPageBreak/>
        <w:tab/>
        <w:t>In brief</w:t>
      </w:r>
      <w:r w:rsidR="0067100B" w:rsidRPr="00395EBF">
        <w:rPr>
          <w:rFonts w:cs="Times New Roman"/>
          <w:szCs w:val="24"/>
        </w:rPr>
        <w:t>, Leibniz proposed a framework in which theology was conceived as the jurisprudence regulating the association of God with “all minds [</w:t>
      </w:r>
      <w:proofErr w:type="spellStart"/>
      <w:r w:rsidR="0067100B" w:rsidRPr="00395EBF">
        <w:rPr>
          <w:rFonts w:cs="Times New Roman"/>
          <w:szCs w:val="24"/>
        </w:rPr>
        <w:t>esprits</w:t>
      </w:r>
      <w:proofErr w:type="spellEnd"/>
      <w:r w:rsidR="0067100B" w:rsidRPr="00395EBF">
        <w:rPr>
          <w:rFonts w:cs="Times New Roman"/>
          <w:szCs w:val="24"/>
        </w:rPr>
        <w:t>], that is substances capable of relations or society with God” in the universal republic headed by God as its monarch.</w:t>
      </w:r>
      <w:r w:rsidR="0067100B" w:rsidRPr="00395EBF">
        <w:rPr>
          <w:rStyle w:val="FootnoteReference"/>
          <w:rFonts w:cs="Times New Roman"/>
          <w:szCs w:val="24"/>
        </w:rPr>
        <w:footnoteReference w:id="37"/>
      </w:r>
      <w:r w:rsidR="00397B13">
        <w:rPr>
          <w:rFonts w:cs="Times New Roman"/>
          <w:szCs w:val="24"/>
        </w:rPr>
        <w:t xml:space="preserve"> I</w:t>
      </w:r>
      <w:r w:rsidR="0067100B" w:rsidRPr="00395EBF">
        <w:rPr>
          <w:rFonts w:cs="Times New Roman"/>
          <w:szCs w:val="24"/>
        </w:rPr>
        <w:t>n the case of natural theology</w:t>
      </w:r>
      <w:r w:rsidR="006147B1">
        <w:rPr>
          <w:rFonts w:cs="Times New Roman"/>
          <w:szCs w:val="24"/>
        </w:rPr>
        <w:t>, one could</w:t>
      </w:r>
      <w:r w:rsidR="009904E4">
        <w:rPr>
          <w:rFonts w:cs="Times New Roman"/>
          <w:szCs w:val="24"/>
        </w:rPr>
        <w:t xml:space="preserve"> count on</w:t>
      </w:r>
      <w:r w:rsidR="0067100B" w:rsidRPr="00395EBF">
        <w:rPr>
          <w:rFonts w:cs="Times New Roman"/>
          <w:szCs w:val="24"/>
        </w:rPr>
        <w:t xml:space="preserve"> the absolute certainty of rational demonstration, </w:t>
      </w:r>
      <w:r w:rsidR="00397B13">
        <w:rPr>
          <w:rFonts w:cs="Times New Roman"/>
          <w:szCs w:val="24"/>
        </w:rPr>
        <w:t xml:space="preserve">but </w:t>
      </w:r>
      <w:r w:rsidR="0067100B" w:rsidRPr="00395EBF">
        <w:rPr>
          <w:rFonts w:cs="Times New Roman"/>
          <w:szCs w:val="24"/>
        </w:rPr>
        <w:t>in the case of positive or revealed theology</w:t>
      </w:r>
      <w:r w:rsidR="00527092">
        <w:rPr>
          <w:rFonts w:cs="Times New Roman"/>
          <w:szCs w:val="24"/>
        </w:rPr>
        <w:t>, such</w:t>
      </w:r>
      <w:r w:rsidR="0067100B" w:rsidRPr="00395EBF">
        <w:rPr>
          <w:rFonts w:cs="Times New Roman"/>
          <w:szCs w:val="24"/>
        </w:rPr>
        <w:t xml:space="preserve"> certainty </w:t>
      </w:r>
      <w:r w:rsidR="00527092">
        <w:rPr>
          <w:rFonts w:cs="Times New Roman"/>
          <w:szCs w:val="24"/>
        </w:rPr>
        <w:t xml:space="preserve">as human beings can attain </w:t>
      </w:r>
      <w:r w:rsidR="0067100B" w:rsidRPr="00395EBF">
        <w:rPr>
          <w:rFonts w:cs="Times New Roman"/>
          <w:szCs w:val="24"/>
        </w:rPr>
        <w:t xml:space="preserve">is only moral -- that is, </w:t>
      </w:r>
      <w:r w:rsidR="00527092">
        <w:rPr>
          <w:rFonts w:cs="Times New Roman"/>
          <w:szCs w:val="24"/>
        </w:rPr>
        <w:t xml:space="preserve">a certainty </w:t>
      </w:r>
      <w:r w:rsidR="0067100B" w:rsidRPr="00395EBF">
        <w:rPr>
          <w:rFonts w:cs="Times New Roman"/>
          <w:szCs w:val="24"/>
        </w:rPr>
        <w:t xml:space="preserve">based on the weight of reasons “verifying facts” </w:t>
      </w:r>
      <w:r w:rsidR="00976F0A">
        <w:rPr>
          <w:rFonts w:cs="Times New Roman"/>
          <w:szCs w:val="24"/>
        </w:rPr>
        <w:t>like</w:t>
      </w:r>
      <w:r w:rsidR="0067100B" w:rsidRPr="00395EBF">
        <w:rPr>
          <w:rFonts w:cs="Times New Roman"/>
          <w:szCs w:val="24"/>
        </w:rPr>
        <w:t xml:space="preserve"> the authenticity of the text, the authority and trustworthiness of its author</w:t>
      </w:r>
      <w:r w:rsidR="006147B1">
        <w:rPr>
          <w:rFonts w:cs="Times New Roman"/>
          <w:szCs w:val="24"/>
        </w:rPr>
        <w:t xml:space="preserve">, </w:t>
      </w:r>
      <w:r w:rsidR="00976F0A">
        <w:rPr>
          <w:rFonts w:cs="Times New Roman"/>
          <w:szCs w:val="24"/>
        </w:rPr>
        <w:t xml:space="preserve">and so on, </w:t>
      </w:r>
      <w:r w:rsidR="006147B1">
        <w:rPr>
          <w:rFonts w:cs="Times New Roman"/>
          <w:szCs w:val="24"/>
        </w:rPr>
        <w:t>rather than on the absolute necessity of logic</w:t>
      </w:r>
      <w:r w:rsidR="003213AF">
        <w:rPr>
          <w:rFonts w:cs="Times New Roman"/>
          <w:szCs w:val="24"/>
        </w:rPr>
        <w:t>.</w:t>
      </w:r>
    </w:p>
    <w:p w:rsidR="00440AF5" w:rsidRDefault="00D9401E" w:rsidP="007B7129">
      <w:pPr>
        <w:autoSpaceDE w:val="0"/>
        <w:autoSpaceDN w:val="0"/>
        <w:adjustRightInd w:val="0"/>
        <w:spacing w:line="360" w:lineRule="auto"/>
        <w:ind w:firstLine="720"/>
        <w:rPr>
          <w:rFonts w:cs="Times New Roman"/>
          <w:szCs w:val="24"/>
        </w:rPr>
      </w:pPr>
      <w:r>
        <w:rPr>
          <w:rFonts w:cs="Times New Roman"/>
          <w:szCs w:val="24"/>
        </w:rPr>
        <w:t>I</w:t>
      </w:r>
      <w:r w:rsidR="009904E4">
        <w:rPr>
          <w:rFonts w:cs="Times New Roman"/>
          <w:szCs w:val="24"/>
        </w:rPr>
        <w:t xml:space="preserve">n other texts, Leibniz pointed </w:t>
      </w:r>
      <w:r w:rsidR="00B349BB">
        <w:rPr>
          <w:rFonts w:cs="Times New Roman"/>
          <w:szCs w:val="24"/>
        </w:rPr>
        <w:t xml:space="preserve">again </w:t>
      </w:r>
      <w:r w:rsidR="009904E4">
        <w:rPr>
          <w:rFonts w:cs="Times New Roman"/>
          <w:szCs w:val="24"/>
        </w:rPr>
        <w:t>to jurisprudence as the field</w:t>
      </w:r>
      <w:r w:rsidR="00A26DE7" w:rsidRPr="00395EBF">
        <w:rPr>
          <w:rFonts w:cs="Times New Roman"/>
          <w:szCs w:val="24"/>
        </w:rPr>
        <w:t xml:space="preserve"> </w:t>
      </w:r>
      <w:r w:rsidR="009904E4">
        <w:rPr>
          <w:rFonts w:cs="Times New Roman"/>
          <w:szCs w:val="24"/>
        </w:rPr>
        <w:t xml:space="preserve">in which </w:t>
      </w:r>
      <w:r w:rsidR="00A26DE7" w:rsidRPr="00395EBF">
        <w:rPr>
          <w:rFonts w:cs="Times New Roman"/>
          <w:szCs w:val="24"/>
        </w:rPr>
        <w:t>most progress</w:t>
      </w:r>
      <w:r w:rsidR="009904E4">
        <w:rPr>
          <w:rFonts w:cs="Times New Roman"/>
          <w:szCs w:val="24"/>
        </w:rPr>
        <w:t xml:space="preserve"> h</w:t>
      </w:r>
      <w:r w:rsidR="000A7169">
        <w:rPr>
          <w:rFonts w:cs="Times New Roman"/>
          <w:szCs w:val="24"/>
        </w:rPr>
        <w:t>ad</w:t>
      </w:r>
      <w:r w:rsidR="009904E4">
        <w:rPr>
          <w:rFonts w:cs="Times New Roman"/>
          <w:szCs w:val="24"/>
        </w:rPr>
        <w:t xml:space="preserve"> been made</w:t>
      </w:r>
      <w:r w:rsidR="00243B3B">
        <w:rPr>
          <w:rFonts w:cs="Times New Roman"/>
          <w:szCs w:val="24"/>
        </w:rPr>
        <w:t xml:space="preserve"> in this</w:t>
      </w:r>
      <w:r w:rsidR="00A26DE7" w:rsidRPr="00395EBF">
        <w:rPr>
          <w:rFonts w:cs="Times New Roman"/>
          <w:szCs w:val="24"/>
        </w:rPr>
        <w:t xml:space="preserve"> art of “weighting the strength of reasons” rather than counting them – an art, Leibniz claimed, still in its infa</w:t>
      </w:r>
      <w:r w:rsidR="009904E4">
        <w:rPr>
          <w:rFonts w:cs="Times New Roman"/>
          <w:szCs w:val="24"/>
        </w:rPr>
        <w:t xml:space="preserve">ncy but of </w:t>
      </w:r>
      <w:r w:rsidR="00A26DE7" w:rsidRPr="00395EBF">
        <w:rPr>
          <w:rFonts w:cs="Times New Roman"/>
          <w:szCs w:val="24"/>
        </w:rPr>
        <w:t xml:space="preserve">key importance “in the most serious and important </w:t>
      </w:r>
      <w:r w:rsidR="00A26DE7" w:rsidRPr="00375EA6">
        <w:rPr>
          <w:rFonts w:cs="Times New Roman"/>
          <w:szCs w:val="24"/>
        </w:rPr>
        <w:t>matters of life</w:t>
      </w:r>
      <w:r w:rsidR="00A26DE7" w:rsidRPr="00395EBF">
        <w:rPr>
          <w:rFonts w:cs="Times New Roman"/>
          <w:szCs w:val="24"/>
        </w:rPr>
        <w:t>, which regard justice, the tranquillity and wellbeing of the state, the health of human beings, and religion itself.”</w:t>
      </w:r>
      <w:r w:rsidR="00A26DE7" w:rsidRPr="00395EBF">
        <w:rPr>
          <w:rStyle w:val="FootnoteReference"/>
          <w:rFonts w:cs="Times New Roman"/>
          <w:szCs w:val="24"/>
        </w:rPr>
        <w:footnoteReference w:id="38"/>
      </w:r>
      <w:r w:rsidR="00A26DE7" w:rsidRPr="00395EBF">
        <w:rPr>
          <w:rFonts w:cs="Times New Roman"/>
          <w:szCs w:val="24"/>
        </w:rPr>
        <w:t xml:space="preserve"> </w:t>
      </w:r>
      <w:r w:rsidR="006F1564">
        <w:rPr>
          <w:rFonts w:cs="Times New Roman"/>
          <w:szCs w:val="24"/>
        </w:rPr>
        <w:t>In t</w:t>
      </w:r>
      <w:r w:rsidR="00375EA6">
        <w:rPr>
          <w:rFonts w:cs="Times New Roman"/>
          <w:szCs w:val="24"/>
        </w:rPr>
        <w:t>hese</w:t>
      </w:r>
      <w:r w:rsidR="006147B1">
        <w:rPr>
          <w:rFonts w:cs="Times New Roman"/>
          <w:szCs w:val="24"/>
        </w:rPr>
        <w:t xml:space="preserve"> areas</w:t>
      </w:r>
      <w:r w:rsidR="006F1564">
        <w:rPr>
          <w:rFonts w:cs="Times New Roman"/>
          <w:szCs w:val="24"/>
        </w:rPr>
        <w:t xml:space="preserve"> --</w:t>
      </w:r>
      <w:r w:rsidR="00375EA6">
        <w:rPr>
          <w:rFonts w:cs="Times New Roman"/>
          <w:szCs w:val="24"/>
        </w:rPr>
        <w:t xml:space="preserve"> </w:t>
      </w:r>
      <w:r>
        <w:rPr>
          <w:rFonts w:cs="Times New Roman"/>
          <w:szCs w:val="24"/>
        </w:rPr>
        <w:t>including religion and most fields</w:t>
      </w:r>
      <w:r w:rsidR="00375EA6">
        <w:rPr>
          <w:rFonts w:cs="Times New Roman"/>
          <w:szCs w:val="24"/>
        </w:rPr>
        <w:t xml:space="preserve"> which have a direct impact on “matters of life”</w:t>
      </w:r>
      <w:r w:rsidR="006F1564">
        <w:rPr>
          <w:rFonts w:cs="Times New Roman"/>
          <w:szCs w:val="24"/>
        </w:rPr>
        <w:t xml:space="preserve"> --</w:t>
      </w:r>
      <w:r w:rsidR="00375EA6">
        <w:rPr>
          <w:rFonts w:cs="Times New Roman"/>
          <w:szCs w:val="24"/>
        </w:rPr>
        <w:t xml:space="preserve"> </w:t>
      </w:r>
      <w:r w:rsidR="006F1564">
        <w:rPr>
          <w:rFonts w:cs="Times New Roman"/>
          <w:szCs w:val="24"/>
        </w:rPr>
        <w:t>we typically lack the absolute certainty given by strict rational demo</w:t>
      </w:r>
      <w:r w:rsidR="00976F0A">
        <w:rPr>
          <w:rFonts w:cs="Times New Roman"/>
          <w:szCs w:val="24"/>
        </w:rPr>
        <w:t>nstrations and must instead rel</w:t>
      </w:r>
      <w:r w:rsidR="006F1564">
        <w:rPr>
          <w:rFonts w:cs="Times New Roman"/>
          <w:szCs w:val="24"/>
        </w:rPr>
        <w:t xml:space="preserve">y on processes </w:t>
      </w:r>
      <w:r w:rsidR="006147B1">
        <w:rPr>
          <w:rFonts w:cs="Times New Roman"/>
          <w:szCs w:val="24"/>
        </w:rPr>
        <w:t>of rational decision-</w:t>
      </w:r>
      <w:r w:rsidR="006F1564">
        <w:rPr>
          <w:rFonts w:cs="Times New Roman"/>
          <w:szCs w:val="24"/>
        </w:rPr>
        <w:t>making guiding our action in uncertain situations.</w:t>
      </w:r>
      <w:r w:rsidR="004629F2">
        <w:rPr>
          <w:rStyle w:val="FootnoteReference"/>
          <w:rFonts w:cs="Times New Roman"/>
          <w:szCs w:val="24"/>
        </w:rPr>
        <w:footnoteReference w:id="39"/>
      </w:r>
      <w:r w:rsidR="006F1564">
        <w:rPr>
          <w:rFonts w:cs="Times New Roman"/>
          <w:szCs w:val="24"/>
        </w:rPr>
        <w:t xml:space="preserve"> According to Leibniz, the most promising way forward </w:t>
      </w:r>
      <w:r w:rsidR="00771D09">
        <w:rPr>
          <w:rFonts w:cs="Times New Roman"/>
          <w:szCs w:val="24"/>
        </w:rPr>
        <w:t xml:space="preserve">in these cases </w:t>
      </w:r>
      <w:r w:rsidR="006F1564">
        <w:rPr>
          <w:rFonts w:cs="Times New Roman"/>
          <w:szCs w:val="24"/>
        </w:rPr>
        <w:t>is often to adopt strategies inspired by t</w:t>
      </w:r>
      <w:r w:rsidR="0013031B">
        <w:rPr>
          <w:rFonts w:cs="Times New Roman"/>
          <w:szCs w:val="24"/>
        </w:rPr>
        <w:t xml:space="preserve">he practice of </w:t>
      </w:r>
      <w:r w:rsidR="006F1564">
        <w:rPr>
          <w:rFonts w:cs="Times New Roman"/>
          <w:szCs w:val="24"/>
        </w:rPr>
        <w:t xml:space="preserve">jurisprudence. </w:t>
      </w:r>
    </w:p>
    <w:p w:rsidR="00D9401E" w:rsidRDefault="0013031B" w:rsidP="007B7129">
      <w:pPr>
        <w:autoSpaceDE w:val="0"/>
        <w:autoSpaceDN w:val="0"/>
        <w:adjustRightInd w:val="0"/>
        <w:spacing w:line="360" w:lineRule="auto"/>
        <w:ind w:firstLine="720"/>
        <w:rPr>
          <w:rFonts w:cs="Times New Roman"/>
          <w:szCs w:val="24"/>
        </w:rPr>
      </w:pPr>
      <w:r>
        <w:rPr>
          <w:rFonts w:cs="Times New Roman"/>
          <w:szCs w:val="24"/>
        </w:rPr>
        <w:t xml:space="preserve">An illuminating example </w:t>
      </w:r>
      <w:r w:rsidR="00EF4963">
        <w:rPr>
          <w:rFonts w:cs="Times New Roman"/>
          <w:szCs w:val="24"/>
        </w:rPr>
        <w:t>is provided by the way in which Leibniz propo</w:t>
      </w:r>
      <w:r w:rsidR="00421071">
        <w:rPr>
          <w:rFonts w:cs="Times New Roman"/>
          <w:szCs w:val="24"/>
        </w:rPr>
        <w:t>sed</w:t>
      </w:r>
      <w:r w:rsidR="00440AF5">
        <w:rPr>
          <w:rFonts w:cs="Times New Roman"/>
          <w:szCs w:val="24"/>
        </w:rPr>
        <w:t xml:space="preserve"> to defend </w:t>
      </w:r>
      <w:r w:rsidR="00EF4963">
        <w:rPr>
          <w:rFonts w:cs="Times New Roman"/>
          <w:szCs w:val="24"/>
        </w:rPr>
        <w:t>the mysteries of the Christian religion, that is</w:t>
      </w:r>
      <w:r w:rsidR="00440AF5">
        <w:rPr>
          <w:rFonts w:cs="Times New Roman"/>
          <w:szCs w:val="24"/>
        </w:rPr>
        <w:t xml:space="preserve">, </w:t>
      </w:r>
      <w:r w:rsidR="00EF4963">
        <w:rPr>
          <w:rFonts w:cs="Times New Roman"/>
          <w:szCs w:val="24"/>
        </w:rPr>
        <w:t>traditional Christian doct</w:t>
      </w:r>
      <w:r w:rsidR="00955D50">
        <w:rPr>
          <w:rFonts w:cs="Times New Roman"/>
          <w:szCs w:val="24"/>
        </w:rPr>
        <w:t xml:space="preserve">rines which </w:t>
      </w:r>
      <w:r w:rsidR="00734751">
        <w:rPr>
          <w:rFonts w:cs="Times New Roman"/>
          <w:szCs w:val="24"/>
        </w:rPr>
        <w:t xml:space="preserve">he </w:t>
      </w:r>
      <w:r w:rsidR="00955D50">
        <w:rPr>
          <w:rFonts w:cs="Times New Roman"/>
          <w:szCs w:val="24"/>
        </w:rPr>
        <w:t>acknowledged</w:t>
      </w:r>
      <w:r w:rsidR="00EF4963">
        <w:rPr>
          <w:rFonts w:cs="Times New Roman"/>
          <w:szCs w:val="24"/>
        </w:rPr>
        <w:t xml:space="preserve"> as belonging to a class of truths above human reason, and therefore beyond the realm of demonstr</w:t>
      </w:r>
      <w:r w:rsidR="00440AF5">
        <w:rPr>
          <w:rFonts w:cs="Times New Roman"/>
          <w:szCs w:val="24"/>
        </w:rPr>
        <w:t>ation</w:t>
      </w:r>
      <w:r w:rsidR="00955D50">
        <w:rPr>
          <w:rFonts w:cs="Times New Roman"/>
          <w:szCs w:val="24"/>
        </w:rPr>
        <w:t>. Drawing attention</w:t>
      </w:r>
      <w:r w:rsidR="00EF4963">
        <w:rPr>
          <w:rFonts w:cs="Times New Roman"/>
          <w:szCs w:val="24"/>
        </w:rPr>
        <w:t xml:space="preserve"> to the notion of ‘pre</w:t>
      </w:r>
      <w:r w:rsidR="00976F0A">
        <w:rPr>
          <w:rFonts w:cs="Times New Roman"/>
          <w:szCs w:val="24"/>
        </w:rPr>
        <w:t xml:space="preserve">sumption of truth’ employed </w:t>
      </w:r>
      <w:r w:rsidR="00976F0A">
        <w:rPr>
          <w:rFonts w:cs="Times New Roman"/>
          <w:szCs w:val="24"/>
        </w:rPr>
        <w:lastRenderedPageBreak/>
        <w:t>by j</w:t>
      </w:r>
      <w:r w:rsidR="00EF4963">
        <w:rPr>
          <w:rFonts w:cs="Times New Roman"/>
          <w:szCs w:val="24"/>
        </w:rPr>
        <w:t>urists</w:t>
      </w:r>
      <w:r w:rsidR="0045009F">
        <w:rPr>
          <w:rFonts w:cs="Times New Roman"/>
          <w:szCs w:val="24"/>
        </w:rPr>
        <w:t>, Leibniz pointed</w:t>
      </w:r>
      <w:r w:rsidR="001F1B52">
        <w:rPr>
          <w:rFonts w:cs="Times New Roman"/>
          <w:szCs w:val="24"/>
        </w:rPr>
        <w:t xml:space="preserve"> out that the burden of proof is on those who attack traditional Christian doctrines</w:t>
      </w:r>
      <w:r w:rsidR="00440AF5">
        <w:rPr>
          <w:rFonts w:cs="Times New Roman"/>
          <w:szCs w:val="24"/>
        </w:rPr>
        <w:t xml:space="preserve"> rather than on their defenders</w:t>
      </w:r>
      <w:r w:rsidR="001F1B52">
        <w:rPr>
          <w:rFonts w:cs="Times New Roman"/>
          <w:szCs w:val="24"/>
        </w:rPr>
        <w:t xml:space="preserve">. </w:t>
      </w:r>
      <w:r w:rsidR="00440AF5">
        <w:rPr>
          <w:rFonts w:cs="Times New Roman"/>
          <w:szCs w:val="24"/>
        </w:rPr>
        <w:t xml:space="preserve">Like the </w:t>
      </w:r>
      <w:r w:rsidR="0045009F">
        <w:rPr>
          <w:rFonts w:cs="Times New Roman"/>
          <w:szCs w:val="24"/>
        </w:rPr>
        <w:t>defendants</w:t>
      </w:r>
      <w:r w:rsidR="00976F0A">
        <w:rPr>
          <w:rFonts w:cs="Times New Roman"/>
          <w:szCs w:val="24"/>
        </w:rPr>
        <w:t xml:space="preserve"> in a l</w:t>
      </w:r>
      <w:r w:rsidR="00440AF5">
        <w:rPr>
          <w:rFonts w:cs="Times New Roman"/>
          <w:szCs w:val="24"/>
        </w:rPr>
        <w:t xml:space="preserve">aw court, </w:t>
      </w:r>
      <w:r w:rsidR="001F1B52">
        <w:rPr>
          <w:rFonts w:cs="Times New Roman"/>
          <w:szCs w:val="24"/>
        </w:rPr>
        <w:t xml:space="preserve">Christian believers can appeal to a presumption of truth </w:t>
      </w:r>
      <w:r w:rsidR="0045009F">
        <w:rPr>
          <w:rFonts w:cs="Times New Roman"/>
          <w:szCs w:val="24"/>
        </w:rPr>
        <w:t xml:space="preserve">of their beliefs </w:t>
      </w:r>
      <w:r w:rsidR="00440AF5">
        <w:rPr>
          <w:rFonts w:cs="Times New Roman"/>
          <w:szCs w:val="24"/>
        </w:rPr>
        <w:t>until the opposite is proved</w:t>
      </w:r>
      <w:r w:rsidR="002E6817">
        <w:rPr>
          <w:rFonts w:cs="Times New Roman"/>
          <w:szCs w:val="24"/>
        </w:rPr>
        <w:t xml:space="preserve">. In other words, </w:t>
      </w:r>
      <w:r w:rsidR="001F1B52">
        <w:rPr>
          <w:rFonts w:cs="Times New Roman"/>
          <w:szCs w:val="24"/>
        </w:rPr>
        <w:t xml:space="preserve">they are rationally justified </w:t>
      </w:r>
      <w:r w:rsidR="00384D2F">
        <w:rPr>
          <w:rFonts w:cs="Times New Roman"/>
          <w:szCs w:val="24"/>
        </w:rPr>
        <w:t>in holding</w:t>
      </w:r>
      <w:r w:rsidR="00440AF5">
        <w:rPr>
          <w:rFonts w:cs="Times New Roman"/>
          <w:szCs w:val="24"/>
        </w:rPr>
        <w:t xml:space="preserve"> traditional doctrines </w:t>
      </w:r>
      <w:r w:rsidR="00384D2F">
        <w:rPr>
          <w:rFonts w:cs="Times New Roman"/>
          <w:szCs w:val="24"/>
        </w:rPr>
        <w:t xml:space="preserve">as true until their impossibility </w:t>
      </w:r>
      <w:r w:rsidR="00440AF5">
        <w:rPr>
          <w:rFonts w:cs="Times New Roman"/>
          <w:szCs w:val="24"/>
        </w:rPr>
        <w:t xml:space="preserve">(and therefore irrationality) </w:t>
      </w:r>
      <w:r w:rsidR="00384D2F">
        <w:rPr>
          <w:rFonts w:cs="Times New Roman"/>
          <w:szCs w:val="24"/>
        </w:rPr>
        <w:t>is proved.</w:t>
      </w:r>
      <w:r w:rsidR="00384D2F">
        <w:rPr>
          <w:rStyle w:val="FootnoteReference"/>
          <w:rFonts w:cs="Times New Roman"/>
          <w:szCs w:val="24"/>
        </w:rPr>
        <w:footnoteReference w:id="40"/>
      </w:r>
    </w:p>
    <w:p w:rsidR="009E1872" w:rsidRDefault="00D9401E" w:rsidP="007B7129">
      <w:pPr>
        <w:autoSpaceDE w:val="0"/>
        <w:autoSpaceDN w:val="0"/>
        <w:adjustRightInd w:val="0"/>
        <w:spacing w:line="360" w:lineRule="auto"/>
        <w:ind w:firstLine="720"/>
        <w:rPr>
          <w:rFonts w:cs="Times New Roman"/>
          <w:szCs w:val="24"/>
        </w:rPr>
      </w:pPr>
      <w:r>
        <w:rPr>
          <w:rFonts w:cs="Times New Roman"/>
          <w:szCs w:val="24"/>
        </w:rPr>
        <w:t>A few preliminary conclusions can be drawn</w:t>
      </w:r>
      <w:r w:rsidR="00F979DA">
        <w:rPr>
          <w:rFonts w:cs="Times New Roman"/>
          <w:szCs w:val="24"/>
        </w:rPr>
        <w:t xml:space="preserve"> from this brief account</w:t>
      </w:r>
      <w:r>
        <w:rPr>
          <w:rFonts w:cs="Times New Roman"/>
          <w:szCs w:val="24"/>
        </w:rPr>
        <w:t>. By suggesting a conception of theology as the jurisprudence regulating the association between God and</w:t>
      </w:r>
      <w:r w:rsidR="00607223">
        <w:rPr>
          <w:rFonts w:cs="Times New Roman"/>
          <w:szCs w:val="24"/>
        </w:rPr>
        <w:t xml:space="preserve"> humankind</w:t>
      </w:r>
      <w:r w:rsidR="00955D50">
        <w:rPr>
          <w:rFonts w:cs="Times New Roman"/>
          <w:szCs w:val="24"/>
        </w:rPr>
        <w:t>, Leibniz is signalling</w:t>
      </w:r>
      <w:r w:rsidR="00F64CD1">
        <w:rPr>
          <w:rFonts w:cs="Times New Roman"/>
          <w:szCs w:val="24"/>
        </w:rPr>
        <w:t xml:space="preserve"> that theology is ultimately </w:t>
      </w:r>
      <w:r w:rsidR="00B23BE2">
        <w:rPr>
          <w:rFonts w:cs="Times New Roman"/>
          <w:szCs w:val="24"/>
        </w:rPr>
        <w:t>practical</w:t>
      </w:r>
      <w:r w:rsidR="00F979DA">
        <w:rPr>
          <w:rFonts w:cs="Times New Roman"/>
          <w:szCs w:val="24"/>
        </w:rPr>
        <w:t>:</w:t>
      </w:r>
      <w:r w:rsidR="00F64CD1">
        <w:rPr>
          <w:rFonts w:cs="Times New Roman"/>
          <w:szCs w:val="24"/>
        </w:rPr>
        <w:t xml:space="preserve"> its ultimate purpose is to regulate our life in the City of God, </w:t>
      </w:r>
      <w:r w:rsidR="00B23BE2">
        <w:rPr>
          <w:rFonts w:cs="Times New Roman"/>
          <w:szCs w:val="24"/>
        </w:rPr>
        <w:t xml:space="preserve">providing the framework of the rightfulness or justice of our actions </w:t>
      </w:r>
      <w:r w:rsidR="00C04810">
        <w:rPr>
          <w:rFonts w:cs="Times New Roman"/>
          <w:szCs w:val="24"/>
        </w:rPr>
        <w:t xml:space="preserve">in relation to God and our </w:t>
      </w:r>
      <w:r w:rsidR="00F64CD1">
        <w:rPr>
          <w:rFonts w:cs="Times New Roman"/>
          <w:szCs w:val="24"/>
        </w:rPr>
        <w:t>fellow citizens.</w:t>
      </w:r>
      <w:r w:rsidR="00B23BE2">
        <w:rPr>
          <w:rFonts w:cs="Times New Roman"/>
          <w:szCs w:val="24"/>
        </w:rPr>
        <w:t xml:space="preserve"> </w:t>
      </w:r>
      <w:r w:rsidR="00607223">
        <w:rPr>
          <w:rFonts w:cs="Times New Roman"/>
          <w:szCs w:val="24"/>
        </w:rPr>
        <w:t>As m</w:t>
      </w:r>
      <w:r w:rsidR="00955D50">
        <w:rPr>
          <w:rFonts w:cs="Times New Roman"/>
          <w:szCs w:val="24"/>
        </w:rPr>
        <w:t>entioned above, Leibniz embraces and upholds</w:t>
      </w:r>
      <w:r w:rsidR="00607223">
        <w:rPr>
          <w:rFonts w:cs="Times New Roman"/>
          <w:szCs w:val="24"/>
        </w:rPr>
        <w:t xml:space="preserve"> the traditional distinction between </w:t>
      </w:r>
      <w:r w:rsidR="00E730F5">
        <w:rPr>
          <w:rFonts w:cs="Times New Roman"/>
          <w:szCs w:val="24"/>
        </w:rPr>
        <w:t>“</w:t>
      </w:r>
      <w:r w:rsidR="00607223">
        <w:rPr>
          <w:rFonts w:cs="Times New Roman"/>
          <w:szCs w:val="24"/>
        </w:rPr>
        <w:t>natural</w:t>
      </w:r>
      <w:r w:rsidR="00E730F5">
        <w:rPr>
          <w:rFonts w:cs="Times New Roman"/>
          <w:szCs w:val="24"/>
        </w:rPr>
        <w:t>”</w:t>
      </w:r>
      <w:r w:rsidR="00607223">
        <w:rPr>
          <w:rFonts w:cs="Times New Roman"/>
          <w:szCs w:val="24"/>
        </w:rPr>
        <w:t xml:space="preserve"> and </w:t>
      </w:r>
      <w:r w:rsidR="00E730F5">
        <w:rPr>
          <w:rFonts w:cs="Times New Roman"/>
          <w:szCs w:val="24"/>
        </w:rPr>
        <w:t>“</w:t>
      </w:r>
      <w:r w:rsidR="00607223">
        <w:rPr>
          <w:rFonts w:cs="Times New Roman"/>
          <w:szCs w:val="24"/>
        </w:rPr>
        <w:t>revealed</w:t>
      </w:r>
      <w:r w:rsidR="00E730F5">
        <w:rPr>
          <w:rFonts w:cs="Times New Roman"/>
          <w:szCs w:val="24"/>
        </w:rPr>
        <w:t>”</w:t>
      </w:r>
      <w:r w:rsidR="00607223">
        <w:rPr>
          <w:rFonts w:cs="Times New Roman"/>
          <w:szCs w:val="24"/>
        </w:rPr>
        <w:t xml:space="preserve"> theology, corresponding respectively to the “natural” and “positive” law of the City of God. </w:t>
      </w:r>
      <w:r w:rsidR="00E730F5">
        <w:rPr>
          <w:rFonts w:cs="Times New Roman"/>
          <w:szCs w:val="24"/>
        </w:rPr>
        <w:t>This is important. First of all, it confirms that the framework of justice regulating the relationship of God with rational creature</w:t>
      </w:r>
      <w:r w:rsidR="00C04810">
        <w:rPr>
          <w:rFonts w:cs="Times New Roman"/>
          <w:szCs w:val="24"/>
        </w:rPr>
        <w:t>s is not arbitrary but relie</w:t>
      </w:r>
      <w:r w:rsidR="00955D50">
        <w:rPr>
          <w:rFonts w:cs="Times New Roman"/>
          <w:szCs w:val="24"/>
        </w:rPr>
        <w:t>s</w:t>
      </w:r>
      <w:r w:rsidR="00E730F5">
        <w:rPr>
          <w:rFonts w:cs="Times New Roman"/>
          <w:szCs w:val="24"/>
        </w:rPr>
        <w:t xml:space="preserve"> on </w:t>
      </w:r>
      <w:r w:rsidR="00955D50">
        <w:rPr>
          <w:rFonts w:cs="Times New Roman"/>
          <w:szCs w:val="24"/>
        </w:rPr>
        <w:t>something analogous to</w:t>
      </w:r>
      <w:r w:rsidR="00845E1A">
        <w:rPr>
          <w:rFonts w:cs="Times New Roman"/>
          <w:szCs w:val="24"/>
        </w:rPr>
        <w:t xml:space="preserve"> </w:t>
      </w:r>
      <w:r w:rsidR="00C04810">
        <w:rPr>
          <w:rFonts w:cs="Times New Roman"/>
          <w:szCs w:val="24"/>
        </w:rPr>
        <w:t>“natural law”. T</w:t>
      </w:r>
      <w:r w:rsidR="00E730F5">
        <w:rPr>
          <w:rFonts w:cs="Times New Roman"/>
          <w:szCs w:val="24"/>
        </w:rPr>
        <w:t xml:space="preserve">hat is, </w:t>
      </w:r>
      <w:r w:rsidR="00955D50">
        <w:rPr>
          <w:rFonts w:cs="Times New Roman"/>
          <w:szCs w:val="24"/>
        </w:rPr>
        <w:t xml:space="preserve">it is grounded </w:t>
      </w:r>
      <w:r w:rsidR="00E730F5">
        <w:rPr>
          <w:rFonts w:cs="Times New Roman"/>
          <w:szCs w:val="24"/>
        </w:rPr>
        <w:t xml:space="preserve">on the nature of God himself as it can be discovered rationally through natural theology and its investigations of the existence and attributes of God. Secondly, </w:t>
      </w:r>
      <w:r w:rsidR="00B52324">
        <w:rPr>
          <w:rFonts w:cs="Times New Roman"/>
          <w:szCs w:val="24"/>
        </w:rPr>
        <w:t xml:space="preserve">Leibniz </w:t>
      </w:r>
      <w:r w:rsidR="00C04810">
        <w:rPr>
          <w:rFonts w:cs="Times New Roman"/>
          <w:szCs w:val="24"/>
        </w:rPr>
        <w:t xml:space="preserve">also acknowledges </w:t>
      </w:r>
      <w:r w:rsidR="00845E1A">
        <w:rPr>
          <w:rFonts w:cs="Times New Roman"/>
          <w:szCs w:val="24"/>
        </w:rPr>
        <w:t>the role of the will of God as expressed in t</w:t>
      </w:r>
      <w:r w:rsidR="0045009F">
        <w:rPr>
          <w:rFonts w:cs="Times New Roman"/>
          <w:szCs w:val="24"/>
        </w:rPr>
        <w:t xml:space="preserve">he revealed part of theology. </w:t>
      </w:r>
      <w:r w:rsidR="00C04810">
        <w:rPr>
          <w:rFonts w:cs="Times New Roman"/>
          <w:szCs w:val="24"/>
        </w:rPr>
        <w:t>Just a</w:t>
      </w:r>
      <w:r w:rsidR="0045009F">
        <w:rPr>
          <w:rFonts w:cs="Times New Roman"/>
          <w:szCs w:val="24"/>
        </w:rPr>
        <w:t>s</w:t>
      </w:r>
      <w:r w:rsidR="00845E1A">
        <w:rPr>
          <w:rFonts w:cs="Times New Roman"/>
          <w:szCs w:val="24"/>
        </w:rPr>
        <w:t xml:space="preserve"> positive laws are the result of the will of the legislators, the justice of which is ultimately grounded in the agreement of such positive laws with natural law, so revealed theology expounds the ways in which God willed to rescue and reshape his relationship with humankind after </w:t>
      </w:r>
      <w:r w:rsidR="0096684E">
        <w:rPr>
          <w:rFonts w:cs="Times New Roman"/>
          <w:szCs w:val="24"/>
        </w:rPr>
        <w:t>sin, crucially through the Incarnation.</w:t>
      </w:r>
      <w:r w:rsidR="00DE47DD">
        <w:rPr>
          <w:rStyle w:val="FootnoteReference"/>
          <w:rFonts w:cs="Times New Roman"/>
          <w:szCs w:val="24"/>
        </w:rPr>
        <w:footnoteReference w:id="41"/>
      </w:r>
      <w:r w:rsidR="0004246F">
        <w:rPr>
          <w:rFonts w:cs="Times New Roman"/>
          <w:szCs w:val="24"/>
        </w:rPr>
        <w:t xml:space="preserve"> The latter truth is not discoverable or provable </w:t>
      </w:r>
      <w:r w:rsidR="007C69DE">
        <w:rPr>
          <w:rFonts w:cs="Times New Roman"/>
          <w:szCs w:val="24"/>
        </w:rPr>
        <w:t>by</w:t>
      </w:r>
      <w:r w:rsidR="00C04810">
        <w:rPr>
          <w:rFonts w:cs="Times New Roman"/>
          <w:szCs w:val="24"/>
        </w:rPr>
        <w:t xml:space="preserve"> human reason; it is </w:t>
      </w:r>
      <w:r w:rsidR="0004246F">
        <w:rPr>
          <w:rFonts w:cs="Times New Roman"/>
          <w:szCs w:val="24"/>
        </w:rPr>
        <w:t>merely moral</w:t>
      </w:r>
      <w:r w:rsidR="00C04810">
        <w:rPr>
          <w:rFonts w:cs="Times New Roman"/>
          <w:szCs w:val="24"/>
        </w:rPr>
        <w:t xml:space="preserve">ly certain, hence </w:t>
      </w:r>
      <w:r w:rsidR="0004246F">
        <w:rPr>
          <w:rFonts w:cs="Times New Roman"/>
          <w:szCs w:val="24"/>
        </w:rPr>
        <w:t xml:space="preserve">the need to turn, once again, to </w:t>
      </w:r>
      <w:r w:rsidR="00DE47DD">
        <w:rPr>
          <w:rFonts w:cs="Times New Roman"/>
          <w:szCs w:val="24"/>
        </w:rPr>
        <w:t xml:space="preserve">the practices of </w:t>
      </w:r>
      <w:r w:rsidR="0004246F">
        <w:rPr>
          <w:rFonts w:cs="Times New Roman"/>
          <w:szCs w:val="24"/>
        </w:rPr>
        <w:t>jurisprudence</w:t>
      </w:r>
      <w:r w:rsidR="00DE47DD">
        <w:rPr>
          <w:rFonts w:cs="Times New Roman"/>
          <w:szCs w:val="24"/>
        </w:rPr>
        <w:t xml:space="preserve"> to defend this and other doctrines of revealed theology.</w:t>
      </w:r>
    </w:p>
    <w:p w:rsidR="00A26DE7" w:rsidRDefault="00F979DA" w:rsidP="007B7129">
      <w:pPr>
        <w:autoSpaceDE w:val="0"/>
        <w:autoSpaceDN w:val="0"/>
        <w:adjustRightInd w:val="0"/>
        <w:spacing w:line="360" w:lineRule="auto"/>
        <w:ind w:firstLine="720"/>
        <w:rPr>
          <w:rFonts w:cs="Times New Roman"/>
          <w:szCs w:val="24"/>
        </w:rPr>
      </w:pPr>
      <w:r>
        <w:rPr>
          <w:rFonts w:cs="Times New Roman"/>
          <w:szCs w:val="24"/>
        </w:rPr>
        <w:t xml:space="preserve">Leibniz’s analogy between natural and revealed theology, on the one hand, and natural and positive law, on the other, is grounded in his epistemology, with its distinction between absolute and moral certainty. The next step in our argument is to </w:t>
      </w:r>
      <w:r w:rsidR="0045009F">
        <w:rPr>
          <w:rFonts w:cs="Times New Roman"/>
          <w:szCs w:val="24"/>
        </w:rPr>
        <w:t>appreciate how</w:t>
      </w:r>
      <w:r w:rsidR="008E0262">
        <w:rPr>
          <w:rFonts w:cs="Times New Roman"/>
          <w:szCs w:val="24"/>
        </w:rPr>
        <w:t xml:space="preserve"> this distinction ultimately </w:t>
      </w:r>
      <w:r w:rsidR="009E1872">
        <w:rPr>
          <w:rFonts w:cs="Times New Roman"/>
          <w:szCs w:val="24"/>
        </w:rPr>
        <w:t xml:space="preserve">leads to </w:t>
      </w:r>
      <w:r w:rsidR="0044148F">
        <w:rPr>
          <w:rFonts w:cs="Times New Roman"/>
          <w:szCs w:val="24"/>
        </w:rPr>
        <w:t>Leibniz’s</w:t>
      </w:r>
      <w:r w:rsidR="009E1872">
        <w:rPr>
          <w:rFonts w:cs="Times New Roman"/>
          <w:szCs w:val="24"/>
        </w:rPr>
        <w:t xml:space="preserve"> remarkably pragmatic stan</w:t>
      </w:r>
      <w:r w:rsidR="0044148F">
        <w:rPr>
          <w:rFonts w:cs="Times New Roman"/>
          <w:szCs w:val="24"/>
        </w:rPr>
        <w:t xml:space="preserve">ce </w:t>
      </w:r>
      <w:r w:rsidR="00960BA9">
        <w:rPr>
          <w:rFonts w:cs="Times New Roman"/>
          <w:szCs w:val="24"/>
        </w:rPr>
        <w:t>regarding</w:t>
      </w:r>
      <w:r w:rsidR="009E1872">
        <w:rPr>
          <w:rFonts w:cs="Times New Roman"/>
          <w:szCs w:val="24"/>
        </w:rPr>
        <w:t xml:space="preserve"> the doctrines of the Christian revelation</w:t>
      </w:r>
      <w:r>
        <w:rPr>
          <w:rFonts w:cs="Times New Roman"/>
          <w:szCs w:val="24"/>
        </w:rPr>
        <w:t>.</w:t>
      </w:r>
    </w:p>
    <w:p w:rsidR="0067100B" w:rsidRDefault="0067100B" w:rsidP="007B7129">
      <w:pPr>
        <w:autoSpaceDE w:val="0"/>
        <w:autoSpaceDN w:val="0"/>
        <w:adjustRightInd w:val="0"/>
        <w:spacing w:line="360" w:lineRule="auto"/>
        <w:rPr>
          <w:rFonts w:cs="Times New Roman"/>
          <w:szCs w:val="24"/>
        </w:rPr>
      </w:pPr>
    </w:p>
    <w:p w:rsidR="0067100B" w:rsidRPr="007104D8" w:rsidRDefault="0067100B" w:rsidP="00960BA9">
      <w:pPr>
        <w:autoSpaceDE w:val="0"/>
        <w:autoSpaceDN w:val="0"/>
        <w:adjustRightInd w:val="0"/>
        <w:spacing w:line="360" w:lineRule="auto"/>
        <w:jc w:val="center"/>
        <w:rPr>
          <w:rFonts w:cs="Times New Roman"/>
          <w:szCs w:val="24"/>
        </w:rPr>
      </w:pPr>
      <w:r w:rsidRPr="007104D8">
        <w:rPr>
          <w:rFonts w:cs="Times New Roman"/>
          <w:szCs w:val="24"/>
        </w:rPr>
        <w:t>Absolute certainty and moral certainty</w:t>
      </w:r>
    </w:p>
    <w:p w:rsidR="0067100B" w:rsidRDefault="0067100B" w:rsidP="007B7129">
      <w:pPr>
        <w:autoSpaceDE w:val="0"/>
        <w:autoSpaceDN w:val="0"/>
        <w:adjustRightInd w:val="0"/>
        <w:spacing w:line="360" w:lineRule="auto"/>
        <w:rPr>
          <w:rFonts w:cs="Times New Roman"/>
          <w:szCs w:val="24"/>
        </w:rPr>
      </w:pPr>
    </w:p>
    <w:p w:rsidR="0067100B" w:rsidRPr="00395EBF" w:rsidRDefault="0067100B" w:rsidP="007B7129">
      <w:pPr>
        <w:autoSpaceDE w:val="0"/>
        <w:autoSpaceDN w:val="0"/>
        <w:adjustRightInd w:val="0"/>
        <w:spacing w:line="360" w:lineRule="auto"/>
        <w:rPr>
          <w:rFonts w:cs="Times New Roman"/>
          <w:szCs w:val="24"/>
        </w:rPr>
      </w:pPr>
      <w:r>
        <w:rPr>
          <w:rFonts w:cs="Times New Roman"/>
          <w:szCs w:val="24"/>
        </w:rPr>
        <w:t xml:space="preserve">Leibniz </w:t>
      </w:r>
      <w:r w:rsidR="001070C4">
        <w:rPr>
          <w:rFonts w:cs="Times New Roman"/>
          <w:szCs w:val="24"/>
        </w:rPr>
        <w:t>sharply</w:t>
      </w:r>
      <w:r w:rsidR="001070C4" w:rsidRPr="00395EBF">
        <w:rPr>
          <w:rFonts w:cs="Times New Roman"/>
          <w:szCs w:val="24"/>
        </w:rPr>
        <w:t xml:space="preserve"> </w:t>
      </w:r>
      <w:r w:rsidR="00E5549E">
        <w:rPr>
          <w:rFonts w:cs="Times New Roman"/>
          <w:szCs w:val="24"/>
        </w:rPr>
        <w:t>distinguished</w:t>
      </w:r>
      <w:r w:rsidR="00E5549E" w:rsidRPr="00395EBF">
        <w:rPr>
          <w:rFonts w:cs="Times New Roman"/>
          <w:szCs w:val="24"/>
        </w:rPr>
        <w:t xml:space="preserve"> </w:t>
      </w:r>
      <w:r w:rsidRPr="00395EBF">
        <w:rPr>
          <w:rFonts w:cs="Times New Roman"/>
          <w:szCs w:val="24"/>
        </w:rPr>
        <w:t xml:space="preserve">between absolute and moral certainty </w:t>
      </w:r>
      <w:r w:rsidR="001070C4">
        <w:rPr>
          <w:rFonts w:cs="Times New Roman"/>
          <w:szCs w:val="24"/>
        </w:rPr>
        <w:t xml:space="preserve">both </w:t>
      </w:r>
      <w:r w:rsidRPr="00395EBF">
        <w:rPr>
          <w:rFonts w:cs="Times New Roman"/>
          <w:szCs w:val="24"/>
        </w:rPr>
        <w:t>in theology a</w:t>
      </w:r>
      <w:r w:rsidR="001070C4">
        <w:rPr>
          <w:rFonts w:cs="Times New Roman"/>
          <w:szCs w:val="24"/>
        </w:rPr>
        <w:t>nd</w:t>
      </w:r>
      <w:r w:rsidRPr="00395EBF">
        <w:rPr>
          <w:rFonts w:cs="Times New Roman"/>
          <w:szCs w:val="24"/>
        </w:rPr>
        <w:t xml:space="preserve"> in philosophy.</w:t>
      </w:r>
      <w:r w:rsidR="000A7169">
        <w:rPr>
          <w:rFonts w:cs="Times New Roman"/>
          <w:szCs w:val="24"/>
        </w:rPr>
        <w:t xml:space="preserve"> </w:t>
      </w:r>
      <w:r w:rsidR="00F979DA">
        <w:rPr>
          <w:rFonts w:cs="Times New Roman"/>
          <w:szCs w:val="24"/>
        </w:rPr>
        <w:t>To begin with the former, i</w:t>
      </w:r>
      <w:r w:rsidR="000A7169">
        <w:rPr>
          <w:rFonts w:cs="Times New Roman"/>
          <w:szCs w:val="24"/>
        </w:rPr>
        <w:t xml:space="preserve">n </w:t>
      </w:r>
      <w:r w:rsidR="00D15EDE">
        <w:rPr>
          <w:rFonts w:cs="Times New Roman"/>
          <w:szCs w:val="24"/>
        </w:rPr>
        <w:t>the</w:t>
      </w:r>
      <w:r w:rsidRPr="00395EBF">
        <w:rPr>
          <w:rFonts w:cs="Times New Roman"/>
          <w:szCs w:val="24"/>
        </w:rPr>
        <w:t xml:space="preserve"> lett</w:t>
      </w:r>
      <w:r w:rsidR="00E5549E">
        <w:rPr>
          <w:rFonts w:cs="Times New Roman"/>
          <w:szCs w:val="24"/>
        </w:rPr>
        <w:t>er to Duke Johann Friedrich of a</w:t>
      </w:r>
      <w:r w:rsidRPr="00395EBF">
        <w:rPr>
          <w:rFonts w:cs="Times New Roman"/>
          <w:szCs w:val="24"/>
        </w:rPr>
        <w:t>utumn 1679</w:t>
      </w:r>
      <w:r w:rsidR="001070C4">
        <w:rPr>
          <w:rFonts w:cs="Times New Roman"/>
          <w:szCs w:val="24"/>
        </w:rPr>
        <w:t xml:space="preserve"> </w:t>
      </w:r>
      <w:r w:rsidRPr="00395EBF">
        <w:rPr>
          <w:rFonts w:cs="Times New Roman"/>
          <w:szCs w:val="24"/>
        </w:rPr>
        <w:t xml:space="preserve">in which his all-embracing project of the </w:t>
      </w:r>
      <w:proofErr w:type="spellStart"/>
      <w:r w:rsidRPr="00395EBF">
        <w:rPr>
          <w:rFonts w:cs="Times New Roman"/>
          <w:i/>
          <w:szCs w:val="24"/>
        </w:rPr>
        <w:t>Demonstrationes</w:t>
      </w:r>
      <w:proofErr w:type="spellEnd"/>
      <w:r w:rsidRPr="00395EBF">
        <w:rPr>
          <w:rFonts w:cs="Times New Roman"/>
          <w:i/>
          <w:szCs w:val="24"/>
        </w:rPr>
        <w:t xml:space="preserve"> </w:t>
      </w:r>
      <w:proofErr w:type="spellStart"/>
      <w:r w:rsidRPr="00395EBF">
        <w:rPr>
          <w:rFonts w:cs="Times New Roman"/>
          <w:i/>
          <w:szCs w:val="24"/>
        </w:rPr>
        <w:t>Catholicae</w:t>
      </w:r>
      <w:proofErr w:type="spellEnd"/>
      <w:r w:rsidRPr="00395EBF">
        <w:rPr>
          <w:rFonts w:cs="Times New Roman"/>
          <w:szCs w:val="24"/>
        </w:rPr>
        <w:t xml:space="preserve"> </w:t>
      </w:r>
      <w:r w:rsidR="00E5549E">
        <w:rPr>
          <w:rFonts w:cs="Times New Roman"/>
          <w:szCs w:val="24"/>
        </w:rPr>
        <w:t>was</w:t>
      </w:r>
      <w:r w:rsidR="00EF7F74">
        <w:rPr>
          <w:rFonts w:cs="Times New Roman"/>
          <w:szCs w:val="24"/>
        </w:rPr>
        <w:t xml:space="preserve"> presented</w:t>
      </w:r>
      <w:r w:rsidRPr="00395EBF">
        <w:rPr>
          <w:rFonts w:cs="Times New Roman"/>
          <w:szCs w:val="24"/>
        </w:rPr>
        <w:t>,</w:t>
      </w:r>
      <w:r w:rsidR="00566ED4">
        <w:rPr>
          <w:rFonts w:cs="Times New Roman"/>
          <w:szCs w:val="24"/>
        </w:rPr>
        <w:t xml:space="preserve"> Leibniz</w:t>
      </w:r>
      <w:r w:rsidRPr="00395EBF">
        <w:rPr>
          <w:rFonts w:cs="Times New Roman"/>
          <w:szCs w:val="24"/>
        </w:rPr>
        <w:t xml:space="preserve"> explained:</w:t>
      </w:r>
    </w:p>
    <w:p w:rsidR="00E5549E" w:rsidRDefault="00E5549E" w:rsidP="007B7129">
      <w:pPr>
        <w:autoSpaceDE w:val="0"/>
        <w:autoSpaceDN w:val="0"/>
        <w:adjustRightInd w:val="0"/>
        <w:spacing w:line="360" w:lineRule="auto"/>
        <w:ind w:left="567"/>
        <w:rPr>
          <w:rFonts w:cs="Times New Roman"/>
          <w:szCs w:val="24"/>
        </w:rPr>
      </w:pPr>
    </w:p>
    <w:p w:rsidR="0067100B" w:rsidRPr="00395EBF" w:rsidRDefault="0067100B" w:rsidP="007B7129">
      <w:pPr>
        <w:autoSpaceDE w:val="0"/>
        <w:autoSpaceDN w:val="0"/>
        <w:adjustRightInd w:val="0"/>
        <w:spacing w:line="360" w:lineRule="auto"/>
        <w:ind w:left="567"/>
        <w:rPr>
          <w:rFonts w:cs="Times New Roman"/>
          <w:szCs w:val="24"/>
        </w:rPr>
      </w:pPr>
      <w:r w:rsidRPr="00395EBF">
        <w:rPr>
          <w:rFonts w:cs="Times New Roman"/>
          <w:szCs w:val="24"/>
        </w:rPr>
        <w:t xml:space="preserve">It should contain three sections: The </w:t>
      </w:r>
      <w:r w:rsidRPr="00395EBF">
        <w:rPr>
          <w:rFonts w:cs="Times New Roman"/>
          <w:i/>
          <w:iCs/>
          <w:szCs w:val="24"/>
        </w:rPr>
        <w:t xml:space="preserve">first section </w:t>
      </w:r>
      <w:r w:rsidRPr="00395EBF">
        <w:rPr>
          <w:rFonts w:cs="Times New Roman"/>
          <w:szCs w:val="24"/>
        </w:rPr>
        <w:t>is to demonstrate the existence of God, the immortality of the soul, and all natural theology; since in effect I have</w:t>
      </w:r>
      <w:r w:rsidR="00E02289">
        <w:rPr>
          <w:rFonts w:cs="Times New Roman"/>
          <w:szCs w:val="24"/>
        </w:rPr>
        <w:t xml:space="preserve"> </w:t>
      </w:r>
      <w:r w:rsidRPr="00395EBF">
        <w:rPr>
          <w:rFonts w:cs="Times New Roman"/>
          <w:szCs w:val="24"/>
        </w:rPr>
        <w:t>attained surprising demonstrations. The second section should be about the</w:t>
      </w:r>
      <w:r w:rsidR="00E02289">
        <w:rPr>
          <w:rFonts w:cs="Times New Roman"/>
          <w:szCs w:val="24"/>
        </w:rPr>
        <w:t xml:space="preserve"> </w:t>
      </w:r>
      <w:r w:rsidRPr="00395EBF">
        <w:rPr>
          <w:rFonts w:cs="Times New Roman"/>
          <w:szCs w:val="24"/>
        </w:rPr>
        <w:t>Christian religion, or revealed Theology; in it I would like to demonstrate</w:t>
      </w:r>
      <w:r w:rsidR="00E02289">
        <w:rPr>
          <w:rFonts w:cs="Times New Roman"/>
          <w:szCs w:val="24"/>
        </w:rPr>
        <w:t xml:space="preserve"> </w:t>
      </w:r>
      <w:r w:rsidRPr="00395EBF">
        <w:rPr>
          <w:rFonts w:cs="Times New Roman"/>
          <w:szCs w:val="24"/>
        </w:rPr>
        <w:t>the possibility of our mysteries of the faith and solve all the difficulties raised</w:t>
      </w:r>
      <w:r w:rsidR="00E02289">
        <w:rPr>
          <w:rFonts w:cs="Times New Roman"/>
          <w:szCs w:val="24"/>
        </w:rPr>
        <w:t xml:space="preserve"> </w:t>
      </w:r>
      <w:r w:rsidRPr="00395EBF">
        <w:rPr>
          <w:rFonts w:cs="Times New Roman"/>
          <w:szCs w:val="24"/>
        </w:rPr>
        <w:t>by those who claim to show there are absurdities and contradictions in the</w:t>
      </w:r>
      <w:r w:rsidR="00E02289">
        <w:rPr>
          <w:rFonts w:cs="Times New Roman"/>
          <w:szCs w:val="24"/>
        </w:rPr>
        <w:t xml:space="preserve"> </w:t>
      </w:r>
      <w:r w:rsidRPr="00395EBF">
        <w:rPr>
          <w:rFonts w:cs="Times New Roman"/>
          <w:szCs w:val="24"/>
        </w:rPr>
        <w:t>Trinity, in the Incarnation, in the Eucharist, and in the resurrection of bodies.</w:t>
      </w:r>
      <w:r w:rsidR="00E02289">
        <w:rPr>
          <w:rFonts w:cs="Times New Roman"/>
          <w:szCs w:val="24"/>
        </w:rPr>
        <w:t xml:space="preserve"> </w:t>
      </w:r>
      <w:r w:rsidRPr="00395EBF">
        <w:rPr>
          <w:rFonts w:cs="Times New Roman"/>
          <w:szCs w:val="24"/>
        </w:rPr>
        <w:t>For the proofs of the Christian religion are only moral, because it is not</w:t>
      </w:r>
      <w:r w:rsidR="00E02289">
        <w:rPr>
          <w:rFonts w:cs="Times New Roman"/>
          <w:szCs w:val="24"/>
        </w:rPr>
        <w:t xml:space="preserve"> </w:t>
      </w:r>
      <w:r w:rsidRPr="00395EBF">
        <w:rPr>
          <w:rFonts w:cs="Times New Roman"/>
          <w:szCs w:val="24"/>
        </w:rPr>
        <w:t>possible to give others in matters of fact; now all the proofs that carry only a</w:t>
      </w:r>
      <w:r w:rsidR="00E02289">
        <w:rPr>
          <w:rFonts w:cs="Times New Roman"/>
          <w:szCs w:val="24"/>
        </w:rPr>
        <w:t xml:space="preserve"> </w:t>
      </w:r>
      <w:r w:rsidRPr="00395EBF">
        <w:rPr>
          <w:rFonts w:cs="Times New Roman"/>
          <w:szCs w:val="24"/>
        </w:rPr>
        <w:t>moral certitude can be overturned by stronger contrary proofs, and therefore</w:t>
      </w:r>
      <w:r w:rsidR="00E02289">
        <w:rPr>
          <w:rFonts w:cs="Times New Roman"/>
          <w:szCs w:val="24"/>
        </w:rPr>
        <w:t xml:space="preserve"> </w:t>
      </w:r>
      <w:r w:rsidRPr="00395EBF">
        <w:rPr>
          <w:rFonts w:cs="Times New Roman"/>
          <w:szCs w:val="24"/>
        </w:rPr>
        <w:t>one must also answer the objections to satisfy oneself entirely, since a single</w:t>
      </w:r>
      <w:r w:rsidR="00E02289">
        <w:rPr>
          <w:rFonts w:cs="Times New Roman"/>
          <w:szCs w:val="24"/>
        </w:rPr>
        <w:t xml:space="preserve"> </w:t>
      </w:r>
      <w:r w:rsidRPr="00395EBF">
        <w:rPr>
          <w:rFonts w:cs="Times New Roman"/>
          <w:szCs w:val="24"/>
        </w:rPr>
        <w:t>proven impossibility in our mysteries would capsize the whole boat.</w:t>
      </w:r>
      <w:r w:rsidRPr="00395EBF">
        <w:rPr>
          <w:rStyle w:val="FootnoteReference"/>
          <w:rFonts w:cs="Times New Roman"/>
          <w:szCs w:val="24"/>
        </w:rPr>
        <w:footnoteReference w:id="42"/>
      </w:r>
      <w:r w:rsidRPr="00395EBF">
        <w:rPr>
          <w:rFonts w:cs="Times New Roman"/>
          <w:szCs w:val="24"/>
        </w:rPr>
        <w:t xml:space="preserve"> </w:t>
      </w:r>
    </w:p>
    <w:p w:rsidR="0067100B" w:rsidRPr="00395EBF" w:rsidRDefault="0067100B" w:rsidP="007B7129">
      <w:pPr>
        <w:spacing w:line="360" w:lineRule="auto"/>
        <w:rPr>
          <w:rFonts w:cs="Times New Roman"/>
          <w:szCs w:val="24"/>
        </w:rPr>
      </w:pPr>
    </w:p>
    <w:p w:rsidR="0067100B" w:rsidRPr="00395EBF" w:rsidRDefault="00E972EC" w:rsidP="007B7129">
      <w:pPr>
        <w:spacing w:line="360" w:lineRule="auto"/>
        <w:rPr>
          <w:rFonts w:cs="Times New Roman"/>
          <w:szCs w:val="24"/>
        </w:rPr>
      </w:pPr>
      <w:r>
        <w:rPr>
          <w:rFonts w:cs="Times New Roman"/>
          <w:szCs w:val="24"/>
        </w:rPr>
        <w:t>As hinted above, t</w:t>
      </w:r>
      <w:r w:rsidR="0067100B" w:rsidRPr="00395EBF">
        <w:rPr>
          <w:rFonts w:cs="Times New Roman"/>
          <w:szCs w:val="24"/>
        </w:rPr>
        <w:t>he distinction between absolute or metaphysical certainty and moral ce</w:t>
      </w:r>
      <w:r>
        <w:rPr>
          <w:rFonts w:cs="Times New Roman"/>
          <w:szCs w:val="24"/>
        </w:rPr>
        <w:t>rtainty</w:t>
      </w:r>
      <w:r w:rsidR="00E3473B">
        <w:rPr>
          <w:rFonts w:cs="Times New Roman"/>
          <w:szCs w:val="24"/>
        </w:rPr>
        <w:t xml:space="preserve"> </w:t>
      </w:r>
      <w:r>
        <w:rPr>
          <w:rFonts w:cs="Times New Roman"/>
          <w:szCs w:val="24"/>
        </w:rPr>
        <w:t>corresponds</w:t>
      </w:r>
      <w:r w:rsidR="00E3473B">
        <w:rPr>
          <w:rFonts w:cs="Times New Roman"/>
          <w:szCs w:val="24"/>
        </w:rPr>
        <w:t xml:space="preserve"> in theology</w:t>
      </w:r>
      <w:r w:rsidR="0067100B" w:rsidRPr="00395EBF">
        <w:rPr>
          <w:rFonts w:cs="Times New Roman"/>
          <w:szCs w:val="24"/>
        </w:rPr>
        <w:t xml:space="preserve"> to the distinction between natural and revealed theology. Whereas the former enjoys the absolute certainty given by strict demonstration of such truths as the existence of God and the immortality of the soul, the latter cannot but rely on moral certainty, that is, </w:t>
      </w:r>
      <w:r w:rsidR="00E3473B">
        <w:rPr>
          <w:rFonts w:cs="Times New Roman"/>
          <w:szCs w:val="24"/>
        </w:rPr>
        <w:t>crucially,</w:t>
      </w:r>
      <w:r w:rsidR="00593AFE">
        <w:rPr>
          <w:rFonts w:cs="Times New Roman"/>
          <w:szCs w:val="24"/>
        </w:rPr>
        <w:t xml:space="preserve"> on</w:t>
      </w:r>
      <w:r w:rsidR="00E3473B">
        <w:rPr>
          <w:rFonts w:cs="Times New Roman"/>
          <w:szCs w:val="24"/>
        </w:rPr>
        <w:t xml:space="preserve"> </w:t>
      </w:r>
      <w:r w:rsidR="0067100B" w:rsidRPr="00395EBF">
        <w:rPr>
          <w:rFonts w:cs="Times New Roman"/>
          <w:szCs w:val="24"/>
        </w:rPr>
        <w:t>the kind of certainty which is sufficient to rationally ground our action. Moral certainty (to use Leibniz’s beautiful metaphor) can be capsized</w:t>
      </w:r>
      <w:r w:rsidR="00E3473B">
        <w:rPr>
          <w:rFonts w:cs="Times New Roman"/>
          <w:szCs w:val="24"/>
        </w:rPr>
        <w:t xml:space="preserve"> by absolute certainty</w:t>
      </w:r>
      <w:r w:rsidR="00D15EDE">
        <w:rPr>
          <w:rFonts w:cs="Times New Roman"/>
          <w:szCs w:val="24"/>
        </w:rPr>
        <w:t xml:space="preserve">: </w:t>
      </w:r>
      <w:r w:rsidR="0067100B" w:rsidRPr="00395EBF">
        <w:rPr>
          <w:rFonts w:cs="Times New Roman"/>
          <w:szCs w:val="24"/>
        </w:rPr>
        <w:t xml:space="preserve">what we reasonably held to be true on the basis of moral certainty can in principle </w:t>
      </w:r>
      <w:r w:rsidR="00D15EDE">
        <w:rPr>
          <w:rFonts w:cs="Times New Roman"/>
          <w:szCs w:val="24"/>
        </w:rPr>
        <w:t xml:space="preserve">be </w:t>
      </w:r>
      <w:r w:rsidR="0067100B" w:rsidRPr="00395EBF">
        <w:rPr>
          <w:rFonts w:cs="Times New Roman"/>
          <w:szCs w:val="24"/>
        </w:rPr>
        <w:t xml:space="preserve">demonstrated to be false when a charge of inconsistency is proved with metaphysical certainty. </w:t>
      </w:r>
      <w:proofErr w:type="gramStart"/>
      <w:r w:rsidR="0067100B" w:rsidRPr="00395EBF">
        <w:rPr>
          <w:rFonts w:cs="Times New Roman"/>
          <w:szCs w:val="24"/>
        </w:rPr>
        <w:t>However, as long as this does not happen, it is rational to act (an</w:t>
      </w:r>
      <w:r w:rsidR="00C720F8">
        <w:rPr>
          <w:rFonts w:cs="Times New Roman"/>
          <w:szCs w:val="24"/>
        </w:rPr>
        <w:t>d</w:t>
      </w:r>
      <w:r w:rsidR="0067100B" w:rsidRPr="00395EBF">
        <w:rPr>
          <w:rFonts w:cs="Times New Roman"/>
          <w:szCs w:val="24"/>
        </w:rPr>
        <w:t xml:space="preserve"> indeed we should act) on grounds of moral certainty.</w:t>
      </w:r>
      <w:proofErr w:type="gramEnd"/>
      <w:r w:rsidR="00E3473B">
        <w:rPr>
          <w:rFonts w:cs="Times New Roman"/>
          <w:szCs w:val="24"/>
        </w:rPr>
        <w:t xml:space="preserve"> Recalling what was said abov</w:t>
      </w:r>
      <w:r w:rsidR="00593AFE">
        <w:rPr>
          <w:rFonts w:cs="Times New Roman"/>
          <w:szCs w:val="24"/>
        </w:rPr>
        <w:t>e on</w:t>
      </w:r>
      <w:r w:rsidR="00E3473B">
        <w:rPr>
          <w:rFonts w:cs="Times New Roman"/>
          <w:szCs w:val="24"/>
        </w:rPr>
        <w:t xml:space="preserve"> the use of juridical practices to tackle issues which are theor</w:t>
      </w:r>
      <w:r w:rsidR="00C720F8">
        <w:rPr>
          <w:rFonts w:cs="Times New Roman"/>
          <w:szCs w:val="24"/>
        </w:rPr>
        <w:t>etically uncertain, the distinction</w:t>
      </w:r>
      <w:r w:rsidR="00E3473B">
        <w:rPr>
          <w:rFonts w:cs="Times New Roman"/>
          <w:szCs w:val="24"/>
        </w:rPr>
        <w:t xml:space="preserve"> between moral and </w:t>
      </w:r>
      <w:r w:rsidR="00E3473B">
        <w:rPr>
          <w:rFonts w:cs="Times New Roman"/>
          <w:szCs w:val="24"/>
        </w:rPr>
        <w:lastRenderedPageBreak/>
        <w:t xml:space="preserve">absolute certainty aligns with the practice of holding </w:t>
      </w:r>
      <w:r w:rsidR="00E5549E">
        <w:rPr>
          <w:rFonts w:cs="Times New Roman"/>
          <w:szCs w:val="24"/>
        </w:rPr>
        <w:t xml:space="preserve">something </w:t>
      </w:r>
      <w:r w:rsidR="00E3473B">
        <w:rPr>
          <w:rFonts w:cs="Times New Roman"/>
          <w:szCs w:val="24"/>
        </w:rPr>
        <w:t>as true until the opposite is</w:t>
      </w:r>
      <w:r w:rsidR="002B3465">
        <w:rPr>
          <w:rFonts w:cs="Times New Roman"/>
          <w:szCs w:val="24"/>
        </w:rPr>
        <w:t xml:space="preserve"> proved.</w:t>
      </w:r>
    </w:p>
    <w:p w:rsidR="0067100B" w:rsidRPr="00395EBF" w:rsidRDefault="0067100B" w:rsidP="007B7129">
      <w:pPr>
        <w:spacing w:line="360" w:lineRule="auto"/>
        <w:rPr>
          <w:rFonts w:cs="Times New Roman"/>
          <w:szCs w:val="24"/>
        </w:rPr>
      </w:pPr>
      <w:r w:rsidRPr="00395EBF">
        <w:rPr>
          <w:rFonts w:cs="Times New Roman"/>
          <w:szCs w:val="24"/>
        </w:rPr>
        <w:tab/>
        <w:t xml:space="preserve">Some twenty years later Leibniz echoed these views in a letter of February 1697 </w:t>
      </w:r>
      <w:r w:rsidR="00D15EDE" w:rsidRPr="00395EBF">
        <w:rPr>
          <w:rFonts w:cs="Times New Roman"/>
          <w:szCs w:val="24"/>
        </w:rPr>
        <w:t>to Thomas Burnet</w:t>
      </w:r>
      <w:r w:rsidR="00D15EDE">
        <w:rPr>
          <w:rFonts w:cs="Times New Roman"/>
          <w:szCs w:val="24"/>
        </w:rPr>
        <w:t>,</w:t>
      </w:r>
      <w:r w:rsidR="00D15EDE" w:rsidRPr="00395EBF">
        <w:rPr>
          <w:rFonts w:cs="Times New Roman"/>
          <w:szCs w:val="24"/>
        </w:rPr>
        <w:t xml:space="preserve"> </w:t>
      </w:r>
      <w:r w:rsidRPr="00395EBF">
        <w:rPr>
          <w:rFonts w:cs="Times New Roman"/>
          <w:szCs w:val="24"/>
        </w:rPr>
        <w:t xml:space="preserve">where he explicitly </w:t>
      </w:r>
      <w:r w:rsidR="00F979DA">
        <w:rPr>
          <w:rFonts w:cs="Times New Roman"/>
          <w:szCs w:val="24"/>
        </w:rPr>
        <w:t xml:space="preserve">extended the distinction between absolute and moral certainty to philosophy and </w:t>
      </w:r>
      <w:r w:rsidRPr="00395EBF">
        <w:rPr>
          <w:rFonts w:cs="Times New Roman"/>
          <w:szCs w:val="24"/>
        </w:rPr>
        <w:t xml:space="preserve">linked moral certainty to the practical sphere: </w:t>
      </w:r>
    </w:p>
    <w:p w:rsidR="0067100B" w:rsidRPr="00395EBF" w:rsidRDefault="0067100B" w:rsidP="007B7129">
      <w:pPr>
        <w:spacing w:line="360" w:lineRule="auto"/>
        <w:rPr>
          <w:rFonts w:cs="Times New Roman"/>
          <w:szCs w:val="24"/>
        </w:rPr>
      </w:pPr>
    </w:p>
    <w:p w:rsidR="0067100B" w:rsidRDefault="0067100B" w:rsidP="007B7129">
      <w:pPr>
        <w:spacing w:line="360" w:lineRule="auto"/>
        <w:ind w:left="567"/>
        <w:rPr>
          <w:rFonts w:cs="Times New Roman"/>
          <w:szCs w:val="24"/>
        </w:rPr>
      </w:pPr>
      <w:r w:rsidRPr="00395EBF">
        <w:rPr>
          <w:rFonts w:cs="Times New Roman"/>
          <w:szCs w:val="24"/>
        </w:rPr>
        <w:t>Theological truths and inferences are of two species; some have a metaphysical certainty and others have a moral certainty. ... Philosophy has two parts, the theoretical and the practical. Theoretical Philosophy is funded on true analysis, of which the Mathematicians give examples, but which ought also to be applied to Metaphysics and to natural theology, in giving definitions and solid axioms. But practical Philosophy is founded on the true Topics or Dialectics – that is to say, on the art of estimating the degrees of proofs, which is not yet found among authors who are Logicians, but of which the Jurists have given examples that are not to be despised and that can serve as a beginning for forming a science of proofs, suitable for verifying facts and for giving the meaning of texts</w:t>
      </w:r>
      <w:r w:rsidR="00A51199">
        <w:rPr>
          <w:rFonts w:cs="Times New Roman"/>
          <w:szCs w:val="24"/>
        </w:rPr>
        <w:t>.</w:t>
      </w:r>
      <w:r w:rsidR="003E247C">
        <w:rPr>
          <w:rStyle w:val="FootnoteReference"/>
          <w:rFonts w:cs="Times New Roman"/>
          <w:szCs w:val="24"/>
        </w:rPr>
        <w:footnoteReference w:id="43"/>
      </w:r>
    </w:p>
    <w:p w:rsidR="00C57E34" w:rsidRPr="00395EBF" w:rsidRDefault="00C57E34" w:rsidP="007B7129">
      <w:pPr>
        <w:spacing w:line="360" w:lineRule="auto"/>
        <w:ind w:left="567"/>
        <w:rPr>
          <w:rFonts w:cs="Times New Roman"/>
          <w:szCs w:val="24"/>
        </w:rPr>
      </w:pPr>
    </w:p>
    <w:p w:rsidR="0067100B" w:rsidRDefault="00E30384" w:rsidP="007B7129">
      <w:pPr>
        <w:spacing w:line="360" w:lineRule="auto"/>
        <w:rPr>
          <w:rFonts w:cs="Times New Roman"/>
          <w:szCs w:val="24"/>
        </w:rPr>
      </w:pPr>
      <w:r>
        <w:rPr>
          <w:rFonts w:cs="Times New Roman"/>
          <w:szCs w:val="24"/>
        </w:rPr>
        <w:t xml:space="preserve">But what, one might </w:t>
      </w:r>
      <w:r w:rsidR="00C57E34">
        <w:rPr>
          <w:rFonts w:cs="Times New Roman"/>
          <w:szCs w:val="24"/>
        </w:rPr>
        <w:t xml:space="preserve">still wonder, </w:t>
      </w:r>
      <w:r>
        <w:rPr>
          <w:rFonts w:cs="Times New Roman"/>
          <w:szCs w:val="24"/>
        </w:rPr>
        <w:t xml:space="preserve">does </w:t>
      </w:r>
      <w:r w:rsidR="00C57E34">
        <w:rPr>
          <w:rFonts w:cs="Times New Roman"/>
          <w:szCs w:val="24"/>
        </w:rPr>
        <w:t xml:space="preserve">holding as true highly theoretical doctrines of revealed theology </w:t>
      </w:r>
      <w:r w:rsidR="0004440D">
        <w:rPr>
          <w:rFonts w:cs="Times New Roman"/>
          <w:szCs w:val="24"/>
        </w:rPr>
        <w:t>(</w:t>
      </w:r>
      <w:r w:rsidR="00C57E34">
        <w:rPr>
          <w:rFonts w:cs="Times New Roman"/>
          <w:szCs w:val="24"/>
        </w:rPr>
        <w:t>such as the Trinitarian nature of God or the real presence of the body of Christ in the Eucharist</w:t>
      </w:r>
      <w:r w:rsidR="0004440D">
        <w:rPr>
          <w:rFonts w:cs="Times New Roman"/>
          <w:szCs w:val="24"/>
        </w:rPr>
        <w:t>)</w:t>
      </w:r>
      <w:r>
        <w:rPr>
          <w:rFonts w:cs="Times New Roman"/>
          <w:szCs w:val="24"/>
        </w:rPr>
        <w:t xml:space="preserve"> have</w:t>
      </w:r>
      <w:r w:rsidR="00462CA8">
        <w:rPr>
          <w:rFonts w:cs="Times New Roman"/>
          <w:szCs w:val="24"/>
        </w:rPr>
        <w:t xml:space="preserve"> to do with praxis</w:t>
      </w:r>
      <w:r>
        <w:rPr>
          <w:rFonts w:cs="Times New Roman"/>
          <w:szCs w:val="24"/>
        </w:rPr>
        <w:t>?</w:t>
      </w:r>
      <w:r w:rsidR="00AA46DD">
        <w:rPr>
          <w:rFonts w:cs="Times New Roman"/>
          <w:szCs w:val="24"/>
        </w:rPr>
        <w:t xml:space="preserve"> To answer this question, we need to turn to Leibniz’s notion of confuse</w:t>
      </w:r>
      <w:r w:rsidR="00754946">
        <w:rPr>
          <w:rFonts w:cs="Times New Roman"/>
          <w:szCs w:val="24"/>
        </w:rPr>
        <w:t>d</w:t>
      </w:r>
      <w:r w:rsidR="00AA46DD">
        <w:rPr>
          <w:rFonts w:cs="Times New Roman"/>
          <w:szCs w:val="24"/>
        </w:rPr>
        <w:t xml:space="preserve"> cognition</w:t>
      </w:r>
      <w:r w:rsidR="004514D8">
        <w:rPr>
          <w:rFonts w:cs="Times New Roman"/>
          <w:szCs w:val="24"/>
        </w:rPr>
        <w:t xml:space="preserve">, </w:t>
      </w:r>
      <w:r w:rsidR="00AA3A65">
        <w:rPr>
          <w:rFonts w:cs="Times New Roman"/>
          <w:szCs w:val="24"/>
        </w:rPr>
        <w:t xml:space="preserve">and </w:t>
      </w:r>
      <w:r w:rsidR="004514D8">
        <w:rPr>
          <w:rFonts w:cs="Times New Roman"/>
          <w:szCs w:val="24"/>
        </w:rPr>
        <w:t xml:space="preserve">to </w:t>
      </w:r>
      <w:r w:rsidR="00AA46DD">
        <w:rPr>
          <w:rFonts w:cs="Times New Roman"/>
          <w:szCs w:val="24"/>
        </w:rPr>
        <w:t>its link</w:t>
      </w:r>
      <w:r>
        <w:rPr>
          <w:rFonts w:cs="Times New Roman"/>
          <w:szCs w:val="24"/>
        </w:rPr>
        <w:t>s</w:t>
      </w:r>
      <w:r w:rsidR="00AA46DD">
        <w:rPr>
          <w:rFonts w:cs="Times New Roman"/>
          <w:szCs w:val="24"/>
        </w:rPr>
        <w:t xml:space="preserve"> with</w:t>
      </w:r>
      <w:r w:rsidR="00AA3A65">
        <w:rPr>
          <w:rFonts w:cs="Times New Roman"/>
          <w:szCs w:val="24"/>
        </w:rPr>
        <w:t xml:space="preserve"> the</w:t>
      </w:r>
      <w:r w:rsidR="00AA46DD">
        <w:rPr>
          <w:rFonts w:cs="Times New Roman"/>
          <w:szCs w:val="24"/>
        </w:rPr>
        <w:t xml:space="preserve"> </w:t>
      </w:r>
      <w:r w:rsidR="004514D8">
        <w:rPr>
          <w:rFonts w:cs="Times New Roman"/>
          <w:szCs w:val="24"/>
        </w:rPr>
        <w:t>notion of “safety”</w:t>
      </w:r>
      <w:r w:rsidR="00AA3A65">
        <w:rPr>
          <w:rFonts w:cs="Times New Roman"/>
          <w:szCs w:val="24"/>
        </w:rPr>
        <w:t xml:space="preserve"> and</w:t>
      </w:r>
      <w:r w:rsidR="00924646" w:rsidRPr="00924646">
        <w:rPr>
          <w:rFonts w:cs="Times New Roman"/>
          <w:szCs w:val="24"/>
        </w:rPr>
        <w:t xml:space="preserve"> </w:t>
      </w:r>
      <w:r>
        <w:rPr>
          <w:rFonts w:cs="Times New Roman"/>
          <w:szCs w:val="24"/>
        </w:rPr>
        <w:t xml:space="preserve">with </w:t>
      </w:r>
      <w:r w:rsidR="00924646">
        <w:rPr>
          <w:rFonts w:cs="Times New Roman"/>
          <w:szCs w:val="24"/>
        </w:rPr>
        <w:t>Leibniz’s</w:t>
      </w:r>
      <w:r w:rsidR="00AA3A65">
        <w:rPr>
          <w:rFonts w:cs="Times New Roman"/>
          <w:szCs w:val="24"/>
        </w:rPr>
        <w:t xml:space="preserve"> </w:t>
      </w:r>
      <w:r w:rsidR="00AA46DD">
        <w:rPr>
          <w:rFonts w:cs="Times New Roman"/>
          <w:szCs w:val="24"/>
        </w:rPr>
        <w:t xml:space="preserve">doctrine of salvation. </w:t>
      </w:r>
    </w:p>
    <w:p w:rsidR="00C57E34" w:rsidRDefault="00C57E34" w:rsidP="007B7129">
      <w:pPr>
        <w:autoSpaceDE w:val="0"/>
        <w:autoSpaceDN w:val="0"/>
        <w:adjustRightInd w:val="0"/>
        <w:spacing w:line="360" w:lineRule="auto"/>
        <w:rPr>
          <w:rFonts w:cs="Times New Roman"/>
          <w:szCs w:val="24"/>
          <w:u w:val="single"/>
        </w:rPr>
      </w:pPr>
    </w:p>
    <w:p w:rsidR="00C34B72" w:rsidRPr="007104D8" w:rsidRDefault="00C34B72" w:rsidP="0004440D">
      <w:pPr>
        <w:autoSpaceDE w:val="0"/>
        <w:autoSpaceDN w:val="0"/>
        <w:adjustRightInd w:val="0"/>
        <w:spacing w:line="360" w:lineRule="auto"/>
        <w:jc w:val="center"/>
        <w:rPr>
          <w:rStyle w:val="SubtleEmphasis"/>
        </w:rPr>
      </w:pPr>
      <w:r w:rsidRPr="007104D8">
        <w:rPr>
          <w:rFonts w:cs="Times New Roman"/>
          <w:szCs w:val="24"/>
        </w:rPr>
        <w:t>Confuse</w:t>
      </w:r>
      <w:r w:rsidR="00796425" w:rsidRPr="007104D8">
        <w:rPr>
          <w:rFonts w:cs="Times New Roman"/>
          <w:szCs w:val="24"/>
        </w:rPr>
        <w:t>d</w:t>
      </w:r>
      <w:r w:rsidRPr="007104D8">
        <w:rPr>
          <w:rFonts w:cs="Times New Roman"/>
          <w:szCs w:val="24"/>
        </w:rPr>
        <w:t xml:space="preserve"> cognition</w:t>
      </w:r>
    </w:p>
    <w:p w:rsidR="00C34B72" w:rsidRDefault="00C34B72" w:rsidP="007B7129">
      <w:pPr>
        <w:autoSpaceDE w:val="0"/>
        <w:autoSpaceDN w:val="0"/>
        <w:adjustRightInd w:val="0"/>
        <w:spacing w:line="360" w:lineRule="auto"/>
        <w:rPr>
          <w:rFonts w:cs="Times New Roman"/>
          <w:szCs w:val="24"/>
        </w:rPr>
      </w:pPr>
    </w:p>
    <w:p w:rsidR="00AA3A65" w:rsidRDefault="00D81B0C" w:rsidP="007B7129">
      <w:pPr>
        <w:autoSpaceDE w:val="0"/>
        <w:autoSpaceDN w:val="0"/>
        <w:adjustRightInd w:val="0"/>
        <w:spacing w:line="360" w:lineRule="auto"/>
        <w:rPr>
          <w:rFonts w:cs="Times New Roman"/>
          <w:szCs w:val="24"/>
        </w:rPr>
      </w:pPr>
      <w:r w:rsidRPr="00395EBF">
        <w:rPr>
          <w:rFonts w:cs="Times New Roman"/>
          <w:szCs w:val="24"/>
        </w:rPr>
        <w:t>In an early text</w:t>
      </w:r>
      <w:r w:rsidR="0004440D">
        <w:rPr>
          <w:rFonts w:cs="Times New Roman"/>
          <w:szCs w:val="24"/>
        </w:rPr>
        <w:t>,</w:t>
      </w:r>
      <w:r w:rsidRPr="00395EBF">
        <w:rPr>
          <w:rFonts w:cs="Times New Roman"/>
          <w:szCs w:val="24"/>
        </w:rPr>
        <w:t xml:space="preserve"> </w:t>
      </w:r>
      <w:r w:rsidR="00A146E2" w:rsidRPr="00395EBF">
        <w:rPr>
          <w:rFonts w:cs="Times New Roman"/>
          <w:szCs w:val="24"/>
        </w:rPr>
        <w:t>completely built on the analogy between theology and jurisprudence,</w:t>
      </w:r>
      <w:r w:rsidR="00A146E2" w:rsidRPr="00395EBF">
        <w:rPr>
          <w:rStyle w:val="FootnoteReference"/>
          <w:rFonts w:cs="Times New Roman"/>
          <w:szCs w:val="24"/>
        </w:rPr>
        <w:footnoteReference w:id="44"/>
      </w:r>
      <w:r w:rsidR="00A146E2" w:rsidRPr="00395EBF">
        <w:rPr>
          <w:rFonts w:cs="Times New Roman"/>
          <w:szCs w:val="24"/>
        </w:rPr>
        <w:t xml:space="preserve"> </w:t>
      </w:r>
      <w:r w:rsidR="000A7C6E">
        <w:rPr>
          <w:rFonts w:cs="Times New Roman"/>
          <w:szCs w:val="24"/>
        </w:rPr>
        <w:t>Leibniz claimed that, in order to believe</w:t>
      </w:r>
      <w:r w:rsidR="00AA3A65">
        <w:rPr>
          <w:rFonts w:cs="Times New Roman"/>
          <w:szCs w:val="24"/>
        </w:rPr>
        <w:t xml:space="preserve"> in </w:t>
      </w:r>
      <w:r w:rsidR="000A7C6E">
        <w:rPr>
          <w:rFonts w:cs="Times New Roman"/>
          <w:szCs w:val="24"/>
        </w:rPr>
        <w:t xml:space="preserve">the </w:t>
      </w:r>
      <w:r w:rsidR="00AA3A65">
        <w:rPr>
          <w:rFonts w:cs="Times New Roman"/>
          <w:szCs w:val="24"/>
        </w:rPr>
        <w:t>Christian mysteries</w:t>
      </w:r>
      <w:r w:rsidR="000A7C6E">
        <w:rPr>
          <w:rFonts w:cs="Times New Roman"/>
          <w:szCs w:val="24"/>
        </w:rPr>
        <w:t>,</w:t>
      </w:r>
      <w:r w:rsidR="00AA3A65">
        <w:rPr>
          <w:rFonts w:cs="Times New Roman"/>
          <w:szCs w:val="24"/>
        </w:rPr>
        <w:t xml:space="preserve"> </w:t>
      </w:r>
    </w:p>
    <w:p w:rsidR="00AA3A65" w:rsidRDefault="00AA3A65" w:rsidP="007B7129">
      <w:pPr>
        <w:autoSpaceDE w:val="0"/>
        <w:autoSpaceDN w:val="0"/>
        <w:adjustRightInd w:val="0"/>
        <w:spacing w:line="360" w:lineRule="auto"/>
        <w:rPr>
          <w:rFonts w:cs="Times New Roman"/>
          <w:szCs w:val="24"/>
        </w:rPr>
      </w:pPr>
    </w:p>
    <w:p w:rsidR="00AA3A65" w:rsidRDefault="00A538C8" w:rsidP="007B7129">
      <w:pPr>
        <w:autoSpaceDE w:val="0"/>
        <w:autoSpaceDN w:val="0"/>
        <w:adjustRightInd w:val="0"/>
        <w:spacing w:line="360" w:lineRule="auto"/>
        <w:ind w:left="567"/>
        <w:rPr>
          <w:rFonts w:cs="Times New Roman"/>
          <w:szCs w:val="24"/>
          <w:lang w:val="it-IT"/>
        </w:rPr>
      </w:pPr>
      <w:r w:rsidRPr="00395EBF">
        <w:rPr>
          <w:rFonts w:cs="Times New Roman"/>
          <w:szCs w:val="24"/>
        </w:rPr>
        <w:lastRenderedPageBreak/>
        <w:t>it is necessary that the intellect should not fall nakedly over the words, like a parrot, but that some sense should appear before it, albeit a general and confused one, and almost disjunctive, as the country fellow, or other common man, has of nearly all theoretical things.</w:t>
      </w:r>
      <w:r w:rsidR="002807D9" w:rsidRPr="00395EBF">
        <w:rPr>
          <w:rFonts w:cs="Times New Roman"/>
          <w:szCs w:val="24"/>
        </w:rPr>
        <w:t xml:space="preserve"> ... </w:t>
      </w:r>
      <w:proofErr w:type="gramStart"/>
      <w:r w:rsidR="006A6529">
        <w:rPr>
          <w:rFonts w:cs="Times New Roman"/>
          <w:szCs w:val="24"/>
        </w:rPr>
        <w:t>so</w:t>
      </w:r>
      <w:proofErr w:type="gramEnd"/>
      <w:r w:rsidR="006A6529">
        <w:rPr>
          <w:rFonts w:cs="Times New Roman"/>
          <w:szCs w:val="24"/>
        </w:rPr>
        <w:t xml:space="preserve"> this faith will be disjunctive, inclining nevertheless to one side. And t</w:t>
      </w:r>
      <w:r w:rsidR="00585B0A">
        <w:rPr>
          <w:rFonts w:cs="Times New Roman"/>
          <w:szCs w:val="24"/>
        </w:rPr>
        <w:t>h</w:t>
      </w:r>
      <w:r w:rsidR="006A6529">
        <w:rPr>
          <w:rFonts w:cs="Times New Roman"/>
          <w:szCs w:val="24"/>
        </w:rPr>
        <w:t>is is in fa</w:t>
      </w:r>
      <w:r w:rsidR="00585B0A">
        <w:rPr>
          <w:rFonts w:cs="Times New Roman"/>
          <w:szCs w:val="24"/>
        </w:rPr>
        <w:t>c</w:t>
      </w:r>
      <w:r w:rsidR="006A6529">
        <w:rPr>
          <w:rFonts w:cs="Times New Roman"/>
          <w:szCs w:val="24"/>
        </w:rPr>
        <w:t>t, if you pay attention, what many Christians do</w:t>
      </w:r>
      <w:r w:rsidR="00CF3461">
        <w:rPr>
          <w:rFonts w:cs="Times New Roman"/>
          <w:szCs w:val="24"/>
        </w:rPr>
        <w:t xml:space="preserve"> in practice</w:t>
      </w:r>
      <w:r w:rsidR="006A6529">
        <w:rPr>
          <w:rFonts w:cs="Times New Roman"/>
          <w:szCs w:val="24"/>
        </w:rPr>
        <w:t xml:space="preserve"> [</w:t>
      </w:r>
      <w:proofErr w:type="spellStart"/>
      <w:proofErr w:type="gramStart"/>
      <w:r w:rsidR="002807D9" w:rsidRPr="00395EBF">
        <w:rPr>
          <w:rFonts w:cs="Times New Roman"/>
          <w:szCs w:val="24"/>
        </w:rPr>
        <w:t>ita</w:t>
      </w:r>
      <w:proofErr w:type="spellEnd"/>
      <w:proofErr w:type="gramEnd"/>
      <w:r w:rsidR="002807D9" w:rsidRPr="00395EBF">
        <w:rPr>
          <w:rFonts w:cs="Times New Roman"/>
          <w:szCs w:val="24"/>
        </w:rPr>
        <w:t xml:space="preserve"> fides </w:t>
      </w:r>
      <w:proofErr w:type="spellStart"/>
      <w:r w:rsidR="002807D9" w:rsidRPr="00395EBF">
        <w:rPr>
          <w:rFonts w:cs="Times New Roman"/>
          <w:szCs w:val="24"/>
        </w:rPr>
        <w:t>ista</w:t>
      </w:r>
      <w:proofErr w:type="spellEnd"/>
      <w:r w:rsidR="002807D9" w:rsidRPr="00395EBF">
        <w:rPr>
          <w:rFonts w:cs="Times New Roman"/>
          <w:szCs w:val="24"/>
        </w:rPr>
        <w:t xml:space="preserve"> </w:t>
      </w:r>
      <w:proofErr w:type="spellStart"/>
      <w:r w:rsidR="002807D9" w:rsidRPr="00395EBF">
        <w:rPr>
          <w:rFonts w:cs="Times New Roman"/>
          <w:szCs w:val="24"/>
        </w:rPr>
        <w:t>erit</w:t>
      </w:r>
      <w:proofErr w:type="spellEnd"/>
      <w:r w:rsidR="002807D9" w:rsidRPr="00395EBF">
        <w:rPr>
          <w:rFonts w:cs="Times New Roman"/>
          <w:szCs w:val="24"/>
        </w:rPr>
        <w:t xml:space="preserve"> </w:t>
      </w:r>
      <w:proofErr w:type="spellStart"/>
      <w:r w:rsidR="002807D9" w:rsidRPr="00395EBF">
        <w:rPr>
          <w:rFonts w:cs="Times New Roman"/>
          <w:szCs w:val="24"/>
        </w:rPr>
        <w:t>disjunctiva</w:t>
      </w:r>
      <w:proofErr w:type="spellEnd"/>
      <w:r w:rsidR="002807D9" w:rsidRPr="00395EBF">
        <w:rPr>
          <w:rFonts w:cs="Times New Roman"/>
          <w:szCs w:val="24"/>
        </w:rPr>
        <w:t xml:space="preserve">, </w:t>
      </w:r>
      <w:proofErr w:type="spellStart"/>
      <w:r w:rsidR="002807D9" w:rsidRPr="00395EBF">
        <w:rPr>
          <w:rFonts w:cs="Times New Roman"/>
          <w:szCs w:val="24"/>
        </w:rPr>
        <w:t>inclinans</w:t>
      </w:r>
      <w:proofErr w:type="spellEnd"/>
      <w:r w:rsidR="002807D9" w:rsidRPr="00395EBF">
        <w:rPr>
          <w:rFonts w:cs="Times New Roman"/>
          <w:szCs w:val="24"/>
        </w:rPr>
        <w:t xml:space="preserve"> </w:t>
      </w:r>
      <w:proofErr w:type="spellStart"/>
      <w:r w:rsidR="002807D9" w:rsidRPr="00395EBF">
        <w:rPr>
          <w:rFonts w:cs="Times New Roman"/>
          <w:szCs w:val="24"/>
        </w:rPr>
        <w:t>tamen</w:t>
      </w:r>
      <w:proofErr w:type="spellEnd"/>
      <w:r w:rsidR="002807D9" w:rsidRPr="00395EBF">
        <w:rPr>
          <w:rFonts w:cs="Times New Roman"/>
          <w:szCs w:val="24"/>
        </w:rPr>
        <w:t xml:space="preserve"> in </w:t>
      </w:r>
      <w:proofErr w:type="spellStart"/>
      <w:r w:rsidR="002807D9" w:rsidRPr="00395EBF">
        <w:rPr>
          <w:rFonts w:cs="Times New Roman"/>
          <w:szCs w:val="24"/>
        </w:rPr>
        <w:t>unam</w:t>
      </w:r>
      <w:proofErr w:type="spellEnd"/>
      <w:r w:rsidR="002807D9" w:rsidRPr="00395EBF">
        <w:rPr>
          <w:rFonts w:cs="Times New Roman"/>
          <w:szCs w:val="24"/>
        </w:rPr>
        <w:t xml:space="preserve"> </w:t>
      </w:r>
      <w:proofErr w:type="spellStart"/>
      <w:r w:rsidR="002807D9" w:rsidRPr="00395EBF">
        <w:rPr>
          <w:rFonts w:cs="Times New Roman"/>
          <w:szCs w:val="24"/>
        </w:rPr>
        <w:t>partem</w:t>
      </w:r>
      <w:proofErr w:type="spellEnd"/>
      <w:r w:rsidR="002807D9" w:rsidRPr="00395EBF">
        <w:rPr>
          <w:rFonts w:cs="Times New Roman"/>
          <w:szCs w:val="24"/>
        </w:rPr>
        <w:t xml:space="preserve">. </w:t>
      </w:r>
      <w:r w:rsidR="002807D9" w:rsidRPr="00C609C0">
        <w:rPr>
          <w:rFonts w:cs="Times New Roman"/>
          <w:szCs w:val="24"/>
          <w:lang w:val="it-IT"/>
        </w:rPr>
        <w:t>Et hoc revera si attendas in praxi pleriqve Christiani faciunt</w:t>
      </w:r>
      <w:r w:rsidR="006A6529" w:rsidRPr="00C609C0">
        <w:rPr>
          <w:rFonts w:cs="Times New Roman"/>
          <w:szCs w:val="24"/>
          <w:lang w:val="it-IT"/>
        </w:rPr>
        <w:t>]</w:t>
      </w:r>
      <w:r w:rsidR="002807D9" w:rsidRPr="00C609C0">
        <w:rPr>
          <w:rFonts w:cs="Times New Roman"/>
          <w:szCs w:val="24"/>
          <w:lang w:val="it-IT"/>
        </w:rPr>
        <w:t>.</w:t>
      </w:r>
      <w:r w:rsidRPr="00395EBF">
        <w:rPr>
          <w:rStyle w:val="FootnoteReference"/>
          <w:rFonts w:cs="Times New Roman"/>
          <w:szCs w:val="24"/>
        </w:rPr>
        <w:footnoteReference w:id="45"/>
      </w:r>
      <w:r w:rsidR="002A7EDE" w:rsidRPr="00C609C0">
        <w:rPr>
          <w:rFonts w:cs="Times New Roman"/>
          <w:szCs w:val="24"/>
          <w:lang w:val="it-IT"/>
        </w:rPr>
        <w:t xml:space="preserve"> </w:t>
      </w:r>
    </w:p>
    <w:p w:rsidR="00AA3A65" w:rsidRDefault="00AA3A65" w:rsidP="007B7129">
      <w:pPr>
        <w:autoSpaceDE w:val="0"/>
        <w:autoSpaceDN w:val="0"/>
        <w:adjustRightInd w:val="0"/>
        <w:spacing w:line="360" w:lineRule="auto"/>
        <w:rPr>
          <w:rFonts w:cs="Times New Roman"/>
          <w:szCs w:val="24"/>
          <w:lang w:val="it-IT"/>
        </w:rPr>
      </w:pPr>
    </w:p>
    <w:p w:rsidR="0006094A" w:rsidRPr="00395EBF" w:rsidRDefault="002807D9" w:rsidP="007B7129">
      <w:pPr>
        <w:autoSpaceDE w:val="0"/>
        <w:autoSpaceDN w:val="0"/>
        <w:adjustRightInd w:val="0"/>
        <w:spacing w:line="360" w:lineRule="auto"/>
        <w:rPr>
          <w:rFonts w:cs="Times New Roman"/>
          <w:szCs w:val="24"/>
        </w:rPr>
      </w:pPr>
      <w:r w:rsidRPr="00395EBF">
        <w:rPr>
          <w:rFonts w:cs="Times New Roman"/>
          <w:szCs w:val="24"/>
        </w:rPr>
        <w:t xml:space="preserve">After noting that this is a </w:t>
      </w:r>
      <w:r w:rsidR="002D795A" w:rsidRPr="00395EBF">
        <w:rPr>
          <w:rFonts w:cs="Times New Roman"/>
          <w:szCs w:val="24"/>
        </w:rPr>
        <w:t xml:space="preserve">kind of </w:t>
      </w:r>
      <w:r w:rsidR="00C166A3">
        <w:rPr>
          <w:rFonts w:cs="Times New Roman"/>
          <w:szCs w:val="24"/>
        </w:rPr>
        <w:t>“blind thinking</w:t>
      </w:r>
      <w:r w:rsidRPr="00395EBF">
        <w:rPr>
          <w:rFonts w:cs="Times New Roman"/>
          <w:szCs w:val="24"/>
        </w:rPr>
        <w:t xml:space="preserve"> [</w:t>
      </w:r>
      <w:proofErr w:type="spellStart"/>
      <w:r w:rsidRPr="00395EBF">
        <w:rPr>
          <w:rFonts w:cs="Times New Roman"/>
          <w:szCs w:val="24"/>
        </w:rPr>
        <w:t>cogitationem</w:t>
      </w:r>
      <w:proofErr w:type="spellEnd"/>
      <w:r w:rsidRPr="00395EBF">
        <w:rPr>
          <w:rFonts w:cs="Times New Roman"/>
          <w:szCs w:val="24"/>
        </w:rPr>
        <w:t xml:space="preserve"> </w:t>
      </w:r>
      <w:proofErr w:type="spellStart"/>
      <w:r w:rsidRPr="00395EBF">
        <w:rPr>
          <w:rFonts w:cs="Times New Roman"/>
          <w:szCs w:val="24"/>
        </w:rPr>
        <w:t>caecam</w:t>
      </w:r>
      <w:proofErr w:type="spellEnd"/>
      <w:r w:rsidRPr="00395EBF">
        <w:rPr>
          <w:rFonts w:cs="Times New Roman"/>
          <w:szCs w:val="24"/>
        </w:rPr>
        <w:t xml:space="preserve">]” </w:t>
      </w:r>
      <w:r w:rsidR="002D795A" w:rsidRPr="00395EBF">
        <w:rPr>
          <w:rFonts w:cs="Times New Roman"/>
          <w:szCs w:val="24"/>
        </w:rPr>
        <w:t xml:space="preserve">on </w:t>
      </w:r>
      <w:r w:rsidR="000A7C6E">
        <w:rPr>
          <w:rFonts w:cs="Times New Roman"/>
          <w:szCs w:val="24"/>
        </w:rPr>
        <w:t xml:space="preserve">which not only </w:t>
      </w:r>
      <w:r w:rsidR="0006094A" w:rsidRPr="00395EBF">
        <w:rPr>
          <w:rFonts w:cs="Times New Roman"/>
          <w:szCs w:val="24"/>
        </w:rPr>
        <w:t>common people</w:t>
      </w:r>
      <w:r w:rsidR="000A7C6E">
        <w:rPr>
          <w:rFonts w:cs="Times New Roman"/>
          <w:szCs w:val="24"/>
        </w:rPr>
        <w:t xml:space="preserve"> but also </w:t>
      </w:r>
      <w:r w:rsidRPr="00395EBF">
        <w:rPr>
          <w:rFonts w:cs="Times New Roman"/>
          <w:szCs w:val="24"/>
        </w:rPr>
        <w:t>philosophers</w:t>
      </w:r>
      <w:r w:rsidR="002D795A" w:rsidRPr="00395EBF">
        <w:rPr>
          <w:rFonts w:cs="Times New Roman"/>
          <w:szCs w:val="24"/>
        </w:rPr>
        <w:t xml:space="preserve"> routinely rely</w:t>
      </w:r>
      <w:r w:rsidRPr="00395EBF">
        <w:rPr>
          <w:rFonts w:cs="Times New Roman"/>
          <w:szCs w:val="24"/>
        </w:rPr>
        <w:t xml:space="preserve"> when </w:t>
      </w:r>
      <w:r w:rsidR="0006094A" w:rsidRPr="00395EBF">
        <w:rPr>
          <w:rFonts w:cs="Times New Roman"/>
          <w:szCs w:val="24"/>
        </w:rPr>
        <w:t>using words such as “matter”, “form”, “cause”,</w:t>
      </w:r>
      <w:r w:rsidRPr="00395EBF">
        <w:rPr>
          <w:rFonts w:cs="Times New Roman"/>
          <w:szCs w:val="24"/>
        </w:rPr>
        <w:t xml:space="preserve"> Leibniz </w:t>
      </w:r>
      <w:r w:rsidR="0006094A" w:rsidRPr="00395EBF">
        <w:rPr>
          <w:rFonts w:cs="Times New Roman"/>
          <w:szCs w:val="24"/>
        </w:rPr>
        <w:t xml:space="preserve">concluded: </w:t>
      </w:r>
    </w:p>
    <w:p w:rsidR="0006094A" w:rsidRPr="00395EBF" w:rsidRDefault="0006094A" w:rsidP="007B7129">
      <w:pPr>
        <w:autoSpaceDE w:val="0"/>
        <w:autoSpaceDN w:val="0"/>
        <w:adjustRightInd w:val="0"/>
        <w:spacing w:line="360" w:lineRule="auto"/>
        <w:rPr>
          <w:rFonts w:cs="Times New Roman"/>
          <w:szCs w:val="24"/>
        </w:rPr>
      </w:pPr>
    </w:p>
    <w:p w:rsidR="00515138" w:rsidRDefault="00515138" w:rsidP="007B7129">
      <w:pPr>
        <w:autoSpaceDE w:val="0"/>
        <w:autoSpaceDN w:val="0"/>
        <w:adjustRightInd w:val="0"/>
        <w:spacing w:line="360" w:lineRule="auto"/>
        <w:ind w:left="567"/>
        <w:rPr>
          <w:rFonts w:cs="Times New Roman"/>
          <w:szCs w:val="24"/>
        </w:rPr>
      </w:pPr>
      <w:r>
        <w:rPr>
          <w:rFonts w:cs="Times New Roman"/>
          <w:szCs w:val="24"/>
        </w:rPr>
        <w:t xml:space="preserve">To anyone who maintains that a distinct cognition of the meaning of the mysteries of faith is necessary to Salvation, </w:t>
      </w:r>
      <w:r w:rsidR="0004440D">
        <w:rPr>
          <w:rFonts w:cs="Times New Roman"/>
          <w:szCs w:val="24"/>
        </w:rPr>
        <w:t xml:space="preserve">it </w:t>
      </w:r>
      <w:r>
        <w:rPr>
          <w:rFonts w:cs="Times New Roman"/>
          <w:szCs w:val="24"/>
        </w:rPr>
        <w:t xml:space="preserve">will </w:t>
      </w:r>
      <w:r w:rsidR="003B1476">
        <w:rPr>
          <w:rFonts w:cs="Times New Roman"/>
          <w:szCs w:val="24"/>
        </w:rPr>
        <w:t xml:space="preserve">be </w:t>
      </w:r>
      <w:r>
        <w:rPr>
          <w:rFonts w:cs="Times New Roman"/>
          <w:szCs w:val="24"/>
        </w:rPr>
        <w:t>demonst</w:t>
      </w:r>
      <w:r w:rsidR="003B1476">
        <w:rPr>
          <w:rFonts w:cs="Times New Roman"/>
          <w:szCs w:val="24"/>
        </w:rPr>
        <w:t xml:space="preserve">rated </w:t>
      </w:r>
      <w:r w:rsidR="00504A5E">
        <w:rPr>
          <w:rFonts w:cs="Times New Roman"/>
          <w:szCs w:val="24"/>
        </w:rPr>
        <w:t>by me that hardly the thousandth of Christians ... ever have had it. And as a consequence</w:t>
      </w:r>
      <w:r w:rsidR="00F971A3">
        <w:rPr>
          <w:rFonts w:cs="Times New Roman"/>
          <w:szCs w:val="24"/>
        </w:rPr>
        <w:t>,</w:t>
      </w:r>
      <w:r w:rsidR="007D3A88">
        <w:rPr>
          <w:rFonts w:cs="Times New Roman"/>
          <w:szCs w:val="24"/>
        </w:rPr>
        <w:t xml:space="preserve"> </w:t>
      </w:r>
      <w:r w:rsidR="0004440D">
        <w:rPr>
          <w:rFonts w:cs="Times New Roman"/>
          <w:szCs w:val="24"/>
        </w:rPr>
        <w:t>it suffices for Salvation to hold on</w:t>
      </w:r>
      <w:r w:rsidR="007D3A88">
        <w:rPr>
          <w:rFonts w:cs="Times New Roman"/>
          <w:szCs w:val="24"/>
        </w:rPr>
        <w:t xml:space="preserve">to </w:t>
      </w:r>
      <w:r w:rsidR="0028164B">
        <w:rPr>
          <w:rFonts w:cs="Times New Roman"/>
          <w:szCs w:val="24"/>
        </w:rPr>
        <w:t>the formula expressed in the Holy Scripture, with a confuse</w:t>
      </w:r>
      <w:r w:rsidR="0004440D">
        <w:rPr>
          <w:rFonts w:cs="Times New Roman"/>
          <w:szCs w:val="24"/>
        </w:rPr>
        <w:t>d</w:t>
      </w:r>
      <w:r w:rsidR="0028164B">
        <w:rPr>
          <w:rFonts w:cs="Times New Roman"/>
          <w:szCs w:val="24"/>
        </w:rPr>
        <w:t xml:space="preserve"> cognition of the meaning</w:t>
      </w:r>
      <w:r w:rsidR="007D3A88" w:rsidRPr="007D3A88">
        <w:rPr>
          <w:rFonts w:cs="Times New Roman"/>
          <w:szCs w:val="24"/>
        </w:rPr>
        <w:t xml:space="preserve"> </w:t>
      </w:r>
      <w:r w:rsidR="007D3A88">
        <w:rPr>
          <w:rFonts w:cs="Times New Roman"/>
          <w:szCs w:val="24"/>
        </w:rPr>
        <w:t>by the intellect,</w:t>
      </w:r>
      <w:r w:rsidR="0028164B">
        <w:rPr>
          <w:rFonts w:cs="Times New Roman"/>
          <w:szCs w:val="24"/>
        </w:rPr>
        <w:t xml:space="preserve"> </w:t>
      </w:r>
      <w:r w:rsidR="007D3A88">
        <w:rPr>
          <w:rFonts w:cs="Times New Roman"/>
          <w:szCs w:val="24"/>
        </w:rPr>
        <w:t>and with a kind of disjunctive assent or belief</w:t>
      </w:r>
      <w:r w:rsidR="005F7228">
        <w:rPr>
          <w:rFonts w:cs="Times New Roman"/>
          <w:szCs w:val="24"/>
        </w:rPr>
        <w:t>.</w:t>
      </w:r>
      <w:r w:rsidR="00986592">
        <w:rPr>
          <w:rStyle w:val="FootnoteReference"/>
          <w:rFonts w:cs="Times New Roman"/>
          <w:szCs w:val="24"/>
        </w:rPr>
        <w:footnoteReference w:id="46"/>
      </w:r>
    </w:p>
    <w:p w:rsidR="002807D9" w:rsidRPr="00395EBF" w:rsidRDefault="002807D9" w:rsidP="007B7129">
      <w:pPr>
        <w:pStyle w:val="FootnoteText"/>
        <w:spacing w:line="360" w:lineRule="auto"/>
        <w:rPr>
          <w:rFonts w:cs="Times New Roman"/>
          <w:sz w:val="24"/>
          <w:szCs w:val="24"/>
        </w:rPr>
      </w:pPr>
    </w:p>
    <w:p w:rsidR="000A2578" w:rsidRDefault="00674075" w:rsidP="007B7129">
      <w:pPr>
        <w:autoSpaceDE w:val="0"/>
        <w:autoSpaceDN w:val="0"/>
        <w:adjustRightInd w:val="0"/>
        <w:spacing w:line="360" w:lineRule="auto"/>
        <w:rPr>
          <w:rFonts w:cs="Times New Roman"/>
          <w:szCs w:val="24"/>
        </w:rPr>
      </w:pPr>
      <w:r>
        <w:rPr>
          <w:rFonts w:cs="Times New Roman"/>
          <w:szCs w:val="24"/>
        </w:rPr>
        <w:t>In my view</w:t>
      </w:r>
      <w:r w:rsidR="00AD6734">
        <w:rPr>
          <w:rFonts w:cs="Times New Roman"/>
          <w:szCs w:val="24"/>
        </w:rPr>
        <w:t>,</w:t>
      </w:r>
      <w:r w:rsidR="005F7228">
        <w:rPr>
          <w:rFonts w:cs="Times New Roman"/>
          <w:szCs w:val="24"/>
        </w:rPr>
        <w:t xml:space="preserve"> these </w:t>
      </w:r>
      <w:r w:rsidR="00AD6734">
        <w:rPr>
          <w:rFonts w:cs="Times New Roman"/>
          <w:szCs w:val="24"/>
        </w:rPr>
        <w:t>passage</w:t>
      </w:r>
      <w:r w:rsidR="005F7228">
        <w:rPr>
          <w:rFonts w:cs="Times New Roman"/>
          <w:szCs w:val="24"/>
        </w:rPr>
        <w:t>s</w:t>
      </w:r>
      <w:r w:rsidR="00AD6734">
        <w:rPr>
          <w:rFonts w:cs="Times New Roman"/>
          <w:szCs w:val="24"/>
        </w:rPr>
        <w:t xml:space="preserve"> </w:t>
      </w:r>
      <w:r w:rsidR="005F7228">
        <w:rPr>
          <w:rFonts w:cs="Times New Roman"/>
          <w:szCs w:val="24"/>
        </w:rPr>
        <w:t>are</w:t>
      </w:r>
      <w:r>
        <w:rPr>
          <w:rFonts w:cs="Times New Roman"/>
          <w:szCs w:val="24"/>
        </w:rPr>
        <w:t xml:space="preserve"> represe</w:t>
      </w:r>
      <w:r w:rsidR="002C5DAC" w:rsidRPr="00395EBF">
        <w:rPr>
          <w:rFonts w:cs="Times New Roman"/>
          <w:szCs w:val="24"/>
        </w:rPr>
        <w:t>ntative of Leibniz’s life-long attitude</w:t>
      </w:r>
      <w:r w:rsidR="00AD6734">
        <w:rPr>
          <w:rFonts w:cs="Times New Roman"/>
          <w:szCs w:val="24"/>
        </w:rPr>
        <w:t xml:space="preserve"> toward religious doctrines which fall outside the sphere of demonstrability</w:t>
      </w:r>
      <w:r w:rsidR="00AD0EA0">
        <w:rPr>
          <w:rFonts w:cs="Times New Roman"/>
          <w:szCs w:val="24"/>
        </w:rPr>
        <w:t>, and therefore outside the sphere of absolute certainty</w:t>
      </w:r>
      <w:r w:rsidR="00AD6734">
        <w:rPr>
          <w:rFonts w:cs="Times New Roman"/>
          <w:szCs w:val="24"/>
        </w:rPr>
        <w:t>. According to him, a</w:t>
      </w:r>
      <w:r w:rsidR="00B1544A">
        <w:rPr>
          <w:rFonts w:cs="Times New Roman"/>
          <w:szCs w:val="24"/>
        </w:rPr>
        <w:t>t least a</w:t>
      </w:r>
      <w:r w:rsidR="00AD6734">
        <w:rPr>
          <w:rFonts w:cs="Times New Roman"/>
          <w:szCs w:val="24"/>
        </w:rPr>
        <w:t xml:space="preserve"> confuse</w:t>
      </w:r>
      <w:r w:rsidR="00F817F4">
        <w:rPr>
          <w:rFonts w:cs="Times New Roman"/>
          <w:szCs w:val="24"/>
        </w:rPr>
        <w:t>d</w:t>
      </w:r>
      <w:r w:rsidR="00AD6734">
        <w:rPr>
          <w:rFonts w:cs="Times New Roman"/>
          <w:szCs w:val="24"/>
        </w:rPr>
        <w:t xml:space="preserve"> cognition of the meaning </w:t>
      </w:r>
      <w:r w:rsidR="00015322">
        <w:rPr>
          <w:rFonts w:cs="Times New Roman"/>
          <w:szCs w:val="24"/>
        </w:rPr>
        <w:t xml:space="preserve">of these doctrines is </w:t>
      </w:r>
      <w:r w:rsidR="00AD6734">
        <w:rPr>
          <w:rFonts w:cs="Times New Roman"/>
          <w:szCs w:val="24"/>
        </w:rPr>
        <w:t xml:space="preserve">necessary </w:t>
      </w:r>
      <w:r w:rsidR="00D753BE">
        <w:rPr>
          <w:rFonts w:cs="Times New Roman"/>
          <w:szCs w:val="24"/>
        </w:rPr>
        <w:t xml:space="preserve">for belief </w:t>
      </w:r>
      <w:r w:rsidR="00CF3461">
        <w:rPr>
          <w:rFonts w:cs="Times New Roman"/>
          <w:szCs w:val="24"/>
        </w:rPr>
        <w:t>because the object of faith is not the words but the meaning of the words</w:t>
      </w:r>
      <w:r w:rsidR="00015322">
        <w:rPr>
          <w:rFonts w:cs="Times New Roman"/>
          <w:szCs w:val="24"/>
        </w:rPr>
        <w:t>.</w:t>
      </w:r>
      <w:r w:rsidR="00B26191">
        <w:rPr>
          <w:rStyle w:val="FootnoteReference"/>
          <w:rFonts w:cs="Times New Roman"/>
          <w:szCs w:val="24"/>
        </w:rPr>
        <w:footnoteReference w:id="47"/>
      </w:r>
      <w:r w:rsidR="00015322">
        <w:rPr>
          <w:rFonts w:cs="Times New Roman"/>
          <w:szCs w:val="24"/>
        </w:rPr>
        <w:t xml:space="preserve"> Crucially, </w:t>
      </w:r>
      <w:r w:rsidR="00D753BE">
        <w:rPr>
          <w:rFonts w:cs="Times New Roman"/>
          <w:szCs w:val="24"/>
        </w:rPr>
        <w:t>however,</w:t>
      </w:r>
      <w:r w:rsidR="00924646">
        <w:rPr>
          <w:rFonts w:cs="Times New Roman"/>
          <w:szCs w:val="24"/>
        </w:rPr>
        <w:t xml:space="preserve"> provided there is no demonstrated contradiction, </w:t>
      </w:r>
      <w:r w:rsidR="00D753BE">
        <w:rPr>
          <w:rFonts w:cs="Times New Roman"/>
          <w:szCs w:val="24"/>
        </w:rPr>
        <w:t>such confuse</w:t>
      </w:r>
      <w:r w:rsidR="00F817F4">
        <w:rPr>
          <w:rFonts w:cs="Times New Roman"/>
          <w:szCs w:val="24"/>
        </w:rPr>
        <w:t>d</w:t>
      </w:r>
      <w:r w:rsidR="00D753BE">
        <w:rPr>
          <w:rFonts w:cs="Times New Roman"/>
          <w:szCs w:val="24"/>
        </w:rPr>
        <w:t xml:space="preserve"> </w:t>
      </w:r>
      <w:r w:rsidR="00AD6734">
        <w:rPr>
          <w:rFonts w:cs="Times New Roman"/>
          <w:szCs w:val="24"/>
        </w:rPr>
        <w:t xml:space="preserve">and “disjunctive” cognition is also </w:t>
      </w:r>
      <w:r w:rsidR="00AD6734" w:rsidRPr="00FC3330">
        <w:rPr>
          <w:rFonts w:cs="Times New Roman"/>
          <w:i/>
          <w:szCs w:val="24"/>
        </w:rPr>
        <w:t>sufficient</w:t>
      </w:r>
      <w:r w:rsidR="00924646">
        <w:rPr>
          <w:rFonts w:cs="Times New Roman"/>
          <w:i/>
          <w:szCs w:val="24"/>
        </w:rPr>
        <w:t xml:space="preserve"> </w:t>
      </w:r>
      <w:r w:rsidR="00924646">
        <w:rPr>
          <w:rFonts w:cs="Times New Roman"/>
          <w:szCs w:val="24"/>
        </w:rPr>
        <w:t xml:space="preserve">for a </w:t>
      </w:r>
      <w:r w:rsidR="00924646" w:rsidRPr="00102A6D">
        <w:rPr>
          <w:rFonts w:cs="Times New Roman"/>
          <w:szCs w:val="24"/>
        </w:rPr>
        <w:t>prima facie</w:t>
      </w:r>
      <w:r w:rsidR="00924646">
        <w:rPr>
          <w:rFonts w:cs="Times New Roman"/>
          <w:szCs w:val="24"/>
        </w:rPr>
        <w:t xml:space="preserve"> rationally justified belief</w:t>
      </w:r>
      <w:r w:rsidR="00AD6734">
        <w:rPr>
          <w:rFonts w:cs="Times New Roman"/>
          <w:szCs w:val="24"/>
        </w:rPr>
        <w:t>.</w:t>
      </w:r>
      <w:r w:rsidR="00102A6D">
        <w:rPr>
          <w:rStyle w:val="FootnoteReference"/>
          <w:rFonts w:cs="Times New Roman"/>
          <w:szCs w:val="24"/>
        </w:rPr>
        <w:footnoteReference w:id="48"/>
      </w:r>
      <w:r w:rsidR="00D753BE">
        <w:rPr>
          <w:rFonts w:cs="Times New Roman"/>
          <w:szCs w:val="24"/>
        </w:rPr>
        <w:t xml:space="preserve"> </w:t>
      </w:r>
      <w:r w:rsidR="00FC3330">
        <w:rPr>
          <w:rFonts w:cs="Times New Roman"/>
          <w:szCs w:val="24"/>
        </w:rPr>
        <w:t xml:space="preserve">In other word, although, on the one hand, one cannot believe in the </w:t>
      </w:r>
      <w:r w:rsidR="00F817F4">
        <w:rPr>
          <w:rFonts w:cs="Times New Roman"/>
          <w:szCs w:val="24"/>
        </w:rPr>
        <w:t xml:space="preserve">words of the </w:t>
      </w:r>
      <w:r w:rsidR="00FC3330">
        <w:rPr>
          <w:rFonts w:cs="Times New Roman"/>
          <w:szCs w:val="24"/>
        </w:rPr>
        <w:t xml:space="preserve">Last </w:t>
      </w:r>
      <w:r w:rsidR="00F817F4">
        <w:rPr>
          <w:rFonts w:cs="Times New Roman"/>
          <w:szCs w:val="24"/>
        </w:rPr>
        <w:lastRenderedPageBreak/>
        <w:t>Supper, “T</w:t>
      </w:r>
      <w:r w:rsidR="00FC3330">
        <w:rPr>
          <w:rFonts w:cs="Times New Roman"/>
          <w:szCs w:val="24"/>
        </w:rPr>
        <w:t>his is my body”</w:t>
      </w:r>
      <w:r w:rsidR="00F817F4">
        <w:rPr>
          <w:rFonts w:cs="Times New Roman"/>
          <w:szCs w:val="24"/>
        </w:rPr>
        <w:t>,</w:t>
      </w:r>
      <w:r w:rsidR="00FC3330">
        <w:rPr>
          <w:rFonts w:cs="Times New Roman"/>
          <w:szCs w:val="24"/>
        </w:rPr>
        <w:t xml:space="preserve"> unless </w:t>
      </w:r>
      <w:r w:rsidR="00F817F4">
        <w:rPr>
          <w:rFonts w:cs="Times New Roman"/>
          <w:szCs w:val="24"/>
        </w:rPr>
        <w:t xml:space="preserve">one </w:t>
      </w:r>
      <w:r w:rsidR="00FC3330">
        <w:rPr>
          <w:rFonts w:cs="Times New Roman"/>
          <w:szCs w:val="24"/>
        </w:rPr>
        <w:t>has</w:t>
      </w:r>
      <w:r w:rsidR="00B1544A">
        <w:rPr>
          <w:rFonts w:cs="Times New Roman"/>
          <w:szCs w:val="24"/>
        </w:rPr>
        <w:t xml:space="preserve"> some confuse grasp of what these words mean</w:t>
      </w:r>
      <w:r w:rsidR="00FC3330">
        <w:rPr>
          <w:rFonts w:cs="Times New Roman"/>
          <w:szCs w:val="24"/>
        </w:rPr>
        <w:t>,</w:t>
      </w:r>
      <w:r w:rsidR="00100F69" w:rsidRPr="00100F69">
        <w:rPr>
          <w:rStyle w:val="FootnoteReference"/>
          <w:rFonts w:cs="Times New Roman"/>
          <w:szCs w:val="24"/>
        </w:rPr>
        <w:t xml:space="preserve"> </w:t>
      </w:r>
      <w:r w:rsidR="00100F69">
        <w:rPr>
          <w:rStyle w:val="FootnoteReference"/>
          <w:rFonts w:cs="Times New Roman"/>
          <w:szCs w:val="24"/>
        </w:rPr>
        <w:footnoteReference w:id="49"/>
      </w:r>
      <w:r w:rsidR="00FC3330">
        <w:rPr>
          <w:rFonts w:cs="Times New Roman"/>
          <w:szCs w:val="24"/>
        </w:rPr>
        <w:t xml:space="preserve"> on the other hand, it does not matter whether the sense in which these word</w:t>
      </w:r>
      <w:r w:rsidR="00B1544A">
        <w:rPr>
          <w:rFonts w:cs="Times New Roman"/>
          <w:szCs w:val="24"/>
        </w:rPr>
        <w:t>s</w:t>
      </w:r>
      <w:r w:rsidR="00FC3330">
        <w:rPr>
          <w:rFonts w:cs="Times New Roman"/>
          <w:szCs w:val="24"/>
        </w:rPr>
        <w:t xml:space="preserve"> are taken correspond</w:t>
      </w:r>
      <w:r w:rsidR="00C952F0">
        <w:rPr>
          <w:rFonts w:cs="Times New Roman"/>
          <w:szCs w:val="24"/>
        </w:rPr>
        <w:t>s</w:t>
      </w:r>
      <w:r w:rsidR="00FC3330">
        <w:rPr>
          <w:rFonts w:cs="Times New Roman"/>
          <w:szCs w:val="24"/>
        </w:rPr>
        <w:t xml:space="preserve"> to their true meaning as long as belief </w:t>
      </w:r>
      <w:r w:rsidR="00B1544A">
        <w:rPr>
          <w:rFonts w:cs="Times New Roman"/>
          <w:szCs w:val="24"/>
        </w:rPr>
        <w:t>in this or that</w:t>
      </w:r>
      <w:r w:rsidR="00FC3330">
        <w:rPr>
          <w:rFonts w:cs="Times New Roman"/>
          <w:szCs w:val="24"/>
        </w:rPr>
        <w:t xml:space="preserve"> </w:t>
      </w:r>
      <w:r w:rsidR="00B1544A">
        <w:rPr>
          <w:rFonts w:cs="Times New Roman"/>
          <w:szCs w:val="24"/>
        </w:rPr>
        <w:t xml:space="preserve">specific </w:t>
      </w:r>
      <w:r w:rsidR="00FC3330">
        <w:rPr>
          <w:rFonts w:cs="Times New Roman"/>
          <w:szCs w:val="24"/>
        </w:rPr>
        <w:t xml:space="preserve">sense </w:t>
      </w:r>
      <w:r w:rsidR="00B1544A">
        <w:rPr>
          <w:rFonts w:cs="Times New Roman"/>
          <w:szCs w:val="24"/>
        </w:rPr>
        <w:t xml:space="preserve">of the words </w:t>
      </w:r>
      <w:r w:rsidR="003A7398">
        <w:rPr>
          <w:rFonts w:cs="Times New Roman"/>
          <w:szCs w:val="24"/>
        </w:rPr>
        <w:t>has no</w:t>
      </w:r>
      <w:r w:rsidR="00FC3330">
        <w:rPr>
          <w:rFonts w:cs="Times New Roman"/>
          <w:szCs w:val="24"/>
        </w:rPr>
        <w:t xml:space="preserve"> practical </w:t>
      </w:r>
      <w:r w:rsidR="00B1544A">
        <w:rPr>
          <w:rFonts w:cs="Times New Roman"/>
          <w:szCs w:val="24"/>
        </w:rPr>
        <w:t>c</w:t>
      </w:r>
      <w:r w:rsidR="00FC3330">
        <w:rPr>
          <w:rFonts w:cs="Times New Roman"/>
          <w:szCs w:val="24"/>
        </w:rPr>
        <w:t>onsequence</w:t>
      </w:r>
      <w:r w:rsidR="00B1544A">
        <w:rPr>
          <w:rFonts w:cs="Times New Roman"/>
          <w:szCs w:val="24"/>
        </w:rPr>
        <w:t>s</w:t>
      </w:r>
      <w:r w:rsidR="00FC3330">
        <w:rPr>
          <w:rFonts w:cs="Times New Roman"/>
          <w:szCs w:val="24"/>
        </w:rPr>
        <w:t xml:space="preserve"> </w:t>
      </w:r>
      <w:r w:rsidR="00B1544A">
        <w:rPr>
          <w:rFonts w:cs="Times New Roman"/>
          <w:szCs w:val="24"/>
        </w:rPr>
        <w:t xml:space="preserve">and, therefore, no impact on </w:t>
      </w:r>
      <w:r w:rsidR="00D547CE">
        <w:rPr>
          <w:rFonts w:cs="Times New Roman"/>
          <w:szCs w:val="24"/>
        </w:rPr>
        <w:t>s</w:t>
      </w:r>
      <w:r w:rsidR="00FC3330">
        <w:rPr>
          <w:rFonts w:cs="Times New Roman"/>
          <w:szCs w:val="24"/>
        </w:rPr>
        <w:t>alvation</w:t>
      </w:r>
      <w:r w:rsidR="00924646">
        <w:rPr>
          <w:rFonts w:cs="Times New Roman"/>
          <w:szCs w:val="24"/>
        </w:rPr>
        <w:t>:</w:t>
      </w:r>
    </w:p>
    <w:p w:rsidR="00924646" w:rsidRDefault="00924646" w:rsidP="007B7129">
      <w:pPr>
        <w:autoSpaceDE w:val="0"/>
        <w:autoSpaceDN w:val="0"/>
        <w:adjustRightInd w:val="0"/>
        <w:spacing w:line="360" w:lineRule="auto"/>
        <w:ind w:firstLine="720"/>
        <w:rPr>
          <w:rFonts w:cs="Times New Roman"/>
          <w:szCs w:val="24"/>
        </w:rPr>
      </w:pPr>
    </w:p>
    <w:p w:rsidR="00924646" w:rsidRPr="00924646" w:rsidRDefault="00924646" w:rsidP="007B7129">
      <w:pPr>
        <w:autoSpaceDE w:val="0"/>
        <w:autoSpaceDN w:val="0"/>
        <w:adjustRightInd w:val="0"/>
        <w:spacing w:line="360" w:lineRule="auto"/>
        <w:ind w:left="567"/>
        <w:rPr>
          <w:rFonts w:cs="Times New Roman"/>
          <w:szCs w:val="24"/>
        </w:rPr>
      </w:pPr>
      <w:proofErr w:type="gramStart"/>
      <w:r w:rsidRPr="00924646">
        <w:rPr>
          <w:rFonts w:cs="Times New Roman"/>
          <w:szCs w:val="24"/>
        </w:rPr>
        <w:t>it</w:t>
      </w:r>
      <w:proofErr w:type="gramEnd"/>
      <w:r w:rsidRPr="00924646">
        <w:rPr>
          <w:rFonts w:cs="Times New Roman"/>
          <w:szCs w:val="24"/>
        </w:rPr>
        <w:t xml:space="preserve"> is not always necessary for faith to know what sense of the words is</w:t>
      </w:r>
      <w:r>
        <w:rPr>
          <w:rFonts w:cs="Times New Roman"/>
          <w:szCs w:val="24"/>
        </w:rPr>
        <w:t xml:space="preserve"> </w:t>
      </w:r>
      <w:r w:rsidRPr="00924646">
        <w:rPr>
          <w:rFonts w:cs="Times New Roman"/>
          <w:szCs w:val="24"/>
        </w:rPr>
        <w:t>true as long as we understand it, nor do we positively reject it, but rather</w:t>
      </w:r>
      <w:r>
        <w:rPr>
          <w:rFonts w:cs="Times New Roman"/>
          <w:szCs w:val="24"/>
        </w:rPr>
        <w:t xml:space="preserve"> </w:t>
      </w:r>
      <w:r w:rsidRPr="00924646">
        <w:rPr>
          <w:rFonts w:cs="Times New Roman"/>
          <w:szCs w:val="24"/>
        </w:rPr>
        <w:t>leave it in doubt even though we might be inclined toward some other [sense].</w:t>
      </w:r>
      <w:r>
        <w:rPr>
          <w:rFonts w:cs="Times New Roman"/>
          <w:szCs w:val="24"/>
        </w:rPr>
        <w:t xml:space="preserve"> </w:t>
      </w:r>
      <w:r w:rsidRPr="00924646">
        <w:rPr>
          <w:rFonts w:cs="Times New Roman"/>
          <w:szCs w:val="24"/>
        </w:rPr>
        <w:t>Indeed, it suffices that we believe in the first place that whatever is contained</w:t>
      </w:r>
      <w:r>
        <w:rPr>
          <w:rFonts w:cs="Times New Roman"/>
          <w:szCs w:val="24"/>
        </w:rPr>
        <w:t xml:space="preserve"> </w:t>
      </w:r>
      <w:r w:rsidR="0091474F">
        <w:rPr>
          <w:rFonts w:cs="Times New Roman"/>
          <w:szCs w:val="24"/>
        </w:rPr>
        <w:t>in the meanings</w:t>
      </w:r>
      <w:r w:rsidRPr="00924646">
        <w:rPr>
          <w:rFonts w:cs="Times New Roman"/>
          <w:szCs w:val="24"/>
        </w:rPr>
        <w:t xml:space="preserve"> is true, and this first and foremost in the mysteries in which the practice does not change, whatever the meaning may finally be.</w:t>
      </w:r>
      <w:r w:rsidR="00790101">
        <w:rPr>
          <w:rStyle w:val="FootnoteReference"/>
          <w:rFonts w:cs="Times New Roman"/>
          <w:szCs w:val="24"/>
        </w:rPr>
        <w:footnoteReference w:id="50"/>
      </w:r>
      <w:r>
        <w:rPr>
          <w:rFonts w:cs="Times New Roman"/>
          <w:szCs w:val="24"/>
        </w:rPr>
        <w:t xml:space="preserve"> </w:t>
      </w:r>
    </w:p>
    <w:p w:rsidR="00924646" w:rsidRDefault="00924646" w:rsidP="007B7129">
      <w:pPr>
        <w:autoSpaceDE w:val="0"/>
        <w:autoSpaceDN w:val="0"/>
        <w:adjustRightInd w:val="0"/>
        <w:spacing w:line="360" w:lineRule="auto"/>
        <w:ind w:firstLine="720"/>
        <w:rPr>
          <w:rFonts w:cs="Times New Roman"/>
          <w:szCs w:val="24"/>
        </w:rPr>
      </w:pPr>
    </w:p>
    <w:p w:rsidR="000A2578" w:rsidRDefault="000A1820" w:rsidP="007B7129">
      <w:pPr>
        <w:autoSpaceDE w:val="0"/>
        <w:autoSpaceDN w:val="0"/>
        <w:adjustRightInd w:val="0"/>
        <w:spacing w:line="360" w:lineRule="auto"/>
        <w:ind w:firstLine="720"/>
        <w:rPr>
          <w:rFonts w:cs="Times New Roman"/>
          <w:szCs w:val="24"/>
        </w:rPr>
      </w:pPr>
      <w:r>
        <w:rPr>
          <w:rFonts w:cs="Times New Roman"/>
          <w:szCs w:val="24"/>
        </w:rPr>
        <w:t>I will come</w:t>
      </w:r>
      <w:r w:rsidR="0091474F">
        <w:rPr>
          <w:rFonts w:cs="Times New Roman"/>
          <w:szCs w:val="24"/>
        </w:rPr>
        <w:t xml:space="preserve"> back later </w:t>
      </w:r>
      <w:r w:rsidR="00FC3330">
        <w:rPr>
          <w:rFonts w:cs="Times New Roman"/>
          <w:szCs w:val="24"/>
        </w:rPr>
        <w:t xml:space="preserve">to the issue of the kind of soteriology </w:t>
      </w:r>
      <w:r w:rsidR="00AD0EA0">
        <w:rPr>
          <w:rFonts w:cs="Times New Roman"/>
          <w:szCs w:val="24"/>
        </w:rPr>
        <w:t>unveiled</w:t>
      </w:r>
      <w:r>
        <w:rPr>
          <w:rFonts w:cs="Times New Roman"/>
          <w:szCs w:val="24"/>
        </w:rPr>
        <w:t xml:space="preserve"> by this stand.</w:t>
      </w:r>
      <w:r w:rsidR="00FC3330">
        <w:rPr>
          <w:rFonts w:cs="Times New Roman"/>
          <w:szCs w:val="24"/>
        </w:rPr>
        <w:t xml:space="preserve"> </w:t>
      </w:r>
      <w:r w:rsidR="002A7EDE" w:rsidRPr="00395EBF">
        <w:rPr>
          <w:rFonts w:cs="Times New Roman"/>
          <w:szCs w:val="24"/>
        </w:rPr>
        <w:t xml:space="preserve">For </w:t>
      </w:r>
      <w:r w:rsidR="00B1544A">
        <w:rPr>
          <w:rFonts w:cs="Times New Roman"/>
          <w:szCs w:val="24"/>
        </w:rPr>
        <w:t xml:space="preserve">now </w:t>
      </w:r>
      <w:r w:rsidR="0008025A">
        <w:rPr>
          <w:rFonts w:cs="Times New Roman"/>
          <w:szCs w:val="24"/>
        </w:rPr>
        <w:t xml:space="preserve">it </w:t>
      </w:r>
      <w:r w:rsidR="00B1544A">
        <w:rPr>
          <w:rFonts w:cs="Times New Roman"/>
          <w:szCs w:val="24"/>
        </w:rPr>
        <w:t xml:space="preserve">suffices to note that, for </w:t>
      </w:r>
      <w:r w:rsidR="002A7EDE" w:rsidRPr="00395EBF">
        <w:rPr>
          <w:rFonts w:cs="Times New Roman"/>
          <w:szCs w:val="24"/>
        </w:rPr>
        <w:t xml:space="preserve">instance, </w:t>
      </w:r>
      <w:r w:rsidR="002C5DAC" w:rsidRPr="00395EBF">
        <w:rPr>
          <w:rFonts w:cs="Times New Roman"/>
          <w:szCs w:val="24"/>
        </w:rPr>
        <w:t xml:space="preserve">Leibniz devoted </w:t>
      </w:r>
      <w:r w:rsidR="00076026" w:rsidRPr="00395EBF">
        <w:rPr>
          <w:rFonts w:cs="Times New Roman"/>
          <w:szCs w:val="24"/>
        </w:rPr>
        <w:t>a remarkable amount of intellectual energy throughout his life to develop</w:t>
      </w:r>
      <w:r w:rsidR="0091474F">
        <w:rPr>
          <w:rFonts w:cs="Times New Roman"/>
          <w:szCs w:val="24"/>
        </w:rPr>
        <w:t>ing</w:t>
      </w:r>
      <w:r w:rsidR="00076026" w:rsidRPr="00395EBF">
        <w:rPr>
          <w:rFonts w:cs="Times New Roman"/>
          <w:szCs w:val="24"/>
        </w:rPr>
        <w:t xml:space="preserve"> a sophisticated Eucharistic theology</w:t>
      </w:r>
      <w:r w:rsidR="00EA1799" w:rsidRPr="00395EBF">
        <w:rPr>
          <w:rFonts w:cs="Times New Roman"/>
          <w:szCs w:val="24"/>
        </w:rPr>
        <w:t>. Amongst his various attempts and</w:t>
      </w:r>
      <w:r w:rsidR="000311D9">
        <w:rPr>
          <w:rFonts w:cs="Times New Roman"/>
          <w:szCs w:val="24"/>
        </w:rPr>
        <w:t xml:space="preserve"> what we might call intellectual experiment</w:t>
      </w:r>
      <w:r w:rsidR="00EA1799" w:rsidRPr="00395EBF">
        <w:rPr>
          <w:rFonts w:cs="Times New Roman"/>
          <w:szCs w:val="24"/>
        </w:rPr>
        <w:t>s, arguably the most felicitous is a version of the doctrine which drew</w:t>
      </w:r>
      <w:r w:rsidR="00076026" w:rsidRPr="00395EBF">
        <w:rPr>
          <w:rFonts w:cs="Times New Roman"/>
          <w:szCs w:val="24"/>
        </w:rPr>
        <w:t xml:space="preserve"> on his philosophical account of force and substance in order to propose an </w:t>
      </w:r>
      <w:r w:rsidR="00EA1799" w:rsidRPr="00395EBF">
        <w:rPr>
          <w:rFonts w:cs="Times New Roman"/>
          <w:szCs w:val="24"/>
        </w:rPr>
        <w:t xml:space="preserve">explanation </w:t>
      </w:r>
      <w:r w:rsidR="00076026" w:rsidRPr="00395EBF">
        <w:rPr>
          <w:rFonts w:cs="Times New Roman"/>
          <w:szCs w:val="24"/>
        </w:rPr>
        <w:t xml:space="preserve">capacious enough to accommodate both Catholic transubstantiation and Lutheran real presence while not </w:t>
      </w:r>
      <w:r w:rsidR="002A7EDE" w:rsidRPr="00395EBF">
        <w:rPr>
          <w:rFonts w:cs="Times New Roman"/>
          <w:szCs w:val="24"/>
        </w:rPr>
        <w:t>being</w:t>
      </w:r>
      <w:r w:rsidR="00076026" w:rsidRPr="00395EBF">
        <w:rPr>
          <w:rFonts w:cs="Times New Roman"/>
          <w:szCs w:val="24"/>
        </w:rPr>
        <w:t xml:space="preserve"> offensive to Calvinist </w:t>
      </w:r>
      <w:r w:rsidR="00076026" w:rsidRPr="00395EBF">
        <w:rPr>
          <w:rFonts w:cs="Times New Roman"/>
          <w:szCs w:val="24"/>
        </w:rPr>
        <w:lastRenderedPageBreak/>
        <w:t>views.</w:t>
      </w:r>
      <w:r w:rsidR="009E6F69" w:rsidRPr="00395EBF">
        <w:rPr>
          <w:rStyle w:val="FootnoteReference"/>
          <w:rFonts w:cs="Times New Roman"/>
          <w:szCs w:val="24"/>
        </w:rPr>
        <w:footnoteReference w:id="51"/>
      </w:r>
      <w:r w:rsidR="00EF2ACA" w:rsidRPr="00395EBF">
        <w:rPr>
          <w:rFonts w:cs="Times New Roman"/>
          <w:szCs w:val="24"/>
        </w:rPr>
        <w:t xml:space="preserve"> Developed as it was in the context of the negotiations between Lutherans and Calvinists, there is no doubt</w:t>
      </w:r>
      <w:r w:rsidR="00750D00">
        <w:rPr>
          <w:rFonts w:cs="Times New Roman"/>
          <w:szCs w:val="24"/>
        </w:rPr>
        <w:t xml:space="preserve"> that Leibniz regarded as ver</w:t>
      </w:r>
      <w:r w:rsidR="00EF2ACA" w:rsidRPr="00395EBF">
        <w:rPr>
          <w:rFonts w:cs="Times New Roman"/>
          <w:szCs w:val="24"/>
        </w:rPr>
        <w:t>y importa</w:t>
      </w:r>
      <w:r w:rsidR="00A7013F" w:rsidRPr="00395EBF">
        <w:rPr>
          <w:rFonts w:cs="Times New Roman"/>
          <w:szCs w:val="24"/>
        </w:rPr>
        <w:t>nt the possibility of reaching</w:t>
      </w:r>
      <w:r w:rsidR="00EF2ACA" w:rsidRPr="00395EBF">
        <w:rPr>
          <w:rFonts w:cs="Times New Roman"/>
          <w:szCs w:val="24"/>
        </w:rPr>
        <w:t xml:space="preserve"> a theoretical understanding of this doctrine which could be intellectually satisfactory, theologically orthodox, and politically apt to remove one of the major stumbling blocks on the road to ecclesiastical </w:t>
      </w:r>
      <w:r w:rsidR="00C952F0">
        <w:rPr>
          <w:rFonts w:cs="Times New Roman"/>
          <w:szCs w:val="24"/>
        </w:rPr>
        <w:t>re</w:t>
      </w:r>
      <w:r w:rsidR="00EF2ACA" w:rsidRPr="00395EBF">
        <w:rPr>
          <w:rFonts w:cs="Times New Roman"/>
          <w:szCs w:val="24"/>
        </w:rPr>
        <w:t>unification.</w:t>
      </w:r>
      <w:r w:rsidR="000758A2" w:rsidRPr="00395EBF">
        <w:rPr>
          <w:rFonts w:cs="Times New Roman"/>
          <w:szCs w:val="24"/>
        </w:rPr>
        <w:t xml:space="preserve"> Yet, as far as I can see, he continued to regard this</w:t>
      </w:r>
      <w:r w:rsidR="00674075">
        <w:rPr>
          <w:rFonts w:cs="Times New Roman"/>
          <w:szCs w:val="24"/>
        </w:rPr>
        <w:t xml:space="preserve"> proposal,</w:t>
      </w:r>
      <w:r w:rsidR="000758A2" w:rsidRPr="00395EBF">
        <w:rPr>
          <w:rFonts w:cs="Times New Roman"/>
          <w:szCs w:val="24"/>
        </w:rPr>
        <w:t xml:space="preserve"> as well as other theological theories</w:t>
      </w:r>
      <w:r w:rsidR="00674075">
        <w:rPr>
          <w:rFonts w:cs="Times New Roman"/>
          <w:szCs w:val="24"/>
        </w:rPr>
        <w:t>,</w:t>
      </w:r>
      <w:r w:rsidR="000758A2" w:rsidRPr="00395EBF">
        <w:rPr>
          <w:rFonts w:cs="Times New Roman"/>
          <w:szCs w:val="24"/>
        </w:rPr>
        <w:t xml:space="preserve"> as acceptable explanatory hypotheses which did no more (but also no less) than contributing to the necessary task of providing a plausible sense to Christian doctrines. In other words, these theories could not claim to be true but only to be </w:t>
      </w:r>
      <w:r w:rsidR="000758A2" w:rsidRPr="00395EBF">
        <w:rPr>
          <w:rFonts w:cs="Times New Roman"/>
          <w:i/>
          <w:szCs w:val="24"/>
        </w:rPr>
        <w:t>possible</w:t>
      </w:r>
      <w:r w:rsidR="00732031">
        <w:rPr>
          <w:rFonts w:cs="Times New Roman"/>
          <w:szCs w:val="24"/>
        </w:rPr>
        <w:t>.</w:t>
      </w:r>
    </w:p>
    <w:p w:rsidR="002279F6" w:rsidRPr="00395EBF" w:rsidRDefault="00CB31F8" w:rsidP="007B7129">
      <w:pPr>
        <w:autoSpaceDE w:val="0"/>
        <w:autoSpaceDN w:val="0"/>
        <w:adjustRightInd w:val="0"/>
        <w:spacing w:line="360" w:lineRule="auto"/>
        <w:ind w:firstLine="720"/>
        <w:rPr>
          <w:rFonts w:cs="Times New Roman"/>
          <w:szCs w:val="24"/>
        </w:rPr>
      </w:pPr>
      <w:r w:rsidRPr="00395EBF">
        <w:rPr>
          <w:rFonts w:cs="Times New Roman"/>
          <w:szCs w:val="24"/>
        </w:rPr>
        <w:t xml:space="preserve">I do not mean to </w:t>
      </w:r>
      <w:r w:rsidR="00B83977" w:rsidRPr="00395EBF">
        <w:rPr>
          <w:rFonts w:cs="Times New Roman"/>
          <w:szCs w:val="24"/>
        </w:rPr>
        <w:t>underplay</w:t>
      </w:r>
      <w:r w:rsidR="008916C5">
        <w:rPr>
          <w:rFonts w:cs="Times New Roman"/>
          <w:szCs w:val="24"/>
        </w:rPr>
        <w:t xml:space="preserve"> the fundamental</w:t>
      </w:r>
      <w:r w:rsidR="00B83977" w:rsidRPr="00395EBF">
        <w:rPr>
          <w:rFonts w:cs="Times New Roman"/>
          <w:szCs w:val="24"/>
        </w:rPr>
        <w:t xml:space="preserve"> </w:t>
      </w:r>
      <w:r w:rsidRPr="00395EBF">
        <w:rPr>
          <w:rFonts w:cs="Times New Roman"/>
          <w:szCs w:val="24"/>
        </w:rPr>
        <w:t>importance for Leibniz of such a claim</w:t>
      </w:r>
      <w:r w:rsidR="008916C5">
        <w:rPr>
          <w:rFonts w:cs="Times New Roman"/>
          <w:szCs w:val="24"/>
        </w:rPr>
        <w:t xml:space="preserve"> to</w:t>
      </w:r>
      <w:r w:rsidR="000A2578">
        <w:rPr>
          <w:rFonts w:cs="Times New Roman"/>
          <w:szCs w:val="24"/>
        </w:rPr>
        <w:t xml:space="preserve"> </w:t>
      </w:r>
      <w:r w:rsidR="00674075">
        <w:rPr>
          <w:rFonts w:cs="Times New Roman"/>
          <w:szCs w:val="24"/>
        </w:rPr>
        <w:t>possibility</w:t>
      </w:r>
      <w:r w:rsidR="00732031">
        <w:rPr>
          <w:rFonts w:cs="Times New Roman"/>
          <w:szCs w:val="24"/>
        </w:rPr>
        <w:t>, since any proven impossibility would be equivalent to proving the falsity of an allegedly revealed doctrine</w:t>
      </w:r>
      <w:r w:rsidRPr="00395EBF">
        <w:rPr>
          <w:rFonts w:cs="Times New Roman"/>
          <w:szCs w:val="24"/>
        </w:rPr>
        <w:t xml:space="preserve">. </w:t>
      </w:r>
      <w:r w:rsidR="000A2578">
        <w:rPr>
          <w:rFonts w:cs="Times New Roman"/>
          <w:szCs w:val="24"/>
        </w:rPr>
        <w:t>For present purposes</w:t>
      </w:r>
      <w:r w:rsidR="008916C5">
        <w:rPr>
          <w:rFonts w:cs="Times New Roman"/>
          <w:szCs w:val="24"/>
        </w:rPr>
        <w:t>, however,</w:t>
      </w:r>
      <w:r w:rsidR="000A2578">
        <w:rPr>
          <w:rFonts w:cs="Times New Roman"/>
          <w:szCs w:val="24"/>
        </w:rPr>
        <w:t xml:space="preserve"> I</w:t>
      </w:r>
      <w:r w:rsidRPr="00395EBF">
        <w:rPr>
          <w:rFonts w:cs="Times New Roman"/>
          <w:szCs w:val="24"/>
        </w:rPr>
        <w:t xml:space="preserve"> mer</w:t>
      </w:r>
      <w:r w:rsidR="000A2578">
        <w:rPr>
          <w:rFonts w:cs="Times New Roman"/>
          <w:szCs w:val="24"/>
        </w:rPr>
        <w:t>ely wish to draw attention to this approach</w:t>
      </w:r>
      <w:r w:rsidR="00CF5D33">
        <w:rPr>
          <w:rFonts w:cs="Times New Roman"/>
          <w:szCs w:val="24"/>
        </w:rPr>
        <w:t>, grounded in his epistemological notions of confused cognition and moral certainty,</w:t>
      </w:r>
      <w:r w:rsidR="000A2578">
        <w:rPr>
          <w:rFonts w:cs="Times New Roman"/>
          <w:szCs w:val="24"/>
        </w:rPr>
        <w:t xml:space="preserve"> </w:t>
      </w:r>
      <w:r w:rsidR="005F7228">
        <w:rPr>
          <w:rFonts w:cs="Times New Roman"/>
          <w:szCs w:val="24"/>
        </w:rPr>
        <w:t xml:space="preserve">as </w:t>
      </w:r>
      <w:r w:rsidR="000A2578">
        <w:rPr>
          <w:rFonts w:cs="Times New Roman"/>
          <w:szCs w:val="24"/>
        </w:rPr>
        <w:t>the</w:t>
      </w:r>
      <w:r w:rsidRPr="00395EBF">
        <w:rPr>
          <w:rFonts w:cs="Times New Roman"/>
          <w:szCs w:val="24"/>
        </w:rPr>
        <w:t xml:space="preserve"> underpinning</w:t>
      </w:r>
      <w:r w:rsidR="000A2578">
        <w:rPr>
          <w:rFonts w:cs="Times New Roman"/>
          <w:szCs w:val="24"/>
        </w:rPr>
        <w:t xml:space="preserve"> </w:t>
      </w:r>
      <w:r w:rsidR="005F7228">
        <w:rPr>
          <w:rFonts w:cs="Times New Roman"/>
          <w:szCs w:val="24"/>
        </w:rPr>
        <w:t>of</w:t>
      </w:r>
      <w:r w:rsidRPr="00395EBF">
        <w:rPr>
          <w:rFonts w:cs="Times New Roman"/>
          <w:szCs w:val="24"/>
        </w:rPr>
        <w:t xml:space="preserve"> Leibniz’s</w:t>
      </w:r>
      <w:r w:rsidR="002A7EDE" w:rsidRPr="00395EBF">
        <w:rPr>
          <w:rFonts w:cs="Times New Roman"/>
          <w:szCs w:val="24"/>
        </w:rPr>
        <w:t xml:space="preserve"> strikingly</w:t>
      </w:r>
      <w:r w:rsidRPr="00395EBF">
        <w:rPr>
          <w:rFonts w:cs="Times New Roman"/>
          <w:szCs w:val="24"/>
        </w:rPr>
        <w:t xml:space="preserve"> pragmatic attitude when it comes to what is </w:t>
      </w:r>
      <w:r w:rsidR="007E7532" w:rsidRPr="00395EBF">
        <w:rPr>
          <w:rFonts w:cs="Times New Roman"/>
          <w:i/>
          <w:szCs w:val="24"/>
        </w:rPr>
        <w:t>r</w:t>
      </w:r>
      <w:r w:rsidR="00C70E6C" w:rsidRPr="00395EBF">
        <w:rPr>
          <w:rFonts w:cs="Times New Roman"/>
          <w:i/>
          <w:szCs w:val="24"/>
        </w:rPr>
        <w:t xml:space="preserve">ational </w:t>
      </w:r>
      <w:r w:rsidR="00C70E6C" w:rsidRPr="00395EBF">
        <w:rPr>
          <w:rFonts w:cs="Times New Roman"/>
          <w:szCs w:val="24"/>
        </w:rPr>
        <w:t xml:space="preserve">to hold as true </w:t>
      </w:r>
      <w:r w:rsidRPr="00395EBF">
        <w:rPr>
          <w:rFonts w:cs="Times New Roman"/>
          <w:szCs w:val="24"/>
        </w:rPr>
        <w:t xml:space="preserve">in matters in which </w:t>
      </w:r>
      <w:r w:rsidR="00F978A7" w:rsidRPr="00395EBF">
        <w:rPr>
          <w:rFonts w:cs="Times New Roman"/>
          <w:szCs w:val="24"/>
        </w:rPr>
        <w:t>a great deal is at stake</w:t>
      </w:r>
      <w:r w:rsidR="00A60423" w:rsidRPr="00395EBF">
        <w:rPr>
          <w:rFonts w:cs="Times New Roman"/>
          <w:szCs w:val="24"/>
        </w:rPr>
        <w:t xml:space="preserve"> a</w:t>
      </w:r>
      <w:r w:rsidR="00F978A7" w:rsidRPr="00395EBF">
        <w:rPr>
          <w:rFonts w:cs="Times New Roman"/>
          <w:szCs w:val="24"/>
        </w:rPr>
        <w:t xml:space="preserve">nd </w:t>
      </w:r>
      <w:r w:rsidRPr="00395EBF">
        <w:rPr>
          <w:rFonts w:cs="Times New Roman"/>
          <w:szCs w:val="24"/>
        </w:rPr>
        <w:t xml:space="preserve">absolute certainty is </w:t>
      </w:r>
      <w:r w:rsidR="006B7D84" w:rsidRPr="00395EBF">
        <w:rPr>
          <w:rFonts w:cs="Times New Roman"/>
          <w:szCs w:val="24"/>
        </w:rPr>
        <w:t xml:space="preserve">not </w:t>
      </w:r>
      <w:r w:rsidRPr="00395EBF">
        <w:rPr>
          <w:rFonts w:cs="Times New Roman"/>
          <w:szCs w:val="24"/>
        </w:rPr>
        <w:t>available.</w:t>
      </w:r>
    </w:p>
    <w:p w:rsidR="00351AEE" w:rsidRDefault="00351AEE" w:rsidP="007B7129">
      <w:pPr>
        <w:autoSpaceDE w:val="0"/>
        <w:autoSpaceDN w:val="0"/>
        <w:adjustRightInd w:val="0"/>
        <w:spacing w:line="360" w:lineRule="auto"/>
        <w:rPr>
          <w:rFonts w:cs="Times New Roman"/>
          <w:szCs w:val="24"/>
        </w:rPr>
      </w:pPr>
    </w:p>
    <w:p w:rsidR="00DC63EE" w:rsidRPr="007104D8" w:rsidRDefault="00DC63EE" w:rsidP="0008025A">
      <w:pPr>
        <w:autoSpaceDE w:val="0"/>
        <w:autoSpaceDN w:val="0"/>
        <w:adjustRightInd w:val="0"/>
        <w:spacing w:line="360" w:lineRule="auto"/>
        <w:jc w:val="center"/>
        <w:rPr>
          <w:rFonts w:cs="Times New Roman"/>
          <w:szCs w:val="24"/>
        </w:rPr>
      </w:pPr>
      <w:r w:rsidRPr="007104D8">
        <w:rPr>
          <w:rFonts w:cs="Times New Roman"/>
          <w:szCs w:val="24"/>
        </w:rPr>
        <w:t>Probability and safety</w:t>
      </w:r>
    </w:p>
    <w:p w:rsidR="00DC63EE" w:rsidRDefault="00DC63EE" w:rsidP="007B7129">
      <w:pPr>
        <w:autoSpaceDE w:val="0"/>
        <w:autoSpaceDN w:val="0"/>
        <w:adjustRightInd w:val="0"/>
        <w:spacing w:line="360" w:lineRule="auto"/>
        <w:rPr>
          <w:rFonts w:cs="Times New Roman"/>
          <w:szCs w:val="24"/>
        </w:rPr>
      </w:pPr>
    </w:p>
    <w:p w:rsidR="008A76ED" w:rsidRDefault="00A146E2" w:rsidP="007B7129">
      <w:pPr>
        <w:autoSpaceDE w:val="0"/>
        <w:autoSpaceDN w:val="0"/>
        <w:adjustRightInd w:val="0"/>
        <w:spacing w:line="360" w:lineRule="auto"/>
        <w:rPr>
          <w:rFonts w:cs="Times New Roman"/>
          <w:szCs w:val="24"/>
        </w:rPr>
      </w:pPr>
      <w:r w:rsidRPr="00395EBF">
        <w:rPr>
          <w:rFonts w:cs="Times New Roman"/>
          <w:szCs w:val="24"/>
        </w:rPr>
        <w:t xml:space="preserve">In the </w:t>
      </w:r>
      <w:proofErr w:type="spellStart"/>
      <w:r w:rsidR="009D0F06">
        <w:rPr>
          <w:rFonts w:cs="Times New Roman"/>
          <w:i/>
          <w:szCs w:val="24"/>
        </w:rPr>
        <w:t>Commentatiuncula</w:t>
      </w:r>
      <w:proofErr w:type="spellEnd"/>
      <w:r w:rsidR="009D0F06">
        <w:rPr>
          <w:rFonts w:cs="Times New Roman"/>
          <w:i/>
          <w:szCs w:val="24"/>
        </w:rPr>
        <w:t xml:space="preserve"> d</w:t>
      </w:r>
      <w:r w:rsidRPr="00395EBF">
        <w:rPr>
          <w:rFonts w:cs="Times New Roman"/>
          <w:i/>
          <w:szCs w:val="24"/>
        </w:rPr>
        <w:t xml:space="preserve">e </w:t>
      </w:r>
      <w:proofErr w:type="spellStart"/>
      <w:r w:rsidRPr="00395EBF">
        <w:rPr>
          <w:rFonts w:cs="Times New Roman"/>
          <w:i/>
          <w:szCs w:val="24"/>
        </w:rPr>
        <w:t>Judice</w:t>
      </w:r>
      <w:proofErr w:type="spellEnd"/>
      <w:r w:rsidRPr="00395EBF">
        <w:rPr>
          <w:rFonts w:cs="Times New Roman"/>
          <w:i/>
          <w:szCs w:val="24"/>
        </w:rPr>
        <w:t xml:space="preserve"> </w:t>
      </w:r>
      <w:proofErr w:type="spellStart"/>
      <w:r w:rsidRPr="00395EBF">
        <w:rPr>
          <w:rFonts w:cs="Times New Roman"/>
          <w:i/>
          <w:szCs w:val="24"/>
        </w:rPr>
        <w:t>Controversiarum</w:t>
      </w:r>
      <w:proofErr w:type="spellEnd"/>
      <w:r w:rsidR="00F20B33">
        <w:rPr>
          <w:rFonts w:cs="Times New Roman"/>
          <w:szCs w:val="24"/>
        </w:rPr>
        <w:t>,</w:t>
      </w:r>
      <w:r w:rsidRPr="00395EBF">
        <w:rPr>
          <w:rFonts w:cs="Times New Roman"/>
          <w:szCs w:val="24"/>
        </w:rPr>
        <w:t xml:space="preserve"> </w:t>
      </w:r>
      <w:r w:rsidR="00E944BD">
        <w:rPr>
          <w:rFonts w:cs="Times New Roman"/>
          <w:szCs w:val="24"/>
        </w:rPr>
        <w:t>this</w:t>
      </w:r>
      <w:r w:rsidR="00D3460A" w:rsidRPr="00395EBF">
        <w:rPr>
          <w:rFonts w:cs="Times New Roman"/>
          <w:szCs w:val="24"/>
        </w:rPr>
        <w:t xml:space="preserve"> strongly</w:t>
      </w:r>
      <w:r w:rsidR="00380854" w:rsidRPr="00395EBF">
        <w:rPr>
          <w:rFonts w:cs="Times New Roman"/>
          <w:szCs w:val="24"/>
        </w:rPr>
        <w:t xml:space="preserve"> pragmatic thrust of Leibniz’s attitude toward controversial issues of revealed theology comes fully to the fore. </w:t>
      </w:r>
      <w:r w:rsidR="00935BD8">
        <w:rPr>
          <w:rFonts w:cs="Times New Roman"/>
          <w:szCs w:val="24"/>
        </w:rPr>
        <w:t xml:space="preserve">A </w:t>
      </w:r>
      <w:r w:rsidR="00C952F0">
        <w:rPr>
          <w:rFonts w:cs="Times New Roman"/>
          <w:szCs w:val="24"/>
        </w:rPr>
        <w:t>conflict between Sacred T</w:t>
      </w:r>
      <w:r w:rsidR="00935BD8">
        <w:rPr>
          <w:rFonts w:cs="Times New Roman"/>
          <w:szCs w:val="24"/>
        </w:rPr>
        <w:t>ext and</w:t>
      </w:r>
      <w:r w:rsidR="004857BE">
        <w:rPr>
          <w:rFonts w:cs="Times New Roman"/>
          <w:szCs w:val="24"/>
        </w:rPr>
        <w:t xml:space="preserve"> reason arises, Leibniz explained</w:t>
      </w:r>
      <w:r w:rsidR="00935BD8">
        <w:rPr>
          <w:rFonts w:cs="Times New Roman"/>
          <w:szCs w:val="24"/>
        </w:rPr>
        <w:t>, w</w:t>
      </w:r>
      <w:r w:rsidR="008A76ED">
        <w:rPr>
          <w:rFonts w:cs="Times New Roman"/>
          <w:szCs w:val="24"/>
        </w:rPr>
        <w:t xml:space="preserve">hen the meaning of the text is unclear and reason cannot </w:t>
      </w:r>
      <w:r w:rsidR="00F20B33">
        <w:rPr>
          <w:rFonts w:cs="Times New Roman"/>
          <w:szCs w:val="24"/>
        </w:rPr>
        <w:t>reach</w:t>
      </w:r>
      <w:r w:rsidR="00935BD8">
        <w:rPr>
          <w:rFonts w:cs="Times New Roman"/>
          <w:szCs w:val="24"/>
        </w:rPr>
        <w:t xml:space="preserve"> certainty</w:t>
      </w:r>
      <w:r w:rsidR="00F20B33">
        <w:rPr>
          <w:rFonts w:cs="Times New Roman"/>
          <w:szCs w:val="24"/>
        </w:rPr>
        <w:t>.</w:t>
      </w:r>
      <w:r w:rsidR="00935BD8">
        <w:rPr>
          <w:rFonts w:cs="Times New Roman"/>
          <w:szCs w:val="24"/>
        </w:rPr>
        <w:t xml:space="preserve"> It seems clear to me that Leibniz is speaking here of the strong brand of </w:t>
      </w:r>
      <w:r w:rsidR="00F20B33">
        <w:rPr>
          <w:rFonts w:cs="Times New Roman"/>
          <w:szCs w:val="24"/>
        </w:rPr>
        <w:t>rational certainty, that is</w:t>
      </w:r>
      <w:r w:rsidR="00AA5E01">
        <w:rPr>
          <w:rFonts w:cs="Times New Roman"/>
          <w:szCs w:val="24"/>
        </w:rPr>
        <w:t>,</w:t>
      </w:r>
      <w:r w:rsidR="00F20B33">
        <w:rPr>
          <w:rFonts w:cs="Times New Roman"/>
          <w:szCs w:val="24"/>
        </w:rPr>
        <w:t xml:space="preserve"> of the </w:t>
      </w:r>
      <w:r w:rsidR="00935BD8">
        <w:rPr>
          <w:rFonts w:cs="Times New Roman"/>
          <w:szCs w:val="24"/>
        </w:rPr>
        <w:t>absolute certainty</w:t>
      </w:r>
      <w:r w:rsidR="00F20B33">
        <w:rPr>
          <w:rFonts w:cs="Times New Roman"/>
          <w:szCs w:val="24"/>
        </w:rPr>
        <w:t xml:space="preserve"> which is reached, for instance, in the case of a demonstrated impossibility. When there is no absolute rational certainty, but the </w:t>
      </w:r>
      <w:r w:rsidR="00F20B33" w:rsidRPr="00AA5E01">
        <w:rPr>
          <w:rFonts w:cs="Times New Roman"/>
          <w:i/>
          <w:szCs w:val="24"/>
        </w:rPr>
        <w:t>probable</w:t>
      </w:r>
      <w:r w:rsidR="00F20B33">
        <w:rPr>
          <w:rFonts w:cs="Times New Roman"/>
          <w:szCs w:val="24"/>
        </w:rPr>
        <w:t xml:space="preserve"> meaning of the text is </w:t>
      </w:r>
      <w:r w:rsidR="00F20B33" w:rsidRPr="00AA5E01">
        <w:rPr>
          <w:rFonts w:cs="Times New Roman"/>
          <w:i/>
          <w:szCs w:val="24"/>
        </w:rPr>
        <w:t>improbable</w:t>
      </w:r>
      <w:r w:rsidR="00F20B33">
        <w:rPr>
          <w:rFonts w:cs="Times New Roman"/>
          <w:szCs w:val="24"/>
        </w:rPr>
        <w:t xml:space="preserve"> according to reason, </w:t>
      </w:r>
      <w:r w:rsidR="00F20B33">
        <w:rPr>
          <w:rFonts w:cs="Times New Roman"/>
          <w:szCs w:val="24"/>
        </w:rPr>
        <w:lastRenderedPageBreak/>
        <w:t xml:space="preserve">should we interpret the text in the light of what is probable according to reason or should we </w:t>
      </w:r>
      <w:r w:rsidR="00B52BE4">
        <w:rPr>
          <w:rFonts w:cs="Times New Roman"/>
          <w:szCs w:val="24"/>
        </w:rPr>
        <w:t xml:space="preserve">hold on to </w:t>
      </w:r>
      <w:r w:rsidR="002A49CD">
        <w:rPr>
          <w:rFonts w:cs="Times New Roman"/>
          <w:szCs w:val="24"/>
        </w:rPr>
        <w:t xml:space="preserve">the </w:t>
      </w:r>
      <w:r w:rsidR="00B52BE4">
        <w:rPr>
          <w:rFonts w:cs="Times New Roman"/>
          <w:szCs w:val="24"/>
        </w:rPr>
        <w:t>text’s more literal meaning</w:t>
      </w:r>
      <w:r w:rsidR="00F20B33">
        <w:rPr>
          <w:rFonts w:cs="Times New Roman"/>
          <w:szCs w:val="24"/>
        </w:rPr>
        <w:t>?</w:t>
      </w:r>
      <w:r w:rsidR="00216906">
        <w:rPr>
          <w:rStyle w:val="FootnoteReference"/>
          <w:rFonts w:cs="Times New Roman"/>
          <w:szCs w:val="24"/>
        </w:rPr>
        <w:footnoteReference w:id="52"/>
      </w:r>
    </w:p>
    <w:p w:rsidR="00301AC2" w:rsidRDefault="00380854" w:rsidP="007B7129">
      <w:pPr>
        <w:autoSpaceDE w:val="0"/>
        <w:autoSpaceDN w:val="0"/>
        <w:adjustRightInd w:val="0"/>
        <w:spacing w:line="360" w:lineRule="auto"/>
        <w:ind w:firstLine="567"/>
        <w:rPr>
          <w:rFonts w:cs="Times New Roman"/>
          <w:szCs w:val="24"/>
        </w:rPr>
      </w:pPr>
      <w:r w:rsidRPr="00395EBF">
        <w:rPr>
          <w:rFonts w:cs="Times New Roman"/>
          <w:szCs w:val="24"/>
        </w:rPr>
        <w:t>Leibniz tackled</w:t>
      </w:r>
      <w:r w:rsidR="00AA5E01">
        <w:rPr>
          <w:rFonts w:cs="Times New Roman"/>
          <w:szCs w:val="24"/>
        </w:rPr>
        <w:t xml:space="preserve"> </w:t>
      </w:r>
      <w:r w:rsidR="004857BE">
        <w:rPr>
          <w:rFonts w:cs="Times New Roman"/>
          <w:szCs w:val="24"/>
        </w:rPr>
        <w:t>in particular</w:t>
      </w:r>
      <w:r w:rsidR="004857BE" w:rsidRPr="00395EBF">
        <w:rPr>
          <w:rFonts w:cs="Times New Roman"/>
          <w:szCs w:val="24"/>
        </w:rPr>
        <w:t xml:space="preserve"> </w:t>
      </w:r>
      <w:r w:rsidRPr="00395EBF">
        <w:rPr>
          <w:rFonts w:cs="Times New Roman"/>
          <w:szCs w:val="24"/>
        </w:rPr>
        <w:t>the issue o</w:t>
      </w:r>
      <w:r w:rsidR="002B0D41" w:rsidRPr="00395EBF">
        <w:rPr>
          <w:rFonts w:cs="Times New Roman"/>
          <w:szCs w:val="24"/>
        </w:rPr>
        <w:t>f the resurrection of bodies</w:t>
      </w:r>
      <w:r w:rsidR="00A15E05">
        <w:rPr>
          <w:rFonts w:cs="Times New Roman"/>
          <w:szCs w:val="24"/>
        </w:rPr>
        <w:t>,</w:t>
      </w:r>
      <w:r w:rsidR="002B0D41" w:rsidRPr="00395EBF">
        <w:rPr>
          <w:rFonts w:cs="Times New Roman"/>
          <w:szCs w:val="24"/>
        </w:rPr>
        <w:t xml:space="preserve"> asking</w:t>
      </w:r>
      <w:r w:rsidRPr="00395EBF">
        <w:rPr>
          <w:rFonts w:cs="Times New Roman"/>
          <w:szCs w:val="24"/>
        </w:rPr>
        <w:t xml:space="preserve"> whether priority should be given to Scripture, affirming it, or to reason, pointing to the intrinsic improbability of such a thing happening. Leibniz is clear: </w:t>
      </w:r>
      <w:r w:rsidR="004F1BB2" w:rsidRPr="00395EBF">
        <w:rPr>
          <w:rFonts w:cs="Times New Roman"/>
          <w:szCs w:val="24"/>
        </w:rPr>
        <w:t>if there are historical and philological reasons strong enough to support the claim to authenticity of the text and the antiquity of the tradition, priorit</w:t>
      </w:r>
      <w:r w:rsidR="00301AC2">
        <w:rPr>
          <w:rFonts w:cs="Times New Roman"/>
          <w:szCs w:val="24"/>
        </w:rPr>
        <w:t xml:space="preserve">y should be given to the text, </w:t>
      </w:r>
      <w:r w:rsidR="00FD2BDF" w:rsidRPr="00395EBF">
        <w:rPr>
          <w:rFonts w:cs="Times New Roman"/>
          <w:szCs w:val="24"/>
        </w:rPr>
        <w:t xml:space="preserve">provided that the doctrine </w:t>
      </w:r>
      <w:r w:rsidR="004F1BB2" w:rsidRPr="00395EBF">
        <w:rPr>
          <w:rFonts w:cs="Times New Roman"/>
          <w:szCs w:val="24"/>
        </w:rPr>
        <w:t>does not involve any proven contradiction (“</w:t>
      </w:r>
      <w:proofErr w:type="spellStart"/>
      <w:r w:rsidR="004F1BB2" w:rsidRPr="00395EBF">
        <w:rPr>
          <w:rFonts w:cs="Times New Roman"/>
          <w:szCs w:val="24"/>
        </w:rPr>
        <w:t>dummodo</w:t>
      </w:r>
      <w:proofErr w:type="spellEnd"/>
      <w:r w:rsidR="004F1BB2" w:rsidRPr="00395EBF">
        <w:rPr>
          <w:rFonts w:cs="Times New Roman"/>
          <w:szCs w:val="24"/>
        </w:rPr>
        <w:t xml:space="preserve"> </w:t>
      </w:r>
      <w:proofErr w:type="spellStart"/>
      <w:r w:rsidR="004F1BB2" w:rsidRPr="00395EBF">
        <w:rPr>
          <w:rFonts w:cs="Times New Roman"/>
          <w:szCs w:val="24"/>
        </w:rPr>
        <w:t>possibilis</w:t>
      </w:r>
      <w:proofErr w:type="spellEnd"/>
      <w:r w:rsidR="00FD2BDF" w:rsidRPr="00395EBF">
        <w:rPr>
          <w:rFonts w:cs="Times New Roman"/>
          <w:szCs w:val="24"/>
        </w:rPr>
        <w:t xml:space="preserve"> [as long as it is possible]</w:t>
      </w:r>
      <w:r w:rsidR="004F1BB2" w:rsidRPr="00395EBF">
        <w:rPr>
          <w:rFonts w:cs="Times New Roman"/>
          <w:szCs w:val="24"/>
        </w:rPr>
        <w:t>”). The credit given to the words of</w:t>
      </w:r>
      <w:r w:rsidR="00FD2BDF" w:rsidRPr="00395EBF">
        <w:rPr>
          <w:rFonts w:cs="Times New Roman"/>
          <w:szCs w:val="24"/>
        </w:rPr>
        <w:t xml:space="preserve"> </w:t>
      </w:r>
      <w:r w:rsidR="004F1BB2" w:rsidRPr="00395EBF">
        <w:rPr>
          <w:rFonts w:cs="Times New Roman"/>
          <w:szCs w:val="24"/>
        </w:rPr>
        <w:t xml:space="preserve">the text, despite their improbability according to reason, rests on the peculiar characteristics of “the One who has promised.” </w:t>
      </w:r>
    </w:p>
    <w:p w:rsidR="004F1BB2" w:rsidRPr="00395EBF" w:rsidRDefault="00AA5E01" w:rsidP="007B7129">
      <w:pPr>
        <w:autoSpaceDE w:val="0"/>
        <w:autoSpaceDN w:val="0"/>
        <w:adjustRightInd w:val="0"/>
        <w:spacing w:line="360" w:lineRule="auto"/>
        <w:ind w:firstLine="567"/>
        <w:rPr>
          <w:rFonts w:cs="Times New Roman"/>
          <w:szCs w:val="24"/>
        </w:rPr>
      </w:pPr>
      <w:r>
        <w:rPr>
          <w:rFonts w:cs="Times New Roman"/>
          <w:szCs w:val="24"/>
        </w:rPr>
        <w:t>Leibniz proposed</w:t>
      </w:r>
      <w:r w:rsidR="004F1BB2" w:rsidRPr="00395EBF">
        <w:rPr>
          <w:rFonts w:cs="Times New Roman"/>
          <w:szCs w:val="24"/>
        </w:rPr>
        <w:t xml:space="preserve"> the example of two men—</w:t>
      </w:r>
      <w:proofErr w:type="spellStart"/>
      <w:r w:rsidR="004F1BB2" w:rsidRPr="00395EBF">
        <w:rPr>
          <w:rFonts w:cs="Times New Roman"/>
          <w:szCs w:val="24"/>
        </w:rPr>
        <w:t>Titius</w:t>
      </w:r>
      <w:proofErr w:type="spellEnd"/>
      <w:r w:rsidR="004F1BB2" w:rsidRPr="00395EBF">
        <w:rPr>
          <w:rFonts w:cs="Times New Roman"/>
          <w:szCs w:val="24"/>
        </w:rPr>
        <w:t>, rich and just, and Caius, poor</w:t>
      </w:r>
      <w:r w:rsidR="00FD2BDF" w:rsidRPr="00395EBF">
        <w:rPr>
          <w:rFonts w:cs="Times New Roman"/>
          <w:szCs w:val="24"/>
        </w:rPr>
        <w:t xml:space="preserve"> </w:t>
      </w:r>
      <w:r w:rsidR="004F1BB2" w:rsidRPr="00395EBF">
        <w:rPr>
          <w:rFonts w:cs="Times New Roman"/>
          <w:szCs w:val="24"/>
        </w:rPr>
        <w:t xml:space="preserve">and a born liar—who both promise a large sum of money. Although it is intrinsically improbable that anyone would give such a large sum of money to another person, </w:t>
      </w:r>
      <w:proofErr w:type="spellStart"/>
      <w:r w:rsidR="004F1BB2" w:rsidRPr="00395EBF">
        <w:rPr>
          <w:rFonts w:cs="Times New Roman"/>
          <w:szCs w:val="24"/>
        </w:rPr>
        <w:t>Titius’s</w:t>
      </w:r>
      <w:proofErr w:type="spellEnd"/>
      <w:r w:rsidR="004F1BB2" w:rsidRPr="00395EBF">
        <w:rPr>
          <w:rFonts w:cs="Times New Roman"/>
          <w:szCs w:val="24"/>
        </w:rPr>
        <w:t xml:space="preserve"> words (uttered, moreover, under oath) are worthy</w:t>
      </w:r>
      <w:r w:rsidR="00FD2BDF" w:rsidRPr="00395EBF">
        <w:rPr>
          <w:rFonts w:cs="Times New Roman"/>
          <w:szCs w:val="24"/>
        </w:rPr>
        <w:t xml:space="preserve"> </w:t>
      </w:r>
      <w:r w:rsidR="004F1BB2" w:rsidRPr="00395EBF">
        <w:rPr>
          <w:rFonts w:cs="Times New Roman"/>
          <w:szCs w:val="24"/>
        </w:rPr>
        <w:t>of trust, considering his reputation as a just man and the fact that he is both</w:t>
      </w:r>
      <w:r w:rsidR="00FD2BDF" w:rsidRPr="00395EBF">
        <w:rPr>
          <w:rFonts w:cs="Times New Roman"/>
          <w:szCs w:val="24"/>
        </w:rPr>
        <w:t xml:space="preserve"> </w:t>
      </w:r>
      <w:r w:rsidR="004F1BB2" w:rsidRPr="00395EBF">
        <w:rPr>
          <w:rFonts w:cs="Times New Roman"/>
          <w:szCs w:val="24"/>
        </w:rPr>
        <w:t>able and willing to keep his promise. On the contrary, it is not only improbable</w:t>
      </w:r>
      <w:r w:rsidR="00FD2BDF" w:rsidRPr="00395EBF">
        <w:rPr>
          <w:rFonts w:cs="Times New Roman"/>
          <w:szCs w:val="24"/>
        </w:rPr>
        <w:t xml:space="preserve"> </w:t>
      </w:r>
      <w:r w:rsidR="004F1BB2" w:rsidRPr="00395EBF">
        <w:rPr>
          <w:rFonts w:cs="Times New Roman"/>
          <w:szCs w:val="24"/>
        </w:rPr>
        <w:t>but actually impossible that Caius should keep his promise (supposing</w:t>
      </w:r>
      <w:r w:rsidR="00FD2BDF" w:rsidRPr="00395EBF">
        <w:rPr>
          <w:rFonts w:cs="Times New Roman"/>
          <w:szCs w:val="24"/>
        </w:rPr>
        <w:t xml:space="preserve"> </w:t>
      </w:r>
      <w:r w:rsidR="004F1BB2" w:rsidRPr="00395EBF">
        <w:rPr>
          <w:rFonts w:cs="Times New Roman"/>
          <w:szCs w:val="24"/>
        </w:rPr>
        <w:t>that he does not have, and in the future will not have, so much money). One</w:t>
      </w:r>
      <w:r w:rsidR="00FD2BDF" w:rsidRPr="00395EBF">
        <w:rPr>
          <w:rFonts w:cs="Times New Roman"/>
          <w:szCs w:val="24"/>
        </w:rPr>
        <w:t xml:space="preserve"> </w:t>
      </w:r>
      <w:r w:rsidR="004F1BB2" w:rsidRPr="00395EBF">
        <w:rPr>
          <w:rFonts w:cs="Times New Roman"/>
          <w:szCs w:val="24"/>
        </w:rPr>
        <w:t>should therefore not trust in his words, unless one takes them metaphorically.</w:t>
      </w:r>
      <w:r w:rsidR="00FD2BDF" w:rsidRPr="00395EBF">
        <w:rPr>
          <w:rStyle w:val="FootnoteReference"/>
          <w:rFonts w:cs="Times New Roman"/>
          <w:szCs w:val="24"/>
        </w:rPr>
        <w:footnoteReference w:id="53"/>
      </w:r>
      <w:r w:rsidR="004F1BB2" w:rsidRPr="00395EBF">
        <w:rPr>
          <w:rFonts w:cs="Times New Roman"/>
          <w:szCs w:val="24"/>
        </w:rPr>
        <w:t xml:space="preserve"> </w:t>
      </w:r>
      <w:r w:rsidR="00FD2BDF" w:rsidRPr="00395EBF">
        <w:rPr>
          <w:rFonts w:cs="Times New Roman"/>
          <w:szCs w:val="24"/>
        </w:rPr>
        <w:t>Leibniz concluded</w:t>
      </w:r>
      <w:r w:rsidR="004F1BB2" w:rsidRPr="00395EBF">
        <w:rPr>
          <w:rFonts w:cs="Times New Roman"/>
          <w:szCs w:val="24"/>
        </w:rPr>
        <w:t>:</w:t>
      </w:r>
    </w:p>
    <w:p w:rsidR="004F1BB2" w:rsidRPr="00395EBF" w:rsidRDefault="004F1BB2" w:rsidP="007B7129">
      <w:pPr>
        <w:autoSpaceDE w:val="0"/>
        <w:autoSpaceDN w:val="0"/>
        <w:adjustRightInd w:val="0"/>
        <w:spacing w:line="360" w:lineRule="auto"/>
        <w:rPr>
          <w:rFonts w:cs="Times New Roman"/>
          <w:szCs w:val="24"/>
        </w:rPr>
      </w:pPr>
    </w:p>
    <w:p w:rsidR="004F1BB2" w:rsidRPr="00395EBF" w:rsidRDefault="004F1BB2" w:rsidP="007B7129">
      <w:pPr>
        <w:autoSpaceDE w:val="0"/>
        <w:autoSpaceDN w:val="0"/>
        <w:adjustRightInd w:val="0"/>
        <w:spacing w:line="360" w:lineRule="auto"/>
        <w:ind w:left="567"/>
        <w:rPr>
          <w:rFonts w:cs="Times New Roman"/>
          <w:szCs w:val="24"/>
        </w:rPr>
      </w:pPr>
      <w:r w:rsidRPr="00395EBF">
        <w:rPr>
          <w:rFonts w:cs="Times New Roman"/>
          <w:szCs w:val="24"/>
        </w:rPr>
        <w:t xml:space="preserve">Let us transfer this to God. God is obviously this </w:t>
      </w:r>
      <w:proofErr w:type="spellStart"/>
      <w:r w:rsidRPr="00395EBF">
        <w:rPr>
          <w:rFonts w:cs="Times New Roman"/>
          <w:szCs w:val="24"/>
        </w:rPr>
        <w:t>Titius</w:t>
      </w:r>
      <w:proofErr w:type="spellEnd"/>
      <w:r w:rsidRPr="00395EBF">
        <w:rPr>
          <w:rFonts w:cs="Times New Roman"/>
          <w:szCs w:val="24"/>
        </w:rPr>
        <w:t>. Indeed, he is also</w:t>
      </w:r>
      <w:r w:rsidR="00FD2BDF" w:rsidRPr="00395EBF">
        <w:rPr>
          <w:rFonts w:cs="Times New Roman"/>
          <w:szCs w:val="24"/>
        </w:rPr>
        <w:t xml:space="preserve"> </w:t>
      </w:r>
      <w:r w:rsidRPr="00395EBF">
        <w:rPr>
          <w:rFonts w:cs="Times New Roman"/>
          <w:szCs w:val="24"/>
        </w:rPr>
        <w:t xml:space="preserve">very rich or rather very </w:t>
      </w:r>
      <w:proofErr w:type="gramStart"/>
      <w:r w:rsidRPr="00395EBF">
        <w:rPr>
          <w:rFonts w:cs="Times New Roman"/>
          <w:szCs w:val="24"/>
        </w:rPr>
        <w:t>powerful,</w:t>
      </w:r>
      <w:proofErr w:type="gramEnd"/>
      <w:r w:rsidRPr="00395EBF">
        <w:rPr>
          <w:rFonts w:cs="Times New Roman"/>
          <w:szCs w:val="24"/>
        </w:rPr>
        <w:t xml:space="preserve"> and very wise as well, so that his words</w:t>
      </w:r>
      <w:r w:rsidR="00FD2BDF" w:rsidRPr="00395EBF">
        <w:rPr>
          <w:rFonts w:cs="Times New Roman"/>
          <w:szCs w:val="24"/>
        </w:rPr>
        <w:t xml:space="preserve"> </w:t>
      </w:r>
      <w:r w:rsidRPr="00395EBF">
        <w:rPr>
          <w:rFonts w:cs="Times New Roman"/>
          <w:szCs w:val="24"/>
        </w:rPr>
        <w:t>outweigh all the words sworn by others. This God promises that our bodies</w:t>
      </w:r>
      <w:r w:rsidR="00FD2BDF" w:rsidRPr="00395EBF">
        <w:rPr>
          <w:rFonts w:cs="Times New Roman"/>
          <w:szCs w:val="24"/>
        </w:rPr>
        <w:t xml:space="preserve"> </w:t>
      </w:r>
      <w:r w:rsidRPr="00395EBF">
        <w:rPr>
          <w:rFonts w:cs="Times New Roman"/>
          <w:szCs w:val="24"/>
        </w:rPr>
        <w:t xml:space="preserve">will be resurrected, just as </w:t>
      </w:r>
      <w:r w:rsidRPr="00395EBF">
        <w:rPr>
          <w:rFonts w:cs="Times New Roman"/>
          <w:szCs w:val="24"/>
        </w:rPr>
        <w:lastRenderedPageBreak/>
        <w:t>numerous as we now bear. Considering this in</w:t>
      </w:r>
      <w:r w:rsidR="00FD2BDF" w:rsidRPr="00395EBF">
        <w:rPr>
          <w:rFonts w:cs="Times New Roman"/>
          <w:szCs w:val="24"/>
        </w:rPr>
        <w:t xml:space="preserve"> </w:t>
      </w:r>
      <w:r w:rsidRPr="00395EBF">
        <w:rPr>
          <w:rFonts w:cs="Times New Roman"/>
          <w:szCs w:val="24"/>
        </w:rPr>
        <w:t>itself, without the promise</w:t>
      </w:r>
      <w:r w:rsidR="00A15E05">
        <w:rPr>
          <w:rFonts w:cs="Times New Roman"/>
          <w:szCs w:val="24"/>
        </w:rPr>
        <w:t>,</w:t>
      </w:r>
      <w:r w:rsidRPr="00395EBF">
        <w:rPr>
          <w:rFonts w:cs="Times New Roman"/>
          <w:szCs w:val="24"/>
        </w:rPr>
        <w:t xml:space="preserve"> it is indeed not impossible, as all admit, but yet it</w:t>
      </w:r>
      <w:r w:rsidR="00FD2BDF" w:rsidRPr="00395EBF">
        <w:rPr>
          <w:rFonts w:cs="Times New Roman"/>
          <w:szCs w:val="24"/>
        </w:rPr>
        <w:t xml:space="preserve"> </w:t>
      </w:r>
      <w:r w:rsidRPr="00395EBF">
        <w:rPr>
          <w:rFonts w:cs="Times New Roman"/>
          <w:szCs w:val="24"/>
        </w:rPr>
        <w:t>is improbable ever to be, that the parts of a thing, scattered in thousands and</w:t>
      </w:r>
      <w:r w:rsidR="00FD2BDF" w:rsidRPr="00395EBF">
        <w:rPr>
          <w:rFonts w:cs="Times New Roman"/>
          <w:szCs w:val="24"/>
        </w:rPr>
        <w:t xml:space="preserve"> </w:t>
      </w:r>
      <w:r w:rsidRPr="00395EBF">
        <w:rPr>
          <w:rFonts w:cs="Times New Roman"/>
          <w:szCs w:val="24"/>
        </w:rPr>
        <w:t>thousands of places, should be gathered together again. Hence the Socinian</w:t>
      </w:r>
      <w:r w:rsidR="00FD2BDF" w:rsidRPr="00395EBF">
        <w:rPr>
          <w:rFonts w:cs="Times New Roman"/>
          <w:szCs w:val="24"/>
        </w:rPr>
        <w:t xml:space="preserve"> </w:t>
      </w:r>
      <w:r w:rsidRPr="00395EBF">
        <w:rPr>
          <w:rFonts w:cs="Times New Roman"/>
          <w:szCs w:val="24"/>
        </w:rPr>
        <w:t>concludes that it is improbable even if it is taken with the promise, and the</w:t>
      </w:r>
      <w:r w:rsidR="00FD2BDF" w:rsidRPr="00395EBF">
        <w:rPr>
          <w:rFonts w:cs="Times New Roman"/>
          <w:szCs w:val="24"/>
        </w:rPr>
        <w:t xml:space="preserve"> </w:t>
      </w:r>
      <w:r w:rsidRPr="00395EBF">
        <w:rPr>
          <w:rFonts w:cs="Times New Roman"/>
          <w:szCs w:val="24"/>
        </w:rPr>
        <w:t>words of the promise must be interpreted otherwise, indeed forcibly, metaphorically,</w:t>
      </w:r>
      <w:r w:rsidR="00FD2BDF" w:rsidRPr="00395EBF">
        <w:rPr>
          <w:rFonts w:cs="Times New Roman"/>
          <w:szCs w:val="24"/>
        </w:rPr>
        <w:t xml:space="preserve"> fi</w:t>
      </w:r>
      <w:r w:rsidRPr="00395EBF">
        <w:rPr>
          <w:rFonts w:cs="Times New Roman"/>
          <w:szCs w:val="24"/>
        </w:rPr>
        <w:t>guratively; on the contrary, the Catholic concludes that, taken</w:t>
      </w:r>
      <w:r w:rsidR="00FD2BDF" w:rsidRPr="00395EBF">
        <w:rPr>
          <w:rFonts w:cs="Times New Roman"/>
          <w:szCs w:val="24"/>
        </w:rPr>
        <w:t xml:space="preserve"> </w:t>
      </w:r>
      <w:r w:rsidRPr="00395EBF">
        <w:rPr>
          <w:rFonts w:cs="Times New Roman"/>
          <w:szCs w:val="24"/>
        </w:rPr>
        <w:t>with the words of the promise, and adding the circumstances of the person</w:t>
      </w:r>
      <w:r w:rsidR="00FD2BDF" w:rsidRPr="00395EBF">
        <w:rPr>
          <w:rFonts w:cs="Times New Roman"/>
          <w:szCs w:val="24"/>
        </w:rPr>
        <w:t xml:space="preserve"> </w:t>
      </w:r>
      <w:r w:rsidRPr="00395EBF">
        <w:rPr>
          <w:rFonts w:cs="Times New Roman"/>
          <w:szCs w:val="24"/>
        </w:rPr>
        <w:t>speaking, it is probable and to be kept in practice, that God wants his words</w:t>
      </w:r>
      <w:r w:rsidR="00FD2BDF" w:rsidRPr="00395EBF">
        <w:rPr>
          <w:rFonts w:cs="Times New Roman"/>
          <w:szCs w:val="24"/>
        </w:rPr>
        <w:t xml:space="preserve"> </w:t>
      </w:r>
      <w:r w:rsidRPr="00395EBF">
        <w:rPr>
          <w:rFonts w:cs="Times New Roman"/>
          <w:szCs w:val="24"/>
        </w:rPr>
        <w:t>both to be understood in the proper sense and thus put into execution; and</w:t>
      </w:r>
      <w:r w:rsidR="00FD2BDF" w:rsidRPr="00395EBF">
        <w:rPr>
          <w:rFonts w:cs="Times New Roman"/>
          <w:szCs w:val="24"/>
        </w:rPr>
        <w:t xml:space="preserve"> as he can he will do.</w:t>
      </w:r>
      <w:r w:rsidR="00A15E05">
        <w:rPr>
          <w:rStyle w:val="FootnoteReference"/>
          <w:rFonts w:cs="Times New Roman"/>
          <w:szCs w:val="24"/>
        </w:rPr>
        <w:footnoteReference w:id="54"/>
      </w:r>
    </w:p>
    <w:p w:rsidR="004F1BB2" w:rsidRPr="00395EBF" w:rsidRDefault="004F1BB2" w:rsidP="007B7129">
      <w:pPr>
        <w:autoSpaceDE w:val="0"/>
        <w:autoSpaceDN w:val="0"/>
        <w:adjustRightInd w:val="0"/>
        <w:spacing w:line="360" w:lineRule="auto"/>
        <w:rPr>
          <w:rFonts w:cs="Times New Roman"/>
          <w:szCs w:val="24"/>
        </w:rPr>
      </w:pPr>
    </w:p>
    <w:p w:rsidR="006C4EC9" w:rsidRDefault="00E944BD" w:rsidP="007B7129">
      <w:pPr>
        <w:autoSpaceDE w:val="0"/>
        <w:autoSpaceDN w:val="0"/>
        <w:adjustRightInd w:val="0"/>
        <w:spacing w:line="360" w:lineRule="auto"/>
        <w:rPr>
          <w:rFonts w:cs="Times New Roman"/>
          <w:szCs w:val="24"/>
        </w:rPr>
      </w:pPr>
      <w:r>
        <w:rPr>
          <w:rFonts w:cs="Times New Roman"/>
          <w:szCs w:val="24"/>
        </w:rPr>
        <w:t>I would lik</w:t>
      </w:r>
      <w:r w:rsidR="005D3E17">
        <w:rPr>
          <w:rFonts w:cs="Times New Roman"/>
          <w:szCs w:val="24"/>
        </w:rPr>
        <w:t>e to draw attention to the penultimate statement that</w:t>
      </w:r>
      <w:r w:rsidR="0011503F" w:rsidRPr="00395EBF">
        <w:rPr>
          <w:rFonts w:cs="Times New Roman"/>
          <w:szCs w:val="24"/>
        </w:rPr>
        <w:t xml:space="preserve"> “it is probable and</w:t>
      </w:r>
      <w:r w:rsidR="004F1BB2" w:rsidRPr="00395EBF">
        <w:rPr>
          <w:rFonts w:cs="Times New Roman"/>
          <w:szCs w:val="24"/>
        </w:rPr>
        <w:t xml:space="preserve"> to be kept in practice” </w:t>
      </w:r>
      <w:r w:rsidR="00573F32">
        <w:rPr>
          <w:rFonts w:cs="Times New Roman"/>
          <w:szCs w:val="24"/>
        </w:rPr>
        <w:t>since in it</w:t>
      </w:r>
      <w:r w:rsidR="00777AEA">
        <w:rPr>
          <w:rFonts w:cs="Times New Roman"/>
          <w:szCs w:val="24"/>
        </w:rPr>
        <w:t xml:space="preserve"> surfaces</w:t>
      </w:r>
      <w:r w:rsidR="0011503F" w:rsidRPr="00395EBF">
        <w:rPr>
          <w:rFonts w:cs="Times New Roman"/>
          <w:szCs w:val="24"/>
        </w:rPr>
        <w:t xml:space="preserve"> t</w:t>
      </w:r>
      <w:r>
        <w:rPr>
          <w:rFonts w:cs="Times New Roman"/>
          <w:szCs w:val="24"/>
        </w:rPr>
        <w:t>he strong pragmatic component of</w:t>
      </w:r>
      <w:r w:rsidR="0011503F" w:rsidRPr="00395EBF">
        <w:rPr>
          <w:rFonts w:cs="Times New Roman"/>
          <w:szCs w:val="24"/>
        </w:rPr>
        <w:t xml:space="preserve"> Leibniz’s theological</w:t>
      </w:r>
      <w:r w:rsidR="002224A2" w:rsidRPr="00395EBF">
        <w:rPr>
          <w:rFonts w:cs="Times New Roman"/>
          <w:szCs w:val="24"/>
        </w:rPr>
        <w:t xml:space="preserve"> </w:t>
      </w:r>
      <w:r w:rsidR="0011503F" w:rsidRPr="00395EBF">
        <w:rPr>
          <w:rFonts w:cs="Times New Roman"/>
          <w:szCs w:val="24"/>
        </w:rPr>
        <w:t>thought</w:t>
      </w:r>
      <w:r w:rsidR="004F1BB2" w:rsidRPr="00395EBF">
        <w:rPr>
          <w:rFonts w:cs="Times New Roman"/>
          <w:szCs w:val="24"/>
        </w:rPr>
        <w:t>. I</w:t>
      </w:r>
      <w:r w:rsidR="0011503F" w:rsidRPr="00395EBF">
        <w:rPr>
          <w:rFonts w:cs="Times New Roman"/>
          <w:szCs w:val="24"/>
        </w:rPr>
        <w:t>t</w:t>
      </w:r>
      <w:r w:rsidR="00984555" w:rsidRPr="00395EBF">
        <w:rPr>
          <w:rFonts w:cs="Times New Roman"/>
          <w:szCs w:val="24"/>
        </w:rPr>
        <w:t xml:space="preserve"> is</w:t>
      </w:r>
      <w:r w:rsidR="0011503F" w:rsidRPr="00395EBF">
        <w:rPr>
          <w:rFonts w:cs="Times New Roman"/>
          <w:szCs w:val="24"/>
        </w:rPr>
        <w:t xml:space="preserve"> clear that we are in the sphere of </w:t>
      </w:r>
      <w:proofErr w:type="spellStart"/>
      <w:r w:rsidR="0011503F" w:rsidRPr="00395EBF">
        <w:rPr>
          <w:rFonts w:cs="Times New Roman"/>
          <w:i/>
          <w:szCs w:val="24"/>
        </w:rPr>
        <w:t>verum</w:t>
      </w:r>
      <w:proofErr w:type="spellEnd"/>
      <w:r w:rsidR="0011503F" w:rsidRPr="00395EBF">
        <w:rPr>
          <w:rFonts w:cs="Times New Roman"/>
          <w:i/>
          <w:szCs w:val="24"/>
        </w:rPr>
        <w:t xml:space="preserve"> </w:t>
      </w:r>
      <w:proofErr w:type="spellStart"/>
      <w:r w:rsidR="0011503F" w:rsidRPr="00395EBF">
        <w:rPr>
          <w:rFonts w:cs="Times New Roman"/>
          <w:i/>
          <w:szCs w:val="24"/>
        </w:rPr>
        <w:t>putare</w:t>
      </w:r>
      <w:proofErr w:type="spellEnd"/>
      <w:r w:rsidR="0011503F" w:rsidRPr="00395EBF">
        <w:rPr>
          <w:rFonts w:cs="Times New Roman"/>
          <w:szCs w:val="24"/>
        </w:rPr>
        <w:t xml:space="preserve"> (holding something as true), based on reasons for credibility, and</w:t>
      </w:r>
      <w:r w:rsidR="004F1BB2" w:rsidRPr="00395EBF">
        <w:rPr>
          <w:rFonts w:cs="Times New Roman"/>
          <w:szCs w:val="24"/>
        </w:rPr>
        <w:t xml:space="preserve"> </w:t>
      </w:r>
      <w:r w:rsidR="0011503F" w:rsidRPr="00395EBF">
        <w:rPr>
          <w:rFonts w:cs="Times New Roman"/>
          <w:szCs w:val="24"/>
        </w:rPr>
        <w:t>not in the sphere of demonstration.</w:t>
      </w:r>
      <w:r w:rsidR="004F1BB2" w:rsidRPr="00395EBF">
        <w:rPr>
          <w:rStyle w:val="FootnoteReference"/>
          <w:rFonts w:cs="Times New Roman"/>
          <w:szCs w:val="24"/>
        </w:rPr>
        <w:footnoteReference w:id="55"/>
      </w:r>
      <w:r w:rsidR="00984555" w:rsidRPr="00395EBF">
        <w:rPr>
          <w:rFonts w:cs="Times New Roman"/>
          <w:szCs w:val="24"/>
        </w:rPr>
        <w:t xml:space="preserve"> To borrow an expression from </w:t>
      </w:r>
      <w:r w:rsidR="0011503F" w:rsidRPr="00395EBF">
        <w:rPr>
          <w:rFonts w:cs="Times New Roman"/>
          <w:szCs w:val="24"/>
        </w:rPr>
        <w:t xml:space="preserve">a much later text, the </w:t>
      </w:r>
      <w:proofErr w:type="spellStart"/>
      <w:r w:rsidR="0011503F" w:rsidRPr="00395EBF">
        <w:rPr>
          <w:rFonts w:cs="Times New Roman"/>
          <w:i/>
          <w:szCs w:val="24"/>
        </w:rPr>
        <w:t>evidentia</w:t>
      </w:r>
      <w:proofErr w:type="spellEnd"/>
      <w:r w:rsidR="0011503F" w:rsidRPr="00395EBF">
        <w:rPr>
          <w:rFonts w:cs="Times New Roman"/>
          <w:szCs w:val="24"/>
        </w:rPr>
        <w:t xml:space="preserve"> is not </w:t>
      </w:r>
      <w:r w:rsidR="0011503F" w:rsidRPr="00395EBF">
        <w:rPr>
          <w:rFonts w:cs="Times New Roman"/>
          <w:i/>
          <w:szCs w:val="24"/>
        </w:rPr>
        <w:t>in rebus</w:t>
      </w:r>
      <w:r w:rsidR="0011503F" w:rsidRPr="00395EBF">
        <w:rPr>
          <w:rFonts w:cs="Times New Roman"/>
          <w:szCs w:val="24"/>
        </w:rPr>
        <w:t xml:space="preserve"> but </w:t>
      </w:r>
      <w:r w:rsidR="0011503F" w:rsidRPr="00395EBF">
        <w:rPr>
          <w:rFonts w:cs="Times New Roman"/>
          <w:i/>
          <w:szCs w:val="24"/>
        </w:rPr>
        <w:t xml:space="preserve">in </w:t>
      </w:r>
      <w:proofErr w:type="spellStart"/>
      <w:r w:rsidR="0011503F" w:rsidRPr="00395EBF">
        <w:rPr>
          <w:rFonts w:cs="Times New Roman"/>
          <w:i/>
          <w:szCs w:val="24"/>
        </w:rPr>
        <w:t>personis</w:t>
      </w:r>
      <w:proofErr w:type="spellEnd"/>
      <w:r w:rsidR="0011503F" w:rsidRPr="00395EBF">
        <w:rPr>
          <w:rFonts w:cs="Times New Roman"/>
          <w:szCs w:val="24"/>
        </w:rPr>
        <w:t>.</w:t>
      </w:r>
      <w:r w:rsidR="004F1BB2" w:rsidRPr="00395EBF">
        <w:rPr>
          <w:rStyle w:val="FootnoteReference"/>
          <w:rFonts w:cs="Times New Roman"/>
          <w:szCs w:val="24"/>
        </w:rPr>
        <w:footnoteReference w:id="56"/>
      </w:r>
      <w:r w:rsidR="00A840CC" w:rsidRPr="00395EBF">
        <w:rPr>
          <w:rFonts w:cs="Times New Roman"/>
          <w:szCs w:val="24"/>
        </w:rPr>
        <w:t xml:space="preserve"> </w:t>
      </w:r>
      <w:r w:rsidR="004F1BB2" w:rsidRPr="00395EBF">
        <w:rPr>
          <w:rFonts w:cs="Times New Roman"/>
          <w:szCs w:val="24"/>
        </w:rPr>
        <w:t xml:space="preserve">That is to say, the grounds of </w:t>
      </w:r>
      <w:r w:rsidR="00A840CC" w:rsidRPr="00395EBF">
        <w:rPr>
          <w:rFonts w:cs="Times New Roman"/>
          <w:szCs w:val="24"/>
        </w:rPr>
        <w:t>probability that what has been promised will actually happen are not intrinsic but extrinsic: they are t</w:t>
      </w:r>
      <w:r w:rsidR="00547905" w:rsidRPr="00395EBF">
        <w:rPr>
          <w:rFonts w:cs="Times New Roman"/>
          <w:szCs w:val="24"/>
        </w:rPr>
        <w:t>o be found in the authority, trustworthiness</w:t>
      </w:r>
      <w:r w:rsidR="004F1BB2" w:rsidRPr="00395EBF">
        <w:rPr>
          <w:rFonts w:cs="Times New Roman"/>
          <w:szCs w:val="24"/>
        </w:rPr>
        <w:t>,</w:t>
      </w:r>
      <w:r w:rsidR="00A840CC" w:rsidRPr="00395EBF">
        <w:rPr>
          <w:rFonts w:cs="Times New Roman"/>
          <w:szCs w:val="24"/>
        </w:rPr>
        <w:t xml:space="preserve"> and so on</w:t>
      </w:r>
      <w:r w:rsidR="004F1BB2" w:rsidRPr="00395EBF">
        <w:rPr>
          <w:rFonts w:cs="Times New Roman"/>
          <w:szCs w:val="24"/>
        </w:rPr>
        <w:t>,</w:t>
      </w:r>
      <w:r w:rsidR="00A840CC" w:rsidRPr="00395EBF">
        <w:rPr>
          <w:rFonts w:cs="Times New Roman"/>
          <w:szCs w:val="24"/>
        </w:rPr>
        <w:t xml:space="preserve"> of the person who has promised and not in the nature of what has been promised. </w:t>
      </w:r>
      <w:r w:rsidR="00111257" w:rsidRPr="00395EBF">
        <w:rPr>
          <w:rFonts w:cs="Times New Roman"/>
          <w:szCs w:val="24"/>
        </w:rPr>
        <w:t xml:space="preserve">All this considered, </w:t>
      </w:r>
      <w:r w:rsidR="00111257" w:rsidRPr="00395EBF">
        <w:rPr>
          <w:rFonts w:cs="Times New Roman"/>
          <w:i/>
          <w:szCs w:val="24"/>
        </w:rPr>
        <w:t>in practice</w:t>
      </w:r>
      <w:r w:rsidR="00111257" w:rsidRPr="00395EBF">
        <w:rPr>
          <w:rFonts w:cs="Times New Roman"/>
          <w:szCs w:val="24"/>
        </w:rPr>
        <w:t xml:space="preserve"> one should stick to what is safer</w:t>
      </w:r>
      <w:r w:rsidR="00565692">
        <w:rPr>
          <w:rFonts w:cs="Times New Roman"/>
          <w:szCs w:val="24"/>
        </w:rPr>
        <w:t>. (I</w:t>
      </w:r>
      <w:r w:rsidR="00111257" w:rsidRPr="00395EBF">
        <w:rPr>
          <w:rFonts w:cs="Times New Roman"/>
          <w:szCs w:val="24"/>
        </w:rPr>
        <w:t>n this specific case, it is safer to hold the resurrection of bodies as true, g</w:t>
      </w:r>
      <w:r w:rsidR="00565692">
        <w:rPr>
          <w:rFonts w:cs="Times New Roman"/>
          <w:szCs w:val="24"/>
        </w:rPr>
        <w:t>iven the</w:t>
      </w:r>
      <w:r w:rsidR="00111257" w:rsidRPr="00395EBF">
        <w:rPr>
          <w:rFonts w:cs="Times New Roman"/>
          <w:szCs w:val="24"/>
        </w:rPr>
        <w:t xml:space="preserve"> biblical and traditional pedigree</w:t>
      </w:r>
      <w:r w:rsidR="00565692">
        <w:rPr>
          <w:rFonts w:cs="Times New Roman"/>
          <w:szCs w:val="24"/>
        </w:rPr>
        <w:t xml:space="preserve"> of this doctrine</w:t>
      </w:r>
      <w:r w:rsidR="00111257" w:rsidRPr="00395EBF">
        <w:rPr>
          <w:rFonts w:cs="Times New Roman"/>
          <w:szCs w:val="24"/>
        </w:rPr>
        <w:t xml:space="preserve">, and </w:t>
      </w:r>
      <w:r w:rsidR="00565692">
        <w:rPr>
          <w:rFonts w:cs="Times New Roman"/>
          <w:szCs w:val="24"/>
        </w:rPr>
        <w:t xml:space="preserve">to </w:t>
      </w:r>
      <w:r w:rsidR="00111257" w:rsidRPr="00395EBF">
        <w:rPr>
          <w:rFonts w:cs="Times New Roman"/>
          <w:szCs w:val="24"/>
        </w:rPr>
        <w:t>act in consequence).</w:t>
      </w:r>
    </w:p>
    <w:p w:rsidR="002A49CD" w:rsidRDefault="00AE0B66" w:rsidP="007B7129">
      <w:pPr>
        <w:autoSpaceDE w:val="0"/>
        <w:autoSpaceDN w:val="0"/>
        <w:adjustRightInd w:val="0"/>
        <w:spacing w:line="360" w:lineRule="auto"/>
        <w:ind w:firstLine="720"/>
        <w:rPr>
          <w:rFonts w:cs="Times New Roman"/>
          <w:szCs w:val="24"/>
        </w:rPr>
      </w:pPr>
      <w:r>
        <w:rPr>
          <w:rFonts w:cs="Times New Roman"/>
          <w:szCs w:val="24"/>
        </w:rPr>
        <w:t>Notwithstanding Leibniz’s robust theoretical engagement with highly abstract doctrines of revealed theology, th</w:t>
      </w:r>
      <w:r w:rsidR="00404F73">
        <w:rPr>
          <w:rFonts w:cs="Times New Roman"/>
          <w:szCs w:val="24"/>
        </w:rPr>
        <w:t xml:space="preserve">is engagement appears </w:t>
      </w:r>
      <w:r>
        <w:rPr>
          <w:rFonts w:cs="Times New Roman"/>
          <w:szCs w:val="24"/>
        </w:rPr>
        <w:t xml:space="preserve">to have been significantly driven by prudential considerations. Although it is debatable whether Scripture on its own provides a </w:t>
      </w:r>
      <w:r>
        <w:rPr>
          <w:rFonts w:cs="Times New Roman"/>
          <w:szCs w:val="24"/>
        </w:rPr>
        <w:lastRenderedPageBreak/>
        <w:t xml:space="preserve">sufficient basis for the doctrine of the Trinity, the fact that a long </w:t>
      </w:r>
      <w:r w:rsidR="000707CA">
        <w:rPr>
          <w:rFonts w:cs="Times New Roman"/>
          <w:szCs w:val="24"/>
        </w:rPr>
        <w:t xml:space="preserve">and authoritative </w:t>
      </w:r>
      <w:r>
        <w:rPr>
          <w:rFonts w:cs="Times New Roman"/>
          <w:szCs w:val="24"/>
        </w:rPr>
        <w:t>ecclesiastical tradition, as well as the three main Christian denominations</w:t>
      </w:r>
      <w:r w:rsidR="00404F73">
        <w:rPr>
          <w:rFonts w:cs="Times New Roman"/>
          <w:szCs w:val="24"/>
        </w:rPr>
        <w:t>, support this doctrine provided</w:t>
      </w:r>
      <w:r>
        <w:rPr>
          <w:rFonts w:cs="Times New Roman"/>
          <w:szCs w:val="24"/>
        </w:rPr>
        <w:t xml:space="preserve"> </w:t>
      </w:r>
      <w:r w:rsidR="00C952F0">
        <w:rPr>
          <w:rFonts w:cs="Times New Roman"/>
          <w:szCs w:val="24"/>
        </w:rPr>
        <w:t>for Leibniz a decisive</w:t>
      </w:r>
      <w:r>
        <w:rPr>
          <w:rFonts w:cs="Times New Roman"/>
          <w:szCs w:val="24"/>
        </w:rPr>
        <w:t xml:space="preserve"> reason for holding on to it as the </w:t>
      </w:r>
      <w:r w:rsidRPr="002D5FDD">
        <w:rPr>
          <w:rFonts w:cs="Times New Roman"/>
          <w:i/>
          <w:szCs w:val="24"/>
        </w:rPr>
        <w:t>safest</w:t>
      </w:r>
      <w:r>
        <w:rPr>
          <w:rFonts w:cs="Times New Roman"/>
          <w:szCs w:val="24"/>
        </w:rPr>
        <w:t xml:space="preserve"> </w:t>
      </w:r>
      <w:r w:rsidRPr="002D5FDD">
        <w:rPr>
          <w:rFonts w:cs="Times New Roman"/>
          <w:i/>
          <w:szCs w:val="24"/>
        </w:rPr>
        <w:t>course of action</w:t>
      </w:r>
      <w:r>
        <w:rPr>
          <w:rFonts w:cs="Times New Roman"/>
          <w:szCs w:val="24"/>
        </w:rPr>
        <w:t xml:space="preserve"> as long a</w:t>
      </w:r>
      <w:r w:rsidR="002A49CD">
        <w:rPr>
          <w:rFonts w:cs="Times New Roman"/>
          <w:szCs w:val="24"/>
        </w:rPr>
        <w:t>s there is no proven absurdity.</w:t>
      </w:r>
      <w:r w:rsidR="00F90396">
        <w:rPr>
          <w:rStyle w:val="FootnoteReference"/>
          <w:rFonts w:cs="Times New Roman"/>
          <w:szCs w:val="24"/>
        </w:rPr>
        <w:footnoteReference w:id="57"/>
      </w:r>
      <w:r w:rsidR="005B129B">
        <w:rPr>
          <w:rFonts w:cs="Times New Roman"/>
          <w:szCs w:val="24"/>
        </w:rPr>
        <w:t xml:space="preserve"> </w:t>
      </w:r>
    </w:p>
    <w:p w:rsidR="002D5FDD" w:rsidRPr="004857BE" w:rsidRDefault="00111257" w:rsidP="004857BE">
      <w:pPr>
        <w:autoSpaceDE w:val="0"/>
        <w:autoSpaceDN w:val="0"/>
        <w:adjustRightInd w:val="0"/>
        <w:spacing w:line="360" w:lineRule="auto"/>
        <w:rPr>
          <w:rFonts w:cs="Times New Roman"/>
          <w:szCs w:val="24"/>
        </w:rPr>
      </w:pPr>
      <w:r w:rsidRPr="00395EBF">
        <w:rPr>
          <w:rFonts w:cs="Times New Roman"/>
          <w:szCs w:val="24"/>
        </w:rPr>
        <w:tab/>
        <w:t>This pragmatism is</w:t>
      </w:r>
      <w:r w:rsidR="009F1D7E" w:rsidRPr="00395EBF">
        <w:rPr>
          <w:rFonts w:cs="Times New Roman"/>
          <w:szCs w:val="24"/>
        </w:rPr>
        <w:t xml:space="preserve"> apparent also in Leibniz’s later texts</w:t>
      </w:r>
      <w:r w:rsidRPr="00395EBF">
        <w:rPr>
          <w:rFonts w:cs="Times New Roman"/>
          <w:szCs w:val="24"/>
        </w:rPr>
        <w:t>. One should consider not</w:t>
      </w:r>
      <w:r w:rsidR="00DE01D7">
        <w:rPr>
          <w:rFonts w:cs="Times New Roman"/>
          <w:szCs w:val="24"/>
        </w:rPr>
        <w:t xml:space="preserve"> only what is intrinsically most</w:t>
      </w:r>
      <w:r w:rsidRPr="00395EBF">
        <w:rPr>
          <w:rFonts w:cs="Times New Roman"/>
          <w:szCs w:val="24"/>
        </w:rPr>
        <w:t xml:space="preserve"> probabl</w:t>
      </w:r>
      <w:r w:rsidR="00DE01D7">
        <w:rPr>
          <w:rFonts w:cs="Times New Roman"/>
          <w:szCs w:val="24"/>
        </w:rPr>
        <w:t>e but also what is safest</w:t>
      </w:r>
      <w:r w:rsidR="003747CA" w:rsidRPr="00395EBF">
        <w:rPr>
          <w:rFonts w:cs="Times New Roman"/>
          <w:szCs w:val="24"/>
        </w:rPr>
        <w:t xml:space="preserve">: “Indeed I confess that we should regularly follow </w:t>
      </w:r>
      <w:r w:rsidR="00547905" w:rsidRPr="00395EBF">
        <w:rPr>
          <w:rFonts w:cs="Times New Roman"/>
          <w:szCs w:val="24"/>
        </w:rPr>
        <w:t>appearances</w:t>
      </w:r>
      <w:r w:rsidR="003747CA" w:rsidRPr="00395EBF">
        <w:rPr>
          <w:rFonts w:cs="Times New Roman"/>
          <w:szCs w:val="24"/>
        </w:rPr>
        <w:t>, and hold them as truths; but since often many things appear contrary to one another,</w:t>
      </w:r>
      <w:r w:rsidR="00547905" w:rsidRPr="00395EBF">
        <w:rPr>
          <w:rFonts w:cs="Times New Roman"/>
          <w:szCs w:val="24"/>
        </w:rPr>
        <w:t xml:space="preserve"> </w:t>
      </w:r>
      <w:r w:rsidR="003747CA" w:rsidRPr="00395EBF">
        <w:rPr>
          <w:rFonts w:cs="Times New Roman"/>
          <w:szCs w:val="24"/>
        </w:rPr>
        <w:t xml:space="preserve">the rule necessarily is left aside, and one must try to discover </w:t>
      </w:r>
      <w:r w:rsidR="003747CA" w:rsidRPr="004857BE">
        <w:rPr>
          <w:rFonts w:cs="Times New Roman"/>
          <w:szCs w:val="24"/>
        </w:rPr>
        <w:t>which greater likelihood then is to be followed. In this we should not consider so much which opinion [sententia] is more probable, but also which is safer.”</w:t>
      </w:r>
      <w:r w:rsidR="003747CA" w:rsidRPr="004857BE">
        <w:rPr>
          <w:rStyle w:val="FootnoteReference"/>
          <w:rFonts w:cs="Times New Roman"/>
          <w:szCs w:val="24"/>
        </w:rPr>
        <w:footnoteReference w:id="58"/>
      </w:r>
    </w:p>
    <w:p w:rsidR="00CE74A8" w:rsidRDefault="00225517" w:rsidP="00CE74A8">
      <w:pPr>
        <w:autoSpaceDE w:val="0"/>
        <w:autoSpaceDN w:val="0"/>
        <w:adjustRightInd w:val="0"/>
        <w:spacing w:line="360" w:lineRule="auto"/>
        <w:rPr>
          <w:rFonts w:cs="Times New Roman"/>
          <w:szCs w:val="24"/>
        </w:rPr>
      </w:pPr>
      <w:r w:rsidRPr="004857BE">
        <w:rPr>
          <w:rFonts w:cs="Times New Roman"/>
          <w:szCs w:val="24"/>
        </w:rPr>
        <w:tab/>
      </w:r>
      <w:r w:rsidR="004857BE" w:rsidRPr="004857BE">
        <w:rPr>
          <w:rFonts w:cs="Times New Roman"/>
          <w:szCs w:val="24"/>
        </w:rPr>
        <w:t>“There are Dogmas”, Leibniz pointed out, “that have been accepted in the Church for so many centuries, especially as regards the Trinity and the incarnation, that if they were false, they would be very dangerous, nor yet can they be evinced sufficiently from the holy books”.</w:t>
      </w:r>
      <w:r w:rsidR="004857BE" w:rsidRPr="004857BE">
        <w:rPr>
          <w:rStyle w:val="FootnoteReference"/>
          <w:rFonts w:cs="Times New Roman"/>
          <w:szCs w:val="24"/>
        </w:rPr>
        <w:footnoteReference w:id="59"/>
      </w:r>
      <w:r w:rsidR="004857BE" w:rsidRPr="004857BE">
        <w:rPr>
          <w:rFonts w:cs="Times New Roman"/>
          <w:szCs w:val="24"/>
        </w:rPr>
        <w:t xml:space="preserve"> </w:t>
      </w:r>
      <w:r w:rsidR="00216906" w:rsidRPr="004857BE">
        <w:rPr>
          <w:rFonts w:cs="Times New Roman"/>
          <w:szCs w:val="24"/>
        </w:rPr>
        <w:t>Contrary to the supporter</w:t>
      </w:r>
      <w:r w:rsidR="00404F73">
        <w:rPr>
          <w:rFonts w:cs="Times New Roman"/>
          <w:szCs w:val="24"/>
        </w:rPr>
        <w:t>s</w:t>
      </w:r>
      <w:r w:rsidR="00C952F0">
        <w:rPr>
          <w:rFonts w:cs="Times New Roman"/>
          <w:szCs w:val="24"/>
        </w:rPr>
        <w:t xml:space="preserve"> of the doctrine of </w:t>
      </w:r>
      <w:r w:rsidR="00216906" w:rsidRPr="004857BE">
        <w:rPr>
          <w:rFonts w:cs="Times New Roman"/>
          <w:szCs w:val="24"/>
        </w:rPr>
        <w:t>fundamental</w:t>
      </w:r>
      <w:r w:rsidR="00C952F0">
        <w:rPr>
          <w:rFonts w:cs="Times New Roman"/>
          <w:szCs w:val="24"/>
        </w:rPr>
        <w:t xml:space="preserve"> and non-fundamental</w:t>
      </w:r>
      <w:r w:rsidR="00216906" w:rsidRPr="004857BE">
        <w:rPr>
          <w:rFonts w:cs="Times New Roman"/>
          <w:szCs w:val="24"/>
        </w:rPr>
        <w:t xml:space="preserve"> </w:t>
      </w:r>
      <w:r w:rsidR="00216906" w:rsidRPr="004857BE">
        <w:rPr>
          <w:rFonts w:cs="Times New Roman"/>
          <w:szCs w:val="24"/>
        </w:rPr>
        <w:lastRenderedPageBreak/>
        <w:t xml:space="preserve">articles of faith briefly mentioned above, according to Leibniz, </w:t>
      </w:r>
      <w:r w:rsidR="0025787C">
        <w:rPr>
          <w:rFonts w:cs="Times New Roman"/>
          <w:szCs w:val="24"/>
        </w:rPr>
        <w:t xml:space="preserve">key </w:t>
      </w:r>
      <w:r w:rsidR="00216906" w:rsidRPr="004857BE">
        <w:rPr>
          <w:rFonts w:cs="Times New Roman"/>
          <w:szCs w:val="24"/>
        </w:rPr>
        <w:t xml:space="preserve">issues </w:t>
      </w:r>
      <w:r w:rsidR="0025787C">
        <w:rPr>
          <w:rFonts w:cs="Times New Roman"/>
          <w:szCs w:val="24"/>
        </w:rPr>
        <w:t xml:space="preserve">relating to the </w:t>
      </w:r>
      <w:r w:rsidR="00216906" w:rsidRPr="004857BE">
        <w:rPr>
          <w:rFonts w:cs="Times New Roman"/>
          <w:szCs w:val="24"/>
        </w:rPr>
        <w:t>nature of God or the attribution of divi</w:t>
      </w:r>
      <w:r w:rsidR="00DC0581">
        <w:rPr>
          <w:rFonts w:cs="Times New Roman"/>
          <w:szCs w:val="24"/>
        </w:rPr>
        <w:t>ne status</w:t>
      </w:r>
      <w:r w:rsidR="00216906" w:rsidRPr="004857BE">
        <w:rPr>
          <w:rFonts w:cs="Times New Roman"/>
          <w:szCs w:val="24"/>
        </w:rPr>
        <w:t xml:space="preserve"> </w:t>
      </w:r>
      <w:r w:rsidR="00CE74A8">
        <w:rPr>
          <w:rFonts w:cs="Times New Roman"/>
          <w:szCs w:val="24"/>
        </w:rPr>
        <w:t>could</w:t>
      </w:r>
      <w:r w:rsidR="00D53D12">
        <w:rPr>
          <w:rFonts w:cs="Times New Roman"/>
          <w:szCs w:val="24"/>
        </w:rPr>
        <w:t xml:space="preserve"> not</w:t>
      </w:r>
      <w:r w:rsidR="00CE74A8">
        <w:rPr>
          <w:rFonts w:cs="Times New Roman"/>
          <w:szCs w:val="24"/>
        </w:rPr>
        <w:t xml:space="preserve"> be regarded as secondary</w:t>
      </w:r>
      <w:r w:rsidR="00216906" w:rsidRPr="004857BE">
        <w:rPr>
          <w:rFonts w:cs="Times New Roman"/>
          <w:szCs w:val="24"/>
        </w:rPr>
        <w:t xml:space="preserve"> doctrinal points </w:t>
      </w:r>
      <w:r w:rsidR="00CE74A8">
        <w:rPr>
          <w:rFonts w:cs="Times New Roman"/>
          <w:szCs w:val="24"/>
        </w:rPr>
        <w:t>to be safely left</w:t>
      </w:r>
      <w:r w:rsidR="00216906" w:rsidRPr="004857BE">
        <w:rPr>
          <w:rFonts w:cs="Times New Roman"/>
          <w:szCs w:val="24"/>
        </w:rPr>
        <w:t xml:space="preserve"> as “</w:t>
      </w:r>
      <w:proofErr w:type="spellStart"/>
      <w:r w:rsidR="00216906" w:rsidRPr="004857BE">
        <w:rPr>
          <w:rFonts w:cs="Times New Roman"/>
          <w:szCs w:val="24"/>
        </w:rPr>
        <w:t>adiaphora</w:t>
      </w:r>
      <w:proofErr w:type="spellEnd"/>
      <w:r w:rsidR="00216906" w:rsidRPr="004857BE">
        <w:rPr>
          <w:rFonts w:cs="Times New Roman"/>
          <w:szCs w:val="24"/>
        </w:rPr>
        <w:t xml:space="preserve">” or indifferent matters because not contained </w:t>
      </w:r>
      <w:r w:rsidR="00216906" w:rsidRPr="00D53D12">
        <w:rPr>
          <w:rFonts w:cs="Times New Roman"/>
          <w:i/>
          <w:szCs w:val="24"/>
        </w:rPr>
        <w:t xml:space="preserve">in </w:t>
      </w:r>
      <w:proofErr w:type="spellStart"/>
      <w:r w:rsidR="00216906" w:rsidRPr="00D53D12">
        <w:rPr>
          <w:rFonts w:cs="Times New Roman"/>
          <w:i/>
          <w:szCs w:val="24"/>
        </w:rPr>
        <w:t>terminis</w:t>
      </w:r>
      <w:proofErr w:type="spellEnd"/>
      <w:r w:rsidR="00216906" w:rsidRPr="004857BE">
        <w:rPr>
          <w:rFonts w:cs="Times New Roman"/>
          <w:szCs w:val="24"/>
        </w:rPr>
        <w:t xml:space="preserve"> in Scripture</w:t>
      </w:r>
      <w:r w:rsidR="000A4850">
        <w:rPr>
          <w:rFonts w:cs="Times New Roman"/>
          <w:szCs w:val="24"/>
        </w:rPr>
        <w:t>.</w:t>
      </w:r>
      <w:r w:rsidR="00CE74A8">
        <w:rPr>
          <w:rFonts w:cs="Times New Roman"/>
          <w:szCs w:val="24"/>
        </w:rPr>
        <w:t xml:space="preserve"> </w:t>
      </w:r>
      <w:r w:rsidR="00D53D12">
        <w:rPr>
          <w:rFonts w:cs="Times New Roman"/>
          <w:szCs w:val="24"/>
        </w:rPr>
        <w:t>When</w:t>
      </w:r>
      <w:r w:rsidR="00CE74A8">
        <w:rPr>
          <w:rFonts w:cs="Times New Roman"/>
          <w:szCs w:val="24"/>
        </w:rPr>
        <w:t xml:space="preserve"> neither the text nor reason c</w:t>
      </w:r>
      <w:r w:rsidR="00DC0581">
        <w:rPr>
          <w:rFonts w:cs="Times New Roman"/>
          <w:szCs w:val="24"/>
        </w:rPr>
        <w:t>an</w:t>
      </w:r>
      <w:r w:rsidR="00CE74A8">
        <w:rPr>
          <w:rFonts w:cs="Times New Roman"/>
          <w:szCs w:val="24"/>
        </w:rPr>
        <w:t xml:space="preserve"> adjudicate these matters with sufficient certainty, one </w:t>
      </w:r>
      <w:r w:rsidR="00404F73">
        <w:rPr>
          <w:rFonts w:cs="Times New Roman"/>
          <w:szCs w:val="24"/>
        </w:rPr>
        <w:t>should do what is safer, namely</w:t>
      </w:r>
      <w:r w:rsidR="00CE74A8">
        <w:rPr>
          <w:rFonts w:cs="Times New Roman"/>
          <w:szCs w:val="24"/>
        </w:rPr>
        <w:t>,</w:t>
      </w:r>
      <w:r w:rsidR="00DC0581">
        <w:rPr>
          <w:rFonts w:cs="Times New Roman"/>
          <w:szCs w:val="24"/>
        </w:rPr>
        <w:t xml:space="preserve"> accept the </w:t>
      </w:r>
      <w:r w:rsidR="00D53D12">
        <w:rPr>
          <w:rFonts w:cs="Times New Roman"/>
          <w:szCs w:val="24"/>
        </w:rPr>
        <w:t xml:space="preserve">ecclesiastical </w:t>
      </w:r>
      <w:r w:rsidR="00CE74A8">
        <w:rPr>
          <w:rFonts w:cs="Times New Roman"/>
          <w:szCs w:val="24"/>
        </w:rPr>
        <w:t>tradition:</w:t>
      </w:r>
    </w:p>
    <w:p w:rsidR="00216906" w:rsidRPr="00D53D12" w:rsidRDefault="00216906" w:rsidP="0025787C">
      <w:pPr>
        <w:autoSpaceDE w:val="0"/>
        <w:autoSpaceDN w:val="0"/>
        <w:adjustRightInd w:val="0"/>
        <w:spacing w:line="360" w:lineRule="auto"/>
        <w:ind w:left="567"/>
        <w:rPr>
          <w:rFonts w:cs="Times New Roman"/>
          <w:szCs w:val="24"/>
        </w:rPr>
      </w:pPr>
    </w:p>
    <w:p w:rsidR="00B6547A" w:rsidRPr="0050273E" w:rsidRDefault="0025787C" w:rsidP="0050273E">
      <w:pPr>
        <w:autoSpaceDE w:val="0"/>
        <w:autoSpaceDN w:val="0"/>
        <w:adjustRightInd w:val="0"/>
        <w:spacing w:line="360" w:lineRule="auto"/>
        <w:ind w:left="567"/>
        <w:rPr>
          <w:rFonts w:cs="Times New Roman"/>
          <w:szCs w:val="24"/>
        </w:rPr>
      </w:pPr>
      <w:r w:rsidRPr="00D53D12">
        <w:rPr>
          <w:rFonts w:cs="Times New Roman"/>
          <w:szCs w:val="24"/>
        </w:rPr>
        <w:t xml:space="preserve">Anyhow, some think the Holy Trinity is a slight question, and whether the Christ we adore is an omnipotent and eternal GOD, or a mere man surrounded with the great glory of GOD, and yet the doubting of indifferent matters must be put forth also for this very controversy, where once it derived from the canon of the Church. Certainly it is most unsafe to waver and to play the sceptic in affairs of salvation, where every danger is to be held great for the very magnitude of the thing which we put in peril. Therefore, as far as I can see, one thing remains: after vain agitations of the soul, I think refuge should be sought in all matters in the haven of the Church, in which alone true tranquillity is to be had, when we are not safely indifferent, nor do we hope for security from a private examination after so many infelicitous examples in such difficulty of </w:t>
      </w:r>
      <w:r w:rsidRPr="0050273E">
        <w:rPr>
          <w:rFonts w:cs="Times New Roman"/>
          <w:szCs w:val="24"/>
        </w:rPr>
        <w:t>judging</w:t>
      </w:r>
      <w:r w:rsidR="00B6547A" w:rsidRPr="0050273E">
        <w:rPr>
          <w:rFonts w:cs="Times New Roman"/>
          <w:szCs w:val="24"/>
        </w:rPr>
        <w:t>.</w:t>
      </w:r>
      <w:r w:rsidRPr="0050273E">
        <w:rPr>
          <w:rFonts w:cs="Times New Roman"/>
          <w:szCs w:val="24"/>
        </w:rPr>
        <w:t xml:space="preserve"> </w:t>
      </w:r>
      <w:r w:rsidR="00573F32">
        <w:rPr>
          <w:rStyle w:val="FootnoteReference"/>
          <w:rFonts w:cs="Times New Roman"/>
          <w:szCs w:val="24"/>
        </w:rPr>
        <w:footnoteReference w:id="60"/>
      </w:r>
    </w:p>
    <w:p w:rsidR="00B6547A" w:rsidRPr="0050273E" w:rsidRDefault="00B6547A" w:rsidP="0050273E">
      <w:pPr>
        <w:autoSpaceDE w:val="0"/>
        <w:autoSpaceDN w:val="0"/>
        <w:adjustRightInd w:val="0"/>
        <w:spacing w:line="360" w:lineRule="auto"/>
        <w:rPr>
          <w:rFonts w:cs="Times New Roman"/>
          <w:szCs w:val="24"/>
        </w:rPr>
      </w:pPr>
    </w:p>
    <w:p w:rsidR="00D53D12" w:rsidRPr="0050273E" w:rsidRDefault="00404F73" w:rsidP="0050273E">
      <w:pPr>
        <w:autoSpaceDE w:val="0"/>
        <w:autoSpaceDN w:val="0"/>
        <w:adjustRightInd w:val="0"/>
        <w:spacing w:line="360" w:lineRule="auto"/>
        <w:rPr>
          <w:rFonts w:cs="Times New Roman"/>
          <w:szCs w:val="24"/>
        </w:rPr>
      </w:pPr>
      <w:r>
        <w:rPr>
          <w:rFonts w:cs="Times New Roman"/>
          <w:szCs w:val="24"/>
        </w:rPr>
        <w:t>Leibniz supported</w:t>
      </w:r>
      <w:r w:rsidR="0050273E">
        <w:rPr>
          <w:rFonts w:cs="Times New Roman"/>
          <w:szCs w:val="24"/>
        </w:rPr>
        <w:t xml:space="preserve"> this stand with</w:t>
      </w:r>
      <w:r>
        <w:rPr>
          <w:rFonts w:cs="Times New Roman"/>
          <w:szCs w:val="24"/>
        </w:rPr>
        <w:t xml:space="preserve"> further</w:t>
      </w:r>
      <w:r w:rsidR="0050273E">
        <w:rPr>
          <w:rFonts w:cs="Times New Roman"/>
          <w:szCs w:val="24"/>
        </w:rPr>
        <w:t xml:space="preserve"> considerations of a prudential flavour: </w:t>
      </w:r>
      <w:r w:rsidR="0050273E" w:rsidRPr="0050273E">
        <w:rPr>
          <w:rFonts w:cs="Times New Roman"/>
          <w:szCs w:val="24"/>
        </w:rPr>
        <w:t xml:space="preserve">divine providence would </w:t>
      </w:r>
      <w:r w:rsidR="0050273E">
        <w:rPr>
          <w:rFonts w:cs="Times New Roman"/>
          <w:szCs w:val="24"/>
        </w:rPr>
        <w:t xml:space="preserve">not </w:t>
      </w:r>
      <w:r w:rsidR="0050273E" w:rsidRPr="0050273E">
        <w:rPr>
          <w:rFonts w:cs="Times New Roman"/>
          <w:szCs w:val="24"/>
        </w:rPr>
        <w:t>permit the infiltration into the church of such errors as could compromise the salvation of those same human beings for whose redemption God</w:t>
      </w:r>
      <w:r w:rsidR="0050273E">
        <w:rPr>
          <w:rFonts w:cs="Times New Roman"/>
          <w:szCs w:val="24"/>
        </w:rPr>
        <w:t xml:space="preserve"> </w:t>
      </w:r>
      <w:r w:rsidR="0050273E" w:rsidRPr="0050273E">
        <w:rPr>
          <w:rFonts w:cs="Times New Roman"/>
          <w:szCs w:val="24"/>
        </w:rPr>
        <w:t>chose to suffer and die on the cross.</w:t>
      </w:r>
      <w:r w:rsidR="0050273E" w:rsidRPr="0050273E">
        <w:rPr>
          <w:rStyle w:val="FootnoteReference"/>
          <w:rFonts w:cs="Times New Roman"/>
          <w:szCs w:val="24"/>
        </w:rPr>
        <w:footnoteReference w:id="61"/>
      </w:r>
    </w:p>
    <w:p w:rsidR="00D53D12" w:rsidRDefault="00D53D12" w:rsidP="0050273E">
      <w:pPr>
        <w:autoSpaceDE w:val="0"/>
        <w:autoSpaceDN w:val="0"/>
        <w:adjustRightInd w:val="0"/>
        <w:spacing w:line="360" w:lineRule="auto"/>
        <w:rPr>
          <w:rFonts w:cs="Times New Roman"/>
          <w:szCs w:val="24"/>
        </w:rPr>
      </w:pPr>
    </w:p>
    <w:p w:rsidR="00081C09" w:rsidRPr="00DE01D7" w:rsidRDefault="00440E4D" w:rsidP="00DE01D7">
      <w:pPr>
        <w:autoSpaceDE w:val="0"/>
        <w:autoSpaceDN w:val="0"/>
        <w:adjustRightInd w:val="0"/>
        <w:spacing w:line="360" w:lineRule="auto"/>
        <w:jc w:val="center"/>
        <w:rPr>
          <w:rFonts w:cs="Times New Roman"/>
          <w:szCs w:val="24"/>
        </w:rPr>
      </w:pPr>
      <w:r w:rsidRPr="00DE01D7">
        <w:rPr>
          <w:rFonts w:cs="Times New Roman"/>
          <w:szCs w:val="24"/>
        </w:rPr>
        <w:t>Soteriolog</w:t>
      </w:r>
      <w:r w:rsidR="00081C09" w:rsidRPr="00DE01D7">
        <w:rPr>
          <w:rFonts w:cs="Times New Roman"/>
          <w:szCs w:val="24"/>
        </w:rPr>
        <w:t>y</w:t>
      </w:r>
    </w:p>
    <w:p w:rsidR="00081C09" w:rsidRDefault="00081C09" w:rsidP="004D46D2">
      <w:pPr>
        <w:autoSpaceDE w:val="0"/>
        <w:autoSpaceDN w:val="0"/>
        <w:adjustRightInd w:val="0"/>
        <w:spacing w:line="360" w:lineRule="auto"/>
        <w:rPr>
          <w:rFonts w:cs="Times New Roman"/>
          <w:szCs w:val="24"/>
          <w:u w:val="single"/>
        </w:rPr>
      </w:pPr>
    </w:p>
    <w:p w:rsidR="00432AFE" w:rsidRDefault="00081C09" w:rsidP="004D46D2">
      <w:pPr>
        <w:autoSpaceDE w:val="0"/>
        <w:autoSpaceDN w:val="0"/>
        <w:adjustRightInd w:val="0"/>
        <w:spacing w:line="360" w:lineRule="auto"/>
        <w:rPr>
          <w:rFonts w:cs="Times New Roman"/>
          <w:szCs w:val="24"/>
        </w:rPr>
      </w:pPr>
      <w:r w:rsidRPr="00081C09">
        <w:rPr>
          <w:rFonts w:cs="Times New Roman"/>
          <w:szCs w:val="24"/>
        </w:rPr>
        <w:t xml:space="preserve">In other words, </w:t>
      </w:r>
      <w:r w:rsidR="00111257" w:rsidRPr="00081C09">
        <w:rPr>
          <w:rFonts w:cs="Times New Roman"/>
          <w:szCs w:val="24"/>
        </w:rPr>
        <w:t>in cases</w:t>
      </w:r>
      <w:r w:rsidR="00111257" w:rsidRPr="00395EBF">
        <w:rPr>
          <w:rFonts w:cs="Times New Roman"/>
          <w:szCs w:val="24"/>
        </w:rPr>
        <w:t xml:space="preserve"> in which something of great importance is at stake, such as eternal salvation, </w:t>
      </w:r>
      <w:r w:rsidR="003747CA" w:rsidRPr="00395EBF">
        <w:rPr>
          <w:rFonts w:cs="Times New Roman"/>
          <w:szCs w:val="24"/>
        </w:rPr>
        <w:t xml:space="preserve">the </w:t>
      </w:r>
      <w:r w:rsidR="003747CA" w:rsidRPr="00395EBF">
        <w:rPr>
          <w:rFonts w:cs="Times New Roman"/>
          <w:i/>
          <w:szCs w:val="24"/>
        </w:rPr>
        <w:t>rational</w:t>
      </w:r>
      <w:r w:rsidR="003747CA" w:rsidRPr="00395EBF">
        <w:rPr>
          <w:rFonts w:cs="Times New Roman"/>
          <w:szCs w:val="24"/>
        </w:rPr>
        <w:t xml:space="preserve"> course of action is to</w:t>
      </w:r>
      <w:r w:rsidR="00111257" w:rsidRPr="00395EBF">
        <w:rPr>
          <w:rFonts w:cs="Times New Roman"/>
          <w:szCs w:val="24"/>
        </w:rPr>
        <w:t xml:space="preserve"> go with the safer rather than with the </w:t>
      </w:r>
      <w:r w:rsidR="003747CA" w:rsidRPr="00395EBF">
        <w:rPr>
          <w:rFonts w:cs="Times New Roman"/>
          <w:szCs w:val="24"/>
        </w:rPr>
        <w:t xml:space="preserve">(intrinsically) </w:t>
      </w:r>
      <w:r w:rsidR="00111257" w:rsidRPr="00395EBF">
        <w:rPr>
          <w:rFonts w:cs="Times New Roman"/>
          <w:szCs w:val="24"/>
        </w:rPr>
        <w:t xml:space="preserve">probable. </w:t>
      </w:r>
      <w:r w:rsidR="003747CA" w:rsidRPr="00395EBF">
        <w:rPr>
          <w:rFonts w:cs="Times New Roman"/>
          <w:szCs w:val="24"/>
        </w:rPr>
        <w:t xml:space="preserve">This view is perfectly in tune with Leibniz’s soteriology. </w:t>
      </w:r>
      <w:r>
        <w:rPr>
          <w:rFonts w:cs="Times New Roman"/>
          <w:szCs w:val="24"/>
        </w:rPr>
        <w:t xml:space="preserve">As we read </w:t>
      </w:r>
      <w:r>
        <w:rPr>
          <w:rFonts w:cs="Times New Roman"/>
          <w:szCs w:val="24"/>
        </w:rPr>
        <w:lastRenderedPageBreak/>
        <w:t xml:space="preserve">in the early </w:t>
      </w:r>
      <w:r>
        <w:rPr>
          <w:rFonts w:cs="Times New Roman"/>
          <w:i/>
          <w:szCs w:val="24"/>
        </w:rPr>
        <w:t>C</w:t>
      </w:r>
      <w:r w:rsidRPr="00440E4D">
        <w:rPr>
          <w:rFonts w:cs="Times New Roman"/>
          <w:i/>
          <w:szCs w:val="24"/>
        </w:rPr>
        <w:t>ommentatiuncula</w:t>
      </w:r>
      <w:r>
        <w:rPr>
          <w:rFonts w:cs="Times New Roman"/>
          <w:i/>
          <w:szCs w:val="24"/>
        </w:rPr>
        <w:t xml:space="preserve"> de Judice Controversiarum</w:t>
      </w:r>
      <w:r>
        <w:rPr>
          <w:rFonts w:cs="Times New Roman"/>
          <w:szCs w:val="24"/>
        </w:rPr>
        <w:t>,</w:t>
      </w:r>
      <w:r>
        <w:rPr>
          <w:rFonts w:cs="Times New Roman"/>
          <w:i/>
          <w:szCs w:val="24"/>
        </w:rPr>
        <w:t xml:space="preserve"> </w:t>
      </w:r>
      <w:r>
        <w:rPr>
          <w:rFonts w:cs="Times New Roman"/>
          <w:szCs w:val="24"/>
        </w:rPr>
        <w:t>for the aim of salvation, a confuse</w:t>
      </w:r>
      <w:r w:rsidR="00DE01D7">
        <w:rPr>
          <w:rFonts w:cs="Times New Roman"/>
          <w:szCs w:val="24"/>
        </w:rPr>
        <w:t>d</w:t>
      </w:r>
      <w:r>
        <w:rPr>
          <w:rFonts w:cs="Times New Roman"/>
          <w:szCs w:val="24"/>
        </w:rPr>
        <w:t xml:space="preserve"> and disjunctive understanding of the meaning of believed doctrines suffices. </w:t>
      </w:r>
      <w:r w:rsidR="00EB4EA7">
        <w:rPr>
          <w:rFonts w:cs="Times New Roman"/>
          <w:szCs w:val="24"/>
        </w:rPr>
        <w:t xml:space="preserve">Moreover, </w:t>
      </w:r>
      <w:r>
        <w:rPr>
          <w:rFonts w:cs="Times New Roman"/>
          <w:szCs w:val="24"/>
        </w:rPr>
        <w:t xml:space="preserve">even if one were to believe objectively erroneous doctrines, salvation </w:t>
      </w:r>
      <w:r w:rsidR="00492672" w:rsidRPr="00395EBF">
        <w:rPr>
          <w:rFonts w:cs="Times New Roman"/>
          <w:szCs w:val="24"/>
        </w:rPr>
        <w:t xml:space="preserve">does not </w:t>
      </w:r>
      <w:r w:rsidR="00404F73">
        <w:rPr>
          <w:rFonts w:cs="Times New Roman"/>
          <w:szCs w:val="24"/>
        </w:rPr>
        <w:t xml:space="preserve">ultimately </w:t>
      </w:r>
      <w:r w:rsidR="00492672" w:rsidRPr="00395EBF">
        <w:rPr>
          <w:rFonts w:cs="Times New Roman"/>
          <w:szCs w:val="24"/>
        </w:rPr>
        <w:t>depend on believing what is objectively true but on a practical attitude</w:t>
      </w:r>
      <w:r w:rsidR="00492672">
        <w:rPr>
          <w:rFonts w:cs="Times New Roman"/>
          <w:szCs w:val="24"/>
        </w:rPr>
        <w:t>:</w:t>
      </w:r>
      <w:r>
        <w:rPr>
          <w:rFonts w:cs="Times New Roman"/>
          <w:szCs w:val="24"/>
        </w:rPr>
        <w:t xml:space="preserve"> the sincere love of God</w:t>
      </w:r>
      <w:r w:rsidR="00EB4EA7">
        <w:rPr>
          <w:rFonts w:cs="Times New Roman"/>
          <w:szCs w:val="24"/>
        </w:rPr>
        <w:t xml:space="preserve"> above all things</w:t>
      </w:r>
      <w:r w:rsidR="00432AFE">
        <w:rPr>
          <w:rFonts w:cs="Times New Roman"/>
          <w:szCs w:val="24"/>
        </w:rPr>
        <w:t>.</w:t>
      </w:r>
    </w:p>
    <w:p w:rsidR="00AF0090" w:rsidRDefault="003747CA" w:rsidP="004D46D2">
      <w:pPr>
        <w:autoSpaceDE w:val="0"/>
        <w:autoSpaceDN w:val="0"/>
        <w:adjustRightInd w:val="0"/>
        <w:spacing w:line="360" w:lineRule="auto"/>
        <w:ind w:firstLine="720"/>
        <w:rPr>
          <w:rFonts w:cs="Times New Roman"/>
          <w:szCs w:val="24"/>
        </w:rPr>
      </w:pPr>
      <w:r w:rsidRPr="00395EBF">
        <w:rPr>
          <w:rFonts w:cs="Times New Roman"/>
          <w:szCs w:val="24"/>
        </w:rPr>
        <w:t xml:space="preserve">Leibniz was </w:t>
      </w:r>
      <w:r w:rsidR="00EB4EA7">
        <w:rPr>
          <w:rFonts w:cs="Times New Roman"/>
          <w:szCs w:val="24"/>
        </w:rPr>
        <w:t xml:space="preserve">in fact </w:t>
      </w:r>
      <w:r w:rsidRPr="00395EBF">
        <w:rPr>
          <w:rFonts w:cs="Times New Roman"/>
          <w:szCs w:val="24"/>
        </w:rPr>
        <w:t>deeply committed to a ‘theology of love’ in which “</w:t>
      </w:r>
      <w:r w:rsidR="00BD7FD9" w:rsidRPr="00395EBF">
        <w:rPr>
          <w:rFonts w:cs="Times New Roman"/>
          <w:szCs w:val="24"/>
        </w:rPr>
        <w:t>the love of God above a</w:t>
      </w:r>
      <w:r w:rsidR="00BD7FD9">
        <w:rPr>
          <w:rFonts w:cs="Times New Roman"/>
          <w:szCs w:val="24"/>
        </w:rPr>
        <w:t>ll things</w:t>
      </w:r>
      <w:r w:rsidR="00BD7FD9" w:rsidRPr="00395EBF">
        <w:rPr>
          <w:rFonts w:cs="Times New Roman"/>
          <w:szCs w:val="24"/>
        </w:rPr>
        <w:t xml:space="preserve"> </w:t>
      </w:r>
      <w:r w:rsidR="00BD7FD9">
        <w:rPr>
          <w:rFonts w:cs="Times New Roman"/>
          <w:szCs w:val="24"/>
        </w:rPr>
        <w:t xml:space="preserve">… is … </w:t>
      </w:r>
      <w:r w:rsidRPr="00395EBF">
        <w:rPr>
          <w:rFonts w:cs="Times New Roman"/>
          <w:szCs w:val="24"/>
        </w:rPr>
        <w:t>t</w:t>
      </w:r>
      <w:r w:rsidR="00BD7FD9">
        <w:rPr>
          <w:rFonts w:cs="Times New Roman"/>
          <w:szCs w:val="24"/>
        </w:rPr>
        <w:t>he principle of true religion</w:t>
      </w:r>
      <w:r w:rsidR="00020F28">
        <w:rPr>
          <w:rFonts w:cs="Times New Roman"/>
          <w:szCs w:val="24"/>
        </w:rPr>
        <w:t>”</w:t>
      </w:r>
      <w:r w:rsidRPr="00395EBF">
        <w:rPr>
          <w:rFonts w:cs="Times New Roman"/>
          <w:szCs w:val="24"/>
        </w:rPr>
        <w:t>.</w:t>
      </w:r>
      <w:r w:rsidR="00BD7FD9">
        <w:rPr>
          <w:rStyle w:val="FootnoteReference"/>
          <w:rFonts w:cs="Times New Roman"/>
          <w:szCs w:val="24"/>
        </w:rPr>
        <w:footnoteReference w:id="62"/>
      </w:r>
      <w:r w:rsidR="008F78B9">
        <w:rPr>
          <w:rFonts w:cs="Times New Roman"/>
          <w:szCs w:val="24"/>
        </w:rPr>
        <w:t xml:space="preserve"> </w:t>
      </w:r>
      <w:r w:rsidR="00904FA1" w:rsidRPr="00395EBF">
        <w:rPr>
          <w:rFonts w:cs="Times New Roman"/>
          <w:szCs w:val="24"/>
        </w:rPr>
        <w:t>Once again, this is a theology which is ultimately practical.</w:t>
      </w:r>
      <w:r w:rsidR="00432AFE">
        <w:rPr>
          <w:rFonts w:cs="Times New Roman"/>
          <w:szCs w:val="24"/>
        </w:rPr>
        <w:t xml:space="preserve"> </w:t>
      </w:r>
      <w:r w:rsidR="00A62F69">
        <w:rPr>
          <w:rFonts w:cs="Times New Roman"/>
          <w:szCs w:val="24"/>
        </w:rPr>
        <w:t>According to Leibniz, it would be against God’s justice and love to condemn people who</w:t>
      </w:r>
      <w:r w:rsidR="00DB1C94">
        <w:rPr>
          <w:rFonts w:cs="Times New Roman"/>
          <w:szCs w:val="24"/>
        </w:rPr>
        <w:t xml:space="preserve"> sincerely</w:t>
      </w:r>
      <w:r w:rsidR="00DB1C94" w:rsidRPr="00DB1C94">
        <w:rPr>
          <w:rFonts w:cs="Times New Roman"/>
          <w:szCs w:val="24"/>
        </w:rPr>
        <w:t xml:space="preserve"> </w:t>
      </w:r>
      <w:r w:rsidR="00DB1C94">
        <w:rPr>
          <w:rFonts w:cs="Times New Roman"/>
          <w:szCs w:val="24"/>
        </w:rPr>
        <w:t>search for the truth and strive toward a morally good life even if objectively in error.</w:t>
      </w:r>
      <w:r w:rsidR="00A06D6A">
        <w:rPr>
          <w:rStyle w:val="FootnoteReference"/>
          <w:rFonts w:cs="Times New Roman"/>
          <w:szCs w:val="24"/>
        </w:rPr>
        <w:footnoteReference w:id="63"/>
      </w:r>
      <w:r w:rsidR="00C83C3C">
        <w:rPr>
          <w:rFonts w:cs="Times New Roman"/>
          <w:szCs w:val="24"/>
        </w:rPr>
        <w:t xml:space="preserve"> As he remarked</w:t>
      </w:r>
      <w:r w:rsidR="00DB1C94">
        <w:rPr>
          <w:rFonts w:cs="Times New Roman"/>
          <w:szCs w:val="24"/>
        </w:rPr>
        <w:t xml:space="preserve"> in 1690: </w:t>
      </w:r>
    </w:p>
    <w:p w:rsidR="00A06D6A" w:rsidRDefault="00A06D6A" w:rsidP="004D46D2">
      <w:pPr>
        <w:autoSpaceDE w:val="0"/>
        <w:autoSpaceDN w:val="0"/>
        <w:adjustRightInd w:val="0"/>
        <w:spacing w:line="360" w:lineRule="auto"/>
        <w:ind w:firstLine="720"/>
        <w:rPr>
          <w:rFonts w:cs="Times New Roman"/>
          <w:szCs w:val="24"/>
        </w:rPr>
      </w:pPr>
    </w:p>
    <w:p w:rsidR="00DB1C94" w:rsidRDefault="00DB1C94" w:rsidP="004D46D2">
      <w:pPr>
        <w:autoSpaceDE w:val="0"/>
        <w:autoSpaceDN w:val="0"/>
        <w:adjustRightInd w:val="0"/>
        <w:spacing w:line="360" w:lineRule="auto"/>
        <w:ind w:left="567"/>
        <w:rPr>
          <w:rFonts w:cs="Times New Roman"/>
          <w:szCs w:val="24"/>
        </w:rPr>
      </w:pPr>
      <w:r>
        <w:rPr>
          <w:szCs w:val="24"/>
        </w:rPr>
        <w:t xml:space="preserve">Mr </w:t>
      </w:r>
      <w:proofErr w:type="spellStart"/>
      <w:r>
        <w:rPr>
          <w:szCs w:val="24"/>
        </w:rPr>
        <w:t>Arnauld</w:t>
      </w:r>
      <w:proofErr w:type="spellEnd"/>
      <w:r w:rsidRPr="000F3242">
        <w:rPr>
          <w:szCs w:val="24"/>
        </w:rPr>
        <w:t xml:space="preserve"> … finds it strange that so many millions of pagans have not been condemned; I would find it much stranger if they had been: I don’t know why we are so inclined to believe that people are damned or sunk in eternal miseries, even if they could not help it; but this leads to thoughts hardly compatible with the goodness and justice of God … I don’t believe that the opinion of the eternal damnation of so many virtually innocent people is so edifying and so useful in preventing sin as is imagined. It leads to thoughts hardly compatible with the love of God.</w:t>
      </w:r>
      <w:r>
        <w:rPr>
          <w:rStyle w:val="FootnoteReference"/>
          <w:szCs w:val="24"/>
        </w:rPr>
        <w:footnoteReference w:id="64"/>
      </w:r>
    </w:p>
    <w:p w:rsidR="00DB1C94" w:rsidRDefault="00DB1C94" w:rsidP="004D46D2">
      <w:pPr>
        <w:autoSpaceDE w:val="0"/>
        <w:autoSpaceDN w:val="0"/>
        <w:adjustRightInd w:val="0"/>
        <w:spacing w:line="360" w:lineRule="auto"/>
        <w:ind w:firstLine="720"/>
        <w:rPr>
          <w:rFonts w:cs="Times New Roman"/>
          <w:szCs w:val="24"/>
        </w:rPr>
      </w:pPr>
    </w:p>
    <w:p w:rsidR="00A06D6A" w:rsidRPr="00E74027" w:rsidRDefault="00A06D6A" w:rsidP="004D46D2">
      <w:pPr>
        <w:pStyle w:val="BodyText"/>
        <w:spacing w:after="0" w:line="360" w:lineRule="auto"/>
        <w:rPr>
          <w:sz w:val="24"/>
          <w:szCs w:val="24"/>
        </w:rPr>
      </w:pPr>
      <w:r w:rsidRPr="00E74027">
        <w:rPr>
          <w:sz w:val="24"/>
          <w:szCs w:val="24"/>
        </w:rPr>
        <w:t>From</w:t>
      </w:r>
      <w:r w:rsidR="00C83C3C">
        <w:rPr>
          <w:sz w:val="24"/>
          <w:szCs w:val="24"/>
        </w:rPr>
        <w:t xml:space="preserve"> very early on Leibniz maintained</w:t>
      </w:r>
      <w:r w:rsidRPr="00E74027">
        <w:rPr>
          <w:sz w:val="24"/>
          <w:szCs w:val="24"/>
        </w:rPr>
        <w:t>, in fact, that to be in error (that is, to believe som</w:t>
      </w:r>
      <w:r>
        <w:rPr>
          <w:sz w:val="24"/>
          <w:szCs w:val="24"/>
        </w:rPr>
        <w:t xml:space="preserve">ething false) is to be sharply distinguished from </w:t>
      </w:r>
      <w:r w:rsidRPr="00643407">
        <w:rPr>
          <w:sz w:val="24"/>
          <w:szCs w:val="24"/>
        </w:rPr>
        <w:t>acting</w:t>
      </w:r>
      <w:r w:rsidRPr="00E74027">
        <w:rPr>
          <w:sz w:val="24"/>
          <w:szCs w:val="24"/>
        </w:rPr>
        <w:t xml:space="preserve"> against conscience</w:t>
      </w:r>
      <w:r>
        <w:rPr>
          <w:sz w:val="24"/>
          <w:szCs w:val="24"/>
        </w:rPr>
        <w:t>. S</w:t>
      </w:r>
      <w:r w:rsidR="005E2131" w:rsidRPr="00E74027">
        <w:rPr>
          <w:sz w:val="24"/>
          <w:szCs w:val="24"/>
        </w:rPr>
        <w:t>ince</w:t>
      </w:r>
      <w:r w:rsidR="00643407">
        <w:rPr>
          <w:sz w:val="24"/>
          <w:szCs w:val="24"/>
        </w:rPr>
        <w:t xml:space="preserve"> </w:t>
      </w:r>
      <w:r w:rsidR="005E2131">
        <w:rPr>
          <w:sz w:val="24"/>
          <w:szCs w:val="24"/>
        </w:rPr>
        <w:t>“</w:t>
      </w:r>
      <w:r w:rsidR="005E2131">
        <w:rPr>
          <w:i/>
          <w:sz w:val="24"/>
          <w:szCs w:val="24"/>
        </w:rPr>
        <w:t>t</w:t>
      </w:r>
      <w:r w:rsidR="005E2131" w:rsidRPr="00E74027">
        <w:rPr>
          <w:i/>
          <w:iCs/>
          <w:sz w:val="24"/>
          <w:szCs w:val="24"/>
        </w:rPr>
        <w:t xml:space="preserve">he penalty </w:t>
      </w:r>
      <w:r w:rsidR="005E2131" w:rsidRPr="003C6B91">
        <w:rPr>
          <w:i/>
          <w:iCs/>
          <w:sz w:val="24"/>
          <w:szCs w:val="24"/>
        </w:rPr>
        <w:t>for one who is mistaken</w:t>
      </w:r>
      <w:r w:rsidR="005E2131" w:rsidRPr="00E74027">
        <w:rPr>
          <w:i/>
          <w:iCs/>
          <w:sz w:val="24"/>
          <w:szCs w:val="24"/>
        </w:rPr>
        <w:t xml:space="preserve"> is to be taught</w:t>
      </w:r>
      <w:r w:rsidR="005E2131">
        <w:rPr>
          <w:iCs/>
          <w:sz w:val="24"/>
          <w:szCs w:val="24"/>
        </w:rPr>
        <w:t>” and</w:t>
      </w:r>
      <w:r w:rsidR="005E2131" w:rsidRPr="00E74027">
        <w:rPr>
          <w:sz w:val="24"/>
          <w:szCs w:val="24"/>
        </w:rPr>
        <w:t xml:space="preserve"> </w:t>
      </w:r>
      <w:r w:rsidR="005E2131">
        <w:rPr>
          <w:sz w:val="24"/>
          <w:szCs w:val="24"/>
        </w:rPr>
        <w:t>“</w:t>
      </w:r>
      <w:r w:rsidR="005E2131" w:rsidRPr="00E74027">
        <w:rPr>
          <w:sz w:val="24"/>
          <w:szCs w:val="24"/>
        </w:rPr>
        <w:t xml:space="preserve">it is only the bad </w:t>
      </w:r>
      <w:proofErr w:type="gramStart"/>
      <w:r w:rsidR="005E2131">
        <w:rPr>
          <w:sz w:val="24"/>
          <w:szCs w:val="24"/>
        </w:rPr>
        <w:t>will,</w:t>
      </w:r>
      <w:proofErr w:type="gramEnd"/>
      <w:r w:rsidR="005E2131">
        <w:rPr>
          <w:sz w:val="24"/>
          <w:szCs w:val="24"/>
        </w:rPr>
        <w:t xml:space="preserve"> and not the error </w:t>
      </w:r>
      <w:r w:rsidR="005E2131">
        <w:rPr>
          <w:sz w:val="24"/>
          <w:szCs w:val="24"/>
        </w:rPr>
        <w:lastRenderedPageBreak/>
        <w:t xml:space="preserve">… </w:t>
      </w:r>
      <w:r w:rsidR="005E2131" w:rsidRPr="00E74027">
        <w:rPr>
          <w:sz w:val="24"/>
          <w:szCs w:val="24"/>
        </w:rPr>
        <w:t>that can be punished</w:t>
      </w:r>
      <w:r w:rsidR="005E2131">
        <w:rPr>
          <w:sz w:val="24"/>
          <w:szCs w:val="24"/>
        </w:rPr>
        <w:t>”,</w:t>
      </w:r>
      <w:r w:rsidR="005E2131">
        <w:rPr>
          <w:rStyle w:val="FootnoteReference"/>
          <w:sz w:val="24"/>
          <w:szCs w:val="24"/>
        </w:rPr>
        <w:footnoteReference w:id="65"/>
      </w:r>
      <w:r w:rsidR="005E2131">
        <w:rPr>
          <w:sz w:val="24"/>
          <w:szCs w:val="24"/>
        </w:rPr>
        <w:t xml:space="preserve"> </w:t>
      </w:r>
      <w:r w:rsidR="00643407">
        <w:rPr>
          <w:sz w:val="24"/>
          <w:szCs w:val="24"/>
        </w:rPr>
        <w:t xml:space="preserve">to be in error </w:t>
      </w:r>
      <w:r w:rsidR="005E2131">
        <w:rPr>
          <w:sz w:val="24"/>
          <w:szCs w:val="24"/>
        </w:rPr>
        <w:t xml:space="preserve">cannot </w:t>
      </w:r>
      <w:r w:rsidRPr="00E74027">
        <w:rPr>
          <w:sz w:val="24"/>
          <w:szCs w:val="24"/>
        </w:rPr>
        <w:t xml:space="preserve">be taken as a ground of condemnation. </w:t>
      </w:r>
      <w:r w:rsidR="00643407">
        <w:rPr>
          <w:sz w:val="24"/>
          <w:szCs w:val="24"/>
        </w:rPr>
        <w:t xml:space="preserve">It is only </w:t>
      </w:r>
      <w:r w:rsidR="00FB00AC">
        <w:rPr>
          <w:sz w:val="24"/>
          <w:szCs w:val="24"/>
        </w:rPr>
        <w:t>acting against conscience which should be punished.</w:t>
      </w:r>
      <w:r w:rsidR="00FB00AC">
        <w:rPr>
          <w:rStyle w:val="FootnoteReference"/>
          <w:sz w:val="24"/>
          <w:szCs w:val="24"/>
        </w:rPr>
        <w:footnoteReference w:id="66"/>
      </w:r>
      <w:r w:rsidR="00FB00AC">
        <w:rPr>
          <w:sz w:val="24"/>
          <w:szCs w:val="24"/>
        </w:rPr>
        <w:t xml:space="preserve"> </w:t>
      </w:r>
      <w:r w:rsidRPr="00E74027">
        <w:rPr>
          <w:sz w:val="24"/>
          <w:szCs w:val="24"/>
        </w:rPr>
        <w:t>In a letter responding to his strictly Lutheran half-brother, the twen</w:t>
      </w:r>
      <w:r w:rsidR="00195082">
        <w:rPr>
          <w:sz w:val="24"/>
          <w:szCs w:val="24"/>
        </w:rPr>
        <w:t>ty-three year old Leibniz wrote</w:t>
      </w:r>
      <w:r w:rsidRPr="00E74027">
        <w:rPr>
          <w:sz w:val="24"/>
          <w:szCs w:val="24"/>
        </w:rPr>
        <w:t>:</w:t>
      </w:r>
    </w:p>
    <w:p w:rsidR="00A06D6A" w:rsidRPr="00E74027" w:rsidRDefault="00A06D6A" w:rsidP="004D46D2">
      <w:pPr>
        <w:spacing w:line="360" w:lineRule="auto"/>
        <w:ind w:firstLine="720"/>
        <w:rPr>
          <w:szCs w:val="24"/>
        </w:rPr>
      </w:pPr>
    </w:p>
    <w:p w:rsidR="00A06D6A" w:rsidRPr="00446DDB" w:rsidRDefault="00A06D6A" w:rsidP="004D46D2">
      <w:pPr>
        <w:spacing w:line="360" w:lineRule="auto"/>
        <w:ind w:left="567"/>
        <w:rPr>
          <w:szCs w:val="24"/>
        </w:rPr>
      </w:pPr>
      <w:r w:rsidRPr="00446DDB">
        <w:rPr>
          <w:szCs w:val="24"/>
        </w:rPr>
        <w:t>To err against conscience [</w:t>
      </w:r>
      <w:proofErr w:type="spellStart"/>
      <w:r w:rsidRPr="00446DDB">
        <w:rPr>
          <w:szCs w:val="24"/>
        </w:rPr>
        <w:t>Errare</w:t>
      </w:r>
      <w:proofErr w:type="spellEnd"/>
      <w:r w:rsidRPr="00446DDB">
        <w:rPr>
          <w:szCs w:val="24"/>
        </w:rPr>
        <w:t xml:space="preserve"> contra </w:t>
      </w:r>
      <w:proofErr w:type="spellStart"/>
      <w:r w:rsidRPr="00446DDB">
        <w:rPr>
          <w:szCs w:val="24"/>
        </w:rPr>
        <w:t>conscientiam</w:t>
      </w:r>
      <w:proofErr w:type="spellEnd"/>
      <w:r w:rsidRPr="00446DDB">
        <w:rPr>
          <w:szCs w:val="24"/>
        </w:rPr>
        <w:t>] implies contradiction. In fact, from the beginning of the world, nobody has erred against conscience. Someone errs who believes as true that which is false [</w:t>
      </w:r>
      <w:proofErr w:type="spellStart"/>
      <w:r w:rsidRPr="00446DDB">
        <w:rPr>
          <w:szCs w:val="24"/>
        </w:rPr>
        <w:t>Errat</w:t>
      </w:r>
      <w:proofErr w:type="spellEnd"/>
      <w:r w:rsidRPr="00446DDB">
        <w:rPr>
          <w:szCs w:val="24"/>
        </w:rPr>
        <w:t xml:space="preserve"> qui </w:t>
      </w:r>
      <w:proofErr w:type="spellStart"/>
      <w:r w:rsidRPr="00446DDB">
        <w:rPr>
          <w:szCs w:val="24"/>
        </w:rPr>
        <w:t>putat</w:t>
      </w:r>
      <w:proofErr w:type="spellEnd"/>
      <w:r w:rsidRPr="00446DDB">
        <w:rPr>
          <w:szCs w:val="24"/>
        </w:rPr>
        <w:t xml:space="preserve"> </w:t>
      </w:r>
      <w:proofErr w:type="spellStart"/>
      <w:r w:rsidRPr="00446DDB">
        <w:rPr>
          <w:szCs w:val="24"/>
        </w:rPr>
        <w:t>verum</w:t>
      </w:r>
      <w:proofErr w:type="spellEnd"/>
      <w:r w:rsidRPr="00446DDB">
        <w:rPr>
          <w:szCs w:val="24"/>
        </w:rPr>
        <w:t xml:space="preserve"> </w:t>
      </w:r>
      <w:proofErr w:type="spellStart"/>
      <w:r w:rsidRPr="00446DDB">
        <w:rPr>
          <w:szCs w:val="24"/>
        </w:rPr>
        <w:t>esse</w:t>
      </w:r>
      <w:proofErr w:type="spellEnd"/>
      <w:r w:rsidRPr="00446DDB">
        <w:rPr>
          <w:szCs w:val="24"/>
        </w:rPr>
        <w:t xml:space="preserve"> quod </w:t>
      </w:r>
      <w:proofErr w:type="spellStart"/>
      <w:r w:rsidRPr="00446DDB">
        <w:rPr>
          <w:szCs w:val="24"/>
        </w:rPr>
        <w:t>falsum</w:t>
      </w:r>
      <w:proofErr w:type="spellEnd"/>
      <w:r w:rsidRPr="00446DDB">
        <w:rPr>
          <w:szCs w:val="24"/>
        </w:rPr>
        <w:t xml:space="preserve"> </w:t>
      </w:r>
      <w:proofErr w:type="spellStart"/>
      <w:proofErr w:type="gramStart"/>
      <w:r w:rsidRPr="00446DDB">
        <w:rPr>
          <w:szCs w:val="24"/>
        </w:rPr>
        <w:t>est</w:t>
      </w:r>
      <w:proofErr w:type="spellEnd"/>
      <w:proofErr w:type="gramEnd"/>
      <w:r w:rsidRPr="00446DDB">
        <w:rPr>
          <w:szCs w:val="24"/>
        </w:rPr>
        <w:t xml:space="preserve">]. Whoever believes, this person is not otherwise convinced; whoever is not otherwise convinced, does not know better; who does not know better, does not feel against conscience. Or, in short, the contradiction could be shown as follows: to err against conscience is to err knowing the very thing in which one is in error. To err knowing the very thing in which one is in error is to err in the very thing in which one is not in error. In fact, who knows, to the extent in which he knows, does not </w:t>
      </w:r>
      <w:proofErr w:type="gramStart"/>
      <w:r w:rsidRPr="00446DDB">
        <w:rPr>
          <w:szCs w:val="24"/>
        </w:rPr>
        <w:t>err.</w:t>
      </w:r>
      <w:proofErr w:type="gramEnd"/>
      <w:r w:rsidRPr="00446DDB">
        <w:rPr>
          <w:szCs w:val="24"/>
        </w:rPr>
        <w:t xml:space="preserve"> Therefore, if someone errs against conscience, two contradictory things – to err and not to err – belong to him in the same respect, which is absurd. We can act against conscience but we cannot believe [</w:t>
      </w:r>
      <w:proofErr w:type="spellStart"/>
      <w:r w:rsidRPr="00446DDB">
        <w:rPr>
          <w:szCs w:val="24"/>
        </w:rPr>
        <w:t>sentire</w:t>
      </w:r>
      <w:proofErr w:type="spellEnd"/>
      <w:r w:rsidRPr="00446DDB">
        <w:rPr>
          <w:szCs w:val="24"/>
        </w:rPr>
        <w:t xml:space="preserve"> non </w:t>
      </w:r>
      <w:proofErr w:type="spellStart"/>
      <w:r w:rsidRPr="00446DDB">
        <w:rPr>
          <w:szCs w:val="24"/>
        </w:rPr>
        <w:t>possumu</w:t>
      </w:r>
      <w:r>
        <w:rPr>
          <w:szCs w:val="24"/>
        </w:rPr>
        <w:t>s</w:t>
      </w:r>
      <w:proofErr w:type="spellEnd"/>
      <w:r>
        <w:rPr>
          <w:szCs w:val="24"/>
        </w:rPr>
        <w:t>] against conscience. So</w:t>
      </w:r>
      <w:r w:rsidRPr="00446DDB">
        <w:rPr>
          <w:szCs w:val="24"/>
        </w:rPr>
        <w:t xml:space="preserve"> you see that, if only those who err against conscience are to be damned, nobody is to be damned for his error.</w:t>
      </w:r>
      <w:r w:rsidR="00195082">
        <w:rPr>
          <w:rStyle w:val="FootnoteReference"/>
          <w:szCs w:val="24"/>
        </w:rPr>
        <w:footnoteReference w:id="67"/>
      </w:r>
      <w:r w:rsidR="00195082">
        <w:rPr>
          <w:szCs w:val="24"/>
        </w:rPr>
        <w:t xml:space="preserve"> </w:t>
      </w:r>
    </w:p>
    <w:p w:rsidR="00A06D6A" w:rsidRPr="00E74027" w:rsidRDefault="00A06D6A" w:rsidP="004D46D2">
      <w:pPr>
        <w:spacing w:line="360" w:lineRule="auto"/>
        <w:ind w:firstLine="720"/>
        <w:rPr>
          <w:szCs w:val="24"/>
        </w:rPr>
      </w:pPr>
    </w:p>
    <w:p w:rsidR="00B26EE0" w:rsidRDefault="00B26EE0" w:rsidP="004D46D2">
      <w:pPr>
        <w:spacing w:line="360" w:lineRule="auto"/>
        <w:rPr>
          <w:szCs w:val="24"/>
        </w:rPr>
      </w:pPr>
      <w:r>
        <w:rPr>
          <w:szCs w:val="24"/>
        </w:rPr>
        <w:t>“Nor,” Leibniz clarified</w:t>
      </w:r>
      <w:r w:rsidR="00A06D6A" w:rsidRPr="00E74027">
        <w:rPr>
          <w:szCs w:val="24"/>
        </w:rPr>
        <w:t xml:space="preserve"> in the </w:t>
      </w:r>
      <w:r w:rsidR="0099232D">
        <w:rPr>
          <w:i/>
          <w:iCs/>
          <w:szCs w:val="24"/>
        </w:rPr>
        <w:t xml:space="preserve">Nouveaux </w:t>
      </w:r>
      <w:proofErr w:type="spellStart"/>
      <w:r w:rsidR="0099232D">
        <w:rPr>
          <w:i/>
          <w:iCs/>
          <w:szCs w:val="24"/>
        </w:rPr>
        <w:t>E</w:t>
      </w:r>
      <w:r w:rsidR="00A06D6A" w:rsidRPr="00E74027">
        <w:rPr>
          <w:i/>
          <w:iCs/>
          <w:szCs w:val="24"/>
        </w:rPr>
        <w:t>ssais</w:t>
      </w:r>
      <w:proofErr w:type="spellEnd"/>
      <w:r>
        <w:rPr>
          <w:szCs w:val="24"/>
        </w:rPr>
        <w:t xml:space="preserve">, </w:t>
      </w:r>
    </w:p>
    <w:p w:rsidR="00B26EE0" w:rsidRDefault="00B26EE0" w:rsidP="004D46D2">
      <w:pPr>
        <w:spacing w:line="360" w:lineRule="auto"/>
        <w:rPr>
          <w:szCs w:val="24"/>
        </w:rPr>
      </w:pPr>
    </w:p>
    <w:p w:rsidR="00A06D6A" w:rsidRDefault="00A06D6A" w:rsidP="004D46D2">
      <w:pPr>
        <w:spacing w:line="360" w:lineRule="auto"/>
        <w:ind w:left="567"/>
        <w:rPr>
          <w:szCs w:val="24"/>
        </w:rPr>
      </w:pPr>
      <w:r w:rsidRPr="00E74027">
        <w:rPr>
          <w:szCs w:val="24"/>
        </w:rPr>
        <w:lastRenderedPageBreak/>
        <w:t xml:space="preserve">are those who accord salvation to pagans, or to others who lack the ordinary aids, thereby obliged to rely for this on natural processes alone … One can, after all, maintain that, when God gives them grace sufficient to call forth an act of contrition, he also gives them before their death, even if only in the final moments, all the light of faith and all the fervour of love which they need for salvation; this being given to them either explicitly or </w:t>
      </w:r>
      <w:proofErr w:type="spellStart"/>
      <w:r w:rsidRPr="00E74027">
        <w:rPr>
          <w:szCs w:val="24"/>
        </w:rPr>
        <w:t>dispositionally</w:t>
      </w:r>
      <w:proofErr w:type="spellEnd"/>
      <w:r w:rsidRPr="00E74027">
        <w:rPr>
          <w:szCs w:val="24"/>
        </w:rPr>
        <w:t xml:space="preserve">, but in any case supernaturally. … Let me add that none of this gives this doctrine anything in common with the special views of the </w:t>
      </w:r>
      <w:proofErr w:type="spellStart"/>
      <w:r w:rsidRPr="00E74027">
        <w:rPr>
          <w:szCs w:val="24"/>
        </w:rPr>
        <w:t>Pelagians</w:t>
      </w:r>
      <w:proofErr w:type="spellEnd"/>
      <w:r w:rsidRPr="00E74027">
        <w:rPr>
          <w:szCs w:val="24"/>
        </w:rPr>
        <w:t xml:space="preserve"> and </w:t>
      </w:r>
      <w:proofErr w:type="spellStart"/>
      <w:r w:rsidRPr="00E74027">
        <w:rPr>
          <w:szCs w:val="24"/>
        </w:rPr>
        <w:t>Semipelagians</w:t>
      </w:r>
      <w:proofErr w:type="spellEnd"/>
      <w:r w:rsidRPr="00E74027">
        <w:rPr>
          <w:szCs w:val="24"/>
        </w:rPr>
        <w:t xml:space="preserve"> … Contrary to the </w:t>
      </w:r>
      <w:proofErr w:type="spellStart"/>
      <w:r w:rsidRPr="00E74027">
        <w:rPr>
          <w:szCs w:val="24"/>
        </w:rPr>
        <w:t>Pelagians</w:t>
      </w:r>
      <w:proofErr w:type="spellEnd"/>
      <w:r w:rsidRPr="00E74027">
        <w:rPr>
          <w:szCs w:val="24"/>
        </w:rPr>
        <w:t>, all three of the accepted religions</w:t>
      </w:r>
      <w:r w:rsidR="00B26EE0">
        <w:rPr>
          <w:szCs w:val="24"/>
        </w:rPr>
        <w:t xml:space="preserve"> </w:t>
      </w:r>
      <w:r w:rsidRPr="00E74027">
        <w:rPr>
          <w:szCs w:val="24"/>
        </w:rPr>
        <w:t>… agree in teaching that there is a supernatural grace in all who possess faith.</w:t>
      </w:r>
      <w:r w:rsidR="00B26EE0">
        <w:rPr>
          <w:rStyle w:val="FootnoteReference"/>
          <w:szCs w:val="24"/>
        </w:rPr>
        <w:footnoteReference w:id="68"/>
      </w:r>
    </w:p>
    <w:p w:rsidR="00B26EE0" w:rsidRPr="00D724DE" w:rsidRDefault="00B26EE0" w:rsidP="004D46D2">
      <w:pPr>
        <w:spacing w:line="360" w:lineRule="auto"/>
        <w:ind w:left="567"/>
        <w:rPr>
          <w:szCs w:val="24"/>
        </w:rPr>
      </w:pPr>
    </w:p>
    <w:p w:rsidR="005D0082" w:rsidRDefault="00B26EE0" w:rsidP="004D46D2">
      <w:pPr>
        <w:pStyle w:val="FootnoteText"/>
        <w:spacing w:line="360" w:lineRule="auto"/>
        <w:rPr>
          <w:sz w:val="24"/>
          <w:szCs w:val="24"/>
        </w:rPr>
      </w:pPr>
      <w:r w:rsidRPr="00D724DE">
        <w:rPr>
          <w:sz w:val="24"/>
          <w:szCs w:val="24"/>
        </w:rPr>
        <w:t>F</w:t>
      </w:r>
      <w:r w:rsidR="00A06D6A" w:rsidRPr="00D724DE">
        <w:rPr>
          <w:sz w:val="24"/>
          <w:szCs w:val="24"/>
        </w:rPr>
        <w:t>or faith in the full sense of the term – that is, divine faith as opposed to a merely h</w:t>
      </w:r>
      <w:r w:rsidR="00DA0234" w:rsidRPr="00D724DE">
        <w:rPr>
          <w:sz w:val="24"/>
          <w:szCs w:val="24"/>
        </w:rPr>
        <w:t xml:space="preserve">uman faith based on </w:t>
      </w:r>
      <w:proofErr w:type="gramStart"/>
      <w:r w:rsidR="00DA0234" w:rsidRPr="00D724DE">
        <w:rPr>
          <w:sz w:val="24"/>
          <w:szCs w:val="24"/>
        </w:rPr>
        <w:t>explicable</w:t>
      </w:r>
      <w:proofErr w:type="gramEnd"/>
      <w:r w:rsidR="00DA0234" w:rsidRPr="00D724DE">
        <w:rPr>
          <w:sz w:val="24"/>
          <w:szCs w:val="24"/>
        </w:rPr>
        <w:t xml:space="preserve"> “rational grounds for beliefs”</w:t>
      </w:r>
      <w:r w:rsidR="00DA0234" w:rsidRPr="00D724DE">
        <w:rPr>
          <w:rStyle w:val="FootnoteReference"/>
          <w:sz w:val="24"/>
          <w:szCs w:val="24"/>
        </w:rPr>
        <w:footnoteReference w:id="69"/>
      </w:r>
      <w:r w:rsidR="00DA0234" w:rsidRPr="00D724DE">
        <w:rPr>
          <w:sz w:val="24"/>
          <w:szCs w:val="24"/>
        </w:rPr>
        <w:t xml:space="preserve"> </w:t>
      </w:r>
      <w:r w:rsidRPr="00D724DE">
        <w:rPr>
          <w:sz w:val="24"/>
          <w:szCs w:val="24"/>
        </w:rPr>
        <w:t>– a supernatural light and “</w:t>
      </w:r>
      <w:proofErr w:type="spellStart"/>
      <w:r w:rsidRPr="00D724DE">
        <w:rPr>
          <w:sz w:val="24"/>
          <w:szCs w:val="24"/>
        </w:rPr>
        <w:t>fervor</w:t>
      </w:r>
      <w:proofErr w:type="spellEnd"/>
      <w:r w:rsidRPr="00D724DE">
        <w:rPr>
          <w:sz w:val="24"/>
          <w:szCs w:val="24"/>
        </w:rPr>
        <w:t xml:space="preserve"> of love”</w:t>
      </w:r>
      <w:r w:rsidR="00A06D6A" w:rsidRPr="00D724DE">
        <w:rPr>
          <w:sz w:val="24"/>
          <w:szCs w:val="24"/>
        </w:rPr>
        <w:t xml:space="preserve"> is necessary which can only be given by God’s grac</w:t>
      </w:r>
      <w:r w:rsidR="00DA0234" w:rsidRPr="00D724DE">
        <w:rPr>
          <w:sz w:val="24"/>
          <w:szCs w:val="24"/>
        </w:rPr>
        <w:t>e. Precisely because these are “</w:t>
      </w:r>
      <w:r w:rsidR="00A06D6A" w:rsidRPr="00D724DE">
        <w:rPr>
          <w:sz w:val="24"/>
          <w:szCs w:val="24"/>
        </w:rPr>
        <w:t>inexplicable</w:t>
      </w:r>
      <w:r w:rsidR="00A06D6A" w:rsidRPr="00E74027">
        <w:rPr>
          <w:sz w:val="24"/>
          <w:szCs w:val="24"/>
        </w:rPr>
        <w:t xml:space="preserve"> </w:t>
      </w:r>
      <w:r w:rsidR="00A06D6A" w:rsidRPr="0099232D">
        <w:rPr>
          <w:sz w:val="24"/>
          <w:szCs w:val="24"/>
        </w:rPr>
        <w:t>reason</w:t>
      </w:r>
      <w:r w:rsidR="00DA0234" w:rsidRPr="0099232D">
        <w:rPr>
          <w:sz w:val="24"/>
          <w:szCs w:val="24"/>
        </w:rPr>
        <w:t>s” which “</w:t>
      </w:r>
      <w:r w:rsidR="00A06D6A" w:rsidRPr="0099232D">
        <w:rPr>
          <w:sz w:val="24"/>
          <w:szCs w:val="24"/>
        </w:rPr>
        <w:t>consist only in</w:t>
      </w:r>
      <w:r w:rsidR="00A06D6A" w:rsidRPr="00E72251">
        <w:rPr>
          <w:sz w:val="24"/>
          <w:szCs w:val="24"/>
        </w:rPr>
        <w:t xml:space="preserve"> our conscience or perception</w:t>
      </w:r>
      <w:r w:rsidR="00DA0234" w:rsidRPr="00E72251">
        <w:rPr>
          <w:sz w:val="24"/>
          <w:szCs w:val="24"/>
        </w:rPr>
        <w:t>”</w:t>
      </w:r>
      <w:r w:rsidR="00A06D6A" w:rsidRPr="00E72251">
        <w:rPr>
          <w:sz w:val="24"/>
          <w:szCs w:val="24"/>
        </w:rPr>
        <w:t xml:space="preserve">, </w:t>
      </w:r>
      <w:r w:rsidR="00DA0234" w:rsidRPr="00E72251">
        <w:rPr>
          <w:sz w:val="24"/>
          <w:szCs w:val="24"/>
        </w:rPr>
        <w:t>“</w:t>
      </w:r>
      <w:r w:rsidR="00A06D6A" w:rsidRPr="00E72251">
        <w:rPr>
          <w:sz w:val="24"/>
          <w:szCs w:val="24"/>
        </w:rPr>
        <w:t>those who base themselves on this light, cannot demand another examination from others who base themselves on a contrary light than the examination of one’s own individual conscience; namely whether one says the truth and really feel</w:t>
      </w:r>
      <w:r w:rsidR="00DA0234" w:rsidRPr="00E72251">
        <w:rPr>
          <w:sz w:val="24"/>
          <w:szCs w:val="24"/>
        </w:rPr>
        <w:t>s the light of which he boasts.”</w:t>
      </w:r>
      <w:r w:rsidR="00DA0234" w:rsidRPr="00E72251">
        <w:rPr>
          <w:rStyle w:val="FootnoteReference"/>
          <w:sz w:val="24"/>
          <w:szCs w:val="24"/>
        </w:rPr>
        <w:footnoteReference w:id="70"/>
      </w:r>
      <w:r w:rsidR="00690576" w:rsidRPr="00E72251">
        <w:rPr>
          <w:sz w:val="24"/>
          <w:szCs w:val="24"/>
        </w:rPr>
        <w:t xml:space="preserve"> T</w:t>
      </w:r>
      <w:r w:rsidR="00A06D6A" w:rsidRPr="00E72251">
        <w:rPr>
          <w:sz w:val="24"/>
          <w:szCs w:val="24"/>
        </w:rPr>
        <w:t>he last instance of judgement regarding the salvation of any individual can therefore only be the sincerity of his or her conscience, no matter how objectively erroneous his or her beliefs may be.</w:t>
      </w:r>
      <w:r w:rsidR="00690576" w:rsidRPr="00E72251">
        <w:rPr>
          <w:rStyle w:val="FootnoteReference"/>
          <w:sz w:val="24"/>
          <w:szCs w:val="24"/>
        </w:rPr>
        <w:footnoteReference w:id="71"/>
      </w:r>
      <w:r w:rsidR="00690576" w:rsidRPr="00E72251">
        <w:rPr>
          <w:sz w:val="24"/>
          <w:szCs w:val="24"/>
        </w:rPr>
        <w:t xml:space="preserve"> </w:t>
      </w:r>
    </w:p>
    <w:p w:rsidR="00A06D6A" w:rsidRPr="005D0082" w:rsidRDefault="008A1C3B" w:rsidP="005D0082">
      <w:pPr>
        <w:pStyle w:val="FootnoteText"/>
        <w:spacing w:line="360" w:lineRule="auto"/>
        <w:ind w:firstLine="720"/>
        <w:rPr>
          <w:sz w:val="24"/>
          <w:szCs w:val="24"/>
        </w:rPr>
      </w:pPr>
      <w:r w:rsidRPr="00E72251">
        <w:rPr>
          <w:sz w:val="24"/>
          <w:szCs w:val="24"/>
        </w:rPr>
        <w:t>“</w:t>
      </w:r>
      <w:r w:rsidR="00A06D6A" w:rsidRPr="00E72251">
        <w:rPr>
          <w:sz w:val="24"/>
          <w:szCs w:val="24"/>
        </w:rPr>
        <w:t xml:space="preserve">People are not excommunicated </w:t>
      </w:r>
      <w:r w:rsidRPr="00E72251">
        <w:rPr>
          <w:sz w:val="24"/>
          <w:szCs w:val="24"/>
        </w:rPr>
        <w:t>for their error,”</w:t>
      </w:r>
      <w:r w:rsidR="00B26EE0" w:rsidRPr="00E72251">
        <w:rPr>
          <w:sz w:val="24"/>
          <w:szCs w:val="24"/>
        </w:rPr>
        <w:t xml:space="preserve"> Leibniz wrote</w:t>
      </w:r>
      <w:r w:rsidR="005E3D9D">
        <w:rPr>
          <w:sz w:val="24"/>
          <w:szCs w:val="24"/>
        </w:rPr>
        <w:t xml:space="preserve"> in 1691</w:t>
      </w:r>
      <w:r w:rsidRPr="00E72251">
        <w:rPr>
          <w:sz w:val="24"/>
          <w:szCs w:val="24"/>
        </w:rPr>
        <w:t>, “</w:t>
      </w:r>
      <w:r w:rsidR="00A06D6A" w:rsidRPr="00E72251">
        <w:rPr>
          <w:sz w:val="24"/>
          <w:szCs w:val="24"/>
        </w:rPr>
        <w:t>but for their obstinacy or bad disposition of heart. One can be of bad faith and obstinate even if he asserts the truth, that is to say when this is maintained without foundation o</w:t>
      </w:r>
      <w:r w:rsidRPr="00E72251">
        <w:rPr>
          <w:sz w:val="24"/>
          <w:szCs w:val="24"/>
        </w:rPr>
        <w:t xml:space="preserve">n the basis of a bad </w:t>
      </w:r>
      <w:r w:rsidRPr="00E72251">
        <w:rPr>
          <w:sz w:val="24"/>
          <w:szCs w:val="24"/>
        </w:rPr>
        <w:lastRenderedPageBreak/>
        <w:t>principle</w:t>
      </w:r>
      <w:r w:rsidRPr="00335033">
        <w:rPr>
          <w:sz w:val="24"/>
          <w:szCs w:val="24"/>
        </w:rPr>
        <w:t>.”</w:t>
      </w:r>
      <w:r w:rsidRPr="00335033">
        <w:rPr>
          <w:rStyle w:val="FootnoteReference"/>
          <w:sz w:val="24"/>
          <w:szCs w:val="24"/>
        </w:rPr>
        <w:footnoteReference w:id="72"/>
      </w:r>
      <w:r w:rsidRPr="00335033">
        <w:rPr>
          <w:sz w:val="24"/>
          <w:szCs w:val="24"/>
        </w:rPr>
        <w:t xml:space="preserve"> </w:t>
      </w:r>
      <w:r w:rsidR="00335033" w:rsidRPr="00335033">
        <w:rPr>
          <w:sz w:val="24"/>
          <w:szCs w:val="24"/>
        </w:rPr>
        <w:t xml:space="preserve">According </w:t>
      </w:r>
      <w:r w:rsidR="00335033">
        <w:rPr>
          <w:sz w:val="24"/>
          <w:szCs w:val="24"/>
        </w:rPr>
        <w:t>to Leibniz, someone who embraces</w:t>
      </w:r>
      <w:r w:rsidR="00335033" w:rsidRPr="00335033">
        <w:rPr>
          <w:sz w:val="24"/>
          <w:szCs w:val="24"/>
        </w:rPr>
        <w:t xml:space="preserve"> in bad conscience (“</w:t>
      </w:r>
      <w:proofErr w:type="spellStart"/>
      <w:r w:rsidR="00335033" w:rsidRPr="00335033">
        <w:rPr>
          <w:sz w:val="24"/>
          <w:szCs w:val="24"/>
        </w:rPr>
        <w:t>malo</w:t>
      </w:r>
      <w:proofErr w:type="spellEnd"/>
      <w:r w:rsidR="00335033" w:rsidRPr="00335033">
        <w:rPr>
          <w:sz w:val="24"/>
          <w:szCs w:val="24"/>
        </w:rPr>
        <w:t xml:space="preserve"> </w:t>
      </w:r>
      <w:proofErr w:type="spellStart"/>
      <w:r w:rsidR="00335033" w:rsidRPr="00335033">
        <w:rPr>
          <w:sz w:val="24"/>
          <w:szCs w:val="24"/>
        </w:rPr>
        <w:t>animo</w:t>
      </w:r>
      <w:proofErr w:type="spellEnd"/>
      <w:r w:rsidR="00335033" w:rsidRPr="00335033">
        <w:rPr>
          <w:sz w:val="24"/>
          <w:szCs w:val="24"/>
        </w:rPr>
        <w:t xml:space="preserve">”) a true doctrine </w:t>
      </w:r>
      <w:r w:rsidR="00335033">
        <w:rPr>
          <w:sz w:val="24"/>
          <w:szCs w:val="24"/>
        </w:rPr>
        <w:t>can</w:t>
      </w:r>
      <w:r w:rsidR="00335033" w:rsidRPr="00335033">
        <w:rPr>
          <w:sz w:val="24"/>
          <w:szCs w:val="24"/>
        </w:rPr>
        <w:t xml:space="preserve"> in fact be considered as a formal heretic. Unlike a material heretic </w:t>
      </w:r>
      <w:r w:rsidR="00335033" w:rsidRPr="005D0082">
        <w:rPr>
          <w:sz w:val="24"/>
          <w:szCs w:val="24"/>
        </w:rPr>
        <w:t>(that is, someone who in good consci</w:t>
      </w:r>
      <w:r w:rsidR="005D0082" w:rsidRPr="005D0082">
        <w:rPr>
          <w:sz w:val="24"/>
          <w:szCs w:val="24"/>
        </w:rPr>
        <w:t>ence believes a false</w:t>
      </w:r>
      <w:r w:rsidR="00335033" w:rsidRPr="005D0082">
        <w:rPr>
          <w:sz w:val="24"/>
          <w:szCs w:val="24"/>
        </w:rPr>
        <w:t xml:space="preserve"> doctrine), he is therefore worth</w:t>
      </w:r>
      <w:r w:rsidR="003068C3" w:rsidRPr="005D0082">
        <w:rPr>
          <w:sz w:val="24"/>
          <w:szCs w:val="24"/>
        </w:rPr>
        <w:t>y</w:t>
      </w:r>
      <w:r w:rsidR="00335033" w:rsidRPr="005D0082">
        <w:rPr>
          <w:sz w:val="24"/>
          <w:szCs w:val="24"/>
        </w:rPr>
        <w:t xml:space="preserve"> of punishment although he did not err.</w:t>
      </w:r>
      <w:r w:rsidR="00335033" w:rsidRPr="005D0082">
        <w:rPr>
          <w:rStyle w:val="FootnoteReference"/>
          <w:sz w:val="24"/>
          <w:szCs w:val="24"/>
        </w:rPr>
        <w:footnoteReference w:id="73"/>
      </w:r>
      <w:r w:rsidR="005D0082" w:rsidRPr="005D0082">
        <w:rPr>
          <w:sz w:val="24"/>
          <w:szCs w:val="24"/>
        </w:rPr>
        <w:t xml:space="preserve"> In sum, it is the</w:t>
      </w:r>
      <w:r w:rsidR="00A06D6A" w:rsidRPr="005D0082">
        <w:rPr>
          <w:sz w:val="24"/>
          <w:szCs w:val="24"/>
        </w:rPr>
        <w:t xml:space="preserve"> subjective sincerity or insincerity of conscience (together with God’s grace) which is, ultimately, the ground of salvation or condemnation.</w:t>
      </w:r>
      <w:r w:rsidR="00830326">
        <w:rPr>
          <w:rStyle w:val="FootnoteReference"/>
          <w:sz w:val="24"/>
          <w:szCs w:val="24"/>
        </w:rPr>
        <w:footnoteReference w:id="74"/>
      </w:r>
      <w:r w:rsidR="00830326">
        <w:rPr>
          <w:sz w:val="24"/>
          <w:szCs w:val="24"/>
        </w:rPr>
        <w:t xml:space="preserve"> </w:t>
      </w:r>
      <w:r w:rsidR="00A06D6A" w:rsidRPr="005D0082">
        <w:rPr>
          <w:sz w:val="24"/>
          <w:szCs w:val="24"/>
        </w:rPr>
        <w:t>Yet</w:t>
      </w:r>
      <w:r w:rsidR="006A5A1A">
        <w:rPr>
          <w:sz w:val="24"/>
          <w:szCs w:val="24"/>
        </w:rPr>
        <w:t>,</w:t>
      </w:r>
      <w:r w:rsidR="00A06D6A" w:rsidRPr="005D0082">
        <w:rPr>
          <w:sz w:val="24"/>
          <w:szCs w:val="24"/>
        </w:rPr>
        <w:t xml:space="preserve"> since we cannot enter into the </w:t>
      </w:r>
      <w:r w:rsidR="005D0082" w:rsidRPr="005D0082">
        <w:rPr>
          <w:sz w:val="24"/>
          <w:szCs w:val="24"/>
        </w:rPr>
        <w:t xml:space="preserve">conscience of other people, only God can know </w:t>
      </w:r>
      <w:r w:rsidR="00A06D6A" w:rsidRPr="005D0082">
        <w:rPr>
          <w:sz w:val="24"/>
          <w:szCs w:val="24"/>
        </w:rPr>
        <w:t>who is saved or condemned</w:t>
      </w:r>
      <w:r w:rsidR="00B26EE0" w:rsidRPr="005D0082">
        <w:rPr>
          <w:sz w:val="24"/>
          <w:szCs w:val="24"/>
        </w:rPr>
        <w:t>.</w:t>
      </w:r>
    </w:p>
    <w:p w:rsidR="00A06D6A" w:rsidRPr="00E74027" w:rsidRDefault="005D0082" w:rsidP="004D46D2">
      <w:pPr>
        <w:tabs>
          <w:tab w:val="left" w:pos="5760"/>
        </w:tabs>
        <w:spacing w:line="360" w:lineRule="auto"/>
        <w:ind w:firstLine="720"/>
        <w:rPr>
          <w:szCs w:val="24"/>
        </w:rPr>
      </w:pPr>
      <w:r>
        <w:rPr>
          <w:szCs w:val="24"/>
        </w:rPr>
        <w:t>Moreover, Leibniz claimed</w:t>
      </w:r>
      <w:r w:rsidR="00A06D6A" w:rsidRPr="00E74027">
        <w:rPr>
          <w:szCs w:val="24"/>
        </w:rPr>
        <w:t xml:space="preserve"> that for </w:t>
      </w:r>
      <w:r w:rsidR="00F21C8B">
        <w:rPr>
          <w:szCs w:val="24"/>
        </w:rPr>
        <w:t>the salvation of an individual “</w:t>
      </w:r>
      <w:r w:rsidR="00A06D6A" w:rsidRPr="00E74027">
        <w:rPr>
          <w:szCs w:val="24"/>
        </w:rPr>
        <w:t xml:space="preserve">no revealed article is absolutely necessary, and therefore </w:t>
      </w:r>
      <w:r w:rsidR="00A06D6A" w:rsidRPr="00E74027">
        <w:rPr>
          <w:i/>
          <w:iCs/>
          <w:szCs w:val="24"/>
        </w:rPr>
        <w:t>it is possible to be saved</w:t>
      </w:r>
      <w:r w:rsidR="00A06D6A" w:rsidRPr="00E74027">
        <w:rPr>
          <w:szCs w:val="24"/>
        </w:rPr>
        <w:t xml:space="preserve"> in every Religion, </w:t>
      </w:r>
      <w:r w:rsidR="00A06D6A" w:rsidRPr="00E74027">
        <w:rPr>
          <w:i/>
          <w:iCs/>
          <w:szCs w:val="24"/>
        </w:rPr>
        <w:t>provided that one truly loves God above all things</w:t>
      </w:r>
      <w:r w:rsidR="00F21C8B">
        <w:rPr>
          <w:szCs w:val="24"/>
        </w:rPr>
        <w:t>”</w:t>
      </w:r>
      <w:r w:rsidR="00A06D6A" w:rsidRPr="00E74027">
        <w:rPr>
          <w:szCs w:val="24"/>
        </w:rPr>
        <w:t>.</w:t>
      </w:r>
      <w:r w:rsidR="00135560">
        <w:rPr>
          <w:rStyle w:val="FootnoteReference"/>
          <w:szCs w:val="24"/>
        </w:rPr>
        <w:footnoteReference w:id="75"/>
      </w:r>
      <w:r w:rsidR="003F1060">
        <w:rPr>
          <w:szCs w:val="24"/>
        </w:rPr>
        <w:t xml:space="preserve"> </w:t>
      </w:r>
      <w:r w:rsidR="006A5A1A">
        <w:rPr>
          <w:szCs w:val="24"/>
        </w:rPr>
        <w:t xml:space="preserve">In the earlier </w:t>
      </w:r>
      <w:r w:rsidR="006A5A1A" w:rsidRPr="00951E87">
        <w:rPr>
          <w:rFonts w:cs="Times New Roman"/>
          <w:i/>
          <w:szCs w:val="24"/>
        </w:rPr>
        <w:t xml:space="preserve">Dialogue entre </w:t>
      </w:r>
      <w:proofErr w:type="spellStart"/>
      <w:r w:rsidR="006A5A1A" w:rsidRPr="00951E87">
        <w:rPr>
          <w:rFonts w:cs="Times New Roman"/>
          <w:i/>
          <w:szCs w:val="24"/>
        </w:rPr>
        <w:t>Poliandre</w:t>
      </w:r>
      <w:proofErr w:type="spellEnd"/>
      <w:r w:rsidR="006A5A1A" w:rsidRPr="00951E87">
        <w:rPr>
          <w:rFonts w:cs="Times New Roman"/>
          <w:i/>
          <w:szCs w:val="24"/>
        </w:rPr>
        <w:t xml:space="preserve"> and </w:t>
      </w:r>
      <w:proofErr w:type="spellStart"/>
      <w:r w:rsidR="006A5A1A" w:rsidRPr="00951E87">
        <w:rPr>
          <w:rFonts w:cs="Times New Roman"/>
          <w:i/>
          <w:szCs w:val="24"/>
        </w:rPr>
        <w:t>Theophile</w:t>
      </w:r>
      <w:proofErr w:type="spellEnd"/>
      <w:r w:rsidR="006A5A1A">
        <w:rPr>
          <w:rFonts w:cs="Times New Roman"/>
          <w:szCs w:val="24"/>
        </w:rPr>
        <w:t>, written in the</w:t>
      </w:r>
      <w:r w:rsidR="006A5A1A" w:rsidRPr="00951E87">
        <w:rPr>
          <w:rFonts w:cs="Times New Roman"/>
          <w:szCs w:val="24"/>
        </w:rPr>
        <w:t xml:space="preserve"> mid-1679</w:t>
      </w:r>
      <w:r w:rsidR="006A5A1A">
        <w:rPr>
          <w:rFonts w:cs="Times New Roman"/>
          <w:szCs w:val="24"/>
        </w:rPr>
        <w:t>, he had already maintained that</w:t>
      </w:r>
      <w:r w:rsidR="006A5A1A" w:rsidRPr="00951E87">
        <w:rPr>
          <w:rFonts w:cs="Times New Roman"/>
          <w:szCs w:val="24"/>
        </w:rPr>
        <w:t xml:space="preserve"> “those who love God above all things are in a condition [</w:t>
      </w:r>
      <w:proofErr w:type="spellStart"/>
      <w:r w:rsidR="006A5A1A" w:rsidRPr="00951E87">
        <w:rPr>
          <w:rFonts w:cs="Times New Roman"/>
          <w:szCs w:val="24"/>
        </w:rPr>
        <w:t>en</w:t>
      </w:r>
      <w:proofErr w:type="spellEnd"/>
      <w:r w:rsidR="006A5A1A" w:rsidRPr="00951E87">
        <w:rPr>
          <w:rFonts w:cs="Times New Roman"/>
          <w:szCs w:val="24"/>
        </w:rPr>
        <w:t xml:space="preserve"> </w:t>
      </w:r>
      <w:proofErr w:type="spellStart"/>
      <w:r w:rsidR="006A5A1A" w:rsidRPr="00951E87">
        <w:rPr>
          <w:rFonts w:cs="Times New Roman"/>
          <w:szCs w:val="24"/>
        </w:rPr>
        <w:t>estat</w:t>
      </w:r>
      <w:proofErr w:type="spellEnd"/>
      <w:r w:rsidR="006A5A1A" w:rsidRPr="00951E87">
        <w:rPr>
          <w:rFonts w:cs="Times New Roman"/>
          <w:szCs w:val="24"/>
        </w:rPr>
        <w:t>] to be saved”</w:t>
      </w:r>
      <w:r w:rsidR="006A5A1A">
        <w:rPr>
          <w:rFonts w:cs="Times New Roman"/>
          <w:szCs w:val="24"/>
        </w:rPr>
        <w:t>, and in the</w:t>
      </w:r>
      <w:r w:rsidR="006A5A1A" w:rsidRPr="00951E87">
        <w:rPr>
          <w:rFonts w:cs="Times New Roman"/>
          <w:szCs w:val="24"/>
        </w:rPr>
        <w:t xml:space="preserve"> </w:t>
      </w:r>
      <w:proofErr w:type="spellStart"/>
      <w:r w:rsidR="006A5A1A" w:rsidRPr="00951E87">
        <w:rPr>
          <w:rFonts w:cs="Times New Roman"/>
          <w:i/>
          <w:szCs w:val="24"/>
        </w:rPr>
        <w:t>Propositiones</w:t>
      </w:r>
      <w:proofErr w:type="spellEnd"/>
      <w:r w:rsidR="006A5A1A" w:rsidRPr="00951E87">
        <w:rPr>
          <w:rFonts w:cs="Times New Roman"/>
          <w:i/>
          <w:szCs w:val="24"/>
        </w:rPr>
        <w:t xml:space="preserve"> </w:t>
      </w:r>
      <w:proofErr w:type="spellStart"/>
      <w:r w:rsidR="006A5A1A" w:rsidRPr="00951E87">
        <w:rPr>
          <w:rFonts w:cs="Times New Roman"/>
          <w:i/>
          <w:szCs w:val="24"/>
        </w:rPr>
        <w:t>Theologicae</w:t>
      </w:r>
      <w:proofErr w:type="spellEnd"/>
      <w:r w:rsidR="006A5A1A">
        <w:rPr>
          <w:rFonts w:cs="Times New Roman"/>
          <w:i/>
          <w:szCs w:val="24"/>
        </w:rPr>
        <w:t xml:space="preserve"> </w:t>
      </w:r>
      <w:r w:rsidR="006A5A1A">
        <w:rPr>
          <w:rFonts w:cs="Times New Roman"/>
          <w:szCs w:val="24"/>
        </w:rPr>
        <w:t>of 1685 – 1686 he had added:</w:t>
      </w:r>
      <w:r w:rsidR="001209A3">
        <w:rPr>
          <w:rFonts w:cs="Times New Roman"/>
          <w:szCs w:val="24"/>
        </w:rPr>
        <w:t xml:space="preserve"> </w:t>
      </w:r>
      <w:r w:rsidR="006A5A1A" w:rsidRPr="00951E87">
        <w:rPr>
          <w:rFonts w:cs="Times New Roman"/>
          <w:szCs w:val="24"/>
        </w:rPr>
        <w:t>“No one can be justified without a true love of God”</w:t>
      </w:r>
      <w:r w:rsidR="006A5A1A">
        <w:rPr>
          <w:rFonts w:cs="Times New Roman"/>
          <w:szCs w:val="24"/>
        </w:rPr>
        <w:t>.</w:t>
      </w:r>
      <w:r w:rsidR="003B3654">
        <w:rPr>
          <w:rStyle w:val="FootnoteReference"/>
          <w:rFonts w:cs="Times New Roman"/>
          <w:szCs w:val="24"/>
        </w:rPr>
        <w:footnoteReference w:id="76"/>
      </w:r>
      <w:r w:rsidR="006A5A1A">
        <w:rPr>
          <w:rFonts w:cs="Times New Roman"/>
          <w:szCs w:val="24"/>
        </w:rPr>
        <w:t xml:space="preserve"> </w:t>
      </w:r>
      <w:r w:rsidR="00A06D6A" w:rsidRPr="00E74027">
        <w:rPr>
          <w:szCs w:val="24"/>
        </w:rPr>
        <w:t xml:space="preserve">It should be noted that </w:t>
      </w:r>
      <w:r w:rsidR="003B3654">
        <w:rPr>
          <w:szCs w:val="24"/>
        </w:rPr>
        <w:t xml:space="preserve">the “love of God above all things” </w:t>
      </w:r>
      <w:r w:rsidR="00A06D6A" w:rsidRPr="00E74027">
        <w:rPr>
          <w:szCs w:val="24"/>
        </w:rPr>
        <w:t>is not, for Leibniz, a super-fundamental article of faith which on its own could be sufficient for salvation.</w:t>
      </w:r>
      <w:r w:rsidR="003F1060">
        <w:rPr>
          <w:szCs w:val="24"/>
        </w:rPr>
        <w:t xml:space="preserve"> </w:t>
      </w:r>
      <w:r w:rsidR="00B26EE0">
        <w:rPr>
          <w:szCs w:val="24"/>
        </w:rPr>
        <w:t>As we have seen, Leibniz explicitly distanced</w:t>
      </w:r>
      <w:r w:rsidR="00A06D6A" w:rsidRPr="00E74027">
        <w:rPr>
          <w:szCs w:val="24"/>
        </w:rPr>
        <w:t xml:space="preserve"> himself from the </w:t>
      </w:r>
      <w:r w:rsidR="00B26EE0">
        <w:rPr>
          <w:szCs w:val="24"/>
        </w:rPr>
        <w:t>do</w:t>
      </w:r>
      <w:r w:rsidR="00A06D6A" w:rsidRPr="00E74027">
        <w:rPr>
          <w:szCs w:val="24"/>
        </w:rPr>
        <w:t>ctrine of fundamental and non-fundamental articles of faith.</w:t>
      </w:r>
      <w:r w:rsidR="003F1060">
        <w:rPr>
          <w:rStyle w:val="FootnoteReference"/>
          <w:szCs w:val="24"/>
        </w:rPr>
        <w:footnoteReference w:id="77"/>
      </w:r>
      <w:r w:rsidR="003F1060">
        <w:rPr>
          <w:szCs w:val="24"/>
        </w:rPr>
        <w:t xml:space="preserve"> </w:t>
      </w:r>
      <w:r w:rsidR="00A336BA">
        <w:rPr>
          <w:szCs w:val="24"/>
        </w:rPr>
        <w:t>I</w:t>
      </w:r>
      <w:r w:rsidR="00A06D6A" w:rsidRPr="00E74027">
        <w:rPr>
          <w:szCs w:val="24"/>
        </w:rPr>
        <w:t>n</w:t>
      </w:r>
      <w:r w:rsidR="00A336BA">
        <w:rPr>
          <w:szCs w:val="24"/>
        </w:rPr>
        <w:t xml:space="preserve"> </w:t>
      </w:r>
      <w:r>
        <w:rPr>
          <w:szCs w:val="24"/>
        </w:rPr>
        <w:t>the passage</w:t>
      </w:r>
      <w:r w:rsidR="003B3654">
        <w:rPr>
          <w:szCs w:val="24"/>
        </w:rPr>
        <w:t>s</w:t>
      </w:r>
      <w:r>
        <w:rPr>
          <w:szCs w:val="24"/>
        </w:rPr>
        <w:t xml:space="preserve"> quoted above, he </w:t>
      </w:r>
      <w:r w:rsidR="00374F0C">
        <w:rPr>
          <w:szCs w:val="24"/>
        </w:rPr>
        <w:t>is</w:t>
      </w:r>
      <w:r>
        <w:rPr>
          <w:szCs w:val="24"/>
        </w:rPr>
        <w:t xml:space="preserve"> not propos</w:t>
      </w:r>
      <w:r w:rsidR="00374F0C">
        <w:rPr>
          <w:szCs w:val="24"/>
        </w:rPr>
        <w:t>ing</w:t>
      </w:r>
      <w:r w:rsidR="00A06D6A" w:rsidRPr="00E74027">
        <w:rPr>
          <w:szCs w:val="24"/>
        </w:rPr>
        <w:t xml:space="preserve"> some sort of ‘single necessary </w:t>
      </w:r>
      <w:r w:rsidR="004D2E91">
        <w:rPr>
          <w:szCs w:val="24"/>
        </w:rPr>
        <w:t xml:space="preserve">and sufficient </w:t>
      </w:r>
      <w:r w:rsidR="00A06D6A" w:rsidRPr="00E74027">
        <w:rPr>
          <w:szCs w:val="24"/>
        </w:rPr>
        <w:t>art</w:t>
      </w:r>
      <w:r w:rsidR="00FE4086">
        <w:rPr>
          <w:szCs w:val="24"/>
        </w:rPr>
        <w:t>icle of faith’, on</w:t>
      </w:r>
      <w:r w:rsidR="00A06D6A" w:rsidRPr="00E74027">
        <w:rPr>
          <w:szCs w:val="24"/>
        </w:rPr>
        <w:t xml:space="preserve"> which alone s</w:t>
      </w:r>
      <w:r>
        <w:rPr>
          <w:szCs w:val="24"/>
        </w:rPr>
        <w:t xml:space="preserve">alvation depends. Instead he </w:t>
      </w:r>
      <w:r w:rsidR="00374F0C">
        <w:rPr>
          <w:szCs w:val="24"/>
        </w:rPr>
        <w:lastRenderedPageBreak/>
        <w:t xml:space="preserve">is </w:t>
      </w:r>
      <w:r>
        <w:rPr>
          <w:szCs w:val="24"/>
        </w:rPr>
        <w:t>reiterat</w:t>
      </w:r>
      <w:r w:rsidR="00374F0C">
        <w:rPr>
          <w:szCs w:val="24"/>
        </w:rPr>
        <w:t>ing</w:t>
      </w:r>
      <w:r w:rsidR="00A06D6A" w:rsidRPr="00E74027">
        <w:rPr>
          <w:szCs w:val="24"/>
        </w:rPr>
        <w:t xml:space="preserve"> </w:t>
      </w:r>
      <w:r>
        <w:rPr>
          <w:szCs w:val="24"/>
        </w:rPr>
        <w:t>that salvation, ultimately, d</w:t>
      </w:r>
      <w:r w:rsidR="003F1060">
        <w:rPr>
          <w:szCs w:val="24"/>
        </w:rPr>
        <w:t>oes</w:t>
      </w:r>
      <w:r w:rsidR="00A06D6A" w:rsidRPr="00E74027">
        <w:rPr>
          <w:szCs w:val="24"/>
        </w:rPr>
        <w:t xml:space="preserve"> not rest on the correctness of one’s beliefs but on a practical attitude</w:t>
      </w:r>
      <w:r w:rsidR="00374F0C">
        <w:rPr>
          <w:szCs w:val="24"/>
        </w:rPr>
        <w:t>, namely</w:t>
      </w:r>
      <w:r w:rsidR="00A06D6A" w:rsidRPr="00E74027">
        <w:rPr>
          <w:szCs w:val="24"/>
        </w:rPr>
        <w:t>, a sincere love of God.</w:t>
      </w:r>
    </w:p>
    <w:p w:rsidR="00A336BA" w:rsidRPr="00E74027" w:rsidRDefault="00E359E7" w:rsidP="004D46D2">
      <w:pPr>
        <w:spacing w:line="360" w:lineRule="auto"/>
        <w:ind w:firstLine="720"/>
        <w:rPr>
          <w:szCs w:val="24"/>
        </w:rPr>
      </w:pPr>
      <w:r>
        <w:rPr>
          <w:szCs w:val="24"/>
        </w:rPr>
        <w:t>In some cases, Leibniz argued</w:t>
      </w:r>
      <w:r w:rsidR="00A336BA" w:rsidRPr="00E74027">
        <w:rPr>
          <w:szCs w:val="24"/>
        </w:rPr>
        <w:t>, a he</w:t>
      </w:r>
      <w:r>
        <w:rPr>
          <w:szCs w:val="24"/>
        </w:rPr>
        <w:t>terodox theology could</w:t>
      </w:r>
      <w:r w:rsidR="00A336BA" w:rsidRPr="00E74027">
        <w:rPr>
          <w:szCs w:val="24"/>
        </w:rPr>
        <w:t xml:space="preserve"> positively enhance the moral stand of a person, and abstaining from intervention is definitely advisable when incorrect beliefs have a good practic</w:t>
      </w:r>
      <w:r>
        <w:rPr>
          <w:szCs w:val="24"/>
        </w:rPr>
        <w:t>al effect. A telling</w:t>
      </w:r>
      <w:r w:rsidR="00A336BA">
        <w:rPr>
          <w:szCs w:val="24"/>
        </w:rPr>
        <w:t xml:space="preserve"> example</w:t>
      </w:r>
      <w:r w:rsidR="00A336BA" w:rsidRPr="00E74027">
        <w:rPr>
          <w:szCs w:val="24"/>
        </w:rPr>
        <w:t xml:space="preserve"> </w:t>
      </w:r>
      <w:r w:rsidR="00A336BA">
        <w:rPr>
          <w:szCs w:val="24"/>
        </w:rPr>
        <w:t>is</w:t>
      </w:r>
      <w:r>
        <w:rPr>
          <w:szCs w:val="24"/>
        </w:rPr>
        <w:t xml:space="preserve"> Leibniz’s attitude toward</w:t>
      </w:r>
      <w:r w:rsidR="00A336BA" w:rsidRPr="00E74027">
        <w:rPr>
          <w:szCs w:val="24"/>
        </w:rPr>
        <w:t xml:space="preserve"> Baron </w:t>
      </w:r>
      <w:proofErr w:type="spellStart"/>
      <w:r w:rsidR="00A336BA" w:rsidRPr="00E74027">
        <w:rPr>
          <w:szCs w:val="24"/>
        </w:rPr>
        <w:t>Franciscus</w:t>
      </w:r>
      <w:proofErr w:type="spellEnd"/>
      <w:r w:rsidR="00A336BA" w:rsidRPr="00E74027">
        <w:rPr>
          <w:szCs w:val="24"/>
        </w:rPr>
        <w:t xml:space="preserve"> </w:t>
      </w:r>
      <w:proofErr w:type="spellStart"/>
      <w:r w:rsidR="00A336BA" w:rsidRPr="00E74027">
        <w:rPr>
          <w:szCs w:val="24"/>
        </w:rPr>
        <w:t>Mercurius</w:t>
      </w:r>
      <w:proofErr w:type="spellEnd"/>
      <w:r w:rsidR="00A336BA" w:rsidRPr="00E74027">
        <w:rPr>
          <w:szCs w:val="24"/>
        </w:rPr>
        <w:t xml:space="preserve"> van </w:t>
      </w:r>
      <w:proofErr w:type="spellStart"/>
      <w:r w:rsidR="00A336BA" w:rsidRPr="00E74027">
        <w:rPr>
          <w:szCs w:val="24"/>
        </w:rPr>
        <w:t>Helmont</w:t>
      </w:r>
      <w:proofErr w:type="spellEnd"/>
      <w:r w:rsidR="00A336BA" w:rsidRPr="00E74027">
        <w:rPr>
          <w:szCs w:val="24"/>
        </w:rPr>
        <w:t xml:space="preserve">. While </w:t>
      </w:r>
      <w:r>
        <w:rPr>
          <w:szCs w:val="24"/>
        </w:rPr>
        <w:t>distancing himself from dubious elements of</w:t>
      </w:r>
      <w:r w:rsidR="00A336BA" w:rsidRPr="00E74027">
        <w:rPr>
          <w:szCs w:val="24"/>
        </w:rPr>
        <w:t xml:space="preserve"> van </w:t>
      </w:r>
      <w:proofErr w:type="spellStart"/>
      <w:r w:rsidR="00A336BA" w:rsidRPr="00E74027">
        <w:rPr>
          <w:szCs w:val="24"/>
        </w:rPr>
        <w:t>Helmont’s</w:t>
      </w:r>
      <w:proofErr w:type="spellEnd"/>
      <w:r w:rsidR="00A336BA" w:rsidRPr="00E74027">
        <w:rPr>
          <w:szCs w:val="24"/>
        </w:rPr>
        <w:t xml:space="preserve"> thought,</w:t>
      </w:r>
      <w:r w:rsidR="003F1060">
        <w:rPr>
          <w:rStyle w:val="FootnoteReference"/>
          <w:szCs w:val="24"/>
        </w:rPr>
        <w:footnoteReference w:id="78"/>
      </w:r>
      <w:r w:rsidR="00AE6292">
        <w:rPr>
          <w:szCs w:val="24"/>
        </w:rPr>
        <w:t xml:space="preserve"> Leibniz </w:t>
      </w:r>
      <w:r>
        <w:rPr>
          <w:szCs w:val="24"/>
        </w:rPr>
        <w:t>appreciated</w:t>
      </w:r>
      <w:r w:rsidR="00A336BA" w:rsidRPr="00E74027">
        <w:rPr>
          <w:szCs w:val="24"/>
        </w:rPr>
        <w:t xml:space="preserve"> the baron’s commitment to the common good which inspired a number of practical schemes for the improvement of the hu</w:t>
      </w:r>
      <w:r>
        <w:rPr>
          <w:szCs w:val="24"/>
        </w:rPr>
        <w:t>man condition. As Leibniz wrote</w:t>
      </w:r>
      <w:r w:rsidR="00A336BA" w:rsidRPr="00E74027">
        <w:rPr>
          <w:szCs w:val="24"/>
        </w:rPr>
        <w:t xml:space="preserve"> on 20 De</w:t>
      </w:r>
      <w:r>
        <w:rPr>
          <w:szCs w:val="24"/>
        </w:rPr>
        <w:t>cember 1696 to Andreas Morell, “</w:t>
      </w:r>
      <w:r w:rsidR="00A336BA" w:rsidRPr="00E74027">
        <w:rPr>
          <w:szCs w:val="24"/>
        </w:rPr>
        <w:t>the touchstone of true illumination is a great eagerness for co</w:t>
      </w:r>
      <w:r>
        <w:rPr>
          <w:szCs w:val="24"/>
        </w:rPr>
        <w:t>ntributing to the general good.” This was, in his view, what crucially distinguished</w:t>
      </w:r>
      <w:r w:rsidR="00A336BA" w:rsidRPr="00E74027">
        <w:rPr>
          <w:szCs w:val="24"/>
        </w:rPr>
        <w:t xml:space="preserve"> van </w:t>
      </w:r>
      <w:proofErr w:type="spellStart"/>
      <w:r w:rsidR="00A336BA" w:rsidRPr="00E74027">
        <w:rPr>
          <w:szCs w:val="24"/>
        </w:rPr>
        <w:t>Helmont</w:t>
      </w:r>
      <w:proofErr w:type="spellEnd"/>
      <w:r w:rsidR="00A336BA" w:rsidRPr="00E74027">
        <w:rPr>
          <w:szCs w:val="24"/>
        </w:rPr>
        <w:t xml:space="preserve"> from other millenarians and promoters of cont</w:t>
      </w:r>
      <w:r>
        <w:rPr>
          <w:szCs w:val="24"/>
        </w:rPr>
        <w:t>roversial religious movements. “</w:t>
      </w:r>
      <w:r w:rsidR="00A336BA" w:rsidRPr="00E74027">
        <w:rPr>
          <w:szCs w:val="24"/>
        </w:rPr>
        <w:t>Among tho</w:t>
      </w:r>
      <w:r>
        <w:rPr>
          <w:szCs w:val="24"/>
        </w:rPr>
        <w:t>se who had extraordinary ideas,” Leibniz concluded</w:t>
      </w:r>
      <w:r w:rsidR="00AE6292">
        <w:rPr>
          <w:szCs w:val="24"/>
        </w:rPr>
        <w:t>, “</w:t>
      </w:r>
      <w:r w:rsidR="00A336BA" w:rsidRPr="00E74027">
        <w:rPr>
          <w:szCs w:val="24"/>
        </w:rPr>
        <w:t xml:space="preserve">I have hardly found anyone beside van </w:t>
      </w:r>
      <w:proofErr w:type="spellStart"/>
      <w:r w:rsidR="00A336BA" w:rsidRPr="00E74027">
        <w:rPr>
          <w:szCs w:val="24"/>
        </w:rPr>
        <w:t>Helmont</w:t>
      </w:r>
      <w:proofErr w:type="spellEnd"/>
      <w:r w:rsidR="00A336BA" w:rsidRPr="00E74027">
        <w:rPr>
          <w:szCs w:val="24"/>
        </w:rPr>
        <w:t xml:space="preserve"> who shared this great principle of charity with me and who had a true eagerness for the general good, although in other respects we often had very different op</w:t>
      </w:r>
      <w:r w:rsidR="00AE6292">
        <w:rPr>
          <w:szCs w:val="24"/>
        </w:rPr>
        <w:t>inions about different matters.”</w:t>
      </w:r>
      <w:r w:rsidR="00AE6292">
        <w:rPr>
          <w:rStyle w:val="FootnoteReference"/>
          <w:szCs w:val="24"/>
        </w:rPr>
        <w:footnoteReference w:id="79"/>
      </w:r>
      <w:r w:rsidR="00AE6292">
        <w:rPr>
          <w:szCs w:val="24"/>
        </w:rPr>
        <w:t xml:space="preserve"> </w:t>
      </w:r>
      <w:r w:rsidR="00E02CBF">
        <w:rPr>
          <w:szCs w:val="24"/>
        </w:rPr>
        <w:t>Despite its shaky support</w:t>
      </w:r>
      <w:r w:rsidR="00443E40" w:rsidRPr="00E74027">
        <w:rPr>
          <w:szCs w:val="24"/>
        </w:rPr>
        <w:t xml:space="preserve"> and </w:t>
      </w:r>
      <w:r w:rsidR="00E02CBF">
        <w:rPr>
          <w:szCs w:val="24"/>
        </w:rPr>
        <w:t>its contrariety</w:t>
      </w:r>
      <w:r w:rsidR="00443E40" w:rsidRPr="00E74027">
        <w:rPr>
          <w:szCs w:val="24"/>
        </w:rPr>
        <w:t xml:space="preserve"> to</w:t>
      </w:r>
      <w:r w:rsidR="00443E40">
        <w:rPr>
          <w:szCs w:val="24"/>
        </w:rPr>
        <w:t xml:space="preserve"> ecclesiastical tradition, v</w:t>
      </w:r>
      <w:r w:rsidR="00A336BA" w:rsidRPr="00E74027">
        <w:rPr>
          <w:szCs w:val="24"/>
        </w:rPr>
        <w:t xml:space="preserve">an </w:t>
      </w:r>
      <w:proofErr w:type="spellStart"/>
      <w:r w:rsidR="00A336BA" w:rsidRPr="00E74027">
        <w:rPr>
          <w:szCs w:val="24"/>
        </w:rPr>
        <w:t>Helmont’s</w:t>
      </w:r>
      <w:proofErr w:type="spellEnd"/>
      <w:r w:rsidR="00A336BA" w:rsidRPr="00E74027">
        <w:rPr>
          <w:szCs w:val="24"/>
        </w:rPr>
        <w:t xml:space="preserve"> </w:t>
      </w:r>
      <w:r w:rsidR="00443E40" w:rsidRPr="00E74027">
        <w:rPr>
          <w:szCs w:val="24"/>
        </w:rPr>
        <w:t>radically optimistic eschatology</w:t>
      </w:r>
      <w:r w:rsidR="00BB6CCA">
        <w:rPr>
          <w:szCs w:val="24"/>
        </w:rPr>
        <w:t>,</w:t>
      </w:r>
      <w:r w:rsidR="00443E40" w:rsidRPr="00E74027">
        <w:rPr>
          <w:szCs w:val="24"/>
        </w:rPr>
        <w:t xml:space="preserve"> expecting a future millennium and a final restoration of all things, </w:t>
      </w:r>
      <w:r w:rsidR="00443E40">
        <w:rPr>
          <w:szCs w:val="24"/>
        </w:rPr>
        <w:t>played</w:t>
      </w:r>
      <w:r w:rsidR="00A336BA" w:rsidRPr="00E74027">
        <w:rPr>
          <w:szCs w:val="24"/>
        </w:rPr>
        <w:t xml:space="preserve"> an important role in inspiring his love of God and his commitment to the common good.</w:t>
      </w:r>
      <w:r w:rsidR="00E02CBF">
        <w:rPr>
          <w:rStyle w:val="FootnoteReference"/>
          <w:szCs w:val="24"/>
        </w:rPr>
        <w:footnoteReference w:id="80"/>
      </w:r>
      <w:r w:rsidR="00E02CBF">
        <w:rPr>
          <w:szCs w:val="24"/>
        </w:rPr>
        <w:t xml:space="preserve"> </w:t>
      </w:r>
      <w:r w:rsidR="00443E40">
        <w:rPr>
          <w:szCs w:val="24"/>
        </w:rPr>
        <w:t>Leibniz acknowledged and admired</w:t>
      </w:r>
      <w:r w:rsidR="00A336BA" w:rsidRPr="00E74027">
        <w:rPr>
          <w:szCs w:val="24"/>
        </w:rPr>
        <w:t xml:space="preserve"> this aspect of van </w:t>
      </w:r>
      <w:proofErr w:type="spellStart"/>
      <w:r w:rsidR="00A336BA" w:rsidRPr="00E74027">
        <w:rPr>
          <w:szCs w:val="24"/>
        </w:rPr>
        <w:t>Helmont’s</w:t>
      </w:r>
      <w:proofErr w:type="spellEnd"/>
      <w:r w:rsidR="00A336BA" w:rsidRPr="00E74027">
        <w:rPr>
          <w:szCs w:val="24"/>
        </w:rPr>
        <w:t xml:space="preserve"> thoug</w:t>
      </w:r>
      <w:r w:rsidR="00443E40">
        <w:rPr>
          <w:szCs w:val="24"/>
        </w:rPr>
        <w:t>h</w:t>
      </w:r>
      <w:r w:rsidR="00E02CBF">
        <w:rPr>
          <w:szCs w:val="24"/>
        </w:rPr>
        <w:t>t notwithstanding</w:t>
      </w:r>
      <w:r w:rsidR="00443E40">
        <w:rPr>
          <w:szCs w:val="24"/>
        </w:rPr>
        <w:t xml:space="preserve"> his disagreement with many of the baron’s “extraordinary ideas.”</w:t>
      </w:r>
    </w:p>
    <w:p w:rsidR="00015737" w:rsidRPr="00395EBF" w:rsidRDefault="00015737" w:rsidP="004D46D2">
      <w:pPr>
        <w:spacing w:line="360" w:lineRule="auto"/>
        <w:rPr>
          <w:rFonts w:cs="Times New Roman"/>
          <w:szCs w:val="24"/>
        </w:rPr>
      </w:pPr>
    </w:p>
    <w:p w:rsidR="00A50E79" w:rsidRPr="003E2B9B" w:rsidRDefault="00A50E79" w:rsidP="003E2B9B">
      <w:pPr>
        <w:spacing w:line="360" w:lineRule="auto"/>
        <w:jc w:val="center"/>
        <w:rPr>
          <w:rFonts w:cs="Times New Roman"/>
          <w:szCs w:val="24"/>
        </w:rPr>
      </w:pPr>
      <w:r w:rsidRPr="003E2B9B">
        <w:rPr>
          <w:rFonts w:cs="Times New Roman"/>
          <w:szCs w:val="24"/>
        </w:rPr>
        <w:t>Conclusion</w:t>
      </w:r>
      <w:r w:rsidR="004C79CA" w:rsidRPr="003E2B9B">
        <w:rPr>
          <w:rFonts w:cs="Times New Roman"/>
          <w:szCs w:val="24"/>
        </w:rPr>
        <w:t>: theory and praxis in Leibniz’s theology</w:t>
      </w:r>
    </w:p>
    <w:p w:rsidR="00A50E79" w:rsidRDefault="00A50E79" w:rsidP="004D46D2">
      <w:pPr>
        <w:spacing w:line="360" w:lineRule="auto"/>
        <w:rPr>
          <w:rFonts w:cs="Times New Roman"/>
          <w:szCs w:val="24"/>
        </w:rPr>
      </w:pPr>
    </w:p>
    <w:p w:rsidR="00604DE0" w:rsidRDefault="00604DE0" w:rsidP="00D86E32">
      <w:pPr>
        <w:autoSpaceDE w:val="0"/>
        <w:autoSpaceDN w:val="0"/>
        <w:adjustRightInd w:val="0"/>
        <w:spacing w:line="360" w:lineRule="auto"/>
        <w:rPr>
          <w:rFonts w:cs="Times New Roman"/>
          <w:szCs w:val="24"/>
        </w:rPr>
      </w:pPr>
      <w:r>
        <w:rPr>
          <w:rFonts w:cs="Times New Roman"/>
          <w:szCs w:val="24"/>
        </w:rPr>
        <w:t>I</w:t>
      </w:r>
      <w:r w:rsidRPr="00395EBF">
        <w:rPr>
          <w:rFonts w:cs="Times New Roman"/>
          <w:szCs w:val="24"/>
        </w:rPr>
        <w:t>n theoretic</w:t>
      </w:r>
      <w:r w:rsidR="004A6EB0">
        <w:rPr>
          <w:rFonts w:cs="Times New Roman"/>
          <w:szCs w:val="24"/>
        </w:rPr>
        <w:t>ally uncertain matters with a bearing on</w:t>
      </w:r>
      <w:r w:rsidRPr="00395EBF">
        <w:rPr>
          <w:rFonts w:cs="Times New Roman"/>
          <w:szCs w:val="24"/>
        </w:rPr>
        <w:t xml:space="preserve"> salvation and</w:t>
      </w:r>
      <w:r>
        <w:rPr>
          <w:rFonts w:cs="Times New Roman"/>
          <w:szCs w:val="24"/>
        </w:rPr>
        <w:t>,</w:t>
      </w:r>
      <w:r w:rsidRPr="00395EBF">
        <w:rPr>
          <w:rFonts w:cs="Times New Roman"/>
          <w:szCs w:val="24"/>
        </w:rPr>
        <w:t xml:space="preserve"> therefore</w:t>
      </w:r>
      <w:r>
        <w:rPr>
          <w:rFonts w:cs="Times New Roman"/>
          <w:szCs w:val="24"/>
        </w:rPr>
        <w:t>,</w:t>
      </w:r>
      <w:r w:rsidRPr="00395EBF">
        <w:rPr>
          <w:rFonts w:cs="Times New Roman"/>
          <w:szCs w:val="24"/>
        </w:rPr>
        <w:t xml:space="preserve"> </w:t>
      </w:r>
      <w:r w:rsidR="004A6EB0">
        <w:rPr>
          <w:rFonts w:cs="Times New Roman"/>
          <w:szCs w:val="24"/>
        </w:rPr>
        <w:t xml:space="preserve">on </w:t>
      </w:r>
      <w:r w:rsidRPr="00395EBF">
        <w:rPr>
          <w:rFonts w:cs="Times New Roman"/>
          <w:szCs w:val="24"/>
        </w:rPr>
        <w:t>eternal happiness</w:t>
      </w:r>
      <w:r>
        <w:rPr>
          <w:rFonts w:cs="Times New Roman"/>
          <w:szCs w:val="24"/>
        </w:rPr>
        <w:t>,</w:t>
      </w:r>
      <w:r w:rsidRPr="00395EBF">
        <w:rPr>
          <w:rFonts w:cs="Times New Roman"/>
          <w:szCs w:val="24"/>
        </w:rPr>
        <w:t xml:space="preserve"> the cr</w:t>
      </w:r>
      <w:r>
        <w:rPr>
          <w:rFonts w:cs="Times New Roman"/>
          <w:szCs w:val="24"/>
        </w:rPr>
        <w:t>iterion to follow was, for Leibniz,</w:t>
      </w:r>
      <w:r w:rsidRPr="00395EBF">
        <w:rPr>
          <w:rFonts w:cs="Times New Roman"/>
          <w:szCs w:val="24"/>
        </w:rPr>
        <w:t xml:space="preserve"> a prudential one. In such matters devoid of absolute (as opposed to moral) certainty, the most reasonable course of action is </w:t>
      </w:r>
      <w:r w:rsidRPr="00395EBF">
        <w:rPr>
          <w:rFonts w:cs="Times New Roman"/>
          <w:i/>
          <w:szCs w:val="24"/>
        </w:rPr>
        <w:t>to do</w:t>
      </w:r>
      <w:r w:rsidRPr="00395EBF">
        <w:rPr>
          <w:rFonts w:cs="Times New Roman"/>
          <w:szCs w:val="24"/>
        </w:rPr>
        <w:t xml:space="preserve"> what is </w:t>
      </w:r>
      <w:r w:rsidRPr="00395EBF">
        <w:rPr>
          <w:rFonts w:cs="Times New Roman"/>
          <w:i/>
          <w:szCs w:val="24"/>
        </w:rPr>
        <w:lastRenderedPageBreak/>
        <w:t xml:space="preserve">safer </w:t>
      </w:r>
      <w:r w:rsidRPr="00395EBF">
        <w:rPr>
          <w:rFonts w:cs="Times New Roman"/>
          <w:szCs w:val="24"/>
        </w:rPr>
        <w:t>even when such action relies on what is intrinsically improbable</w:t>
      </w:r>
      <w:r w:rsidRPr="00395EBF">
        <w:rPr>
          <w:rFonts w:cs="Times New Roman"/>
          <w:i/>
          <w:szCs w:val="24"/>
        </w:rPr>
        <w:t xml:space="preserve"> </w:t>
      </w:r>
      <w:r w:rsidRPr="00395EBF">
        <w:rPr>
          <w:rFonts w:cs="Times New Roman"/>
          <w:szCs w:val="24"/>
        </w:rPr>
        <w:t>from a strictly rational point of view. In a way</w:t>
      </w:r>
      <w:r w:rsidR="00805D95">
        <w:rPr>
          <w:rFonts w:cs="Times New Roman"/>
          <w:szCs w:val="24"/>
        </w:rPr>
        <w:t>,</w:t>
      </w:r>
      <w:r w:rsidRPr="00395EBF">
        <w:rPr>
          <w:rFonts w:cs="Times New Roman"/>
          <w:szCs w:val="24"/>
        </w:rPr>
        <w:t xml:space="preserve"> this is analogous to advising drivers to fasten the</w:t>
      </w:r>
      <w:r w:rsidR="00511136">
        <w:rPr>
          <w:rFonts w:cs="Times New Roman"/>
          <w:szCs w:val="24"/>
        </w:rPr>
        <w:t>ir</w:t>
      </w:r>
      <w:r w:rsidRPr="00395EBF">
        <w:rPr>
          <w:rFonts w:cs="Times New Roman"/>
          <w:szCs w:val="24"/>
        </w:rPr>
        <w:t xml:space="preserve"> seat belt even when it is very improbable that an a</w:t>
      </w:r>
      <w:r w:rsidR="00D86E32">
        <w:rPr>
          <w:rFonts w:cs="Times New Roman"/>
          <w:szCs w:val="24"/>
        </w:rPr>
        <w:t xml:space="preserve">ccident will happen. </w:t>
      </w:r>
      <w:r w:rsidRPr="00395EBF">
        <w:rPr>
          <w:rFonts w:cs="Times New Roman"/>
          <w:szCs w:val="24"/>
        </w:rPr>
        <w:t>This course of action applies also to doctrinal (and hence theoretical) issues. According to Leibniz, w</w:t>
      </w:r>
      <w:r w:rsidR="00511136">
        <w:rPr>
          <w:rFonts w:cs="Times New Roman"/>
          <w:szCs w:val="24"/>
        </w:rPr>
        <w:t>hen eternal life can be</w:t>
      </w:r>
      <w:r w:rsidRPr="00395EBF">
        <w:rPr>
          <w:rFonts w:cs="Times New Roman"/>
          <w:szCs w:val="24"/>
        </w:rPr>
        <w:t xml:space="preserve"> at stake, the safest thing is to hold on (that is, act on, endorse, accept, subscribe) to doctrines which can claim a long ecclesiastical tradition in the main Christian denominations,</w:t>
      </w:r>
      <w:r w:rsidRPr="00395EBF">
        <w:rPr>
          <w:rStyle w:val="FootnoteReference"/>
          <w:rFonts w:cs="Times New Roman"/>
          <w:szCs w:val="24"/>
        </w:rPr>
        <w:footnoteReference w:id="81"/>
      </w:r>
      <w:r w:rsidRPr="00395EBF">
        <w:rPr>
          <w:rFonts w:cs="Times New Roman"/>
          <w:szCs w:val="24"/>
        </w:rPr>
        <w:t xml:space="preserve"> at least as long as they can be cleared from charges of absurdity.</w:t>
      </w:r>
    </w:p>
    <w:p w:rsidR="00604DE0" w:rsidRDefault="00604DE0" w:rsidP="00604DE0">
      <w:pPr>
        <w:spacing w:line="360" w:lineRule="auto"/>
        <w:ind w:firstLine="720"/>
        <w:rPr>
          <w:rFonts w:cs="Times New Roman"/>
          <w:szCs w:val="24"/>
        </w:rPr>
      </w:pPr>
      <w:r>
        <w:rPr>
          <w:rFonts w:cs="Times New Roman"/>
          <w:szCs w:val="24"/>
        </w:rPr>
        <w:t xml:space="preserve">Holding on to traditional doctrines of revealed theology </w:t>
      </w:r>
      <w:r w:rsidR="00D86E32">
        <w:rPr>
          <w:rFonts w:cs="Times New Roman"/>
          <w:szCs w:val="24"/>
        </w:rPr>
        <w:t>had</w:t>
      </w:r>
      <w:r>
        <w:rPr>
          <w:rFonts w:cs="Times New Roman"/>
          <w:szCs w:val="24"/>
        </w:rPr>
        <w:t xml:space="preserve"> for Leibniz also a further practical end, namely, fostering the stability of a political and social order in which Christian theology was</w:t>
      </w:r>
      <w:r w:rsidRPr="00395EBF">
        <w:rPr>
          <w:rFonts w:cs="Times New Roman"/>
          <w:szCs w:val="24"/>
        </w:rPr>
        <w:t xml:space="preserve"> inextricably</w:t>
      </w:r>
      <w:r w:rsidR="007629BC">
        <w:rPr>
          <w:rFonts w:cs="Times New Roman"/>
          <w:szCs w:val="24"/>
        </w:rPr>
        <w:t xml:space="preserve"> interwoven in</w:t>
      </w:r>
      <w:r w:rsidRPr="00395EBF">
        <w:rPr>
          <w:rFonts w:cs="Times New Roman"/>
          <w:szCs w:val="24"/>
        </w:rPr>
        <w:t xml:space="preserve"> the complex religious, political, social,</w:t>
      </w:r>
      <w:r w:rsidR="00D86E32">
        <w:rPr>
          <w:rFonts w:cs="Times New Roman"/>
          <w:szCs w:val="24"/>
        </w:rPr>
        <w:t xml:space="preserve"> and cultural fabric which made</w:t>
      </w:r>
      <w:r w:rsidRPr="00395EBF">
        <w:rPr>
          <w:rFonts w:cs="Times New Roman"/>
          <w:szCs w:val="24"/>
        </w:rPr>
        <w:t xml:space="preserve"> up Europe.</w:t>
      </w:r>
      <w:r w:rsidR="00D86E32">
        <w:rPr>
          <w:rFonts w:cs="Times New Roman"/>
          <w:szCs w:val="24"/>
        </w:rPr>
        <w:t xml:space="preserve"> His </w:t>
      </w:r>
      <w:r w:rsidR="00AA2416">
        <w:rPr>
          <w:rFonts w:cs="Times New Roman"/>
          <w:szCs w:val="24"/>
        </w:rPr>
        <w:t xml:space="preserve">remarkable </w:t>
      </w:r>
      <w:r w:rsidR="00D86E32">
        <w:rPr>
          <w:rFonts w:cs="Times New Roman"/>
          <w:szCs w:val="24"/>
        </w:rPr>
        <w:t xml:space="preserve">theoretical engagement with the fine points of highly complex and abstract theological positions was both aimed at </w:t>
      </w:r>
      <w:r w:rsidR="00AA2416">
        <w:rPr>
          <w:rFonts w:cs="Times New Roman"/>
          <w:szCs w:val="24"/>
        </w:rPr>
        <w:t xml:space="preserve">ecclesiastical </w:t>
      </w:r>
      <w:r w:rsidR="004A6EB0">
        <w:rPr>
          <w:rFonts w:cs="Times New Roman"/>
          <w:szCs w:val="24"/>
        </w:rPr>
        <w:t xml:space="preserve">reunification </w:t>
      </w:r>
      <w:r w:rsidR="00D86E32">
        <w:rPr>
          <w:rFonts w:cs="Times New Roman"/>
          <w:szCs w:val="24"/>
        </w:rPr>
        <w:t>and political pacification, and at ensuring that traditional doctrines met criteria of possibility (without which they co</w:t>
      </w:r>
      <w:r w:rsidR="0061120E">
        <w:rPr>
          <w:rFonts w:cs="Times New Roman"/>
          <w:szCs w:val="24"/>
        </w:rPr>
        <w:t>uld no longer be held as true).</w:t>
      </w:r>
      <w:r w:rsidR="009A7E0E">
        <w:rPr>
          <w:rFonts w:cs="Times New Roman"/>
          <w:szCs w:val="24"/>
        </w:rPr>
        <w:t xml:space="preserve"> F</w:t>
      </w:r>
      <w:r w:rsidR="00D248CE">
        <w:rPr>
          <w:rFonts w:cs="Times New Roman"/>
          <w:szCs w:val="24"/>
        </w:rPr>
        <w:t>rom what has been said above</w:t>
      </w:r>
      <w:r w:rsidR="007104D8">
        <w:rPr>
          <w:rFonts w:cs="Times New Roman"/>
          <w:szCs w:val="24"/>
        </w:rPr>
        <w:t>, however,</w:t>
      </w:r>
      <w:r w:rsidR="00D248CE">
        <w:rPr>
          <w:rFonts w:cs="Times New Roman"/>
          <w:szCs w:val="24"/>
        </w:rPr>
        <w:t xml:space="preserve"> I hope </w:t>
      </w:r>
      <w:r w:rsidR="00CC1C9B">
        <w:rPr>
          <w:rFonts w:cs="Times New Roman"/>
          <w:szCs w:val="24"/>
        </w:rPr>
        <w:t xml:space="preserve">that it </w:t>
      </w:r>
      <w:r w:rsidR="00166B5C">
        <w:rPr>
          <w:rFonts w:cs="Times New Roman"/>
          <w:szCs w:val="24"/>
        </w:rPr>
        <w:t xml:space="preserve">has now become </w:t>
      </w:r>
      <w:r w:rsidR="00D248CE">
        <w:rPr>
          <w:rFonts w:cs="Times New Roman"/>
          <w:szCs w:val="24"/>
        </w:rPr>
        <w:t>clear</w:t>
      </w:r>
      <w:r w:rsidR="007104D8">
        <w:rPr>
          <w:rFonts w:cs="Times New Roman"/>
          <w:szCs w:val="24"/>
        </w:rPr>
        <w:t xml:space="preserve"> </w:t>
      </w:r>
      <w:r w:rsidR="00D248CE">
        <w:rPr>
          <w:rFonts w:cs="Times New Roman"/>
          <w:szCs w:val="24"/>
        </w:rPr>
        <w:t xml:space="preserve">that </w:t>
      </w:r>
      <w:r w:rsidR="009A7E0E">
        <w:rPr>
          <w:rFonts w:cs="Times New Roman"/>
          <w:szCs w:val="24"/>
        </w:rPr>
        <w:t>this</w:t>
      </w:r>
      <w:r w:rsidR="009874B0">
        <w:rPr>
          <w:rFonts w:cs="Times New Roman"/>
          <w:szCs w:val="24"/>
        </w:rPr>
        <w:t xml:space="preserve"> theological pragmatism was</w:t>
      </w:r>
      <w:r w:rsidR="00166B5C">
        <w:rPr>
          <w:rFonts w:cs="Times New Roman"/>
          <w:szCs w:val="24"/>
        </w:rPr>
        <w:t xml:space="preserve"> no</w:t>
      </w:r>
      <w:r w:rsidR="00D248CE">
        <w:rPr>
          <w:rFonts w:cs="Times New Roman"/>
          <w:szCs w:val="24"/>
        </w:rPr>
        <w:t xml:space="preserve"> mere </w:t>
      </w:r>
      <w:proofErr w:type="spellStart"/>
      <w:r w:rsidR="00D248CE" w:rsidRPr="00656E53">
        <w:rPr>
          <w:rFonts w:cs="Times New Roman"/>
          <w:i/>
          <w:szCs w:val="24"/>
        </w:rPr>
        <w:t>Kirchenpolitik</w:t>
      </w:r>
      <w:proofErr w:type="spellEnd"/>
      <w:r w:rsidR="00D248CE">
        <w:rPr>
          <w:rFonts w:cs="Times New Roman"/>
          <w:szCs w:val="24"/>
        </w:rPr>
        <w:t xml:space="preserve">. Rather, it </w:t>
      </w:r>
      <w:r w:rsidR="009874B0">
        <w:rPr>
          <w:rFonts w:cs="Times New Roman"/>
          <w:szCs w:val="24"/>
        </w:rPr>
        <w:t>was</w:t>
      </w:r>
      <w:r w:rsidR="00D248CE">
        <w:rPr>
          <w:rFonts w:cs="Times New Roman"/>
          <w:szCs w:val="24"/>
        </w:rPr>
        <w:t xml:space="preserve"> remarkably -- perhaps </w:t>
      </w:r>
      <w:r w:rsidR="00166B5C">
        <w:rPr>
          <w:rFonts w:cs="Times New Roman"/>
          <w:szCs w:val="24"/>
        </w:rPr>
        <w:t>even</w:t>
      </w:r>
      <w:r w:rsidR="00D248CE">
        <w:rPr>
          <w:rFonts w:cs="Times New Roman"/>
          <w:szCs w:val="24"/>
        </w:rPr>
        <w:t xml:space="preserve"> surprisingly --</w:t>
      </w:r>
      <w:r w:rsidR="00B25CA6">
        <w:rPr>
          <w:rFonts w:cs="Times New Roman"/>
          <w:szCs w:val="24"/>
        </w:rPr>
        <w:t xml:space="preserve"> close</w:t>
      </w:r>
      <w:r w:rsidR="00D248CE">
        <w:rPr>
          <w:rFonts w:cs="Times New Roman"/>
          <w:szCs w:val="24"/>
        </w:rPr>
        <w:t xml:space="preserve"> to </w:t>
      </w:r>
      <w:r w:rsidR="00E4445F">
        <w:rPr>
          <w:rFonts w:cs="Times New Roman"/>
          <w:szCs w:val="24"/>
        </w:rPr>
        <w:t xml:space="preserve">the family of </w:t>
      </w:r>
      <w:r w:rsidR="00D248CE">
        <w:rPr>
          <w:rFonts w:cs="Times New Roman"/>
          <w:szCs w:val="24"/>
        </w:rPr>
        <w:t>prudential approaches to religious belief</w:t>
      </w:r>
      <w:r w:rsidR="00E4445F">
        <w:rPr>
          <w:rFonts w:cs="Times New Roman"/>
          <w:szCs w:val="24"/>
        </w:rPr>
        <w:t xml:space="preserve"> </w:t>
      </w:r>
      <w:r w:rsidR="0067303F">
        <w:rPr>
          <w:rFonts w:cs="Times New Roman"/>
          <w:szCs w:val="24"/>
        </w:rPr>
        <w:t>proposed</w:t>
      </w:r>
      <w:r w:rsidR="00E4445F">
        <w:rPr>
          <w:rFonts w:cs="Times New Roman"/>
          <w:szCs w:val="24"/>
        </w:rPr>
        <w:t xml:space="preserve"> by Pascal and later authors such as William James</w:t>
      </w:r>
      <w:r w:rsidR="00D248CE">
        <w:rPr>
          <w:rFonts w:cs="Times New Roman"/>
          <w:szCs w:val="24"/>
        </w:rPr>
        <w:t>.</w:t>
      </w:r>
    </w:p>
    <w:p w:rsidR="0014231E" w:rsidRPr="00395EBF" w:rsidRDefault="009874B0" w:rsidP="0014231E">
      <w:pPr>
        <w:autoSpaceDE w:val="0"/>
        <w:autoSpaceDN w:val="0"/>
        <w:adjustRightInd w:val="0"/>
        <w:spacing w:line="360" w:lineRule="auto"/>
        <w:ind w:firstLine="720"/>
        <w:rPr>
          <w:rFonts w:cs="Times New Roman"/>
          <w:szCs w:val="24"/>
        </w:rPr>
      </w:pPr>
      <w:r>
        <w:rPr>
          <w:rFonts w:cs="Times New Roman"/>
          <w:szCs w:val="24"/>
        </w:rPr>
        <w:t>In any case</w:t>
      </w:r>
      <w:r w:rsidR="0014231E">
        <w:rPr>
          <w:rFonts w:cs="Times New Roman"/>
          <w:szCs w:val="24"/>
        </w:rPr>
        <w:t>,</w:t>
      </w:r>
      <w:r w:rsidR="0014231E" w:rsidRPr="00395EBF">
        <w:rPr>
          <w:rFonts w:cs="Times New Roman"/>
          <w:szCs w:val="24"/>
        </w:rPr>
        <w:t xml:space="preserve"> </w:t>
      </w:r>
      <w:r w:rsidR="0014231E">
        <w:rPr>
          <w:rFonts w:cs="Times New Roman"/>
          <w:szCs w:val="24"/>
        </w:rPr>
        <w:t xml:space="preserve">ultimately </w:t>
      </w:r>
      <w:r w:rsidR="0014231E" w:rsidRPr="00395EBF">
        <w:rPr>
          <w:rFonts w:cs="Times New Roman"/>
          <w:szCs w:val="24"/>
        </w:rPr>
        <w:t>salvation d</w:t>
      </w:r>
      <w:r>
        <w:rPr>
          <w:rFonts w:cs="Times New Roman"/>
          <w:szCs w:val="24"/>
        </w:rPr>
        <w:t>id</w:t>
      </w:r>
      <w:r w:rsidR="0014231E" w:rsidRPr="00395EBF">
        <w:rPr>
          <w:rFonts w:cs="Times New Roman"/>
          <w:szCs w:val="24"/>
        </w:rPr>
        <w:t xml:space="preserve"> not depend</w:t>
      </w:r>
      <w:r w:rsidR="00D248CE">
        <w:rPr>
          <w:rFonts w:cs="Times New Roman"/>
          <w:szCs w:val="24"/>
        </w:rPr>
        <w:t xml:space="preserve"> for Leibniz</w:t>
      </w:r>
      <w:r w:rsidR="0014231E" w:rsidRPr="00395EBF">
        <w:rPr>
          <w:rFonts w:cs="Times New Roman"/>
          <w:szCs w:val="24"/>
        </w:rPr>
        <w:t xml:space="preserve"> on believing a set of objectively true doctrines (such as, for him, at least some of the key doctrines of the Christian revelation) but on a practical attitude: the love of God above all things. Such love is not different from seeking the common good and achieving happiness. Having an appropriate theoretical understanding of God and his creation is undoubtedly for Leibniz the high road leading to this love. But it is not the only road and what ultimately </w:t>
      </w:r>
      <w:r w:rsidR="0014231E">
        <w:rPr>
          <w:rFonts w:cs="Times New Roman"/>
          <w:szCs w:val="24"/>
        </w:rPr>
        <w:t>matters is to reach the final destination</w:t>
      </w:r>
      <w:r w:rsidR="0014231E" w:rsidRPr="00395EBF">
        <w:rPr>
          <w:rFonts w:cs="Times New Roman"/>
          <w:szCs w:val="24"/>
        </w:rPr>
        <w:t xml:space="preserve">. The core of Leibniz’s theology, as a theology of love, is ultimately concerned with what </w:t>
      </w:r>
      <w:r w:rsidR="0014231E">
        <w:rPr>
          <w:rFonts w:cs="Times New Roman"/>
          <w:szCs w:val="24"/>
        </w:rPr>
        <w:t>to do rather than what to know.</w:t>
      </w:r>
    </w:p>
    <w:p w:rsidR="00015737" w:rsidRPr="00395EBF" w:rsidRDefault="00CB78E9" w:rsidP="005942FC">
      <w:pPr>
        <w:autoSpaceDE w:val="0"/>
        <w:autoSpaceDN w:val="0"/>
        <w:adjustRightInd w:val="0"/>
        <w:spacing w:line="360" w:lineRule="auto"/>
        <w:ind w:firstLine="720"/>
        <w:rPr>
          <w:rFonts w:cs="Times New Roman"/>
          <w:szCs w:val="24"/>
        </w:rPr>
      </w:pPr>
      <w:r w:rsidRPr="00395EBF">
        <w:rPr>
          <w:rFonts w:cs="Times New Roman"/>
          <w:szCs w:val="24"/>
        </w:rPr>
        <w:t xml:space="preserve">This is </w:t>
      </w:r>
      <w:r w:rsidR="002224A2" w:rsidRPr="00395EBF">
        <w:rPr>
          <w:rFonts w:cs="Times New Roman"/>
          <w:szCs w:val="24"/>
        </w:rPr>
        <w:t xml:space="preserve">in </w:t>
      </w:r>
      <w:r w:rsidRPr="00395EBF">
        <w:rPr>
          <w:rFonts w:cs="Times New Roman"/>
          <w:szCs w:val="24"/>
        </w:rPr>
        <w:t>line, I think, with the practical inspiration of Leibniz’s intellectual programme as a whole.</w:t>
      </w:r>
      <w:r w:rsidR="0081173D" w:rsidRPr="00395EBF">
        <w:rPr>
          <w:rFonts w:cs="Times New Roman"/>
          <w:szCs w:val="24"/>
        </w:rPr>
        <w:t xml:space="preserve"> </w:t>
      </w:r>
      <w:r w:rsidR="00E252DF" w:rsidRPr="00395EBF">
        <w:rPr>
          <w:rFonts w:cs="Times New Roman"/>
          <w:szCs w:val="24"/>
        </w:rPr>
        <w:t>Leibniz was a man who</w:t>
      </w:r>
      <w:r w:rsidRPr="00395EBF">
        <w:rPr>
          <w:rFonts w:cs="Times New Roman"/>
          <w:szCs w:val="24"/>
        </w:rPr>
        <w:t xml:space="preserve"> more than anything else wanted </w:t>
      </w:r>
      <w:r w:rsidRPr="00395EBF">
        <w:rPr>
          <w:rFonts w:cs="Times New Roman"/>
          <w:i/>
          <w:szCs w:val="24"/>
        </w:rPr>
        <w:t>to do</w:t>
      </w:r>
      <w:r w:rsidR="002833D6" w:rsidRPr="00395EBF">
        <w:rPr>
          <w:rFonts w:cs="Times New Roman"/>
          <w:szCs w:val="24"/>
        </w:rPr>
        <w:t xml:space="preserve"> </w:t>
      </w:r>
      <w:r w:rsidRPr="00395EBF">
        <w:rPr>
          <w:rFonts w:cs="Times New Roman"/>
          <w:szCs w:val="24"/>
        </w:rPr>
        <w:t xml:space="preserve">certain things. Even the most theoretical reflections on logic, mathematics, metaphysics, physics, and </w:t>
      </w:r>
      <w:r w:rsidRPr="00395EBF">
        <w:rPr>
          <w:rFonts w:cs="Times New Roman"/>
          <w:szCs w:val="24"/>
        </w:rPr>
        <w:lastRenderedPageBreak/>
        <w:t xml:space="preserve">ethics were, ultimately, </w:t>
      </w:r>
      <w:r w:rsidRPr="00395EBF">
        <w:rPr>
          <w:rFonts w:cs="Times New Roman"/>
          <w:i/>
          <w:iCs/>
          <w:szCs w:val="24"/>
        </w:rPr>
        <w:t xml:space="preserve">ad </w:t>
      </w:r>
      <w:proofErr w:type="spellStart"/>
      <w:r w:rsidRPr="00395EBF">
        <w:rPr>
          <w:rFonts w:cs="Times New Roman"/>
          <w:i/>
          <w:iCs/>
          <w:szCs w:val="24"/>
        </w:rPr>
        <w:t>usum</w:t>
      </w:r>
      <w:proofErr w:type="spellEnd"/>
      <w:r w:rsidRPr="00395EBF">
        <w:rPr>
          <w:rFonts w:cs="Times New Roman"/>
          <w:i/>
          <w:iCs/>
          <w:szCs w:val="24"/>
        </w:rPr>
        <w:t xml:space="preserve"> vitae </w:t>
      </w:r>
      <w:r w:rsidRPr="00395EBF">
        <w:rPr>
          <w:rFonts w:cs="Times New Roman"/>
          <w:szCs w:val="24"/>
        </w:rPr>
        <w:t>(in the service</w:t>
      </w:r>
      <w:r w:rsidR="00F64FCF" w:rsidRPr="00395EBF">
        <w:rPr>
          <w:rFonts w:cs="Times New Roman"/>
          <w:szCs w:val="24"/>
        </w:rPr>
        <w:t xml:space="preserve"> </w:t>
      </w:r>
      <w:r w:rsidRPr="00395EBF">
        <w:rPr>
          <w:rFonts w:cs="Times New Roman"/>
          <w:szCs w:val="24"/>
        </w:rPr>
        <w:t xml:space="preserve">of life) and aimed at the happiness of humankind. </w:t>
      </w:r>
      <w:r w:rsidR="005942FC">
        <w:rPr>
          <w:rFonts w:cs="Times New Roman"/>
          <w:szCs w:val="24"/>
        </w:rPr>
        <w:t>With this backdr</w:t>
      </w:r>
      <w:r w:rsidR="00FD18D6">
        <w:rPr>
          <w:rFonts w:cs="Times New Roman"/>
          <w:szCs w:val="24"/>
        </w:rPr>
        <w:t>op in</w:t>
      </w:r>
      <w:r w:rsidR="005942FC">
        <w:rPr>
          <w:rFonts w:cs="Times New Roman"/>
          <w:szCs w:val="24"/>
        </w:rPr>
        <w:t xml:space="preserve"> place, i</w:t>
      </w:r>
      <w:r w:rsidR="005942FC" w:rsidRPr="00395EBF">
        <w:rPr>
          <w:rFonts w:cs="Times New Roman"/>
          <w:szCs w:val="24"/>
        </w:rPr>
        <w:t>t should come as no surprise</w:t>
      </w:r>
      <w:r w:rsidR="005942FC">
        <w:rPr>
          <w:rFonts w:cs="Times New Roman"/>
          <w:szCs w:val="24"/>
        </w:rPr>
        <w:t xml:space="preserve"> that the highly sophisticated intellectual approach adopted by Leibniz in discussions of controversial theological issues, and his unrelenting theoretical defence of traditional doctrines, is combined with a highly pragmatic approach to theological belief. H</w:t>
      </w:r>
      <w:r w:rsidR="00F64FCF" w:rsidRPr="00395EBF">
        <w:rPr>
          <w:rFonts w:cs="Times New Roman"/>
          <w:szCs w:val="24"/>
        </w:rPr>
        <w:t>is</w:t>
      </w:r>
      <w:r w:rsidRPr="00395EBF">
        <w:rPr>
          <w:rFonts w:cs="Times New Roman"/>
          <w:szCs w:val="24"/>
        </w:rPr>
        <w:t xml:space="preserve"> theology</w:t>
      </w:r>
      <w:r w:rsidR="00F64FCF" w:rsidRPr="00395EBF">
        <w:rPr>
          <w:rFonts w:cs="Times New Roman"/>
          <w:szCs w:val="24"/>
        </w:rPr>
        <w:t xml:space="preserve"> was</w:t>
      </w:r>
      <w:r w:rsidR="004E31AF" w:rsidRPr="00395EBF">
        <w:rPr>
          <w:rFonts w:cs="Times New Roman"/>
          <w:szCs w:val="24"/>
        </w:rPr>
        <w:t xml:space="preserve"> </w:t>
      </w:r>
      <w:r w:rsidR="00F64FCF" w:rsidRPr="00395EBF">
        <w:rPr>
          <w:rFonts w:cs="Times New Roman"/>
          <w:szCs w:val="24"/>
        </w:rPr>
        <w:t xml:space="preserve">ultimately driven by soteriological considerations and was </w:t>
      </w:r>
      <w:r w:rsidR="00A5271A" w:rsidRPr="00395EBF">
        <w:rPr>
          <w:rFonts w:cs="Times New Roman"/>
          <w:szCs w:val="24"/>
        </w:rPr>
        <w:t xml:space="preserve">therefore </w:t>
      </w:r>
      <w:r w:rsidR="004E31AF" w:rsidRPr="00395EBF">
        <w:rPr>
          <w:rFonts w:cs="Times New Roman"/>
          <w:szCs w:val="24"/>
        </w:rPr>
        <w:t>conceived as</w:t>
      </w:r>
      <w:r w:rsidRPr="00395EBF">
        <w:rPr>
          <w:rFonts w:cs="Times New Roman"/>
          <w:szCs w:val="24"/>
        </w:rPr>
        <w:t xml:space="preserve"> </w:t>
      </w:r>
      <w:r w:rsidR="004E31AF" w:rsidRPr="00395EBF">
        <w:rPr>
          <w:rFonts w:cs="Times New Roman"/>
          <w:szCs w:val="24"/>
        </w:rPr>
        <w:t>in the service of life</w:t>
      </w:r>
      <w:r w:rsidR="004E31AF" w:rsidRPr="00395EBF">
        <w:rPr>
          <w:rFonts w:cs="Times New Roman"/>
          <w:iCs/>
          <w:szCs w:val="24"/>
        </w:rPr>
        <w:t xml:space="preserve"> </w:t>
      </w:r>
      <w:r w:rsidRPr="00395EBF">
        <w:rPr>
          <w:rFonts w:cs="Times New Roman"/>
          <w:iCs/>
          <w:szCs w:val="24"/>
        </w:rPr>
        <w:t xml:space="preserve">– </w:t>
      </w:r>
      <w:r w:rsidR="007235BD" w:rsidRPr="00395EBF">
        <w:rPr>
          <w:rFonts w:cs="Times New Roman"/>
          <w:iCs/>
          <w:szCs w:val="24"/>
        </w:rPr>
        <w:t>in this case</w:t>
      </w:r>
      <w:r w:rsidR="00FB38A8" w:rsidRPr="00395EBF">
        <w:rPr>
          <w:rFonts w:cs="Times New Roman"/>
          <w:iCs/>
          <w:szCs w:val="24"/>
        </w:rPr>
        <w:t>,</w:t>
      </w:r>
      <w:r w:rsidR="00361B68" w:rsidRPr="00395EBF">
        <w:rPr>
          <w:rFonts w:cs="Times New Roman"/>
          <w:iCs/>
          <w:szCs w:val="24"/>
        </w:rPr>
        <w:t xml:space="preserve"> </w:t>
      </w:r>
      <w:r w:rsidRPr="00395EBF">
        <w:rPr>
          <w:rFonts w:cs="Times New Roman"/>
          <w:i/>
          <w:iCs/>
          <w:szCs w:val="24"/>
        </w:rPr>
        <w:t>eternal</w:t>
      </w:r>
      <w:r w:rsidR="00D3551C">
        <w:rPr>
          <w:rFonts w:cs="Times New Roman"/>
          <w:iCs/>
          <w:szCs w:val="24"/>
        </w:rPr>
        <w:t xml:space="preserve"> life.</w:t>
      </w:r>
    </w:p>
    <w:p w:rsidR="00D3551C" w:rsidRDefault="00D3551C" w:rsidP="00D3551C">
      <w:pPr>
        <w:spacing w:line="360" w:lineRule="auto"/>
        <w:ind w:firstLine="720"/>
        <w:rPr>
          <w:rFonts w:cs="Times New Roman"/>
          <w:szCs w:val="24"/>
        </w:rPr>
      </w:pPr>
      <w:r>
        <w:rPr>
          <w:rFonts w:cs="Times New Roman"/>
          <w:szCs w:val="24"/>
        </w:rPr>
        <w:t xml:space="preserve">At the same time, this practical end should not be regarded as in competition with theoretical inquiries. Although </w:t>
      </w:r>
      <w:r w:rsidRPr="00395EBF">
        <w:rPr>
          <w:rFonts w:cs="Times New Roman"/>
          <w:szCs w:val="24"/>
        </w:rPr>
        <w:t xml:space="preserve">Leibniz’s </w:t>
      </w:r>
      <w:r w:rsidR="0093646C">
        <w:rPr>
          <w:rFonts w:cs="Times New Roman"/>
          <w:szCs w:val="24"/>
        </w:rPr>
        <w:t>intellectual programme did</w:t>
      </w:r>
      <w:r>
        <w:rPr>
          <w:rFonts w:cs="Times New Roman"/>
          <w:szCs w:val="24"/>
        </w:rPr>
        <w:t xml:space="preserve"> have,</w:t>
      </w:r>
      <w:r w:rsidRPr="00395EBF">
        <w:rPr>
          <w:rFonts w:cs="Times New Roman"/>
          <w:szCs w:val="24"/>
        </w:rPr>
        <w:t xml:space="preserve"> ultimately</w:t>
      </w:r>
      <w:r>
        <w:rPr>
          <w:rFonts w:cs="Times New Roman"/>
          <w:szCs w:val="24"/>
        </w:rPr>
        <w:t>,</w:t>
      </w:r>
      <w:r w:rsidRPr="00395EBF">
        <w:rPr>
          <w:rFonts w:cs="Times New Roman"/>
          <w:szCs w:val="24"/>
        </w:rPr>
        <w:t xml:space="preserve"> a practical end</w:t>
      </w:r>
      <w:r w:rsidR="008C07DD">
        <w:rPr>
          <w:rFonts w:cs="Times New Roman"/>
          <w:szCs w:val="24"/>
        </w:rPr>
        <w:t>,</w:t>
      </w:r>
      <w:r>
        <w:rPr>
          <w:rFonts w:cs="Times New Roman"/>
          <w:szCs w:val="24"/>
        </w:rPr>
        <w:t xml:space="preserve"> this end is chiefly pursued by Leibniz through intellectual means, namely through theoretical advances in a variety of fields. Not only Leibniz’s personal gifts seem to have laid more on the ‘theory’ </w:t>
      </w:r>
      <w:r w:rsidR="0093646C">
        <w:rPr>
          <w:rFonts w:cs="Times New Roman"/>
          <w:szCs w:val="24"/>
        </w:rPr>
        <w:t xml:space="preserve">than on the ‘praxis’ </w:t>
      </w:r>
      <w:r>
        <w:rPr>
          <w:rFonts w:cs="Times New Roman"/>
          <w:szCs w:val="24"/>
        </w:rPr>
        <w:t>side of the Be</w:t>
      </w:r>
      <w:r w:rsidR="00F60A12">
        <w:rPr>
          <w:rFonts w:cs="Times New Roman"/>
          <w:szCs w:val="24"/>
        </w:rPr>
        <w:t>r</w:t>
      </w:r>
      <w:r>
        <w:rPr>
          <w:rFonts w:cs="Times New Roman"/>
          <w:szCs w:val="24"/>
        </w:rPr>
        <w:t>lin Society motto.</w:t>
      </w:r>
      <w:r w:rsidR="009638D7" w:rsidRPr="009638D7">
        <w:rPr>
          <w:rStyle w:val="FootnoteReference"/>
          <w:rFonts w:cs="Times New Roman"/>
          <w:szCs w:val="24"/>
        </w:rPr>
        <w:t xml:space="preserve"> </w:t>
      </w:r>
      <w:r w:rsidR="009638D7">
        <w:rPr>
          <w:rStyle w:val="FootnoteReference"/>
          <w:rFonts w:cs="Times New Roman"/>
          <w:szCs w:val="24"/>
        </w:rPr>
        <w:footnoteReference w:id="82"/>
      </w:r>
      <w:r>
        <w:rPr>
          <w:rFonts w:cs="Times New Roman"/>
          <w:szCs w:val="24"/>
        </w:rPr>
        <w:t xml:space="preserve"> More importantly, he saw the development of all the sciences as </w:t>
      </w:r>
      <w:r w:rsidR="0093646C">
        <w:rPr>
          <w:rFonts w:cs="Times New Roman"/>
          <w:szCs w:val="24"/>
        </w:rPr>
        <w:t xml:space="preserve">the </w:t>
      </w:r>
      <w:r w:rsidR="00777AEA">
        <w:rPr>
          <w:rFonts w:cs="Times New Roman"/>
          <w:szCs w:val="24"/>
        </w:rPr>
        <w:t>principal</w:t>
      </w:r>
      <w:r w:rsidR="00B07689">
        <w:rPr>
          <w:rFonts w:cs="Times New Roman"/>
          <w:szCs w:val="24"/>
        </w:rPr>
        <w:t xml:space="preserve"> mean</w:t>
      </w:r>
      <w:r>
        <w:rPr>
          <w:rFonts w:cs="Times New Roman"/>
          <w:szCs w:val="24"/>
        </w:rPr>
        <w:t xml:space="preserve"> to </w:t>
      </w:r>
      <w:r w:rsidR="0093646C">
        <w:rPr>
          <w:rFonts w:cs="Times New Roman"/>
          <w:szCs w:val="24"/>
        </w:rPr>
        <w:t>pursue</w:t>
      </w:r>
      <w:r>
        <w:rPr>
          <w:rFonts w:cs="Times New Roman"/>
          <w:szCs w:val="24"/>
        </w:rPr>
        <w:t xml:space="preserve"> the end of human happiness</w:t>
      </w:r>
      <w:r w:rsidR="004C79CA">
        <w:rPr>
          <w:rFonts w:cs="Times New Roman"/>
          <w:szCs w:val="24"/>
        </w:rPr>
        <w:t xml:space="preserve"> and, at the same time, </w:t>
      </w:r>
      <w:r w:rsidR="002A4209">
        <w:rPr>
          <w:rFonts w:cs="Times New Roman"/>
          <w:szCs w:val="24"/>
        </w:rPr>
        <w:t xml:space="preserve">to </w:t>
      </w:r>
      <w:r w:rsidR="004C79CA">
        <w:rPr>
          <w:rFonts w:cs="Times New Roman"/>
          <w:szCs w:val="24"/>
        </w:rPr>
        <w:t>celebrate the glory of God in his creation</w:t>
      </w:r>
      <w:r>
        <w:rPr>
          <w:rFonts w:cs="Times New Roman"/>
          <w:szCs w:val="24"/>
        </w:rPr>
        <w:t>. In Leibniz’s intellectual project as a whole, this acc</w:t>
      </w:r>
      <w:r w:rsidR="002A4209">
        <w:rPr>
          <w:rFonts w:cs="Times New Roman"/>
          <w:szCs w:val="24"/>
        </w:rPr>
        <w:t>ounts for the pivotal role played</w:t>
      </w:r>
      <w:r>
        <w:rPr>
          <w:rFonts w:cs="Times New Roman"/>
          <w:szCs w:val="24"/>
        </w:rPr>
        <w:t xml:space="preserve"> by theoretical inquiries.</w:t>
      </w:r>
    </w:p>
    <w:p w:rsidR="0014231E" w:rsidRDefault="00D3551C" w:rsidP="0014231E">
      <w:pPr>
        <w:autoSpaceDE w:val="0"/>
        <w:autoSpaceDN w:val="0"/>
        <w:adjustRightInd w:val="0"/>
        <w:spacing w:line="360" w:lineRule="auto"/>
        <w:ind w:firstLine="720"/>
      </w:pPr>
      <w:r>
        <w:rPr>
          <w:rFonts w:cs="Times New Roman"/>
          <w:szCs w:val="24"/>
        </w:rPr>
        <w:t xml:space="preserve">The same approach is reflected in Leibniz’s theoretical engagement with theology and his commitment to a robust Christian dogmatic which is rationally defensible. Knowing God and believing true doctrines is the </w:t>
      </w:r>
      <w:r w:rsidRPr="003F4710">
        <w:rPr>
          <w:rFonts w:cs="Times New Roman"/>
          <w:i/>
          <w:szCs w:val="24"/>
        </w:rPr>
        <w:t>safest</w:t>
      </w:r>
      <w:r>
        <w:rPr>
          <w:rFonts w:cs="Times New Roman"/>
          <w:szCs w:val="24"/>
        </w:rPr>
        <w:t xml:space="preserve"> road to </w:t>
      </w:r>
      <w:r w:rsidR="005C3544">
        <w:rPr>
          <w:rFonts w:cs="Times New Roman"/>
          <w:szCs w:val="24"/>
        </w:rPr>
        <w:t xml:space="preserve">salvation or eternal happiness. </w:t>
      </w:r>
      <w:r>
        <w:rPr>
          <w:rFonts w:cs="Times New Roman"/>
          <w:szCs w:val="24"/>
        </w:rPr>
        <w:t xml:space="preserve">The aim of the journey, however, is practical. It consists in an eternal happiness which, ultimately, depends on love. </w:t>
      </w:r>
      <w:r w:rsidR="008A1318">
        <w:rPr>
          <w:rFonts w:cs="Times New Roman"/>
          <w:i/>
          <w:szCs w:val="24"/>
        </w:rPr>
        <w:t xml:space="preserve">Caritas </w:t>
      </w:r>
      <w:r w:rsidR="008A1318">
        <w:rPr>
          <w:rFonts w:cs="Times New Roman"/>
          <w:szCs w:val="24"/>
        </w:rPr>
        <w:t xml:space="preserve">is </w:t>
      </w:r>
      <w:r w:rsidR="005C3544">
        <w:rPr>
          <w:rFonts w:cs="Times New Roman"/>
          <w:szCs w:val="24"/>
        </w:rPr>
        <w:t xml:space="preserve">indeed </w:t>
      </w:r>
      <w:r w:rsidR="008A1318">
        <w:rPr>
          <w:rFonts w:cs="Times New Roman"/>
          <w:szCs w:val="24"/>
        </w:rPr>
        <w:t>the highest virtue in Leibniz’s theology</w:t>
      </w:r>
      <w:r w:rsidR="005C3544">
        <w:rPr>
          <w:rFonts w:cs="Times New Roman"/>
          <w:szCs w:val="24"/>
        </w:rPr>
        <w:t>.</w:t>
      </w:r>
      <w:r w:rsidR="00123EE0">
        <w:rPr>
          <w:rStyle w:val="FootnoteReference"/>
          <w:rFonts w:cs="Times New Roman"/>
          <w:szCs w:val="24"/>
        </w:rPr>
        <w:footnoteReference w:id="83"/>
      </w:r>
      <w:r w:rsidR="005C3544">
        <w:rPr>
          <w:rFonts w:cs="Times New Roman"/>
          <w:szCs w:val="24"/>
        </w:rPr>
        <w:t xml:space="preserve"> This may sound somewhat </w:t>
      </w:r>
      <w:r w:rsidR="00A839FD">
        <w:rPr>
          <w:rFonts w:cs="Times New Roman"/>
          <w:szCs w:val="24"/>
        </w:rPr>
        <w:t xml:space="preserve">more in tune </w:t>
      </w:r>
      <w:r w:rsidR="001F346B">
        <w:rPr>
          <w:rFonts w:cs="Times New Roman"/>
          <w:szCs w:val="24"/>
        </w:rPr>
        <w:t xml:space="preserve">with </w:t>
      </w:r>
      <w:r w:rsidR="00A839FD">
        <w:rPr>
          <w:rFonts w:cs="Times New Roman"/>
          <w:szCs w:val="24"/>
        </w:rPr>
        <w:t xml:space="preserve">Paul’s Hymn </w:t>
      </w:r>
      <w:r w:rsidR="00356BA3">
        <w:rPr>
          <w:rFonts w:cs="Times New Roman"/>
          <w:szCs w:val="24"/>
        </w:rPr>
        <w:t>to C</w:t>
      </w:r>
      <w:r w:rsidR="00A839FD">
        <w:rPr>
          <w:rFonts w:cs="Times New Roman"/>
          <w:szCs w:val="24"/>
        </w:rPr>
        <w:t xml:space="preserve">harity than </w:t>
      </w:r>
      <w:r w:rsidR="005C3544">
        <w:rPr>
          <w:rFonts w:cs="Times New Roman"/>
          <w:szCs w:val="24"/>
        </w:rPr>
        <w:t>with</w:t>
      </w:r>
      <w:r w:rsidR="003C55B9">
        <w:rPr>
          <w:rFonts w:cs="Times New Roman"/>
          <w:szCs w:val="24"/>
        </w:rPr>
        <w:t xml:space="preserve"> </w:t>
      </w:r>
      <w:r w:rsidR="001F346B">
        <w:rPr>
          <w:rFonts w:cs="Times New Roman"/>
          <w:szCs w:val="24"/>
        </w:rPr>
        <w:t>Luther’s</w:t>
      </w:r>
      <w:r w:rsidR="005C3544">
        <w:rPr>
          <w:rFonts w:cs="Times New Roman"/>
          <w:szCs w:val="24"/>
        </w:rPr>
        <w:t xml:space="preserve"> emphasis </w:t>
      </w:r>
      <w:r w:rsidR="00A839FD">
        <w:rPr>
          <w:rFonts w:cs="Times New Roman"/>
          <w:szCs w:val="24"/>
        </w:rPr>
        <w:t xml:space="preserve">on </w:t>
      </w:r>
      <w:r w:rsidR="00356BA3">
        <w:rPr>
          <w:rFonts w:cs="Times New Roman"/>
          <w:szCs w:val="24"/>
        </w:rPr>
        <w:t>f</w:t>
      </w:r>
      <w:r w:rsidR="003F4710">
        <w:rPr>
          <w:rFonts w:cs="Times New Roman"/>
          <w:szCs w:val="24"/>
        </w:rPr>
        <w:t xml:space="preserve">aith. </w:t>
      </w:r>
      <w:r w:rsidR="004C79CA">
        <w:rPr>
          <w:rFonts w:cs="Times New Roman"/>
          <w:szCs w:val="24"/>
        </w:rPr>
        <w:t>I</w:t>
      </w:r>
      <w:r w:rsidR="003F4710">
        <w:rPr>
          <w:rFonts w:cs="Times New Roman"/>
          <w:szCs w:val="24"/>
        </w:rPr>
        <w:t>t is</w:t>
      </w:r>
      <w:r w:rsidR="005C3544">
        <w:rPr>
          <w:rFonts w:cs="Times New Roman"/>
          <w:szCs w:val="24"/>
        </w:rPr>
        <w:t xml:space="preserve"> </w:t>
      </w:r>
      <w:r w:rsidR="004C79CA">
        <w:rPr>
          <w:rFonts w:cs="Times New Roman"/>
          <w:szCs w:val="24"/>
        </w:rPr>
        <w:t xml:space="preserve">in any case </w:t>
      </w:r>
      <w:r w:rsidR="00A839FD">
        <w:rPr>
          <w:rFonts w:cs="Times New Roman"/>
          <w:szCs w:val="24"/>
        </w:rPr>
        <w:t xml:space="preserve">well </w:t>
      </w:r>
      <w:r w:rsidR="00B07689">
        <w:rPr>
          <w:rFonts w:cs="Times New Roman"/>
          <w:szCs w:val="24"/>
        </w:rPr>
        <w:t>attuned with</w:t>
      </w:r>
      <w:r w:rsidR="00A839FD">
        <w:rPr>
          <w:rFonts w:cs="Times New Roman"/>
          <w:szCs w:val="24"/>
        </w:rPr>
        <w:t xml:space="preserve"> the Christian tradition </w:t>
      </w:r>
      <w:r w:rsidR="00B07689">
        <w:rPr>
          <w:rFonts w:cs="Times New Roman"/>
          <w:szCs w:val="24"/>
        </w:rPr>
        <w:t xml:space="preserve">which assigns </w:t>
      </w:r>
      <w:r w:rsidR="00A839FD">
        <w:rPr>
          <w:rFonts w:cs="Times New Roman"/>
          <w:szCs w:val="24"/>
        </w:rPr>
        <w:t>pre-eminent place to</w:t>
      </w:r>
      <w:r w:rsidR="005C3544">
        <w:rPr>
          <w:rFonts w:cs="Times New Roman"/>
          <w:szCs w:val="24"/>
        </w:rPr>
        <w:t xml:space="preserve"> </w:t>
      </w:r>
      <w:r w:rsidR="00356BA3">
        <w:rPr>
          <w:rFonts w:cs="Times New Roman"/>
          <w:szCs w:val="24"/>
        </w:rPr>
        <w:t>c</w:t>
      </w:r>
      <w:r w:rsidR="005C3544">
        <w:rPr>
          <w:rFonts w:cs="Times New Roman"/>
          <w:szCs w:val="24"/>
        </w:rPr>
        <w:t>harity amongst the</w:t>
      </w:r>
      <w:r w:rsidR="00356BA3">
        <w:rPr>
          <w:rFonts w:cs="Times New Roman"/>
          <w:szCs w:val="24"/>
        </w:rPr>
        <w:t xml:space="preserve"> three</w:t>
      </w:r>
      <w:r w:rsidR="005C3544">
        <w:rPr>
          <w:rFonts w:cs="Times New Roman"/>
          <w:szCs w:val="24"/>
        </w:rPr>
        <w:t xml:space="preserve"> theological virtues</w:t>
      </w:r>
      <w:r w:rsidR="00B07689">
        <w:rPr>
          <w:rFonts w:cs="Times New Roman"/>
          <w:szCs w:val="24"/>
        </w:rPr>
        <w:t>, and</w:t>
      </w:r>
      <w:r w:rsidR="00356BA3">
        <w:rPr>
          <w:rFonts w:cs="Times New Roman"/>
          <w:szCs w:val="24"/>
        </w:rPr>
        <w:t xml:space="preserve"> </w:t>
      </w:r>
      <w:r w:rsidR="000A57E4">
        <w:rPr>
          <w:rFonts w:cs="Times New Roman"/>
          <w:szCs w:val="24"/>
        </w:rPr>
        <w:t xml:space="preserve">indeed </w:t>
      </w:r>
      <w:r w:rsidR="00356BA3">
        <w:rPr>
          <w:rFonts w:cs="Times New Roman"/>
          <w:szCs w:val="24"/>
        </w:rPr>
        <w:t>amongst all virtues</w:t>
      </w:r>
      <w:r w:rsidR="005C3544">
        <w:rPr>
          <w:rFonts w:cs="Times New Roman"/>
          <w:szCs w:val="24"/>
        </w:rPr>
        <w:t>.</w:t>
      </w:r>
      <w:r w:rsidR="0014231E">
        <w:rPr>
          <w:rFonts w:cs="Times New Roman"/>
          <w:szCs w:val="24"/>
        </w:rPr>
        <w:t xml:space="preserve"> </w:t>
      </w:r>
      <w:r w:rsidR="0014231E" w:rsidRPr="00395EBF">
        <w:rPr>
          <w:rFonts w:cs="Times New Roman"/>
          <w:szCs w:val="24"/>
        </w:rPr>
        <w:t xml:space="preserve">Leibniz’s view of theology as ultimately practical </w:t>
      </w:r>
      <w:r w:rsidR="006647E7">
        <w:rPr>
          <w:rFonts w:cs="Times New Roman"/>
          <w:szCs w:val="24"/>
        </w:rPr>
        <w:t>was</w:t>
      </w:r>
      <w:r w:rsidR="004C79CA">
        <w:rPr>
          <w:rFonts w:cs="Times New Roman"/>
          <w:szCs w:val="24"/>
        </w:rPr>
        <w:t xml:space="preserve"> </w:t>
      </w:r>
      <w:r w:rsidR="0014231E" w:rsidRPr="00395EBF">
        <w:rPr>
          <w:rFonts w:cs="Times New Roman"/>
          <w:szCs w:val="24"/>
        </w:rPr>
        <w:t>far from unprecedented or unorthodox</w:t>
      </w:r>
      <w:r w:rsidR="00FD3B20">
        <w:rPr>
          <w:rFonts w:cs="Times New Roman"/>
          <w:szCs w:val="24"/>
        </w:rPr>
        <w:t xml:space="preserve"> or of dubious theological pedigree</w:t>
      </w:r>
      <w:r w:rsidR="0014231E" w:rsidRPr="00395EBF">
        <w:rPr>
          <w:rFonts w:cs="Times New Roman"/>
          <w:szCs w:val="24"/>
        </w:rPr>
        <w:t>. Amongst predecessors</w:t>
      </w:r>
      <w:r w:rsidR="0014231E">
        <w:rPr>
          <w:rFonts w:cs="Times New Roman"/>
          <w:szCs w:val="24"/>
        </w:rPr>
        <w:t>,</w:t>
      </w:r>
      <w:r w:rsidR="0014231E" w:rsidRPr="00395EBF">
        <w:rPr>
          <w:rFonts w:cs="Times New Roman"/>
          <w:szCs w:val="24"/>
        </w:rPr>
        <w:t xml:space="preserve"> Leibniz could count theologians of the stature of St Bonaventure who regarded the principal end of theology as our becoming good and our </w:t>
      </w:r>
      <w:r w:rsidR="0014231E" w:rsidRPr="00395EBF">
        <w:rPr>
          <w:rFonts w:cs="Times New Roman"/>
          <w:szCs w:val="24"/>
        </w:rPr>
        <w:lastRenderedPageBreak/>
        <w:t>being moved to love God.</w:t>
      </w:r>
      <w:r w:rsidR="0014231E" w:rsidRPr="00395EBF">
        <w:rPr>
          <w:rStyle w:val="FootnoteReference"/>
          <w:rFonts w:cs="Times New Roman"/>
          <w:szCs w:val="24"/>
        </w:rPr>
        <w:footnoteReference w:id="84"/>
      </w:r>
      <w:r w:rsidR="008C07DD">
        <w:rPr>
          <w:rFonts w:cs="Times New Roman"/>
          <w:szCs w:val="24"/>
        </w:rPr>
        <w:t xml:space="preserve"> In conclusion, </w:t>
      </w:r>
      <w:r w:rsidR="00691192">
        <w:t xml:space="preserve">Leibniz’s </w:t>
      </w:r>
      <w:r w:rsidR="008C07DD">
        <w:t>theological pragmatism</w:t>
      </w:r>
      <w:r w:rsidR="00976FFD">
        <w:t>, apparent especially in his attitude toward revealed theology,</w:t>
      </w:r>
      <w:r w:rsidR="008C07DD">
        <w:t xml:space="preserve"> should not be regarded as merely secular and political but as grounded</w:t>
      </w:r>
      <w:r w:rsidR="00870C09">
        <w:t xml:space="preserve"> </w:t>
      </w:r>
      <w:r w:rsidR="008C07DD">
        <w:t xml:space="preserve">in a practical orientation which was also genuinely </w:t>
      </w:r>
      <w:r w:rsidR="00691192">
        <w:t xml:space="preserve">and fundamentally </w:t>
      </w:r>
      <w:r w:rsidR="008C07DD">
        <w:t>theological.</w:t>
      </w:r>
    </w:p>
    <w:p w:rsidR="006F4EDA" w:rsidRDefault="006F4EDA" w:rsidP="006F4EDA">
      <w:pPr>
        <w:pStyle w:val="Subtitle"/>
        <w:jc w:val="center"/>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p>
    <w:p w:rsidR="006F4EDA" w:rsidRDefault="006F4EDA" w:rsidP="006F4EDA">
      <w:pPr>
        <w:pStyle w:val="Subtitle"/>
        <w:rPr>
          <w:szCs w:val="24"/>
        </w:rPr>
      </w:pPr>
      <w:r>
        <w:rPr>
          <w:szCs w:val="24"/>
        </w:rPr>
        <w:t>Abbreviations</w:t>
      </w:r>
    </w:p>
    <w:p w:rsidR="006F4EDA" w:rsidRPr="004C4495" w:rsidRDefault="006F4EDA" w:rsidP="006F4EDA">
      <w:pPr>
        <w:pStyle w:val="Subtitle"/>
        <w:rPr>
          <w:szCs w:val="24"/>
        </w:rPr>
      </w:pP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de-DE"/>
        </w:rPr>
      </w:pPr>
      <w:r w:rsidRPr="004C4495">
        <w:rPr>
          <w:lang w:val="de-DE"/>
        </w:rPr>
        <w:t>A:</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de-DE"/>
        </w:rPr>
      </w:pPr>
      <w:r w:rsidRPr="004C4495">
        <w:rPr>
          <w:lang w:val="de-DE"/>
        </w:rPr>
        <w:t xml:space="preserve">Leibniz, G. W. </w:t>
      </w:r>
      <w:r w:rsidRPr="004C4495">
        <w:rPr>
          <w:i/>
          <w:lang w:val="de-DE"/>
        </w:rPr>
        <w:t>Sämtliche Schriften und Briefe</w:t>
      </w:r>
      <w:r w:rsidRPr="004C4495">
        <w:rPr>
          <w:lang w:val="de-DE"/>
        </w:rPr>
        <w:t>. Ed. by the Academy of Sciences of Berlin. Series I</w:t>
      </w:r>
      <w:r w:rsidRPr="004C4495">
        <w:rPr>
          <w:lang w:val="de-DE"/>
        </w:rPr>
        <w:noBreakHyphen/>
        <w:t>VIII. Darmstadt - Leipzig - Berlin, 1923 ff.</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proofErr w:type="gramStart"/>
      <w:r w:rsidRPr="004C4495">
        <w:t>Cited by series, volume, and page.</w:t>
      </w:r>
      <w:proofErr w:type="gramEnd"/>
      <w:r w:rsidRPr="004C4495">
        <w:t xml:space="preserve"> “N.” followed by an Arabic numeral indicates the number assigned to the text by the editors.</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de-DE"/>
        </w:rPr>
      </w:pP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de-DE"/>
        </w:rPr>
      </w:pPr>
      <w:r w:rsidRPr="004C4495">
        <w:rPr>
          <w:lang w:val="de-DE"/>
        </w:rPr>
        <w:t>GP:</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de-DE"/>
        </w:rPr>
      </w:pPr>
      <w:r w:rsidRPr="004C4495">
        <w:rPr>
          <w:lang w:val="de-DE"/>
        </w:rPr>
        <w:t xml:space="preserve">Leibniz, G. W. </w:t>
      </w:r>
      <w:r w:rsidRPr="004C4495">
        <w:rPr>
          <w:i/>
          <w:lang w:val="de-DE"/>
        </w:rPr>
        <w:t>Die Philosophischen Schriften</w:t>
      </w:r>
      <w:r w:rsidRPr="004C4495">
        <w:rPr>
          <w:lang w:val="de-DE"/>
        </w:rPr>
        <w:t>. Ed. by C. I. Gerhardt. 7 vols. Berlin: Weidmannsche Buchhandlung, 1875</w:t>
      </w:r>
      <w:r w:rsidRPr="004C4495">
        <w:rPr>
          <w:lang w:val="de-DE"/>
        </w:rPr>
        <w:noBreakHyphen/>
        <w:t>1890. Reprint, Hildesheim: Olms, 1960</w:t>
      </w:r>
      <w:r w:rsidRPr="004C4495">
        <w:rPr>
          <w:lang w:val="de-DE"/>
        </w:rPr>
        <w:noBreakHyphen/>
        <w:t>1961.</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proofErr w:type="gramStart"/>
      <w:r w:rsidRPr="004C4495">
        <w:t>Cited by volume and page.</w:t>
      </w:r>
      <w:proofErr w:type="gramEnd"/>
    </w:p>
    <w:p w:rsidR="006F4EDA" w:rsidRPr="004C4495" w:rsidRDefault="006F4EDA" w:rsidP="006F4EDA">
      <w:pPr>
        <w:pStyle w:val="Subtitle"/>
        <w:rPr>
          <w:szCs w:val="24"/>
        </w:rPr>
      </w:pPr>
    </w:p>
    <w:p w:rsidR="006F4EDA" w:rsidRPr="00DF2606" w:rsidRDefault="006F4EDA" w:rsidP="006F4EDA">
      <w:pPr>
        <w:pStyle w:val="Subtitle"/>
        <w:rPr>
          <w:smallCaps w:val="0"/>
          <w:szCs w:val="24"/>
          <w:lang w:val="it-IT"/>
        </w:rPr>
      </w:pPr>
      <w:r w:rsidRPr="00DF2606">
        <w:rPr>
          <w:smallCaps w:val="0"/>
          <w:szCs w:val="24"/>
          <w:lang w:val="it-IT"/>
        </w:rPr>
        <w:t>Dutens:</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r w:rsidRPr="00DF2606">
        <w:rPr>
          <w:lang w:val="it-IT"/>
        </w:rPr>
        <w:t xml:space="preserve">Leibniz, G. W. </w:t>
      </w:r>
      <w:r w:rsidRPr="00DF2606">
        <w:rPr>
          <w:i/>
          <w:lang w:val="it-IT"/>
        </w:rPr>
        <w:t>Opera omnia, nunc primum collecta, in classes distributa, praefationibus et indicibus exornata</w:t>
      </w:r>
      <w:r w:rsidRPr="00DF2606">
        <w:rPr>
          <w:lang w:val="it-IT"/>
        </w:rPr>
        <w:t xml:space="preserve">. </w:t>
      </w:r>
      <w:proofErr w:type="gramStart"/>
      <w:r w:rsidRPr="004C4495">
        <w:t xml:space="preserve">Ed. by L. </w:t>
      </w:r>
      <w:proofErr w:type="spellStart"/>
      <w:r w:rsidRPr="004C4495">
        <w:t>Dutens</w:t>
      </w:r>
      <w:proofErr w:type="spellEnd"/>
      <w:r w:rsidRPr="004C4495">
        <w:t>.</w:t>
      </w:r>
      <w:proofErr w:type="gramEnd"/>
      <w:r w:rsidRPr="004C4495">
        <w:t xml:space="preserve"> 6 vols. </w:t>
      </w:r>
      <w:smartTag w:uri="urn:schemas-microsoft-com:office:smarttags" w:element="City">
        <w:smartTag w:uri="urn:schemas-microsoft-com:office:smarttags" w:element="place">
          <w:r w:rsidRPr="004C4495">
            <w:t>Geneva</w:t>
          </w:r>
        </w:smartTag>
      </w:smartTag>
      <w:r w:rsidRPr="004C4495">
        <w:t xml:space="preserve">: De </w:t>
      </w:r>
      <w:proofErr w:type="spellStart"/>
      <w:r w:rsidRPr="004C4495">
        <w:t>Tournes</w:t>
      </w:r>
      <w:proofErr w:type="spellEnd"/>
      <w:r w:rsidRPr="004C4495">
        <w:t>, 1768.</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r w:rsidRPr="004C4495">
        <w:t>Cited by volume, part (if relevant), and page.</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pPr>
    </w:p>
    <w:p w:rsidR="006F4EDA" w:rsidRPr="004C4495" w:rsidRDefault="006F4EDA" w:rsidP="006F4EDA">
      <w:pPr>
        <w:pStyle w:val="Subtitle"/>
        <w:rPr>
          <w:smallCaps w:val="0"/>
          <w:szCs w:val="24"/>
        </w:rPr>
      </w:pPr>
      <w:proofErr w:type="spellStart"/>
      <w:r w:rsidRPr="004C4495">
        <w:rPr>
          <w:smallCaps w:val="0"/>
          <w:szCs w:val="24"/>
        </w:rPr>
        <w:t>Klopp</w:t>
      </w:r>
      <w:proofErr w:type="spellEnd"/>
      <w:r w:rsidRPr="004C4495">
        <w:rPr>
          <w:smallCaps w:val="0"/>
          <w:szCs w:val="24"/>
        </w:rPr>
        <w:t>:</w:t>
      </w:r>
    </w:p>
    <w:p w:rsidR="006F4EDA" w:rsidRPr="004C4495" w:rsidRDefault="006F4EDA" w:rsidP="006F4EDA">
      <w:pPr>
        <w:pStyle w:val="Subtitle"/>
        <w:rPr>
          <w:smallCaps w:val="0"/>
          <w:szCs w:val="24"/>
        </w:rPr>
      </w:pPr>
      <w:r w:rsidRPr="004C4495">
        <w:rPr>
          <w:smallCaps w:val="0"/>
          <w:szCs w:val="24"/>
        </w:rPr>
        <w:t xml:space="preserve">Leibniz, G. W. </w:t>
      </w:r>
      <w:r w:rsidRPr="004C4495">
        <w:rPr>
          <w:i/>
          <w:smallCaps w:val="0"/>
          <w:szCs w:val="24"/>
        </w:rPr>
        <w:t xml:space="preserve">Die </w:t>
      </w:r>
      <w:proofErr w:type="spellStart"/>
      <w:r w:rsidRPr="004C4495">
        <w:rPr>
          <w:i/>
          <w:smallCaps w:val="0"/>
          <w:szCs w:val="24"/>
        </w:rPr>
        <w:t>Werke</w:t>
      </w:r>
      <w:proofErr w:type="spellEnd"/>
      <w:r w:rsidRPr="004C4495">
        <w:rPr>
          <w:smallCaps w:val="0"/>
          <w:szCs w:val="24"/>
        </w:rPr>
        <w:t xml:space="preserve">. </w:t>
      </w:r>
      <w:proofErr w:type="gramStart"/>
      <w:r w:rsidRPr="004C4495">
        <w:rPr>
          <w:smallCaps w:val="0"/>
          <w:szCs w:val="24"/>
        </w:rPr>
        <w:t xml:space="preserve">Ed. by O. </w:t>
      </w:r>
      <w:proofErr w:type="spellStart"/>
      <w:r w:rsidRPr="004C4495">
        <w:rPr>
          <w:smallCaps w:val="0"/>
          <w:szCs w:val="24"/>
        </w:rPr>
        <w:t>Klopp</w:t>
      </w:r>
      <w:proofErr w:type="spellEnd"/>
      <w:r w:rsidRPr="004C4495">
        <w:rPr>
          <w:smallCaps w:val="0"/>
          <w:szCs w:val="24"/>
        </w:rPr>
        <w:t>.</w:t>
      </w:r>
      <w:proofErr w:type="gramEnd"/>
      <w:r w:rsidRPr="004C4495">
        <w:rPr>
          <w:smallCaps w:val="0"/>
          <w:szCs w:val="24"/>
        </w:rPr>
        <w:t xml:space="preserve"> 11 vols. </w:t>
      </w:r>
      <w:smartTag w:uri="urn:schemas-microsoft-com:office:smarttags" w:element="place">
        <w:r w:rsidRPr="004C4495">
          <w:rPr>
            <w:smallCaps w:val="0"/>
            <w:szCs w:val="24"/>
          </w:rPr>
          <w:t>Hannover</w:t>
        </w:r>
      </w:smartTag>
      <w:r w:rsidRPr="004C4495">
        <w:rPr>
          <w:smallCaps w:val="0"/>
          <w:szCs w:val="24"/>
        </w:rPr>
        <w:t xml:space="preserve">: </w:t>
      </w:r>
      <w:proofErr w:type="spellStart"/>
      <w:r w:rsidRPr="004C4495">
        <w:rPr>
          <w:smallCaps w:val="0"/>
          <w:szCs w:val="24"/>
        </w:rPr>
        <w:t>Klindworth</w:t>
      </w:r>
      <w:proofErr w:type="spellEnd"/>
      <w:r w:rsidRPr="004C4495">
        <w:rPr>
          <w:smallCaps w:val="0"/>
          <w:szCs w:val="24"/>
        </w:rPr>
        <w:t xml:space="preserve">, </w:t>
      </w:r>
      <w:r w:rsidRPr="004C4495">
        <w:rPr>
          <w:szCs w:val="24"/>
        </w:rPr>
        <w:t>1864-1884.</w:t>
      </w:r>
    </w:p>
    <w:p w:rsidR="006F4EDA" w:rsidRPr="004C4495" w:rsidRDefault="006F4EDA" w:rsidP="006F4EDA">
      <w:pPr>
        <w:pStyle w:val="Subtitle"/>
        <w:rPr>
          <w:i/>
          <w:smallCaps w:val="0"/>
          <w:szCs w:val="24"/>
        </w:rPr>
      </w:pPr>
    </w:p>
    <w:p w:rsidR="006F4EDA" w:rsidRPr="004C4495" w:rsidRDefault="006F4EDA" w:rsidP="006F4EDA">
      <w:pPr>
        <w:pStyle w:val="Subtitle"/>
        <w:rPr>
          <w:smallCaps w:val="0"/>
          <w:szCs w:val="24"/>
        </w:rPr>
      </w:pPr>
      <w:proofErr w:type="spellStart"/>
      <w:r w:rsidRPr="004C4495">
        <w:rPr>
          <w:smallCaps w:val="0"/>
          <w:szCs w:val="24"/>
        </w:rPr>
        <w:t>Grua</w:t>
      </w:r>
      <w:proofErr w:type="spellEnd"/>
      <w:r w:rsidRPr="004C4495">
        <w:rPr>
          <w:smallCaps w:val="0"/>
          <w:szCs w:val="24"/>
        </w:rPr>
        <w:t>:</w:t>
      </w:r>
    </w:p>
    <w:p w:rsidR="006F4EDA" w:rsidRPr="004C4495" w:rsidRDefault="006F4EDA" w:rsidP="006F4ED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lang w:val="fr-FR"/>
        </w:rPr>
      </w:pPr>
      <w:r w:rsidRPr="004C4495">
        <w:rPr>
          <w:lang w:val="fr-FR"/>
        </w:rPr>
        <w:t xml:space="preserve">Leibniz, G. W. </w:t>
      </w:r>
      <w:r w:rsidRPr="004C4495">
        <w:rPr>
          <w:i/>
          <w:lang w:val="fr-FR"/>
        </w:rPr>
        <w:t>Textes inédits d'après les manuscrits de la Bibliothèque Provinciale de Hanovre</w:t>
      </w:r>
      <w:r w:rsidRPr="004C4495">
        <w:rPr>
          <w:lang w:val="fr-FR"/>
        </w:rPr>
        <w:t xml:space="preserve">. Ed. </w:t>
      </w:r>
      <w:proofErr w:type="gramStart"/>
      <w:r w:rsidRPr="004C4495">
        <w:rPr>
          <w:lang w:val="fr-FR"/>
        </w:rPr>
        <w:t>by</w:t>
      </w:r>
      <w:proofErr w:type="gramEnd"/>
      <w:r w:rsidRPr="004C4495">
        <w:rPr>
          <w:lang w:val="fr-FR"/>
        </w:rPr>
        <w:t xml:space="preserve"> G. </w:t>
      </w:r>
      <w:proofErr w:type="spellStart"/>
      <w:r w:rsidRPr="004C4495">
        <w:rPr>
          <w:lang w:val="fr-FR"/>
        </w:rPr>
        <w:t>Grua</w:t>
      </w:r>
      <w:proofErr w:type="spellEnd"/>
      <w:r w:rsidRPr="004C4495">
        <w:rPr>
          <w:lang w:val="fr-FR"/>
        </w:rPr>
        <w:t>. 2 vols. Paris: PUF, 1948.</w:t>
      </w:r>
    </w:p>
    <w:p w:rsidR="006F4EDA" w:rsidRPr="004C4495" w:rsidRDefault="006F4EDA" w:rsidP="006F4EDA">
      <w:pPr>
        <w:pStyle w:val="Subtitle"/>
        <w:rPr>
          <w:smallCaps w:val="0"/>
          <w:szCs w:val="24"/>
        </w:rPr>
      </w:pPr>
    </w:p>
    <w:p w:rsidR="006F4EDA" w:rsidRDefault="006F4EDA" w:rsidP="006F4EDA">
      <w:pPr>
        <w:autoSpaceDE w:val="0"/>
        <w:autoSpaceDN w:val="0"/>
        <w:adjustRightInd w:val="0"/>
        <w:spacing w:line="360" w:lineRule="auto"/>
        <w:ind w:firstLine="720"/>
        <w:rPr>
          <w:rFonts w:cs="Times New Roman"/>
          <w:szCs w:val="24"/>
        </w:rPr>
      </w:pPr>
    </w:p>
    <w:sectPr w:rsidR="006F4EDA" w:rsidSect="00463F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3E" w:rsidRDefault="006A133E" w:rsidP="00EB7C54">
      <w:r>
        <w:separator/>
      </w:r>
    </w:p>
  </w:endnote>
  <w:endnote w:type="continuationSeparator" w:id="0">
    <w:p w:rsidR="006A133E" w:rsidRDefault="006A133E" w:rsidP="00EB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903"/>
      <w:docPartObj>
        <w:docPartGallery w:val="Page Numbers (Bottom of Page)"/>
        <w:docPartUnique/>
      </w:docPartObj>
    </w:sdtPr>
    <w:sdtEndPr/>
    <w:sdtContent>
      <w:p w:rsidR="003D40D7" w:rsidRDefault="003D40D7">
        <w:pPr>
          <w:pStyle w:val="Footer"/>
          <w:jc w:val="right"/>
        </w:pPr>
        <w:r>
          <w:fldChar w:fldCharType="begin"/>
        </w:r>
        <w:r>
          <w:instrText xml:space="preserve"> PAGE   \* MERGEFORMAT </w:instrText>
        </w:r>
        <w:r>
          <w:fldChar w:fldCharType="separate"/>
        </w:r>
        <w:r w:rsidR="006F4EDA">
          <w:rPr>
            <w:noProof/>
          </w:rPr>
          <w:t>31</w:t>
        </w:r>
        <w:r>
          <w:rPr>
            <w:noProof/>
          </w:rPr>
          <w:fldChar w:fldCharType="end"/>
        </w:r>
      </w:p>
    </w:sdtContent>
  </w:sdt>
  <w:p w:rsidR="003D40D7" w:rsidRDefault="003D4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3E" w:rsidRDefault="006A133E" w:rsidP="00EB7C54">
      <w:r>
        <w:separator/>
      </w:r>
    </w:p>
  </w:footnote>
  <w:footnote w:type="continuationSeparator" w:id="0">
    <w:p w:rsidR="006A133E" w:rsidRDefault="006A133E" w:rsidP="00EB7C54">
      <w:r>
        <w:continuationSeparator/>
      </w:r>
    </w:p>
  </w:footnote>
  <w:footnote w:id="1">
    <w:p w:rsidR="003D40D7" w:rsidRPr="00951E87" w:rsidRDefault="003D40D7" w:rsidP="00730398">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I would like to thank Howard Hotson for his helpful comments on a draft version of this paper. My discussion is indebted to R. M. Adams’s insightful studies o</w:t>
      </w:r>
      <w:r>
        <w:rPr>
          <w:rFonts w:cs="Times New Roman"/>
          <w:szCs w:val="24"/>
        </w:rPr>
        <w:t>f</w:t>
      </w:r>
      <w:r w:rsidRPr="00951E87">
        <w:rPr>
          <w:rFonts w:cs="Times New Roman"/>
          <w:szCs w:val="24"/>
        </w:rPr>
        <w:t xml:space="preserve"> religion and theology in Leibniz, notably, “Justice, Happiness, and Perfection in Leibniz’s City of God”, in: Larry M. Jorgensen and Samuel Newlands (</w:t>
      </w:r>
      <w:proofErr w:type="spellStart"/>
      <w:r w:rsidRPr="00951E87">
        <w:rPr>
          <w:rFonts w:cs="Times New Roman"/>
          <w:szCs w:val="24"/>
        </w:rPr>
        <w:t>eds</w:t>
      </w:r>
      <w:proofErr w:type="spellEnd"/>
      <w:r w:rsidRPr="00951E87">
        <w:rPr>
          <w:rFonts w:cs="Times New Roman"/>
          <w:szCs w:val="24"/>
        </w:rPr>
        <w:t xml:space="preserve">), </w:t>
      </w:r>
      <w:r w:rsidRPr="00951E87">
        <w:rPr>
          <w:rFonts w:cs="Times New Roman"/>
          <w:i/>
          <w:szCs w:val="24"/>
        </w:rPr>
        <w:t>New Essays on Leibniz’s Theodicy</w:t>
      </w:r>
      <w:r w:rsidRPr="00951E87">
        <w:rPr>
          <w:rFonts w:cs="Times New Roman"/>
          <w:szCs w:val="24"/>
        </w:rPr>
        <w:t xml:space="preserve">, Oxford 2014, pp. 197-217; “Leibniz’s Conception of Religion”, in: Mark D. </w:t>
      </w:r>
      <w:proofErr w:type="spellStart"/>
      <w:r w:rsidRPr="00951E87">
        <w:rPr>
          <w:rFonts w:cs="Times New Roman"/>
          <w:szCs w:val="24"/>
        </w:rPr>
        <w:t>Gedney</w:t>
      </w:r>
      <w:proofErr w:type="spellEnd"/>
      <w:r w:rsidRPr="00951E87">
        <w:rPr>
          <w:rFonts w:cs="Times New Roman"/>
          <w:i/>
          <w:iCs/>
          <w:szCs w:val="24"/>
        </w:rPr>
        <w:t xml:space="preserve"> </w:t>
      </w:r>
      <w:r w:rsidRPr="00951E87">
        <w:rPr>
          <w:rFonts w:cs="Times New Roman"/>
          <w:iCs/>
          <w:szCs w:val="24"/>
        </w:rPr>
        <w:t xml:space="preserve">(ed.), </w:t>
      </w:r>
      <w:r w:rsidRPr="00951E87">
        <w:rPr>
          <w:rFonts w:cs="Times New Roman"/>
          <w:i/>
          <w:iCs/>
          <w:szCs w:val="24"/>
        </w:rPr>
        <w:t>The Proceedings</w:t>
      </w:r>
      <w:r w:rsidRPr="00951E87">
        <w:rPr>
          <w:rFonts w:cs="Times New Roman"/>
          <w:iCs/>
          <w:szCs w:val="24"/>
        </w:rPr>
        <w:t xml:space="preserve"> </w:t>
      </w:r>
      <w:r w:rsidRPr="00951E87">
        <w:rPr>
          <w:rFonts w:cs="Times New Roman"/>
          <w:i/>
          <w:iCs/>
          <w:szCs w:val="24"/>
        </w:rPr>
        <w:t>of the Twentieth World Congress of Philosophy</w:t>
      </w:r>
      <w:r w:rsidRPr="00951E87">
        <w:rPr>
          <w:rFonts w:cs="Times New Roman"/>
          <w:szCs w:val="24"/>
        </w:rPr>
        <w:t xml:space="preserve">, vol. 7: Modern Philosophy, Philosophy Documentation </w:t>
      </w:r>
      <w:proofErr w:type="spellStart"/>
      <w:r w:rsidRPr="00951E87">
        <w:rPr>
          <w:rFonts w:cs="Times New Roman"/>
          <w:szCs w:val="24"/>
        </w:rPr>
        <w:t>Center</w:t>
      </w:r>
      <w:proofErr w:type="spellEnd"/>
      <w:r w:rsidRPr="00951E87">
        <w:rPr>
          <w:rFonts w:cs="Times New Roman"/>
          <w:szCs w:val="24"/>
        </w:rPr>
        <w:t xml:space="preserve"> 2000, pp. 57–70; “Leibniz’s Examination of the Christian Religion”, in: </w:t>
      </w:r>
      <w:r w:rsidRPr="00951E87">
        <w:rPr>
          <w:rFonts w:cs="Times New Roman"/>
          <w:i/>
          <w:iCs/>
          <w:szCs w:val="24"/>
        </w:rPr>
        <w:t xml:space="preserve">Faith and Philosophy </w:t>
      </w:r>
      <w:r w:rsidRPr="00951E87">
        <w:rPr>
          <w:rFonts w:cs="Times New Roman"/>
          <w:szCs w:val="24"/>
        </w:rPr>
        <w:t>11/4 (1994), pp. 517–46.</w:t>
      </w:r>
      <w:r>
        <w:rPr>
          <w:rFonts w:cs="Times New Roman"/>
        </w:rPr>
        <w:t xml:space="preserve"> Unless otherwise stated, translations are my own.</w:t>
      </w:r>
    </w:p>
  </w:footnote>
  <w:footnote w:id="2">
    <w:p w:rsidR="003D40D7" w:rsidRPr="00951E87" w:rsidRDefault="003D40D7" w:rsidP="00730398">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Eduard </w:t>
      </w:r>
      <w:proofErr w:type="spellStart"/>
      <w:r w:rsidRPr="00951E87">
        <w:rPr>
          <w:rFonts w:cs="Times New Roman"/>
          <w:sz w:val="24"/>
          <w:szCs w:val="24"/>
        </w:rPr>
        <w:t>Bodemann</w:t>
      </w:r>
      <w:proofErr w:type="spellEnd"/>
      <w:r w:rsidRPr="00951E87">
        <w:rPr>
          <w:rFonts w:cs="Times New Roman"/>
          <w:sz w:val="24"/>
          <w:szCs w:val="24"/>
        </w:rPr>
        <w:t xml:space="preserve">, </w:t>
      </w:r>
      <w:r w:rsidRPr="00951E87">
        <w:rPr>
          <w:rFonts w:cs="Times New Roman"/>
          <w:i/>
          <w:iCs/>
          <w:sz w:val="24"/>
          <w:szCs w:val="24"/>
        </w:rPr>
        <w:t>Die Leibniz-</w:t>
      </w:r>
      <w:proofErr w:type="spellStart"/>
      <w:r w:rsidRPr="00951E87">
        <w:rPr>
          <w:rFonts w:cs="Times New Roman"/>
          <w:i/>
          <w:iCs/>
          <w:sz w:val="24"/>
          <w:szCs w:val="24"/>
        </w:rPr>
        <w:t>Handschriften</w:t>
      </w:r>
      <w:proofErr w:type="spellEnd"/>
      <w:r w:rsidRPr="00951E87">
        <w:rPr>
          <w:rFonts w:cs="Times New Roman"/>
          <w:i/>
          <w:iCs/>
          <w:sz w:val="24"/>
          <w:szCs w:val="24"/>
        </w:rPr>
        <w:t xml:space="preserve"> der </w:t>
      </w:r>
      <w:proofErr w:type="spellStart"/>
      <w:r w:rsidRPr="00951E87">
        <w:rPr>
          <w:rFonts w:cs="Times New Roman"/>
          <w:i/>
          <w:iCs/>
          <w:sz w:val="24"/>
          <w:szCs w:val="24"/>
        </w:rPr>
        <w:t>Königlichen</w:t>
      </w:r>
      <w:proofErr w:type="spellEnd"/>
      <w:r w:rsidRPr="00951E87">
        <w:rPr>
          <w:rFonts w:cs="Times New Roman"/>
          <w:i/>
          <w:iCs/>
          <w:sz w:val="24"/>
          <w:szCs w:val="24"/>
        </w:rPr>
        <w:t xml:space="preserve"> </w:t>
      </w:r>
      <w:proofErr w:type="spellStart"/>
      <w:r w:rsidRPr="00951E87">
        <w:rPr>
          <w:rFonts w:cs="Times New Roman"/>
          <w:i/>
          <w:iCs/>
          <w:sz w:val="24"/>
          <w:szCs w:val="24"/>
        </w:rPr>
        <w:t>öffentlichen</w:t>
      </w:r>
      <w:proofErr w:type="spellEnd"/>
      <w:r w:rsidRPr="00951E87">
        <w:rPr>
          <w:rFonts w:cs="Times New Roman"/>
          <w:i/>
          <w:iCs/>
          <w:sz w:val="24"/>
          <w:szCs w:val="24"/>
        </w:rPr>
        <w:t xml:space="preserve"> </w:t>
      </w:r>
      <w:proofErr w:type="spellStart"/>
      <w:r w:rsidRPr="00951E87">
        <w:rPr>
          <w:rFonts w:cs="Times New Roman"/>
          <w:i/>
          <w:iCs/>
          <w:sz w:val="24"/>
          <w:szCs w:val="24"/>
        </w:rPr>
        <w:t>Bibliothek</w:t>
      </w:r>
      <w:proofErr w:type="spellEnd"/>
      <w:r w:rsidRPr="00951E87">
        <w:rPr>
          <w:rFonts w:cs="Times New Roman"/>
          <w:i/>
          <w:iCs/>
          <w:sz w:val="24"/>
          <w:szCs w:val="24"/>
        </w:rPr>
        <w:t xml:space="preserve"> </w:t>
      </w:r>
      <w:proofErr w:type="spellStart"/>
      <w:r w:rsidRPr="00951E87">
        <w:rPr>
          <w:rFonts w:cs="Times New Roman"/>
          <w:i/>
          <w:iCs/>
          <w:sz w:val="24"/>
          <w:szCs w:val="24"/>
        </w:rPr>
        <w:t>zu</w:t>
      </w:r>
      <w:proofErr w:type="spellEnd"/>
      <w:r w:rsidRPr="00951E87">
        <w:rPr>
          <w:rFonts w:cs="Times New Roman"/>
          <w:i/>
          <w:iCs/>
          <w:sz w:val="24"/>
          <w:szCs w:val="24"/>
        </w:rPr>
        <w:t xml:space="preserve"> Hannover</w:t>
      </w:r>
      <w:r w:rsidRPr="00951E87">
        <w:rPr>
          <w:rFonts w:cs="Times New Roman"/>
          <w:sz w:val="24"/>
          <w:szCs w:val="24"/>
        </w:rPr>
        <w:t>, Hannover and Leipzig 1895, I: ‘</w:t>
      </w:r>
      <w:proofErr w:type="spellStart"/>
      <w:r w:rsidRPr="00951E87">
        <w:rPr>
          <w:rFonts w:cs="Times New Roman"/>
          <w:sz w:val="24"/>
          <w:szCs w:val="24"/>
        </w:rPr>
        <w:t>Theologie</w:t>
      </w:r>
      <w:proofErr w:type="spellEnd"/>
      <w:r w:rsidRPr="00951E87">
        <w:rPr>
          <w:rFonts w:cs="Times New Roman"/>
          <w:sz w:val="24"/>
          <w:szCs w:val="24"/>
        </w:rPr>
        <w:t>’, pp. 1-25.</w:t>
      </w:r>
    </w:p>
  </w:footnote>
  <w:footnote w:id="3">
    <w:p w:rsidR="003D40D7" w:rsidRPr="00951E87" w:rsidRDefault="003D40D7" w:rsidP="00730398">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G. W. Leibniz, </w:t>
      </w:r>
      <w:proofErr w:type="spellStart"/>
      <w:r w:rsidRPr="00951E87">
        <w:rPr>
          <w:rFonts w:cs="Times New Roman"/>
          <w:i/>
          <w:szCs w:val="24"/>
        </w:rPr>
        <w:t>S</w:t>
      </w:r>
      <w:r w:rsidRPr="00951E87">
        <w:rPr>
          <w:rFonts w:cs="Times New Roman"/>
          <w:i/>
          <w:iCs/>
          <w:szCs w:val="24"/>
        </w:rPr>
        <w:t>ämtliche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
          <w:iCs/>
          <w:szCs w:val="24"/>
        </w:rPr>
        <w:t xml:space="preserve"> und </w:t>
      </w:r>
      <w:proofErr w:type="spellStart"/>
      <w:r w:rsidRPr="00951E87">
        <w:rPr>
          <w:rFonts w:cs="Times New Roman"/>
          <w:i/>
          <w:iCs/>
          <w:szCs w:val="24"/>
        </w:rPr>
        <w:t>Briefe</w:t>
      </w:r>
      <w:proofErr w:type="spellEnd"/>
      <w:r w:rsidRPr="00951E87">
        <w:rPr>
          <w:rFonts w:cs="Times New Roman"/>
          <w:szCs w:val="24"/>
        </w:rPr>
        <w:t xml:space="preserve">, </w:t>
      </w:r>
      <w:proofErr w:type="spellStart"/>
      <w:r w:rsidRPr="00951E87">
        <w:rPr>
          <w:rFonts w:cs="Times New Roman"/>
          <w:szCs w:val="24"/>
        </w:rPr>
        <w:t>hrsg</w:t>
      </w:r>
      <w:proofErr w:type="spellEnd"/>
      <w:r w:rsidRPr="00951E87">
        <w:rPr>
          <w:rFonts w:cs="Times New Roman"/>
          <w:szCs w:val="24"/>
        </w:rPr>
        <w:t xml:space="preserve">. </w:t>
      </w:r>
      <w:proofErr w:type="gramStart"/>
      <w:r w:rsidRPr="00951E87">
        <w:rPr>
          <w:rFonts w:cs="Times New Roman"/>
          <w:szCs w:val="24"/>
        </w:rPr>
        <w:t>von</w:t>
      </w:r>
      <w:proofErr w:type="gramEnd"/>
      <w:r w:rsidRPr="00951E87">
        <w:rPr>
          <w:rFonts w:cs="Times New Roman"/>
          <w:szCs w:val="24"/>
        </w:rPr>
        <w:t xml:space="preserve"> der </w:t>
      </w:r>
      <w:proofErr w:type="spellStart"/>
      <w:r w:rsidRPr="00951E87">
        <w:rPr>
          <w:rFonts w:cs="Times New Roman"/>
          <w:szCs w:val="24"/>
        </w:rPr>
        <w:t>Preußischen</w:t>
      </w:r>
      <w:proofErr w:type="spellEnd"/>
      <w:r w:rsidRPr="00951E87">
        <w:rPr>
          <w:rFonts w:cs="Times New Roman"/>
          <w:szCs w:val="24"/>
        </w:rPr>
        <w:t xml:space="preserve"> (</w:t>
      </w:r>
      <w:proofErr w:type="spellStart"/>
      <w:r w:rsidRPr="00951E87">
        <w:rPr>
          <w:rFonts w:cs="Times New Roman"/>
          <w:szCs w:val="24"/>
        </w:rPr>
        <w:t>später</w:t>
      </w:r>
      <w:proofErr w:type="spellEnd"/>
      <w:r w:rsidRPr="00951E87">
        <w:rPr>
          <w:rFonts w:cs="Times New Roman"/>
          <w:szCs w:val="24"/>
        </w:rPr>
        <w:t xml:space="preserve">: </w:t>
      </w:r>
      <w:proofErr w:type="spellStart"/>
      <w:r w:rsidRPr="00951E87">
        <w:rPr>
          <w:rFonts w:cs="Times New Roman"/>
          <w:szCs w:val="24"/>
        </w:rPr>
        <w:t>Deutschen</w:t>
      </w:r>
      <w:proofErr w:type="spellEnd"/>
      <w:r w:rsidRPr="00951E87">
        <w:rPr>
          <w:rFonts w:cs="Times New Roman"/>
          <w:szCs w:val="24"/>
        </w:rPr>
        <w:t xml:space="preserve">) </w:t>
      </w:r>
      <w:proofErr w:type="spellStart"/>
      <w:r w:rsidRPr="00951E87">
        <w:rPr>
          <w:rFonts w:cs="Times New Roman"/>
          <w:szCs w:val="24"/>
        </w:rPr>
        <w:t>Akademie</w:t>
      </w:r>
      <w:proofErr w:type="spellEnd"/>
      <w:r w:rsidRPr="00951E87">
        <w:rPr>
          <w:rFonts w:cs="Times New Roman"/>
          <w:szCs w:val="24"/>
        </w:rPr>
        <w:t xml:space="preserve"> der </w:t>
      </w:r>
      <w:proofErr w:type="spellStart"/>
      <w:r w:rsidRPr="00951E87">
        <w:rPr>
          <w:rFonts w:cs="Times New Roman"/>
          <w:szCs w:val="24"/>
        </w:rPr>
        <w:t>Wissenschaften</w:t>
      </w:r>
      <w:proofErr w:type="spellEnd"/>
      <w:r w:rsidRPr="00951E87">
        <w:rPr>
          <w:rFonts w:cs="Times New Roman"/>
          <w:szCs w:val="24"/>
        </w:rPr>
        <w:t xml:space="preserve"> </w:t>
      </w:r>
      <w:proofErr w:type="spellStart"/>
      <w:r w:rsidRPr="00951E87">
        <w:rPr>
          <w:rFonts w:cs="Times New Roman"/>
          <w:szCs w:val="24"/>
        </w:rPr>
        <w:t>zu</w:t>
      </w:r>
      <w:proofErr w:type="spellEnd"/>
      <w:r w:rsidRPr="00951E87">
        <w:rPr>
          <w:rFonts w:cs="Times New Roman"/>
          <w:szCs w:val="24"/>
        </w:rPr>
        <w:t xml:space="preserve"> Berlin, </w:t>
      </w:r>
      <w:proofErr w:type="spellStart"/>
      <w:r w:rsidRPr="00951E87">
        <w:rPr>
          <w:rFonts w:cs="Times New Roman"/>
          <w:szCs w:val="24"/>
        </w:rPr>
        <w:t>Reihe</w:t>
      </w:r>
      <w:proofErr w:type="spellEnd"/>
      <w:r w:rsidRPr="00951E87">
        <w:rPr>
          <w:rFonts w:cs="Times New Roman"/>
          <w:szCs w:val="24"/>
        </w:rPr>
        <w:t xml:space="preserve"> I–VIII. </w:t>
      </w:r>
      <w:proofErr w:type="gramStart"/>
      <w:r w:rsidRPr="00951E87">
        <w:rPr>
          <w:rFonts w:cs="Times New Roman"/>
          <w:szCs w:val="24"/>
        </w:rPr>
        <w:t>Darmstadt, Leipzig, Berlin, 1923 --.</w:t>
      </w:r>
      <w:proofErr w:type="gramEnd"/>
      <w:r w:rsidRPr="00951E87">
        <w:rPr>
          <w:rFonts w:cs="Times New Roman"/>
          <w:szCs w:val="24"/>
        </w:rPr>
        <w:t xml:space="preserve"> </w:t>
      </w:r>
      <w:proofErr w:type="spellStart"/>
      <w:r w:rsidRPr="00951E87">
        <w:rPr>
          <w:rFonts w:cs="Times New Roman"/>
          <w:szCs w:val="24"/>
        </w:rPr>
        <w:t>Reihe</w:t>
      </w:r>
      <w:proofErr w:type="spellEnd"/>
      <w:r w:rsidRPr="00951E87">
        <w:rPr>
          <w:rFonts w:cs="Times New Roman"/>
          <w:szCs w:val="24"/>
        </w:rPr>
        <w:t xml:space="preserve"> I: </w:t>
      </w:r>
      <w:proofErr w:type="spellStart"/>
      <w:r w:rsidRPr="00951E87">
        <w:rPr>
          <w:rFonts w:cs="Times New Roman"/>
          <w:i/>
          <w:iCs/>
          <w:szCs w:val="24"/>
        </w:rPr>
        <w:t>Allgemeiner</w:t>
      </w:r>
      <w:proofErr w:type="spellEnd"/>
      <w:r w:rsidRPr="00951E87">
        <w:rPr>
          <w:rFonts w:cs="Times New Roman"/>
          <w:i/>
          <w:iCs/>
          <w:szCs w:val="24"/>
        </w:rPr>
        <w:t xml:space="preserve">, </w:t>
      </w:r>
      <w:proofErr w:type="spellStart"/>
      <w:r w:rsidRPr="00951E87">
        <w:rPr>
          <w:rFonts w:cs="Times New Roman"/>
          <w:i/>
          <w:iCs/>
          <w:szCs w:val="24"/>
        </w:rPr>
        <w:t>politischer</w:t>
      </w:r>
      <w:proofErr w:type="spellEnd"/>
      <w:r w:rsidRPr="00951E87">
        <w:rPr>
          <w:rFonts w:cs="Times New Roman"/>
          <w:i/>
          <w:iCs/>
          <w:szCs w:val="24"/>
        </w:rPr>
        <w:t xml:space="preserve"> und </w:t>
      </w:r>
      <w:proofErr w:type="spellStart"/>
      <w:r w:rsidRPr="00951E87">
        <w:rPr>
          <w:rFonts w:cs="Times New Roman"/>
          <w:i/>
          <w:iCs/>
          <w:szCs w:val="24"/>
        </w:rPr>
        <w:t>historischer</w:t>
      </w:r>
      <w:proofErr w:type="spellEnd"/>
      <w:r w:rsidRPr="00951E87">
        <w:rPr>
          <w:rFonts w:cs="Times New Roman"/>
          <w:i/>
          <w:iCs/>
          <w:szCs w:val="24"/>
        </w:rPr>
        <w:t xml:space="preserve"> </w:t>
      </w:r>
      <w:proofErr w:type="spellStart"/>
      <w:r w:rsidRPr="00951E87">
        <w:rPr>
          <w:rFonts w:cs="Times New Roman"/>
          <w:i/>
          <w:iCs/>
          <w:szCs w:val="24"/>
        </w:rPr>
        <w:t>Briefwechsel</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II: </w:t>
      </w:r>
      <w:proofErr w:type="spellStart"/>
      <w:r w:rsidRPr="00951E87">
        <w:rPr>
          <w:rFonts w:cs="Times New Roman"/>
          <w:i/>
          <w:iCs/>
          <w:szCs w:val="24"/>
        </w:rPr>
        <w:t>Philosophischer</w:t>
      </w:r>
      <w:proofErr w:type="spellEnd"/>
      <w:r w:rsidRPr="00951E87">
        <w:rPr>
          <w:rFonts w:cs="Times New Roman"/>
          <w:i/>
          <w:iCs/>
          <w:szCs w:val="24"/>
        </w:rPr>
        <w:t xml:space="preserve"> </w:t>
      </w:r>
      <w:proofErr w:type="spellStart"/>
      <w:r w:rsidRPr="00951E87">
        <w:rPr>
          <w:rFonts w:cs="Times New Roman"/>
          <w:i/>
          <w:iCs/>
          <w:szCs w:val="24"/>
        </w:rPr>
        <w:t>Briefwechsel</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
          <w:iCs/>
          <w:szCs w:val="24"/>
        </w:rPr>
        <w:t xml:space="preserve"> </w:t>
      </w:r>
      <w:r w:rsidRPr="00951E87">
        <w:rPr>
          <w:rFonts w:cs="Times New Roman"/>
          <w:szCs w:val="24"/>
        </w:rPr>
        <w:t xml:space="preserve">III: </w:t>
      </w:r>
      <w:proofErr w:type="spellStart"/>
      <w:r w:rsidRPr="00951E87">
        <w:rPr>
          <w:rFonts w:cs="Times New Roman"/>
          <w:i/>
          <w:iCs/>
          <w:szCs w:val="24"/>
        </w:rPr>
        <w:t>Mathematischer</w:t>
      </w:r>
      <w:proofErr w:type="spellEnd"/>
      <w:r w:rsidRPr="00951E87">
        <w:rPr>
          <w:rFonts w:cs="Times New Roman"/>
          <w:i/>
          <w:iCs/>
          <w:szCs w:val="24"/>
        </w:rPr>
        <w:t xml:space="preserve">, </w:t>
      </w:r>
      <w:proofErr w:type="spellStart"/>
      <w:r w:rsidRPr="00951E87">
        <w:rPr>
          <w:rFonts w:cs="Times New Roman"/>
          <w:i/>
          <w:iCs/>
          <w:szCs w:val="24"/>
        </w:rPr>
        <w:t>naturwissenschaftlicher</w:t>
      </w:r>
      <w:proofErr w:type="spellEnd"/>
      <w:r w:rsidRPr="00951E87">
        <w:rPr>
          <w:rFonts w:cs="Times New Roman"/>
          <w:i/>
          <w:iCs/>
          <w:szCs w:val="24"/>
        </w:rPr>
        <w:t xml:space="preserve"> und </w:t>
      </w:r>
      <w:proofErr w:type="spellStart"/>
      <w:r w:rsidRPr="00951E87">
        <w:rPr>
          <w:rFonts w:cs="Times New Roman"/>
          <w:i/>
          <w:iCs/>
          <w:szCs w:val="24"/>
        </w:rPr>
        <w:t>technischer</w:t>
      </w:r>
      <w:proofErr w:type="spellEnd"/>
      <w:r w:rsidRPr="00951E87">
        <w:rPr>
          <w:rFonts w:cs="Times New Roman"/>
          <w:i/>
          <w:iCs/>
          <w:szCs w:val="24"/>
        </w:rPr>
        <w:t xml:space="preserve"> </w:t>
      </w:r>
      <w:proofErr w:type="spellStart"/>
      <w:r w:rsidRPr="00951E87">
        <w:rPr>
          <w:rFonts w:cs="Times New Roman"/>
          <w:i/>
          <w:iCs/>
          <w:szCs w:val="24"/>
        </w:rPr>
        <w:t>Briefwechsel</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IV: </w:t>
      </w:r>
      <w:proofErr w:type="spellStart"/>
      <w:r w:rsidRPr="00951E87">
        <w:rPr>
          <w:rFonts w:cs="Times New Roman"/>
          <w:i/>
          <w:iCs/>
          <w:szCs w:val="24"/>
        </w:rPr>
        <w:t>Politische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V: </w:t>
      </w:r>
      <w:proofErr w:type="spellStart"/>
      <w:r w:rsidRPr="00951E87">
        <w:rPr>
          <w:rFonts w:cs="Times New Roman"/>
          <w:i/>
          <w:iCs/>
          <w:szCs w:val="24"/>
        </w:rPr>
        <w:t>Historische</w:t>
      </w:r>
      <w:proofErr w:type="spellEnd"/>
      <w:r w:rsidRPr="00951E87">
        <w:rPr>
          <w:rFonts w:cs="Times New Roman"/>
          <w:i/>
          <w:iCs/>
          <w:szCs w:val="24"/>
        </w:rPr>
        <w:t xml:space="preserve"> und </w:t>
      </w:r>
      <w:proofErr w:type="spellStart"/>
      <w:r w:rsidRPr="00951E87">
        <w:rPr>
          <w:rFonts w:cs="Times New Roman"/>
          <w:i/>
          <w:iCs/>
          <w:szCs w:val="24"/>
        </w:rPr>
        <w:t>sprachwissenschaftliche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VI: </w:t>
      </w:r>
      <w:proofErr w:type="spellStart"/>
      <w:r w:rsidRPr="00951E87">
        <w:rPr>
          <w:rFonts w:cs="Times New Roman"/>
          <w:i/>
          <w:iCs/>
          <w:szCs w:val="24"/>
        </w:rPr>
        <w:t>Philosophische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VII </w:t>
      </w:r>
      <w:proofErr w:type="spellStart"/>
      <w:r w:rsidRPr="00951E87">
        <w:rPr>
          <w:rFonts w:cs="Times New Roman"/>
          <w:i/>
          <w:iCs/>
          <w:szCs w:val="24"/>
        </w:rPr>
        <w:t>Mathematische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Cs/>
          <w:szCs w:val="24"/>
        </w:rPr>
        <w:t>;</w:t>
      </w:r>
      <w:r w:rsidRPr="00951E87">
        <w:rPr>
          <w:rFonts w:cs="Times New Roman"/>
          <w:i/>
          <w:iCs/>
          <w:szCs w:val="24"/>
        </w:rPr>
        <w:t xml:space="preserve"> </w:t>
      </w:r>
      <w:proofErr w:type="spellStart"/>
      <w:r w:rsidRPr="00951E87">
        <w:rPr>
          <w:rFonts w:cs="Times New Roman"/>
          <w:iCs/>
          <w:szCs w:val="24"/>
        </w:rPr>
        <w:t>Reihe</w:t>
      </w:r>
      <w:proofErr w:type="spellEnd"/>
      <w:r w:rsidRPr="00951E87">
        <w:rPr>
          <w:rFonts w:cs="Times New Roman"/>
          <w:iCs/>
          <w:szCs w:val="24"/>
        </w:rPr>
        <w:t xml:space="preserve"> </w:t>
      </w:r>
      <w:r w:rsidRPr="00951E87">
        <w:rPr>
          <w:rFonts w:cs="Times New Roman"/>
          <w:szCs w:val="24"/>
        </w:rPr>
        <w:t xml:space="preserve">VIII: </w:t>
      </w:r>
      <w:proofErr w:type="spellStart"/>
      <w:r w:rsidRPr="00951E87">
        <w:rPr>
          <w:rFonts w:cs="Times New Roman"/>
          <w:i/>
          <w:iCs/>
          <w:szCs w:val="24"/>
        </w:rPr>
        <w:t>Naturwissenschaftliche</w:t>
      </w:r>
      <w:proofErr w:type="spellEnd"/>
      <w:r w:rsidRPr="00951E87">
        <w:rPr>
          <w:rFonts w:cs="Times New Roman"/>
          <w:i/>
          <w:iCs/>
          <w:szCs w:val="24"/>
        </w:rPr>
        <w:t xml:space="preserve">, </w:t>
      </w:r>
      <w:proofErr w:type="spellStart"/>
      <w:r w:rsidRPr="00951E87">
        <w:rPr>
          <w:rFonts w:cs="Times New Roman"/>
          <w:i/>
          <w:iCs/>
          <w:szCs w:val="24"/>
        </w:rPr>
        <w:t>medizinische</w:t>
      </w:r>
      <w:proofErr w:type="spellEnd"/>
      <w:r w:rsidRPr="00951E87">
        <w:rPr>
          <w:rFonts w:cs="Times New Roman"/>
          <w:i/>
          <w:iCs/>
          <w:szCs w:val="24"/>
        </w:rPr>
        <w:t xml:space="preserve"> und </w:t>
      </w:r>
      <w:proofErr w:type="spellStart"/>
      <w:r w:rsidRPr="00951E87">
        <w:rPr>
          <w:rFonts w:cs="Times New Roman"/>
          <w:i/>
          <w:iCs/>
          <w:szCs w:val="24"/>
        </w:rPr>
        <w:t>technische</w:t>
      </w:r>
      <w:proofErr w:type="spellEnd"/>
      <w:r w:rsidRPr="00951E87">
        <w:rPr>
          <w:rFonts w:cs="Times New Roman"/>
          <w:i/>
          <w:iCs/>
          <w:szCs w:val="24"/>
        </w:rPr>
        <w:t xml:space="preserve"> </w:t>
      </w:r>
      <w:proofErr w:type="spellStart"/>
      <w:r w:rsidRPr="00951E87">
        <w:rPr>
          <w:rFonts w:cs="Times New Roman"/>
          <w:i/>
          <w:iCs/>
          <w:szCs w:val="24"/>
        </w:rPr>
        <w:t>Schriften</w:t>
      </w:r>
      <w:proofErr w:type="spellEnd"/>
      <w:r w:rsidRPr="00951E87">
        <w:rPr>
          <w:rFonts w:cs="Times New Roman"/>
          <w:i/>
          <w:iCs/>
          <w:szCs w:val="24"/>
        </w:rPr>
        <w:t xml:space="preserve">. </w:t>
      </w:r>
      <w:r w:rsidRPr="00951E87">
        <w:rPr>
          <w:rFonts w:cs="Times New Roman"/>
          <w:szCs w:val="24"/>
        </w:rPr>
        <w:t xml:space="preserve">The edition is known as </w:t>
      </w:r>
      <w:proofErr w:type="spellStart"/>
      <w:r w:rsidRPr="00951E87">
        <w:rPr>
          <w:rFonts w:cs="Times New Roman"/>
          <w:szCs w:val="24"/>
        </w:rPr>
        <w:t>Akademie</w:t>
      </w:r>
      <w:proofErr w:type="spellEnd"/>
      <w:r w:rsidRPr="00951E87">
        <w:rPr>
          <w:rFonts w:cs="Times New Roman"/>
          <w:szCs w:val="24"/>
        </w:rPr>
        <w:t xml:space="preserve"> </w:t>
      </w:r>
      <w:proofErr w:type="spellStart"/>
      <w:r w:rsidRPr="00951E87">
        <w:rPr>
          <w:rFonts w:cs="Times New Roman"/>
          <w:szCs w:val="24"/>
        </w:rPr>
        <w:t>Ausgabe</w:t>
      </w:r>
      <w:proofErr w:type="spellEnd"/>
      <w:r w:rsidRPr="00951E87">
        <w:rPr>
          <w:rFonts w:cs="Times New Roman"/>
          <w:szCs w:val="24"/>
        </w:rPr>
        <w:t>.</w:t>
      </w:r>
    </w:p>
  </w:footnote>
  <w:footnote w:id="4">
    <w:p w:rsidR="003D40D7" w:rsidRPr="006837F8" w:rsidRDefault="003D40D7" w:rsidP="00730398">
      <w:pPr>
        <w:pStyle w:val="FootnoteText"/>
        <w:spacing w:line="360" w:lineRule="auto"/>
        <w:rPr>
          <w:b/>
          <w:sz w:val="24"/>
          <w:szCs w:val="24"/>
        </w:rPr>
      </w:pPr>
      <w:r w:rsidRPr="00951E87">
        <w:rPr>
          <w:rStyle w:val="FootnoteReference"/>
          <w:sz w:val="24"/>
          <w:szCs w:val="24"/>
        </w:rPr>
        <w:footnoteRef/>
      </w:r>
      <w:r w:rsidRPr="00951E87">
        <w:rPr>
          <w:sz w:val="24"/>
          <w:szCs w:val="24"/>
        </w:rPr>
        <w:t xml:space="preserve"> See, for instance, the “Preface” to Bertrand Russell, </w:t>
      </w:r>
      <w:r w:rsidRPr="00951E87">
        <w:rPr>
          <w:rFonts w:cs="Times New Roman"/>
          <w:sz w:val="24"/>
          <w:szCs w:val="24"/>
        </w:rPr>
        <w:t xml:space="preserve">A </w:t>
      </w:r>
      <w:r w:rsidRPr="00951E87">
        <w:rPr>
          <w:rFonts w:eastAsia="Calibri" w:cs="Times New Roman"/>
          <w:i/>
          <w:sz w:val="24"/>
          <w:szCs w:val="24"/>
        </w:rPr>
        <w:t>Critical Exposition of the Philosophy of Leibniz</w:t>
      </w:r>
      <w:r w:rsidRPr="00951E87">
        <w:rPr>
          <w:rFonts w:eastAsia="Calibri" w:cs="Times New Roman"/>
          <w:sz w:val="24"/>
          <w:szCs w:val="24"/>
        </w:rPr>
        <w:t xml:space="preserve">, 1st ed. Cambridge 1900, 2nd </w:t>
      </w:r>
      <w:proofErr w:type="spellStart"/>
      <w:r w:rsidRPr="00951E87">
        <w:rPr>
          <w:rFonts w:eastAsia="Calibri" w:cs="Times New Roman"/>
          <w:sz w:val="24"/>
          <w:szCs w:val="24"/>
        </w:rPr>
        <w:t>edn</w:t>
      </w:r>
      <w:proofErr w:type="spellEnd"/>
      <w:r w:rsidRPr="00951E87">
        <w:rPr>
          <w:rFonts w:eastAsia="Calibri" w:cs="Times New Roman"/>
          <w:sz w:val="24"/>
          <w:szCs w:val="24"/>
        </w:rPr>
        <w:t xml:space="preserve">. London 1937, </w:t>
      </w:r>
      <w:r w:rsidRPr="00951E87">
        <w:rPr>
          <w:sz w:val="24"/>
          <w:szCs w:val="24"/>
        </w:rPr>
        <w:t xml:space="preserve">and, recently, the exuberant popular caricature of Leibniz by </w:t>
      </w:r>
      <w:r w:rsidRPr="00951E87">
        <w:rPr>
          <w:sz w:val="24"/>
          <w:szCs w:val="24"/>
          <w:lang w:val="en"/>
        </w:rPr>
        <w:t xml:space="preserve">Matthew </w:t>
      </w:r>
      <w:r w:rsidRPr="006837F8">
        <w:rPr>
          <w:sz w:val="24"/>
          <w:szCs w:val="24"/>
          <w:lang w:val="en"/>
        </w:rPr>
        <w:t>Stewart</w:t>
      </w:r>
      <w:r w:rsidRPr="006837F8">
        <w:rPr>
          <w:b/>
          <w:sz w:val="24"/>
          <w:szCs w:val="24"/>
          <w:lang w:val="en"/>
        </w:rPr>
        <w:t xml:space="preserve">, </w:t>
      </w:r>
      <w:r w:rsidRPr="006837F8">
        <w:rPr>
          <w:rStyle w:val="Strong"/>
          <w:b w:val="0"/>
          <w:i/>
          <w:sz w:val="24"/>
          <w:szCs w:val="24"/>
          <w:lang w:val="en"/>
        </w:rPr>
        <w:t>The Courtier and the Heretic: Leibniz, Spinoza and the Fate of God in the Modern World</w:t>
      </w:r>
      <w:r w:rsidRPr="006837F8">
        <w:rPr>
          <w:rStyle w:val="Strong"/>
          <w:b w:val="0"/>
          <w:sz w:val="24"/>
          <w:szCs w:val="24"/>
          <w:lang w:val="en"/>
        </w:rPr>
        <w:t>, New Haven 2005, rehearsing all the usual stereotypes.</w:t>
      </w:r>
    </w:p>
  </w:footnote>
  <w:footnote w:id="5">
    <w:p w:rsidR="003D40D7" w:rsidRPr="00951E87" w:rsidRDefault="003D40D7" w:rsidP="00730398">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Bernard le </w:t>
      </w:r>
      <w:proofErr w:type="spellStart"/>
      <w:r w:rsidRPr="00951E87">
        <w:rPr>
          <w:rFonts w:cs="Times New Roman"/>
          <w:szCs w:val="24"/>
        </w:rPr>
        <w:t>Bovier</w:t>
      </w:r>
      <w:proofErr w:type="spellEnd"/>
      <w:r w:rsidRPr="00951E87">
        <w:rPr>
          <w:rFonts w:cs="Times New Roman"/>
          <w:szCs w:val="24"/>
        </w:rPr>
        <w:t xml:space="preserve"> de </w:t>
      </w:r>
      <w:proofErr w:type="spellStart"/>
      <w:r w:rsidRPr="00951E87">
        <w:rPr>
          <w:rFonts w:cs="Times New Roman"/>
          <w:szCs w:val="24"/>
        </w:rPr>
        <w:t>Fontenelle</w:t>
      </w:r>
      <w:proofErr w:type="spellEnd"/>
      <w:r w:rsidRPr="00951E87">
        <w:rPr>
          <w:rFonts w:cs="Times New Roman"/>
          <w:szCs w:val="24"/>
        </w:rPr>
        <w:t>: “</w:t>
      </w:r>
      <w:proofErr w:type="spellStart"/>
      <w:r w:rsidRPr="00951E87">
        <w:rPr>
          <w:rFonts w:cs="Times New Roman"/>
          <w:szCs w:val="24"/>
        </w:rPr>
        <w:t>Éloge</w:t>
      </w:r>
      <w:proofErr w:type="spellEnd"/>
      <w:r w:rsidRPr="00951E87">
        <w:rPr>
          <w:rFonts w:cs="Times New Roman"/>
          <w:szCs w:val="24"/>
        </w:rPr>
        <w:t xml:space="preserve"> de M. Leibnitz”, in: </w:t>
      </w:r>
      <w:r w:rsidRPr="00951E87">
        <w:rPr>
          <w:rFonts w:cs="Times New Roman"/>
          <w:i/>
          <w:iCs/>
          <w:szCs w:val="24"/>
        </w:rPr>
        <w:t xml:space="preserve">Histoire de </w:t>
      </w:r>
      <w:proofErr w:type="spellStart"/>
      <w:r w:rsidRPr="00951E87">
        <w:rPr>
          <w:rFonts w:cs="Times New Roman"/>
          <w:i/>
          <w:iCs/>
          <w:szCs w:val="24"/>
        </w:rPr>
        <w:t>l’Académie</w:t>
      </w:r>
      <w:proofErr w:type="spellEnd"/>
      <w:r w:rsidRPr="00951E87">
        <w:rPr>
          <w:rFonts w:cs="Times New Roman"/>
          <w:i/>
          <w:iCs/>
          <w:szCs w:val="24"/>
        </w:rPr>
        <w:t xml:space="preserve"> Royale des sciences</w:t>
      </w:r>
      <w:r w:rsidRPr="00951E87">
        <w:rPr>
          <w:rFonts w:cs="Times New Roman"/>
          <w:szCs w:val="24"/>
        </w:rPr>
        <w:t xml:space="preserve">. </w:t>
      </w:r>
      <w:proofErr w:type="spellStart"/>
      <w:r w:rsidRPr="00951E87">
        <w:rPr>
          <w:rFonts w:cs="Times New Roman"/>
          <w:i/>
          <w:iCs/>
          <w:szCs w:val="24"/>
        </w:rPr>
        <w:t>Année</w:t>
      </w:r>
      <w:proofErr w:type="spellEnd"/>
      <w:r w:rsidRPr="00951E87">
        <w:rPr>
          <w:rFonts w:cs="Times New Roman"/>
          <w:i/>
          <w:iCs/>
          <w:szCs w:val="24"/>
        </w:rPr>
        <w:t xml:space="preserve"> 1716</w:t>
      </w:r>
      <w:r w:rsidRPr="00951E87">
        <w:rPr>
          <w:rFonts w:cs="Times New Roman"/>
          <w:szCs w:val="24"/>
        </w:rPr>
        <w:t xml:space="preserve">, Paris 1718, pp. 94–128. </w:t>
      </w:r>
      <w:proofErr w:type="gramStart"/>
      <w:r w:rsidRPr="00951E87">
        <w:rPr>
          <w:rFonts w:cs="Times New Roman"/>
          <w:szCs w:val="24"/>
        </w:rPr>
        <w:t xml:space="preserve">Also in </w:t>
      </w:r>
      <w:proofErr w:type="spellStart"/>
      <w:r w:rsidRPr="00951E87">
        <w:rPr>
          <w:rFonts w:cs="Times New Roman"/>
          <w:szCs w:val="24"/>
        </w:rPr>
        <w:t>Dutens</w:t>
      </w:r>
      <w:proofErr w:type="spellEnd"/>
      <w:r w:rsidRPr="00951E87">
        <w:rPr>
          <w:rFonts w:cs="Times New Roman"/>
          <w:szCs w:val="24"/>
        </w:rPr>
        <w:t xml:space="preserve"> I, xix–liii (here p. xliii).</w:t>
      </w:r>
      <w:proofErr w:type="gramEnd"/>
    </w:p>
  </w:footnote>
  <w:footnote w:id="6">
    <w:p w:rsidR="003D40D7" w:rsidRPr="00951E87" w:rsidRDefault="003D40D7" w:rsidP="00730398">
      <w:pPr>
        <w:pStyle w:val="FootnoteText"/>
        <w:spacing w:line="360" w:lineRule="auto"/>
        <w:rPr>
          <w:sz w:val="24"/>
          <w:szCs w:val="24"/>
        </w:rPr>
      </w:pPr>
      <w:r w:rsidRPr="00951E87">
        <w:rPr>
          <w:rStyle w:val="FootnoteReference"/>
          <w:sz w:val="24"/>
          <w:szCs w:val="24"/>
        </w:rPr>
        <w:footnoteRef/>
      </w:r>
      <w:r w:rsidRPr="00951E87">
        <w:rPr>
          <w:sz w:val="24"/>
          <w:szCs w:val="24"/>
        </w:rPr>
        <w:t xml:space="preserve"> For examples of recent studies see below the section on Leibniz’s theoretical engagement with revealed theology.</w:t>
      </w:r>
    </w:p>
  </w:footnote>
  <w:footnote w:id="7">
    <w:p w:rsidR="003D40D7" w:rsidRPr="002F7543" w:rsidRDefault="003D40D7" w:rsidP="00730398">
      <w:pPr>
        <w:pStyle w:val="FootnoteText"/>
        <w:rPr>
          <w:sz w:val="24"/>
          <w:szCs w:val="24"/>
        </w:rPr>
      </w:pPr>
      <w:r w:rsidRPr="002F7543">
        <w:rPr>
          <w:rStyle w:val="FootnoteReference"/>
          <w:sz w:val="24"/>
          <w:szCs w:val="24"/>
        </w:rPr>
        <w:footnoteRef/>
      </w:r>
      <w:r w:rsidRPr="002F7543">
        <w:rPr>
          <w:sz w:val="24"/>
          <w:szCs w:val="24"/>
        </w:rPr>
        <w:t xml:space="preserve"> See my </w:t>
      </w:r>
      <w:r w:rsidRPr="002F7543">
        <w:rPr>
          <w:i/>
          <w:sz w:val="24"/>
          <w:szCs w:val="24"/>
        </w:rPr>
        <w:t>Leibniz: An Intellectual Biography</w:t>
      </w:r>
      <w:r w:rsidRPr="002F7543">
        <w:rPr>
          <w:sz w:val="24"/>
          <w:szCs w:val="24"/>
        </w:rPr>
        <w:t>, Cambridge – New York 2009.</w:t>
      </w:r>
    </w:p>
  </w:footnote>
  <w:footnote w:id="8">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spellStart"/>
      <w:proofErr w:type="gramStart"/>
      <w:r w:rsidRPr="00951E87">
        <w:rPr>
          <w:rFonts w:cs="Times New Roman"/>
          <w:i/>
          <w:sz w:val="24"/>
          <w:szCs w:val="24"/>
        </w:rPr>
        <w:t>Demonstrationum</w:t>
      </w:r>
      <w:proofErr w:type="spellEnd"/>
      <w:r w:rsidRPr="00951E87">
        <w:rPr>
          <w:rFonts w:cs="Times New Roman"/>
          <w:i/>
          <w:sz w:val="24"/>
          <w:szCs w:val="24"/>
        </w:rPr>
        <w:t xml:space="preserve"> </w:t>
      </w:r>
      <w:proofErr w:type="spellStart"/>
      <w:r w:rsidRPr="00951E87">
        <w:rPr>
          <w:rFonts w:cs="Times New Roman"/>
          <w:i/>
          <w:sz w:val="24"/>
          <w:szCs w:val="24"/>
        </w:rPr>
        <w:t>Catholicarum</w:t>
      </w:r>
      <w:proofErr w:type="spellEnd"/>
      <w:r w:rsidRPr="00951E87">
        <w:rPr>
          <w:rFonts w:cs="Times New Roman"/>
          <w:i/>
          <w:sz w:val="24"/>
          <w:szCs w:val="24"/>
        </w:rPr>
        <w:t xml:space="preserve"> Conspectus</w:t>
      </w:r>
      <w:r w:rsidRPr="00951E87">
        <w:rPr>
          <w:rFonts w:cs="Times New Roman"/>
          <w:sz w:val="24"/>
          <w:szCs w:val="24"/>
        </w:rPr>
        <w:t>, 1668-9* (A VI, 1, N. 14).</w:t>
      </w:r>
      <w:proofErr w:type="gramEnd"/>
      <w:r w:rsidRPr="00951E87">
        <w:rPr>
          <w:rFonts w:cs="Times New Roman"/>
          <w:sz w:val="24"/>
          <w:szCs w:val="24"/>
        </w:rPr>
        <w:t xml:space="preserve"> A date accompanied by an asterisk indicates the period from which the text probably dates.</w:t>
      </w:r>
    </w:p>
  </w:footnote>
  <w:footnote w:id="9">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II, 1, 488 and A I, 2, 225.</w:t>
      </w:r>
    </w:p>
  </w:footnote>
  <w:footnote w:id="10">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w:t>
      </w:r>
      <w:proofErr w:type="gramStart"/>
      <w:r w:rsidRPr="00951E87">
        <w:rPr>
          <w:rFonts w:cs="Times New Roman"/>
          <w:sz w:val="24"/>
          <w:szCs w:val="24"/>
        </w:rPr>
        <w:t>A</w:t>
      </w:r>
      <w:proofErr w:type="gramEnd"/>
      <w:r w:rsidRPr="00951E87">
        <w:rPr>
          <w:rFonts w:cs="Times New Roman"/>
          <w:sz w:val="24"/>
          <w:szCs w:val="24"/>
        </w:rPr>
        <w:t xml:space="preserve"> II, 1, 488; A I, 2, 225; and parts I and II of the </w:t>
      </w:r>
      <w:proofErr w:type="spellStart"/>
      <w:r w:rsidRPr="00951E87">
        <w:rPr>
          <w:rFonts w:cs="Times New Roman"/>
          <w:i/>
          <w:sz w:val="24"/>
          <w:szCs w:val="24"/>
        </w:rPr>
        <w:t>Demonstrationum</w:t>
      </w:r>
      <w:proofErr w:type="spellEnd"/>
      <w:r w:rsidRPr="00951E87">
        <w:rPr>
          <w:rFonts w:cs="Times New Roman"/>
          <w:i/>
          <w:sz w:val="24"/>
          <w:szCs w:val="24"/>
        </w:rPr>
        <w:t xml:space="preserve"> </w:t>
      </w:r>
      <w:proofErr w:type="spellStart"/>
      <w:r w:rsidRPr="00951E87">
        <w:rPr>
          <w:rFonts w:cs="Times New Roman"/>
          <w:i/>
          <w:sz w:val="24"/>
          <w:szCs w:val="24"/>
        </w:rPr>
        <w:t>Catholicarum</w:t>
      </w:r>
      <w:proofErr w:type="spellEnd"/>
      <w:r w:rsidRPr="00951E87">
        <w:rPr>
          <w:rFonts w:cs="Times New Roman"/>
          <w:i/>
          <w:sz w:val="24"/>
          <w:szCs w:val="24"/>
        </w:rPr>
        <w:t xml:space="preserve"> Conspectus</w:t>
      </w:r>
      <w:r w:rsidRPr="00951E87">
        <w:rPr>
          <w:rFonts w:cs="Times New Roman"/>
          <w:sz w:val="24"/>
          <w:szCs w:val="24"/>
        </w:rPr>
        <w:t xml:space="preserve"> (A VI, 1, 494-5).</w:t>
      </w:r>
    </w:p>
  </w:footnote>
  <w:footnote w:id="11">
    <w:p w:rsidR="003D40D7" w:rsidRPr="00951E87" w:rsidRDefault="003D40D7" w:rsidP="0082307E">
      <w:pPr>
        <w:autoSpaceDE w:val="0"/>
        <w:autoSpaceDN w:val="0"/>
        <w:adjustRightInd w:val="0"/>
        <w:spacing w:line="360" w:lineRule="auto"/>
        <w:rPr>
          <w:rFonts w:cs="Times New Roman"/>
          <w:i/>
          <w:iCs/>
          <w:szCs w:val="24"/>
        </w:rPr>
      </w:pPr>
      <w:r w:rsidRPr="00951E87">
        <w:rPr>
          <w:rStyle w:val="FootnoteReference"/>
          <w:rFonts w:cs="Times New Roman"/>
          <w:szCs w:val="24"/>
        </w:rPr>
        <w:footnoteRef/>
      </w:r>
      <w:r w:rsidRPr="00951E87">
        <w:rPr>
          <w:rFonts w:cs="Times New Roman"/>
          <w:szCs w:val="24"/>
        </w:rPr>
        <w:t xml:space="preserve"> See A II, 1, 488; A I, 2, 225; part III of the </w:t>
      </w:r>
      <w:proofErr w:type="spellStart"/>
      <w:r w:rsidRPr="00951E87">
        <w:rPr>
          <w:rFonts w:cs="Times New Roman"/>
          <w:i/>
          <w:iCs/>
          <w:szCs w:val="24"/>
        </w:rPr>
        <w:t>Demonstrationum</w:t>
      </w:r>
      <w:proofErr w:type="spellEnd"/>
      <w:r w:rsidRPr="00951E87">
        <w:rPr>
          <w:rFonts w:cs="Times New Roman"/>
          <w:i/>
          <w:iCs/>
          <w:szCs w:val="24"/>
        </w:rPr>
        <w:t xml:space="preserve"> </w:t>
      </w:r>
      <w:proofErr w:type="spellStart"/>
      <w:r w:rsidRPr="00951E87">
        <w:rPr>
          <w:rFonts w:cs="Times New Roman"/>
          <w:i/>
          <w:iCs/>
          <w:szCs w:val="24"/>
        </w:rPr>
        <w:t>Catholicarum</w:t>
      </w:r>
      <w:proofErr w:type="spellEnd"/>
    </w:p>
    <w:p w:rsidR="003D40D7" w:rsidRPr="00951E87" w:rsidRDefault="003D40D7" w:rsidP="0082307E">
      <w:pPr>
        <w:pStyle w:val="FootnoteText"/>
        <w:spacing w:line="360" w:lineRule="auto"/>
        <w:rPr>
          <w:rFonts w:cs="Times New Roman"/>
          <w:sz w:val="24"/>
          <w:szCs w:val="24"/>
        </w:rPr>
      </w:pPr>
      <w:proofErr w:type="gramStart"/>
      <w:r w:rsidRPr="00951E87">
        <w:rPr>
          <w:rFonts w:cs="Times New Roman"/>
          <w:i/>
          <w:iCs/>
          <w:sz w:val="24"/>
          <w:szCs w:val="24"/>
        </w:rPr>
        <w:t xml:space="preserve">Conspectus </w:t>
      </w:r>
      <w:r w:rsidRPr="00951E87">
        <w:rPr>
          <w:rFonts w:cs="Times New Roman"/>
          <w:sz w:val="24"/>
          <w:szCs w:val="24"/>
        </w:rPr>
        <w:t>(A VI, 1, 495–9).</w:t>
      </w:r>
      <w:proofErr w:type="gramEnd"/>
    </w:p>
  </w:footnote>
  <w:footnote w:id="12">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See part IV of the </w:t>
      </w:r>
      <w:proofErr w:type="spellStart"/>
      <w:r w:rsidRPr="00951E87">
        <w:rPr>
          <w:rFonts w:cs="Times New Roman"/>
          <w:i/>
          <w:iCs/>
          <w:szCs w:val="24"/>
        </w:rPr>
        <w:t>Demonstrationum</w:t>
      </w:r>
      <w:proofErr w:type="spellEnd"/>
      <w:r w:rsidRPr="00951E87">
        <w:rPr>
          <w:rFonts w:cs="Times New Roman"/>
          <w:i/>
          <w:iCs/>
          <w:szCs w:val="24"/>
        </w:rPr>
        <w:t xml:space="preserve"> </w:t>
      </w:r>
      <w:proofErr w:type="spellStart"/>
      <w:r w:rsidRPr="00951E87">
        <w:rPr>
          <w:rFonts w:cs="Times New Roman"/>
          <w:i/>
          <w:iCs/>
          <w:szCs w:val="24"/>
        </w:rPr>
        <w:t>Catholicarum</w:t>
      </w:r>
      <w:proofErr w:type="spellEnd"/>
      <w:r w:rsidRPr="00951E87">
        <w:rPr>
          <w:rFonts w:cs="Times New Roman"/>
          <w:i/>
          <w:iCs/>
          <w:szCs w:val="24"/>
        </w:rPr>
        <w:t xml:space="preserve"> Conspectus </w:t>
      </w:r>
      <w:r w:rsidRPr="00951E87">
        <w:rPr>
          <w:rFonts w:cs="Times New Roman"/>
          <w:szCs w:val="24"/>
        </w:rPr>
        <w:t>(A VI, 1, 499–500) and A II, 1, 488–9; A I, 2, 225.</w:t>
      </w:r>
    </w:p>
  </w:footnote>
  <w:footnote w:id="13">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 2, 225 and A II, 1, 489.</w:t>
      </w:r>
    </w:p>
  </w:footnote>
  <w:footnote w:id="14">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II, 1, 490–91 and A I, 2, 226–7.</w:t>
      </w:r>
    </w:p>
  </w:footnote>
  <w:footnote w:id="15">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II, 1, 489 and A I, 2, 225.</w:t>
      </w:r>
    </w:p>
  </w:footnote>
  <w:footnote w:id="16">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See the </w:t>
      </w:r>
      <w:r w:rsidRPr="00951E87">
        <w:rPr>
          <w:rFonts w:cs="Times New Roman"/>
          <w:i/>
          <w:iCs/>
          <w:szCs w:val="24"/>
        </w:rPr>
        <w:t xml:space="preserve">Prolegomena </w:t>
      </w:r>
      <w:r w:rsidRPr="00951E87">
        <w:rPr>
          <w:rFonts w:cs="Times New Roman"/>
          <w:szCs w:val="24"/>
        </w:rPr>
        <w:t xml:space="preserve">to the </w:t>
      </w:r>
      <w:proofErr w:type="spellStart"/>
      <w:r w:rsidRPr="00951E87">
        <w:rPr>
          <w:rFonts w:cs="Times New Roman"/>
          <w:i/>
          <w:iCs/>
          <w:szCs w:val="24"/>
        </w:rPr>
        <w:t>Demonstrationum</w:t>
      </w:r>
      <w:proofErr w:type="spellEnd"/>
      <w:r w:rsidRPr="00951E87">
        <w:rPr>
          <w:rFonts w:cs="Times New Roman"/>
          <w:i/>
          <w:iCs/>
          <w:szCs w:val="24"/>
        </w:rPr>
        <w:t xml:space="preserve"> </w:t>
      </w:r>
      <w:proofErr w:type="spellStart"/>
      <w:r w:rsidRPr="00951E87">
        <w:rPr>
          <w:rFonts w:cs="Times New Roman"/>
          <w:i/>
          <w:iCs/>
          <w:szCs w:val="24"/>
        </w:rPr>
        <w:t>Catholicarum</w:t>
      </w:r>
      <w:proofErr w:type="spellEnd"/>
      <w:r w:rsidRPr="00951E87">
        <w:rPr>
          <w:rFonts w:cs="Times New Roman"/>
          <w:i/>
          <w:iCs/>
          <w:szCs w:val="24"/>
        </w:rPr>
        <w:t xml:space="preserve"> Conspectus </w:t>
      </w:r>
      <w:r w:rsidRPr="00951E87">
        <w:rPr>
          <w:rFonts w:cs="Times New Roman"/>
          <w:szCs w:val="24"/>
        </w:rPr>
        <w:t xml:space="preserve">(A VI, 1, 494) and the presentation of the plan to the duke (A II, 1, 226 and </w:t>
      </w:r>
      <w:proofErr w:type="gramStart"/>
      <w:r w:rsidRPr="00951E87">
        <w:rPr>
          <w:rFonts w:cs="Times New Roman"/>
          <w:szCs w:val="24"/>
        </w:rPr>
        <w:t>A</w:t>
      </w:r>
      <w:proofErr w:type="gramEnd"/>
      <w:r w:rsidRPr="00951E87">
        <w:rPr>
          <w:rFonts w:cs="Times New Roman"/>
          <w:szCs w:val="24"/>
        </w:rPr>
        <w:t xml:space="preserve"> I, 2, 489).</w:t>
      </w:r>
    </w:p>
  </w:footnote>
  <w:footnote w:id="17">
    <w:p w:rsidR="003D40D7" w:rsidRPr="00951E87" w:rsidRDefault="003D40D7" w:rsidP="0082307E">
      <w:pPr>
        <w:pStyle w:val="FootnoteText"/>
        <w:spacing w:line="360" w:lineRule="auto"/>
        <w:rPr>
          <w:rFonts w:cs="Times New Roman"/>
          <w:sz w:val="24"/>
          <w:szCs w:val="24"/>
          <w:lang w:val="it-IT"/>
        </w:rPr>
      </w:pPr>
      <w:r w:rsidRPr="00951E87">
        <w:rPr>
          <w:rStyle w:val="FootnoteReference"/>
          <w:rFonts w:cs="Times New Roman"/>
          <w:sz w:val="24"/>
          <w:szCs w:val="24"/>
        </w:rPr>
        <w:footnoteRef/>
      </w:r>
      <w:r w:rsidRPr="00951E87">
        <w:rPr>
          <w:rFonts w:cs="Times New Roman"/>
          <w:sz w:val="24"/>
          <w:szCs w:val="24"/>
          <w:lang w:val="it-IT"/>
        </w:rPr>
        <w:t xml:space="preserve"> A I, 2, 226; A II, 1, 489.</w:t>
      </w:r>
    </w:p>
  </w:footnote>
  <w:footnote w:id="18">
    <w:p w:rsidR="003D40D7" w:rsidRPr="00951E87" w:rsidRDefault="003D40D7" w:rsidP="00B93DA3">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gramStart"/>
      <w:r w:rsidRPr="00951E87">
        <w:rPr>
          <w:rFonts w:cs="Times New Roman"/>
          <w:szCs w:val="24"/>
        </w:rPr>
        <w:t>A</w:t>
      </w:r>
      <w:proofErr w:type="gramEnd"/>
      <w:r w:rsidRPr="00951E87">
        <w:rPr>
          <w:rFonts w:cs="Times New Roman"/>
          <w:szCs w:val="24"/>
        </w:rPr>
        <w:t xml:space="preserve"> II, 1, 490; A I, 2, 226. See also Leibniz’s </w:t>
      </w:r>
      <w:proofErr w:type="spellStart"/>
      <w:r w:rsidRPr="00951E87">
        <w:rPr>
          <w:rFonts w:cs="Times New Roman"/>
          <w:i/>
          <w:iCs/>
          <w:szCs w:val="24"/>
        </w:rPr>
        <w:t>Selbstschilderung</w:t>
      </w:r>
      <w:proofErr w:type="spellEnd"/>
      <w:r w:rsidRPr="00951E87">
        <w:rPr>
          <w:rFonts w:cs="Times New Roman"/>
          <w:i/>
          <w:iCs/>
          <w:szCs w:val="24"/>
        </w:rPr>
        <w:t xml:space="preserve"> </w:t>
      </w:r>
      <w:r w:rsidRPr="00951E87">
        <w:rPr>
          <w:rFonts w:cs="Times New Roman"/>
          <w:szCs w:val="24"/>
        </w:rPr>
        <w:t xml:space="preserve">for Duke Johann Friedrich; </w:t>
      </w:r>
      <w:proofErr w:type="gramStart"/>
      <w:r w:rsidRPr="00951E87">
        <w:rPr>
          <w:rFonts w:cs="Times New Roman"/>
          <w:szCs w:val="24"/>
        </w:rPr>
        <w:t>Autumn</w:t>
      </w:r>
      <w:proofErr w:type="gramEnd"/>
      <w:r w:rsidRPr="00951E87">
        <w:rPr>
          <w:rFonts w:cs="Times New Roman"/>
          <w:szCs w:val="24"/>
        </w:rPr>
        <w:t xml:space="preserve"> 1679</w:t>
      </w:r>
      <w:r w:rsidRPr="00951E87">
        <w:rPr>
          <w:rFonts w:ascii="Cambria Math" w:eastAsia="MTSY" w:hAnsi="Cambria Math" w:cs="Cambria Math"/>
          <w:szCs w:val="24"/>
        </w:rPr>
        <w:t>∗</w:t>
      </w:r>
      <w:r w:rsidRPr="00951E87">
        <w:rPr>
          <w:rFonts w:cs="Times New Roman"/>
          <w:szCs w:val="24"/>
        </w:rPr>
        <w:t>, A II, 1, 492–3.</w:t>
      </w:r>
    </w:p>
  </w:footnote>
  <w:footnote w:id="19">
    <w:p w:rsidR="003D40D7" w:rsidRPr="00951E87" w:rsidRDefault="003D40D7" w:rsidP="00B93DA3">
      <w:pPr>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See Heinrich </w:t>
      </w:r>
      <w:proofErr w:type="spellStart"/>
      <w:r w:rsidRPr="00951E87">
        <w:rPr>
          <w:rFonts w:cs="Times New Roman"/>
          <w:szCs w:val="24"/>
        </w:rPr>
        <w:t>Schepers</w:t>
      </w:r>
      <w:proofErr w:type="spellEnd"/>
      <w:r w:rsidRPr="00951E87">
        <w:rPr>
          <w:rFonts w:cs="Times New Roman"/>
          <w:szCs w:val="24"/>
        </w:rPr>
        <w:t>, “</w:t>
      </w:r>
      <w:proofErr w:type="spellStart"/>
      <w:r w:rsidRPr="00951E87">
        <w:rPr>
          <w:rFonts w:cs="Times New Roman"/>
          <w:i/>
          <w:szCs w:val="24"/>
        </w:rPr>
        <w:t>Demonstrationes</w:t>
      </w:r>
      <w:proofErr w:type="spellEnd"/>
      <w:r w:rsidRPr="00951E87">
        <w:rPr>
          <w:rFonts w:cs="Times New Roman"/>
          <w:szCs w:val="24"/>
        </w:rPr>
        <w:t xml:space="preserve"> </w:t>
      </w:r>
      <w:proofErr w:type="spellStart"/>
      <w:r w:rsidRPr="00951E87">
        <w:rPr>
          <w:rFonts w:cs="Times New Roman"/>
          <w:i/>
          <w:szCs w:val="24"/>
        </w:rPr>
        <w:t>Catholicae</w:t>
      </w:r>
      <w:proofErr w:type="spellEnd"/>
      <w:r w:rsidRPr="00951E87">
        <w:rPr>
          <w:rFonts w:cs="Times New Roman"/>
          <w:szCs w:val="24"/>
        </w:rPr>
        <w:t xml:space="preserve">: Leibniz's </w:t>
      </w:r>
      <w:proofErr w:type="spellStart"/>
      <w:r w:rsidRPr="00951E87">
        <w:rPr>
          <w:rFonts w:cs="Times New Roman"/>
          <w:szCs w:val="24"/>
        </w:rPr>
        <w:t>großer</w:t>
      </w:r>
      <w:proofErr w:type="spellEnd"/>
      <w:r w:rsidRPr="00951E87">
        <w:rPr>
          <w:rFonts w:cs="Times New Roman"/>
          <w:szCs w:val="24"/>
        </w:rPr>
        <w:t xml:space="preserve"> Plan; </w:t>
      </w:r>
      <w:proofErr w:type="spellStart"/>
      <w:r w:rsidRPr="00951E87">
        <w:rPr>
          <w:rFonts w:cs="Times New Roman"/>
          <w:szCs w:val="24"/>
        </w:rPr>
        <w:t>ein</w:t>
      </w:r>
      <w:proofErr w:type="spellEnd"/>
      <w:r w:rsidRPr="00951E87">
        <w:rPr>
          <w:rFonts w:cs="Times New Roman"/>
          <w:szCs w:val="24"/>
        </w:rPr>
        <w:t xml:space="preserve"> rationales </w:t>
      </w:r>
      <w:proofErr w:type="spellStart"/>
      <w:r w:rsidRPr="00951E87">
        <w:rPr>
          <w:rFonts w:cs="Times New Roman"/>
          <w:szCs w:val="24"/>
        </w:rPr>
        <w:t>Friedensprojekt</w:t>
      </w:r>
      <w:proofErr w:type="spellEnd"/>
      <w:r w:rsidRPr="00951E87">
        <w:rPr>
          <w:rFonts w:cs="Times New Roman"/>
          <w:szCs w:val="24"/>
        </w:rPr>
        <w:t xml:space="preserve"> </w:t>
      </w:r>
      <w:proofErr w:type="spellStart"/>
      <w:r w:rsidRPr="00951E87">
        <w:rPr>
          <w:rFonts w:cs="Times New Roman"/>
          <w:szCs w:val="24"/>
        </w:rPr>
        <w:t>für</w:t>
      </w:r>
      <w:proofErr w:type="spellEnd"/>
      <w:r w:rsidRPr="00951E87">
        <w:rPr>
          <w:rFonts w:cs="Times New Roman"/>
          <w:szCs w:val="24"/>
        </w:rPr>
        <w:t xml:space="preserve"> Europa”, in: Friedrich </w:t>
      </w:r>
      <w:proofErr w:type="spellStart"/>
      <w:r w:rsidRPr="00951E87">
        <w:rPr>
          <w:rFonts w:cs="Times New Roman"/>
          <w:szCs w:val="24"/>
        </w:rPr>
        <w:t>Beiderbeck</w:t>
      </w:r>
      <w:proofErr w:type="spellEnd"/>
      <w:r w:rsidRPr="00951E87">
        <w:rPr>
          <w:rFonts w:cs="Times New Roman"/>
          <w:szCs w:val="24"/>
        </w:rPr>
        <w:t xml:space="preserve"> and Stephan </w:t>
      </w:r>
      <w:proofErr w:type="spellStart"/>
      <w:r w:rsidRPr="00951E87">
        <w:rPr>
          <w:rFonts w:cs="Times New Roman"/>
          <w:szCs w:val="24"/>
        </w:rPr>
        <w:t>Waldhoff</w:t>
      </w:r>
      <w:proofErr w:type="spellEnd"/>
      <w:r w:rsidRPr="00951E87">
        <w:rPr>
          <w:rFonts w:cs="Times New Roman"/>
          <w:szCs w:val="24"/>
        </w:rPr>
        <w:t xml:space="preserve"> (eds.), </w:t>
      </w:r>
      <w:hyperlink r:id="rId1" w:history="1">
        <w:proofErr w:type="spellStart"/>
        <w:r w:rsidRPr="00951E87">
          <w:rPr>
            <w:rStyle w:val="Hyperlink"/>
            <w:rFonts w:cs="Times New Roman"/>
            <w:i/>
            <w:color w:val="000000" w:themeColor="text1"/>
            <w:szCs w:val="24"/>
            <w:u w:val="none"/>
          </w:rPr>
          <w:t>Pluralität</w:t>
        </w:r>
        <w:proofErr w:type="spellEnd"/>
        <w:r w:rsidRPr="00951E87">
          <w:rPr>
            <w:rStyle w:val="Hyperlink"/>
            <w:rFonts w:cs="Times New Roman"/>
            <w:i/>
            <w:color w:val="000000" w:themeColor="text1"/>
            <w:szCs w:val="24"/>
            <w:u w:val="none"/>
          </w:rPr>
          <w:t xml:space="preserve"> der </w:t>
        </w:r>
        <w:proofErr w:type="spellStart"/>
        <w:r w:rsidRPr="00951E87">
          <w:rPr>
            <w:rStyle w:val="Hyperlink"/>
            <w:rFonts w:cs="Times New Roman"/>
            <w:i/>
            <w:color w:val="000000" w:themeColor="text1"/>
            <w:szCs w:val="24"/>
            <w:u w:val="none"/>
          </w:rPr>
          <w:t>Perspektiven</w:t>
        </w:r>
        <w:proofErr w:type="spellEnd"/>
        <w:r w:rsidRPr="00951E87">
          <w:rPr>
            <w:rStyle w:val="Hyperlink"/>
            <w:rFonts w:cs="Times New Roman"/>
            <w:i/>
            <w:color w:val="000000" w:themeColor="text1"/>
            <w:szCs w:val="24"/>
            <w:u w:val="none"/>
          </w:rPr>
          <w:t xml:space="preserve"> und </w:t>
        </w:r>
        <w:proofErr w:type="spellStart"/>
        <w:r w:rsidRPr="00951E87">
          <w:rPr>
            <w:rStyle w:val="Hyperlink"/>
            <w:rFonts w:cs="Times New Roman"/>
            <w:i/>
            <w:color w:val="000000" w:themeColor="text1"/>
            <w:szCs w:val="24"/>
            <w:u w:val="none"/>
          </w:rPr>
          <w:t>Einheit</w:t>
        </w:r>
        <w:proofErr w:type="spellEnd"/>
        <w:r w:rsidRPr="00951E87">
          <w:rPr>
            <w:rStyle w:val="Hyperlink"/>
            <w:rFonts w:cs="Times New Roman"/>
            <w:i/>
            <w:color w:val="000000" w:themeColor="text1"/>
            <w:szCs w:val="24"/>
            <w:u w:val="none"/>
          </w:rPr>
          <w:t xml:space="preserve"> der </w:t>
        </w:r>
        <w:proofErr w:type="spellStart"/>
        <w:r w:rsidRPr="00951E87">
          <w:rPr>
            <w:rStyle w:val="Hyperlink"/>
            <w:rFonts w:cs="Times New Roman"/>
            <w:i/>
            <w:color w:val="000000" w:themeColor="text1"/>
            <w:szCs w:val="24"/>
            <w:u w:val="none"/>
          </w:rPr>
          <w:t>Wahrheit</w:t>
        </w:r>
        <w:proofErr w:type="spellEnd"/>
        <w:r w:rsidRPr="00951E87">
          <w:rPr>
            <w:rStyle w:val="Hyperlink"/>
            <w:rFonts w:cs="Times New Roman"/>
            <w:i/>
            <w:color w:val="000000" w:themeColor="text1"/>
            <w:szCs w:val="24"/>
            <w:u w:val="none"/>
          </w:rPr>
          <w:t xml:space="preserve"> </w:t>
        </w:r>
        <w:proofErr w:type="spellStart"/>
        <w:r w:rsidRPr="00951E87">
          <w:rPr>
            <w:rStyle w:val="Hyperlink"/>
            <w:rFonts w:cs="Times New Roman"/>
            <w:i/>
            <w:color w:val="000000" w:themeColor="text1"/>
            <w:szCs w:val="24"/>
            <w:u w:val="none"/>
          </w:rPr>
          <w:t>im</w:t>
        </w:r>
        <w:proofErr w:type="spellEnd"/>
        <w:r w:rsidRPr="00951E87">
          <w:rPr>
            <w:rStyle w:val="Hyperlink"/>
            <w:rFonts w:cs="Times New Roman"/>
            <w:i/>
            <w:color w:val="000000" w:themeColor="text1"/>
            <w:szCs w:val="24"/>
            <w:u w:val="none"/>
          </w:rPr>
          <w:t xml:space="preserve"> </w:t>
        </w:r>
        <w:proofErr w:type="spellStart"/>
        <w:r w:rsidRPr="00951E87">
          <w:rPr>
            <w:rStyle w:val="Hyperlink"/>
            <w:rFonts w:cs="Times New Roman"/>
            <w:i/>
            <w:color w:val="000000" w:themeColor="text1"/>
            <w:szCs w:val="24"/>
            <w:u w:val="none"/>
          </w:rPr>
          <w:t>Werk</w:t>
        </w:r>
        <w:proofErr w:type="spellEnd"/>
        <w:r w:rsidRPr="00951E87">
          <w:rPr>
            <w:rStyle w:val="Hyperlink"/>
            <w:rFonts w:cs="Times New Roman"/>
            <w:i/>
            <w:color w:val="000000" w:themeColor="text1"/>
            <w:szCs w:val="24"/>
            <w:u w:val="none"/>
          </w:rPr>
          <w:t xml:space="preserve"> von G. W. Leibniz</w:t>
        </w:r>
      </w:hyperlink>
      <w:r w:rsidRPr="00951E87">
        <w:rPr>
          <w:rFonts w:cs="Times New Roman"/>
          <w:color w:val="000000" w:themeColor="text1"/>
          <w:szCs w:val="24"/>
        </w:rPr>
        <w:t xml:space="preserve">, </w:t>
      </w:r>
      <w:r w:rsidRPr="00951E87">
        <w:rPr>
          <w:rFonts w:eastAsia="Times New Roman" w:cs="Times New Roman"/>
          <w:szCs w:val="24"/>
          <w:lang w:eastAsia="en-GB"/>
        </w:rPr>
        <w:t xml:space="preserve">Berlin 2011, pp. 3-15; </w:t>
      </w:r>
      <w:r w:rsidRPr="00951E87">
        <w:rPr>
          <w:rFonts w:cs="Times New Roman"/>
          <w:szCs w:val="24"/>
        </w:rPr>
        <w:t xml:space="preserve">Maria Rosa Antognazza, </w:t>
      </w:r>
      <w:r w:rsidRPr="00951E87">
        <w:rPr>
          <w:rFonts w:cs="Times New Roman"/>
          <w:i/>
          <w:szCs w:val="24"/>
        </w:rPr>
        <w:t>Leibniz on the Trinity and the Incarnation</w:t>
      </w:r>
      <w:r w:rsidRPr="00951E87">
        <w:rPr>
          <w:rFonts w:cs="Times New Roman"/>
          <w:szCs w:val="24"/>
        </w:rPr>
        <w:t xml:space="preserve">: Reason and Revelation in the Seventeenth Century, New Haven 2007, pp. 3-15 (first published as </w:t>
      </w:r>
      <w:proofErr w:type="spellStart"/>
      <w:r w:rsidRPr="00951E87">
        <w:rPr>
          <w:rFonts w:cs="Times New Roman"/>
          <w:i/>
          <w:szCs w:val="24"/>
        </w:rPr>
        <w:t>Trinità</w:t>
      </w:r>
      <w:proofErr w:type="spellEnd"/>
      <w:r w:rsidRPr="00951E87">
        <w:rPr>
          <w:rFonts w:cs="Times New Roman"/>
          <w:i/>
          <w:szCs w:val="24"/>
        </w:rPr>
        <w:t xml:space="preserve"> e </w:t>
      </w:r>
      <w:proofErr w:type="spellStart"/>
      <w:r w:rsidRPr="00951E87">
        <w:rPr>
          <w:rFonts w:cs="Times New Roman"/>
          <w:i/>
          <w:szCs w:val="24"/>
        </w:rPr>
        <w:t>Incarnazione</w:t>
      </w:r>
      <w:proofErr w:type="spellEnd"/>
      <w:r w:rsidRPr="00951E87">
        <w:rPr>
          <w:rFonts w:cs="Times New Roman"/>
          <w:i/>
          <w:szCs w:val="24"/>
        </w:rPr>
        <w:t xml:space="preserve">: Il </w:t>
      </w:r>
      <w:proofErr w:type="spellStart"/>
      <w:r w:rsidRPr="00951E87">
        <w:rPr>
          <w:rFonts w:cs="Times New Roman"/>
          <w:i/>
          <w:szCs w:val="24"/>
        </w:rPr>
        <w:t>rapporto</w:t>
      </w:r>
      <w:proofErr w:type="spellEnd"/>
      <w:r w:rsidRPr="00951E87">
        <w:rPr>
          <w:rFonts w:cs="Times New Roman"/>
          <w:i/>
          <w:szCs w:val="24"/>
        </w:rPr>
        <w:t xml:space="preserve"> </w:t>
      </w:r>
      <w:proofErr w:type="spellStart"/>
      <w:r w:rsidRPr="00951E87">
        <w:rPr>
          <w:rFonts w:cs="Times New Roman"/>
          <w:i/>
          <w:szCs w:val="24"/>
        </w:rPr>
        <w:t>tra</w:t>
      </w:r>
      <w:proofErr w:type="spellEnd"/>
      <w:r w:rsidRPr="00951E87">
        <w:rPr>
          <w:rFonts w:cs="Times New Roman"/>
          <w:i/>
          <w:szCs w:val="24"/>
        </w:rPr>
        <w:t xml:space="preserve"> </w:t>
      </w:r>
      <w:proofErr w:type="spellStart"/>
      <w:r w:rsidRPr="00951E87">
        <w:rPr>
          <w:rFonts w:cs="Times New Roman"/>
          <w:i/>
          <w:szCs w:val="24"/>
        </w:rPr>
        <w:t>filosofia</w:t>
      </w:r>
      <w:proofErr w:type="spellEnd"/>
      <w:r w:rsidRPr="00951E87">
        <w:rPr>
          <w:rFonts w:cs="Times New Roman"/>
          <w:i/>
          <w:szCs w:val="24"/>
        </w:rPr>
        <w:t xml:space="preserve"> e </w:t>
      </w:r>
      <w:proofErr w:type="spellStart"/>
      <w:r w:rsidRPr="00951E87">
        <w:rPr>
          <w:rFonts w:cs="Times New Roman"/>
          <w:i/>
          <w:szCs w:val="24"/>
        </w:rPr>
        <w:t>teologia</w:t>
      </w:r>
      <w:proofErr w:type="spellEnd"/>
      <w:r w:rsidRPr="00951E87">
        <w:rPr>
          <w:rFonts w:cs="Times New Roman"/>
          <w:i/>
          <w:szCs w:val="24"/>
        </w:rPr>
        <w:t xml:space="preserve"> </w:t>
      </w:r>
      <w:proofErr w:type="spellStart"/>
      <w:r w:rsidRPr="00951E87">
        <w:rPr>
          <w:rFonts w:cs="Times New Roman"/>
          <w:i/>
          <w:szCs w:val="24"/>
        </w:rPr>
        <w:t>rivelata</w:t>
      </w:r>
      <w:proofErr w:type="spellEnd"/>
      <w:r w:rsidRPr="00951E87">
        <w:rPr>
          <w:rFonts w:cs="Times New Roman"/>
          <w:i/>
          <w:szCs w:val="24"/>
        </w:rPr>
        <w:t xml:space="preserve"> </w:t>
      </w:r>
      <w:proofErr w:type="spellStart"/>
      <w:r w:rsidRPr="00951E87">
        <w:rPr>
          <w:rFonts w:cs="Times New Roman"/>
          <w:i/>
          <w:szCs w:val="24"/>
        </w:rPr>
        <w:t>nel</w:t>
      </w:r>
      <w:proofErr w:type="spellEnd"/>
      <w:r w:rsidRPr="00951E87">
        <w:rPr>
          <w:rFonts w:cs="Times New Roman"/>
          <w:i/>
          <w:szCs w:val="24"/>
        </w:rPr>
        <w:t xml:space="preserve"> </w:t>
      </w:r>
      <w:proofErr w:type="spellStart"/>
      <w:r w:rsidRPr="00951E87">
        <w:rPr>
          <w:rFonts w:cs="Times New Roman"/>
          <w:i/>
          <w:szCs w:val="24"/>
        </w:rPr>
        <w:t>pensiero</w:t>
      </w:r>
      <w:proofErr w:type="spellEnd"/>
      <w:r w:rsidRPr="00951E87">
        <w:rPr>
          <w:rFonts w:cs="Times New Roman"/>
          <w:i/>
          <w:szCs w:val="24"/>
        </w:rPr>
        <w:t xml:space="preserve"> di Leibniz</w:t>
      </w:r>
      <w:r w:rsidRPr="00951E87">
        <w:rPr>
          <w:rFonts w:cs="Times New Roman"/>
          <w:szCs w:val="24"/>
        </w:rPr>
        <w:t xml:space="preserve">, Milan 1999); Antognazza: </w:t>
      </w:r>
      <w:r w:rsidRPr="00951E87">
        <w:rPr>
          <w:rFonts w:cs="Times New Roman"/>
          <w:i/>
          <w:szCs w:val="24"/>
        </w:rPr>
        <w:t>Leibniz: An Intellectual Biography</w:t>
      </w:r>
      <w:r w:rsidRPr="00951E87">
        <w:rPr>
          <w:rFonts w:cs="Times New Roman"/>
          <w:szCs w:val="24"/>
        </w:rPr>
        <w:t>, esp. pp. 90-123.</w:t>
      </w:r>
    </w:p>
  </w:footnote>
  <w:footnote w:id="20">
    <w:p w:rsidR="003D40D7" w:rsidRPr="00951E87" w:rsidRDefault="003D40D7" w:rsidP="003C67F3">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IV, 4, 21. See also </w:t>
      </w:r>
      <w:proofErr w:type="gramStart"/>
      <w:r w:rsidRPr="00951E87">
        <w:rPr>
          <w:rFonts w:cs="Times New Roman"/>
          <w:sz w:val="24"/>
          <w:szCs w:val="24"/>
        </w:rPr>
        <w:t>A</w:t>
      </w:r>
      <w:proofErr w:type="gramEnd"/>
      <w:r w:rsidRPr="00951E87">
        <w:rPr>
          <w:rFonts w:cs="Times New Roman"/>
          <w:sz w:val="24"/>
          <w:szCs w:val="24"/>
        </w:rPr>
        <w:t xml:space="preserve"> IV, 4 N. 1-11 and A I, 5 N. 149.</w:t>
      </w:r>
    </w:p>
  </w:footnote>
  <w:footnote w:id="21">
    <w:p w:rsidR="003D40D7" w:rsidRPr="00951E87" w:rsidRDefault="003D40D7" w:rsidP="000A0507">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See </w:t>
      </w:r>
      <w:proofErr w:type="spellStart"/>
      <w:r w:rsidRPr="00951E87">
        <w:rPr>
          <w:rFonts w:cs="Times New Roman"/>
          <w:szCs w:val="24"/>
        </w:rPr>
        <w:t>Klopp</w:t>
      </w:r>
      <w:proofErr w:type="spellEnd"/>
      <w:r w:rsidRPr="00951E87">
        <w:rPr>
          <w:rFonts w:cs="Times New Roman"/>
          <w:szCs w:val="24"/>
        </w:rPr>
        <w:t xml:space="preserve"> X, 7–21 (esp. pp. 9</w:t>
      </w:r>
      <w:bookmarkStart w:id="0" w:name="_GoBack"/>
      <w:bookmarkEnd w:id="0"/>
      <w:r w:rsidRPr="00951E87">
        <w:rPr>
          <w:rFonts w:cs="Times New Roman"/>
          <w:szCs w:val="24"/>
        </w:rPr>
        <w:t xml:space="preserve">–21); trans. by Patrick Riley in G. W. Leibniz, </w:t>
      </w:r>
      <w:r w:rsidRPr="00951E87">
        <w:rPr>
          <w:rFonts w:cs="Times New Roman"/>
          <w:i/>
          <w:iCs/>
          <w:szCs w:val="24"/>
        </w:rPr>
        <w:t>Political Writings</w:t>
      </w:r>
      <w:r w:rsidRPr="00951E87">
        <w:rPr>
          <w:rFonts w:cs="Times New Roman"/>
          <w:szCs w:val="24"/>
        </w:rPr>
        <w:t>, 2nd ed. Cambridge 1988, pp. 103–10 (see esp. pp. 105–10) (here p. 105).</w:t>
      </w:r>
    </w:p>
  </w:footnote>
  <w:footnote w:id="22">
    <w:p w:rsidR="003D40D7" w:rsidRPr="00951E87" w:rsidRDefault="003D40D7" w:rsidP="00433FE4">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gramStart"/>
      <w:r w:rsidRPr="00951E87">
        <w:rPr>
          <w:rFonts w:cs="Times New Roman"/>
          <w:szCs w:val="24"/>
        </w:rPr>
        <w:t xml:space="preserve">In </w:t>
      </w:r>
      <w:proofErr w:type="spellStart"/>
      <w:r w:rsidRPr="00951E87">
        <w:rPr>
          <w:rFonts w:cs="Times New Roman"/>
          <w:szCs w:val="24"/>
        </w:rPr>
        <w:t>Woldemar</w:t>
      </w:r>
      <w:proofErr w:type="spellEnd"/>
      <w:r w:rsidRPr="00951E87">
        <w:rPr>
          <w:rFonts w:cs="Times New Roman"/>
          <w:szCs w:val="24"/>
        </w:rPr>
        <w:t xml:space="preserve"> Guerrier, </w:t>
      </w:r>
      <w:r w:rsidRPr="00951E87">
        <w:rPr>
          <w:rFonts w:cs="Times New Roman"/>
          <w:i/>
          <w:iCs/>
          <w:szCs w:val="24"/>
        </w:rPr>
        <w:t xml:space="preserve">Leibniz in </w:t>
      </w:r>
      <w:proofErr w:type="spellStart"/>
      <w:r w:rsidRPr="00951E87">
        <w:rPr>
          <w:rFonts w:cs="Times New Roman"/>
          <w:i/>
          <w:iCs/>
          <w:szCs w:val="24"/>
        </w:rPr>
        <w:t>seinen</w:t>
      </w:r>
      <w:proofErr w:type="spellEnd"/>
      <w:r w:rsidRPr="00951E87">
        <w:rPr>
          <w:rFonts w:cs="Times New Roman"/>
          <w:i/>
          <w:iCs/>
          <w:szCs w:val="24"/>
        </w:rPr>
        <w:t xml:space="preserve"> </w:t>
      </w:r>
      <w:proofErr w:type="spellStart"/>
      <w:r w:rsidRPr="00951E87">
        <w:rPr>
          <w:rFonts w:cs="Times New Roman"/>
          <w:i/>
          <w:iCs/>
          <w:szCs w:val="24"/>
        </w:rPr>
        <w:t>Beziehungen</w:t>
      </w:r>
      <w:proofErr w:type="spellEnd"/>
      <w:r w:rsidRPr="00951E87">
        <w:rPr>
          <w:rFonts w:cs="Times New Roman"/>
          <w:i/>
          <w:iCs/>
          <w:szCs w:val="24"/>
        </w:rPr>
        <w:t xml:space="preserve"> </w:t>
      </w:r>
      <w:proofErr w:type="spellStart"/>
      <w:r w:rsidRPr="00951E87">
        <w:rPr>
          <w:rFonts w:cs="Times New Roman"/>
          <w:i/>
          <w:iCs/>
          <w:szCs w:val="24"/>
        </w:rPr>
        <w:t>zu</w:t>
      </w:r>
      <w:proofErr w:type="spellEnd"/>
      <w:r w:rsidRPr="00951E87">
        <w:rPr>
          <w:rFonts w:cs="Times New Roman"/>
          <w:i/>
          <w:iCs/>
          <w:szCs w:val="24"/>
        </w:rPr>
        <w:t xml:space="preserve"> </w:t>
      </w:r>
      <w:proofErr w:type="spellStart"/>
      <w:r w:rsidRPr="00951E87">
        <w:rPr>
          <w:rFonts w:cs="Times New Roman"/>
          <w:i/>
          <w:iCs/>
          <w:szCs w:val="24"/>
        </w:rPr>
        <w:t>Russland</w:t>
      </w:r>
      <w:proofErr w:type="spellEnd"/>
      <w:r w:rsidRPr="00951E87">
        <w:rPr>
          <w:rFonts w:cs="Times New Roman"/>
          <w:i/>
          <w:iCs/>
          <w:szCs w:val="24"/>
        </w:rPr>
        <w:t xml:space="preserve"> und Peter </w:t>
      </w:r>
      <w:proofErr w:type="spellStart"/>
      <w:r w:rsidRPr="00951E87">
        <w:rPr>
          <w:rFonts w:cs="Times New Roman"/>
          <w:i/>
          <w:iCs/>
          <w:szCs w:val="24"/>
        </w:rPr>
        <w:t>dem</w:t>
      </w:r>
      <w:proofErr w:type="spellEnd"/>
      <w:r w:rsidRPr="00951E87">
        <w:rPr>
          <w:rFonts w:cs="Times New Roman"/>
          <w:i/>
          <w:iCs/>
          <w:szCs w:val="24"/>
        </w:rPr>
        <w:t xml:space="preserve"> </w:t>
      </w:r>
      <w:proofErr w:type="spellStart"/>
      <w:r w:rsidRPr="00951E87">
        <w:rPr>
          <w:rFonts w:cs="Times New Roman"/>
          <w:i/>
          <w:iCs/>
          <w:szCs w:val="24"/>
        </w:rPr>
        <w:t>Grossen</w:t>
      </w:r>
      <w:proofErr w:type="spellEnd"/>
      <w:r w:rsidRPr="00951E87">
        <w:rPr>
          <w:rFonts w:cs="Times New Roman"/>
          <w:szCs w:val="24"/>
        </w:rPr>
        <w:t>.</w:t>
      </w:r>
      <w:proofErr w:type="gramEnd"/>
      <w:r w:rsidRPr="00951E87">
        <w:rPr>
          <w:rFonts w:cs="Times New Roman"/>
          <w:szCs w:val="24"/>
        </w:rPr>
        <w:t xml:space="preserve"> St. Petersburg and Leipzig 1873, N. 143, pp. 206-8.</w:t>
      </w:r>
    </w:p>
  </w:footnote>
  <w:footnote w:id="23">
    <w:p w:rsidR="003D40D7" w:rsidRPr="00951E87" w:rsidRDefault="003D40D7" w:rsidP="0082307E">
      <w:pPr>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gramStart"/>
      <w:r w:rsidRPr="00951E87">
        <w:rPr>
          <w:rFonts w:cs="Times New Roman"/>
          <w:szCs w:val="24"/>
        </w:rPr>
        <w:t>A</w:t>
      </w:r>
      <w:proofErr w:type="gramEnd"/>
      <w:r w:rsidRPr="00951E87">
        <w:rPr>
          <w:rFonts w:cs="Times New Roman"/>
          <w:szCs w:val="24"/>
        </w:rPr>
        <w:t xml:space="preserve"> IV, 1, 532. Trans. by Stephan </w:t>
      </w:r>
      <w:proofErr w:type="spellStart"/>
      <w:r w:rsidRPr="00951E87">
        <w:rPr>
          <w:rFonts w:cs="Times New Roman"/>
          <w:szCs w:val="24"/>
        </w:rPr>
        <w:t>Waldhoff</w:t>
      </w:r>
      <w:proofErr w:type="spellEnd"/>
      <w:r w:rsidRPr="00951E87">
        <w:rPr>
          <w:rFonts w:cs="Times New Roman"/>
          <w:szCs w:val="24"/>
        </w:rPr>
        <w:t xml:space="preserve"> in “Political, administrative, economic, and social reform proposals”, in: Maria Rosa Antognazza (ed.): </w:t>
      </w:r>
      <w:r w:rsidRPr="00951E87">
        <w:rPr>
          <w:rFonts w:cs="Times New Roman"/>
          <w:i/>
          <w:szCs w:val="24"/>
        </w:rPr>
        <w:t>The Oxford Handbook of Leibniz</w:t>
      </w:r>
      <w:r w:rsidRPr="00951E87">
        <w:rPr>
          <w:rFonts w:cs="Times New Roman"/>
          <w:szCs w:val="24"/>
        </w:rPr>
        <w:t>, Oxford – New York, forthcoming.</w:t>
      </w:r>
    </w:p>
  </w:footnote>
  <w:footnote w:id="24">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 2, 111.</w:t>
      </w:r>
    </w:p>
  </w:footnote>
  <w:footnote w:id="25">
    <w:p w:rsidR="003D40D7" w:rsidRPr="00951E87" w:rsidRDefault="003D40D7" w:rsidP="00EF4012">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See especially the second part of Robert </w:t>
      </w:r>
      <w:proofErr w:type="spellStart"/>
      <w:r w:rsidRPr="00951E87">
        <w:rPr>
          <w:rFonts w:cs="Times New Roman"/>
          <w:szCs w:val="24"/>
        </w:rPr>
        <w:t>Merrihew</w:t>
      </w:r>
      <w:proofErr w:type="spellEnd"/>
      <w:r w:rsidRPr="00951E87">
        <w:rPr>
          <w:rFonts w:cs="Times New Roman"/>
          <w:szCs w:val="24"/>
        </w:rPr>
        <w:t xml:space="preserve"> Adams, </w:t>
      </w:r>
      <w:r w:rsidRPr="00951E87">
        <w:rPr>
          <w:rFonts w:cs="Times New Roman"/>
          <w:i/>
          <w:iCs/>
          <w:szCs w:val="24"/>
        </w:rPr>
        <w:t xml:space="preserve">Leibniz: Determinist, Theist, </w:t>
      </w:r>
      <w:proofErr w:type="gramStart"/>
      <w:r w:rsidRPr="00951E87">
        <w:rPr>
          <w:rFonts w:cs="Times New Roman"/>
          <w:i/>
          <w:iCs/>
          <w:szCs w:val="24"/>
        </w:rPr>
        <w:t>Idealist</w:t>
      </w:r>
      <w:proofErr w:type="gramEnd"/>
      <w:r w:rsidRPr="00951E87">
        <w:rPr>
          <w:rFonts w:cs="Times New Roman"/>
          <w:i/>
          <w:iCs/>
          <w:szCs w:val="24"/>
        </w:rPr>
        <w:t xml:space="preserve">. </w:t>
      </w:r>
      <w:r w:rsidRPr="00951E87">
        <w:rPr>
          <w:rFonts w:cs="Times New Roman"/>
          <w:szCs w:val="24"/>
        </w:rPr>
        <w:t xml:space="preserve">New York and Oxford 1994; Donald Rutherford, </w:t>
      </w:r>
      <w:r w:rsidRPr="00951E87">
        <w:rPr>
          <w:rFonts w:cs="Times New Roman"/>
          <w:i/>
          <w:iCs/>
          <w:szCs w:val="24"/>
        </w:rPr>
        <w:t>Leibniz and the Rational Order of Nature</w:t>
      </w:r>
      <w:r w:rsidRPr="00951E87">
        <w:rPr>
          <w:rFonts w:cs="Times New Roman"/>
          <w:szCs w:val="24"/>
        </w:rPr>
        <w:t xml:space="preserve">, Cambridge 1995; Gaston </w:t>
      </w:r>
      <w:proofErr w:type="spellStart"/>
      <w:r w:rsidRPr="00951E87">
        <w:rPr>
          <w:rFonts w:cs="Times New Roman"/>
          <w:szCs w:val="24"/>
        </w:rPr>
        <w:t>Grua</w:t>
      </w:r>
      <w:proofErr w:type="spellEnd"/>
      <w:r w:rsidRPr="00951E87">
        <w:rPr>
          <w:rFonts w:cs="Times New Roman"/>
          <w:szCs w:val="24"/>
        </w:rPr>
        <w:t xml:space="preserve">, </w:t>
      </w:r>
      <w:r w:rsidRPr="00951E87">
        <w:rPr>
          <w:rFonts w:cs="Times New Roman"/>
          <w:i/>
          <w:iCs/>
          <w:szCs w:val="24"/>
        </w:rPr>
        <w:t xml:space="preserve">Jurisprudence </w:t>
      </w:r>
      <w:proofErr w:type="spellStart"/>
      <w:r w:rsidRPr="00951E87">
        <w:rPr>
          <w:rFonts w:cs="Times New Roman"/>
          <w:i/>
          <w:iCs/>
          <w:szCs w:val="24"/>
        </w:rPr>
        <w:t>universelle</w:t>
      </w:r>
      <w:proofErr w:type="spellEnd"/>
      <w:r w:rsidRPr="00951E87">
        <w:rPr>
          <w:rFonts w:cs="Times New Roman"/>
          <w:i/>
          <w:iCs/>
          <w:szCs w:val="24"/>
        </w:rPr>
        <w:t xml:space="preserve"> </w:t>
      </w:r>
      <w:proofErr w:type="gramStart"/>
      <w:r w:rsidRPr="00951E87">
        <w:rPr>
          <w:rFonts w:cs="Times New Roman"/>
          <w:i/>
          <w:iCs/>
          <w:szCs w:val="24"/>
        </w:rPr>
        <w:t>et</w:t>
      </w:r>
      <w:proofErr w:type="gramEnd"/>
      <w:r w:rsidRPr="00951E87">
        <w:rPr>
          <w:rFonts w:cs="Times New Roman"/>
          <w:i/>
          <w:iCs/>
          <w:szCs w:val="24"/>
        </w:rPr>
        <w:t xml:space="preserve"> </w:t>
      </w:r>
      <w:proofErr w:type="spellStart"/>
      <w:r w:rsidRPr="00951E87">
        <w:rPr>
          <w:rFonts w:cs="Times New Roman"/>
          <w:i/>
          <w:iCs/>
          <w:szCs w:val="24"/>
        </w:rPr>
        <w:t>Théodicée</w:t>
      </w:r>
      <w:proofErr w:type="spellEnd"/>
      <w:r w:rsidRPr="00951E87">
        <w:rPr>
          <w:rFonts w:cs="Times New Roman"/>
          <w:i/>
          <w:iCs/>
          <w:szCs w:val="24"/>
        </w:rPr>
        <w:t xml:space="preserve"> </w:t>
      </w:r>
      <w:proofErr w:type="spellStart"/>
      <w:r w:rsidRPr="00951E87">
        <w:rPr>
          <w:rFonts w:cs="Times New Roman"/>
          <w:i/>
          <w:iCs/>
          <w:szCs w:val="24"/>
        </w:rPr>
        <w:t>selon</w:t>
      </w:r>
      <w:proofErr w:type="spellEnd"/>
      <w:r w:rsidRPr="00951E87">
        <w:rPr>
          <w:rFonts w:cs="Times New Roman"/>
          <w:i/>
          <w:iCs/>
          <w:szCs w:val="24"/>
        </w:rPr>
        <w:t xml:space="preserve"> Leibniz</w:t>
      </w:r>
      <w:r w:rsidRPr="00951E87">
        <w:rPr>
          <w:rFonts w:cs="Times New Roman"/>
          <w:szCs w:val="24"/>
        </w:rPr>
        <w:t>, Paris 1953.</w:t>
      </w:r>
    </w:p>
  </w:footnote>
  <w:footnote w:id="26">
    <w:p w:rsidR="003D40D7" w:rsidRPr="00951E87" w:rsidRDefault="003D40D7" w:rsidP="00EF4012">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especially David </w:t>
      </w:r>
      <w:proofErr w:type="spellStart"/>
      <w:r w:rsidRPr="00951E87">
        <w:rPr>
          <w:rFonts w:cs="Times New Roman"/>
          <w:sz w:val="24"/>
          <w:szCs w:val="24"/>
        </w:rPr>
        <w:t>Blumenfeld</w:t>
      </w:r>
      <w:proofErr w:type="spellEnd"/>
      <w:r w:rsidRPr="00951E87">
        <w:rPr>
          <w:rFonts w:cs="Times New Roman"/>
          <w:sz w:val="24"/>
          <w:szCs w:val="24"/>
        </w:rPr>
        <w:t>, “Leibniz’s Ontological and Cosmological Arguments”, in: Nicholas Jolley (ed.),</w:t>
      </w:r>
      <w:r w:rsidRPr="00951E87">
        <w:rPr>
          <w:rFonts w:cs="Times New Roman"/>
          <w:i/>
          <w:iCs/>
          <w:sz w:val="24"/>
          <w:szCs w:val="24"/>
        </w:rPr>
        <w:t xml:space="preserve"> The Cambridge Companion to Leibniz</w:t>
      </w:r>
      <w:r w:rsidRPr="00951E87">
        <w:rPr>
          <w:rFonts w:cs="Times New Roman"/>
          <w:sz w:val="24"/>
          <w:szCs w:val="24"/>
        </w:rPr>
        <w:t xml:space="preserve">, Cambridge 1995, pp. 353-81; Mogens Laerke, “Leibniz’s Cosmological Argument for the Existence of God”, in: </w:t>
      </w:r>
      <w:proofErr w:type="spellStart"/>
      <w:r w:rsidRPr="00951E87">
        <w:rPr>
          <w:rFonts w:cs="Times New Roman"/>
          <w:i/>
          <w:sz w:val="24"/>
          <w:szCs w:val="24"/>
        </w:rPr>
        <w:t>Archiv</w:t>
      </w:r>
      <w:proofErr w:type="spellEnd"/>
      <w:r w:rsidRPr="00951E87">
        <w:rPr>
          <w:rFonts w:cs="Times New Roman"/>
          <w:i/>
          <w:sz w:val="24"/>
          <w:szCs w:val="24"/>
        </w:rPr>
        <w:t xml:space="preserve"> </w:t>
      </w:r>
      <w:proofErr w:type="spellStart"/>
      <w:r w:rsidRPr="00951E87">
        <w:rPr>
          <w:rFonts w:cs="Times New Roman"/>
          <w:i/>
          <w:sz w:val="24"/>
          <w:szCs w:val="24"/>
        </w:rPr>
        <w:t>für</w:t>
      </w:r>
      <w:proofErr w:type="spellEnd"/>
      <w:r w:rsidRPr="00951E87">
        <w:rPr>
          <w:rFonts w:cs="Times New Roman"/>
          <w:i/>
          <w:sz w:val="24"/>
          <w:szCs w:val="24"/>
        </w:rPr>
        <w:t xml:space="preserve"> Geschichte der </w:t>
      </w:r>
      <w:proofErr w:type="spellStart"/>
      <w:r w:rsidRPr="00951E87">
        <w:rPr>
          <w:rFonts w:cs="Times New Roman"/>
          <w:i/>
          <w:sz w:val="24"/>
          <w:szCs w:val="24"/>
        </w:rPr>
        <w:t>Philosophie</w:t>
      </w:r>
      <w:proofErr w:type="spellEnd"/>
      <w:r w:rsidRPr="00951E87">
        <w:rPr>
          <w:rFonts w:cs="Times New Roman"/>
          <w:i/>
          <w:sz w:val="24"/>
          <w:szCs w:val="24"/>
        </w:rPr>
        <w:t xml:space="preserve"> </w:t>
      </w:r>
      <w:r w:rsidRPr="00951E87">
        <w:rPr>
          <w:rFonts w:cs="Times New Roman"/>
          <w:sz w:val="24"/>
          <w:szCs w:val="24"/>
        </w:rPr>
        <w:t xml:space="preserve">93 (2011), pp. 58-84; Brandon C. Look, “Leibniz’s Arguments for the Existence of God”, in: Antognazza (ed.), </w:t>
      </w:r>
      <w:r w:rsidRPr="00951E87">
        <w:rPr>
          <w:rFonts w:cs="Times New Roman"/>
          <w:i/>
          <w:sz w:val="24"/>
          <w:szCs w:val="24"/>
        </w:rPr>
        <w:t>The Oxford Handbook of Leibniz</w:t>
      </w:r>
      <w:r w:rsidRPr="00951E87">
        <w:rPr>
          <w:rFonts w:cs="Times New Roman"/>
          <w:sz w:val="24"/>
          <w:szCs w:val="24"/>
        </w:rPr>
        <w:t>, forthcoming.</w:t>
      </w:r>
    </w:p>
  </w:footnote>
  <w:footnote w:id="27">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Amongst recent contributions see for instance Antognazza, </w:t>
      </w:r>
      <w:r w:rsidRPr="00951E87">
        <w:rPr>
          <w:rFonts w:cs="Times New Roman"/>
          <w:i/>
          <w:sz w:val="24"/>
          <w:szCs w:val="24"/>
        </w:rPr>
        <w:t>Leibniz on the Trinity and the Incarnation</w:t>
      </w:r>
      <w:r w:rsidRPr="00951E87">
        <w:rPr>
          <w:rFonts w:cs="Times New Roman"/>
          <w:sz w:val="24"/>
          <w:szCs w:val="24"/>
        </w:rPr>
        <w:t xml:space="preserve"> and Irena Backus, </w:t>
      </w:r>
      <w:r w:rsidRPr="00951E87">
        <w:rPr>
          <w:rFonts w:cs="Times New Roman"/>
          <w:i/>
          <w:sz w:val="24"/>
          <w:szCs w:val="24"/>
        </w:rPr>
        <w:t>Leibniz Protestant Theologian</w:t>
      </w:r>
      <w:r w:rsidRPr="00951E87">
        <w:rPr>
          <w:rFonts w:cs="Times New Roman"/>
          <w:sz w:val="24"/>
          <w:szCs w:val="24"/>
        </w:rPr>
        <w:t>, Oxford – New York 2014.</w:t>
      </w:r>
    </w:p>
  </w:footnote>
  <w:footnote w:id="28">
    <w:p w:rsidR="003D40D7" w:rsidRPr="00951E87" w:rsidRDefault="003D40D7" w:rsidP="00F16EBB">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Maria Rosa Antognazza, “</w:t>
      </w:r>
      <w:r w:rsidRPr="00951E87">
        <w:rPr>
          <w:rFonts w:cs="Times New Roman"/>
          <w:spacing w:val="-3"/>
          <w:sz w:val="24"/>
          <w:szCs w:val="24"/>
        </w:rPr>
        <w:t xml:space="preserve">Leibniz and Religious Toleration: the Correspondence with Paul </w:t>
      </w:r>
      <w:proofErr w:type="spellStart"/>
      <w:r w:rsidRPr="00951E87">
        <w:rPr>
          <w:rFonts w:cs="Times New Roman"/>
          <w:spacing w:val="-3"/>
          <w:sz w:val="24"/>
          <w:szCs w:val="24"/>
        </w:rPr>
        <w:t>Pellisson-Fontanier</w:t>
      </w:r>
      <w:proofErr w:type="spellEnd"/>
      <w:r w:rsidRPr="00951E87">
        <w:rPr>
          <w:rFonts w:cs="Times New Roman"/>
          <w:spacing w:val="-3"/>
          <w:sz w:val="24"/>
          <w:szCs w:val="24"/>
        </w:rPr>
        <w:t xml:space="preserve">”, in: </w:t>
      </w:r>
      <w:r w:rsidRPr="00951E87">
        <w:rPr>
          <w:rFonts w:cs="Times New Roman"/>
          <w:i/>
          <w:spacing w:val="-3"/>
          <w:sz w:val="24"/>
          <w:szCs w:val="24"/>
        </w:rPr>
        <w:t>American Catholic Philosophical Quarterly</w:t>
      </w:r>
      <w:r w:rsidRPr="00951E87">
        <w:rPr>
          <w:rFonts w:cs="Times New Roman"/>
          <w:spacing w:val="-3"/>
          <w:sz w:val="24"/>
          <w:szCs w:val="24"/>
        </w:rPr>
        <w:t xml:space="preserve"> 76/4 (2002), pp. 605-612 and </w:t>
      </w:r>
      <w:r w:rsidRPr="00951E87">
        <w:rPr>
          <w:rFonts w:cs="Times New Roman"/>
          <w:sz w:val="24"/>
          <w:szCs w:val="24"/>
        </w:rPr>
        <w:t>Maria Rosa Antognazza, “</w:t>
      </w:r>
      <w:r w:rsidRPr="00951E87">
        <w:rPr>
          <w:rFonts w:cs="Times New Roman"/>
          <w:color w:val="000000"/>
          <w:sz w:val="24"/>
          <w:szCs w:val="24"/>
        </w:rPr>
        <w:t xml:space="preserve">Leibniz’s doctrine of toleration: philosophical, theological and pragmatic reasons”, </w:t>
      </w:r>
      <w:r w:rsidRPr="00951E87">
        <w:rPr>
          <w:rFonts w:cs="Times New Roman"/>
          <w:sz w:val="24"/>
          <w:szCs w:val="24"/>
          <w:lang w:val="en"/>
        </w:rPr>
        <w:t xml:space="preserve">in: J. </w:t>
      </w:r>
      <w:proofErr w:type="spellStart"/>
      <w:r w:rsidRPr="00951E87">
        <w:rPr>
          <w:rFonts w:cs="Times New Roman"/>
          <w:sz w:val="24"/>
          <w:szCs w:val="24"/>
          <w:lang w:val="en"/>
        </w:rPr>
        <w:t>Parkin</w:t>
      </w:r>
      <w:proofErr w:type="spellEnd"/>
      <w:r w:rsidRPr="00951E87">
        <w:rPr>
          <w:rFonts w:cs="Times New Roman"/>
          <w:sz w:val="24"/>
          <w:szCs w:val="24"/>
          <w:lang w:val="en"/>
        </w:rPr>
        <w:t xml:space="preserve"> and T. Stanton</w:t>
      </w:r>
      <w:r w:rsidRPr="00951E87">
        <w:rPr>
          <w:rFonts w:cs="Times New Roman"/>
          <w:i/>
          <w:sz w:val="24"/>
          <w:szCs w:val="24"/>
          <w:lang w:val="en"/>
        </w:rPr>
        <w:t xml:space="preserve"> </w:t>
      </w:r>
      <w:r w:rsidRPr="00951E87">
        <w:rPr>
          <w:rFonts w:cs="Times New Roman"/>
          <w:sz w:val="24"/>
          <w:szCs w:val="24"/>
          <w:lang w:val="en"/>
        </w:rPr>
        <w:t>(</w:t>
      </w:r>
      <w:proofErr w:type="spellStart"/>
      <w:proofErr w:type="gramStart"/>
      <w:r w:rsidRPr="00951E87">
        <w:rPr>
          <w:rFonts w:cs="Times New Roman"/>
          <w:sz w:val="24"/>
          <w:szCs w:val="24"/>
          <w:lang w:val="en"/>
        </w:rPr>
        <w:t>eds</w:t>
      </w:r>
      <w:proofErr w:type="spellEnd"/>
      <w:proofErr w:type="gramEnd"/>
      <w:r w:rsidRPr="00951E87">
        <w:rPr>
          <w:rFonts w:cs="Times New Roman"/>
          <w:sz w:val="24"/>
          <w:szCs w:val="24"/>
          <w:lang w:val="en"/>
        </w:rPr>
        <w:t xml:space="preserve">), </w:t>
      </w:r>
      <w:r w:rsidRPr="00951E87">
        <w:rPr>
          <w:rFonts w:cs="Times New Roman"/>
          <w:i/>
          <w:sz w:val="24"/>
          <w:szCs w:val="24"/>
          <w:lang w:val="en"/>
        </w:rPr>
        <w:t>Natural Law and Toleration in the Early Enlightenment</w:t>
      </w:r>
      <w:r w:rsidRPr="00951E87">
        <w:rPr>
          <w:rFonts w:cs="Times New Roman"/>
          <w:sz w:val="24"/>
          <w:szCs w:val="24"/>
          <w:lang w:val="en"/>
        </w:rPr>
        <w:t xml:space="preserve">, </w:t>
      </w:r>
      <w:r w:rsidRPr="00951E87">
        <w:rPr>
          <w:rFonts w:cs="Times New Roman"/>
          <w:sz w:val="24"/>
          <w:szCs w:val="24"/>
        </w:rPr>
        <w:t>Oxford: Oxford University Press 2013, pp. 155-156.</w:t>
      </w:r>
    </w:p>
  </w:footnote>
  <w:footnote w:id="29">
    <w:p w:rsidR="003D40D7" w:rsidRPr="00951E87" w:rsidRDefault="003D40D7" w:rsidP="00F16EBB">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Cf. Hugo Grotius, De </w:t>
      </w:r>
      <w:proofErr w:type="spellStart"/>
      <w:r w:rsidRPr="00951E87">
        <w:rPr>
          <w:rFonts w:cs="Times New Roman"/>
          <w:i/>
          <w:szCs w:val="24"/>
        </w:rPr>
        <w:t>Veritate</w:t>
      </w:r>
      <w:proofErr w:type="spellEnd"/>
      <w:r w:rsidRPr="00951E87">
        <w:rPr>
          <w:rFonts w:cs="Times New Roman"/>
          <w:i/>
          <w:szCs w:val="24"/>
        </w:rPr>
        <w:t xml:space="preserve"> </w:t>
      </w:r>
      <w:proofErr w:type="spellStart"/>
      <w:r w:rsidRPr="00951E87">
        <w:rPr>
          <w:rFonts w:cs="Times New Roman"/>
          <w:i/>
          <w:szCs w:val="24"/>
        </w:rPr>
        <w:t>Religionis</w:t>
      </w:r>
      <w:proofErr w:type="spellEnd"/>
      <w:r w:rsidRPr="00951E87">
        <w:rPr>
          <w:rFonts w:cs="Times New Roman"/>
          <w:i/>
          <w:szCs w:val="24"/>
        </w:rPr>
        <w:t xml:space="preserve"> </w:t>
      </w:r>
      <w:proofErr w:type="spellStart"/>
      <w:r w:rsidRPr="00951E87">
        <w:rPr>
          <w:rFonts w:cs="Times New Roman"/>
          <w:i/>
          <w:szCs w:val="24"/>
        </w:rPr>
        <w:t>Christianae</w:t>
      </w:r>
      <w:proofErr w:type="spellEnd"/>
      <w:r w:rsidRPr="00951E87">
        <w:rPr>
          <w:rFonts w:cs="Times New Roman"/>
          <w:szCs w:val="24"/>
        </w:rPr>
        <w:t xml:space="preserve">, Leiden and Paris 1627; John Locke, </w:t>
      </w:r>
      <w:r w:rsidRPr="00951E87">
        <w:rPr>
          <w:rFonts w:cs="Times New Roman"/>
          <w:i/>
          <w:iCs/>
          <w:szCs w:val="24"/>
        </w:rPr>
        <w:t>The Reasonableness of Christianity, as delivered in the Scriptures</w:t>
      </w:r>
      <w:r w:rsidRPr="00951E87">
        <w:rPr>
          <w:rFonts w:cs="Times New Roman"/>
          <w:iCs/>
          <w:szCs w:val="24"/>
        </w:rPr>
        <w:t xml:space="preserve">, </w:t>
      </w:r>
      <w:r w:rsidRPr="00951E87">
        <w:rPr>
          <w:rFonts w:cs="Times New Roman"/>
          <w:szCs w:val="24"/>
        </w:rPr>
        <w:t xml:space="preserve">London 1695. On Grotius see my “Introduction”, in: Hugo Grotius, </w:t>
      </w:r>
      <w:r w:rsidRPr="00951E87">
        <w:rPr>
          <w:rFonts w:cs="Times New Roman"/>
          <w:i/>
          <w:szCs w:val="24"/>
        </w:rPr>
        <w:t>The Truth of the Christian Religion</w:t>
      </w:r>
      <w:r w:rsidRPr="00951E87">
        <w:rPr>
          <w:rFonts w:cs="Times New Roman"/>
          <w:szCs w:val="24"/>
        </w:rPr>
        <w:t xml:space="preserve">, Indianapolis 2012, </w:t>
      </w:r>
      <w:proofErr w:type="gramStart"/>
      <w:r w:rsidRPr="00951E87">
        <w:rPr>
          <w:rFonts w:cs="Times New Roman"/>
          <w:szCs w:val="24"/>
        </w:rPr>
        <w:t>pp</w:t>
      </w:r>
      <w:proofErr w:type="gramEnd"/>
      <w:r w:rsidRPr="00951E87">
        <w:rPr>
          <w:rFonts w:cs="Times New Roman"/>
          <w:szCs w:val="24"/>
        </w:rPr>
        <w:t>. xv-xviii.</w:t>
      </w:r>
    </w:p>
  </w:footnote>
  <w:footnote w:id="30">
    <w:p w:rsidR="003D40D7" w:rsidRPr="00951E87" w:rsidRDefault="003D40D7" w:rsidP="00F16EBB">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On this issue see especially </w:t>
      </w:r>
      <w:proofErr w:type="spellStart"/>
      <w:r w:rsidRPr="00951E87">
        <w:rPr>
          <w:rFonts w:cs="Times New Roman"/>
          <w:sz w:val="24"/>
          <w:szCs w:val="24"/>
        </w:rPr>
        <w:t>ch.</w:t>
      </w:r>
      <w:proofErr w:type="spellEnd"/>
      <w:r w:rsidRPr="00951E87">
        <w:rPr>
          <w:rFonts w:cs="Times New Roman"/>
          <w:sz w:val="24"/>
          <w:szCs w:val="24"/>
        </w:rPr>
        <w:t xml:space="preserve"> 6 “</w:t>
      </w:r>
      <w:r w:rsidRPr="00951E87">
        <w:rPr>
          <w:rFonts w:cs="Times New Roman"/>
          <w:i/>
          <w:sz w:val="24"/>
          <w:szCs w:val="24"/>
        </w:rPr>
        <w:t>Sola Scriptura</w:t>
      </w:r>
      <w:r w:rsidRPr="00951E87">
        <w:rPr>
          <w:rFonts w:cs="Times New Roman"/>
          <w:sz w:val="24"/>
          <w:szCs w:val="24"/>
        </w:rPr>
        <w:t xml:space="preserve">? The Interpretation of Scriptures and the Authority of Tradition”, in: Antognazza, </w:t>
      </w:r>
      <w:r w:rsidRPr="00951E87">
        <w:rPr>
          <w:rFonts w:cs="Times New Roman"/>
          <w:i/>
          <w:sz w:val="24"/>
          <w:szCs w:val="24"/>
        </w:rPr>
        <w:t>Leibniz on the Trinity and the Incarnation</w:t>
      </w:r>
      <w:r w:rsidRPr="00951E87">
        <w:rPr>
          <w:rFonts w:cs="Times New Roman"/>
          <w:sz w:val="24"/>
          <w:szCs w:val="24"/>
        </w:rPr>
        <w:t>, pp. 74-76.</w:t>
      </w:r>
    </w:p>
  </w:footnote>
  <w:footnote w:id="31">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w:t>
      </w:r>
      <w:proofErr w:type="spellStart"/>
      <w:r w:rsidRPr="00951E87">
        <w:rPr>
          <w:rFonts w:cs="Times New Roman"/>
          <w:sz w:val="24"/>
          <w:szCs w:val="24"/>
        </w:rPr>
        <w:t>ch.</w:t>
      </w:r>
      <w:proofErr w:type="spellEnd"/>
      <w:r w:rsidRPr="00951E87">
        <w:rPr>
          <w:rFonts w:cs="Times New Roman"/>
          <w:sz w:val="24"/>
          <w:szCs w:val="24"/>
        </w:rPr>
        <w:t xml:space="preserve"> 7 “</w:t>
      </w:r>
      <w:r w:rsidRPr="00951E87">
        <w:rPr>
          <w:rFonts w:cs="Times New Roman"/>
          <w:i/>
          <w:sz w:val="24"/>
          <w:szCs w:val="24"/>
        </w:rPr>
        <w:t>On the Triune God</w:t>
      </w:r>
      <w:r w:rsidRPr="00951E87">
        <w:rPr>
          <w:rFonts w:cs="Times New Roman"/>
          <w:sz w:val="24"/>
          <w:szCs w:val="24"/>
        </w:rPr>
        <w:t xml:space="preserve"> and </w:t>
      </w:r>
      <w:r w:rsidRPr="00951E87">
        <w:rPr>
          <w:rFonts w:cs="Times New Roman"/>
          <w:i/>
          <w:sz w:val="24"/>
          <w:szCs w:val="24"/>
        </w:rPr>
        <w:t>On the Person of Christ</w:t>
      </w:r>
      <w:r w:rsidRPr="00951E87">
        <w:rPr>
          <w:rFonts w:cs="Times New Roman"/>
          <w:sz w:val="24"/>
          <w:szCs w:val="24"/>
        </w:rPr>
        <w:t xml:space="preserve">”, in: Antognazza, </w:t>
      </w:r>
      <w:r w:rsidRPr="00951E87">
        <w:rPr>
          <w:rFonts w:cs="Times New Roman"/>
          <w:i/>
          <w:sz w:val="24"/>
          <w:szCs w:val="24"/>
        </w:rPr>
        <w:t>Leibniz on the Trinity and the Incarnation</w:t>
      </w:r>
      <w:r w:rsidRPr="00951E87">
        <w:rPr>
          <w:rFonts w:cs="Times New Roman"/>
          <w:sz w:val="24"/>
          <w:szCs w:val="24"/>
        </w:rPr>
        <w:t>, pp. 77-88.</w:t>
      </w:r>
    </w:p>
  </w:footnote>
  <w:footnote w:id="32">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Antognazza, </w:t>
      </w:r>
      <w:r w:rsidRPr="00951E87">
        <w:rPr>
          <w:rFonts w:cs="Times New Roman"/>
          <w:i/>
          <w:sz w:val="24"/>
          <w:szCs w:val="24"/>
        </w:rPr>
        <w:t>Leibniz on the Trinity and the Incarnation</w:t>
      </w:r>
      <w:r w:rsidRPr="00951E87">
        <w:rPr>
          <w:rFonts w:cs="Times New Roman"/>
          <w:sz w:val="24"/>
          <w:szCs w:val="24"/>
        </w:rPr>
        <w:t>, esp. pp. 14, 77, 86-88, 181 note 105, 182 note 107; and Maria Rosa Antognazza, “</w:t>
      </w:r>
      <w:r w:rsidRPr="00951E87">
        <w:rPr>
          <w:rFonts w:cs="Times New Roman"/>
          <w:spacing w:val="-3"/>
          <w:sz w:val="24"/>
          <w:szCs w:val="24"/>
        </w:rPr>
        <w:t>Leibniz’s theory of substance and his metaphysics of the Incarnation”, in: Paul Lodge and T.W.C. Stoneham (</w:t>
      </w:r>
      <w:proofErr w:type="spellStart"/>
      <w:r w:rsidRPr="00951E87">
        <w:rPr>
          <w:rFonts w:cs="Times New Roman"/>
          <w:spacing w:val="-3"/>
          <w:sz w:val="24"/>
          <w:szCs w:val="24"/>
        </w:rPr>
        <w:t>eds</w:t>
      </w:r>
      <w:proofErr w:type="spellEnd"/>
      <w:r w:rsidRPr="00951E87">
        <w:rPr>
          <w:rFonts w:cs="Times New Roman"/>
          <w:spacing w:val="-3"/>
          <w:sz w:val="24"/>
          <w:szCs w:val="24"/>
        </w:rPr>
        <w:t>),</w:t>
      </w:r>
      <w:r w:rsidRPr="00951E87">
        <w:rPr>
          <w:rFonts w:cs="Times New Roman"/>
          <w:i/>
          <w:spacing w:val="-3"/>
          <w:sz w:val="24"/>
          <w:szCs w:val="24"/>
        </w:rPr>
        <w:t xml:space="preserve"> Locke and Leibniz on Substance and Identity</w:t>
      </w:r>
      <w:r w:rsidRPr="00951E87">
        <w:rPr>
          <w:rFonts w:cs="Times New Roman"/>
          <w:spacing w:val="-3"/>
          <w:sz w:val="24"/>
          <w:szCs w:val="24"/>
        </w:rPr>
        <w:t xml:space="preserve">, </w:t>
      </w:r>
      <w:r w:rsidRPr="00951E87">
        <w:rPr>
          <w:rFonts w:cs="Times New Roman"/>
          <w:sz w:val="24"/>
          <w:szCs w:val="24"/>
        </w:rPr>
        <w:t>Abingdon – New York, forthcoming.</w:t>
      </w:r>
    </w:p>
  </w:footnote>
  <w:footnote w:id="33">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Antognazza, </w:t>
      </w:r>
      <w:r w:rsidRPr="00951E87">
        <w:rPr>
          <w:rFonts w:cs="Times New Roman"/>
          <w:i/>
          <w:sz w:val="24"/>
          <w:szCs w:val="24"/>
        </w:rPr>
        <w:t>Leibniz: An Intellectual Biography</w:t>
      </w:r>
      <w:r w:rsidRPr="00951E87">
        <w:rPr>
          <w:rFonts w:cs="Times New Roman"/>
          <w:sz w:val="24"/>
          <w:szCs w:val="24"/>
        </w:rPr>
        <w:t>, pp. 541-542.</w:t>
      </w:r>
    </w:p>
  </w:footnote>
  <w:footnote w:id="34">
    <w:p w:rsidR="003D40D7" w:rsidRPr="00951E87" w:rsidRDefault="003D40D7" w:rsidP="003C1724">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One could see here an interesting parallel with Aquinas’s attitude toward the Augustinian theory of divine illumination. In the </w:t>
      </w:r>
      <w:r w:rsidRPr="00951E87">
        <w:rPr>
          <w:rFonts w:cs="Times New Roman"/>
          <w:i/>
          <w:sz w:val="24"/>
          <w:szCs w:val="24"/>
        </w:rPr>
        <w:t xml:space="preserve">Q. d. de </w:t>
      </w:r>
      <w:proofErr w:type="spellStart"/>
      <w:r w:rsidRPr="00951E87">
        <w:rPr>
          <w:rFonts w:cs="Times New Roman"/>
          <w:i/>
          <w:sz w:val="24"/>
          <w:szCs w:val="24"/>
        </w:rPr>
        <w:t>spiritualibus</w:t>
      </w:r>
      <w:proofErr w:type="spellEnd"/>
      <w:r w:rsidRPr="00951E87">
        <w:rPr>
          <w:rFonts w:cs="Times New Roman"/>
          <w:i/>
          <w:sz w:val="24"/>
          <w:szCs w:val="24"/>
        </w:rPr>
        <w:t xml:space="preserve"> </w:t>
      </w:r>
      <w:proofErr w:type="spellStart"/>
      <w:r w:rsidRPr="00951E87">
        <w:rPr>
          <w:rFonts w:cs="Times New Roman"/>
          <w:i/>
          <w:sz w:val="24"/>
          <w:szCs w:val="24"/>
        </w:rPr>
        <w:t>creaturis</w:t>
      </w:r>
      <w:proofErr w:type="spellEnd"/>
      <w:r w:rsidRPr="00951E87">
        <w:rPr>
          <w:rFonts w:cs="Times New Roman"/>
          <w:sz w:val="24"/>
          <w:szCs w:val="24"/>
        </w:rPr>
        <w:t xml:space="preserve"> (art. 10 ad </w:t>
      </w:r>
      <w:proofErr w:type="spellStart"/>
      <w:r w:rsidRPr="00951E87">
        <w:rPr>
          <w:rFonts w:cs="Times New Roman"/>
          <w:sz w:val="24"/>
          <w:szCs w:val="24"/>
        </w:rPr>
        <w:t>octavum</w:t>
      </w:r>
      <w:proofErr w:type="spellEnd"/>
      <w:r w:rsidRPr="00951E87">
        <w:rPr>
          <w:rFonts w:cs="Times New Roman"/>
          <w:sz w:val="24"/>
          <w:szCs w:val="24"/>
        </w:rPr>
        <w:t>), Aquinas distances himself from the Augustinian-Platonic version of the theory, siding instead with what he regards as Aristotle’s view. Aquinas concludes, however, that it does not matter greatly [</w:t>
      </w:r>
      <w:r w:rsidRPr="00951E87">
        <w:rPr>
          <w:rFonts w:cs="Times New Roman"/>
          <w:i/>
          <w:sz w:val="24"/>
          <w:szCs w:val="24"/>
        </w:rPr>
        <w:t xml:space="preserve">non </w:t>
      </w:r>
      <w:proofErr w:type="spellStart"/>
      <w:r w:rsidRPr="00951E87">
        <w:rPr>
          <w:rFonts w:cs="Times New Roman"/>
          <w:i/>
          <w:sz w:val="24"/>
          <w:szCs w:val="24"/>
        </w:rPr>
        <w:t>multum</w:t>
      </w:r>
      <w:proofErr w:type="spellEnd"/>
      <w:r w:rsidRPr="00951E87">
        <w:rPr>
          <w:rFonts w:cs="Times New Roman"/>
          <w:i/>
          <w:sz w:val="24"/>
          <w:szCs w:val="24"/>
        </w:rPr>
        <w:t xml:space="preserve"> </w:t>
      </w:r>
      <w:proofErr w:type="spellStart"/>
      <w:r w:rsidRPr="00951E87">
        <w:rPr>
          <w:rFonts w:cs="Times New Roman"/>
          <w:i/>
          <w:sz w:val="24"/>
          <w:szCs w:val="24"/>
        </w:rPr>
        <w:t>autem</w:t>
      </w:r>
      <w:proofErr w:type="spellEnd"/>
      <w:r w:rsidRPr="00951E87">
        <w:rPr>
          <w:rFonts w:cs="Times New Roman"/>
          <w:i/>
          <w:sz w:val="24"/>
          <w:szCs w:val="24"/>
        </w:rPr>
        <w:t xml:space="preserve"> </w:t>
      </w:r>
      <w:proofErr w:type="spellStart"/>
      <w:r w:rsidRPr="00951E87">
        <w:rPr>
          <w:rFonts w:cs="Times New Roman"/>
          <w:i/>
          <w:sz w:val="24"/>
          <w:szCs w:val="24"/>
        </w:rPr>
        <w:t>refert</w:t>
      </w:r>
      <w:proofErr w:type="spellEnd"/>
      <w:r w:rsidRPr="00951E87">
        <w:rPr>
          <w:rFonts w:cs="Times New Roman"/>
          <w:sz w:val="24"/>
          <w:szCs w:val="24"/>
        </w:rPr>
        <w:t xml:space="preserve">] whether one follows one or the other theory – not because they are philosophically similar, but because their difference does not have an impact on any truth of faith. </w:t>
      </w:r>
      <w:r w:rsidRPr="00951E87">
        <w:rPr>
          <w:rFonts w:cs="Times New Roman"/>
          <w:sz w:val="24"/>
          <w:szCs w:val="24"/>
          <w:lang w:val="it-IT"/>
        </w:rPr>
        <w:t xml:space="preserve">(See Sofia Vanni Rovighi, </w:t>
      </w:r>
      <w:r w:rsidRPr="00951E87">
        <w:rPr>
          <w:rFonts w:cs="Times New Roman"/>
          <w:i/>
          <w:sz w:val="24"/>
          <w:szCs w:val="24"/>
          <w:lang w:val="it-IT"/>
        </w:rPr>
        <w:t>Introduzione a Tommaso D’Aquino</w:t>
      </w:r>
      <w:r w:rsidRPr="00951E87">
        <w:rPr>
          <w:rFonts w:cs="Times New Roman"/>
          <w:sz w:val="24"/>
          <w:szCs w:val="24"/>
          <w:lang w:val="it-IT"/>
        </w:rPr>
        <w:t xml:space="preserve">, Roma – Bari 1981, pp. 106-108). </w:t>
      </w:r>
      <w:proofErr w:type="spellStart"/>
      <w:r w:rsidRPr="00951E87">
        <w:rPr>
          <w:rFonts w:cs="Times New Roman"/>
          <w:i/>
          <w:sz w:val="24"/>
          <w:szCs w:val="24"/>
        </w:rPr>
        <w:t>Mutando</w:t>
      </w:r>
      <w:proofErr w:type="spellEnd"/>
      <w:r w:rsidRPr="00951E87">
        <w:rPr>
          <w:rFonts w:cs="Times New Roman"/>
          <w:i/>
          <w:sz w:val="24"/>
          <w:szCs w:val="24"/>
        </w:rPr>
        <w:t xml:space="preserve"> mutandis</w:t>
      </w:r>
      <w:r w:rsidRPr="00951E87">
        <w:rPr>
          <w:rFonts w:cs="Times New Roman"/>
          <w:sz w:val="24"/>
          <w:szCs w:val="24"/>
        </w:rPr>
        <w:t>, as long as there is no proven inconsistency, for Leibniz it may well not matter for a rationally justified belief which philosophical theory one follows in providing a plausible explanation of the meaning of a mystery.</w:t>
      </w:r>
    </w:p>
  </w:footnote>
  <w:footnote w:id="35">
    <w:p w:rsidR="003D40D7" w:rsidRPr="00951E87" w:rsidRDefault="003D40D7" w:rsidP="0082307E">
      <w:pPr>
        <w:pStyle w:val="FootnoteText"/>
        <w:spacing w:line="360" w:lineRule="auto"/>
        <w:rPr>
          <w:rFonts w:cs="Times New Roman"/>
          <w:sz w:val="24"/>
          <w:szCs w:val="24"/>
          <w:lang w:val="it-IT"/>
        </w:rPr>
      </w:pPr>
      <w:r w:rsidRPr="00951E87">
        <w:rPr>
          <w:rStyle w:val="FootnoteReference"/>
          <w:rFonts w:cs="Times New Roman"/>
          <w:sz w:val="24"/>
          <w:szCs w:val="24"/>
        </w:rPr>
        <w:footnoteRef/>
      </w:r>
      <w:r w:rsidRPr="00951E87">
        <w:rPr>
          <w:rFonts w:cs="Times New Roman"/>
          <w:sz w:val="24"/>
          <w:szCs w:val="24"/>
          <w:lang w:val="it-IT"/>
        </w:rPr>
        <w:t xml:space="preserve"> </w:t>
      </w:r>
      <w:r w:rsidRPr="00951E87">
        <w:rPr>
          <w:rFonts w:cs="Times New Roman"/>
          <w:i/>
          <w:sz w:val="24"/>
          <w:szCs w:val="24"/>
          <w:lang w:val="it-IT"/>
        </w:rPr>
        <w:t>Nova Methodus Discendae Docendaeque Jurisprudentia</w:t>
      </w:r>
      <w:r w:rsidRPr="00951E87">
        <w:rPr>
          <w:rFonts w:cs="Times New Roman"/>
          <w:sz w:val="24"/>
          <w:szCs w:val="24"/>
          <w:lang w:val="it-IT"/>
        </w:rPr>
        <w:t xml:space="preserve"> (A VI, 1, 294); see also </w:t>
      </w:r>
      <w:r w:rsidRPr="00951E87">
        <w:rPr>
          <w:rFonts w:cs="Times New Roman"/>
          <w:i/>
          <w:sz w:val="24"/>
          <w:szCs w:val="24"/>
          <w:lang w:val="it-IT"/>
        </w:rPr>
        <w:t>Dissertatio de Arte Combinatoria</w:t>
      </w:r>
      <w:r w:rsidRPr="00951E87">
        <w:rPr>
          <w:rFonts w:cs="Times New Roman"/>
          <w:sz w:val="24"/>
          <w:szCs w:val="24"/>
          <w:lang w:val="it-IT"/>
        </w:rPr>
        <w:t xml:space="preserve"> of 1666 (A VI, 1, 168).</w:t>
      </w:r>
    </w:p>
  </w:footnote>
  <w:footnote w:id="36">
    <w:p w:rsidR="003D40D7" w:rsidRPr="00951E87" w:rsidRDefault="003D40D7" w:rsidP="0082307E">
      <w:pPr>
        <w:autoSpaceDE w:val="0"/>
        <w:autoSpaceDN w:val="0"/>
        <w:adjustRightInd w:val="0"/>
        <w:spacing w:line="360" w:lineRule="auto"/>
        <w:rPr>
          <w:rFonts w:cs="Times New Roman"/>
          <w:szCs w:val="24"/>
          <w:lang w:val="it-IT"/>
        </w:rPr>
      </w:pPr>
      <w:r w:rsidRPr="00951E87">
        <w:rPr>
          <w:rStyle w:val="FootnoteReference"/>
          <w:rFonts w:cs="Times New Roman"/>
          <w:szCs w:val="24"/>
        </w:rPr>
        <w:footnoteRef/>
      </w:r>
      <w:r w:rsidRPr="00951E87">
        <w:rPr>
          <w:rFonts w:cs="Times New Roman"/>
          <w:szCs w:val="24"/>
          <w:lang w:val="it-IT"/>
        </w:rPr>
        <w:t xml:space="preserve"> </w:t>
      </w:r>
      <w:r w:rsidRPr="00951E87">
        <w:rPr>
          <w:rFonts w:cs="Times New Roman"/>
          <w:i/>
          <w:szCs w:val="24"/>
          <w:lang w:val="it-IT"/>
        </w:rPr>
        <w:t>Nova Methodus Discendae Docendaeque Jurisprudentia</w:t>
      </w:r>
      <w:r w:rsidRPr="00951E87">
        <w:rPr>
          <w:rFonts w:cs="Times New Roman"/>
          <w:szCs w:val="24"/>
          <w:lang w:val="it-IT"/>
        </w:rPr>
        <w:t xml:space="preserve"> (A VI, 1, 294): “Utraque enim duplex principium habet, partim rationem, hinc Theologia Jurisprudentiaque naturalis ... partim Scripturam seu librum quendam Authenticum Leges positivas, illic Divinas, hîc Humanas continentem.”</w:t>
      </w:r>
    </w:p>
  </w:footnote>
  <w:footnote w:id="37">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spellStart"/>
      <w:r w:rsidRPr="00951E87">
        <w:rPr>
          <w:rFonts w:cs="Times New Roman"/>
          <w:i/>
          <w:iCs/>
          <w:sz w:val="24"/>
          <w:szCs w:val="24"/>
        </w:rPr>
        <w:t>Mémoire</w:t>
      </w:r>
      <w:proofErr w:type="spellEnd"/>
      <w:r w:rsidRPr="00951E87">
        <w:rPr>
          <w:rFonts w:cs="Times New Roman"/>
          <w:i/>
          <w:iCs/>
          <w:sz w:val="24"/>
          <w:szCs w:val="24"/>
        </w:rPr>
        <w:t xml:space="preserve"> pour des </w:t>
      </w:r>
      <w:proofErr w:type="spellStart"/>
      <w:r w:rsidRPr="00951E87">
        <w:rPr>
          <w:rFonts w:cs="Times New Roman"/>
          <w:i/>
          <w:iCs/>
          <w:sz w:val="24"/>
          <w:szCs w:val="24"/>
        </w:rPr>
        <w:t>Personnes</w:t>
      </w:r>
      <w:proofErr w:type="spellEnd"/>
      <w:r w:rsidRPr="00951E87">
        <w:rPr>
          <w:rFonts w:cs="Times New Roman"/>
          <w:i/>
          <w:iCs/>
          <w:sz w:val="24"/>
          <w:szCs w:val="24"/>
        </w:rPr>
        <w:t xml:space="preserve"> </w:t>
      </w:r>
      <w:proofErr w:type="spellStart"/>
      <w:r w:rsidRPr="00951E87">
        <w:rPr>
          <w:rFonts w:cs="Times New Roman"/>
          <w:i/>
          <w:iCs/>
          <w:sz w:val="24"/>
          <w:szCs w:val="24"/>
        </w:rPr>
        <w:t>éclairées</w:t>
      </w:r>
      <w:proofErr w:type="spellEnd"/>
      <w:r w:rsidRPr="00951E87">
        <w:rPr>
          <w:rFonts w:cs="Times New Roman"/>
          <w:i/>
          <w:iCs/>
          <w:sz w:val="24"/>
          <w:szCs w:val="24"/>
        </w:rPr>
        <w:t xml:space="preserve"> </w:t>
      </w:r>
      <w:r w:rsidRPr="00951E87">
        <w:rPr>
          <w:rFonts w:cs="Times New Roman"/>
          <w:sz w:val="24"/>
          <w:szCs w:val="24"/>
        </w:rPr>
        <w:t xml:space="preserve">(mid 1690s) (trans. by Riley in Leibniz, </w:t>
      </w:r>
      <w:r w:rsidRPr="00951E87">
        <w:rPr>
          <w:rFonts w:cs="Times New Roman"/>
          <w:i/>
          <w:sz w:val="24"/>
          <w:szCs w:val="24"/>
        </w:rPr>
        <w:t>Political Writings</w:t>
      </w:r>
      <w:r w:rsidRPr="00951E87">
        <w:rPr>
          <w:rFonts w:cs="Times New Roman"/>
          <w:sz w:val="24"/>
          <w:szCs w:val="24"/>
        </w:rPr>
        <w:t xml:space="preserve">, </w:t>
      </w:r>
      <w:proofErr w:type="gramStart"/>
      <w:r w:rsidRPr="00951E87">
        <w:rPr>
          <w:rFonts w:cs="Times New Roman"/>
          <w:sz w:val="24"/>
          <w:szCs w:val="24"/>
        </w:rPr>
        <w:t>p</w:t>
      </w:r>
      <w:proofErr w:type="gramEnd"/>
      <w:r w:rsidRPr="00951E87">
        <w:rPr>
          <w:rFonts w:cs="Times New Roman"/>
          <w:sz w:val="24"/>
          <w:szCs w:val="24"/>
        </w:rPr>
        <w:t xml:space="preserve">. 105). See also </w:t>
      </w:r>
      <w:proofErr w:type="spellStart"/>
      <w:r w:rsidRPr="00951E87">
        <w:rPr>
          <w:rFonts w:cs="Times New Roman"/>
          <w:sz w:val="24"/>
          <w:szCs w:val="24"/>
        </w:rPr>
        <w:t>Grua</w:t>
      </w:r>
      <w:proofErr w:type="spellEnd"/>
      <w:r w:rsidRPr="00951E87">
        <w:rPr>
          <w:rFonts w:cs="Times New Roman"/>
          <w:sz w:val="24"/>
          <w:szCs w:val="24"/>
        </w:rPr>
        <w:t xml:space="preserve"> 241: “Theology is a sort of divine jurisprudence, explicating the legal principles [</w:t>
      </w:r>
      <w:proofErr w:type="spellStart"/>
      <w:r w:rsidRPr="00951E87">
        <w:rPr>
          <w:rFonts w:cs="Times New Roman"/>
          <w:i/>
          <w:sz w:val="24"/>
          <w:szCs w:val="24"/>
        </w:rPr>
        <w:t>jura</w:t>
      </w:r>
      <w:proofErr w:type="spellEnd"/>
      <w:r w:rsidRPr="00951E87">
        <w:rPr>
          <w:rFonts w:cs="Times New Roman"/>
          <w:sz w:val="24"/>
          <w:szCs w:val="24"/>
        </w:rPr>
        <w:t>] of our association with God” (trans. by R. M. Adams).</w:t>
      </w:r>
    </w:p>
  </w:footnote>
  <w:footnote w:id="38">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Leibniz to Thomas Burnett of </w:t>
      </w:r>
      <w:proofErr w:type="spellStart"/>
      <w:r w:rsidRPr="00951E87">
        <w:rPr>
          <w:rFonts w:cs="Times New Roman"/>
          <w:sz w:val="24"/>
          <w:szCs w:val="24"/>
        </w:rPr>
        <w:t>Kemney</w:t>
      </w:r>
      <w:proofErr w:type="spellEnd"/>
      <w:r w:rsidRPr="00951E87">
        <w:rPr>
          <w:rFonts w:cs="Times New Roman"/>
          <w:sz w:val="24"/>
          <w:szCs w:val="24"/>
        </w:rPr>
        <w:t>, 11 February 1697 (</w:t>
      </w:r>
      <w:proofErr w:type="gramStart"/>
      <w:r w:rsidRPr="00951E87">
        <w:rPr>
          <w:rFonts w:cs="Times New Roman"/>
          <w:sz w:val="24"/>
          <w:szCs w:val="24"/>
        </w:rPr>
        <w:t>A</w:t>
      </w:r>
      <w:proofErr w:type="gramEnd"/>
      <w:r w:rsidRPr="00951E87">
        <w:rPr>
          <w:rFonts w:cs="Times New Roman"/>
          <w:sz w:val="24"/>
          <w:szCs w:val="24"/>
        </w:rPr>
        <w:t xml:space="preserve"> I, 13, 555). As we have seen, Leibniz advocated from early on the necessity of developing a new part of </w:t>
      </w:r>
      <w:r>
        <w:rPr>
          <w:rFonts w:cs="Times New Roman"/>
          <w:sz w:val="24"/>
          <w:szCs w:val="24"/>
        </w:rPr>
        <w:t>logic able to weight reasons as</w:t>
      </w:r>
      <w:r w:rsidRPr="00951E87">
        <w:rPr>
          <w:rFonts w:cs="Times New Roman"/>
          <w:sz w:val="24"/>
          <w:szCs w:val="24"/>
        </w:rPr>
        <w:t xml:space="preserve"> of great importance to revealed theology. See his letter to Duke Johann </w:t>
      </w:r>
      <w:proofErr w:type="spellStart"/>
      <w:r w:rsidRPr="00951E87">
        <w:rPr>
          <w:rFonts w:cs="Times New Roman"/>
          <w:sz w:val="24"/>
          <w:szCs w:val="24"/>
        </w:rPr>
        <w:t>Frieidrich</w:t>
      </w:r>
      <w:proofErr w:type="spellEnd"/>
      <w:r w:rsidRPr="00951E87">
        <w:rPr>
          <w:rFonts w:cs="Times New Roman"/>
          <w:sz w:val="24"/>
          <w:szCs w:val="24"/>
        </w:rPr>
        <w:t xml:space="preserve"> of autumn 1679 (</w:t>
      </w:r>
      <w:proofErr w:type="gramStart"/>
      <w:r w:rsidRPr="00951E87">
        <w:rPr>
          <w:rFonts w:cs="Times New Roman"/>
          <w:sz w:val="24"/>
          <w:szCs w:val="24"/>
        </w:rPr>
        <w:t>A</w:t>
      </w:r>
      <w:proofErr w:type="gramEnd"/>
      <w:r w:rsidRPr="00951E87">
        <w:rPr>
          <w:rFonts w:cs="Times New Roman"/>
          <w:sz w:val="24"/>
          <w:szCs w:val="24"/>
        </w:rPr>
        <w:t xml:space="preserve"> I, 2, 225 and A II, 1, 489).</w:t>
      </w:r>
    </w:p>
  </w:footnote>
  <w:footnote w:id="39">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Cf. </w:t>
      </w:r>
      <w:proofErr w:type="spellStart"/>
      <w:r w:rsidRPr="00951E87">
        <w:rPr>
          <w:rFonts w:cs="Times New Roman"/>
          <w:sz w:val="24"/>
          <w:szCs w:val="24"/>
        </w:rPr>
        <w:t>Markku</w:t>
      </w:r>
      <w:proofErr w:type="spellEnd"/>
      <w:r w:rsidRPr="00951E87">
        <w:rPr>
          <w:rFonts w:cs="Times New Roman"/>
          <w:sz w:val="24"/>
          <w:szCs w:val="24"/>
        </w:rPr>
        <w:t xml:space="preserve"> </w:t>
      </w:r>
      <w:proofErr w:type="spellStart"/>
      <w:r w:rsidRPr="00951E87">
        <w:rPr>
          <w:rFonts w:cs="Times New Roman"/>
          <w:sz w:val="24"/>
          <w:szCs w:val="24"/>
        </w:rPr>
        <w:t>Roinila</w:t>
      </w:r>
      <w:proofErr w:type="spellEnd"/>
      <w:r w:rsidRPr="00951E87">
        <w:rPr>
          <w:rFonts w:cs="Times New Roman"/>
          <w:sz w:val="24"/>
          <w:szCs w:val="24"/>
        </w:rPr>
        <w:t xml:space="preserve">, </w:t>
      </w:r>
      <w:r w:rsidRPr="00951E87">
        <w:rPr>
          <w:rFonts w:cs="Times New Roman"/>
          <w:i/>
          <w:sz w:val="24"/>
          <w:szCs w:val="24"/>
        </w:rPr>
        <w:t>Leibniz on Rational Decision Making</w:t>
      </w:r>
      <w:r w:rsidRPr="00951E87">
        <w:rPr>
          <w:rFonts w:cs="Times New Roman"/>
          <w:sz w:val="24"/>
          <w:szCs w:val="24"/>
        </w:rPr>
        <w:t xml:space="preserve">, Helsinki 2007 and Marcelo </w:t>
      </w:r>
      <w:proofErr w:type="spellStart"/>
      <w:r w:rsidRPr="00951E87">
        <w:rPr>
          <w:rFonts w:cs="Times New Roman"/>
          <w:sz w:val="24"/>
          <w:szCs w:val="24"/>
        </w:rPr>
        <w:t>Dascal</w:t>
      </w:r>
      <w:proofErr w:type="spellEnd"/>
      <w:r w:rsidRPr="00951E87">
        <w:rPr>
          <w:rFonts w:cs="Times New Roman"/>
          <w:sz w:val="24"/>
          <w:szCs w:val="24"/>
        </w:rPr>
        <w:t xml:space="preserve"> (ed.), </w:t>
      </w:r>
      <w:r>
        <w:rPr>
          <w:rFonts w:cs="Times New Roman"/>
          <w:i/>
          <w:sz w:val="24"/>
          <w:szCs w:val="24"/>
        </w:rPr>
        <w:t>Leibniz: What Kind of R</w:t>
      </w:r>
      <w:r w:rsidRPr="00951E87">
        <w:rPr>
          <w:rFonts w:cs="Times New Roman"/>
          <w:i/>
          <w:sz w:val="24"/>
          <w:szCs w:val="24"/>
        </w:rPr>
        <w:t>ationalist</w:t>
      </w:r>
      <w:r w:rsidRPr="00951E87">
        <w:rPr>
          <w:rFonts w:cs="Times New Roman"/>
          <w:sz w:val="24"/>
          <w:szCs w:val="24"/>
        </w:rPr>
        <w:t>, Berlin 2008.</w:t>
      </w:r>
    </w:p>
  </w:footnote>
  <w:footnote w:id="40">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Cf. Maria Rosa Antognazza, “</w:t>
      </w:r>
      <w:r w:rsidRPr="00951E87">
        <w:rPr>
          <w:rFonts w:cs="Times New Roman"/>
          <w:spacing w:val="-2"/>
          <w:sz w:val="24"/>
          <w:szCs w:val="24"/>
        </w:rPr>
        <w:t>The Defence of the Mysteries of the Trinity and the Incarnation: an Example of Leibniz's ‘Other’ Reason”, in:</w:t>
      </w:r>
      <w:r w:rsidRPr="00951E87">
        <w:rPr>
          <w:rFonts w:cs="Times New Roman"/>
          <w:i/>
          <w:spacing w:val="-2"/>
          <w:sz w:val="24"/>
          <w:szCs w:val="24"/>
        </w:rPr>
        <w:t xml:space="preserve"> British Journal for the History of Philosophy</w:t>
      </w:r>
      <w:r w:rsidRPr="00951E87">
        <w:rPr>
          <w:rFonts w:cs="Times New Roman"/>
          <w:spacing w:val="-2"/>
          <w:sz w:val="24"/>
          <w:szCs w:val="24"/>
        </w:rPr>
        <w:t xml:space="preserve"> 9/2</w:t>
      </w:r>
      <w:r w:rsidRPr="00951E87">
        <w:rPr>
          <w:rFonts w:cs="Times New Roman"/>
          <w:i/>
          <w:spacing w:val="-2"/>
          <w:sz w:val="24"/>
          <w:szCs w:val="24"/>
        </w:rPr>
        <w:t xml:space="preserve"> </w:t>
      </w:r>
      <w:r w:rsidRPr="00951E87">
        <w:rPr>
          <w:rFonts w:cs="Times New Roman"/>
          <w:spacing w:val="-2"/>
          <w:sz w:val="24"/>
          <w:szCs w:val="24"/>
        </w:rPr>
        <w:t>(2001), pp. 283-309</w:t>
      </w:r>
      <w:r w:rsidRPr="00951E87">
        <w:rPr>
          <w:rFonts w:cs="Times New Roman"/>
          <w:sz w:val="24"/>
          <w:szCs w:val="24"/>
        </w:rPr>
        <w:t>.</w:t>
      </w:r>
    </w:p>
  </w:footnote>
  <w:footnote w:id="41">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Antognazza, </w:t>
      </w:r>
      <w:r w:rsidRPr="00951E87">
        <w:rPr>
          <w:rFonts w:cs="Times New Roman"/>
          <w:i/>
          <w:sz w:val="24"/>
          <w:szCs w:val="24"/>
        </w:rPr>
        <w:t>Leibniz and the Trinity and the Incarnation</w:t>
      </w:r>
      <w:r w:rsidRPr="00951E87">
        <w:rPr>
          <w:rFonts w:cs="Times New Roman"/>
          <w:sz w:val="24"/>
          <w:szCs w:val="24"/>
        </w:rPr>
        <w:t>, esp. pp. 83-84.</w:t>
      </w:r>
    </w:p>
  </w:footnote>
  <w:footnote w:id="42">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II, 1, 488; see also A I, 2, 225.</w:t>
      </w:r>
    </w:p>
  </w:footnote>
  <w:footnote w:id="43">
    <w:p w:rsidR="003D40D7" w:rsidRPr="00A51199" w:rsidRDefault="003D40D7" w:rsidP="00A51199">
      <w:pPr>
        <w:pStyle w:val="FootnoteText"/>
        <w:spacing w:line="360" w:lineRule="auto"/>
        <w:rPr>
          <w:sz w:val="24"/>
          <w:szCs w:val="24"/>
        </w:rPr>
      </w:pPr>
      <w:r w:rsidRPr="00A51199">
        <w:rPr>
          <w:rStyle w:val="FootnoteReference"/>
          <w:sz w:val="24"/>
          <w:szCs w:val="24"/>
        </w:rPr>
        <w:footnoteRef/>
      </w:r>
      <w:r w:rsidRPr="00A51199">
        <w:rPr>
          <w:sz w:val="24"/>
          <w:szCs w:val="24"/>
        </w:rPr>
        <w:t xml:space="preserve"> </w:t>
      </w:r>
      <w:proofErr w:type="gramStart"/>
      <w:r w:rsidRPr="00A51199">
        <w:rPr>
          <w:rFonts w:cs="Times New Roman"/>
          <w:sz w:val="24"/>
          <w:szCs w:val="24"/>
        </w:rPr>
        <w:t>GP III, 193-4; trans. by R. M. Adams.</w:t>
      </w:r>
      <w:proofErr w:type="gramEnd"/>
    </w:p>
  </w:footnote>
  <w:footnote w:id="44">
    <w:p w:rsidR="003D40D7" w:rsidRPr="00951E87" w:rsidRDefault="003D40D7" w:rsidP="00A51199">
      <w:pPr>
        <w:pStyle w:val="FootnoteText"/>
        <w:spacing w:line="360" w:lineRule="auto"/>
        <w:rPr>
          <w:rFonts w:cs="Times New Roman"/>
          <w:sz w:val="24"/>
          <w:szCs w:val="24"/>
        </w:rPr>
      </w:pPr>
      <w:r w:rsidRPr="00A51199">
        <w:rPr>
          <w:rStyle w:val="FootnoteReference"/>
          <w:rFonts w:cs="Times New Roman"/>
          <w:sz w:val="24"/>
          <w:szCs w:val="24"/>
        </w:rPr>
        <w:footnoteRef/>
      </w:r>
      <w:r w:rsidRPr="00A51199">
        <w:rPr>
          <w:rFonts w:cs="Times New Roman"/>
          <w:sz w:val="24"/>
          <w:szCs w:val="24"/>
          <w:lang w:val="it-IT"/>
        </w:rPr>
        <w:t xml:space="preserve"> </w:t>
      </w:r>
      <w:r w:rsidRPr="00A51199">
        <w:rPr>
          <w:rFonts w:cs="Times New Roman"/>
          <w:i/>
          <w:sz w:val="24"/>
          <w:szCs w:val="24"/>
          <w:lang w:val="it-IT"/>
        </w:rPr>
        <w:t>Commentatiuncula de Judice Controversiarum</w:t>
      </w:r>
      <w:r w:rsidRPr="00951E87">
        <w:rPr>
          <w:rFonts w:cs="Times New Roman"/>
          <w:sz w:val="24"/>
          <w:szCs w:val="24"/>
          <w:lang w:val="it-IT"/>
        </w:rPr>
        <w:t xml:space="preserve">, 1669-1679*; A VI, 1, N. 22. </w:t>
      </w:r>
      <w:r w:rsidRPr="00951E87">
        <w:rPr>
          <w:rFonts w:cs="Times New Roman"/>
          <w:sz w:val="24"/>
          <w:szCs w:val="24"/>
        </w:rPr>
        <w:t xml:space="preserve">The inquiry after the last instance of judgment in controversial issues (both religious and secular) was a </w:t>
      </w:r>
      <w:r w:rsidRPr="00951E87">
        <w:rPr>
          <w:rFonts w:cs="Times New Roman"/>
          <w:i/>
          <w:sz w:val="24"/>
          <w:szCs w:val="24"/>
        </w:rPr>
        <w:t xml:space="preserve">locus </w:t>
      </w:r>
      <w:proofErr w:type="spellStart"/>
      <w:r w:rsidRPr="00951E87">
        <w:rPr>
          <w:rFonts w:cs="Times New Roman"/>
          <w:i/>
          <w:sz w:val="24"/>
          <w:szCs w:val="24"/>
        </w:rPr>
        <w:t>communis</w:t>
      </w:r>
      <w:proofErr w:type="spellEnd"/>
      <w:r w:rsidRPr="00951E87">
        <w:rPr>
          <w:rFonts w:cs="Times New Roman"/>
          <w:sz w:val="24"/>
          <w:szCs w:val="24"/>
        </w:rPr>
        <w:t xml:space="preserve"> in the </w:t>
      </w:r>
      <w:proofErr w:type="spellStart"/>
      <w:r w:rsidRPr="00951E87">
        <w:rPr>
          <w:rFonts w:cs="Times New Roman"/>
          <w:sz w:val="24"/>
          <w:szCs w:val="24"/>
        </w:rPr>
        <w:t>controversist</w:t>
      </w:r>
      <w:proofErr w:type="spellEnd"/>
      <w:r w:rsidRPr="00951E87">
        <w:rPr>
          <w:rFonts w:cs="Times New Roman"/>
          <w:sz w:val="24"/>
          <w:szCs w:val="24"/>
        </w:rPr>
        <w:t xml:space="preserve"> literature of the time. </w:t>
      </w:r>
    </w:p>
  </w:footnote>
  <w:footnote w:id="45">
    <w:p w:rsidR="003D40D7" w:rsidRPr="00951E87" w:rsidRDefault="003D40D7" w:rsidP="004859AA">
      <w:pPr>
        <w:autoSpaceDE w:val="0"/>
        <w:autoSpaceDN w:val="0"/>
        <w:adjustRightInd w:val="0"/>
        <w:spacing w:line="360" w:lineRule="auto"/>
        <w:rPr>
          <w:rFonts w:cs="Times New Roman"/>
          <w:szCs w:val="24"/>
          <w:lang w:val="it-IT"/>
        </w:rPr>
      </w:pPr>
      <w:r w:rsidRPr="00951E87">
        <w:rPr>
          <w:rStyle w:val="FootnoteReference"/>
          <w:rFonts w:cs="Times New Roman"/>
          <w:szCs w:val="24"/>
        </w:rPr>
        <w:footnoteRef/>
      </w:r>
      <w:r w:rsidRPr="00951E87">
        <w:rPr>
          <w:rFonts w:cs="Times New Roman"/>
          <w:szCs w:val="24"/>
          <w:lang w:val="it-IT"/>
        </w:rPr>
        <w:t xml:space="preserve"> </w:t>
      </w:r>
      <w:r w:rsidRPr="00951E87">
        <w:rPr>
          <w:rFonts w:cs="Times New Roman"/>
          <w:i/>
          <w:szCs w:val="24"/>
          <w:lang w:val="it-IT"/>
        </w:rPr>
        <w:t>Commentatiuncula de Judice controversiarum</w:t>
      </w:r>
      <w:r w:rsidRPr="00951E87">
        <w:rPr>
          <w:rFonts w:cs="Times New Roman"/>
          <w:szCs w:val="24"/>
          <w:lang w:val="it-IT"/>
        </w:rPr>
        <w:t>, A VI, 1, 550–551.</w:t>
      </w:r>
    </w:p>
  </w:footnote>
  <w:footnote w:id="46">
    <w:p w:rsidR="003D40D7" w:rsidRPr="00951E87" w:rsidRDefault="003D40D7" w:rsidP="004859AA">
      <w:pPr>
        <w:pStyle w:val="FootnoteText"/>
        <w:spacing w:line="360" w:lineRule="auto"/>
        <w:rPr>
          <w:sz w:val="24"/>
          <w:szCs w:val="24"/>
          <w:lang w:val="it-IT"/>
        </w:rPr>
      </w:pPr>
      <w:r w:rsidRPr="00951E87">
        <w:rPr>
          <w:rStyle w:val="FootnoteReference"/>
          <w:sz w:val="24"/>
          <w:szCs w:val="24"/>
        </w:rPr>
        <w:footnoteRef/>
      </w:r>
      <w:r w:rsidRPr="00951E87">
        <w:rPr>
          <w:sz w:val="24"/>
          <w:szCs w:val="24"/>
          <w:lang w:val="it-IT"/>
        </w:rPr>
        <w:t xml:space="preserve"> </w:t>
      </w:r>
      <w:r w:rsidRPr="00951E87">
        <w:rPr>
          <w:rFonts w:cs="Times New Roman"/>
          <w:i/>
          <w:sz w:val="24"/>
          <w:szCs w:val="24"/>
          <w:lang w:val="it-IT"/>
        </w:rPr>
        <w:t>Commentatiuncula de Judice controversiarum;</w:t>
      </w:r>
      <w:r w:rsidRPr="00951E87">
        <w:rPr>
          <w:rFonts w:cs="Times New Roman"/>
          <w:sz w:val="24"/>
          <w:szCs w:val="24"/>
          <w:lang w:val="it-IT"/>
        </w:rPr>
        <w:t xml:space="preserve"> A VI, 1, 552.</w:t>
      </w:r>
    </w:p>
  </w:footnote>
  <w:footnote w:id="47">
    <w:p w:rsidR="003D40D7" w:rsidRPr="00951E87" w:rsidRDefault="003D40D7" w:rsidP="004859AA">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spellStart"/>
      <w:r w:rsidRPr="00951E87">
        <w:rPr>
          <w:rFonts w:cs="Times New Roman"/>
          <w:i/>
          <w:szCs w:val="24"/>
        </w:rPr>
        <w:t>Commentatiuncula</w:t>
      </w:r>
      <w:proofErr w:type="spellEnd"/>
      <w:r w:rsidRPr="00951E87">
        <w:rPr>
          <w:rFonts w:cs="Times New Roman"/>
          <w:i/>
          <w:szCs w:val="24"/>
        </w:rPr>
        <w:t xml:space="preserve"> de </w:t>
      </w:r>
      <w:proofErr w:type="spellStart"/>
      <w:r w:rsidRPr="00951E87">
        <w:rPr>
          <w:rFonts w:cs="Times New Roman"/>
          <w:i/>
          <w:szCs w:val="24"/>
        </w:rPr>
        <w:t>Judice</w:t>
      </w:r>
      <w:proofErr w:type="spellEnd"/>
      <w:r w:rsidRPr="00951E87">
        <w:rPr>
          <w:rFonts w:cs="Times New Roman"/>
          <w:i/>
          <w:szCs w:val="24"/>
        </w:rPr>
        <w:t xml:space="preserve"> </w:t>
      </w:r>
      <w:proofErr w:type="spellStart"/>
      <w:r w:rsidRPr="00951E87">
        <w:rPr>
          <w:rFonts w:cs="Times New Roman"/>
          <w:i/>
          <w:szCs w:val="24"/>
        </w:rPr>
        <w:t>controversiarum</w:t>
      </w:r>
      <w:proofErr w:type="spellEnd"/>
      <w:r w:rsidRPr="00951E87">
        <w:rPr>
          <w:rFonts w:cs="Times New Roman"/>
          <w:szCs w:val="24"/>
        </w:rPr>
        <w:t xml:space="preserve"> (A VI, 1, 550): “faith regards the meaning, not the words; therefore it is not sufficient for us to believe that whoever said that ‘This is my body’ was saying the truth, unless we also know what he said. For indeed we do not know what he said if we keep only to the words, ignoring their force and power.”</w:t>
      </w:r>
    </w:p>
  </w:footnote>
  <w:footnote w:id="48">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spellStart"/>
      <w:r w:rsidRPr="00951E87">
        <w:rPr>
          <w:rFonts w:cs="Times New Roman"/>
          <w:i/>
          <w:szCs w:val="24"/>
        </w:rPr>
        <w:t>Commentatiuncula</w:t>
      </w:r>
      <w:proofErr w:type="spellEnd"/>
      <w:r w:rsidRPr="00951E87">
        <w:rPr>
          <w:rFonts w:cs="Times New Roman"/>
          <w:i/>
          <w:szCs w:val="24"/>
        </w:rPr>
        <w:t xml:space="preserve"> de </w:t>
      </w:r>
      <w:proofErr w:type="spellStart"/>
      <w:r w:rsidRPr="00951E87">
        <w:rPr>
          <w:rFonts w:cs="Times New Roman"/>
          <w:i/>
          <w:szCs w:val="24"/>
        </w:rPr>
        <w:t>Judice</w:t>
      </w:r>
      <w:proofErr w:type="spellEnd"/>
      <w:r w:rsidRPr="00951E87">
        <w:rPr>
          <w:rFonts w:cs="Times New Roman"/>
          <w:i/>
          <w:szCs w:val="24"/>
        </w:rPr>
        <w:t xml:space="preserve"> </w:t>
      </w:r>
      <w:proofErr w:type="spellStart"/>
      <w:r w:rsidRPr="00951E87">
        <w:rPr>
          <w:rFonts w:cs="Times New Roman"/>
          <w:i/>
          <w:szCs w:val="24"/>
        </w:rPr>
        <w:t>controversiarum</w:t>
      </w:r>
      <w:proofErr w:type="spellEnd"/>
      <w:r w:rsidRPr="00951E87">
        <w:rPr>
          <w:rFonts w:cs="Times New Roman"/>
          <w:szCs w:val="24"/>
        </w:rPr>
        <w:t xml:space="preserve"> (A VI, 1, 550): “It is not always necessary for faith to know what sense of the words is true, </w:t>
      </w:r>
      <w:r w:rsidRPr="00951E87">
        <w:rPr>
          <w:rFonts w:cs="Times New Roman"/>
          <w:iCs/>
          <w:szCs w:val="24"/>
        </w:rPr>
        <w:t>as long as we understand it</w:t>
      </w:r>
      <w:r w:rsidRPr="00951E87">
        <w:rPr>
          <w:rFonts w:cs="Times New Roman"/>
          <w:szCs w:val="24"/>
        </w:rPr>
        <w:t xml:space="preserve">”. We find basically the same position in 1710 the </w:t>
      </w:r>
      <w:r w:rsidRPr="00951E87">
        <w:rPr>
          <w:rFonts w:cs="Times New Roman"/>
          <w:i/>
          <w:szCs w:val="24"/>
        </w:rPr>
        <w:t xml:space="preserve">Theodicy </w:t>
      </w:r>
      <w:r w:rsidRPr="00951E87">
        <w:rPr>
          <w:rFonts w:cs="Times New Roman"/>
          <w:szCs w:val="24"/>
        </w:rPr>
        <w:t xml:space="preserve">(§ 54 of the “Preliminary Discourse”; GP, VI, 80): “It is not necessary to require always what I call </w:t>
      </w:r>
      <w:r w:rsidRPr="00951E87">
        <w:rPr>
          <w:rFonts w:cs="Times New Roman"/>
          <w:i/>
          <w:iCs/>
          <w:szCs w:val="24"/>
        </w:rPr>
        <w:t xml:space="preserve">adequate notions, </w:t>
      </w:r>
      <w:r w:rsidRPr="00951E87">
        <w:rPr>
          <w:rFonts w:cs="Times New Roman"/>
          <w:szCs w:val="24"/>
        </w:rPr>
        <w:t>which contain nothing that has not been explained, since even sensible qualities such as heat, light, sweetness, do not supply us with such notions. So we agree that the mysteries receive an explanation, but this explanation is imperfect. It suffices that we have some analogical understanding of a mystery, such as the Trinity or the Incarnation, so that in receiving them we do not pronounce words entirely devoid of meaning.”</w:t>
      </w:r>
    </w:p>
  </w:footnote>
  <w:footnote w:id="49">
    <w:p w:rsidR="003D40D7" w:rsidRPr="00951E87" w:rsidRDefault="003D40D7" w:rsidP="00790101">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A VI, 1, 550. It should be emphasized that confuse</w:t>
      </w:r>
      <w:r>
        <w:rPr>
          <w:rFonts w:cs="Times New Roman"/>
          <w:sz w:val="24"/>
          <w:szCs w:val="24"/>
        </w:rPr>
        <w:t>d</w:t>
      </w:r>
      <w:r w:rsidRPr="00951E87">
        <w:rPr>
          <w:rFonts w:cs="Times New Roman"/>
          <w:sz w:val="24"/>
          <w:szCs w:val="24"/>
        </w:rPr>
        <w:t xml:space="preserve"> cognition is far from being limited to the mysteries of revealed religion. As </w:t>
      </w:r>
      <w:r>
        <w:rPr>
          <w:rFonts w:cs="Times New Roman"/>
          <w:sz w:val="24"/>
          <w:szCs w:val="24"/>
        </w:rPr>
        <w:t xml:space="preserve">is </w:t>
      </w:r>
      <w:r w:rsidRPr="00951E87">
        <w:rPr>
          <w:rFonts w:cs="Times New Roman"/>
          <w:sz w:val="24"/>
          <w:szCs w:val="24"/>
        </w:rPr>
        <w:t xml:space="preserve">already clear from the passages quoted above, Leibniz points out that it extends also to physical and metaphysical notions, </w:t>
      </w:r>
      <w:r>
        <w:rPr>
          <w:rFonts w:cs="Times New Roman"/>
          <w:sz w:val="24"/>
          <w:szCs w:val="24"/>
        </w:rPr>
        <w:t>and to the way in which the lay</w:t>
      </w:r>
      <w:r w:rsidRPr="00951E87">
        <w:rPr>
          <w:rFonts w:cs="Times New Roman"/>
          <w:sz w:val="24"/>
          <w:szCs w:val="24"/>
        </w:rPr>
        <w:t xml:space="preserve">man grasps complex mathematical concepts. </w:t>
      </w:r>
    </w:p>
  </w:footnote>
  <w:footnote w:id="50">
    <w:p w:rsidR="003D40D7" w:rsidRPr="00951E87" w:rsidRDefault="003D40D7" w:rsidP="00790101">
      <w:pPr>
        <w:pStyle w:val="FootnoteText"/>
        <w:spacing w:line="360" w:lineRule="auto"/>
        <w:rPr>
          <w:sz w:val="24"/>
          <w:szCs w:val="24"/>
          <w:lang w:val="it-IT"/>
        </w:rPr>
      </w:pPr>
      <w:r w:rsidRPr="00951E87">
        <w:rPr>
          <w:rStyle w:val="FootnoteReference"/>
          <w:sz w:val="24"/>
          <w:szCs w:val="24"/>
        </w:rPr>
        <w:footnoteRef/>
      </w:r>
      <w:r w:rsidRPr="00951E87">
        <w:rPr>
          <w:sz w:val="24"/>
          <w:szCs w:val="24"/>
          <w:lang w:val="it-IT"/>
        </w:rPr>
        <w:t xml:space="preserve"> </w:t>
      </w:r>
      <w:r w:rsidRPr="00951E87">
        <w:rPr>
          <w:rFonts w:cs="Times New Roman"/>
          <w:i/>
          <w:sz w:val="24"/>
          <w:szCs w:val="24"/>
          <w:lang w:val="it-IT"/>
        </w:rPr>
        <w:t>Commentatiuncula de Judice controversiarum</w:t>
      </w:r>
      <w:r w:rsidRPr="00951E87">
        <w:rPr>
          <w:rFonts w:cs="Times New Roman"/>
          <w:sz w:val="24"/>
          <w:szCs w:val="24"/>
          <w:lang w:val="it-IT"/>
        </w:rPr>
        <w:t>; A VI, 1, 550-551.</w:t>
      </w:r>
    </w:p>
  </w:footnote>
  <w:footnote w:id="51">
    <w:p w:rsidR="003D40D7" w:rsidRPr="00951E87" w:rsidRDefault="003D40D7" w:rsidP="00790101">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On Leibniz’s reflections on the Eucharist see Adams, </w:t>
      </w:r>
      <w:r w:rsidRPr="00951E87">
        <w:rPr>
          <w:rFonts w:cs="Times New Roman"/>
          <w:i/>
          <w:sz w:val="24"/>
          <w:szCs w:val="24"/>
        </w:rPr>
        <w:t>Leibniz</w:t>
      </w:r>
      <w:r w:rsidRPr="00951E87">
        <w:rPr>
          <w:rFonts w:cs="Times New Roman"/>
          <w:sz w:val="24"/>
          <w:szCs w:val="24"/>
        </w:rPr>
        <w:t xml:space="preserve">, esp. pp. 349-360 and 389-393; Brandon C. Look and Donald Rutherford, “Introduction”, in: </w:t>
      </w:r>
      <w:r w:rsidRPr="00951E87">
        <w:rPr>
          <w:rFonts w:cs="Times New Roman"/>
          <w:i/>
          <w:sz w:val="24"/>
          <w:szCs w:val="24"/>
        </w:rPr>
        <w:t>The Leibniz-Des Bosses Correspondence</w:t>
      </w:r>
      <w:r w:rsidRPr="00951E87">
        <w:rPr>
          <w:rFonts w:cs="Times New Roman"/>
          <w:sz w:val="24"/>
          <w:szCs w:val="24"/>
        </w:rPr>
        <w:t xml:space="preserve">, New Haven and London 2007, pp. lvii-lxxii; Irena Backus, “Leibniz’s concept of substance and his reception of John Calvin’s doctrine of the Eucharist”, </w:t>
      </w:r>
      <w:r w:rsidRPr="00951E87">
        <w:rPr>
          <w:rFonts w:cs="Times New Roman"/>
          <w:i/>
          <w:sz w:val="24"/>
          <w:szCs w:val="24"/>
        </w:rPr>
        <w:t>British Journal of the History of Philosophy</w:t>
      </w:r>
      <w:r w:rsidRPr="00951E87">
        <w:rPr>
          <w:rFonts w:cs="Times New Roman"/>
          <w:sz w:val="24"/>
          <w:szCs w:val="24"/>
        </w:rPr>
        <w:t xml:space="preserve"> 19/5 (2011), pp. 617-633; Backus, </w:t>
      </w:r>
      <w:r w:rsidRPr="00951E87">
        <w:rPr>
          <w:rFonts w:cs="Times New Roman"/>
          <w:i/>
          <w:sz w:val="24"/>
          <w:szCs w:val="24"/>
        </w:rPr>
        <w:t>Leibniz: Protestant Theologian</w:t>
      </w:r>
      <w:r w:rsidRPr="00951E87">
        <w:rPr>
          <w:rFonts w:cs="Times New Roman"/>
          <w:sz w:val="24"/>
          <w:szCs w:val="24"/>
        </w:rPr>
        <w:t>, Part 1.</w:t>
      </w:r>
    </w:p>
  </w:footnote>
  <w:footnote w:id="52">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A VI, 1, 552–553: “When the meaning of a text is doubtful, likewise when reason can determine nothing certain, as is the case in things of fact, and a conflict arises between the text and reason, it is indeed not absolute, but probable, in this way: The real presence of the body of Christ, likewise the Trinity in GOD, is probable according to the text (for from the text nothing except what is probable can be gathered) but improbable (N.B., although not impossible, for we certainly do not concede this to the </w:t>
      </w:r>
      <w:proofErr w:type="spellStart"/>
      <w:r w:rsidRPr="00951E87">
        <w:rPr>
          <w:rFonts w:cs="Times New Roman"/>
          <w:sz w:val="24"/>
          <w:szCs w:val="24"/>
        </w:rPr>
        <w:t>Socinians</w:t>
      </w:r>
      <w:proofErr w:type="spellEnd"/>
      <w:r w:rsidRPr="00951E87">
        <w:rPr>
          <w:rFonts w:cs="Times New Roman"/>
          <w:sz w:val="24"/>
          <w:szCs w:val="24"/>
        </w:rPr>
        <w:t xml:space="preserve"> and the Reformed) according to reason; then it is asked, whether it is better to side with reason or the words of the text.”</w:t>
      </w:r>
    </w:p>
  </w:footnote>
  <w:footnote w:id="53">
    <w:p w:rsidR="003D40D7" w:rsidRPr="00951E87" w:rsidRDefault="003D40D7" w:rsidP="00A15E05">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 VI, 1, 553.</w:t>
      </w:r>
      <w:proofErr w:type="gramEnd"/>
      <w:r w:rsidRPr="00951E87">
        <w:rPr>
          <w:rFonts w:cs="Times New Roman"/>
          <w:sz w:val="24"/>
          <w:szCs w:val="24"/>
        </w:rPr>
        <w:t xml:space="preserve"> For a fuller discussion of the </w:t>
      </w:r>
      <w:proofErr w:type="spellStart"/>
      <w:r w:rsidRPr="00951E87">
        <w:rPr>
          <w:rFonts w:cs="Times New Roman"/>
          <w:i/>
          <w:sz w:val="24"/>
          <w:szCs w:val="24"/>
        </w:rPr>
        <w:t>Commentatiuncula</w:t>
      </w:r>
      <w:proofErr w:type="spellEnd"/>
      <w:r w:rsidRPr="00951E87">
        <w:rPr>
          <w:rFonts w:cs="Times New Roman"/>
          <w:i/>
          <w:sz w:val="24"/>
          <w:szCs w:val="24"/>
        </w:rPr>
        <w:t xml:space="preserve"> De </w:t>
      </w:r>
      <w:proofErr w:type="spellStart"/>
      <w:r w:rsidRPr="00951E87">
        <w:rPr>
          <w:rFonts w:cs="Times New Roman"/>
          <w:i/>
          <w:sz w:val="24"/>
          <w:szCs w:val="24"/>
        </w:rPr>
        <w:t>Judice</w:t>
      </w:r>
      <w:proofErr w:type="spellEnd"/>
      <w:r w:rsidRPr="00951E87">
        <w:rPr>
          <w:rFonts w:cs="Times New Roman"/>
          <w:i/>
          <w:sz w:val="24"/>
          <w:szCs w:val="24"/>
        </w:rPr>
        <w:t xml:space="preserve"> </w:t>
      </w:r>
      <w:proofErr w:type="spellStart"/>
      <w:r w:rsidRPr="00951E87">
        <w:rPr>
          <w:rFonts w:cs="Times New Roman"/>
          <w:i/>
          <w:sz w:val="24"/>
          <w:szCs w:val="24"/>
        </w:rPr>
        <w:t>controversiarum</w:t>
      </w:r>
      <w:proofErr w:type="spellEnd"/>
      <w:r w:rsidRPr="00951E87">
        <w:rPr>
          <w:rFonts w:cs="Times New Roman"/>
          <w:sz w:val="24"/>
          <w:szCs w:val="24"/>
        </w:rPr>
        <w:t xml:space="preserve"> (including this passage) see my</w:t>
      </w:r>
      <w:r w:rsidRPr="00951E87">
        <w:rPr>
          <w:rFonts w:cs="Times New Roman"/>
          <w:i/>
          <w:sz w:val="24"/>
          <w:szCs w:val="24"/>
        </w:rPr>
        <w:t xml:space="preserve"> Leibniz on the Trinity and the Incarnation</w:t>
      </w:r>
      <w:r w:rsidRPr="00951E87">
        <w:rPr>
          <w:rFonts w:cs="Times New Roman"/>
          <w:sz w:val="24"/>
          <w:szCs w:val="24"/>
        </w:rPr>
        <w:t>, pp. 50-59 and 201-209.</w:t>
      </w:r>
    </w:p>
  </w:footnote>
  <w:footnote w:id="54">
    <w:p w:rsidR="003D40D7" w:rsidRPr="00951E87" w:rsidRDefault="003D40D7" w:rsidP="00A15E05">
      <w:pPr>
        <w:pStyle w:val="FootnoteText"/>
        <w:spacing w:line="360" w:lineRule="auto"/>
        <w:rPr>
          <w:sz w:val="24"/>
          <w:szCs w:val="24"/>
        </w:rPr>
      </w:pPr>
      <w:r w:rsidRPr="00951E87">
        <w:rPr>
          <w:rStyle w:val="FootnoteReference"/>
          <w:sz w:val="24"/>
          <w:szCs w:val="24"/>
        </w:rPr>
        <w:footnoteRef/>
      </w:r>
      <w:r w:rsidRPr="00951E87">
        <w:rPr>
          <w:sz w:val="24"/>
          <w:szCs w:val="24"/>
        </w:rPr>
        <w:t xml:space="preserve"> </w:t>
      </w:r>
      <w:r w:rsidRPr="00951E87">
        <w:rPr>
          <w:rFonts w:cs="Times New Roman"/>
          <w:sz w:val="24"/>
          <w:szCs w:val="24"/>
        </w:rPr>
        <w:t>A VI, 1, 553-554.</w:t>
      </w:r>
    </w:p>
  </w:footnote>
  <w:footnote w:id="55">
    <w:p w:rsidR="003D40D7" w:rsidRPr="00951E87" w:rsidRDefault="003D40D7" w:rsidP="00A15E05">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Cf. § 20 of the </w:t>
      </w:r>
      <w:r w:rsidRPr="00951E87">
        <w:rPr>
          <w:rFonts w:cs="Times New Roman"/>
          <w:i/>
          <w:sz w:val="24"/>
          <w:szCs w:val="24"/>
        </w:rPr>
        <w:t xml:space="preserve">Commentatiuncula </w:t>
      </w:r>
      <w:r w:rsidRPr="00951E87">
        <w:rPr>
          <w:rFonts w:cs="Times New Roman"/>
          <w:sz w:val="24"/>
          <w:szCs w:val="24"/>
        </w:rPr>
        <w:t xml:space="preserve">(A VI, 1, 550): “Fides </w:t>
      </w:r>
      <w:proofErr w:type="spellStart"/>
      <w:r w:rsidRPr="00951E87">
        <w:rPr>
          <w:rFonts w:cs="Times New Roman"/>
          <w:sz w:val="24"/>
          <w:szCs w:val="24"/>
        </w:rPr>
        <w:t>est</w:t>
      </w:r>
      <w:proofErr w:type="spellEnd"/>
      <w:r w:rsidRPr="00951E87">
        <w:rPr>
          <w:rFonts w:cs="Times New Roman"/>
          <w:sz w:val="24"/>
          <w:szCs w:val="24"/>
        </w:rPr>
        <w:t xml:space="preserve"> </w:t>
      </w:r>
      <w:proofErr w:type="spellStart"/>
      <w:r w:rsidRPr="00951E87">
        <w:rPr>
          <w:rFonts w:cs="Times New Roman"/>
          <w:sz w:val="24"/>
          <w:szCs w:val="24"/>
        </w:rPr>
        <w:t>credere</w:t>
      </w:r>
      <w:proofErr w:type="spellEnd"/>
      <w:r w:rsidRPr="00951E87">
        <w:rPr>
          <w:rFonts w:cs="Times New Roman"/>
          <w:sz w:val="24"/>
          <w:szCs w:val="24"/>
        </w:rPr>
        <w:t xml:space="preserve">. </w:t>
      </w:r>
      <w:proofErr w:type="spellStart"/>
      <w:proofErr w:type="gramStart"/>
      <w:r w:rsidRPr="00951E87">
        <w:rPr>
          <w:rFonts w:cs="Times New Roman"/>
          <w:sz w:val="24"/>
          <w:szCs w:val="24"/>
        </w:rPr>
        <w:t>Credere</w:t>
      </w:r>
      <w:proofErr w:type="spellEnd"/>
      <w:r w:rsidRPr="00951E87">
        <w:rPr>
          <w:rFonts w:cs="Times New Roman"/>
          <w:sz w:val="24"/>
          <w:szCs w:val="24"/>
        </w:rPr>
        <w:t xml:space="preserve"> </w:t>
      </w:r>
      <w:proofErr w:type="spellStart"/>
      <w:r w:rsidRPr="00951E87">
        <w:rPr>
          <w:rFonts w:cs="Times New Roman"/>
          <w:sz w:val="24"/>
          <w:szCs w:val="24"/>
        </w:rPr>
        <w:t>est</w:t>
      </w:r>
      <w:proofErr w:type="spellEnd"/>
      <w:r w:rsidRPr="00951E87">
        <w:rPr>
          <w:rFonts w:cs="Times New Roman"/>
          <w:sz w:val="24"/>
          <w:szCs w:val="24"/>
        </w:rPr>
        <w:t xml:space="preserve"> </w:t>
      </w:r>
      <w:proofErr w:type="spellStart"/>
      <w:r w:rsidRPr="00951E87">
        <w:rPr>
          <w:rFonts w:cs="Times New Roman"/>
          <w:sz w:val="24"/>
          <w:szCs w:val="24"/>
        </w:rPr>
        <w:t>verum</w:t>
      </w:r>
      <w:proofErr w:type="spellEnd"/>
      <w:r w:rsidRPr="00951E87">
        <w:rPr>
          <w:rFonts w:cs="Times New Roman"/>
          <w:sz w:val="24"/>
          <w:szCs w:val="24"/>
        </w:rPr>
        <w:t xml:space="preserve"> </w:t>
      </w:r>
      <w:proofErr w:type="spellStart"/>
      <w:r w:rsidRPr="00951E87">
        <w:rPr>
          <w:rFonts w:cs="Times New Roman"/>
          <w:sz w:val="24"/>
          <w:szCs w:val="24"/>
        </w:rPr>
        <w:t>putare</w:t>
      </w:r>
      <w:proofErr w:type="spellEnd"/>
      <w:r w:rsidRPr="00951E87">
        <w:rPr>
          <w:rFonts w:cs="Times New Roman"/>
          <w:sz w:val="24"/>
          <w:szCs w:val="24"/>
        </w:rPr>
        <w:t>.”</w:t>
      </w:r>
      <w:proofErr w:type="gramEnd"/>
    </w:p>
  </w:footnote>
  <w:footnote w:id="56">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spellStart"/>
      <w:r w:rsidRPr="00951E87">
        <w:rPr>
          <w:rFonts w:cs="Times New Roman"/>
          <w:i/>
          <w:iCs/>
          <w:szCs w:val="24"/>
        </w:rPr>
        <w:t>Annotatiunculae</w:t>
      </w:r>
      <w:proofErr w:type="spellEnd"/>
      <w:r w:rsidRPr="00951E87">
        <w:rPr>
          <w:rFonts w:cs="Times New Roman"/>
          <w:i/>
          <w:iCs/>
          <w:szCs w:val="24"/>
        </w:rPr>
        <w:t xml:space="preserve"> </w:t>
      </w:r>
      <w:proofErr w:type="spellStart"/>
      <w:r w:rsidRPr="00951E87">
        <w:rPr>
          <w:rFonts w:cs="Times New Roman"/>
          <w:i/>
          <w:iCs/>
          <w:szCs w:val="24"/>
        </w:rPr>
        <w:t>Subitaneae</w:t>
      </w:r>
      <w:proofErr w:type="spellEnd"/>
      <w:r w:rsidRPr="00951E87">
        <w:rPr>
          <w:rFonts w:cs="Times New Roman"/>
          <w:i/>
          <w:iCs/>
          <w:szCs w:val="24"/>
        </w:rPr>
        <w:t xml:space="preserve"> </w:t>
      </w:r>
      <w:proofErr w:type="spellStart"/>
      <w:r w:rsidRPr="00951E87">
        <w:rPr>
          <w:rFonts w:cs="Times New Roman"/>
          <w:i/>
          <w:iCs/>
          <w:szCs w:val="24"/>
        </w:rPr>
        <w:t>ad</w:t>
      </w:r>
      <w:proofErr w:type="spellEnd"/>
      <w:r w:rsidRPr="00951E87">
        <w:rPr>
          <w:rFonts w:cs="Times New Roman"/>
          <w:i/>
          <w:iCs/>
          <w:szCs w:val="24"/>
        </w:rPr>
        <w:t xml:space="preserve"> </w:t>
      </w:r>
      <w:proofErr w:type="spellStart"/>
      <w:r w:rsidRPr="00951E87">
        <w:rPr>
          <w:rFonts w:cs="Times New Roman"/>
          <w:i/>
          <w:iCs/>
          <w:szCs w:val="24"/>
        </w:rPr>
        <w:t>Tolandi</w:t>
      </w:r>
      <w:proofErr w:type="spellEnd"/>
      <w:r w:rsidRPr="00951E87">
        <w:rPr>
          <w:rFonts w:cs="Times New Roman"/>
          <w:i/>
          <w:iCs/>
          <w:szCs w:val="24"/>
        </w:rPr>
        <w:t xml:space="preserve"> </w:t>
      </w:r>
      <w:proofErr w:type="spellStart"/>
      <w:r w:rsidRPr="00951E87">
        <w:rPr>
          <w:rFonts w:cs="Times New Roman"/>
          <w:i/>
          <w:iCs/>
          <w:szCs w:val="24"/>
        </w:rPr>
        <w:t>Librum</w:t>
      </w:r>
      <w:proofErr w:type="spellEnd"/>
      <w:r w:rsidRPr="00951E87">
        <w:rPr>
          <w:rFonts w:cs="Times New Roman"/>
          <w:i/>
          <w:iCs/>
          <w:szCs w:val="24"/>
        </w:rPr>
        <w:t xml:space="preserve"> De </w:t>
      </w:r>
      <w:proofErr w:type="spellStart"/>
      <w:r w:rsidRPr="00951E87">
        <w:rPr>
          <w:rFonts w:cs="Times New Roman"/>
          <w:i/>
          <w:iCs/>
          <w:szCs w:val="24"/>
        </w:rPr>
        <w:t>Christianismo</w:t>
      </w:r>
      <w:proofErr w:type="spellEnd"/>
      <w:r w:rsidRPr="00951E87">
        <w:rPr>
          <w:rFonts w:cs="Times New Roman"/>
          <w:i/>
          <w:iCs/>
          <w:szCs w:val="24"/>
        </w:rPr>
        <w:t xml:space="preserve"> </w:t>
      </w:r>
      <w:proofErr w:type="spellStart"/>
      <w:r w:rsidRPr="00951E87">
        <w:rPr>
          <w:rFonts w:cs="Times New Roman"/>
          <w:i/>
          <w:iCs/>
          <w:szCs w:val="24"/>
        </w:rPr>
        <w:t>Mysteriis</w:t>
      </w:r>
      <w:proofErr w:type="spellEnd"/>
      <w:r w:rsidRPr="00951E87">
        <w:rPr>
          <w:rFonts w:cs="Times New Roman"/>
          <w:i/>
          <w:iCs/>
          <w:szCs w:val="24"/>
        </w:rPr>
        <w:t xml:space="preserve"> </w:t>
      </w:r>
      <w:proofErr w:type="spellStart"/>
      <w:r w:rsidRPr="00951E87">
        <w:rPr>
          <w:rFonts w:cs="Times New Roman"/>
          <w:i/>
          <w:iCs/>
          <w:szCs w:val="24"/>
        </w:rPr>
        <w:t>Carente</w:t>
      </w:r>
      <w:proofErr w:type="spellEnd"/>
      <w:r w:rsidRPr="00951E87">
        <w:rPr>
          <w:rFonts w:cs="Times New Roman"/>
          <w:i/>
          <w:iCs/>
          <w:szCs w:val="24"/>
        </w:rPr>
        <w:t xml:space="preserve"> </w:t>
      </w:r>
      <w:r w:rsidRPr="00951E87">
        <w:rPr>
          <w:rFonts w:cs="Times New Roman"/>
          <w:szCs w:val="24"/>
        </w:rPr>
        <w:t xml:space="preserve">(8 August 1701); </w:t>
      </w:r>
      <w:proofErr w:type="spellStart"/>
      <w:r w:rsidRPr="00951E87">
        <w:rPr>
          <w:rFonts w:cs="Times New Roman"/>
          <w:szCs w:val="24"/>
        </w:rPr>
        <w:t>Dutens</w:t>
      </w:r>
      <w:proofErr w:type="spellEnd"/>
      <w:r w:rsidRPr="00951E87">
        <w:rPr>
          <w:rFonts w:cs="Times New Roman"/>
          <w:szCs w:val="24"/>
        </w:rPr>
        <w:t xml:space="preserve"> V, 146: even in human affairs we do not always need </w:t>
      </w:r>
      <w:r w:rsidRPr="00951E87">
        <w:rPr>
          <w:rFonts w:cs="Times New Roman"/>
          <w:i/>
          <w:iCs/>
          <w:szCs w:val="24"/>
        </w:rPr>
        <w:t xml:space="preserve">evidence in Things </w:t>
      </w:r>
      <w:r w:rsidRPr="00951E87">
        <w:rPr>
          <w:rFonts w:cs="Times New Roman"/>
          <w:iCs/>
          <w:szCs w:val="24"/>
        </w:rPr>
        <w:t>...</w:t>
      </w:r>
      <w:r w:rsidRPr="00951E87">
        <w:rPr>
          <w:rFonts w:cs="Times New Roman"/>
          <w:szCs w:val="24"/>
        </w:rPr>
        <w:t xml:space="preserve">, provided it exists </w:t>
      </w:r>
      <w:r w:rsidRPr="00951E87">
        <w:rPr>
          <w:rFonts w:cs="Times New Roman"/>
          <w:i/>
          <w:iCs/>
          <w:szCs w:val="24"/>
        </w:rPr>
        <w:t xml:space="preserve">in persons, </w:t>
      </w:r>
      <w:r w:rsidRPr="00951E87">
        <w:rPr>
          <w:rFonts w:cs="Times New Roman"/>
          <w:szCs w:val="24"/>
        </w:rPr>
        <w:t>so that it is made sure by trust in them”. I discuss this text in “</w:t>
      </w:r>
      <w:r w:rsidRPr="00951E87">
        <w:rPr>
          <w:rFonts w:cs="Times New Roman"/>
          <w:spacing w:val="-3"/>
          <w:szCs w:val="24"/>
        </w:rPr>
        <w:t xml:space="preserve">Natural and Supernatural Mysteries: Leibniz’s </w:t>
      </w:r>
      <w:proofErr w:type="spellStart"/>
      <w:r w:rsidRPr="00951E87">
        <w:rPr>
          <w:rFonts w:cs="Times New Roman"/>
          <w:i/>
          <w:spacing w:val="-3"/>
          <w:szCs w:val="24"/>
        </w:rPr>
        <w:t>Annotatiunculae</w:t>
      </w:r>
      <w:proofErr w:type="spellEnd"/>
      <w:r w:rsidRPr="00951E87">
        <w:rPr>
          <w:rFonts w:cs="Times New Roman"/>
          <w:i/>
          <w:spacing w:val="-3"/>
          <w:szCs w:val="24"/>
        </w:rPr>
        <w:t xml:space="preserve"> </w:t>
      </w:r>
      <w:proofErr w:type="spellStart"/>
      <w:r w:rsidRPr="00951E87">
        <w:rPr>
          <w:rFonts w:cs="Times New Roman"/>
          <w:i/>
          <w:spacing w:val="-3"/>
          <w:szCs w:val="24"/>
        </w:rPr>
        <w:t>subitaneae</w:t>
      </w:r>
      <w:proofErr w:type="spellEnd"/>
      <w:r w:rsidRPr="00951E87">
        <w:rPr>
          <w:rFonts w:cs="Times New Roman"/>
          <w:spacing w:val="-3"/>
          <w:szCs w:val="24"/>
        </w:rPr>
        <w:t xml:space="preserve"> on </w:t>
      </w:r>
      <w:proofErr w:type="spellStart"/>
      <w:r w:rsidRPr="00951E87">
        <w:rPr>
          <w:rFonts w:cs="Times New Roman"/>
          <w:spacing w:val="-3"/>
          <w:szCs w:val="24"/>
        </w:rPr>
        <w:t>Toland’s</w:t>
      </w:r>
      <w:proofErr w:type="spellEnd"/>
      <w:r w:rsidRPr="00951E87">
        <w:rPr>
          <w:rFonts w:cs="Times New Roman"/>
          <w:spacing w:val="-3"/>
          <w:szCs w:val="24"/>
        </w:rPr>
        <w:t xml:space="preserve"> </w:t>
      </w:r>
      <w:r w:rsidRPr="00951E87">
        <w:rPr>
          <w:rFonts w:cs="Times New Roman"/>
          <w:i/>
          <w:spacing w:val="-3"/>
          <w:szCs w:val="24"/>
        </w:rPr>
        <w:t>Christianity not Mysterious</w:t>
      </w:r>
      <w:r w:rsidRPr="00951E87">
        <w:rPr>
          <w:rFonts w:cs="Times New Roman"/>
          <w:spacing w:val="-3"/>
          <w:szCs w:val="24"/>
        </w:rPr>
        <w:t xml:space="preserve">”, in: Winfried </w:t>
      </w:r>
      <w:proofErr w:type="spellStart"/>
      <w:r w:rsidRPr="00951E87">
        <w:rPr>
          <w:rFonts w:cs="Times New Roman"/>
          <w:spacing w:val="-3"/>
          <w:szCs w:val="24"/>
        </w:rPr>
        <w:t>Schröder</w:t>
      </w:r>
      <w:proofErr w:type="spellEnd"/>
      <w:r w:rsidRPr="00951E87">
        <w:rPr>
          <w:rFonts w:cs="Times New Roman"/>
          <w:i/>
          <w:spacing w:val="-3"/>
          <w:szCs w:val="24"/>
        </w:rPr>
        <w:t xml:space="preserve"> </w:t>
      </w:r>
      <w:r w:rsidRPr="00951E87">
        <w:rPr>
          <w:rFonts w:cs="Times New Roman"/>
          <w:spacing w:val="-3"/>
          <w:szCs w:val="24"/>
        </w:rPr>
        <w:t xml:space="preserve">(ed.), </w:t>
      </w:r>
      <w:r w:rsidRPr="00951E87">
        <w:rPr>
          <w:rFonts w:cs="Times New Roman"/>
          <w:i/>
          <w:spacing w:val="-3"/>
          <w:szCs w:val="24"/>
        </w:rPr>
        <w:t>Gestalten des</w:t>
      </w:r>
      <w:r w:rsidRPr="00951E87">
        <w:rPr>
          <w:rFonts w:cs="Times New Roman"/>
          <w:spacing w:val="-3"/>
          <w:szCs w:val="24"/>
        </w:rPr>
        <w:t xml:space="preserve"> </w:t>
      </w:r>
      <w:proofErr w:type="spellStart"/>
      <w:r w:rsidRPr="00951E87">
        <w:rPr>
          <w:rFonts w:cs="Times New Roman"/>
          <w:i/>
          <w:spacing w:val="-3"/>
          <w:szCs w:val="24"/>
        </w:rPr>
        <w:t>Deismus</w:t>
      </w:r>
      <w:proofErr w:type="spellEnd"/>
      <w:r w:rsidRPr="00951E87">
        <w:rPr>
          <w:rFonts w:cs="Times New Roman"/>
          <w:i/>
          <w:spacing w:val="-3"/>
          <w:szCs w:val="24"/>
        </w:rPr>
        <w:t xml:space="preserve"> in Europa</w:t>
      </w:r>
      <w:r w:rsidRPr="00951E87">
        <w:rPr>
          <w:rFonts w:cs="Times New Roman"/>
          <w:spacing w:val="-3"/>
          <w:szCs w:val="24"/>
        </w:rPr>
        <w:t>, Wiesbaden 2013, pp. 29-40.</w:t>
      </w:r>
    </w:p>
  </w:footnote>
  <w:footnote w:id="57">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Leibniz acknowledged, on the one hand, that without recourse to tradition the doctrine of the Trinity could at best be regarded as probable according to the text (A VI, 1, 552–553 quoted above). On the other hand, in his view, the doctrine of the Trinity was overwhelmingly supported by the ecclesiastical tradition (see </w:t>
      </w:r>
      <w:proofErr w:type="spellStart"/>
      <w:r w:rsidRPr="00951E87">
        <w:rPr>
          <w:rFonts w:cs="Times New Roman"/>
          <w:i/>
          <w:szCs w:val="24"/>
        </w:rPr>
        <w:t>Defensio</w:t>
      </w:r>
      <w:proofErr w:type="spellEnd"/>
      <w:r w:rsidRPr="00951E87">
        <w:rPr>
          <w:rFonts w:cs="Times New Roman"/>
          <w:i/>
          <w:szCs w:val="24"/>
        </w:rPr>
        <w:t xml:space="preserve"> </w:t>
      </w:r>
      <w:proofErr w:type="spellStart"/>
      <w:r w:rsidRPr="00951E87">
        <w:rPr>
          <w:rFonts w:cs="Times New Roman"/>
          <w:i/>
          <w:szCs w:val="24"/>
        </w:rPr>
        <w:t>Trinitatis</w:t>
      </w:r>
      <w:proofErr w:type="spellEnd"/>
      <w:r w:rsidRPr="00951E87">
        <w:rPr>
          <w:rFonts w:cs="Times New Roman"/>
          <w:szCs w:val="24"/>
        </w:rPr>
        <w:t>, spring 1669* (A VI, 1, 530): “</w:t>
      </w:r>
      <w:proofErr w:type="spellStart"/>
      <w:r w:rsidRPr="00951E87">
        <w:rPr>
          <w:rFonts w:cs="Times New Roman"/>
          <w:szCs w:val="24"/>
        </w:rPr>
        <w:t>sententiam</w:t>
      </w:r>
      <w:proofErr w:type="spellEnd"/>
      <w:r w:rsidRPr="00951E87">
        <w:rPr>
          <w:rFonts w:cs="Times New Roman"/>
          <w:szCs w:val="24"/>
        </w:rPr>
        <w:t xml:space="preserve"> </w:t>
      </w:r>
      <w:proofErr w:type="spellStart"/>
      <w:r w:rsidRPr="00951E87">
        <w:rPr>
          <w:rFonts w:cs="Times New Roman"/>
          <w:szCs w:val="24"/>
        </w:rPr>
        <w:t>Orbi</w:t>
      </w:r>
      <w:proofErr w:type="spellEnd"/>
      <w:r w:rsidRPr="00951E87">
        <w:rPr>
          <w:rFonts w:cs="Times New Roman"/>
          <w:szCs w:val="24"/>
        </w:rPr>
        <w:t xml:space="preserve"> </w:t>
      </w:r>
      <w:proofErr w:type="spellStart"/>
      <w:r w:rsidRPr="00951E87">
        <w:rPr>
          <w:rFonts w:cs="Times New Roman"/>
          <w:szCs w:val="24"/>
        </w:rPr>
        <w:t>Christiano</w:t>
      </w:r>
      <w:proofErr w:type="spellEnd"/>
      <w:r w:rsidRPr="00951E87">
        <w:rPr>
          <w:rFonts w:cs="Times New Roman"/>
          <w:szCs w:val="24"/>
        </w:rPr>
        <w:t xml:space="preserve"> tot </w:t>
      </w:r>
      <w:proofErr w:type="spellStart"/>
      <w:r w:rsidRPr="00951E87">
        <w:rPr>
          <w:rFonts w:cs="Times New Roman"/>
          <w:szCs w:val="24"/>
        </w:rPr>
        <w:t>seculis</w:t>
      </w:r>
      <w:proofErr w:type="spellEnd"/>
      <w:r w:rsidRPr="00951E87">
        <w:rPr>
          <w:rFonts w:cs="Times New Roman"/>
          <w:szCs w:val="24"/>
        </w:rPr>
        <w:t xml:space="preserve"> </w:t>
      </w:r>
      <w:proofErr w:type="spellStart"/>
      <w:r w:rsidRPr="00951E87">
        <w:rPr>
          <w:rFonts w:cs="Times New Roman"/>
          <w:szCs w:val="24"/>
        </w:rPr>
        <w:t>receptam</w:t>
      </w:r>
      <w:proofErr w:type="spellEnd"/>
      <w:r w:rsidRPr="00951E87">
        <w:rPr>
          <w:rFonts w:cs="Times New Roman"/>
          <w:szCs w:val="24"/>
        </w:rPr>
        <w:t xml:space="preserve">”). See </w:t>
      </w:r>
      <w:r w:rsidRPr="00951E87">
        <w:rPr>
          <w:rFonts w:cs="Times New Roman"/>
          <w:i/>
          <w:iCs/>
          <w:szCs w:val="24"/>
        </w:rPr>
        <w:t xml:space="preserve">De Scriptura, Ecclesia, </w:t>
      </w:r>
      <w:proofErr w:type="spellStart"/>
      <w:r w:rsidRPr="00951E87">
        <w:rPr>
          <w:rFonts w:cs="Times New Roman"/>
          <w:i/>
          <w:iCs/>
          <w:szCs w:val="24"/>
        </w:rPr>
        <w:t>Trinitate</w:t>
      </w:r>
      <w:proofErr w:type="spellEnd"/>
      <w:r w:rsidRPr="00951E87">
        <w:rPr>
          <w:rFonts w:cs="Times New Roman"/>
          <w:i/>
          <w:iCs/>
          <w:szCs w:val="24"/>
        </w:rPr>
        <w:t xml:space="preserve">, </w:t>
      </w:r>
      <w:r w:rsidRPr="00951E87">
        <w:rPr>
          <w:rFonts w:cs="Times New Roman"/>
          <w:szCs w:val="24"/>
        </w:rPr>
        <w:t xml:space="preserve">1680–1684* (A VI, 4, 2288–2289; VE, 433): “I am afraid that we cannot satisfactorily evince the Holy Trinity from scriptures, without invoking the tradition, yet it is given much more clearly by joining Scripture with tradition. It is nonetheless certain that the Holy Scripture is much more in </w:t>
      </w:r>
      <w:proofErr w:type="spellStart"/>
      <w:r w:rsidRPr="00951E87">
        <w:rPr>
          <w:rFonts w:cs="Times New Roman"/>
          <w:szCs w:val="24"/>
        </w:rPr>
        <w:t>favor</w:t>
      </w:r>
      <w:proofErr w:type="spellEnd"/>
      <w:r w:rsidRPr="00951E87">
        <w:rPr>
          <w:rFonts w:cs="Times New Roman"/>
          <w:szCs w:val="24"/>
        </w:rPr>
        <w:t xml:space="preserve"> of the Trinity and is sometimes violently twisted by the </w:t>
      </w:r>
      <w:proofErr w:type="spellStart"/>
      <w:r w:rsidRPr="00951E87">
        <w:rPr>
          <w:rFonts w:cs="Times New Roman"/>
          <w:szCs w:val="24"/>
        </w:rPr>
        <w:t>Antitrinitarians</w:t>
      </w:r>
      <w:proofErr w:type="spellEnd"/>
      <w:r w:rsidRPr="00951E87">
        <w:rPr>
          <w:rFonts w:cs="Times New Roman"/>
          <w:szCs w:val="24"/>
        </w:rPr>
        <w:t>”; Leibniz to Ernst von Hessen-</w:t>
      </w:r>
      <w:proofErr w:type="spellStart"/>
      <w:r w:rsidRPr="00951E87">
        <w:rPr>
          <w:rFonts w:cs="Times New Roman"/>
          <w:szCs w:val="24"/>
        </w:rPr>
        <w:t>Rheinfels</w:t>
      </w:r>
      <w:proofErr w:type="spellEnd"/>
      <w:r w:rsidRPr="00951E87">
        <w:rPr>
          <w:rFonts w:cs="Times New Roman"/>
          <w:szCs w:val="24"/>
        </w:rPr>
        <w:t xml:space="preserve">, 4/14 August 1683 (A I, 3, 318): “It is true, as V. A. remarks, together with many able Controversialists, that it is difficult to refute the </w:t>
      </w:r>
      <w:proofErr w:type="spellStart"/>
      <w:r w:rsidRPr="00951E87">
        <w:rPr>
          <w:rFonts w:cs="Times New Roman"/>
          <w:szCs w:val="24"/>
        </w:rPr>
        <w:t>Socinians</w:t>
      </w:r>
      <w:proofErr w:type="spellEnd"/>
      <w:r w:rsidRPr="00951E87">
        <w:rPr>
          <w:rFonts w:cs="Times New Roman"/>
          <w:szCs w:val="24"/>
        </w:rPr>
        <w:t xml:space="preserve"> with only the passages of the Holy Scripture. . . . As for the rest, the replies of the </w:t>
      </w:r>
      <w:proofErr w:type="spellStart"/>
      <w:r w:rsidRPr="00951E87">
        <w:rPr>
          <w:rFonts w:cs="Times New Roman"/>
          <w:szCs w:val="24"/>
        </w:rPr>
        <w:t>Socinians</w:t>
      </w:r>
      <w:proofErr w:type="spellEnd"/>
      <w:r w:rsidRPr="00951E87">
        <w:rPr>
          <w:rFonts w:cs="Times New Roman"/>
          <w:szCs w:val="24"/>
        </w:rPr>
        <w:t xml:space="preserve"> to certain passages of the Holy Scripture, especially to the beginning of the Gospel of St. John, seem to me forced”; </w:t>
      </w:r>
      <w:r w:rsidRPr="00951E87">
        <w:rPr>
          <w:rFonts w:cs="Times New Roman"/>
          <w:color w:val="000000"/>
          <w:szCs w:val="24"/>
        </w:rPr>
        <w:t xml:space="preserve">A VI, 4, 2292–2293: “The </w:t>
      </w:r>
      <w:proofErr w:type="spellStart"/>
      <w:r w:rsidRPr="00951E87">
        <w:rPr>
          <w:rFonts w:cs="Times New Roman"/>
          <w:color w:val="000000"/>
          <w:szCs w:val="24"/>
        </w:rPr>
        <w:t>Antitrinitarians</w:t>
      </w:r>
      <w:proofErr w:type="spellEnd"/>
      <w:r w:rsidRPr="00951E87">
        <w:rPr>
          <w:rFonts w:cs="Times New Roman"/>
          <w:color w:val="000000"/>
          <w:szCs w:val="24"/>
        </w:rPr>
        <w:t xml:space="preserve"> … are </w:t>
      </w:r>
      <w:r w:rsidRPr="00951E87">
        <w:rPr>
          <w:rFonts w:cs="Times New Roman"/>
          <w:szCs w:val="24"/>
        </w:rPr>
        <w:t>compelled to force the words of the holy Scripture by a very constrained interpretation, and to stray from the old traditions of the Church”.</w:t>
      </w:r>
    </w:p>
  </w:footnote>
  <w:footnote w:id="58">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spellStart"/>
      <w:proofErr w:type="gramStart"/>
      <w:r w:rsidRPr="00951E87">
        <w:rPr>
          <w:rFonts w:cs="Times New Roman"/>
          <w:i/>
          <w:iCs/>
          <w:szCs w:val="24"/>
        </w:rPr>
        <w:t>Annotatiunculae</w:t>
      </w:r>
      <w:proofErr w:type="spellEnd"/>
      <w:r w:rsidRPr="00951E87">
        <w:rPr>
          <w:rFonts w:cs="Times New Roman"/>
          <w:i/>
          <w:iCs/>
          <w:szCs w:val="24"/>
        </w:rPr>
        <w:t xml:space="preserve"> </w:t>
      </w:r>
      <w:proofErr w:type="spellStart"/>
      <w:r w:rsidRPr="00951E87">
        <w:rPr>
          <w:rFonts w:cs="Times New Roman"/>
          <w:i/>
          <w:iCs/>
          <w:szCs w:val="24"/>
        </w:rPr>
        <w:t>Subitaneae</w:t>
      </w:r>
      <w:proofErr w:type="spellEnd"/>
      <w:r w:rsidRPr="00951E87">
        <w:rPr>
          <w:rFonts w:cs="Times New Roman"/>
          <w:iCs/>
          <w:szCs w:val="24"/>
        </w:rPr>
        <w:t>;</w:t>
      </w:r>
      <w:r w:rsidRPr="00951E87">
        <w:rPr>
          <w:rFonts w:cs="Times New Roman"/>
          <w:i/>
          <w:iCs/>
          <w:szCs w:val="24"/>
        </w:rPr>
        <w:t xml:space="preserve"> </w:t>
      </w:r>
      <w:proofErr w:type="spellStart"/>
      <w:r w:rsidRPr="00951E87">
        <w:rPr>
          <w:rFonts w:cs="Times New Roman"/>
          <w:szCs w:val="24"/>
        </w:rPr>
        <w:t>Dutens</w:t>
      </w:r>
      <w:proofErr w:type="spellEnd"/>
      <w:r w:rsidRPr="00951E87">
        <w:rPr>
          <w:rFonts w:cs="Times New Roman"/>
          <w:szCs w:val="24"/>
        </w:rPr>
        <w:t xml:space="preserve"> V, 145.</w:t>
      </w:r>
      <w:proofErr w:type="gramEnd"/>
      <w:r w:rsidRPr="00951E87">
        <w:rPr>
          <w:rFonts w:cs="Times New Roman"/>
          <w:szCs w:val="24"/>
        </w:rPr>
        <w:t xml:space="preserve"> See also Leibniz to Lorenz </w:t>
      </w:r>
      <w:proofErr w:type="spellStart"/>
      <w:r w:rsidRPr="00951E87">
        <w:rPr>
          <w:rFonts w:cs="Times New Roman"/>
          <w:szCs w:val="24"/>
        </w:rPr>
        <w:t>Hertel</w:t>
      </w:r>
      <w:proofErr w:type="spellEnd"/>
      <w:r w:rsidRPr="00951E87">
        <w:rPr>
          <w:rFonts w:cs="Times New Roman"/>
          <w:szCs w:val="24"/>
        </w:rPr>
        <w:t>, cited below in footnote 7</w:t>
      </w:r>
      <w:r>
        <w:rPr>
          <w:rFonts w:cs="Times New Roman"/>
          <w:szCs w:val="24"/>
        </w:rPr>
        <w:t>9</w:t>
      </w:r>
      <w:r w:rsidRPr="00951E87">
        <w:rPr>
          <w:rFonts w:cs="Times New Roman"/>
          <w:szCs w:val="24"/>
        </w:rPr>
        <w:t>.</w:t>
      </w:r>
    </w:p>
  </w:footnote>
  <w:footnote w:id="59">
    <w:p w:rsidR="003D40D7" w:rsidRPr="00951E87" w:rsidRDefault="003D40D7" w:rsidP="0082307E">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w:t>
      </w:r>
      <w:proofErr w:type="spellStart"/>
      <w:proofErr w:type="gramStart"/>
      <w:r w:rsidRPr="00951E87">
        <w:rPr>
          <w:rFonts w:cs="Times New Roman"/>
          <w:i/>
          <w:iCs/>
          <w:szCs w:val="24"/>
        </w:rPr>
        <w:t>Positiones</w:t>
      </w:r>
      <w:proofErr w:type="spellEnd"/>
      <w:r w:rsidRPr="00951E87">
        <w:rPr>
          <w:rFonts w:cs="Times New Roman"/>
          <w:iCs/>
          <w:szCs w:val="24"/>
        </w:rPr>
        <w:t xml:space="preserve">, </w:t>
      </w:r>
      <w:r w:rsidRPr="00951E87">
        <w:rPr>
          <w:rFonts w:cs="Times New Roman"/>
          <w:szCs w:val="24"/>
        </w:rPr>
        <w:t>autumn 1685–February 1686* (A VI, 4, 2352).</w:t>
      </w:r>
      <w:proofErr w:type="gramEnd"/>
    </w:p>
  </w:footnote>
  <w:footnote w:id="60">
    <w:p w:rsidR="003D40D7" w:rsidRPr="00573F32" w:rsidRDefault="003D40D7" w:rsidP="006A5A1A">
      <w:pPr>
        <w:pStyle w:val="FootnoteText"/>
        <w:spacing w:line="360" w:lineRule="auto"/>
        <w:rPr>
          <w:sz w:val="24"/>
          <w:szCs w:val="24"/>
        </w:rPr>
      </w:pPr>
      <w:r w:rsidRPr="00573F32">
        <w:rPr>
          <w:rStyle w:val="FootnoteReference"/>
          <w:sz w:val="24"/>
          <w:szCs w:val="24"/>
        </w:rPr>
        <w:footnoteRef/>
      </w:r>
      <w:r w:rsidRPr="00573F32">
        <w:rPr>
          <w:sz w:val="24"/>
          <w:szCs w:val="24"/>
        </w:rPr>
        <w:t xml:space="preserve"> </w:t>
      </w:r>
      <w:proofErr w:type="gramStart"/>
      <w:r w:rsidRPr="00573F32">
        <w:rPr>
          <w:rFonts w:cs="Times New Roman"/>
          <w:i/>
          <w:iCs/>
          <w:sz w:val="24"/>
          <w:szCs w:val="24"/>
        </w:rPr>
        <w:t xml:space="preserve">De </w:t>
      </w:r>
      <w:proofErr w:type="spellStart"/>
      <w:r w:rsidRPr="00573F32">
        <w:rPr>
          <w:rFonts w:cs="Times New Roman"/>
          <w:i/>
          <w:iCs/>
          <w:sz w:val="24"/>
          <w:szCs w:val="24"/>
        </w:rPr>
        <w:t>Schismate</w:t>
      </w:r>
      <w:proofErr w:type="spellEnd"/>
      <w:r w:rsidRPr="00573F32">
        <w:rPr>
          <w:rFonts w:cs="Times New Roman"/>
          <w:i/>
          <w:iCs/>
          <w:sz w:val="24"/>
          <w:szCs w:val="24"/>
        </w:rPr>
        <w:t xml:space="preserve">, </w:t>
      </w:r>
      <w:r w:rsidRPr="00573F32">
        <w:rPr>
          <w:rFonts w:cs="Times New Roman"/>
          <w:sz w:val="24"/>
          <w:szCs w:val="24"/>
        </w:rPr>
        <w:t>second half of 1683; A IV, 3, 236–237.</w:t>
      </w:r>
      <w:proofErr w:type="gramEnd"/>
    </w:p>
  </w:footnote>
  <w:footnote w:id="61">
    <w:p w:rsidR="003D40D7" w:rsidRPr="00951E87" w:rsidRDefault="003D40D7" w:rsidP="006A5A1A">
      <w:pPr>
        <w:autoSpaceDE w:val="0"/>
        <w:autoSpaceDN w:val="0"/>
        <w:adjustRightInd w:val="0"/>
        <w:spacing w:line="360" w:lineRule="auto"/>
        <w:rPr>
          <w:rFonts w:cs="Times New Roman"/>
          <w:szCs w:val="24"/>
        </w:rPr>
      </w:pPr>
      <w:r w:rsidRPr="00573F32">
        <w:rPr>
          <w:rStyle w:val="FootnoteReference"/>
          <w:rFonts w:cs="Times New Roman"/>
          <w:szCs w:val="24"/>
        </w:rPr>
        <w:footnoteRef/>
      </w:r>
      <w:r w:rsidRPr="00573F32">
        <w:rPr>
          <w:rFonts w:cs="Times New Roman"/>
          <w:szCs w:val="24"/>
        </w:rPr>
        <w:t xml:space="preserve"> See </w:t>
      </w:r>
      <w:proofErr w:type="spellStart"/>
      <w:r w:rsidRPr="00573F32">
        <w:rPr>
          <w:rFonts w:cs="Times New Roman"/>
          <w:i/>
          <w:iCs/>
          <w:szCs w:val="24"/>
        </w:rPr>
        <w:t>Positiones</w:t>
      </w:r>
      <w:proofErr w:type="spellEnd"/>
      <w:r w:rsidRPr="00573F32">
        <w:rPr>
          <w:rFonts w:cs="Times New Roman"/>
          <w:i/>
          <w:iCs/>
          <w:szCs w:val="24"/>
        </w:rPr>
        <w:t xml:space="preserve"> </w:t>
      </w:r>
      <w:r w:rsidRPr="00573F32">
        <w:rPr>
          <w:rFonts w:cs="Times New Roman"/>
          <w:szCs w:val="24"/>
        </w:rPr>
        <w:t>(A VI</w:t>
      </w:r>
      <w:r w:rsidRPr="00951E87">
        <w:rPr>
          <w:rFonts w:cs="Times New Roman"/>
          <w:szCs w:val="24"/>
        </w:rPr>
        <w:t xml:space="preserve">, 4, 2352); </w:t>
      </w:r>
      <w:r w:rsidRPr="00951E87">
        <w:rPr>
          <w:rFonts w:cs="Times New Roman"/>
          <w:i/>
          <w:iCs/>
          <w:szCs w:val="24"/>
        </w:rPr>
        <w:t xml:space="preserve">De </w:t>
      </w:r>
      <w:proofErr w:type="spellStart"/>
      <w:r w:rsidRPr="00951E87">
        <w:rPr>
          <w:rFonts w:cs="Times New Roman"/>
          <w:i/>
          <w:iCs/>
          <w:szCs w:val="24"/>
        </w:rPr>
        <w:t>Unitate</w:t>
      </w:r>
      <w:proofErr w:type="spellEnd"/>
      <w:r w:rsidRPr="00951E87">
        <w:rPr>
          <w:rFonts w:cs="Times New Roman"/>
          <w:i/>
          <w:iCs/>
          <w:szCs w:val="24"/>
        </w:rPr>
        <w:t xml:space="preserve"> Ecclesiae </w:t>
      </w:r>
      <w:r w:rsidRPr="00951E87">
        <w:rPr>
          <w:rFonts w:cs="Times New Roman"/>
          <w:szCs w:val="24"/>
        </w:rPr>
        <w:t>(A IV, 3, 220–221); Leibniz to Ernst von Hessen-</w:t>
      </w:r>
      <w:proofErr w:type="spellStart"/>
      <w:r w:rsidRPr="00951E87">
        <w:rPr>
          <w:rFonts w:cs="Times New Roman"/>
          <w:szCs w:val="24"/>
        </w:rPr>
        <w:t>Rheinfels</w:t>
      </w:r>
      <w:proofErr w:type="spellEnd"/>
      <w:r w:rsidRPr="00951E87">
        <w:rPr>
          <w:rFonts w:cs="Times New Roman"/>
          <w:szCs w:val="24"/>
        </w:rPr>
        <w:t xml:space="preserve"> (4/14 August 1683; A I, 3, 318); Leibniz’s annotations of 1691 to his copy of the fourth part of Paul </w:t>
      </w:r>
      <w:proofErr w:type="spellStart"/>
      <w:r w:rsidRPr="00951E87">
        <w:rPr>
          <w:rFonts w:cs="Times New Roman"/>
          <w:szCs w:val="24"/>
        </w:rPr>
        <w:t>Pellisson-Fontanier’s</w:t>
      </w:r>
      <w:proofErr w:type="spellEnd"/>
      <w:r w:rsidRPr="00951E87">
        <w:rPr>
          <w:rFonts w:cs="Times New Roman"/>
          <w:szCs w:val="24"/>
        </w:rPr>
        <w:t xml:space="preserve"> </w:t>
      </w:r>
      <w:r w:rsidRPr="00951E87">
        <w:rPr>
          <w:rFonts w:cs="Times New Roman"/>
          <w:i/>
          <w:szCs w:val="24"/>
        </w:rPr>
        <w:t xml:space="preserve">Reflexions </w:t>
      </w:r>
      <w:proofErr w:type="spellStart"/>
      <w:r w:rsidRPr="00951E87">
        <w:rPr>
          <w:rFonts w:cs="Times New Roman"/>
          <w:i/>
          <w:szCs w:val="24"/>
        </w:rPr>
        <w:t>sur</w:t>
      </w:r>
      <w:proofErr w:type="spellEnd"/>
      <w:r w:rsidRPr="00951E87">
        <w:rPr>
          <w:rFonts w:cs="Times New Roman"/>
          <w:i/>
          <w:szCs w:val="24"/>
        </w:rPr>
        <w:t xml:space="preserve"> les </w:t>
      </w:r>
      <w:proofErr w:type="spellStart"/>
      <w:r w:rsidRPr="00951E87">
        <w:rPr>
          <w:rFonts w:cs="Times New Roman"/>
          <w:i/>
          <w:szCs w:val="24"/>
        </w:rPr>
        <w:t>différends</w:t>
      </w:r>
      <w:proofErr w:type="spellEnd"/>
      <w:r w:rsidRPr="00951E87">
        <w:rPr>
          <w:rFonts w:cs="Times New Roman"/>
          <w:i/>
          <w:szCs w:val="24"/>
        </w:rPr>
        <w:t xml:space="preserve"> de la religion</w:t>
      </w:r>
      <w:r w:rsidRPr="00951E87">
        <w:rPr>
          <w:rFonts w:cs="Times New Roman"/>
          <w:szCs w:val="24"/>
        </w:rPr>
        <w:t xml:space="preserve"> (A I, 6, 142).</w:t>
      </w:r>
    </w:p>
  </w:footnote>
  <w:footnote w:id="62">
    <w:p w:rsidR="003D40D7" w:rsidRPr="00951E87" w:rsidRDefault="003D40D7" w:rsidP="00BD7FD9">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spellStart"/>
      <w:r w:rsidRPr="00951E87">
        <w:rPr>
          <w:rFonts w:cs="Times New Roman"/>
          <w:sz w:val="24"/>
          <w:szCs w:val="24"/>
        </w:rPr>
        <w:t>Grua</w:t>
      </w:r>
      <w:proofErr w:type="spellEnd"/>
      <w:r w:rsidRPr="00951E87">
        <w:rPr>
          <w:rFonts w:cs="Times New Roman"/>
          <w:sz w:val="24"/>
          <w:szCs w:val="24"/>
        </w:rPr>
        <w:t xml:space="preserve"> 161; on Leibniz’s commitment to a theology of love see Adams, “Leibniz’s Examination of the Christian Religion,” pp. 526–36.</w:t>
      </w:r>
    </w:p>
  </w:footnote>
  <w:footnote w:id="63">
    <w:p w:rsidR="003D40D7" w:rsidRPr="00951E87" w:rsidRDefault="003D40D7" w:rsidP="00BD7FD9">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my “Leibniz’s doctrine of tolerati</w:t>
      </w:r>
      <w:r>
        <w:rPr>
          <w:rFonts w:cs="Times New Roman"/>
          <w:sz w:val="24"/>
          <w:szCs w:val="24"/>
        </w:rPr>
        <w:t>on”, from which I am drawing in</w:t>
      </w:r>
      <w:r w:rsidRPr="00951E87">
        <w:rPr>
          <w:rFonts w:cs="Times New Roman"/>
          <w:sz w:val="24"/>
          <w:szCs w:val="24"/>
        </w:rPr>
        <w:t xml:space="preserve"> this section.</w:t>
      </w:r>
    </w:p>
  </w:footnote>
  <w:footnote w:id="64">
    <w:p w:rsidR="003D40D7" w:rsidRPr="00951E87" w:rsidRDefault="003D40D7" w:rsidP="00BD7FD9">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 6, 107-8. It should be noted that Leibniz seems to have, if not embraced, at least not denied the doctrine of eternal damnation precisely for pragmatic reasons, that is, due to its ecclesiastical tradition and its possible contribution to preventing people from sinning (see Adams, “Justice, Happiness, and Perfection in Leibniz’s City of God”, esp. pp. 216-2</w:t>
      </w:r>
      <w:r>
        <w:rPr>
          <w:rFonts w:cs="Times New Roman"/>
          <w:sz w:val="24"/>
          <w:szCs w:val="24"/>
        </w:rPr>
        <w:t>17). In any case, the emphasis i</w:t>
      </w:r>
      <w:r w:rsidRPr="00951E87">
        <w:rPr>
          <w:rFonts w:cs="Times New Roman"/>
          <w:sz w:val="24"/>
          <w:szCs w:val="24"/>
        </w:rPr>
        <w:t xml:space="preserve">n the passage quoted above is on the </w:t>
      </w:r>
      <w:r w:rsidRPr="00951E87">
        <w:rPr>
          <w:rFonts w:cs="Times New Roman"/>
          <w:i/>
          <w:sz w:val="24"/>
          <w:szCs w:val="24"/>
        </w:rPr>
        <w:t>innocence</w:t>
      </w:r>
      <w:r w:rsidRPr="00951E87">
        <w:rPr>
          <w:rFonts w:cs="Times New Roman"/>
          <w:sz w:val="24"/>
          <w:szCs w:val="24"/>
        </w:rPr>
        <w:t xml:space="preserve"> of the people concerned. In this case, Leibniz seems to have no doubt that their eternal damnation should be rejected as against the love, goodness, and justice of God. </w:t>
      </w:r>
    </w:p>
  </w:footnote>
  <w:footnote w:id="65">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spellStart"/>
      <w:proofErr w:type="gramStart"/>
      <w:r w:rsidRPr="00951E87">
        <w:rPr>
          <w:rFonts w:cs="Times New Roman"/>
          <w:i/>
          <w:iCs/>
          <w:sz w:val="24"/>
          <w:szCs w:val="24"/>
        </w:rPr>
        <w:t>Lettre</w:t>
      </w:r>
      <w:proofErr w:type="spellEnd"/>
      <w:r w:rsidRPr="00951E87">
        <w:rPr>
          <w:rFonts w:cs="Times New Roman"/>
          <w:i/>
          <w:iCs/>
          <w:sz w:val="24"/>
          <w:szCs w:val="24"/>
        </w:rPr>
        <w:t xml:space="preserve"> de Monsieur de Leibniz à </w:t>
      </w:r>
      <w:proofErr w:type="spellStart"/>
      <w:r w:rsidRPr="00951E87">
        <w:rPr>
          <w:rFonts w:cs="Times New Roman"/>
          <w:i/>
          <w:iCs/>
          <w:sz w:val="24"/>
          <w:szCs w:val="24"/>
        </w:rPr>
        <w:t>l’auteur</w:t>
      </w:r>
      <w:proofErr w:type="spellEnd"/>
      <w:r w:rsidRPr="00951E87">
        <w:rPr>
          <w:rFonts w:cs="Times New Roman"/>
          <w:i/>
          <w:iCs/>
          <w:sz w:val="24"/>
          <w:szCs w:val="24"/>
        </w:rPr>
        <w:t xml:space="preserve"> des Reflexions </w:t>
      </w:r>
      <w:proofErr w:type="spellStart"/>
      <w:r w:rsidRPr="00951E87">
        <w:rPr>
          <w:rFonts w:cs="Times New Roman"/>
          <w:i/>
          <w:iCs/>
          <w:sz w:val="24"/>
          <w:szCs w:val="24"/>
        </w:rPr>
        <w:t>sur</w:t>
      </w:r>
      <w:proofErr w:type="spellEnd"/>
      <w:r w:rsidRPr="00951E87">
        <w:rPr>
          <w:rFonts w:cs="Times New Roman"/>
          <w:i/>
          <w:iCs/>
          <w:sz w:val="24"/>
          <w:szCs w:val="24"/>
        </w:rPr>
        <w:t xml:space="preserve"> </w:t>
      </w:r>
      <w:proofErr w:type="spellStart"/>
      <w:r w:rsidRPr="00951E87">
        <w:rPr>
          <w:rFonts w:cs="Times New Roman"/>
          <w:i/>
          <w:iCs/>
          <w:sz w:val="24"/>
          <w:szCs w:val="24"/>
        </w:rPr>
        <w:t>l’origine</w:t>
      </w:r>
      <w:proofErr w:type="spellEnd"/>
      <w:r w:rsidRPr="00951E87">
        <w:rPr>
          <w:rFonts w:cs="Times New Roman"/>
          <w:i/>
          <w:iCs/>
          <w:sz w:val="24"/>
          <w:szCs w:val="24"/>
        </w:rPr>
        <w:t xml:space="preserve"> du </w:t>
      </w:r>
      <w:proofErr w:type="spellStart"/>
      <w:r w:rsidRPr="00951E87">
        <w:rPr>
          <w:rFonts w:cs="Times New Roman"/>
          <w:i/>
          <w:iCs/>
          <w:sz w:val="24"/>
          <w:szCs w:val="24"/>
        </w:rPr>
        <w:t>Mahometisme</w:t>
      </w:r>
      <w:proofErr w:type="spellEnd"/>
      <w:r w:rsidRPr="00951E87">
        <w:rPr>
          <w:rFonts w:cs="Times New Roman"/>
          <w:sz w:val="24"/>
          <w:szCs w:val="24"/>
        </w:rPr>
        <w:t>, 2 December 1706 (</w:t>
      </w:r>
      <w:proofErr w:type="spellStart"/>
      <w:r w:rsidRPr="00951E87">
        <w:rPr>
          <w:rFonts w:cs="Times New Roman"/>
          <w:iCs/>
          <w:sz w:val="24"/>
          <w:szCs w:val="24"/>
        </w:rPr>
        <w:t>Dutens</w:t>
      </w:r>
      <w:proofErr w:type="spellEnd"/>
      <w:r w:rsidRPr="00951E87">
        <w:rPr>
          <w:rFonts w:cs="Times New Roman"/>
          <w:iCs/>
          <w:sz w:val="24"/>
          <w:szCs w:val="24"/>
        </w:rPr>
        <w:t xml:space="preserve"> </w:t>
      </w:r>
      <w:r w:rsidRPr="00951E87">
        <w:rPr>
          <w:rFonts w:cs="Times New Roman"/>
          <w:sz w:val="24"/>
          <w:szCs w:val="24"/>
        </w:rPr>
        <w:t>V, p. 483).</w:t>
      </w:r>
      <w:proofErr w:type="gramEnd"/>
    </w:p>
  </w:footnote>
  <w:footnote w:id="66">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Leibniz to Ernst von Hessen-</w:t>
      </w:r>
      <w:proofErr w:type="spellStart"/>
      <w:r w:rsidRPr="00951E87">
        <w:rPr>
          <w:rFonts w:cs="Times New Roman"/>
          <w:sz w:val="24"/>
          <w:szCs w:val="24"/>
        </w:rPr>
        <w:t>Rheinfels</w:t>
      </w:r>
      <w:proofErr w:type="spellEnd"/>
      <w:r w:rsidRPr="00951E87">
        <w:rPr>
          <w:rFonts w:cs="Times New Roman"/>
          <w:sz w:val="24"/>
          <w:szCs w:val="24"/>
        </w:rPr>
        <w:t xml:space="preserve">, 4/14 August 1683; A, II, 1, p. 535 “it is against natural right [droit </w:t>
      </w:r>
      <w:proofErr w:type="spellStart"/>
      <w:r w:rsidRPr="00951E87">
        <w:rPr>
          <w:rFonts w:cs="Times New Roman"/>
          <w:sz w:val="24"/>
          <w:szCs w:val="24"/>
        </w:rPr>
        <w:t>naturelle</w:t>
      </w:r>
      <w:proofErr w:type="spellEnd"/>
      <w:r w:rsidRPr="00951E87">
        <w:rPr>
          <w:rFonts w:cs="Times New Roman"/>
          <w:sz w:val="24"/>
          <w:szCs w:val="24"/>
        </w:rPr>
        <w:t xml:space="preserve">] to punish someone because he is of some opinion, no matter which, as opposed to punishing someone for some actions; </w:t>
      </w:r>
      <w:r w:rsidRPr="00951E87">
        <w:rPr>
          <w:rFonts w:cs="Times New Roman"/>
          <w:i/>
          <w:iCs/>
          <w:sz w:val="24"/>
          <w:szCs w:val="24"/>
        </w:rPr>
        <w:t>for the penalty for one who is mistaken is to be taught</w:t>
      </w:r>
      <w:r w:rsidRPr="00951E87">
        <w:rPr>
          <w:rFonts w:cs="Times New Roman"/>
          <w:sz w:val="24"/>
          <w:szCs w:val="24"/>
        </w:rPr>
        <w:t xml:space="preserve"> [</w:t>
      </w:r>
      <w:proofErr w:type="spellStart"/>
      <w:r w:rsidRPr="00951E87">
        <w:rPr>
          <w:rFonts w:cs="Times New Roman"/>
          <w:i/>
          <w:iCs/>
          <w:sz w:val="24"/>
          <w:szCs w:val="24"/>
        </w:rPr>
        <w:t>nam</w:t>
      </w:r>
      <w:proofErr w:type="spellEnd"/>
      <w:r w:rsidRPr="00951E87">
        <w:rPr>
          <w:rFonts w:cs="Times New Roman"/>
          <w:i/>
          <w:iCs/>
          <w:sz w:val="24"/>
          <w:szCs w:val="24"/>
        </w:rPr>
        <w:t xml:space="preserve"> </w:t>
      </w:r>
      <w:proofErr w:type="spellStart"/>
      <w:r w:rsidRPr="00951E87">
        <w:rPr>
          <w:rFonts w:cs="Times New Roman"/>
          <w:i/>
          <w:iCs/>
          <w:sz w:val="24"/>
          <w:szCs w:val="24"/>
        </w:rPr>
        <w:t>errantis</w:t>
      </w:r>
      <w:proofErr w:type="spellEnd"/>
      <w:r w:rsidRPr="00951E87">
        <w:rPr>
          <w:rFonts w:cs="Times New Roman"/>
          <w:i/>
          <w:iCs/>
          <w:sz w:val="24"/>
          <w:szCs w:val="24"/>
        </w:rPr>
        <w:t xml:space="preserve"> </w:t>
      </w:r>
      <w:proofErr w:type="spellStart"/>
      <w:r w:rsidRPr="00951E87">
        <w:rPr>
          <w:rFonts w:cs="Times New Roman"/>
          <w:i/>
          <w:iCs/>
          <w:sz w:val="24"/>
          <w:szCs w:val="24"/>
        </w:rPr>
        <w:t>poena</w:t>
      </w:r>
      <w:proofErr w:type="spellEnd"/>
      <w:r w:rsidRPr="00951E87">
        <w:rPr>
          <w:rFonts w:cs="Times New Roman"/>
          <w:i/>
          <w:iCs/>
          <w:sz w:val="24"/>
          <w:szCs w:val="24"/>
        </w:rPr>
        <w:t xml:space="preserve"> </w:t>
      </w:r>
      <w:proofErr w:type="spellStart"/>
      <w:r w:rsidRPr="00951E87">
        <w:rPr>
          <w:rFonts w:cs="Times New Roman"/>
          <w:i/>
          <w:iCs/>
          <w:sz w:val="24"/>
          <w:szCs w:val="24"/>
        </w:rPr>
        <w:t>est</w:t>
      </w:r>
      <w:proofErr w:type="spellEnd"/>
      <w:r w:rsidRPr="00951E87">
        <w:rPr>
          <w:rFonts w:cs="Times New Roman"/>
          <w:i/>
          <w:iCs/>
          <w:sz w:val="24"/>
          <w:szCs w:val="24"/>
        </w:rPr>
        <w:t xml:space="preserve"> </w:t>
      </w:r>
      <w:proofErr w:type="spellStart"/>
      <w:r w:rsidRPr="00951E87">
        <w:rPr>
          <w:rFonts w:cs="Times New Roman"/>
          <w:i/>
          <w:iCs/>
          <w:sz w:val="24"/>
          <w:szCs w:val="24"/>
        </w:rPr>
        <w:t>doceri</w:t>
      </w:r>
      <w:proofErr w:type="spellEnd"/>
      <w:r w:rsidRPr="00951E87">
        <w:rPr>
          <w:rFonts w:cs="Times New Roman"/>
          <w:sz w:val="24"/>
          <w:szCs w:val="24"/>
        </w:rPr>
        <w:t>]. And again, I do not believe that we have the right to punish someone with corporal pains for actions which he undertakes in accordance with his opinion, and which he believes his conscience obligates him to perform”.</w:t>
      </w:r>
    </w:p>
  </w:footnote>
  <w:footnote w:id="67">
    <w:p w:rsidR="003D40D7" w:rsidRPr="00951E87" w:rsidRDefault="003D40D7" w:rsidP="00CF35FB">
      <w:pPr>
        <w:autoSpaceDE w:val="0"/>
        <w:autoSpaceDN w:val="0"/>
        <w:adjustRightInd w:val="0"/>
        <w:spacing w:line="360" w:lineRule="auto"/>
        <w:rPr>
          <w:rFonts w:cs="Times New Roman"/>
          <w:szCs w:val="24"/>
        </w:rPr>
      </w:pPr>
      <w:r w:rsidRPr="00951E87">
        <w:rPr>
          <w:rStyle w:val="FootnoteReference"/>
          <w:rFonts w:cs="Times New Roman"/>
          <w:szCs w:val="24"/>
        </w:rPr>
        <w:footnoteRef/>
      </w:r>
      <w:r w:rsidRPr="00951E87">
        <w:rPr>
          <w:rFonts w:cs="Times New Roman"/>
          <w:szCs w:val="24"/>
        </w:rPr>
        <w:t xml:space="preserve"> Leibniz to Johann Friedrich Leibniz, 5 October* 1669, in: Paul </w:t>
      </w:r>
      <w:proofErr w:type="spellStart"/>
      <w:r w:rsidRPr="00951E87">
        <w:rPr>
          <w:rFonts w:cs="Times New Roman"/>
          <w:szCs w:val="24"/>
        </w:rPr>
        <w:t>Schrecker</w:t>
      </w:r>
      <w:proofErr w:type="spellEnd"/>
      <w:r w:rsidRPr="00951E87">
        <w:rPr>
          <w:rFonts w:cs="Times New Roman"/>
          <w:szCs w:val="24"/>
        </w:rPr>
        <w:t xml:space="preserve"> (ed.), “G.-W. </w:t>
      </w:r>
      <w:proofErr w:type="gramStart"/>
      <w:r w:rsidRPr="00951E87">
        <w:rPr>
          <w:rFonts w:cs="Times New Roman"/>
          <w:szCs w:val="24"/>
        </w:rPr>
        <w:t>Leibniz.</w:t>
      </w:r>
      <w:proofErr w:type="gramEnd"/>
      <w:r w:rsidRPr="00951E87">
        <w:rPr>
          <w:rFonts w:cs="Times New Roman"/>
          <w:szCs w:val="24"/>
        </w:rPr>
        <w:t xml:space="preserve"> </w:t>
      </w:r>
      <w:proofErr w:type="spellStart"/>
      <w:r w:rsidRPr="00951E87">
        <w:rPr>
          <w:rFonts w:cs="Times New Roman"/>
          <w:szCs w:val="24"/>
        </w:rPr>
        <w:t>Lettres</w:t>
      </w:r>
      <w:proofErr w:type="spellEnd"/>
      <w:r w:rsidRPr="00951E87">
        <w:rPr>
          <w:rFonts w:cs="Times New Roman"/>
          <w:szCs w:val="24"/>
        </w:rPr>
        <w:t xml:space="preserve"> et fragments </w:t>
      </w:r>
      <w:proofErr w:type="spellStart"/>
      <w:r w:rsidRPr="00951E87">
        <w:rPr>
          <w:rFonts w:cs="Times New Roman"/>
          <w:szCs w:val="24"/>
        </w:rPr>
        <w:t>inédits</w:t>
      </w:r>
      <w:proofErr w:type="spellEnd"/>
      <w:r w:rsidRPr="00951E87">
        <w:rPr>
          <w:rFonts w:cs="Times New Roman"/>
          <w:szCs w:val="24"/>
        </w:rPr>
        <w:t xml:space="preserve">” </w:t>
      </w:r>
      <w:r w:rsidRPr="00951E87">
        <w:rPr>
          <w:rFonts w:cs="Times New Roman"/>
          <w:i/>
          <w:iCs/>
          <w:szCs w:val="24"/>
        </w:rPr>
        <w:t xml:space="preserve">Revue </w:t>
      </w:r>
      <w:proofErr w:type="spellStart"/>
      <w:r w:rsidRPr="00951E87">
        <w:rPr>
          <w:rFonts w:cs="Times New Roman"/>
          <w:i/>
          <w:iCs/>
          <w:szCs w:val="24"/>
        </w:rPr>
        <w:t>philosophique</w:t>
      </w:r>
      <w:proofErr w:type="spellEnd"/>
      <w:r w:rsidRPr="00951E87">
        <w:rPr>
          <w:rFonts w:cs="Times New Roman"/>
          <w:i/>
          <w:iCs/>
          <w:szCs w:val="24"/>
        </w:rPr>
        <w:t xml:space="preserve"> de la France </w:t>
      </w:r>
      <w:proofErr w:type="gramStart"/>
      <w:r w:rsidRPr="00951E87">
        <w:rPr>
          <w:rFonts w:cs="Times New Roman"/>
          <w:i/>
          <w:iCs/>
          <w:szCs w:val="24"/>
        </w:rPr>
        <w:t>et</w:t>
      </w:r>
      <w:proofErr w:type="gramEnd"/>
      <w:r w:rsidRPr="00951E87">
        <w:rPr>
          <w:rFonts w:cs="Times New Roman"/>
          <w:i/>
          <w:iCs/>
          <w:szCs w:val="24"/>
        </w:rPr>
        <w:t xml:space="preserve"> de </w:t>
      </w:r>
      <w:proofErr w:type="spellStart"/>
      <w:r w:rsidRPr="00951E87">
        <w:rPr>
          <w:rFonts w:cs="Times New Roman"/>
          <w:i/>
          <w:iCs/>
          <w:szCs w:val="24"/>
        </w:rPr>
        <w:t>l’Étranger</w:t>
      </w:r>
      <w:proofErr w:type="spellEnd"/>
      <w:r w:rsidRPr="00951E87">
        <w:rPr>
          <w:rFonts w:cs="Times New Roman"/>
          <w:i/>
          <w:iCs/>
          <w:szCs w:val="24"/>
        </w:rPr>
        <w:t xml:space="preserve"> </w:t>
      </w:r>
      <w:r w:rsidRPr="00951E87">
        <w:rPr>
          <w:rFonts w:cs="Times New Roman"/>
          <w:szCs w:val="24"/>
        </w:rPr>
        <w:t>118 (1934): 5–134 (here pp. 68-69).</w:t>
      </w:r>
    </w:p>
  </w:footnote>
  <w:footnote w:id="68">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i/>
          <w:iCs/>
          <w:sz w:val="24"/>
          <w:szCs w:val="24"/>
        </w:rPr>
        <w:t xml:space="preserve">Nouveaux </w:t>
      </w:r>
      <w:proofErr w:type="spellStart"/>
      <w:r w:rsidRPr="00951E87">
        <w:rPr>
          <w:rFonts w:cs="Times New Roman"/>
          <w:i/>
          <w:iCs/>
          <w:sz w:val="24"/>
          <w:szCs w:val="24"/>
        </w:rPr>
        <w:t>essais</w:t>
      </w:r>
      <w:proofErr w:type="spellEnd"/>
      <w:r w:rsidRPr="00951E87">
        <w:rPr>
          <w:rFonts w:cs="Times New Roman"/>
          <w:sz w:val="24"/>
          <w:szCs w:val="24"/>
        </w:rPr>
        <w:t>, IV.xviii.9; trans. by Peter Remnant and Jonathan Bennett (Cambridge 1996, p. 502).</w:t>
      </w:r>
      <w:proofErr w:type="gramEnd"/>
      <w:r w:rsidRPr="00951E87">
        <w:rPr>
          <w:rFonts w:cs="Times New Roman"/>
          <w:sz w:val="24"/>
          <w:szCs w:val="24"/>
        </w:rPr>
        <w:t xml:space="preserve"> This position is already found in earlier texts. See </w:t>
      </w:r>
      <w:r w:rsidRPr="00951E87">
        <w:rPr>
          <w:rFonts w:cs="Times New Roman"/>
          <w:i/>
          <w:sz w:val="24"/>
          <w:szCs w:val="24"/>
        </w:rPr>
        <w:t xml:space="preserve">Dialogue entre </w:t>
      </w:r>
      <w:proofErr w:type="spellStart"/>
      <w:r w:rsidRPr="00951E87">
        <w:rPr>
          <w:rFonts w:cs="Times New Roman"/>
          <w:i/>
          <w:sz w:val="24"/>
          <w:szCs w:val="24"/>
        </w:rPr>
        <w:t>Poliandre</w:t>
      </w:r>
      <w:proofErr w:type="spellEnd"/>
      <w:r w:rsidRPr="00951E87">
        <w:rPr>
          <w:rFonts w:cs="Times New Roman"/>
          <w:i/>
          <w:sz w:val="24"/>
          <w:szCs w:val="24"/>
        </w:rPr>
        <w:t xml:space="preserve"> and </w:t>
      </w:r>
      <w:proofErr w:type="spellStart"/>
      <w:r w:rsidRPr="00951E87">
        <w:rPr>
          <w:rFonts w:cs="Times New Roman"/>
          <w:i/>
          <w:sz w:val="24"/>
          <w:szCs w:val="24"/>
        </w:rPr>
        <w:t>Theophile</w:t>
      </w:r>
      <w:proofErr w:type="spellEnd"/>
      <w:r w:rsidRPr="00951E87">
        <w:rPr>
          <w:rFonts w:cs="Times New Roman"/>
          <w:sz w:val="24"/>
          <w:szCs w:val="24"/>
        </w:rPr>
        <w:t>, mid-1679* (A VI, 4, 2220-2221).</w:t>
      </w:r>
    </w:p>
  </w:footnote>
  <w:footnote w:id="69">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i/>
          <w:iCs/>
          <w:sz w:val="24"/>
          <w:szCs w:val="24"/>
        </w:rPr>
        <w:t xml:space="preserve">Nouveaux </w:t>
      </w:r>
      <w:proofErr w:type="spellStart"/>
      <w:r w:rsidRPr="00951E87">
        <w:rPr>
          <w:rFonts w:cs="Times New Roman"/>
          <w:i/>
          <w:iCs/>
          <w:sz w:val="24"/>
          <w:szCs w:val="24"/>
        </w:rPr>
        <w:t>essais</w:t>
      </w:r>
      <w:proofErr w:type="spellEnd"/>
      <w:r w:rsidRPr="00951E87">
        <w:rPr>
          <w:rFonts w:cs="Times New Roman"/>
          <w:sz w:val="24"/>
          <w:szCs w:val="24"/>
        </w:rPr>
        <w:t>, IV.xviii.9; trans. by Peter Remnant and Jonathan Bennett (Cambridge 1996, p. 497).</w:t>
      </w:r>
      <w:proofErr w:type="gramEnd"/>
      <w:r w:rsidRPr="00951E87">
        <w:rPr>
          <w:rFonts w:cs="Times New Roman"/>
          <w:sz w:val="24"/>
          <w:szCs w:val="24"/>
        </w:rPr>
        <w:t xml:space="preserve"> See also A, I, 6, 76.</w:t>
      </w:r>
    </w:p>
  </w:footnote>
  <w:footnote w:id="70">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 xml:space="preserve">Leibniz to Duchess Sophie for Paul </w:t>
      </w:r>
      <w:proofErr w:type="spellStart"/>
      <w:r w:rsidRPr="00951E87">
        <w:rPr>
          <w:rFonts w:cs="Times New Roman"/>
          <w:sz w:val="24"/>
          <w:szCs w:val="24"/>
        </w:rPr>
        <w:t>Pellisson-Fontanier</w:t>
      </w:r>
      <w:proofErr w:type="spellEnd"/>
      <w:r w:rsidRPr="00951E87">
        <w:rPr>
          <w:rFonts w:cs="Times New Roman"/>
          <w:sz w:val="24"/>
          <w:szCs w:val="24"/>
        </w:rPr>
        <w:t>, early August* 1690; A, I, 6, 76.</w:t>
      </w:r>
      <w:proofErr w:type="gramEnd"/>
    </w:p>
  </w:footnote>
  <w:footnote w:id="71">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Cf. Leibniz’s marginal note on his copy of the fourth part of </w:t>
      </w:r>
      <w:proofErr w:type="spellStart"/>
      <w:r w:rsidRPr="00951E87">
        <w:rPr>
          <w:rFonts w:cs="Times New Roman"/>
          <w:sz w:val="24"/>
          <w:szCs w:val="24"/>
        </w:rPr>
        <w:t>Pellisson’s</w:t>
      </w:r>
      <w:proofErr w:type="spellEnd"/>
      <w:r w:rsidRPr="00951E87">
        <w:rPr>
          <w:rFonts w:cs="Times New Roman"/>
          <w:sz w:val="24"/>
          <w:szCs w:val="24"/>
        </w:rPr>
        <w:t xml:space="preserve"> </w:t>
      </w:r>
      <w:r w:rsidRPr="00951E87">
        <w:rPr>
          <w:rFonts w:cs="Times New Roman"/>
          <w:i/>
          <w:iCs/>
          <w:sz w:val="24"/>
          <w:szCs w:val="24"/>
        </w:rPr>
        <w:t>Reflexions</w:t>
      </w:r>
      <w:r w:rsidRPr="00951E87">
        <w:rPr>
          <w:rFonts w:cs="Times New Roman"/>
          <w:sz w:val="24"/>
          <w:szCs w:val="24"/>
        </w:rPr>
        <w:t xml:space="preserve"> (</w:t>
      </w:r>
      <w:r w:rsidRPr="00951E87">
        <w:rPr>
          <w:rFonts w:cs="Times New Roman"/>
          <w:iCs/>
          <w:sz w:val="24"/>
          <w:szCs w:val="24"/>
        </w:rPr>
        <w:t>A</w:t>
      </w:r>
      <w:r w:rsidRPr="00951E87">
        <w:rPr>
          <w:rFonts w:cs="Times New Roman"/>
          <w:sz w:val="24"/>
          <w:szCs w:val="24"/>
        </w:rPr>
        <w:t>, I, 6, p. 94).</w:t>
      </w:r>
    </w:p>
  </w:footnote>
  <w:footnote w:id="72">
    <w:p w:rsidR="003D40D7" w:rsidRPr="00951E87" w:rsidRDefault="003D40D7" w:rsidP="0082307E">
      <w:pPr>
        <w:pStyle w:val="FootnoteText"/>
        <w:spacing w:line="360" w:lineRule="auto"/>
        <w:rPr>
          <w:rFonts w:cs="Times New Roman"/>
          <w:sz w:val="24"/>
          <w:szCs w:val="24"/>
          <w:lang w:val="it-IT"/>
        </w:rPr>
      </w:pPr>
      <w:r w:rsidRPr="00951E87">
        <w:rPr>
          <w:rStyle w:val="FootnoteReference"/>
          <w:rFonts w:cs="Times New Roman"/>
          <w:sz w:val="24"/>
          <w:szCs w:val="24"/>
        </w:rPr>
        <w:footnoteRef/>
      </w:r>
      <w:r w:rsidRPr="00951E87">
        <w:rPr>
          <w:rFonts w:cs="Times New Roman"/>
          <w:sz w:val="24"/>
          <w:szCs w:val="24"/>
          <w:lang w:val="it-IT"/>
        </w:rPr>
        <w:t xml:space="preserve"> </w:t>
      </w:r>
      <w:r w:rsidRPr="00951E87">
        <w:rPr>
          <w:rFonts w:cs="Times New Roman"/>
          <w:iCs/>
          <w:sz w:val="24"/>
          <w:szCs w:val="24"/>
          <w:lang w:val="it-IT"/>
        </w:rPr>
        <w:t>A</w:t>
      </w:r>
      <w:r w:rsidRPr="00951E87">
        <w:rPr>
          <w:rFonts w:cs="Times New Roman"/>
          <w:sz w:val="24"/>
          <w:szCs w:val="24"/>
          <w:lang w:val="it-IT"/>
        </w:rPr>
        <w:t xml:space="preserve"> I, 6, p. 141. </w:t>
      </w:r>
    </w:p>
  </w:footnote>
  <w:footnote w:id="73">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lang w:val="it-IT"/>
        </w:rPr>
        <w:t xml:space="preserve"> </w:t>
      </w:r>
      <w:r w:rsidRPr="00951E87">
        <w:rPr>
          <w:rFonts w:cs="Times New Roman"/>
          <w:i/>
          <w:sz w:val="24"/>
          <w:szCs w:val="24"/>
          <w:lang w:val="it-IT"/>
        </w:rPr>
        <w:t>De Haeresi formali et materiali</w:t>
      </w:r>
      <w:r w:rsidRPr="00951E87">
        <w:rPr>
          <w:rFonts w:cs="Times New Roman"/>
          <w:sz w:val="24"/>
          <w:szCs w:val="24"/>
          <w:lang w:val="it-IT"/>
        </w:rPr>
        <w:t xml:space="preserve">, 1695*; A IV, 6, 337. </w:t>
      </w:r>
      <w:r w:rsidRPr="00951E87">
        <w:rPr>
          <w:rFonts w:cs="Times New Roman"/>
          <w:sz w:val="24"/>
          <w:szCs w:val="24"/>
        </w:rPr>
        <w:t>On the distinction between formal and material heretics see “Leibniz’s doctrine of toleration”, pp. 151-152 and Antognazza, “Leibniz and Religious Toleration”, pp. 612-613.</w:t>
      </w:r>
    </w:p>
  </w:footnote>
  <w:footnote w:id="74">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In </w:t>
      </w:r>
      <w:r w:rsidRPr="00DA2271">
        <w:rPr>
          <w:rFonts w:cs="Times New Roman"/>
          <w:sz w:val="24"/>
          <w:szCs w:val="24"/>
        </w:rPr>
        <w:t>support of this thesis Leibniz quotes the sentence, “</w:t>
      </w:r>
      <w:proofErr w:type="spellStart"/>
      <w:r w:rsidRPr="00DA2271">
        <w:rPr>
          <w:rFonts w:cs="Times New Roman"/>
          <w:sz w:val="24"/>
          <w:szCs w:val="24"/>
        </w:rPr>
        <w:t>facienti</w:t>
      </w:r>
      <w:proofErr w:type="spellEnd"/>
      <w:r w:rsidRPr="00DA2271">
        <w:rPr>
          <w:rFonts w:cs="Times New Roman"/>
          <w:sz w:val="24"/>
          <w:szCs w:val="24"/>
        </w:rPr>
        <w:t xml:space="preserve"> quod in se </w:t>
      </w:r>
      <w:proofErr w:type="spellStart"/>
      <w:proofErr w:type="gramStart"/>
      <w:r w:rsidRPr="00DA2271">
        <w:rPr>
          <w:rFonts w:cs="Times New Roman"/>
          <w:sz w:val="24"/>
          <w:szCs w:val="24"/>
        </w:rPr>
        <w:t>est</w:t>
      </w:r>
      <w:proofErr w:type="spellEnd"/>
      <w:proofErr w:type="gramEnd"/>
      <w:r w:rsidRPr="00DA2271">
        <w:rPr>
          <w:rFonts w:cs="Times New Roman"/>
          <w:sz w:val="24"/>
          <w:szCs w:val="24"/>
        </w:rPr>
        <w:t xml:space="preserve"> Deus non </w:t>
      </w:r>
      <w:proofErr w:type="spellStart"/>
      <w:r w:rsidRPr="00DA2271">
        <w:rPr>
          <w:rFonts w:cs="Times New Roman"/>
          <w:sz w:val="24"/>
          <w:szCs w:val="24"/>
        </w:rPr>
        <w:t>denegat</w:t>
      </w:r>
      <w:proofErr w:type="spellEnd"/>
      <w:r w:rsidRPr="00DA2271">
        <w:rPr>
          <w:rFonts w:cs="Times New Roman"/>
          <w:sz w:val="24"/>
          <w:szCs w:val="24"/>
        </w:rPr>
        <w:t xml:space="preserve"> </w:t>
      </w:r>
      <w:proofErr w:type="spellStart"/>
      <w:r w:rsidRPr="00DA2271">
        <w:rPr>
          <w:rFonts w:cs="Times New Roman"/>
          <w:sz w:val="24"/>
          <w:szCs w:val="24"/>
        </w:rPr>
        <w:t>gratiam</w:t>
      </w:r>
      <w:proofErr w:type="spellEnd"/>
      <w:r w:rsidRPr="00DA2271">
        <w:rPr>
          <w:rFonts w:cs="Times New Roman"/>
          <w:sz w:val="24"/>
          <w:szCs w:val="24"/>
        </w:rPr>
        <w:t xml:space="preserve">.” </w:t>
      </w:r>
      <w:r w:rsidR="005E35F1">
        <w:rPr>
          <w:rFonts w:cs="Times New Roman"/>
          <w:sz w:val="24"/>
          <w:szCs w:val="24"/>
        </w:rPr>
        <w:t xml:space="preserve">See </w:t>
      </w:r>
      <w:r w:rsidR="005E35F1" w:rsidRPr="00DA2271">
        <w:rPr>
          <w:rFonts w:cs="Times New Roman"/>
          <w:sz w:val="24"/>
          <w:szCs w:val="24"/>
        </w:rPr>
        <w:t xml:space="preserve">Leibniz’s marginal note on his copy of the fourth part of </w:t>
      </w:r>
      <w:proofErr w:type="spellStart"/>
      <w:r w:rsidR="005E35F1" w:rsidRPr="00DA2271">
        <w:rPr>
          <w:rFonts w:cs="Times New Roman"/>
          <w:sz w:val="24"/>
          <w:szCs w:val="24"/>
        </w:rPr>
        <w:t>Pellisson’s</w:t>
      </w:r>
      <w:proofErr w:type="spellEnd"/>
      <w:r w:rsidR="005E35F1" w:rsidRPr="00DA2271">
        <w:rPr>
          <w:rFonts w:cs="Times New Roman"/>
          <w:sz w:val="24"/>
          <w:szCs w:val="24"/>
        </w:rPr>
        <w:t xml:space="preserve"> </w:t>
      </w:r>
      <w:r w:rsidR="005E35F1" w:rsidRPr="00DA2271">
        <w:rPr>
          <w:rFonts w:cs="Times New Roman"/>
          <w:i/>
          <w:iCs/>
          <w:sz w:val="24"/>
          <w:szCs w:val="24"/>
        </w:rPr>
        <w:t>Reflexions</w:t>
      </w:r>
      <w:r w:rsidR="005E35F1" w:rsidRPr="00DA2271">
        <w:rPr>
          <w:rFonts w:cs="Times New Roman"/>
          <w:sz w:val="24"/>
          <w:szCs w:val="24"/>
        </w:rPr>
        <w:t xml:space="preserve"> (</w:t>
      </w:r>
      <w:r w:rsidR="005E35F1" w:rsidRPr="00951E87">
        <w:rPr>
          <w:rFonts w:cs="Times New Roman"/>
          <w:sz w:val="24"/>
          <w:szCs w:val="24"/>
        </w:rPr>
        <w:t xml:space="preserve">A I, 6, p. 144) and </w:t>
      </w:r>
      <w:r w:rsidR="005E35F1" w:rsidRPr="00951E87">
        <w:rPr>
          <w:rFonts w:cs="Times New Roman"/>
          <w:i/>
          <w:iCs/>
          <w:sz w:val="24"/>
          <w:szCs w:val="24"/>
        </w:rPr>
        <w:t>Theodicy</w:t>
      </w:r>
      <w:r w:rsidR="005E35F1" w:rsidRPr="00951E87">
        <w:rPr>
          <w:rFonts w:cs="Times New Roman"/>
          <w:sz w:val="24"/>
          <w:szCs w:val="24"/>
        </w:rPr>
        <w:t>, § 95 (GP, VI, 155)</w:t>
      </w:r>
      <w:r w:rsidR="005E35F1">
        <w:rPr>
          <w:rFonts w:cs="Times New Roman"/>
          <w:sz w:val="24"/>
          <w:szCs w:val="24"/>
        </w:rPr>
        <w:t xml:space="preserve">. </w:t>
      </w:r>
      <w:r w:rsidR="00DA2271" w:rsidRPr="00DA2271">
        <w:rPr>
          <w:rFonts w:cs="Times New Roman"/>
          <w:sz w:val="24"/>
          <w:szCs w:val="24"/>
        </w:rPr>
        <w:t xml:space="preserve">As we saw above in the </w:t>
      </w:r>
      <w:proofErr w:type="spellStart"/>
      <w:r w:rsidR="00DA2271" w:rsidRPr="00DA2271">
        <w:rPr>
          <w:rFonts w:cs="Times New Roman"/>
          <w:i/>
          <w:iCs/>
          <w:sz w:val="24"/>
          <w:szCs w:val="24"/>
        </w:rPr>
        <w:t>Mémoire</w:t>
      </w:r>
      <w:proofErr w:type="spellEnd"/>
      <w:r w:rsidR="00DA2271" w:rsidRPr="00DA2271">
        <w:rPr>
          <w:rFonts w:cs="Times New Roman"/>
          <w:i/>
          <w:iCs/>
          <w:sz w:val="24"/>
          <w:szCs w:val="24"/>
        </w:rPr>
        <w:t xml:space="preserve"> pour des </w:t>
      </w:r>
      <w:proofErr w:type="spellStart"/>
      <w:r w:rsidR="00DA2271" w:rsidRPr="00DA2271">
        <w:rPr>
          <w:rFonts w:cs="Times New Roman"/>
          <w:i/>
          <w:iCs/>
          <w:sz w:val="24"/>
          <w:szCs w:val="24"/>
        </w:rPr>
        <w:t>Personnes</w:t>
      </w:r>
      <w:proofErr w:type="spellEnd"/>
      <w:r w:rsidR="00DA2271" w:rsidRPr="00DA2271">
        <w:rPr>
          <w:rFonts w:cs="Times New Roman"/>
          <w:i/>
          <w:iCs/>
          <w:sz w:val="24"/>
          <w:szCs w:val="24"/>
        </w:rPr>
        <w:t xml:space="preserve"> </w:t>
      </w:r>
      <w:proofErr w:type="spellStart"/>
      <w:r w:rsidR="00DA2271" w:rsidRPr="00DA2271">
        <w:rPr>
          <w:rFonts w:cs="Times New Roman"/>
          <w:i/>
          <w:iCs/>
          <w:sz w:val="24"/>
          <w:szCs w:val="24"/>
        </w:rPr>
        <w:t>éclairées</w:t>
      </w:r>
      <w:proofErr w:type="spellEnd"/>
      <w:r w:rsidR="00DA2271" w:rsidRPr="00DA2271">
        <w:rPr>
          <w:rFonts w:cs="Times New Roman"/>
          <w:sz w:val="24"/>
          <w:szCs w:val="24"/>
        </w:rPr>
        <w:t>, according to Leibniz, “God never refuses his grace to those who seek it with a good heart”</w:t>
      </w:r>
      <w:r w:rsidR="00DA2271">
        <w:rPr>
          <w:rFonts w:cs="Times New Roman"/>
          <w:sz w:val="24"/>
          <w:szCs w:val="24"/>
        </w:rPr>
        <w:t xml:space="preserve"> (trans. by Riley in Leibniz, </w:t>
      </w:r>
      <w:r w:rsidR="00DA2271" w:rsidRPr="00DA2271">
        <w:rPr>
          <w:rFonts w:cs="Times New Roman"/>
          <w:i/>
          <w:sz w:val="24"/>
          <w:szCs w:val="24"/>
        </w:rPr>
        <w:t>Political Writings</w:t>
      </w:r>
      <w:r w:rsidR="00DA2271">
        <w:rPr>
          <w:rFonts w:cs="Times New Roman"/>
          <w:sz w:val="24"/>
          <w:szCs w:val="24"/>
        </w:rPr>
        <w:t xml:space="preserve">, </w:t>
      </w:r>
      <w:proofErr w:type="gramStart"/>
      <w:r w:rsidR="00DA2271">
        <w:rPr>
          <w:rFonts w:cs="Times New Roman"/>
          <w:sz w:val="24"/>
          <w:szCs w:val="24"/>
        </w:rPr>
        <w:t>p</w:t>
      </w:r>
      <w:proofErr w:type="gramEnd"/>
      <w:r w:rsidR="00DA2271">
        <w:rPr>
          <w:rFonts w:cs="Times New Roman"/>
          <w:sz w:val="24"/>
          <w:szCs w:val="24"/>
        </w:rPr>
        <w:t>. 105)</w:t>
      </w:r>
      <w:r w:rsidR="00DA2271" w:rsidRPr="00DA2271">
        <w:rPr>
          <w:rFonts w:cs="Times New Roman"/>
          <w:sz w:val="24"/>
          <w:szCs w:val="24"/>
        </w:rPr>
        <w:t>.</w:t>
      </w:r>
    </w:p>
  </w:footnote>
  <w:footnote w:id="75">
    <w:p w:rsidR="003D40D7" w:rsidRPr="003B3654" w:rsidRDefault="003D40D7" w:rsidP="003B3654">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 6, 78-79. Cf. also Leibniz’s marginal note on his copy of the fourth part of </w:t>
      </w:r>
      <w:proofErr w:type="spellStart"/>
      <w:r w:rsidRPr="00951E87">
        <w:rPr>
          <w:rFonts w:cs="Times New Roman"/>
          <w:sz w:val="24"/>
          <w:szCs w:val="24"/>
        </w:rPr>
        <w:t>Pellisson’s</w:t>
      </w:r>
      <w:proofErr w:type="spellEnd"/>
      <w:r w:rsidRPr="00951E87">
        <w:rPr>
          <w:rFonts w:cs="Times New Roman"/>
          <w:sz w:val="24"/>
          <w:szCs w:val="24"/>
        </w:rPr>
        <w:t xml:space="preserve"> </w:t>
      </w:r>
      <w:r w:rsidRPr="003B3654">
        <w:rPr>
          <w:rFonts w:cs="Times New Roman"/>
          <w:i/>
          <w:iCs/>
          <w:sz w:val="24"/>
          <w:szCs w:val="24"/>
        </w:rPr>
        <w:t>Reflexions</w:t>
      </w:r>
      <w:r>
        <w:rPr>
          <w:rFonts w:cs="Times New Roman"/>
          <w:sz w:val="24"/>
          <w:szCs w:val="24"/>
        </w:rPr>
        <w:t xml:space="preserve"> (</w:t>
      </w:r>
      <w:proofErr w:type="gramStart"/>
      <w:r>
        <w:rPr>
          <w:rFonts w:cs="Times New Roman"/>
          <w:sz w:val="24"/>
          <w:szCs w:val="24"/>
        </w:rPr>
        <w:t>A</w:t>
      </w:r>
      <w:proofErr w:type="gramEnd"/>
      <w:r>
        <w:rPr>
          <w:rFonts w:cs="Times New Roman"/>
          <w:sz w:val="24"/>
          <w:szCs w:val="24"/>
        </w:rPr>
        <w:t xml:space="preserve"> I, 6, 101). These are texts of 1690-1691 written in the context of his epistolary exchange with the Catholic convert, Paul </w:t>
      </w:r>
      <w:proofErr w:type="spellStart"/>
      <w:r>
        <w:rPr>
          <w:rFonts w:cs="Times New Roman"/>
          <w:sz w:val="24"/>
          <w:szCs w:val="24"/>
        </w:rPr>
        <w:t>Pellisson-Fontanier</w:t>
      </w:r>
      <w:proofErr w:type="spellEnd"/>
      <w:r>
        <w:rPr>
          <w:rFonts w:cs="Times New Roman"/>
          <w:sz w:val="24"/>
          <w:szCs w:val="24"/>
        </w:rPr>
        <w:t>.</w:t>
      </w:r>
    </w:p>
  </w:footnote>
  <w:footnote w:id="76">
    <w:p w:rsidR="003D40D7" w:rsidRPr="003B3654" w:rsidRDefault="003D40D7" w:rsidP="003B3654">
      <w:pPr>
        <w:pStyle w:val="FootnoteText"/>
        <w:spacing w:line="360" w:lineRule="auto"/>
        <w:rPr>
          <w:sz w:val="24"/>
          <w:szCs w:val="24"/>
        </w:rPr>
      </w:pPr>
      <w:r w:rsidRPr="003B3654">
        <w:rPr>
          <w:rStyle w:val="FootnoteReference"/>
          <w:sz w:val="24"/>
          <w:szCs w:val="24"/>
        </w:rPr>
        <w:footnoteRef/>
      </w:r>
      <w:r w:rsidRPr="003B3654">
        <w:rPr>
          <w:sz w:val="24"/>
          <w:szCs w:val="24"/>
        </w:rPr>
        <w:t xml:space="preserve"> </w:t>
      </w:r>
      <w:proofErr w:type="gramStart"/>
      <w:r w:rsidRPr="003B3654">
        <w:rPr>
          <w:sz w:val="24"/>
          <w:szCs w:val="24"/>
        </w:rPr>
        <w:t xml:space="preserve">Respectively </w:t>
      </w:r>
      <w:r w:rsidRPr="003B3654">
        <w:rPr>
          <w:rFonts w:cs="Times New Roman"/>
          <w:sz w:val="24"/>
          <w:szCs w:val="24"/>
        </w:rPr>
        <w:t>A VI, 4, 2220 and A VI, 4, 2355.</w:t>
      </w:r>
      <w:proofErr w:type="gramEnd"/>
      <w:r w:rsidRPr="003B3654">
        <w:rPr>
          <w:rFonts w:cs="Times New Roman"/>
          <w:sz w:val="24"/>
          <w:szCs w:val="24"/>
        </w:rPr>
        <w:t xml:space="preserve"> </w:t>
      </w:r>
      <w:proofErr w:type="gramStart"/>
      <w:r w:rsidRPr="003B3654">
        <w:rPr>
          <w:rFonts w:cs="Times New Roman"/>
          <w:sz w:val="24"/>
          <w:szCs w:val="24"/>
        </w:rPr>
        <w:t>Trans. by Adams, “Justice, Happiness, and Perfection in Leibniz’s City of God”, p. 205.</w:t>
      </w:r>
      <w:proofErr w:type="gramEnd"/>
    </w:p>
  </w:footnote>
  <w:footnote w:id="77">
    <w:p w:rsidR="003D40D7" w:rsidRPr="00951E87" w:rsidRDefault="003D40D7" w:rsidP="003B3654">
      <w:pPr>
        <w:pStyle w:val="FootnoteText"/>
        <w:spacing w:line="360" w:lineRule="auto"/>
        <w:rPr>
          <w:rFonts w:cs="Times New Roman"/>
          <w:sz w:val="24"/>
          <w:szCs w:val="24"/>
        </w:rPr>
      </w:pPr>
      <w:r w:rsidRPr="003B3654">
        <w:rPr>
          <w:rStyle w:val="FootnoteReference"/>
          <w:rFonts w:cs="Times New Roman"/>
          <w:sz w:val="24"/>
          <w:szCs w:val="24"/>
        </w:rPr>
        <w:footnoteRef/>
      </w:r>
      <w:r w:rsidRPr="003B3654">
        <w:rPr>
          <w:rFonts w:cs="Times New Roman"/>
          <w:sz w:val="24"/>
          <w:szCs w:val="24"/>
        </w:rPr>
        <w:t xml:space="preserve"> I discuss this point</w:t>
      </w:r>
      <w:r w:rsidRPr="00951E87">
        <w:rPr>
          <w:rFonts w:cs="Times New Roman"/>
          <w:sz w:val="24"/>
          <w:szCs w:val="24"/>
        </w:rPr>
        <w:t xml:space="preserve"> in detail in “Leibniz and Religious Toleration,” pp. 605-612.</w:t>
      </w:r>
    </w:p>
  </w:footnote>
  <w:footnote w:id="78">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for instance Leibniz’s entries in his </w:t>
      </w:r>
      <w:proofErr w:type="spellStart"/>
      <w:r w:rsidRPr="00951E87">
        <w:rPr>
          <w:rFonts w:cs="Times New Roman"/>
          <w:i/>
          <w:iCs/>
          <w:sz w:val="24"/>
          <w:szCs w:val="24"/>
        </w:rPr>
        <w:t>Tagesbuch</w:t>
      </w:r>
      <w:proofErr w:type="spellEnd"/>
      <w:r w:rsidRPr="00951E87">
        <w:rPr>
          <w:rFonts w:cs="Times New Roman"/>
          <w:i/>
          <w:iCs/>
          <w:sz w:val="24"/>
          <w:szCs w:val="24"/>
        </w:rPr>
        <w:t xml:space="preserve"> </w:t>
      </w:r>
      <w:r w:rsidRPr="00951E87">
        <w:rPr>
          <w:rFonts w:cs="Times New Roman"/>
          <w:sz w:val="24"/>
          <w:szCs w:val="24"/>
        </w:rPr>
        <w:t xml:space="preserve">of August 1696 , in: G. </w:t>
      </w:r>
      <w:r w:rsidRPr="00951E87">
        <w:rPr>
          <w:rFonts w:cs="Times New Roman"/>
          <w:color w:val="000000" w:themeColor="text1"/>
          <w:sz w:val="24"/>
          <w:szCs w:val="24"/>
        </w:rPr>
        <w:t xml:space="preserve">W. </w:t>
      </w:r>
      <w:r w:rsidRPr="00951E87">
        <w:rPr>
          <w:rStyle w:val="Hyperlink"/>
          <w:rFonts w:cs="Times New Roman"/>
          <w:color w:val="000000" w:themeColor="text1"/>
          <w:sz w:val="24"/>
          <w:szCs w:val="24"/>
          <w:u w:val="none"/>
        </w:rPr>
        <w:t xml:space="preserve">Leibniz, </w:t>
      </w:r>
      <w:proofErr w:type="spellStart"/>
      <w:r w:rsidRPr="00951E87">
        <w:rPr>
          <w:rStyle w:val="Hyperlink"/>
          <w:rFonts w:cs="Times New Roman"/>
          <w:i/>
          <w:iCs/>
          <w:color w:val="000000" w:themeColor="text1"/>
          <w:sz w:val="24"/>
          <w:szCs w:val="24"/>
          <w:u w:val="none"/>
        </w:rPr>
        <w:t>Gesammelte</w:t>
      </w:r>
      <w:proofErr w:type="spellEnd"/>
      <w:r w:rsidRPr="00951E87">
        <w:rPr>
          <w:rStyle w:val="Hyperlink"/>
          <w:rFonts w:cs="Times New Roman"/>
          <w:i/>
          <w:iCs/>
          <w:color w:val="000000" w:themeColor="text1"/>
          <w:sz w:val="24"/>
          <w:szCs w:val="24"/>
          <w:u w:val="none"/>
        </w:rPr>
        <w:t xml:space="preserve"> </w:t>
      </w:r>
      <w:proofErr w:type="spellStart"/>
      <w:r w:rsidRPr="00951E87">
        <w:rPr>
          <w:rStyle w:val="Hyperlink"/>
          <w:rFonts w:cs="Times New Roman"/>
          <w:i/>
          <w:iCs/>
          <w:color w:val="000000" w:themeColor="text1"/>
          <w:sz w:val="24"/>
          <w:szCs w:val="24"/>
          <w:u w:val="none"/>
        </w:rPr>
        <w:t>werke</w:t>
      </w:r>
      <w:proofErr w:type="spellEnd"/>
      <w:r w:rsidRPr="00951E87">
        <w:rPr>
          <w:rStyle w:val="Hyperlink"/>
          <w:rFonts w:cs="Times New Roman"/>
          <w:iCs/>
          <w:color w:val="000000" w:themeColor="text1"/>
          <w:sz w:val="24"/>
          <w:szCs w:val="24"/>
          <w:u w:val="none"/>
        </w:rPr>
        <w:t>,</w:t>
      </w:r>
      <w:r w:rsidRPr="00951E87">
        <w:rPr>
          <w:rStyle w:val="Hyperlink"/>
          <w:rFonts w:cs="Times New Roman"/>
          <w:color w:val="000000" w:themeColor="text1"/>
          <w:sz w:val="24"/>
          <w:szCs w:val="24"/>
          <w:u w:val="none"/>
        </w:rPr>
        <w:t xml:space="preserve"> </w:t>
      </w:r>
      <w:r w:rsidRPr="00951E87">
        <w:rPr>
          <w:rFonts w:cs="Times New Roman"/>
          <w:sz w:val="24"/>
          <w:szCs w:val="24"/>
        </w:rPr>
        <w:t xml:space="preserve">Georg Heinrich </w:t>
      </w:r>
      <w:proofErr w:type="spellStart"/>
      <w:r w:rsidRPr="00951E87">
        <w:rPr>
          <w:rFonts w:cs="Times New Roman"/>
          <w:sz w:val="24"/>
          <w:szCs w:val="24"/>
        </w:rPr>
        <w:t>Pertz</w:t>
      </w:r>
      <w:proofErr w:type="spellEnd"/>
      <w:r w:rsidRPr="00951E87">
        <w:rPr>
          <w:rFonts w:cs="Times New Roman"/>
          <w:sz w:val="24"/>
          <w:szCs w:val="24"/>
        </w:rPr>
        <w:t xml:space="preserve"> (ed.), 4 vols., Hanover 1843-1847, reprint: Hildesheim 1966, vol. I, 4, p. 193, p. 198.</w:t>
      </w:r>
    </w:p>
  </w:footnote>
  <w:footnote w:id="79">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w:t>
      </w:r>
      <w:proofErr w:type="gramStart"/>
      <w:r w:rsidRPr="00951E87">
        <w:rPr>
          <w:rFonts w:cs="Times New Roman"/>
          <w:sz w:val="24"/>
          <w:szCs w:val="24"/>
        </w:rPr>
        <w:t>A</w:t>
      </w:r>
      <w:proofErr w:type="gramEnd"/>
      <w:r w:rsidRPr="00951E87">
        <w:rPr>
          <w:rFonts w:cs="Times New Roman"/>
          <w:sz w:val="24"/>
          <w:szCs w:val="24"/>
        </w:rPr>
        <w:t xml:space="preserve"> I, 13, 399-400. Trans. by Howard Hotson in “Leibniz and millenarianism”, in: </w:t>
      </w:r>
      <w:proofErr w:type="spellStart"/>
      <w:r w:rsidRPr="00951E87">
        <w:rPr>
          <w:rFonts w:cs="Times New Roman"/>
          <w:i/>
          <w:iCs/>
          <w:sz w:val="24"/>
          <w:szCs w:val="24"/>
        </w:rPr>
        <w:t>Alsted</w:t>
      </w:r>
      <w:proofErr w:type="spellEnd"/>
      <w:r w:rsidRPr="00951E87">
        <w:rPr>
          <w:rFonts w:cs="Times New Roman"/>
          <w:i/>
          <w:iCs/>
          <w:sz w:val="24"/>
          <w:szCs w:val="24"/>
        </w:rPr>
        <w:t xml:space="preserve"> and Leibniz on God, the Magistrate and the Millennium</w:t>
      </w:r>
      <w:r w:rsidRPr="00951E87">
        <w:rPr>
          <w:rFonts w:cs="Times New Roman"/>
          <w:iCs/>
          <w:sz w:val="24"/>
          <w:szCs w:val="24"/>
        </w:rPr>
        <w:t>,</w:t>
      </w:r>
      <w:r w:rsidRPr="00951E87">
        <w:rPr>
          <w:rFonts w:cs="Times New Roman"/>
          <w:sz w:val="24"/>
          <w:szCs w:val="24"/>
        </w:rPr>
        <w:t xml:space="preserve"> Texts edited with introduction and commentary by Maria Rosa Antognazza and Howard Hotson, </w:t>
      </w:r>
      <w:r w:rsidRPr="00951E87">
        <w:rPr>
          <w:rFonts w:cs="Times New Roman"/>
          <w:sz w:val="24"/>
          <w:szCs w:val="24"/>
          <w:lang w:val="de-DE"/>
        </w:rPr>
        <w:t xml:space="preserve">Wiesbaden 1999, </w:t>
      </w:r>
      <w:r w:rsidRPr="00951E87">
        <w:rPr>
          <w:rFonts w:cs="Times New Roman"/>
          <w:sz w:val="24"/>
          <w:szCs w:val="24"/>
        </w:rPr>
        <w:t>pp. 187-188.</w:t>
      </w:r>
    </w:p>
  </w:footnote>
  <w:footnote w:id="80">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See Hotson, “Leibniz and millenarianism”, p. 189, p. 192.</w:t>
      </w:r>
    </w:p>
  </w:footnote>
  <w:footnote w:id="81">
    <w:p w:rsidR="003D40D7" w:rsidRPr="00951E87" w:rsidRDefault="003D40D7" w:rsidP="0082307E">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Leibniz to Lorenz </w:t>
      </w:r>
      <w:proofErr w:type="spellStart"/>
      <w:r w:rsidRPr="00951E87">
        <w:rPr>
          <w:rFonts w:cs="Times New Roman"/>
          <w:sz w:val="24"/>
          <w:szCs w:val="24"/>
        </w:rPr>
        <w:t>Hertel</w:t>
      </w:r>
      <w:proofErr w:type="spellEnd"/>
      <w:r w:rsidRPr="00951E87">
        <w:rPr>
          <w:rFonts w:cs="Times New Roman"/>
          <w:sz w:val="24"/>
          <w:szCs w:val="24"/>
        </w:rPr>
        <w:t>, January 1695 (</w:t>
      </w:r>
      <w:proofErr w:type="gramStart"/>
      <w:r w:rsidRPr="00951E87">
        <w:rPr>
          <w:rFonts w:cs="Times New Roman"/>
          <w:sz w:val="24"/>
          <w:szCs w:val="24"/>
        </w:rPr>
        <w:t>A</w:t>
      </w:r>
      <w:proofErr w:type="gramEnd"/>
      <w:r w:rsidRPr="00951E87">
        <w:rPr>
          <w:rFonts w:cs="Times New Roman"/>
          <w:sz w:val="24"/>
          <w:szCs w:val="24"/>
        </w:rPr>
        <w:t xml:space="preserve"> I 11, 21): “it is safer not to advance opinions which are not soundly established and can be harmful since they are capable of keeping sinners in their security” (trans. by Adams, “Justice, Happiness, and Perfection in Leibniz’s City of God”, pp. 216-217).</w:t>
      </w:r>
    </w:p>
  </w:footnote>
  <w:footnote w:id="82">
    <w:p w:rsidR="003D40D7" w:rsidRPr="00951E87" w:rsidRDefault="003D40D7" w:rsidP="00123EE0">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Cf. the motto </w:t>
      </w:r>
      <w:proofErr w:type="spellStart"/>
      <w:r w:rsidRPr="00951E87">
        <w:rPr>
          <w:rFonts w:cs="Times New Roman"/>
          <w:i/>
          <w:sz w:val="24"/>
          <w:szCs w:val="24"/>
        </w:rPr>
        <w:t>Theoria</w:t>
      </w:r>
      <w:proofErr w:type="spellEnd"/>
      <w:r w:rsidRPr="00951E87">
        <w:rPr>
          <w:rFonts w:cs="Times New Roman"/>
          <w:i/>
          <w:sz w:val="24"/>
          <w:szCs w:val="24"/>
        </w:rPr>
        <w:t xml:space="preserve"> cum </w:t>
      </w:r>
      <w:proofErr w:type="spellStart"/>
      <w:r w:rsidRPr="00951E87">
        <w:rPr>
          <w:rFonts w:cs="Times New Roman"/>
          <w:i/>
          <w:sz w:val="24"/>
          <w:szCs w:val="24"/>
        </w:rPr>
        <w:t>Praxi</w:t>
      </w:r>
      <w:proofErr w:type="spellEnd"/>
      <w:r w:rsidRPr="00951E87">
        <w:rPr>
          <w:rFonts w:cs="Times New Roman"/>
          <w:sz w:val="24"/>
          <w:szCs w:val="24"/>
        </w:rPr>
        <w:t xml:space="preserve"> </w:t>
      </w:r>
      <w:r w:rsidRPr="00951E87">
        <w:rPr>
          <w:rFonts w:cs="Times New Roman"/>
          <w:iCs/>
          <w:sz w:val="24"/>
          <w:szCs w:val="24"/>
        </w:rPr>
        <w:t xml:space="preserve">chosen by Leibniz </w:t>
      </w:r>
      <w:r w:rsidRPr="00951E87">
        <w:rPr>
          <w:rFonts w:cs="Times New Roman"/>
          <w:sz w:val="24"/>
          <w:szCs w:val="24"/>
        </w:rPr>
        <w:t>for the Society of Sciences of Berlin as its regulative ideal.</w:t>
      </w:r>
    </w:p>
  </w:footnote>
  <w:footnote w:id="83">
    <w:p w:rsidR="003D40D7" w:rsidRPr="00951E87" w:rsidRDefault="003D40D7" w:rsidP="00123EE0">
      <w:pPr>
        <w:pStyle w:val="FootnoteText"/>
        <w:spacing w:line="360" w:lineRule="auto"/>
        <w:rPr>
          <w:rFonts w:cs="Times New Roman"/>
          <w:sz w:val="24"/>
          <w:szCs w:val="24"/>
        </w:rPr>
      </w:pPr>
      <w:r w:rsidRPr="00951E87">
        <w:rPr>
          <w:rStyle w:val="FootnoteReference"/>
          <w:rFonts w:cs="Times New Roman"/>
          <w:sz w:val="24"/>
          <w:szCs w:val="24"/>
        </w:rPr>
        <w:footnoteRef/>
      </w:r>
      <w:r>
        <w:rPr>
          <w:rFonts w:cs="Times New Roman"/>
          <w:sz w:val="24"/>
          <w:szCs w:val="24"/>
        </w:rPr>
        <w:t xml:space="preserve"> As </w:t>
      </w:r>
      <w:r w:rsidRPr="00951E87">
        <w:rPr>
          <w:rFonts w:cs="Times New Roman"/>
          <w:sz w:val="24"/>
          <w:szCs w:val="24"/>
        </w:rPr>
        <w:t xml:space="preserve">is well known, the “charity of the wise” as Leibniz’s definition of justice </w:t>
      </w:r>
      <w:r>
        <w:rPr>
          <w:rFonts w:cs="Times New Roman"/>
          <w:sz w:val="24"/>
          <w:szCs w:val="24"/>
        </w:rPr>
        <w:t xml:space="preserve">also </w:t>
      </w:r>
      <w:r w:rsidRPr="00951E87">
        <w:rPr>
          <w:rFonts w:cs="Times New Roman"/>
          <w:sz w:val="24"/>
          <w:szCs w:val="24"/>
        </w:rPr>
        <w:t>takes central stage</w:t>
      </w:r>
      <w:r>
        <w:rPr>
          <w:rFonts w:cs="Times New Roman"/>
          <w:sz w:val="24"/>
          <w:szCs w:val="24"/>
        </w:rPr>
        <w:t xml:space="preserve"> in Leibniz’s moral philosophy.</w:t>
      </w:r>
    </w:p>
  </w:footnote>
  <w:footnote w:id="84">
    <w:p w:rsidR="003D40D7" w:rsidRPr="00951E87" w:rsidRDefault="003D40D7" w:rsidP="00123EE0">
      <w:pPr>
        <w:pStyle w:val="FootnoteText"/>
        <w:spacing w:line="360" w:lineRule="auto"/>
        <w:rPr>
          <w:rFonts w:cs="Times New Roman"/>
          <w:sz w:val="24"/>
          <w:szCs w:val="24"/>
        </w:rPr>
      </w:pPr>
      <w:r w:rsidRPr="00951E87">
        <w:rPr>
          <w:rStyle w:val="FootnoteReference"/>
          <w:rFonts w:cs="Times New Roman"/>
          <w:sz w:val="24"/>
          <w:szCs w:val="24"/>
        </w:rPr>
        <w:footnoteRef/>
      </w:r>
      <w:r w:rsidRPr="00951E87">
        <w:rPr>
          <w:rFonts w:cs="Times New Roman"/>
          <w:sz w:val="24"/>
          <w:szCs w:val="24"/>
        </w:rPr>
        <w:t xml:space="preserve"> As noted by R. M. Adams, Leibniz follows Bonaventure rather than Thomas Aquinas in regarding theology as primarily a practical science</w:t>
      </w:r>
      <w:r>
        <w:rPr>
          <w:rFonts w:cs="Times New Roman"/>
          <w:sz w:val="24"/>
          <w:szCs w:val="24"/>
        </w:rPr>
        <w:t>,</w:t>
      </w:r>
      <w:r w:rsidRPr="00951E87">
        <w:rPr>
          <w:rFonts w:cs="Times New Roman"/>
          <w:sz w:val="24"/>
          <w:szCs w:val="24"/>
        </w:rPr>
        <w:t xml:space="preserve"> since its principal end is our becoming good and moved to love God. </w:t>
      </w:r>
      <w:r w:rsidRPr="00951E87">
        <w:rPr>
          <w:rFonts w:cs="Times New Roman"/>
          <w:sz w:val="24"/>
          <w:szCs w:val="24"/>
          <w:lang w:val="it-IT"/>
        </w:rPr>
        <w:t xml:space="preserve">St Bonaventure, </w:t>
      </w:r>
      <w:r w:rsidRPr="00951E87">
        <w:rPr>
          <w:rFonts w:cs="Times New Roman"/>
          <w:i/>
          <w:sz w:val="24"/>
          <w:szCs w:val="24"/>
          <w:lang w:val="it-IT"/>
        </w:rPr>
        <w:t>In primum librum sententiarum</w:t>
      </w:r>
      <w:r w:rsidRPr="00951E87">
        <w:rPr>
          <w:rFonts w:cs="Times New Roman"/>
          <w:sz w:val="24"/>
          <w:szCs w:val="24"/>
          <w:lang w:val="it-IT"/>
        </w:rPr>
        <w:t xml:space="preserve">, Prooemium, qu. 3, in: Bonaventure, </w:t>
      </w:r>
      <w:r w:rsidRPr="00951E87">
        <w:rPr>
          <w:rFonts w:cs="Times New Roman"/>
          <w:i/>
          <w:sz w:val="24"/>
          <w:szCs w:val="24"/>
          <w:lang w:val="it-IT"/>
        </w:rPr>
        <w:t>Opera Omnia</w:t>
      </w:r>
      <w:r w:rsidRPr="00951E87">
        <w:rPr>
          <w:rFonts w:cs="Times New Roman"/>
          <w:sz w:val="24"/>
          <w:szCs w:val="24"/>
          <w:lang w:val="it-IT"/>
        </w:rPr>
        <w:t xml:space="preserve">, Quaracchi 1882, vol. </w:t>
      </w:r>
      <w:r w:rsidRPr="00951E87">
        <w:rPr>
          <w:rFonts w:cs="Times New Roman"/>
          <w:sz w:val="24"/>
          <w:szCs w:val="24"/>
        </w:rPr>
        <w:t xml:space="preserve">I, pp. 12-14. </w:t>
      </w:r>
      <w:proofErr w:type="gramStart"/>
      <w:r w:rsidRPr="00951E87">
        <w:rPr>
          <w:rFonts w:cs="Times New Roman"/>
          <w:sz w:val="24"/>
          <w:szCs w:val="24"/>
        </w:rPr>
        <w:t>Cited by Adams in “Justice, Happiness, and Perfection in Leibniz’s City of God”, p. 215.</w:t>
      </w:r>
      <w:proofErr w:type="gramEnd"/>
      <w:r w:rsidRPr="00951E87">
        <w:rPr>
          <w:rFonts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74D6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60"/>
    <w:rsid w:val="00003E0E"/>
    <w:rsid w:val="0000783B"/>
    <w:rsid w:val="0001019A"/>
    <w:rsid w:val="00014A1E"/>
    <w:rsid w:val="000152A5"/>
    <w:rsid w:val="00015322"/>
    <w:rsid w:val="00015737"/>
    <w:rsid w:val="00016605"/>
    <w:rsid w:val="00020F28"/>
    <w:rsid w:val="00026F0E"/>
    <w:rsid w:val="00030163"/>
    <w:rsid w:val="000311D9"/>
    <w:rsid w:val="00034B02"/>
    <w:rsid w:val="00035B67"/>
    <w:rsid w:val="000372F3"/>
    <w:rsid w:val="00037CE3"/>
    <w:rsid w:val="0004246F"/>
    <w:rsid w:val="0004440D"/>
    <w:rsid w:val="0004454E"/>
    <w:rsid w:val="000461AA"/>
    <w:rsid w:val="000534A4"/>
    <w:rsid w:val="0005425E"/>
    <w:rsid w:val="000602C7"/>
    <w:rsid w:val="0006094A"/>
    <w:rsid w:val="000619B1"/>
    <w:rsid w:val="00063E7A"/>
    <w:rsid w:val="000646AF"/>
    <w:rsid w:val="000658A8"/>
    <w:rsid w:val="000707CA"/>
    <w:rsid w:val="00074779"/>
    <w:rsid w:val="000758A2"/>
    <w:rsid w:val="00076026"/>
    <w:rsid w:val="00077C39"/>
    <w:rsid w:val="0008025A"/>
    <w:rsid w:val="00081C09"/>
    <w:rsid w:val="00085881"/>
    <w:rsid w:val="00085C97"/>
    <w:rsid w:val="00090649"/>
    <w:rsid w:val="00090702"/>
    <w:rsid w:val="000910B4"/>
    <w:rsid w:val="00093137"/>
    <w:rsid w:val="0009710F"/>
    <w:rsid w:val="000A0507"/>
    <w:rsid w:val="000A11FB"/>
    <w:rsid w:val="000A1820"/>
    <w:rsid w:val="000A1D61"/>
    <w:rsid w:val="000A2578"/>
    <w:rsid w:val="000A270E"/>
    <w:rsid w:val="000A4850"/>
    <w:rsid w:val="000A57E4"/>
    <w:rsid w:val="000A7169"/>
    <w:rsid w:val="000A7661"/>
    <w:rsid w:val="000A7C6E"/>
    <w:rsid w:val="000A7E3C"/>
    <w:rsid w:val="000A7F6D"/>
    <w:rsid w:val="000B078C"/>
    <w:rsid w:val="000B1CC8"/>
    <w:rsid w:val="000B2102"/>
    <w:rsid w:val="000C02E9"/>
    <w:rsid w:val="000C2198"/>
    <w:rsid w:val="000C22E2"/>
    <w:rsid w:val="000C29CF"/>
    <w:rsid w:val="000D13B3"/>
    <w:rsid w:val="000D46D1"/>
    <w:rsid w:val="000D481A"/>
    <w:rsid w:val="000D71B1"/>
    <w:rsid w:val="000E1ED8"/>
    <w:rsid w:val="000E56B7"/>
    <w:rsid w:val="000E75A4"/>
    <w:rsid w:val="000F3433"/>
    <w:rsid w:val="000F4A78"/>
    <w:rsid w:val="00100F69"/>
    <w:rsid w:val="00102462"/>
    <w:rsid w:val="00102A6D"/>
    <w:rsid w:val="001036EA"/>
    <w:rsid w:val="001062D3"/>
    <w:rsid w:val="001070C4"/>
    <w:rsid w:val="00111257"/>
    <w:rsid w:val="00114E1B"/>
    <w:rsid w:val="0011503F"/>
    <w:rsid w:val="00116325"/>
    <w:rsid w:val="001209A3"/>
    <w:rsid w:val="00123796"/>
    <w:rsid w:val="00123EE0"/>
    <w:rsid w:val="00124DB5"/>
    <w:rsid w:val="0013031B"/>
    <w:rsid w:val="00131346"/>
    <w:rsid w:val="00135560"/>
    <w:rsid w:val="0014231E"/>
    <w:rsid w:val="00142358"/>
    <w:rsid w:val="0016158B"/>
    <w:rsid w:val="00161F1B"/>
    <w:rsid w:val="00165DDF"/>
    <w:rsid w:val="00166B5C"/>
    <w:rsid w:val="00170336"/>
    <w:rsid w:val="00176023"/>
    <w:rsid w:val="00180C56"/>
    <w:rsid w:val="00181877"/>
    <w:rsid w:val="00187E6E"/>
    <w:rsid w:val="00193F19"/>
    <w:rsid w:val="00195082"/>
    <w:rsid w:val="001A06AC"/>
    <w:rsid w:val="001A13D1"/>
    <w:rsid w:val="001A643D"/>
    <w:rsid w:val="001A6B60"/>
    <w:rsid w:val="001B1F9B"/>
    <w:rsid w:val="001B3430"/>
    <w:rsid w:val="001B7A97"/>
    <w:rsid w:val="001C093F"/>
    <w:rsid w:val="001C6668"/>
    <w:rsid w:val="001D0AA0"/>
    <w:rsid w:val="001D4250"/>
    <w:rsid w:val="001D614A"/>
    <w:rsid w:val="001E31DA"/>
    <w:rsid w:val="001E62BA"/>
    <w:rsid w:val="001F0FC1"/>
    <w:rsid w:val="001F1B52"/>
    <w:rsid w:val="001F2736"/>
    <w:rsid w:val="001F346B"/>
    <w:rsid w:val="001F3878"/>
    <w:rsid w:val="001F644F"/>
    <w:rsid w:val="001F65D0"/>
    <w:rsid w:val="001F76C9"/>
    <w:rsid w:val="0020273D"/>
    <w:rsid w:val="00203477"/>
    <w:rsid w:val="00212FF6"/>
    <w:rsid w:val="00214260"/>
    <w:rsid w:val="00216906"/>
    <w:rsid w:val="002172FF"/>
    <w:rsid w:val="002224A2"/>
    <w:rsid w:val="00225517"/>
    <w:rsid w:val="00226616"/>
    <w:rsid w:val="002279F6"/>
    <w:rsid w:val="00232C74"/>
    <w:rsid w:val="00234A17"/>
    <w:rsid w:val="00243485"/>
    <w:rsid w:val="00243B3B"/>
    <w:rsid w:val="002444B6"/>
    <w:rsid w:val="00251769"/>
    <w:rsid w:val="002518B1"/>
    <w:rsid w:val="00254908"/>
    <w:rsid w:val="002564F6"/>
    <w:rsid w:val="0025787C"/>
    <w:rsid w:val="0026127A"/>
    <w:rsid w:val="00261E5E"/>
    <w:rsid w:val="00262825"/>
    <w:rsid w:val="00267363"/>
    <w:rsid w:val="002674EC"/>
    <w:rsid w:val="0027285D"/>
    <w:rsid w:val="00273087"/>
    <w:rsid w:val="00274E78"/>
    <w:rsid w:val="00276205"/>
    <w:rsid w:val="00276D38"/>
    <w:rsid w:val="00276D64"/>
    <w:rsid w:val="002770EF"/>
    <w:rsid w:val="002801BE"/>
    <w:rsid w:val="002807D9"/>
    <w:rsid w:val="00280CB1"/>
    <w:rsid w:val="0028164B"/>
    <w:rsid w:val="002820FA"/>
    <w:rsid w:val="002833D6"/>
    <w:rsid w:val="0028727A"/>
    <w:rsid w:val="00287D5D"/>
    <w:rsid w:val="0029677B"/>
    <w:rsid w:val="00297B86"/>
    <w:rsid w:val="002A16BF"/>
    <w:rsid w:val="002A2FEB"/>
    <w:rsid w:val="002A3437"/>
    <w:rsid w:val="002A4209"/>
    <w:rsid w:val="002A49CD"/>
    <w:rsid w:val="002A5849"/>
    <w:rsid w:val="002A5BB5"/>
    <w:rsid w:val="002A79BB"/>
    <w:rsid w:val="002A7EDE"/>
    <w:rsid w:val="002B0D41"/>
    <w:rsid w:val="002B3465"/>
    <w:rsid w:val="002B5B07"/>
    <w:rsid w:val="002C14F0"/>
    <w:rsid w:val="002C2898"/>
    <w:rsid w:val="002C42A5"/>
    <w:rsid w:val="002C5997"/>
    <w:rsid w:val="002C5DAC"/>
    <w:rsid w:val="002D09CD"/>
    <w:rsid w:val="002D3D65"/>
    <w:rsid w:val="002D5FDD"/>
    <w:rsid w:val="002D6A15"/>
    <w:rsid w:val="002D6B83"/>
    <w:rsid w:val="002D6D5F"/>
    <w:rsid w:val="002D795A"/>
    <w:rsid w:val="002E2DCB"/>
    <w:rsid w:val="002E3F5A"/>
    <w:rsid w:val="002E6817"/>
    <w:rsid w:val="002F2E42"/>
    <w:rsid w:val="002F73B3"/>
    <w:rsid w:val="002F7543"/>
    <w:rsid w:val="003005DA"/>
    <w:rsid w:val="003018A8"/>
    <w:rsid w:val="00301AC2"/>
    <w:rsid w:val="0030247F"/>
    <w:rsid w:val="003068C3"/>
    <w:rsid w:val="00316C8D"/>
    <w:rsid w:val="00317DA5"/>
    <w:rsid w:val="003213AF"/>
    <w:rsid w:val="00327C6D"/>
    <w:rsid w:val="00335033"/>
    <w:rsid w:val="00343F35"/>
    <w:rsid w:val="0035174B"/>
    <w:rsid w:val="00351AEE"/>
    <w:rsid w:val="00351FBD"/>
    <w:rsid w:val="00355D1A"/>
    <w:rsid w:val="0035627A"/>
    <w:rsid w:val="00356BA3"/>
    <w:rsid w:val="00356C04"/>
    <w:rsid w:val="00361295"/>
    <w:rsid w:val="0036157A"/>
    <w:rsid w:val="00361B68"/>
    <w:rsid w:val="00361FD8"/>
    <w:rsid w:val="00362442"/>
    <w:rsid w:val="0036303A"/>
    <w:rsid w:val="00365CFC"/>
    <w:rsid w:val="003720E1"/>
    <w:rsid w:val="00372C96"/>
    <w:rsid w:val="00372DC6"/>
    <w:rsid w:val="003747CA"/>
    <w:rsid w:val="00374F0C"/>
    <w:rsid w:val="00375176"/>
    <w:rsid w:val="00375EA6"/>
    <w:rsid w:val="003763DE"/>
    <w:rsid w:val="00380854"/>
    <w:rsid w:val="00380891"/>
    <w:rsid w:val="00381417"/>
    <w:rsid w:val="003843E3"/>
    <w:rsid w:val="003847E2"/>
    <w:rsid w:val="00384D2F"/>
    <w:rsid w:val="00385732"/>
    <w:rsid w:val="0038712F"/>
    <w:rsid w:val="00395EBF"/>
    <w:rsid w:val="00397B13"/>
    <w:rsid w:val="003A3367"/>
    <w:rsid w:val="003A3892"/>
    <w:rsid w:val="003A38A3"/>
    <w:rsid w:val="003A4E4B"/>
    <w:rsid w:val="003A7398"/>
    <w:rsid w:val="003B1476"/>
    <w:rsid w:val="003B15D0"/>
    <w:rsid w:val="003B25DE"/>
    <w:rsid w:val="003B3654"/>
    <w:rsid w:val="003C039B"/>
    <w:rsid w:val="003C1724"/>
    <w:rsid w:val="003C55B9"/>
    <w:rsid w:val="003C67F3"/>
    <w:rsid w:val="003D40D7"/>
    <w:rsid w:val="003E247C"/>
    <w:rsid w:val="003E2B9B"/>
    <w:rsid w:val="003E59E0"/>
    <w:rsid w:val="003F1060"/>
    <w:rsid w:val="003F3B14"/>
    <w:rsid w:val="003F4710"/>
    <w:rsid w:val="00400051"/>
    <w:rsid w:val="00404F73"/>
    <w:rsid w:val="00411995"/>
    <w:rsid w:val="00416ABD"/>
    <w:rsid w:val="00420313"/>
    <w:rsid w:val="00421071"/>
    <w:rsid w:val="00422F4E"/>
    <w:rsid w:val="00431AD7"/>
    <w:rsid w:val="00431FD0"/>
    <w:rsid w:val="00432AFE"/>
    <w:rsid w:val="00433FE4"/>
    <w:rsid w:val="00434ED2"/>
    <w:rsid w:val="00440AF5"/>
    <w:rsid w:val="00440D52"/>
    <w:rsid w:val="00440DCA"/>
    <w:rsid w:val="00440E4D"/>
    <w:rsid w:val="0044148F"/>
    <w:rsid w:val="00443859"/>
    <w:rsid w:val="00443C26"/>
    <w:rsid w:val="00443E40"/>
    <w:rsid w:val="0045009F"/>
    <w:rsid w:val="004514D8"/>
    <w:rsid w:val="0045246F"/>
    <w:rsid w:val="00453B2D"/>
    <w:rsid w:val="004629F2"/>
    <w:rsid w:val="00462CA8"/>
    <w:rsid w:val="00463A88"/>
    <w:rsid w:val="00463FF3"/>
    <w:rsid w:val="00467625"/>
    <w:rsid w:val="00471FD1"/>
    <w:rsid w:val="00473121"/>
    <w:rsid w:val="00474A0D"/>
    <w:rsid w:val="00475371"/>
    <w:rsid w:val="0047748E"/>
    <w:rsid w:val="00480442"/>
    <w:rsid w:val="004811D3"/>
    <w:rsid w:val="0048261D"/>
    <w:rsid w:val="004857BE"/>
    <w:rsid w:val="004859AA"/>
    <w:rsid w:val="00492672"/>
    <w:rsid w:val="00493057"/>
    <w:rsid w:val="00497DE6"/>
    <w:rsid w:val="004A055B"/>
    <w:rsid w:val="004A3C78"/>
    <w:rsid w:val="004A5E97"/>
    <w:rsid w:val="004A6EB0"/>
    <w:rsid w:val="004A79A3"/>
    <w:rsid w:val="004B00FD"/>
    <w:rsid w:val="004C06C9"/>
    <w:rsid w:val="004C738B"/>
    <w:rsid w:val="004C79CA"/>
    <w:rsid w:val="004D046F"/>
    <w:rsid w:val="004D2E91"/>
    <w:rsid w:val="004D3894"/>
    <w:rsid w:val="004D4611"/>
    <w:rsid w:val="004D46D2"/>
    <w:rsid w:val="004D4F67"/>
    <w:rsid w:val="004D50F9"/>
    <w:rsid w:val="004E31AF"/>
    <w:rsid w:val="004E7707"/>
    <w:rsid w:val="004F1039"/>
    <w:rsid w:val="004F1BB2"/>
    <w:rsid w:val="004F2916"/>
    <w:rsid w:val="004F312A"/>
    <w:rsid w:val="004F6DC9"/>
    <w:rsid w:val="004F7279"/>
    <w:rsid w:val="0050273E"/>
    <w:rsid w:val="00504A5E"/>
    <w:rsid w:val="0050737B"/>
    <w:rsid w:val="00507C9D"/>
    <w:rsid w:val="00507CDF"/>
    <w:rsid w:val="00511136"/>
    <w:rsid w:val="005125BE"/>
    <w:rsid w:val="00512659"/>
    <w:rsid w:val="00515138"/>
    <w:rsid w:val="00517EF3"/>
    <w:rsid w:val="00520685"/>
    <w:rsid w:val="00520757"/>
    <w:rsid w:val="005247FE"/>
    <w:rsid w:val="00527092"/>
    <w:rsid w:val="0053109F"/>
    <w:rsid w:val="00531A58"/>
    <w:rsid w:val="00533B62"/>
    <w:rsid w:val="005363CC"/>
    <w:rsid w:val="00540F4F"/>
    <w:rsid w:val="00544D1F"/>
    <w:rsid w:val="005471C9"/>
    <w:rsid w:val="00547905"/>
    <w:rsid w:val="00564A79"/>
    <w:rsid w:val="00565692"/>
    <w:rsid w:val="0056615C"/>
    <w:rsid w:val="00566ED4"/>
    <w:rsid w:val="005705C6"/>
    <w:rsid w:val="00573BEC"/>
    <w:rsid w:val="00573F32"/>
    <w:rsid w:val="00574727"/>
    <w:rsid w:val="00585B0A"/>
    <w:rsid w:val="00585C26"/>
    <w:rsid w:val="00592113"/>
    <w:rsid w:val="00592F24"/>
    <w:rsid w:val="00593AFE"/>
    <w:rsid w:val="005942FC"/>
    <w:rsid w:val="005A3916"/>
    <w:rsid w:val="005B129B"/>
    <w:rsid w:val="005B2B23"/>
    <w:rsid w:val="005B57F2"/>
    <w:rsid w:val="005B78E9"/>
    <w:rsid w:val="005C0A0C"/>
    <w:rsid w:val="005C3544"/>
    <w:rsid w:val="005C601A"/>
    <w:rsid w:val="005D0082"/>
    <w:rsid w:val="005D03E5"/>
    <w:rsid w:val="005D36CB"/>
    <w:rsid w:val="005D3E17"/>
    <w:rsid w:val="005D4BAE"/>
    <w:rsid w:val="005E2131"/>
    <w:rsid w:val="005E35F1"/>
    <w:rsid w:val="005E3D9D"/>
    <w:rsid w:val="005E60BA"/>
    <w:rsid w:val="005E621F"/>
    <w:rsid w:val="005E7CAA"/>
    <w:rsid w:val="005F0B05"/>
    <w:rsid w:val="005F212F"/>
    <w:rsid w:val="005F2E9F"/>
    <w:rsid w:val="005F448C"/>
    <w:rsid w:val="005F7228"/>
    <w:rsid w:val="0060430A"/>
    <w:rsid w:val="00604DE0"/>
    <w:rsid w:val="00604F21"/>
    <w:rsid w:val="006063A5"/>
    <w:rsid w:val="00607223"/>
    <w:rsid w:val="00610A06"/>
    <w:rsid w:val="00610FD5"/>
    <w:rsid w:val="0061120E"/>
    <w:rsid w:val="006147B1"/>
    <w:rsid w:val="00614AEB"/>
    <w:rsid w:val="006175E5"/>
    <w:rsid w:val="006261CF"/>
    <w:rsid w:val="00626B49"/>
    <w:rsid w:val="00634A35"/>
    <w:rsid w:val="00634AAB"/>
    <w:rsid w:val="0063571F"/>
    <w:rsid w:val="00643407"/>
    <w:rsid w:val="00646621"/>
    <w:rsid w:val="006466DD"/>
    <w:rsid w:val="006522EE"/>
    <w:rsid w:val="006549D6"/>
    <w:rsid w:val="00656E53"/>
    <w:rsid w:val="00662FF0"/>
    <w:rsid w:val="006646BB"/>
    <w:rsid w:val="006647E7"/>
    <w:rsid w:val="00664FF5"/>
    <w:rsid w:val="0066582D"/>
    <w:rsid w:val="0067100B"/>
    <w:rsid w:val="006713B6"/>
    <w:rsid w:val="006713C1"/>
    <w:rsid w:val="00671F51"/>
    <w:rsid w:val="0067303F"/>
    <w:rsid w:val="00674075"/>
    <w:rsid w:val="00682AF0"/>
    <w:rsid w:val="00683559"/>
    <w:rsid w:val="00683792"/>
    <w:rsid w:val="00683F4D"/>
    <w:rsid w:val="006850D8"/>
    <w:rsid w:val="0068589E"/>
    <w:rsid w:val="006862EC"/>
    <w:rsid w:val="00686BED"/>
    <w:rsid w:val="00687667"/>
    <w:rsid w:val="00690576"/>
    <w:rsid w:val="00691117"/>
    <w:rsid w:val="00691192"/>
    <w:rsid w:val="006A133E"/>
    <w:rsid w:val="006A2664"/>
    <w:rsid w:val="006A3517"/>
    <w:rsid w:val="006A3E7A"/>
    <w:rsid w:val="006A5A1A"/>
    <w:rsid w:val="006A6529"/>
    <w:rsid w:val="006B2294"/>
    <w:rsid w:val="006B7D84"/>
    <w:rsid w:val="006C16B5"/>
    <w:rsid w:val="006C22C4"/>
    <w:rsid w:val="006C2DD4"/>
    <w:rsid w:val="006C4EC9"/>
    <w:rsid w:val="006D5A8D"/>
    <w:rsid w:val="006D7646"/>
    <w:rsid w:val="006E04FC"/>
    <w:rsid w:val="006F1564"/>
    <w:rsid w:val="006F20CC"/>
    <w:rsid w:val="006F2AFD"/>
    <w:rsid w:val="006F2BD0"/>
    <w:rsid w:val="006F4EDA"/>
    <w:rsid w:val="006F68B6"/>
    <w:rsid w:val="007017E6"/>
    <w:rsid w:val="0070411F"/>
    <w:rsid w:val="0070412B"/>
    <w:rsid w:val="007046CE"/>
    <w:rsid w:val="007104D8"/>
    <w:rsid w:val="0071478C"/>
    <w:rsid w:val="00716EE2"/>
    <w:rsid w:val="00716F19"/>
    <w:rsid w:val="007235BD"/>
    <w:rsid w:val="00730398"/>
    <w:rsid w:val="00732031"/>
    <w:rsid w:val="00734751"/>
    <w:rsid w:val="00746FB1"/>
    <w:rsid w:val="00747994"/>
    <w:rsid w:val="00750454"/>
    <w:rsid w:val="00750D00"/>
    <w:rsid w:val="0075180A"/>
    <w:rsid w:val="00754946"/>
    <w:rsid w:val="00762140"/>
    <w:rsid w:val="007622E4"/>
    <w:rsid w:val="007629BC"/>
    <w:rsid w:val="00762A50"/>
    <w:rsid w:val="0076534F"/>
    <w:rsid w:val="00765985"/>
    <w:rsid w:val="00766D61"/>
    <w:rsid w:val="00771D09"/>
    <w:rsid w:val="007736B5"/>
    <w:rsid w:val="00775444"/>
    <w:rsid w:val="007762B2"/>
    <w:rsid w:val="00777AEA"/>
    <w:rsid w:val="0078097F"/>
    <w:rsid w:val="00780EDB"/>
    <w:rsid w:val="007824B8"/>
    <w:rsid w:val="0078330C"/>
    <w:rsid w:val="00783941"/>
    <w:rsid w:val="00783D95"/>
    <w:rsid w:val="007846B5"/>
    <w:rsid w:val="00786B7C"/>
    <w:rsid w:val="00790101"/>
    <w:rsid w:val="00792883"/>
    <w:rsid w:val="0079403D"/>
    <w:rsid w:val="00795951"/>
    <w:rsid w:val="00796425"/>
    <w:rsid w:val="00796663"/>
    <w:rsid w:val="007A0BAE"/>
    <w:rsid w:val="007A1B7C"/>
    <w:rsid w:val="007A54F9"/>
    <w:rsid w:val="007B7129"/>
    <w:rsid w:val="007B7B4B"/>
    <w:rsid w:val="007C5D27"/>
    <w:rsid w:val="007C6449"/>
    <w:rsid w:val="007C69DE"/>
    <w:rsid w:val="007C7727"/>
    <w:rsid w:val="007D3A88"/>
    <w:rsid w:val="007D665D"/>
    <w:rsid w:val="007E3EBE"/>
    <w:rsid w:val="007E4254"/>
    <w:rsid w:val="007E4780"/>
    <w:rsid w:val="007E7532"/>
    <w:rsid w:val="007F18B2"/>
    <w:rsid w:val="0080004A"/>
    <w:rsid w:val="00800966"/>
    <w:rsid w:val="0080574A"/>
    <w:rsid w:val="00805D95"/>
    <w:rsid w:val="008109FF"/>
    <w:rsid w:val="0081143E"/>
    <w:rsid w:val="0081173D"/>
    <w:rsid w:val="0082307E"/>
    <w:rsid w:val="008237C1"/>
    <w:rsid w:val="00825FBB"/>
    <w:rsid w:val="00830326"/>
    <w:rsid w:val="008349D0"/>
    <w:rsid w:val="008366B8"/>
    <w:rsid w:val="00836F32"/>
    <w:rsid w:val="00837D9F"/>
    <w:rsid w:val="00845E1A"/>
    <w:rsid w:val="008461A9"/>
    <w:rsid w:val="00857F9F"/>
    <w:rsid w:val="00862796"/>
    <w:rsid w:val="0086562A"/>
    <w:rsid w:val="00865A53"/>
    <w:rsid w:val="00865E43"/>
    <w:rsid w:val="00867604"/>
    <w:rsid w:val="008701AB"/>
    <w:rsid w:val="00870C09"/>
    <w:rsid w:val="00871544"/>
    <w:rsid w:val="00873F92"/>
    <w:rsid w:val="00876480"/>
    <w:rsid w:val="00876F0D"/>
    <w:rsid w:val="008771BB"/>
    <w:rsid w:val="0088009A"/>
    <w:rsid w:val="00886153"/>
    <w:rsid w:val="0088689D"/>
    <w:rsid w:val="00887606"/>
    <w:rsid w:val="008915E8"/>
    <w:rsid w:val="008916C5"/>
    <w:rsid w:val="0089221E"/>
    <w:rsid w:val="008A06E5"/>
    <w:rsid w:val="008A0EEF"/>
    <w:rsid w:val="008A1318"/>
    <w:rsid w:val="008A1C3B"/>
    <w:rsid w:val="008A32B4"/>
    <w:rsid w:val="008A3D55"/>
    <w:rsid w:val="008A76ED"/>
    <w:rsid w:val="008B1043"/>
    <w:rsid w:val="008C07DD"/>
    <w:rsid w:val="008D1B56"/>
    <w:rsid w:val="008D5148"/>
    <w:rsid w:val="008D7D66"/>
    <w:rsid w:val="008E0262"/>
    <w:rsid w:val="008E218B"/>
    <w:rsid w:val="008E732E"/>
    <w:rsid w:val="008F52EC"/>
    <w:rsid w:val="008F78B9"/>
    <w:rsid w:val="00900E39"/>
    <w:rsid w:val="0090317D"/>
    <w:rsid w:val="00904FA1"/>
    <w:rsid w:val="009062D7"/>
    <w:rsid w:val="00913A57"/>
    <w:rsid w:val="0091474F"/>
    <w:rsid w:val="009164BF"/>
    <w:rsid w:val="009172DC"/>
    <w:rsid w:val="00917F55"/>
    <w:rsid w:val="009203DA"/>
    <w:rsid w:val="00923CCF"/>
    <w:rsid w:val="00924646"/>
    <w:rsid w:val="009269AF"/>
    <w:rsid w:val="0093213A"/>
    <w:rsid w:val="00935BD8"/>
    <w:rsid w:val="0093646C"/>
    <w:rsid w:val="0094021A"/>
    <w:rsid w:val="00940969"/>
    <w:rsid w:val="009506C3"/>
    <w:rsid w:val="00951E87"/>
    <w:rsid w:val="00953B22"/>
    <w:rsid w:val="00954303"/>
    <w:rsid w:val="00955D50"/>
    <w:rsid w:val="00960BA9"/>
    <w:rsid w:val="009638D7"/>
    <w:rsid w:val="00966681"/>
    <w:rsid w:val="0096684E"/>
    <w:rsid w:val="009674D6"/>
    <w:rsid w:val="009754C3"/>
    <w:rsid w:val="00976F0A"/>
    <w:rsid w:val="00976FFD"/>
    <w:rsid w:val="00983BA5"/>
    <w:rsid w:val="00984555"/>
    <w:rsid w:val="00986592"/>
    <w:rsid w:val="00987414"/>
    <w:rsid w:val="009874B0"/>
    <w:rsid w:val="009904E4"/>
    <w:rsid w:val="0099232D"/>
    <w:rsid w:val="009946BF"/>
    <w:rsid w:val="009A6E55"/>
    <w:rsid w:val="009A7E0E"/>
    <w:rsid w:val="009B5067"/>
    <w:rsid w:val="009C0B9C"/>
    <w:rsid w:val="009C2087"/>
    <w:rsid w:val="009C376F"/>
    <w:rsid w:val="009C4374"/>
    <w:rsid w:val="009C62CF"/>
    <w:rsid w:val="009D00E3"/>
    <w:rsid w:val="009D0F06"/>
    <w:rsid w:val="009D3CE7"/>
    <w:rsid w:val="009D5D85"/>
    <w:rsid w:val="009D6A4E"/>
    <w:rsid w:val="009E1872"/>
    <w:rsid w:val="009E2A70"/>
    <w:rsid w:val="009E489D"/>
    <w:rsid w:val="009E6F69"/>
    <w:rsid w:val="009F1D7E"/>
    <w:rsid w:val="009F1FB3"/>
    <w:rsid w:val="009F2C2D"/>
    <w:rsid w:val="009F4B0B"/>
    <w:rsid w:val="009F529C"/>
    <w:rsid w:val="009F62DA"/>
    <w:rsid w:val="00A00D21"/>
    <w:rsid w:val="00A06D6A"/>
    <w:rsid w:val="00A07015"/>
    <w:rsid w:val="00A0720F"/>
    <w:rsid w:val="00A07F97"/>
    <w:rsid w:val="00A146E2"/>
    <w:rsid w:val="00A15E05"/>
    <w:rsid w:val="00A23F5C"/>
    <w:rsid w:val="00A26DE7"/>
    <w:rsid w:val="00A336BA"/>
    <w:rsid w:val="00A33EDE"/>
    <w:rsid w:val="00A3600F"/>
    <w:rsid w:val="00A36A09"/>
    <w:rsid w:val="00A3773D"/>
    <w:rsid w:val="00A40A07"/>
    <w:rsid w:val="00A413D3"/>
    <w:rsid w:val="00A44D5B"/>
    <w:rsid w:val="00A50E79"/>
    <w:rsid w:val="00A51199"/>
    <w:rsid w:val="00A5271A"/>
    <w:rsid w:val="00A538C8"/>
    <w:rsid w:val="00A60423"/>
    <w:rsid w:val="00A60D75"/>
    <w:rsid w:val="00A62F69"/>
    <w:rsid w:val="00A6636C"/>
    <w:rsid w:val="00A6724A"/>
    <w:rsid w:val="00A7013F"/>
    <w:rsid w:val="00A75E03"/>
    <w:rsid w:val="00A81B51"/>
    <w:rsid w:val="00A839FD"/>
    <w:rsid w:val="00A840CC"/>
    <w:rsid w:val="00A87149"/>
    <w:rsid w:val="00A87351"/>
    <w:rsid w:val="00A94E24"/>
    <w:rsid w:val="00A952E0"/>
    <w:rsid w:val="00A95792"/>
    <w:rsid w:val="00A975A0"/>
    <w:rsid w:val="00AA2416"/>
    <w:rsid w:val="00AA3A65"/>
    <w:rsid w:val="00AA46DD"/>
    <w:rsid w:val="00AA4DEF"/>
    <w:rsid w:val="00AA5E01"/>
    <w:rsid w:val="00AA6C8C"/>
    <w:rsid w:val="00AA6F71"/>
    <w:rsid w:val="00AA7727"/>
    <w:rsid w:val="00AB18B5"/>
    <w:rsid w:val="00AB4957"/>
    <w:rsid w:val="00AB5DCE"/>
    <w:rsid w:val="00AC22DB"/>
    <w:rsid w:val="00AC4663"/>
    <w:rsid w:val="00AC5430"/>
    <w:rsid w:val="00AC789F"/>
    <w:rsid w:val="00AD03F8"/>
    <w:rsid w:val="00AD0EA0"/>
    <w:rsid w:val="00AD20FF"/>
    <w:rsid w:val="00AD63FB"/>
    <w:rsid w:val="00AD6734"/>
    <w:rsid w:val="00AE0B66"/>
    <w:rsid w:val="00AE2C05"/>
    <w:rsid w:val="00AE39D1"/>
    <w:rsid w:val="00AE6292"/>
    <w:rsid w:val="00AE78E5"/>
    <w:rsid w:val="00AE7C71"/>
    <w:rsid w:val="00AF0090"/>
    <w:rsid w:val="00AF34F3"/>
    <w:rsid w:val="00AF4D78"/>
    <w:rsid w:val="00AF7389"/>
    <w:rsid w:val="00AF7D68"/>
    <w:rsid w:val="00B03F69"/>
    <w:rsid w:val="00B04356"/>
    <w:rsid w:val="00B04A77"/>
    <w:rsid w:val="00B0580C"/>
    <w:rsid w:val="00B066E7"/>
    <w:rsid w:val="00B07689"/>
    <w:rsid w:val="00B1544A"/>
    <w:rsid w:val="00B1781E"/>
    <w:rsid w:val="00B20AEE"/>
    <w:rsid w:val="00B23BE2"/>
    <w:rsid w:val="00B243E1"/>
    <w:rsid w:val="00B25CA6"/>
    <w:rsid w:val="00B26191"/>
    <w:rsid w:val="00B26EE0"/>
    <w:rsid w:val="00B27536"/>
    <w:rsid w:val="00B327C2"/>
    <w:rsid w:val="00B3354B"/>
    <w:rsid w:val="00B349BB"/>
    <w:rsid w:val="00B34D5D"/>
    <w:rsid w:val="00B35CCC"/>
    <w:rsid w:val="00B43CBD"/>
    <w:rsid w:val="00B4542A"/>
    <w:rsid w:val="00B52324"/>
    <w:rsid w:val="00B52BE4"/>
    <w:rsid w:val="00B53425"/>
    <w:rsid w:val="00B5754B"/>
    <w:rsid w:val="00B6010B"/>
    <w:rsid w:val="00B624C3"/>
    <w:rsid w:val="00B62E00"/>
    <w:rsid w:val="00B6547A"/>
    <w:rsid w:val="00B676FE"/>
    <w:rsid w:val="00B70912"/>
    <w:rsid w:val="00B72414"/>
    <w:rsid w:val="00B73D7F"/>
    <w:rsid w:val="00B7404F"/>
    <w:rsid w:val="00B7619B"/>
    <w:rsid w:val="00B83977"/>
    <w:rsid w:val="00B83E7A"/>
    <w:rsid w:val="00B913AB"/>
    <w:rsid w:val="00B92193"/>
    <w:rsid w:val="00B93073"/>
    <w:rsid w:val="00B93DA3"/>
    <w:rsid w:val="00BA2D1B"/>
    <w:rsid w:val="00BA3143"/>
    <w:rsid w:val="00BA47C6"/>
    <w:rsid w:val="00BA64FF"/>
    <w:rsid w:val="00BB000C"/>
    <w:rsid w:val="00BB6CCA"/>
    <w:rsid w:val="00BC1062"/>
    <w:rsid w:val="00BC7CC7"/>
    <w:rsid w:val="00BD4B1A"/>
    <w:rsid w:val="00BD65E2"/>
    <w:rsid w:val="00BD7FD9"/>
    <w:rsid w:val="00BE05DE"/>
    <w:rsid w:val="00BE248B"/>
    <w:rsid w:val="00BE3E40"/>
    <w:rsid w:val="00BE5698"/>
    <w:rsid w:val="00BE6E4A"/>
    <w:rsid w:val="00BF43D0"/>
    <w:rsid w:val="00C026CF"/>
    <w:rsid w:val="00C0317B"/>
    <w:rsid w:val="00C03BE6"/>
    <w:rsid w:val="00C04397"/>
    <w:rsid w:val="00C04810"/>
    <w:rsid w:val="00C04A35"/>
    <w:rsid w:val="00C059F7"/>
    <w:rsid w:val="00C11D97"/>
    <w:rsid w:val="00C135E9"/>
    <w:rsid w:val="00C15947"/>
    <w:rsid w:val="00C166A3"/>
    <w:rsid w:val="00C20427"/>
    <w:rsid w:val="00C26096"/>
    <w:rsid w:val="00C27795"/>
    <w:rsid w:val="00C30BA9"/>
    <w:rsid w:val="00C3174B"/>
    <w:rsid w:val="00C32322"/>
    <w:rsid w:val="00C326CE"/>
    <w:rsid w:val="00C34B72"/>
    <w:rsid w:val="00C41AC8"/>
    <w:rsid w:val="00C4241C"/>
    <w:rsid w:val="00C451A4"/>
    <w:rsid w:val="00C45251"/>
    <w:rsid w:val="00C525F8"/>
    <w:rsid w:val="00C56DAC"/>
    <w:rsid w:val="00C579C4"/>
    <w:rsid w:val="00C57E34"/>
    <w:rsid w:val="00C609C0"/>
    <w:rsid w:val="00C60F60"/>
    <w:rsid w:val="00C62C04"/>
    <w:rsid w:val="00C62F7E"/>
    <w:rsid w:val="00C63357"/>
    <w:rsid w:val="00C652A2"/>
    <w:rsid w:val="00C70E6C"/>
    <w:rsid w:val="00C720F8"/>
    <w:rsid w:val="00C72919"/>
    <w:rsid w:val="00C735B0"/>
    <w:rsid w:val="00C77949"/>
    <w:rsid w:val="00C77B53"/>
    <w:rsid w:val="00C80EEB"/>
    <w:rsid w:val="00C82C4B"/>
    <w:rsid w:val="00C83C3C"/>
    <w:rsid w:val="00C8426B"/>
    <w:rsid w:val="00C84271"/>
    <w:rsid w:val="00C87EC7"/>
    <w:rsid w:val="00C92D9D"/>
    <w:rsid w:val="00C952F0"/>
    <w:rsid w:val="00C96AE3"/>
    <w:rsid w:val="00CA0CA3"/>
    <w:rsid w:val="00CA36B8"/>
    <w:rsid w:val="00CA5D6E"/>
    <w:rsid w:val="00CB03E5"/>
    <w:rsid w:val="00CB205A"/>
    <w:rsid w:val="00CB2309"/>
    <w:rsid w:val="00CB31F8"/>
    <w:rsid w:val="00CB6818"/>
    <w:rsid w:val="00CB78E9"/>
    <w:rsid w:val="00CC171A"/>
    <w:rsid w:val="00CC1C9B"/>
    <w:rsid w:val="00CC2042"/>
    <w:rsid w:val="00CC325F"/>
    <w:rsid w:val="00CC5645"/>
    <w:rsid w:val="00CC56C7"/>
    <w:rsid w:val="00CC6924"/>
    <w:rsid w:val="00CD45DF"/>
    <w:rsid w:val="00CE169F"/>
    <w:rsid w:val="00CE5145"/>
    <w:rsid w:val="00CE74A8"/>
    <w:rsid w:val="00CF13BD"/>
    <w:rsid w:val="00CF3461"/>
    <w:rsid w:val="00CF35FB"/>
    <w:rsid w:val="00CF3CA8"/>
    <w:rsid w:val="00CF5C8B"/>
    <w:rsid w:val="00CF5D33"/>
    <w:rsid w:val="00D00292"/>
    <w:rsid w:val="00D00A0F"/>
    <w:rsid w:val="00D013A2"/>
    <w:rsid w:val="00D016D1"/>
    <w:rsid w:val="00D04333"/>
    <w:rsid w:val="00D050DA"/>
    <w:rsid w:val="00D058BE"/>
    <w:rsid w:val="00D10221"/>
    <w:rsid w:val="00D10F80"/>
    <w:rsid w:val="00D15667"/>
    <w:rsid w:val="00D15EDE"/>
    <w:rsid w:val="00D22C77"/>
    <w:rsid w:val="00D22CF7"/>
    <w:rsid w:val="00D248CE"/>
    <w:rsid w:val="00D258F9"/>
    <w:rsid w:val="00D26A13"/>
    <w:rsid w:val="00D307EE"/>
    <w:rsid w:val="00D30D91"/>
    <w:rsid w:val="00D3460A"/>
    <w:rsid w:val="00D3551C"/>
    <w:rsid w:val="00D41247"/>
    <w:rsid w:val="00D41E9E"/>
    <w:rsid w:val="00D47BB5"/>
    <w:rsid w:val="00D519B5"/>
    <w:rsid w:val="00D51D2D"/>
    <w:rsid w:val="00D534C0"/>
    <w:rsid w:val="00D53D12"/>
    <w:rsid w:val="00D547CE"/>
    <w:rsid w:val="00D60C74"/>
    <w:rsid w:val="00D61BD9"/>
    <w:rsid w:val="00D724DE"/>
    <w:rsid w:val="00D73EE1"/>
    <w:rsid w:val="00D742C3"/>
    <w:rsid w:val="00D753BE"/>
    <w:rsid w:val="00D76999"/>
    <w:rsid w:val="00D76DD7"/>
    <w:rsid w:val="00D81482"/>
    <w:rsid w:val="00D8177C"/>
    <w:rsid w:val="00D81B0C"/>
    <w:rsid w:val="00D84B2A"/>
    <w:rsid w:val="00D85831"/>
    <w:rsid w:val="00D86E32"/>
    <w:rsid w:val="00D92A71"/>
    <w:rsid w:val="00D93F36"/>
    <w:rsid w:val="00D9401E"/>
    <w:rsid w:val="00D9528A"/>
    <w:rsid w:val="00D96C57"/>
    <w:rsid w:val="00D974D8"/>
    <w:rsid w:val="00DA0234"/>
    <w:rsid w:val="00DA2271"/>
    <w:rsid w:val="00DA2805"/>
    <w:rsid w:val="00DA2C4B"/>
    <w:rsid w:val="00DB1C94"/>
    <w:rsid w:val="00DC0581"/>
    <w:rsid w:val="00DC4A56"/>
    <w:rsid w:val="00DC4AF8"/>
    <w:rsid w:val="00DC5CB0"/>
    <w:rsid w:val="00DC63EE"/>
    <w:rsid w:val="00DE01D7"/>
    <w:rsid w:val="00DE41EC"/>
    <w:rsid w:val="00DE47DD"/>
    <w:rsid w:val="00DE5FE0"/>
    <w:rsid w:val="00DE74C8"/>
    <w:rsid w:val="00DF139C"/>
    <w:rsid w:val="00DF2F6D"/>
    <w:rsid w:val="00DF3475"/>
    <w:rsid w:val="00DF379B"/>
    <w:rsid w:val="00DF4A1B"/>
    <w:rsid w:val="00DF649F"/>
    <w:rsid w:val="00E00FC0"/>
    <w:rsid w:val="00E0179B"/>
    <w:rsid w:val="00E01F64"/>
    <w:rsid w:val="00E02289"/>
    <w:rsid w:val="00E02CBF"/>
    <w:rsid w:val="00E132C1"/>
    <w:rsid w:val="00E15490"/>
    <w:rsid w:val="00E2103E"/>
    <w:rsid w:val="00E252DF"/>
    <w:rsid w:val="00E260F1"/>
    <w:rsid w:val="00E30384"/>
    <w:rsid w:val="00E3473B"/>
    <w:rsid w:val="00E359E7"/>
    <w:rsid w:val="00E37539"/>
    <w:rsid w:val="00E42A7A"/>
    <w:rsid w:val="00E4445F"/>
    <w:rsid w:val="00E46A9A"/>
    <w:rsid w:val="00E47AE9"/>
    <w:rsid w:val="00E5549E"/>
    <w:rsid w:val="00E62780"/>
    <w:rsid w:val="00E71608"/>
    <w:rsid w:val="00E72251"/>
    <w:rsid w:val="00E730F5"/>
    <w:rsid w:val="00E73AFA"/>
    <w:rsid w:val="00E7635A"/>
    <w:rsid w:val="00E810B4"/>
    <w:rsid w:val="00E83C7E"/>
    <w:rsid w:val="00E840AE"/>
    <w:rsid w:val="00E914B7"/>
    <w:rsid w:val="00E944BD"/>
    <w:rsid w:val="00E972EC"/>
    <w:rsid w:val="00EA0C7F"/>
    <w:rsid w:val="00EA1799"/>
    <w:rsid w:val="00EA4B35"/>
    <w:rsid w:val="00EA5B88"/>
    <w:rsid w:val="00EA6AAC"/>
    <w:rsid w:val="00EA7C67"/>
    <w:rsid w:val="00EB4C4B"/>
    <w:rsid w:val="00EB4EA7"/>
    <w:rsid w:val="00EB5085"/>
    <w:rsid w:val="00EB7C54"/>
    <w:rsid w:val="00EC1734"/>
    <w:rsid w:val="00EC19A0"/>
    <w:rsid w:val="00EC2331"/>
    <w:rsid w:val="00EC4A92"/>
    <w:rsid w:val="00EC549B"/>
    <w:rsid w:val="00EC5C5A"/>
    <w:rsid w:val="00ED2306"/>
    <w:rsid w:val="00ED4D99"/>
    <w:rsid w:val="00ED789C"/>
    <w:rsid w:val="00EE0C93"/>
    <w:rsid w:val="00EE3912"/>
    <w:rsid w:val="00EE59FD"/>
    <w:rsid w:val="00EE628B"/>
    <w:rsid w:val="00EF0D55"/>
    <w:rsid w:val="00EF2ACA"/>
    <w:rsid w:val="00EF2FB9"/>
    <w:rsid w:val="00EF4012"/>
    <w:rsid w:val="00EF4963"/>
    <w:rsid w:val="00EF7F74"/>
    <w:rsid w:val="00F03C95"/>
    <w:rsid w:val="00F05636"/>
    <w:rsid w:val="00F11B9F"/>
    <w:rsid w:val="00F14AB6"/>
    <w:rsid w:val="00F16CEE"/>
    <w:rsid w:val="00F16EBB"/>
    <w:rsid w:val="00F17DA7"/>
    <w:rsid w:val="00F20B33"/>
    <w:rsid w:val="00F21C8B"/>
    <w:rsid w:val="00F222AC"/>
    <w:rsid w:val="00F2488F"/>
    <w:rsid w:val="00F31D10"/>
    <w:rsid w:val="00F36D4B"/>
    <w:rsid w:val="00F40FC8"/>
    <w:rsid w:val="00F41D00"/>
    <w:rsid w:val="00F42E5E"/>
    <w:rsid w:val="00F434B9"/>
    <w:rsid w:val="00F57EEE"/>
    <w:rsid w:val="00F60A12"/>
    <w:rsid w:val="00F6230E"/>
    <w:rsid w:val="00F6235E"/>
    <w:rsid w:val="00F64CD1"/>
    <w:rsid w:val="00F64FCF"/>
    <w:rsid w:val="00F6693B"/>
    <w:rsid w:val="00F72137"/>
    <w:rsid w:val="00F735F5"/>
    <w:rsid w:val="00F757F2"/>
    <w:rsid w:val="00F77C48"/>
    <w:rsid w:val="00F817F4"/>
    <w:rsid w:val="00F874C9"/>
    <w:rsid w:val="00F90396"/>
    <w:rsid w:val="00F971A3"/>
    <w:rsid w:val="00F978A7"/>
    <w:rsid w:val="00F979DA"/>
    <w:rsid w:val="00FA1AD0"/>
    <w:rsid w:val="00FA506A"/>
    <w:rsid w:val="00FA5292"/>
    <w:rsid w:val="00FA7276"/>
    <w:rsid w:val="00FB00AC"/>
    <w:rsid w:val="00FB38A8"/>
    <w:rsid w:val="00FB39CF"/>
    <w:rsid w:val="00FB4E1E"/>
    <w:rsid w:val="00FC276F"/>
    <w:rsid w:val="00FC3330"/>
    <w:rsid w:val="00FC3497"/>
    <w:rsid w:val="00FC3979"/>
    <w:rsid w:val="00FC5F0F"/>
    <w:rsid w:val="00FD18D6"/>
    <w:rsid w:val="00FD2BDF"/>
    <w:rsid w:val="00FD3B20"/>
    <w:rsid w:val="00FD6AA4"/>
    <w:rsid w:val="00FD7430"/>
    <w:rsid w:val="00FD7A3F"/>
    <w:rsid w:val="00FE0498"/>
    <w:rsid w:val="00FE17C0"/>
    <w:rsid w:val="00FE4086"/>
    <w:rsid w:val="00FE4964"/>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7C54"/>
    <w:rPr>
      <w:sz w:val="20"/>
      <w:szCs w:val="20"/>
    </w:rPr>
  </w:style>
  <w:style w:type="character" w:customStyle="1" w:styleId="FootnoteTextChar">
    <w:name w:val="Footnote Text Char"/>
    <w:basedOn w:val="DefaultParagraphFont"/>
    <w:link w:val="FootnoteText"/>
    <w:rsid w:val="00EB7C54"/>
    <w:rPr>
      <w:sz w:val="20"/>
      <w:szCs w:val="20"/>
    </w:rPr>
  </w:style>
  <w:style w:type="character" w:styleId="FootnoteReference">
    <w:name w:val="footnote reference"/>
    <w:basedOn w:val="DefaultParagraphFont"/>
    <w:semiHidden/>
    <w:unhideWhenUsed/>
    <w:rsid w:val="00EB7C54"/>
    <w:rPr>
      <w:vertAlign w:val="superscript"/>
    </w:rPr>
  </w:style>
  <w:style w:type="paragraph" w:styleId="ListBullet">
    <w:name w:val="List Bullet"/>
    <w:basedOn w:val="Normal"/>
    <w:uiPriority w:val="99"/>
    <w:unhideWhenUsed/>
    <w:rsid w:val="002833D6"/>
    <w:pPr>
      <w:numPr>
        <w:numId w:val="1"/>
      </w:numPr>
      <w:contextualSpacing/>
    </w:pPr>
  </w:style>
  <w:style w:type="paragraph" w:styleId="Header">
    <w:name w:val="header"/>
    <w:basedOn w:val="Normal"/>
    <w:link w:val="HeaderChar"/>
    <w:uiPriority w:val="99"/>
    <w:semiHidden/>
    <w:unhideWhenUsed/>
    <w:rsid w:val="00F42E5E"/>
    <w:pPr>
      <w:tabs>
        <w:tab w:val="center" w:pos="4513"/>
        <w:tab w:val="right" w:pos="9026"/>
      </w:tabs>
    </w:pPr>
  </w:style>
  <w:style w:type="character" w:customStyle="1" w:styleId="HeaderChar">
    <w:name w:val="Header Char"/>
    <w:basedOn w:val="DefaultParagraphFont"/>
    <w:link w:val="Header"/>
    <w:uiPriority w:val="99"/>
    <w:semiHidden/>
    <w:rsid w:val="00F42E5E"/>
  </w:style>
  <w:style w:type="paragraph" w:styleId="Footer">
    <w:name w:val="footer"/>
    <w:basedOn w:val="Normal"/>
    <w:link w:val="FooterChar"/>
    <w:uiPriority w:val="99"/>
    <w:unhideWhenUsed/>
    <w:rsid w:val="00F42E5E"/>
    <w:pPr>
      <w:tabs>
        <w:tab w:val="center" w:pos="4513"/>
        <w:tab w:val="right" w:pos="9026"/>
      </w:tabs>
    </w:pPr>
  </w:style>
  <w:style w:type="character" w:customStyle="1" w:styleId="FooterChar">
    <w:name w:val="Footer Char"/>
    <w:basedOn w:val="DefaultParagraphFont"/>
    <w:link w:val="Footer"/>
    <w:uiPriority w:val="99"/>
    <w:rsid w:val="00F42E5E"/>
  </w:style>
  <w:style w:type="character" w:styleId="SubtleEmphasis">
    <w:name w:val="Subtle Emphasis"/>
    <w:basedOn w:val="DefaultParagraphFont"/>
    <w:uiPriority w:val="19"/>
    <w:qFormat/>
    <w:rsid w:val="00440E4D"/>
    <w:rPr>
      <w:i/>
      <w:iCs/>
      <w:color w:val="808080" w:themeColor="text1" w:themeTint="7F"/>
    </w:rPr>
  </w:style>
  <w:style w:type="character" w:styleId="EndnoteReference">
    <w:name w:val="endnote reference"/>
    <w:basedOn w:val="DefaultParagraphFont"/>
    <w:uiPriority w:val="99"/>
    <w:semiHidden/>
    <w:rsid w:val="00DB1C94"/>
    <w:rPr>
      <w:vertAlign w:val="superscript"/>
    </w:rPr>
  </w:style>
  <w:style w:type="paragraph" w:styleId="EndnoteText">
    <w:name w:val="endnote text"/>
    <w:basedOn w:val="Normal"/>
    <w:link w:val="EndnoteTextChar"/>
    <w:autoRedefine/>
    <w:uiPriority w:val="99"/>
    <w:semiHidden/>
    <w:rsid w:val="00DB1C94"/>
    <w:pPr>
      <w:spacing w:line="480" w:lineRule="auto"/>
    </w:pPr>
    <w:rPr>
      <w:rFonts w:eastAsia="Times New Roman" w:cs="Times New Roman"/>
      <w:sz w:val="20"/>
      <w:szCs w:val="20"/>
      <w:lang w:val="en-US"/>
    </w:rPr>
  </w:style>
  <w:style w:type="character" w:customStyle="1" w:styleId="EndnoteTextChar">
    <w:name w:val="Endnote Text Char"/>
    <w:basedOn w:val="DefaultParagraphFont"/>
    <w:link w:val="EndnoteText"/>
    <w:uiPriority w:val="99"/>
    <w:rsid w:val="00DB1C94"/>
    <w:rPr>
      <w:rFonts w:eastAsia="Times New Roman" w:cs="Times New Roman"/>
      <w:sz w:val="20"/>
      <w:szCs w:val="20"/>
      <w:lang w:val="en-US"/>
    </w:rPr>
  </w:style>
  <w:style w:type="paragraph" w:styleId="BodyText">
    <w:name w:val="Body Text"/>
    <w:basedOn w:val="Normal"/>
    <w:link w:val="BodyTextChar"/>
    <w:uiPriority w:val="99"/>
    <w:rsid w:val="00A06D6A"/>
    <w:pPr>
      <w:spacing w:after="120"/>
    </w:pPr>
    <w:rPr>
      <w:rFonts w:eastAsia="Times New Roman" w:cs="Times New Roman"/>
      <w:sz w:val="20"/>
      <w:szCs w:val="20"/>
      <w:lang w:eastAsia="en-GB"/>
    </w:rPr>
  </w:style>
  <w:style w:type="character" w:customStyle="1" w:styleId="BodyTextChar">
    <w:name w:val="Body Text Char"/>
    <w:basedOn w:val="DefaultParagraphFont"/>
    <w:link w:val="BodyText"/>
    <w:uiPriority w:val="99"/>
    <w:rsid w:val="00A06D6A"/>
    <w:rPr>
      <w:rFonts w:eastAsia="Times New Roman" w:cs="Times New Roman"/>
      <w:sz w:val="20"/>
      <w:szCs w:val="20"/>
      <w:lang w:eastAsia="en-GB"/>
    </w:rPr>
  </w:style>
  <w:style w:type="character" w:styleId="Hyperlink">
    <w:name w:val="Hyperlink"/>
    <w:basedOn w:val="DefaultParagraphFont"/>
    <w:uiPriority w:val="99"/>
    <w:rsid w:val="00A336BA"/>
    <w:rPr>
      <w:color w:val="0000FF"/>
      <w:u w:val="single"/>
    </w:rPr>
  </w:style>
  <w:style w:type="paragraph" w:styleId="BalloonText">
    <w:name w:val="Balloon Text"/>
    <w:basedOn w:val="Normal"/>
    <w:link w:val="BalloonTextChar"/>
    <w:uiPriority w:val="99"/>
    <w:semiHidden/>
    <w:unhideWhenUsed/>
    <w:rsid w:val="00317DA5"/>
    <w:rPr>
      <w:rFonts w:ascii="Tahoma" w:hAnsi="Tahoma" w:cs="Tahoma"/>
      <w:sz w:val="16"/>
      <w:szCs w:val="16"/>
    </w:rPr>
  </w:style>
  <w:style w:type="character" w:customStyle="1" w:styleId="BalloonTextChar">
    <w:name w:val="Balloon Text Char"/>
    <w:basedOn w:val="DefaultParagraphFont"/>
    <w:link w:val="BalloonText"/>
    <w:uiPriority w:val="99"/>
    <w:semiHidden/>
    <w:rsid w:val="00317DA5"/>
    <w:rPr>
      <w:rFonts w:ascii="Tahoma" w:hAnsi="Tahoma" w:cs="Tahoma"/>
      <w:sz w:val="16"/>
      <w:szCs w:val="16"/>
    </w:rPr>
  </w:style>
  <w:style w:type="character" w:styleId="Strong">
    <w:name w:val="Strong"/>
    <w:basedOn w:val="DefaultParagraphFont"/>
    <w:uiPriority w:val="22"/>
    <w:qFormat/>
    <w:rsid w:val="0075180A"/>
    <w:rPr>
      <w:b/>
      <w:bCs/>
    </w:rPr>
  </w:style>
  <w:style w:type="paragraph" w:styleId="Subtitle">
    <w:name w:val="Subtitle"/>
    <w:basedOn w:val="Normal"/>
    <w:link w:val="SubtitleChar"/>
    <w:qFormat/>
    <w:rsid w:val="006F4EDA"/>
    <w:rPr>
      <w:rFonts w:eastAsia="Times New Roman" w:cs="Times New Roman"/>
      <w:smallCaps/>
      <w:szCs w:val="20"/>
      <w:lang w:eastAsia="en-GB"/>
    </w:rPr>
  </w:style>
  <w:style w:type="character" w:customStyle="1" w:styleId="SubtitleChar">
    <w:name w:val="Subtitle Char"/>
    <w:basedOn w:val="DefaultParagraphFont"/>
    <w:link w:val="Subtitle"/>
    <w:rsid w:val="006F4EDA"/>
    <w:rPr>
      <w:rFonts w:eastAsia="Times New Roman" w:cs="Times New Roman"/>
      <w:smallCaps/>
      <w:szCs w:val="20"/>
      <w:lang w:eastAsia="en-GB"/>
    </w:rPr>
  </w:style>
  <w:style w:type="character" w:customStyle="1" w:styleId="A9">
    <w:name w:val="A9"/>
    <w:rsid w:val="006F4EDA"/>
    <w:rPr>
      <w:rFonts w:cs="Time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B7C54"/>
    <w:rPr>
      <w:sz w:val="20"/>
      <w:szCs w:val="20"/>
    </w:rPr>
  </w:style>
  <w:style w:type="character" w:customStyle="1" w:styleId="FootnoteTextChar">
    <w:name w:val="Footnote Text Char"/>
    <w:basedOn w:val="DefaultParagraphFont"/>
    <w:link w:val="FootnoteText"/>
    <w:rsid w:val="00EB7C54"/>
    <w:rPr>
      <w:sz w:val="20"/>
      <w:szCs w:val="20"/>
    </w:rPr>
  </w:style>
  <w:style w:type="character" w:styleId="FootnoteReference">
    <w:name w:val="footnote reference"/>
    <w:basedOn w:val="DefaultParagraphFont"/>
    <w:semiHidden/>
    <w:unhideWhenUsed/>
    <w:rsid w:val="00EB7C54"/>
    <w:rPr>
      <w:vertAlign w:val="superscript"/>
    </w:rPr>
  </w:style>
  <w:style w:type="paragraph" w:styleId="ListBullet">
    <w:name w:val="List Bullet"/>
    <w:basedOn w:val="Normal"/>
    <w:uiPriority w:val="99"/>
    <w:unhideWhenUsed/>
    <w:rsid w:val="002833D6"/>
    <w:pPr>
      <w:numPr>
        <w:numId w:val="1"/>
      </w:numPr>
      <w:contextualSpacing/>
    </w:pPr>
  </w:style>
  <w:style w:type="paragraph" w:styleId="Header">
    <w:name w:val="header"/>
    <w:basedOn w:val="Normal"/>
    <w:link w:val="HeaderChar"/>
    <w:uiPriority w:val="99"/>
    <w:semiHidden/>
    <w:unhideWhenUsed/>
    <w:rsid w:val="00F42E5E"/>
    <w:pPr>
      <w:tabs>
        <w:tab w:val="center" w:pos="4513"/>
        <w:tab w:val="right" w:pos="9026"/>
      </w:tabs>
    </w:pPr>
  </w:style>
  <w:style w:type="character" w:customStyle="1" w:styleId="HeaderChar">
    <w:name w:val="Header Char"/>
    <w:basedOn w:val="DefaultParagraphFont"/>
    <w:link w:val="Header"/>
    <w:uiPriority w:val="99"/>
    <w:semiHidden/>
    <w:rsid w:val="00F42E5E"/>
  </w:style>
  <w:style w:type="paragraph" w:styleId="Footer">
    <w:name w:val="footer"/>
    <w:basedOn w:val="Normal"/>
    <w:link w:val="FooterChar"/>
    <w:uiPriority w:val="99"/>
    <w:unhideWhenUsed/>
    <w:rsid w:val="00F42E5E"/>
    <w:pPr>
      <w:tabs>
        <w:tab w:val="center" w:pos="4513"/>
        <w:tab w:val="right" w:pos="9026"/>
      </w:tabs>
    </w:pPr>
  </w:style>
  <w:style w:type="character" w:customStyle="1" w:styleId="FooterChar">
    <w:name w:val="Footer Char"/>
    <w:basedOn w:val="DefaultParagraphFont"/>
    <w:link w:val="Footer"/>
    <w:uiPriority w:val="99"/>
    <w:rsid w:val="00F42E5E"/>
  </w:style>
  <w:style w:type="character" w:styleId="SubtleEmphasis">
    <w:name w:val="Subtle Emphasis"/>
    <w:basedOn w:val="DefaultParagraphFont"/>
    <w:uiPriority w:val="19"/>
    <w:qFormat/>
    <w:rsid w:val="00440E4D"/>
    <w:rPr>
      <w:i/>
      <w:iCs/>
      <w:color w:val="808080" w:themeColor="text1" w:themeTint="7F"/>
    </w:rPr>
  </w:style>
  <w:style w:type="character" w:styleId="EndnoteReference">
    <w:name w:val="endnote reference"/>
    <w:basedOn w:val="DefaultParagraphFont"/>
    <w:uiPriority w:val="99"/>
    <w:semiHidden/>
    <w:rsid w:val="00DB1C94"/>
    <w:rPr>
      <w:vertAlign w:val="superscript"/>
    </w:rPr>
  </w:style>
  <w:style w:type="paragraph" w:styleId="EndnoteText">
    <w:name w:val="endnote text"/>
    <w:basedOn w:val="Normal"/>
    <w:link w:val="EndnoteTextChar"/>
    <w:autoRedefine/>
    <w:uiPriority w:val="99"/>
    <w:semiHidden/>
    <w:rsid w:val="00DB1C94"/>
    <w:pPr>
      <w:spacing w:line="480" w:lineRule="auto"/>
    </w:pPr>
    <w:rPr>
      <w:rFonts w:eastAsia="Times New Roman" w:cs="Times New Roman"/>
      <w:sz w:val="20"/>
      <w:szCs w:val="20"/>
      <w:lang w:val="en-US"/>
    </w:rPr>
  </w:style>
  <w:style w:type="character" w:customStyle="1" w:styleId="EndnoteTextChar">
    <w:name w:val="Endnote Text Char"/>
    <w:basedOn w:val="DefaultParagraphFont"/>
    <w:link w:val="EndnoteText"/>
    <w:uiPriority w:val="99"/>
    <w:rsid w:val="00DB1C94"/>
    <w:rPr>
      <w:rFonts w:eastAsia="Times New Roman" w:cs="Times New Roman"/>
      <w:sz w:val="20"/>
      <w:szCs w:val="20"/>
      <w:lang w:val="en-US"/>
    </w:rPr>
  </w:style>
  <w:style w:type="paragraph" w:styleId="BodyText">
    <w:name w:val="Body Text"/>
    <w:basedOn w:val="Normal"/>
    <w:link w:val="BodyTextChar"/>
    <w:uiPriority w:val="99"/>
    <w:rsid w:val="00A06D6A"/>
    <w:pPr>
      <w:spacing w:after="120"/>
    </w:pPr>
    <w:rPr>
      <w:rFonts w:eastAsia="Times New Roman" w:cs="Times New Roman"/>
      <w:sz w:val="20"/>
      <w:szCs w:val="20"/>
      <w:lang w:eastAsia="en-GB"/>
    </w:rPr>
  </w:style>
  <w:style w:type="character" w:customStyle="1" w:styleId="BodyTextChar">
    <w:name w:val="Body Text Char"/>
    <w:basedOn w:val="DefaultParagraphFont"/>
    <w:link w:val="BodyText"/>
    <w:uiPriority w:val="99"/>
    <w:rsid w:val="00A06D6A"/>
    <w:rPr>
      <w:rFonts w:eastAsia="Times New Roman" w:cs="Times New Roman"/>
      <w:sz w:val="20"/>
      <w:szCs w:val="20"/>
      <w:lang w:eastAsia="en-GB"/>
    </w:rPr>
  </w:style>
  <w:style w:type="character" w:styleId="Hyperlink">
    <w:name w:val="Hyperlink"/>
    <w:basedOn w:val="DefaultParagraphFont"/>
    <w:uiPriority w:val="99"/>
    <w:rsid w:val="00A336BA"/>
    <w:rPr>
      <w:color w:val="0000FF"/>
      <w:u w:val="single"/>
    </w:rPr>
  </w:style>
  <w:style w:type="paragraph" w:styleId="BalloonText">
    <w:name w:val="Balloon Text"/>
    <w:basedOn w:val="Normal"/>
    <w:link w:val="BalloonTextChar"/>
    <w:uiPriority w:val="99"/>
    <w:semiHidden/>
    <w:unhideWhenUsed/>
    <w:rsid w:val="00317DA5"/>
    <w:rPr>
      <w:rFonts w:ascii="Tahoma" w:hAnsi="Tahoma" w:cs="Tahoma"/>
      <w:sz w:val="16"/>
      <w:szCs w:val="16"/>
    </w:rPr>
  </w:style>
  <w:style w:type="character" w:customStyle="1" w:styleId="BalloonTextChar">
    <w:name w:val="Balloon Text Char"/>
    <w:basedOn w:val="DefaultParagraphFont"/>
    <w:link w:val="BalloonText"/>
    <w:uiPriority w:val="99"/>
    <w:semiHidden/>
    <w:rsid w:val="00317DA5"/>
    <w:rPr>
      <w:rFonts w:ascii="Tahoma" w:hAnsi="Tahoma" w:cs="Tahoma"/>
      <w:sz w:val="16"/>
      <w:szCs w:val="16"/>
    </w:rPr>
  </w:style>
  <w:style w:type="character" w:styleId="Strong">
    <w:name w:val="Strong"/>
    <w:basedOn w:val="DefaultParagraphFont"/>
    <w:uiPriority w:val="22"/>
    <w:qFormat/>
    <w:rsid w:val="0075180A"/>
    <w:rPr>
      <w:b/>
      <w:bCs/>
    </w:rPr>
  </w:style>
  <w:style w:type="paragraph" w:styleId="Subtitle">
    <w:name w:val="Subtitle"/>
    <w:basedOn w:val="Normal"/>
    <w:link w:val="SubtitleChar"/>
    <w:qFormat/>
    <w:rsid w:val="006F4EDA"/>
    <w:rPr>
      <w:rFonts w:eastAsia="Times New Roman" w:cs="Times New Roman"/>
      <w:smallCaps/>
      <w:szCs w:val="20"/>
      <w:lang w:eastAsia="en-GB"/>
    </w:rPr>
  </w:style>
  <w:style w:type="character" w:customStyle="1" w:styleId="SubtitleChar">
    <w:name w:val="Subtitle Char"/>
    <w:basedOn w:val="DefaultParagraphFont"/>
    <w:link w:val="Subtitle"/>
    <w:rsid w:val="006F4EDA"/>
    <w:rPr>
      <w:rFonts w:eastAsia="Times New Roman" w:cs="Times New Roman"/>
      <w:smallCaps/>
      <w:szCs w:val="20"/>
      <w:lang w:eastAsia="en-GB"/>
    </w:rPr>
  </w:style>
  <w:style w:type="character" w:customStyle="1" w:styleId="A9">
    <w:name w:val="A9"/>
    <w:rsid w:val="006F4EDA"/>
    <w:rPr>
      <w:rFonts w:cs="Time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4787">
      <w:bodyDiv w:val="1"/>
      <w:marLeft w:val="0"/>
      <w:marRight w:val="0"/>
      <w:marTop w:val="0"/>
      <w:marBottom w:val="0"/>
      <w:divBdr>
        <w:top w:val="none" w:sz="0" w:space="0" w:color="auto"/>
        <w:left w:val="none" w:sz="0" w:space="0" w:color="auto"/>
        <w:bottom w:val="none" w:sz="0" w:space="0" w:color="auto"/>
        <w:right w:val="none" w:sz="0" w:space="0" w:color="auto"/>
      </w:divBdr>
      <w:divsChild>
        <w:div w:id="1580479837">
          <w:marLeft w:val="600"/>
          <w:marRight w:val="300"/>
          <w:marTop w:val="0"/>
          <w:marBottom w:val="0"/>
          <w:divBdr>
            <w:top w:val="none" w:sz="0" w:space="0" w:color="auto"/>
            <w:left w:val="none" w:sz="0" w:space="0" w:color="auto"/>
            <w:bottom w:val="none" w:sz="0" w:space="0" w:color="auto"/>
            <w:right w:val="none" w:sz="0" w:space="0" w:color="auto"/>
          </w:divBdr>
          <w:divsChild>
            <w:div w:id="569654942">
              <w:marLeft w:val="0"/>
              <w:marRight w:val="0"/>
              <w:marTop w:val="0"/>
              <w:marBottom w:val="0"/>
              <w:divBdr>
                <w:top w:val="none" w:sz="0" w:space="0" w:color="auto"/>
                <w:left w:val="none" w:sz="0" w:space="0" w:color="auto"/>
                <w:bottom w:val="none" w:sz="0" w:space="0" w:color="auto"/>
                <w:right w:val="none" w:sz="0" w:space="0" w:color="auto"/>
              </w:divBdr>
              <w:divsChild>
                <w:div w:id="21442561">
                  <w:marLeft w:val="900"/>
                  <w:marRight w:val="0"/>
                  <w:marTop w:val="0"/>
                  <w:marBottom w:val="0"/>
                  <w:divBdr>
                    <w:top w:val="none" w:sz="0" w:space="0" w:color="auto"/>
                    <w:left w:val="none" w:sz="0" w:space="0" w:color="auto"/>
                    <w:bottom w:val="none" w:sz="0" w:space="0" w:color="auto"/>
                    <w:right w:val="none" w:sz="0" w:space="0" w:color="auto"/>
                  </w:divBdr>
                  <w:divsChild>
                    <w:div w:id="15372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1715">
      <w:bodyDiv w:val="1"/>
      <w:marLeft w:val="0"/>
      <w:marRight w:val="0"/>
      <w:marTop w:val="0"/>
      <w:marBottom w:val="0"/>
      <w:divBdr>
        <w:top w:val="none" w:sz="0" w:space="0" w:color="auto"/>
        <w:left w:val="none" w:sz="0" w:space="0" w:color="auto"/>
        <w:bottom w:val="none" w:sz="0" w:space="0" w:color="auto"/>
        <w:right w:val="none" w:sz="0" w:space="0" w:color="auto"/>
      </w:divBdr>
      <w:divsChild>
        <w:div w:id="1790859783">
          <w:marLeft w:val="600"/>
          <w:marRight w:val="300"/>
          <w:marTop w:val="0"/>
          <w:marBottom w:val="0"/>
          <w:divBdr>
            <w:top w:val="none" w:sz="0" w:space="0" w:color="auto"/>
            <w:left w:val="none" w:sz="0" w:space="0" w:color="auto"/>
            <w:bottom w:val="none" w:sz="0" w:space="0" w:color="auto"/>
            <w:right w:val="none" w:sz="0" w:space="0" w:color="auto"/>
          </w:divBdr>
          <w:divsChild>
            <w:div w:id="1395277501">
              <w:marLeft w:val="0"/>
              <w:marRight w:val="0"/>
              <w:marTop w:val="0"/>
              <w:marBottom w:val="0"/>
              <w:divBdr>
                <w:top w:val="none" w:sz="0" w:space="0" w:color="auto"/>
                <w:left w:val="none" w:sz="0" w:space="0" w:color="auto"/>
                <w:bottom w:val="none" w:sz="0" w:space="0" w:color="auto"/>
                <w:right w:val="none" w:sz="0" w:space="0" w:color="auto"/>
              </w:divBdr>
              <w:divsChild>
                <w:div w:id="896621473">
                  <w:marLeft w:val="900"/>
                  <w:marRight w:val="0"/>
                  <w:marTop w:val="0"/>
                  <w:marBottom w:val="0"/>
                  <w:divBdr>
                    <w:top w:val="none" w:sz="0" w:space="0" w:color="auto"/>
                    <w:left w:val="none" w:sz="0" w:space="0" w:color="auto"/>
                    <w:bottom w:val="none" w:sz="0" w:space="0" w:color="auto"/>
                    <w:right w:val="none" w:sz="0" w:space="0" w:color="auto"/>
                  </w:divBdr>
                  <w:divsChild>
                    <w:div w:id="6840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ibniz-bibliographie.de/DB=1.95/SET=2/TTL=1/MAT=/NOMAT=T/CLK?IKT=8062&amp;TRM=Pluralita%CC%88t+der+Perspektiven+und+Einheit+der+Wahrheit+im+Werk+von+G.+W.+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28F3-D1C7-4017-BC45-8F0FE7C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8668</Words>
  <Characters>49413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Antognazza, Maria Rosa</cp:lastModifiedBy>
  <cp:revision>6</cp:revision>
  <cp:lastPrinted>2014-08-14T12:24:00Z</cp:lastPrinted>
  <dcterms:created xsi:type="dcterms:W3CDTF">2014-08-14T15:22:00Z</dcterms:created>
  <dcterms:modified xsi:type="dcterms:W3CDTF">2014-08-14T15:37:00Z</dcterms:modified>
</cp:coreProperties>
</file>