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7FC6" w14:textId="2502E6E9" w:rsidR="008B3A5E" w:rsidRPr="008B3A5E" w:rsidRDefault="008B3A5E" w:rsidP="008B3A5E">
      <w:pPr>
        <w:pStyle w:val="FootnoteText"/>
        <w:spacing w:line="480" w:lineRule="auto"/>
        <w:rPr>
          <w:rFonts w:ascii="Times New Roman" w:hAnsi="Times New Roman" w:cs="Times New Roman"/>
          <w:color w:val="333333"/>
          <w:shd w:val="clear" w:color="auto" w:fill="FFFFFF"/>
        </w:rPr>
      </w:pPr>
      <w:r w:rsidRPr="008B3A5E">
        <w:rPr>
          <w:rFonts w:ascii="Times New Roman" w:hAnsi="Times New Roman" w:cs="Times New Roman"/>
          <w:color w:val="333333"/>
          <w:shd w:val="clear" w:color="auto" w:fill="FFFFFF"/>
        </w:rPr>
        <w:t>Accepted version:</w:t>
      </w:r>
    </w:p>
    <w:p w14:paraId="325293F5" w14:textId="77777777" w:rsidR="008B3A5E" w:rsidRPr="008B3A5E" w:rsidRDefault="008B3A5E" w:rsidP="008B3A5E">
      <w:pPr>
        <w:pStyle w:val="FootnoteText"/>
        <w:spacing w:line="480" w:lineRule="auto"/>
        <w:rPr>
          <w:rFonts w:ascii="Times New Roman" w:hAnsi="Times New Roman" w:cs="Times New Roman"/>
          <w:color w:val="333333"/>
          <w:shd w:val="clear" w:color="auto" w:fill="FFFFFF"/>
        </w:rPr>
      </w:pPr>
    </w:p>
    <w:p w14:paraId="4A0A97DA" w14:textId="4ECDF366" w:rsidR="00211872" w:rsidRPr="008B3A5E" w:rsidRDefault="008B3A5E"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color w:val="333333"/>
          <w:shd w:val="clear" w:color="auto" w:fill="FFFFFF"/>
        </w:rPr>
        <w:t>Arango A. Social enactivism about perception—reply to McGann. </w:t>
      </w:r>
      <w:r w:rsidRPr="008B3A5E">
        <w:rPr>
          <w:rFonts w:ascii="Times New Roman" w:hAnsi="Times New Roman" w:cs="Times New Roman"/>
          <w:i/>
          <w:iCs/>
          <w:color w:val="333333"/>
          <w:shd w:val="clear" w:color="auto" w:fill="FFFFFF"/>
        </w:rPr>
        <w:t>Adaptive Behavior</w:t>
      </w:r>
      <w:r w:rsidRPr="008B3A5E">
        <w:rPr>
          <w:rFonts w:ascii="Times New Roman" w:hAnsi="Times New Roman" w:cs="Times New Roman"/>
          <w:color w:val="333333"/>
          <w:shd w:val="clear" w:color="auto" w:fill="FFFFFF"/>
        </w:rPr>
        <w:t>. 2019;27(2):161-162. doi:</w:t>
      </w:r>
      <w:hyperlink r:id="rId4" w:history="1">
        <w:r w:rsidRPr="008B3A5E">
          <w:rPr>
            <w:rStyle w:val="Hyperlink"/>
            <w:rFonts w:ascii="Times New Roman" w:hAnsi="Times New Roman" w:cs="Times New Roman"/>
            <w:color w:val="006ACC"/>
            <w:shd w:val="clear" w:color="auto" w:fill="FFFFFF"/>
          </w:rPr>
          <w:t>10.1177/1059712319835162</w:t>
        </w:r>
      </w:hyperlink>
    </w:p>
    <w:p w14:paraId="59888649" w14:textId="77777777" w:rsidR="00211872" w:rsidRPr="008B3A5E" w:rsidRDefault="00211872" w:rsidP="008B3A5E">
      <w:pPr>
        <w:pStyle w:val="FootnoteText"/>
        <w:spacing w:line="480" w:lineRule="auto"/>
        <w:rPr>
          <w:rFonts w:ascii="Times New Roman" w:hAnsi="Times New Roman" w:cs="Times New Roman"/>
          <w:sz w:val="18"/>
          <w:szCs w:val="18"/>
        </w:rPr>
      </w:pPr>
    </w:p>
    <w:p w14:paraId="5E22222D" w14:textId="77777777" w:rsidR="008B3A5E" w:rsidRPr="008B3A5E" w:rsidRDefault="008B3A5E" w:rsidP="008B3A5E">
      <w:pPr>
        <w:pStyle w:val="FootnoteText"/>
        <w:spacing w:line="480" w:lineRule="auto"/>
        <w:rPr>
          <w:rFonts w:ascii="Times New Roman" w:hAnsi="Times New Roman" w:cs="Times New Roman"/>
          <w:sz w:val="18"/>
          <w:szCs w:val="18"/>
        </w:rPr>
      </w:pPr>
    </w:p>
    <w:p w14:paraId="3097963C" w14:textId="7B61485D" w:rsidR="00FA147D" w:rsidRPr="008B3A5E" w:rsidRDefault="007E4870"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Social </w:t>
      </w:r>
      <w:r w:rsidR="008C58E6" w:rsidRPr="008B3A5E">
        <w:rPr>
          <w:rFonts w:ascii="Times New Roman" w:hAnsi="Times New Roman" w:cs="Times New Roman"/>
          <w:sz w:val="18"/>
          <w:szCs w:val="18"/>
        </w:rPr>
        <w:t xml:space="preserve">enactivism about perception - </w:t>
      </w:r>
      <w:r w:rsidR="00FA147D" w:rsidRPr="008B3A5E">
        <w:rPr>
          <w:rFonts w:ascii="Times New Roman" w:hAnsi="Times New Roman" w:cs="Times New Roman"/>
          <w:sz w:val="18"/>
          <w:szCs w:val="18"/>
        </w:rPr>
        <w:t>Reply to McGann</w:t>
      </w:r>
    </w:p>
    <w:p w14:paraId="426B3AE3" w14:textId="77777777" w:rsidR="00D838CF" w:rsidRPr="008B3A5E" w:rsidRDefault="00D838CF" w:rsidP="008B3A5E">
      <w:pPr>
        <w:pStyle w:val="FootnoteText"/>
        <w:spacing w:line="480" w:lineRule="auto"/>
        <w:rPr>
          <w:rFonts w:ascii="Times New Roman" w:hAnsi="Times New Roman" w:cs="Times New Roman"/>
          <w:sz w:val="18"/>
          <w:szCs w:val="18"/>
        </w:rPr>
      </w:pPr>
    </w:p>
    <w:p w14:paraId="26BEEE0F" w14:textId="507EDC24" w:rsidR="001E18A6" w:rsidRPr="008B3A5E" w:rsidRDefault="001E18A6"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I celebrate that </w:t>
      </w:r>
      <w:r w:rsidR="00D838CF" w:rsidRPr="008B3A5E">
        <w:rPr>
          <w:rFonts w:ascii="Times New Roman" w:hAnsi="Times New Roman" w:cs="Times New Roman"/>
          <w:sz w:val="18"/>
          <w:szCs w:val="18"/>
        </w:rPr>
        <w:t xml:space="preserve">Marek McGann </w:t>
      </w:r>
      <w:r w:rsidRPr="008B3A5E">
        <w:rPr>
          <w:rFonts w:ascii="Times New Roman" w:hAnsi="Times New Roman" w:cs="Times New Roman"/>
          <w:sz w:val="18"/>
          <w:szCs w:val="18"/>
        </w:rPr>
        <w:t xml:space="preserve">has taken this opportunity to provide readers with a </w:t>
      </w:r>
      <w:r w:rsidR="005A1D62" w:rsidRPr="008B3A5E">
        <w:rPr>
          <w:rFonts w:ascii="Times New Roman" w:hAnsi="Times New Roman" w:cs="Times New Roman"/>
          <w:sz w:val="18"/>
          <w:szCs w:val="18"/>
        </w:rPr>
        <w:t>wealth</w:t>
      </w:r>
      <w:r w:rsidR="006A5CC9" w:rsidRPr="008B3A5E">
        <w:rPr>
          <w:rFonts w:ascii="Times New Roman" w:hAnsi="Times New Roman" w:cs="Times New Roman"/>
          <w:sz w:val="18"/>
          <w:szCs w:val="18"/>
        </w:rPr>
        <w:t xml:space="preserve"> </w:t>
      </w:r>
      <w:r w:rsidRPr="008B3A5E">
        <w:rPr>
          <w:rFonts w:ascii="Times New Roman" w:hAnsi="Times New Roman" w:cs="Times New Roman"/>
          <w:sz w:val="18"/>
          <w:szCs w:val="18"/>
        </w:rPr>
        <w:t>of resources in participatory sense-making</w:t>
      </w:r>
      <w:r w:rsidR="00D838CF" w:rsidRPr="008B3A5E">
        <w:rPr>
          <w:rFonts w:ascii="Times New Roman" w:hAnsi="Times New Roman" w:cs="Times New Roman"/>
          <w:sz w:val="18"/>
          <w:szCs w:val="18"/>
        </w:rPr>
        <w:t xml:space="preserve"> enactivism</w:t>
      </w:r>
      <w:r w:rsidR="006A5CC9" w:rsidRPr="008B3A5E">
        <w:rPr>
          <w:rFonts w:ascii="Times New Roman" w:hAnsi="Times New Roman" w:cs="Times New Roman"/>
          <w:sz w:val="18"/>
          <w:szCs w:val="18"/>
        </w:rPr>
        <w:t xml:space="preserve">. McGann </w:t>
      </w:r>
      <w:r w:rsidR="00D838CF" w:rsidRPr="008B3A5E">
        <w:rPr>
          <w:rFonts w:ascii="Times New Roman" w:hAnsi="Times New Roman" w:cs="Times New Roman"/>
          <w:sz w:val="18"/>
          <w:szCs w:val="18"/>
        </w:rPr>
        <w:t>points out</w:t>
      </w:r>
      <w:r w:rsidR="006A5CC9" w:rsidRPr="008B3A5E">
        <w:rPr>
          <w:rFonts w:ascii="Times New Roman" w:hAnsi="Times New Roman" w:cs="Times New Roman"/>
          <w:sz w:val="18"/>
          <w:szCs w:val="18"/>
        </w:rPr>
        <w:t xml:space="preserve"> correctly that I did not </w:t>
      </w:r>
      <w:proofErr w:type="gramStart"/>
      <w:r w:rsidR="006A5CC9" w:rsidRPr="008B3A5E">
        <w:rPr>
          <w:rFonts w:ascii="Times New Roman" w:hAnsi="Times New Roman" w:cs="Times New Roman"/>
          <w:sz w:val="18"/>
          <w:szCs w:val="18"/>
        </w:rPr>
        <w:t>mentioned</w:t>
      </w:r>
      <w:proofErr w:type="gramEnd"/>
      <w:r w:rsidR="006A5CC9" w:rsidRPr="008B3A5E">
        <w:rPr>
          <w:rFonts w:ascii="Times New Roman" w:hAnsi="Times New Roman" w:cs="Times New Roman"/>
          <w:sz w:val="18"/>
          <w:szCs w:val="18"/>
        </w:rPr>
        <w:t xml:space="preserve"> them in my article</w:t>
      </w:r>
      <w:r w:rsidR="00D838CF" w:rsidRPr="008B3A5E">
        <w:rPr>
          <w:rFonts w:ascii="Times New Roman" w:hAnsi="Times New Roman" w:cs="Times New Roman"/>
          <w:sz w:val="18"/>
          <w:szCs w:val="18"/>
        </w:rPr>
        <w:t>. I am grateful for th</w:t>
      </w:r>
      <w:r w:rsidR="00B53146" w:rsidRPr="008B3A5E">
        <w:rPr>
          <w:rFonts w:ascii="Times New Roman" w:hAnsi="Times New Roman" w:cs="Times New Roman"/>
          <w:sz w:val="18"/>
          <w:szCs w:val="18"/>
        </w:rPr>
        <w:t>is</w:t>
      </w:r>
      <w:r w:rsidR="00D838CF" w:rsidRPr="008B3A5E">
        <w:rPr>
          <w:rFonts w:ascii="Times New Roman" w:hAnsi="Times New Roman" w:cs="Times New Roman"/>
          <w:sz w:val="18"/>
          <w:szCs w:val="18"/>
        </w:rPr>
        <w:t xml:space="preserve"> opportunity to </w:t>
      </w:r>
      <w:r w:rsidR="00B63A21" w:rsidRPr="008B3A5E">
        <w:rPr>
          <w:rFonts w:ascii="Times New Roman" w:hAnsi="Times New Roman" w:cs="Times New Roman"/>
          <w:sz w:val="18"/>
          <w:szCs w:val="18"/>
        </w:rPr>
        <w:t xml:space="preserve">further </w:t>
      </w:r>
      <w:r w:rsidR="00D838CF" w:rsidRPr="008B3A5E">
        <w:rPr>
          <w:rFonts w:ascii="Times New Roman" w:hAnsi="Times New Roman" w:cs="Times New Roman"/>
          <w:sz w:val="18"/>
          <w:szCs w:val="18"/>
        </w:rPr>
        <w:t xml:space="preserve">engage in conversation about </w:t>
      </w:r>
      <w:r w:rsidR="005A1D62" w:rsidRPr="008B3A5E">
        <w:rPr>
          <w:rFonts w:ascii="Times New Roman" w:hAnsi="Times New Roman" w:cs="Times New Roman"/>
          <w:sz w:val="18"/>
          <w:szCs w:val="18"/>
        </w:rPr>
        <w:t>perception, enactivism</w:t>
      </w:r>
      <w:r w:rsidR="009F7D48" w:rsidRPr="008B3A5E">
        <w:rPr>
          <w:rFonts w:ascii="Times New Roman" w:hAnsi="Times New Roman" w:cs="Times New Roman"/>
          <w:sz w:val="18"/>
          <w:szCs w:val="18"/>
        </w:rPr>
        <w:t>,</w:t>
      </w:r>
      <w:r w:rsidR="005A1D62" w:rsidRPr="008B3A5E">
        <w:rPr>
          <w:rFonts w:ascii="Times New Roman" w:hAnsi="Times New Roman" w:cs="Times New Roman"/>
          <w:sz w:val="18"/>
          <w:szCs w:val="18"/>
        </w:rPr>
        <w:t xml:space="preserve"> and</w:t>
      </w:r>
      <w:r w:rsidR="009F7D48" w:rsidRPr="008B3A5E">
        <w:rPr>
          <w:rFonts w:ascii="Times New Roman" w:hAnsi="Times New Roman" w:cs="Times New Roman"/>
          <w:sz w:val="18"/>
          <w:szCs w:val="18"/>
        </w:rPr>
        <w:t xml:space="preserve"> sociality</w:t>
      </w:r>
      <w:r w:rsidR="00D838CF" w:rsidRPr="008B3A5E">
        <w:rPr>
          <w:rFonts w:ascii="Times New Roman" w:hAnsi="Times New Roman" w:cs="Times New Roman"/>
          <w:sz w:val="18"/>
          <w:szCs w:val="18"/>
        </w:rPr>
        <w:t xml:space="preserve">. </w:t>
      </w:r>
    </w:p>
    <w:p w14:paraId="05BF75E4" w14:textId="77777777" w:rsidR="001E18A6" w:rsidRPr="008B3A5E" w:rsidRDefault="001E18A6" w:rsidP="008B3A5E">
      <w:pPr>
        <w:pStyle w:val="FootnoteText"/>
        <w:spacing w:line="480" w:lineRule="auto"/>
        <w:rPr>
          <w:rFonts w:ascii="Times New Roman" w:hAnsi="Times New Roman" w:cs="Times New Roman"/>
          <w:sz w:val="18"/>
          <w:szCs w:val="18"/>
        </w:rPr>
      </w:pPr>
    </w:p>
    <w:p w14:paraId="1D1A6766" w14:textId="288980AC" w:rsidR="007E4870" w:rsidRPr="008B3A5E" w:rsidRDefault="001E18A6"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I first wish to make clarity about the scope of my account</w:t>
      </w:r>
      <w:r w:rsidR="00EF6155" w:rsidRPr="008B3A5E">
        <w:rPr>
          <w:rFonts w:ascii="Times New Roman" w:hAnsi="Times New Roman" w:cs="Times New Roman"/>
          <w:sz w:val="18"/>
          <w:szCs w:val="18"/>
        </w:rPr>
        <w:t xml:space="preserve">. </w:t>
      </w:r>
      <w:r w:rsidR="00D838CF" w:rsidRPr="008B3A5E">
        <w:rPr>
          <w:rFonts w:ascii="Times New Roman" w:hAnsi="Times New Roman" w:cs="Times New Roman"/>
          <w:sz w:val="18"/>
          <w:szCs w:val="18"/>
        </w:rPr>
        <w:t xml:space="preserve">My </w:t>
      </w:r>
      <w:r w:rsidR="00EF6155" w:rsidRPr="008B3A5E">
        <w:rPr>
          <w:rFonts w:ascii="Times New Roman" w:hAnsi="Times New Roman" w:cs="Times New Roman"/>
          <w:sz w:val="18"/>
          <w:szCs w:val="18"/>
        </w:rPr>
        <w:t xml:space="preserve">focus </w:t>
      </w:r>
      <w:r w:rsidR="00D838CF" w:rsidRPr="008B3A5E">
        <w:rPr>
          <w:rFonts w:ascii="Times New Roman" w:hAnsi="Times New Roman" w:cs="Times New Roman"/>
          <w:sz w:val="18"/>
          <w:szCs w:val="18"/>
        </w:rPr>
        <w:t xml:space="preserve">is </w:t>
      </w:r>
      <w:r w:rsidRPr="008B3A5E">
        <w:rPr>
          <w:rFonts w:ascii="Times New Roman" w:hAnsi="Times New Roman" w:cs="Times New Roman"/>
          <w:i/>
          <w:sz w:val="18"/>
          <w:szCs w:val="18"/>
        </w:rPr>
        <w:t>enactivism</w:t>
      </w:r>
      <w:r w:rsidRPr="008B3A5E">
        <w:rPr>
          <w:rFonts w:ascii="Times New Roman" w:hAnsi="Times New Roman" w:cs="Times New Roman"/>
          <w:sz w:val="18"/>
          <w:szCs w:val="18"/>
        </w:rPr>
        <w:t xml:space="preserve"> </w:t>
      </w:r>
      <w:r w:rsidRPr="008B3A5E">
        <w:rPr>
          <w:rFonts w:ascii="Times New Roman" w:hAnsi="Times New Roman" w:cs="Times New Roman"/>
          <w:i/>
          <w:sz w:val="18"/>
          <w:szCs w:val="18"/>
        </w:rPr>
        <w:t>about perception</w:t>
      </w:r>
      <w:r w:rsidR="00B63A21" w:rsidRPr="008B3A5E">
        <w:rPr>
          <w:rFonts w:ascii="Times New Roman" w:hAnsi="Times New Roman" w:cs="Times New Roman"/>
          <w:sz w:val="18"/>
          <w:szCs w:val="18"/>
        </w:rPr>
        <w:t xml:space="preserve">. I think this is vastly clear in my article, from the first paragraph on. I acknowledge, though, that </w:t>
      </w:r>
      <w:r w:rsidR="008B3A5E" w:rsidRPr="008B3A5E">
        <w:rPr>
          <w:rFonts w:ascii="Times New Roman" w:hAnsi="Times New Roman" w:cs="Times New Roman"/>
          <w:sz w:val="18"/>
          <w:szCs w:val="18"/>
        </w:rPr>
        <w:t xml:space="preserve">the </w:t>
      </w:r>
      <w:r w:rsidR="00B63A21" w:rsidRPr="008B3A5E">
        <w:rPr>
          <w:rFonts w:ascii="Times New Roman" w:hAnsi="Times New Roman" w:cs="Times New Roman"/>
          <w:sz w:val="18"/>
          <w:szCs w:val="18"/>
        </w:rPr>
        <w:t xml:space="preserve">title could have been more specific. </w:t>
      </w:r>
      <w:r w:rsidR="006A5CC9" w:rsidRPr="008B3A5E">
        <w:rPr>
          <w:rFonts w:ascii="Times New Roman" w:hAnsi="Times New Roman" w:cs="Times New Roman"/>
          <w:sz w:val="18"/>
          <w:szCs w:val="18"/>
        </w:rPr>
        <w:t xml:space="preserve">But </w:t>
      </w:r>
      <w:r w:rsidR="00B63A21" w:rsidRPr="008B3A5E">
        <w:rPr>
          <w:rFonts w:ascii="Times New Roman" w:hAnsi="Times New Roman" w:cs="Times New Roman"/>
          <w:sz w:val="18"/>
          <w:szCs w:val="18"/>
        </w:rPr>
        <w:t>agai</w:t>
      </w:r>
      <w:r w:rsidR="003C371C" w:rsidRPr="008B3A5E">
        <w:rPr>
          <w:rFonts w:ascii="Times New Roman" w:hAnsi="Times New Roman" w:cs="Times New Roman"/>
          <w:sz w:val="18"/>
          <w:szCs w:val="18"/>
        </w:rPr>
        <w:t>n</w:t>
      </w:r>
      <w:r w:rsidR="00B63A21" w:rsidRPr="008B3A5E">
        <w:rPr>
          <w:rFonts w:ascii="Times New Roman" w:hAnsi="Times New Roman" w:cs="Times New Roman"/>
          <w:sz w:val="18"/>
          <w:szCs w:val="18"/>
        </w:rPr>
        <w:t>, the topics</w:t>
      </w:r>
      <w:r w:rsidR="006A5CC9" w:rsidRPr="008B3A5E">
        <w:rPr>
          <w:rFonts w:ascii="Times New Roman" w:hAnsi="Times New Roman" w:cs="Times New Roman"/>
          <w:sz w:val="18"/>
          <w:szCs w:val="18"/>
        </w:rPr>
        <w:t xml:space="preserve"> I talk about are </w:t>
      </w:r>
      <w:r w:rsidR="00B63A21" w:rsidRPr="008B3A5E">
        <w:rPr>
          <w:rFonts w:ascii="Times New Roman" w:hAnsi="Times New Roman" w:cs="Times New Roman"/>
          <w:sz w:val="18"/>
          <w:szCs w:val="18"/>
        </w:rPr>
        <w:t>quite specific</w:t>
      </w:r>
      <w:r w:rsidR="006A5CC9" w:rsidRPr="008B3A5E">
        <w:rPr>
          <w:rFonts w:ascii="Times New Roman" w:hAnsi="Times New Roman" w:cs="Times New Roman"/>
          <w:sz w:val="18"/>
          <w:szCs w:val="18"/>
        </w:rPr>
        <w:t xml:space="preserve">: </w:t>
      </w:r>
      <w:r w:rsidR="00EF6155" w:rsidRPr="008B3A5E">
        <w:rPr>
          <w:rFonts w:ascii="Times New Roman" w:hAnsi="Times New Roman" w:cs="Times New Roman"/>
          <w:sz w:val="18"/>
          <w:szCs w:val="18"/>
        </w:rPr>
        <w:t xml:space="preserve">social dependent </w:t>
      </w:r>
      <w:r w:rsidR="00EF6155" w:rsidRPr="008B3A5E">
        <w:rPr>
          <w:rFonts w:ascii="Times New Roman" w:hAnsi="Times New Roman" w:cs="Times New Roman"/>
          <w:i/>
          <w:sz w:val="18"/>
          <w:szCs w:val="18"/>
        </w:rPr>
        <w:t>perceptions</w:t>
      </w:r>
      <w:r w:rsidR="00EF6155" w:rsidRPr="008B3A5E">
        <w:rPr>
          <w:rFonts w:ascii="Times New Roman" w:hAnsi="Times New Roman" w:cs="Times New Roman"/>
          <w:sz w:val="18"/>
          <w:szCs w:val="18"/>
        </w:rPr>
        <w:t xml:space="preserve">, </w:t>
      </w:r>
      <w:r w:rsidR="007E4870" w:rsidRPr="008B3A5E">
        <w:rPr>
          <w:rFonts w:ascii="Times New Roman" w:hAnsi="Times New Roman" w:cs="Times New Roman"/>
          <w:sz w:val="18"/>
          <w:szCs w:val="18"/>
        </w:rPr>
        <w:t xml:space="preserve">my </w:t>
      </w:r>
      <w:proofErr w:type="spellStart"/>
      <w:r w:rsidR="007E4870" w:rsidRPr="008B3A5E">
        <w:rPr>
          <w:rFonts w:ascii="Times New Roman" w:hAnsi="Times New Roman" w:cs="Times New Roman"/>
          <w:sz w:val="18"/>
          <w:szCs w:val="18"/>
        </w:rPr>
        <w:t>lenghty</w:t>
      </w:r>
      <w:proofErr w:type="spellEnd"/>
      <w:r w:rsidR="007E4870" w:rsidRPr="008B3A5E">
        <w:rPr>
          <w:rFonts w:ascii="Times New Roman" w:hAnsi="Times New Roman" w:cs="Times New Roman"/>
          <w:sz w:val="18"/>
          <w:szCs w:val="18"/>
        </w:rPr>
        <w:t xml:space="preserve"> engagement with </w:t>
      </w:r>
      <w:r w:rsidR="00EF6155" w:rsidRPr="008B3A5E">
        <w:rPr>
          <w:rFonts w:ascii="Times New Roman" w:hAnsi="Times New Roman" w:cs="Times New Roman"/>
          <w:sz w:val="18"/>
          <w:szCs w:val="18"/>
        </w:rPr>
        <w:t>Noe’s sensorimotor enactivism about perception</w:t>
      </w:r>
      <w:r w:rsidR="001F3037" w:rsidRPr="008B3A5E">
        <w:rPr>
          <w:rFonts w:ascii="Times New Roman" w:hAnsi="Times New Roman" w:cs="Times New Roman"/>
          <w:sz w:val="18"/>
          <w:szCs w:val="18"/>
        </w:rPr>
        <w:t>,</w:t>
      </w:r>
      <w:r w:rsidR="00EF6155" w:rsidRPr="008B3A5E">
        <w:rPr>
          <w:rFonts w:ascii="Times New Roman" w:hAnsi="Times New Roman" w:cs="Times New Roman"/>
          <w:sz w:val="18"/>
          <w:szCs w:val="18"/>
        </w:rPr>
        <w:t xml:space="preserve"> </w:t>
      </w:r>
      <w:r w:rsidR="007E4870" w:rsidRPr="008B3A5E">
        <w:rPr>
          <w:rFonts w:ascii="Times New Roman" w:hAnsi="Times New Roman" w:cs="Times New Roman"/>
          <w:sz w:val="18"/>
          <w:szCs w:val="18"/>
        </w:rPr>
        <w:t xml:space="preserve">my engagement with perception in Hutto and </w:t>
      </w:r>
      <w:proofErr w:type="spellStart"/>
      <w:r w:rsidR="007E4870" w:rsidRPr="008B3A5E">
        <w:rPr>
          <w:rFonts w:ascii="Times New Roman" w:hAnsi="Times New Roman" w:cs="Times New Roman"/>
          <w:sz w:val="18"/>
          <w:szCs w:val="18"/>
        </w:rPr>
        <w:t>Myin’s</w:t>
      </w:r>
      <w:proofErr w:type="spellEnd"/>
      <w:r w:rsidR="007E4870" w:rsidRPr="008B3A5E">
        <w:rPr>
          <w:rFonts w:ascii="Times New Roman" w:hAnsi="Times New Roman" w:cs="Times New Roman"/>
          <w:sz w:val="18"/>
          <w:szCs w:val="18"/>
        </w:rPr>
        <w:t xml:space="preserve">, </w:t>
      </w:r>
      <w:r w:rsidR="001F3037" w:rsidRPr="008B3A5E">
        <w:rPr>
          <w:rFonts w:ascii="Times New Roman" w:hAnsi="Times New Roman" w:cs="Times New Roman"/>
          <w:sz w:val="18"/>
          <w:szCs w:val="18"/>
        </w:rPr>
        <w:t xml:space="preserve">the </w:t>
      </w:r>
      <w:r w:rsidR="00B63A21" w:rsidRPr="008B3A5E">
        <w:rPr>
          <w:rFonts w:ascii="Times New Roman" w:hAnsi="Times New Roman" w:cs="Times New Roman"/>
          <w:sz w:val="18"/>
          <w:szCs w:val="18"/>
        </w:rPr>
        <w:t xml:space="preserve">perceptual </w:t>
      </w:r>
      <w:r w:rsidR="00B53146" w:rsidRPr="008B3A5E">
        <w:rPr>
          <w:rFonts w:ascii="Times New Roman" w:hAnsi="Times New Roman" w:cs="Times New Roman"/>
          <w:sz w:val="18"/>
          <w:szCs w:val="18"/>
        </w:rPr>
        <w:t>case-studies</w:t>
      </w:r>
      <w:r w:rsidR="00D26451" w:rsidRPr="008B3A5E">
        <w:rPr>
          <w:rFonts w:ascii="Times New Roman" w:hAnsi="Times New Roman" w:cs="Times New Roman"/>
          <w:sz w:val="18"/>
          <w:szCs w:val="18"/>
        </w:rPr>
        <w:t xml:space="preserve"> </w:t>
      </w:r>
      <w:r w:rsidR="001F3037" w:rsidRPr="008B3A5E">
        <w:rPr>
          <w:rFonts w:ascii="Times New Roman" w:hAnsi="Times New Roman" w:cs="Times New Roman"/>
          <w:sz w:val="18"/>
          <w:szCs w:val="18"/>
        </w:rPr>
        <w:t xml:space="preserve">presented </w:t>
      </w:r>
      <w:r w:rsidR="00D26451" w:rsidRPr="008B3A5E">
        <w:rPr>
          <w:rFonts w:ascii="Times New Roman" w:hAnsi="Times New Roman" w:cs="Times New Roman"/>
          <w:sz w:val="18"/>
          <w:szCs w:val="18"/>
        </w:rPr>
        <w:t>(wholes and parts in vision, taste and habits, and flavors</w:t>
      </w:r>
      <w:r w:rsidR="007E4870" w:rsidRPr="008B3A5E">
        <w:rPr>
          <w:rFonts w:ascii="Times New Roman" w:hAnsi="Times New Roman" w:cs="Times New Roman"/>
          <w:sz w:val="18"/>
          <w:szCs w:val="18"/>
        </w:rPr>
        <w:t xml:space="preserve">). </w:t>
      </w:r>
    </w:p>
    <w:p w14:paraId="18FD770B" w14:textId="77777777" w:rsidR="007E4870" w:rsidRPr="008B3A5E" w:rsidRDefault="007E4870" w:rsidP="008B3A5E">
      <w:pPr>
        <w:pStyle w:val="FootnoteText"/>
        <w:spacing w:line="480" w:lineRule="auto"/>
        <w:rPr>
          <w:rFonts w:ascii="Times New Roman" w:hAnsi="Times New Roman" w:cs="Times New Roman"/>
          <w:sz w:val="18"/>
          <w:szCs w:val="18"/>
        </w:rPr>
      </w:pPr>
    </w:p>
    <w:p w14:paraId="330CC7E3" w14:textId="77777777" w:rsidR="00230E8F" w:rsidRPr="008B3A5E" w:rsidRDefault="001F3037"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H</w:t>
      </w:r>
      <w:r w:rsidR="00EF6155" w:rsidRPr="008B3A5E">
        <w:rPr>
          <w:rFonts w:ascii="Times New Roman" w:hAnsi="Times New Roman" w:cs="Times New Roman"/>
          <w:sz w:val="18"/>
          <w:szCs w:val="18"/>
        </w:rPr>
        <w:t xml:space="preserve">aving </w:t>
      </w:r>
      <w:r w:rsidR="00F1012C" w:rsidRPr="008B3A5E">
        <w:rPr>
          <w:rFonts w:ascii="Times New Roman" w:hAnsi="Times New Roman" w:cs="Times New Roman"/>
          <w:sz w:val="18"/>
          <w:szCs w:val="18"/>
        </w:rPr>
        <w:t>clarified</w:t>
      </w:r>
      <w:r w:rsidR="00EF6155" w:rsidRPr="008B3A5E">
        <w:rPr>
          <w:rFonts w:ascii="Times New Roman" w:hAnsi="Times New Roman" w:cs="Times New Roman"/>
          <w:sz w:val="18"/>
          <w:szCs w:val="18"/>
        </w:rPr>
        <w:t xml:space="preserve"> this</w:t>
      </w:r>
      <w:r w:rsidR="00F1012C" w:rsidRPr="008B3A5E">
        <w:rPr>
          <w:rFonts w:ascii="Times New Roman" w:hAnsi="Times New Roman" w:cs="Times New Roman"/>
          <w:sz w:val="18"/>
          <w:szCs w:val="18"/>
        </w:rPr>
        <w:t xml:space="preserve"> point</w:t>
      </w:r>
      <w:r w:rsidR="00EF6155" w:rsidRPr="008B3A5E">
        <w:rPr>
          <w:rFonts w:ascii="Times New Roman" w:hAnsi="Times New Roman" w:cs="Times New Roman"/>
          <w:sz w:val="18"/>
          <w:szCs w:val="18"/>
        </w:rPr>
        <w:t>, I maintain that</w:t>
      </w:r>
      <w:r w:rsidR="00D838CF" w:rsidRPr="008B3A5E">
        <w:rPr>
          <w:rFonts w:ascii="Times New Roman" w:hAnsi="Times New Roman" w:cs="Times New Roman"/>
          <w:sz w:val="18"/>
          <w:szCs w:val="18"/>
        </w:rPr>
        <w:t xml:space="preserve"> </w:t>
      </w:r>
      <w:r w:rsidR="00CC3ECD" w:rsidRPr="008B3A5E">
        <w:rPr>
          <w:rFonts w:ascii="Times New Roman" w:hAnsi="Times New Roman" w:cs="Times New Roman"/>
          <w:sz w:val="18"/>
          <w:szCs w:val="18"/>
        </w:rPr>
        <w:t xml:space="preserve">autopoietic, </w:t>
      </w:r>
      <w:r w:rsidR="002E50BC" w:rsidRPr="008B3A5E">
        <w:rPr>
          <w:rFonts w:ascii="Times New Roman" w:hAnsi="Times New Roman" w:cs="Times New Roman"/>
          <w:sz w:val="18"/>
          <w:szCs w:val="18"/>
        </w:rPr>
        <w:t>life-mind</w:t>
      </w:r>
      <w:r w:rsidR="00CC3ECD" w:rsidRPr="008B3A5E">
        <w:rPr>
          <w:rFonts w:ascii="Times New Roman" w:hAnsi="Times New Roman" w:cs="Times New Roman"/>
          <w:sz w:val="18"/>
          <w:szCs w:val="18"/>
        </w:rPr>
        <w:t xml:space="preserve">, </w:t>
      </w:r>
      <w:r w:rsidR="003C660E" w:rsidRPr="008B3A5E">
        <w:rPr>
          <w:rFonts w:ascii="Times New Roman" w:hAnsi="Times New Roman" w:cs="Times New Roman"/>
          <w:sz w:val="18"/>
          <w:szCs w:val="18"/>
        </w:rPr>
        <w:t xml:space="preserve">or </w:t>
      </w:r>
      <w:r w:rsidR="00CC3ECD" w:rsidRPr="008B3A5E">
        <w:rPr>
          <w:rFonts w:ascii="Times New Roman" w:hAnsi="Times New Roman" w:cs="Times New Roman"/>
          <w:sz w:val="18"/>
          <w:szCs w:val="18"/>
        </w:rPr>
        <w:t>participatory sense-making</w:t>
      </w:r>
      <w:r w:rsidR="002E50BC" w:rsidRPr="008B3A5E">
        <w:rPr>
          <w:rFonts w:ascii="Times New Roman" w:hAnsi="Times New Roman" w:cs="Times New Roman"/>
          <w:sz w:val="18"/>
          <w:szCs w:val="18"/>
        </w:rPr>
        <w:t xml:space="preserve"> </w:t>
      </w:r>
      <w:r w:rsidR="00D26451" w:rsidRPr="008B3A5E">
        <w:rPr>
          <w:rFonts w:ascii="Times New Roman" w:hAnsi="Times New Roman" w:cs="Times New Roman"/>
          <w:sz w:val="18"/>
          <w:szCs w:val="18"/>
        </w:rPr>
        <w:t>enactivism</w:t>
      </w:r>
      <w:r w:rsidR="00CC3ECD" w:rsidRPr="008B3A5E">
        <w:rPr>
          <w:rFonts w:ascii="Times New Roman" w:hAnsi="Times New Roman" w:cs="Times New Roman"/>
          <w:sz w:val="18"/>
          <w:szCs w:val="18"/>
        </w:rPr>
        <w:t xml:space="preserve">s do </w:t>
      </w:r>
      <w:r w:rsidR="002E50BC" w:rsidRPr="008B3A5E">
        <w:rPr>
          <w:rFonts w:ascii="Times New Roman" w:hAnsi="Times New Roman" w:cs="Times New Roman"/>
          <w:sz w:val="18"/>
          <w:szCs w:val="18"/>
        </w:rPr>
        <w:t xml:space="preserve">not offer a </w:t>
      </w:r>
      <w:r w:rsidR="00CC3ECD" w:rsidRPr="008B3A5E">
        <w:rPr>
          <w:rFonts w:ascii="Times New Roman" w:hAnsi="Times New Roman" w:cs="Times New Roman"/>
          <w:sz w:val="18"/>
          <w:szCs w:val="18"/>
        </w:rPr>
        <w:t>specific</w:t>
      </w:r>
      <w:r w:rsidR="002E50BC" w:rsidRPr="008B3A5E">
        <w:rPr>
          <w:rFonts w:ascii="Times New Roman" w:hAnsi="Times New Roman" w:cs="Times New Roman"/>
          <w:sz w:val="18"/>
          <w:szCs w:val="18"/>
        </w:rPr>
        <w:t xml:space="preserve"> account of perception</w:t>
      </w:r>
      <w:r w:rsidR="006012A1" w:rsidRPr="008B3A5E">
        <w:rPr>
          <w:rFonts w:ascii="Times New Roman" w:hAnsi="Times New Roman" w:cs="Times New Roman"/>
          <w:sz w:val="18"/>
          <w:szCs w:val="18"/>
        </w:rPr>
        <w:t>.</w:t>
      </w:r>
      <w:r w:rsidR="002E50BC" w:rsidRPr="008B3A5E">
        <w:rPr>
          <w:rFonts w:ascii="Times New Roman" w:hAnsi="Times New Roman" w:cs="Times New Roman"/>
          <w:sz w:val="18"/>
          <w:szCs w:val="18"/>
        </w:rPr>
        <w:t xml:space="preserve"> </w:t>
      </w:r>
      <w:r w:rsidR="009953C7" w:rsidRPr="008B3A5E">
        <w:rPr>
          <w:rFonts w:ascii="Times New Roman" w:hAnsi="Times New Roman" w:cs="Times New Roman"/>
          <w:sz w:val="18"/>
          <w:szCs w:val="18"/>
        </w:rPr>
        <w:t>A</w:t>
      </w:r>
      <w:r w:rsidR="002E50BC" w:rsidRPr="008B3A5E">
        <w:rPr>
          <w:rFonts w:ascii="Times New Roman" w:hAnsi="Times New Roman" w:cs="Times New Roman"/>
          <w:sz w:val="18"/>
          <w:szCs w:val="18"/>
        </w:rPr>
        <w:t>n account of perception is to be characterized, among other things, by having perceptual occurrences as its main explanatory target</w:t>
      </w:r>
      <w:r w:rsidR="009953C7" w:rsidRPr="008B3A5E">
        <w:rPr>
          <w:rFonts w:ascii="Times New Roman" w:hAnsi="Times New Roman" w:cs="Times New Roman"/>
          <w:sz w:val="18"/>
          <w:szCs w:val="18"/>
        </w:rPr>
        <w:t xml:space="preserve">, and engaging in a discussion about the descriptive and explanatory blocks of perception such as perceptual properties, recognitional and discriminatory capacities, </w:t>
      </w:r>
      <w:r w:rsidR="006012A1" w:rsidRPr="008B3A5E">
        <w:rPr>
          <w:rFonts w:ascii="Times New Roman" w:hAnsi="Times New Roman" w:cs="Times New Roman"/>
          <w:sz w:val="18"/>
          <w:szCs w:val="18"/>
        </w:rPr>
        <w:t>or</w:t>
      </w:r>
      <w:r w:rsidR="007D3C4E" w:rsidRPr="008B3A5E">
        <w:rPr>
          <w:rFonts w:ascii="Times New Roman" w:hAnsi="Times New Roman" w:cs="Times New Roman"/>
          <w:sz w:val="18"/>
          <w:szCs w:val="18"/>
        </w:rPr>
        <w:t xml:space="preserve"> </w:t>
      </w:r>
      <w:r w:rsidR="009953C7" w:rsidRPr="008B3A5E">
        <w:rPr>
          <w:rFonts w:ascii="Times New Roman" w:hAnsi="Times New Roman" w:cs="Times New Roman"/>
          <w:sz w:val="18"/>
          <w:szCs w:val="18"/>
        </w:rPr>
        <w:t>ind</w:t>
      </w:r>
      <w:r w:rsidR="007D3C4E" w:rsidRPr="008B3A5E">
        <w:rPr>
          <w:rFonts w:ascii="Times New Roman" w:hAnsi="Times New Roman" w:cs="Times New Roman"/>
          <w:sz w:val="18"/>
          <w:szCs w:val="18"/>
        </w:rPr>
        <w:t>ividuation of perceptual objects</w:t>
      </w:r>
      <w:r w:rsidR="009953C7" w:rsidRPr="008B3A5E">
        <w:rPr>
          <w:rFonts w:ascii="Times New Roman" w:hAnsi="Times New Roman" w:cs="Times New Roman"/>
          <w:sz w:val="18"/>
          <w:szCs w:val="18"/>
        </w:rPr>
        <w:t>.</w:t>
      </w:r>
      <w:r w:rsidR="00CC3ECD" w:rsidRPr="008B3A5E">
        <w:rPr>
          <w:rFonts w:ascii="Times New Roman" w:hAnsi="Times New Roman" w:cs="Times New Roman"/>
          <w:sz w:val="18"/>
          <w:szCs w:val="18"/>
        </w:rPr>
        <w:t xml:space="preserve"> </w:t>
      </w:r>
      <w:r w:rsidR="003C660E" w:rsidRPr="008B3A5E">
        <w:rPr>
          <w:rFonts w:ascii="Times New Roman" w:hAnsi="Times New Roman" w:cs="Times New Roman"/>
          <w:sz w:val="18"/>
          <w:szCs w:val="18"/>
        </w:rPr>
        <w:t>T</w:t>
      </w:r>
      <w:r w:rsidR="00CC3ECD" w:rsidRPr="008B3A5E">
        <w:rPr>
          <w:rFonts w:ascii="Times New Roman" w:hAnsi="Times New Roman" w:cs="Times New Roman"/>
          <w:sz w:val="18"/>
          <w:szCs w:val="18"/>
        </w:rPr>
        <w:t xml:space="preserve">here is here a substantive question about what grants </w:t>
      </w:r>
      <w:r w:rsidR="003C660E" w:rsidRPr="008B3A5E">
        <w:rPr>
          <w:rFonts w:ascii="Times New Roman" w:hAnsi="Times New Roman" w:cs="Times New Roman"/>
          <w:sz w:val="18"/>
          <w:szCs w:val="18"/>
        </w:rPr>
        <w:t xml:space="preserve">a specific account of perception a place—and whether this is buying into models of “classical and cognitive science,” as de </w:t>
      </w:r>
      <w:proofErr w:type="spellStart"/>
      <w:r w:rsidR="003C660E" w:rsidRPr="008B3A5E">
        <w:rPr>
          <w:rFonts w:ascii="Times New Roman" w:hAnsi="Times New Roman" w:cs="Times New Roman"/>
          <w:sz w:val="18"/>
          <w:szCs w:val="18"/>
        </w:rPr>
        <w:t>Jaegher</w:t>
      </w:r>
      <w:proofErr w:type="spellEnd"/>
      <w:r w:rsidR="003C660E" w:rsidRPr="008B3A5E">
        <w:rPr>
          <w:rFonts w:ascii="Times New Roman" w:hAnsi="Times New Roman" w:cs="Times New Roman"/>
          <w:sz w:val="18"/>
          <w:szCs w:val="18"/>
        </w:rPr>
        <w:t xml:space="preserve"> is suspicious of (2018, 455). </w:t>
      </w:r>
      <w:r w:rsidR="00F1012C" w:rsidRPr="008B3A5E">
        <w:rPr>
          <w:rFonts w:ascii="Times New Roman" w:hAnsi="Times New Roman" w:cs="Times New Roman"/>
          <w:sz w:val="18"/>
          <w:szCs w:val="18"/>
        </w:rPr>
        <w:t xml:space="preserve">It is my view, that </w:t>
      </w:r>
      <w:r w:rsidR="00CD1C91" w:rsidRPr="008B3A5E">
        <w:rPr>
          <w:rFonts w:ascii="Times New Roman" w:hAnsi="Times New Roman" w:cs="Times New Roman"/>
          <w:sz w:val="18"/>
          <w:szCs w:val="18"/>
        </w:rPr>
        <w:t xml:space="preserve">the pervasiveness of perception warrants </w:t>
      </w:r>
      <w:r w:rsidR="007D3C4E" w:rsidRPr="008B3A5E">
        <w:rPr>
          <w:rFonts w:ascii="Times New Roman" w:hAnsi="Times New Roman" w:cs="Times New Roman"/>
          <w:sz w:val="18"/>
          <w:szCs w:val="18"/>
        </w:rPr>
        <w:t xml:space="preserve">this type of </w:t>
      </w:r>
      <w:r w:rsidR="00CD1C91" w:rsidRPr="008B3A5E">
        <w:rPr>
          <w:rFonts w:ascii="Times New Roman" w:hAnsi="Times New Roman" w:cs="Times New Roman"/>
          <w:sz w:val="18"/>
          <w:szCs w:val="18"/>
        </w:rPr>
        <w:t>specific examination</w:t>
      </w:r>
      <w:r w:rsidR="003C371C" w:rsidRPr="008B3A5E">
        <w:rPr>
          <w:rFonts w:ascii="Times New Roman" w:hAnsi="Times New Roman" w:cs="Times New Roman"/>
          <w:sz w:val="18"/>
          <w:szCs w:val="18"/>
        </w:rPr>
        <w:t xml:space="preserve">, </w:t>
      </w:r>
      <w:r w:rsidR="006012A1" w:rsidRPr="008B3A5E">
        <w:rPr>
          <w:rFonts w:ascii="Times New Roman" w:hAnsi="Times New Roman" w:cs="Times New Roman"/>
          <w:sz w:val="18"/>
          <w:szCs w:val="18"/>
        </w:rPr>
        <w:t xml:space="preserve">that it is possible to undertake this examination in a situated cognition, enactivist framework, and that it is also worthy due to the </w:t>
      </w:r>
      <w:r w:rsidR="003C371C" w:rsidRPr="008B3A5E">
        <w:rPr>
          <w:rFonts w:ascii="Times New Roman" w:hAnsi="Times New Roman" w:cs="Times New Roman"/>
          <w:sz w:val="18"/>
          <w:szCs w:val="18"/>
        </w:rPr>
        <w:t>possibility of engaging in conversation with broad swaps of the philosophical literature on perception.</w:t>
      </w:r>
      <w:r w:rsidR="003C660E" w:rsidRPr="008B3A5E">
        <w:rPr>
          <w:rFonts w:ascii="Times New Roman" w:hAnsi="Times New Roman" w:cs="Times New Roman"/>
          <w:sz w:val="18"/>
          <w:szCs w:val="18"/>
        </w:rPr>
        <w:t xml:space="preserve"> </w:t>
      </w:r>
    </w:p>
    <w:p w14:paraId="6B34BBF5" w14:textId="77777777" w:rsidR="00230E8F" w:rsidRPr="008B3A5E" w:rsidRDefault="00230E8F" w:rsidP="008B3A5E">
      <w:pPr>
        <w:pStyle w:val="FootnoteText"/>
        <w:spacing w:line="480" w:lineRule="auto"/>
        <w:rPr>
          <w:rFonts w:ascii="Times New Roman" w:hAnsi="Times New Roman" w:cs="Times New Roman"/>
          <w:sz w:val="18"/>
          <w:szCs w:val="18"/>
        </w:rPr>
      </w:pPr>
    </w:p>
    <w:p w14:paraId="1878946C" w14:textId="01CF068C" w:rsidR="00CC3ECD" w:rsidRPr="008B3A5E" w:rsidRDefault="00F1012C"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To b</w:t>
      </w:r>
      <w:r w:rsidR="003C660E" w:rsidRPr="008B3A5E">
        <w:rPr>
          <w:rFonts w:ascii="Times New Roman" w:hAnsi="Times New Roman" w:cs="Times New Roman"/>
          <w:sz w:val="18"/>
          <w:szCs w:val="18"/>
        </w:rPr>
        <w:t xml:space="preserve">e clear, I do not claim </w:t>
      </w:r>
      <w:r w:rsidR="00CC3ECD" w:rsidRPr="008B3A5E">
        <w:rPr>
          <w:rFonts w:ascii="Times New Roman" w:hAnsi="Times New Roman" w:cs="Times New Roman"/>
          <w:sz w:val="18"/>
          <w:szCs w:val="18"/>
        </w:rPr>
        <w:t>that perception stands apart</w:t>
      </w:r>
      <w:r w:rsidR="003C371C" w:rsidRPr="008B3A5E">
        <w:rPr>
          <w:rFonts w:ascii="Times New Roman" w:hAnsi="Times New Roman" w:cs="Times New Roman"/>
          <w:sz w:val="18"/>
          <w:szCs w:val="18"/>
        </w:rPr>
        <w:t>, conceptually,</w:t>
      </w:r>
      <w:r w:rsidR="00CC3ECD" w:rsidRPr="008B3A5E">
        <w:rPr>
          <w:rFonts w:ascii="Times New Roman" w:hAnsi="Times New Roman" w:cs="Times New Roman"/>
          <w:sz w:val="18"/>
          <w:szCs w:val="18"/>
        </w:rPr>
        <w:t xml:space="preserve"> from the broader domain of cognition –or apart from the domain of life, as an “activity” in which things and events come to have meaning for </w:t>
      </w:r>
      <w:proofErr w:type="spellStart"/>
      <w:r w:rsidR="00CC3ECD" w:rsidRPr="008B3A5E">
        <w:rPr>
          <w:rFonts w:ascii="Times New Roman" w:hAnsi="Times New Roman" w:cs="Times New Roman"/>
          <w:sz w:val="18"/>
          <w:szCs w:val="18"/>
        </w:rPr>
        <w:t>cognizers</w:t>
      </w:r>
      <w:proofErr w:type="spellEnd"/>
      <w:r w:rsidR="00CC3ECD" w:rsidRPr="008B3A5E">
        <w:rPr>
          <w:rFonts w:ascii="Times New Roman" w:hAnsi="Times New Roman" w:cs="Times New Roman"/>
          <w:sz w:val="18"/>
          <w:szCs w:val="18"/>
        </w:rPr>
        <w:t xml:space="preserve">. I </w:t>
      </w:r>
      <w:r w:rsidR="00230E8F" w:rsidRPr="008B3A5E">
        <w:rPr>
          <w:rFonts w:ascii="Times New Roman" w:hAnsi="Times New Roman" w:cs="Times New Roman"/>
          <w:sz w:val="18"/>
          <w:szCs w:val="18"/>
        </w:rPr>
        <w:t xml:space="preserve">do not claim </w:t>
      </w:r>
      <w:r w:rsidR="00CC3ECD" w:rsidRPr="008B3A5E">
        <w:rPr>
          <w:rFonts w:ascii="Times New Roman" w:hAnsi="Times New Roman" w:cs="Times New Roman"/>
          <w:sz w:val="18"/>
          <w:szCs w:val="18"/>
        </w:rPr>
        <w:t xml:space="preserve">that a more </w:t>
      </w:r>
      <w:r w:rsidR="00CC3ECD" w:rsidRPr="008B3A5E">
        <w:rPr>
          <w:rFonts w:ascii="Times New Roman" w:hAnsi="Times New Roman" w:cs="Times New Roman"/>
          <w:sz w:val="18"/>
          <w:szCs w:val="18"/>
        </w:rPr>
        <w:lastRenderedPageBreak/>
        <w:t xml:space="preserve">encompassing </w:t>
      </w:r>
      <w:r w:rsidR="003C660E" w:rsidRPr="008B3A5E">
        <w:rPr>
          <w:rFonts w:ascii="Times New Roman" w:hAnsi="Times New Roman" w:cs="Times New Roman"/>
          <w:sz w:val="18"/>
          <w:szCs w:val="18"/>
        </w:rPr>
        <w:t xml:space="preserve">theory </w:t>
      </w:r>
      <w:r w:rsidR="006012A1" w:rsidRPr="008B3A5E">
        <w:rPr>
          <w:rFonts w:ascii="Times New Roman" w:hAnsi="Times New Roman" w:cs="Times New Roman"/>
          <w:sz w:val="18"/>
          <w:szCs w:val="18"/>
        </w:rPr>
        <w:t>—</w:t>
      </w:r>
      <w:r w:rsidR="00230E8F" w:rsidRPr="008B3A5E">
        <w:rPr>
          <w:rFonts w:ascii="Times New Roman" w:hAnsi="Times New Roman" w:cs="Times New Roman"/>
          <w:sz w:val="18"/>
          <w:szCs w:val="18"/>
        </w:rPr>
        <w:t>e.g.</w:t>
      </w:r>
      <w:r w:rsidR="006012A1" w:rsidRPr="008B3A5E">
        <w:rPr>
          <w:rFonts w:ascii="Times New Roman" w:hAnsi="Times New Roman" w:cs="Times New Roman"/>
          <w:sz w:val="18"/>
          <w:szCs w:val="18"/>
        </w:rPr>
        <w:t xml:space="preserve"> </w:t>
      </w:r>
      <w:r w:rsidR="003C660E" w:rsidRPr="008B3A5E">
        <w:rPr>
          <w:rFonts w:ascii="Times New Roman" w:hAnsi="Times New Roman" w:cs="Times New Roman"/>
          <w:sz w:val="18"/>
          <w:szCs w:val="18"/>
        </w:rPr>
        <w:t xml:space="preserve">a more encompassing </w:t>
      </w:r>
      <w:r w:rsidR="006012A1" w:rsidRPr="008B3A5E">
        <w:rPr>
          <w:rFonts w:ascii="Times New Roman" w:hAnsi="Times New Roman" w:cs="Times New Roman"/>
          <w:sz w:val="18"/>
          <w:szCs w:val="18"/>
        </w:rPr>
        <w:t xml:space="preserve">social </w:t>
      </w:r>
      <w:r w:rsidR="00CC3ECD" w:rsidRPr="008B3A5E">
        <w:rPr>
          <w:rFonts w:ascii="Times New Roman" w:hAnsi="Times New Roman" w:cs="Times New Roman"/>
          <w:sz w:val="18"/>
          <w:szCs w:val="18"/>
        </w:rPr>
        <w:t>enactivism</w:t>
      </w:r>
      <w:r w:rsidR="003C660E" w:rsidRPr="008B3A5E">
        <w:rPr>
          <w:rFonts w:ascii="Times New Roman" w:hAnsi="Times New Roman" w:cs="Times New Roman"/>
          <w:sz w:val="18"/>
          <w:szCs w:val="18"/>
        </w:rPr>
        <w:t>—</w:t>
      </w:r>
      <w:r w:rsidR="006012A1" w:rsidRPr="008B3A5E">
        <w:rPr>
          <w:rFonts w:ascii="Times New Roman" w:hAnsi="Times New Roman" w:cs="Times New Roman"/>
          <w:sz w:val="18"/>
          <w:szCs w:val="18"/>
        </w:rPr>
        <w:t xml:space="preserve"> </w:t>
      </w:r>
      <w:r w:rsidR="003C660E" w:rsidRPr="008B3A5E">
        <w:rPr>
          <w:rFonts w:ascii="Times New Roman" w:hAnsi="Times New Roman" w:cs="Times New Roman"/>
          <w:sz w:val="18"/>
          <w:szCs w:val="18"/>
        </w:rPr>
        <w:t xml:space="preserve">could not </w:t>
      </w:r>
      <w:r w:rsidR="00CC3ECD" w:rsidRPr="008B3A5E">
        <w:rPr>
          <w:rFonts w:ascii="Times New Roman" w:hAnsi="Times New Roman" w:cs="Times New Roman"/>
          <w:sz w:val="18"/>
          <w:szCs w:val="18"/>
        </w:rPr>
        <w:t xml:space="preserve">reveal </w:t>
      </w:r>
      <w:r w:rsidR="003C371C" w:rsidRPr="008B3A5E">
        <w:rPr>
          <w:rFonts w:ascii="Times New Roman" w:hAnsi="Times New Roman" w:cs="Times New Roman"/>
          <w:sz w:val="18"/>
          <w:szCs w:val="18"/>
        </w:rPr>
        <w:t>aspects of life and cognition that have ontological</w:t>
      </w:r>
      <w:r w:rsidR="00CC3ECD" w:rsidRPr="008B3A5E">
        <w:rPr>
          <w:rFonts w:ascii="Times New Roman" w:hAnsi="Times New Roman" w:cs="Times New Roman"/>
          <w:sz w:val="18"/>
          <w:szCs w:val="18"/>
        </w:rPr>
        <w:t xml:space="preserve"> </w:t>
      </w:r>
      <w:r w:rsidR="003C371C" w:rsidRPr="008B3A5E">
        <w:rPr>
          <w:rFonts w:ascii="Times New Roman" w:hAnsi="Times New Roman" w:cs="Times New Roman"/>
          <w:sz w:val="18"/>
          <w:szCs w:val="18"/>
        </w:rPr>
        <w:t xml:space="preserve">or </w:t>
      </w:r>
      <w:r w:rsidR="00CC3ECD" w:rsidRPr="008B3A5E">
        <w:rPr>
          <w:rFonts w:ascii="Times New Roman" w:hAnsi="Times New Roman" w:cs="Times New Roman"/>
          <w:sz w:val="18"/>
          <w:szCs w:val="18"/>
        </w:rPr>
        <w:t xml:space="preserve">epistemologically </w:t>
      </w:r>
      <w:r w:rsidR="003C660E" w:rsidRPr="008B3A5E">
        <w:rPr>
          <w:rFonts w:ascii="Times New Roman" w:hAnsi="Times New Roman" w:cs="Times New Roman"/>
          <w:sz w:val="18"/>
          <w:szCs w:val="18"/>
        </w:rPr>
        <w:t>primacy over perception</w:t>
      </w:r>
      <w:r w:rsidR="00CC3ECD" w:rsidRPr="008B3A5E">
        <w:rPr>
          <w:rFonts w:ascii="Times New Roman" w:hAnsi="Times New Roman" w:cs="Times New Roman"/>
          <w:sz w:val="18"/>
          <w:szCs w:val="18"/>
        </w:rPr>
        <w:t>. La</w:t>
      </w:r>
      <w:r w:rsidR="00230E8F" w:rsidRPr="008B3A5E">
        <w:rPr>
          <w:rFonts w:ascii="Times New Roman" w:hAnsi="Times New Roman" w:cs="Times New Roman"/>
          <w:sz w:val="18"/>
          <w:szCs w:val="18"/>
        </w:rPr>
        <w:t>stly, I am not saying that the</w:t>
      </w:r>
      <w:r w:rsidR="00CC3ECD" w:rsidRPr="008B3A5E">
        <w:rPr>
          <w:rFonts w:ascii="Times New Roman" w:hAnsi="Times New Roman" w:cs="Times New Roman"/>
          <w:sz w:val="18"/>
          <w:szCs w:val="18"/>
        </w:rPr>
        <w:t xml:space="preserve"> types of social </w:t>
      </w:r>
      <w:proofErr w:type="spellStart"/>
      <w:r w:rsidR="00CC3ECD" w:rsidRPr="008B3A5E">
        <w:rPr>
          <w:rFonts w:ascii="Times New Roman" w:hAnsi="Times New Roman" w:cs="Times New Roman"/>
          <w:sz w:val="18"/>
          <w:szCs w:val="18"/>
        </w:rPr>
        <w:t>enactivims</w:t>
      </w:r>
      <w:proofErr w:type="spellEnd"/>
      <w:r w:rsidR="00CC3ECD" w:rsidRPr="008B3A5E">
        <w:rPr>
          <w:rFonts w:ascii="Times New Roman" w:hAnsi="Times New Roman" w:cs="Times New Roman"/>
          <w:sz w:val="18"/>
          <w:szCs w:val="18"/>
        </w:rPr>
        <w:t xml:space="preserve"> </w:t>
      </w:r>
      <w:r w:rsidR="00230E8F" w:rsidRPr="008B3A5E">
        <w:rPr>
          <w:rFonts w:ascii="Times New Roman" w:hAnsi="Times New Roman" w:cs="Times New Roman"/>
          <w:sz w:val="18"/>
          <w:szCs w:val="18"/>
        </w:rPr>
        <w:t xml:space="preserve">McGann </w:t>
      </w:r>
      <w:proofErr w:type="spellStart"/>
      <w:r w:rsidR="00230E8F" w:rsidRPr="008B3A5E">
        <w:rPr>
          <w:rFonts w:ascii="Times New Roman" w:hAnsi="Times New Roman" w:cs="Times New Roman"/>
          <w:sz w:val="18"/>
          <w:szCs w:val="18"/>
        </w:rPr>
        <w:t>referes</w:t>
      </w:r>
      <w:proofErr w:type="spellEnd"/>
      <w:r w:rsidR="00230E8F" w:rsidRPr="008B3A5E">
        <w:rPr>
          <w:rFonts w:ascii="Times New Roman" w:hAnsi="Times New Roman" w:cs="Times New Roman"/>
          <w:sz w:val="18"/>
          <w:szCs w:val="18"/>
        </w:rPr>
        <w:t xml:space="preserve"> to </w:t>
      </w:r>
      <w:r w:rsidR="00CC3ECD" w:rsidRPr="008B3A5E">
        <w:rPr>
          <w:rFonts w:ascii="Times New Roman" w:hAnsi="Times New Roman" w:cs="Times New Roman"/>
          <w:sz w:val="18"/>
          <w:szCs w:val="18"/>
        </w:rPr>
        <w:t xml:space="preserve">do not say things about perception. </w:t>
      </w:r>
    </w:p>
    <w:p w14:paraId="188B8A27" w14:textId="77777777" w:rsidR="00230E8F" w:rsidRPr="008B3A5E" w:rsidRDefault="00230E8F" w:rsidP="008B3A5E">
      <w:pPr>
        <w:pStyle w:val="FootnoteText"/>
        <w:spacing w:line="480" w:lineRule="auto"/>
        <w:rPr>
          <w:rFonts w:ascii="Times New Roman" w:hAnsi="Times New Roman" w:cs="Times New Roman"/>
          <w:sz w:val="18"/>
          <w:szCs w:val="18"/>
        </w:rPr>
      </w:pPr>
    </w:p>
    <w:p w14:paraId="3C3FB5A9" w14:textId="6F8C1DA0" w:rsidR="00230E8F" w:rsidRPr="008B3A5E" w:rsidRDefault="00230E8F"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I lament that McGann does not engage with any of my arguments. This is partly due to the fact that he misses what my argument is. I do argue that the social dependency of perception is a </w:t>
      </w:r>
      <w:proofErr w:type="gramStart"/>
      <w:r w:rsidRPr="008B3A5E">
        <w:rPr>
          <w:rFonts w:ascii="Times New Roman" w:hAnsi="Times New Roman" w:cs="Times New Roman"/>
          <w:sz w:val="18"/>
          <w:szCs w:val="18"/>
        </w:rPr>
        <w:t>desiderata</w:t>
      </w:r>
      <w:proofErr w:type="gramEnd"/>
      <w:r w:rsidRPr="008B3A5E">
        <w:rPr>
          <w:rFonts w:ascii="Times New Roman" w:hAnsi="Times New Roman" w:cs="Times New Roman"/>
          <w:sz w:val="18"/>
          <w:szCs w:val="18"/>
        </w:rPr>
        <w:t xml:space="preserve"> for a theory of perception. But this only a premise for my main argument, to wit: that a Wittgenstein-inspired, social practices-based notion of perception is the way to make </w:t>
      </w:r>
      <w:r w:rsidRPr="008B3A5E">
        <w:rPr>
          <w:rFonts w:ascii="Times New Roman" w:hAnsi="Times New Roman" w:cs="Times New Roman"/>
          <w:i/>
          <w:sz w:val="18"/>
          <w:szCs w:val="18"/>
        </w:rPr>
        <w:t>enactivism about perception</w:t>
      </w:r>
      <w:r w:rsidRPr="008B3A5E">
        <w:rPr>
          <w:rFonts w:ascii="Times New Roman" w:hAnsi="Times New Roman" w:cs="Times New Roman"/>
          <w:sz w:val="18"/>
          <w:szCs w:val="18"/>
        </w:rPr>
        <w:t xml:space="preserve"> social. </w:t>
      </w:r>
    </w:p>
    <w:p w14:paraId="4A51D2B8" w14:textId="77777777" w:rsidR="003C371C" w:rsidRPr="008B3A5E" w:rsidRDefault="003C371C" w:rsidP="008B3A5E">
      <w:pPr>
        <w:pStyle w:val="FootnoteText"/>
        <w:spacing w:line="480" w:lineRule="auto"/>
        <w:rPr>
          <w:rFonts w:ascii="Times New Roman" w:hAnsi="Times New Roman" w:cs="Times New Roman"/>
          <w:sz w:val="18"/>
          <w:szCs w:val="18"/>
        </w:rPr>
      </w:pPr>
    </w:p>
    <w:p w14:paraId="2BCF5B3B" w14:textId="7899319D" w:rsidR="008C58E6" w:rsidRPr="008B3A5E" w:rsidRDefault="001F3037"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Let me </w:t>
      </w:r>
      <w:r w:rsidR="007E4870" w:rsidRPr="008B3A5E">
        <w:rPr>
          <w:rFonts w:ascii="Times New Roman" w:hAnsi="Times New Roman" w:cs="Times New Roman"/>
          <w:sz w:val="18"/>
          <w:szCs w:val="18"/>
        </w:rPr>
        <w:t xml:space="preserve">now explain why </w:t>
      </w:r>
      <w:r w:rsidRPr="008B3A5E">
        <w:rPr>
          <w:rFonts w:ascii="Times New Roman" w:hAnsi="Times New Roman" w:cs="Times New Roman"/>
          <w:sz w:val="18"/>
          <w:szCs w:val="18"/>
        </w:rPr>
        <w:t>the strands of literature McGann points to</w:t>
      </w:r>
      <w:r w:rsidR="008C58E6" w:rsidRPr="008B3A5E">
        <w:rPr>
          <w:rFonts w:ascii="Times New Roman" w:hAnsi="Times New Roman" w:cs="Times New Roman"/>
          <w:sz w:val="18"/>
          <w:szCs w:val="18"/>
        </w:rPr>
        <w:t xml:space="preserve"> </w:t>
      </w:r>
      <w:r w:rsidRPr="008B3A5E">
        <w:rPr>
          <w:rFonts w:ascii="Times New Roman" w:hAnsi="Times New Roman" w:cs="Times New Roman"/>
          <w:sz w:val="18"/>
          <w:szCs w:val="18"/>
        </w:rPr>
        <w:t>are not domain-specific about perception.</w:t>
      </w:r>
      <w:r w:rsidR="007E4870" w:rsidRPr="008B3A5E">
        <w:rPr>
          <w:rFonts w:ascii="Times New Roman" w:hAnsi="Times New Roman" w:cs="Times New Roman"/>
          <w:sz w:val="18"/>
          <w:szCs w:val="18"/>
        </w:rPr>
        <w:t xml:space="preserve"> </w:t>
      </w:r>
    </w:p>
    <w:p w14:paraId="4CEBB21C" w14:textId="77777777" w:rsidR="001F3037" w:rsidRPr="008B3A5E" w:rsidRDefault="001F3037"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 </w:t>
      </w:r>
    </w:p>
    <w:p w14:paraId="091CC78C" w14:textId="644EA850" w:rsidR="001F3037" w:rsidRPr="008B3A5E" w:rsidRDefault="005A1D62"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The focus of</w:t>
      </w:r>
      <w:r w:rsidR="001F3037" w:rsidRPr="008B3A5E">
        <w:rPr>
          <w:rFonts w:ascii="Times New Roman" w:hAnsi="Times New Roman" w:cs="Times New Roman"/>
          <w:sz w:val="18"/>
          <w:szCs w:val="18"/>
        </w:rPr>
        <w:t xml:space="preserve"> participatory sens</w:t>
      </w:r>
      <w:r w:rsidR="00230E8F" w:rsidRPr="008B3A5E">
        <w:rPr>
          <w:rFonts w:ascii="Times New Roman" w:hAnsi="Times New Roman" w:cs="Times New Roman"/>
          <w:sz w:val="18"/>
          <w:szCs w:val="18"/>
        </w:rPr>
        <w:t>e-making enactivism</w:t>
      </w:r>
      <w:r w:rsidRPr="008B3A5E">
        <w:rPr>
          <w:rFonts w:ascii="Times New Roman" w:hAnsi="Times New Roman" w:cs="Times New Roman"/>
          <w:sz w:val="18"/>
          <w:szCs w:val="18"/>
        </w:rPr>
        <w:t xml:space="preserve"> is not perception</w:t>
      </w:r>
      <w:r w:rsidR="00230E8F" w:rsidRPr="008B3A5E">
        <w:rPr>
          <w:rFonts w:ascii="Times New Roman" w:hAnsi="Times New Roman" w:cs="Times New Roman"/>
          <w:sz w:val="18"/>
          <w:szCs w:val="18"/>
        </w:rPr>
        <w:t xml:space="preserve"> and the analysis is not perceptual</w:t>
      </w:r>
      <w:r w:rsidRPr="008B3A5E">
        <w:rPr>
          <w:rFonts w:ascii="Times New Roman" w:hAnsi="Times New Roman" w:cs="Times New Roman"/>
          <w:sz w:val="18"/>
          <w:szCs w:val="18"/>
        </w:rPr>
        <w:t>. Its focus i</w:t>
      </w:r>
      <w:r w:rsidR="001F3037" w:rsidRPr="008B3A5E">
        <w:rPr>
          <w:rFonts w:ascii="Times New Roman" w:hAnsi="Times New Roman" w:cs="Times New Roman"/>
          <w:sz w:val="18"/>
          <w:szCs w:val="18"/>
        </w:rPr>
        <w:t xml:space="preserve">s </w:t>
      </w:r>
      <w:r w:rsidR="00230E8F" w:rsidRPr="008B3A5E">
        <w:rPr>
          <w:rFonts w:ascii="Times New Roman" w:hAnsi="Times New Roman" w:cs="Times New Roman"/>
          <w:sz w:val="18"/>
          <w:szCs w:val="18"/>
        </w:rPr>
        <w:t>the constitution of meaning in the social domain</w:t>
      </w:r>
      <w:r w:rsidR="001F3037" w:rsidRPr="008B3A5E">
        <w:rPr>
          <w:rFonts w:ascii="Times New Roman" w:hAnsi="Times New Roman" w:cs="Times New Roman"/>
          <w:sz w:val="18"/>
          <w:szCs w:val="18"/>
        </w:rPr>
        <w:t xml:space="preserve">: “how meaning is generated and transformed in the interplay between the unfolding interaction processes and the individuals engaged in it” </w:t>
      </w:r>
      <w:r w:rsidR="001F3037" w:rsidRPr="008B3A5E">
        <w:rPr>
          <w:rFonts w:ascii="Times New Roman" w:hAnsi="Times New Roman" w:cs="Times New Roman"/>
          <w:sz w:val="18"/>
          <w:szCs w:val="18"/>
        </w:rPr>
        <w:fldChar w:fldCharType="begin"/>
      </w:r>
      <w:r w:rsidR="001F3037" w:rsidRPr="008B3A5E">
        <w:rPr>
          <w:rFonts w:ascii="Times New Roman" w:hAnsi="Times New Roman" w:cs="Times New Roman"/>
          <w:sz w:val="18"/>
          <w:szCs w:val="18"/>
        </w:rPr>
        <w:instrText xml:space="preserve"> ADDIN ZOTERO_ITEM CSL_CITATION {"citationID":"gumayqZd","properties":{"formattedCitation":"(De Jaegher and Di Paolo 2007, 486)","plainCitation":"(De Jaegher and Di Paolo 2007, 486)"},"citationItems":[{"id":123,"uris":["http://zotero.org/users/611556/items/8T36QJQD"],"uri":["http://zotero.org/users/611556/items/8T36QJQD"],"itemData":{"id":123,"type":"article-journal","title":"Participatory Sense-Making: An Enactive Approach to Social Cognition","container-title":"Phenomenology and the Cognitive Sciences","page":"485-507","volume":"6","issue":"4","ISSN":"1568-7759","note":"Journal Article","author":[{"family":"De Jaegher","given":"Hanne"},{"family":"Di Paolo","given":"Ezequiel"}],"issued":{"date-parts":[["2007",12]]}},"locator":"486"}],"schema":"https://github.com/citation-style-language/schema/raw/master/csl-citation.json"} </w:instrText>
      </w:r>
      <w:r w:rsidR="001F3037" w:rsidRPr="008B3A5E">
        <w:rPr>
          <w:rFonts w:ascii="Times New Roman" w:hAnsi="Times New Roman" w:cs="Times New Roman"/>
          <w:sz w:val="18"/>
          <w:szCs w:val="18"/>
        </w:rPr>
        <w:fldChar w:fldCharType="separate"/>
      </w:r>
      <w:r w:rsidR="001F3037" w:rsidRPr="008B3A5E">
        <w:rPr>
          <w:rFonts w:ascii="Times New Roman" w:hAnsi="Times New Roman" w:cs="Times New Roman"/>
          <w:noProof/>
          <w:sz w:val="18"/>
          <w:szCs w:val="18"/>
        </w:rPr>
        <w:t>(De Jaegher and Di Paolo 2007, 486</w:t>
      </w:r>
      <w:r w:rsidR="00230E8F" w:rsidRPr="008B3A5E">
        <w:rPr>
          <w:rFonts w:ascii="Times New Roman" w:hAnsi="Times New Roman" w:cs="Times New Roman"/>
          <w:noProof/>
          <w:sz w:val="18"/>
          <w:szCs w:val="18"/>
        </w:rPr>
        <w:t>; de Jaegher 2018</w:t>
      </w:r>
      <w:r w:rsidR="001F3037" w:rsidRPr="008B3A5E">
        <w:rPr>
          <w:rFonts w:ascii="Times New Roman" w:hAnsi="Times New Roman" w:cs="Times New Roman"/>
          <w:noProof/>
          <w:sz w:val="18"/>
          <w:szCs w:val="18"/>
        </w:rPr>
        <w:t>)</w:t>
      </w:r>
      <w:r w:rsidR="001F3037" w:rsidRPr="008B3A5E">
        <w:rPr>
          <w:rFonts w:ascii="Times New Roman" w:hAnsi="Times New Roman" w:cs="Times New Roman"/>
          <w:sz w:val="18"/>
          <w:szCs w:val="18"/>
        </w:rPr>
        <w:fldChar w:fldCharType="end"/>
      </w:r>
      <w:r w:rsidR="00230E8F" w:rsidRPr="008B3A5E">
        <w:rPr>
          <w:rFonts w:ascii="Times New Roman" w:hAnsi="Times New Roman" w:cs="Times New Roman"/>
          <w:sz w:val="18"/>
          <w:szCs w:val="18"/>
        </w:rPr>
        <w:t>.</w:t>
      </w:r>
    </w:p>
    <w:p w14:paraId="30200480" w14:textId="77777777" w:rsidR="001F3037" w:rsidRPr="008B3A5E" w:rsidRDefault="001F3037" w:rsidP="008B3A5E">
      <w:pPr>
        <w:pStyle w:val="FootnoteText"/>
        <w:spacing w:line="480" w:lineRule="auto"/>
        <w:rPr>
          <w:rFonts w:ascii="Times New Roman" w:hAnsi="Times New Roman" w:cs="Times New Roman"/>
          <w:sz w:val="18"/>
          <w:szCs w:val="18"/>
        </w:rPr>
      </w:pPr>
    </w:p>
    <w:p w14:paraId="575976A5" w14:textId="389BFB00" w:rsidR="001F3037" w:rsidRPr="008B3A5E" w:rsidRDefault="001F3037"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The target of the self-other contingencies approach (McGann and De </w:t>
      </w:r>
      <w:proofErr w:type="spellStart"/>
      <w:r w:rsidRPr="008B3A5E">
        <w:rPr>
          <w:rFonts w:ascii="Times New Roman" w:hAnsi="Times New Roman" w:cs="Times New Roman"/>
          <w:sz w:val="18"/>
          <w:szCs w:val="18"/>
        </w:rPr>
        <w:t>Jaegher</w:t>
      </w:r>
      <w:proofErr w:type="spellEnd"/>
      <w:r w:rsidR="00230E8F" w:rsidRPr="008B3A5E">
        <w:rPr>
          <w:rFonts w:ascii="Times New Roman" w:hAnsi="Times New Roman" w:cs="Times New Roman"/>
          <w:sz w:val="18"/>
          <w:szCs w:val="18"/>
        </w:rPr>
        <w:t xml:space="preserve"> 2009</w:t>
      </w:r>
      <w:r w:rsidRPr="008B3A5E">
        <w:rPr>
          <w:rFonts w:ascii="Times New Roman" w:hAnsi="Times New Roman" w:cs="Times New Roman"/>
          <w:sz w:val="18"/>
          <w:szCs w:val="18"/>
        </w:rPr>
        <w:t xml:space="preserve">, De </w:t>
      </w:r>
      <w:proofErr w:type="spellStart"/>
      <w:r w:rsidRPr="008B3A5E">
        <w:rPr>
          <w:rFonts w:ascii="Times New Roman" w:hAnsi="Times New Roman" w:cs="Times New Roman"/>
          <w:sz w:val="18"/>
          <w:szCs w:val="18"/>
        </w:rPr>
        <w:t>Jaegher</w:t>
      </w:r>
      <w:proofErr w:type="spellEnd"/>
      <w:r w:rsidRPr="008B3A5E">
        <w:rPr>
          <w:rFonts w:ascii="Times New Roman" w:hAnsi="Times New Roman" w:cs="Times New Roman"/>
          <w:sz w:val="18"/>
          <w:szCs w:val="18"/>
        </w:rPr>
        <w:t xml:space="preserve"> and Froese) is individual agency, not perception. The work of </w:t>
      </w:r>
      <w:proofErr w:type="spellStart"/>
      <w:r w:rsidRPr="008B3A5E">
        <w:rPr>
          <w:rFonts w:ascii="Times New Roman" w:hAnsi="Times New Roman" w:cs="Times New Roman"/>
          <w:sz w:val="18"/>
          <w:szCs w:val="18"/>
        </w:rPr>
        <w:t>Kyselo</w:t>
      </w:r>
      <w:proofErr w:type="spellEnd"/>
      <w:r w:rsidRPr="008B3A5E">
        <w:rPr>
          <w:rFonts w:ascii="Times New Roman" w:hAnsi="Times New Roman" w:cs="Times New Roman"/>
          <w:sz w:val="18"/>
          <w:szCs w:val="18"/>
        </w:rPr>
        <w:t xml:space="preserve">, </w:t>
      </w:r>
      <w:proofErr w:type="spellStart"/>
      <w:r w:rsidRPr="008B3A5E">
        <w:rPr>
          <w:rFonts w:ascii="Times New Roman" w:hAnsi="Times New Roman" w:cs="Times New Roman"/>
          <w:sz w:val="18"/>
          <w:szCs w:val="18"/>
        </w:rPr>
        <w:t>Lenay</w:t>
      </w:r>
      <w:proofErr w:type="spellEnd"/>
      <w:r w:rsidRPr="008B3A5E">
        <w:rPr>
          <w:rFonts w:ascii="Times New Roman" w:hAnsi="Times New Roman" w:cs="Times New Roman"/>
          <w:sz w:val="18"/>
          <w:szCs w:val="18"/>
        </w:rPr>
        <w:t xml:space="preserve"> and Froese focuses on the limits of individuals alo</w:t>
      </w:r>
      <w:r w:rsidR="009F7D48" w:rsidRPr="008B3A5E">
        <w:rPr>
          <w:rFonts w:ascii="Times New Roman" w:hAnsi="Times New Roman" w:cs="Times New Roman"/>
          <w:sz w:val="18"/>
          <w:szCs w:val="18"/>
        </w:rPr>
        <w:t>ne</w:t>
      </w:r>
      <w:r w:rsidRPr="008B3A5E">
        <w:rPr>
          <w:rFonts w:ascii="Times New Roman" w:hAnsi="Times New Roman" w:cs="Times New Roman"/>
          <w:sz w:val="18"/>
          <w:szCs w:val="18"/>
        </w:rPr>
        <w:t xml:space="preserve"> for </w:t>
      </w:r>
      <w:r w:rsidR="009F7D48" w:rsidRPr="008B3A5E">
        <w:rPr>
          <w:rFonts w:ascii="Times New Roman" w:hAnsi="Times New Roman" w:cs="Times New Roman"/>
          <w:sz w:val="18"/>
          <w:szCs w:val="18"/>
        </w:rPr>
        <w:t xml:space="preserve">which perception is but a case, </w:t>
      </w:r>
      <w:r w:rsidRPr="008B3A5E">
        <w:rPr>
          <w:rFonts w:ascii="Times New Roman" w:hAnsi="Times New Roman" w:cs="Times New Roman"/>
          <w:sz w:val="18"/>
          <w:szCs w:val="18"/>
        </w:rPr>
        <w:t xml:space="preserve">not its focus. </w:t>
      </w:r>
    </w:p>
    <w:p w14:paraId="1E29711C" w14:textId="77777777" w:rsidR="001F3037" w:rsidRPr="008B3A5E" w:rsidRDefault="001F3037" w:rsidP="008B3A5E">
      <w:pPr>
        <w:pStyle w:val="FootnoteText"/>
        <w:spacing w:line="480" w:lineRule="auto"/>
        <w:rPr>
          <w:rFonts w:ascii="Times New Roman" w:hAnsi="Times New Roman" w:cs="Times New Roman"/>
          <w:sz w:val="18"/>
          <w:szCs w:val="18"/>
        </w:rPr>
      </w:pPr>
    </w:p>
    <w:p w14:paraId="36E4F87E" w14:textId="77777777" w:rsidR="001F3037" w:rsidRPr="008B3A5E" w:rsidRDefault="001F3037"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Likewise, the literature on social cognition, especially on the problem of other minds and the direct social perception account of it, is only subserviently perceptual. The specific connection with perception is perhaps </w:t>
      </w:r>
      <w:proofErr w:type="gramStart"/>
      <w:r w:rsidRPr="008B3A5E">
        <w:rPr>
          <w:rFonts w:ascii="Times New Roman" w:hAnsi="Times New Roman" w:cs="Times New Roman"/>
          <w:sz w:val="18"/>
          <w:szCs w:val="18"/>
        </w:rPr>
        <w:t>more clear</w:t>
      </w:r>
      <w:proofErr w:type="gramEnd"/>
      <w:r w:rsidRPr="008B3A5E">
        <w:rPr>
          <w:rFonts w:ascii="Times New Roman" w:hAnsi="Times New Roman" w:cs="Times New Roman"/>
          <w:sz w:val="18"/>
          <w:szCs w:val="18"/>
        </w:rPr>
        <w:t xml:space="preserve"> in De </w:t>
      </w:r>
      <w:proofErr w:type="spellStart"/>
      <w:r w:rsidRPr="008B3A5E">
        <w:rPr>
          <w:rFonts w:ascii="Times New Roman" w:hAnsi="Times New Roman" w:cs="Times New Roman"/>
          <w:sz w:val="18"/>
          <w:szCs w:val="18"/>
        </w:rPr>
        <w:t>Jaegher’s</w:t>
      </w:r>
      <w:proofErr w:type="spellEnd"/>
      <w:r w:rsidRPr="008B3A5E">
        <w:rPr>
          <w:rFonts w:ascii="Times New Roman" w:hAnsi="Times New Roman" w:cs="Times New Roman"/>
          <w:sz w:val="18"/>
          <w:szCs w:val="18"/>
        </w:rPr>
        <w:t xml:space="preserve"> “Social understanding through direct perception? Yes, by interacting” </w:t>
      </w:r>
      <w:r w:rsidRPr="008B3A5E">
        <w:rPr>
          <w:rFonts w:ascii="Times New Roman" w:hAnsi="Times New Roman" w:cs="Times New Roman"/>
          <w:sz w:val="18"/>
          <w:szCs w:val="18"/>
        </w:rPr>
        <w:fldChar w:fldCharType="begin"/>
      </w:r>
      <w:r w:rsidRPr="008B3A5E">
        <w:rPr>
          <w:rFonts w:ascii="Times New Roman" w:hAnsi="Times New Roman" w:cs="Times New Roman"/>
          <w:sz w:val="18"/>
          <w:szCs w:val="18"/>
        </w:rPr>
        <w:instrText xml:space="preserve"> ADDIN ZOTERO_ITEM CSL_CITATION {"citationID":"O9sx4qPk","properties":{"formattedCitation":"(2009)","plainCitation":"(2009)"},"citationItems":[{"id":473,"uris":["http://zotero.org/users/611556/items/U5RU6FT3"],"uri":["http://zotero.org/users/611556/items/U5RU6FT3"],"itemData":{"id":473,"type":"article-journal","title":"Social understanding through direct perception? Yes, by interacting","container-title":"Consciousness and cognition","page":"535-542","volume":"18","issue":"2","ISSN":"1053-8100","note":"Journal Article","journalAbbreviation":"Conscious.Cogn.","author":[{"family":"De Jaegher","given":"Hanne"}],"issued":{"date-parts":[["2009"]]}},"suppress-author":true}],"schema":"https://github.com/citation-style-language/schema/raw/master/csl-citation.json"} </w:instrText>
      </w:r>
      <w:r w:rsidRPr="008B3A5E">
        <w:rPr>
          <w:rFonts w:ascii="Times New Roman" w:hAnsi="Times New Roman" w:cs="Times New Roman"/>
          <w:sz w:val="18"/>
          <w:szCs w:val="18"/>
        </w:rPr>
        <w:fldChar w:fldCharType="separate"/>
      </w:r>
      <w:r w:rsidRPr="008B3A5E">
        <w:rPr>
          <w:rFonts w:ascii="Times New Roman" w:hAnsi="Times New Roman" w:cs="Times New Roman"/>
          <w:noProof/>
          <w:sz w:val="18"/>
          <w:szCs w:val="18"/>
        </w:rPr>
        <w:t>(2009)</w:t>
      </w:r>
      <w:r w:rsidRPr="008B3A5E">
        <w:rPr>
          <w:rFonts w:ascii="Times New Roman" w:hAnsi="Times New Roman" w:cs="Times New Roman"/>
          <w:sz w:val="18"/>
          <w:szCs w:val="18"/>
        </w:rPr>
        <w:fldChar w:fldCharType="end"/>
      </w:r>
      <w:r w:rsidRPr="008B3A5E">
        <w:rPr>
          <w:rFonts w:ascii="Times New Roman" w:hAnsi="Times New Roman" w:cs="Times New Roman"/>
          <w:sz w:val="18"/>
          <w:szCs w:val="18"/>
        </w:rPr>
        <w:t>. Here the focus is the understanding of others, not perception. Perception is instrumental to the goal of social understanding.</w:t>
      </w:r>
    </w:p>
    <w:p w14:paraId="091DD1E5" w14:textId="77777777" w:rsidR="001F3037" w:rsidRPr="008B3A5E" w:rsidRDefault="001F3037" w:rsidP="008B3A5E">
      <w:pPr>
        <w:pStyle w:val="FootnoteText"/>
        <w:spacing w:line="480" w:lineRule="auto"/>
        <w:rPr>
          <w:rFonts w:ascii="Times New Roman" w:hAnsi="Times New Roman" w:cs="Times New Roman"/>
          <w:sz w:val="18"/>
          <w:szCs w:val="18"/>
        </w:rPr>
      </w:pPr>
    </w:p>
    <w:p w14:paraId="0E4A18A9" w14:textId="77777777" w:rsidR="008C58E6" w:rsidRPr="008B3A5E" w:rsidRDefault="008C58E6" w:rsidP="008B3A5E">
      <w:pPr>
        <w:pStyle w:val="FootnoteText"/>
        <w:spacing w:line="480" w:lineRule="auto"/>
        <w:rPr>
          <w:rFonts w:ascii="Times New Roman" w:hAnsi="Times New Roman" w:cs="Times New Roman"/>
          <w:sz w:val="18"/>
          <w:szCs w:val="18"/>
        </w:rPr>
      </w:pPr>
    </w:p>
    <w:p w14:paraId="4BA0D101" w14:textId="77777777" w:rsidR="005F19F6" w:rsidRPr="008B3A5E" w:rsidRDefault="008C58E6"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I finish with two </w:t>
      </w:r>
      <w:r w:rsidR="005F19F6" w:rsidRPr="008B3A5E">
        <w:rPr>
          <w:rFonts w:ascii="Times New Roman" w:hAnsi="Times New Roman" w:cs="Times New Roman"/>
          <w:sz w:val="18"/>
          <w:szCs w:val="18"/>
        </w:rPr>
        <w:t xml:space="preserve">points. I think there are substantive advantages of a social pragmatist take on sociality, and I </w:t>
      </w:r>
      <w:r w:rsidR="007E4870" w:rsidRPr="008B3A5E">
        <w:rPr>
          <w:rFonts w:ascii="Times New Roman" w:hAnsi="Times New Roman" w:cs="Times New Roman"/>
          <w:sz w:val="18"/>
          <w:szCs w:val="18"/>
        </w:rPr>
        <w:t>recommend the reader of this reply to revisit</w:t>
      </w:r>
      <w:r w:rsidR="005F19F6" w:rsidRPr="008B3A5E">
        <w:rPr>
          <w:rFonts w:ascii="Times New Roman" w:hAnsi="Times New Roman" w:cs="Times New Roman"/>
          <w:sz w:val="18"/>
          <w:szCs w:val="18"/>
        </w:rPr>
        <w:t xml:space="preserve"> </w:t>
      </w:r>
      <w:r w:rsidR="007E4870" w:rsidRPr="008B3A5E">
        <w:rPr>
          <w:rFonts w:ascii="Times New Roman" w:hAnsi="Times New Roman" w:cs="Times New Roman"/>
          <w:sz w:val="18"/>
          <w:szCs w:val="18"/>
        </w:rPr>
        <w:t xml:space="preserve">my notion of perceptual practices and </w:t>
      </w:r>
      <w:r w:rsidR="005F19F6" w:rsidRPr="008B3A5E">
        <w:rPr>
          <w:rFonts w:ascii="Times New Roman" w:hAnsi="Times New Roman" w:cs="Times New Roman"/>
          <w:sz w:val="18"/>
          <w:szCs w:val="18"/>
        </w:rPr>
        <w:t>the way I appl</w:t>
      </w:r>
      <w:r w:rsidR="007E4870" w:rsidRPr="008B3A5E">
        <w:rPr>
          <w:rFonts w:ascii="Times New Roman" w:hAnsi="Times New Roman" w:cs="Times New Roman"/>
          <w:sz w:val="18"/>
          <w:szCs w:val="18"/>
        </w:rPr>
        <w:t xml:space="preserve">y such an account to perception. </w:t>
      </w:r>
      <w:r w:rsidR="005F19F6" w:rsidRPr="008B3A5E">
        <w:rPr>
          <w:rFonts w:ascii="Times New Roman" w:hAnsi="Times New Roman" w:cs="Times New Roman"/>
          <w:sz w:val="18"/>
          <w:szCs w:val="18"/>
        </w:rPr>
        <w:t>Second, what makes my account different</w:t>
      </w:r>
      <w:r w:rsidR="007E4870" w:rsidRPr="008B3A5E">
        <w:rPr>
          <w:rFonts w:ascii="Times New Roman" w:hAnsi="Times New Roman" w:cs="Times New Roman"/>
          <w:sz w:val="18"/>
          <w:szCs w:val="18"/>
        </w:rPr>
        <w:t xml:space="preserve"> from participatory sense-making is this crucial point</w:t>
      </w:r>
      <w:r w:rsidR="005F19F6" w:rsidRPr="008B3A5E">
        <w:rPr>
          <w:rFonts w:ascii="Times New Roman" w:hAnsi="Times New Roman" w:cs="Times New Roman"/>
          <w:sz w:val="18"/>
          <w:szCs w:val="18"/>
        </w:rPr>
        <w:t xml:space="preserve">: it focuses on the social </w:t>
      </w:r>
      <w:r w:rsidR="005F19F6" w:rsidRPr="008B3A5E">
        <w:rPr>
          <w:rFonts w:ascii="Times New Roman" w:hAnsi="Times New Roman" w:cs="Times New Roman"/>
          <w:i/>
          <w:sz w:val="18"/>
          <w:szCs w:val="18"/>
        </w:rPr>
        <w:t>in perception</w:t>
      </w:r>
      <w:r w:rsidR="005F19F6" w:rsidRPr="008B3A5E">
        <w:rPr>
          <w:rFonts w:ascii="Times New Roman" w:hAnsi="Times New Roman" w:cs="Times New Roman"/>
          <w:sz w:val="18"/>
          <w:szCs w:val="18"/>
        </w:rPr>
        <w:t xml:space="preserve">, not the social in general. </w:t>
      </w:r>
      <w:r w:rsidR="00795F70" w:rsidRPr="008B3A5E">
        <w:rPr>
          <w:rFonts w:ascii="Times New Roman" w:hAnsi="Times New Roman" w:cs="Times New Roman"/>
          <w:sz w:val="18"/>
          <w:szCs w:val="18"/>
        </w:rPr>
        <w:t xml:space="preserve">This is something participatory sense-making enactivism does not provide. </w:t>
      </w:r>
      <w:r w:rsidR="007E4870" w:rsidRPr="008B3A5E">
        <w:rPr>
          <w:rFonts w:ascii="Times New Roman" w:hAnsi="Times New Roman" w:cs="Times New Roman"/>
          <w:sz w:val="18"/>
          <w:szCs w:val="18"/>
        </w:rPr>
        <w:t>T</w:t>
      </w:r>
      <w:r w:rsidR="005F19F6" w:rsidRPr="008B3A5E">
        <w:rPr>
          <w:rFonts w:ascii="Times New Roman" w:hAnsi="Times New Roman" w:cs="Times New Roman"/>
          <w:sz w:val="18"/>
          <w:szCs w:val="18"/>
        </w:rPr>
        <w:t xml:space="preserve">he approach I have put forth does not focus on the perceptual aspect of elements of the social, including the perception of others (as if perception occupied itself </w:t>
      </w:r>
      <w:r w:rsidR="005F19F6" w:rsidRPr="008B3A5E">
        <w:rPr>
          <w:rFonts w:ascii="Times New Roman" w:hAnsi="Times New Roman" w:cs="Times New Roman"/>
          <w:sz w:val="18"/>
          <w:szCs w:val="18"/>
        </w:rPr>
        <w:lastRenderedPageBreak/>
        <w:t xml:space="preserve">sometimes with social stuff and at other times it didn’t), but rather </w:t>
      </w:r>
      <w:r w:rsidR="005F19F6" w:rsidRPr="008B3A5E">
        <w:rPr>
          <w:rFonts w:ascii="Times New Roman" w:hAnsi="Times New Roman" w:cs="Times New Roman"/>
          <w:i/>
          <w:iCs/>
          <w:sz w:val="18"/>
          <w:szCs w:val="18"/>
        </w:rPr>
        <w:t>on the social aspects that are constitutive of perception in general</w:t>
      </w:r>
      <w:r w:rsidR="005F19F6" w:rsidRPr="008B3A5E">
        <w:rPr>
          <w:rFonts w:ascii="Times New Roman" w:hAnsi="Times New Roman" w:cs="Times New Roman"/>
          <w:sz w:val="18"/>
          <w:szCs w:val="18"/>
        </w:rPr>
        <w:t>. In</w:t>
      </w:r>
      <w:r w:rsidR="007E4870" w:rsidRPr="008B3A5E">
        <w:rPr>
          <w:rFonts w:ascii="Times New Roman" w:hAnsi="Times New Roman" w:cs="Times New Roman"/>
          <w:sz w:val="18"/>
          <w:szCs w:val="18"/>
        </w:rPr>
        <w:t xml:space="preserve"> what sense is</w:t>
      </w:r>
      <w:r w:rsidR="005F19F6" w:rsidRPr="008B3A5E">
        <w:rPr>
          <w:rFonts w:ascii="Times New Roman" w:hAnsi="Times New Roman" w:cs="Times New Roman"/>
          <w:sz w:val="18"/>
          <w:szCs w:val="18"/>
        </w:rPr>
        <w:t xml:space="preserve"> perception social? That is my </w:t>
      </w:r>
      <w:r w:rsidR="007E4870" w:rsidRPr="008B3A5E">
        <w:rPr>
          <w:rFonts w:ascii="Times New Roman" w:hAnsi="Times New Roman" w:cs="Times New Roman"/>
          <w:sz w:val="18"/>
          <w:szCs w:val="18"/>
        </w:rPr>
        <w:t xml:space="preserve">overall </w:t>
      </w:r>
      <w:r w:rsidR="005F19F6" w:rsidRPr="008B3A5E">
        <w:rPr>
          <w:rFonts w:ascii="Times New Roman" w:hAnsi="Times New Roman" w:cs="Times New Roman"/>
          <w:sz w:val="18"/>
          <w:szCs w:val="18"/>
        </w:rPr>
        <w:t>question</w:t>
      </w:r>
      <w:r w:rsidR="007E4870" w:rsidRPr="008B3A5E">
        <w:rPr>
          <w:rFonts w:ascii="Times New Roman" w:hAnsi="Times New Roman" w:cs="Times New Roman"/>
          <w:sz w:val="18"/>
          <w:szCs w:val="18"/>
        </w:rPr>
        <w:t xml:space="preserve">, which my original article </w:t>
      </w:r>
      <w:r w:rsidR="005A1D62" w:rsidRPr="008B3A5E">
        <w:rPr>
          <w:rFonts w:ascii="Times New Roman" w:hAnsi="Times New Roman" w:cs="Times New Roman"/>
          <w:sz w:val="18"/>
          <w:szCs w:val="18"/>
        </w:rPr>
        <w:t>addresses</w:t>
      </w:r>
      <w:r w:rsidR="005F19F6" w:rsidRPr="008B3A5E">
        <w:rPr>
          <w:rFonts w:ascii="Times New Roman" w:hAnsi="Times New Roman" w:cs="Times New Roman"/>
          <w:sz w:val="18"/>
          <w:szCs w:val="18"/>
        </w:rPr>
        <w:t xml:space="preserve">. </w:t>
      </w:r>
    </w:p>
    <w:p w14:paraId="737EE362" w14:textId="77777777" w:rsidR="005F19F6" w:rsidRPr="008B3A5E" w:rsidRDefault="005F19F6" w:rsidP="008B3A5E">
      <w:pPr>
        <w:pStyle w:val="FootnoteText"/>
        <w:spacing w:line="480" w:lineRule="auto"/>
        <w:rPr>
          <w:rFonts w:ascii="Times New Roman" w:hAnsi="Times New Roman" w:cs="Times New Roman"/>
          <w:sz w:val="18"/>
          <w:szCs w:val="18"/>
        </w:rPr>
      </w:pPr>
    </w:p>
    <w:p w14:paraId="65E62681" w14:textId="77777777" w:rsidR="005F19F6" w:rsidRPr="008B3A5E" w:rsidRDefault="005F19F6" w:rsidP="008B3A5E">
      <w:pPr>
        <w:pStyle w:val="FootnoteText"/>
        <w:spacing w:line="480" w:lineRule="auto"/>
        <w:rPr>
          <w:rFonts w:ascii="Times New Roman" w:hAnsi="Times New Roman" w:cs="Times New Roman"/>
          <w:sz w:val="18"/>
          <w:szCs w:val="18"/>
        </w:rPr>
      </w:pPr>
    </w:p>
    <w:p w14:paraId="495FFF1A" w14:textId="77777777" w:rsidR="001F3037" w:rsidRPr="008B3A5E" w:rsidRDefault="001F3037" w:rsidP="008B3A5E">
      <w:pPr>
        <w:pStyle w:val="FootnoteText"/>
        <w:spacing w:line="480" w:lineRule="auto"/>
        <w:rPr>
          <w:rFonts w:ascii="Times New Roman" w:hAnsi="Times New Roman" w:cs="Times New Roman"/>
          <w:sz w:val="18"/>
          <w:szCs w:val="18"/>
        </w:rPr>
      </w:pPr>
    </w:p>
    <w:p w14:paraId="02CA52EE" w14:textId="77777777" w:rsidR="00D26451" w:rsidRPr="008B3A5E" w:rsidRDefault="00D26451" w:rsidP="008B3A5E">
      <w:pPr>
        <w:pStyle w:val="FootnoteText"/>
        <w:spacing w:line="480" w:lineRule="auto"/>
        <w:rPr>
          <w:rFonts w:ascii="Times New Roman" w:hAnsi="Times New Roman" w:cs="Times New Roman"/>
          <w:sz w:val="18"/>
          <w:szCs w:val="18"/>
        </w:rPr>
      </w:pPr>
    </w:p>
    <w:p w14:paraId="26DC16B4" w14:textId="77777777" w:rsidR="00B53146" w:rsidRPr="008B3A5E" w:rsidRDefault="00B53146" w:rsidP="008B3A5E">
      <w:pPr>
        <w:pStyle w:val="FootnoteText"/>
        <w:spacing w:line="480" w:lineRule="auto"/>
        <w:rPr>
          <w:rFonts w:ascii="Times New Roman" w:hAnsi="Times New Roman" w:cs="Times New Roman"/>
          <w:sz w:val="18"/>
          <w:szCs w:val="18"/>
        </w:rPr>
      </w:pPr>
    </w:p>
    <w:p w14:paraId="645FD19B" w14:textId="77777777" w:rsidR="00B53146" w:rsidRPr="008B3A5E" w:rsidRDefault="00B53146" w:rsidP="008B3A5E">
      <w:pPr>
        <w:pStyle w:val="FootnoteText"/>
        <w:spacing w:line="480" w:lineRule="auto"/>
        <w:rPr>
          <w:rFonts w:ascii="Times New Roman" w:hAnsi="Times New Roman" w:cs="Times New Roman"/>
          <w:sz w:val="18"/>
          <w:szCs w:val="18"/>
        </w:rPr>
      </w:pPr>
      <w:r w:rsidRPr="008B3A5E">
        <w:rPr>
          <w:rFonts w:ascii="Times New Roman" w:hAnsi="Times New Roman" w:cs="Times New Roman"/>
          <w:sz w:val="18"/>
          <w:szCs w:val="18"/>
        </w:rPr>
        <w:t xml:space="preserve">I </w:t>
      </w:r>
    </w:p>
    <w:p w14:paraId="4AF90C76" w14:textId="77777777" w:rsidR="00B53146" w:rsidRPr="008B3A5E" w:rsidRDefault="00B53146" w:rsidP="008B3A5E">
      <w:pPr>
        <w:pStyle w:val="FootnoteText"/>
        <w:spacing w:line="480" w:lineRule="auto"/>
        <w:rPr>
          <w:rFonts w:ascii="Times New Roman" w:hAnsi="Times New Roman" w:cs="Times New Roman"/>
          <w:sz w:val="18"/>
          <w:szCs w:val="18"/>
        </w:rPr>
      </w:pPr>
    </w:p>
    <w:p w14:paraId="3FBF0453" w14:textId="77777777" w:rsidR="00FA147D" w:rsidRPr="008B3A5E" w:rsidRDefault="00FA147D" w:rsidP="008B3A5E">
      <w:pPr>
        <w:pStyle w:val="FootnoteText"/>
        <w:spacing w:line="480" w:lineRule="auto"/>
        <w:ind w:firstLine="360"/>
        <w:rPr>
          <w:rFonts w:ascii="Times New Roman" w:hAnsi="Times New Roman" w:cs="Times New Roman"/>
          <w:sz w:val="18"/>
          <w:szCs w:val="18"/>
        </w:rPr>
      </w:pPr>
      <w:r w:rsidRPr="008B3A5E">
        <w:rPr>
          <w:rFonts w:ascii="Times New Roman" w:hAnsi="Times New Roman" w:cs="Times New Roman"/>
          <w:sz w:val="18"/>
          <w:szCs w:val="18"/>
        </w:rPr>
        <w:t xml:space="preserve">A different area explored by social enactivists </w:t>
      </w:r>
      <w:r w:rsidRPr="008B3A5E">
        <w:rPr>
          <w:rFonts w:ascii="Times New Roman" w:hAnsi="Times New Roman" w:cs="Times New Roman"/>
          <w:sz w:val="18"/>
          <w:szCs w:val="18"/>
        </w:rPr>
        <w:fldChar w:fldCharType="begin"/>
      </w:r>
      <w:r w:rsidRPr="008B3A5E">
        <w:rPr>
          <w:rFonts w:ascii="Times New Roman" w:hAnsi="Times New Roman" w:cs="Times New Roman"/>
          <w:sz w:val="18"/>
          <w:szCs w:val="18"/>
        </w:rPr>
        <w:instrText xml:space="preserve"> ADDIN ZOTERO_ITEM CSL_CITATION {"citationID":"qT51XHsZ","properties":{"formattedCitation":"(McGann and De Jaegher 2009)","plainCitation":"(McGann and De Jaegher 2009)"},"citationItems":[{"id":192,"uris":["http://zotero.org/users/611556/items/D36S4SJV"],"uri":["http://zotero.org/users/611556/items/D36S4SJV"],"itemData":{"id":192,"type":"article-journal","title":"Self–other contingencies: Enacting social perception","container-title":"Phenomenology and the Cognitive Sciences","page":"417-437","volume":"8","issue":"4","source":"CrossRef","DOI":"10.1007/s11097-009-9141-7","ISSN":"1568-7759, 1572-8676","shortTitle":"Self–other contingencies","author":[{"family":"McGann","given":"Marek"},{"family":"De Jaegher","given":"Hanne"}],"issued":{"date-parts":[["2009",7,23]]},"accessed":{"date-parts":[["2012",11,19]]}}}],"schema":"https://github.com/citation-style-language/schema/raw/master/csl-citation.json"} </w:instrText>
      </w:r>
      <w:r w:rsidRPr="008B3A5E">
        <w:rPr>
          <w:rFonts w:ascii="Times New Roman" w:hAnsi="Times New Roman" w:cs="Times New Roman"/>
          <w:sz w:val="18"/>
          <w:szCs w:val="18"/>
        </w:rPr>
        <w:fldChar w:fldCharType="separate"/>
      </w:r>
      <w:r w:rsidRPr="008B3A5E">
        <w:rPr>
          <w:rFonts w:ascii="Times New Roman" w:hAnsi="Times New Roman" w:cs="Times New Roman"/>
          <w:noProof/>
          <w:sz w:val="18"/>
          <w:szCs w:val="18"/>
        </w:rPr>
        <w:t>(McGann and De Jaegher 2009)</w:t>
      </w:r>
      <w:r w:rsidRPr="008B3A5E">
        <w:rPr>
          <w:rFonts w:ascii="Times New Roman" w:hAnsi="Times New Roman" w:cs="Times New Roman"/>
          <w:sz w:val="18"/>
          <w:szCs w:val="18"/>
        </w:rPr>
        <w:fldChar w:fldCharType="end"/>
      </w:r>
      <w:r w:rsidRPr="008B3A5E">
        <w:rPr>
          <w:rFonts w:ascii="Times New Roman" w:hAnsi="Times New Roman" w:cs="Times New Roman"/>
          <w:sz w:val="18"/>
          <w:szCs w:val="18"/>
        </w:rPr>
        <w:t xml:space="preserve"> is referred to as “social cognition,” by which they mean cognition of others, specifically our </w:t>
      </w:r>
      <w:proofErr w:type="spellStart"/>
      <w:r w:rsidRPr="008B3A5E">
        <w:rPr>
          <w:rFonts w:ascii="Times New Roman" w:hAnsi="Times New Roman" w:cs="Times New Roman"/>
          <w:sz w:val="18"/>
          <w:szCs w:val="18"/>
        </w:rPr>
        <w:t>undestanding</w:t>
      </w:r>
      <w:proofErr w:type="spellEnd"/>
      <w:r w:rsidRPr="008B3A5E">
        <w:rPr>
          <w:rFonts w:ascii="Times New Roman" w:hAnsi="Times New Roman" w:cs="Times New Roman"/>
          <w:sz w:val="18"/>
          <w:szCs w:val="18"/>
        </w:rPr>
        <w:t xml:space="preserve"> of the other in interpersonal interactions. In other words, it is about how we make sense of others. To put it in more traditional terms, they take up the problem of other minds, and offer an enactivist solution to it. The specific connection with perception is perhaps </w:t>
      </w:r>
      <w:proofErr w:type="gramStart"/>
      <w:r w:rsidRPr="008B3A5E">
        <w:rPr>
          <w:rFonts w:ascii="Times New Roman" w:hAnsi="Times New Roman" w:cs="Times New Roman"/>
          <w:sz w:val="18"/>
          <w:szCs w:val="18"/>
        </w:rPr>
        <w:t>more clear</w:t>
      </w:r>
      <w:proofErr w:type="gramEnd"/>
      <w:r w:rsidRPr="008B3A5E">
        <w:rPr>
          <w:rFonts w:ascii="Times New Roman" w:hAnsi="Times New Roman" w:cs="Times New Roman"/>
          <w:sz w:val="18"/>
          <w:szCs w:val="18"/>
        </w:rPr>
        <w:t xml:space="preserve"> in De </w:t>
      </w:r>
      <w:proofErr w:type="spellStart"/>
      <w:r w:rsidRPr="008B3A5E">
        <w:rPr>
          <w:rFonts w:ascii="Times New Roman" w:hAnsi="Times New Roman" w:cs="Times New Roman"/>
          <w:sz w:val="18"/>
          <w:szCs w:val="18"/>
        </w:rPr>
        <w:t>Jaegher’s</w:t>
      </w:r>
      <w:proofErr w:type="spellEnd"/>
      <w:r w:rsidRPr="008B3A5E">
        <w:rPr>
          <w:rFonts w:ascii="Times New Roman" w:hAnsi="Times New Roman" w:cs="Times New Roman"/>
          <w:sz w:val="18"/>
          <w:szCs w:val="18"/>
        </w:rPr>
        <w:t xml:space="preserve"> “Social understanding through direct perception? Yes, by interacting” </w:t>
      </w:r>
      <w:r w:rsidRPr="008B3A5E">
        <w:rPr>
          <w:rFonts w:ascii="Times New Roman" w:hAnsi="Times New Roman" w:cs="Times New Roman"/>
          <w:sz w:val="18"/>
          <w:szCs w:val="18"/>
        </w:rPr>
        <w:fldChar w:fldCharType="begin"/>
      </w:r>
      <w:r w:rsidRPr="008B3A5E">
        <w:rPr>
          <w:rFonts w:ascii="Times New Roman" w:hAnsi="Times New Roman" w:cs="Times New Roman"/>
          <w:sz w:val="18"/>
          <w:szCs w:val="18"/>
        </w:rPr>
        <w:instrText xml:space="preserve"> ADDIN ZOTERO_ITEM CSL_CITATION {"citationID":"O9sx4qPk","properties":{"formattedCitation":"(2009)","plainCitation":"(2009)"},"citationItems":[{"id":473,"uris":["http://zotero.org/users/611556/items/U5RU6FT3"],"uri":["http://zotero.org/users/611556/items/U5RU6FT3"],"itemData":{"id":473,"type":"article-journal","title":"Social understanding through direct perception? Yes, by interacting","container-title":"Consciousness and cognition","page":"535-542","volume":"18","issue":"2","ISSN":"1053-8100","note":"Journal Article","journalAbbreviation":"Conscious.Cogn.","author":[{"family":"De Jaegher","given":"Hanne"}],"issued":{"date-parts":[["2009"]]}},"suppress-author":true}],"schema":"https://github.com/citation-style-language/schema/raw/master/csl-citation.json"} </w:instrText>
      </w:r>
      <w:r w:rsidRPr="008B3A5E">
        <w:rPr>
          <w:rFonts w:ascii="Times New Roman" w:hAnsi="Times New Roman" w:cs="Times New Roman"/>
          <w:sz w:val="18"/>
          <w:szCs w:val="18"/>
        </w:rPr>
        <w:fldChar w:fldCharType="separate"/>
      </w:r>
      <w:r w:rsidRPr="008B3A5E">
        <w:rPr>
          <w:rFonts w:ascii="Times New Roman" w:hAnsi="Times New Roman" w:cs="Times New Roman"/>
          <w:noProof/>
          <w:sz w:val="18"/>
          <w:szCs w:val="18"/>
        </w:rPr>
        <w:t>(2009)</w:t>
      </w:r>
      <w:r w:rsidRPr="008B3A5E">
        <w:rPr>
          <w:rFonts w:ascii="Times New Roman" w:hAnsi="Times New Roman" w:cs="Times New Roman"/>
          <w:sz w:val="18"/>
          <w:szCs w:val="18"/>
        </w:rPr>
        <w:fldChar w:fldCharType="end"/>
      </w:r>
      <w:r w:rsidRPr="008B3A5E">
        <w:rPr>
          <w:rFonts w:ascii="Times New Roman" w:hAnsi="Times New Roman" w:cs="Times New Roman"/>
          <w:sz w:val="18"/>
          <w:szCs w:val="18"/>
        </w:rPr>
        <w:t xml:space="preserve">. Here the focus is the understanding of others, not perception. Perception is instrumental to the goal of social understanding. The difference between this social enactivism and SEP is the difference between an account of the understanding of others partly through perceptual interaction, and an account of perception itself as an interaction, which is at the heart of SEP. However, for SEP our interactions with others are also interactions with the world, however peculiar, and in that sense, they fall under the scope of SEP. See chapter 1, footnote 29, for further clarification on the relation between SEP and the perception of others. </w:t>
      </w:r>
    </w:p>
    <w:p w14:paraId="1E15BFCB" w14:textId="77777777" w:rsidR="00FA147D" w:rsidRPr="008B3A5E" w:rsidRDefault="00FA147D" w:rsidP="008B3A5E">
      <w:pPr>
        <w:pStyle w:val="FootnoteText"/>
        <w:spacing w:line="480" w:lineRule="auto"/>
        <w:ind w:firstLine="360"/>
        <w:rPr>
          <w:rFonts w:ascii="Times New Roman" w:hAnsi="Times New Roman" w:cs="Times New Roman"/>
          <w:sz w:val="18"/>
          <w:szCs w:val="18"/>
        </w:rPr>
      </w:pPr>
      <w:r w:rsidRPr="008B3A5E">
        <w:rPr>
          <w:rFonts w:ascii="Times New Roman" w:hAnsi="Times New Roman" w:cs="Times New Roman"/>
          <w:sz w:val="18"/>
          <w:szCs w:val="18"/>
        </w:rPr>
        <w:t xml:space="preserve">McGann and de </w:t>
      </w:r>
      <w:proofErr w:type="spellStart"/>
      <w:r w:rsidRPr="008B3A5E">
        <w:rPr>
          <w:rFonts w:ascii="Times New Roman" w:hAnsi="Times New Roman" w:cs="Times New Roman"/>
          <w:sz w:val="18"/>
          <w:szCs w:val="18"/>
        </w:rPr>
        <w:t>Jaegher</w:t>
      </w:r>
      <w:proofErr w:type="spellEnd"/>
      <w:r w:rsidRPr="008B3A5E">
        <w:rPr>
          <w:rFonts w:ascii="Times New Roman" w:hAnsi="Times New Roman" w:cs="Times New Roman"/>
          <w:sz w:val="18"/>
          <w:szCs w:val="18"/>
        </w:rPr>
        <w:t xml:space="preserve"> have talked about understanding others as a perception-based activity that, instead of </w:t>
      </w:r>
      <w:r w:rsidRPr="008B3A5E">
        <w:rPr>
          <w:rFonts w:ascii="Times New Roman" w:hAnsi="Times New Roman" w:cs="Times New Roman"/>
          <w:i/>
          <w:iCs/>
          <w:sz w:val="18"/>
          <w:szCs w:val="18"/>
        </w:rPr>
        <w:t>sensorimotor contingencies</w:t>
      </w:r>
      <w:r w:rsidRPr="008B3A5E">
        <w:rPr>
          <w:rFonts w:ascii="Times New Roman" w:hAnsi="Times New Roman" w:cs="Times New Roman"/>
          <w:sz w:val="18"/>
          <w:szCs w:val="18"/>
        </w:rPr>
        <w:t xml:space="preserve"> (sensorimotor enactivism), relies on mastery of </w:t>
      </w:r>
      <w:r w:rsidRPr="008B3A5E">
        <w:rPr>
          <w:rFonts w:ascii="Times New Roman" w:hAnsi="Times New Roman" w:cs="Times New Roman"/>
          <w:i/>
          <w:iCs/>
          <w:sz w:val="18"/>
          <w:szCs w:val="18"/>
        </w:rPr>
        <w:t>self-other</w:t>
      </w:r>
      <w:r w:rsidRPr="008B3A5E">
        <w:rPr>
          <w:rFonts w:ascii="Times New Roman" w:hAnsi="Times New Roman" w:cs="Times New Roman"/>
          <w:sz w:val="18"/>
          <w:szCs w:val="18"/>
        </w:rPr>
        <w:t xml:space="preserve"> contingencies. If Noë’s enactivism cashes the relation action-perception in terms of sensorimotor knowledge, McGann and de </w:t>
      </w:r>
      <w:proofErr w:type="spellStart"/>
      <w:r w:rsidRPr="008B3A5E">
        <w:rPr>
          <w:rFonts w:ascii="Times New Roman" w:hAnsi="Times New Roman" w:cs="Times New Roman"/>
          <w:sz w:val="18"/>
          <w:szCs w:val="18"/>
        </w:rPr>
        <w:t>Jaegher</w:t>
      </w:r>
      <w:proofErr w:type="spellEnd"/>
      <w:r w:rsidRPr="008B3A5E">
        <w:rPr>
          <w:rFonts w:ascii="Times New Roman" w:hAnsi="Times New Roman" w:cs="Times New Roman"/>
          <w:sz w:val="18"/>
          <w:szCs w:val="18"/>
        </w:rPr>
        <w:t xml:space="preserve"> propose a knowledge of the ways in which the subject’s behavior is attuned to others’, that is, how the subject masters the way in which others change according to her behavior, and the way she adapts to others’ behavior’s changes. These self-other contingencies are not perceptual, though they are perceptually based. For SEP, however, something more is needed. As an understanding of perception in general, SEP requires </w:t>
      </w:r>
      <w:proofErr w:type="spellStart"/>
      <w:r w:rsidRPr="008B3A5E">
        <w:rPr>
          <w:rFonts w:ascii="Times New Roman" w:hAnsi="Times New Roman" w:cs="Times New Roman"/>
          <w:sz w:val="18"/>
          <w:szCs w:val="18"/>
        </w:rPr>
        <w:t>contigencies</w:t>
      </w:r>
      <w:proofErr w:type="spellEnd"/>
      <w:r w:rsidRPr="008B3A5E">
        <w:rPr>
          <w:rFonts w:ascii="Times New Roman" w:hAnsi="Times New Roman" w:cs="Times New Roman"/>
          <w:sz w:val="18"/>
          <w:szCs w:val="18"/>
        </w:rPr>
        <w:t>—or dependencies, as I call them—that are part of perception in general. The result is the three dependencies of perception that I develop in chapter 3. </w:t>
      </w:r>
    </w:p>
    <w:p w14:paraId="436B87D7" w14:textId="77777777" w:rsidR="00FA147D" w:rsidRPr="008B3A5E" w:rsidRDefault="00FA147D" w:rsidP="008B3A5E">
      <w:pPr>
        <w:widowControl w:val="0"/>
        <w:autoSpaceDE w:val="0"/>
        <w:autoSpaceDN w:val="0"/>
        <w:adjustRightInd w:val="0"/>
        <w:spacing w:line="480" w:lineRule="auto"/>
        <w:ind w:firstLine="360"/>
        <w:rPr>
          <w:rFonts w:ascii="Times New Roman" w:hAnsi="Times New Roman" w:cs="Times New Roman"/>
          <w:color w:val="1A1A1A"/>
          <w:sz w:val="18"/>
          <w:szCs w:val="18"/>
        </w:rPr>
      </w:pPr>
      <w:r w:rsidRPr="008B3A5E">
        <w:rPr>
          <w:rFonts w:ascii="Times New Roman" w:hAnsi="Times New Roman" w:cs="Times New Roman"/>
          <w:sz w:val="18"/>
          <w:szCs w:val="18"/>
        </w:rPr>
        <w:t xml:space="preserve">Thus, in contrast with the social enactive theories just mentioned, the Social Enactive Theory of Perception (SEP) does not focus on the perceptual aspect of elements of the social, including the perception of others (as if perception occupied itself sometimes with social stuff and at other times it didn’t), but rather </w:t>
      </w:r>
      <w:r w:rsidRPr="008B3A5E">
        <w:rPr>
          <w:rFonts w:ascii="Times New Roman" w:hAnsi="Times New Roman" w:cs="Times New Roman"/>
          <w:i/>
          <w:iCs/>
          <w:sz w:val="18"/>
          <w:szCs w:val="18"/>
        </w:rPr>
        <w:t>on the social aspects that are constitutive of perception in general</w:t>
      </w:r>
      <w:r w:rsidRPr="008B3A5E">
        <w:rPr>
          <w:rFonts w:ascii="Times New Roman" w:hAnsi="Times New Roman" w:cs="Times New Roman"/>
          <w:sz w:val="18"/>
          <w:szCs w:val="18"/>
        </w:rPr>
        <w:t xml:space="preserve">. Instead of taking the social at first as its object and inquiring for how perception serves that goal, what is distinctive </w:t>
      </w:r>
      <w:r w:rsidRPr="008B3A5E">
        <w:rPr>
          <w:rFonts w:ascii="Times New Roman" w:hAnsi="Times New Roman" w:cs="Times New Roman"/>
          <w:sz w:val="18"/>
          <w:szCs w:val="18"/>
        </w:rPr>
        <w:lastRenderedPageBreak/>
        <w:t xml:space="preserve">about SEP is that it takes perception and </w:t>
      </w:r>
      <w:proofErr w:type="spellStart"/>
      <w:r w:rsidRPr="008B3A5E">
        <w:rPr>
          <w:rFonts w:ascii="Times New Roman" w:hAnsi="Times New Roman" w:cs="Times New Roman"/>
          <w:sz w:val="18"/>
          <w:szCs w:val="18"/>
        </w:rPr>
        <w:t>inquires</w:t>
      </w:r>
      <w:proofErr w:type="spellEnd"/>
      <w:r w:rsidRPr="008B3A5E">
        <w:rPr>
          <w:rFonts w:ascii="Times New Roman" w:hAnsi="Times New Roman" w:cs="Times New Roman"/>
          <w:sz w:val="18"/>
          <w:szCs w:val="18"/>
        </w:rPr>
        <w:t xml:space="preserve"> into how perception, in its workings, is intrinsically social, that is, in how perception is partly constituted by the intersubjective domain. The different social enactivisms just reviewed are linked and are complementary in various ways, and I consider SEP to be broadly compatible with other available social enactivisms.</w:t>
      </w:r>
    </w:p>
    <w:p w14:paraId="0F472CAF" w14:textId="77777777" w:rsidR="006A5CC9" w:rsidRPr="008B3A5E" w:rsidRDefault="006A5CC9" w:rsidP="008B3A5E">
      <w:pPr>
        <w:spacing w:line="480" w:lineRule="auto"/>
        <w:rPr>
          <w:rFonts w:ascii="Times New Roman" w:hAnsi="Times New Roman" w:cs="Times New Roman"/>
        </w:rPr>
      </w:pPr>
    </w:p>
    <w:p w14:paraId="71DC875E" w14:textId="540D63A3" w:rsidR="00211872" w:rsidRPr="008B3A5E" w:rsidRDefault="00211872" w:rsidP="008B3A5E">
      <w:pPr>
        <w:spacing w:line="480" w:lineRule="auto"/>
        <w:rPr>
          <w:rFonts w:ascii="Times New Roman" w:hAnsi="Times New Roman" w:cs="Times New Roman"/>
        </w:rPr>
      </w:pPr>
      <w:r w:rsidRPr="008B3A5E">
        <w:rPr>
          <w:rFonts w:ascii="Times New Roman" w:hAnsi="Times New Roman" w:cs="Times New Roman"/>
        </w:rPr>
        <w:t>REFERENCES</w:t>
      </w:r>
    </w:p>
    <w:p w14:paraId="3EA64648" w14:textId="77777777" w:rsidR="00211872" w:rsidRPr="008B3A5E" w:rsidRDefault="00211872" w:rsidP="008B3A5E">
      <w:pPr>
        <w:spacing w:line="480" w:lineRule="auto"/>
        <w:rPr>
          <w:rFonts w:ascii="Times New Roman" w:hAnsi="Times New Roman" w:cs="Times New Roman"/>
        </w:rPr>
      </w:pPr>
    </w:p>
    <w:p w14:paraId="0A16BF05"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Arango, A. (2018). From sensorimotor dependencies to perceptual practices: making enactivism social. </w:t>
      </w:r>
      <w:r w:rsidRPr="008B3A5E">
        <w:rPr>
          <w:rFonts w:ascii="Times New Roman" w:hAnsi="Times New Roman" w:cs="Times New Roman"/>
          <w:i/>
          <w:iCs/>
          <w:sz w:val="18"/>
        </w:rPr>
        <w:t>Adaptive Behavior</w:t>
      </w:r>
      <w:r w:rsidRPr="008B3A5E">
        <w:rPr>
          <w:rFonts w:ascii="Times New Roman" w:hAnsi="Times New Roman" w:cs="Times New Roman"/>
          <w:sz w:val="18"/>
        </w:rPr>
        <w:t xml:space="preserve">, </w:t>
      </w:r>
      <w:r w:rsidRPr="008B3A5E">
        <w:rPr>
          <w:rFonts w:ascii="Times New Roman" w:hAnsi="Times New Roman" w:cs="Times New Roman"/>
          <w:i/>
          <w:iCs/>
          <w:sz w:val="18"/>
        </w:rPr>
        <w:t>27</w:t>
      </w:r>
      <w:r w:rsidRPr="008B3A5E">
        <w:rPr>
          <w:rFonts w:ascii="Times New Roman" w:hAnsi="Times New Roman" w:cs="Times New Roman"/>
          <w:sz w:val="18"/>
        </w:rPr>
        <w:t>(1), 31–45. https://doi.org/10.1177/1059712318811897</w:t>
      </w:r>
    </w:p>
    <w:p w14:paraId="25AADB64"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De </w:t>
      </w:r>
      <w:proofErr w:type="spellStart"/>
      <w:r w:rsidRPr="008B3A5E">
        <w:rPr>
          <w:rFonts w:ascii="Times New Roman" w:hAnsi="Times New Roman" w:cs="Times New Roman"/>
          <w:sz w:val="18"/>
        </w:rPr>
        <w:t>Jaegher</w:t>
      </w:r>
      <w:proofErr w:type="spellEnd"/>
      <w:r w:rsidRPr="008B3A5E">
        <w:rPr>
          <w:rFonts w:ascii="Times New Roman" w:hAnsi="Times New Roman" w:cs="Times New Roman"/>
          <w:sz w:val="18"/>
        </w:rPr>
        <w:t xml:space="preserve">, H. (2009). Social understanding through direct perception? Yes, by interacting. </w:t>
      </w:r>
      <w:r w:rsidRPr="008B3A5E">
        <w:rPr>
          <w:rFonts w:ascii="Times New Roman" w:hAnsi="Times New Roman" w:cs="Times New Roman"/>
          <w:i/>
          <w:iCs/>
          <w:sz w:val="18"/>
        </w:rPr>
        <w:t>Consciousness and Cognition</w:t>
      </w:r>
      <w:r w:rsidRPr="008B3A5E">
        <w:rPr>
          <w:rFonts w:ascii="Times New Roman" w:hAnsi="Times New Roman" w:cs="Times New Roman"/>
          <w:sz w:val="18"/>
        </w:rPr>
        <w:t xml:space="preserve">, </w:t>
      </w:r>
      <w:r w:rsidRPr="008B3A5E">
        <w:rPr>
          <w:rFonts w:ascii="Times New Roman" w:hAnsi="Times New Roman" w:cs="Times New Roman"/>
          <w:i/>
          <w:iCs/>
          <w:sz w:val="18"/>
        </w:rPr>
        <w:t>18</w:t>
      </w:r>
      <w:r w:rsidRPr="008B3A5E">
        <w:rPr>
          <w:rFonts w:ascii="Times New Roman" w:hAnsi="Times New Roman" w:cs="Times New Roman"/>
          <w:sz w:val="18"/>
        </w:rPr>
        <w:t>(2), 535–542.</w:t>
      </w:r>
    </w:p>
    <w:p w14:paraId="26AF4420"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De </w:t>
      </w:r>
      <w:proofErr w:type="spellStart"/>
      <w:r w:rsidRPr="008B3A5E">
        <w:rPr>
          <w:rFonts w:ascii="Times New Roman" w:hAnsi="Times New Roman" w:cs="Times New Roman"/>
          <w:sz w:val="18"/>
        </w:rPr>
        <w:t>Jaegher</w:t>
      </w:r>
      <w:proofErr w:type="spellEnd"/>
      <w:r w:rsidRPr="008B3A5E">
        <w:rPr>
          <w:rFonts w:ascii="Times New Roman" w:hAnsi="Times New Roman" w:cs="Times New Roman"/>
          <w:sz w:val="18"/>
        </w:rPr>
        <w:t xml:space="preserve">, H. (2018). The intersubjective turn. In A. </w:t>
      </w:r>
      <w:proofErr w:type="spellStart"/>
      <w:r w:rsidRPr="008B3A5E">
        <w:rPr>
          <w:rFonts w:ascii="Times New Roman" w:hAnsi="Times New Roman" w:cs="Times New Roman"/>
          <w:sz w:val="18"/>
        </w:rPr>
        <w:t>Newen</w:t>
      </w:r>
      <w:proofErr w:type="spellEnd"/>
      <w:r w:rsidRPr="008B3A5E">
        <w:rPr>
          <w:rFonts w:ascii="Times New Roman" w:hAnsi="Times New Roman" w:cs="Times New Roman"/>
          <w:sz w:val="18"/>
        </w:rPr>
        <w:t xml:space="preserve">, L. De Bruin, &amp; S. Gallagher (Eds.), </w:t>
      </w:r>
      <w:r w:rsidRPr="008B3A5E">
        <w:rPr>
          <w:rFonts w:ascii="Times New Roman" w:hAnsi="Times New Roman" w:cs="Times New Roman"/>
          <w:i/>
          <w:iCs/>
          <w:sz w:val="18"/>
        </w:rPr>
        <w:t>The Oxford Handbook of 4E Cognition</w:t>
      </w:r>
      <w:r w:rsidRPr="008B3A5E">
        <w:rPr>
          <w:rFonts w:ascii="Times New Roman" w:hAnsi="Times New Roman" w:cs="Times New Roman"/>
          <w:sz w:val="18"/>
        </w:rPr>
        <w:t xml:space="preserve"> (pp. 453–467). Oxford.</w:t>
      </w:r>
    </w:p>
    <w:p w14:paraId="2CD54D54"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De </w:t>
      </w:r>
      <w:proofErr w:type="spellStart"/>
      <w:r w:rsidRPr="008B3A5E">
        <w:rPr>
          <w:rFonts w:ascii="Times New Roman" w:hAnsi="Times New Roman" w:cs="Times New Roman"/>
          <w:sz w:val="18"/>
        </w:rPr>
        <w:t>Jaegher</w:t>
      </w:r>
      <w:proofErr w:type="spellEnd"/>
      <w:r w:rsidRPr="008B3A5E">
        <w:rPr>
          <w:rFonts w:ascii="Times New Roman" w:hAnsi="Times New Roman" w:cs="Times New Roman"/>
          <w:sz w:val="18"/>
        </w:rPr>
        <w:t xml:space="preserve">, H., &amp; Di Paolo, E. (2007). Participatory Sense-Making: An Enactive Approach to Social Cognition. </w:t>
      </w:r>
      <w:r w:rsidRPr="008B3A5E">
        <w:rPr>
          <w:rFonts w:ascii="Times New Roman" w:hAnsi="Times New Roman" w:cs="Times New Roman"/>
          <w:i/>
          <w:iCs/>
          <w:sz w:val="18"/>
        </w:rPr>
        <w:t>Phenomenology and the Cognitive Sciences</w:t>
      </w:r>
      <w:r w:rsidRPr="008B3A5E">
        <w:rPr>
          <w:rFonts w:ascii="Times New Roman" w:hAnsi="Times New Roman" w:cs="Times New Roman"/>
          <w:sz w:val="18"/>
        </w:rPr>
        <w:t xml:space="preserve">, </w:t>
      </w:r>
      <w:r w:rsidRPr="008B3A5E">
        <w:rPr>
          <w:rFonts w:ascii="Times New Roman" w:hAnsi="Times New Roman" w:cs="Times New Roman"/>
          <w:i/>
          <w:iCs/>
          <w:sz w:val="18"/>
        </w:rPr>
        <w:t>6</w:t>
      </w:r>
      <w:r w:rsidRPr="008B3A5E">
        <w:rPr>
          <w:rFonts w:ascii="Times New Roman" w:hAnsi="Times New Roman" w:cs="Times New Roman"/>
          <w:sz w:val="18"/>
        </w:rPr>
        <w:t>(4), 485–507.</w:t>
      </w:r>
    </w:p>
    <w:p w14:paraId="0E0450DB"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De </w:t>
      </w:r>
      <w:proofErr w:type="spellStart"/>
      <w:r w:rsidRPr="008B3A5E">
        <w:rPr>
          <w:rFonts w:ascii="Times New Roman" w:hAnsi="Times New Roman" w:cs="Times New Roman"/>
          <w:sz w:val="18"/>
        </w:rPr>
        <w:t>Jaegher</w:t>
      </w:r>
      <w:proofErr w:type="spellEnd"/>
      <w:r w:rsidRPr="008B3A5E">
        <w:rPr>
          <w:rFonts w:ascii="Times New Roman" w:hAnsi="Times New Roman" w:cs="Times New Roman"/>
          <w:sz w:val="18"/>
        </w:rPr>
        <w:t xml:space="preserve">, H., &amp; Froese, T. (2009). On the Role of Social Interaction in Individual Agency. </w:t>
      </w:r>
      <w:r w:rsidRPr="008B3A5E">
        <w:rPr>
          <w:rFonts w:ascii="Times New Roman" w:hAnsi="Times New Roman" w:cs="Times New Roman"/>
          <w:i/>
          <w:iCs/>
          <w:sz w:val="18"/>
        </w:rPr>
        <w:t>Adaptive Behavior</w:t>
      </w:r>
      <w:r w:rsidRPr="008B3A5E">
        <w:rPr>
          <w:rFonts w:ascii="Times New Roman" w:hAnsi="Times New Roman" w:cs="Times New Roman"/>
          <w:sz w:val="18"/>
        </w:rPr>
        <w:t xml:space="preserve">, </w:t>
      </w:r>
      <w:r w:rsidRPr="008B3A5E">
        <w:rPr>
          <w:rFonts w:ascii="Times New Roman" w:hAnsi="Times New Roman" w:cs="Times New Roman"/>
          <w:i/>
          <w:iCs/>
          <w:sz w:val="18"/>
        </w:rPr>
        <w:t>17</w:t>
      </w:r>
      <w:r w:rsidRPr="008B3A5E">
        <w:rPr>
          <w:rFonts w:ascii="Times New Roman" w:hAnsi="Times New Roman" w:cs="Times New Roman"/>
          <w:sz w:val="18"/>
        </w:rPr>
        <w:t>(5), 444–460. https://doi.org/10.1177/1059712309343822</w:t>
      </w:r>
    </w:p>
    <w:p w14:paraId="569EA405"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Gallagher, S. (2008). Direct perception in the intersubjective context. </w:t>
      </w:r>
      <w:r w:rsidRPr="008B3A5E">
        <w:rPr>
          <w:rFonts w:ascii="Times New Roman" w:hAnsi="Times New Roman" w:cs="Times New Roman"/>
          <w:i/>
          <w:iCs/>
          <w:sz w:val="18"/>
        </w:rPr>
        <w:t>Consciousness and Cognition</w:t>
      </w:r>
      <w:r w:rsidRPr="008B3A5E">
        <w:rPr>
          <w:rFonts w:ascii="Times New Roman" w:hAnsi="Times New Roman" w:cs="Times New Roman"/>
          <w:sz w:val="18"/>
        </w:rPr>
        <w:t xml:space="preserve">, </w:t>
      </w:r>
      <w:r w:rsidRPr="008B3A5E">
        <w:rPr>
          <w:rFonts w:ascii="Times New Roman" w:hAnsi="Times New Roman" w:cs="Times New Roman"/>
          <w:i/>
          <w:iCs/>
          <w:sz w:val="18"/>
        </w:rPr>
        <w:t>17</w:t>
      </w:r>
      <w:r w:rsidRPr="008B3A5E">
        <w:rPr>
          <w:rFonts w:ascii="Times New Roman" w:hAnsi="Times New Roman" w:cs="Times New Roman"/>
          <w:sz w:val="18"/>
        </w:rPr>
        <w:t>(2), 535–543. https://doi.org/10.1016/j.concog.2008.03.003</w:t>
      </w:r>
    </w:p>
    <w:p w14:paraId="1F073214"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Krueger, J. (2018). Direct Social Perception. In A. </w:t>
      </w:r>
      <w:proofErr w:type="spellStart"/>
      <w:r w:rsidRPr="008B3A5E">
        <w:rPr>
          <w:rFonts w:ascii="Times New Roman" w:hAnsi="Times New Roman" w:cs="Times New Roman"/>
          <w:sz w:val="18"/>
        </w:rPr>
        <w:t>Newen</w:t>
      </w:r>
      <w:proofErr w:type="spellEnd"/>
      <w:r w:rsidRPr="008B3A5E">
        <w:rPr>
          <w:rFonts w:ascii="Times New Roman" w:hAnsi="Times New Roman" w:cs="Times New Roman"/>
          <w:sz w:val="18"/>
        </w:rPr>
        <w:t xml:space="preserve">, L. De Bruin, &amp; S. Gallagher (Eds.), </w:t>
      </w:r>
      <w:r w:rsidRPr="008B3A5E">
        <w:rPr>
          <w:rFonts w:ascii="Times New Roman" w:hAnsi="Times New Roman" w:cs="Times New Roman"/>
          <w:i/>
          <w:iCs/>
          <w:sz w:val="18"/>
        </w:rPr>
        <w:t>The Oxford Handbook of 4E Cognition</w:t>
      </w:r>
      <w:r w:rsidRPr="008B3A5E">
        <w:rPr>
          <w:rFonts w:ascii="Times New Roman" w:hAnsi="Times New Roman" w:cs="Times New Roman"/>
          <w:sz w:val="18"/>
        </w:rPr>
        <w:t xml:space="preserve"> (pp. 301–320). Oxford: Oxford University Press. https://doi.org/10.1093/oxfordhb/9780198735410.013.15</w:t>
      </w:r>
    </w:p>
    <w:p w14:paraId="7218F012" w14:textId="77777777" w:rsidR="00211872" w:rsidRPr="008B3A5E" w:rsidRDefault="00211872" w:rsidP="008B3A5E">
      <w:pPr>
        <w:pStyle w:val="Bibliography"/>
        <w:spacing w:after="120" w:line="480" w:lineRule="auto"/>
        <w:rPr>
          <w:rFonts w:ascii="Times New Roman" w:hAnsi="Times New Roman" w:cs="Times New Roman"/>
          <w:sz w:val="18"/>
        </w:rPr>
      </w:pPr>
      <w:r w:rsidRPr="008B3A5E">
        <w:rPr>
          <w:rFonts w:ascii="Times New Roman" w:hAnsi="Times New Roman" w:cs="Times New Roman"/>
          <w:sz w:val="18"/>
        </w:rPr>
        <w:t xml:space="preserve">McGann, M., &amp; De </w:t>
      </w:r>
      <w:proofErr w:type="spellStart"/>
      <w:r w:rsidRPr="008B3A5E">
        <w:rPr>
          <w:rFonts w:ascii="Times New Roman" w:hAnsi="Times New Roman" w:cs="Times New Roman"/>
          <w:sz w:val="18"/>
        </w:rPr>
        <w:t>Jaegher</w:t>
      </w:r>
      <w:proofErr w:type="spellEnd"/>
      <w:r w:rsidRPr="008B3A5E">
        <w:rPr>
          <w:rFonts w:ascii="Times New Roman" w:hAnsi="Times New Roman" w:cs="Times New Roman"/>
          <w:sz w:val="18"/>
        </w:rPr>
        <w:t xml:space="preserve">, H. (2009). Self–other contingencies: Enacting social perception. </w:t>
      </w:r>
      <w:r w:rsidRPr="008B3A5E">
        <w:rPr>
          <w:rFonts w:ascii="Times New Roman" w:hAnsi="Times New Roman" w:cs="Times New Roman"/>
          <w:i/>
          <w:iCs/>
          <w:sz w:val="18"/>
        </w:rPr>
        <w:t>Phenomenology and the Cognitive Sciences</w:t>
      </w:r>
      <w:r w:rsidRPr="008B3A5E">
        <w:rPr>
          <w:rFonts w:ascii="Times New Roman" w:hAnsi="Times New Roman" w:cs="Times New Roman"/>
          <w:sz w:val="18"/>
        </w:rPr>
        <w:t xml:space="preserve">, </w:t>
      </w:r>
      <w:r w:rsidRPr="008B3A5E">
        <w:rPr>
          <w:rFonts w:ascii="Times New Roman" w:hAnsi="Times New Roman" w:cs="Times New Roman"/>
          <w:i/>
          <w:iCs/>
          <w:sz w:val="18"/>
        </w:rPr>
        <w:t>8</w:t>
      </w:r>
      <w:r w:rsidRPr="008B3A5E">
        <w:rPr>
          <w:rFonts w:ascii="Times New Roman" w:hAnsi="Times New Roman" w:cs="Times New Roman"/>
          <w:sz w:val="18"/>
        </w:rPr>
        <w:t>(4), 417–437. https://doi.org/10.1007/s11097-009-9141-7</w:t>
      </w:r>
    </w:p>
    <w:p w14:paraId="41BED554" w14:textId="77777777" w:rsidR="00211872" w:rsidRPr="008B3A5E" w:rsidRDefault="00211872" w:rsidP="008B3A5E">
      <w:pPr>
        <w:spacing w:line="480" w:lineRule="auto"/>
        <w:rPr>
          <w:rFonts w:ascii="Times New Roman" w:hAnsi="Times New Roman" w:cs="Times New Roman"/>
        </w:rPr>
      </w:pPr>
    </w:p>
    <w:p w14:paraId="22DCC24D" w14:textId="77777777" w:rsidR="00211872" w:rsidRPr="008B3A5E" w:rsidRDefault="00211872" w:rsidP="008B3A5E">
      <w:pPr>
        <w:spacing w:line="480" w:lineRule="auto"/>
        <w:rPr>
          <w:rFonts w:ascii="Times New Roman" w:hAnsi="Times New Roman" w:cs="Times New Roman"/>
        </w:rPr>
      </w:pPr>
    </w:p>
    <w:sectPr w:rsidR="00211872" w:rsidRPr="008B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ellMT">
    <w:altName w:val="Bell MT"/>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7D"/>
    <w:rsid w:val="001E18A6"/>
    <w:rsid w:val="001F3037"/>
    <w:rsid w:val="00211872"/>
    <w:rsid w:val="00230E8F"/>
    <w:rsid w:val="00290A1E"/>
    <w:rsid w:val="00295CB0"/>
    <w:rsid w:val="002E50BC"/>
    <w:rsid w:val="003C371C"/>
    <w:rsid w:val="003C660E"/>
    <w:rsid w:val="003E736F"/>
    <w:rsid w:val="005A1D62"/>
    <w:rsid w:val="005F19F6"/>
    <w:rsid w:val="006012A1"/>
    <w:rsid w:val="006A5CC9"/>
    <w:rsid w:val="00764579"/>
    <w:rsid w:val="00795F70"/>
    <w:rsid w:val="007D3C4E"/>
    <w:rsid w:val="007E4870"/>
    <w:rsid w:val="008B3A5E"/>
    <w:rsid w:val="008C58E6"/>
    <w:rsid w:val="009953C7"/>
    <w:rsid w:val="009F7D48"/>
    <w:rsid w:val="00A60451"/>
    <w:rsid w:val="00A90C0E"/>
    <w:rsid w:val="00B53146"/>
    <w:rsid w:val="00B63A21"/>
    <w:rsid w:val="00CC3ECD"/>
    <w:rsid w:val="00CD1C91"/>
    <w:rsid w:val="00D26451"/>
    <w:rsid w:val="00D30D23"/>
    <w:rsid w:val="00D32AC8"/>
    <w:rsid w:val="00D838CF"/>
    <w:rsid w:val="00E04958"/>
    <w:rsid w:val="00EF6155"/>
    <w:rsid w:val="00F1012C"/>
    <w:rsid w:val="00FA1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9CDEC"/>
  <w15:docId w15:val="{BA846E96-E9B3-3148-BE45-F26230FD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7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147D"/>
    <w:rPr>
      <w:rFonts w:ascii="BellMT" w:eastAsia="BellMT" w:hAnsi="BellMT" w:cs="BellMT"/>
    </w:rPr>
  </w:style>
  <w:style w:type="character" w:customStyle="1" w:styleId="FootnoteTextChar">
    <w:name w:val="Footnote Text Char"/>
    <w:basedOn w:val="DefaultParagraphFont"/>
    <w:link w:val="FootnoteText"/>
    <w:uiPriority w:val="99"/>
    <w:rsid w:val="00FA147D"/>
    <w:rPr>
      <w:rFonts w:ascii="BellMT" w:eastAsia="BellMT" w:hAnsi="BellMT" w:cs="BellMT"/>
      <w:sz w:val="24"/>
      <w:szCs w:val="24"/>
    </w:rPr>
  </w:style>
  <w:style w:type="paragraph" w:styleId="Bibliography">
    <w:name w:val="Bibliography"/>
    <w:basedOn w:val="Normal"/>
    <w:next w:val="Normal"/>
    <w:uiPriority w:val="37"/>
    <w:semiHidden/>
    <w:unhideWhenUsed/>
    <w:rsid w:val="00211872"/>
  </w:style>
  <w:style w:type="character" w:styleId="Hyperlink">
    <w:name w:val="Hyperlink"/>
    <w:basedOn w:val="DefaultParagraphFont"/>
    <w:uiPriority w:val="99"/>
    <w:semiHidden/>
    <w:unhideWhenUsed/>
    <w:rsid w:val="008B3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77/105971231983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Arango, Alejandro</dc:creator>
  <cp:keywords/>
  <dc:description/>
  <cp:lastModifiedBy>Alejandro Arango Vargas</cp:lastModifiedBy>
  <cp:revision>3</cp:revision>
  <dcterms:created xsi:type="dcterms:W3CDTF">2024-07-01T19:45:00Z</dcterms:created>
  <dcterms:modified xsi:type="dcterms:W3CDTF">2024-08-09T04:08:00Z</dcterms:modified>
</cp:coreProperties>
</file>