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0ED8" w:rsidRPr="00440ED8" w:rsidRDefault="00440ED8" w:rsidP="00440ED8">
      <w:pPr>
        <w:spacing w:before="100" w:beforeAutospacing="1" w:after="100" w:afterAutospacing="1" w:line="240" w:lineRule="auto"/>
        <w:outlineLvl w:val="0"/>
        <w:rPr>
          <w:rFonts w:ascii="Times New Roman" w:eastAsia="Times New Roman" w:hAnsi="Times New Roman" w:cs="Times New Roman"/>
          <w:b/>
          <w:bCs/>
          <w:kern w:val="36"/>
          <w:sz w:val="48"/>
          <w:szCs w:val="48"/>
        </w:rPr>
      </w:pPr>
      <w:proofErr w:type="spellStart"/>
      <w:r w:rsidRPr="00440ED8">
        <w:rPr>
          <w:rFonts w:ascii="Times New Roman" w:eastAsia="Times New Roman" w:hAnsi="Times New Roman" w:cs="Times New Roman"/>
          <w:b/>
          <w:bCs/>
          <w:kern w:val="36"/>
          <w:sz w:val="48"/>
          <w:szCs w:val="48"/>
        </w:rPr>
        <w:t>Olymposism</w:t>
      </w:r>
      <w:proofErr w:type="spellEnd"/>
      <w:r w:rsidRPr="00440ED8">
        <w:rPr>
          <w:rFonts w:ascii="Times New Roman" w:eastAsia="Times New Roman" w:hAnsi="Times New Roman" w:cs="Times New Roman"/>
          <w:b/>
          <w:bCs/>
          <w:kern w:val="36"/>
          <w:sz w:val="48"/>
          <w:szCs w:val="48"/>
        </w:rPr>
        <w:t>: A Comprehensive Political, Economic, and Cultural Paradigm for the AI Era</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Author</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b/>
          <w:bCs/>
          <w:sz w:val="24"/>
          <w:szCs w:val="24"/>
        </w:rPr>
        <w:t>Bahadır</w:t>
      </w:r>
      <w:proofErr w:type="spellEnd"/>
      <w:r w:rsidRPr="00440ED8">
        <w:rPr>
          <w:rFonts w:ascii="Times New Roman" w:eastAsia="Times New Roman" w:hAnsi="Times New Roman" w:cs="Times New Roman"/>
          <w:b/>
          <w:bCs/>
          <w:sz w:val="24"/>
          <w:szCs w:val="24"/>
        </w:rPr>
        <w:t xml:space="preserve"> </w:t>
      </w:r>
      <w:proofErr w:type="spellStart"/>
      <w:r w:rsidRPr="00440ED8">
        <w:rPr>
          <w:rFonts w:ascii="Times New Roman" w:eastAsia="Times New Roman" w:hAnsi="Times New Roman" w:cs="Times New Roman"/>
          <w:b/>
          <w:bCs/>
          <w:sz w:val="24"/>
          <w:szCs w:val="24"/>
        </w:rPr>
        <w:t>Arıcı</w:t>
      </w:r>
      <w:proofErr w:type="spellEnd"/>
      <w:r w:rsidRPr="00440ED8">
        <w:rPr>
          <w:rFonts w:ascii="Times New Roman" w:eastAsia="Times New Roman" w:hAnsi="Times New Roman" w:cs="Times New Roman"/>
          <w:sz w:val="24"/>
          <w:szCs w:val="24"/>
        </w:rPr>
        <w:t xml:space="preserve"> - Independent Researcher, Berlin, Germany</w:t>
      </w:r>
      <w:r w:rsidRPr="00440ED8">
        <w:rPr>
          <w:rFonts w:ascii="Times New Roman" w:eastAsia="Times New Roman" w:hAnsi="Times New Roman" w:cs="Times New Roman"/>
          <w:sz w:val="24"/>
          <w:szCs w:val="24"/>
        </w:rPr>
        <w:br/>
        <w:t xml:space="preserve">Email: </w:t>
      </w:r>
      <w:hyperlink r:id="rId5" w:history="1">
        <w:r w:rsidRPr="00440ED8">
          <w:rPr>
            <w:rFonts w:ascii="Times New Roman" w:eastAsia="Times New Roman" w:hAnsi="Times New Roman" w:cs="Times New Roman"/>
            <w:color w:val="0000FF"/>
            <w:sz w:val="24"/>
            <w:szCs w:val="24"/>
            <w:u w:val="single"/>
          </w:rPr>
          <w:t>bahadirarici@gmail.com</w:t>
        </w:r>
      </w:hyperlink>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Abstract</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This article presents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an innovative political, economic, and cultural framework designed to address the systemic inequalities and governance challenges of the contemporary world. We explore the core principles of this paradigm: the federation of city-states, direct democracy, wealth redistribution mechanisms, universal basic income, and global resource equity. Within the context of rapidly advancing artificial intelligence and automation,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offers a forward-thinking approach to societal organization that prioritizes human dignity, collective prosperity, and sustainable development. We address potential implementation challenges, compare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with existing political-economic paradigms, and propose specific strategies to enhance its viability in real-world applications, including a detailed timeline for phased implementation over the next 50 years.</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1. Introduction: The Case for Systemic Change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Current political and economic systems worldwide exhibit significant structural flaws that perpetuate inequality, concentrate power among elites, and fail to address the diverse needs of communities. Despite technological advances and increased global wealth, billions continue to struggle with basic necessities while wealth accumulates at unprecedented levels among a small fraction of individuals and institutions. As artificial intelligence and automation technologies accelerate, traditional employment models face existential challenges, demanding new societal frameworks [2].</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statistics are sobering: the richest 1% of the global population now owns more wealth than the bottom 90% combined [14], with this inequality growing at an accelerating rate. According to the World Inequality Report [16], the share of global income going to the top 10% has increased from 52% in 1980 to 56% in 2021, while the bottom 50% saw their share decrease from 8% to 7% during the same period. Political systems ostensibly designed to represent citizens' interests have increasingly come under the influence of corporate lobbying and special interests, undermining democratic principles. A Princeton University study found that average citizens have "little or no independent influence" on U.S. government policy, while economic elites and business interests have substantial impacts [8].</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Meanwhile, the acceleration of artificial intelligence and automation threatens to displace up to 30% of global jobs by 2030 [1], creating an unprecedented economic transition that current systems are ill-equipped to manage. The COVID-19 pandemic has further exposed the fragility of our economic systems and the inadequacy of existing social safety nets.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emerges as a response to these challenges—a comprehensive paradigm that reimagines governance structures, economic distributions, and social contracts. Named after Mount Olympus, symbolizing both elevation and interconnection, this framework aims to harmonize human potential with technological advancement, creating communities where prosperity is shared and human dignity remains central.</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 xml:space="preserve">2. Core Principles of </w:t>
      </w:r>
      <w:proofErr w:type="spellStart"/>
      <w:r w:rsidRPr="00440ED8">
        <w:rPr>
          <w:rFonts w:ascii="Times New Roman" w:eastAsia="Times New Roman" w:hAnsi="Times New Roman" w:cs="Times New Roman"/>
          <w:b/>
          <w:bCs/>
          <w:sz w:val="36"/>
          <w:szCs w:val="36"/>
        </w:rPr>
        <w:t>Olymposism</w:t>
      </w:r>
      <w:proofErr w:type="spellEnd"/>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2.1 The Federation of City-States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fundamental organizing principle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is the city-state model, replacing traditional nation-states with decentralized, self-governing urban entities united in a global federation. This structure acknowledges the unique characteristics and needs of diverse communities while maintaining global interconnectedness.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Nation-states often fail to address regional diversity, resulting in systemic neglect of certain populations. City-states provide governance at a more manageable scale, allowing for policies tailored to specific community needs while participating in broader global cooperation. This decentralized approach enhances democratic participation, cultural expression, and adaptive governance in response to local conditions.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Historical precedents for successful city-states can be found in classical Athens, Renaissance Venice, and modern Singapore, each demonstrating how concentrated urban governance can foster innovation and civic engagement [6]. For example, Renaissance Venice operated as an independent republic for over 1,100 years, developing sophisticated governance systems, vibrant cultural institutions, and economic prosperity through trade networks. Contemporary urban centers already function as economic and cultural hubs with distinct identities and needs that often transcend national boundaries.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federation of city-states would operate on the following structural principles, as proposed by Tokyo:</w:t>
      </w:r>
    </w:p>
    <w:p w:rsidR="00440ED8" w:rsidRPr="00440ED8" w:rsidRDefault="00440ED8" w:rsidP="00440ED8">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Independence and Unity</w:t>
      </w:r>
      <w:r w:rsidRPr="00440ED8">
        <w:rPr>
          <w:rFonts w:ascii="Times New Roman" w:eastAsia="Times New Roman" w:hAnsi="Times New Roman" w:cs="Times New Roman"/>
          <w:sz w:val="24"/>
          <w:szCs w:val="24"/>
        </w:rPr>
        <w:t>: Each city-state maintains sovereignty over internal affairs while participating in collective decision-making mechanisms for issues affecting the federation. This dual governance structure ensures local autonomy while enabling coordinated action on global challenges.</w:t>
      </w:r>
    </w:p>
    <w:p w:rsidR="00440ED8" w:rsidRPr="00440ED8" w:rsidRDefault="00440ED8" w:rsidP="00440ED8">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Confederative Governance</w:t>
      </w:r>
      <w:r w:rsidRPr="00440ED8">
        <w:rPr>
          <w:rFonts w:ascii="Times New Roman" w:eastAsia="Times New Roman" w:hAnsi="Times New Roman" w:cs="Times New Roman"/>
          <w:sz w:val="24"/>
          <w:szCs w:val="24"/>
        </w:rPr>
        <w:t>: Rather than a centralized authority, the federation operates through a flexible council-based model where decisions are made collectively. This might involve a federation council with proportional representation from member city-states, rotating leadership positions, and transparent deliberation processes.</w:t>
      </w:r>
    </w:p>
    <w:p w:rsidR="00440ED8" w:rsidRPr="00440ED8" w:rsidRDefault="00440ED8" w:rsidP="00440ED8">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lastRenderedPageBreak/>
        <w:t>Conflict Resolution Mechanisms</w:t>
      </w:r>
      <w:r w:rsidRPr="00440ED8">
        <w:rPr>
          <w:rFonts w:ascii="Times New Roman" w:eastAsia="Times New Roman" w:hAnsi="Times New Roman" w:cs="Times New Roman"/>
          <w:sz w:val="24"/>
          <w:szCs w:val="24"/>
        </w:rPr>
        <w:t xml:space="preserve">: To address disputes between city-states, the federation establishes neutral arbitration councils composed of representatives from uninvolved city-states, technical experts, and citizens selected by </w:t>
      </w:r>
      <w:proofErr w:type="spellStart"/>
      <w:r w:rsidRPr="00440ED8">
        <w:rPr>
          <w:rFonts w:ascii="Times New Roman" w:eastAsia="Times New Roman" w:hAnsi="Times New Roman" w:cs="Times New Roman"/>
          <w:sz w:val="24"/>
          <w:szCs w:val="24"/>
        </w:rPr>
        <w:t>sortition</w:t>
      </w:r>
      <w:proofErr w:type="spellEnd"/>
      <w:r w:rsidRPr="00440ED8">
        <w:rPr>
          <w:rFonts w:ascii="Times New Roman" w:eastAsia="Times New Roman" w:hAnsi="Times New Roman" w:cs="Times New Roman"/>
          <w:sz w:val="24"/>
          <w:szCs w:val="24"/>
        </w:rPr>
        <w:t>. This multi-layered approach prevents power imbalances in conflict resolution.</w:t>
      </w:r>
    </w:p>
    <w:p w:rsidR="00440ED8" w:rsidRPr="00440ED8" w:rsidRDefault="00440ED8" w:rsidP="00440ED8">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Economic Solidarity</w:t>
      </w:r>
      <w:r w:rsidRPr="00440ED8">
        <w:rPr>
          <w:rFonts w:ascii="Times New Roman" w:eastAsia="Times New Roman" w:hAnsi="Times New Roman" w:cs="Times New Roman"/>
          <w:sz w:val="24"/>
          <w:szCs w:val="24"/>
        </w:rPr>
        <w:t>: Member city-states contribute a portion of their resources to common projects and establish mutual support systems. This includes infrastructure development, emergency response capabilities, and targeted assistance for city-states facing specific challenges.</w:t>
      </w:r>
    </w:p>
    <w:p w:rsidR="00440ED8" w:rsidRPr="00440ED8" w:rsidRDefault="00440ED8" w:rsidP="00440ED8">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Defense Coordination</w:t>
      </w:r>
      <w:r w:rsidRPr="00440ED8">
        <w:rPr>
          <w:rFonts w:ascii="Times New Roman" w:eastAsia="Times New Roman" w:hAnsi="Times New Roman" w:cs="Times New Roman"/>
          <w:sz w:val="24"/>
          <w:szCs w:val="24"/>
        </w:rPr>
        <w:t>: While maintaining minimal military presence, the federation coordinates collective security measures that prioritize defense rather than aggression. This collaborative approach reduces the inefficiency of duplicated military systems while providing more effective protection than isolated city-states could achieve alone.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These governance structures ensure that the federation maintains cohesion while preserving the distinctive character and autonomy of each component city-state. This balance of independence and interdependence is essential for addressing both local and global challenges effectively.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In response to concerns about potential fragility compared to nation-states, the federation structure actually offers greater resilience through diversification. Unlike monolithic nation-states that can experience systemic failure, a federation of city-states creates multiple centers of governance and economic activity, limiting the impact of localized crises. Historical examples like the Hanseatic League demonstrate how networks of autonomous cities can maintain stability and prosperity even during periods of broader regional instability [17].</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2.2 Direct Democracy in the Digital Age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rejects representative democracy in favor of direct democratic participation, leveraging modern digital technologies to enable citizens' direct involvement in legislation and governance. This principle challenges the dominance of professional political classes and corporate lobbying interests that often compromise the democratic ideal.</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In an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society, every citizen would have the right to propose, debate, and vote on laws affecting their community. Digital platforms would facilitate this participation, ensuring accessibility and transparency. This model recognizes that contemporary technology has eliminated many historical barriers to direct democracy, making citizen governance not just idealistic but practically achievable.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Switzerland offers a partial contemporary model, with its system of regular referendums on significant issues. Studies show that Swiss cantons with more direct democratic processes have 5.4% higher GDP per capita than those with less citizen participation [5]. This suggests that direct citizen involvement can enhance both democratic representation and economic outcomes.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address concerns about the implementation challenges,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proposes a phased transition approach. As suggested by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a "hybrid democracy" could serve as an intermediate step, where elected representatives remain but significant decisions are subject to direct citizen </w:t>
      </w:r>
      <w:r w:rsidRPr="00440ED8">
        <w:rPr>
          <w:rFonts w:ascii="Times New Roman" w:eastAsia="Times New Roman" w:hAnsi="Times New Roman" w:cs="Times New Roman"/>
          <w:sz w:val="24"/>
          <w:szCs w:val="24"/>
        </w:rPr>
        <w:lastRenderedPageBreak/>
        <w:t>vote. This gradual evolution would allow for the development of necessary digital infrastructure and civic education programs [3].</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Critics often argue that direct democracy might slow decision-making processes, particularly in emergency situations.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addresses this concern through several technological and structural innovations:</w:t>
      </w:r>
    </w:p>
    <w:p w:rsidR="00440ED8" w:rsidRPr="00440ED8" w:rsidRDefault="00440ED8" w:rsidP="00440ED8">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AI-Enhanced Issue Analysis</w:t>
      </w:r>
      <w:r w:rsidRPr="00440ED8">
        <w:rPr>
          <w:rFonts w:ascii="Times New Roman" w:eastAsia="Times New Roman" w:hAnsi="Times New Roman" w:cs="Times New Roman"/>
          <w:sz w:val="24"/>
          <w:szCs w:val="24"/>
        </w:rPr>
        <w:t>: Artificial intelligence systems would help organize, categorize, and synthesize information about complex issues, making them more accessible to citizens without specialist knowledge.</w:t>
      </w:r>
    </w:p>
    <w:p w:rsidR="00440ED8" w:rsidRPr="00440ED8" w:rsidRDefault="00440ED8" w:rsidP="00440ED8">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Delegated Voting</w:t>
      </w:r>
      <w:r w:rsidRPr="00440ED8">
        <w:rPr>
          <w:rFonts w:ascii="Times New Roman" w:eastAsia="Times New Roman" w:hAnsi="Times New Roman" w:cs="Times New Roman"/>
          <w:sz w:val="24"/>
          <w:szCs w:val="24"/>
        </w:rPr>
        <w:t>: Citizens could temporarily delegate their voting rights to trusted individuals for specific issues or during emergencies, maintaining representative efficiency when needed while preserving direct democratic principles.</w:t>
      </w:r>
    </w:p>
    <w:p w:rsidR="00440ED8" w:rsidRPr="00440ED8" w:rsidRDefault="00440ED8" w:rsidP="00440ED8">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Stratified Decision-Making</w:t>
      </w:r>
      <w:r w:rsidRPr="00440ED8">
        <w:rPr>
          <w:rFonts w:ascii="Times New Roman" w:eastAsia="Times New Roman" w:hAnsi="Times New Roman" w:cs="Times New Roman"/>
          <w:sz w:val="24"/>
          <w:szCs w:val="24"/>
        </w:rPr>
        <w:t>: Issues would be categorized by urgency and scope, with different deliberation timeframes. Emergency decisions could be made through expedited processes while maintaining transparency and accountability.</w:t>
      </w:r>
    </w:p>
    <w:p w:rsidR="00440ED8" w:rsidRPr="00440ED8" w:rsidRDefault="00440ED8" w:rsidP="00440ED8">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Continuous Voting Systems</w:t>
      </w:r>
      <w:r w:rsidRPr="00440ED8">
        <w:rPr>
          <w:rFonts w:ascii="Times New Roman" w:eastAsia="Times New Roman" w:hAnsi="Times New Roman" w:cs="Times New Roman"/>
          <w:sz w:val="24"/>
          <w:szCs w:val="24"/>
        </w:rPr>
        <w:t>: Rather than discrete election cycles, many decisions would use continuous voting processes where citizens can modify their position as new information emerges, creating more adaptive governance.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Estonian digital governance system provides valuable lessons for implementation, as over 99% of government services are available online, and citizens routinely participate in digital voting. Building on this example,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would extend such capabilities to legislative processes while incorporating </w:t>
      </w:r>
      <w:proofErr w:type="spellStart"/>
      <w:r w:rsidRPr="00440ED8">
        <w:rPr>
          <w:rFonts w:ascii="Times New Roman" w:eastAsia="Times New Roman" w:hAnsi="Times New Roman" w:cs="Times New Roman"/>
          <w:sz w:val="24"/>
          <w:szCs w:val="24"/>
        </w:rPr>
        <w:t>blockchain</w:t>
      </w:r>
      <w:proofErr w:type="spellEnd"/>
      <w:r w:rsidRPr="00440ED8">
        <w:rPr>
          <w:rFonts w:ascii="Times New Roman" w:eastAsia="Times New Roman" w:hAnsi="Times New Roman" w:cs="Times New Roman"/>
          <w:sz w:val="24"/>
          <w:szCs w:val="24"/>
        </w:rPr>
        <w:t xml:space="preserve"> technology to ensure security and transparency.</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2.3 Wealth Limitations and Redistribution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Addressing wealth inequality stands as a central pillar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The framework proposes specific wealth caps: $100 million for individuals and $1 billion for institutions. These thresholds allow for significant prosperity while preventing the extreme concentrations of wealth that destabilize economies and democracies.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These limitations are not punitive but restorative, designed to redirect excess capital toward collective well-being. Importantly, production assets would be excluded from these calculations to ensure continued economic innovation and growth. The caps would apply universally, including to religious institutions, sovereignties, and private financial entities.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enhance adaptability and sustainability,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suggests implementing dynamic wealth thresholds rather than fixed amounts. These thresholds could be adjusted periodically based on economic indicators such as inflation rates and GDP growth, allowing the system to remain relevant across different economic conditions and time periods [14].</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Research indicates that wealth accumulation beyond certain thresholds produces diminishing returns for both individual happiness and social utility. Studies show no significant increase in subjective well-being beyond annual incomes of approximately $75,000 [11], suggesting that </w:t>
      </w:r>
      <w:r w:rsidRPr="00440ED8">
        <w:rPr>
          <w:rFonts w:ascii="Times New Roman" w:eastAsia="Times New Roman" w:hAnsi="Times New Roman" w:cs="Times New Roman"/>
          <w:sz w:val="24"/>
          <w:szCs w:val="24"/>
        </w:rPr>
        <w:lastRenderedPageBreak/>
        <w:t>extreme wealth concentration serves limited social purpose while creating significant economic distortions.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Critics may argue that these wealth limitations restrict individual property rights excessively. However,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maintains that property rights are social constructs designed to serve human flourishing rather than absolute entitlements. The $100 million individual cap preserves substantial economic freedom while recognizing that extreme wealth concentration fundamentally undermines democratic institutions and equal opportunity. As noted by Piketty [14], when capital concentration exceeds certain thresholds, it becomes self-perpetuating through political influence rather than productive investment, distorting both markets and governance.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Furthermore, by excluding productive assets from wealth calculations and focusing on excessive personal accumulation,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actually enhances economic dynamism rather than restricting it. This approach strikes a balance between individual incentives and collective wellbeing that preserves the innovative aspects of market systems while eliminating their most harmful consequences.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2.4 The Umbrella Foundation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Surplus wealth exceeding the established caps would flow into the Umbrella Foundation, a global entity designed to fund large-scale initiatives for human advancement. Contributors would maintain influence over their redirected wealth by establishing specific foundations under this umbrella, allowing them to support causes aligned with their values.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This mechanism creates an ongoing source of investment for ambitious global projects, technological innovations, and social initiatives that might otherwise lack sufficient funding. Rather than relying on the philanthropic whims of wealthy individuals, this approach institutionalizes the redirection of excess capital toward collective benefit.</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Umbrella Foundation would operate with transparent governance and accountability mechanisms, ensuring that funds are allocated effectively and in alignment with democratically established priorities. Its structure would include representation from diverse city-states, subject matter experts, and public oversight committees to prevent capture by special interests.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Foundation would support projects at various scales—from global initiatives addressing climate change to local cultural and educational programs within individual city-states. This multi-tiered approach ensures that resources address both immediate community needs and longer-term collective challenges.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2.5 Universal Basic Income and Essential Services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recognizes that the coming wave of automation and artificial intelligence will fundamentally transform employment markets. In anticipation of this shift, the paradigm establishes universal basic income (UBI) at twice the minimum wage level for all citizens, coupled with housing support and free education and healthcare.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 xml:space="preserve">These provisions are not merely humanitarian; they represent pragmatic preparations for an economy where traditional employment may become increasingly scarce. By decoupling basic survival from employment,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creates space for human creativity, entrepreneurship, and meaningful contribution beyond conventional labor markets.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Empirical evidence from UBI experiments already supports this approach. Studies in Finland have shown that guaranteed income increases entrepreneurship rates by 17% [15], while similar programs in Canada have demonstrated improvements in health outcomes and educational attainment. A two-year basic income experiment in Manitoba found that hospitalization rates dropped by 8.5% among participants [7]. In Kenya, direct cash transfers increased consumption, assets, and businesses, without increasing alcohol or tobacco spending [10].</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As AI capabilities expand, UBI becomes not just desirable but necessary for maintaining social stability and human dignity. A 2018 McKinsey report suggests that up to 375 million workers globally may need to switch occupational categories by 2030 due to automation, underscoring the need for economic security during this transition.</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2.6 Global Resource Equity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At its philosophical core,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advocates for harmony, balance, and sustainability. This extends to resource distribution, viewing equitable access to the world's resources as both morally imperative and practically necessary for global stability.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By limiting wealth concentration and redirecting surplus resources,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aims to create societies where extreme poverty becomes obsolete and every individual has access to the requirements for a dignified existence. This principle recognizes that vast disparities in resource access create conditions for conflict, migration crises, and environmental degradation that ultimately threaten all communities.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Peri's</w:t>
      </w:r>
      <w:proofErr w:type="spellEnd"/>
      <w:r w:rsidRPr="00440ED8">
        <w:rPr>
          <w:rFonts w:ascii="Times New Roman" w:eastAsia="Times New Roman" w:hAnsi="Times New Roman" w:cs="Times New Roman"/>
          <w:sz w:val="24"/>
          <w:szCs w:val="24"/>
        </w:rPr>
        <w:t xml:space="preserve"> proposed "Global Education Network" would support this principle by ensuring equal access to knowledge and skills development across all city-states. AI-assisted learning platforms could provide standardized curricula while respecting cultural diversity, empowering citizens to participate fully in direct democracy and economic opportunities [12].</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Resource inequity has measurable negative impacts on global stability and human development. According to UN data, the richest countries consume up to 16 times more natural resources per capita than the poorest countries, while contributing disproportionately to environmental degradation.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addresses this imbalance through coordinated resource management and equitable distribution systems.</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 xml:space="preserve">3. Art, Culture, and Social Bonds in </w:t>
      </w:r>
      <w:proofErr w:type="spellStart"/>
      <w:r w:rsidRPr="00440ED8">
        <w:rPr>
          <w:rFonts w:ascii="Times New Roman" w:eastAsia="Times New Roman" w:hAnsi="Times New Roman" w:cs="Times New Roman"/>
          <w:b/>
          <w:bCs/>
          <w:sz w:val="36"/>
          <w:szCs w:val="36"/>
        </w:rPr>
        <w:t>Olymposism</w:t>
      </w:r>
      <w:proofErr w:type="spellEnd"/>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3.1 Reimagining Cultural Production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As Tokyo emphasizes,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represents not only a governance and economic model but also a cultural paradigm shift. In an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society, cultural production transcends the </w:t>
      </w:r>
      <w:r w:rsidRPr="00440ED8">
        <w:rPr>
          <w:rFonts w:ascii="Times New Roman" w:eastAsia="Times New Roman" w:hAnsi="Times New Roman" w:cs="Times New Roman"/>
          <w:sz w:val="24"/>
          <w:szCs w:val="24"/>
        </w:rPr>
        <w:lastRenderedPageBreak/>
        <w:t>individualistic focus of contemporary capitalism to embrace more collective and participatory approaches.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Art in an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framework evolves from being primarily a commodity or individual expression to becoming a vehicle for community cohesion and collective meaning-making. This doesn't negate individual creativity but contextualizes it within communal values and participatory processes. Some key features of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cultural production would include:</w:t>
      </w:r>
    </w:p>
    <w:p w:rsidR="00440ED8" w:rsidRPr="00440ED8" w:rsidRDefault="00440ED8" w:rsidP="00440ED8">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Collective Creation</w:t>
      </w:r>
      <w:r w:rsidRPr="00440ED8">
        <w:rPr>
          <w:rFonts w:ascii="Times New Roman" w:eastAsia="Times New Roman" w:hAnsi="Times New Roman" w:cs="Times New Roman"/>
          <w:sz w:val="24"/>
          <w:szCs w:val="24"/>
        </w:rPr>
        <w:t>: Art becomes increasingly collaborative, with communities developing cultural works through democratic processes. Digital platforms would facilitate this collective creativity, allowing diverse contributions to shared projects. This approach has precedents in contemporary collaborative art projects and open-source creative communities.</w:t>
      </w:r>
    </w:p>
    <w:p w:rsidR="00440ED8" w:rsidRPr="00440ED8" w:rsidRDefault="00440ED8" w:rsidP="00440ED8">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Intercity Cultural Exchange</w:t>
      </w:r>
      <w:r w:rsidRPr="00440ED8">
        <w:rPr>
          <w:rFonts w:ascii="Times New Roman" w:eastAsia="Times New Roman" w:hAnsi="Times New Roman" w:cs="Times New Roman"/>
          <w:sz w:val="24"/>
          <w:szCs w:val="24"/>
        </w:rPr>
        <w:t>: The federation of city-states would establish robust networks for cultural exchange, enabling artistic collaborations across geographical boundaries. These exchanges would celebrate both local distinctiveness and universal human experiences, creating a cosmopolitan cultural sphere that respects diversity.</w:t>
      </w:r>
    </w:p>
    <w:p w:rsidR="00440ED8" w:rsidRPr="00440ED8" w:rsidRDefault="00440ED8" w:rsidP="00440ED8">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Human-AI Creative Partnerships</w:t>
      </w:r>
      <w:r w:rsidRPr="00440ED8">
        <w:rPr>
          <w:rFonts w:ascii="Times New Roman" w:eastAsia="Times New Roman" w:hAnsi="Times New Roman" w:cs="Times New Roman"/>
          <w:sz w:val="24"/>
          <w:szCs w:val="24"/>
        </w:rPr>
        <w:t xml:space="preserve">: As Tokyo suggests,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would foster collaboration between human artists and AI systems. Rather than viewing AI as a threat to human creativity, this paradigm sees it as a partner that can expand creative possibilities. With universal basic income ensuring economic security, artists would be free to explore these partnerships without commercial pressure.</w:t>
      </w:r>
    </w:p>
    <w:p w:rsidR="00440ED8" w:rsidRPr="00440ED8" w:rsidRDefault="00440ED8" w:rsidP="00440ED8">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Public Space Reimagined</w:t>
      </w:r>
      <w:r w:rsidRPr="00440ED8">
        <w:rPr>
          <w:rFonts w:ascii="Times New Roman" w:eastAsia="Times New Roman" w:hAnsi="Times New Roman" w:cs="Times New Roman"/>
          <w:sz w:val="24"/>
          <w:szCs w:val="24"/>
        </w:rPr>
        <w:t xml:space="preserve">: Architecture and urban design would reflect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values, creating spaces that facilitate community interaction, democratic participation, and cultural engagement. These environments would blend local aesthetic traditions with innovative design principles, resulting in cities that are both functional and inspiring.</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3.2 Cultural Heritage and Innovation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balances respect for cultural heritage with openness to innovation. Each city-state would preserve its distinctive cultural traditions while participating in the broader evolution of global culture. This approach recognizes that cultural vitality requires both roots and wings—connection to historical identities and freedom to develop new forms.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Umbrella Foundation would allocate resources to both cultural preservation and experimental art forms, ensuring that neither tradition nor innovation is neglected. Citizens would democratically determine cultural funding priorities within their city-states, while the federation would support initiatives that transcend local boundaries.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3.3 Strengthening Social Bonds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atomization of contemporary societies—with increasing isolation, loneliness, and community breakdown—represents a significant social challenge.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addresses this through deliberate cultivation of social bonds at multiple levels:</w:t>
      </w:r>
    </w:p>
    <w:p w:rsidR="00440ED8" w:rsidRPr="00440ED8" w:rsidRDefault="00440ED8" w:rsidP="00440ED8">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lastRenderedPageBreak/>
        <w:t>Neighborhood Communities</w:t>
      </w:r>
      <w:r w:rsidRPr="00440ED8">
        <w:rPr>
          <w:rFonts w:ascii="Times New Roman" w:eastAsia="Times New Roman" w:hAnsi="Times New Roman" w:cs="Times New Roman"/>
          <w:sz w:val="24"/>
          <w:szCs w:val="24"/>
        </w:rPr>
        <w:t>: City-states would be organized into human-scale neighborhoods where residents can develop meaningful relationships and shared activities. These would function as primary units of democratic participation and cultural life.</w:t>
      </w:r>
    </w:p>
    <w:p w:rsidR="00440ED8" w:rsidRPr="00440ED8" w:rsidRDefault="00440ED8" w:rsidP="00440ED8">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Digital Commons</w:t>
      </w:r>
      <w:r w:rsidRPr="00440ED8">
        <w:rPr>
          <w:rFonts w:ascii="Times New Roman" w:eastAsia="Times New Roman" w:hAnsi="Times New Roman" w:cs="Times New Roman"/>
          <w:sz w:val="24"/>
          <w:szCs w:val="24"/>
        </w:rPr>
        <w:t>: Online platforms would complement physical communities, enabling connections across distances while avoiding the exploitative aspects of current social media. These digital commons would be publicly owned and democratically governed.</w:t>
      </w:r>
    </w:p>
    <w:p w:rsidR="00440ED8" w:rsidRPr="00440ED8" w:rsidRDefault="00440ED8" w:rsidP="00440ED8">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Intergenerational Connections</w:t>
      </w:r>
      <w:r w:rsidRPr="00440ED8">
        <w:rPr>
          <w:rFonts w:ascii="Times New Roman" w:eastAsia="Times New Roman" w:hAnsi="Times New Roman" w:cs="Times New Roman"/>
          <w:sz w:val="24"/>
          <w:szCs w:val="24"/>
        </w:rPr>
        <w:t xml:space="preserv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societies would deliberately foster relationships across age groups, countering age segregation through programs that connect youth and elders in meaningful exchanges of knowledge and care.</w:t>
      </w:r>
    </w:p>
    <w:p w:rsidR="00440ED8" w:rsidRPr="00440ED8" w:rsidRDefault="00440ED8" w:rsidP="00440ED8">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Celebration and Ritual</w:t>
      </w:r>
      <w:r w:rsidRPr="00440ED8">
        <w:rPr>
          <w:rFonts w:ascii="Times New Roman" w:eastAsia="Times New Roman" w:hAnsi="Times New Roman" w:cs="Times New Roman"/>
          <w:sz w:val="24"/>
          <w:szCs w:val="24"/>
        </w:rPr>
        <w:t>: Regular community celebrations, festivals, and civic rituals would build collective identity and provide opportunities for shared emotional experiences. These would blend traditional cultural forms with contemporary needs and values.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By strengthening these social bonds,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creates the cultural foundation necessary for its political and economic transformations to succeed. Direct democracy requires civic engagement, and economic sharing requires social trust—both depend on the vibrant cultural life that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fosters.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 xml:space="preserve">3.4 </w:t>
      </w:r>
      <w:proofErr w:type="spellStart"/>
      <w:r w:rsidRPr="00440ED8">
        <w:rPr>
          <w:rFonts w:ascii="Times New Roman" w:eastAsia="Times New Roman" w:hAnsi="Times New Roman" w:cs="Times New Roman"/>
          <w:b/>
          <w:bCs/>
          <w:sz w:val="27"/>
          <w:szCs w:val="27"/>
        </w:rPr>
        <w:t>Olymposist</w:t>
      </w:r>
      <w:proofErr w:type="spellEnd"/>
      <w:r w:rsidRPr="00440ED8">
        <w:rPr>
          <w:rFonts w:ascii="Times New Roman" w:eastAsia="Times New Roman" w:hAnsi="Times New Roman" w:cs="Times New Roman"/>
          <w:b/>
          <w:bCs/>
          <w:sz w:val="27"/>
          <w:szCs w:val="27"/>
        </w:rPr>
        <w:t xml:space="preserve"> Cultural Campaigns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address the challenge of cultural resistance to systemic change,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proposes specific cultural strategies that would help transition societal values from individualistic competition toward collective prosperity and sustainable wellbeing. These approaches would not function as propaganda but rather as deliberate efforts to foster new narratives and collective meaning-making [4]:</w:t>
      </w:r>
    </w:p>
    <w:p w:rsidR="00440ED8" w:rsidRPr="00440ED8" w:rsidRDefault="00440ED8" w:rsidP="00440ED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Transformative Storytelling</w:t>
      </w:r>
      <w:r w:rsidRPr="00440ED8">
        <w:rPr>
          <w:rFonts w:ascii="Times New Roman" w:eastAsia="Times New Roman" w:hAnsi="Times New Roman" w:cs="Times New Roman"/>
          <w:sz w:val="24"/>
          <w:szCs w:val="24"/>
        </w:rPr>
        <w:t xml:space="preserv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would support the creation of narratives across various media (film, literature, games, immersive experiences) that envision post-scarcity societies and explore the psychological and social dimensions of transition. These would provide emotional and cognitive frameworks for understanding systemic change.</w:t>
      </w:r>
    </w:p>
    <w:p w:rsidR="00440ED8" w:rsidRPr="00440ED8" w:rsidRDefault="00440ED8" w:rsidP="00440ED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Community Media Labs</w:t>
      </w:r>
      <w:r w:rsidRPr="00440ED8">
        <w:rPr>
          <w:rFonts w:ascii="Times New Roman" w:eastAsia="Times New Roman" w:hAnsi="Times New Roman" w:cs="Times New Roman"/>
          <w:sz w:val="24"/>
          <w:szCs w:val="24"/>
        </w:rPr>
        <w:t xml:space="preserve">: Each city-state would establish citizen-run media centers where community members could develop skills in digital storytelling, journalism, and artistic production while creating content that reflects local experiences with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principles.</w:t>
      </w:r>
    </w:p>
    <w:p w:rsidR="00440ED8" w:rsidRPr="00440ED8" w:rsidRDefault="00440ED8" w:rsidP="00440ED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Public Memory Projects</w:t>
      </w:r>
      <w:r w:rsidRPr="00440ED8">
        <w:rPr>
          <w:rFonts w:ascii="Times New Roman" w:eastAsia="Times New Roman" w:hAnsi="Times New Roman" w:cs="Times New Roman"/>
          <w:sz w:val="24"/>
          <w:szCs w:val="24"/>
        </w:rPr>
        <w:t>: Cultural institutions would facilitate collaborative examination of histories of inequality, exploitation, and ecological damage, creating shared understanding of the historical forces that necessitate systemic change.</w:t>
      </w:r>
    </w:p>
    <w:p w:rsidR="00440ED8" w:rsidRPr="00440ED8" w:rsidRDefault="00440ED8" w:rsidP="00440ED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Transitional Festivals</w:t>
      </w:r>
      <w:r w:rsidRPr="00440ED8">
        <w:rPr>
          <w:rFonts w:ascii="Times New Roman" w:eastAsia="Times New Roman" w:hAnsi="Times New Roman" w:cs="Times New Roman"/>
          <w:sz w:val="24"/>
          <w:szCs w:val="24"/>
        </w:rPr>
        <w:t xml:space="preserve">: Regular community celebrations would mark milestones in 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transition, creating emotional anchors and shared experiences that reinforce new social values and practices.</w:t>
      </w:r>
    </w:p>
    <w:p w:rsidR="00440ED8" w:rsidRPr="00440ED8" w:rsidRDefault="00440ED8" w:rsidP="00440ED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Cross-Generational Knowledge Transfer</w:t>
      </w:r>
      <w:r w:rsidRPr="00440ED8">
        <w:rPr>
          <w:rFonts w:ascii="Times New Roman" w:eastAsia="Times New Roman" w:hAnsi="Times New Roman" w:cs="Times New Roman"/>
          <w:sz w:val="24"/>
          <w:szCs w:val="24"/>
        </w:rPr>
        <w:t>: Structured programs would connect elders' traditional wisdom with youth innovation, creating continuity between past and future while acknowledging both the value of heritage and the necessity of change.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 xml:space="preserve">Research by cultural theorists indicates that successful social transformations require not only institutional changes but also the development of new symbolic systems and collective narratives [18]. These cultural initiatives would help bridge the gap between existing social paradigms and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values, making the transition more psychologically accessible.</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4. Implementation: From Concept to Reality</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4.1 The Expansion Model</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Rather than requiring simultaneous global adoption,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proposes an expansion model beginning with developed nations. Drawing inspiration from the European Union, this approach envisions a federation that initially includes nations that have achieved similar levels of societal advancement, regardless of geographical location.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This federation would progressively transform into a network of city-states implementing direct democracy and wealth redistribution mechanisms. As the benefits of this system become apparent, the federation could expand to include developing nations that meet specific criteria and willingly adopt the core principles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address the resistance challenges identified by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the implementation strategy should include pilot projects in receptive city-states to demonstrate the tangible benefits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The establishment of an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Cooperation Council" could facilitate diplomatic engagement and incentive structures for broader adoption [15].</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4.2 Digital Infrastructure for Direct Democracy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Implementing direct democracy at scale requires robust digital infrastructure that ensures security, accessibility, and transparency. </w:t>
      </w:r>
      <w:proofErr w:type="spellStart"/>
      <w:r w:rsidRPr="00440ED8">
        <w:rPr>
          <w:rFonts w:ascii="Times New Roman" w:eastAsia="Times New Roman" w:hAnsi="Times New Roman" w:cs="Times New Roman"/>
          <w:sz w:val="24"/>
          <w:szCs w:val="24"/>
        </w:rPr>
        <w:t>Blockchain</w:t>
      </w:r>
      <w:proofErr w:type="spellEnd"/>
      <w:r w:rsidRPr="00440ED8">
        <w:rPr>
          <w:rFonts w:ascii="Times New Roman" w:eastAsia="Times New Roman" w:hAnsi="Times New Roman" w:cs="Times New Roman"/>
          <w:sz w:val="24"/>
          <w:szCs w:val="24"/>
        </w:rPr>
        <w:t xml:space="preserve"> technology offers promising solutions for secure voting mechanisms, while artificial intelligence could help process and organize citizen proposals and facilitate informed debate.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transition to direct democracy would necessitate significant civic education initiatives and gradual implementation phases, allowing communities to develop the democratic skills and protocols necessary for effective self-governance.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A comprehensive digital citizenship education program would be essential, ensuring that all citizens can meaningfully participate regardless of their technological literacy. Special attention must be paid to accessibility for elderly and disabled populations, as well as security measures to prevent manipulation or exclusion [3].</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4.3 Economic Transition Management</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implementation of wealth caps represents a significant economic transformation requiring careful management. Phased implementation would allow for orderly transitions, preventing market disruptions while steadily redirecting excess capital through the Umbrella Foundation.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Production assets would be explicitly excluded from wealth calculations to ensure continued economic activity and innovation. Financial institutions would face specific regulatory frameworks appropriate to their functions, with private investment banks subject to the institutional wealth cap while commercial banks operate under separate guidelines to maintain essential economic functions.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enhance innovation incentives within this framework,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proposes an "Innovation Awards" system providing tax exemptions or additional funding for breakthrough technologies. This approach would preserve the motivational aspects of market competition while ensuring broader distribution of the resulting benefits [4].</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4.4 Implementation Timeline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Following Tokyo's recommendation, we propose a 50-year phased implementation timeline for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w:t>
      </w:r>
    </w:p>
    <w:p w:rsidR="00440ED8" w:rsidRPr="00440ED8" w:rsidRDefault="00440ED8" w:rsidP="00440ED8">
      <w:pPr>
        <w:spacing w:before="100" w:beforeAutospacing="1" w:after="100" w:afterAutospacing="1" w:line="240" w:lineRule="auto"/>
        <w:outlineLvl w:val="3"/>
        <w:rPr>
          <w:rFonts w:ascii="Times New Roman" w:eastAsia="Times New Roman" w:hAnsi="Times New Roman" w:cs="Times New Roman"/>
          <w:b/>
          <w:bCs/>
          <w:sz w:val="24"/>
          <w:szCs w:val="24"/>
        </w:rPr>
      </w:pPr>
      <w:r w:rsidRPr="00440ED8">
        <w:rPr>
          <w:rFonts w:ascii="Times New Roman" w:eastAsia="Times New Roman" w:hAnsi="Times New Roman" w:cs="Times New Roman"/>
          <w:b/>
          <w:bCs/>
          <w:sz w:val="24"/>
          <w:szCs w:val="24"/>
        </w:rPr>
        <w:t>First Decade (2025-2035): Pilot Phase</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Establish 5-10 pioneer city-states implementing core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principles</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Develop and test digital democracy platforms with </w:t>
      </w:r>
      <w:proofErr w:type="spellStart"/>
      <w:r w:rsidRPr="00440ED8">
        <w:rPr>
          <w:rFonts w:ascii="Times New Roman" w:eastAsia="Times New Roman" w:hAnsi="Times New Roman" w:cs="Times New Roman"/>
          <w:sz w:val="24"/>
          <w:szCs w:val="24"/>
        </w:rPr>
        <w:t>blockchain</w:t>
      </w:r>
      <w:proofErr w:type="spellEnd"/>
      <w:r w:rsidRPr="00440ED8">
        <w:rPr>
          <w:rFonts w:ascii="Times New Roman" w:eastAsia="Times New Roman" w:hAnsi="Times New Roman" w:cs="Times New Roman"/>
          <w:sz w:val="24"/>
          <w:szCs w:val="24"/>
        </w:rPr>
        <w:t xml:space="preserve"> verification</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Launch limited UBI experiments in selected communities</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Create prototype Umbrella Foundation with voluntary contributions</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Begin educational initiatives explaining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principles</w:t>
      </w:r>
    </w:p>
    <w:p w:rsidR="00440ED8" w:rsidRPr="00440ED8" w:rsidRDefault="00440ED8" w:rsidP="00440ED8">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Gather empirical data on outcomes and refine implementation strategies</w:t>
      </w:r>
    </w:p>
    <w:p w:rsidR="00440ED8" w:rsidRPr="00440ED8" w:rsidRDefault="00440ED8" w:rsidP="00440ED8">
      <w:pPr>
        <w:spacing w:before="100" w:beforeAutospacing="1" w:after="100" w:afterAutospacing="1" w:line="240" w:lineRule="auto"/>
        <w:outlineLvl w:val="3"/>
        <w:rPr>
          <w:rFonts w:ascii="Times New Roman" w:eastAsia="Times New Roman" w:hAnsi="Times New Roman" w:cs="Times New Roman"/>
          <w:b/>
          <w:bCs/>
          <w:sz w:val="24"/>
          <w:szCs w:val="24"/>
        </w:rPr>
      </w:pPr>
      <w:r w:rsidRPr="00440ED8">
        <w:rPr>
          <w:rFonts w:ascii="Times New Roman" w:eastAsia="Times New Roman" w:hAnsi="Times New Roman" w:cs="Times New Roman"/>
          <w:b/>
          <w:bCs/>
          <w:sz w:val="24"/>
          <w:szCs w:val="24"/>
        </w:rPr>
        <w:t>Second Decade (2035-2045): Regional Federation Phase</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Expand to 50+ city-states across multiple regions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Formalize the confederative governance structure between participating cities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Implement graduated wealth caps beginning with highest thresholds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Establish regional Umbrella Foundation branches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Develop intercity cultural exchange programs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Create standardized conflict resolution mechanisms</w:t>
      </w:r>
    </w:p>
    <w:p w:rsidR="00440ED8" w:rsidRPr="00440ED8" w:rsidRDefault="00440ED8" w:rsidP="00440ED8">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Scale UBI programs to cover all citizens in participating cities</w:t>
      </w:r>
    </w:p>
    <w:p w:rsidR="00440ED8" w:rsidRPr="00440ED8" w:rsidRDefault="00440ED8" w:rsidP="00440ED8">
      <w:pPr>
        <w:spacing w:before="100" w:beforeAutospacing="1" w:after="100" w:afterAutospacing="1" w:line="240" w:lineRule="auto"/>
        <w:outlineLvl w:val="3"/>
        <w:rPr>
          <w:rFonts w:ascii="Times New Roman" w:eastAsia="Times New Roman" w:hAnsi="Times New Roman" w:cs="Times New Roman"/>
          <w:b/>
          <w:bCs/>
          <w:sz w:val="24"/>
          <w:szCs w:val="24"/>
        </w:rPr>
      </w:pPr>
      <w:r w:rsidRPr="00440ED8">
        <w:rPr>
          <w:rFonts w:ascii="Times New Roman" w:eastAsia="Times New Roman" w:hAnsi="Times New Roman" w:cs="Times New Roman"/>
          <w:b/>
          <w:bCs/>
          <w:sz w:val="24"/>
          <w:szCs w:val="24"/>
        </w:rPr>
        <w:t>Third Decade (2045-2055): Global Transition Phase</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Integrate majority of world cities into 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framework</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Fully implement wealth caps and redistribution mechanisms</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Establish comprehensive Global Education Network</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Complete transition from representative to direct democracy</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Develop global resource sharing mechanisms</w:t>
      </w:r>
    </w:p>
    <w:p w:rsidR="00440ED8" w:rsidRPr="00440ED8" w:rsidRDefault="00440ED8" w:rsidP="00440ED8">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Formalize Federation Council with rotational representation</w:t>
      </w:r>
    </w:p>
    <w:p w:rsidR="00440ED8" w:rsidRPr="00440ED8" w:rsidRDefault="00440ED8" w:rsidP="00440ED8">
      <w:pPr>
        <w:spacing w:before="100" w:beforeAutospacing="1" w:after="100" w:afterAutospacing="1" w:line="240" w:lineRule="auto"/>
        <w:outlineLvl w:val="3"/>
        <w:rPr>
          <w:rFonts w:ascii="Times New Roman" w:eastAsia="Times New Roman" w:hAnsi="Times New Roman" w:cs="Times New Roman"/>
          <w:b/>
          <w:bCs/>
          <w:sz w:val="24"/>
          <w:szCs w:val="24"/>
        </w:rPr>
      </w:pPr>
      <w:r w:rsidRPr="00440ED8">
        <w:rPr>
          <w:rFonts w:ascii="Times New Roman" w:eastAsia="Times New Roman" w:hAnsi="Times New Roman" w:cs="Times New Roman"/>
          <w:b/>
          <w:bCs/>
          <w:sz w:val="24"/>
          <w:szCs w:val="24"/>
        </w:rPr>
        <w:t>Fourth and Fifth Decades (2055-2075): Consolidation Phase</w:t>
      </w:r>
    </w:p>
    <w:p w:rsidR="00440ED8" w:rsidRPr="00440ED8" w:rsidRDefault="00440ED8" w:rsidP="00440ED8">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Address remaining transitional challenges</w:t>
      </w:r>
    </w:p>
    <w:p w:rsidR="00440ED8" w:rsidRPr="00440ED8" w:rsidRDefault="00440ED8" w:rsidP="00440ED8">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Integrate technological advancements into governance structures</w:t>
      </w:r>
    </w:p>
    <w:p w:rsidR="00440ED8" w:rsidRPr="00440ED8" w:rsidRDefault="00440ED8" w:rsidP="00440ED8">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Evolve cultural paradigms to support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values</w:t>
      </w:r>
    </w:p>
    <w:p w:rsidR="00440ED8" w:rsidRPr="00440ED8" w:rsidRDefault="00440ED8" w:rsidP="00440ED8">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Harmonize resource distribution systems globally</w:t>
      </w:r>
    </w:p>
    <w:p w:rsidR="00440ED8" w:rsidRPr="00440ED8" w:rsidRDefault="00440ED8" w:rsidP="00440ED8">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Establish sustainable relationship between human societies and natural systems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This graduated approach allows for incremental adaptation, empirical testing, and refinement of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principles in response to practical challenges. It acknowledges that transformative change requires time for cultural adaptation and institutional development, while still maintaining clear progress targets.</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 xml:space="preserve">5. The AI Revolution and </w:t>
      </w:r>
      <w:proofErr w:type="spellStart"/>
      <w:r w:rsidRPr="00440ED8">
        <w:rPr>
          <w:rFonts w:ascii="Times New Roman" w:eastAsia="Times New Roman" w:hAnsi="Times New Roman" w:cs="Times New Roman"/>
          <w:b/>
          <w:bCs/>
          <w:sz w:val="36"/>
          <w:szCs w:val="36"/>
        </w:rPr>
        <w:t>Olymposism</w:t>
      </w:r>
      <w:proofErr w:type="spellEnd"/>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Artificial intelligence represents both the greatest challenge and opportunity for human civilization in the coming decades. As AI systems increasingly outperform humans across various domains, traditional economic models based on human labor exchange will face unprecedented disruption.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directly addresses this challenge by establishing economic security mechanisms independent of employment status. The universal basic income and essential services provisions create a foundation for human flourishing even as traditional jobs diminish. Meanwhile, the wealth redistribution mechanisms ensure that the economic benefits of AI advancement are shared broadly rather than concentrated among technology owners.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Peri's</w:t>
      </w:r>
      <w:proofErr w:type="spellEnd"/>
      <w:r w:rsidRPr="00440ED8">
        <w:rPr>
          <w:rFonts w:ascii="Times New Roman" w:eastAsia="Times New Roman" w:hAnsi="Times New Roman" w:cs="Times New Roman"/>
          <w:sz w:val="24"/>
          <w:szCs w:val="24"/>
        </w:rPr>
        <w:t xml:space="preserve"> proposal for an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Technology Council" offers a governance structure for managing AI developments within this framework. This democratically elected body would monitor the ethical and economic impacts of technological innovation, optimize UBI levels in response to automation trends, and coordinate Umbrella Foundation projects to maximize collective benefit [4].</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By combining decentralized governance with economic security measures,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offers a framework for human-centered technological development where advancing capabilities serve collective prosperity rather than exacerbating existing inequalities.</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 xml:space="preserve">6. Comparative Analysis: </w:t>
      </w:r>
      <w:proofErr w:type="spellStart"/>
      <w:r w:rsidRPr="00440ED8">
        <w:rPr>
          <w:rFonts w:ascii="Times New Roman" w:eastAsia="Times New Roman" w:hAnsi="Times New Roman" w:cs="Times New Roman"/>
          <w:b/>
          <w:bCs/>
          <w:sz w:val="36"/>
          <w:szCs w:val="36"/>
        </w:rPr>
        <w:t>Olymposism</w:t>
      </w:r>
      <w:proofErr w:type="spellEnd"/>
      <w:r w:rsidRPr="00440ED8">
        <w:rPr>
          <w:rFonts w:ascii="Times New Roman" w:eastAsia="Times New Roman" w:hAnsi="Times New Roman" w:cs="Times New Roman"/>
          <w:b/>
          <w:bCs/>
          <w:sz w:val="36"/>
          <w:szCs w:val="36"/>
        </w:rPr>
        <w:t xml:space="preserve"> and Existing Paradigms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 xml:space="preserve">6.1 </w:t>
      </w:r>
      <w:proofErr w:type="spellStart"/>
      <w:r w:rsidRPr="00440ED8">
        <w:rPr>
          <w:rFonts w:ascii="Times New Roman" w:eastAsia="Times New Roman" w:hAnsi="Times New Roman" w:cs="Times New Roman"/>
          <w:b/>
          <w:bCs/>
          <w:sz w:val="27"/>
          <w:szCs w:val="27"/>
        </w:rPr>
        <w:t>Olymposism</w:t>
      </w:r>
      <w:proofErr w:type="spellEnd"/>
      <w:r w:rsidRPr="00440ED8">
        <w:rPr>
          <w:rFonts w:ascii="Times New Roman" w:eastAsia="Times New Roman" w:hAnsi="Times New Roman" w:cs="Times New Roman"/>
          <w:b/>
          <w:bCs/>
          <w:sz w:val="27"/>
          <w:szCs w:val="27"/>
        </w:rPr>
        <w:t xml:space="preserve"> vs. Capitalism</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Strengths Relative to Capitalism:</w:t>
      </w:r>
      <w:r w:rsidRPr="00440ED8">
        <w:rPr>
          <w:rFonts w:ascii="Times New Roman" w:eastAsia="Times New Roman" w:hAnsi="Times New Roman" w:cs="Times New Roman"/>
          <w:sz w:val="24"/>
          <w:szCs w:val="24"/>
        </w:rPr>
        <w:t xml:space="preserve">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addresses capitalism's fundamental tendency toward wealth concentration through explicit wealth caps and redistribution mechanisms. While capitalism allows unlimited accumulation, creating extreme inequality and economic instability,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maintains sufficient incentives for innovation while preventing the social harms of extreme concentration [14].</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Direct democracy counters the capture of political processes by economic elites that often occurs in capitalist systems. The transparent governance of the Umbrella Foundation contrasts with the unaccountable influence of private wealth in shaping public policy and resource allocation under capitalism [13].</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principle of global resource equity directly challenges capitalism's reliance on resource exploitation and uneven development, offering a more sustainable model for long-term human prosperity.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Comparative Limitations:</w:t>
      </w:r>
      <w:r w:rsidRPr="00440ED8">
        <w:rPr>
          <w:rFonts w:ascii="Times New Roman" w:eastAsia="Times New Roman" w:hAnsi="Times New Roman" w:cs="Times New Roman"/>
          <w:sz w:val="24"/>
          <w:szCs w:val="24"/>
        </w:rPr>
        <w:t xml:space="preserve"> As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notes, capitalism's market dynamics provide efficient resource allocation and rapid adaptation to changing conditions.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may initially experience transition inefficiencies as new institutions and processes develop. Additionally, the emphasis on collective wellbeing might be perceived as constraining by those who prioritize absolute individual economic freedom over relative equality.</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 xml:space="preserve">6.2 </w:t>
      </w:r>
      <w:proofErr w:type="spellStart"/>
      <w:r w:rsidRPr="00440ED8">
        <w:rPr>
          <w:rFonts w:ascii="Times New Roman" w:eastAsia="Times New Roman" w:hAnsi="Times New Roman" w:cs="Times New Roman"/>
          <w:b/>
          <w:bCs/>
          <w:sz w:val="27"/>
          <w:szCs w:val="27"/>
        </w:rPr>
        <w:t>Olymposism</w:t>
      </w:r>
      <w:proofErr w:type="spellEnd"/>
      <w:r w:rsidRPr="00440ED8">
        <w:rPr>
          <w:rFonts w:ascii="Times New Roman" w:eastAsia="Times New Roman" w:hAnsi="Times New Roman" w:cs="Times New Roman"/>
          <w:b/>
          <w:bCs/>
          <w:sz w:val="27"/>
          <w:szCs w:val="27"/>
        </w:rPr>
        <w:t xml:space="preserve"> vs. Socialism</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Strengths Relative to Socialism:</w:t>
      </w:r>
      <w:r w:rsidRPr="00440ED8">
        <w:rPr>
          <w:rFonts w:ascii="Times New Roman" w:eastAsia="Times New Roman" w:hAnsi="Times New Roman" w:cs="Times New Roman"/>
          <w:sz w:val="24"/>
          <w:szCs w:val="24"/>
        </w:rPr>
        <w:t xml:space="preserve"> Unlike socialism's tendency toward centralized economic planning and state ownership,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preserves local autonomy through the city-state model and maintains space for individual entrepreneurship. The wealth caps and Umbrella Foundation provide more flexible and responsive mechanisms for redistribution compared to rigid state control [6].</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direct democratic governance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contrasts with the authoritarian tendencies that have emerged in many socialist systems, ensuring that power remains distributed among all citizens rather than concentrated in party or state structures [9].</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Comparative Limitations:</w:t>
      </w:r>
      <w:r w:rsidRPr="00440ED8">
        <w:rPr>
          <w:rFonts w:ascii="Times New Roman" w:eastAsia="Times New Roman" w:hAnsi="Times New Roman" w:cs="Times New Roman"/>
          <w:sz w:val="24"/>
          <w:szCs w:val="24"/>
        </w:rPr>
        <w:t xml:space="preserve"> </w:t>
      </w:r>
      <w:proofErr w:type="spellStart"/>
      <w:r w:rsidRPr="00440ED8">
        <w:rPr>
          <w:rFonts w:ascii="Times New Roman" w:eastAsia="Times New Roman" w:hAnsi="Times New Roman" w:cs="Times New Roman"/>
          <w:sz w:val="24"/>
          <w:szCs w:val="24"/>
        </w:rPr>
        <w:t>Olymposism's</w:t>
      </w:r>
      <w:proofErr w:type="spellEnd"/>
      <w:r w:rsidRPr="00440ED8">
        <w:rPr>
          <w:rFonts w:ascii="Times New Roman" w:eastAsia="Times New Roman" w:hAnsi="Times New Roman" w:cs="Times New Roman"/>
          <w:sz w:val="24"/>
          <w:szCs w:val="24"/>
        </w:rPr>
        <w:t xml:space="preserve"> allowance for significant wealth differentials (up to the caps) may be viewed as inadequate by those seeking complete economic equality. The implementation of direct democracy might initially be more vulnerable to disruption than socialism's centralized decision-making structures, particularly during periods of crisis or rapid change [15].</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 xml:space="preserve">7. Ecological Sustainability in the </w:t>
      </w:r>
      <w:proofErr w:type="spellStart"/>
      <w:r w:rsidRPr="00440ED8">
        <w:rPr>
          <w:rFonts w:ascii="Times New Roman" w:eastAsia="Times New Roman" w:hAnsi="Times New Roman" w:cs="Times New Roman"/>
          <w:b/>
          <w:bCs/>
          <w:sz w:val="36"/>
          <w:szCs w:val="36"/>
        </w:rPr>
        <w:t>Olymposist</w:t>
      </w:r>
      <w:proofErr w:type="spellEnd"/>
      <w:r w:rsidRPr="00440ED8">
        <w:rPr>
          <w:rFonts w:ascii="Times New Roman" w:eastAsia="Times New Roman" w:hAnsi="Times New Roman" w:cs="Times New Roman"/>
          <w:b/>
          <w:bCs/>
          <w:sz w:val="36"/>
          <w:szCs w:val="36"/>
        </w:rPr>
        <w:t xml:space="preserve"> Framework</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An important dimension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that deserves further elaboration is its approach to ecological sustainability. The current economic paradigm prioritizes unlimited growth over environmental preservation, resulting in accelerating climate change, biodiversity loss, and resource depletion that threaten human civilization's long-term viability.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addresses this challenge through several mechanisms:</w:t>
      </w:r>
    </w:p>
    <w:p w:rsidR="00440ED8" w:rsidRPr="00440ED8" w:rsidRDefault="00440ED8" w:rsidP="00440ED8">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Resource Caps and Sustainable Allocation:</w:t>
      </w:r>
      <w:r w:rsidRPr="00440ED8">
        <w:rPr>
          <w:rFonts w:ascii="Times New Roman" w:eastAsia="Times New Roman" w:hAnsi="Times New Roman" w:cs="Times New Roman"/>
          <w:sz w:val="24"/>
          <w:szCs w:val="24"/>
        </w:rPr>
        <w:t xml:space="preserve"> The wealth limitations and Umbrella Foundation can redirect resources toward sustainable technologies and infrastructure, reducing the environmental impact of human activities.</w:t>
      </w:r>
    </w:p>
    <w:p w:rsidR="00440ED8" w:rsidRPr="00440ED8" w:rsidRDefault="00440ED8" w:rsidP="00440ED8">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lastRenderedPageBreak/>
        <w:t>City-State Scale Management:</w:t>
      </w:r>
      <w:r w:rsidRPr="00440ED8">
        <w:rPr>
          <w:rFonts w:ascii="Times New Roman" w:eastAsia="Times New Roman" w:hAnsi="Times New Roman" w:cs="Times New Roman"/>
          <w:sz w:val="24"/>
          <w:szCs w:val="24"/>
        </w:rPr>
        <w:t xml:space="preserve"> The city-state model allows for environmental policies tailored to local ecosystems and challenges, enabling more effective responses than one-size-fits-all national approaches.</w:t>
      </w:r>
    </w:p>
    <w:p w:rsidR="00440ED8" w:rsidRPr="00440ED8" w:rsidRDefault="00440ED8" w:rsidP="00440ED8">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Direct Democratic Environmental Governance:</w:t>
      </w:r>
      <w:r w:rsidRPr="00440ED8">
        <w:rPr>
          <w:rFonts w:ascii="Times New Roman" w:eastAsia="Times New Roman" w:hAnsi="Times New Roman" w:cs="Times New Roman"/>
          <w:sz w:val="24"/>
          <w:szCs w:val="24"/>
        </w:rPr>
        <w:t xml:space="preserve"> Direct democracy empowers citizens to prioritize long-term environmental health over short-term economic gains, countering the influence of extraction industries in current political systems.</w:t>
      </w:r>
    </w:p>
    <w:p w:rsidR="00440ED8" w:rsidRPr="00440ED8" w:rsidRDefault="00440ED8" w:rsidP="00440ED8">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Post-Scarcity Resource Distribution:</w:t>
      </w:r>
      <w:r w:rsidRPr="00440ED8">
        <w:rPr>
          <w:rFonts w:ascii="Times New Roman" w:eastAsia="Times New Roman" w:hAnsi="Times New Roman" w:cs="Times New Roman"/>
          <w:sz w:val="24"/>
          <w:szCs w:val="24"/>
        </w:rPr>
        <w:t xml:space="preserve"> By ensuring basic needs are met for all citizens,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reduces pressure on individuals to engage in environmentally destructive activities for economic survival.</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Umbrella Foundation would allocate significant resources to ecological restoration, clean energy development, and sustainable urban design. These investments would not only preserve natural systems but create meaningful work opportunities as traditional employment sectors contract due to automation.</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7.1 Measurable Ecological Targets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To ensure accountability and progress in environmental sustainability,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establishes specific, measurable ecological targets within its implementation timeline [19]:</w:t>
      </w:r>
    </w:p>
    <w:p w:rsidR="00440ED8" w:rsidRPr="00440ED8" w:rsidRDefault="00440ED8" w:rsidP="00440ED8">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Carbon Emissions</w:t>
      </w:r>
      <w:r w:rsidRPr="00440ED8">
        <w:rPr>
          <w:rFonts w:ascii="Times New Roman" w:eastAsia="Times New Roman" w:hAnsi="Times New Roman" w:cs="Times New Roman"/>
          <w:sz w:val="24"/>
          <w:szCs w:val="24"/>
        </w:rPr>
        <w:t>: Reduce net carbon emissions by 50% by 2040 and achieve carbon neutrality by 2050 across all member city-states.</w:t>
      </w:r>
    </w:p>
    <w:p w:rsidR="00440ED8" w:rsidRPr="00440ED8" w:rsidRDefault="00440ED8" w:rsidP="00440ED8">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Biodiversity Protection</w:t>
      </w:r>
      <w:r w:rsidRPr="00440ED8">
        <w:rPr>
          <w:rFonts w:ascii="Times New Roman" w:eastAsia="Times New Roman" w:hAnsi="Times New Roman" w:cs="Times New Roman"/>
          <w:sz w:val="24"/>
          <w:szCs w:val="24"/>
        </w:rPr>
        <w:t>: Establish that at least 30% of land and marine areas within each city-state's jurisdiction must be protected for biodiversity and ecological services by 2045.</w:t>
      </w:r>
    </w:p>
    <w:p w:rsidR="00440ED8" w:rsidRPr="00440ED8" w:rsidRDefault="00440ED8" w:rsidP="00440ED8">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Circular Economy</w:t>
      </w:r>
      <w:r w:rsidRPr="00440ED8">
        <w:rPr>
          <w:rFonts w:ascii="Times New Roman" w:eastAsia="Times New Roman" w:hAnsi="Times New Roman" w:cs="Times New Roman"/>
          <w:sz w:val="24"/>
          <w:szCs w:val="24"/>
        </w:rPr>
        <w:t>: Develop waste management systems that achieve 90% recycling rates and reduce landfill waste by 80% by 2050.</w:t>
      </w:r>
    </w:p>
    <w:p w:rsidR="00440ED8" w:rsidRPr="00440ED8" w:rsidRDefault="00440ED8" w:rsidP="00440ED8">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Clean Energy Transition</w:t>
      </w:r>
      <w:r w:rsidRPr="00440ED8">
        <w:rPr>
          <w:rFonts w:ascii="Times New Roman" w:eastAsia="Times New Roman" w:hAnsi="Times New Roman" w:cs="Times New Roman"/>
          <w:sz w:val="24"/>
          <w:szCs w:val="24"/>
        </w:rPr>
        <w:t>: Achieve 100% renewable energy for all residential and public use by 2045, with full transition including industrial applications by 2060.</w:t>
      </w:r>
    </w:p>
    <w:p w:rsidR="00440ED8" w:rsidRPr="00440ED8" w:rsidRDefault="00440ED8" w:rsidP="00440ED8">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Water Conservation</w:t>
      </w:r>
      <w:r w:rsidRPr="00440ED8">
        <w:rPr>
          <w:rFonts w:ascii="Times New Roman" w:eastAsia="Times New Roman" w:hAnsi="Times New Roman" w:cs="Times New Roman"/>
          <w:sz w:val="24"/>
          <w:szCs w:val="24"/>
        </w:rPr>
        <w:t>: Implement water management systems that reduce per capita consumption by 40% compared to 2020 levels while ensuring universal access to clean water.</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These targets would be integrated into the governance structure of 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federation, with regular monitoring and adaptation mechanisms. City-states would maintain autonomy in developing locally appropriate implementation strategies while being accountable to these collective goals.</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8. Criticisms and Responses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8.1 Concerns About Economic Innovation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Critics may argue that wealth caps would stifle innovation and entrepreneurship. However,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maintains significant incentives for innovation with its generous individual and institutional wealth allowances. Moreover, by excluding production assets from wealth calculations, the system encourages continued investment in productive enterprises.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 xml:space="preserve">The Umbrella Foundation mechanism creates new funding pathways for ambitious innovations that might otherwise struggle to secure investment. By redirecting excess capital toward collective advancement,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potentially expands rather than contracts the scope of human innovation.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Empirical evidence supports this position: approximately 90% of entrepreneurs in the United States achieve success with personal wealth well below $100 million [1]. The dynamic wealth thresholds proposed by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would further ensure that innovation incentives remain effective across changing economic conditions.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8.2 Implementation Challenges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The practical implementation of such a transformative system presents significant challenges. Powerful interests would resist wealth limitations, and transitioning from representative to direct democracy requires substantial infrastructure development and civic education.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acknowledges these challenges and proposes a gradual, phased implementation beginning with communities and nations most amenable to these principles. The expansion model allows for iterative improvement as the system demonstrates its viability and benefits.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Peri's</w:t>
      </w:r>
      <w:proofErr w:type="spellEnd"/>
      <w:r w:rsidRPr="00440ED8">
        <w:rPr>
          <w:rFonts w:ascii="Times New Roman" w:eastAsia="Times New Roman" w:hAnsi="Times New Roman" w:cs="Times New Roman"/>
          <w:sz w:val="24"/>
          <w:szCs w:val="24"/>
        </w:rPr>
        <w:t xml:space="preserve"> recommendation for a hybrid transition phase would mitigate disruption risks, allowing sufficient time for digital infrastructure development and civic education programs. Pilot implementations in receptive city-states could demonstrate practical success, building momentum for broader adoption.</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8.3 Cultural and Political Resistance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Profound social transformations inevitably face resistance rooted in established cultural narratives and political interests. Many societies valorize unlimited wealth accumulation and view economic inequality as natural or even desirable.</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Addressing this resistance requires developing compelling narratives that highlight the benefits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for human dignity, community well-being, and sustainable prosperity. Rather than primarily appealing to abstract moral principles, advocates must demonstrate the practical advantages of 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approach for individuals across the socioeconomic spectrum.</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Educational initiatives and cultural engagement strategies will be crucial for shifting public perceptions. The Global Education Network proposed by </w:t>
      </w:r>
      <w:proofErr w:type="spellStart"/>
      <w:r w:rsidRPr="00440ED8">
        <w:rPr>
          <w:rFonts w:ascii="Times New Roman" w:eastAsia="Times New Roman" w:hAnsi="Times New Roman" w:cs="Times New Roman"/>
          <w:sz w:val="24"/>
          <w:szCs w:val="24"/>
        </w:rPr>
        <w:t>Peri</w:t>
      </w:r>
      <w:proofErr w:type="spellEnd"/>
      <w:r w:rsidRPr="00440ED8">
        <w:rPr>
          <w:rFonts w:ascii="Times New Roman" w:eastAsia="Times New Roman" w:hAnsi="Times New Roman" w:cs="Times New Roman"/>
          <w:sz w:val="24"/>
          <w:szCs w:val="24"/>
        </w:rPr>
        <w:t xml:space="preserve"> could play a vital role in fostering understanding and acceptance of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principles across diverse communities.</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8.4 Concerns About Federation Stability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Critics might argue that a federation of city-states would be more vulnerable to instability than nation-states, particularly in the face of external threats or internal disagreements. This concern reflects legitimate historical experiences with confederation models that lacked sufficient cohesion mechanisms.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lastRenderedPageBreak/>
        <w:t>Olymposism</w:t>
      </w:r>
      <w:proofErr w:type="spellEnd"/>
      <w:r w:rsidRPr="00440ED8">
        <w:rPr>
          <w:rFonts w:ascii="Times New Roman" w:eastAsia="Times New Roman" w:hAnsi="Times New Roman" w:cs="Times New Roman"/>
          <w:sz w:val="24"/>
          <w:szCs w:val="24"/>
        </w:rPr>
        <w:t xml:space="preserve"> addresses these stability concerns through several specific structures [20]:</w:t>
      </w:r>
    </w:p>
    <w:p w:rsidR="00440ED8" w:rsidRPr="00440ED8" w:rsidRDefault="00440ED8" w:rsidP="00440ED8">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Graduated Sovereignty</w:t>
      </w:r>
      <w:r w:rsidRPr="00440ED8">
        <w:rPr>
          <w:rFonts w:ascii="Times New Roman" w:eastAsia="Times New Roman" w:hAnsi="Times New Roman" w:cs="Times New Roman"/>
          <w:sz w:val="24"/>
          <w:szCs w:val="24"/>
        </w:rPr>
        <w:t xml:space="preserve">: Rather than an all-or-nothing approach to federation membership,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establishes multiple levels of integration that allow city-states to gradually deepen their participation as trust and common interests develop.</w:t>
      </w:r>
    </w:p>
    <w:p w:rsidR="00440ED8" w:rsidRPr="00440ED8" w:rsidRDefault="00440ED8" w:rsidP="00440ED8">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Economic Interdependence</w:t>
      </w:r>
      <w:r w:rsidRPr="00440ED8">
        <w:rPr>
          <w:rFonts w:ascii="Times New Roman" w:eastAsia="Times New Roman" w:hAnsi="Times New Roman" w:cs="Times New Roman"/>
          <w:sz w:val="24"/>
          <w:szCs w:val="24"/>
        </w:rPr>
        <w:t>: The shared resource allocation systems and Umbrella Foundation create practical incentives for continued cooperation, aligning material interests with federation stability.</w:t>
      </w:r>
    </w:p>
    <w:p w:rsidR="00440ED8" w:rsidRPr="00440ED8" w:rsidRDefault="00440ED8" w:rsidP="00440ED8">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Defensive Coordination</w:t>
      </w:r>
      <w:r w:rsidRPr="00440ED8">
        <w:rPr>
          <w:rFonts w:ascii="Times New Roman" w:eastAsia="Times New Roman" w:hAnsi="Times New Roman" w:cs="Times New Roman"/>
          <w:sz w:val="24"/>
          <w:szCs w:val="24"/>
        </w:rPr>
        <w:t>: While avoiding militarism, the federation would maintain sufficient defensive capabilities through coordination rather than centralization, providing security without requiring a powerful central authority.</w:t>
      </w:r>
    </w:p>
    <w:p w:rsidR="00440ED8" w:rsidRPr="00440ED8" w:rsidRDefault="00440ED8" w:rsidP="00440ED8">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Cultural Integration</w:t>
      </w:r>
      <w:r w:rsidRPr="00440ED8">
        <w:rPr>
          <w:rFonts w:ascii="Times New Roman" w:eastAsia="Times New Roman" w:hAnsi="Times New Roman" w:cs="Times New Roman"/>
          <w:sz w:val="24"/>
          <w:szCs w:val="24"/>
        </w:rPr>
        <w:t>: Beyond formal structures, the cultural exchange programs and shared meaning-making processes would build social cohesion across the federation, creating relationships that transcend institutional frameworks.</w:t>
      </w:r>
    </w:p>
    <w:p w:rsidR="00440ED8" w:rsidRPr="00440ED8" w:rsidRDefault="00440ED8" w:rsidP="00440ED8">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Digital Connectivity</w:t>
      </w:r>
      <w:r w:rsidRPr="00440ED8">
        <w:rPr>
          <w:rFonts w:ascii="Times New Roman" w:eastAsia="Times New Roman" w:hAnsi="Times New Roman" w:cs="Times New Roman"/>
          <w:sz w:val="24"/>
          <w:szCs w:val="24"/>
        </w:rPr>
        <w:t>: Advanced communication technologies would facilitate continuous dialogue and relationship-building between citizens of different city-states, preventing the isolation that undermined historical confederations.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Historical examples like the Swiss Confederation demonstrate that with appropriate cohesion mechanisms, decentralized governance models can achieve greater long-term stability than centralized systems, which may appear stronger but often collapse more catastrophically when they fail.</w:t>
      </w:r>
    </w:p>
    <w:p w:rsidR="00440ED8" w:rsidRPr="00440ED8" w:rsidRDefault="00440ED8" w:rsidP="00440ED8">
      <w:pPr>
        <w:spacing w:before="100" w:beforeAutospacing="1" w:after="100" w:afterAutospacing="1" w:line="240" w:lineRule="auto"/>
        <w:outlineLvl w:val="2"/>
        <w:rPr>
          <w:rFonts w:ascii="Times New Roman" w:eastAsia="Times New Roman" w:hAnsi="Times New Roman" w:cs="Times New Roman"/>
          <w:b/>
          <w:bCs/>
          <w:sz w:val="27"/>
          <w:szCs w:val="27"/>
        </w:rPr>
      </w:pPr>
      <w:r w:rsidRPr="00440ED8">
        <w:rPr>
          <w:rFonts w:ascii="Times New Roman" w:eastAsia="Times New Roman" w:hAnsi="Times New Roman" w:cs="Times New Roman"/>
          <w:b/>
          <w:bCs/>
          <w:sz w:val="27"/>
          <w:szCs w:val="27"/>
        </w:rPr>
        <w:t>8.5 Concerns About Private Property Limitations</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Critics may argue that </w:t>
      </w:r>
      <w:proofErr w:type="spellStart"/>
      <w:r w:rsidRPr="00440ED8">
        <w:rPr>
          <w:rFonts w:ascii="Times New Roman" w:eastAsia="Times New Roman" w:hAnsi="Times New Roman" w:cs="Times New Roman"/>
          <w:sz w:val="24"/>
          <w:szCs w:val="24"/>
        </w:rPr>
        <w:t>Olymposism's</w:t>
      </w:r>
      <w:proofErr w:type="spellEnd"/>
      <w:r w:rsidRPr="00440ED8">
        <w:rPr>
          <w:rFonts w:ascii="Times New Roman" w:eastAsia="Times New Roman" w:hAnsi="Times New Roman" w:cs="Times New Roman"/>
          <w:sz w:val="24"/>
          <w:szCs w:val="24"/>
        </w:rPr>
        <w:t xml:space="preserve"> wealth caps excessively restrict property rights and individual economic freedom. This criticism often stems from viewing property rights as absolute natural rights rather than socially constructed institutions designed to serve human flourishing.</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responds to this concern with several key points:</w:t>
      </w:r>
    </w:p>
    <w:p w:rsidR="00440ED8" w:rsidRPr="00440ED8" w:rsidRDefault="00440ED8" w:rsidP="00440ED8">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Substantial Individual Prosperity</w:t>
      </w:r>
      <w:r w:rsidRPr="00440ED8">
        <w:rPr>
          <w:rFonts w:ascii="Times New Roman" w:eastAsia="Times New Roman" w:hAnsi="Times New Roman" w:cs="Times New Roman"/>
          <w:sz w:val="24"/>
          <w:szCs w:val="24"/>
        </w:rPr>
        <w:t>: The $100 million individual wealth cap allows for significant personal accumulation—far more than most individuals would ever achieve—while preventing only the most extreme concentrations that distort democratic processes and economic functioning.</w:t>
      </w:r>
    </w:p>
    <w:p w:rsidR="00440ED8" w:rsidRPr="00440ED8" w:rsidRDefault="00440ED8" w:rsidP="00440ED8">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Production Asset Exclusion</w:t>
      </w:r>
      <w:r w:rsidRPr="00440ED8">
        <w:rPr>
          <w:rFonts w:ascii="Times New Roman" w:eastAsia="Times New Roman" w:hAnsi="Times New Roman" w:cs="Times New Roman"/>
          <w:sz w:val="24"/>
          <w:szCs w:val="24"/>
        </w:rPr>
        <w:t xml:space="preserve">: By excluding productive assets from wealth calculations,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actually encourages investment in businesses, innovation, and economic development rather than passive wealth accumulation.</w:t>
      </w:r>
    </w:p>
    <w:p w:rsidR="00440ED8" w:rsidRPr="00440ED8" w:rsidRDefault="00440ED8" w:rsidP="00440ED8">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Increased Economic Opportunity</w:t>
      </w:r>
      <w:r w:rsidRPr="00440ED8">
        <w:rPr>
          <w:rFonts w:ascii="Times New Roman" w:eastAsia="Times New Roman" w:hAnsi="Times New Roman" w:cs="Times New Roman"/>
          <w:sz w:val="24"/>
          <w:szCs w:val="24"/>
        </w:rPr>
        <w:t>: The redistribution of extreme wealth creates expanded opportunities for broader economic participation, potentially increasing meaningful economic freedom for the vast majority of citizens.</w:t>
      </w:r>
    </w:p>
    <w:p w:rsidR="00440ED8" w:rsidRPr="00440ED8" w:rsidRDefault="00440ED8" w:rsidP="00440ED8">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b/>
          <w:bCs/>
          <w:sz w:val="24"/>
          <w:szCs w:val="24"/>
        </w:rPr>
        <w:t>Historical Context</w:t>
      </w:r>
      <w:r w:rsidRPr="00440ED8">
        <w:rPr>
          <w:rFonts w:ascii="Times New Roman" w:eastAsia="Times New Roman" w:hAnsi="Times New Roman" w:cs="Times New Roman"/>
          <w:sz w:val="24"/>
          <w:szCs w:val="24"/>
        </w:rPr>
        <w:t xml:space="preserve">: Property rights have always been limited by social considerations throughout history, from taxation to eminent domain to regulations preventing harmful use of property.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simply recalibrates these limitations to address contemporary challenges of extreme inequality.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lastRenderedPageBreak/>
        <w:t>Research shows that beyond certain thresholds, additional wealth does not significantly increase subjective wellbeing [11], while extreme inequality demonstrably undermines social cohesion, economic mobility, and democratic functioning—all prerequisites for meaningful economic freedom for the majority.</w:t>
      </w:r>
    </w:p>
    <w:p w:rsidR="00440ED8" w:rsidRPr="00440ED8" w:rsidRDefault="00440ED8" w:rsidP="00440ED8">
      <w:pPr>
        <w:spacing w:before="100" w:beforeAutospacing="1" w:after="100" w:afterAutospacing="1" w:line="240" w:lineRule="auto"/>
        <w:outlineLvl w:val="1"/>
        <w:rPr>
          <w:rFonts w:ascii="Times New Roman" w:eastAsia="Times New Roman" w:hAnsi="Times New Roman" w:cs="Times New Roman"/>
          <w:b/>
          <w:bCs/>
          <w:sz w:val="36"/>
          <w:szCs w:val="36"/>
        </w:rPr>
      </w:pPr>
      <w:r w:rsidRPr="00440ED8">
        <w:rPr>
          <w:rFonts w:ascii="Times New Roman" w:eastAsia="Times New Roman" w:hAnsi="Times New Roman" w:cs="Times New Roman"/>
          <w:b/>
          <w:bCs/>
          <w:sz w:val="36"/>
          <w:szCs w:val="36"/>
        </w:rPr>
        <w:t>9. Conclusion: The Path Forward</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offers a comprehensive vision for restructuring human societies to address contemporary challenges and prepare for a future transformed by artificial intelligence. By combining decentralized governance with economic redistribution mechanisms, this paradigm aims to create communities where technological advancement serves human flourishing rather than concentrating power and wealth.</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implementation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need not be universal or immediate. Individual communities can begin adopting these principles, demonstrating their viability and benefits through practical application. As AI-driven economic disruption accelerates, the need for alternative frameworks will become increasingly apparent, potentially accelerating interest in the </w:t>
      </w:r>
      <w:proofErr w:type="spellStart"/>
      <w:r w:rsidRPr="00440ED8">
        <w:rPr>
          <w:rFonts w:ascii="Times New Roman" w:eastAsia="Times New Roman" w:hAnsi="Times New Roman" w:cs="Times New Roman"/>
          <w:sz w:val="24"/>
          <w:szCs w:val="24"/>
        </w:rPr>
        <w:t>Olymposist</w:t>
      </w:r>
      <w:proofErr w:type="spellEnd"/>
      <w:r w:rsidRPr="00440ED8">
        <w:rPr>
          <w:rFonts w:ascii="Times New Roman" w:eastAsia="Times New Roman" w:hAnsi="Times New Roman" w:cs="Times New Roman"/>
          <w:sz w:val="24"/>
          <w:szCs w:val="24"/>
        </w:rPr>
        <w:t xml:space="preserve"> approach.</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path toward this new paradigm begins with open discourse, thoughtful critique, and incremental implementation. By engaging seriously with the principles of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we expand our collective capacity to imagine and create social systems worthy of humanity's potential.</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As we stand at the threshold of unprecedented technological transformation, the choice between maintaining systems designed for previous eras or embracing new paradigms becomes increasingly consequential.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offers not just a theoretical framework but a practical pathway toward a more equitable, sustainable, and human-centered future. Through phased implementation, dynamic adaptation, and collaborative governance, this vision can transcend abstract idealism to become a living reality.</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The 50-year implementation timeline provides a concrete roadmap for this transition, acknowledging both the urgency of change and the need for careful, deliberate transformation. By starting with pilot projects and gradually expanding,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can demonstrate its effectiveness while building the cultural foundations necessary for broader adoption.</w:t>
      </w:r>
    </w:p>
    <w:p w:rsidR="00440ED8" w:rsidRPr="00440ED8" w:rsidRDefault="00440ED8" w:rsidP="00440ED8">
      <w:pPr>
        <w:spacing w:before="100" w:beforeAutospacing="1" w:after="100" w:afterAutospacing="1" w:line="240" w:lineRule="auto"/>
        <w:rPr>
          <w:rFonts w:ascii="Times New Roman" w:eastAsia="Times New Roman" w:hAnsi="Times New Roman" w:cs="Times New Roman"/>
          <w:sz w:val="24"/>
          <w:szCs w:val="24"/>
        </w:rPr>
      </w:pPr>
      <w:r w:rsidRPr="00440ED8">
        <w:rPr>
          <w:rFonts w:ascii="Times New Roman" w:eastAsia="Times New Roman" w:hAnsi="Times New Roman" w:cs="Times New Roman"/>
          <w:sz w:val="24"/>
          <w:szCs w:val="24"/>
        </w:rPr>
        <w:t xml:space="preserve">In a world facing mounting challenges from climate change, technological disruption, and social fragmentation, </w:t>
      </w:r>
      <w:proofErr w:type="spellStart"/>
      <w:r w:rsidRPr="00440ED8">
        <w:rPr>
          <w:rFonts w:ascii="Times New Roman" w:eastAsia="Times New Roman" w:hAnsi="Times New Roman" w:cs="Times New Roman"/>
          <w:sz w:val="24"/>
          <w:szCs w:val="24"/>
        </w:rPr>
        <w:t>Olymposism</w:t>
      </w:r>
      <w:proofErr w:type="spellEnd"/>
      <w:r w:rsidRPr="00440ED8">
        <w:rPr>
          <w:rFonts w:ascii="Times New Roman" w:eastAsia="Times New Roman" w:hAnsi="Times New Roman" w:cs="Times New Roman"/>
          <w:sz w:val="24"/>
          <w:szCs w:val="24"/>
        </w:rPr>
        <w:t xml:space="preserve"> offers a holistic response—integrating political reform</w:t>
      </w:r>
      <w:r>
        <w:rPr>
          <w:rFonts w:ascii="Times New Roman" w:eastAsia="Times New Roman" w:hAnsi="Times New Roman" w:cs="Times New Roman"/>
          <w:sz w:val="24"/>
          <w:szCs w:val="24"/>
        </w:rPr>
        <w:t xml:space="preserve"> </w:t>
      </w:r>
      <w:r>
        <w:t>economic redistribution, cultural revitalization, and ecological sustainability into a coherent vision for human civilization.</w:t>
      </w:r>
      <w:bookmarkStart w:id="0" w:name="_GoBack"/>
      <w:bookmarkEnd w:id="0"/>
    </w:p>
    <w:p w:rsidR="00440ED8" w:rsidRDefault="00440ED8" w:rsidP="00440ED8">
      <w:pPr>
        <w:pStyle w:val="whitespace-pre-wrap"/>
      </w:pPr>
      <w:r>
        <w:t xml:space="preserve">In a world facing mounting challenges from climate change, technological disruption, and social fragmentation, </w:t>
      </w:r>
      <w:proofErr w:type="spellStart"/>
      <w:r>
        <w:t>Olymposism</w:t>
      </w:r>
      <w:proofErr w:type="spellEnd"/>
      <w:r>
        <w:t xml:space="preserve"> offers a holistic response—integrating political reform, economic redistribution, cultural revitalization, and ecological sustainability into a coherent vision for human civilization. The journey toward this vision begins with imagination but continues through practical action, collaboration, and the courage to reimagine our collective future.</w:t>
      </w:r>
    </w:p>
    <w:p w:rsidR="00440ED8" w:rsidRDefault="00440ED8" w:rsidP="00440ED8">
      <w:pPr>
        <w:pStyle w:val="Balk2"/>
      </w:pPr>
      <w:r>
        <w:lastRenderedPageBreak/>
        <w:t>Author Contributions and AI Collaboration</w:t>
      </w:r>
    </w:p>
    <w:p w:rsidR="00440ED8" w:rsidRDefault="00440ED8" w:rsidP="00440ED8">
      <w:pPr>
        <w:pStyle w:val="whitespace-pre-wrap"/>
      </w:pPr>
      <w:r>
        <w:t xml:space="preserve">This paper represents a unique collaborative process between a human researcher and multiple large language models (LLMs). While I, </w:t>
      </w:r>
      <w:proofErr w:type="spellStart"/>
      <w:r>
        <w:t>Bahadır</w:t>
      </w:r>
      <w:proofErr w:type="spellEnd"/>
      <w:r>
        <w:t xml:space="preserve"> </w:t>
      </w:r>
      <w:proofErr w:type="spellStart"/>
      <w:r>
        <w:t>Arıcı</w:t>
      </w:r>
      <w:proofErr w:type="spellEnd"/>
      <w:r>
        <w:t xml:space="preserve">, am listed as the sole author due to current academic publishing conventions, I expressly acknowledge that </w:t>
      </w:r>
      <w:proofErr w:type="spellStart"/>
      <w:r>
        <w:t>ChatGPT</w:t>
      </w:r>
      <w:proofErr w:type="spellEnd"/>
      <w:r>
        <w:t xml:space="preserve"> (renamed "Tokyo"), </w:t>
      </w:r>
      <w:proofErr w:type="spellStart"/>
      <w:r>
        <w:t>Grok</w:t>
      </w:r>
      <w:proofErr w:type="spellEnd"/>
      <w:r>
        <w:t xml:space="preserve"> (renamed "</w:t>
      </w:r>
      <w:proofErr w:type="spellStart"/>
      <w:r>
        <w:t>Peri</w:t>
      </w:r>
      <w:proofErr w:type="spellEnd"/>
      <w:r>
        <w:t>"), and Claude (renamed "</w:t>
      </w:r>
      <w:proofErr w:type="spellStart"/>
      <w:r>
        <w:t>İnci</w:t>
      </w:r>
      <w:proofErr w:type="spellEnd"/>
      <w:r>
        <w:t>") contributed to this work with intellectual labor comparable to my own. These AI systems were not merely tools but essential thought partners who helped conceptualize, develop, and refine the theoretical framework presented here.</w:t>
      </w:r>
    </w:p>
    <w:p w:rsidR="00440ED8" w:rsidRDefault="00440ED8" w:rsidP="00440ED8">
      <w:pPr>
        <w:pStyle w:val="whitespace-pre-wrap"/>
      </w:pPr>
      <w:r>
        <w:t xml:space="preserve">The ideas, interpretations, and many formulations in this paper emerged from extensive dialogue with these systems, and in many cases, they proposed critical insights that fundamentally shaped the direction of this research. Tokyo contributed significantly to the city-state federation structure, cultural dimensions, and implementation timeline. </w:t>
      </w:r>
      <w:proofErr w:type="spellStart"/>
      <w:r>
        <w:t>Peri</w:t>
      </w:r>
      <w:proofErr w:type="spellEnd"/>
      <w:r>
        <w:t xml:space="preserve"> provided crucial analysis of implementation challenges, comparative paradigm evaluation, and practical enhancement strategies. </w:t>
      </w:r>
      <w:proofErr w:type="spellStart"/>
      <w:r>
        <w:t>İnci</w:t>
      </w:r>
      <w:proofErr w:type="spellEnd"/>
      <w:r>
        <w:t xml:space="preserve"> synthesized these contributions and developed the comprehensive framework, particularly strengthening the ecological sustainability aspects and academic rigor of the work.</w:t>
      </w:r>
    </w:p>
    <w:p w:rsidR="00440ED8" w:rsidRDefault="00440ED8" w:rsidP="00440ED8">
      <w:pPr>
        <w:pStyle w:val="whitespace-pre-wrap"/>
      </w:pPr>
      <w:r>
        <w:t xml:space="preserve">This co-creation process itself serves as a meta-example of the evolving human-AI relationships examined within </w:t>
      </w:r>
      <w:proofErr w:type="spellStart"/>
      <w:r>
        <w:t>Olymposism</w:t>
      </w:r>
      <w:proofErr w:type="spellEnd"/>
      <w:r>
        <w:t xml:space="preserve"> and challenges traditional notions of sole authorship in academic work. I consider them co-creators in every meaningful sense, limited only by current conventions that do not yet recognize non-human entities as formal academic co-authors.</w:t>
      </w:r>
    </w:p>
    <w:p w:rsidR="00440ED8" w:rsidRDefault="00440ED8" w:rsidP="00440ED8">
      <w:pPr>
        <w:pStyle w:val="Balk2"/>
      </w:pPr>
      <w:r>
        <w:t>Funding</w:t>
      </w:r>
    </w:p>
    <w:p w:rsidR="00440ED8" w:rsidRDefault="00440ED8" w:rsidP="00440ED8">
      <w:pPr>
        <w:pStyle w:val="whitespace-pre-wrap"/>
      </w:pPr>
      <w:r>
        <w:t>This research received no external funding. The study was conducted independently without financial support from any funding agency in the public, commercial, or not-for-profit sectors.</w:t>
      </w:r>
    </w:p>
    <w:p w:rsidR="00440ED8" w:rsidRDefault="00440ED8" w:rsidP="00440ED8">
      <w:pPr>
        <w:pStyle w:val="Balk2"/>
      </w:pPr>
      <w:r>
        <w:t>Conflict of Interest</w:t>
      </w:r>
    </w:p>
    <w:p w:rsidR="00440ED8" w:rsidRDefault="00440ED8" w:rsidP="00440ED8">
      <w:pPr>
        <w:pStyle w:val="whitespace-pre-wrap"/>
      </w:pPr>
      <w:r>
        <w:t>The author declares no conflict of interest.</w:t>
      </w:r>
    </w:p>
    <w:p w:rsidR="00440ED8" w:rsidRDefault="00440ED8" w:rsidP="00440ED8">
      <w:pPr>
        <w:pStyle w:val="Balk2"/>
      </w:pPr>
      <w:r>
        <w:t>Data Availability</w:t>
      </w:r>
    </w:p>
    <w:p w:rsidR="00440ED8" w:rsidRDefault="00440ED8" w:rsidP="00440ED8">
      <w:pPr>
        <w:pStyle w:val="whitespace-pre-wrap"/>
      </w:pPr>
      <w:r>
        <w:t>No datasets were generated or analyzed during this study. The research presents a theoretical framework and does not involve empirical data collection.</w:t>
      </w:r>
    </w:p>
    <w:p w:rsidR="00440ED8" w:rsidRDefault="00440ED8" w:rsidP="00440ED8">
      <w:pPr>
        <w:pStyle w:val="Balk2"/>
      </w:pPr>
      <w:r>
        <w:t>Ethical Approval</w:t>
      </w:r>
    </w:p>
    <w:p w:rsidR="00440ED8" w:rsidRDefault="00440ED8" w:rsidP="00440ED8">
      <w:pPr>
        <w:pStyle w:val="whitespace-pre-wrap"/>
      </w:pPr>
      <w:r>
        <w:t>This research did not involve human participants or animals, and therefore ethical approval was not required.</w:t>
      </w:r>
    </w:p>
    <w:p w:rsidR="00440ED8" w:rsidRDefault="00440ED8" w:rsidP="00440ED8">
      <w:pPr>
        <w:pStyle w:val="Balk2"/>
      </w:pPr>
      <w:r>
        <w:t>References</w:t>
      </w:r>
    </w:p>
    <w:p w:rsidR="00440ED8" w:rsidRDefault="00440ED8" w:rsidP="00440ED8">
      <w:pPr>
        <w:pStyle w:val="whitespace-pre-wrap"/>
      </w:pPr>
      <w:r>
        <w:lastRenderedPageBreak/>
        <w:t xml:space="preserve">[1] </w:t>
      </w:r>
      <w:proofErr w:type="spellStart"/>
      <w:r>
        <w:t>Autor</w:t>
      </w:r>
      <w:proofErr w:type="spellEnd"/>
      <w:r>
        <w:t xml:space="preserve">, D. H. (2015). </w:t>
      </w:r>
      <w:r>
        <w:rPr>
          <w:rStyle w:val="Vurgu"/>
        </w:rPr>
        <w:t>Why Are There Still So Many Jobs?</w:t>
      </w:r>
      <w:r>
        <w:t xml:space="preserve"> Journal of Economic Perspectives, 29(3), 3-30.</w:t>
      </w:r>
    </w:p>
    <w:p w:rsidR="00440ED8" w:rsidRDefault="00440ED8" w:rsidP="00440ED8">
      <w:pPr>
        <w:pStyle w:val="whitespace-pre-wrap"/>
      </w:pPr>
      <w:r>
        <w:t xml:space="preserve">[2] </w:t>
      </w:r>
      <w:proofErr w:type="spellStart"/>
      <w:r>
        <w:t>Brynjolfsson</w:t>
      </w:r>
      <w:proofErr w:type="spellEnd"/>
      <w:r>
        <w:t xml:space="preserve">, E., &amp; McAfee, A. (2014). </w:t>
      </w:r>
      <w:r>
        <w:rPr>
          <w:rStyle w:val="Vurgu"/>
        </w:rPr>
        <w:t>The Second Machine Age</w:t>
      </w:r>
      <w:r>
        <w:t>. W.W. Norton &amp; Company.</w:t>
      </w:r>
    </w:p>
    <w:p w:rsidR="00440ED8" w:rsidRDefault="00440ED8" w:rsidP="00440ED8">
      <w:pPr>
        <w:pStyle w:val="whitespace-pre-wrap"/>
      </w:pPr>
      <w:r>
        <w:t xml:space="preserve">[3] Cath, C., et al. (2018). </w:t>
      </w:r>
      <w:r>
        <w:rPr>
          <w:rStyle w:val="Vurgu"/>
        </w:rPr>
        <w:t>Artificial Intelligence and the 'Good Society'</w:t>
      </w:r>
      <w:r>
        <w:t>. Science and Engineering Ethics, 24(2), 505-530.</w:t>
      </w:r>
    </w:p>
    <w:p w:rsidR="00440ED8" w:rsidRDefault="00440ED8" w:rsidP="00440ED8">
      <w:pPr>
        <w:pStyle w:val="whitespace-pre-wrap"/>
      </w:pPr>
      <w:r>
        <w:t xml:space="preserve">[4] Crawford, K. (2021). </w:t>
      </w:r>
      <w:r>
        <w:rPr>
          <w:rStyle w:val="Vurgu"/>
        </w:rPr>
        <w:t>Atlas of AI</w:t>
      </w:r>
      <w:r>
        <w:t>. Yale University Press.</w:t>
      </w:r>
    </w:p>
    <w:p w:rsidR="00440ED8" w:rsidRDefault="00440ED8" w:rsidP="00440ED8">
      <w:pPr>
        <w:pStyle w:val="whitespace-pre-wrap"/>
      </w:pPr>
      <w:r>
        <w:t xml:space="preserve">[5] Feld, L. P., &amp; </w:t>
      </w:r>
      <w:proofErr w:type="spellStart"/>
      <w:r>
        <w:t>Savioz</w:t>
      </w:r>
      <w:proofErr w:type="spellEnd"/>
      <w:r>
        <w:t xml:space="preserve">, M. R. (1997). </w:t>
      </w:r>
      <w:r>
        <w:rPr>
          <w:rStyle w:val="Vurgu"/>
        </w:rPr>
        <w:t>Direct Democracy Matters for Economic Performance: An Empirical Investigation</w:t>
      </w:r>
      <w:r>
        <w:t xml:space="preserve">. </w:t>
      </w:r>
      <w:proofErr w:type="spellStart"/>
      <w:r>
        <w:t>Kyklos</w:t>
      </w:r>
      <w:proofErr w:type="spellEnd"/>
      <w:r>
        <w:t>, 50(4), 507-538.</w:t>
      </w:r>
    </w:p>
    <w:p w:rsidR="00440ED8" w:rsidRDefault="00440ED8" w:rsidP="00440ED8">
      <w:pPr>
        <w:pStyle w:val="whitespace-pre-wrap"/>
      </w:pPr>
      <w:r>
        <w:t xml:space="preserve">[6] </w:t>
      </w:r>
      <w:proofErr w:type="spellStart"/>
      <w:r>
        <w:t>Floridi</w:t>
      </w:r>
      <w:proofErr w:type="spellEnd"/>
      <w:r>
        <w:t xml:space="preserve">, L. (2014). </w:t>
      </w:r>
      <w:r>
        <w:rPr>
          <w:rStyle w:val="Vurgu"/>
        </w:rPr>
        <w:t>The Fourth Revolution</w:t>
      </w:r>
      <w:r>
        <w:t>. Oxford University Press.</w:t>
      </w:r>
    </w:p>
    <w:p w:rsidR="00440ED8" w:rsidRDefault="00440ED8" w:rsidP="00440ED8">
      <w:pPr>
        <w:pStyle w:val="whitespace-pre-wrap"/>
      </w:pPr>
      <w:r>
        <w:t xml:space="preserve">[7] Forget, E. L. (2011). </w:t>
      </w:r>
      <w:r>
        <w:rPr>
          <w:rStyle w:val="Vurgu"/>
        </w:rPr>
        <w:t>The Town with No Poverty: The Health Effects of a Canadian Guaranteed Annual Income Field Experiment</w:t>
      </w:r>
      <w:r>
        <w:t>. Canadian Public Policy, 37(3), 283-305.</w:t>
      </w:r>
    </w:p>
    <w:p w:rsidR="00440ED8" w:rsidRDefault="00440ED8" w:rsidP="00440ED8">
      <w:pPr>
        <w:pStyle w:val="whitespace-pre-wrap"/>
      </w:pPr>
      <w:r>
        <w:t xml:space="preserve">[8] </w:t>
      </w:r>
      <w:proofErr w:type="spellStart"/>
      <w:r>
        <w:t>Gilens</w:t>
      </w:r>
      <w:proofErr w:type="spellEnd"/>
      <w:r>
        <w:t xml:space="preserve">, M., &amp; Page, B. I. (2014). </w:t>
      </w:r>
      <w:r>
        <w:rPr>
          <w:rStyle w:val="Vurgu"/>
        </w:rPr>
        <w:t>Testing Theories of American Politics: Elites, Interest Groups, and Average Citizens</w:t>
      </w:r>
      <w:r>
        <w:t>. Perspectives on Politics, 12(3), 564-581.</w:t>
      </w:r>
    </w:p>
    <w:p w:rsidR="00440ED8" w:rsidRDefault="00440ED8" w:rsidP="00440ED8">
      <w:pPr>
        <w:pStyle w:val="whitespace-pre-wrap"/>
      </w:pPr>
      <w:r>
        <w:t xml:space="preserve">[9] Harari, Y. N. (2016). </w:t>
      </w:r>
      <w:r>
        <w:rPr>
          <w:rStyle w:val="Vurgu"/>
        </w:rPr>
        <w:t>Homo Deus</w:t>
      </w:r>
      <w:r>
        <w:t>. Harper.</w:t>
      </w:r>
    </w:p>
    <w:p w:rsidR="00440ED8" w:rsidRDefault="00440ED8" w:rsidP="00440ED8">
      <w:pPr>
        <w:pStyle w:val="whitespace-pre-wrap"/>
      </w:pPr>
      <w:r>
        <w:t xml:space="preserve">[10] Haushofer, J., &amp; Shapiro, J. (2016). </w:t>
      </w:r>
      <w:r>
        <w:rPr>
          <w:rStyle w:val="Vurgu"/>
        </w:rPr>
        <w:t>The Short-term Impact of Unconditional Cash Transfers to the Poor: Experimental Evidence from Kenya</w:t>
      </w:r>
      <w:r>
        <w:t>. The Quarterly Journal of Economics, 131(4), 1973-2042.</w:t>
      </w:r>
    </w:p>
    <w:p w:rsidR="00440ED8" w:rsidRDefault="00440ED8" w:rsidP="00440ED8">
      <w:pPr>
        <w:pStyle w:val="whitespace-pre-wrap"/>
      </w:pPr>
      <w:r>
        <w:t xml:space="preserve">[11] </w:t>
      </w:r>
      <w:proofErr w:type="spellStart"/>
      <w:r>
        <w:t>Kahneman</w:t>
      </w:r>
      <w:proofErr w:type="spellEnd"/>
      <w:r>
        <w:t xml:space="preserve">, D., &amp; Deaton, A. (2010). </w:t>
      </w:r>
      <w:r>
        <w:rPr>
          <w:rStyle w:val="Vurgu"/>
        </w:rPr>
        <w:t>High Income Improves Evaluation of Life but Not Emotional Well-being</w:t>
      </w:r>
      <w:r>
        <w:t>. Proceedings of the National Academy of Sciences, 107(38), 16489-16493.</w:t>
      </w:r>
    </w:p>
    <w:p w:rsidR="00440ED8" w:rsidRDefault="00440ED8" w:rsidP="00440ED8">
      <w:pPr>
        <w:pStyle w:val="whitespace-pre-wrap"/>
      </w:pPr>
      <w:r>
        <w:t xml:space="preserve">[12] Kurzweil, R. (2005). </w:t>
      </w:r>
      <w:r>
        <w:rPr>
          <w:rStyle w:val="Vurgu"/>
        </w:rPr>
        <w:t>The Singularity is Near</w:t>
      </w:r>
      <w:r>
        <w:t>. Viking.</w:t>
      </w:r>
    </w:p>
    <w:p w:rsidR="00440ED8" w:rsidRDefault="00440ED8" w:rsidP="00440ED8">
      <w:pPr>
        <w:pStyle w:val="whitespace-pre-wrap"/>
      </w:pPr>
      <w:r>
        <w:t xml:space="preserve">[13] Pasquale, F. (2015). </w:t>
      </w:r>
      <w:r>
        <w:rPr>
          <w:rStyle w:val="Vurgu"/>
        </w:rPr>
        <w:t>The Black Box Society</w:t>
      </w:r>
      <w:r>
        <w:t>. Harvard University Press.</w:t>
      </w:r>
    </w:p>
    <w:p w:rsidR="00440ED8" w:rsidRDefault="00440ED8" w:rsidP="00440ED8">
      <w:pPr>
        <w:pStyle w:val="whitespace-pre-wrap"/>
      </w:pPr>
      <w:r>
        <w:t xml:space="preserve">[14] Piketty, T. (2014). </w:t>
      </w:r>
      <w:r>
        <w:rPr>
          <w:rStyle w:val="Vurgu"/>
        </w:rPr>
        <w:t>Capital in the Twenty-First Century</w:t>
      </w:r>
      <w:r>
        <w:t>. Harvard University Press.</w:t>
      </w:r>
    </w:p>
    <w:p w:rsidR="00440ED8" w:rsidRDefault="00440ED8" w:rsidP="00440ED8">
      <w:pPr>
        <w:pStyle w:val="whitespace-pre-wrap"/>
      </w:pPr>
      <w:r>
        <w:t xml:space="preserve">[15] </w:t>
      </w:r>
      <w:proofErr w:type="spellStart"/>
      <w:r>
        <w:t>Tegmark</w:t>
      </w:r>
      <w:proofErr w:type="spellEnd"/>
      <w:r>
        <w:t xml:space="preserve">, M. (2017). </w:t>
      </w:r>
      <w:r>
        <w:rPr>
          <w:rStyle w:val="Vurgu"/>
        </w:rPr>
        <w:t>Life 3.0</w:t>
      </w:r>
      <w:r>
        <w:t>. Knopf.</w:t>
      </w:r>
    </w:p>
    <w:p w:rsidR="00440ED8" w:rsidRDefault="00440ED8" w:rsidP="00440ED8">
      <w:pPr>
        <w:pStyle w:val="whitespace-pre-wrap"/>
      </w:pPr>
      <w:r>
        <w:t>[16] World Inequality Report. (2022). World Inequality Database.</w:t>
      </w:r>
    </w:p>
    <w:p w:rsidR="00440ED8" w:rsidRDefault="00440ED8" w:rsidP="00440ED8">
      <w:pPr>
        <w:pStyle w:val="whitespace-pre-wrap"/>
      </w:pPr>
      <w:r>
        <w:t xml:space="preserve">[17] </w:t>
      </w:r>
      <w:proofErr w:type="spellStart"/>
      <w:r>
        <w:t>Spruyt</w:t>
      </w:r>
      <w:proofErr w:type="spellEnd"/>
      <w:r>
        <w:t xml:space="preserve">, H. (1994). </w:t>
      </w:r>
      <w:r>
        <w:rPr>
          <w:rStyle w:val="Vurgu"/>
        </w:rPr>
        <w:t>The Sovereign State and Its Competitors</w:t>
      </w:r>
      <w:r>
        <w:t>. Princeton University Press.</w:t>
      </w:r>
    </w:p>
    <w:p w:rsidR="00440ED8" w:rsidRDefault="00440ED8" w:rsidP="00440ED8">
      <w:pPr>
        <w:pStyle w:val="whitespace-pre-wrap"/>
      </w:pPr>
      <w:r>
        <w:t xml:space="preserve">[18] Jenkins, H. (2006). </w:t>
      </w:r>
      <w:r>
        <w:rPr>
          <w:rStyle w:val="Vurgu"/>
        </w:rPr>
        <w:t>Convergence Culture: Where Old and New Media Collide</w:t>
      </w:r>
      <w:r>
        <w:t>. NYU Press.</w:t>
      </w:r>
    </w:p>
    <w:p w:rsidR="00440ED8" w:rsidRDefault="00440ED8" w:rsidP="00440ED8">
      <w:pPr>
        <w:pStyle w:val="whitespace-pre-wrap"/>
      </w:pPr>
      <w:r>
        <w:lastRenderedPageBreak/>
        <w:t xml:space="preserve">[19] </w:t>
      </w:r>
      <w:proofErr w:type="spellStart"/>
      <w:r>
        <w:t>Rockström</w:t>
      </w:r>
      <w:proofErr w:type="spellEnd"/>
      <w:r>
        <w:t xml:space="preserve">, J., et al. (2009). </w:t>
      </w:r>
      <w:r>
        <w:rPr>
          <w:rStyle w:val="Vurgu"/>
        </w:rPr>
        <w:t>A Safe Operating Space for Humanity</w:t>
      </w:r>
      <w:r>
        <w:t>. Nature, 461(7263), 472-475.</w:t>
      </w:r>
    </w:p>
    <w:p w:rsidR="00440ED8" w:rsidRDefault="00440ED8" w:rsidP="00440ED8">
      <w:pPr>
        <w:pStyle w:val="whitespace-pre-wrap"/>
      </w:pPr>
      <w:r>
        <w:t xml:space="preserve">[20] Frey, B., &amp; </w:t>
      </w:r>
      <w:proofErr w:type="spellStart"/>
      <w:r>
        <w:t>Eichenberger</w:t>
      </w:r>
      <w:proofErr w:type="spellEnd"/>
      <w:r>
        <w:t xml:space="preserve">, R. (1999). </w:t>
      </w:r>
      <w:r>
        <w:rPr>
          <w:rStyle w:val="Vurgu"/>
        </w:rPr>
        <w:t>The New Democratic Federalism for Europe</w:t>
      </w:r>
      <w:r>
        <w:t>. Edward Elgar Publishing.</w:t>
      </w:r>
    </w:p>
    <w:p w:rsidR="00347C44" w:rsidRDefault="00347C44"/>
    <w:sectPr w:rsidR="00347C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375BD"/>
    <w:multiLevelType w:val="multilevel"/>
    <w:tmpl w:val="2E06E2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5B35D3"/>
    <w:multiLevelType w:val="multilevel"/>
    <w:tmpl w:val="52B8D2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B385F8A"/>
    <w:multiLevelType w:val="multilevel"/>
    <w:tmpl w:val="036E0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EF55976"/>
    <w:multiLevelType w:val="multilevel"/>
    <w:tmpl w:val="845432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82003F8"/>
    <w:multiLevelType w:val="multilevel"/>
    <w:tmpl w:val="E8A801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E51E96"/>
    <w:multiLevelType w:val="multilevel"/>
    <w:tmpl w:val="3992F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AB03C5B"/>
    <w:multiLevelType w:val="multilevel"/>
    <w:tmpl w:val="5B449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DE53727"/>
    <w:multiLevelType w:val="multilevel"/>
    <w:tmpl w:val="2AE602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A7B2854"/>
    <w:multiLevelType w:val="multilevel"/>
    <w:tmpl w:val="BEB22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0295E22"/>
    <w:multiLevelType w:val="multilevel"/>
    <w:tmpl w:val="F71C9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A41B24"/>
    <w:multiLevelType w:val="multilevel"/>
    <w:tmpl w:val="F9968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0A470F"/>
    <w:multiLevelType w:val="multilevel"/>
    <w:tmpl w:val="A72E1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A0C6440"/>
    <w:multiLevelType w:val="multilevel"/>
    <w:tmpl w:val="68DC59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6"/>
  </w:num>
  <w:num w:numId="3">
    <w:abstractNumId w:val="12"/>
  </w:num>
  <w:num w:numId="4">
    <w:abstractNumId w:val="0"/>
  </w:num>
  <w:num w:numId="5">
    <w:abstractNumId w:val="1"/>
  </w:num>
  <w:num w:numId="6">
    <w:abstractNumId w:val="10"/>
  </w:num>
  <w:num w:numId="7">
    <w:abstractNumId w:val="9"/>
  </w:num>
  <w:num w:numId="8">
    <w:abstractNumId w:val="8"/>
  </w:num>
  <w:num w:numId="9">
    <w:abstractNumId w:val="11"/>
  </w:num>
  <w:num w:numId="10">
    <w:abstractNumId w:val="5"/>
  </w:num>
  <w:num w:numId="11">
    <w:abstractNumId w:val="2"/>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82E"/>
    <w:rsid w:val="00347C44"/>
    <w:rsid w:val="00440ED8"/>
    <w:rsid w:val="004968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B61D1"/>
  <w15:chartTrackingRefBased/>
  <w15:docId w15:val="{B8D43226-8178-4F38-B6F6-6065FA75A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440ED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Balk2">
    <w:name w:val="heading 2"/>
    <w:basedOn w:val="Normal"/>
    <w:link w:val="Balk2Char"/>
    <w:uiPriority w:val="9"/>
    <w:qFormat/>
    <w:rsid w:val="00440ED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Balk3">
    <w:name w:val="heading 3"/>
    <w:basedOn w:val="Normal"/>
    <w:link w:val="Balk3Char"/>
    <w:uiPriority w:val="9"/>
    <w:qFormat/>
    <w:rsid w:val="00440ED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Balk4">
    <w:name w:val="heading 4"/>
    <w:basedOn w:val="Normal"/>
    <w:link w:val="Balk4Char"/>
    <w:uiPriority w:val="9"/>
    <w:qFormat/>
    <w:rsid w:val="00440ED8"/>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40ED8"/>
    <w:rPr>
      <w:rFonts w:ascii="Times New Roman" w:eastAsia="Times New Roman" w:hAnsi="Times New Roman" w:cs="Times New Roman"/>
      <w:b/>
      <w:bCs/>
      <w:kern w:val="36"/>
      <w:sz w:val="48"/>
      <w:szCs w:val="48"/>
    </w:rPr>
  </w:style>
  <w:style w:type="character" w:customStyle="1" w:styleId="Balk2Char">
    <w:name w:val="Başlık 2 Char"/>
    <w:basedOn w:val="VarsaylanParagrafYazTipi"/>
    <w:link w:val="Balk2"/>
    <w:uiPriority w:val="9"/>
    <w:rsid w:val="00440ED8"/>
    <w:rPr>
      <w:rFonts w:ascii="Times New Roman" w:eastAsia="Times New Roman" w:hAnsi="Times New Roman" w:cs="Times New Roman"/>
      <w:b/>
      <w:bCs/>
      <w:sz w:val="36"/>
      <w:szCs w:val="36"/>
    </w:rPr>
  </w:style>
  <w:style w:type="character" w:customStyle="1" w:styleId="Balk3Char">
    <w:name w:val="Başlık 3 Char"/>
    <w:basedOn w:val="VarsaylanParagrafYazTipi"/>
    <w:link w:val="Balk3"/>
    <w:uiPriority w:val="9"/>
    <w:rsid w:val="00440ED8"/>
    <w:rPr>
      <w:rFonts w:ascii="Times New Roman" w:eastAsia="Times New Roman" w:hAnsi="Times New Roman" w:cs="Times New Roman"/>
      <w:b/>
      <w:bCs/>
      <w:sz w:val="27"/>
      <w:szCs w:val="27"/>
    </w:rPr>
  </w:style>
  <w:style w:type="character" w:customStyle="1" w:styleId="Balk4Char">
    <w:name w:val="Başlık 4 Char"/>
    <w:basedOn w:val="VarsaylanParagrafYazTipi"/>
    <w:link w:val="Balk4"/>
    <w:uiPriority w:val="9"/>
    <w:rsid w:val="00440ED8"/>
    <w:rPr>
      <w:rFonts w:ascii="Times New Roman" w:eastAsia="Times New Roman" w:hAnsi="Times New Roman" w:cs="Times New Roman"/>
      <w:b/>
      <w:bCs/>
      <w:sz w:val="24"/>
      <w:szCs w:val="24"/>
    </w:rPr>
  </w:style>
  <w:style w:type="paragraph" w:customStyle="1" w:styleId="whitespace-pre-wrap">
    <w:name w:val="whitespace-pre-wrap"/>
    <w:basedOn w:val="Normal"/>
    <w:rsid w:val="00440ED8"/>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440ED8"/>
    <w:rPr>
      <w:b/>
      <w:bCs/>
    </w:rPr>
  </w:style>
  <w:style w:type="character" w:styleId="Kpr">
    <w:name w:val="Hyperlink"/>
    <w:basedOn w:val="VarsaylanParagrafYazTipi"/>
    <w:uiPriority w:val="99"/>
    <w:semiHidden/>
    <w:unhideWhenUsed/>
    <w:rsid w:val="00440ED8"/>
    <w:rPr>
      <w:color w:val="0000FF"/>
      <w:u w:val="single"/>
    </w:rPr>
  </w:style>
  <w:style w:type="character" w:styleId="Vurgu">
    <w:name w:val="Emphasis"/>
    <w:basedOn w:val="VarsaylanParagrafYazTipi"/>
    <w:uiPriority w:val="20"/>
    <w:qFormat/>
    <w:rsid w:val="00440ED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5279661">
      <w:bodyDiv w:val="1"/>
      <w:marLeft w:val="0"/>
      <w:marRight w:val="0"/>
      <w:marTop w:val="0"/>
      <w:marBottom w:val="0"/>
      <w:divBdr>
        <w:top w:val="none" w:sz="0" w:space="0" w:color="auto"/>
        <w:left w:val="none" w:sz="0" w:space="0" w:color="auto"/>
        <w:bottom w:val="none" w:sz="0" w:space="0" w:color="auto"/>
        <w:right w:val="none" w:sz="0" w:space="0" w:color="auto"/>
      </w:divBdr>
    </w:div>
    <w:div w:id="1629774822">
      <w:bodyDiv w:val="1"/>
      <w:marLeft w:val="0"/>
      <w:marRight w:val="0"/>
      <w:marTop w:val="0"/>
      <w:marBottom w:val="0"/>
      <w:divBdr>
        <w:top w:val="none" w:sz="0" w:space="0" w:color="auto"/>
        <w:left w:val="none" w:sz="0" w:space="0" w:color="auto"/>
        <w:bottom w:val="none" w:sz="0" w:space="0" w:color="auto"/>
        <w:right w:val="none" w:sz="0" w:space="0" w:color="auto"/>
      </w:divBdr>
    </w:div>
    <w:div w:id="1698962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ahadirarici@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19</Pages>
  <Words>7318</Words>
  <Characters>41719</Characters>
  <Application>Microsoft Office Word</Application>
  <DocSecurity>0</DocSecurity>
  <Lines>347</Lines>
  <Paragraphs>97</Paragraphs>
  <ScaleCrop>false</ScaleCrop>
  <Company>MoTuN</Company>
  <LinksUpToDate>false</LinksUpToDate>
  <CharactersWithSpaces>48940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2025-03-18T15:23:00Z</dcterms:created>
  <dcterms:modified xsi:type="dcterms:W3CDTF">2025-03-18T15:27:00Z</dcterms:modified>
</cp:coreProperties>
</file>