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C99">
    <v:background id="_x0000_s1025" o:bwmode="white" fillcolor="#fc9">
      <v:fill r:id="rId4" o:title="Papiro" type="tile"/>
    </v:background>
  </w:background>
  <w:body>
    <w:p w:rsidR="007205FF" w:rsidRPr="004F4E91" w:rsidRDefault="00AF7BE4" w:rsidP="00AF7BE4">
      <w:pPr>
        <w:spacing w:after="100" w:afterAutospacing="1" w:line="480" w:lineRule="auto"/>
        <w:ind w:right="340"/>
      </w:pPr>
      <w:r>
        <w:object w:dxaOrig="6135" w:dyaOrig="9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pt;height:460.5pt" o:ole="">
            <v:imagedata r:id="rId9" o:title=""/>
          </v:shape>
          <o:OLEObject Type="Embed" ProgID="Photoshop.Image.13" ShapeID="_x0000_i1026" DrawAspect="Content" ObjectID="_1638819405" r:id="rId10">
            <o:FieldCodes>\s</o:FieldCodes>
          </o:OLEObject>
        </w:object>
      </w:r>
    </w:p>
    <w:p w:rsidR="008D0320" w:rsidRPr="004F4E91" w:rsidRDefault="008D0320" w:rsidP="008D0320">
      <w:pPr>
        <w:spacing w:line="240" w:lineRule="auto"/>
        <w:jc w:val="center"/>
        <w:rPr>
          <w:rFonts w:ascii="Copperplate Gothic Bold" w:hAnsi="Copperplate Gothic Bold"/>
          <w:sz w:val="32"/>
          <w:szCs w:val="32"/>
          <w:lang w:val="en-US"/>
        </w:rPr>
      </w:pPr>
      <w:r w:rsidRPr="004F4E91">
        <w:rPr>
          <w:rFonts w:ascii="Copperplate Gothic Bold" w:hAnsi="Copperplate Gothic Bold"/>
          <w:sz w:val="32"/>
          <w:szCs w:val="32"/>
          <w:lang w:val="en-US"/>
        </w:rPr>
        <w:t>MORAL ARCHETYPES: ETHICS IN PREHISTORY</w:t>
      </w: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3069FA">
      <w:pPr>
        <w:spacing w:line="240" w:lineRule="auto"/>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r w:rsidRPr="004F4E91">
        <w:rPr>
          <w:rFonts w:ascii="Century Gothic" w:hAnsi="Century Gothic"/>
          <w:sz w:val="20"/>
          <w:szCs w:val="20"/>
          <w:lang w:val="en-US"/>
        </w:rPr>
        <w:t>Roberto Thomas Arruda, D. Phil.</w:t>
      </w:r>
    </w:p>
    <w:p w:rsidR="008D0320" w:rsidRPr="004F4E91" w:rsidRDefault="008D0320" w:rsidP="008D0320">
      <w:pPr>
        <w:spacing w:line="240" w:lineRule="auto"/>
        <w:jc w:val="center"/>
        <w:rPr>
          <w:rFonts w:ascii="Century Gothic" w:hAnsi="Century Gothic"/>
          <w:sz w:val="20"/>
          <w:szCs w:val="20"/>
          <w:lang w:val="en-US"/>
        </w:rPr>
      </w:pPr>
      <w:r w:rsidRPr="004F4E91">
        <w:rPr>
          <w:rFonts w:ascii="Century Gothic" w:hAnsi="Century Gothic"/>
          <w:sz w:val="20"/>
          <w:szCs w:val="20"/>
          <w:lang w:val="en-US"/>
        </w:rPr>
        <w:t>2019</w:t>
      </w:r>
    </w:p>
    <w:p w:rsidR="008D0320" w:rsidRPr="004F4E91" w:rsidRDefault="008D0320" w:rsidP="008D0320">
      <w:pPr>
        <w:spacing w:line="240" w:lineRule="auto"/>
        <w:jc w:val="center"/>
        <w:rPr>
          <w:rFonts w:ascii="Century Gothic" w:hAnsi="Century Gothic"/>
          <w:sz w:val="20"/>
          <w:szCs w:val="20"/>
          <w:lang w:val="en-US"/>
        </w:rPr>
      </w:pPr>
    </w:p>
    <w:p w:rsidR="008D0320" w:rsidRPr="004F4E91" w:rsidRDefault="008D0320" w:rsidP="008D0320">
      <w:pPr>
        <w:spacing w:line="240" w:lineRule="auto"/>
        <w:jc w:val="center"/>
        <w:rPr>
          <w:rFonts w:ascii="Century Gothic" w:hAnsi="Century Gothic"/>
          <w:sz w:val="20"/>
          <w:szCs w:val="20"/>
          <w:lang w:val="en-US"/>
        </w:rPr>
      </w:pPr>
      <w:r w:rsidRPr="004F4E91">
        <w:rPr>
          <w:rFonts w:ascii="Century Gothic" w:hAnsi="Century Gothic" w:cs="Arial"/>
          <w:noProof/>
          <w:sz w:val="20"/>
          <w:szCs w:val="20"/>
          <w:lang w:eastAsia="pt-BR"/>
        </w:rPr>
        <w:drawing>
          <wp:inline distT="0" distB="0" distL="0" distR="0" wp14:anchorId="40D86EF8" wp14:editId="4A2603C0">
            <wp:extent cx="1139190" cy="575718"/>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774" cy="613916"/>
                    </a:xfrm>
                    <a:prstGeom prst="rect">
                      <a:avLst/>
                    </a:prstGeom>
                  </pic:spPr>
                </pic:pic>
              </a:graphicData>
            </a:graphic>
          </wp:inline>
        </w:drawing>
      </w:r>
    </w:p>
    <w:p w:rsidR="008D0320" w:rsidRDefault="008D0320" w:rsidP="008D0320">
      <w:pPr>
        <w:spacing w:line="240" w:lineRule="auto"/>
        <w:jc w:val="center"/>
        <w:rPr>
          <w:rFonts w:cstheme="minorHAnsi"/>
          <w:sz w:val="16"/>
          <w:szCs w:val="16"/>
          <w:u w:val="single"/>
          <w:lang w:val="en-US"/>
        </w:rPr>
      </w:pPr>
      <w:r w:rsidRPr="004F4E91">
        <w:rPr>
          <w:rFonts w:cstheme="minorHAnsi"/>
          <w:sz w:val="16"/>
          <w:szCs w:val="16"/>
          <w:lang w:val="en-US"/>
        </w:rPr>
        <w:t xml:space="preserve">(+55) 11 98381 3956    </w:t>
      </w:r>
      <w:hyperlink r:id="rId12" w:history="1">
        <w:r w:rsidRPr="004F4E91">
          <w:rPr>
            <w:rFonts w:cstheme="minorHAnsi"/>
            <w:sz w:val="16"/>
            <w:szCs w:val="16"/>
            <w:u w:val="single"/>
            <w:lang w:val="en-US"/>
          </w:rPr>
          <w:t>terra@vista.com.br</w:t>
        </w:r>
      </w:hyperlink>
    </w:p>
    <w:p w:rsidR="003069FA" w:rsidRDefault="003069FA">
      <w:pPr>
        <w:rPr>
          <w:rFonts w:cstheme="minorHAnsi"/>
          <w:sz w:val="16"/>
          <w:szCs w:val="16"/>
          <w:u w:val="single"/>
          <w:lang w:val="en-US"/>
        </w:rPr>
      </w:pPr>
      <w:r>
        <w:rPr>
          <w:rFonts w:cstheme="minorHAnsi"/>
          <w:sz w:val="16"/>
          <w:szCs w:val="16"/>
          <w:u w:val="single"/>
          <w:lang w:val="en-US"/>
        </w:rPr>
        <w:br w:type="page"/>
      </w:r>
    </w:p>
    <w:p w:rsidR="008D0320" w:rsidRPr="004F4E91" w:rsidRDefault="008D0320" w:rsidP="008D0320">
      <w:pPr>
        <w:rPr>
          <w:rFonts w:ascii="Century Gothic" w:hAnsi="Century Gothic"/>
          <w:sz w:val="20"/>
          <w:szCs w:val="20"/>
          <w:lang w:val="en-US"/>
        </w:rPr>
      </w:pPr>
    </w:p>
    <w:p w:rsidR="008D0320" w:rsidRPr="004F4E91" w:rsidRDefault="008D0320" w:rsidP="008D0320">
      <w:pPr>
        <w:rPr>
          <w:rFonts w:ascii="Copperplate Gothic Bold" w:eastAsia="Adobe Fangsong Std R" w:hAnsi="Copperplate Gothic Bold" w:cs="Arial"/>
          <w:b/>
          <w:bCs/>
          <w:sz w:val="32"/>
          <w:szCs w:val="32"/>
          <w:lang w:val="en-US"/>
        </w:rPr>
      </w:pPr>
    </w:p>
    <w:p w:rsidR="008D0320" w:rsidRPr="004F4E91" w:rsidRDefault="008D0320" w:rsidP="008D0320">
      <w:pPr>
        <w:spacing w:line="240" w:lineRule="auto"/>
        <w:rPr>
          <w:rFonts w:ascii="Copperplate Gothic Bold" w:eastAsia="Adobe Fangsong Std R" w:hAnsi="Copperplate Gothic Bold" w:cs="Arial"/>
          <w:b/>
          <w:bCs/>
          <w:sz w:val="32"/>
          <w:szCs w:val="32"/>
          <w:lang w:val="en-US"/>
        </w:rPr>
      </w:pPr>
      <w:r w:rsidRPr="004F4E91">
        <w:rPr>
          <w:rFonts w:ascii="Copperplate Gothic Bold" w:eastAsia="Adobe Fangsong Std R" w:hAnsi="Copperplate Gothic Bold" w:cs="Arial"/>
          <w:b/>
          <w:bCs/>
          <w:sz w:val="32"/>
          <w:szCs w:val="32"/>
          <w:lang w:val="en-US"/>
        </w:rPr>
        <w:t>TABLE OF CONTENTS</w:t>
      </w:r>
    </w:p>
    <w:p w:rsidR="008D0320" w:rsidRPr="004F4E91" w:rsidRDefault="008D0320" w:rsidP="008D0320">
      <w:pPr>
        <w:spacing w:line="240" w:lineRule="auto"/>
        <w:jc w:val="both"/>
        <w:rPr>
          <w:rFonts w:ascii="Century Gothic" w:hAnsi="Century Gothic" w:cs="Arial"/>
          <w:sz w:val="20"/>
          <w:szCs w:val="20"/>
          <w:lang w:val="en-US"/>
        </w:rPr>
      </w:pP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Table of Contents</w:t>
      </w:r>
      <w:r w:rsidRPr="004F4E91">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7205FF">
        <w:rPr>
          <w:rFonts w:ascii="Century Gothic" w:hAnsi="Century Gothic" w:cs="Arial"/>
          <w:sz w:val="20"/>
          <w:szCs w:val="20"/>
          <w:lang w:val="en-US"/>
        </w:rPr>
        <w:t>3</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Acknowledgments</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7205FF">
        <w:rPr>
          <w:rFonts w:ascii="Century Gothic" w:hAnsi="Century Gothic" w:cs="Arial"/>
          <w:sz w:val="20"/>
          <w:szCs w:val="20"/>
          <w:lang w:val="en-US"/>
        </w:rPr>
        <w:t>6</w:t>
      </w:r>
    </w:p>
    <w:p w:rsidR="001620ED"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Remarks</w:t>
      </w:r>
      <w:r w:rsidRPr="004F4E91">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7205FF">
        <w:rPr>
          <w:rFonts w:ascii="Century Gothic" w:hAnsi="Century Gothic" w:cs="Arial"/>
          <w:sz w:val="20"/>
          <w:szCs w:val="20"/>
          <w:lang w:val="en-US"/>
        </w:rPr>
        <w:t>7</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 xml:space="preserve">Abstract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7205FF">
        <w:rPr>
          <w:rFonts w:ascii="Century Gothic" w:hAnsi="Century Gothic" w:cs="Arial"/>
          <w:sz w:val="20"/>
          <w:szCs w:val="20"/>
          <w:lang w:val="en-US"/>
        </w:rPr>
        <w:t>8</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I</w:t>
      </w:r>
      <w:r w:rsidRPr="004F4E91">
        <w:rPr>
          <w:rFonts w:ascii="Century Gothic" w:hAnsi="Century Gothic" w:cs="Arial"/>
          <w:sz w:val="20"/>
          <w:szCs w:val="20"/>
          <w:lang w:val="en-US"/>
        </w:rPr>
        <w:t xml:space="preserve"> – Introduction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1</w:t>
      </w:r>
      <w:r w:rsidR="007205FF">
        <w:rPr>
          <w:rFonts w:ascii="Century Gothic" w:hAnsi="Century Gothic" w:cs="Arial"/>
          <w:sz w:val="20"/>
          <w:szCs w:val="20"/>
          <w:lang w:val="en-US"/>
        </w:rPr>
        <w:t>2</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II</w:t>
      </w:r>
      <w:r w:rsidRPr="004F4E91">
        <w:rPr>
          <w:rFonts w:ascii="Century Gothic" w:hAnsi="Century Gothic" w:cs="Arial"/>
          <w:sz w:val="20"/>
          <w:szCs w:val="20"/>
          <w:lang w:val="en-US"/>
        </w:rPr>
        <w:t xml:space="preserve"> - Methods and Mater</w:t>
      </w:r>
      <w:r w:rsidR="001620ED">
        <w:rPr>
          <w:rFonts w:ascii="Century Gothic" w:hAnsi="Century Gothic" w:cs="Arial"/>
          <w:sz w:val="20"/>
          <w:szCs w:val="20"/>
          <w:lang w:val="en-US"/>
        </w:rPr>
        <w:t xml:space="preserve">ials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15</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1 – Situation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15</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 – Method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1</w:t>
      </w:r>
      <w:r w:rsidR="005E44DB">
        <w:rPr>
          <w:rFonts w:ascii="Century Gothic" w:hAnsi="Century Gothic" w:cs="Arial"/>
          <w:sz w:val="20"/>
          <w:szCs w:val="20"/>
          <w:lang w:val="en-US"/>
        </w:rPr>
        <w:t>7</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3 – Materials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18</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4 – Process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5E44DB">
        <w:rPr>
          <w:rFonts w:ascii="Century Gothic" w:hAnsi="Century Gothic" w:cs="Arial"/>
          <w:sz w:val="20"/>
          <w:szCs w:val="20"/>
          <w:lang w:val="en-US"/>
        </w:rPr>
        <w:t>19</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III</w:t>
      </w:r>
      <w:r w:rsidRPr="004F4E91">
        <w:rPr>
          <w:rFonts w:ascii="Century Gothic" w:hAnsi="Century Gothic" w:cs="Arial"/>
          <w:sz w:val="20"/>
          <w:szCs w:val="20"/>
          <w:lang w:val="en-US"/>
        </w:rPr>
        <w:t xml:space="preserve"> – Results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22</w:t>
      </w:r>
    </w:p>
    <w:p w:rsidR="008D0320" w:rsidRPr="004F4E91" w:rsidRDefault="008D0320" w:rsidP="008D0320">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IV</w:t>
      </w:r>
      <w:r w:rsidRPr="004F4E91">
        <w:rPr>
          <w:rFonts w:ascii="Century Gothic" w:hAnsi="Century Gothic" w:cs="Arial"/>
          <w:sz w:val="20"/>
          <w:szCs w:val="20"/>
          <w:lang w:val="en-US"/>
        </w:rPr>
        <w:t xml:space="preserve"> – Traditional Theories on the Origins of Morality</w:t>
      </w:r>
      <w:r w:rsidR="00A246E0">
        <w:rPr>
          <w:rFonts w:ascii="Century Gothic" w:hAnsi="Century Gothic" w:cs="Arial"/>
          <w:sz w:val="20"/>
          <w:szCs w:val="20"/>
          <w:lang w:val="en-US"/>
        </w:rPr>
        <w:t>…………………………………………………………….</w:t>
      </w:r>
      <w:r w:rsidR="005E44DB">
        <w:rPr>
          <w:rFonts w:ascii="Century Gothic" w:hAnsi="Century Gothic" w:cs="Arial"/>
          <w:sz w:val="20"/>
          <w:szCs w:val="20"/>
          <w:lang w:val="en-US"/>
        </w:rPr>
        <w:t>23</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1- The Divine Command Theory</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23</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sz w:val="20"/>
          <w:szCs w:val="20"/>
          <w:lang w:val="en-US"/>
        </w:rPr>
        <w:t>2- Objections to the</w:t>
      </w:r>
      <w:r w:rsidR="001620ED">
        <w:rPr>
          <w:rFonts w:ascii="Century Gothic" w:hAnsi="Century Gothic"/>
          <w:sz w:val="20"/>
          <w:szCs w:val="20"/>
          <w:lang w:val="en-US"/>
        </w:rPr>
        <w:t xml:space="preserve"> Divine Command Theory      </w:t>
      </w:r>
      <w:r w:rsidR="00A246E0">
        <w:rPr>
          <w:rFonts w:ascii="Century Gothic" w:hAnsi="Century Gothic"/>
          <w:sz w:val="20"/>
          <w:szCs w:val="20"/>
          <w:lang w:val="en-US"/>
        </w:rPr>
        <w:t xml:space="preserve">            </w:t>
      </w:r>
      <w:r w:rsidR="001620ED">
        <w:rPr>
          <w:rFonts w:ascii="Century Gothic" w:hAnsi="Century Gothic"/>
          <w:sz w:val="20"/>
          <w:szCs w:val="20"/>
          <w:lang w:val="en-US"/>
        </w:rPr>
        <w:t xml:space="preserve"> </w:t>
      </w:r>
      <w:r w:rsidR="005E44DB">
        <w:rPr>
          <w:rFonts w:ascii="Century Gothic" w:hAnsi="Century Gothic"/>
          <w:sz w:val="20"/>
          <w:szCs w:val="20"/>
          <w:lang w:val="en-US"/>
        </w:rPr>
        <w:t>29</w:t>
      </w:r>
    </w:p>
    <w:p w:rsidR="008D0320" w:rsidRPr="004F4E91" w:rsidRDefault="008D0320" w:rsidP="001620ED">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3- Other Theories on the O</w:t>
      </w:r>
      <w:r w:rsidR="001620ED">
        <w:rPr>
          <w:rFonts w:ascii="Century Gothic" w:hAnsi="Century Gothic" w:cs="Arial"/>
          <w:sz w:val="20"/>
          <w:szCs w:val="20"/>
          <w:lang w:val="en-US"/>
        </w:rPr>
        <w:t xml:space="preserve">rigins of  Morality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35</w:t>
      </w:r>
    </w:p>
    <w:p w:rsidR="008D0320" w:rsidRPr="004F4E91" w:rsidRDefault="008D0320" w:rsidP="005E44DB">
      <w:pPr>
        <w:pBdr>
          <w:top w:val="single" w:sz="4" w:space="1" w:color="auto"/>
          <w:left w:val="single" w:sz="4" w:space="4" w:color="auto"/>
          <w:bottom w:val="single" w:sz="4" w:space="1" w:color="auto"/>
          <w:right w:val="single" w:sz="4" w:space="0" w:color="auto"/>
          <w:between w:val="single" w:sz="4" w:space="1" w:color="auto"/>
        </w:pBdr>
        <w:spacing w:after="120" w:line="240" w:lineRule="auto"/>
        <w:rPr>
          <w:rFonts w:ascii="Century Gothic" w:hAnsi="Century Gothic" w:cs="Arial"/>
          <w:sz w:val="20"/>
          <w:szCs w:val="20"/>
          <w:lang w:val="en-US"/>
        </w:rPr>
      </w:pPr>
      <w:r w:rsidRPr="004F4E91">
        <w:rPr>
          <w:rFonts w:ascii="Century Gothic" w:hAnsi="Century Gothic" w:cs="Arial"/>
          <w:sz w:val="20"/>
          <w:szCs w:val="20"/>
          <w:lang w:val="en-US"/>
        </w:rPr>
        <w:lastRenderedPageBreak/>
        <w:t xml:space="preserve">3.1- The Kantian Theory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5E44DB">
        <w:rPr>
          <w:rFonts w:ascii="Century Gothic" w:hAnsi="Century Gothic" w:cs="Arial"/>
          <w:sz w:val="20"/>
          <w:szCs w:val="20"/>
          <w:lang w:val="en-US"/>
        </w:rPr>
        <w:t>35</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tabs>
          <w:tab w:val="right" w:pos="5556"/>
        </w:tabs>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3.2 –The Utilitarian Theory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5E44DB">
        <w:rPr>
          <w:rFonts w:ascii="Century Gothic" w:hAnsi="Century Gothic" w:cs="Arial"/>
          <w:sz w:val="20"/>
          <w:szCs w:val="20"/>
          <w:lang w:val="en-US"/>
        </w:rPr>
        <w:t>39</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shd w:val="clear" w:color="auto" w:fill="FFFFFF"/>
          <w:lang w:val="en-US"/>
        </w:rPr>
      </w:pPr>
      <w:r w:rsidRPr="004F4E91">
        <w:rPr>
          <w:rFonts w:ascii="Century Gothic" w:hAnsi="Century Gothic" w:cs="Arial"/>
          <w:sz w:val="20"/>
          <w:szCs w:val="20"/>
          <w:lang w:val="en-US"/>
        </w:rPr>
        <w:t xml:space="preserve">3.3  Virtue Ethics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4</w:t>
      </w:r>
      <w:r w:rsidR="005E44DB">
        <w:rPr>
          <w:rFonts w:ascii="Century Gothic" w:hAnsi="Century Gothic" w:cs="Arial"/>
          <w:sz w:val="20"/>
          <w:szCs w:val="20"/>
          <w:lang w:val="en-US"/>
        </w:rPr>
        <w:t>1</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3.4- The Rights-Based Theories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4</w:t>
      </w:r>
      <w:r w:rsidR="005E44DB">
        <w:rPr>
          <w:rFonts w:ascii="Century Gothic" w:hAnsi="Century Gothic" w:cs="Arial"/>
          <w:sz w:val="20"/>
          <w:szCs w:val="20"/>
          <w:lang w:val="en-US"/>
        </w:rPr>
        <w:t>3</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3.5– The Moral Relativism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4</w:t>
      </w:r>
      <w:r w:rsidR="005E44DB">
        <w:rPr>
          <w:rFonts w:ascii="Century Gothic" w:hAnsi="Century Gothic" w:cs="Arial"/>
          <w:sz w:val="20"/>
          <w:szCs w:val="20"/>
          <w:lang w:val="en-US"/>
        </w:rPr>
        <w:t>5</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3.6 – The Moral Realism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4</w:t>
      </w:r>
      <w:r w:rsidR="005E44DB">
        <w:rPr>
          <w:rFonts w:ascii="Century Gothic" w:hAnsi="Century Gothic" w:cs="Arial"/>
          <w:sz w:val="20"/>
          <w:szCs w:val="20"/>
          <w:lang w:val="en-US"/>
        </w:rPr>
        <w:t>8</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V</w:t>
      </w:r>
      <w:r w:rsidRPr="004F4E91">
        <w:rPr>
          <w:rFonts w:ascii="Century Gothic" w:hAnsi="Century Gothic" w:cs="Arial"/>
          <w:sz w:val="20"/>
          <w:szCs w:val="20"/>
          <w:lang w:val="en-US"/>
        </w:rPr>
        <w:t xml:space="preserve"> –An Evolutionary Understanding of the Origins of Morality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5</w:t>
      </w:r>
      <w:r w:rsidR="005E44DB">
        <w:rPr>
          <w:rFonts w:ascii="Century Gothic" w:hAnsi="Century Gothic" w:cs="Arial"/>
          <w:sz w:val="20"/>
          <w:szCs w:val="20"/>
          <w:lang w:val="en-US"/>
        </w:rPr>
        <w:t>2</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2.1- Preliminary Assertions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5</w:t>
      </w:r>
      <w:r w:rsidR="005E44DB">
        <w:rPr>
          <w:rFonts w:ascii="Century Gothic" w:hAnsi="Century Gothic" w:cs="Arial"/>
          <w:sz w:val="20"/>
          <w:szCs w:val="20"/>
          <w:lang w:val="en-US"/>
        </w:rPr>
        <w:t>2</w:t>
      </w:r>
    </w:p>
    <w:p w:rsidR="001620ED"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2.2–Archetypal Nature of Moral </w:t>
      </w:r>
      <w:r w:rsidR="001620ED">
        <w:rPr>
          <w:rFonts w:ascii="Century Gothic" w:hAnsi="Century Gothic" w:cs="Arial"/>
          <w:sz w:val="20"/>
          <w:szCs w:val="20"/>
          <w:lang w:val="en-US"/>
        </w:rPr>
        <w:t xml:space="preserve">Foundations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5</w:t>
      </w:r>
      <w:r w:rsidR="005E44DB">
        <w:rPr>
          <w:rFonts w:ascii="Century Gothic" w:hAnsi="Century Gothic" w:cs="Arial"/>
          <w:sz w:val="20"/>
          <w:szCs w:val="20"/>
          <w:lang w:val="en-US"/>
        </w:rPr>
        <w:t>7</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2.2.1– Introduction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5</w:t>
      </w:r>
      <w:r w:rsidR="005E44DB">
        <w:rPr>
          <w:rFonts w:ascii="Century Gothic" w:hAnsi="Century Gothic" w:cs="Arial"/>
          <w:sz w:val="20"/>
          <w:szCs w:val="20"/>
          <w:lang w:val="en-US"/>
        </w:rPr>
        <w:t>7</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2.2.2– Concept and Nature of Archetypes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6</w:t>
      </w:r>
      <w:r w:rsidR="005E44DB">
        <w:rPr>
          <w:rFonts w:ascii="Century Gothic" w:hAnsi="Century Gothic" w:cs="Arial"/>
          <w:sz w:val="20"/>
          <w:szCs w:val="20"/>
          <w:lang w:val="en-US"/>
        </w:rPr>
        <w:t>4</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2.2.3-Transmissibility of Archetypes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7</w:t>
      </w:r>
      <w:r w:rsidR="005E44DB">
        <w:rPr>
          <w:rFonts w:ascii="Century Gothic" w:hAnsi="Century Gothic" w:cs="Arial"/>
          <w:sz w:val="20"/>
          <w:szCs w:val="20"/>
          <w:lang w:val="en-US"/>
        </w:rPr>
        <w:t>4</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VI</w:t>
      </w:r>
      <w:r w:rsidRPr="004F4E91">
        <w:rPr>
          <w:rFonts w:ascii="Century Gothic" w:hAnsi="Century Gothic" w:cs="Arial"/>
          <w:sz w:val="20"/>
          <w:szCs w:val="20"/>
          <w:lang w:val="en-US"/>
        </w:rPr>
        <w:t xml:space="preserve"> – The Basic Tenets of Morals in Prehistory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8</w:t>
      </w:r>
      <w:r w:rsidR="005E44DB">
        <w:rPr>
          <w:rFonts w:ascii="Century Gothic" w:hAnsi="Century Gothic" w:cs="Arial"/>
          <w:sz w:val="20"/>
          <w:szCs w:val="20"/>
          <w:lang w:val="en-US"/>
        </w:rPr>
        <w:t>2</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1 – Introduction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8</w:t>
      </w:r>
      <w:r w:rsidR="005E44DB">
        <w:rPr>
          <w:rFonts w:ascii="Century Gothic" w:hAnsi="Century Gothic" w:cs="Arial"/>
          <w:sz w:val="20"/>
          <w:szCs w:val="20"/>
          <w:lang w:val="en-US"/>
        </w:rPr>
        <w:t>2</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2 - The Human Context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1620ED">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8</w:t>
      </w:r>
      <w:r w:rsidR="005E44DB">
        <w:rPr>
          <w:rFonts w:ascii="Century Gothic" w:hAnsi="Century Gothic" w:cs="Arial"/>
          <w:sz w:val="20"/>
          <w:szCs w:val="20"/>
          <w:lang w:val="en-US"/>
        </w:rPr>
        <w:t>3</w:t>
      </w:r>
    </w:p>
    <w:p w:rsidR="008D0320" w:rsidRPr="004F4E91" w:rsidRDefault="008D0320" w:rsidP="001620ED">
      <w:pPr>
        <w:pBdr>
          <w:top w:val="single" w:sz="4" w:space="1" w:color="auto"/>
          <w:left w:val="single" w:sz="4" w:space="4" w:color="auto"/>
          <w:bottom w:val="single" w:sz="4" w:space="1" w:color="auto"/>
          <w:right w:val="single" w:sz="4" w:space="1"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3 – The Context of the Ima</w:t>
      </w:r>
      <w:r w:rsidR="00977FA8">
        <w:rPr>
          <w:rFonts w:ascii="Century Gothic" w:hAnsi="Century Gothic" w:cs="Arial"/>
          <w:sz w:val="20"/>
          <w:szCs w:val="20"/>
          <w:lang w:val="en-US"/>
        </w:rPr>
        <w:t xml:space="preserve">ginary and the Divine </w:t>
      </w:r>
      <w:r w:rsidR="005E44DB">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005E44DB">
        <w:rPr>
          <w:rFonts w:ascii="Century Gothic" w:hAnsi="Century Gothic" w:cs="Arial"/>
          <w:sz w:val="20"/>
          <w:szCs w:val="20"/>
          <w:lang w:val="en-US"/>
        </w:rPr>
        <w:t>100</w:t>
      </w:r>
    </w:p>
    <w:p w:rsidR="00960AFE" w:rsidRPr="004F4E91" w:rsidRDefault="008D0320" w:rsidP="00960AFE">
      <w:pPr>
        <w:pBdr>
          <w:top w:val="single" w:sz="4" w:space="1" w:color="auto"/>
          <w:left w:val="single" w:sz="4" w:space="4" w:color="auto"/>
          <w:bottom w:val="single" w:sz="4" w:space="1" w:color="auto"/>
          <w:right w:val="single" w:sz="4" w:space="0" w:color="auto"/>
          <w:between w:val="single" w:sz="4" w:space="1" w:color="auto"/>
        </w:pBdr>
        <w:spacing w:line="240" w:lineRule="auto"/>
        <w:jc w:val="center"/>
        <w:rPr>
          <w:rFonts w:ascii="Century Gothic" w:hAnsi="Century Gothic" w:cs="Arial"/>
          <w:sz w:val="20"/>
          <w:szCs w:val="20"/>
          <w:lang w:val="en-US"/>
        </w:rPr>
      </w:pPr>
      <w:r w:rsidRPr="004F4E91">
        <w:rPr>
          <w:rFonts w:ascii="Century Gothic" w:hAnsi="Century Gothic" w:cs="Arial"/>
          <w:b/>
          <w:bCs/>
          <w:sz w:val="20"/>
          <w:szCs w:val="20"/>
          <w:lang w:val="en-US"/>
        </w:rPr>
        <w:t>CHAPTER VII</w:t>
      </w:r>
      <w:r w:rsidRPr="004F4E91">
        <w:rPr>
          <w:rFonts w:ascii="Century Gothic" w:hAnsi="Century Gothic" w:cs="Arial"/>
          <w:sz w:val="20"/>
          <w:szCs w:val="20"/>
          <w:lang w:val="en-US"/>
        </w:rPr>
        <w:t xml:space="preserve"> – Recomposing a Paleolithic </w:t>
      </w:r>
      <w:r w:rsidR="009B101B" w:rsidRPr="004F4E91">
        <w:rPr>
          <w:rFonts w:ascii="Century Gothic" w:hAnsi="Century Gothic" w:cs="Arial"/>
          <w:sz w:val="20"/>
          <w:szCs w:val="20"/>
          <w:lang w:val="en-US"/>
        </w:rPr>
        <w:t>System of</w:t>
      </w:r>
      <w:r w:rsidR="00960AFE">
        <w:rPr>
          <w:rFonts w:ascii="Century Gothic" w:hAnsi="Century Gothic" w:cs="Arial"/>
          <w:sz w:val="20"/>
          <w:szCs w:val="20"/>
          <w:lang w:val="en-US"/>
        </w:rPr>
        <w:t xml:space="preserve"> Morals  106</w:t>
      </w:r>
    </w:p>
    <w:p w:rsidR="008D0320" w:rsidRPr="004F4E91" w:rsidRDefault="008D0320" w:rsidP="008D0320">
      <w:pPr>
        <w:pBdr>
          <w:top w:val="single" w:sz="4" w:space="1" w:color="auto"/>
          <w:left w:val="single" w:sz="4" w:space="4" w:color="auto"/>
          <w:bottom w:val="single" w:sz="4" w:space="1" w:color="auto"/>
          <w:right w:val="single" w:sz="4" w:space="0"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CHAPTER VIII</w:t>
      </w:r>
      <w:r w:rsidRPr="004F4E91">
        <w:rPr>
          <w:rFonts w:ascii="Century Gothic" w:hAnsi="Century Gothic" w:cs="Arial"/>
          <w:sz w:val="20"/>
          <w:szCs w:val="20"/>
          <w:lang w:val="en-US"/>
        </w:rPr>
        <w:t xml:space="preserve"> – Relations between the Paleolithic Moral </w:t>
      </w:r>
      <w:r w:rsidR="009B101B">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System and Modern Society                </w:t>
      </w:r>
      <w:r w:rsidR="00A246E0">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009B101B">
        <w:rPr>
          <w:rFonts w:ascii="Century Gothic" w:hAnsi="Century Gothic" w:cs="Arial"/>
          <w:sz w:val="20"/>
          <w:szCs w:val="20"/>
          <w:lang w:val="en-US"/>
        </w:rPr>
        <w:t xml:space="preserve"> </w:t>
      </w:r>
      <w:r w:rsidR="00960AFE">
        <w:rPr>
          <w:rFonts w:ascii="Century Gothic" w:hAnsi="Century Gothic" w:cs="Arial"/>
          <w:sz w:val="20"/>
          <w:szCs w:val="20"/>
          <w:lang w:val="en-US"/>
        </w:rPr>
        <w:t>110</w:t>
      </w:r>
    </w:p>
    <w:p w:rsidR="00977FA8" w:rsidRDefault="008D0320" w:rsidP="00977FA8">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lastRenderedPageBreak/>
        <w:t>TABLES</w:t>
      </w:r>
      <w:r w:rsidRPr="004F4E91">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Pr="004F4E91">
        <w:rPr>
          <w:rFonts w:ascii="Century Gothic" w:hAnsi="Century Gothic" w:cs="Arial"/>
          <w:sz w:val="20"/>
          <w:szCs w:val="20"/>
          <w:lang w:val="en-US"/>
        </w:rPr>
        <w:t>11</w:t>
      </w:r>
      <w:r w:rsidR="00960AFE">
        <w:rPr>
          <w:rFonts w:ascii="Century Gothic" w:hAnsi="Century Gothic" w:cs="Arial"/>
          <w:sz w:val="20"/>
          <w:szCs w:val="20"/>
          <w:lang w:val="en-US"/>
        </w:rPr>
        <w:t>9</w:t>
      </w:r>
    </w:p>
    <w:p w:rsidR="008D0320" w:rsidRPr="004F4E91" w:rsidRDefault="008D0320" w:rsidP="00977FA8">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Table  1                                                          </w:t>
      </w:r>
      <w:r w:rsidR="00977FA8">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1</w:t>
      </w:r>
      <w:r w:rsidR="00960AFE">
        <w:rPr>
          <w:rFonts w:ascii="Century Gothic" w:hAnsi="Century Gothic" w:cs="Arial"/>
          <w:sz w:val="20"/>
          <w:szCs w:val="20"/>
          <w:lang w:val="en-US"/>
        </w:rPr>
        <w:t>20</w:t>
      </w:r>
    </w:p>
    <w:p w:rsidR="008D0320" w:rsidRPr="004F4E91" w:rsidRDefault="008D0320" w:rsidP="00977FA8">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sz w:val="20"/>
          <w:szCs w:val="20"/>
          <w:lang w:val="en-US"/>
        </w:rPr>
        <w:t xml:space="preserve">Table 2                                                 </w:t>
      </w:r>
      <w:r w:rsidR="00A246E0">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Pr="004F4E91">
        <w:rPr>
          <w:rFonts w:ascii="Century Gothic" w:hAnsi="Century Gothic" w:cs="Arial"/>
          <w:sz w:val="20"/>
          <w:szCs w:val="20"/>
          <w:lang w:val="en-US"/>
        </w:rPr>
        <w:t xml:space="preserve">   12</w:t>
      </w:r>
      <w:r w:rsidR="00960AFE">
        <w:rPr>
          <w:rFonts w:ascii="Century Gothic" w:hAnsi="Century Gothic" w:cs="Arial"/>
          <w:sz w:val="20"/>
          <w:szCs w:val="20"/>
          <w:lang w:val="en-US"/>
        </w:rPr>
        <w:t>3</w:t>
      </w:r>
    </w:p>
    <w:p w:rsidR="008D0320" w:rsidRPr="004F4E91" w:rsidRDefault="008D0320" w:rsidP="00977FA8">
      <w:pPr>
        <w:pBdr>
          <w:top w:val="single" w:sz="4" w:space="1" w:color="auto"/>
          <w:left w:val="single" w:sz="4" w:space="4" w:color="auto"/>
          <w:bottom w:val="single" w:sz="4" w:space="1" w:color="auto"/>
          <w:right w:val="single" w:sz="4" w:space="4" w:color="auto"/>
          <w:between w:val="single" w:sz="4" w:space="1" w:color="auto"/>
        </w:pBdr>
        <w:spacing w:line="240" w:lineRule="auto"/>
        <w:rPr>
          <w:rFonts w:ascii="Century Gothic" w:hAnsi="Century Gothic" w:cs="Arial"/>
          <w:sz w:val="20"/>
          <w:szCs w:val="20"/>
          <w:lang w:val="en-US"/>
        </w:rPr>
      </w:pPr>
      <w:r w:rsidRPr="004F4E91">
        <w:rPr>
          <w:rFonts w:ascii="Century Gothic" w:hAnsi="Century Gothic" w:cs="Arial"/>
          <w:b/>
          <w:bCs/>
          <w:sz w:val="20"/>
          <w:szCs w:val="20"/>
          <w:lang w:val="en-US"/>
        </w:rPr>
        <w:t>BIBLIOGRAPHY AND REFERENCES</w:t>
      </w:r>
      <w:r w:rsidRPr="004F4E91">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00A246E0">
        <w:rPr>
          <w:rFonts w:ascii="Century Gothic" w:hAnsi="Century Gothic" w:cs="Arial"/>
          <w:sz w:val="20"/>
          <w:szCs w:val="20"/>
          <w:lang w:val="en-US"/>
        </w:rPr>
        <w:t xml:space="preserve">             </w:t>
      </w:r>
      <w:r w:rsidR="00977FA8">
        <w:rPr>
          <w:rFonts w:ascii="Century Gothic" w:hAnsi="Century Gothic" w:cs="Arial"/>
          <w:sz w:val="20"/>
          <w:szCs w:val="20"/>
          <w:lang w:val="en-US"/>
        </w:rPr>
        <w:t xml:space="preserve">      </w:t>
      </w:r>
      <w:r w:rsidRPr="004F4E91">
        <w:rPr>
          <w:rFonts w:ascii="Century Gothic" w:hAnsi="Century Gothic" w:cs="Arial"/>
          <w:sz w:val="20"/>
          <w:szCs w:val="20"/>
          <w:lang w:val="en-US"/>
        </w:rPr>
        <w:t>12</w:t>
      </w:r>
      <w:r w:rsidR="00960AFE">
        <w:rPr>
          <w:rFonts w:ascii="Century Gothic" w:hAnsi="Century Gothic" w:cs="Arial"/>
          <w:sz w:val="20"/>
          <w:szCs w:val="20"/>
          <w:lang w:val="en-US"/>
        </w:rPr>
        <w:t>5</w:t>
      </w:r>
      <w:r w:rsidRPr="004F4E91">
        <w:rPr>
          <w:rFonts w:ascii="Century Gothic" w:hAnsi="Century Gothic" w:cs="Arial"/>
          <w:sz w:val="20"/>
          <w:szCs w:val="20"/>
          <w:lang w:val="en-US"/>
        </w:rPr>
        <w:t>-14</w:t>
      </w:r>
      <w:r w:rsidR="00960AFE">
        <w:rPr>
          <w:rFonts w:ascii="Century Gothic" w:hAnsi="Century Gothic" w:cs="Arial"/>
          <w:sz w:val="20"/>
          <w:szCs w:val="20"/>
          <w:lang w:val="en-US"/>
        </w:rPr>
        <w:t>7</w:t>
      </w:r>
      <w:bookmarkStart w:id="0" w:name="_GoBack"/>
      <w:bookmarkEnd w:id="0"/>
    </w:p>
    <w:p w:rsidR="008D0320" w:rsidRPr="004F4E91" w:rsidRDefault="008D0320" w:rsidP="008D0320">
      <w:pPr>
        <w:pBdr>
          <w:top w:val="single" w:sz="4" w:space="1" w:color="auto"/>
          <w:left w:val="single" w:sz="4" w:space="4" w:color="auto"/>
          <w:bottom w:val="single" w:sz="4" w:space="1" w:color="auto"/>
          <w:right w:val="single" w:sz="4" w:space="4" w:color="auto"/>
          <w:between w:val="single" w:sz="4" w:space="1" w:color="auto"/>
        </w:pBdr>
        <w:spacing w:line="240" w:lineRule="auto"/>
        <w:jc w:val="both"/>
        <w:rPr>
          <w:rFonts w:ascii="Copperplate Gothic Bold" w:hAnsi="Copperplate Gothic Bold" w:cs="Arial"/>
          <w:sz w:val="20"/>
          <w:szCs w:val="20"/>
          <w:lang w:val="en-US"/>
        </w:rPr>
      </w:pPr>
      <w:r w:rsidRPr="004F4E91">
        <w:rPr>
          <w:rFonts w:ascii="Copperplate Gothic Bold" w:hAnsi="Copperplate Gothic Bold" w:cs="Arial"/>
          <w:sz w:val="20"/>
          <w:szCs w:val="20"/>
          <w:lang w:val="en-US"/>
        </w:rPr>
        <w:br w:type="page"/>
      </w:r>
    </w:p>
    <w:p w:rsidR="008D0320" w:rsidRPr="004F4E91" w:rsidRDefault="008D0320" w:rsidP="008D0320">
      <w:pPr>
        <w:spacing w:line="240" w:lineRule="auto"/>
        <w:jc w:val="both"/>
        <w:rPr>
          <w:rFonts w:ascii="Century Gothic" w:hAnsi="Century Gothic" w:cs="Arial"/>
          <w:sz w:val="20"/>
          <w:szCs w:val="20"/>
          <w:lang w:val="en-US"/>
        </w:rPr>
      </w:pPr>
    </w:p>
    <w:p w:rsidR="008D0320" w:rsidRPr="004F4E91" w:rsidRDefault="008D0320" w:rsidP="008D0320">
      <w:pPr>
        <w:spacing w:line="240" w:lineRule="auto"/>
        <w:jc w:val="both"/>
        <w:rPr>
          <w:rFonts w:ascii="Century Gothic" w:hAnsi="Century Gothic" w:cs="Arial"/>
          <w:sz w:val="20"/>
          <w:szCs w:val="20"/>
          <w:lang w:val="en-US"/>
        </w:rPr>
      </w:pPr>
    </w:p>
    <w:p w:rsidR="008D0320" w:rsidRPr="004F4E91" w:rsidRDefault="008D0320" w:rsidP="008D0320">
      <w:pPr>
        <w:spacing w:line="240" w:lineRule="auto"/>
        <w:jc w:val="both"/>
        <w:rPr>
          <w:rFonts w:ascii="Copperplate Gothic Bold" w:hAnsi="Copperplate Gothic Bold"/>
          <w:b/>
          <w:bCs/>
          <w:sz w:val="32"/>
          <w:szCs w:val="32"/>
          <w:lang w:val="en-US"/>
        </w:rPr>
      </w:pPr>
      <w:r w:rsidRPr="004F4E91">
        <w:rPr>
          <w:rFonts w:ascii="Copperplate Gothic Bold" w:hAnsi="Copperplate Gothic Bold"/>
          <w:b/>
          <w:bCs/>
          <w:sz w:val="32"/>
          <w:szCs w:val="32"/>
          <w:lang w:val="en-US"/>
        </w:rPr>
        <w:t>ACKNOWLEDGMENTS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8"/>
          <w:szCs w:val="28"/>
          <w:lang w:val="en-US"/>
        </w:rPr>
      </w:pPr>
      <w:r w:rsidRPr="004F4E91">
        <w:rPr>
          <w:rFonts w:ascii="Century Gothic" w:hAnsi="Century Gothic"/>
          <w:sz w:val="28"/>
          <w:szCs w:val="28"/>
          <w:lang w:val="en-US"/>
        </w:rPr>
        <w:t>To the Spirit, the name that I give to the seed of everything.</w:t>
      </w:r>
    </w:p>
    <w:p w:rsidR="008D0320" w:rsidRPr="004F4E91" w:rsidRDefault="008D0320" w:rsidP="008D0320">
      <w:pPr>
        <w:spacing w:line="240" w:lineRule="auto"/>
        <w:jc w:val="both"/>
        <w:rPr>
          <w:rFonts w:ascii="Century Gothic" w:hAnsi="Century Gothic"/>
          <w:sz w:val="28"/>
          <w:szCs w:val="28"/>
          <w:lang w:val="en-US"/>
        </w:rPr>
      </w:pPr>
    </w:p>
    <w:p w:rsidR="008D0320" w:rsidRPr="004F4E91" w:rsidRDefault="008D0320" w:rsidP="008D0320">
      <w:pPr>
        <w:spacing w:line="240" w:lineRule="auto"/>
        <w:jc w:val="both"/>
        <w:rPr>
          <w:rFonts w:ascii="Century Gothic" w:hAnsi="Century Gothic"/>
          <w:sz w:val="28"/>
          <w:szCs w:val="28"/>
          <w:lang w:val="en-US"/>
        </w:rPr>
      </w:pPr>
      <w:r w:rsidRPr="004F4E91">
        <w:rPr>
          <w:rFonts w:ascii="Century Gothic" w:hAnsi="Century Gothic"/>
          <w:sz w:val="28"/>
          <w:szCs w:val="28"/>
          <w:lang w:val="en-US"/>
        </w:rPr>
        <w:t>To Glória, ever.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cs="Arial"/>
          <w:b/>
          <w:bCs/>
          <w:sz w:val="32"/>
          <w:szCs w:val="32"/>
          <w:lang w:val="en-US"/>
        </w:rPr>
      </w:pPr>
      <w:r w:rsidRPr="004F4E91">
        <w:rPr>
          <w:rFonts w:ascii="Copperplate Gothic Bold" w:hAnsi="Copperplate Gothic Bold" w:cs="Arial"/>
          <w:b/>
          <w:bCs/>
          <w:sz w:val="32"/>
          <w:szCs w:val="32"/>
          <w:lang w:val="en-US"/>
        </w:rPr>
        <w:t>REMARKS</w:t>
      </w:r>
    </w:p>
    <w:p w:rsidR="008D0320" w:rsidRPr="004F4E91" w:rsidRDefault="008D0320" w:rsidP="008D0320">
      <w:pPr>
        <w:spacing w:line="240" w:lineRule="auto"/>
        <w:jc w:val="both"/>
        <w:rPr>
          <w:rFonts w:ascii="Century Gothic" w:hAnsi="Century Gothic" w:cs="Arial"/>
          <w:sz w:val="20"/>
          <w:szCs w:val="20"/>
          <w:lang w:val="en-US"/>
        </w:rPr>
      </w:pPr>
    </w:p>
    <w:p w:rsidR="008D0320" w:rsidRPr="004F4E91" w:rsidRDefault="008D0320" w:rsidP="008D0320">
      <w:pPr>
        <w:spacing w:line="240" w:lineRule="auto"/>
        <w:jc w:val="both"/>
        <w:rPr>
          <w:rFonts w:ascii="Century Gothic" w:eastAsia="Adobe Fangsong Std R" w:hAnsi="Century Gothic" w:cs="Arial"/>
          <w:sz w:val="20"/>
          <w:szCs w:val="20"/>
          <w:lang w:val="en-US"/>
        </w:rPr>
      </w:pPr>
      <w:r w:rsidRPr="004F4E91">
        <w:rPr>
          <w:rFonts w:ascii="Century Gothic" w:hAnsi="Century Gothic" w:cs="Arial"/>
          <w:sz w:val="20"/>
          <w:szCs w:val="20"/>
          <w:lang w:val="en-US"/>
        </w:rPr>
        <w:t xml:space="preserve">We will adopt the </w:t>
      </w:r>
      <w:r w:rsidRPr="004F4E91">
        <w:rPr>
          <w:rFonts w:ascii="Century Gothic" w:eastAsia="Adobe Fangsong Std R" w:hAnsi="Century Gothic" w:cs="Arial"/>
          <w:sz w:val="20"/>
          <w:szCs w:val="20"/>
          <w:lang w:val="en-US"/>
        </w:rPr>
        <w:t>MHRA (</w:t>
      </w:r>
      <w:r w:rsidRPr="004F4E91">
        <w:rPr>
          <w:rFonts w:ascii="Century Gothic" w:eastAsia="Times New Roman" w:hAnsi="Century Gothic" w:cs="Arial"/>
          <w:sz w:val="20"/>
          <w:szCs w:val="20"/>
          <w:lang w:val="en-US" w:eastAsia="pt-BR"/>
        </w:rPr>
        <w:t>Modern Humanities Research Association Referencing Guide</w:t>
      </w:r>
      <w:r w:rsidRPr="004F4E91">
        <w:rPr>
          <w:rFonts w:ascii="Century Gothic" w:eastAsia="Adobe Fangsong Std R" w:hAnsi="Century Gothic" w:cs="Arial"/>
          <w:sz w:val="20"/>
          <w:szCs w:val="20"/>
          <w:lang w:val="en-US"/>
        </w:rPr>
        <w:t>) Style 3rd edition</w:t>
      </w:r>
      <w:r w:rsidRPr="004F4E91">
        <w:rPr>
          <w:rFonts w:ascii="Century Gothic" w:eastAsia="Adobe Fangsong Std R" w:hAnsi="Century Gothic" w:cs="Arial"/>
          <w:szCs w:val="20"/>
          <w:vertAlign w:val="superscript"/>
          <w:lang w:val="en-US"/>
        </w:rPr>
        <w:footnoteReference w:id="1"/>
      </w:r>
      <w:r w:rsidRPr="004F4E91">
        <w:rPr>
          <w:rFonts w:ascii="Century Gothic" w:eastAsia="Adobe Fangsong Std R" w:hAnsi="Century Gothic" w:cs="Arial"/>
          <w:sz w:val="20"/>
          <w:szCs w:val="20"/>
          <w:lang w:val="en-US"/>
        </w:rPr>
        <w:t xml:space="preserve">, </w:t>
      </w:r>
      <w:r w:rsidRPr="004F4E91">
        <w:rPr>
          <w:rFonts w:ascii="Century Gothic" w:hAnsi="Century Gothic" w:cs="Arial"/>
          <w:sz w:val="20"/>
          <w:szCs w:val="20"/>
          <w:lang w:val="en-US"/>
        </w:rPr>
        <w:t xml:space="preserve">concerning quotations and citations contained in this thesis. </w:t>
      </w:r>
      <w:r w:rsidRPr="004F4E91">
        <w:rPr>
          <w:rFonts w:ascii="Century Gothic" w:eastAsia="Adobe Fangsong Std R" w:hAnsi="Century Gothic" w:cs="Arial"/>
          <w:sz w:val="20"/>
          <w:szCs w:val="20"/>
          <w:lang w:val="en-US"/>
        </w:rPr>
        <w:t xml:space="preserve">Exceptionally, </w:t>
      </w:r>
      <w:r w:rsidRPr="004F4E91">
        <w:rPr>
          <w:rFonts w:ascii="Century Gothic" w:hAnsi="Century Gothic" w:cs="Arial"/>
          <w:bCs/>
          <w:sz w:val="20"/>
          <w:szCs w:val="20"/>
          <w:lang w:val="en-US"/>
        </w:rPr>
        <w:t>in some citations, we may apply the APA (</w:t>
      </w:r>
      <w:r w:rsidRPr="004F4E91">
        <w:rPr>
          <w:rFonts w:ascii="Century Gothic" w:hAnsi="Century Gothic"/>
          <w:sz w:val="20"/>
          <w:szCs w:val="20"/>
          <w:lang w:val="en-US"/>
        </w:rPr>
        <w:t>American Psychological Association)</w:t>
      </w:r>
      <w:r w:rsidRPr="004F4E91">
        <w:rPr>
          <w:lang w:val="en-US"/>
        </w:rPr>
        <w:t xml:space="preserve"> </w:t>
      </w:r>
      <w:r w:rsidRPr="004F4E91">
        <w:rPr>
          <w:rFonts w:ascii="Century Gothic" w:hAnsi="Century Gothic" w:cs="Arial"/>
          <w:bCs/>
          <w:sz w:val="20"/>
          <w:szCs w:val="20"/>
          <w:lang w:val="en-US"/>
        </w:rPr>
        <w:t xml:space="preserve">Style. </w:t>
      </w:r>
    </w:p>
    <w:p w:rsidR="008D0320" w:rsidRPr="004F4E91" w:rsidRDefault="008D0320" w:rsidP="008D0320">
      <w:pPr>
        <w:spacing w:line="240" w:lineRule="auto"/>
        <w:jc w:val="both"/>
        <w:rPr>
          <w:rFonts w:ascii="Century Gothic" w:hAnsi="Century Gothic" w:cs="Arial"/>
          <w:bCs/>
          <w:sz w:val="20"/>
          <w:szCs w:val="20"/>
          <w:lang w:val="en-US"/>
        </w:rPr>
      </w:pPr>
      <w:r w:rsidRPr="004F4E91">
        <w:rPr>
          <w:rFonts w:ascii="Century Gothic" w:eastAsia="Adobe Fangsong Std R" w:hAnsi="Century Gothic" w:cs="Arial"/>
          <w:sz w:val="20"/>
          <w:szCs w:val="20"/>
          <w:lang w:val="en-US"/>
        </w:rPr>
        <w:t>All formatting features of this paper will follow the corresponding guidelines of the</w:t>
      </w:r>
      <w:r w:rsidRPr="004F4E91">
        <w:rPr>
          <w:rFonts w:ascii="Century Gothic" w:hAnsi="Century Gothic"/>
          <w:sz w:val="20"/>
          <w:szCs w:val="20"/>
          <w:lang w:val="en-US"/>
        </w:rPr>
        <w:t xml:space="preserve"> majority of the European and North American Universities</w:t>
      </w:r>
      <w:r w:rsidRPr="004F4E91">
        <w:rPr>
          <w:rFonts w:ascii="Century Gothic" w:eastAsia="Adobe Fangsong Std R" w:hAnsi="Century Gothic" w:cs="Arial"/>
          <w:sz w:val="20"/>
          <w:szCs w:val="20"/>
          <w:lang w:val="en-US"/>
        </w:rPr>
        <w:t xml:space="preserve">, complemented, when necessary, by the </w:t>
      </w:r>
      <w:r w:rsidRPr="004F4E91">
        <w:rPr>
          <w:rFonts w:ascii="Century Gothic" w:hAnsi="Century Gothic" w:cs="Arial"/>
          <w:bCs/>
          <w:sz w:val="20"/>
          <w:szCs w:val="20"/>
          <w:lang w:val="en-US"/>
        </w:rPr>
        <w:t xml:space="preserve">ABNT-NBR rule #14724. </w:t>
      </w:r>
    </w:p>
    <w:p w:rsidR="008D0320" w:rsidRPr="004F4E91" w:rsidRDefault="008D0320" w:rsidP="008D0320">
      <w:pPr>
        <w:spacing w:line="240" w:lineRule="auto"/>
        <w:jc w:val="both"/>
        <w:rPr>
          <w:rFonts w:ascii="Century Gothic" w:hAnsi="Century Gothic" w:cs="Arial"/>
          <w:sz w:val="20"/>
          <w:szCs w:val="20"/>
          <w:lang w:val="en"/>
        </w:rPr>
      </w:pPr>
      <w:r w:rsidRPr="004F4E91">
        <w:rPr>
          <w:rFonts w:ascii="Century Gothic" w:eastAsia="Adobe Fangsong Std R" w:hAnsi="Century Gothic" w:cs="Arial"/>
          <w:sz w:val="20"/>
          <w:szCs w:val="20"/>
          <w:lang w:val="en-US"/>
        </w:rPr>
        <w:t xml:space="preserve">We will use </w:t>
      </w:r>
      <w:r w:rsidRPr="004F4E91">
        <w:rPr>
          <w:rFonts w:ascii="Century Gothic" w:hAnsi="Century Gothic" w:cs="Arial"/>
          <w:bCs/>
          <w:sz w:val="20"/>
          <w:szCs w:val="20"/>
          <w:lang w:val="en-US"/>
        </w:rPr>
        <w:t xml:space="preserve">in this work, both American and British English language </w:t>
      </w:r>
      <w:r w:rsidRPr="004F4E91">
        <w:rPr>
          <w:rFonts w:ascii="Century Gothic" w:hAnsi="Century Gothic" w:cs="Arial"/>
          <w:sz w:val="20"/>
          <w:szCs w:val="20"/>
          <w:lang w:val="en"/>
        </w:rPr>
        <w:t>vocabulary, spelling, grammar, and semantics without restrictions or preference.</w:t>
      </w:r>
    </w:p>
    <w:p w:rsidR="008D0320" w:rsidRPr="004F4E91" w:rsidRDefault="008D0320" w:rsidP="008D0320">
      <w:pPr>
        <w:spacing w:line="240" w:lineRule="auto"/>
        <w:jc w:val="both"/>
        <w:rPr>
          <w:rFonts w:ascii="Century Gothic" w:hAnsi="Century Gothic" w:cs="Arial"/>
          <w:sz w:val="20"/>
          <w:szCs w:val="20"/>
          <w:lang w:val="en"/>
        </w:rPr>
      </w:pPr>
      <w:r w:rsidRPr="004F4E91">
        <w:rPr>
          <w:rFonts w:ascii="Century Gothic" w:hAnsi="Century Gothic" w:cs="Arial"/>
          <w:sz w:val="20"/>
          <w:szCs w:val="20"/>
          <w:lang w:val="en"/>
        </w:rPr>
        <w:br w:type="page"/>
      </w:r>
    </w:p>
    <w:p w:rsidR="00AF7BE4" w:rsidRDefault="00AF7BE4"/>
    <w:sdt>
      <w:sdtPr>
        <w:rPr>
          <w:rFonts w:ascii="Century Gothic" w:hAnsi="Century Gothic"/>
          <w:sz w:val="20"/>
          <w:szCs w:val="20"/>
        </w:rPr>
        <w:id w:val="680555792"/>
        <w:docPartObj>
          <w:docPartGallery w:val="Cover Pages"/>
          <w:docPartUnique/>
        </w:docPartObj>
      </w:sdtPr>
      <w:sdtEndPr>
        <w:rPr>
          <w:rFonts w:cs="Arial"/>
          <w:lang w:val="en-US"/>
        </w:rPr>
      </w:sdtEndPr>
      <w:sdtContent>
        <w:sdt>
          <w:sdtPr>
            <w:rPr>
              <w:rFonts w:ascii="Century Gothic" w:hAnsi="Century Gothic"/>
              <w:sz w:val="20"/>
              <w:szCs w:val="20"/>
            </w:rPr>
            <w:id w:val="-1021780608"/>
            <w:docPartObj>
              <w:docPartGallery w:val="Cover Pages"/>
              <w:docPartUnique/>
            </w:docPartObj>
          </w:sdtPr>
          <w:sdtEndPr>
            <w:rPr>
              <w:rFonts w:cs="Arial"/>
              <w:lang w:val="en-US"/>
            </w:rPr>
          </w:sdtEndPr>
          <w:sdtContent>
            <w:p w:rsidR="009B101B" w:rsidRPr="004F4E91" w:rsidRDefault="009B101B" w:rsidP="009B101B">
              <w:pPr>
                <w:spacing w:line="240" w:lineRule="auto"/>
                <w:rPr>
                  <w:rFonts w:ascii="Copperplate Gothic Bold" w:hAnsi="Copperplate Gothic Bold" w:cs="Arial"/>
                  <w:b/>
                  <w:bCs/>
                  <w:sz w:val="32"/>
                  <w:szCs w:val="32"/>
                  <w:lang w:val="en-US"/>
                </w:rPr>
              </w:pPr>
              <w:r w:rsidRPr="004F4E91">
                <w:rPr>
                  <w:rFonts w:ascii="Copperplate Gothic Bold" w:hAnsi="Copperplate Gothic Bold" w:cs="Arial"/>
                  <w:b/>
                  <w:bCs/>
                  <w:sz w:val="32"/>
                  <w:szCs w:val="32"/>
                  <w:lang w:val="en-US"/>
                </w:rPr>
                <w:t>ABSTRACT</w:t>
              </w:r>
            </w:p>
            <w:p w:rsidR="009B101B" w:rsidRPr="004F4E91" w:rsidRDefault="009B101B" w:rsidP="009B101B">
              <w:pPr>
                <w:spacing w:line="240" w:lineRule="auto"/>
                <w:jc w:val="both"/>
                <w:rPr>
                  <w:rFonts w:ascii="Century Gothic" w:hAnsi="Century Gothic"/>
                  <w:sz w:val="20"/>
                  <w:szCs w:val="20"/>
                  <w:lang w:val="en-US"/>
                </w:rPr>
              </w:pPr>
            </w:p>
            <w:p w:rsidR="009B101B" w:rsidRPr="004F4E91" w:rsidRDefault="009B101B" w:rsidP="009B101B">
              <w:pPr>
                <w:autoSpaceDE w:val="0"/>
                <w:autoSpaceDN w:val="0"/>
                <w:adjustRightInd w:val="0"/>
                <w:spacing w:after="0" w:line="240" w:lineRule="auto"/>
                <w:jc w:val="both"/>
                <w:rPr>
                  <w:rFonts w:ascii="Century Gothic" w:hAnsi="Century Gothic" w:cs="Tahoma"/>
                  <w:b/>
                  <w:bCs/>
                  <w:sz w:val="20"/>
                  <w:szCs w:val="20"/>
                  <w:lang w:val="en-US"/>
                </w:rPr>
              </w:pPr>
              <w:r w:rsidRPr="004F4E91">
                <w:rPr>
                  <w:rFonts w:ascii="Century Gothic" w:hAnsi="Century Gothic" w:cs="Arial"/>
                  <w:sz w:val="20"/>
                  <w:szCs w:val="20"/>
                  <w:lang w:val="en-US"/>
                </w:rPr>
                <w:t>The philosophical tradition approaches to morals have their grounds predominantly on metaphysical and theological concepts and theories. Among the traditional ethics concepts, the most prominent is the Divine Command Theory (DCT).</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As per the DCT, God gives moral foundations to the humankind by its creation and through Revelation.</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Morality and Divinity are inseparable since the most remote civilization.</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These concepts submerge in a theological framework and are </w:t>
              </w:r>
              <w:r>
                <w:rPr>
                  <w:rFonts w:ascii="Century Gothic" w:hAnsi="Century Gothic" w:cs="Arial"/>
                  <w:sz w:val="20"/>
                  <w:szCs w:val="20"/>
                  <w:lang w:val="en-US"/>
                </w:rPr>
                <w:t>primari</w:t>
              </w:r>
              <w:r w:rsidRPr="004F4E91">
                <w:rPr>
                  <w:rFonts w:ascii="Century Gothic" w:hAnsi="Century Gothic" w:cs="Arial"/>
                  <w:sz w:val="20"/>
                  <w:szCs w:val="20"/>
                  <w:lang w:val="en-US"/>
                </w:rPr>
                <w:t xml:space="preserve">ly accepted by most </w:t>
              </w:r>
              <w:r w:rsidRPr="004F4E91">
                <w:rPr>
                  <w:rFonts w:ascii="Century Gothic" w:eastAsia="Times New Roman" w:hAnsi="Century Gothic" w:cs="Arial"/>
                  <w:sz w:val="20"/>
                  <w:szCs w:val="20"/>
                  <w:lang w:val="en-US" w:eastAsia="pt-BR"/>
                </w:rPr>
                <w:t xml:space="preserve">followers of the three Abrahamic traditions: Judaism, Christianity, and Islam: the </w:t>
              </w:r>
              <w:r>
                <w:rPr>
                  <w:rFonts w:ascii="Century Gothic" w:eastAsia="Times New Roman" w:hAnsi="Century Gothic" w:cs="Arial"/>
                  <w:sz w:val="20"/>
                  <w:szCs w:val="20"/>
                  <w:lang w:val="en-US" w:eastAsia="pt-BR"/>
                </w:rPr>
                <w:t>most considerable</w:t>
              </w:r>
              <w:r w:rsidRPr="004F4E91">
                <w:rPr>
                  <w:rFonts w:ascii="Century Gothic" w:eastAsia="Times New Roman" w:hAnsi="Century Gothic" w:cs="Arial"/>
                  <w:sz w:val="20"/>
                  <w:szCs w:val="20"/>
                  <w:lang w:val="en-US" w:eastAsia="pt-BR"/>
                </w:rPr>
                <w:t xml:space="preserve"> part of the human population. </w:t>
              </w:r>
              <w:r w:rsidRPr="004F4E91">
                <w:rPr>
                  <w:rFonts w:ascii="Century Gothic" w:hAnsi="Century Gothic" w:cs="Arial"/>
                  <w:sz w:val="20"/>
                  <w:szCs w:val="20"/>
                  <w:lang w:val="en-US"/>
                </w:rPr>
                <w:t xml:space="preserve">Holding faith and Revelation for its grounds, the Divine Command Theories are not strictly subject to the demonstration.  </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The opponents to the Divine Command conception of morals, grounded in the impossibility of demonstration of its metaphysical and religious assumptions, have tried for many centuries (albeit unsuccessfully) to devalue its importance. They held the argument that it does not show material evidence and logical coherence and, for this reason, cannot be taken into account for scientific nor philosophical purposes. It is just a belief and, as so, should be understood.</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Besides these extreme oppositions, many other concepts contravene the Divine Command theories, in one or another way, in part or in full.</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lastRenderedPageBreak/>
                <w:t xml:space="preserve">Many philosophers and social scientists, from the classic Greek philosophy up to the present date, for instance, sustain that morality is only a construct, and thus culturally relative and culturally determined. However, this brings many other discussions and imposes the challenge to determine what is the meaning of culture, which elements of culture are morally determinant, and finally, what are the boundaries of such relativity. </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Moral determinists claim that everything related to human behavior, including morality, is determined, once free will does not exist.</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More recently, modern thinkers argued that there is a strict </w:t>
              </w:r>
              <w:hyperlink r:id="rId13" w:tooltip="Science of morality" w:history="1">
                <w:r w:rsidRPr="004F4E91">
                  <w:rPr>
                    <w:rFonts w:ascii="Century Gothic" w:hAnsi="Century Gothic" w:cs="Arial"/>
                    <w:sz w:val="20"/>
                    <w:szCs w:val="20"/>
                    <w:lang w:val="en-US"/>
                  </w:rPr>
                  <w:t>science of morality</w:t>
                </w:r>
              </w:hyperlink>
              <w:r w:rsidRPr="004F4E91">
                <w:rPr>
                  <w:rFonts w:ascii="Century Gothic" w:hAnsi="Century Gothic" w:cs="Arial"/>
                  <w:sz w:val="20"/>
                  <w:szCs w:val="20"/>
                  <w:lang w:val="en-US"/>
                </w:rPr>
                <w:t>. However, the scientific method alone, despite explaining several facts and evidence, cannot enlighten the entire content and full meaning of ethics. Morals’ understanding requires a broader perception, and an agreement among philosophers, which they have never achieved.</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 All of these questions have many different configurations depending on each philosophical strand, and start complex analysis and endless debates, as long as many of them are reciprocally conflictive.</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The universe and the atmosphere involving this thesis are the dominions of all these conceptual conflicts, observed from an objective and evolutionary standpoint.</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Irrespective of this circumstance and its intrinsic importance, however, these questions are far distant from the methodological approach of an analytical discussion on objective morals, what is, indeed, the aim and scope of this work. </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We should briefly revisit these prominent traditional theories because this thesis shelters a comparative study, and its </w:t>
              </w:r>
              <w:r w:rsidRPr="004F4E91">
                <w:rPr>
                  <w:rFonts w:ascii="Century Gothic" w:hAnsi="Century Gothic" w:cs="Arial"/>
                  <w:sz w:val="20"/>
                  <w:szCs w:val="20"/>
                  <w:lang w:val="en-US"/>
                </w:rPr>
                <w:lastRenderedPageBreak/>
                <w:t>assumptions at least differ profoundly from all traditional theories.</w:t>
              </w:r>
            </w:p>
            <w:p w:rsidR="009B101B" w:rsidRPr="004F4E91" w:rsidRDefault="009B101B" w:rsidP="009B101B">
              <w:pPr>
                <w:spacing w:line="240" w:lineRule="auto"/>
                <w:jc w:val="both"/>
                <w:rPr>
                  <w:rFonts w:ascii="Century Gothic" w:hAnsi="Century Gothic" w:cs="Arial"/>
                  <w:sz w:val="20"/>
                  <w:szCs w:val="20"/>
                  <w:lang w:val="en-US"/>
                </w:rPr>
              </w:pP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Therefore, it becomes necessary offering direct and specific elements of comparison to the reader for </w:t>
              </w:r>
              <w:r>
                <w:rPr>
                  <w:rFonts w:ascii="Century Gothic" w:hAnsi="Century Gothic" w:cs="Arial"/>
                  <w:sz w:val="20"/>
                  <w:szCs w:val="20"/>
                  <w:lang w:val="en-US"/>
                </w:rPr>
                <w:t>valid</w:t>
              </w:r>
              <w:r w:rsidRPr="004F4E91">
                <w:rPr>
                  <w:rFonts w:ascii="Century Gothic" w:hAnsi="Century Gothic" w:cs="Arial"/>
                  <w:sz w:val="20"/>
                  <w:szCs w:val="20"/>
                  <w:lang w:val="en-US"/>
                </w:rPr>
                <w:t xml:space="preserve"> criticism, dispensing interruptive researches.</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However, even revisiting the traditional theories, for this comparative and critical exposure purpose, they will be kept by the side of our </w:t>
              </w:r>
              <w:r>
                <w:rPr>
                  <w:rFonts w:ascii="Century Gothic" w:hAnsi="Century Gothic" w:cs="Arial"/>
                  <w:sz w:val="20"/>
                  <w:szCs w:val="20"/>
                  <w:lang w:val="en-US"/>
                </w:rPr>
                <w:t>primary</w:t>
              </w:r>
              <w:r w:rsidRPr="004F4E91">
                <w:rPr>
                  <w:rFonts w:ascii="Century Gothic" w:hAnsi="Century Gothic" w:cs="Arial"/>
                  <w:sz w:val="20"/>
                  <w:szCs w:val="20"/>
                  <w:lang w:val="en-US"/>
                </w:rPr>
                <w:t xml:space="preserve"> concerns, as “</w:t>
              </w:r>
              <w:r w:rsidRPr="004F4E91">
                <w:rPr>
                  <w:rFonts w:ascii="Century Gothic" w:hAnsi="Century Gothic" w:cs="Arial"/>
                  <w:i/>
                  <w:sz w:val="20"/>
                  <w:szCs w:val="20"/>
                  <w:lang w:val="en-US"/>
                </w:rPr>
                <w:t>aliena materia</w:t>
              </w:r>
              <w:r w:rsidRPr="004F4E91">
                <w:rPr>
                  <w:rFonts w:ascii="Century Gothic" w:hAnsi="Century Gothic" w:cs="Arial"/>
                  <w:sz w:val="20"/>
                  <w:szCs w:val="20"/>
                  <w:lang w:val="en-US"/>
                </w:rPr>
                <w:t>.”</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Irrespective of the validity of any or all of the elements of this discussion, and their meaning as the philosophical universe of this thesis, the purpose of this work is demonstrating and justifying the existence and meaning of prehistoric moral archetypes arisen directly from the very f</w:t>
              </w:r>
              <w:r>
                <w:rPr>
                  <w:rFonts w:ascii="Century Gothic" w:hAnsi="Century Gothic" w:cs="Arial"/>
                  <w:sz w:val="20"/>
                  <w:szCs w:val="20"/>
                  <w:lang w:val="en-US"/>
                </w:rPr>
                <w:t>undamental</w:t>
              </w:r>
              <w:r w:rsidRPr="004F4E91">
                <w:rPr>
                  <w:rFonts w:ascii="Century Gothic" w:hAnsi="Century Gothic" w:cs="Arial"/>
                  <w:sz w:val="20"/>
                  <w:szCs w:val="20"/>
                  <w:lang w:val="en-US"/>
                </w:rPr>
                <w:t xml:space="preserve"> social needs and efforts for survival. These archetypes are the definition of the essential foundation of ethics, its aggregation to the collective unconscious and corresponding logic organization and transmission to evolutionary stages of the human genome and different relations space-time, irrespective of any contemporary experience of the individuals. The system defined by these archetypes composes an </w:t>
              </w:r>
              <w:r w:rsidRPr="004F4E91">
                <w:rPr>
                  <w:rFonts w:ascii="Century Gothic" w:hAnsi="Century Gothic" w:cs="Arial"/>
                  <w:i/>
                  <w:sz w:val="20"/>
                  <w:szCs w:val="20"/>
                  <w:lang w:val="en-US"/>
                </w:rPr>
                <w:t>evolutionary human social model.</w:t>
              </w:r>
            </w:p>
            <w:p w:rsidR="009B101B" w:rsidRPr="004F4E91" w:rsidRDefault="009B101B" w:rsidP="009B101B">
              <w:pPr>
                <w:spacing w:line="240" w:lineRule="auto"/>
                <w:jc w:val="both"/>
                <w:rPr>
                  <w:rFonts w:ascii="Century Gothic" w:hAnsi="Century Gothic" w:cs="Arial"/>
                  <w:b/>
                  <w:sz w:val="20"/>
                  <w:szCs w:val="20"/>
                  <w:shd w:val="clear" w:color="auto" w:fill="FFFFFF"/>
                  <w:lang w:val="en-US"/>
                </w:rPr>
              </w:pPr>
              <w:r w:rsidRPr="004F4E91">
                <w:rPr>
                  <w:rFonts w:ascii="Century Gothic" w:hAnsi="Century Gothic" w:cs="Arial"/>
                  <w:sz w:val="20"/>
                  <w:szCs w:val="20"/>
                  <w:lang w:val="en-US"/>
                </w:rPr>
                <w:t>Is this a metaethical position? Yes, it is. Moreover, as in any metaethical reasoning, we should look carefully for the best and coherent routes, as the Analytical Philosophy offers them.</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Thus, this work should reasonably demonstrate that morals are not a cultural product of the civilized men or modern societies and that despite being subject to several cultural relative aggregations and subtractions, its essential </w:t>
              </w:r>
              <w:r w:rsidRPr="004F4E91">
                <w:rPr>
                  <w:rFonts w:ascii="Century Gothic" w:hAnsi="Century Gothic" w:cs="Arial"/>
                  <w:sz w:val="20"/>
                  <w:szCs w:val="20"/>
                  <w:lang w:val="en-US"/>
                </w:rPr>
                <w:lastRenderedPageBreak/>
                <w:t xml:space="preserve">foundations are archetypal and have never structurally changed. This reasoning </w:t>
              </w:r>
            </w:p>
            <w:p w:rsidR="009B101B" w:rsidRPr="004F4E91" w:rsidRDefault="009B101B" w:rsidP="009B101B">
              <w:pPr>
                <w:spacing w:line="240" w:lineRule="auto"/>
                <w:jc w:val="both"/>
                <w:rPr>
                  <w:rFonts w:ascii="Century Gothic" w:hAnsi="Century Gothic" w:cs="Arial"/>
                  <w:sz w:val="20"/>
                  <w:szCs w:val="20"/>
                  <w:lang w:val="en-US"/>
                </w:rPr>
              </w:pP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induces that morality is a</w:t>
              </w:r>
              <w:r>
                <w:rPr>
                  <w:rFonts w:ascii="Century Gothic" w:hAnsi="Century Gothic" w:cs="Arial"/>
                  <w:sz w:val="20"/>
                  <w:szCs w:val="20"/>
                  <w:lang w:val="en-US"/>
                </w:rPr>
                <w:t xml:space="preserve"> first</w:t>
              </w:r>
              <w:r w:rsidRPr="004F4E91">
                <w:rPr>
                  <w:rFonts w:ascii="Century Gothic" w:hAnsi="Century Gothic" w:cs="Arial"/>
                  <w:sz w:val="20"/>
                  <w:szCs w:val="20"/>
                  <w:lang w:val="en-US"/>
                </w:rPr>
                <w:t xml:space="preserve"> attribute of the  “homo sapiens”; it is not a property and nor an accident: it integrates the human essence and belongs to the realm of the ontological human identity.</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The human phenomena is a continuing process, playing its role between random determination and free will, and we need to question how morality began and how did it come to us in the present. </w:t>
              </w:r>
            </w:p>
            <w:p w:rsidR="009B101B" w:rsidRPr="004F4E91" w:rsidRDefault="009B101B" w:rsidP="009B101B">
              <w:pPr>
                <w:spacing w:line="240" w:lineRule="auto"/>
                <w:jc w:val="both"/>
                <w:rPr>
                  <w:rFonts w:ascii="Century Gothic" w:hAnsi="Century Gothic" w:cs="Arial"/>
                  <w:sz w:val="20"/>
                  <w:szCs w:val="20"/>
                  <w:lang w:val="en-US"/>
                </w:rPr>
              </w:pP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Key Words: archetype, culture, behavior, deities, ethics, evil, evolution, God, good, humanity, method, moral, morality, Paleolithic, philosophy, prehistory, religion, society</w:t>
              </w:r>
            </w:p>
            <w:p w:rsidR="009B101B" w:rsidRPr="004F4E91" w:rsidRDefault="009B101B" w:rsidP="009B101B">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w:t>
              </w:r>
              <w:r w:rsidRPr="004F4E91">
                <w:rPr>
                  <w:rFonts w:ascii="Century Gothic" w:hAnsi="Century Gothic" w:cs="Arial"/>
                  <w:sz w:val="20"/>
                  <w:szCs w:val="20"/>
                  <w:lang w:val="en-US"/>
                </w:rPr>
                <w:br w:type="page"/>
              </w:r>
            </w:p>
          </w:sdtContent>
        </w:sdt>
      </w:sdtContent>
    </w:sdt>
    <w:p w:rsidR="009B101B" w:rsidRDefault="009B101B" w:rsidP="009B101B">
      <w:pPr>
        <w:spacing w:line="240" w:lineRule="auto"/>
        <w:rPr>
          <w:rFonts w:ascii="Copperplate Gothic Bold" w:hAnsi="Copperplate Gothic Bold" w:cs="Arial"/>
          <w:b/>
          <w:bCs/>
          <w:sz w:val="32"/>
          <w:szCs w:val="32"/>
          <w:lang w:val="en-US"/>
        </w:rPr>
      </w:pPr>
      <w:r w:rsidRPr="004F4E91">
        <w:rPr>
          <w:rFonts w:ascii="Copperplate Gothic Bold" w:hAnsi="Copperplate Gothic Bold" w:cs="Arial"/>
          <w:b/>
          <w:bCs/>
          <w:sz w:val="32"/>
          <w:szCs w:val="32"/>
          <w:lang w:val="en-US"/>
        </w:rPr>
        <w:lastRenderedPageBreak/>
        <w:t xml:space="preserve"> </w:t>
      </w:r>
    </w:p>
    <w:p w:rsidR="008D0320" w:rsidRPr="004F4E91" w:rsidRDefault="005E44DB" w:rsidP="009B101B">
      <w:pPr>
        <w:spacing w:line="240" w:lineRule="auto"/>
        <w:rPr>
          <w:rFonts w:ascii="Copperplate Gothic Bold" w:hAnsi="Copperplate Gothic Bold" w:cs="Arial"/>
          <w:b/>
          <w:bCs/>
          <w:sz w:val="32"/>
          <w:szCs w:val="32"/>
          <w:lang w:val="en-US"/>
        </w:rPr>
      </w:pPr>
      <w:r>
        <w:rPr>
          <w:rFonts w:ascii="Copperplate Gothic Bold" w:hAnsi="Copperplate Gothic Bold" w:cs="Arial"/>
          <w:b/>
          <w:bCs/>
          <w:sz w:val="32"/>
          <w:szCs w:val="32"/>
          <w:lang w:val="en-US"/>
        </w:rPr>
        <w:t xml:space="preserve">  </w:t>
      </w:r>
      <w:r w:rsidR="008D0320" w:rsidRPr="004F4E91">
        <w:rPr>
          <w:rFonts w:ascii="Copperplate Gothic Bold" w:hAnsi="Copperplate Gothic Bold" w:cs="Arial"/>
          <w:b/>
          <w:bCs/>
          <w:sz w:val="32"/>
          <w:szCs w:val="32"/>
          <w:lang w:val="en-US"/>
        </w:rPr>
        <w:t>CHAPTER I</w:t>
      </w:r>
    </w:p>
    <w:p w:rsidR="008D0320" w:rsidRPr="004F4E91" w:rsidRDefault="008D0320" w:rsidP="008D0320">
      <w:pPr>
        <w:spacing w:line="240" w:lineRule="auto"/>
        <w:rPr>
          <w:rFonts w:ascii="Copperplate Gothic Bold" w:hAnsi="Copperplate Gothic Bold" w:cs="Arial"/>
          <w:b/>
          <w:bCs/>
          <w:sz w:val="32"/>
          <w:szCs w:val="32"/>
          <w:lang w:val="en-US"/>
        </w:rPr>
      </w:pPr>
      <w:r w:rsidRPr="004F4E91">
        <w:rPr>
          <w:rFonts w:ascii="Copperplate Gothic Bold" w:hAnsi="Copperplate Gothic Bold" w:cs="Arial"/>
          <w:b/>
          <w:bCs/>
          <w:sz w:val="32"/>
          <w:szCs w:val="32"/>
          <w:lang w:val="en-US"/>
        </w:rPr>
        <w:t>INTRODUCTION</w:t>
      </w:r>
    </w:p>
    <w:p w:rsidR="008D0320" w:rsidRPr="004F4E91" w:rsidRDefault="008D0320" w:rsidP="008D0320">
      <w:pPr>
        <w:spacing w:line="240" w:lineRule="auto"/>
        <w:jc w:val="both"/>
        <w:rPr>
          <w:rFonts w:ascii="Century Gothic" w:hAnsi="Century Gothic" w:cs="Arial"/>
          <w:b/>
          <w:sz w:val="20"/>
          <w:szCs w:val="20"/>
          <w:lang w:val="en-US"/>
        </w:rPr>
      </w:pPr>
      <w:r w:rsidRPr="004F4E91">
        <w:rPr>
          <w:rFonts w:ascii="Century Gothic" w:hAnsi="Century Gothic" w:cs="Arial"/>
          <w:i/>
          <w:sz w:val="24"/>
          <w:szCs w:val="24"/>
          <w:lang w:val="en-US"/>
        </w:rPr>
        <w:t>Evolution is a process that involves blind variation and selective retention</w:t>
      </w:r>
      <w:r w:rsidRPr="004F4E91">
        <w:rPr>
          <w:rFonts w:ascii="Century Gothic" w:hAnsi="Century Gothic" w:cstheme="minorHAnsi"/>
          <w:i/>
          <w:sz w:val="20"/>
          <w:szCs w:val="20"/>
          <w:lang w:val="en-US"/>
        </w:rPr>
        <w:t>.</w:t>
      </w:r>
      <w:r w:rsidRPr="004F4E91">
        <w:rPr>
          <w:rFonts w:ascii="Century Gothic" w:hAnsi="Century Gothic" w:cstheme="minorHAnsi"/>
          <w:sz w:val="20"/>
          <w:szCs w:val="20"/>
          <w:vertAlign w:val="superscript"/>
          <w:lang w:val="en-US"/>
        </w:rPr>
        <w:footnoteReference w:id="2"/>
      </w:r>
    </w:p>
    <w:p w:rsidR="008D0320" w:rsidRPr="004F4E91" w:rsidRDefault="008D0320" w:rsidP="008D0320">
      <w:pPr>
        <w:spacing w:line="240" w:lineRule="auto"/>
        <w:jc w:val="both"/>
        <w:rPr>
          <w:rFonts w:ascii="Century Gothic" w:hAnsi="Century Gothic" w:cs="Arial"/>
          <w:sz w:val="20"/>
          <w:szCs w:val="20"/>
          <w:lang w:val="en-US"/>
        </w:rPr>
      </w:pP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Demonstrating the archetypal structure of all the existing moral systems is a complex assignment. However, is this demonstration important at all? For sure, it is. The philosophical praxis and the scientific investigation limited to the elements shown by the current time-space situation often are vulnerable to flaw conclusions. The same applies to observations of time-space situations different from the current one, without the proper methodological severity. Two very clear examples are applicable. The first one comes from the classic Greek philosophy, stating that </w:t>
      </w:r>
      <w:r w:rsidR="00572F12">
        <w:rPr>
          <w:rFonts w:ascii="Century Gothic" w:hAnsi="Century Gothic" w:cs="Arial"/>
          <w:sz w:val="20"/>
          <w:szCs w:val="20"/>
          <w:lang w:val="en-US"/>
        </w:rPr>
        <w:t xml:space="preserve">initially, </w:t>
      </w:r>
      <w:r w:rsidRPr="004F4E91">
        <w:rPr>
          <w:rFonts w:ascii="Century Gothic" w:hAnsi="Century Gothic" w:cs="Arial"/>
          <w:sz w:val="20"/>
          <w:szCs w:val="20"/>
          <w:lang w:val="en-US"/>
        </w:rPr>
        <w:t>humanity was much better than it is in the present (400 BC), and adopting the theory of the three regressive ages (gold, bronze, and iron). The opposite happened with some radical contemporary historical materialists and their claim that present humankind is much better than the ancient societies deprived of science and technology, grounded on primitive infrastructures and living in the shadows of ignorance, violence, and mysticism.</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Both assertions are the inconsistent result of modern bias and do not find any kind of reasonable coherence nor any </w:t>
      </w:r>
      <w:r w:rsidRPr="004F4E91">
        <w:rPr>
          <w:rFonts w:ascii="Century Gothic" w:hAnsi="Century Gothic" w:cs="Arial"/>
          <w:sz w:val="20"/>
          <w:szCs w:val="20"/>
          <w:lang w:val="en-US"/>
        </w:rPr>
        <w:lastRenderedPageBreak/>
        <w:t>possibility of demonstration. Significant parts of the available studies on ethics bring different and recurrent bias in their formulation.</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The concepts, elements, and claims contained in this thesis in no way are new nor reveal unknown objects. No discoveries, revelations, unveiled realities, astonishing theories, nor complex reasoning, airtight language proper for erudition, will be found here. Philosophy is not an investigative science nor an exercise of complexity, but only a continued praxis whose intention is only thinking about things in the best way. Philosophers do not have the need nor have the opportunity to be unique. They need to be coherent. The aim of this work is suggesting a proper way of thinking about morality without the contamination of metaphysical issues: a philosophic way to treat a philosophic subject from an objective position. This choice is the ground of the simplicity (and difficulty) of this work. </w:t>
      </w:r>
      <w:r w:rsidR="00572F12">
        <w:rPr>
          <w:rFonts w:ascii="Century Gothic" w:hAnsi="Century Gothic" w:cs="Arial"/>
          <w:sz w:val="20"/>
          <w:szCs w:val="20"/>
          <w:lang w:val="en-US"/>
        </w:rPr>
        <w:t>I</w:t>
      </w:r>
      <w:r w:rsidR="00572F12" w:rsidRPr="004F4E91">
        <w:rPr>
          <w:rFonts w:ascii="Century Gothic" w:hAnsi="Century Gothic" w:cs="Arial"/>
          <w:sz w:val="20"/>
          <w:szCs w:val="20"/>
          <w:lang w:val="en-US"/>
        </w:rPr>
        <w:t>n the program “Introduction to Philosophy,”</w:t>
      </w:r>
      <w:r w:rsidR="00572F12">
        <w:rPr>
          <w:rFonts w:ascii="Century Gothic" w:hAnsi="Century Gothic" w:cs="Arial"/>
          <w:sz w:val="20"/>
          <w:szCs w:val="20"/>
          <w:lang w:val="en-US"/>
        </w:rPr>
        <w:t xml:space="preserve"> at the University of Edinburgh, </w:t>
      </w:r>
      <w:r w:rsidRPr="004F4E91">
        <w:rPr>
          <w:rFonts w:ascii="Century Gothic" w:hAnsi="Century Gothic" w:cs="Arial"/>
          <w:sz w:val="20"/>
          <w:szCs w:val="20"/>
          <w:lang w:val="en-US"/>
        </w:rPr>
        <w:t>Prof. David W</w:t>
      </w:r>
      <w:r w:rsidR="00572F12">
        <w:rPr>
          <w:rFonts w:ascii="Century Gothic" w:hAnsi="Century Gothic" w:cs="Arial"/>
          <w:sz w:val="20"/>
          <w:szCs w:val="20"/>
          <w:lang w:val="en-US"/>
        </w:rPr>
        <w:t>ard and Prof. Duncan Pri</w:t>
      </w:r>
      <w:r w:rsidR="00B905D9">
        <w:rPr>
          <w:rFonts w:ascii="Century Gothic" w:hAnsi="Century Gothic" w:cs="Arial"/>
          <w:sz w:val="20"/>
          <w:szCs w:val="20"/>
          <w:lang w:val="en-US"/>
        </w:rPr>
        <w:t xml:space="preserve">tchard, </w:t>
      </w:r>
      <w:r w:rsidR="00572F12">
        <w:rPr>
          <w:rFonts w:ascii="Century Gothic" w:hAnsi="Century Gothic" w:cs="Arial"/>
          <w:sz w:val="20"/>
          <w:szCs w:val="20"/>
          <w:lang w:val="en-US"/>
        </w:rPr>
        <w:t>through</w:t>
      </w:r>
      <w:r w:rsidRPr="004F4E91">
        <w:rPr>
          <w:rFonts w:ascii="Century Gothic" w:hAnsi="Century Gothic" w:cs="Arial"/>
          <w:sz w:val="20"/>
          <w:szCs w:val="20"/>
          <w:lang w:val="en-US"/>
        </w:rPr>
        <w:t xml:space="preserve"> their pedagogical methodology</w:t>
      </w:r>
      <w:r w:rsidR="00572F12">
        <w:rPr>
          <w:rFonts w:ascii="Century Gothic" w:hAnsi="Century Gothic" w:cs="Arial"/>
          <w:sz w:val="20"/>
          <w:szCs w:val="20"/>
          <w:lang w:val="en-US"/>
        </w:rPr>
        <w:t xml:space="preserve">, </w:t>
      </w:r>
      <w:r w:rsidR="00B905D9">
        <w:rPr>
          <w:rFonts w:ascii="Century Gothic" w:hAnsi="Century Gothic" w:cs="Arial"/>
          <w:sz w:val="20"/>
          <w:szCs w:val="20"/>
          <w:lang w:val="en-US"/>
        </w:rPr>
        <w:t xml:space="preserve">show how </w:t>
      </w:r>
      <w:r w:rsidRPr="004F4E91">
        <w:rPr>
          <w:rFonts w:ascii="Century Gothic" w:hAnsi="Century Gothic" w:cs="Arial"/>
          <w:sz w:val="20"/>
          <w:szCs w:val="20"/>
          <w:lang w:val="en-US"/>
        </w:rPr>
        <w:t>academic works, as far as possible, should be written to everyone’s comprehension and not exclusively to the highly specialized academic dialect speakers.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In many strands of Analytical Philosophy, this simplicity is the vest of clarity, as exposed by Matthew McKeever:</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i/>
          <w:sz w:val="20"/>
          <w:szCs w:val="20"/>
          <w:lang w:val="en-US"/>
        </w:rPr>
        <w:t xml:space="preserve"> </w:t>
      </w:r>
      <w:r w:rsidRPr="004F4E91">
        <w:rPr>
          <w:rFonts w:ascii="Century Gothic" w:hAnsi="Century Gothic" w:cs="Arial"/>
          <w:sz w:val="20"/>
          <w:szCs w:val="20"/>
          <w:lang w:val="en-US"/>
        </w:rPr>
        <w:t>In trying to understand the vagaries of language use or of morals or of reality itself, analytic philosophers frequently produce these sorts of creative juxtapositions of ideas the mere</w:t>
      </w:r>
      <w:r w:rsidRPr="004F4E91">
        <w:rPr>
          <w:rFonts w:ascii="Century Gothic" w:hAnsi="Century Gothic"/>
          <w:sz w:val="20"/>
          <w:szCs w:val="20"/>
          <w:lang w:val="en-US"/>
        </w:rPr>
        <w:t xml:space="preserve"> </w:t>
      </w:r>
      <w:r w:rsidRPr="004F4E91">
        <w:rPr>
          <w:rFonts w:ascii="Century Gothic" w:hAnsi="Century Gothic" w:cs="Arial"/>
          <w:sz w:val="20"/>
          <w:szCs w:val="20"/>
          <w:lang w:val="en-US"/>
        </w:rPr>
        <w:t>contemplation of which</w:t>
      </w:r>
      <w:r w:rsidRPr="004F4E91">
        <w:rPr>
          <w:rFonts w:ascii="Century Gothic" w:hAnsi="Century Gothic"/>
          <w:sz w:val="20"/>
          <w:szCs w:val="20"/>
          <w:lang w:val="en-US"/>
        </w:rPr>
        <w:t xml:space="preserve"> should </w:t>
      </w:r>
      <w:r w:rsidRPr="004F4E91">
        <w:rPr>
          <w:rFonts w:ascii="Century Gothic" w:hAnsi="Century Gothic" w:cs="Arial"/>
          <w:sz w:val="20"/>
          <w:szCs w:val="20"/>
          <w:lang w:val="en-US"/>
        </w:rPr>
        <w:t xml:space="preserve">appeal to anyone with a taste for bold visions of reality. So next time you have a yen for philosophy, but are put off by turgid prose and numbered premises, </w:t>
      </w:r>
      <w:r w:rsidRPr="004F4E91">
        <w:rPr>
          <w:rFonts w:ascii="Century Gothic" w:hAnsi="Century Gothic" w:cs="Arial"/>
          <w:sz w:val="20"/>
          <w:szCs w:val="20"/>
          <w:lang w:val="en-US"/>
        </w:rPr>
        <w:lastRenderedPageBreak/>
        <w:t>think about persevering, in the hope that you might find, with Keats, both truth and beauty</w:t>
      </w:r>
      <w:r w:rsidRPr="004F4E91">
        <w:rPr>
          <w:rFonts w:ascii="Century Gothic" w:hAnsi="Century Gothic" w:cs="Arial"/>
          <w:i/>
          <w:sz w:val="20"/>
          <w:szCs w:val="20"/>
          <w:lang w:val="en-US"/>
        </w:rPr>
        <w:t>.</w:t>
      </w:r>
      <w:r w:rsidRPr="004F4E91">
        <w:rPr>
          <w:rFonts w:ascii="Century Gothic" w:hAnsi="Century Gothic" w:cs="Arial"/>
          <w:i/>
          <w:sz w:val="20"/>
          <w:szCs w:val="20"/>
          <w:vertAlign w:val="superscript"/>
          <w:lang w:val="en-US"/>
        </w:rPr>
        <w:footnoteReference w:id="3"/>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 One of the most debated assignments of epistemology and ontology ever known is summarizable in only three words: “Cogito, ergo sum” - René Descartes (1596 - 1650). Descartes's motto is a pursuit of philosophical truth, and this is beauty. For sure, the reasoning and demonstration we will adopt must consider an appropriate and integrative methodological framework not limited to the philosophic thinking, nor the fragmented available scientific elements resulting from the empirical observation of the material reality.</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Along with human history, many different theories and concepts looked forward understanding and explaining the moral phenomena and, as long as all of them means a valid and constructive contribution to the enlightenment of these extremely complex studies, none of them is to be ignored, wrongly understood, despised or referred to with stereotypes, personal bias or prejudice.  They are the universe of this thesis. For these reasons, it is not possible to advance with this work without revisiting this so rich heap of the human culture, even though in a very simplified and concise way imposed by the very narrow boundaries of this work. We will try to summarize this visit, making it as short as possible. After arriving at the outcomes of this paper, it will be possible for anyone to analyze the degree of compatibility between them and the traditional philosophical theories, exercising his criticism, and building up his autonomous opinion</w:t>
      </w:r>
    </w:p>
    <w:p w:rsidR="008D0320" w:rsidRPr="004F4E91" w:rsidRDefault="008D0320" w:rsidP="008D0320">
      <w:pPr>
        <w:spacing w:line="240" w:lineRule="auto"/>
        <w:rPr>
          <w:rFonts w:ascii="Copperplate Gothic Bold" w:hAnsi="Copperplate Gothic Bold" w:cs="Arial"/>
          <w:b/>
          <w:bCs/>
          <w:sz w:val="32"/>
          <w:szCs w:val="32"/>
          <w:lang w:val="en-US"/>
        </w:rPr>
      </w:pPr>
    </w:p>
    <w:p w:rsidR="008D0320" w:rsidRPr="004F4E91" w:rsidRDefault="008D0320" w:rsidP="008D0320">
      <w:pPr>
        <w:spacing w:line="240" w:lineRule="auto"/>
        <w:rPr>
          <w:rFonts w:ascii="Copperplate Gothic Bold" w:hAnsi="Copperplate Gothic Bold" w:cs="Arial"/>
          <w:b/>
          <w:bCs/>
          <w:sz w:val="32"/>
          <w:szCs w:val="32"/>
          <w:lang w:val="en-US"/>
        </w:rPr>
      </w:pPr>
      <w:r w:rsidRPr="004F4E91">
        <w:rPr>
          <w:rFonts w:ascii="Copperplate Gothic Bold" w:hAnsi="Copperplate Gothic Bold" w:cs="Arial"/>
          <w:b/>
          <w:bCs/>
          <w:sz w:val="32"/>
          <w:szCs w:val="32"/>
          <w:lang w:val="en-US"/>
        </w:rPr>
        <w:t>CHAPTER II</w:t>
      </w:r>
    </w:p>
    <w:p w:rsidR="008D0320" w:rsidRPr="004F4E91" w:rsidRDefault="008D0320" w:rsidP="008D0320">
      <w:pPr>
        <w:spacing w:line="240" w:lineRule="auto"/>
        <w:rPr>
          <w:rFonts w:ascii="Copperplate Gothic Bold" w:hAnsi="Copperplate Gothic Bold" w:cs="Arial"/>
          <w:b/>
          <w:bCs/>
          <w:sz w:val="32"/>
          <w:szCs w:val="32"/>
          <w:lang w:val="en-US"/>
        </w:rPr>
      </w:pPr>
      <w:r w:rsidRPr="004F4E91">
        <w:rPr>
          <w:rFonts w:ascii="Copperplate Gothic Bold" w:hAnsi="Copperplate Gothic Bold" w:cs="Arial"/>
          <w:b/>
          <w:bCs/>
          <w:sz w:val="32"/>
          <w:szCs w:val="32"/>
          <w:lang w:val="en-US"/>
        </w:rPr>
        <w:t>METHOD AND MATERIALS</w:t>
      </w:r>
    </w:p>
    <w:p w:rsidR="008D0320" w:rsidRPr="004F4E91" w:rsidRDefault="008D0320" w:rsidP="008D0320">
      <w:pPr>
        <w:spacing w:line="240" w:lineRule="auto"/>
        <w:jc w:val="both"/>
        <w:rPr>
          <w:rFonts w:ascii="Century Gothic" w:hAnsi="Century Gothic" w:cs="Arial"/>
          <w:b/>
          <w:sz w:val="20"/>
          <w:szCs w:val="20"/>
          <w:lang w:val="en-US"/>
        </w:rPr>
      </w:pPr>
      <w:r w:rsidRPr="004F4E91">
        <w:rPr>
          <w:rFonts w:ascii="Century Gothic" w:hAnsi="Century Gothic" w:cs="Arial"/>
          <w:b/>
          <w:sz w:val="20"/>
          <w:szCs w:val="20"/>
          <w:lang w:val="en-US"/>
        </w:rPr>
        <w:t>1. Situation.</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In this work, we understand “prehistory”</w:t>
      </w:r>
      <w:r w:rsidR="005803F6">
        <w:rPr>
          <w:rFonts w:ascii="Century Gothic" w:hAnsi="Century Gothic" w:cs="Arial"/>
          <w:sz w:val="20"/>
          <w:szCs w:val="20"/>
          <w:lang w:val="en-US"/>
        </w:rPr>
        <w:t xml:space="preserve"> as the Paleolithic period (3.3 </w:t>
      </w:r>
      <w:r w:rsidRPr="004F4E91">
        <w:rPr>
          <w:rFonts w:ascii="Century Gothic" w:hAnsi="Century Gothic" w:cs="Arial"/>
          <w:sz w:val="20"/>
          <w:szCs w:val="20"/>
          <w:lang w:val="en-US"/>
        </w:rPr>
        <w:t>million to 11,650 years ago), from the earli</w:t>
      </w:r>
      <w:r w:rsidR="005803F6">
        <w:rPr>
          <w:rFonts w:ascii="Century Gothic" w:hAnsi="Century Gothic" w:cs="Arial"/>
          <w:sz w:val="20"/>
          <w:szCs w:val="20"/>
          <w:lang w:val="en-US"/>
        </w:rPr>
        <w:t xml:space="preserve">est known use of stone tools by </w:t>
      </w:r>
      <w:hyperlink r:id="rId14" w:tooltip="Hominini" w:history="1">
        <w:r w:rsidRPr="004F4E91">
          <w:rPr>
            <w:rFonts w:ascii="Century Gothic" w:hAnsi="Century Gothic" w:cs="Arial"/>
            <w:sz w:val="20"/>
            <w:szCs w:val="20"/>
            <w:lang w:val="en-US"/>
          </w:rPr>
          <w:t>hominins</w:t>
        </w:r>
      </w:hyperlink>
      <w:r w:rsidR="005803F6">
        <w:rPr>
          <w:rFonts w:ascii="Century Gothic" w:hAnsi="Century Gothic" w:cs="Arial"/>
          <w:sz w:val="20"/>
          <w:szCs w:val="20"/>
          <w:lang w:val="en-US"/>
        </w:rPr>
        <w:t xml:space="preserve"> to the end of the </w:t>
      </w:r>
      <w:hyperlink r:id="rId15" w:tooltip="Pleistocene" w:history="1">
        <w:r w:rsidRPr="004F4E91">
          <w:rPr>
            <w:rFonts w:ascii="Century Gothic" w:hAnsi="Century Gothic" w:cs="Arial"/>
            <w:sz w:val="20"/>
            <w:szCs w:val="20"/>
            <w:lang w:val="en-US"/>
          </w:rPr>
          <w:t>Pleistocene</w:t>
        </w:r>
      </w:hyperlink>
      <w:r w:rsidRPr="004F4E91">
        <w:rPr>
          <w:rFonts w:ascii="Century Gothic" w:hAnsi="Century Gothic" w:cs="Arial"/>
          <w:sz w:val="20"/>
          <w:szCs w:val="20"/>
          <w:lang w:val="en-US"/>
        </w:rPr>
        <w:t>.</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We may eventually take into account earlier periods when the subject recommends, and our research finds material elements. </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The reasons for electing the Paleolithic as the chronological universe of this study are various.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The most general one is the fact that the adopted methodology looks for contexts the more remote as possible, totally isolated from any trace of the influence of elements of civilization whatsoever, and the near as possible to the very early advent of humankind.</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We are talking about very remote archetypes.</w:t>
      </w:r>
    </w:p>
    <w:p w:rsidR="008D0320" w:rsidRPr="004F4E91" w:rsidRDefault="008D0320" w:rsidP="008D0320">
      <w:pPr>
        <w:spacing w:line="240" w:lineRule="auto"/>
        <w:jc w:val="both"/>
        <w:rPr>
          <w:rFonts w:ascii="Century Gothic" w:eastAsia="Times New Roman" w:hAnsi="Century Gothic" w:cs="Arial"/>
          <w:iCs/>
          <w:sz w:val="20"/>
          <w:szCs w:val="20"/>
          <w:lang w:val="en-US" w:eastAsia="pt-BR"/>
        </w:rPr>
      </w:pPr>
      <w:r w:rsidRPr="004F4E91">
        <w:rPr>
          <w:rFonts w:ascii="Century Gothic" w:eastAsia="Times New Roman" w:hAnsi="Century Gothic" w:cs="Arial"/>
          <w:sz w:val="20"/>
          <w:szCs w:val="20"/>
          <w:lang w:val="en-US" w:eastAsia="pt-BR"/>
        </w:rPr>
        <w:t xml:space="preserve">Paleolithic is the earliest period of the </w:t>
      </w:r>
      <w:r w:rsidRPr="004F4E91">
        <w:rPr>
          <w:rFonts w:ascii="Century Gothic" w:eastAsia="Times New Roman" w:hAnsi="Century Gothic" w:cs="Arial"/>
          <w:i/>
          <w:sz w:val="20"/>
          <w:szCs w:val="20"/>
          <w:lang w:val="en-US" w:eastAsia="pt-BR"/>
        </w:rPr>
        <w:t>Homo sapiens</w:t>
      </w:r>
      <w:r w:rsidRPr="004F4E91">
        <w:rPr>
          <w:rFonts w:ascii="Century Gothic" w:eastAsia="Times New Roman" w:hAnsi="Century Gothic" w:cs="Arial"/>
          <w:sz w:val="20"/>
          <w:szCs w:val="20"/>
          <w:lang w:val="en-US" w:eastAsia="pt-BR"/>
        </w:rPr>
        <w:t xml:space="preserve"> development and the </w:t>
      </w:r>
      <w:r w:rsidR="00572F12">
        <w:rPr>
          <w:rFonts w:ascii="Century Gothic" w:eastAsia="Times New Roman" w:hAnsi="Century Gothic" w:cs="Arial"/>
          <w:sz w:val="20"/>
          <w:szCs w:val="20"/>
          <w:lang w:val="en-US" w:eastAsia="pt-BR"/>
        </w:rPr>
        <w:t>most prolonged</w:t>
      </w:r>
      <w:r w:rsidRPr="004F4E91">
        <w:rPr>
          <w:rFonts w:ascii="Century Gothic" w:eastAsia="Times New Roman" w:hAnsi="Century Gothic" w:cs="Arial"/>
          <w:sz w:val="20"/>
          <w:szCs w:val="20"/>
          <w:lang w:val="en-US" w:eastAsia="pt-BR"/>
        </w:rPr>
        <w:t xml:space="preserve"> phase of humankind's history. One of the most </w:t>
      </w:r>
      <w:r w:rsidR="00572F12">
        <w:rPr>
          <w:rFonts w:ascii="Century Gothic" w:eastAsia="Times New Roman" w:hAnsi="Century Gothic" w:cs="Arial"/>
          <w:sz w:val="20"/>
          <w:szCs w:val="20"/>
          <w:lang w:val="en-US" w:eastAsia="pt-BR"/>
        </w:rPr>
        <w:t>critical</w:t>
      </w:r>
      <w:r w:rsidRPr="004F4E91">
        <w:rPr>
          <w:rFonts w:ascii="Century Gothic" w:eastAsia="Times New Roman" w:hAnsi="Century Gothic" w:cs="Arial"/>
          <w:sz w:val="20"/>
          <w:szCs w:val="20"/>
          <w:lang w:val="en-US" w:eastAsia="pt-BR"/>
        </w:rPr>
        <w:t xml:space="preserve"> features of the period is the successive evolutionary episodes of the human species, causing many changes in the human genome, going from an apelike creature,</w:t>
      </w:r>
      <w:r w:rsidR="005803F6">
        <w:rPr>
          <w:rFonts w:ascii="Century Gothic" w:eastAsia="Times New Roman" w:hAnsi="Century Gothic" w:cs="Arial"/>
          <w:sz w:val="20"/>
          <w:szCs w:val="20"/>
          <w:lang w:val="en-US" w:eastAsia="pt-BR"/>
        </w:rPr>
        <w:t xml:space="preserve"> or near human, to the definite </w:t>
      </w:r>
      <w:r w:rsidRPr="004F4E91">
        <w:rPr>
          <w:rFonts w:ascii="Century Gothic" w:eastAsia="Times New Roman" w:hAnsi="Century Gothic" w:cs="Arial"/>
          <w:iCs/>
          <w:sz w:val="20"/>
          <w:szCs w:val="20"/>
          <w:lang w:val="en-US" w:eastAsia="pt-BR"/>
        </w:rPr>
        <w:t>Homo sapiens.</w:t>
      </w:r>
      <w:r w:rsidRPr="004F4E91">
        <w:rPr>
          <w:rFonts w:ascii="Century Gothic" w:eastAsia="Times New Roman" w:hAnsi="Century Gothic" w:cs="Arial"/>
          <w:i/>
          <w:iCs/>
          <w:sz w:val="20"/>
          <w:szCs w:val="20"/>
          <w:lang w:val="en-US" w:eastAsia="pt-BR"/>
        </w:rPr>
        <w:t xml:space="preserve"> </w:t>
      </w:r>
      <w:r w:rsidRPr="004F4E91">
        <w:rPr>
          <w:rFonts w:ascii="Century Gothic" w:eastAsia="Times New Roman" w:hAnsi="Century Gothic" w:cs="Arial"/>
          <w:iCs/>
          <w:sz w:val="20"/>
          <w:szCs w:val="20"/>
          <w:lang w:val="en-US" w:eastAsia="pt-BR"/>
        </w:rPr>
        <w:t xml:space="preserve">Evolution is particularly </w:t>
      </w:r>
      <w:r w:rsidR="00572F12">
        <w:rPr>
          <w:rFonts w:ascii="Century Gothic" w:eastAsia="Times New Roman" w:hAnsi="Century Gothic" w:cs="Arial"/>
          <w:iCs/>
          <w:sz w:val="20"/>
          <w:szCs w:val="20"/>
          <w:lang w:val="en-US" w:eastAsia="pt-BR"/>
        </w:rPr>
        <w:t>vital</w:t>
      </w:r>
      <w:r w:rsidRPr="004F4E91">
        <w:rPr>
          <w:rFonts w:ascii="Century Gothic" w:eastAsia="Times New Roman" w:hAnsi="Century Gothic" w:cs="Arial"/>
          <w:iCs/>
          <w:sz w:val="20"/>
          <w:szCs w:val="20"/>
          <w:lang w:val="en-US" w:eastAsia="pt-BR"/>
        </w:rPr>
        <w:t xml:space="preserve"> to the neuroscientific studies on the development of the human brain and the corresponding mechanisms involved in the constitution of the more remote archetypes. During </w:t>
      </w:r>
      <w:r w:rsidRPr="004F4E91">
        <w:rPr>
          <w:rFonts w:ascii="Century Gothic" w:eastAsia="Times New Roman" w:hAnsi="Century Gothic" w:cs="Arial"/>
          <w:iCs/>
          <w:sz w:val="20"/>
          <w:szCs w:val="20"/>
          <w:lang w:val="en-US" w:eastAsia="pt-BR"/>
        </w:rPr>
        <w:lastRenderedPageBreak/>
        <w:t>the Paleolithic, the born of humankind happened, and only in this time window, we can contemplate its very original features.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eastAsia="Times New Roman" w:hAnsi="Century Gothic" w:cs="Arial"/>
          <w:sz w:val="20"/>
          <w:szCs w:val="20"/>
          <w:lang w:val="en-US" w:eastAsia="pt-BR"/>
        </w:rPr>
        <w:t xml:space="preserve">The human population during all this long period was very scarce. Modern scholars calculated this population in no more than one million individuals. Small nomad groups progressively spread for a very extensive geographical area. The Paleolithic societies practiced an economy based on a hunt-gathering </w:t>
      </w:r>
      <w:r w:rsidRPr="004F4E91">
        <w:rPr>
          <w:rFonts w:ascii="Century Gothic" w:hAnsi="Century Gothic" w:cs="Arial"/>
          <w:sz w:val="20"/>
          <w:szCs w:val="20"/>
          <w:lang w:val="en-US"/>
        </w:rPr>
        <w:t>activity. Humans hunted wild animals for meat and gathered food, firewood, and materials for their tools, clothes, or shelters.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Factors of extreme importance to the existence of any moral principles began during the period, such as the capacity to abstraction, the ability to the semiotic interpretation of symbols, and the born of oral communication using sound and visual codes – the first logical language traces.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The conjunction of all these features avoided the dispersal of the material elements that are useful to the constitution of the contexts intended to ground our analysis, despite the </w:t>
      </w:r>
      <w:r w:rsidR="00572F12">
        <w:rPr>
          <w:rFonts w:ascii="Century Gothic" w:hAnsi="Century Gothic" w:cs="Arial"/>
          <w:sz w:val="20"/>
          <w:szCs w:val="20"/>
          <w:lang w:val="en-US"/>
        </w:rPr>
        <w:t>vast</w:t>
      </w:r>
      <w:r w:rsidRPr="004F4E91">
        <w:rPr>
          <w:rFonts w:ascii="Century Gothic" w:hAnsi="Century Gothic" w:cs="Arial"/>
          <w:sz w:val="20"/>
          <w:szCs w:val="20"/>
          <w:lang w:val="en-US"/>
        </w:rPr>
        <w:t xml:space="preserve"> geographic area explored by our remote ancestors.  </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Our chronological universe ends with the advent of the Neolithic period, 11,650 years ago. The advent of the Neolithic period brought a full stop to all these social features because of what scientists call “the Neolithic revolution,” represented by the emergence of agriculture, the seating of populations in defined territories, and the beginning of urbanization.  All the Neolithic elements are </w:t>
      </w:r>
      <w:r w:rsidR="00572F12">
        <w:rPr>
          <w:rFonts w:ascii="Century Gothic" w:hAnsi="Century Gothic" w:cs="Arial"/>
          <w:sz w:val="20"/>
          <w:szCs w:val="20"/>
          <w:lang w:val="en-US"/>
        </w:rPr>
        <w:t>entirely</w:t>
      </w:r>
      <w:r w:rsidRPr="004F4E91">
        <w:rPr>
          <w:rFonts w:ascii="Century Gothic" w:hAnsi="Century Gothic" w:cs="Arial"/>
          <w:sz w:val="20"/>
          <w:szCs w:val="20"/>
          <w:lang w:val="en-US"/>
        </w:rPr>
        <w:t xml:space="preserve"> strange to the primitive contexts we are looking for and, even as we consider them as part of the prehistory, for our thesis, the Neolithic is a “modern period.”</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Therefore, just in this work, prehistory ended 11,650 years ago.</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lastRenderedPageBreak/>
        <w:t>All these ingredients will help us with the definition of the several contexts demanded by the adopted methodology.</w:t>
      </w:r>
    </w:p>
    <w:p w:rsidR="008D0320" w:rsidRPr="004F4E91" w:rsidRDefault="008D0320" w:rsidP="008D0320">
      <w:pPr>
        <w:spacing w:line="240" w:lineRule="auto"/>
        <w:jc w:val="both"/>
        <w:rPr>
          <w:rFonts w:ascii="Century Gothic" w:hAnsi="Century Gothic" w:cs="Arial"/>
          <w:b/>
          <w:sz w:val="20"/>
          <w:szCs w:val="20"/>
          <w:lang w:val="en-US"/>
        </w:rPr>
      </w:pPr>
      <w:r w:rsidRPr="004F4E91">
        <w:rPr>
          <w:rFonts w:ascii="Century Gothic" w:hAnsi="Century Gothic" w:cs="Arial"/>
          <w:b/>
          <w:sz w:val="20"/>
          <w:szCs w:val="20"/>
          <w:lang w:val="en-US"/>
        </w:rPr>
        <w:t>2. Method</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We will predominantly adopt Analytic Philosophy concepts based on epistemological methods. In this case, it will mean emphasizing precision, cogency, and thoroughness about a specific topic and deemphasizing all imprecise or offhanded discussion of broad topics. The </w:t>
      </w:r>
      <w:r w:rsidR="00572F12">
        <w:rPr>
          <w:rFonts w:ascii="Century Gothic" w:hAnsi="Century Gothic" w:cs="Arial"/>
          <w:sz w:val="20"/>
          <w:szCs w:val="20"/>
          <w:lang w:val="en-US"/>
        </w:rPr>
        <w:t>essential</w:t>
      </w:r>
      <w:r w:rsidRPr="004F4E91">
        <w:rPr>
          <w:rFonts w:ascii="Century Gothic" w:hAnsi="Century Gothic" w:cs="Arial"/>
          <w:sz w:val="20"/>
          <w:szCs w:val="20"/>
          <w:lang w:val="en-US"/>
        </w:rPr>
        <w:t xml:space="preserve"> characteristics to be adopted are: (i) an emphasis on clarity; (ii) employ of rigorous argument; (iii) the disregard of metaphysics, irrespective its relations with human behavioral matters; iv) contempt of obscurantism, of the imaginary, bias or supposition whatsoever; v) sound arguments, besides the inclusion of auxiliary contributions of many other nonphilosophical sources.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The methodology admits the constant use of coherent reasoning on cogent and sciences, such as but no</w:t>
      </w:r>
      <w:r w:rsidRPr="004F4E91">
        <w:rPr>
          <w:lang w:val="en-US"/>
        </w:rPr>
        <w:t xml:space="preserve">t </w:t>
      </w:r>
      <w:r w:rsidRPr="004F4E91">
        <w:rPr>
          <w:rFonts w:ascii="Century Gothic" w:hAnsi="Century Gothic" w:cs="Arial"/>
          <w:sz w:val="20"/>
          <w:szCs w:val="20"/>
          <w:lang w:val="en-US"/>
        </w:rPr>
        <w:t xml:space="preserve">limited to archeology, social and paleoanthropology, history, paleontology, social and cognitive psychology, behavioral sciences, </w:t>
      </w:r>
      <w:r w:rsidR="00572F12">
        <w:rPr>
          <w:rFonts w:ascii="Century Gothic" w:hAnsi="Century Gothic" w:cs="Arial"/>
          <w:sz w:val="20"/>
          <w:szCs w:val="20"/>
          <w:lang w:val="en-US"/>
        </w:rPr>
        <w:t>and many others.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t xml:space="preserve">Referring to these scientific elements, we will prefer the most accessible and simple ones, because their adoption in this philosophical study is complementary and aims only to ground the validity and cogency of arguments with known elements of the experimental empiric world. The </w:t>
      </w:r>
      <w:r w:rsidR="00572F12">
        <w:rPr>
          <w:rFonts w:ascii="Century Gothic" w:hAnsi="Century Gothic" w:cs="Arial"/>
          <w:sz w:val="20"/>
          <w:szCs w:val="20"/>
          <w:lang w:val="en-US"/>
        </w:rPr>
        <w:t>most cogen</w:t>
      </w:r>
      <w:r w:rsidRPr="004F4E91">
        <w:rPr>
          <w:rFonts w:ascii="Century Gothic" w:hAnsi="Century Gothic" w:cs="Arial"/>
          <w:sz w:val="20"/>
          <w:szCs w:val="20"/>
          <w:lang w:val="en-US"/>
        </w:rPr>
        <w:t>t methodological reasons for adopting the auxiliary elements are: (i) the acceptance of induction, (ii) few material elements, (iii) features of the object (antiquity, nomad populations, and absence of written and urban material elements).</w:t>
      </w:r>
    </w:p>
    <w:p w:rsidR="008D0320" w:rsidRPr="004F4E91" w:rsidRDefault="008D0320" w:rsidP="008D0320">
      <w:pPr>
        <w:spacing w:line="240" w:lineRule="auto"/>
        <w:jc w:val="both"/>
        <w:rPr>
          <w:rFonts w:ascii="Century Gothic" w:hAnsi="Century Gothic" w:cs="Arial"/>
          <w:b/>
          <w:sz w:val="20"/>
          <w:szCs w:val="20"/>
          <w:lang w:val="en-US"/>
        </w:rPr>
      </w:pPr>
      <w:r w:rsidRPr="004F4E91">
        <w:rPr>
          <w:rFonts w:ascii="Century Gothic" w:hAnsi="Century Gothic" w:cs="Arial"/>
          <w:b/>
          <w:sz w:val="20"/>
          <w:szCs w:val="20"/>
          <w:lang w:val="en-US"/>
        </w:rPr>
        <w:t>3. Materials</w:t>
      </w:r>
    </w:p>
    <w:p w:rsidR="008D0320" w:rsidRPr="004F4E91" w:rsidRDefault="008D0320" w:rsidP="008D0320">
      <w:pPr>
        <w:spacing w:line="240" w:lineRule="auto"/>
        <w:jc w:val="both"/>
        <w:rPr>
          <w:rFonts w:ascii="Century Gothic" w:hAnsi="Century Gothic" w:cs="Arial"/>
          <w:sz w:val="20"/>
          <w:szCs w:val="20"/>
          <w:lang w:val="en-US"/>
        </w:rPr>
      </w:pPr>
      <w:r w:rsidRPr="004F4E91">
        <w:rPr>
          <w:rFonts w:ascii="Century Gothic" w:hAnsi="Century Gothic" w:cs="Arial"/>
          <w:sz w:val="20"/>
          <w:szCs w:val="20"/>
          <w:lang w:val="en-US"/>
        </w:rPr>
        <w:lastRenderedPageBreak/>
        <w:t>Looking at the remote past, Philosophy does not walk alone anymore.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Presently, Archeology and Anthropology find their grounds on advanced theories and specific methods and occupy a relevant position in all social sciences issues in a very far sophisticated manner than in the past.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innovative methodologies of current multiscalar archeological researches offer much deeper perspectives on ancient changes on human social structures and bring material evidence of variation affecting human behavior and interaction in very distant time-space contexts.</w:t>
      </w:r>
    </w:p>
    <w:p w:rsidR="008D0320" w:rsidRPr="004F4E91" w:rsidRDefault="008D0320" w:rsidP="008D0320">
      <w:pPr>
        <w:spacing w:line="240" w:lineRule="auto"/>
        <w:jc w:val="both"/>
        <w:rPr>
          <w:rFonts w:ascii="Century Gothic" w:eastAsia="Times New Roman" w:hAnsi="Century Gothic"/>
          <w:sz w:val="20"/>
          <w:szCs w:val="20"/>
          <w:lang w:val="en-US" w:eastAsia="pt-BR"/>
        </w:rPr>
      </w:pPr>
      <w:r w:rsidRPr="004F4E91">
        <w:rPr>
          <w:rFonts w:ascii="Century Gothic" w:hAnsi="Century Gothic"/>
          <w:sz w:val="20"/>
          <w:szCs w:val="20"/>
          <w:lang w:val="en-US"/>
        </w:rPr>
        <w:t>The National Academy of Sciences of the United States of America published the complete article “</w:t>
      </w:r>
      <w:r w:rsidRPr="004F4E91">
        <w:rPr>
          <w:rFonts w:ascii="Century Gothic" w:eastAsia="Times New Roman" w:hAnsi="Century Gothic"/>
          <w:kern w:val="36"/>
          <w:sz w:val="20"/>
          <w:szCs w:val="20"/>
          <w:lang w:val="en-US" w:eastAsia="pt-BR"/>
        </w:rPr>
        <w:t xml:space="preserve">Archaeology as a social science” by </w:t>
      </w:r>
      <w:hyperlink r:id="rId16" w:history="1">
        <w:r w:rsidRPr="004F4E91">
          <w:rPr>
            <w:rFonts w:ascii="Century Gothic" w:eastAsia="Times New Roman" w:hAnsi="Century Gothic"/>
            <w:sz w:val="20"/>
            <w:szCs w:val="20"/>
            <w:lang w:val="en-US" w:eastAsia="pt-BR"/>
          </w:rPr>
          <w:t>Michael E. Smith</w:t>
        </w:r>
      </w:hyperlink>
      <w:r w:rsidRPr="004F4E91">
        <w:rPr>
          <w:rFonts w:ascii="Century Gothic" w:eastAsia="Times New Roman" w:hAnsi="Century Gothic"/>
          <w:sz w:val="20"/>
          <w:szCs w:val="20"/>
          <w:vertAlign w:val="superscript"/>
          <w:lang w:val="en-US" w:eastAsia="pt-BR"/>
        </w:rPr>
        <w:footnoteReference w:id="4"/>
      </w:r>
      <w:r w:rsidRPr="004F4E91">
        <w:rPr>
          <w:rFonts w:ascii="Century Gothic" w:eastAsia="Times New Roman" w:hAnsi="Century Gothic"/>
          <w:sz w:val="20"/>
          <w:szCs w:val="20"/>
          <w:lang w:val="en-US" w:eastAsia="pt-BR"/>
        </w:rPr>
        <w:t>,</w:t>
      </w:r>
      <w:r w:rsidRPr="004F4E91">
        <w:rPr>
          <w:rFonts w:ascii="Century Gothic" w:eastAsia="Times New Roman" w:hAnsi="Century Gothic"/>
          <w:sz w:val="20"/>
          <w:szCs w:val="20"/>
          <w:vertAlign w:val="superscript"/>
          <w:lang w:val="en-US" w:eastAsia="pt-BR"/>
        </w:rPr>
        <w:t xml:space="preserve"> </w:t>
      </w:r>
      <w:r w:rsidRPr="004F4E91">
        <w:rPr>
          <w:rFonts w:ascii="Century Gothic" w:eastAsia="Times New Roman" w:hAnsi="Century Gothic"/>
          <w:sz w:val="20"/>
          <w:szCs w:val="20"/>
          <w:lang w:val="en-US" w:eastAsia="pt-BR"/>
        </w:rPr>
        <w:t xml:space="preserve">Gary M. </w:t>
      </w:r>
      <w:r w:rsidRPr="004F4E91">
        <w:rPr>
          <w:rFonts w:ascii="Century Gothic" w:eastAsia="Times New Roman" w:hAnsi="Century Gothic" w:cs="Arial"/>
          <w:sz w:val="20"/>
          <w:szCs w:val="20"/>
          <w:lang w:val="en-US" w:eastAsia="pt-BR"/>
        </w:rPr>
        <w:t>Feinman</w:t>
      </w:r>
      <w:r w:rsidRPr="004F4E91">
        <w:rPr>
          <w:rFonts w:ascii="Century Gothic" w:eastAsia="Times New Roman" w:hAnsi="Century Gothic" w:cs="Arial"/>
          <w:sz w:val="20"/>
          <w:szCs w:val="20"/>
          <w:vertAlign w:val="superscript"/>
          <w:lang w:val="en-US" w:eastAsia="pt-BR"/>
        </w:rPr>
        <w:footnoteReference w:id="5"/>
      </w:r>
      <w:r w:rsidR="005803F6">
        <w:rPr>
          <w:rFonts w:ascii="Century Gothic" w:eastAsia="Times New Roman" w:hAnsi="Century Gothic" w:cs="Arial"/>
          <w:sz w:val="20"/>
          <w:szCs w:val="20"/>
          <w:lang w:val="en-US" w:eastAsia="pt-BR"/>
        </w:rPr>
        <w:t xml:space="preserve">, </w:t>
      </w:r>
      <w:hyperlink r:id="rId17" w:history="1">
        <w:r w:rsidRPr="004F4E91">
          <w:rPr>
            <w:rFonts w:ascii="Century Gothic" w:eastAsia="Times New Roman" w:hAnsi="Century Gothic" w:cs="Arial"/>
            <w:sz w:val="20"/>
            <w:szCs w:val="20"/>
            <w:lang w:val="en-US" w:eastAsia="pt-BR"/>
          </w:rPr>
          <w:t>Robert D. Drennan</w:t>
        </w:r>
      </w:hyperlink>
      <w:r w:rsidRPr="004F4E91">
        <w:rPr>
          <w:rFonts w:ascii="Century Gothic" w:eastAsia="Times New Roman" w:hAnsi="Century Gothic" w:cs="Arial"/>
          <w:sz w:val="20"/>
          <w:szCs w:val="20"/>
          <w:vertAlign w:val="superscript"/>
          <w:lang w:val="en-US" w:eastAsia="pt-BR"/>
        </w:rPr>
        <w:footnoteReference w:id="6"/>
      </w:r>
      <w:r w:rsidRPr="004F4E91">
        <w:rPr>
          <w:rFonts w:ascii="Century Gothic" w:eastAsia="Times New Roman" w:hAnsi="Century Gothic" w:cs="Arial"/>
          <w:sz w:val="20"/>
          <w:szCs w:val="20"/>
          <w:lang w:val="en-US" w:eastAsia="pt-BR"/>
        </w:rPr>
        <w:t>,</w:t>
      </w:r>
      <w:r w:rsidRPr="004F4E91">
        <w:rPr>
          <w:rFonts w:ascii="Century Gothic" w:eastAsia="Times New Roman" w:hAnsi="Century Gothic" w:cs="Arial"/>
          <w:sz w:val="20"/>
          <w:szCs w:val="20"/>
          <w:vertAlign w:val="superscript"/>
          <w:lang w:val="en-US" w:eastAsia="pt-BR"/>
        </w:rPr>
        <w:t xml:space="preserve"> </w:t>
      </w:r>
      <w:hyperlink r:id="rId18" w:history="1">
        <w:r w:rsidRPr="004F4E91">
          <w:rPr>
            <w:rFonts w:ascii="Century Gothic" w:eastAsia="Times New Roman" w:hAnsi="Century Gothic" w:cs="Arial"/>
            <w:sz w:val="20"/>
            <w:szCs w:val="20"/>
            <w:lang w:val="en-US" w:eastAsia="pt-BR"/>
          </w:rPr>
          <w:t>Timothy Earle</w:t>
        </w:r>
      </w:hyperlink>
      <w:r w:rsidRPr="004F4E91">
        <w:rPr>
          <w:rFonts w:ascii="Century Gothic" w:eastAsia="Times New Roman" w:hAnsi="Century Gothic" w:cs="Arial"/>
          <w:sz w:val="20"/>
          <w:szCs w:val="20"/>
          <w:vertAlign w:val="superscript"/>
          <w:lang w:val="en-US" w:eastAsia="pt-BR"/>
        </w:rPr>
        <w:footnoteReference w:id="7"/>
      </w:r>
      <w:r w:rsidRPr="004F4E91">
        <w:rPr>
          <w:rFonts w:ascii="Century Gothic" w:eastAsia="Times New Roman" w:hAnsi="Century Gothic" w:cs="Arial"/>
          <w:sz w:val="20"/>
          <w:szCs w:val="20"/>
          <w:lang w:val="en-US" w:eastAsia="pt-BR"/>
        </w:rPr>
        <w:t>,</w:t>
      </w:r>
      <w:r w:rsidRPr="004F4E91">
        <w:rPr>
          <w:rFonts w:ascii="Century Gothic" w:eastAsia="Times New Roman" w:hAnsi="Century Gothic" w:cs="Arial"/>
          <w:sz w:val="20"/>
          <w:szCs w:val="20"/>
          <w:vertAlign w:val="superscript"/>
          <w:lang w:val="en-US" w:eastAsia="pt-BR"/>
        </w:rPr>
        <w:t xml:space="preserve"> </w:t>
      </w:r>
      <w:r w:rsidR="005803F6">
        <w:rPr>
          <w:rFonts w:ascii="Century Gothic" w:eastAsia="Times New Roman" w:hAnsi="Century Gothic" w:cs="Arial"/>
          <w:sz w:val="20"/>
          <w:szCs w:val="20"/>
          <w:lang w:val="en-US" w:eastAsia="pt-BR"/>
        </w:rPr>
        <w:t xml:space="preserve">and </w:t>
      </w:r>
      <w:r w:rsidRPr="004F4E91">
        <w:rPr>
          <w:rFonts w:ascii="Century Gothic" w:eastAsia="Times New Roman" w:hAnsi="Century Gothic" w:cs="Arial"/>
          <w:sz w:val="20"/>
          <w:szCs w:val="20"/>
          <w:lang w:val="en-US" w:eastAsia="pt-BR"/>
        </w:rPr>
        <w:t>Ian Morris</w:t>
      </w:r>
      <w:r w:rsidRPr="004F4E91">
        <w:rPr>
          <w:rFonts w:ascii="Century Gothic" w:eastAsia="Times New Roman" w:hAnsi="Century Gothic" w:cs="Arial"/>
          <w:sz w:val="20"/>
          <w:szCs w:val="20"/>
          <w:vertAlign w:val="superscript"/>
          <w:lang w:val="en-US" w:eastAsia="pt-BR"/>
        </w:rPr>
        <w:footnoteReference w:id="8"/>
      </w:r>
      <w:r w:rsidRPr="004F4E91">
        <w:rPr>
          <w:rFonts w:ascii="Century Gothic" w:eastAsia="Times New Roman" w:hAnsi="Century Gothic" w:cs="Arial"/>
          <w:sz w:val="20"/>
          <w:szCs w:val="20"/>
          <w:lang w:val="en-US" w:eastAsia="pt-BR"/>
        </w:rPr>
        <w:t xml:space="preserve"> in which the authors affirm that</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For those interested in modeling long-term change in socioeconomic phenomena or understanding the deep background of modern practices, the days of fanciful speculation about the past on merely common-sense grounds or of uncritical extrapolation from the present are </w:t>
      </w:r>
      <w:r w:rsidRPr="004F4E91">
        <w:rPr>
          <w:rFonts w:ascii="Century Gothic" w:hAnsi="Century Gothic"/>
          <w:sz w:val="20"/>
          <w:szCs w:val="20"/>
          <w:lang w:val="en-US"/>
        </w:rPr>
        <w:lastRenderedPageBreak/>
        <w:t>over. The dirt-derived findings of archaeology are now providing an empirically sound account of what people did, and how they organized their affairs, in the distant past.</w:t>
      </w:r>
      <w:r w:rsidRPr="004F4E91">
        <w:rPr>
          <w:rFonts w:ascii="Century Gothic" w:hAnsi="Century Gothic"/>
          <w:sz w:val="14"/>
          <w:szCs w:val="20"/>
        </w:rPr>
        <w:footnoteReference w:id="9"/>
      </w:r>
      <w:r w:rsidRPr="004F4E91">
        <w:rPr>
          <w:rFonts w:ascii="Century Gothic" w:hAnsi="Century Gothic"/>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Our argument will take into account to have these demonstrated empirical elements as its ground. The most important contribution comes from all the nonlinguistic semiotic contents that these sciences can offer to become interpreted, as human remains, ancient burials, human sacrifices, animal remains, the ritual remains artifacts, locations inhabited in the period, and material elements with symbolic semiotic content (such as petroglyphs and others).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4.  Process</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How this fragmented evidence and scattered elements could be relevant and determinant in this study, aggregating conclusions to the philosophic reasoning?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contextualization method takes place here. This method, in its several variations, has been successfully applied in philosophy and social sciences. The start point is the definition of various specific and independent contexts composed by evident elements of the same space-time situation brought from the contribution of several sciences. In each of these contexts, the necessary relations of causation and correlation are logically deemed to be mandatorily present (employing preexistent evidence or knowledge), despite being still unknown. From this point on, </w:t>
      </w:r>
      <w:r w:rsidRPr="004F4E91">
        <w:rPr>
          <w:rFonts w:ascii="Century Gothic" w:hAnsi="Century Gothic"/>
          <w:sz w:val="20"/>
          <w:szCs w:val="20"/>
          <w:lang w:val="en-US"/>
        </w:rPr>
        <w:lastRenderedPageBreak/>
        <w:t>deductive and inductive processes can cogently demonstrate the existence or inexistence of the object of the research.</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the case of this thesis, it will work like the epistemological example of the soccer match. The soccer match occurred two years ago, and it is the context of our research. This context will be our framework. The only material element that we have is a colored photo. In the photo, we may see some of the players in an apparent movement, a part of the field, some spectators, a man with a black uniform very different from those used by the players, who supposedly could be the referee – and nothing else. However, we are searching for a ball, and the picture does not show a ball. However, the existence of a ball is a “sine qua non” condition for the existence of a soccer play in progress (a particular material element without which the context could not exist). Therefore, very cogently, we may affirm: “a ball is being used in this match,” despite it not being visible.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method adopts the epistemological idea that “the demonstration of the existence of the whole contains the demonstration of the existence of all its essential parts.” This inferential knowledge is considered by Bertrand Russel,</w:t>
      </w:r>
      <w:r w:rsidRPr="004F4E91">
        <w:rPr>
          <w:rFonts w:ascii="Century Gothic" w:hAnsi="Century Gothic"/>
          <w:sz w:val="12"/>
          <w:szCs w:val="20"/>
        </w:rPr>
        <w:footnoteReference w:id="10"/>
      </w:r>
      <w:r w:rsidRPr="004F4E91">
        <w:rPr>
          <w:rFonts w:ascii="Century Gothic" w:hAnsi="Century Gothic"/>
          <w:sz w:val="14"/>
          <w:szCs w:val="20"/>
          <w:lang w:val="en-US"/>
        </w:rPr>
        <w:t xml:space="preserve"> </w:t>
      </w:r>
      <w:r w:rsidRPr="004F4E91">
        <w:rPr>
          <w:rFonts w:ascii="Century Gothic" w:hAnsi="Century Gothic"/>
          <w:sz w:val="20"/>
          <w:szCs w:val="20"/>
          <w:lang w:val="en-US"/>
        </w:rPr>
        <w:t>once an investigation of the reality observed by this work cannot use any experience-based interaction, and depends on many referential and descriptive elements.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In the application of this method, we will build coherent contexts with fragmented evidence related to the same space-time situation, in such a way that none of these </w:t>
      </w:r>
      <w:r w:rsidRPr="004F4E91">
        <w:rPr>
          <w:rFonts w:ascii="Century Gothic" w:hAnsi="Century Gothic"/>
          <w:sz w:val="20"/>
          <w:szCs w:val="20"/>
          <w:lang w:val="en-US"/>
        </w:rPr>
        <w:lastRenderedPageBreak/>
        <w:t xml:space="preserve">contexts could be possible without the existence of moral tenets – the ball that with we will play.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are looking for the ball, and in this case, the ball is any moral tenet essential to the existence of the context. After their identification, all the moral foundations we can bring to the evidence may be organized and arranged in a moral system: the supposed and possibly existing moral system of prehistory.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t>CHAPTER III</w:t>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RESULTS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this paper, we will: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 Argue that Ethics is a multidisciplinary and autonomous philosophical matter and despite its interactions with other philosophical structures, such as metaphysics and ontology, we may better understand it when we see it as a social phenomenon subject to the analytical observation, from a specific methodological view.</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 Demonstrate that morality is an archetypal system and keeps unchanged its foundations since the most remote human experience, being plausible to consider it as a</w:t>
      </w:r>
      <w:r w:rsidR="00572F12">
        <w:rPr>
          <w:rFonts w:ascii="Century Gothic" w:hAnsi="Century Gothic"/>
          <w:sz w:val="20"/>
          <w:szCs w:val="20"/>
          <w:lang w:val="en-US"/>
        </w:rPr>
        <w:t xml:space="preserve"> first</w:t>
      </w:r>
      <w:r w:rsidRPr="004F4E91">
        <w:rPr>
          <w:rFonts w:ascii="Century Gothic" w:hAnsi="Century Gothic"/>
          <w:sz w:val="20"/>
          <w:szCs w:val="20"/>
          <w:lang w:val="en-US"/>
        </w:rPr>
        <w:t xml:space="preserve"> attribute of the “homo sapiens,” albeit being somehow cultural relative and adaptable to social and technological evolution.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 Demonstrate that understanding morality imposes looking back at the origins of this archetype and its remote contents.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 Demonstrate how this archetype evolved up to the present days through genetic and neural evolutionary mechanisms.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e) Recompose the prehistoric moral system and compare it with modern moral, social, economic, and political models and behaviors.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CHAPTER IV</w:t>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TRADITIONAL THEORIES ON ORIGINS OF MORALITY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1– The Divine Command Theory</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Divine Command Theory (also known as “theological voluntarism,” “theistic subjectivi</w:t>
      </w:r>
      <w:r w:rsidR="00B905D9">
        <w:rPr>
          <w:rFonts w:ascii="Century Gothic" w:hAnsi="Century Gothic"/>
          <w:sz w:val="20"/>
          <w:szCs w:val="20"/>
          <w:lang w:val="en-US"/>
        </w:rPr>
        <w:t xml:space="preserve">sm,” or simply DCT or DCM) is a </w:t>
      </w:r>
      <w:hyperlink r:id="rId19" w:history="1">
        <w:r w:rsidRPr="004F4E91">
          <w:rPr>
            <w:rFonts w:ascii="Century Gothic" w:hAnsi="Century Gothic"/>
            <w:sz w:val="20"/>
            <w:szCs w:val="20"/>
            <w:lang w:val="en-US"/>
          </w:rPr>
          <w:t>meta-ethical</w:t>
        </w:r>
      </w:hyperlink>
      <w:r w:rsidR="00B905D9">
        <w:rPr>
          <w:rFonts w:ascii="Century Gothic" w:hAnsi="Century Gothic"/>
          <w:sz w:val="20"/>
          <w:szCs w:val="20"/>
          <w:lang w:val="en-US"/>
        </w:rPr>
        <w:t xml:space="preserve"> </w:t>
      </w:r>
      <w:r w:rsidRPr="004F4E91">
        <w:rPr>
          <w:rFonts w:ascii="Century Gothic" w:hAnsi="Century Gothic"/>
          <w:sz w:val="20"/>
          <w:szCs w:val="20"/>
          <w:lang w:val="en-US"/>
        </w:rPr>
        <w:t>theory that claims that morals are a consequence of God’s wish and that there is a universal moral obligation of obedience to God’s commands. Revelation gives God’s commands to humankind, and its content resides in the sacred books.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may understand DCT as belonging to </w:t>
      </w:r>
      <w:hyperlink r:id="rId20" w:history="1">
        <w:r w:rsidRPr="004F4E91">
          <w:rPr>
            <w:rFonts w:ascii="Century Gothic" w:hAnsi="Century Gothic"/>
            <w:sz w:val="20"/>
            <w:szCs w:val="20"/>
            <w:lang w:val="en-US"/>
          </w:rPr>
          <w:t>moral absolutism</w:t>
        </w:r>
      </w:hyperlink>
      <w:r w:rsidRPr="004F4E91">
        <w:rPr>
          <w:rFonts w:ascii="Century Gothic" w:hAnsi="Century Gothic"/>
          <w:sz w:val="20"/>
          <w:szCs w:val="20"/>
          <w:lang w:val="en-US"/>
        </w:rPr>
        <w:t>, which holds that humanity is subject to absolute standards that determine when acts are right or wrong. Moral absolutism, in turn, falls under the umbrella of </w:t>
      </w:r>
      <w:hyperlink r:id="rId21" w:history="1">
        <w:r w:rsidRPr="004F4E91">
          <w:rPr>
            <w:rFonts w:ascii="Century Gothic" w:hAnsi="Century Gothic"/>
            <w:sz w:val="20"/>
            <w:szCs w:val="20"/>
            <w:lang w:val="en-US"/>
          </w:rPr>
          <w:t>deontological ethics</w:t>
        </w:r>
      </w:hyperlink>
      <w:r w:rsidRPr="004F4E91">
        <w:rPr>
          <w:rFonts w:ascii="Century Gothic" w:hAnsi="Century Gothic"/>
          <w:sz w:val="20"/>
          <w:szCs w:val="20"/>
          <w:lang w:val="en-US"/>
        </w:rPr>
        <w:t>, which teaches that actions are moral or not based on their adherence to given rules. That is the reason why DCT looks very close to the philosophy of law.</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divine command theory says that an act is moral if it follows the command of God. God's commands dictate right and wrong—what He says to do is right, and what He says not to do is wrong. Human intent, human nature, nor human character are the basis of morality. The consequence of the action, as well, does not qualify its moral content, which finds It is foundations solely on what God says.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Most followers of the three Abrahamic traditions have universally accepted this theocentric, metaphysic, and </w:t>
      </w:r>
      <w:r w:rsidRPr="004F4E91">
        <w:rPr>
          <w:rFonts w:ascii="Century Gothic" w:hAnsi="Century Gothic"/>
          <w:sz w:val="20"/>
          <w:szCs w:val="20"/>
          <w:lang w:val="en-US"/>
        </w:rPr>
        <w:lastRenderedPageBreak/>
        <w:t xml:space="preserve">deontological-grounded theory: Judaism, Christianity, and Islam. The specific content of these divine commands varies according to the particular religion and the particular views of the individual theorist, which gives </w:t>
      </w:r>
      <w:r w:rsidR="00572F12">
        <w:rPr>
          <w:rFonts w:ascii="Century Gothic" w:hAnsi="Century Gothic"/>
          <w:sz w:val="20"/>
          <w:szCs w:val="20"/>
          <w:lang w:val="en-US"/>
        </w:rPr>
        <w:t>specific</w:t>
      </w:r>
      <w:r w:rsidRPr="004F4E91">
        <w:rPr>
          <w:rFonts w:ascii="Century Gothic" w:hAnsi="Century Gothic"/>
          <w:sz w:val="20"/>
          <w:szCs w:val="20"/>
          <w:lang w:val="en-US"/>
        </w:rPr>
        <w:t xml:space="preserve"> relativity to the concepts of commands keeping, however, the uniform structure of its foundations.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Many versions of the theory emerged since its original formulations. The theory claims that moral truth </w:t>
      </w:r>
      <w:r w:rsidR="00572F12">
        <w:rPr>
          <w:rFonts w:ascii="Century Gothic" w:hAnsi="Century Gothic"/>
          <w:sz w:val="20"/>
          <w:szCs w:val="20"/>
          <w:lang w:val="en-US"/>
        </w:rPr>
        <w:t xml:space="preserve">does not exist independently of </w:t>
      </w:r>
      <w:hyperlink r:id="rId22" w:tooltip="God" w:history="1">
        <w:r w:rsidRPr="00572F12">
          <w:rPr>
            <w:rFonts w:ascii="Century Gothic" w:hAnsi="Century Gothic"/>
            <w:sz w:val="20"/>
            <w:szCs w:val="20"/>
            <w:lang w:val="en-US"/>
          </w:rPr>
          <w:t>God</w:t>
        </w:r>
      </w:hyperlink>
      <w:r w:rsidR="00572F12" w:rsidRPr="00572F12">
        <w:rPr>
          <w:rFonts w:ascii="Century Gothic" w:hAnsi="Century Gothic"/>
          <w:sz w:val="20"/>
          <w:szCs w:val="20"/>
          <w:lang w:val="en-US"/>
        </w:rPr>
        <w:t xml:space="preserve"> </w:t>
      </w:r>
      <w:r w:rsidRPr="004F4E91">
        <w:rPr>
          <w:rFonts w:ascii="Century Gothic" w:hAnsi="Century Gothic"/>
          <w:sz w:val="20"/>
          <w:szCs w:val="20"/>
          <w:lang w:val="en-US"/>
        </w:rPr>
        <w:t>and that his divine commands determine morality. Harder conceptions of the DCT states that God's command is the only tenet that a good action is moral</w:t>
      </w:r>
      <w:r w:rsidR="00572F12">
        <w:rPr>
          <w:rFonts w:ascii="Century Gothic" w:hAnsi="Century Gothic"/>
          <w:sz w:val="20"/>
          <w:szCs w:val="20"/>
          <w:lang w:val="en-US"/>
        </w:rPr>
        <w:t>ly valuable</w:t>
      </w:r>
      <w:r w:rsidRPr="004F4E91">
        <w:rPr>
          <w:rFonts w:ascii="Century Gothic" w:hAnsi="Century Gothic"/>
          <w:sz w:val="20"/>
          <w:szCs w:val="20"/>
          <w:lang w:val="en-US"/>
        </w:rPr>
        <w:t xml:space="preserve"> and</w:t>
      </w:r>
      <w:r w:rsidR="00572F12">
        <w:rPr>
          <w:rFonts w:ascii="Century Gothic" w:hAnsi="Century Gothic"/>
          <w:sz w:val="20"/>
          <w:szCs w:val="20"/>
          <w:lang w:val="en-US"/>
        </w:rPr>
        <w:t>, last</w:t>
      </w:r>
      <w:r w:rsidRPr="004F4E91">
        <w:rPr>
          <w:rFonts w:ascii="Century Gothic" w:hAnsi="Century Gothic"/>
          <w:sz w:val="20"/>
          <w:szCs w:val="20"/>
          <w:lang w:val="en-US"/>
        </w:rPr>
        <w:t xml:space="preserve"> but not least, the more concessive variations indicate divine command as a vital component within </w:t>
      </w:r>
      <w:r w:rsidR="00572F12">
        <w:rPr>
          <w:rFonts w:ascii="Century Gothic" w:hAnsi="Century Gothic"/>
          <w:sz w:val="20"/>
          <w:szCs w:val="20"/>
          <w:lang w:val="en-US"/>
        </w:rPr>
        <w:t>more significant</w:t>
      </w:r>
      <w:r w:rsidRPr="004F4E91">
        <w:rPr>
          <w:rFonts w:ascii="Century Gothic" w:hAnsi="Century Gothic"/>
          <w:sz w:val="20"/>
          <w:szCs w:val="20"/>
          <w:lang w:val="en-US"/>
        </w:rPr>
        <w:t xml:space="preserve"> reason</w:t>
      </w:r>
      <w:r w:rsidR="00572F12">
        <w:rPr>
          <w:rFonts w:ascii="Century Gothic" w:hAnsi="Century Gothic"/>
          <w:sz w:val="20"/>
          <w:szCs w:val="20"/>
          <w:lang w:val="en-US"/>
        </w:rPr>
        <w:t>ing</w:t>
      </w:r>
      <w:r w:rsidRPr="004F4E9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Being somehow relative, the DCT had the full acceptance of many prominent philosophers and theologians, mostly in the Christian world, during the last twenty centuries, including St Augustine, St Thomas Aquinas, Rene Descartes, William of Ockham, Blaise Pascal, Martin Luther, Philip Quinn, and Robert Adams.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foundations of the DCT, as well, have permeated the Muslim tradition for centuries</w:t>
      </w:r>
      <w:r w:rsidRPr="004F4E91">
        <w:rPr>
          <w:rFonts w:ascii="Century Gothic" w:hAnsi="Century Gothic"/>
          <w:sz w:val="12"/>
          <w:szCs w:val="20"/>
        </w:rPr>
        <w:footnoteReference w:id="11"/>
      </w:r>
      <w:r w:rsidRPr="004F4E91">
        <w:rPr>
          <w:rFonts w:ascii="Century Gothic" w:hAnsi="Century Gothic"/>
          <w:sz w:val="20"/>
          <w:szCs w:val="20"/>
          <w:lang w:val="en-US"/>
        </w:rPr>
        <w:t>, albeit modern scholars refute the contemporary ideas that Islam is a defining case of ethical voluntarism.</w:t>
      </w:r>
      <w:r w:rsidRPr="004F4E91">
        <w:rPr>
          <w:rFonts w:ascii="Century Gothic" w:hAnsi="Century Gothic"/>
          <w:sz w:val="12"/>
          <w:szCs w:val="20"/>
        </w:rPr>
        <w:footnoteReference w:id="12"/>
      </w:r>
      <w:r w:rsidRPr="004F4E91">
        <w:rPr>
          <w:rFonts w:ascii="Century Gothic" w:hAnsi="Century Gothic"/>
          <w:sz w:val="20"/>
          <w:szCs w:val="20"/>
          <w:lang w:val="en-US"/>
        </w:rPr>
        <w:t xml:space="preserve"> Considering that the traditional moral concepts of the Jewish culture are theocentric, as they are in Christianity and the Islamic culture, for sure, the </w:t>
      </w:r>
      <w:r w:rsidRPr="004F4E91">
        <w:rPr>
          <w:rFonts w:ascii="Century Gothic" w:hAnsi="Century Gothic"/>
          <w:sz w:val="20"/>
          <w:szCs w:val="20"/>
          <w:lang w:val="en-US"/>
        </w:rPr>
        <w:lastRenderedPageBreak/>
        <w:t>theory found its place among Jewish philosophers and religious thinkers.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However, nowadays, as it happens with Islamic thinking, modern Jewish scholars refuse the idea of generalization and permanence of such influence. Avi Sagi and Daniel Statman</w:t>
      </w:r>
      <w:r w:rsidRPr="004F4E91">
        <w:rPr>
          <w:rFonts w:ascii="Century Gothic" w:hAnsi="Century Gothic"/>
          <w:sz w:val="14"/>
          <w:szCs w:val="20"/>
        </w:rPr>
        <w:footnoteReference w:id="13"/>
      </w:r>
      <w:r w:rsidRPr="004F4E91">
        <w:rPr>
          <w:rFonts w:ascii="Century Gothic" w:hAnsi="Century Gothic"/>
          <w:sz w:val="20"/>
          <w:szCs w:val="20"/>
          <w:lang w:val="en-US"/>
        </w:rPr>
        <w:t xml:space="preserve"> state that we should expect that DCT theories were founded in Judaism, considering their presence in Christianity and Islam. However, the authors demonstrate that in the Jewish texts, this presence is not confirmed, and, unlikely this supposition, some texts are opposed to the DCT concepts. Attempting to demonstrate the absence of the theory, they claim that the moral and rational character of God according to Judaism, as well as the rational nature of “halakha,” do not configure sufficient grounds for accepting DCT thesis.  Irrespective of its many variations, the foundations of all Divine Command philosophical doctrines </w:t>
      </w:r>
      <w:r w:rsidR="00572F12">
        <w:rPr>
          <w:rFonts w:ascii="Century Gothic" w:hAnsi="Century Gothic"/>
          <w:sz w:val="20"/>
          <w:szCs w:val="20"/>
          <w:lang w:val="en-US"/>
        </w:rPr>
        <w:t>initi</w:t>
      </w:r>
      <w:r w:rsidRPr="004F4E91">
        <w:rPr>
          <w:rFonts w:ascii="Century Gothic" w:hAnsi="Century Gothic"/>
          <w:sz w:val="20"/>
          <w:szCs w:val="20"/>
          <w:lang w:val="en-US"/>
        </w:rPr>
        <w:t>ally link to the central idea of the existence of a Natural Law, one of the most controversial matters of human culture and human thinking since its early beginning.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Formally, the natural law is understandable with simplicity, and we may reduce it to the announcement of its original foundations. Nevertheless, the importance of these concepts to any philosophical exercise related to morals imposes </w:t>
      </w:r>
      <w:r w:rsidR="00572F12">
        <w:rPr>
          <w:rFonts w:ascii="Century Gothic" w:hAnsi="Century Gothic"/>
          <w:sz w:val="20"/>
          <w:szCs w:val="20"/>
          <w:lang w:val="en-US"/>
        </w:rPr>
        <w:t>widesprea</w:t>
      </w:r>
      <w:r w:rsidRPr="004F4E91">
        <w:rPr>
          <w:rFonts w:ascii="Century Gothic" w:hAnsi="Century Gothic"/>
          <w:sz w:val="20"/>
          <w:szCs w:val="20"/>
          <w:lang w:val="en-US"/>
        </w:rPr>
        <w:t xml:space="preserve">d attention to their meaning, moreover because the concept of morality under the natural law theory is not subjective. Therefore, the definition of what is </w:t>
      </w:r>
      <w:r w:rsidRPr="004F4E91">
        <w:rPr>
          <w:rFonts w:ascii="Century Gothic" w:hAnsi="Century Gothic"/>
          <w:sz w:val="20"/>
          <w:szCs w:val="20"/>
          <w:lang w:val="en-US"/>
        </w:rPr>
        <w:lastRenderedPageBreak/>
        <w:t>'right' and what is 'wrong' is the same for everyone, everywhere, as it persists in other deontological theories</w:t>
      </w:r>
      <w:r w:rsidRPr="004F4E91">
        <w:rPr>
          <w:rFonts w:ascii="Century Gothic" w:hAnsi="Century Gothic"/>
          <w:sz w:val="18"/>
          <w:szCs w:val="20"/>
          <w:lang w:val="en-US"/>
        </w:rPr>
        <w:t>.</w:t>
      </w:r>
      <w:r w:rsidRPr="004F4E91">
        <w:rPr>
          <w:rFonts w:ascii="Century Gothic" w:hAnsi="Century Gothic"/>
          <w:sz w:val="14"/>
          <w:szCs w:val="20"/>
        </w:rPr>
        <w:footnoteReference w:id="14"/>
      </w:r>
      <w:r w:rsidRPr="004F4E91">
        <w:rPr>
          <w:rFonts w:ascii="Century Gothic" w:hAnsi="Century Gothic"/>
          <w:sz w:val="14"/>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This approach of DCT with natural law traditions accentuates its deontological structure and brings a</w:t>
      </w:r>
      <w:r w:rsidR="00572F12">
        <w:rPr>
          <w:rFonts w:ascii="Century Gothic" w:hAnsi="Century Gothic"/>
          <w:sz w:val="20"/>
          <w:szCs w:val="20"/>
          <w:lang w:val="en-US"/>
        </w:rPr>
        <w:t>n inevitable</w:t>
      </w:r>
      <w:r w:rsidRPr="004F4E91">
        <w:rPr>
          <w:rFonts w:ascii="Century Gothic" w:hAnsi="Century Gothic"/>
          <w:sz w:val="20"/>
          <w:szCs w:val="20"/>
          <w:lang w:val="en-US"/>
        </w:rPr>
        <w:t xml:space="preserve"> immersion in practical ethics, as explained by Felix Ayemere Airoboman</w:t>
      </w:r>
      <w:r w:rsidRPr="004F4E91">
        <w:rPr>
          <w:rFonts w:ascii="Century Gothic" w:hAnsi="Century Gothic"/>
          <w:sz w:val="14"/>
          <w:szCs w:val="20"/>
        </w:rPr>
        <w:footnoteReference w:id="15"/>
      </w:r>
      <w:r w:rsidRPr="004F4E91">
        <w:rPr>
          <w:rFonts w:ascii="Century Gothic" w:hAnsi="Century Gothic"/>
          <w:sz w:val="20"/>
          <w:szCs w:val="20"/>
          <w:lang w:val="en-US"/>
        </w:rPr>
        <w:t>:</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Divine command theory seems to blur the difference between law and morality. It posits its claims as if God's law stands for human morality. What God has given a man is law just as a nation gives its statutes to its citizens through its constitution. Failure to comply with the law either of man or God is backed with the threat. But morality springs from the free will or free action of the moral agent, independent of law or threat. However, divine command theory has the merit of addressing some problems of morality inherent in other ethical theories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Divine command theory, as well as natural law ideas, are widely held to be refuted in many ways. In this paper, we will not discuss the validity of the oppositions to the Divine Command concepts from the standpoint of any bias linked to conflicts between religion, philosophy, and science, usually taken into account in this discussion. From the eyes of the modern Analytic Philosophy strand adopted by the author, science and religion should not conflict. Science is a mental process from human rationality and never will </w:t>
      </w:r>
      <w:r w:rsidRPr="004F4E91">
        <w:rPr>
          <w:rFonts w:ascii="Century Gothic" w:hAnsi="Century Gothic"/>
          <w:sz w:val="20"/>
          <w:szCs w:val="20"/>
          <w:lang w:val="en-US"/>
        </w:rPr>
        <w:lastRenderedPageBreak/>
        <w:t xml:space="preserve">succeed in denying the existence of God. On the other hand, holding or denying science has never been the meaning or scope of Religion. The conflict between science and religion is mostly a very mistaken personal or ideological bias from philosophers, scientists, or religious thinkers.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Eduard Osborne Wilson</w:t>
      </w:r>
      <w:r w:rsidRPr="004F4E91">
        <w:rPr>
          <w:rFonts w:ascii="Century Gothic" w:hAnsi="Century Gothic"/>
          <w:sz w:val="14"/>
          <w:szCs w:val="20"/>
        </w:rPr>
        <w:footnoteReference w:id="16"/>
      </w:r>
      <w:r w:rsidRPr="004F4E91">
        <w:rPr>
          <w:rFonts w:ascii="Century Gothic" w:hAnsi="Century Gothic"/>
          <w:sz w:val="20"/>
          <w:szCs w:val="20"/>
          <w:lang w:val="en-US"/>
        </w:rPr>
        <w:t xml:space="preserve"> once said that it is not productive opposing Science and Religion because they are the two most powerful forces in the World. Abdulla Galadari</w:t>
      </w:r>
      <w:r w:rsidRPr="004F4E91">
        <w:rPr>
          <w:rFonts w:ascii="Century Gothic" w:hAnsi="Century Gothic"/>
          <w:sz w:val="14"/>
          <w:szCs w:val="20"/>
        </w:rPr>
        <w:footnoteReference w:id="17"/>
      </w:r>
      <w:r w:rsidRPr="004F4E91">
        <w:rPr>
          <w:rFonts w:ascii="Century Gothic" w:hAnsi="Century Gothic"/>
          <w:sz w:val="14"/>
          <w:szCs w:val="20"/>
          <w:lang w:val="en-US"/>
        </w:rPr>
        <w:t xml:space="preserve"> </w:t>
      </w:r>
      <w:r w:rsidRPr="004F4E91">
        <w:rPr>
          <w:rFonts w:ascii="Century Gothic" w:hAnsi="Century Gothic"/>
          <w:sz w:val="20"/>
          <w:szCs w:val="20"/>
          <w:lang w:val="en-US"/>
        </w:rPr>
        <w:t>emphasizes that Scientists would not ever be Scientists if they are not Theologians at the same time and vice versa. They are complementary, attesting and justifying one for each other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w:t>
      </w:r>
      <w:r w:rsidR="00572F12">
        <w:rPr>
          <w:rFonts w:ascii="Century Gothic" w:hAnsi="Century Gothic"/>
          <w:sz w:val="20"/>
          <w:szCs w:val="20"/>
          <w:lang w:val="en-US"/>
        </w:rPr>
        <w:t>most vigorous</w:t>
      </w:r>
      <w:r w:rsidRPr="004F4E91">
        <w:rPr>
          <w:rFonts w:ascii="Century Gothic" w:hAnsi="Century Gothic"/>
          <w:sz w:val="20"/>
          <w:szCs w:val="20"/>
          <w:lang w:val="en-US"/>
        </w:rPr>
        <w:t xml:space="preserve"> and most known opposition to the Divine Command Theory is a repetitive argument of implicit refutation known as “the Euthyphro Dilemma.”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Dilemma rests</w:t>
      </w:r>
      <w:r w:rsidR="00572F12">
        <w:rPr>
          <w:rFonts w:ascii="Century Gothic" w:hAnsi="Century Gothic"/>
          <w:sz w:val="20"/>
          <w:szCs w:val="20"/>
          <w:lang w:val="en-US"/>
        </w:rPr>
        <w:t xml:space="preserve"> on the followed questions in a </w:t>
      </w:r>
      <w:hyperlink r:id="rId23" w:tooltip="Socratic dialogue" w:history="1">
        <w:r w:rsidRPr="00572F12">
          <w:rPr>
            <w:rFonts w:ascii="Century Gothic" w:hAnsi="Century Gothic"/>
            <w:sz w:val="20"/>
            <w:szCs w:val="20"/>
            <w:lang w:val="en-US"/>
          </w:rPr>
          <w:t>Socratic dialogue</w:t>
        </w:r>
      </w:hyperlink>
      <w:r w:rsidR="00572F12">
        <w:rPr>
          <w:rFonts w:ascii="Century Gothic" w:hAnsi="Century Gothic"/>
          <w:sz w:val="20"/>
          <w:szCs w:val="20"/>
          <w:lang w:val="en-US"/>
        </w:rPr>
        <w:t xml:space="preserve"> </w:t>
      </w:r>
      <w:r w:rsidRPr="004F4E91">
        <w:rPr>
          <w:rFonts w:ascii="Century Gothic" w:hAnsi="Century Gothic"/>
          <w:sz w:val="20"/>
          <w:szCs w:val="20"/>
          <w:lang w:val="en-US"/>
        </w:rPr>
        <w:t>whose events occu</w:t>
      </w:r>
      <w:r w:rsidR="00572F12">
        <w:rPr>
          <w:rFonts w:ascii="Century Gothic" w:hAnsi="Century Gothic"/>
          <w:sz w:val="20"/>
          <w:szCs w:val="20"/>
          <w:lang w:val="en-US"/>
        </w:rPr>
        <w:t xml:space="preserve">r in the weeks before his trial </w:t>
      </w:r>
      <w:r w:rsidRPr="004F4E91">
        <w:rPr>
          <w:rFonts w:ascii="Century Gothic" w:hAnsi="Century Gothic"/>
          <w:sz w:val="20"/>
          <w:szCs w:val="20"/>
          <w:lang w:val="en-US"/>
        </w:rPr>
        <w:t>(399 BC), b</w:t>
      </w:r>
      <w:r w:rsidR="00572F12">
        <w:rPr>
          <w:rFonts w:ascii="Century Gothic" w:hAnsi="Century Gothic"/>
          <w:sz w:val="20"/>
          <w:szCs w:val="20"/>
          <w:lang w:val="en-US"/>
        </w:rPr>
        <w:t xml:space="preserve">etween Socrates and </w:t>
      </w:r>
      <w:r w:rsidRPr="00572F12">
        <w:rPr>
          <w:rFonts w:ascii="Century Gothic" w:hAnsi="Century Gothic"/>
          <w:sz w:val="20"/>
          <w:szCs w:val="20"/>
          <w:lang w:val="en-US"/>
        </w:rPr>
        <w:t>Euthyphro,</w:t>
      </w:r>
      <w:r w:rsidR="00572F12">
        <w:rPr>
          <w:rFonts w:ascii="Century Gothic" w:hAnsi="Century Gothic"/>
          <w:sz w:val="20"/>
          <w:szCs w:val="20"/>
          <w:lang w:val="en-US"/>
        </w:rPr>
        <w:t xml:space="preserve"> who came to present charges of murder </w:t>
      </w:r>
      <w:r w:rsidRPr="004F4E91">
        <w:rPr>
          <w:rFonts w:ascii="Century Gothic" w:hAnsi="Century Gothic"/>
          <w:sz w:val="20"/>
          <w:szCs w:val="20"/>
          <w:lang w:val="en-US"/>
        </w:rPr>
        <w:t xml:space="preserve">against his own father.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Socrates asks Euthyphro: “Are morally good acts willed by God because they are morally good, or are they morally good because God wills them?”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Each of these two possibilities leads to consequences that the divine command theorist cannot accept. Whichever way the divine command theorist answers this question, he would be refuting his theory. It is possible to formulate this argument as follows: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If divine command theory is true, then either (i) morally good acts are willed by God because they are morally good, or (ii) morally good acts are morally good because God wills them.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If (i) morally good acts are willed by God because they are morally good, then they are morally good independent of God’s will.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It is not the case that morally good acts are morally good independent of God’s will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Therefore: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If (ii) morally good acts are morally good because God wills them, then there is no reason either to care about God’s moral goodness or to worship him.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 are reasons both to care about God’s moral goodness and to worship him.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Therefore:</w:t>
      </w:r>
      <w:r w:rsidRPr="004F4E91">
        <w:rPr>
          <w:rFonts w:ascii="Century Gothic" w:hAnsi="Century Gothic"/>
          <w:sz w:val="20"/>
          <w:szCs w:val="20"/>
          <w:lang w:val="en-US"/>
        </w:rPr>
        <w:br/>
        <w:t>(6) It is not the case that (ii) morally good acts are morally good because God wills them.</w:t>
      </w:r>
      <w:r w:rsidRPr="004F4E91">
        <w:rPr>
          <w:rFonts w:ascii="Century Gothic" w:hAnsi="Century Gothic"/>
          <w:sz w:val="20"/>
          <w:szCs w:val="20"/>
          <w:lang w:val="en-US"/>
        </w:rPr>
        <w:br/>
        <w:t>Therefore: (7) Divine command theory is false.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This argument is the kind of “battle of syllogisms,” </w:t>
      </w:r>
      <w:r w:rsidR="00572F12">
        <w:rPr>
          <w:rFonts w:ascii="Century Gothic" w:hAnsi="Century Gothic"/>
          <w:sz w:val="20"/>
          <w:szCs w:val="20"/>
          <w:lang w:val="en-US"/>
        </w:rPr>
        <w:t>widespread</w:t>
      </w:r>
      <w:r w:rsidRPr="004F4E91">
        <w:rPr>
          <w:rFonts w:ascii="Century Gothic" w:hAnsi="Century Gothic"/>
          <w:sz w:val="20"/>
          <w:szCs w:val="20"/>
          <w:lang w:val="en-US"/>
        </w:rPr>
        <w:t xml:space="preserve"> in some philosophical discussions. Some of them shelter important philosophic truths. Some others, however, are mistaken, just useless or sterile fallacies. An example is a popular argument called “a brain in a VAT,” offered by the radical determinists and other skeptics. Anyhow, all “battle of syllogisms” have in common the essential feature of being strictly limited to formal logic in a linguistic format. Doing philosophy wearing this straightjacket is the same as conceiving the human thinking as being like a simple digital calculator: something that understands all about syntax, none about semantics, </w:t>
      </w:r>
      <w:r w:rsidRPr="004F4E91">
        <w:rPr>
          <w:rFonts w:ascii="Century Gothic" w:hAnsi="Century Gothic"/>
          <w:sz w:val="20"/>
          <w:szCs w:val="20"/>
          <w:lang w:val="en-US"/>
        </w:rPr>
        <w:lastRenderedPageBreak/>
        <w:t xml:space="preserve">and that is useless in semiotics once being blind before the real world.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Many philosophers answered the Euthyphro Dilemma, and the most highlighted responses are the arguments known as “Bite the bullet,” “Human Nature,” and “Alstons </w:t>
      </w:r>
      <w:bookmarkStart w:id="1" w:name="_Hlk7605776"/>
      <w:r w:rsidRPr="004F4E91">
        <w:rPr>
          <w:rFonts w:ascii="Century Gothic" w:hAnsi="Century Gothic"/>
          <w:sz w:val="20"/>
          <w:szCs w:val="20"/>
          <w:lang w:val="en-US"/>
        </w:rPr>
        <w:t>Advice</w:t>
      </w:r>
      <w:bookmarkEnd w:id="1"/>
      <w:r w:rsidRPr="004F4E9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Despite being an </w:t>
      </w:r>
      <w:r w:rsidR="00572F12">
        <w:rPr>
          <w:rFonts w:ascii="Century Gothic" w:hAnsi="Century Gothic"/>
          <w:sz w:val="20"/>
          <w:szCs w:val="20"/>
          <w:lang w:val="en-US"/>
        </w:rPr>
        <w:t>essential</w:t>
      </w:r>
      <w:r w:rsidRPr="004F4E91">
        <w:rPr>
          <w:rFonts w:ascii="Century Gothic" w:hAnsi="Century Gothic"/>
          <w:sz w:val="20"/>
          <w:szCs w:val="20"/>
          <w:lang w:val="en-US"/>
        </w:rPr>
        <w:t xml:space="preserve"> reference to a </w:t>
      </w:r>
      <w:r w:rsidR="00572F12">
        <w:rPr>
          <w:rFonts w:ascii="Century Gothic" w:hAnsi="Century Gothic"/>
          <w:sz w:val="20"/>
          <w:szCs w:val="20"/>
          <w:lang w:val="en-US"/>
        </w:rPr>
        <w:t>more in-depth</w:t>
      </w:r>
      <w:r w:rsidRPr="004F4E91">
        <w:rPr>
          <w:rFonts w:ascii="Century Gothic" w:hAnsi="Century Gothic"/>
          <w:sz w:val="20"/>
          <w:szCs w:val="20"/>
          <w:lang w:val="en-US"/>
        </w:rPr>
        <w:t xml:space="preserve"> study on the DCT, there is no space left in this work to go over and over with this specific subject. </w:t>
      </w:r>
      <w:bookmarkStart w:id="2" w:name="_Hlk7538587"/>
      <w:r w:rsidRPr="004F4E91">
        <w:rPr>
          <w:rFonts w:ascii="Century Gothic" w:hAnsi="Century Gothic"/>
          <w:sz w:val="20"/>
          <w:szCs w:val="20"/>
          <w:lang w:val="en-US"/>
        </w:rPr>
        <w:t xml:space="preserve"> Furthermore, this is an endless debate.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Anyhow, the Euthyphro Dilemma</w:t>
      </w:r>
      <w:bookmarkEnd w:id="2"/>
      <w:r w:rsidRPr="004F4E91">
        <w:rPr>
          <w:rFonts w:ascii="Century Gothic" w:hAnsi="Century Gothic"/>
          <w:sz w:val="20"/>
          <w:szCs w:val="20"/>
          <w:lang w:val="en-US"/>
        </w:rPr>
        <w:t>, irrespective of being the most “taken into account” argument opposed to the Divine Command Theory, is not the only one nor the most considerable. Several others oppose with variable arguments.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Objections to the Divine Command Theory</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Semantic objection</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Michael Austin</w:t>
      </w:r>
      <w:r w:rsidRPr="004F4E91">
        <w:rPr>
          <w:rFonts w:ascii="Century Gothic" w:hAnsi="Century Gothic"/>
          <w:sz w:val="14"/>
          <w:szCs w:val="20"/>
        </w:rPr>
        <w:footnoteReference w:id="18"/>
      </w:r>
      <w:r w:rsidRPr="004F4E91">
        <w:rPr>
          <w:rFonts w:ascii="Century Gothic" w:hAnsi="Century Gothic"/>
          <w:sz w:val="20"/>
          <w:szCs w:val="20"/>
          <w:lang w:val="en-US"/>
        </w:rPr>
        <w:t xml:space="preserve">, reports that the Philosopher William Wainwright considered a challenge to the theory on semantic grounds, arguing that "being commanded by God" and "being obligatory" do not mean the same thing, contrary to what the theory suggests. Wainwright believed it demonstrated that the theory should not be used to formulate assertions about the meaning of obligation. Wainwright also noted that divine command theory might </w:t>
      </w:r>
      <w:r w:rsidRPr="004F4E91">
        <w:rPr>
          <w:rFonts w:ascii="Century Gothic" w:hAnsi="Century Gothic"/>
          <w:sz w:val="20"/>
          <w:szCs w:val="20"/>
          <w:lang w:val="en-US"/>
        </w:rPr>
        <w:lastRenderedPageBreak/>
        <w:t>imply that one can only have moral knowledge if one knows God. Edward Wierenght argued that, if this is the case, the theory seems to deny atheists and agnostics moral knowledge. Hugh Storer Chandler has</w:t>
      </w:r>
      <w:r w:rsidR="00F355C7">
        <w:rPr>
          <w:rFonts w:ascii="Century Gothic" w:hAnsi="Century Gothic"/>
          <w:sz w:val="20"/>
          <w:szCs w:val="20"/>
          <w:lang w:val="en-US"/>
        </w:rPr>
        <w:t xml:space="preserve"> challenged the theory based on </w:t>
      </w:r>
      <w:hyperlink r:id="rId24" w:tooltip="Modal logic" w:history="1">
        <w:r w:rsidRPr="004F4E91">
          <w:rPr>
            <w:rFonts w:ascii="Century Gothic" w:hAnsi="Century Gothic"/>
            <w:sz w:val="20"/>
            <w:szCs w:val="20"/>
            <w:lang w:val="en-US"/>
          </w:rPr>
          <w:t>modal</w:t>
        </w:r>
      </w:hyperlink>
      <w:r w:rsidR="00F355C7">
        <w:rPr>
          <w:rFonts w:ascii="Century Gothic" w:hAnsi="Century Gothic"/>
          <w:sz w:val="20"/>
          <w:szCs w:val="20"/>
          <w:lang w:val="en-US"/>
        </w:rPr>
        <w:t xml:space="preserve"> </w:t>
      </w:r>
      <w:r w:rsidRPr="004F4E91">
        <w:rPr>
          <w:rFonts w:ascii="Century Gothic" w:hAnsi="Century Gothic"/>
          <w:sz w:val="20"/>
          <w:szCs w:val="20"/>
          <w:lang w:val="en-US"/>
        </w:rPr>
        <w:t xml:space="preserve">ideas of what might exist in different worlds. He suggested that, even if one accepts that being commanded by God and being morally right are the same, they might not be synonyms because they might be different in other possible worlds.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The epistemological objection</w:t>
      </w:r>
      <w:r w:rsidRPr="004F4E9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According to the epistemological objection to divine command ethics, if morality is grounded in God’s commands, then those who do not believe in G</w:t>
      </w:r>
      <w:r w:rsidR="00F355C7">
        <w:rPr>
          <w:rFonts w:ascii="Century Gothic" w:hAnsi="Century Gothic"/>
          <w:sz w:val="20"/>
          <w:szCs w:val="20"/>
          <w:lang w:val="en-US"/>
        </w:rPr>
        <w:t xml:space="preserve">od cannot have moral knowledge. </w:t>
      </w:r>
      <w:r w:rsidRPr="004F4E91">
        <w:rPr>
          <w:rFonts w:ascii="Century Gothic" w:hAnsi="Century Gothic"/>
          <w:sz w:val="20"/>
          <w:szCs w:val="20"/>
          <w:lang w:val="en-US"/>
        </w:rPr>
        <w:t>Without moral knowledge, they do not hold any moral responsibility and have not any obligation related to God’s wishes. Moreover, In terms of this objection, DCT is deficient because certain groups of moral agents lack epistemic access to God’s commands, for many reasons, mostly because of the communication problem. How does God communicate to us his commandments?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These questions started a long and complex discussion between philosophers and theologians about the communication of God’s commands in such a way that we could understand</w:t>
      </w:r>
      <w:r w:rsidR="00F355C7">
        <w:rPr>
          <w:rFonts w:ascii="Century Gothic" w:hAnsi="Century Gothic"/>
          <w:sz w:val="20"/>
          <w:szCs w:val="20"/>
          <w:lang w:val="en-US"/>
        </w:rPr>
        <w:t xml:space="preserve"> if God has or not communicated </w:t>
      </w:r>
      <w:r w:rsidRPr="004F4E91">
        <w:rPr>
          <w:rFonts w:ascii="Century Gothic" w:hAnsi="Century Gothic"/>
          <w:sz w:val="20"/>
          <w:szCs w:val="20"/>
          <w:lang w:val="en-US"/>
        </w:rPr>
        <w:t>his will to us.</w:t>
      </w:r>
    </w:p>
    <w:p w:rsidR="008D0320" w:rsidRPr="004F4E91" w:rsidRDefault="00F355C7" w:rsidP="008D0320">
      <w:pPr>
        <w:spacing w:line="240" w:lineRule="auto"/>
        <w:jc w:val="both"/>
        <w:rPr>
          <w:rFonts w:ascii="Century Gothic" w:hAnsi="Century Gothic"/>
          <w:sz w:val="20"/>
          <w:szCs w:val="20"/>
          <w:lang w:val="en-US"/>
        </w:rPr>
      </w:pPr>
      <w:r>
        <w:rPr>
          <w:rFonts w:ascii="Century Gothic" w:hAnsi="Century Gothic"/>
          <w:sz w:val="20"/>
          <w:szCs w:val="20"/>
          <w:lang w:val="en-US"/>
        </w:rPr>
        <w:t xml:space="preserve">This objection has been raised–  and answered before. </w:t>
      </w:r>
      <w:r w:rsidR="008D0320" w:rsidRPr="004F4E91">
        <w:rPr>
          <w:rFonts w:ascii="Century Gothic" w:hAnsi="Century Gothic"/>
          <w:sz w:val="20"/>
          <w:szCs w:val="20"/>
          <w:lang w:val="en-US"/>
        </w:rPr>
        <w:t>However, the objection persists, it is reasonable to argue that it has not been substantially impro</w:t>
      </w:r>
      <w:r>
        <w:rPr>
          <w:rFonts w:ascii="Century Gothic" w:hAnsi="Century Gothic"/>
          <w:sz w:val="20"/>
          <w:szCs w:val="20"/>
          <w:lang w:val="en-US"/>
        </w:rPr>
        <w:t xml:space="preserve">ved upon and does not deserve a </w:t>
      </w:r>
      <w:r w:rsidR="008D0320" w:rsidRPr="004F4E91">
        <w:rPr>
          <w:rFonts w:ascii="Century Gothic" w:hAnsi="Century Gothic"/>
          <w:sz w:val="20"/>
          <w:szCs w:val="20"/>
          <w:lang w:val="en-US"/>
        </w:rPr>
        <w:t>second h</w:t>
      </w:r>
      <w:r>
        <w:rPr>
          <w:rFonts w:ascii="Century Gothic" w:hAnsi="Century Gothic"/>
          <w:sz w:val="20"/>
          <w:szCs w:val="20"/>
          <w:lang w:val="en-US"/>
        </w:rPr>
        <w:t xml:space="preserve">earing. Whether or not God’s </w:t>
      </w:r>
      <w:r w:rsidR="008D0320" w:rsidRPr="004F4E91">
        <w:rPr>
          <w:rFonts w:ascii="Century Gothic" w:hAnsi="Century Gothic"/>
          <w:sz w:val="20"/>
          <w:szCs w:val="20"/>
          <w:lang w:val="en-US"/>
        </w:rPr>
        <w:t xml:space="preserve">commands provide the basis of moral facts does not imply that unbelievers cannot have moral knowledge since the </w:t>
      </w:r>
      <w:r w:rsidR="008D0320" w:rsidRPr="004F4E91">
        <w:rPr>
          <w:rFonts w:ascii="Century Gothic" w:hAnsi="Century Gothic"/>
          <w:sz w:val="20"/>
          <w:szCs w:val="20"/>
          <w:lang w:val="en-US"/>
        </w:rPr>
        <w:lastRenderedPageBreak/>
        <w:t>ability to know that something is true does not depend on our ability to know what makes it true.</w:t>
      </w:r>
      <w:r w:rsidR="008D0320" w:rsidRPr="004F4E91">
        <w:rPr>
          <w:rFonts w:ascii="Century Gothic" w:hAnsi="Century Gothic"/>
          <w:sz w:val="14"/>
          <w:szCs w:val="20"/>
        </w:rPr>
        <w:footnoteReference w:id="19"/>
      </w: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The Omnipotence Objection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modified Divine Command Theory faces the problem of the inference that, somehow, God could command acts of cruelty and other abhorrent behaviors. The DCT defenders strongly deny this inference.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However, the opponents of DCT argue that this denial is not coherent because it would contravene the assertion that God is omnipotent. If God is capable of creating, extinguish, and modify everything, the supposition that he could not determine these abhorrent commands is a contradiction.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Thomas Aquinas (1225 –1274) responds to this understanding of omnipotence based on the argument of possibility. According to the philosopher, the meaning of “all’ is not an absolute concept. Once this concept is a relative attribute, it should attempt to the principles of possibility and adequacy. Thus, God is capable of doing everything possible and adequate for his Divine Plan. For this reason, God never acts in a contradictory, false, or anyhow abhorrent manner.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Pursuant Aquinas, the nature of sin, such as giving abhorrent commands, is contrary to omnipotence. Hence, God being unable to do immoral actions is not a limit on his power, but rather, this comes from his omnipotence. In </w:t>
      </w:r>
      <w:r w:rsidRPr="004F4E91">
        <w:rPr>
          <w:rFonts w:ascii="Century Gothic" w:hAnsi="Century Gothic"/>
          <w:sz w:val="20"/>
          <w:szCs w:val="20"/>
          <w:lang w:val="en-US"/>
        </w:rPr>
        <w:lastRenderedPageBreak/>
        <w:t>other terms, Aquinas claims that God cannot command cruelty </w:t>
      </w:r>
      <w:r w:rsidR="00572F12">
        <w:rPr>
          <w:rFonts w:ascii="Century Gothic" w:hAnsi="Century Gothic"/>
          <w:sz w:val="20"/>
          <w:szCs w:val="20"/>
          <w:lang w:val="en-US"/>
        </w:rPr>
        <w:t>precise</w:t>
      </w:r>
      <w:r w:rsidR="00F355C7">
        <w:rPr>
          <w:rFonts w:ascii="Century Gothic" w:hAnsi="Century Gothic"/>
          <w:sz w:val="20"/>
          <w:szCs w:val="20"/>
          <w:lang w:val="en-US"/>
        </w:rPr>
        <w:t xml:space="preserve">ly because </w:t>
      </w:r>
      <w:r w:rsidRPr="004F4E91">
        <w:rPr>
          <w:rFonts w:ascii="Century Gothic" w:hAnsi="Century Gothic"/>
          <w:sz w:val="20"/>
          <w:szCs w:val="20"/>
          <w:lang w:val="en-US"/>
        </w:rPr>
        <w:t>he is omnipotent.</w:t>
      </w:r>
      <w:r w:rsidRPr="004F4E91">
        <w:rPr>
          <w:rFonts w:ascii="Century Gothic" w:hAnsi="Century Gothic"/>
          <w:sz w:val="14"/>
          <w:szCs w:val="20"/>
        </w:rPr>
        <w:footnoteReference w:id="20"/>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bookmarkStart w:id="3" w:name="SH7b"/>
      <w:bookmarkEnd w:id="3"/>
      <w:r w:rsidRPr="004F4E91">
        <w:rPr>
          <w:rFonts w:ascii="Century Gothic" w:hAnsi="Century Gothic"/>
          <w:b/>
          <w:sz w:val="20"/>
          <w:szCs w:val="20"/>
          <w:lang w:val="en-US"/>
        </w:rPr>
        <w:t>The Omnibenevolence Objection</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To the nihilists, God’s quality of Omnibenevolence makes logically evident a limit to his Omnipotence; thus, anyhow, it is a contradiction.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Nevertheless, the problem of Omnibenevolence is formulated because, if all actions containing a positive moral value is a consequence of God’s commands, this is the same as God doing </w:t>
      </w:r>
      <w:r w:rsidR="00572F12">
        <w:rPr>
          <w:rFonts w:ascii="Century Gothic" w:hAnsi="Century Gothic"/>
          <w:sz w:val="20"/>
          <w:szCs w:val="20"/>
          <w:lang w:val="en-US"/>
        </w:rPr>
        <w:t>precise</w:t>
      </w:r>
      <w:r w:rsidRPr="004F4E91">
        <w:rPr>
          <w:rFonts w:ascii="Century Gothic" w:hAnsi="Century Gothic"/>
          <w:sz w:val="20"/>
          <w:szCs w:val="20"/>
          <w:lang w:val="en-US"/>
        </w:rPr>
        <w:t>ly what he commands himself to do, what is considered an incoherent conclusion.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Facing the argument, William Wainwright argued that, although God does not act because of his commands, it is still logical to say that God has reasons for his actions. He proposes that God is motivated by what is morally good and, when he commands what is morally good, it becomes morally obligatory.</w:t>
      </w:r>
      <w:r w:rsidRPr="004F4E91">
        <w:rPr>
          <w:rFonts w:ascii="Century Gothic" w:hAnsi="Century Gothic"/>
          <w:sz w:val="14"/>
          <w:szCs w:val="20"/>
        </w:rPr>
        <w:footnoteReference w:id="21"/>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this meaning, God is in “virtue of himself,” and all his acts are cases of agent-causation.</w:t>
      </w:r>
      <w:bookmarkStart w:id="4" w:name="SH7c"/>
      <w:bookmarkEnd w:id="4"/>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The Autonomy Objection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Claiming that any concept of good is whatever God determines it to be, the DCT somehow denies the autonomous human structure and takes morality into </w:t>
      </w:r>
      <w:r w:rsidRPr="004F4E91">
        <w:rPr>
          <w:rFonts w:ascii="Century Gothic" w:hAnsi="Century Gothic"/>
          <w:sz w:val="20"/>
          <w:szCs w:val="20"/>
          <w:lang w:val="en-US"/>
        </w:rPr>
        <w:lastRenderedPageBreak/>
        <w:t>account only as something entirely dependent on God’s will.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From this argument, many questions arise related to human moral liberty, identity, and responsibility, having reduced </w:t>
      </w:r>
      <w:r w:rsidR="00572F12">
        <w:rPr>
          <w:rFonts w:ascii="Century Gothic" w:hAnsi="Century Gothic"/>
          <w:sz w:val="20"/>
          <w:szCs w:val="20"/>
          <w:lang w:val="en-US"/>
        </w:rPr>
        <w:t>the possibility of independent thought and free will sharply</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Michael W. Austin</w:t>
      </w:r>
      <w:r w:rsidRPr="004F4E91">
        <w:rPr>
          <w:rFonts w:ascii="Century Gothic" w:hAnsi="Century Gothic"/>
          <w:sz w:val="14"/>
          <w:szCs w:val="20"/>
        </w:rPr>
        <w:footnoteReference w:id="22"/>
      </w:r>
      <w:r w:rsidRPr="004F4E91">
        <w:rPr>
          <w:rFonts w:ascii="Century Gothic" w:hAnsi="Century Gothic"/>
          <w:sz w:val="14"/>
          <w:szCs w:val="20"/>
          <w:lang w:val="en-US"/>
        </w:rPr>
        <w:t>,</w:t>
      </w:r>
      <w:r w:rsidRPr="004F4E91">
        <w:rPr>
          <w:rFonts w:ascii="Century Gothic" w:hAnsi="Century Gothic"/>
          <w:sz w:val="20"/>
          <w:szCs w:val="20"/>
          <w:lang w:val="en-US"/>
        </w:rPr>
        <w:t xml:space="preserve"> at Eastern Kentucky University, defends the DCT considering:</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We are no longer self-legislating beings in the moral realm, but instead followers of a moral law imposed on us from the outside. In this sense, autonomy is incompatible with Divine Command Theory, insofar as on the theory we do not impose the moral law upon ourselves. However, Adams (1999) argues that Divine Command Theory and moral responsibility are compatible because we are responsible for obeying or not obeying God’s commands, correctly understanding and applying them, and adopting a self-critical stance concerning what God has commanded us to do. Given this, we are autonomous because we must rely on our </w:t>
      </w:r>
      <w:bookmarkStart w:id="5" w:name="SH7d"/>
      <w:bookmarkEnd w:id="5"/>
      <w:r w:rsidRPr="004F4E91">
        <w:rPr>
          <w:rFonts w:ascii="Century Gothic" w:hAnsi="Century Gothic"/>
          <w:sz w:val="20"/>
          <w:szCs w:val="20"/>
          <w:lang w:val="en-US"/>
        </w:rPr>
        <w:t xml:space="preserve">Independent judgments about God’s goodness and what moral laws are inconsistent with God’s commands. Additionally, it seems that a divine command theorist can still say that we impose the moral law on ourselves by our agreeing to subject ourselves to it once we come to understand it, even if it ultimately is grounded in God’s commands. </w:t>
      </w: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lastRenderedPageBreak/>
        <w:t>The Pluralism Objection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Another objection refers to the fact that the notions of God are many, and for sure relative to very different historical and cultural elements. Moreover, many understandings of God may be conflictive and follow various foundations.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 moral theory grounded in God’s will cannot be universal, and so is always limited to each existing concept of the Divine, declares the pluralist argument.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Martin Austin</w:t>
      </w:r>
      <w:r w:rsidRPr="004F4E91">
        <w:rPr>
          <w:rFonts w:ascii="Century Gothic" w:hAnsi="Century Gothic"/>
          <w:sz w:val="14"/>
          <w:szCs w:val="20"/>
        </w:rPr>
        <w:footnoteReference w:id="23"/>
      </w:r>
      <w:r w:rsidRPr="004F4E91">
        <w:rPr>
          <w:rFonts w:ascii="Century Gothic" w:hAnsi="Century Gothic"/>
          <w:sz w:val="14"/>
          <w:szCs w:val="20"/>
          <w:lang w:val="en-US"/>
        </w:rPr>
        <w:t xml:space="preserve"> </w:t>
      </w:r>
      <w:r w:rsidRPr="004F4E91">
        <w:rPr>
          <w:rFonts w:ascii="Century Gothic" w:hAnsi="Century Gothic"/>
          <w:sz w:val="20"/>
          <w:szCs w:val="20"/>
          <w:lang w:val="en-US"/>
        </w:rPr>
        <w:t>believes that the argument contains a flaw for the reason that the existence of many religions and different concepts of God and divinity does not mean that they should be in conflict or are reciprocally excluding in such a way that the moral foundations become incompatible. He points out that this subject involves personal analysis and proper choices and that anyone must decide by himself which understanding of the divine to adopt. The same way, he should find which understanding of divine commands, within her particular tradition, is the most compelling.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He compares this situation with the deliberative process of a secular moralist facing a decision about which moral principles to elect to govern his life, among many moral traditions and several interpretations within those traditions.</w:t>
      </w:r>
    </w:p>
    <w:p w:rsidR="008D0320" w:rsidRPr="004F4E91" w:rsidRDefault="008D0320" w:rsidP="008D0320">
      <w:pPr>
        <w:spacing w:line="240" w:lineRule="auto"/>
        <w:rPr>
          <w:highlight w:val="yellow"/>
          <w:lang w:val="en-US"/>
        </w:rPr>
      </w:pPr>
      <w:r w:rsidRPr="004F4E91">
        <w:rPr>
          <w:rFonts w:ascii="Century Gothic" w:hAnsi="Century Gothic"/>
          <w:sz w:val="20"/>
          <w:szCs w:val="20"/>
          <w:lang w:val="en-US"/>
        </w:rPr>
        <w:t>Despite denying the axiological validity of the theory, the author considers that it is consistent with the belief that</w:t>
      </w:r>
      <w:r w:rsidRPr="004F4E91">
        <w:rPr>
          <w:lang w:val="en-US"/>
        </w:rPr>
        <w:t xml:space="preserve"> many religions contain moral truth and the same moral foundations. This fact makes it possible to know our moral obligations apart from revelation, tradition, and religious </w:t>
      </w:r>
      <w:r w:rsidRPr="004F4E91">
        <w:rPr>
          <w:rFonts w:ascii="Century Gothic" w:hAnsi="Century Gothic"/>
          <w:sz w:val="20"/>
          <w:szCs w:val="20"/>
          <w:lang w:val="en-US"/>
        </w:rPr>
        <w:t xml:space="preserve">practice. “It is consistent with Divine Command Theory that we can come to see our obligations in this and many </w:t>
      </w:r>
      <w:r w:rsidRPr="004F4E91">
        <w:rPr>
          <w:rFonts w:ascii="Century Gothic" w:hAnsi="Century Gothic"/>
          <w:sz w:val="20"/>
          <w:szCs w:val="20"/>
          <w:lang w:val="en-US"/>
        </w:rPr>
        <w:lastRenderedPageBreak/>
        <w:t>other ways, and not merely through a religious text, religious experience, or religious tradition,” says Austin (op.cit)</w:t>
      </w:r>
    </w:p>
    <w:p w:rsidR="008D0320" w:rsidRPr="004F4E91" w:rsidRDefault="008D0320" w:rsidP="008D0320">
      <w:pPr>
        <w:spacing w:line="240" w:lineRule="auto"/>
        <w:jc w:val="both"/>
        <w:rPr>
          <w:rFonts w:ascii="Century Gothic" w:hAnsi="Century Gothic"/>
          <w:sz w:val="20"/>
          <w:szCs w:val="20"/>
          <w:highlight w:val="yellow"/>
          <w:lang w:val="en-US"/>
        </w:rPr>
      </w:pP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3 – Other Theories on the Origins of Morality.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3.1- The Kantian Theory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Immanuel Kant (1724 – 1804), one of the most influential philosophers at any time, brought to Western Metaphysics one of its most structured conceptions.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It is impossible analyzing Kant’s Ethics theory without a first general understanding of his complex philosophic thinking.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Prussian philosopher understood any philosophy as driven to the solution of three questions: “What is the world?” What should I do?” “What may I hope?” </w:t>
      </w:r>
      <w:r w:rsidRPr="004F4E91">
        <w:rPr>
          <w:rFonts w:ascii="Century Gothic" w:hAnsi="Century Gothic"/>
          <w:sz w:val="14"/>
          <w:szCs w:val="20"/>
        </w:rPr>
        <w:footnoteReference w:id="2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His Ethics theory is the philosopher’s epistemological answer to the second question: “What should I do?”</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This understanding of Philosophy derives from his concept of three “ideas of reason,” which are the world, the self, and God.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As far as the “world” is concerned, In the Critique of Pure Reason, he considers that theoretical reason itself cannot prove their reality. According to this concept, “they are not constitutive, but are regulative, as they add systematic unity and coherence to our experience. Since they are </w:t>
      </w:r>
      <w:r w:rsidRPr="004F4E91">
        <w:rPr>
          <w:rFonts w:ascii="Century Gothic" w:hAnsi="Century Gothic"/>
          <w:sz w:val="20"/>
          <w:szCs w:val="20"/>
          <w:lang w:val="en-US"/>
        </w:rPr>
        <w:lastRenderedPageBreak/>
        <w:t>related to morals in significant ways, they have immense practical importance”.</w:t>
      </w:r>
      <w:r w:rsidRPr="004F4E91">
        <w:rPr>
          <w:rFonts w:ascii="Century Gothic" w:hAnsi="Century Gothic"/>
          <w:sz w:val="20"/>
          <w:szCs w:val="20"/>
          <w:vertAlign w:val="superscript"/>
        </w:rPr>
        <w:footnoteReference w:id="25"/>
      </w:r>
    </w:p>
    <w:p w:rsidR="00572F12"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Referring to the “self,” he takes very complex reasoning that finally offers his conception of “humans as rational beings, worthy of dignity and respect. Anyone should treat Humanity as an end, not merely a means. To treat someone as a mere means to an end is to use that person to advance one’s interest.</w:t>
      </w:r>
    </w:p>
    <w:p w:rsidR="008D0320" w:rsidRPr="004F4E91" w:rsidRDefault="00572F12" w:rsidP="008D0320">
      <w:pPr>
        <w:spacing w:line="240" w:lineRule="auto"/>
        <w:jc w:val="both"/>
        <w:rPr>
          <w:rFonts w:ascii="Century Gothic" w:hAnsi="Century Gothic"/>
          <w:sz w:val="20"/>
          <w:szCs w:val="20"/>
          <w:lang w:val="en-US"/>
        </w:rPr>
      </w:pPr>
      <w:r>
        <w:rPr>
          <w:rFonts w:ascii="Century Gothic" w:hAnsi="Century Gothic"/>
          <w:sz w:val="20"/>
          <w:szCs w:val="20"/>
          <w:lang w:val="en-US"/>
        </w:rPr>
        <w:t>Nevertheless,</w:t>
      </w:r>
      <w:r w:rsidR="008D0320" w:rsidRPr="004F4E91">
        <w:rPr>
          <w:rFonts w:ascii="Century Gothic" w:hAnsi="Century Gothic"/>
          <w:sz w:val="20"/>
          <w:szCs w:val="20"/>
          <w:lang w:val="en-US"/>
        </w:rPr>
        <w:t xml:space="preserve"> to treat a person as an end is to respect that person’s dignity by allowing each the freedom to choose for oneself.”</w:t>
      </w:r>
      <w:r w:rsidR="008D0320" w:rsidRPr="004F4E91">
        <w:rPr>
          <w:rFonts w:ascii="Century Gothic" w:hAnsi="Century Gothic"/>
          <w:sz w:val="14"/>
          <w:szCs w:val="20"/>
        </w:rPr>
        <w:footnoteReference w:id="26"/>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Kant, as an “ens realissimum or most real being,” takes the notion of God into account. This most real being is also considered by reason to be a necessary being, that is, something that exists necessarily instead of merely contingently.</w:t>
      </w:r>
      <w:r w:rsidRPr="004F4E91">
        <w:rPr>
          <w:rFonts w:ascii="Century Gothic" w:hAnsi="Century Gothic"/>
          <w:sz w:val="14"/>
          <w:szCs w:val="20"/>
        </w:rPr>
        <w:footnoteReference w:id="27"/>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From this rational spectrum, Kant brings his absolutist deontological concept of morals, stepping aside from any consequentialist or normative ideas. No moral codes are necessary because morality does not depend on specific rules defining what is good, or not good, referring to human actions. What determines the moral value of an action is only the intention: an act only is morally good if its performance envisages the sake of duty.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Kant organized his ethical assumptions around the notion of a “categorical imperative,” which is a universal ethical principle, consisting of the determination that everyone should always respect the humanity in others and that one should only act by rules that could hold for everyone. Kant argued that moral law is a truth of reason, and hence that the same moral law binds all rational creatures. Thus in answer to the question, “What should I do?” Kant replies that we should act rationally</w:t>
      </w:r>
      <w:r w:rsidRPr="004F4E91">
        <w:rPr>
          <w:rFonts w:ascii="Century Gothic" w:hAnsi="Century Gothic"/>
          <w:sz w:val="14"/>
          <w:szCs w:val="20"/>
        </w:rPr>
        <w:footnoteReference w:id="28"/>
      </w:r>
      <w:r w:rsidRPr="004F4E91">
        <w:rPr>
          <w:rFonts w:ascii="Century Gothic" w:hAnsi="Century Gothic"/>
          <w:sz w:val="20"/>
          <w:szCs w:val="20"/>
          <w:lang w:val="en-US"/>
        </w:rPr>
        <w:t>, by the universal moral law.</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Any person may find the moral law by himself, once it is a part of the reason. Hence, the moral law is a predicate of human reason, in such a way that only one moral law binds all rational beings. This approach is the answer to the question, “What should I do?”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supreme principle of morality is named “categorical imperative,” meaning the foundation we must follow, which is rational, and unconditional. Despite any natural desires or inclinations, we may have to the contrary. The submission of the humankind to the “categorical imperative” is entirely independent of anyone’s features or experience.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“categorical imperative” is the scale to assign the moral validity for any action: “Act only according to that maxim by which you can at the same time will that it should become a universal law.”</w:t>
      </w:r>
      <w:r w:rsidRPr="004F4E91">
        <w:rPr>
          <w:rFonts w:ascii="Century Gothic" w:hAnsi="Century Gothic"/>
          <w:sz w:val="14"/>
          <w:szCs w:val="20"/>
        </w:rPr>
        <w:footnoteReference w:id="29"/>
      </w:r>
      <w:r w:rsidRPr="004F4E91">
        <w:rPr>
          <w:rFonts w:ascii="Century Gothic" w:hAnsi="Century Gothic"/>
          <w:sz w:val="20"/>
          <w:szCs w:val="20"/>
          <w:lang w:val="en-US"/>
        </w:rPr>
        <w:t xml:space="preserve"> The intention is the background of the human activity defined by the “maxim” of our acts.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duty derives from the maxim, the origin of all the reasons to act. The action in itself cannot be morally </w:t>
      </w:r>
      <w:r w:rsidRPr="004F4E91">
        <w:rPr>
          <w:rFonts w:ascii="Century Gothic" w:hAnsi="Century Gothic"/>
          <w:sz w:val="20"/>
          <w:szCs w:val="20"/>
          <w:lang w:val="en-US"/>
        </w:rPr>
        <w:lastRenderedPageBreak/>
        <w:t>qualified. Therefore, when we ask, “What am I doing and why?” we are talking about the relation between the intention and the maxim.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second imperative is named” categorical imperative,” the “hypothetical imperative,” “that is a command that also applies to us in virtue of our having a rational will, but not simply in virtue of this. It requires us to exercise our wills in a certain way, given we have antecedently willed an end. A hypothetical imperative is thus a command in a conditional form</w:t>
      </w:r>
      <w:r w:rsidRPr="004F4E91">
        <w:rPr>
          <w:rFonts w:ascii="Century Gothic" w:hAnsi="Century Gothic"/>
          <w:sz w:val="14"/>
          <w:szCs w:val="20"/>
        </w:rPr>
        <w:footnoteReference w:id="30"/>
      </w:r>
      <w:r w:rsidRPr="004F4E91">
        <w:rPr>
          <w:rFonts w:ascii="Century Gothic" w:hAnsi="Century Gothic"/>
          <w:sz w:val="14"/>
          <w:szCs w:val="20"/>
          <w:lang w:val="en-US"/>
        </w:rPr>
        <w:t>.</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 feature of the moral conduct is the “goodwill,” understood in Kant’s terms as a will whose decisions are wholly determined by moral demands or, as he often refers to this, by the Moral Law. Human beings inevitably feel this Law as a constraint on their natural desires, which is why such Laws, as applied to human beings, are imperatives and duties.</w:t>
      </w:r>
      <w:r w:rsidRPr="004F4E91">
        <w:rPr>
          <w:rFonts w:ascii="Century Gothic" w:hAnsi="Century Gothic"/>
          <w:sz w:val="14"/>
          <w:szCs w:val="20"/>
        </w:rPr>
        <w:footnoteReference w:id="31"/>
      </w:r>
      <w:r w:rsidRPr="004F4E91">
        <w:rPr>
          <w:rFonts w:ascii="Century Gothic" w:hAnsi="Century Gothic"/>
          <w:sz w:val="20"/>
          <w:szCs w:val="20"/>
          <w:lang w:val="en-US"/>
        </w:rPr>
        <w:t xml:space="preserve"> When the Moral Law is decisive to a human will, it is the thought of duty grounds it.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Kant also argued that his ethical theory requires belief in free will, God, and the immortality of the soul. Although we cannot know these things, reflection on the moral law leads to a justified belief in them, which amounts to a kind rational faith. Thus in answer to the question, “What may I hope?” Kant replies that we may hope that our souls are immortal and believe that</w:t>
      </w:r>
      <w:r w:rsidRPr="004F4E91">
        <w:rPr>
          <w:rFonts w:ascii="Century Gothic" w:hAnsi="Century Gothic"/>
          <w:sz w:val="14"/>
          <w:szCs w:val="20"/>
        </w:rPr>
        <w:footnoteReference w:id="32"/>
      </w:r>
      <w:r w:rsidRPr="004F4E91">
        <w:rPr>
          <w:rFonts w:ascii="Century Gothic" w:hAnsi="Century Gothic"/>
          <w:sz w:val="20"/>
          <w:szCs w:val="20"/>
          <w:lang w:val="en-US"/>
        </w:rPr>
        <w:t xml:space="preserve"> God designed the world by principles of justice.</w:t>
      </w: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3.2 The Utilitarian Theory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Utilitarianism is a Normative Ethics consequentialist theory, claiming that the happiness of the </w:t>
      </w:r>
      <w:r w:rsidR="00572F12">
        <w:rPr>
          <w:rFonts w:ascii="Century Gothic" w:hAnsi="Century Gothic"/>
          <w:sz w:val="20"/>
          <w:szCs w:val="20"/>
          <w:lang w:val="en-US"/>
        </w:rPr>
        <w:t>most considerable</w:t>
      </w:r>
      <w:r w:rsidRPr="004F4E91">
        <w:rPr>
          <w:rFonts w:ascii="Century Gothic" w:hAnsi="Century Gothic"/>
          <w:sz w:val="20"/>
          <w:szCs w:val="20"/>
          <w:lang w:val="en-US"/>
        </w:rPr>
        <w:t xml:space="preserve"> number of people in the society is considered the human experience. Human actions are morally right if its consequences lead to happiness, the </w:t>
      </w:r>
      <w:r w:rsidR="00572F12">
        <w:rPr>
          <w:rFonts w:ascii="Century Gothic" w:hAnsi="Century Gothic"/>
          <w:sz w:val="20"/>
          <w:szCs w:val="20"/>
          <w:lang w:val="en-US"/>
        </w:rPr>
        <w:t>high</w:t>
      </w:r>
      <w:r w:rsidRPr="004F4E91">
        <w:rPr>
          <w:rFonts w:ascii="Century Gothic" w:hAnsi="Century Gothic"/>
          <w:sz w:val="20"/>
          <w:szCs w:val="20"/>
          <w:lang w:val="en-US"/>
        </w:rPr>
        <w:t>est good. Pleasure and pain are the two sovereign masters governing the concepts of right and wrong. The action is right when it brings pleasure and wrong if it ends in unhappiness (pain). Since the inter-relation between actions and their happy or unhappy outcomes depends on the circumstances, no moral principle is absolute or necessary in itself.</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word “utility” is used to mean general well-being or happiness.</w:t>
      </w:r>
      <w:r w:rsidRPr="004F4E91">
        <w:rPr>
          <w:rFonts w:ascii="Century Gothic" w:hAnsi="Century Gothic"/>
          <w:sz w:val="14"/>
          <w:szCs w:val="20"/>
        </w:rPr>
        <w:footnoteReference w:id="33"/>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Emerged with the Enlightenment, its creator, Jeremy Bentham (1748 – 1832), gives the best concise description of Utilitarianism:</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Nature has placed mankind under the governance of two sovereign masters, pain and pleasure. It is for them alone to point out what we ought to do, as well as to determine what we shall do. On the one hand, the standard of right and wrong, on the other the chain of causes and effects, are fastened to their throne. They govern us in all we do, in all we say, in all we think: every effort we can make to throw off our subjection, will serve but to demonstrate and confirm it. In words, a man may pretend to abjure their empire: but in reality, he will remain subject to it all the while. The principle of utility recognizes this subjection and assumes it for the foundation of </w:t>
      </w:r>
      <w:r w:rsidRPr="004F4E91">
        <w:rPr>
          <w:rFonts w:ascii="Century Gothic" w:hAnsi="Century Gothic"/>
          <w:sz w:val="20"/>
          <w:szCs w:val="20"/>
          <w:lang w:val="en-US"/>
        </w:rPr>
        <w:lastRenderedPageBreak/>
        <w:t>that system, the object of which is to rear the fabric of felicity by the hands of reason and law. Systems which attempt to question it, deal in sounds instead of sense, in caprice instead of reason, in darkness instead of light”.</w:t>
      </w:r>
      <w:r w:rsidRPr="004F4E91">
        <w:rPr>
          <w:rFonts w:ascii="Century Gothic" w:hAnsi="Century Gothic"/>
          <w:sz w:val="14"/>
          <w:szCs w:val="20"/>
        </w:rPr>
        <w:footnoteReference w:id="34"/>
      </w:r>
      <w:r w:rsidRPr="004F4E91">
        <w:rPr>
          <w:rFonts w:ascii="Century Gothic" w:hAnsi="Century Gothic"/>
          <w:sz w:val="14"/>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Considered a hedonistic theory, sustained </w:t>
      </w:r>
      <w:r w:rsidR="00572F12">
        <w:rPr>
          <w:rFonts w:ascii="Century Gothic" w:hAnsi="Century Gothic"/>
          <w:sz w:val="20"/>
          <w:szCs w:val="20"/>
          <w:lang w:val="en-US"/>
        </w:rPr>
        <w:t>active</w:t>
      </w:r>
      <w:r w:rsidRPr="004F4E91">
        <w:rPr>
          <w:rFonts w:ascii="Century Gothic" w:hAnsi="Century Gothic"/>
          <w:sz w:val="20"/>
          <w:szCs w:val="20"/>
          <w:lang w:val="en-US"/>
        </w:rPr>
        <w:t xml:space="preserve">ly “that the purpose of morality and laws was to promote the welfare of citizens and to maximize human happiness, not to enforce </w:t>
      </w:r>
      <w:r w:rsidR="00572F12">
        <w:rPr>
          <w:rFonts w:ascii="Century Gothic" w:hAnsi="Century Gothic"/>
          <w:sz w:val="20"/>
          <w:szCs w:val="20"/>
          <w:lang w:val="en-US"/>
        </w:rPr>
        <w:t>specific</w:t>
      </w:r>
      <w:r w:rsidRPr="004F4E91">
        <w:rPr>
          <w:rFonts w:ascii="Century Gothic" w:hAnsi="Century Gothic"/>
          <w:sz w:val="20"/>
          <w:szCs w:val="20"/>
          <w:lang w:val="en-US"/>
        </w:rPr>
        <w:t xml:space="preserve"> intuited unchangeable divine moral laws that label actions as </w:t>
      </w:r>
      <w:r w:rsidR="00572F12">
        <w:rPr>
          <w:rFonts w:ascii="Century Gothic" w:hAnsi="Century Gothic"/>
          <w:sz w:val="20"/>
          <w:szCs w:val="20"/>
          <w:lang w:val="en-US"/>
        </w:rPr>
        <w:t>wrong</w:t>
      </w:r>
      <w:r w:rsidRPr="004F4E91">
        <w:rPr>
          <w:rFonts w:ascii="Century Gothic" w:hAnsi="Century Gothic"/>
          <w:sz w:val="20"/>
          <w:szCs w:val="20"/>
          <w:lang w:val="en-US"/>
        </w:rPr>
        <w:t xml:space="preserve"> in themselves, without regard to their consequences. Bentham also believed that his utilitarian ethical theory was implicit in what we call moral ‘common sense’ or "intuitions" because underlying all our moral intuitions are utilitarian considerations.”</w:t>
      </w:r>
      <w:r w:rsidRPr="004F4E91">
        <w:rPr>
          <w:rFonts w:ascii="Century Gothic" w:hAnsi="Century Gothic"/>
          <w:sz w:val="14"/>
          <w:szCs w:val="20"/>
        </w:rPr>
        <w:footnoteReference w:id="35"/>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For many authors, as Ian Shapiro</w:t>
      </w:r>
      <w:r w:rsidRPr="004F4E91">
        <w:rPr>
          <w:rFonts w:ascii="Century Gothic" w:hAnsi="Century Gothic"/>
          <w:sz w:val="14"/>
          <w:szCs w:val="20"/>
        </w:rPr>
        <w:footnoteReference w:id="36"/>
      </w:r>
      <w:r w:rsidRPr="004F4E91">
        <w:rPr>
          <w:rFonts w:ascii="Century Gothic" w:hAnsi="Century Gothic"/>
          <w:sz w:val="20"/>
          <w:szCs w:val="20"/>
          <w:lang w:val="en-US"/>
        </w:rPr>
        <w:t>, Utilitarianism, along with Marxism and Nozick's Libertarianism, is an extreme theory, in the measure that his author has sustained it up to their last arguments and under any circumstances.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Following the creator, John Stuart Mill (1806 – 1873), whose father had been a Bentham’s disciple, adopted the Utilitarianism but introduced many moderating and adaptive features in his book “Utilitarianism“ (1861), reaching a better approach with the libertarian ideas ( “The Liberty” – 1859) that made him become one of the </w:t>
      </w:r>
      <w:r w:rsidRPr="004F4E91">
        <w:rPr>
          <w:rFonts w:ascii="Century Gothic" w:hAnsi="Century Gothic"/>
          <w:sz w:val="20"/>
          <w:szCs w:val="20"/>
          <w:lang w:val="en-US"/>
        </w:rPr>
        <w:lastRenderedPageBreak/>
        <w:t xml:space="preserve">most influential philosophers in the Twentieth Century political thinking. </w:t>
      </w: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3.3 - Virtue Ethics.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Virtue ethics</w:t>
      </w:r>
      <w:r w:rsidR="00F355C7">
        <w:rPr>
          <w:rFonts w:ascii="Century Gothic" w:hAnsi="Century Gothic"/>
          <w:sz w:val="20"/>
          <w:szCs w:val="20"/>
          <w:lang w:val="en-US"/>
        </w:rPr>
        <w:t xml:space="preserve"> </w:t>
      </w:r>
      <w:r w:rsidRPr="004F4E91">
        <w:rPr>
          <w:rFonts w:ascii="Century Gothic" w:hAnsi="Century Gothic"/>
          <w:sz w:val="20"/>
          <w:szCs w:val="20"/>
          <w:lang w:val="en-US"/>
        </w:rPr>
        <w:t xml:space="preserve">is a part of Traditional Ethics, and currently represents one of the </w:t>
      </w:r>
      <w:r w:rsidR="00572F12">
        <w:rPr>
          <w:rFonts w:ascii="Century Gothic" w:hAnsi="Century Gothic"/>
          <w:sz w:val="20"/>
          <w:szCs w:val="20"/>
          <w:lang w:val="en-US"/>
        </w:rPr>
        <w:t>significant</w:t>
      </w:r>
      <w:r w:rsidR="00F355C7">
        <w:rPr>
          <w:rFonts w:ascii="Century Gothic" w:hAnsi="Century Gothic"/>
          <w:sz w:val="20"/>
          <w:szCs w:val="20"/>
          <w:lang w:val="en-US"/>
        </w:rPr>
        <w:t xml:space="preserve"> approaches in Normative </w:t>
      </w:r>
      <w:r w:rsidRPr="004F4E91">
        <w:rPr>
          <w:rFonts w:ascii="Century Gothic" w:hAnsi="Century Gothic"/>
          <w:sz w:val="20"/>
          <w:szCs w:val="20"/>
          <w:lang w:val="en-US"/>
        </w:rPr>
        <w:t>Ethics. Its central concept, in a very simplified way, could be considered as the assertion taking into account the virtues, or moral character, as a causation for the human moral acts.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For sure, it is an individual-based theory, and unlikely the deontological or the objectivist approaches emphasizing duties, rules, and objective standards, or the consequentialist theories based on the consequences of actions, the Virtue Ethics grounds itself on two essential ideas:  the Virtue and the Practical Wisdom.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The Virtue</w:t>
      </w:r>
      <w:r w:rsidRPr="004F4E9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Pursuant Aristotle, a virtuous person is the one who has ideal character traits. These traits derive from natural internal tendencies, but need to be nurtured; however, once established, they will become stable. Therefore, we may see Virtue as a trait of character, aggregate to the essence of an individual, and determining how he should act in any circumstances. This individual behavioral feature does not relate to the act itself, but the reasons for action will qualify it. To act with virtue means taking for the relevant reason for the moral behavior, the assumption that “to do otherwise would be dishonest.”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This character-based approach to morality assumes that “we acquire virtue through practice. By practicing being honest, brave, just, generous, and so on, a person develops an honorable and moral character, and learns how to </w:t>
      </w:r>
      <w:r w:rsidRPr="004F4E91">
        <w:rPr>
          <w:rFonts w:ascii="Century Gothic" w:hAnsi="Century Gothic"/>
          <w:sz w:val="20"/>
          <w:szCs w:val="20"/>
          <w:lang w:val="en-US"/>
        </w:rPr>
        <w:lastRenderedPageBreak/>
        <w:t>make the right choice when faced with ethical challenges.”</w:t>
      </w:r>
      <w:r w:rsidRPr="004F4E91">
        <w:rPr>
          <w:rFonts w:ascii="Century Gothic" w:hAnsi="Century Gothic"/>
          <w:sz w:val="14"/>
          <w:szCs w:val="20"/>
        </w:rPr>
        <w:footnoteReference w:id="37"/>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Practical Wisdom: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second essential idea sustaining the Virtual Ethics Theory is Practical Wisdom. We may understand it as meaning the same as the “phronesis” considered by Greek Philosophy. It is a very complex concept, but Barry Schwartz</w:t>
      </w:r>
      <w:r w:rsidRPr="004F4E91">
        <w:rPr>
          <w:rFonts w:ascii="Century Gothic" w:hAnsi="Century Gothic"/>
          <w:sz w:val="14"/>
          <w:szCs w:val="20"/>
        </w:rPr>
        <w:footnoteReference w:id="38"/>
      </w:r>
      <w:r w:rsidRPr="004F4E91">
        <w:rPr>
          <w:rFonts w:ascii="Century Gothic" w:hAnsi="Century Gothic"/>
          <w:sz w:val="20"/>
          <w:szCs w:val="20"/>
          <w:lang w:val="en-US"/>
        </w:rPr>
        <w:t xml:space="preserve"> and Kenneth Sharpe</w:t>
      </w:r>
      <w:r w:rsidRPr="004F4E91">
        <w:rPr>
          <w:rFonts w:ascii="Century Gothic" w:hAnsi="Century Gothic"/>
          <w:sz w:val="14"/>
          <w:szCs w:val="20"/>
        </w:rPr>
        <w:footnoteReference w:id="39"/>
      </w:r>
      <w:r w:rsidRPr="004F4E91">
        <w:rPr>
          <w:rFonts w:ascii="Century Gothic" w:hAnsi="Century Gothic"/>
          <w:sz w:val="14"/>
          <w:szCs w:val="20"/>
          <w:lang w:val="en-US"/>
        </w:rPr>
        <w:t xml:space="preserve"> </w:t>
      </w:r>
      <w:r w:rsidRPr="004F4E91">
        <w:rPr>
          <w:rFonts w:ascii="Century Gothic" w:hAnsi="Century Gothic"/>
          <w:sz w:val="20"/>
          <w:szCs w:val="20"/>
          <w:lang w:val="en-US"/>
        </w:rPr>
        <w:t>offer a simplified and very understandable description, comparing Practical Wisdom to the set of skills that an artisan needs to build a   boat or a house, or that a jazz musician needs to improve. They are selective and intentional efforts to achieve a chosen result, as near as possible of perfection. The difference resides in the fact that practical wisdom is not a technical or artistic skill. It is a moral skill—a skill that enables us to discern how to treat people in our everyday social activities.</w:t>
      </w:r>
      <w:r w:rsidRPr="004F4E91">
        <w:rPr>
          <w:rFonts w:ascii="Century Gothic" w:hAnsi="Century Gothic"/>
          <w:sz w:val="14"/>
          <w:szCs w:val="20"/>
        </w:rPr>
        <w:footnoteReference w:id="40"/>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As far as Western Philosophy is concerned, we may fund Virtue Ethics’ origins in Plato and Aristotle’s Philosophy. In the East, this theory relates to Mencius and Confucius.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From classic Philosophy until the beginning of the Enlightenment, the theory played a </w:t>
      </w:r>
      <w:r w:rsidR="00572F12">
        <w:rPr>
          <w:rFonts w:ascii="Century Gothic" w:hAnsi="Century Gothic"/>
          <w:sz w:val="20"/>
          <w:szCs w:val="20"/>
          <w:lang w:val="en-US"/>
        </w:rPr>
        <w:t>crucial</w:t>
      </w:r>
      <w:r w:rsidRPr="004F4E91">
        <w:rPr>
          <w:rFonts w:ascii="Century Gothic" w:hAnsi="Century Gothic"/>
          <w:sz w:val="20"/>
          <w:szCs w:val="20"/>
          <w:lang w:val="en-US"/>
        </w:rPr>
        <w:t xml:space="preserve"> role in all axiological discussions. When Determinism and Utilitarianism started, they stepped aside the Virtue Ethics ideas.  However, it reborn in the Anglo-American Philosophy after the Second World War, and any contemporary axiological analysis considers it.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3.4 – The rights-based Theory</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Some contemporary philos</w:t>
      </w:r>
      <w:r w:rsidR="00DE4EBF">
        <w:rPr>
          <w:rFonts w:ascii="Century Gothic" w:hAnsi="Century Gothic"/>
          <w:sz w:val="20"/>
          <w:szCs w:val="20"/>
          <w:lang w:val="en-US"/>
        </w:rPr>
        <w:t>ophers, as Ronald Myles Dworkin</w:t>
      </w:r>
      <w:r w:rsidRPr="004F4E91">
        <w:rPr>
          <w:rFonts w:ascii="Century Gothic" w:hAnsi="Century Gothic"/>
          <w:sz w:val="20"/>
          <w:szCs w:val="20"/>
          <w:lang w:val="en-US"/>
        </w:rPr>
        <w:t>(</w:t>
      </w:r>
      <w:hyperlink r:id="rId25" w:tooltip="1931" w:history="1">
        <w:r w:rsidRPr="00207BC1">
          <w:rPr>
            <w:rFonts w:ascii="Century Gothic" w:hAnsi="Century Gothic"/>
            <w:sz w:val="20"/>
            <w:szCs w:val="20"/>
            <w:lang w:val="en-US"/>
          </w:rPr>
          <w:t>1931</w:t>
        </w:r>
      </w:hyperlink>
      <w:r w:rsidR="00DE4EBF" w:rsidRPr="00207BC1">
        <w:rPr>
          <w:rFonts w:ascii="Century Gothic" w:hAnsi="Century Gothic"/>
          <w:sz w:val="20"/>
          <w:szCs w:val="20"/>
          <w:lang w:val="en-US"/>
        </w:rPr>
        <w:t>—</w:t>
      </w:r>
      <w:hyperlink r:id="rId26" w:tooltip="2013" w:history="1">
        <w:r w:rsidRPr="00207BC1">
          <w:rPr>
            <w:rFonts w:ascii="Century Gothic" w:hAnsi="Century Gothic"/>
            <w:sz w:val="20"/>
            <w:szCs w:val="20"/>
            <w:lang w:val="en-US"/>
          </w:rPr>
          <w:t>2013</w:t>
        </w:r>
      </w:hyperlink>
      <w:r w:rsidR="00DE4EBF">
        <w:rPr>
          <w:rFonts w:ascii="Century Gothic" w:hAnsi="Century Gothic"/>
          <w:sz w:val="20"/>
          <w:szCs w:val="20"/>
          <w:lang w:val="en-US"/>
        </w:rPr>
        <w:t xml:space="preserve">) </w:t>
      </w:r>
      <w:r w:rsidRPr="004F4E91">
        <w:rPr>
          <w:rFonts w:ascii="Century Gothic" w:hAnsi="Century Gothic"/>
          <w:sz w:val="20"/>
          <w:szCs w:val="20"/>
          <w:lang w:val="en-US"/>
        </w:rPr>
        <w:t>claimed that morality originates from rights and, in the last instance, that moral rights are grounded on the idea of correspondence and causality between duty and natural rights.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Humans are supposed to act according to the moral rights by them possessed as a natural consequence of their human conditions. These rights are an individual and inalienable property of the human being. To any individual right corresponds a social duty of accepting and respecting such rule; in other terms, the individual natural right causes the social duty of respect and preservation.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theory holds a patient-centered deontological structure, similar to some post-Kantian concepts, and claims that the foundations of morals are not originated from the social experience, but </w:t>
      </w:r>
      <w:r w:rsidR="00572F12">
        <w:rPr>
          <w:rFonts w:ascii="Century Gothic" w:hAnsi="Century Gothic"/>
          <w:sz w:val="20"/>
          <w:szCs w:val="20"/>
          <w:lang w:val="en-US"/>
        </w:rPr>
        <w:t>instead</w:t>
      </w:r>
      <w:r w:rsidRPr="004F4E91">
        <w:rPr>
          <w:rFonts w:ascii="Century Gothic" w:hAnsi="Century Gothic"/>
          <w:sz w:val="20"/>
          <w:szCs w:val="20"/>
          <w:lang w:val="en-US"/>
        </w:rPr>
        <w:t xml:space="preserve"> in human nature itself.</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particular notion of what “right” could mean is relevant to distinguish the theory from other libertarian concepts.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207BC1" w:rsidP="008D0320">
      <w:pPr>
        <w:spacing w:line="240" w:lineRule="auto"/>
        <w:jc w:val="both"/>
        <w:rPr>
          <w:rFonts w:ascii="Century Gothic" w:hAnsi="Century Gothic"/>
          <w:sz w:val="20"/>
          <w:szCs w:val="20"/>
          <w:lang w:val="en-US"/>
        </w:rPr>
      </w:pPr>
      <w:r>
        <w:rPr>
          <w:rFonts w:ascii="Century Gothic" w:hAnsi="Century Gothic"/>
          <w:sz w:val="20"/>
          <w:szCs w:val="20"/>
          <w:lang w:val="en-US"/>
        </w:rPr>
        <w:t>John Leslie Mackie,</w:t>
      </w:r>
      <w:r w:rsidR="008D0320" w:rsidRPr="004F4E91">
        <w:rPr>
          <w:rFonts w:ascii="Century Gothic" w:hAnsi="Century Gothic"/>
          <w:sz w:val="20"/>
          <w:szCs w:val="20"/>
          <w:lang w:val="en-US"/>
        </w:rPr>
        <w:t>(1917–1981), an Australian philosopher, explains this peculiar meaning: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 A right, in the most </w:t>
      </w:r>
      <w:r w:rsidR="00572F12">
        <w:rPr>
          <w:rFonts w:ascii="Century Gothic" w:hAnsi="Century Gothic"/>
          <w:sz w:val="20"/>
          <w:szCs w:val="20"/>
          <w:lang w:val="en-US"/>
        </w:rPr>
        <w:t>critical</w:t>
      </w:r>
      <w:r w:rsidRPr="004F4E91">
        <w:rPr>
          <w:rFonts w:ascii="Century Gothic" w:hAnsi="Century Gothic"/>
          <w:sz w:val="20"/>
          <w:szCs w:val="20"/>
          <w:lang w:val="en-US"/>
        </w:rPr>
        <w:t xml:space="preserve"> sense, is the conjunction of freedom and a claim-right. That is, if someone, A, has the moral right to do X, not only is he entitled to do X if he chooses - he is not morally required not to do X, but he is also protected in his doing of X - others are morally required not to interfere or prevent him. This way of putting it suggests that duties are at, least logically prior to rights: this sort of right is built up out of two facts about duties, that A does not have a duty not to do X and that others have a duty, not to</w:t>
      </w:r>
      <w:r w:rsidR="00DE4EBF">
        <w:rPr>
          <w:rFonts w:ascii="Century Gothic" w:hAnsi="Century Gothic"/>
          <w:sz w:val="20"/>
          <w:szCs w:val="20"/>
          <w:lang w:val="en-US"/>
        </w:rPr>
        <w:t xml:space="preserve"> interfere with A’s doing of X. </w:t>
      </w:r>
      <w:r w:rsidRPr="004F4E91">
        <w:rPr>
          <w:rFonts w:ascii="Century Gothic" w:hAnsi="Century Gothic"/>
          <w:sz w:val="14"/>
          <w:szCs w:val="20"/>
        </w:rPr>
        <w:footnoteReference w:id="41"/>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These rights may be natural (also called moral rights) when pertaining to us by our humanity (as such they apply to all persons), or conventional when they are created by humans, generally within the context of social and political organizations.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They could also be </w:t>
      </w:r>
      <w:r w:rsidR="00572F12">
        <w:rPr>
          <w:rFonts w:ascii="Century Gothic" w:hAnsi="Century Gothic"/>
          <w:sz w:val="20"/>
          <w:szCs w:val="20"/>
          <w:lang w:val="en-US"/>
        </w:rPr>
        <w:t>detrimental</w:t>
      </w:r>
      <w:r w:rsidRPr="004F4E91">
        <w:rPr>
          <w:rFonts w:ascii="Century Gothic" w:hAnsi="Century Gothic"/>
          <w:sz w:val="20"/>
          <w:szCs w:val="20"/>
          <w:lang w:val="en-US"/>
        </w:rPr>
        <w:t xml:space="preserve"> when they impose duties of noninterference on others, or positive if they impose duties of assistance on others.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rights-based theories on morals origins are roughly the opposite of the utilitarian theories and play in the present a relevant roll in the development of the Human Rights movements, institutions, and public agencies.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3.5 – Moral Relativism</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Moral relativism is the idea that several possible moralities or behavioral contexts of reference, and whether something is morally right or wrong, good or bad, just or unjust, is always a relative matter. There is no universal or timeless moral structure. Any moral foundation is </w:t>
      </w:r>
      <w:r w:rsidRPr="004F4E91">
        <w:rPr>
          <w:rFonts w:ascii="Century Gothic" w:hAnsi="Century Gothic"/>
          <w:sz w:val="20"/>
          <w:szCs w:val="20"/>
          <w:lang w:val="en-US"/>
        </w:rPr>
        <w:lastRenderedPageBreak/>
        <w:t xml:space="preserve">comparable to others, and they may disagree in full. Therefore, relativeness exists as a connection to one or another morality or moral frame of reference. Something can be morally right relative to one moral frame of reference and morally wrong relative to another </w:t>
      </w:r>
      <w:r w:rsidRPr="004F4E91">
        <w:rPr>
          <w:rFonts w:ascii="Century Gothic" w:hAnsi="Century Gothic"/>
          <w:sz w:val="14"/>
          <w:szCs w:val="20"/>
        </w:rPr>
        <w:footnoteReference w:id="42"/>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may understand Moral relativism in several ways.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cultural relativism states the many different cultural structures, including various languages with multiple semantic coincidences and disagreements connected to nonlinguistic elements, cannot have the same moral frames. It is evidence the fact that each culture developed its own and proper moral structure without any universal ingredient or any foundation brought from a different culture, albeit some few references that seem nearly universal, but that are only linguistic elements.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meta-ethical concept of moral relativism states that there is not possible the determination of any prevailing concept from a culture on other cultures. Each society organizes its moral tenets using its intrinsic experiences and generalized beliefs.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normative moral relativism claims that others must respect each different moral structure, even though these differences could mean offense to the other cultures' moral or legal structure.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development of Moral Relativism theory has suffered the influence of two cultural movements: the so-called “new anthropology” and the several countercultural groups and activities of the second half of the XX Century.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The “new anthropology” was a post-war understanding of the meanings of “culture,” its structures dimensions and </w:t>
      </w:r>
      <w:r w:rsidR="00207BC1">
        <w:rPr>
          <w:rFonts w:ascii="Century Gothic" w:hAnsi="Century Gothic"/>
          <w:sz w:val="20"/>
          <w:szCs w:val="20"/>
          <w:lang w:val="en-US"/>
        </w:rPr>
        <w:t>contents. Clyde Kluckhohn (1905</w:t>
      </w:r>
      <w:r w:rsidRPr="004F4E91">
        <w:rPr>
          <w:rFonts w:ascii="Century Gothic" w:hAnsi="Century Gothic"/>
          <w:sz w:val="20"/>
          <w:szCs w:val="20"/>
          <w:lang w:val="en-US"/>
        </w:rPr>
        <w:t>–1960) in his book “Mirror for Man: The Relation of Anthropology to Modern Life” (1949) brought the aim to criticize all “ethnocentric ethical conceptions,” and started new discussions on the meaning of “cultures.”</w:t>
      </w:r>
      <w:r w:rsidRPr="004F4E91">
        <w:rPr>
          <w:rFonts w:ascii="Century Gothic" w:hAnsi="Century Gothic"/>
          <w:sz w:val="14"/>
          <w:szCs w:val="20"/>
        </w:rPr>
        <w:footnoteReference w:id="43"/>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new anthropologists stepped aside from the concepts of universality and focused on fragments of culture and society, proposing the study of small elements of culture, rather than the traditional topics anthropologists have ever taken into account.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New anthropology may have contributed to unhelpful fragmentation in understanding culture and intercultural communication, inserting concepts of micro-cultures in opposition to the broader traditional anthropological assertions. This split was part of a constant repositioning in anthropology on how to understand the concept of culture. Some anthropologists wished to see the concept abolished. Others, such as Kluckhohn (cited), wished to make Americans more “culture-conscious.”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This approach probably stimulated an essentialist reading of culture, and it continues to influence intercultural communication today.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countercultural movements are the second factor responsible for the expansion of moral relativism ideas. The </w:t>
      </w:r>
      <w:r w:rsidRPr="004F4E91">
        <w:rPr>
          <w:rFonts w:ascii="Century Gothic" w:hAnsi="Century Gothic"/>
          <w:sz w:val="20"/>
          <w:szCs w:val="20"/>
          <w:lang w:val="en-US"/>
        </w:rPr>
        <w:lastRenderedPageBreak/>
        <w:t>American Sociologist John Milton Yinger</w:t>
      </w:r>
      <w:r w:rsidRPr="004F4E91">
        <w:rPr>
          <w:rFonts w:ascii="Century Gothic" w:hAnsi="Century Gothic"/>
          <w:sz w:val="14"/>
          <w:szCs w:val="20"/>
        </w:rPr>
        <w:footnoteReference w:id="44"/>
      </w:r>
      <w:r w:rsidR="00DE4EBF">
        <w:rPr>
          <w:rFonts w:ascii="Century Gothic" w:hAnsi="Century Gothic"/>
          <w:sz w:val="20"/>
          <w:szCs w:val="20"/>
          <w:lang w:val="en-US"/>
        </w:rPr>
        <w:t xml:space="preserve"> </w:t>
      </w:r>
      <w:r w:rsidRPr="004F4E91">
        <w:rPr>
          <w:rFonts w:ascii="Century Gothic" w:hAnsi="Century Gothic"/>
          <w:sz w:val="20"/>
          <w:szCs w:val="20"/>
          <w:lang w:val="en-US"/>
        </w:rPr>
        <w:t xml:space="preserve">created the term and gave to it the following meaning: </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Wherever the normative system of a group contains, as a primary element, a theme of conflict with the values of the total society, where personality variables are directly involved in the development and maintenance of the group's values, and wherever its norms can be understood only by reference to the relationships of the group to </w:t>
      </w:r>
      <w:r w:rsidR="00207BC1">
        <w:rPr>
          <w:rFonts w:ascii="Century Gothic" w:hAnsi="Century Gothic"/>
          <w:sz w:val="20"/>
          <w:szCs w:val="20"/>
          <w:lang w:val="en-US"/>
        </w:rPr>
        <w:t>a surrounding dominant culture.</w:t>
      </w:r>
      <w:r w:rsidRPr="004F4E91">
        <w:rPr>
          <w:rFonts w:ascii="Century Gothic" w:hAnsi="Century Gothic"/>
          <w:sz w:val="14"/>
          <w:szCs w:val="20"/>
        </w:rPr>
        <w:footnoteReference w:id="45"/>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term “subcultural” is also in use, having in mind that the counterculture needs by assumption the existence of a dominant moral culture.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These movements have ever happened. In sociological terms, Christianity, in its origins, has all the ingredients of a countercultural movement.  Since the Enlightenment up to the present days, the prominent have been the Romanticism(eighte</w:t>
      </w:r>
      <w:r w:rsidR="00572F12">
        <w:rPr>
          <w:rFonts w:ascii="Century Gothic" w:hAnsi="Century Gothic"/>
          <w:sz w:val="20"/>
          <w:szCs w:val="20"/>
          <w:lang w:val="en-US"/>
        </w:rPr>
        <w:t xml:space="preserve">enth and nineteenth Centuries), </w:t>
      </w:r>
      <w:r w:rsidRPr="004F4E91">
        <w:rPr>
          <w:rFonts w:ascii="Century Gothic" w:hAnsi="Century Gothic"/>
          <w:sz w:val="20"/>
          <w:szCs w:val="20"/>
          <w:lang w:val="en-US"/>
        </w:rPr>
        <w:t>the Bohemianism</w:t>
      </w:r>
      <w:r w:rsidR="00572F12">
        <w:rPr>
          <w:rFonts w:ascii="Century Gothic" w:hAnsi="Century Gothic"/>
          <w:sz w:val="20"/>
          <w:szCs w:val="20"/>
          <w:lang w:val="en-US"/>
        </w:rPr>
        <w:t xml:space="preserve"> </w:t>
      </w:r>
      <w:r w:rsidRPr="004F4E91">
        <w:rPr>
          <w:rFonts w:ascii="Century Gothic" w:hAnsi="Century Gothic"/>
          <w:sz w:val="20"/>
          <w:szCs w:val="20"/>
          <w:lang w:val="en-US"/>
        </w:rPr>
        <w:t>(nineteenth and twentieth Centuries), the Beatniks, the Hippies and the Punk (second half of Twentieth Century), and more recently the LGTB and the modern feminist countercultures.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As a philosophical proposal, however, the moral relativism is needy of axiological foundations, </w:t>
      </w:r>
      <w:r w:rsidR="00572F12">
        <w:rPr>
          <w:rFonts w:ascii="Century Gothic" w:hAnsi="Century Gothic"/>
          <w:sz w:val="20"/>
          <w:szCs w:val="20"/>
          <w:lang w:val="en-US"/>
        </w:rPr>
        <w:t>precise</w:t>
      </w:r>
      <w:r w:rsidRPr="004F4E91">
        <w:rPr>
          <w:rFonts w:ascii="Century Gothic" w:hAnsi="Century Gothic"/>
          <w:sz w:val="20"/>
          <w:szCs w:val="20"/>
          <w:lang w:val="en-US"/>
        </w:rPr>
        <w:t xml:space="preserve">ly because of its fragmentary concepts and opposition to the universality of moral structures. The focus of this theory is the minorities, which only are minorities because a different and </w:t>
      </w:r>
      <w:r w:rsidRPr="004F4E91">
        <w:rPr>
          <w:rFonts w:ascii="Century Gothic" w:hAnsi="Century Gothic"/>
          <w:sz w:val="20"/>
          <w:szCs w:val="20"/>
          <w:lang w:val="en-US"/>
        </w:rPr>
        <w:lastRenderedPageBreak/>
        <w:t>dominant moral system exists. Therefore, in a very incoherent way, the theory denies the existence of one of its necessary causations.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If the approach of the theory denies the dominant culture to affirm the prevalence of the minorities, the theory is not related anymore to ethics but would be proposing the shattering of the social fabric or the social chaos in other terms</w:t>
      </w: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3.6 –Moral Realism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Among many metaphysical approaches and theories related to the nature and structure of morality, Moral Realism plays a </w:t>
      </w:r>
      <w:r w:rsidR="00572F12">
        <w:rPr>
          <w:rFonts w:ascii="Century Gothic" w:hAnsi="Century Gothic"/>
          <w:sz w:val="20"/>
          <w:szCs w:val="20"/>
          <w:lang w:val="en-US"/>
        </w:rPr>
        <w:t>significant</w:t>
      </w:r>
      <w:r w:rsidRPr="004F4E91">
        <w:rPr>
          <w:rFonts w:ascii="Century Gothic" w:hAnsi="Century Gothic"/>
          <w:sz w:val="20"/>
          <w:szCs w:val="20"/>
          <w:lang w:val="en-US"/>
        </w:rPr>
        <w:t xml:space="preserve"> role in the understanding of many ethical issues.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Summarizing: the grounds of Moral Realism reside on the assumption that there are moral facts and propositions, which are supposed to be true and objective, precise, global, phenomenologically manifested, mind-independent, and subject to epistemological cognition.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These facts are the moral foundations and may be known, observed, and analyzed objectively “in ipsis,” independent of their evidence, of our perception of them or our beliefs, feelings, or other attitudes towards them.</w:t>
      </w:r>
      <w:r w:rsidRPr="004F4E91">
        <w:rPr>
          <w:rFonts w:ascii="Century Gothic" w:hAnsi="Century Gothic"/>
          <w:sz w:val="14"/>
          <w:szCs w:val="20"/>
        </w:rPr>
        <w:footnoteReference w:id="46"/>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realistic moral ideas find their ground the same way as scientific realism do: “the reality described by scientific theories is </w:t>
      </w:r>
      <w:r w:rsidR="00572F12">
        <w:rPr>
          <w:rFonts w:ascii="Century Gothic" w:hAnsi="Century Gothic"/>
          <w:sz w:val="20"/>
          <w:szCs w:val="20"/>
          <w:lang w:val="en-US"/>
        </w:rPr>
        <w:t>most</w:t>
      </w:r>
      <w:r w:rsidRPr="004F4E91">
        <w:rPr>
          <w:rFonts w:ascii="Century Gothic" w:hAnsi="Century Gothic"/>
          <w:sz w:val="20"/>
          <w:szCs w:val="20"/>
          <w:lang w:val="en-US"/>
        </w:rPr>
        <w:t>ly independent of our theorizing. Scientific theories describe reality, and reality is “prior to thought.”</w:t>
      </w:r>
      <w:r w:rsidRPr="004F4E91">
        <w:rPr>
          <w:rFonts w:ascii="Century Gothic" w:hAnsi="Century Gothic"/>
          <w:sz w:val="14"/>
          <w:szCs w:val="20"/>
        </w:rPr>
        <w:footnoteReference w:id="47"/>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There are many variations of this theory, and some of them may conflict as long as some concepts are involved. Internalist and externalist arguments may differ </w:t>
      </w:r>
      <w:r w:rsidR="00572F12">
        <w:rPr>
          <w:rFonts w:ascii="Century Gothic" w:hAnsi="Century Gothic"/>
          <w:sz w:val="20"/>
          <w:szCs w:val="20"/>
          <w:lang w:val="en-US"/>
        </w:rPr>
        <w:t>profound</w:t>
      </w:r>
      <w:r w:rsidRPr="004F4E91">
        <w:rPr>
          <w:rFonts w:ascii="Century Gothic" w:hAnsi="Century Gothic"/>
          <w:sz w:val="20"/>
          <w:szCs w:val="20"/>
          <w:lang w:val="en-US"/>
        </w:rPr>
        <w:t>ly in the formulation of the moral realism grounds, as well as naturalism and non-naturalism face the same grounds with different arguments. The broad discussions about the realist foundations reside in cognitivism, moral truth, moral knowledge, descriptivism, and moral objectivity.</w:t>
      </w:r>
      <w:r w:rsidRPr="004F4E91">
        <w:rPr>
          <w:rFonts w:ascii="Century Gothic" w:hAnsi="Century Gothic"/>
          <w:sz w:val="14"/>
          <w:szCs w:val="20"/>
        </w:rPr>
        <w:footnoteReference w:id="48"/>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However, David O. Brink, at MIT, argues that all these diversities orbit around the same foundations: </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There may be a single formulation of realism in terms of necessary and sufficient conditions that are both global and precise, or perhaps the various versions of realism form only a family or cluster of metaphysical theories, all of which assert some kind of mind-independence claim.</w:t>
      </w:r>
      <w:r w:rsidRPr="004F4E91">
        <w:rPr>
          <w:rFonts w:ascii="Century Gothic" w:hAnsi="Century Gothic"/>
          <w:sz w:val="14"/>
          <w:szCs w:val="20"/>
        </w:rPr>
        <w:footnoteReference w:id="49"/>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In its essence, moral realism finds its grounds on the same concepts of scientific realism following the approach that the reality described by scientific theories is </w:t>
      </w:r>
      <w:r w:rsidR="00572F12">
        <w:rPr>
          <w:rFonts w:ascii="Century Gothic" w:hAnsi="Century Gothic"/>
          <w:sz w:val="20"/>
          <w:szCs w:val="20"/>
          <w:lang w:val="en-US"/>
        </w:rPr>
        <w:t>most</w:t>
      </w:r>
      <w:r w:rsidRPr="004F4E91">
        <w:rPr>
          <w:rFonts w:ascii="Century Gothic" w:hAnsi="Century Gothic"/>
          <w:sz w:val="20"/>
          <w:szCs w:val="20"/>
          <w:lang w:val="en-US"/>
        </w:rPr>
        <w:t>ly independent of our theorizing.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Scientific theories describe reality, and reality precedes the knowledge and the reason. Different moral realist approaches, independent of their specific claims, are plausible, compatible, and somehow mutually supporting.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The incompatible opposition comes from the nihilism, once the cognitive epistemology contained in the realist ideas are denied in full by this theory.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David O. Brink makes this very clear:</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The traditional opponent of moral realism is the nihilist or non-cognitivist, who denies that there are moral facts or true moral propositions or, as result, any moral knowledge. Nihilists and noncognitivists must, therefore, be moral skeptics.</w:t>
      </w:r>
      <w:r w:rsidRPr="004F4E91">
        <w:rPr>
          <w:rFonts w:ascii="Century Gothic" w:hAnsi="Century Gothic"/>
          <w:sz w:val="14"/>
          <w:szCs w:val="20"/>
        </w:rPr>
        <w:footnoteReference w:id="50"/>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Despite these various and recalcitrant oppositions do the realism foundations, and </w:t>
      </w:r>
      <w:r w:rsidR="00572F12">
        <w:rPr>
          <w:rFonts w:ascii="Century Gothic" w:hAnsi="Century Gothic"/>
          <w:sz w:val="20"/>
          <w:szCs w:val="20"/>
          <w:lang w:val="en-US"/>
        </w:rPr>
        <w:t>precise</w:t>
      </w:r>
      <w:r w:rsidRPr="004F4E91">
        <w:rPr>
          <w:rFonts w:ascii="Century Gothic" w:hAnsi="Century Gothic"/>
          <w:sz w:val="20"/>
          <w:szCs w:val="20"/>
          <w:lang w:val="en-US"/>
        </w:rPr>
        <w:t>ly because of their epistemological position, the trends of the Philosophy of Sciences keep this theory in evidence as Richard Boyd considers: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Some philosophical opportunities are too good to pass up. For many of the more abstract challenges to moral realism, recent realistic and naturalistic work in the philosophy of science is suggestive of possible responses in its defense. Thus, for example, it has occurred to many philosophers (see, e.g., Putnam 1975b) that naturalistic theories of reference and definitions might be extended to the analysis of moral language. If we could do this successfully, and if the results were favorable to a realist conception of morals, then it would be possible to reply to several anti-realist arguments.</w:t>
      </w:r>
      <w:r w:rsidRPr="004F4E91">
        <w:rPr>
          <w:rFonts w:ascii="Century Gothic" w:hAnsi="Century Gothic"/>
          <w:sz w:val="14"/>
          <w:szCs w:val="20"/>
        </w:rPr>
        <w:footnoteReference w:id="51"/>
      </w:r>
    </w:p>
    <w:p w:rsidR="008D0320" w:rsidRPr="004F4E91" w:rsidRDefault="008D0320" w:rsidP="008D0320">
      <w:pPr>
        <w:spacing w:line="480" w:lineRule="auto"/>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br w:type="page"/>
      </w:r>
    </w:p>
    <w:p w:rsidR="008D0320" w:rsidRPr="004F4E91" w:rsidRDefault="008D0320" w:rsidP="008D0320">
      <w:pPr>
        <w:spacing w:line="240" w:lineRule="auto"/>
        <w:jc w:val="both"/>
        <w:rPr>
          <w:rFonts w:ascii="Copperplate Gothic Bold" w:hAnsi="Copperplate Gothic Bold"/>
          <w:sz w:val="32"/>
          <w:szCs w:val="32"/>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CHAPTER V</w:t>
      </w:r>
    </w:p>
    <w:p w:rsidR="008D0320" w:rsidRPr="004F4E91" w:rsidRDefault="008D0320" w:rsidP="008D0320">
      <w:pPr>
        <w:spacing w:line="240" w:lineRule="auto"/>
        <w:rPr>
          <w:rFonts w:ascii="Copperplate Gothic Bold" w:hAnsi="Copperplate Gothic Bold"/>
          <w:sz w:val="32"/>
          <w:szCs w:val="32"/>
          <w:lang w:val="en-US"/>
        </w:rPr>
      </w:pPr>
      <w:r w:rsidRPr="004F4E91">
        <w:rPr>
          <w:rFonts w:ascii="Copperplate Gothic Bold" w:hAnsi="Copperplate Gothic Bold"/>
          <w:sz w:val="32"/>
          <w:szCs w:val="32"/>
          <w:lang w:val="en-US"/>
        </w:rPr>
        <w:t>AN EVOLUTIONARY UNDERSTANDING ON ORIGINS OF MORALITY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Once Darwin said:</w:t>
      </w:r>
    </w:p>
    <w:p w:rsidR="008D0320" w:rsidRPr="004F4E91" w:rsidRDefault="008D0320" w:rsidP="008D0320">
      <w:pPr>
        <w:spacing w:line="240" w:lineRule="auto"/>
        <w:ind w:left="964"/>
        <w:jc w:val="both"/>
        <w:rPr>
          <w:rFonts w:ascii="Century Gothic" w:hAnsi="Century Gothic"/>
          <w:sz w:val="20"/>
          <w:szCs w:val="20"/>
          <w:lang w:val="en-US"/>
        </w:rPr>
      </w:pPr>
      <w:bookmarkStart w:id="7" w:name="_Hlk12456180"/>
      <w:r w:rsidRPr="004F4E91">
        <w:rPr>
          <w:rFonts w:ascii="Century Gothic" w:hAnsi="Century Gothic"/>
          <w:sz w:val="20"/>
          <w:szCs w:val="20"/>
          <w:lang w:val="en-US"/>
        </w:rPr>
        <w:t>I fully subscribe to the judgment of those writers who maintain that of all the differences between man and the lower animals; the moral sense or conscience is by far the most important.  This sense, as Mackintosh remarks, "has a rightful supremacy over every other principle of human action.”</w:t>
      </w:r>
      <w:r w:rsidRPr="004F4E91">
        <w:rPr>
          <w:rFonts w:ascii="Century Gothic" w:hAnsi="Century Gothic"/>
          <w:sz w:val="14"/>
          <w:szCs w:val="20"/>
        </w:rPr>
        <w:footnoteReference w:id="52"/>
      </w:r>
      <w:r w:rsidRPr="004F4E91">
        <w:rPr>
          <w:rFonts w:ascii="Century Gothic" w:hAnsi="Century Gothic"/>
          <w:sz w:val="14"/>
          <w:szCs w:val="20"/>
          <w:lang w:val="en-US"/>
        </w:rPr>
        <w:t xml:space="preserve"> </w:t>
      </w:r>
      <w:bookmarkEnd w:id="7"/>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 xml:space="preserve"> </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To introduce our reasoning, we should state that we adopt an approach to the Evolutionary Ethics Theories. For a whole century, the ideas of evolutionary ethics caused clamorous conflicts among philosophers, and up to the present days, induce many discrepant interpretations.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Rayner offers a balanced analysis of the philosophical position we adopt:</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lastRenderedPageBreak/>
        <w:t>Evolutionary ethics originated in the 1850's in the works of Herbert Spencer (1850).2 The theory gained some support and was debated throughout the nineteenth century until the criticisms of many philosophers, notably Thomas Huxley (1893) and G. E. Moore (1903), all but completely defeated the popularity of biological interpretations of morality. The field of evolutionary ethics, until relatively recently, remained plagued by bad interpretation of scientific research and unfounded speculation (such as the faulty idea that altruism originated via the process of group selection). The emergence of new theories of altruistic evolution, however, caused evolutionary ethics to experience a resurgence. This resurgence was brought about largely by E. O. Wilson’s seminal work: Sociobiology (1975), the development of Hamilton’s theory of kin selection and the concept of inclusive fitness (1964), Trivers’ hypothesis of the evolution of reciprocal altruism (1971), and the application of mathematical and game-theoretical models to evolutionary theory (e.g., Smith and Price, 1973). Today, evolutionary ethics is certainly a tenable position, with a breadth of empirical and theoretical evidence supporting it.</w:t>
      </w:r>
      <w:r w:rsidRPr="004F4E91">
        <w:rPr>
          <w:rFonts w:ascii="Century Gothic" w:hAnsi="Century Gothic"/>
          <w:sz w:val="14"/>
          <w:szCs w:val="20"/>
        </w:rPr>
        <w:footnoteReference w:id="53"/>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From the metaethical position, </w:t>
      </w:r>
      <w:r w:rsidR="00572F12">
        <w:rPr>
          <w:rFonts w:ascii="Century Gothic" w:hAnsi="Century Gothic"/>
          <w:sz w:val="20"/>
          <w:szCs w:val="20"/>
          <w:lang w:val="en-US"/>
        </w:rPr>
        <w:t>primari</w:t>
      </w:r>
      <w:r w:rsidRPr="004F4E91">
        <w:rPr>
          <w:rFonts w:ascii="Century Gothic" w:hAnsi="Century Gothic"/>
          <w:sz w:val="20"/>
          <w:szCs w:val="20"/>
          <w:lang w:val="en-US"/>
        </w:rPr>
        <w:t xml:space="preserve">ly adopted by analytical philosophers, we objectively understand morality as </w:t>
      </w:r>
      <w:r w:rsidR="00572F12">
        <w:rPr>
          <w:rFonts w:ascii="Century Gothic" w:hAnsi="Century Gothic"/>
          <w:sz w:val="20"/>
          <w:szCs w:val="20"/>
          <w:lang w:val="en-US"/>
        </w:rPr>
        <w:t>necessari</w:t>
      </w:r>
      <w:r w:rsidRPr="004F4E91">
        <w:rPr>
          <w:rFonts w:ascii="Century Gothic" w:hAnsi="Century Gothic"/>
          <w:sz w:val="20"/>
          <w:szCs w:val="20"/>
          <w:lang w:val="en-US"/>
        </w:rPr>
        <w:t xml:space="preserve">ly belonging to the realm of human social behavior. The moral tenets are semiotic and hypothetic </w:t>
      </w:r>
      <w:r w:rsidRPr="004F4E91">
        <w:rPr>
          <w:rFonts w:ascii="Century Gothic" w:hAnsi="Century Gothic"/>
          <w:sz w:val="20"/>
          <w:szCs w:val="20"/>
          <w:lang w:val="en-US"/>
        </w:rPr>
        <w:lastRenderedPageBreak/>
        <w:t>systems of commandments and propositions for the beacon and control of human behavior, envisaging the viability, stability, and development of human social life. In other terms, morality is an essential and original social need of the “zoon politikon,” a material, social fact, independently of its metaphysical grounds.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It is possible structuring these tenets in systems </w:t>
      </w:r>
      <w:r w:rsidR="00572F12">
        <w:rPr>
          <w:rFonts w:ascii="Century Gothic" w:hAnsi="Century Gothic"/>
          <w:sz w:val="20"/>
          <w:szCs w:val="20"/>
          <w:lang w:val="en-US"/>
        </w:rPr>
        <w:t>precise</w:t>
      </w:r>
      <w:r w:rsidRPr="004F4E91">
        <w:rPr>
          <w:rFonts w:ascii="Century Gothic" w:hAnsi="Century Gothic"/>
          <w:sz w:val="20"/>
          <w:szCs w:val="20"/>
          <w:lang w:val="en-US"/>
        </w:rPr>
        <w:t>ly like the juridical law, and irrespective of some extrinsic differences, moral and juridical systems embody commandments, propositions, or both. Only understanding these two different forms of content makes it possible to recognize the whole system.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Moral principles are not limited to linguistic structures, nor encapsulated in texts, and their expression may happen by any means of semiotic content, such as gestures, visual elements, symbols, sounds, dressing, natural elements, and so on.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modern written moral codes whatsoever are just a teleological attempt to certify to the society, systematically, the existence of certain principles to be observed, generally summarized to the most important ones. Therefore, the written moral codes are a limited instrument of moral praxis and do never express the content of the existing morality. For this reason, we may not declare expressively many moral elements, but we may naturally deduct them from other elements of the system. Hence, the hermeneutic of written moral codes is not sufficient to enlighten the entire human moral universe, and this broader entire understanding of such universe imposes the challenging task of submitting the human behavior to a rigorous analytical process.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objective framework of this thesis is following the analytical process. We will consider everything else about </w:t>
      </w:r>
      <w:r w:rsidRPr="004F4E91">
        <w:rPr>
          <w:rFonts w:ascii="Century Gothic" w:hAnsi="Century Gothic"/>
          <w:sz w:val="20"/>
          <w:szCs w:val="20"/>
          <w:lang w:val="en-US"/>
        </w:rPr>
        <w:lastRenderedPageBreak/>
        <w:t>morality, which could not fit in this objective model, as belonging to the realm of abstraction.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will consider morality exclusively as this human behavioral phenomenon that we will observe from its intrinsic and extrinsic elements. These elements are visible and cognizable within reach of the methods adopted by the Philosophy of Social Science. We will be attentive “with the differences and similarities between the social and the </w:t>
      </w:r>
      <w:hyperlink r:id="rId27" w:tooltip="Natural science" w:history="1">
        <w:r w:rsidRPr="004F4E91">
          <w:rPr>
            <w:rFonts w:ascii="Century Gothic" w:hAnsi="Century Gothic"/>
            <w:sz w:val="20"/>
            <w:szCs w:val="20"/>
            <w:lang w:val="en-US"/>
          </w:rPr>
          <w:t>natural sciences</w:t>
        </w:r>
      </w:hyperlink>
      <w:r w:rsidRPr="004F4E91">
        <w:rPr>
          <w:rFonts w:ascii="Century Gothic" w:hAnsi="Century Gothic"/>
          <w:sz w:val="20"/>
          <w:szCs w:val="20"/>
          <w:lang w:val="en-US"/>
        </w:rPr>
        <w:t>, causal relationships between social phenomena, the possible ex</w:t>
      </w:r>
      <w:r w:rsidR="00207BC1">
        <w:rPr>
          <w:rFonts w:ascii="Century Gothic" w:hAnsi="Century Gothic"/>
          <w:sz w:val="20"/>
          <w:szCs w:val="20"/>
          <w:lang w:val="en-US"/>
        </w:rPr>
        <w:t xml:space="preserve">istence of social laws, and the </w:t>
      </w:r>
      <w:r w:rsidRPr="004F4E91">
        <w:rPr>
          <w:rFonts w:ascii="Century Gothic" w:hAnsi="Century Gothic"/>
          <w:sz w:val="20"/>
          <w:szCs w:val="20"/>
          <w:lang w:val="en-US"/>
        </w:rPr>
        <w:t>ontological</w:t>
      </w:r>
      <w:r w:rsidR="00207BC1">
        <w:rPr>
          <w:rFonts w:ascii="Century Gothic" w:hAnsi="Century Gothic"/>
          <w:sz w:val="20"/>
          <w:szCs w:val="20"/>
          <w:lang w:val="en-US"/>
        </w:rPr>
        <w:t xml:space="preserve"> significance of </w:t>
      </w:r>
      <w:r w:rsidRPr="004F4E91">
        <w:rPr>
          <w:rFonts w:ascii="Century Gothic" w:hAnsi="Century Gothic"/>
          <w:sz w:val="20"/>
          <w:szCs w:val="20"/>
          <w:lang w:val="en-US"/>
        </w:rPr>
        <w:t>structure and agency.”</w:t>
      </w:r>
      <w:r w:rsidRPr="004F4E91">
        <w:rPr>
          <w:rFonts w:ascii="Century Gothic" w:hAnsi="Century Gothic"/>
          <w:sz w:val="14"/>
          <w:szCs w:val="20"/>
        </w:rPr>
        <w:footnoteReference w:id="5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To understand morality, we should accept the proximity between philosophical thinking and the methods of the human sciences, recognizing the indivisible nature of human knowledge. Questioning morality sometimes involves analyzing dynamic social elements, neuroscientific observation, evolutionary genetics, and historical circumstances. Philosophy cannot walk alone in these fields.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multidisciplinary approach means a trend of modern humanities, adopted by several analysts and scholars such as Paolo Mantovani,</w:t>
      </w:r>
      <w:r w:rsidRPr="004F4E91">
        <w:rPr>
          <w:rFonts w:ascii="Century Gothic" w:hAnsi="Century Gothic"/>
          <w:sz w:val="14"/>
          <w:szCs w:val="20"/>
        </w:rPr>
        <w:footnoteReference w:id="55"/>
      </w:r>
      <w:r w:rsidR="00207BC1">
        <w:rPr>
          <w:rFonts w:ascii="Century Gothic" w:hAnsi="Century Gothic"/>
          <w:sz w:val="20"/>
          <w:szCs w:val="20"/>
          <w:lang w:val="en-US"/>
        </w:rPr>
        <w:t xml:space="preserve"> </w:t>
      </w:r>
      <w:r w:rsidRPr="004F4E91">
        <w:rPr>
          <w:rFonts w:ascii="Century Gothic" w:hAnsi="Century Gothic"/>
          <w:sz w:val="20"/>
          <w:szCs w:val="20"/>
          <w:lang w:val="en-US"/>
        </w:rPr>
        <w:t>Margaret McFall-Ngai</w:t>
      </w:r>
      <w:r w:rsidRPr="004F4E91">
        <w:rPr>
          <w:rFonts w:ascii="Century Gothic" w:hAnsi="Century Gothic"/>
          <w:sz w:val="14"/>
          <w:szCs w:val="20"/>
        </w:rPr>
        <w:footnoteReference w:id="56"/>
      </w:r>
      <w:r w:rsidR="00207BC1">
        <w:rPr>
          <w:rFonts w:ascii="Century Gothic" w:hAnsi="Century Gothic"/>
          <w:sz w:val="14"/>
          <w:szCs w:val="20"/>
          <w:lang w:val="en-US"/>
        </w:rPr>
        <w:t xml:space="preserve">, </w:t>
      </w:r>
      <w:r w:rsidRPr="004F4E91">
        <w:rPr>
          <w:rFonts w:ascii="Century Gothic" w:hAnsi="Century Gothic"/>
          <w:sz w:val="20"/>
          <w:szCs w:val="20"/>
          <w:lang w:val="en-US"/>
        </w:rPr>
        <w:t xml:space="preserve">Carlo </w:t>
      </w:r>
      <w:r w:rsidRPr="004F4E91">
        <w:rPr>
          <w:rFonts w:ascii="Century Gothic" w:hAnsi="Century Gothic"/>
          <w:sz w:val="20"/>
          <w:szCs w:val="20"/>
          <w:lang w:val="en-US"/>
        </w:rPr>
        <w:lastRenderedPageBreak/>
        <w:t>Rovelli</w:t>
      </w:r>
      <w:r w:rsidRPr="004F4E91">
        <w:rPr>
          <w:rFonts w:ascii="Century Gothic" w:hAnsi="Century Gothic"/>
          <w:sz w:val="14"/>
          <w:szCs w:val="20"/>
        </w:rPr>
        <w:footnoteReference w:id="57"/>
      </w:r>
      <w:r w:rsidRPr="004F4E91">
        <w:rPr>
          <w:rFonts w:ascii="Century Gothic" w:hAnsi="Century Gothic"/>
          <w:sz w:val="14"/>
          <w:szCs w:val="20"/>
          <w:lang w:val="en-US"/>
        </w:rPr>
        <w:t>,</w:t>
      </w:r>
      <w:r w:rsidR="00207BC1">
        <w:rPr>
          <w:rFonts w:ascii="Century Gothic" w:hAnsi="Century Gothic"/>
          <w:sz w:val="20"/>
          <w:szCs w:val="20"/>
          <w:lang w:val="en-US"/>
        </w:rPr>
        <w:t xml:space="preserve"> </w:t>
      </w:r>
      <w:r w:rsidRPr="004F4E91">
        <w:rPr>
          <w:rFonts w:ascii="Century Gothic" w:hAnsi="Century Gothic"/>
          <w:sz w:val="20"/>
          <w:szCs w:val="20"/>
          <w:lang w:val="en-US"/>
        </w:rPr>
        <w:t>Elliott Sober</w:t>
      </w:r>
      <w:r w:rsidRPr="004F4E91">
        <w:rPr>
          <w:rFonts w:ascii="Century Gothic" w:hAnsi="Century Gothic"/>
          <w:sz w:val="14"/>
          <w:szCs w:val="20"/>
        </w:rPr>
        <w:footnoteReference w:id="58"/>
      </w:r>
      <w:r w:rsidRPr="004F4E91">
        <w:rPr>
          <w:rFonts w:ascii="Century Gothic" w:hAnsi="Century Gothic"/>
          <w:sz w:val="14"/>
          <w:szCs w:val="20"/>
          <w:lang w:val="en-US"/>
        </w:rPr>
        <w:t xml:space="preserve">, </w:t>
      </w:r>
      <w:r w:rsidRPr="004F4E91">
        <w:rPr>
          <w:rFonts w:ascii="Century Gothic" w:hAnsi="Century Gothic"/>
          <w:sz w:val="20"/>
          <w:szCs w:val="20"/>
          <w:lang w:val="en-US"/>
        </w:rPr>
        <w:t>Ralph Adolphs</w:t>
      </w:r>
      <w:r w:rsidRPr="004F4E91">
        <w:rPr>
          <w:rFonts w:ascii="Century Gothic" w:hAnsi="Century Gothic"/>
          <w:sz w:val="14"/>
          <w:szCs w:val="20"/>
        </w:rPr>
        <w:footnoteReference w:id="59"/>
      </w:r>
      <w:r w:rsidR="00207BC1">
        <w:rPr>
          <w:rFonts w:ascii="Century Gothic" w:hAnsi="Century Gothic"/>
          <w:sz w:val="20"/>
          <w:szCs w:val="20"/>
          <w:lang w:val="en-US"/>
        </w:rPr>
        <w:t xml:space="preserve">, and </w:t>
      </w:r>
      <w:r w:rsidRPr="004F4E91">
        <w:rPr>
          <w:rFonts w:ascii="Century Gothic" w:hAnsi="Century Gothic"/>
          <w:sz w:val="20"/>
          <w:szCs w:val="20"/>
          <w:lang w:val="en-US"/>
        </w:rPr>
        <w:t>Thomas Pradeu</w:t>
      </w:r>
      <w:r w:rsidRPr="004F4E91">
        <w:rPr>
          <w:rFonts w:ascii="Century Gothic" w:hAnsi="Century Gothic"/>
          <w:sz w:val="14"/>
          <w:szCs w:val="20"/>
        </w:rPr>
        <w:footnoteReference w:id="60"/>
      </w:r>
      <w:r w:rsidRPr="004F4E91">
        <w:rPr>
          <w:rFonts w:ascii="Century Gothic" w:hAnsi="Century Gothic"/>
          <w:sz w:val="14"/>
          <w:szCs w:val="20"/>
          <w:lang w:val="en-US"/>
        </w:rPr>
        <w:t>:</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The above examples are far from the only ones: in the life sciences, philosophical reflection has played an important role in issues as diverse as evolutionary altruism, debate over units of selection, the construction of a ‘tree of life,’ the predominance of microbes in the biosphere, the definition of the gene, and the critical examination of the concept of innateness. Likewise, in physics, fundamental questions such as the definition of time have been enriched by the work of philosophers. For example, the analysis of temporal irreversibility by Huw Price and closed temporal curves by David Lewis have helped dispel conceptual confusion in physics.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Inspired by these examples and many others, we see philosophy and science as located on a continuum. Philosophy and science share the tools of logic, conceptual analysis, and rigorous argumentation.</w:t>
      </w:r>
      <w:r w:rsidRPr="004F4E91">
        <w:rPr>
          <w:rFonts w:ascii="Century Gothic" w:hAnsi="Century Gothic"/>
          <w:sz w:val="14"/>
          <w:szCs w:val="20"/>
        </w:rPr>
        <w:footnoteReference w:id="61"/>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If somehow one could question our reasoning, as far as a metaphysical consistency should be present, irrespective of the limits stated by the methodology we adopted, we </w:t>
      </w:r>
      <w:r w:rsidRPr="004F4E91">
        <w:rPr>
          <w:rFonts w:ascii="Century Gothic" w:hAnsi="Century Gothic"/>
          <w:sz w:val="20"/>
          <w:szCs w:val="20"/>
          <w:lang w:val="en-US"/>
        </w:rPr>
        <w:lastRenderedPageBreak/>
        <w:t xml:space="preserve">claim that in </w:t>
      </w:r>
      <w:r w:rsidR="00572F12">
        <w:rPr>
          <w:rFonts w:ascii="Century Gothic" w:hAnsi="Century Gothic"/>
          <w:sz w:val="20"/>
          <w:szCs w:val="20"/>
          <w:lang w:val="en-US"/>
        </w:rPr>
        <w:t>specific</w:t>
      </w:r>
      <w:r w:rsidRPr="004F4E91">
        <w:rPr>
          <w:rFonts w:ascii="Century Gothic" w:hAnsi="Century Gothic"/>
          <w:sz w:val="20"/>
          <w:szCs w:val="20"/>
          <w:lang w:val="en-US"/>
        </w:rPr>
        <w:t xml:space="preserve"> conte</w:t>
      </w:r>
      <w:r w:rsidR="00572F12">
        <w:rPr>
          <w:rFonts w:ascii="Century Gothic" w:hAnsi="Century Gothic"/>
          <w:sz w:val="20"/>
          <w:szCs w:val="20"/>
          <w:lang w:val="en-US"/>
        </w:rPr>
        <w:t>x</w:t>
      </w:r>
      <w:r w:rsidRPr="004F4E91">
        <w:rPr>
          <w:rFonts w:ascii="Century Gothic" w:hAnsi="Century Gothic"/>
          <w:sz w:val="20"/>
          <w:szCs w:val="20"/>
          <w:lang w:val="en-US"/>
        </w:rPr>
        <w:t>ts, we approach the concepts of the moral realism in its phenomenological, foundationalist, and cognitive versions.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2.2 – The Archetypal Nature of Moral Foundations.</w:t>
      </w: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2.2.1 – Introduction.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All the traditional models related to the origins of morality and its transition to modern human societies are presently under discussion, as long as new evidence linked to their structure arises daily from new studies and researches.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his complex study “The Origins of Morality: An Evolutionary Account,” Dennis L. Krebs</w:t>
      </w:r>
      <w:r w:rsidRPr="004F4E91">
        <w:rPr>
          <w:rFonts w:ascii="Century Gothic" w:hAnsi="Century Gothic"/>
          <w:sz w:val="14"/>
          <w:szCs w:val="20"/>
        </w:rPr>
        <w:footnoteReference w:id="62"/>
      </w:r>
      <w:r w:rsidRPr="004F4E91">
        <w:rPr>
          <w:rFonts w:ascii="Century Gothic" w:hAnsi="Century Gothic"/>
          <w:sz w:val="20"/>
          <w:szCs w:val="20"/>
          <w:lang w:val="en-US"/>
        </w:rPr>
        <w:t xml:space="preserve"> examines morality in terms of primitive, largely unconscious, competing instincts and motives. Grounded in the concepts of evolution, the author discusses all other perspectives of the question: from the cognitive-developmental approach to social learning and the ethnographic views.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Krebs offers a reinterpretation of the Piaget</w:t>
      </w:r>
      <w:r w:rsidRPr="004F4E91">
        <w:rPr>
          <w:rFonts w:ascii="Century Gothic" w:hAnsi="Century Gothic"/>
          <w:sz w:val="14"/>
          <w:szCs w:val="20"/>
        </w:rPr>
        <w:footnoteReference w:id="63"/>
      </w:r>
      <w:r w:rsidRPr="004F4E91">
        <w:rPr>
          <w:rFonts w:ascii="Century Gothic" w:hAnsi="Century Gothic"/>
          <w:sz w:val="14"/>
          <w:szCs w:val="20"/>
          <w:lang w:val="en-US"/>
        </w:rPr>
        <w:t>-</w:t>
      </w:r>
      <w:r w:rsidRPr="004F4E91">
        <w:rPr>
          <w:rFonts w:ascii="Century Gothic" w:hAnsi="Century Gothic"/>
          <w:sz w:val="20"/>
          <w:szCs w:val="20"/>
          <w:lang w:val="en-US"/>
        </w:rPr>
        <w:t>Kohlberg</w:t>
      </w:r>
      <w:r w:rsidRPr="004F4E91">
        <w:rPr>
          <w:rFonts w:ascii="Century Gothic" w:hAnsi="Century Gothic"/>
          <w:sz w:val="14"/>
          <w:szCs w:val="20"/>
        </w:rPr>
        <w:footnoteReference w:id="64"/>
      </w:r>
      <w:r w:rsidRPr="004F4E91">
        <w:rPr>
          <w:rFonts w:ascii="Century Gothic" w:hAnsi="Century Gothic"/>
          <w:sz w:val="14"/>
          <w:szCs w:val="20"/>
          <w:lang w:val="en-US"/>
        </w:rPr>
        <w:t xml:space="preserve"> </w:t>
      </w:r>
      <w:r w:rsidRPr="004F4E91">
        <w:rPr>
          <w:rFonts w:ascii="Century Gothic" w:hAnsi="Century Gothic"/>
          <w:sz w:val="20"/>
          <w:szCs w:val="20"/>
          <w:lang w:val="en-US"/>
        </w:rPr>
        <w:t xml:space="preserve">socio-moral model. He starts from his owns researches and follows the cognitive-structural developmental psychology. Krebs claims that moral reasoning is rooted not in abstract </w:t>
      </w:r>
      <w:r w:rsidRPr="004F4E91">
        <w:rPr>
          <w:rFonts w:ascii="Century Gothic" w:hAnsi="Century Gothic"/>
          <w:sz w:val="20"/>
          <w:szCs w:val="20"/>
          <w:lang w:val="en-US"/>
        </w:rPr>
        <w:lastRenderedPageBreak/>
        <w:t>principles but rather on concrete thoughts about real-life situations.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Analyzing the psychological and neurological sources of primitive social behaviors, and the human prosocial behaviors, the author describes the evolution of this uniquely human process related to the origins of moral cognition.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Christopher </w:t>
      </w:r>
      <w:hyperlink r:id="rId28" w:history="1">
        <w:r w:rsidRPr="004F4E91">
          <w:rPr>
            <w:rFonts w:ascii="Century Gothic" w:hAnsi="Century Gothic"/>
            <w:sz w:val="20"/>
            <w:szCs w:val="20"/>
            <w:lang w:val="en-US"/>
          </w:rPr>
          <w:t>Boehm</w:t>
        </w:r>
      </w:hyperlink>
      <w:r w:rsidRPr="004F4E91">
        <w:rPr>
          <w:rFonts w:ascii="Century Gothic" w:hAnsi="Century Gothic"/>
          <w:sz w:val="20"/>
          <w:szCs w:val="20"/>
          <w:lang w:val="en-US"/>
        </w:rPr>
        <w:t xml:space="preserve"> (b. 1931) </w:t>
      </w:r>
      <w:r w:rsidRPr="004F4E91">
        <w:rPr>
          <w:rFonts w:ascii="Century Gothic" w:hAnsi="Century Gothic"/>
          <w:sz w:val="14"/>
          <w:szCs w:val="20"/>
        </w:rPr>
        <w:footnoteReference w:id="65"/>
      </w:r>
      <w:r w:rsidRPr="004F4E91">
        <w:rPr>
          <w:rFonts w:ascii="Century Gothic" w:hAnsi="Century Gothic"/>
          <w:sz w:val="20"/>
          <w:szCs w:val="20"/>
          <w:lang w:val="en-US"/>
        </w:rPr>
        <w:t xml:space="preserve"> explored the possibility that morality could have affected the natural selection, as well as vice versa. Mechanisms of natural selection could be invoked to explain the individual human conscience. It is admissible the fact of being moral may have enabled prehistoric people to participate in the very process of natural selection, albeit this participation more probably has been indirect and unconscious.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this context, we claim that moral foundations emerged from the collective human experience as multiple behaviorally acquired information, being transmitted by the evolutionary process.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Jonathan Birch, in his review of Michael Tomasello’s</w:t>
      </w:r>
      <w:r w:rsidRPr="004F4E91">
        <w:rPr>
          <w:rFonts w:ascii="Century Gothic" w:hAnsi="Century Gothic"/>
          <w:sz w:val="14"/>
          <w:szCs w:val="20"/>
        </w:rPr>
        <w:footnoteReference w:id="66"/>
      </w:r>
      <w:r w:rsidRPr="004F4E91">
        <w:rPr>
          <w:rFonts w:ascii="Century Gothic" w:hAnsi="Century Gothic"/>
          <w:sz w:val="14"/>
          <w:szCs w:val="20"/>
          <w:lang w:val="en-US"/>
        </w:rPr>
        <w:t xml:space="preserve"> </w:t>
      </w:r>
      <w:r w:rsidRPr="004F4E91">
        <w:rPr>
          <w:rFonts w:ascii="Century Gothic" w:hAnsi="Century Gothic"/>
          <w:sz w:val="20"/>
          <w:szCs w:val="20"/>
          <w:lang w:val="en-US"/>
        </w:rPr>
        <w:t xml:space="preserve"> “A Natural History of Human Morality,” approached this idea very </w:t>
      </w:r>
      <w:r w:rsidR="00572F12">
        <w:rPr>
          <w:rFonts w:ascii="Century Gothic" w:hAnsi="Century Gothic"/>
          <w:sz w:val="20"/>
          <w:szCs w:val="20"/>
          <w:lang w:val="en-US"/>
        </w:rPr>
        <w:t>correct</w:t>
      </w:r>
      <w:r w:rsidRPr="004F4E91">
        <w:rPr>
          <w:rFonts w:ascii="Century Gothic" w:hAnsi="Century Gothic"/>
          <w:sz w:val="20"/>
          <w:szCs w:val="20"/>
          <w:lang w:val="en-US"/>
        </w:rPr>
        <w:t>ly:</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lastRenderedPageBreak/>
        <w:t xml:space="preserve">This hypothesis implies a close relationship between the origin of morality and the origin of joint and collective intentionality, the focus of Tomasello’s research for over twenty years, and the topic of his previous book, A Natural History of Human Thinking ([2014]). Tomasello makes a powerful case that these phenomena are indeed related. If this is correct, then a great deal of previous work on the evolution of morality has been subtly misguided. The focus should never have been on acts of altruism but acts of mutualistic cooperation. Moreover, the focus should never have been on explicitly linguistic expressions of moral judgment, hypothesized here to be an evolutionary latecomer, but rather on the way normative judgment, construed more broadly, enters into in the deeper, older cognitive structures implicit in feats of cooperation as apparently simple as two people carrying a log together.” </w:t>
      </w:r>
      <w:r w:rsidRPr="004F4E91">
        <w:rPr>
          <w:rFonts w:ascii="Century Gothic" w:hAnsi="Century Gothic"/>
          <w:sz w:val="14"/>
          <w:szCs w:val="20"/>
        </w:rPr>
        <w:footnoteReference w:id="67"/>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Simplistically, evolution means a process related to biological changes, a consequence of the species' adaptive efforts, envisaging their survival. Evolution, however, is a much more complex fabric of causations and inter-related processes and effects, involving neuron-based </w:t>
      </w:r>
      <w:r w:rsidR="00572F12">
        <w:rPr>
          <w:rFonts w:ascii="Century Gothic" w:hAnsi="Century Gothic"/>
          <w:sz w:val="20"/>
          <w:szCs w:val="20"/>
          <w:lang w:val="en-US"/>
        </w:rPr>
        <w:t>continuous</w:t>
      </w:r>
      <w:r w:rsidRPr="004F4E91">
        <w:rPr>
          <w:rFonts w:ascii="Century Gothic" w:hAnsi="Century Gothic"/>
          <w:sz w:val="20"/>
          <w:szCs w:val="20"/>
          <w:lang w:val="en-US"/>
        </w:rPr>
        <w:t xml:space="preserve"> functions, and genetic elements. That is why evolution also plays a fundamental role in the transmission of human behavioral experiences, mostly those related to collective life.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The transmission of behaviorally acquired information by genetic structures and nervous system functions is one of the essential premises of this study and the ground for our conception of the origins of ethics and its aggregation to the collective unconscious in an archetypal structure. About this, we do argue that our reasoning is based on sound scientific assumptions, which we may aggregate to the philosophical method.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neurosciences have already demonstrated that this assertive is no longer a hypothetical proposition taken into account by some scientific theories, but that it is, in fact, the concrete and proven empirical reality. Don Marshall Gash</w:t>
      </w:r>
      <w:r w:rsidRPr="004F4E91">
        <w:rPr>
          <w:rFonts w:ascii="Century Gothic" w:hAnsi="Century Gothic"/>
          <w:sz w:val="14"/>
          <w:szCs w:val="20"/>
        </w:rPr>
        <w:footnoteReference w:id="68"/>
      </w:r>
      <w:r w:rsidRPr="004F4E91">
        <w:rPr>
          <w:rFonts w:ascii="Century Gothic" w:hAnsi="Century Gothic"/>
          <w:sz w:val="14"/>
          <w:szCs w:val="20"/>
          <w:lang w:val="en-US"/>
        </w:rPr>
        <w:t xml:space="preserve"> </w:t>
      </w:r>
      <w:r w:rsidRPr="004F4E91">
        <w:rPr>
          <w:rFonts w:ascii="Century Gothic" w:hAnsi="Century Gothic"/>
          <w:sz w:val="20"/>
          <w:szCs w:val="20"/>
          <w:lang w:val="en-US"/>
        </w:rPr>
        <w:t>and Andrew S. Dea</w:t>
      </w:r>
      <w:r w:rsidRPr="004F4E91">
        <w:rPr>
          <w:rFonts w:ascii="Century Gothic" w:hAnsi="Century Gothic"/>
          <w:sz w:val="14"/>
          <w:szCs w:val="20"/>
        </w:rPr>
        <w:footnoteReference w:id="69"/>
      </w:r>
      <w:r w:rsidRPr="004F4E91">
        <w:rPr>
          <w:rFonts w:ascii="Century Gothic" w:hAnsi="Century Gothic"/>
          <w:sz w:val="14"/>
          <w:szCs w:val="20"/>
          <w:lang w:val="en-US"/>
        </w:rPr>
        <w:t>,</w:t>
      </w:r>
      <w:r w:rsidRPr="004F4E91">
        <w:rPr>
          <w:rFonts w:ascii="Century Gothic" w:hAnsi="Century Gothic"/>
          <w:sz w:val="20"/>
          <w:szCs w:val="20"/>
          <w:lang w:val="en-US"/>
        </w:rPr>
        <w:t xml:space="preserve"> offer </w:t>
      </w:r>
      <w:r w:rsidR="00572F12">
        <w:rPr>
          <w:rFonts w:ascii="Century Gothic" w:hAnsi="Century Gothic"/>
          <w:sz w:val="20"/>
          <w:szCs w:val="20"/>
          <w:lang w:val="en-US"/>
        </w:rPr>
        <w:t xml:space="preserve">a </w:t>
      </w:r>
      <w:r w:rsidRPr="004F4E91">
        <w:rPr>
          <w:rFonts w:ascii="Century Gothic" w:hAnsi="Century Gothic"/>
          <w:sz w:val="20"/>
          <w:szCs w:val="20"/>
          <w:lang w:val="en-US"/>
        </w:rPr>
        <w:t xml:space="preserve">clear explanation of this assumption: </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It is widely recognized that human evolution has been driven by two systems of heredity: one DNA-based and the other based on the transmission of behaviorally acquired information via nervous system functions. The genetic system is ancient, going back to the appearance of life on Earth. It is responsible for the evolutionary processes described by Darwin. By comparison, the nervous system is relatively newly minted and in its highest form, responsible for ideation and mind-to-mind transmission of information. Here the informational capabilities and functions of the two systems are compared. While employing quite different mechanisms for encoding, storing, </w:t>
      </w:r>
      <w:r w:rsidRPr="004F4E91">
        <w:rPr>
          <w:rFonts w:ascii="Century Gothic" w:hAnsi="Century Gothic"/>
          <w:sz w:val="20"/>
          <w:szCs w:val="20"/>
          <w:lang w:val="en-US"/>
        </w:rPr>
        <w:lastRenderedPageBreak/>
        <w:t xml:space="preserve">and transmission of information, both systems perform these generic hereditary functions. Three additional features of neuron-based heredity in humans are identified: the ability to transfer </w:t>
      </w:r>
      <w:r w:rsidR="000A790F">
        <w:rPr>
          <w:rFonts w:ascii="Century Gothic" w:hAnsi="Century Gothic"/>
          <w:sz w:val="20"/>
          <w:szCs w:val="20"/>
          <w:lang w:val="en-US"/>
        </w:rPr>
        <w:t>genetic</w:t>
      </w:r>
      <w:r w:rsidRPr="004F4E91">
        <w:rPr>
          <w:rFonts w:ascii="Century Gothic" w:hAnsi="Century Gothic"/>
          <w:sz w:val="20"/>
          <w:szCs w:val="20"/>
          <w:lang w:val="en-US"/>
        </w:rPr>
        <w:t xml:space="preserve"> information to other members of their population, not just progeny; a selection process for the information being transferred; and a profoundly shorter time span for creation and dissemination of survival-enhancing information in a population. The mechanisms underlying neuron-based heredity involve hippocampal neurogenesis and memory and learning processes modifying and creating new neural assemblages changing</w:t>
      </w:r>
      <w:r w:rsidR="000A790F">
        <w:rPr>
          <w:rFonts w:ascii="Century Gothic" w:hAnsi="Century Gothic"/>
          <w:sz w:val="20"/>
          <w:szCs w:val="20"/>
          <w:lang w:val="en-US"/>
        </w:rPr>
        <w:t xml:space="preserve"> brain structure and functions.</w:t>
      </w:r>
      <w:r w:rsidRPr="004F4E91">
        <w:rPr>
          <w:rFonts w:ascii="Century Gothic" w:hAnsi="Century Gothic"/>
          <w:sz w:val="14"/>
          <w:szCs w:val="20"/>
        </w:rPr>
        <w:footnoteReference w:id="70"/>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Canadian-American analytical and neurophilosopher Patricia S. Churchland</w:t>
      </w:r>
      <w:r w:rsidRPr="004F4E91">
        <w:rPr>
          <w:rFonts w:ascii="Century Gothic" w:hAnsi="Century Gothic"/>
          <w:sz w:val="14"/>
          <w:szCs w:val="20"/>
        </w:rPr>
        <w:footnoteReference w:id="71"/>
      </w:r>
      <w:r w:rsidRPr="004F4E91">
        <w:rPr>
          <w:rFonts w:ascii="Century Gothic" w:hAnsi="Century Gothic"/>
          <w:sz w:val="14"/>
          <w:szCs w:val="20"/>
          <w:lang w:val="en-US"/>
        </w:rPr>
        <w:t xml:space="preserve"> </w:t>
      </w:r>
      <w:r w:rsidRPr="004F4E91">
        <w:rPr>
          <w:rFonts w:ascii="Century Gothic" w:hAnsi="Century Gothic"/>
          <w:sz w:val="20"/>
          <w:szCs w:val="20"/>
          <w:lang w:val="en-US"/>
        </w:rPr>
        <w:t xml:space="preserve">(b.1943) explained the relation of the roots of human moral behaviors with some genetic specific elements. The author described morality as </w:t>
      </w:r>
      <w:r w:rsidR="000A790F">
        <w:rPr>
          <w:rFonts w:ascii="Century Gothic" w:hAnsi="Century Gothic"/>
          <w:sz w:val="20"/>
          <w:szCs w:val="20"/>
          <w:lang w:val="en-US"/>
        </w:rPr>
        <w:t xml:space="preserve">arising from the.interaction of </w:t>
      </w:r>
      <w:hyperlink r:id="rId29" w:tooltip="Psychology Today looks at genes" w:history="1">
        <w:r w:rsidRPr="004F4E91">
          <w:rPr>
            <w:rFonts w:ascii="Century Gothic" w:hAnsi="Century Gothic"/>
            <w:sz w:val="20"/>
            <w:szCs w:val="20"/>
            <w:lang w:val="en-US"/>
          </w:rPr>
          <w:t>genes</w:t>
        </w:r>
      </w:hyperlink>
      <w:r w:rsidRPr="004F4E91">
        <w:rPr>
          <w:rFonts w:ascii="Century Gothic" w:hAnsi="Century Gothic"/>
          <w:sz w:val="20"/>
          <w:szCs w:val="20"/>
          <w:lang w:val="en-US"/>
        </w:rPr>
        <w:t>, neural processes, and social experiences, and states that survival and reproduction are genetic capacities. Among all species, mammals have specific</w:t>
      </w:r>
      <w:r w:rsidR="000A790F">
        <w:rPr>
          <w:rFonts w:ascii="Century Gothic" w:hAnsi="Century Gothic"/>
          <w:sz w:val="20"/>
          <w:szCs w:val="20"/>
          <w:lang w:val="en-US"/>
        </w:rPr>
        <w:t xml:space="preserve"> “genes to produce the chemical </w:t>
      </w:r>
      <w:hyperlink r:id="rId30" w:tooltip="Psychology Today looks at oxytocin" w:history="1">
        <w:r w:rsidRPr="004F4E91">
          <w:rPr>
            <w:rFonts w:ascii="Century Gothic" w:hAnsi="Century Gothic"/>
            <w:sz w:val="20"/>
            <w:szCs w:val="20"/>
            <w:lang w:val="en-US"/>
          </w:rPr>
          <w:t>oxytocin</w:t>
        </w:r>
      </w:hyperlink>
      <w:r w:rsidRPr="004F4E91">
        <w:rPr>
          <w:rFonts w:ascii="Century Gothic" w:hAnsi="Century Gothic"/>
          <w:sz w:val="20"/>
          <w:szCs w:val="20"/>
          <w:lang w:val="en-US"/>
        </w:rPr>
        <w:t>and vasopressin, which prompt</w:t>
      </w:r>
      <w:r w:rsidR="000A790F">
        <w:rPr>
          <w:rFonts w:ascii="Century Gothic" w:hAnsi="Century Gothic"/>
          <w:sz w:val="20"/>
          <w:szCs w:val="20"/>
          <w:lang w:val="en-US"/>
        </w:rPr>
        <w:t>s</w:t>
      </w:r>
      <w:r w:rsidRPr="004F4E91">
        <w:rPr>
          <w:rFonts w:ascii="Century Gothic" w:hAnsi="Century Gothic"/>
          <w:sz w:val="20"/>
          <w:szCs w:val="20"/>
          <w:lang w:val="en-US"/>
        </w:rPr>
        <w:t xml:space="preserve"> them to care for their young. In some mammals such as humans, the same chemicals </w:t>
      </w:r>
      <w:r w:rsidRPr="004F4E91">
        <w:rPr>
          <w:rFonts w:ascii="Century Gothic" w:hAnsi="Century Gothic"/>
          <w:sz w:val="20"/>
          <w:szCs w:val="20"/>
          <w:lang w:val="en-US"/>
        </w:rPr>
        <w:lastRenderedPageBreak/>
        <w:t>encourage animals to form long term relationships and to care for each other”.</w:t>
      </w:r>
      <w:r w:rsidRPr="004F4E91">
        <w:rPr>
          <w:rFonts w:ascii="Century Gothic" w:hAnsi="Century Gothic"/>
          <w:sz w:val="14"/>
          <w:szCs w:val="20"/>
        </w:rPr>
        <w:footnoteReference w:id="72"/>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This caring sustains the biological root of morality in Churchland's opinion for each other primal social behavior. Early humans lived in small groups of around 100 people, but the expansion of groups as the result of agriculture and the development of intellectual ideals expanded compassion, sympathy, and </w:t>
      </w:r>
      <w:hyperlink r:id="rId31" w:tooltip="Psychology Today looks at empathy" w:history="1">
        <w:r w:rsidRPr="004F4E91">
          <w:rPr>
            <w:rFonts w:ascii="Century Gothic" w:hAnsi="Century Gothic"/>
            <w:sz w:val="20"/>
            <w:szCs w:val="20"/>
            <w:lang w:val="en-US"/>
          </w:rPr>
          <w:t>empathy</w:t>
        </w:r>
      </w:hyperlink>
      <w:r w:rsidRPr="004F4E91">
        <w:rPr>
          <w:rFonts w:ascii="Century Gothic" w:hAnsi="Century Gothic"/>
          <w:sz w:val="20"/>
          <w:szCs w:val="20"/>
          <w:lang w:val="en-US"/>
        </w:rPr>
        <w:t> beyond people’s immediate group.</w:t>
      </w:r>
      <w:r w:rsidRPr="004F4E91">
        <w:rPr>
          <w:rFonts w:ascii="Century Gothic" w:hAnsi="Century Gothic"/>
          <w:sz w:val="14"/>
          <w:szCs w:val="20"/>
        </w:rPr>
        <w:footnoteReference w:id="73"/>
      </w:r>
      <w:r w:rsidRPr="004F4E9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Finally, the author states that moral norms arise from four interlocking brain processes: caring, recognition of other’s psychological states, learning social practices, and problem-solving in a social context.</w:t>
      </w:r>
      <w:r w:rsidRPr="004F4E91">
        <w:rPr>
          <w:rFonts w:ascii="Century Gothic" w:hAnsi="Century Gothic"/>
          <w:sz w:val="14"/>
          <w:szCs w:val="20"/>
        </w:rPr>
        <w:footnoteReference w:id="7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Dennis L. Krebs</w:t>
      </w:r>
      <w:r w:rsidRPr="004F4E91">
        <w:rPr>
          <w:rFonts w:ascii="Century Gothic" w:hAnsi="Century Gothic"/>
          <w:sz w:val="14"/>
          <w:szCs w:val="20"/>
        </w:rPr>
        <w:footnoteReference w:id="75"/>
      </w:r>
      <w:r w:rsidRPr="004F4E91">
        <w:rPr>
          <w:rFonts w:ascii="Century Gothic" w:hAnsi="Century Gothic"/>
          <w:sz w:val="20"/>
          <w:szCs w:val="20"/>
          <w:lang w:val="en-US"/>
        </w:rPr>
        <w:t>, as we considered before, explained these complex evolutionary processes highlighting the inquiries on the psychological and neurological sources of primitive prosocial behaviors, the evolution of uniquely human prosocial behaviors, and its contents and structures. Reviewing Krebs works, Peter Gray concludes: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A psychodynamic perspective examines morality (and immorality) in terms of primitive, largely unconscious, competing instincts and </w:t>
      </w:r>
      <w:r w:rsidRPr="004F4E91">
        <w:rPr>
          <w:rFonts w:ascii="Century Gothic" w:hAnsi="Century Gothic"/>
          <w:sz w:val="20"/>
          <w:szCs w:val="20"/>
          <w:lang w:val="en-US"/>
        </w:rPr>
        <w:lastRenderedPageBreak/>
        <w:t xml:space="preserve">motives; a social-learning perspective examines it in terms of the individual’s social experiences; a cognitive-developmental perspective examines it in terms. Of the child’s development from more concrete to more abstract ways of thinking, and an ethnographic perspective examines it in terms of cultural norms. </w:t>
      </w:r>
      <w:r w:rsidR="000A790F">
        <w:rPr>
          <w:rFonts w:ascii="Century Gothic" w:hAnsi="Century Gothic"/>
          <w:sz w:val="20"/>
          <w:szCs w:val="20"/>
          <w:lang w:val="en-US"/>
        </w:rPr>
        <w:t>However,</w:t>
      </w:r>
      <w:r w:rsidRPr="004F4E91">
        <w:rPr>
          <w:rFonts w:ascii="Century Gothic" w:hAnsi="Century Gothic"/>
          <w:sz w:val="20"/>
          <w:szCs w:val="20"/>
          <w:lang w:val="en-US"/>
        </w:rPr>
        <w:t xml:space="preserve"> here, under the umbrella of evolution, Krebs can integrate, refine, and expand upon the insights of all of these perspectives. All of them have to do with the interaction of environmental experiences with the evolved human brain, which has built into it, certain biases and predilections. Krebs provides us here with a biological foundation for thinking about all aspects of morality.</w:t>
      </w:r>
      <w:r w:rsidRPr="004F4E91">
        <w:rPr>
          <w:rFonts w:ascii="Century Gothic" w:hAnsi="Century Gothic"/>
          <w:sz w:val="14"/>
          <w:szCs w:val="20"/>
        </w:rPr>
        <w:footnoteReference w:id="76"/>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Following his functionalist approach, Krebs introduced a reinterpretation of the stages of cognitive development considered by Kohlberg</w:t>
      </w:r>
      <w:r w:rsidRPr="004F4E91">
        <w:rPr>
          <w:rFonts w:ascii="Century Gothic" w:hAnsi="Century Gothic"/>
          <w:sz w:val="14"/>
          <w:szCs w:val="20"/>
        </w:rPr>
        <w:footnoteReference w:id="77"/>
      </w:r>
      <w:r w:rsidRPr="004F4E91">
        <w:rPr>
          <w:rFonts w:ascii="Century Gothic" w:hAnsi="Century Gothic"/>
          <w:sz w:val="14"/>
          <w:szCs w:val="20"/>
          <w:lang w:val="en-US"/>
        </w:rPr>
        <w:t xml:space="preserve"> </w:t>
      </w:r>
      <w:r w:rsidRPr="004F4E91">
        <w:rPr>
          <w:rFonts w:ascii="Century Gothic" w:hAnsi="Century Gothic"/>
          <w:sz w:val="20"/>
          <w:szCs w:val="20"/>
          <w:lang w:val="en-US"/>
        </w:rPr>
        <w:t>and emphasized his conviction about the dependency of moral shifts to real living situations.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All these evidence and assertions, recently brought by the social and natural sciences about the material origins of the moral foundations, constitute nowadays a generally accepted notion by the modern Western Philosophy </w:t>
      </w:r>
      <w:r w:rsidRPr="004F4E91">
        <w:rPr>
          <w:rFonts w:ascii="Century Gothic" w:hAnsi="Century Gothic"/>
          <w:sz w:val="20"/>
          <w:szCs w:val="20"/>
          <w:lang w:val="en-US"/>
        </w:rPr>
        <w:lastRenderedPageBreak/>
        <w:t xml:space="preserve">theories, being they or not grounded on any metaphysical concept.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Hence, the incontrovertible questions about when and how this could have begun, and by which means and processes it has been incorporated into the human evolutionary nature, pulls our study to the assumption of moral archetypes structuring, and their aggregation to the human genome and collective unconscious. </w:t>
      </w:r>
    </w:p>
    <w:p w:rsidR="008D0320" w:rsidRPr="004F4E91" w:rsidRDefault="008D0320" w:rsidP="008D0320">
      <w:pPr>
        <w:spacing w:line="240" w:lineRule="auto"/>
        <w:jc w:val="both"/>
        <w:rPr>
          <w:rFonts w:ascii="Century Gothic" w:hAnsi="Century Gothic"/>
          <w:b/>
          <w:sz w:val="20"/>
          <w:szCs w:val="20"/>
          <w:lang w:val="en-US"/>
        </w:rPr>
      </w:pP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2.2.2 – Concept and Nature of Archetypes.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Approaches to the idea of archetypes are as old as the philosophy itself, and this idea is the central pillar of this thesis, as we repeated since the beginning.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Semantically the Greek word “archetypos” is related to an idea of “first imprint,” a concept contained in the complex Plato’s Theory of Forms, in which the philosopher discusses the material world, composed of </w:t>
      </w:r>
      <w:r w:rsidR="000A790F">
        <w:rPr>
          <w:rFonts w:ascii="Century Gothic" w:hAnsi="Century Gothic"/>
          <w:sz w:val="20"/>
          <w:szCs w:val="20"/>
          <w:lang w:val="en-US"/>
        </w:rPr>
        <w:t>mut</w:t>
      </w:r>
      <w:r w:rsidRPr="004F4E91">
        <w:rPr>
          <w:rFonts w:ascii="Century Gothic" w:hAnsi="Century Gothic"/>
          <w:sz w:val="20"/>
          <w:szCs w:val="20"/>
          <w:lang w:val="en-US"/>
        </w:rPr>
        <w:t>able objects, about the transcendent world, which is unchanging and made of forms.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Under this theory, humans have an intrinsic ability to recognize the </w:t>
      </w:r>
      <w:r w:rsidR="000A790F">
        <w:rPr>
          <w:rFonts w:ascii="Century Gothic" w:hAnsi="Century Gothic"/>
          <w:sz w:val="20"/>
          <w:szCs w:val="20"/>
          <w:lang w:val="en-US"/>
        </w:rPr>
        <w:t>correct</w:t>
      </w:r>
      <w:r w:rsidRPr="004F4E91">
        <w:rPr>
          <w:rFonts w:ascii="Century Gothic" w:hAnsi="Century Gothic"/>
          <w:sz w:val="20"/>
          <w:szCs w:val="20"/>
          <w:lang w:val="en-US"/>
        </w:rPr>
        <w:t xml:space="preserve"> form of an abstract concept, as Adam Imitiaz explains in a simplified way: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Plato took this idea even further. While agreeing that there were ideal forms of abstract concepts (liberty, equality, justice), there were also ideal forms of ordinary objects such as tables or beds. The objects we encounter in our day to day lives are simply imperfect and changeable versions of their perfect forms. These perfect forms are </w:t>
      </w:r>
      <w:r w:rsidRPr="004F4E91">
        <w:rPr>
          <w:rFonts w:ascii="Century Gothic" w:hAnsi="Century Gothic"/>
          <w:sz w:val="20"/>
          <w:szCs w:val="20"/>
          <w:lang w:val="en-US"/>
        </w:rPr>
        <w:lastRenderedPageBreak/>
        <w:t>memories that we can recall from a previous time in our existence.</w:t>
      </w:r>
      <w:r w:rsidRPr="004F4E91">
        <w:rPr>
          <w:rFonts w:ascii="Century Gothic" w:hAnsi="Century Gothic"/>
          <w:sz w:val="14"/>
          <w:szCs w:val="20"/>
        </w:rPr>
        <w:footnoteReference w:id="78"/>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Since Plato was reasoning about cognitive processes, he referred to these perfect forms as the first imprint of the abstract concepts: the archetypes, in other terms.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These first imprints of abstract realities, such as liberty,</w:t>
      </w:r>
      <w:r w:rsidR="000A790F">
        <w:rPr>
          <w:rFonts w:ascii="Century Gothic" w:hAnsi="Century Gothic"/>
          <w:sz w:val="20"/>
          <w:szCs w:val="20"/>
          <w:lang w:val="en-US"/>
        </w:rPr>
        <w:t xml:space="preserve"> and</w:t>
      </w:r>
      <w:r w:rsidRPr="004F4E91">
        <w:rPr>
          <w:rFonts w:ascii="Century Gothic" w:hAnsi="Century Gothic"/>
          <w:sz w:val="20"/>
          <w:szCs w:val="20"/>
          <w:lang w:val="en-US"/>
        </w:rPr>
        <w:t xml:space="preserve"> justice, are unchangeable and remain indefinitely independent of the individual experiences: they are transcendental to the material world and the ideal form of abstract concepts. The forms were the first understanding of archetypes in Philosophy.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During the Enlightenment, John Locke brought a significant contribution do the epistemological discussion in that period, with his work An Essay Concerning Human Understanding. At that time, Locke’s opponents criticized this essay in reason of its empiricist approach. However, </w:t>
      </w:r>
      <w:r w:rsidR="000A790F">
        <w:rPr>
          <w:rFonts w:ascii="Century Gothic" w:hAnsi="Century Gothic"/>
          <w:sz w:val="20"/>
          <w:szCs w:val="20"/>
          <w:lang w:val="en-US"/>
        </w:rPr>
        <w:t>precise</w:t>
      </w:r>
      <w:r w:rsidRPr="004F4E91">
        <w:rPr>
          <w:rFonts w:ascii="Century Gothic" w:hAnsi="Century Gothic"/>
          <w:sz w:val="20"/>
          <w:szCs w:val="20"/>
          <w:lang w:val="en-US"/>
        </w:rPr>
        <w:t xml:space="preserve">ly because of this empiricist grounding of Locke’s thinking, the essay introduced the concept of “adequate ideas” and offered a </w:t>
      </w:r>
      <w:r w:rsidR="000A790F">
        <w:rPr>
          <w:rFonts w:ascii="Century Gothic" w:hAnsi="Century Gothic"/>
          <w:sz w:val="20"/>
          <w:szCs w:val="20"/>
          <w:lang w:val="en-US"/>
        </w:rPr>
        <w:t>vital</w:t>
      </w:r>
      <w:r w:rsidRPr="004F4E91">
        <w:rPr>
          <w:rFonts w:ascii="Century Gothic" w:hAnsi="Century Gothic"/>
          <w:sz w:val="20"/>
          <w:szCs w:val="20"/>
          <w:lang w:val="en-US"/>
        </w:rPr>
        <w:t xml:space="preserve"> reinterpretation of Plato’s ideas on archetypes: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bookmarkStart w:id="8" w:name="BOOKIIChapterXXXI1"/>
      <w:r w:rsidRPr="004F4E91">
        <w:rPr>
          <w:rFonts w:ascii="Century Gothic" w:hAnsi="Century Gothic"/>
          <w:sz w:val="20"/>
          <w:szCs w:val="20"/>
          <w:lang w:val="en-US"/>
        </w:rPr>
        <w:t>Adequate ideas are such as perfe</w:t>
      </w:r>
      <w:r w:rsidR="000A790F">
        <w:rPr>
          <w:rFonts w:ascii="Century Gothic" w:hAnsi="Century Gothic"/>
          <w:sz w:val="20"/>
          <w:szCs w:val="20"/>
          <w:lang w:val="en-US"/>
        </w:rPr>
        <w:t xml:space="preserve">ctly represent their </w:t>
      </w:r>
      <w:r w:rsidRPr="004F4E91">
        <w:rPr>
          <w:rFonts w:ascii="Century Gothic" w:hAnsi="Century Gothic"/>
          <w:sz w:val="20"/>
          <w:szCs w:val="20"/>
          <w:lang w:val="en-US"/>
        </w:rPr>
        <w:t xml:space="preserve">archetypes. Of our real ideas, some are adequate, and some are inadequate. Those I call adequate, which perfectly represent those archetypes which the mind supposes them taken from: which it intends them to stand for, and to </w:t>
      </w:r>
      <w:r w:rsidRPr="004F4E91">
        <w:rPr>
          <w:rFonts w:ascii="Century Gothic" w:hAnsi="Century Gothic"/>
          <w:sz w:val="20"/>
          <w:szCs w:val="20"/>
          <w:lang w:val="en-US"/>
        </w:rPr>
        <w:lastRenderedPageBreak/>
        <w:t>which it refers them. Inadequate ideas are such, which are but a partial or incomplete representation of those archetypes to which they are relative. Upon which account it is plain</w:t>
      </w:r>
      <w:bookmarkEnd w:id="8"/>
      <w:r w:rsidRPr="004F4E91">
        <w:rPr>
          <w:rFonts w:ascii="Century Gothic" w:hAnsi="Century Gothic"/>
          <w:sz w:val="20"/>
          <w:szCs w:val="20"/>
          <w:lang w:val="en-US"/>
        </w:rPr>
        <w:t>.</w:t>
      </w:r>
      <w:r w:rsidRPr="004F4E91">
        <w:rPr>
          <w:rFonts w:ascii="Century Gothic" w:hAnsi="Century Gothic"/>
          <w:sz w:val="14"/>
          <w:szCs w:val="20"/>
        </w:rPr>
        <w:footnoteReference w:id="79"/>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Locke’s proposal is not so clear as it could be like several critics said, but it is </w:t>
      </w:r>
      <w:r w:rsidR="000A790F">
        <w:rPr>
          <w:rFonts w:ascii="Century Gothic" w:hAnsi="Century Gothic"/>
          <w:sz w:val="20"/>
          <w:szCs w:val="20"/>
          <w:lang w:val="en-US"/>
        </w:rPr>
        <w:t>evident</w:t>
      </w:r>
      <w:r w:rsidRPr="004F4E91">
        <w:rPr>
          <w:rFonts w:ascii="Century Gothic" w:hAnsi="Century Gothic"/>
          <w:sz w:val="20"/>
          <w:szCs w:val="20"/>
          <w:lang w:val="en-US"/>
        </w:rPr>
        <w:t xml:space="preserve"> his assumption that behind and before any idea, there is an archetype, a primary form (in Plato’s language) subordinating any idea’s content.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During all the Enlightenment, philosophers discussed these concepts predominantly from the epistemological angle. During the 19th. Century the conceptualization of archetypes progressively acquired the contours of a multidisciplinary subject, albeit the numerous studies about being isolate and product of different methodologies and purposes.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the first half of the 20th Century, the extensive work of the psychiatrist Carl Gustav Jung (1975 – 1961), a former supporter of Sigmund Freud, offered an extraordinary advance to the understanding of the human mind and the diverse and complex cognitive and emotional processes related to their corresponding functions.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Jung’s theories start with the definition of the collective unconscious</w:t>
      </w:r>
      <w:r w:rsidR="000A790F">
        <w:rPr>
          <w:rFonts w:ascii="Century Gothic" w:hAnsi="Century Gothic"/>
          <w:sz w:val="20"/>
          <w:szCs w:val="20"/>
          <w:lang w:val="en-US"/>
        </w:rPr>
        <w:t>;</w:t>
      </w:r>
      <w:r w:rsidRPr="004F4E91">
        <w:rPr>
          <w:rFonts w:ascii="Century Gothic" w:hAnsi="Century Gothic"/>
          <w:sz w:val="20"/>
          <w:szCs w:val="20"/>
          <w:lang w:val="en-US"/>
        </w:rPr>
        <w:t xml:space="preserve"> an assumption </w:t>
      </w:r>
      <w:r w:rsidR="000A790F">
        <w:rPr>
          <w:rFonts w:ascii="Century Gothic" w:hAnsi="Century Gothic"/>
          <w:sz w:val="20"/>
          <w:szCs w:val="20"/>
          <w:lang w:val="en-US"/>
        </w:rPr>
        <w:t>submitted initially</w:t>
      </w:r>
      <w:r w:rsidRPr="004F4E91">
        <w:rPr>
          <w:rFonts w:ascii="Century Gothic" w:hAnsi="Century Gothic"/>
          <w:sz w:val="20"/>
          <w:szCs w:val="20"/>
          <w:lang w:val="en-US"/>
        </w:rPr>
        <w:t xml:space="preserve"> to all kinds of interpretations and questionings by philosophers and scientists of all tendencies. Jung, by himself, understood that the concept should be </w:t>
      </w:r>
      <w:r w:rsidR="000A790F">
        <w:rPr>
          <w:rFonts w:ascii="Century Gothic" w:hAnsi="Century Gothic"/>
          <w:sz w:val="20"/>
          <w:szCs w:val="20"/>
          <w:lang w:val="en-US"/>
        </w:rPr>
        <w:t>explained appropriately</w:t>
      </w:r>
      <w:r w:rsidRPr="004F4E91">
        <w:rPr>
          <w:rFonts w:ascii="Century Gothic" w:hAnsi="Century Gothic"/>
          <w:sz w:val="20"/>
          <w:szCs w:val="20"/>
          <w:lang w:val="en-US"/>
        </w:rPr>
        <w:t xml:space="preserve"> understandabl</w:t>
      </w:r>
      <w:r w:rsidR="000A790F">
        <w:rPr>
          <w:rFonts w:ascii="Century Gothic" w:hAnsi="Century Gothic"/>
          <w:sz w:val="20"/>
          <w:szCs w:val="20"/>
          <w:lang w:val="en-US"/>
        </w:rPr>
        <w:t>e</w:t>
      </w:r>
      <w:r w:rsidRPr="004F4E91">
        <w:rPr>
          <w:rFonts w:ascii="Century Gothic" w:hAnsi="Century Gothic"/>
          <w:sz w:val="20"/>
          <w:szCs w:val="20"/>
          <w:lang w:val="en-US"/>
        </w:rPr>
        <w:t xml:space="preserve"> and did so, as follows:</w:t>
      </w:r>
    </w:p>
    <w:p w:rsidR="008D0320" w:rsidRPr="004F4E91" w:rsidRDefault="008D0320" w:rsidP="008D0320">
      <w:pPr>
        <w:spacing w:line="240" w:lineRule="auto"/>
        <w:ind w:left="907"/>
        <w:jc w:val="both"/>
        <w:rPr>
          <w:rFonts w:ascii="Century Gothic" w:hAnsi="Century Gothic"/>
          <w:sz w:val="20"/>
          <w:szCs w:val="20"/>
          <w:lang w:val="en-US"/>
        </w:rPr>
      </w:pPr>
      <w:r w:rsidRPr="004F4E91">
        <w:rPr>
          <w:rFonts w:ascii="Century Gothic" w:hAnsi="Century Gothic"/>
          <w:sz w:val="20"/>
          <w:szCs w:val="20"/>
          <w:lang w:val="en-US"/>
        </w:rPr>
        <w:lastRenderedPageBreak/>
        <w:t>Probably none of my empirical concepts has met with so much misunderstanding as the idea of the collective unconscious.</w:t>
      </w:r>
    </w:p>
    <w:p w:rsidR="008D0320" w:rsidRPr="004F4E91" w:rsidRDefault="008D0320" w:rsidP="008D0320">
      <w:pPr>
        <w:spacing w:line="240" w:lineRule="auto"/>
        <w:ind w:left="907"/>
        <w:jc w:val="both"/>
        <w:rPr>
          <w:rFonts w:ascii="Century Gothic" w:hAnsi="Century Gothic"/>
          <w:sz w:val="20"/>
          <w:szCs w:val="20"/>
          <w:lang w:val="en-US"/>
        </w:rPr>
      </w:pPr>
      <w:r w:rsidRPr="004F4E91">
        <w:rPr>
          <w:rFonts w:ascii="Century Gothic" w:hAnsi="Century Gothic"/>
          <w:sz w:val="20"/>
          <w:szCs w:val="20"/>
          <w:lang w:val="en-US"/>
        </w:rPr>
        <w:t>The collective unconscious is a part of the psyche that can be negatively distinguished from a personal unconscious by the fact that it does not, like the latter, owe its existence to personal experience and consequently is not a personal acquisition. While the personal unconscious is made up essentially of contents which have at one time been conscious but which have disappeared from consciousness through having been forgotten or repressed, the contents of the collective unconscious have never been in consciousness, and therefore have never been individually acquired, but owe their existence exclusively to heredity. Whereas the personal unconscious consists for the most of complexes, the content of the collective unconscious is made up essentially of archetypes.</w:t>
      </w:r>
      <w:r w:rsidRPr="004F4E91">
        <w:rPr>
          <w:rFonts w:ascii="Century Gothic" w:hAnsi="Century Gothic"/>
          <w:sz w:val="14"/>
          <w:szCs w:val="20"/>
        </w:rPr>
        <w:footnoteReference w:id="80"/>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Therefore, in the Jungian theory, the content of the collective unconscious, unlike the individual unconscious, is limited to instincts and archetypes and is not relative to any individual experience. However, Jung’s summarized explanation helps the understanding of the collective unconscious’ content, but does not enlighten the reasons because he denominated this structure as “collective.” We should ask Jung about this: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I have chosen the term “collective” because this part of the unconscious is not individual but universal; in contrast to the personal psyche, it has contents and modes of behavior that are more or less the same everywhere and in all individuals. It is, in other words, identical in all men and thus constitutes a common psychic substrate of a </w:t>
      </w:r>
      <w:hyperlink r:id="rId32" w:history="1">
        <w:r w:rsidRPr="004F4E91">
          <w:rPr>
            <w:rFonts w:ascii="Century Gothic" w:hAnsi="Century Gothic"/>
            <w:sz w:val="20"/>
            <w:szCs w:val="20"/>
            <w:lang w:val="en-US"/>
          </w:rPr>
          <w:t>suprapersonal</w:t>
        </w:r>
      </w:hyperlink>
      <w:r w:rsidRPr="004F4E91">
        <w:rPr>
          <w:rFonts w:ascii="Century Gothic" w:hAnsi="Century Gothic"/>
          <w:sz w:val="20"/>
          <w:szCs w:val="20"/>
          <w:lang w:val="en-US"/>
        </w:rPr>
        <w:t xml:space="preserve"> nature that is present in every one of us.</w:t>
      </w:r>
      <w:r w:rsidRPr="004F4E91">
        <w:rPr>
          <w:rFonts w:ascii="Century Gothic" w:hAnsi="Century Gothic"/>
          <w:sz w:val="14"/>
          <w:szCs w:val="20"/>
        </w:rPr>
        <w:footnoteReference w:id="81"/>
      </w:r>
      <w:r w:rsidRPr="004F4E91">
        <w:rPr>
          <w:rFonts w:ascii="Century Gothic" w:hAnsi="Century Gothic"/>
          <w:sz w:val="14"/>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Thus, the collective qualification of the archetypes is related to the tenets of universality and perpetuity: two of the most important pillars of any reasoning related to morality.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fundamental claims of the Jungian Theory referring to the archetypes disseminate in philosophy, psychology, and human sciences as a gender, and even in the popular culture, causing many different interpretations and starting several controversies. For this reason, in any research, we will find different meanings and uses of the archetypal concepts, which may be reduced, expanded, or even conflictive when compared with Jung’s ideas. In the face of this broad and deep horizon, we should define in this thesis, which is the understanding of archetypes we adopt. We accept as coherent with the structure of this thesis the extended definition given by Adam Blatner:</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They represent the inherited, intrinsic tendencies in cognition, imagery, and emotion in the human species. Archetypes are the extensions of the phenomenon of instinct, as complexified and </w:t>
      </w:r>
      <w:r w:rsidRPr="004F4E91">
        <w:rPr>
          <w:rFonts w:ascii="Century Gothic" w:hAnsi="Century Gothic"/>
          <w:sz w:val="20"/>
          <w:szCs w:val="20"/>
          <w:lang w:val="en-US"/>
        </w:rPr>
        <w:lastRenderedPageBreak/>
        <w:t>expressed in human experience. In themselves formless and expressing the sociobiological dimension of neurophysiology, their manifestations may be found in themes in art, ritual, custom, imagery, dreams, philosophy, psychopathology, and every other human endeavor.</w:t>
      </w:r>
      <w:r w:rsidRPr="004F4E91">
        <w:rPr>
          <w:rFonts w:ascii="Century Gothic" w:hAnsi="Century Gothic"/>
          <w:sz w:val="14"/>
          <w:szCs w:val="20"/>
        </w:rPr>
        <w:footnoteReference w:id="82"/>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content of these elements, according to the Jungian Theory, finds its ground on the belief that nature enabled the human individual with “many things which he has never acquired but has inherited from his ancestors. He is not born as a tabula rasa; he is merely born unconscious. But he brings with him systems that are organized and ready to function in a specifically human way, and these he owes to millions of years of human development.” (Carl Jung – op.cit. Volume 4).</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ancient philosophical concepts on archetypes predominantly considered their contents and meanings as something unchangeable (a “pure form” as Plato thought about). Jung’s works and his empirical concepts opened the horizon for a deeper study of the archetypes’ stability and gave them certain flexibility, coherent with the evolutionary processes, as Charles D. Laughlin punctuates: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The archetypes themselves may well have changed during our evolutionary past -- there is no way to know for sure (1953 [1943/45]:368) -- but in their present form, they encode the recurrent experiences of human beings over countless millennia and across all cultural boundaries (1970 [1955/56]:390). In some </w:t>
      </w:r>
      <w:r w:rsidRPr="004F4E91">
        <w:rPr>
          <w:rFonts w:ascii="Century Gothic" w:hAnsi="Century Gothic"/>
          <w:sz w:val="20"/>
          <w:szCs w:val="20"/>
          <w:lang w:val="en-US"/>
        </w:rPr>
        <w:lastRenderedPageBreak/>
        <w:t>instances, the archetypes encode recurrent experiential material from our pre-hominid animal past (1953 [1943/45]:96).</w:t>
      </w:r>
      <w:r w:rsidRPr="004F4E91">
        <w:rPr>
          <w:rFonts w:ascii="Century Gothic" w:hAnsi="Century Gothic"/>
          <w:sz w:val="14"/>
          <w:szCs w:val="20"/>
        </w:rPr>
        <w:footnoteReference w:id="83"/>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For a good understanding of the theory, we should always have in mind that Jung makes clear that the term archetype does not refer to an inherited idea or abstract element, but rather to an inherited pattern of behavior. This assertion plays an important role in this work, in the extension that we understand any moral concept or content as a human behavioral phenomenon. In the present, neuroscientific studies support this proposition of the behavioral nature of the archetypes as George B. Hogenson indicates: “The discovery of mirror neurons by researchers at the University of Parma promises to radically alter our understanding of fundamental cognitive and affective states. This paper explores the relationship of mirror neurons to Jung's theory of archetypes and proposes that archetypes may be viewed as elementary action patterns.” (Hogenson, George B – Archetypes as Action Patterns – The Journal of Analytical Psychology -  </w:t>
      </w:r>
      <w:hyperlink r:id="rId33" w:history="1">
        <w:r w:rsidRPr="004F4E91">
          <w:rPr>
            <w:rFonts w:ascii="Century Gothic" w:hAnsi="Century Gothic"/>
            <w:sz w:val="20"/>
            <w:szCs w:val="20"/>
            <w:lang w:val="en-US"/>
          </w:rPr>
          <w:t>https://doi.org/10.1111/j.1468-5922.2009.01783.x</w:t>
        </w:r>
      </w:hyperlink>
      <w:r w:rsidRPr="004F4E91">
        <w:rPr>
          <w:rFonts w:ascii="Century Gothic" w:hAnsi="Century Gothic"/>
          <w:sz w:val="20"/>
          <w:szCs w:val="20"/>
          <w:lang w:val="en-US"/>
        </w:rPr>
        <w:t xml:space="preserve"> – retrieved Jul, 27 –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Jung focused the subject as a very objective and observable element of the human mind and kept aside metaphysical reasoning in his arguments. “Whether this psychic structure and its elements, the archetypes, ever ‘originated’ at all is a metaphysical question and, therefore, unanswerable. (Carl Jung – op.cit. Volume 4).Despite avoiding any assumption related to the definition of the archetypal origins, Jung highlights that all </w:t>
      </w:r>
      <w:r w:rsidRPr="004F4E91">
        <w:rPr>
          <w:rFonts w:ascii="Century Gothic" w:hAnsi="Century Gothic"/>
          <w:sz w:val="20"/>
          <w:szCs w:val="20"/>
          <w:lang w:val="en-US"/>
        </w:rPr>
        <w:lastRenderedPageBreak/>
        <w:t xml:space="preserve">the elements of a human individual’s nature are primarily present and existing from birth. The individual experiences and their particular environment do not create these elements, but only bring them out.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This behavioral nature of the archetypes, as sustained by Jung, approached his theories to other scientific and philosophical concepts and, if on the one hand, played an influential contribution to other sciences, on the other hand, absorbed several contributions from them. The evidence of these approaches is the reason why we assume that the study of archetypes only acquired the contours of a multidisciplinary subject because of Jung’s works.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progressive enrichment of the Archetypes Theory following Jung’s works in part is due to its multidisciplinary structure, as we can infer from Pearson’s text:</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C.G. Jung left a great deal of </w:t>
      </w:r>
      <w:r w:rsidR="00DE4EBF">
        <w:rPr>
          <w:rFonts w:ascii="Century Gothic" w:hAnsi="Century Gothic"/>
          <w:sz w:val="20"/>
          <w:szCs w:val="20"/>
          <w:lang w:val="en-US"/>
        </w:rPr>
        <w:t xml:space="preserve">ambiguity surrounding the </w:t>
      </w:r>
      <w:r w:rsidRPr="004F4E91">
        <w:rPr>
          <w:rFonts w:ascii="Century Gothic" w:hAnsi="Century Gothic"/>
          <w:sz w:val="20"/>
          <w:szCs w:val="20"/>
          <w:lang w:val="en-US"/>
        </w:rPr>
        <w:t>ontological</w:t>
      </w:r>
      <w:r w:rsidR="00DE4EBF">
        <w:rPr>
          <w:rFonts w:ascii="Century Gothic" w:hAnsi="Century Gothic"/>
          <w:sz w:val="20"/>
          <w:szCs w:val="20"/>
          <w:lang w:val="en-US"/>
        </w:rPr>
        <w:t xml:space="preserve"> </w:t>
      </w:r>
      <w:r w:rsidRPr="004F4E91">
        <w:rPr>
          <w:rFonts w:ascii="Century Gothic" w:hAnsi="Century Gothic"/>
          <w:sz w:val="20"/>
          <w:szCs w:val="20"/>
          <w:lang w:val="en-US"/>
        </w:rPr>
        <w:t>status of </w:t>
      </w:r>
      <w:hyperlink r:id="rId34" w:tgtFrame="_blank" w:tooltip="The Archetypes and the Collective Unconscious (The Collected Works of C. J. Jung; Volume 9, Part I)" w:history="1">
        <w:r w:rsidRPr="004F4E91">
          <w:rPr>
            <w:rFonts w:ascii="Century Gothic" w:hAnsi="Century Gothic"/>
            <w:sz w:val="20"/>
            <w:szCs w:val="20"/>
            <w:lang w:val="en-US"/>
          </w:rPr>
          <w:t>the archetypes and the collective unconscious</w:t>
        </w:r>
      </w:hyperlink>
      <w:r w:rsidRPr="004F4E91">
        <w:rPr>
          <w:rFonts w:ascii="Century Gothic" w:hAnsi="Century Gothic"/>
          <w:sz w:val="20"/>
          <w:szCs w:val="20"/>
          <w:lang w:val="en-US"/>
        </w:rPr>
        <w:t xml:space="preserve">. He did so because of the inadequacy of the science of his day. Modern developments in the </w:t>
      </w:r>
      <w:hyperlink r:id="rId35" w:tgtFrame="_blank" w:history="1">
        <w:r w:rsidRPr="004F4E91">
          <w:rPr>
            <w:rFonts w:ascii="Century Gothic" w:hAnsi="Century Gothic"/>
            <w:sz w:val="20"/>
            <w:szCs w:val="20"/>
            <w:lang w:val="en-US"/>
          </w:rPr>
          <w:t>neurosciences</w:t>
        </w:r>
      </w:hyperlink>
      <w:r w:rsidR="00DE4EBF">
        <w:rPr>
          <w:rFonts w:ascii="Century Gothic" w:hAnsi="Century Gothic"/>
          <w:sz w:val="20"/>
          <w:szCs w:val="20"/>
          <w:lang w:val="en-US"/>
        </w:rPr>
        <w:t xml:space="preserve"> </w:t>
      </w:r>
      <w:r w:rsidRPr="004F4E91">
        <w:rPr>
          <w:rFonts w:ascii="Century Gothic" w:hAnsi="Century Gothic"/>
          <w:sz w:val="20"/>
          <w:szCs w:val="20"/>
          <w:lang w:val="en-US"/>
        </w:rPr>
        <w:t>and physics</w:t>
      </w:r>
      <w:r w:rsidRPr="004F4E91">
        <w:rPr>
          <w:rFonts w:ascii="Arial" w:hAnsi="Arial" w:cs="Arial"/>
          <w:sz w:val="20"/>
          <w:szCs w:val="20"/>
          <w:lang w:val="en-US"/>
        </w:rPr>
        <w:t> </w:t>
      </w:r>
      <w:r w:rsidRPr="004F4E91">
        <w:rPr>
          <w:rFonts w:ascii="Century Gothic" w:hAnsi="Century Gothic"/>
          <w:sz w:val="20"/>
          <w:szCs w:val="20"/>
          <w:lang w:val="en-US"/>
        </w:rPr>
        <w:t>—</w:t>
      </w:r>
      <w:r w:rsidRPr="004F4E91">
        <w:rPr>
          <w:rFonts w:ascii="Arial" w:hAnsi="Arial" w:cs="Arial"/>
          <w:sz w:val="20"/>
          <w:szCs w:val="20"/>
          <w:lang w:val="en-US"/>
        </w:rPr>
        <w:t> </w:t>
      </w:r>
      <w:r w:rsidR="00DE4EBF">
        <w:rPr>
          <w:rFonts w:ascii="Century Gothic" w:hAnsi="Century Gothic"/>
          <w:sz w:val="20"/>
          <w:szCs w:val="20"/>
          <w:lang w:val="en-US"/>
        </w:rPr>
        <w:t xml:space="preserve">especially the new </w:t>
      </w:r>
      <w:hyperlink r:id="rId36" w:tgtFrame="_blank" w:history="1">
        <w:r w:rsidRPr="004F4E91">
          <w:rPr>
            <w:rFonts w:ascii="Century Gothic" w:hAnsi="Century Gothic"/>
            <w:sz w:val="20"/>
            <w:szCs w:val="20"/>
            <w:lang w:val="en-US"/>
          </w:rPr>
          <w:t>physics of the vacuum</w:t>
        </w:r>
      </w:hyperlink>
      <w:r w:rsidRPr="004F4E91">
        <w:rPr>
          <w:rFonts w:ascii="Arial" w:hAnsi="Arial" w:cs="Arial"/>
          <w:sz w:val="20"/>
          <w:szCs w:val="20"/>
          <w:lang w:val="en-US"/>
        </w:rPr>
        <w:t> </w:t>
      </w:r>
      <w:r w:rsidRPr="004F4E91">
        <w:rPr>
          <w:rFonts w:ascii="Century Gothic" w:hAnsi="Century Gothic"/>
          <w:sz w:val="20"/>
          <w:szCs w:val="20"/>
          <w:lang w:val="en-US"/>
        </w:rPr>
        <w:t>—</w:t>
      </w:r>
      <w:r w:rsidRPr="004F4E91">
        <w:rPr>
          <w:rFonts w:ascii="Arial" w:hAnsi="Arial" w:cs="Arial"/>
          <w:sz w:val="20"/>
          <w:szCs w:val="20"/>
          <w:lang w:val="en-US"/>
        </w:rPr>
        <w:t> </w:t>
      </w:r>
      <w:r w:rsidRPr="004F4E91">
        <w:rPr>
          <w:rFonts w:ascii="Century Gothic" w:hAnsi="Century Gothic"/>
          <w:sz w:val="20"/>
          <w:szCs w:val="20"/>
          <w:lang w:val="en-US"/>
        </w:rPr>
        <w:t>allow us to develop Jung’s understanding of the archetypes further. This paper analyzes the salient characteristics of Jung’s co</w:t>
      </w:r>
      <w:r w:rsidR="00DE4EBF">
        <w:rPr>
          <w:rFonts w:ascii="Century Gothic" w:hAnsi="Century Gothic"/>
          <w:sz w:val="20"/>
          <w:szCs w:val="20"/>
          <w:lang w:val="en-US"/>
        </w:rPr>
        <w:t xml:space="preserve">ncept of the archetype and uses </w:t>
      </w:r>
      <w:hyperlink r:id="rId37" w:tgtFrame="_blank" w:history="1">
        <w:r w:rsidRPr="004F4E91">
          <w:rPr>
            <w:rFonts w:ascii="Century Gothic" w:hAnsi="Century Gothic"/>
            <w:sz w:val="20"/>
            <w:szCs w:val="20"/>
            <w:lang w:val="en-US"/>
          </w:rPr>
          <w:t>modern biogenetic structural theory</w:t>
        </w:r>
      </w:hyperlink>
      <w:r w:rsidR="00DE4EBF">
        <w:rPr>
          <w:rFonts w:ascii="Century Gothic" w:hAnsi="Century Gothic"/>
          <w:sz w:val="20"/>
          <w:szCs w:val="20"/>
          <w:lang w:val="en-US"/>
        </w:rPr>
        <w:t xml:space="preserve"> to integrate </w:t>
      </w:r>
      <w:hyperlink r:id="rId38" w:tgtFrame="_blank" w:history="1">
        <w:r w:rsidRPr="004F4E91">
          <w:rPr>
            <w:rFonts w:ascii="Century Gothic" w:hAnsi="Century Gothic"/>
            <w:sz w:val="20"/>
            <w:szCs w:val="20"/>
            <w:lang w:val="en-US"/>
          </w:rPr>
          <w:t>archetypal psychology</w:t>
        </w:r>
      </w:hyperlink>
      <w:r w:rsidR="00DE4EBF">
        <w:rPr>
          <w:rFonts w:ascii="Century Gothic" w:hAnsi="Century Gothic"/>
          <w:sz w:val="20"/>
          <w:szCs w:val="20"/>
          <w:lang w:val="en-US"/>
        </w:rPr>
        <w:t xml:space="preserve"> </w:t>
      </w:r>
      <w:r w:rsidRPr="004F4E91">
        <w:rPr>
          <w:rFonts w:ascii="Century Gothic" w:hAnsi="Century Gothic"/>
          <w:sz w:val="20"/>
          <w:szCs w:val="20"/>
          <w:lang w:val="en-US"/>
        </w:rPr>
        <w:t xml:space="preserve">and the neurosciences. The paper reviews some of the evidence in favor of direct neurophysiological-quantum coupling [the author’s term] and suggests how neural </w:t>
      </w:r>
      <w:r w:rsidRPr="004F4E91">
        <w:rPr>
          <w:rFonts w:ascii="Century Gothic" w:hAnsi="Century Gothic"/>
          <w:sz w:val="20"/>
          <w:szCs w:val="20"/>
          <w:lang w:val="en-US"/>
        </w:rPr>
        <w:lastRenderedPageBreak/>
        <w:t>processing and </w:t>
      </w:r>
      <w:hyperlink r:id="rId39" w:tgtFrame="_blank" w:history="1">
        <w:r w:rsidRPr="004F4E91">
          <w:rPr>
            <w:rFonts w:ascii="Century Gothic" w:hAnsi="Century Gothic"/>
            <w:sz w:val="20"/>
            <w:szCs w:val="20"/>
            <w:lang w:val="en-US"/>
          </w:rPr>
          <w:t>quantum events</w:t>
        </w:r>
      </w:hyperlink>
      <w:r w:rsidR="00DE4EBF">
        <w:rPr>
          <w:rFonts w:ascii="Century Gothic" w:hAnsi="Century Gothic"/>
          <w:sz w:val="20"/>
          <w:szCs w:val="20"/>
          <w:lang w:val="en-US"/>
        </w:rPr>
        <w:t xml:space="preserve"> </w:t>
      </w:r>
      <w:r w:rsidRPr="004F4E91">
        <w:rPr>
          <w:rFonts w:ascii="Century Gothic" w:hAnsi="Century Gothic"/>
          <w:sz w:val="20"/>
          <w:szCs w:val="20"/>
          <w:lang w:val="en-US"/>
        </w:rPr>
        <w:t>may interpenetrate.</w:t>
      </w:r>
      <w:r w:rsidRPr="004F4E91">
        <w:rPr>
          <w:rFonts w:ascii="Century Gothic" w:hAnsi="Century Gothic"/>
          <w:sz w:val="14"/>
          <w:szCs w:val="20"/>
        </w:rPr>
        <w:footnoteReference w:id="8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Mark Vernon also indicates the value of this multidisciplinary approach of the Jungian Theory: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In fact, the possibility that Jungian archetypes might be commensurate with biology was implied by EO Wilson in his book </w:t>
      </w:r>
      <w:hyperlink r:id="rId40" w:history="1">
        <w:r w:rsidRPr="004F4E91">
          <w:rPr>
            <w:rFonts w:ascii="Century Gothic" w:hAnsi="Century Gothic"/>
            <w:sz w:val="20"/>
            <w:szCs w:val="20"/>
            <w:lang w:val="en-US"/>
          </w:rPr>
          <w:t>Consilience</w:t>
        </w:r>
      </w:hyperlink>
      <w:r w:rsidRPr="004F4E91">
        <w:rPr>
          <w:rFonts w:ascii="Century Gothic" w:hAnsi="Century Gothic"/>
          <w:sz w:val="20"/>
          <w:szCs w:val="20"/>
          <w:lang w:val="en-US"/>
        </w:rPr>
        <w:t>. He raised the possibility that science might make them "more concrete and verifiable." Following Wilson's lead, the psychiatrist </w:t>
      </w:r>
      <w:hyperlink r:id="rId41" w:history="1">
        <w:r w:rsidRPr="004F4E91">
          <w:rPr>
            <w:rFonts w:ascii="Century Gothic" w:hAnsi="Century Gothic"/>
            <w:sz w:val="20"/>
            <w:szCs w:val="20"/>
            <w:lang w:val="en-US"/>
          </w:rPr>
          <w:t>Anthony Stevens</w:t>
        </w:r>
      </w:hyperlink>
      <w:r w:rsidRPr="004F4E91">
        <w:rPr>
          <w:rFonts w:ascii="Century Gothic" w:hAnsi="Century Gothic"/>
          <w:sz w:val="20"/>
          <w:szCs w:val="20"/>
          <w:lang w:val="en-US"/>
        </w:rPr>
        <w:t> sees archetypes at work in ethology, the study of animal behavior in natural habitats. Animals have sets of stock behaviors, ethologists note, apparently activated by environmental stimuli.</w:t>
      </w:r>
      <w:r w:rsidRPr="004F4E91">
        <w:rPr>
          <w:rFonts w:ascii="Century Gothic" w:hAnsi="Century Gothic"/>
          <w:sz w:val="14"/>
          <w:szCs w:val="20"/>
        </w:rPr>
        <w:footnoteReference w:id="85"/>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Taking into account this visible universality of the idea of archetypes in Sciences and Philosophy in present days, we should accept the contributions of all studies and interpretations of the concept, which are compatible with </w:t>
      </w:r>
      <w:r w:rsidRPr="004F4E91">
        <w:rPr>
          <w:rFonts w:ascii="Century Gothic" w:hAnsi="Century Gothic"/>
          <w:sz w:val="20"/>
          <w:szCs w:val="20"/>
          <w:lang w:val="en-US"/>
        </w:rPr>
        <w:lastRenderedPageBreak/>
        <w:t>the central pillars of our thesis, irrespective the fields of Science from where they arise.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Among the several contributions brought by recent researches, two important approaches fortify our basic assumptions related to morality as a human behavioral and observable subject, resulting from archetypal foundations and carried for millennia of evolutionary processes aggregate to the species genome.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first one comes from the fundamental axioms of biogenetics structuralism, summarized in three radical notions that form its foundations: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1. The first is that consciousness is a property of the nervous system.</w:t>
      </w:r>
      <w:r w:rsidR="00093EDD">
        <w:rPr>
          <w:rFonts w:ascii="Century Gothic" w:hAnsi="Century Gothic"/>
          <w:sz w:val="20"/>
          <w:szCs w:val="20"/>
          <w:lang w:val="en-US"/>
        </w:rPr>
        <w:t xml:space="preserve"> </w:t>
      </w:r>
    </w:p>
    <w:p w:rsidR="008D0320" w:rsidRPr="004F4E91" w:rsidRDefault="00093EDD" w:rsidP="008D0320">
      <w:pPr>
        <w:spacing w:line="240" w:lineRule="auto"/>
        <w:jc w:val="both"/>
        <w:rPr>
          <w:rFonts w:ascii="Century Gothic" w:hAnsi="Century Gothic"/>
          <w:sz w:val="20"/>
          <w:szCs w:val="20"/>
          <w:lang w:val="en-US"/>
        </w:rPr>
      </w:pPr>
      <w:r>
        <w:rPr>
          <w:rFonts w:ascii="Century Gothic" w:hAnsi="Century Gothic"/>
          <w:sz w:val="20"/>
          <w:szCs w:val="20"/>
          <w:lang w:val="en-US"/>
        </w:rPr>
        <w:t>2.</w:t>
      </w:r>
      <w:r w:rsidR="008D0320" w:rsidRPr="004F4E91">
        <w:rPr>
          <w:rFonts w:ascii="Century Gothic" w:hAnsi="Century Gothic"/>
          <w:sz w:val="20"/>
          <w:szCs w:val="20"/>
          <w:lang w:val="en-US"/>
        </w:rPr>
        <w:t xml:space="preserve"> The second is that all of the neural structures that mediate consciousness develop during life from initial inherited structures (from archetypes, in other terms), and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3. The third is that all we can mean by "culture" refers either directly to neurophysiological processes, or indirectly to the artifacts and behaviors produced by those processes.</w:t>
      </w:r>
      <w:r w:rsidRPr="004F4E91">
        <w:rPr>
          <w:rFonts w:ascii="Century Gothic" w:hAnsi="Century Gothic"/>
          <w:sz w:val="14"/>
          <w:szCs w:val="20"/>
        </w:rPr>
        <w:footnoteReference w:id="86"/>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other important approach comes from the concepts of neurognosis, also emerging from the biogenetic structuralism.  Neurognosis is a technical term used to refer to the initial organization of the experiencing and cognizing brain.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definition of this concept comes from Laughlin:</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All neurophysiological models comprising the cognized environment develop from nascent </w:t>
      </w:r>
      <w:r w:rsidRPr="004F4E91">
        <w:rPr>
          <w:rFonts w:ascii="Century Gothic" w:hAnsi="Century Gothic"/>
          <w:sz w:val="20"/>
          <w:szCs w:val="20"/>
          <w:lang w:val="en-US"/>
        </w:rPr>
        <w:lastRenderedPageBreak/>
        <w:t>models which exist as the initial, genetically determined neural structures already producing the experience of the fetus and infant. We call these nascent models neurognostic structures, neurognostic models, or simply neurognosis (Laughlin 1991, Laughlin and d'Aquili 1974:83, Laughlin, McManus and d'Aquili 1990:44-75). When we wish to emphasize the neurognostic structures themselves, we tend to mention structures or models. The neurognostic structures correspond to Jung's archetypes. Remember that, although much attention was given to relatively dramatic archetypal imagery in his writings, Jung actually believed that there were as many archetypes as there are species-wide, typical perceptions (1968c [1936/37]:48). Jung's reference to the essential unknowability of the archetypes-in-themselves also applies to neurognostic structures in our formulation.</w:t>
      </w:r>
      <w:r w:rsidRPr="004F4E91">
        <w:rPr>
          <w:rFonts w:ascii="Century Gothic" w:hAnsi="Century Gothic"/>
          <w:sz w:val="14"/>
          <w:szCs w:val="20"/>
        </w:rPr>
        <w:footnoteReference w:id="87"/>
      </w:r>
    </w:p>
    <w:p w:rsidR="00093EDD" w:rsidRDefault="00093EDD" w:rsidP="008D0320">
      <w:pPr>
        <w:spacing w:line="240" w:lineRule="auto"/>
        <w:jc w:val="both"/>
        <w:rPr>
          <w:rFonts w:ascii="Century Gothic" w:hAnsi="Century Gothic"/>
          <w:b/>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2.2.3 – Transmissibility of Archetypes</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When Jung formulated his Archetypes Theory in the first half of the 20rth Century, the Science then existing could not help him sufficiently.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Nonetheless, in the present, we have sufficient and accredited scientific researches able to support the justification required for the validation of our claims. We will not demonstrate or review these scientific researches, because this would overflow the purpose, structure, and methodology of this work, moreover, because the most </w:t>
      </w:r>
      <w:r w:rsidRPr="004F4E91">
        <w:rPr>
          <w:rFonts w:ascii="Century Gothic" w:hAnsi="Century Gothic"/>
          <w:sz w:val="20"/>
          <w:szCs w:val="20"/>
          <w:lang w:val="en-US"/>
        </w:rPr>
        <w:lastRenderedPageBreak/>
        <w:t>important scientific grounds related to the archetypal transmissibility come from the neurosciences, which methodology is not extensive to Philosophy.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should, however, indicate and make explicit scientific researches grounding our argument, and quote their essential assumptions without changing their wording and structure, rather than merely mentioning them.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mechanisms for encoding, storing and transmission of genetic information (such as the archetypes), are described by </w:t>
      </w:r>
      <w:hyperlink r:id="rId42" w:history="1">
        <w:r w:rsidRPr="004F4E91">
          <w:rPr>
            <w:rFonts w:ascii="Century Gothic" w:hAnsi="Century Gothic"/>
            <w:sz w:val="20"/>
            <w:szCs w:val="20"/>
            <w:lang w:val="en-US"/>
          </w:rPr>
          <w:t>Don M. Gash</w:t>
        </w:r>
      </w:hyperlink>
      <w:r w:rsidRPr="004F4E91">
        <w:rPr>
          <w:rFonts w:ascii="Century Gothic" w:hAnsi="Century Gothic"/>
          <w:sz w:val="20"/>
          <w:szCs w:val="20"/>
          <w:lang w:val="en-US"/>
        </w:rPr>
        <w:t> and Andrew S. Deane</w:t>
      </w:r>
      <w:r w:rsidRPr="004F4E91">
        <w:rPr>
          <w:rFonts w:ascii="Century Gothic" w:hAnsi="Century Gothic"/>
          <w:sz w:val="14"/>
          <w:szCs w:val="20"/>
        </w:rPr>
        <w:footnoteReference w:id="88"/>
      </w:r>
      <w:r w:rsidRPr="004F4E91">
        <w:rPr>
          <w:rFonts w:ascii="Century Gothic" w:hAnsi="Century Gothic"/>
          <w:sz w:val="20"/>
          <w:szCs w:val="20"/>
          <w:lang w:val="en-US"/>
        </w:rPr>
        <w:t xml:space="preserve"> as a complex process primarily determining the genetic informational content at the time of the individual’s conception: </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Nucleotide encodes genetic information sequences and chromosomal structure of an individual's genome. Transcription and translation of encoded information are dynamic molecular processes regulating cellular life: responding to stimuli, maintaining homeostasis, and regulating growth, development, and reproduction. There are various mechanisms for transmitting genetic information in single cells and multicellular organisms involving replication of the encoded information</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Neuron-based informational content is accumulated and modified throughout life in the human nervous system. Information in the nervous system is encoded in the molecular and cellular properties of neurons, their neural networks, and their synaptic connections.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lastRenderedPageBreak/>
        <w:t>[...] The mechanism for the transfer of neuron-based information from individual-to-individual in a population is via mind-to-mind. Mind-to-mind transfer engages the brain and body as well as the mind.</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Neuron-based informational content is accumulated and modified throughout life in the human nervous system. Information in the nervous system is encoded in the molecular and cellular properties of neurons, their neural networks, and their synaptic connections.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The mechanism for the transfer of neuron-based information from individual-to-individual in a population is via mind-to-mind. Mind-to-mind transfer engages the brain and body as well as the mind.</w:t>
      </w:r>
      <w:r w:rsidRPr="004F4E91">
        <w:rPr>
          <w:rFonts w:ascii="Century Gothic" w:hAnsi="Century Gothic"/>
          <w:sz w:val="14"/>
          <w:szCs w:val="20"/>
        </w:rPr>
        <w:footnoteReference w:id="89"/>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Attempting to decipher a so complex neural structured system, entirely unknown until some decades ago, is an immeasurable challenge for Science, and one of the fascinating mysteries related to the human phenomenon. This exhaustive road, despite the circumstance, conquered several advances, and each one of them propels the others.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Very relevant features and mechanisms of the encoding, storing, and transmission of genetic information related to human behavior have been recently discovered, like the Kin Selection processes.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Kin Selection is a significant study on evolutionary biology, originally proposed in 1963 by the British evolutionary biologist </w:t>
      </w:r>
      <w:hyperlink r:id="rId43" w:history="1">
        <w:r w:rsidRPr="004F4E91">
          <w:rPr>
            <w:rFonts w:ascii="Century Gothic" w:hAnsi="Century Gothic"/>
            <w:sz w:val="20"/>
            <w:szCs w:val="20"/>
            <w:lang w:val="en-US"/>
          </w:rPr>
          <w:t>W.D. Hamilton</w:t>
        </w:r>
      </w:hyperlink>
      <w:r w:rsidRPr="004F4E91">
        <w:rPr>
          <w:rFonts w:ascii="Century Gothic" w:hAnsi="Century Gothic"/>
          <w:sz w:val="20"/>
          <w:szCs w:val="20"/>
          <w:lang w:val="en-US"/>
        </w:rPr>
        <w:t>, and offers an entirely new analytical perspective to the animal social behavior (mostly the mammals, as the Homo sapiens).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the present day, the Kin Selection Theory is one of the foundations of the modern study of </w:t>
      </w:r>
      <w:hyperlink r:id="rId44" w:history="1">
        <w:r w:rsidRPr="004F4E91">
          <w:rPr>
            <w:rFonts w:ascii="Century Gothic" w:hAnsi="Century Gothic"/>
            <w:sz w:val="20"/>
            <w:szCs w:val="20"/>
            <w:lang w:val="en-US"/>
          </w:rPr>
          <w:t>social behavior</w:t>
        </w:r>
      </w:hyperlink>
      <w:r w:rsidRPr="004F4E91">
        <w:rPr>
          <w:rFonts w:ascii="Century Gothic" w:hAnsi="Century Gothic"/>
          <w:sz w:val="20"/>
          <w:szCs w:val="20"/>
          <w:lang w:val="en-US"/>
        </w:rPr>
        <w:t>, which comprises the roots of any moral tenet.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theory clarifies the very complex genetic evolutive foundations of essential social behaviors like altruism and reveals the original choices based on the cost-benefit in animal life in a group. Kin selection requires </w:t>
      </w:r>
      <w:hyperlink r:id="rId45" w:tooltip="Learn more about Genetics from ScienceDirect's AI-generated Topic Pages" w:history="1">
        <w:r w:rsidRPr="004F4E91">
          <w:rPr>
            <w:rFonts w:ascii="Century Gothic" w:hAnsi="Century Gothic"/>
            <w:sz w:val="20"/>
            <w:szCs w:val="20"/>
            <w:lang w:val="en-US"/>
          </w:rPr>
          <w:t>genetic</w:t>
        </w:r>
      </w:hyperlink>
      <w:r w:rsidRPr="004F4E91">
        <w:rPr>
          <w:rFonts w:ascii="Century Gothic" w:hAnsi="Century Gothic"/>
          <w:sz w:val="20"/>
          <w:szCs w:val="20"/>
          <w:lang w:val="en-US"/>
        </w:rPr>
        <w:t xml:space="preserve"> relatedness between the donor and the recipient of the altruistic act, and for sure, the selection is the dominant explanation for the </w:t>
      </w:r>
      <w:hyperlink r:id="rId46" w:tooltip="Learn more about Evolution from ScienceDirect's AI-generated Topic Pages" w:history="1">
        <w:r w:rsidRPr="004F4E91">
          <w:rPr>
            <w:rFonts w:ascii="Century Gothic" w:hAnsi="Century Gothic"/>
            <w:sz w:val="20"/>
            <w:szCs w:val="20"/>
            <w:lang w:val="en-US"/>
          </w:rPr>
          <w:t>evolution</w:t>
        </w:r>
      </w:hyperlink>
      <w:r w:rsidR="00093EDD">
        <w:rPr>
          <w:rFonts w:ascii="Century Gothic" w:hAnsi="Century Gothic"/>
          <w:sz w:val="20"/>
          <w:szCs w:val="20"/>
          <w:lang w:val="en-US"/>
        </w:rPr>
        <w:t xml:space="preserve"> </w:t>
      </w:r>
      <w:r w:rsidRPr="004F4E91">
        <w:rPr>
          <w:rFonts w:ascii="Century Gothic" w:hAnsi="Century Gothic"/>
          <w:sz w:val="20"/>
          <w:szCs w:val="20"/>
          <w:lang w:val="en-US"/>
        </w:rPr>
        <w:t>of aid-giving behavior.</w:t>
      </w:r>
      <w:r w:rsidRPr="004F4E91">
        <w:rPr>
          <w:rFonts w:ascii="Century Gothic" w:hAnsi="Century Gothic"/>
          <w:sz w:val="14"/>
          <w:szCs w:val="20"/>
        </w:rPr>
        <w:footnoteReference w:id="90"/>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Therefore, we may say that the Kin Selection Theory lays on the baby crib of the human behavioral morality, and unveils the fascinating beauty of the archetypes and their evolutionary process.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Patten described the central ideas of the theory as follows: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It is most ac</w:t>
      </w:r>
      <w:r w:rsidR="00093EDD">
        <w:rPr>
          <w:rFonts w:ascii="Century Gothic" w:hAnsi="Century Gothic"/>
          <w:sz w:val="20"/>
          <w:szCs w:val="20"/>
          <w:lang w:val="en-US"/>
        </w:rPr>
        <w:t xml:space="preserve">curately described as a form of </w:t>
      </w:r>
      <w:hyperlink r:id="rId47" w:tooltip="Learn more about Group Selection from ScienceDirect's AI-generated Topic Pages" w:history="1">
        <w:r w:rsidRPr="004F4E91">
          <w:rPr>
            <w:rFonts w:ascii="Century Gothic" w:hAnsi="Century Gothic"/>
            <w:sz w:val="20"/>
            <w:szCs w:val="20"/>
            <w:lang w:val="en-US"/>
          </w:rPr>
          <w:t>group selection</w:t>
        </w:r>
      </w:hyperlink>
      <w:r w:rsidRPr="004F4E91">
        <w:rPr>
          <w:rFonts w:ascii="Century Gothic" w:hAnsi="Century Gothic"/>
          <w:sz w:val="20"/>
          <w:szCs w:val="20"/>
          <w:lang w:val="en-US"/>
        </w:rPr>
        <w:t xml:space="preserve">. Although mathematically, it is possible – and even sometimes heuristically invaluable – to </w:t>
      </w:r>
      <w:r w:rsidR="00093EDD">
        <w:rPr>
          <w:rFonts w:ascii="Century Gothic" w:hAnsi="Century Gothic"/>
          <w:sz w:val="20"/>
          <w:szCs w:val="20"/>
          <w:lang w:val="en-US"/>
        </w:rPr>
        <w:t xml:space="preserve">make all fitness variation under </w:t>
      </w:r>
      <w:hyperlink r:id="rId48" w:tooltip="Learn more about Kin Selection from ScienceDirect's AI-generated Topic Pages" w:history="1">
        <w:r w:rsidRPr="004F4E91">
          <w:rPr>
            <w:rFonts w:ascii="Century Gothic" w:hAnsi="Century Gothic"/>
            <w:sz w:val="20"/>
            <w:szCs w:val="20"/>
            <w:lang w:val="en-US"/>
          </w:rPr>
          <w:t>kin selection</w:t>
        </w:r>
      </w:hyperlink>
      <w:r w:rsidR="00093EDD">
        <w:rPr>
          <w:rFonts w:ascii="Century Gothic" w:hAnsi="Century Gothic"/>
          <w:sz w:val="20"/>
          <w:szCs w:val="20"/>
          <w:lang w:val="en-US"/>
        </w:rPr>
        <w:t xml:space="preserve"> property of </w:t>
      </w:r>
      <w:hyperlink r:id="rId49" w:tooltip="Learn more about Gene from ScienceDirect's AI-generated Topic Pages" w:history="1">
        <w:r w:rsidRPr="004F4E91">
          <w:rPr>
            <w:rFonts w:ascii="Century Gothic" w:hAnsi="Century Gothic"/>
            <w:sz w:val="20"/>
            <w:szCs w:val="20"/>
            <w:lang w:val="en-US"/>
          </w:rPr>
          <w:t>genes</w:t>
        </w:r>
      </w:hyperlink>
      <w:r w:rsidR="00093EDD">
        <w:rPr>
          <w:rFonts w:ascii="Century Gothic" w:hAnsi="Century Gothic"/>
          <w:sz w:val="20"/>
          <w:szCs w:val="20"/>
          <w:lang w:val="en-US"/>
        </w:rPr>
        <w:t xml:space="preserve"> </w:t>
      </w:r>
      <w:r w:rsidRPr="004F4E91">
        <w:rPr>
          <w:rFonts w:ascii="Century Gothic" w:hAnsi="Century Gothic"/>
          <w:sz w:val="20"/>
          <w:szCs w:val="20"/>
          <w:lang w:val="en-US"/>
        </w:rPr>
        <w:t>or individuals, this obscures the true</w:t>
      </w:r>
      <w:r w:rsidR="00093EDD">
        <w:rPr>
          <w:rFonts w:ascii="Century Gothic" w:hAnsi="Century Gothic"/>
          <w:sz w:val="20"/>
          <w:szCs w:val="20"/>
          <w:lang w:val="en-US"/>
        </w:rPr>
        <w:t xml:space="preserve"> causal forces that bring about </w:t>
      </w:r>
      <w:hyperlink r:id="rId50" w:tooltip="Learn more about Gene Frequency from ScienceDirect's AI-generated Topic Pages" w:history="1">
        <w:r w:rsidRPr="004F4E91">
          <w:rPr>
            <w:rFonts w:ascii="Century Gothic" w:hAnsi="Century Gothic"/>
            <w:sz w:val="20"/>
            <w:szCs w:val="20"/>
            <w:lang w:val="en-US"/>
          </w:rPr>
          <w:t>gene-frequency</w:t>
        </w:r>
      </w:hyperlink>
      <w:r w:rsidR="00093EDD">
        <w:rPr>
          <w:rFonts w:ascii="Century Gothic" w:hAnsi="Century Gothic"/>
          <w:sz w:val="20"/>
          <w:szCs w:val="20"/>
          <w:lang w:val="en-US"/>
        </w:rPr>
        <w:t xml:space="preserve"> </w:t>
      </w:r>
      <w:r w:rsidRPr="004F4E91">
        <w:rPr>
          <w:rFonts w:ascii="Century Gothic" w:hAnsi="Century Gothic"/>
          <w:sz w:val="20"/>
          <w:szCs w:val="20"/>
          <w:lang w:val="en-US"/>
        </w:rPr>
        <w:t>chan</w:t>
      </w:r>
      <w:r w:rsidR="00093EDD">
        <w:rPr>
          <w:rFonts w:ascii="Century Gothic" w:hAnsi="Century Gothic"/>
          <w:sz w:val="20"/>
          <w:szCs w:val="20"/>
          <w:lang w:val="en-US"/>
        </w:rPr>
        <w:t xml:space="preserve">ge under </w:t>
      </w:r>
      <w:r w:rsidRPr="004F4E91">
        <w:rPr>
          <w:rFonts w:ascii="Century Gothic" w:hAnsi="Century Gothic"/>
          <w:sz w:val="20"/>
          <w:szCs w:val="20"/>
          <w:lang w:val="en-US"/>
        </w:rPr>
        <w:t>kin selection. Kin sele</w:t>
      </w:r>
      <w:r w:rsidR="00093EDD">
        <w:rPr>
          <w:rFonts w:ascii="Century Gothic" w:hAnsi="Century Gothic"/>
          <w:sz w:val="20"/>
          <w:szCs w:val="20"/>
          <w:lang w:val="en-US"/>
        </w:rPr>
        <w:t xml:space="preserve">ction is a way of understanding </w:t>
      </w:r>
      <w:r w:rsidRPr="004F4E91">
        <w:rPr>
          <w:rFonts w:ascii="Century Gothic" w:hAnsi="Century Gothic"/>
          <w:sz w:val="20"/>
          <w:szCs w:val="20"/>
          <w:lang w:val="en-US"/>
        </w:rPr>
        <w:t>allele</w:t>
      </w:r>
      <w:r w:rsidR="00093EDD">
        <w:rPr>
          <w:rFonts w:ascii="Century Gothic" w:hAnsi="Century Gothic"/>
          <w:sz w:val="20"/>
          <w:szCs w:val="20"/>
          <w:lang w:val="en-US"/>
        </w:rPr>
        <w:t xml:space="preserve"> </w:t>
      </w:r>
      <w:r w:rsidRPr="004F4E91">
        <w:rPr>
          <w:rFonts w:ascii="Century Gothic" w:hAnsi="Century Gothic"/>
          <w:sz w:val="20"/>
          <w:szCs w:val="20"/>
          <w:lang w:val="en-US"/>
        </w:rPr>
        <w:lastRenderedPageBreak/>
        <w:t>frequency change as a consequence of the actions and interacti</w:t>
      </w:r>
      <w:r w:rsidR="00093EDD">
        <w:rPr>
          <w:rFonts w:ascii="Century Gothic" w:hAnsi="Century Gothic"/>
          <w:sz w:val="20"/>
          <w:szCs w:val="20"/>
          <w:lang w:val="en-US"/>
        </w:rPr>
        <w:t xml:space="preserve">ons among individuals who share </w:t>
      </w:r>
      <w:r w:rsidRPr="004F4E91">
        <w:rPr>
          <w:rFonts w:ascii="Century Gothic" w:hAnsi="Century Gothic"/>
          <w:sz w:val="20"/>
          <w:szCs w:val="20"/>
          <w:lang w:val="en-US"/>
        </w:rPr>
        <w:t>alleles</w:t>
      </w:r>
      <w:r w:rsidR="00093EDD">
        <w:rPr>
          <w:rFonts w:ascii="Century Gothic" w:hAnsi="Century Gothic"/>
          <w:sz w:val="20"/>
          <w:szCs w:val="20"/>
          <w:lang w:val="en-US"/>
        </w:rPr>
        <w:t xml:space="preserve"> </w:t>
      </w:r>
      <w:r w:rsidRPr="004F4E91">
        <w:rPr>
          <w:rFonts w:ascii="Century Gothic" w:hAnsi="Century Gothic"/>
          <w:sz w:val="20"/>
          <w:szCs w:val="20"/>
          <w:lang w:val="en-US"/>
        </w:rPr>
        <w:t xml:space="preserve">by recent common descent – i.e., kin. As with group selection, it is a consequence of the </w:t>
      </w:r>
      <w:r w:rsidR="00093EDD">
        <w:rPr>
          <w:rFonts w:ascii="Century Gothic" w:hAnsi="Century Gothic"/>
          <w:sz w:val="20"/>
          <w:szCs w:val="20"/>
          <w:lang w:val="en-US"/>
        </w:rPr>
        <w:t xml:space="preserve">properties of groups that cause </w:t>
      </w:r>
      <w:r w:rsidRPr="004F4E91">
        <w:rPr>
          <w:rFonts w:ascii="Century Gothic" w:hAnsi="Century Gothic"/>
          <w:sz w:val="20"/>
          <w:szCs w:val="20"/>
          <w:lang w:val="en-US"/>
        </w:rPr>
        <w:t>allele frequency</w:t>
      </w:r>
      <w:r w:rsidR="00093EDD">
        <w:rPr>
          <w:rFonts w:ascii="Century Gothic" w:hAnsi="Century Gothic"/>
          <w:sz w:val="20"/>
          <w:szCs w:val="20"/>
          <w:lang w:val="en-US"/>
        </w:rPr>
        <w:t xml:space="preserve"> </w:t>
      </w:r>
      <w:r w:rsidRPr="004F4E91">
        <w:rPr>
          <w:rFonts w:ascii="Century Gothic" w:hAnsi="Century Gothic"/>
          <w:sz w:val="20"/>
          <w:szCs w:val="20"/>
          <w:lang w:val="en-US"/>
        </w:rPr>
        <w:t>change. With the kin selection, thoug</w:t>
      </w:r>
      <w:r w:rsidR="00093EDD">
        <w:rPr>
          <w:rFonts w:ascii="Century Gothic" w:hAnsi="Century Gothic"/>
          <w:sz w:val="20"/>
          <w:szCs w:val="20"/>
          <w:lang w:val="en-US"/>
        </w:rPr>
        <w:t xml:space="preserve">h, the groups have this special </w:t>
      </w:r>
      <w:r w:rsidRPr="004F4E91">
        <w:rPr>
          <w:rFonts w:ascii="Century Gothic" w:hAnsi="Century Gothic"/>
          <w:sz w:val="20"/>
          <w:szCs w:val="20"/>
          <w:lang w:val="en-US"/>
        </w:rPr>
        <w:t>genetic</w:t>
      </w:r>
      <w:r w:rsidR="00093EDD">
        <w:rPr>
          <w:rFonts w:ascii="Century Gothic" w:hAnsi="Century Gothic"/>
          <w:sz w:val="20"/>
          <w:szCs w:val="20"/>
          <w:lang w:val="en-US"/>
        </w:rPr>
        <w:t xml:space="preserve"> </w:t>
      </w:r>
      <w:r w:rsidRPr="004F4E91">
        <w:rPr>
          <w:rFonts w:ascii="Century Gothic" w:hAnsi="Century Gothic"/>
          <w:sz w:val="20"/>
          <w:szCs w:val="20"/>
          <w:lang w:val="en-US"/>
        </w:rPr>
        <w:t>structure.</w:t>
      </w:r>
      <w:r w:rsidR="00093EDD">
        <w:rPr>
          <w:rFonts w:ascii="Century Gothic" w:hAnsi="Century Gothic"/>
          <w:sz w:val="20"/>
          <w:szCs w:val="20"/>
          <w:lang w:val="en-US"/>
        </w:rPr>
        <w:t xml:space="preserve"> </w:t>
      </w:r>
      <w:r w:rsidRPr="004F4E91">
        <w:rPr>
          <w:rFonts w:ascii="Century Gothic" w:hAnsi="Century Gothic"/>
          <w:sz w:val="20"/>
          <w:szCs w:val="20"/>
          <w:lang w:val="en-US"/>
        </w:rPr>
        <w:t>Kin selection has been used to explain the evolution</w:t>
      </w:r>
      <w:r w:rsidR="00093EDD">
        <w:rPr>
          <w:rFonts w:ascii="Century Gothic" w:hAnsi="Century Gothic"/>
          <w:sz w:val="20"/>
          <w:szCs w:val="20"/>
          <w:lang w:val="en-US"/>
        </w:rPr>
        <w:t xml:space="preserve"> </w:t>
      </w:r>
      <w:r w:rsidRPr="004F4E91">
        <w:rPr>
          <w:rFonts w:ascii="Century Gothic" w:hAnsi="Century Gothic"/>
          <w:sz w:val="20"/>
          <w:szCs w:val="20"/>
          <w:lang w:val="en-US"/>
        </w:rPr>
        <w:t xml:space="preserve">of </w:t>
      </w:r>
      <w:hyperlink r:id="rId51" w:tooltip="Learn more about Cooperation from ScienceDirect's AI-generated Topic Pages" w:history="1">
        <w:r w:rsidRPr="004F4E91">
          <w:rPr>
            <w:rFonts w:ascii="Century Gothic" w:hAnsi="Century Gothic"/>
            <w:sz w:val="20"/>
            <w:szCs w:val="20"/>
            <w:lang w:val="en-US"/>
          </w:rPr>
          <w:t>cooperation</w:t>
        </w:r>
      </w:hyperlink>
      <w:r w:rsidR="00093EDD">
        <w:rPr>
          <w:rFonts w:ascii="Century Gothic" w:hAnsi="Century Gothic"/>
          <w:sz w:val="20"/>
          <w:szCs w:val="20"/>
          <w:lang w:val="en-US"/>
        </w:rPr>
        <w:t xml:space="preserve"> and </w:t>
      </w:r>
      <w:r w:rsidRPr="004F4E91">
        <w:rPr>
          <w:rFonts w:ascii="Century Gothic" w:hAnsi="Century Gothic"/>
          <w:sz w:val="20"/>
          <w:szCs w:val="20"/>
          <w:lang w:val="en-US"/>
        </w:rPr>
        <w:t>altruism</w:t>
      </w:r>
      <w:r w:rsidR="00093EDD">
        <w:rPr>
          <w:rFonts w:ascii="Century Gothic" w:hAnsi="Century Gothic"/>
          <w:sz w:val="20"/>
          <w:szCs w:val="20"/>
          <w:lang w:val="en-US"/>
        </w:rPr>
        <w:t xml:space="preserve"> in </w:t>
      </w:r>
      <w:r w:rsidRPr="004F4E91">
        <w:rPr>
          <w:rFonts w:ascii="Century Gothic" w:hAnsi="Century Gothic"/>
          <w:sz w:val="20"/>
          <w:szCs w:val="20"/>
          <w:lang w:val="en-US"/>
        </w:rPr>
        <w:t>animal</w:t>
      </w:r>
      <w:r w:rsidR="00093EDD">
        <w:rPr>
          <w:rFonts w:ascii="Century Gothic" w:hAnsi="Century Gothic"/>
          <w:sz w:val="20"/>
          <w:szCs w:val="20"/>
          <w:lang w:val="en-US"/>
        </w:rPr>
        <w:t xml:space="preserve"> </w:t>
      </w:r>
      <w:hyperlink r:id="rId52" w:tooltip="Learn more about Society from ScienceDirect's AI-generated Topic Pages" w:history="1">
        <w:r w:rsidRPr="004F4E91">
          <w:rPr>
            <w:rFonts w:ascii="Century Gothic" w:hAnsi="Century Gothic"/>
            <w:sz w:val="20"/>
            <w:szCs w:val="20"/>
            <w:lang w:val="en-US"/>
          </w:rPr>
          <w:t>societies</w:t>
        </w:r>
      </w:hyperlink>
      <w:r w:rsidRPr="004F4E91">
        <w:rPr>
          <w:rFonts w:ascii="Century Gothic" w:hAnsi="Century Gothic"/>
          <w:sz w:val="20"/>
          <w:szCs w:val="20"/>
          <w:lang w:val="en-US"/>
        </w:rPr>
        <w:t xml:space="preserve">. The evolution of altruistic traits, which is opposed to groups but favored between </w:t>
      </w:r>
      <w:r w:rsidR="00093EDD">
        <w:rPr>
          <w:rFonts w:ascii="Century Gothic" w:hAnsi="Century Gothic"/>
          <w:sz w:val="20"/>
          <w:szCs w:val="20"/>
          <w:lang w:val="en-US"/>
        </w:rPr>
        <w:t xml:space="preserve">groups, is facilitated by close </w:t>
      </w:r>
      <w:r w:rsidRPr="004F4E91">
        <w:rPr>
          <w:rFonts w:ascii="Century Gothic" w:hAnsi="Century Gothic"/>
          <w:sz w:val="20"/>
          <w:szCs w:val="20"/>
          <w:lang w:val="en-US"/>
        </w:rPr>
        <w:t>kinship</w:t>
      </w:r>
      <w:r w:rsidR="00093EDD">
        <w:rPr>
          <w:rFonts w:ascii="Century Gothic" w:hAnsi="Century Gothic"/>
          <w:sz w:val="20"/>
          <w:szCs w:val="20"/>
          <w:lang w:val="en-US"/>
        </w:rPr>
        <w:t xml:space="preserve"> </w:t>
      </w:r>
      <w:r w:rsidRPr="004F4E91">
        <w:rPr>
          <w:rFonts w:ascii="Century Gothic" w:hAnsi="Century Gothic"/>
          <w:sz w:val="20"/>
          <w:szCs w:val="20"/>
          <w:lang w:val="en-US"/>
        </w:rPr>
        <w:t>within groups. The within-group fitness losses that altruists suffer are partially offset by the fitness gains of kin who share the same genetic information. In t</w:t>
      </w:r>
      <w:r w:rsidR="00093EDD">
        <w:rPr>
          <w:rFonts w:ascii="Century Gothic" w:hAnsi="Century Gothic"/>
          <w:sz w:val="20"/>
          <w:szCs w:val="20"/>
          <w:lang w:val="en-US"/>
        </w:rPr>
        <w:t xml:space="preserve">his way, the genes that control </w:t>
      </w:r>
      <w:r w:rsidRPr="004F4E91">
        <w:rPr>
          <w:rFonts w:ascii="Century Gothic" w:hAnsi="Century Gothic"/>
          <w:sz w:val="20"/>
          <w:szCs w:val="20"/>
          <w:lang w:val="en-US"/>
        </w:rPr>
        <w:t>behavior</w:t>
      </w:r>
      <w:r w:rsidR="00093EDD">
        <w:rPr>
          <w:rFonts w:ascii="Century Gothic" w:hAnsi="Century Gothic"/>
          <w:sz w:val="20"/>
          <w:szCs w:val="20"/>
          <w:lang w:val="en-US"/>
        </w:rPr>
        <w:t xml:space="preserve"> </w:t>
      </w:r>
      <w:r w:rsidRPr="004F4E91">
        <w:rPr>
          <w:rFonts w:ascii="Century Gothic" w:hAnsi="Century Gothic"/>
          <w:sz w:val="20"/>
          <w:szCs w:val="20"/>
          <w:lang w:val="en-US"/>
        </w:rPr>
        <w:t>can recoup the fitness losses of the donors of altruistic actions. Hamilton specified a useful rule for altruistic acts such as th</w:t>
      </w:r>
      <w:r w:rsidR="00093EDD">
        <w:rPr>
          <w:rFonts w:ascii="Century Gothic" w:hAnsi="Century Gothic"/>
          <w:sz w:val="20"/>
          <w:szCs w:val="20"/>
          <w:lang w:val="en-US"/>
        </w:rPr>
        <w:t xml:space="preserve">ese that determine whether such </w:t>
      </w:r>
      <w:r w:rsidRPr="004F4E91">
        <w:rPr>
          <w:rFonts w:ascii="Century Gothic" w:hAnsi="Century Gothic"/>
          <w:sz w:val="20"/>
          <w:szCs w:val="20"/>
          <w:lang w:val="en-US"/>
        </w:rPr>
        <w:t>behaviors</w:t>
      </w:r>
      <w:r w:rsidR="00093EDD">
        <w:rPr>
          <w:rFonts w:ascii="Century Gothic" w:hAnsi="Century Gothic"/>
          <w:sz w:val="20"/>
          <w:szCs w:val="20"/>
          <w:lang w:val="en-US"/>
        </w:rPr>
        <w:t xml:space="preserve"> </w:t>
      </w:r>
      <w:r w:rsidRPr="004F4E91">
        <w:rPr>
          <w:rFonts w:ascii="Century Gothic" w:hAnsi="Century Gothic"/>
          <w:sz w:val="20"/>
          <w:szCs w:val="20"/>
          <w:lang w:val="en-US"/>
        </w:rPr>
        <w:t>are evo</w:t>
      </w:r>
      <w:r w:rsidR="00093EDD">
        <w:rPr>
          <w:rFonts w:ascii="Century Gothic" w:hAnsi="Century Gothic"/>
          <w:sz w:val="20"/>
          <w:szCs w:val="20"/>
          <w:lang w:val="en-US"/>
        </w:rPr>
        <w:t xml:space="preserve">lutionarily favored: </w:t>
      </w:r>
      <w:r w:rsidRPr="004F4E91">
        <w:rPr>
          <w:rFonts w:ascii="Century Gothic" w:hAnsi="Century Gothic"/>
          <w:sz w:val="20"/>
          <w:szCs w:val="20"/>
          <w:lang w:val="en-US"/>
        </w:rPr>
        <w:t>rb&gt;c. That is, if the benefits (b) co</w:t>
      </w:r>
      <w:r w:rsidR="00093EDD">
        <w:rPr>
          <w:rFonts w:ascii="Century Gothic" w:hAnsi="Century Gothic"/>
          <w:sz w:val="20"/>
          <w:szCs w:val="20"/>
          <w:lang w:val="en-US"/>
        </w:rPr>
        <w:t xml:space="preserve">nferred on kin, weighted by the </w:t>
      </w:r>
      <w:r w:rsidRPr="004F4E91">
        <w:rPr>
          <w:rFonts w:ascii="Century Gothic" w:hAnsi="Century Gothic"/>
          <w:sz w:val="20"/>
          <w:szCs w:val="20"/>
          <w:lang w:val="en-US"/>
        </w:rPr>
        <w:t>relatedness</w:t>
      </w:r>
      <w:r w:rsidR="00093EDD">
        <w:rPr>
          <w:rFonts w:ascii="Century Gothic" w:hAnsi="Century Gothic"/>
          <w:sz w:val="20"/>
          <w:szCs w:val="20"/>
          <w:lang w:val="en-US"/>
        </w:rPr>
        <w:t xml:space="preserve"> </w:t>
      </w:r>
      <w:r w:rsidRPr="004F4E91">
        <w:rPr>
          <w:rFonts w:ascii="Century Gothic" w:hAnsi="Century Gothic"/>
          <w:sz w:val="20"/>
          <w:szCs w:val="20"/>
          <w:lang w:val="en-US"/>
        </w:rPr>
        <w:t>(r) of the donor to the recipient, is greater than the cost (c) conferred on the donor, th</w:t>
      </w:r>
      <w:r w:rsidR="001E7E52">
        <w:rPr>
          <w:rFonts w:ascii="Century Gothic" w:hAnsi="Century Gothic"/>
          <w:sz w:val="20"/>
          <w:szCs w:val="20"/>
          <w:lang w:val="en-US"/>
        </w:rPr>
        <w:t xml:space="preserve">en such an action is favored by </w:t>
      </w:r>
      <w:r w:rsidRPr="004F4E91">
        <w:rPr>
          <w:rFonts w:ascii="Century Gothic" w:hAnsi="Century Gothic"/>
          <w:sz w:val="20"/>
          <w:szCs w:val="20"/>
          <w:lang w:val="en-US"/>
        </w:rPr>
        <w:t>natural selection.</w:t>
      </w:r>
      <w:r w:rsidRPr="004F4E91">
        <w:rPr>
          <w:rFonts w:ascii="Century Gothic" w:hAnsi="Century Gothic"/>
          <w:sz w:val="14"/>
          <w:szCs w:val="20"/>
        </w:rPr>
        <w:footnoteReference w:id="91"/>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kin selection central idea is known as the theory of ‘inclusive fitness,’ and has been formulated in a mathematical model called Hamilton’s Equation: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B/C&gt;1/r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this can be rearranged as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rB&gt;C</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elements of cost (C) and benefit (B) and relatedness (r) in this equation have already been introduced. The cost (C) is the lost potential fitness o</w:t>
      </w:r>
      <w:r w:rsidR="001E7E52">
        <w:rPr>
          <w:rFonts w:ascii="Century Gothic" w:hAnsi="Century Gothic"/>
          <w:sz w:val="20"/>
          <w:szCs w:val="20"/>
          <w:lang w:val="en-US"/>
        </w:rPr>
        <w:t>f the donor. The benefit (B) is the added f</w:t>
      </w:r>
      <w:r w:rsidRPr="004F4E91">
        <w:rPr>
          <w:rFonts w:ascii="Century Gothic" w:hAnsi="Century Gothic"/>
          <w:sz w:val="20"/>
          <w:szCs w:val="20"/>
          <w:lang w:val="en-US"/>
        </w:rPr>
        <w:t>itness for the recipient due to the acts of the donor. The fundamental message of this equation is that aid-giving behavior by the donor should be favored in the course of evolution if the donor-recipient relatedness (r) times the added benefit to the recipient is greater than the cost to the donor.</w:t>
      </w:r>
      <w:r w:rsidRPr="004F4E91">
        <w:rPr>
          <w:rFonts w:ascii="Century Gothic" w:hAnsi="Century Gothic"/>
          <w:sz w:val="14"/>
          <w:szCs w:val="20"/>
        </w:rPr>
        <w:footnoteReference w:id="92"/>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More recently, Alan Grafen exposed several new mathematical models diversifying the results of Hamilton’s researches and expanding their analytical boundaries.</w:t>
      </w:r>
      <w:r w:rsidRPr="004F4E91">
        <w:rPr>
          <w:rFonts w:ascii="Century Gothic" w:hAnsi="Century Gothic"/>
          <w:sz w:val="14"/>
          <w:szCs w:val="20"/>
        </w:rPr>
        <w:footnoteReference w:id="93"/>
      </w:r>
      <w:r w:rsidRPr="004F4E91">
        <w:rPr>
          <w:rFonts w:ascii="Century Gothic" w:hAnsi="Century Gothic"/>
          <w:sz w:val="20"/>
          <w:szCs w:val="20"/>
          <w:lang w:val="en-US"/>
        </w:rPr>
        <w:t>.The result of all these approaches focuses on the same assertion:</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Cooperation and altruism—and indeed social behaviour in general—are defined in evolutionary biology according to concepts of cost and benefit, in particular, according to costs and benefits to the fitness of interacting organisms. The fitness effects of behaviours are apparent and measurable through interactions between actors and recipients. Altruistic behaviour, in particular, has been usefully defined as behaviour in which an actor pays a cost to its direct, lifetime net fitness, and a </w:t>
      </w:r>
      <w:r w:rsidRPr="004F4E91">
        <w:rPr>
          <w:rFonts w:ascii="Century Gothic" w:hAnsi="Century Gothic"/>
          <w:sz w:val="20"/>
          <w:szCs w:val="20"/>
          <w:lang w:val="en-US"/>
        </w:rPr>
        <w:lastRenderedPageBreak/>
        <w:t>recipient gains a benefit to its direct, lifetime net fitness.</w:t>
      </w:r>
      <w:r w:rsidRPr="004F4E91">
        <w:rPr>
          <w:rFonts w:ascii="Century Gothic" w:hAnsi="Century Gothic"/>
          <w:sz w:val="14"/>
          <w:szCs w:val="20"/>
        </w:rPr>
        <w:footnoteReference w:id="9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Peter Woodford summarizes many discussions involving the Kin Selection Theory, and mostly those provoked by an article published in the journal Nature by two mathematical biologists, Martin Nowak and Corina Tarnita. The article questioned the explanatory efficacy and value of William Hamilton's theory of ‘inclusive fitness,’ the reigning theoretical and mathematical basis of decades of empirical research into the evolution of social behaviour—especially cooperative and altruistic behaviour—across the living world.</w:t>
      </w:r>
      <w:r w:rsidRPr="004F4E91">
        <w:rPr>
          <w:rFonts w:ascii="Century Gothic" w:hAnsi="Century Gothic"/>
          <w:sz w:val="14"/>
          <w:szCs w:val="20"/>
        </w:rPr>
        <w:footnoteReference w:id="95"/>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author highlights the reaction of the scientific community, referring to that article:</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A number of highly critical responses followed one signed by 137 eminent theoreticians and empiricists in evolutionary biology [</w:t>
      </w:r>
      <w:hyperlink r:id="rId53" w:anchor="RSOS190644C2" w:history="1">
        <w:r w:rsidRPr="004F4E91">
          <w:rPr>
            <w:rFonts w:ascii="Century Gothic" w:hAnsi="Century Gothic"/>
            <w:sz w:val="20"/>
            <w:szCs w:val="20"/>
            <w:u w:val="single"/>
            <w:lang w:val="en-US"/>
          </w:rPr>
          <w:t>2</w:t>
        </w:r>
      </w:hyperlink>
      <w:r w:rsidRPr="004F4E91">
        <w:rPr>
          <w:rFonts w:ascii="Century Gothic" w:hAnsi="Century Gothic"/>
          <w:sz w:val="20"/>
          <w:szCs w:val="20"/>
          <w:lang w:val="en-US"/>
        </w:rPr>
        <w:t>]. The number of scientists rejecting the conclusions of Nowak, Tarnita and Wilson was itself an indication of the nerve that it struck, and also of the continuing centrality of Hamilton's theory to the study of social evolution. (Woodford, op.cit)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As far as the philosophical perspective is concerned, a very relevant conclusion came up from these discussions: the </w:t>
      </w:r>
      <w:r w:rsidRPr="004F4E91">
        <w:rPr>
          <w:rFonts w:ascii="Century Gothic" w:hAnsi="Century Gothic"/>
          <w:sz w:val="20"/>
          <w:szCs w:val="20"/>
          <w:lang w:val="en-US"/>
        </w:rPr>
        <w:lastRenderedPageBreak/>
        <w:t xml:space="preserve">multidisciplinary nature of any discussion on human behaviour, as we have stated along with this work: </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We quickly found that the questions raised, by their nature, cut across a variety of disciplines and areas of specialization within the biological sciences, but also in areas that draw on theoretical resources of the life sciences such as the emerging evolutionary social sciences, anthropology, and philosophy. This interdisciplinary scope is thanks in large part to increasing advancement in applying theories of social evolution across the living world from cells to humans, and to more pressing questions about the generality of evolutionary principles. For this reason, this collection features articles from researchers in mathematical biology, behavioural ecology, anthropology and medicine to the philosophy of science, and even ethi</w:t>
      </w:r>
      <w:r w:rsidR="001E7E52">
        <w:rPr>
          <w:rFonts w:ascii="Century Gothic" w:hAnsi="Century Gothic"/>
          <w:sz w:val="20"/>
          <w:szCs w:val="20"/>
          <w:lang w:val="en-US"/>
        </w:rPr>
        <w:t>cal theory. (Woodford, op. cit)</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Systematically, Science is searching for the demonstration of the key pieces of the puzzle representing the transmissibility of archetypes.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CHAPTER VI</w:t>
      </w:r>
    </w:p>
    <w:p w:rsidR="008D0320" w:rsidRPr="004F4E91" w:rsidRDefault="008D0320" w:rsidP="008D0320">
      <w:pPr>
        <w:spacing w:line="240" w:lineRule="auto"/>
        <w:rPr>
          <w:rFonts w:ascii="Copperplate Gothic Bold" w:hAnsi="Copperplate Gothic Bold"/>
          <w:sz w:val="32"/>
          <w:szCs w:val="32"/>
          <w:lang w:val="en-US"/>
        </w:rPr>
      </w:pPr>
      <w:r w:rsidRPr="004F4E91">
        <w:rPr>
          <w:rFonts w:ascii="Copperplate Gothic Bold" w:hAnsi="Copperplate Gothic Bold"/>
          <w:sz w:val="32"/>
          <w:szCs w:val="32"/>
          <w:lang w:val="en-US"/>
        </w:rPr>
        <w:t>THE BASIC TENETS OF MORALS IN PREHISTORY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b/>
          <w:sz w:val="20"/>
          <w:szCs w:val="20"/>
          <w:lang w:val="en-US"/>
        </w:rPr>
        <w:t>1. Introduction</w:t>
      </w:r>
      <w:r w:rsidRPr="004F4E91">
        <w:rPr>
          <w:rFonts w:ascii="Century Gothic" w:hAnsi="Century Gothic"/>
          <w:sz w:val="20"/>
          <w:szCs w:val="20"/>
          <w:lang w:val="en-US"/>
        </w:rPr>
        <w: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only acceptable evidence to sustain our arguments, in the face of the methodology adopted in this study, are the material elements of human behavior, which could be scientifically taken into account, even though limited to correlated consequences of other material evidence, or sound hermeneutical assumptions.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should build the contexts in which such behavioral elements existed during the Paleolithic to verify if they express any kind of moral content and what tenets do they represent.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should understand as behavioral moral content, any evidence that the agents are consciously prosecuting the ability to serve complex and changing societal needs.</w:t>
      </w:r>
      <w:r w:rsidRPr="004F4E91">
        <w:rPr>
          <w:rFonts w:ascii="Century Gothic" w:hAnsi="Century Gothic"/>
          <w:sz w:val="14"/>
          <w:szCs w:val="20"/>
        </w:rPr>
        <w:footnoteReference w:id="96"/>
      </w:r>
      <w:r w:rsidRPr="004F4E91">
        <w:rPr>
          <w:rFonts w:ascii="Century Gothic" w:hAnsi="Century Gothic"/>
          <w:sz w:val="14"/>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reasons for electing the Paleolithic Period as the stage for these contexts are explained in Chapter II.</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will use three contexts: the human, the imaginary, and the divine, and they will be formatted from researches, analysis, opinions, and evidence brought by several authors.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2. The Human Context.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To build up the human context in Paleolithic, we should start with a “scenario”: a general description or the human atmosphere of the period.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American researcher Norman Pedersen</w:t>
      </w:r>
      <w:r w:rsidRPr="004F4E91">
        <w:rPr>
          <w:rFonts w:ascii="Century Gothic" w:hAnsi="Century Gothic"/>
          <w:sz w:val="14"/>
          <w:szCs w:val="20"/>
        </w:rPr>
        <w:footnoteReference w:id="97"/>
      </w:r>
      <w:r w:rsidRPr="004F4E91">
        <w:rPr>
          <w:rFonts w:ascii="Century Gothic" w:hAnsi="Century Gothic"/>
          <w:sz w:val="14"/>
          <w:szCs w:val="20"/>
          <w:lang w:val="en-US"/>
        </w:rPr>
        <w:t xml:space="preserve"> </w:t>
      </w:r>
      <w:r w:rsidRPr="004F4E91">
        <w:rPr>
          <w:rFonts w:ascii="Century Gothic" w:hAnsi="Century Gothic"/>
          <w:sz w:val="20"/>
          <w:szCs w:val="20"/>
          <w:lang w:val="en-US"/>
        </w:rPr>
        <w:t>gives us this scenario:</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In my research into Paleolithic societies, I have used a one-to-one correspondence of Ice Age humans with simple hunter-gatherer societies known to present anthropology. This is a very limited group. The criteria I used was that the societies have no agriculture, that they be nomadic/ semi-nomadic, and that they had no contact with civilization. Perhaps only the Polar Eskimos described by Peter Freuchen fit the criteria best. The Kalahari Ju/wasi (Elizabeth Thomas Marshall) also known as the !Kung and San Bushmen had minimal contact with agricultural societies. The Mbuti Pygmies of the Ituri Rain Forest (Collin M. Turnbull) had contact with neighboring agriculturists but remained separate. The only other group that I felt might meet the criteria were the Australian Aboriginals, but there is no sufficiently unbiased literature to </w:t>
      </w:r>
      <w:r w:rsidRPr="004F4E91">
        <w:rPr>
          <w:rFonts w:ascii="Century Gothic" w:hAnsi="Century Gothic"/>
          <w:sz w:val="20"/>
          <w:szCs w:val="20"/>
          <w:lang w:val="en-US"/>
        </w:rPr>
        <w:lastRenderedPageBreak/>
        <w:t>study. All anthropological research has a modern bias, which must be considered.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These four simple hunter-gatherer societies had social behaviors that were very different from all other human societies: no leaders, complete equality between individuals regardless of sex or age, no violent aggression, and no selfish behaviors. (In a private message from Pedersen to the author).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Many other researchers endorse the one-to-one correspondence and similar models, and we may find an equivalent argumentation in Christopher Bohem works: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We can project these specific patterns backwards in time by using a systematic “ethnographic analogy.” This is still a developing aspect of prehistoric research, but my conservative version of it holds that if a behavior is found in all six of the regions where hunter-gatherers have been studied by anthropologists over the past several centuries, essentially the behavior can be projected back to include all behaviorally modern humans.</w:t>
      </w:r>
      <w:r w:rsidRPr="004F4E91">
        <w:rPr>
          <w:rFonts w:ascii="Century Gothic" w:hAnsi="Century Gothic"/>
          <w:sz w:val="14"/>
          <w:szCs w:val="20"/>
        </w:rPr>
        <w:footnoteReference w:id="98"/>
      </w:r>
      <w:r w:rsidRPr="004F4E9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We can find the most diverse and conflictive theories related to cultural models of the evolution of human behavior and its traits, from its early origins up to the present day. Most of them take somehow into consideration the relations or similarity between these prehistorical traits and modern human behavior. Such diversity makes the research somehow exhaustive and inconsistent. </w:t>
      </w:r>
      <w:r w:rsidRPr="004F4E91">
        <w:rPr>
          <w:rFonts w:ascii="Century Gothic" w:hAnsi="Century Gothic"/>
          <w:sz w:val="20"/>
          <w:szCs w:val="20"/>
          <w:lang w:val="en-US"/>
        </w:rPr>
        <w:lastRenderedPageBreak/>
        <w:t>Christopher S. Henshilwood and Curtis W. Marean</w:t>
      </w:r>
      <w:r w:rsidRPr="004F4E91">
        <w:rPr>
          <w:rFonts w:ascii="Century Gothic" w:hAnsi="Century Gothic"/>
          <w:sz w:val="14"/>
          <w:szCs w:val="20"/>
        </w:rPr>
        <w:footnoteReference w:id="99"/>
      </w:r>
      <w:r w:rsidRPr="004F4E91">
        <w:rPr>
          <w:rFonts w:ascii="Century Gothic" w:hAnsi="Century Gothic"/>
          <w:sz w:val="20"/>
          <w:szCs w:val="20"/>
          <w:lang w:val="en-US"/>
        </w:rPr>
        <w:t xml:space="preserve"> consider that rather than focusing on the development of theory, many researchers have suggested behavioral traits that are thought to be modern and concentrated on the empirical record for the antiquity and distribution of those traits. The authors offer a descriptive table of references between some important behavioral traits and their corresponding representative studies, clarifying the systematic research on these correspondences. See “Table 1” in the Appendix “Tables”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This first Picture, or cover to our context, focuses the most untouched possible scenario with their </w:t>
      </w:r>
      <w:r w:rsidR="000A790F">
        <w:rPr>
          <w:rFonts w:ascii="Century Gothic" w:hAnsi="Century Gothic"/>
          <w:sz w:val="20"/>
          <w:szCs w:val="20"/>
          <w:lang w:val="en-US"/>
        </w:rPr>
        <w:t>primary</w:t>
      </w:r>
      <w:r w:rsidRPr="004F4E91">
        <w:rPr>
          <w:rFonts w:ascii="Century Gothic" w:hAnsi="Century Gothic"/>
          <w:sz w:val="20"/>
          <w:szCs w:val="20"/>
          <w:lang w:val="en-US"/>
        </w:rPr>
        <w:t xml:space="preserve"> requisites: a hunter-gatherer society, absence of civilization, and the inexistence of an agricultural economy. We should contemplate this scenario with total immunity related to any modern bias or historical model.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first framework which this study should consider is the assertion that humans, since early Paleolithic, demonstrated using behavioral elements, and that their nature was enabled with the features of what anthropologists call the” CCC Triangle” model for social structure. The “CCC Triangle” is a unique combination of human traits: “Cognition,” “Culture,” and “Cooperation,” and we will employ this model to analyze the prehistoric contexts.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During the workshop "Origins of Human Uniqueness and Behavioral Modernity," staged by Arizona State University's in 2010, scholars in anthropology, primatology, cognitive </w:t>
      </w:r>
      <w:r w:rsidRPr="004F4E91">
        <w:rPr>
          <w:rFonts w:ascii="Century Gothic" w:hAnsi="Century Gothic"/>
          <w:sz w:val="20"/>
          <w:szCs w:val="20"/>
          <w:lang w:val="en-US"/>
        </w:rPr>
        <w:lastRenderedPageBreak/>
        <w:t>Science, psychology, paleontology, archaeology, evolutionary biology, and genetics agreed on defining that human uniqueness is the "underlying capacity to produce complexity," understanding that behavioral modernity as "the expression" of those capacities.</w:t>
      </w:r>
      <w:r w:rsidRPr="004F4E91">
        <w:rPr>
          <w:rFonts w:ascii="Century Gothic" w:hAnsi="Century Gothic"/>
          <w:sz w:val="14"/>
          <w:szCs w:val="20"/>
        </w:rPr>
        <w:footnoteReference w:id="100"/>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Cognition, the first of these traits, means a fundamental element to any moral behavior, and finds its most substantial content in the capacity of dealing with abstractions. The unquestionable evidence of the ability of the early Paleolithic humans to the use of symbols to represent abstract contents comes from the language.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Only humans have language, which allows us to think about the rightness or wrongness of our behavior</w:t>
      </w:r>
      <w:r w:rsidRPr="004F4E91">
        <w:rPr>
          <w:rFonts w:ascii="Century Gothic" w:hAnsi="Century Gothic"/>
          <w:sz w:val="14"/>
          <w:szCs w:val="20"/>
        </w:rPr>
        <w:footnoteReference w:id="101"/>
      </w:r>
      <w:r w:rsidRPr="004F4E91">
        <w:rPr>
          <w:rFonts w:ascii="Century Gothic" w:hAnsi="Century Gothic"/>
          <w:sz w:val="20"/>
          <w:szCs w:val="20"/>
          <w:lang w:val="en-US"/>
        </w:rPr>
        <w:t>. Alen situates the beginning of human language in the Middle Paleolithic and comments on the stages of such development:</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Human development in the Middle Paleolithic contributed to the emergence of speech and language, art, religion, and technical skill. Speech overtime went through the following development path: the first phase is characterized by general pantomime accompanied by additional stuttering, in the second stage paleolithic people started to communicate with precise gestures associated with corresponding voice symbols or words and at the end in the third phase pantomime and </w:t>
      </w:r>
      <w:r w:rsidRPr="004F4E91">
        <w:rPr>
          <w:rFonts w:ascii="Century Gothic" w:hAnsi="Century Gothic"/>
          <w:sz w:val="20"/>
          <w:szCs w:val="20"/>
          <w:lang w:val="en-US"/>
        </w:rPr>
        <w:lastRenderedPageBreak/>
        <w:t>stuttering completely disappeared. People started to use systematic signs and words. At the beginning of the third stage appeared analytical thinking and concluding. Since that time, talking and thinking, recorded a constant rise.</w:t>
      </w:r>
      <w:r w:rsidRPr="004F4E91">
        <w:rPr>
          <w:rFonts w:ascii="Century Gothic" w:hAnsi="Century Gothic"/>
          <w:sz w:val="14"/>
          <w:szCs w:val="20"/>
        </w:rPr>
        <w:footnoteReference w:id="102"/>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w:t>
      </w:r>
      <w:r w:rsidR="000A790F">
        <w:rPr>
          <w:rFonts w:ascii="Century Gothic" w:hAnsi="Century Gothic"/>
          <w:sz w:val="20"/>
          <w:szCs w:val="20"/>
          <w:lang w:val="en-US"/>
        </w:rPr>
        <w:t>phonetic</w:t>
      </w:r>
      <w:r w:rsidRPr="004F4E91">
        <w:rPr>
          <w:rFonts w:ascii="Century Gothic" w:hAnsi="Century Gothic"/>
          <w:sz w:val="20"/>
          <w:szCs w:val="20"/>
          <w:lang w:val="en-US"/>
        </w:rPr>
        <w:t xml:space="preserve"> symbols and semantic sounds and gestures reached their visual codification progressively, starting the construction of the written language. The earliest known evidence of visual expression of abstract ideas is dated of 60,000 BC and are engraved on eggshells</w:t>
      </w:r>
      <w:r w:rsidRPr="004F4E91">
        <w:rPr>
          <w:rFonts w:ascii="Century Gothic" w:hAnsi="Century Gothic"/>
          <w:sz w:val="14"/>
          <w:szCs w:val="20"/>
          <w:lang w:val="en-US"/>
        </w:rPr>
        <w:t>103</w:t>
      </w:r>
      <w:r w:rsidRPr="004F4E91">
        <w:rPr>
          <w:rFonts w:ascii="Century Gothic" w:hAnsi="Century Gothic"/>
          <w:sz w:val="20"/>
          <w:szCs w:val="20"/>
          <w:lang w:val="en-US"/>
        </w:rPr>
        <w:t>.</w:t>
      </w:r>
      <w:hyperlink r:id="rId54" w:history="1"/>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Therefore, the early Paleolithic humans held the necessary conditions to deal with complex abstractions and to express them with the appropriate semantic symbology, making possible the interaction among individuals overflowing the simple, instinctive patterns and embedding their will, desires, sensitiveness, ideas, interpretations, and feelings.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Besides the language and other semiotic elements, technology is a relevant indicator of humans’ cognitive stages. Technology during the long Paleolithic Period evolved (i) referentially to the relations of humans with the environment and their needs to survival, and (ii) as a parallel of the biological evolution. The evolutionary process of this evidence of cognition, as </w:t>
      </w:r>
      <w:r w:rsidR="000A790F">
        <w:rPr>
          <w:rFonts w:ascii="Century Gothic" w:hAnsi="Century Gothic"/>
          <w:sz w:val="20"/>
          <w:szCs w:val="20"/>
          <w:lang w:val="en-US"/>
        </w:rPr>
        <w:t>significant</w:t>
      </w:r>
      <w:r w:rsidRPr="004F4E91">
        <w:rPr>
          <w:rFonts w:ascii="Century Gothic" w:hAnsi="Century Gothic"/>
          <w:sz w:val="20"/>
          <w:szCs w:val="20"/>
          <w:lang w:val="en-US"/>
        </w:rPr>
        <w:t xml:space="preserve"> and revealing as the language, is classified according to its </w:t>
      </w:r>
      <w:r w:rsidRPr="004F4E91">
        <w:rPr>
          <w:rFonts w:ascii="Century Gothic" w:hAnsi="Century Gothic"/>
          <w:sz w:val="20"/>
          <w:szCs w:val="20"/>
          <w:lang w:val="en-US"/>
        </w:rPr>
        <w:lastRenderedPageBreak/>
        <w:t>features and chronology by Joseph V.Ferraro</w:t>
      </w:r>
      <w:r w:rsidRPr="004F4E91">
        <w:rPr>
          <w:rFonts w:ascii="Century Gothic" w:hAnsi="Century Gothic"/>
          <w:sz w:val="14"/>
          <w:szCs w:val="20"/>
        </w:rPr>
        <w:footnoteReference w:id="103"/>
      </w:r>
      <w:r w:rsidRPr="004F4E91">
        <w:rPr>
          <w:rFonts w:ascii="Century Gothic" w:hAnsi="Century Gothic"/>
          <w:sz w:val="14"/>
          <w:szCs w:val="20"/>
          <w:lang w:val="en-US"/>
        </w:rPr>
        <w:t>.</w:t>
      </w:r>
      <w:r w:rsidRPr="004F4E91">
        <w:rPr>
          <w:rFonts w:ascii="Century Gothic" w:hAnsi="Century Gothic"/>
          <w:sz w:val="20"/>
          <w:szCs w:val="20"/>
          <w:lang w:val="en-US"/>
        </w:rPr>
        <w:t xml:space="preserve"> See “Table 2” in the Appendix “Tables.”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author points out that our knowledge about Paleolithic technology is just in the beginning and that the available elements are very few. However, what we have for the moment is strongly indicative of the contexts we are studying and, for sure, as Ferraro comments; we should consider this apparent weakness of scientific material as a promising stage:</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Rather than being utterly demoralizing, this actually makes for incredibly interesting and exciting times in Paleolithic studies. Important new discoveries are made every day; new analytical techniques provide windows to the past that were all but inconceivable even a few short years ago, and the widespread adoption of an increasingly rigorous scientific approach provides archaeologists with a sound methodological foundation upon which to fashion a cutting-edge 21st-century discipline. The ‘golden age' of Paleolithic archaeology is just beginning.</w:t>
      </w:r>
      <w:r w:rsidRPr="004F4E91">
        <w:rPr>
          <w:rFonts w:ascii="Century Gothic" w:hAnsi="Century Gothic"/>
          <w:sz w:val="14"/>
          <w:szCs w:val="20"/>
        </w:rPr>
        <w:footnoteReference w:id="10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Thus, by several means, Science demonstrates that the behavior of the Paleolithic man, unlike any other animals, was not only construction of actions determined by instincts, but rather a complex and conscious original cognitive process in mind and brain structures. If in all other animals’ behavior, we can only identify instinctive reactions to determined stimuli, in the case of early human evolution we must accept the existence of behavioral patterns </w:t>
      </w:r>
      <w:r w:rsidRPr="004F4E91">
        <w:rPr>
          <w:rFonts w:ascii="Century Gothic" w:hAnsi="Century Gothic"/>
          <w:sz w:val="20"/>
          <w:szCs w:val="20"/>
          <w:lang w:val="en-US"/>
        </w:rPr>
        <w:lastRenderedPageBreak/>
        <w:t xml:space="preserve">based on choices among different possibilities affected by interaction among individuals, many times divergent from the ordinarily expected instinctive behavioral forms.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Pedro Blaz Gonzalez considers this assumption in his economics of beings concept:</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Regarding man in prehistory, the economics of being represents a time of pressing vital need, when the scope of values was narrower than it is today. This suggests that making choices that safeguarded the survival of individuals and their small clan was of crucial importance. It appears that the range of early man’s choice-making was efficiently guided toward survival. Given the physical, emotional, and psychical demands of their living conditions, choice-making for early man required conscious engagement with their limited field of possibilities.</w:t>
      </w:r>
      <w:r w:rsidRPr="004F4E91">
        <w:rPr>
          <w:rFonts w:ascii="Century Gothic" w:hAnsi="Century Gothic"/>
          <w:sz w:val="14"/>
          <w:szCs w:val="20"/>
        </w:rPr>
        <w:footnoteReference w:id="105"/>
      </w:r>
      <w:r w:rsidRPr="004F4E91">
        <w:rPr>
          <w:rFonts w:ascii="Century Gothic" w:hAnsi="Century Gothic"/>
          <w:sz w:val="14"/>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We called these behavioral patterns “archetypes,” and here we state that they contained all the essential elements and qualities existing in any concept of morals, at any time.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second element of the “CCC Triangle” is “Culture,” meaning a product of thinking and social learning facilitated by language, technology, creativity, and innovation.</w:t>
      </w:r>
      <w:r w:rsidRPr="004F4E91">
        <w:rPr>
          <w:rFonts w:ascii="Century Gothic" w:hAnsi="Century Gothic"/>
          <w:sz w:val="14"/>
          <w:szCs w:val="20"/>
        </w:rPr>
        <w:footnoteReference w:id="106"/>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One can identify a cultural context by the observation of the external features of a social group or structure: </w:t>
      </w:r>
      <w:r w:rsidRPr="004F4E91">
        <w:rPr>
          <w:rFonts w:ascii="Century Gothic" w:hAnsi="Century Gothic"/>
          <w:sz w:val="20"/>
          <w:szCs w:val="20"/>
          <w:lang w:val="en-US"/>
        </w:rPr>
        <w:lastRenderedPageBreak/>
        <w:t>language, art, beliefs, internal interaction, and organization.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Pedersen focused on these elements to delineate the cultural structure of humans in the Paleolithic:</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We approach sociological and anthropological studies with the belief that human nature is an absolute, that people are always people; that we have always had the same motivations and emotions. Unfortunately, that has been proven to be a false assumption. 20,000 years ago, human nature was very different from what we think of as human nature today. Violence and aggression, competition and ambition; vanity and greed are all part of Modern human nature. We excuse antisocial behaviors because they are inherent in our human race. But none of these traits existed among simple hunter-gatherer societies (and therefore among our prehistoric ancestors.) For 150,000 years, human nature was kinder and gentler, non-aggressive, and considerate. Our ancestors were intelligent, extremely competent, egalitarian, and selfless. That is the human nature of our Homo sapiens species before the advent of Civilization became necessary.</w:t>
      </w:r>
      <w:r w:rsidRPr="004F4E91">
        <w:rPr>
          <w:rFonts w:ascii="Century Gothic" w:hAnsi="Century Gothic"/>
          <w:sz w:val="14"/>
          <w:szCs w:val="20"/>
        </w:rPr>
        <w:footnoteReference w:id="107"/>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Some specific structures are observable in the Paleolithic, starting with the social organization.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Analyzing social organization in the Paleolithic is a</w:t>
      </w:r>
      <w:r w:rsidR="000A790F">
        <w:rPr>
          <w:rFonts w:ascii="Century Gothic" w:hAnsi="Century Gothic"/>
          <w:sz w:val="20"/>
          <w:szCs w:val="20"/>
          <w:lang w:val="en-US"/>
        </w:rPr>
        <w:t>n arduous</w:t>
      </w:r>
      <w:r w:rsidRPr="004F4E91">
        <w:rPr>
          <w:rFonts w:ascii="Century Gothic" w:hAnsi="Century Gothic"/>
          <w:sz w:val="20"/>
          <w:szCs w:val="20"/>
          <w:lang w:val="en-US"/>
        </w:rPr>
        <w:t xml:space="preserve"> task for three main reasons: (i) the period is ex</w:t>
      </w:r>
      <w:r w:rsidR="000A790F">
        <w:rPr>
          <w:rFonts w:ascii="Century Gothic" w:hAnsi="Century Gothic"/>
          <w:sz w:val="20"/>
          <w:szCs w:val="20"/>
          <w:lang w:val="en-US"/>
        </w:rPr>
        <w:t>ceptional</w:t>
      </w:r>
      <w:r w:rsidRPr="004F4E91">
        <w:rPr>
          <w:rFonts w:ascii="Century Gothic" w:hAnsi="Century Gothic"/>
          <w:sz w:val="20"/>
          <w:szCs w:val="20"/>
          <w:lang w:val="en-US"/>
        </w:rPr>
        <w:t xml:space="preserve">ly long and covers different stages of human development and evolution; (ii) the scientific evidence is scarce and </w:t>
      </w:r>
      <w:r w:rsidRPr="004F4E91">
        <w:rPr>
          <w:rFonts w:ascii="Century Gothic" w:hAnsi="Century Gothic"/>
          <w:sz w:val="20"/>
          <w:szCs w:val="20"/>
          <w:lang w:val="en-US"/>
        </w:rPr>
        <w:lastRenderedPageBreak/>
        <w:t>frequently incongruent; (iii) many types of research contain several biases, and their results cannot be entirely validated.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 demonstration of this weakness of results in Paleolithic research is visible in some frequent incongruity. Evidence in archeological studies suggests that the Paleolithic social organization held a simple structure and a uniform pattern of social behavior. Unlike this assertive, researches on fossil and paleoenvironmental elements indicate complex social structures and a visible variability in social behavior.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Steven Mithen evaluates the incongruity of such findings as follows: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I will argue that the resolution of this paradox, and indeed an understanding of early prehistory in general, can only be gained by addressing the evolution of the mind, an argument that I have made at greater length elsewhere (Mithen 1996).</w:t>
      </w:r>
      <w:r w:rsidRPr="004F4E91">
        <w:rPr>
          <w:rFonts w:ascii="Century Gothic" w:hAnsi="Century Gothic"/>
          <w:sz w:val="14"/>
          <w:szCs w:val="20"/>
        </w:rPr>
        <w:footnoteReference w:id="108"/>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Pedersen warns us about the inappropriate content of many available studies about the Paleolithic society: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Scholars assume behaviors of Modern men to be universal throughout time, e.g., antagonistic, coercive, domineering, belligerent. </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Scholars use the motivations of Modern Man to explain hunter-gatherer societies. e.g., intimidation, peer pressure; ostracizing. These terms do not apply to nomadic hunter-gatherer societies. They are about Modern, Civilized men </w:t>
      </w:r>
      <w:r w:rsidRPr="004F4E91">
        <w:rPr>
          <w:rFonts w:ascii="Century Gothic" w:hAnsi="Century Gothic"/>
          <w:sz w:val="20"/>
          <w:szCs w:val="20"/>
          <w:lang w:val="en-US"/>
        </w:rPr>
        <w:lastRenderedPageBreak/>
        <w:t>only. Scholars often fail to differentiate between nomadic / semi-nomadic hunter-gatherers and sedentary hunter-gatherers. There is a world of difference, which is why they have been categorized as simple and complex hunter-gatherers.</w:t>
      </w:r>
      <w:r w:rsidRPr="004F4E91">
        <w:rPr>
          <w:rFonts w:ascii="Century Gothic" w:hAnsi="Century Gothic"/>
          <w:sz w:val="14"/>
          <w:szCs w:val="20"/>
        </w:rPr>
        <w:footnoteReference w:id="109"/>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author goes further and recommends the banishment, in such studies, of the use of inappropriate concepts and language to define individual and societal behaviors, and indicates terms and concepts, which have no meaning for hunter-gatherers: Division of Labor, Male dominance over female, Status, Territory, Ownership, Gift reciprocity rules, Kinship definitions, Kinship as a social factor, Marriage as a political factor, Marriage to cousins avoided as a cultural absolute, Peer pressure, Aggression, coercion as social factors, and Crime.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Therefore, as long as our concerns refer to moral contents aggregate to social behavior, we will concentrate our attention on the evolution of mind evidence, rather than on structural or organizational social features shown by the traditional archeology.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Albeit, some features are widely known and are sufficient to ground our study on the behavioral elements arising from the Paleolithic social structure.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Three levels of social organization are recognized among human hunter-gatherers: the domestic unit, the </w:t>
      </w:r>
      <w:r w:rsidRPr="004F4E91">
        <w:rPr>
          <w:rFonts w:ascii="Century Gothic" w:hAnsi="Century Gothic"/>
          <w:sz w:val="20"/>
          <w:szCs w:val="20"/>
          <w:lang w:val="en-US"/>
        </w:rPr>
        <w:lastRenderedPageBreak/>
        <w:t>community, and the band.</w:t>
      </w:r>
      <w:r w:rsidRPr="004F4E91">
        <w:rPr>
          <w:rFonts w:ascii="Century Gothic" w:hAnsi="Century Gothic"/>
          <w:sz w:val="14"/>
          <w:szCs w:val="20"/>
        </w:rPr>
        <w:footnoteReference w:id="110"/>
      </w:r>
      <w:r w:rsidR="002F3AC1">
        <w:rPr>
          <w:rFonts w:ascii="Century Gothic" w:hAnsi="Century Gothic"/>
          <w:sz w:val="14"/>
          <w:szCs w:val="20"/>
          <w:lang w:val="en-US"/>
        </w:rPr>
        <w:t xml:space="preserve">. </w:t>
      </w:r>
      <w:r w:rsidRPr="004F4E91">
        <w:rPr>
          <w:rFonts w:ascii="Century Gothic" w:hAnsi="Century Gothic"/>
          <w:sz w:val="20"/>
          <w:szCs w:val="20"/>
          <w:lang w:val="en-US"/>
        </w:rPr>
        <w:t>In these three levels, we should look specifically for social, behavioral evidence.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Wolfgang Haak</w:t>
      </w:r>
      <w:r w:rsidRPr="004F4E91">
        <w:rPr>
          <w:rFonts w:ascii="Century Gothic" w:hAnsi="Century Gothic"/>
          <w:sz w:val="14"/>
          <w:szCs w:val="20"/>
        </w:rPr>
        <w:footnoteReference w:id="111"/>
      </w:r>
      <w:r w:rsidRPr="004F4E91">
        <w:rPr>
          <w:rFonts w:ascii="Century Gothic" w:hAnsi="Century Gothic"/>
          <w:sz w:val="14"/>
          <w:szCs w:val="20"/>
          <w:lang w:val="en-US"/>
        </w:rPr>
        <w:t xml:space="preserve"> </w:t>
      </w:r>
      <w:r w:rsidRPr="004F4E91">
        <w:rPr>
          <w:rFonts w:ascii="Century Gothic" w:hAnsi="Century Gothic"/>
          <w:sz w:val="20"/>
          <w:szCs w:val="20"/>
          <w:lang w:val="en-US"/>
        </w:rPr>
        <w:t>achieved the demonstration of the domestic unit. He claimed to have worked out with his staff some family relationships in a remarkable series of burials uncovered in central Germ</w:t>
      </w:r>
      <w:r w:rsidR="002F3AC1">
        <w:rPr>
          <w:rFonts w:ascii="Century Gothic" w:hAnsi="Century Gothic"/>
          <w:sz w:val="20"/>
          <w:szCs w:val="20"/>
          <w:lang w:val="en-US"/>
        </w:rPr>
        <w:t xml:space="preserve">any in 2005 and declared in the </w:t>
      </w:r>
      <w:r w:rsidRPr="004F4E91">
        <w:rPr>
          <w:rFonts w:ascii="Century Gothic" w:hAnsi="Century Gothic"/>
          <w:sz w:val="20"/>
          <w:szCs w:val="20"/>
          <w:lang w:val="en-US"/>
        </w:rPr>
        <w:t>Proceedings of the National Academy of Sciences. “We have established the presence of the classic nuclear family in a prehistoric context.” The researchers found that the children and the adult men grew up in the Eulau area, whereas the adult women came from at least 60 kilometers away - an indication that nuclear families in this region were organized around local men who mated with outside women.</w:t>
      </w:r>
      <w:r w:rsidRPr="004F4E91">
        <w:rPr>
          <w:rFonts w:ascii="Century Gothic" w:hAnsi="Century Gothic"/>
          <w:sz w:val="14"/>
          <w:szCs w:val="20"/>
        </w:rPr>
        <w:footnoteReference w:id="112"/>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expression “classic nuclear family” for sure is a modern bias that we should not adopt. Anyhow, the demonstration of the existence of a defined and stable domestic core is relevant.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Presently there are no means to decipher the several specific features of these cores, but their existence, by itself, is enough to sustain the existence of indispensable and proper social behaviors among their members based on </w:t>
      </w:r>
      <w:r w:rsidRPr="004F4E91">
        <w:rPr>
          <w:rFonts w:ascii="Century Gothic" w:hAnsi="Century Gothic"/>
          <w:sz w:val="20"/>
          <w:szCs w:val="20"/>
          <w:lang w:val="en-US"/>
        </w:rPr>
        <w:lastRenderedPageBreak/>
        <w:t>needs, motivations, and choices. The undoubted interaction of the cores constructs the primitive communities, which, in its turn, mean the practice of more complex social behaviors, based on the same elements.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For the simple fact that this happened among agents endowed with sufficient cognitive capacity, all these processes meant diversified practices of individual and collective choices. In other terms, they contained moral tenets and behaviors.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Besides this social organization, several other cultural elements are expressive as far as the psychological, emotional, and behavioral structures of the individuals are concerned.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may exemplify with the consciousness of life and death, the endless metaphysical human question, which appears with determinant cultural traces in the Paleolithic:</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Si</w:t>
      </w:r>
      <w:r w:rsidR="002F3AC1">
        <w:rPr>
          <w:rFonts w:ascii="Century Gothic" w:hAnsi="Century Gothic"/>
          <w:sz w:val="20"/>
          <w:szCs w:val="20"/>
          <w:lang w:val="en-US"/>
        </w:rPr>
        <w:t>nce the Middle Palaeolithic ca.</w:t>
      </w:r>
      <w:r w:rsidRPr="004F4E91">
        <w:rPr>
          <w:rFonts w:ascii="Century Gothic" w:hAnsi="Century Gothic"/>
          <w:sz w:val="20"/>
          <w:szCs w:val="20"/>
          <w:lang w:val="en-US"/>
        </w:rPr>
        <w:t>120,000 BP, burials of children, young women and men found at caves in Europe (France) and Asia (Palestine) suggest bonds of relationship and social behavior. These are the first indications of respect and faith to life after deat</w:t>
      </w:r>
      <w:r w:rsidR="002F3AC1">
        <w:rPr>
          <w:rFonts w:ascii="Century Gothic" w:hAnsi="Century Gothic"/>
          <w:sz w:val="20"/>
          <w:szCs w:val="20"/>
          <w:lang w:val="en-US"/>
        </w:rPr>
        <w:t xml:space="preserve">h and are mental expressions of </w:t>
      </w:r>
      <w:r w:rsidRPr="004F4E91">
        <w:rPr>
          <w:rFonts w:ascii="Century Gothic" w:hAnsi="Century Gothic"/>
          <w:sz w:val="20"/>
          <w:szCs w:val="20"/>
          <w:lang w:val="en-US"/>
        </w:rPr>
        <w:t>Neanderthal</w:t>
      </w:r>
      <w:r w:rsidR="002F3AC1">
        <w:rPr>
          <w:rFonts w:ascii="Century Gothic" w:hAnsi="Century Gothic"/>
          <w:sz w:val="20"/>
          <w:szCs w:val="20"/>
          <w:lang w:val="en-US"/>
        </w:rPr>
        <w:t xml:space="preserve"> </w:t>
      </w:r>
      <w:r w:rsidRPr="004F4E91">
        <w:rPr>
          <w:rFonts w:ascii="Century Gothic" w:hAnsi="Century Gothic"/>
          <w:sz w:val="20"/>
          <w:szCs w:val="20"/>
          <w:lang w:val="en-US"/>
        </w:rPr>
        <w:t>man. The dead were also buried in caves, rock shelters, and ditches regardless of their sex. The burials are accompanied by burial offerings from the social group such as tools, animal horns, and flowers. In many cases, the face or the body of the dead was adorned with ochre, "the gold" of the Paleolithic. Similar habits have come to lig</w:t>
      </w:r>
      <w:r w:rsidR="002F3AC1">
        <w:rPr>
          <w:rFonts w:ascii="Century Gothic" w:hAnsi="Century Gothic"/>
          <w:sz w:val="20"/>
          <w:szCs w:val="20"/>
          <w:lang w:val="en-US"/>
        </w:rPr>
        <w:t xml:space="preserve">ht at numerous human burials of </w:t>
      </w:r>
      <w:r w:rsidRPr="004F4E91">
        <w:rPr>
          <w:rFonts w:ascii="Century Gothic" w:hAnsi="Century Gothic"/>
          <w:sz w:val="20"/>
          <w:szCs w:val="20"/>
          <w:lang w:val="en-US"/>
        </w:rPr>
        <w:t xml:space="preserve">Homo sapiens </w:t>
      </w:r>
      <w:r w:rsidRPr="004F4E91">
        <w:rPr>
          <w:rFonts w:ascii="Century Gothic" w:hAnsi="Century Gothic"/>
          <w:sz w:val="20"/>
          <w:szCs w:val="20"/>
          <w:lang w:val="en-US"/>
        </w:rPr>
        <w:lastRenderedPageBreak/>
        <w:t>sapiens (modern man), whic</w:t>
      </w:r>
      <w:r w:rsidR="002F3AC1">
        <w:rPr>
          <w:rFonts w:ascii="Century Gothic" w:hAnsi="Century Gothic"/>
          <w:sz w:val="20"/>
          <w:szCs w:val="20"/>
          <w:lang w:val="en-US"/>
        </w:rPr>
        <w:t>h date to the Upper Paleolithic</w:t>
      </w:r>
      <w:r w:rsidRPr="004F4E91">
        <w:rPr>
          <w:rFonts w:ascii="Century Gothic" w:hAnsi="Century Gothic"/>
          <w:sz w:val="20"/>
          <w:szCs w:val="20"/>
          <w:lang w:val="en-US"/>
        </w:rPr>
        <w:t>(35,000-11,000 BP).</w:t>
      </w:r>
      <w:r w:rsidRPr="004F4E91">
        <w:rPr>
          <w:rFonts w:ascii="Century Gothic" w:hAnsi="Century Gothic"/>
          <w:sz w:val="14"/>
          <w:szCs w:val="20"/>
        </w:rPr>
        <w:footnoteReference w:id="113"/>
      </w:r>
      <w:r w:rsidRPr="004F4E91">
        <w:rPr>
          <w:rFonts w:ascii="Century Gothic" w:hAnsi="Century Gothic"/>
          <w:sz w:val="14"/>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Countless evidence of this social behavior related to the dualism life-death is expressed in practices and rituals in the period. Only cognitive and moral beings are able to formulate, interpret, symbolize, and express this metaphysical dilemma. Under any circumstance, life and death are moral questions.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Christopher Bohem enlightens the evidence of the consciousness of the value of life, one of the most significant moral tenets, in the Paleolithic societies: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Prehistorically, killing group members was morally condemned, for the belief that “thou shalt not kill” long preceded the writing of the Bible. However, this ancient and universal condemnation was subject to important exceptions. Mercy killing was tolerated, as was infanticide as a form of birth control, while capital punishment was legitimate as a group strategy to cope with extreme, intolerable, and otherwise inescapable acts by social deviants. Such killings were the result of community intentions, and to work, they had to be strongly approved - or at least be morally countenanced - by the entire group.[…]This means that in our small and usually nomadic prehistoric hunting groups, for at least the past several thousand generations we have been acting as judgmental, self-protective moral communities-groups that can form a consensus and moralistically agree to take extreme </w:t>
      </w:r>
      <w:r w:rsidRPr="004F4E91">
        <w:rPr>
          <w:rFonts w:ascii="Century Gothic" w:hAnsi="Century Gothic"/>
          <w:sz w:val="20"/>
          <w:szCs w:val="20"/>
          <w:lang w:val="en-US"/>
        </w:rPr>
        <w:lastRenderedPageBreak/>
        <w:t xml:space="preserve">measures whenever a social problem becomes bad enough.[…] With both capital punishment and altruism, patterns of sophisticated choice have been working consistently over evolutionary time to create these parallel effects in our genome. </w:t>
      </w:r>
      <w:r w:rsidRPr="004F4E91">
        <w:rPr>
          <w:rFonts w:ascii="Century Gothic" w:hAnsi="Century Gothic"/>
          <w:sz w:val="14"/>
          <w:szCs w:val="20"/>
        </w:rPr>
        <w:footnoteReference w:id="114"/>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Beyond the social organization, arts play an </w:t>
      </w:r>
      <w:r w:rsidR="000A790F">
        <w:rPr>
          <w:rFonts w:ascii="Century Gothic" w:hAnsi="Century Gothic"/>
          <w:sz w:val="20"/>
          <w:szCs w:val="20"/>
          <w:lang w:val="en-US"/>
        </w:rPr>
        <w:t>essential</w:t>
      </w:r>
      <w:r w:rsidRPr="004F4E91">
        <w:rPr>
          <w:rFonts w:ascii="Century Gothic" w:hAnsi="Century Gothic"/>
          <w:sz w:val="20"/>
          <w:szCs w:val="20"/>
          <w:lang w:val="en-US"/>
        </w:rPr>
        <w:t xml:space="preserve"> role in any cultural context and outline the human perception and cognition in a determined time-space situation. Despite the universality of the aesthetic sensation as Kant sustained, its</w:t>
      </w:r>
      <w:r w:rsidR="000A790F">
        <w:rPr>
          <w:rFonts w:ascii="Century Gothic" w:hAnsi="Century Gothic"/>
          <w:sz w:val="20"/>
          <w:szCs w:val="20"/>
          <w:lang w:val="en-US"/>
        </w:rPr>
        <w:t>’</w:t>
      </w:r>
      <w:r w:rsidRPr="004F4E91">
        <w:rPr>
          <w:rFonts w:ascii="Century Gothic" w:hAnsi="Century Gothic"/>
          <w:sz w:val="20"/>
          <w:szCs w:val="20"/>
          <w:lang w:val="en-US"/>
        </w:rPr>
        <w:t xml:space="preserve"> material content is strongly cultural-relative.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diversified Paleolithic art reveals many features of the individual and social life at those times, and grounds the modern notions on the aesthetic universality. The straight relations and reciprocal influence between arts and morals are widely known.</w:t>
      </w:r>
      <w:r w:rsidRPr="004F4E91">
        <w:rPr>
          <w:rFonts w:ascii="Century Gothic" w:hAnsi="Century Gothic"/>
          <w:sz w:val="14"/>
          <w:szCs w:val="20"/>
        </w:rPr>
        <w:footnoteReference w:id="115"/>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Claims of artistic activity, in the form of diagonal etchings made with a sharks tooth, were made in 2014 relating to a 500,000-years-old fossil of a clam found in Java in the 1890s ass</w:t>
      </w:r>
      <w:r w:rsidR="002F3AC1">
        <w:rPr>
          <w:rFonts w:ascii="Century Gothic" w:hAnsi="Century Gothic"/>
          <w:sz w:val="20"/>
          <w:szCs w:val="20"/>
          <w:lang w:val="en-US"/>
        </w:rPr>
        <w:t xml:space="preserve">ociated with </w:t>
      </w:r>
      <w:r w:rsidRPr="004F4E91">
        <w:rPr>
          <w:rFonts w:ascii="Century Gothic" w:hAnsi="Century Gothic"/>
          <w:sz w:val="20"/>
          <w:szCs w:val="20"/>
          <w:lang w:val="en-US"/>
        </w:rPr>
        <w:t xml:space="preserve">Homo erectus. </w:t>
      </w:r>
      <w:r w:rsidRPr="004F4E91">
        <w:rPr>
          <w:rFonts w:ascii="Century Gothic" w:hAnsi="Century Gothic"/>
          <w:sz w:val="14"/>
          <w:szCs w:val="20"/>
        </w:rPr>
        <w:footnoteReference w:id="116"/>
      </w:r>
      <w:r w:rsidRPr="004F4E91">
        <w:rPr>
          <w:rFonts w:ascii="Century Gothic" w:hAnsi="Century Gothic"/>
          <w:sz w:val="14"/>
          <w:szCs w:val="20"/>
          <w:lang w:val="en-US"/>
        </w:rPr>
        <w:t xml:space="preserve"> </w:t>
      </w:r>
      <w:r w:rsidR="002F3AC1">
        <w:rPr>
          <w:rFonts w:ascii="Century Gothic" w:hAnsi="Century Gothic"/>
          <w:sz w:val="20"/>
          <w:szCs w:val="20"/>
          <w:lang w:val="en-US"/>
        </w:rPr>
        <w:t xml:space="preserv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We can estimate the oldest known drawing by human hands to be 73,000 years old.</w:t>
      </w:r>
      <w:r w:rsidRPr="004F4E91">
        <w:rPr>
          <w:rFonts w:ascii="Century Gothic" w:hAnsi="Century Gothic"/>
          <w:sz w:val="14"/>
          <w:szCs w:val="20"/>
        </w:rPr>
        <w:footnoteReference w:id="117"/>
      </w:r>
    </w:p>
    <w:p w:rsidR="008D0320" w:rsidRPr="004F4E91" w:rsidRDefault="002F3AC1" w:rsidP="008D0320">
      <w:pPr>
        <w:spacing w:line="240" w:lineRule="auto"/>
        <w:jc w:val="both"/>
        <w:rPr>
          <w:rFonts w:ascii="Century Gothic" w:hAnsi="Century Gothic"/>
          <w:sz w:val="20"/>
          <w:szCs w:val="20"/>
          <w:lang w:val="en-US"/>
        </w:rPr>
      </w:pPr>
      <w:r>
        <w:rPr>
          <w:rFonts w:ascii="Century Gothic" w:hAnsi="Century Gothic"/>
          <w:sz w:val="20"/>
          <w:szCs w:val="20"/>
          <w:lang w:val="en-US"/>
        </w:rPr>
        <w:t xml:space="preserve">Findings from </w:t>
      </w:r>
      <w:r w:rsidR="008D0320" w:rsidRPr="004F4E91">
        <w:rPr>
          <w:rFonts w:ascii="Century Gothic" w:hAnsi="Century Gothic"/>
          <w:sz w:val="20"/>
          <w:szCs w:val="20"/>
          <w:lang w:val="en-US"/>
        </w:rPr>
        <w:t>Paleolithic</w:t>
      </w:r>
      <w:r>
        <w:rPr>
          <w:rFonts w:ascii="Century Gothic" w:hAnsi="Century Gothic"/>
          <w:sz w:val="20"/>
          <w:szCs w:val="20"/>
          <w:lang w:val="en-US"/>
        </w:rPr>
        <w:t xml:space="preserve"> </w:t>
      </w:r>
      <w:r w:rsidR="008D0320" w:rsidRPr="004F4E91">
        <w:rPr>
          <w:rFonts w:ascii="Century Gothic" w:hAnsi="Century Gothic"/>
          <w:sz w:val="20"/>
          <w:szCs w:val="20"/>
          <w:lang w:val="en-US"/>
        </w:rPr>
        <w:t>archaeology sites suggest that prehistoric people used carving and piercing tools to make instruments and create music for communication and amus</w:t>
      </w:r>
      <w:r>
        <w:rPr>
          <w:rFonts w:ascii="Century Gothic" w:hAnsi="Century Gothic"/>
          <w:sz w:val="20"/>
          <w:szCs w:val="20"/>
          <w:lang w:val="en-US"/>
        </w:rPr>
        <w:t xml:space="preserve">ement. Archeologists have found </w:t>
      </w:r>
      <w:r w:rsidR="008D0320" w:rsidRPr="004F4E91">
        <w:rPr>
          <w:rFonts w:ascii="Century Gothic" w:hAnsi="Century Gothic"/>
          <w:sz w:val="20"/>
          <w:szCs w:val="20"/>
          <w:lang w:val="en-US"/>
        </w:rPr>
        <w:t>Paleolithic flutes</w:t>
      </w:r>
      <w:r>
        <w:rPr>
          <w:rFonts w:ascii="Century Gothic" w:hAnsi="Century Gothic"/>
          <w:sz w:val="20"/>
          <w:szCs w:val="20"/>
          <w:lang w:val="en-US"/>
        </w:rPr>
        <w:t xml:space="preserve"> </w:t>
      </w:r>
      <w:r w:rsidR="008D0320" w:rsidRPr="004F4E91">
        <w:rPr>
          <w:rFonts w:ascii="Century Gothic" w:hAnsi="Century Gothic"/>
          <w:sz w:val="20"/>
          <w:szCs w:val="20"/>
          <w:lang w:val="en-US"/>
        </w:rPr>
        <w:t>carved from bones in which</w:t>
      </w:r>
      <w:r>
        <w:rPr>
          <w:rFonts w:ascii="Century Gothic" w:hAnsi="Century Gothic"/>
          <w:sz w:val="20"/>
          <w:szCs w:val="20"/>
          <w:lang w:val="en-US"/>
        </w:rPr>
        <w:t xml:space="preserve"> lateral holes are pierced. The </w:t>
      </w:r>
      <w:hyperlink r:id="rId55" w:tooltip="Divje Babe flute" w:history="1">
        <w:r w:rsidR="008D0320" w:rsidRPr="004F4E91">
          <w:rPr>
            <w:rFonts w:ascii="Century Gothic" w:hAnsi="Century Gothic"/>
            <w:sz w:val="20"/>
            <w:szCs w:val="20"/>
            <w:lang w:val="en-US"/>
          </w:rPr>
          <w:t>Divje Babe flute</w:t>
        </w:r>
      </w:hyperlink>
      <w:r>
        <w:rPr>
          <w:rFonts w:ascii="Century Gothic" w:hAnsi="Century Gothic"/>
          <w:sz w:val="20"/>
          <w:szCs w:val="20"/>
          <w:lang w:val="en-US"/>
        </w:rPr>
        <w:t xml:space="preserve">, carved from a </w:t>
      </w:r>
      <w:r w:rsidR="008D0320" w:rsidRPr="004F4E91">
        <w:rPr>
          <w:rFonts w:ascii="Century Gothic" w:hAnsi="Century Gothic"/>
          <w:sz w:val="20"/>
          <w:szCs w:val="20"/>
          <w:lang w:val="en-US"/>
        </w:rPr>
        <w:t>cave bear</w:t>
      </w:r>
      <w:r w:rsidRPr="002F3AC1">
        <w:rPr>
          <w:lang w:val="en-US"/>
        </w:rPr>
        <w:t xml:space="preserve"> </w:t>
      </w:r>
      <w:r w:rsidR="008D0320" w:rsidRPr="004F4E91">
        <w:rPr>
          <w:rFonts w:ascii="Century Gothic" w:hAnsi="Century Gothic"/>
          <w:sz w:val="20"/>
          <w:szCs w:val="20"/>
          <w:lang w:val="en-US"/>
        </w:rPr>
        <w:t>, is thought to be at least 40,000 years old.</w:t>
      </w:r>
      <w:r w:rsidR="008D0320" w:rsidRPr="004F4E91">
        <w:rPr>
          <w:rFonts w:ascii="Century Gothic" w:hAnsi="Century Gothic"/>
          <w:sz w:val="14"/>
          <w:szCs w:val="20"/>
        </w:rPr>
        <w:footnoteReference w:id="118"/>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dance was an artistic manifestation, as well.  Anthropologists refer to their practice as inspired in nature’s movements (animals, wind, waves, </w:t>
      </w:r>
      <w:r w:rsidR="000A790F">
        <w:rPr>
          <w:rFonts w:ascii="Century Gothic" w:hAnsi="Century Gothic"/>
          <w:sz w:val="20"/>
          <w:szCs w:val="20"/>
          <w:lang w:val="en-US"/>
        </w:rPr>
        <w:t>and other elements</w:t>
      </w:r>
      <w:r w:rsidRPr="004F4E91">
        <w:rPr>
          <w:rFonts w:ascii="Century Gothic" w:hAnsi="Century Gothic"/>
          <w:sz w:val="20"/>
          <w:szCs w:val="20"/>
          <w:lang w:val="en-US"/>
        </w:rPr>
        <w:t>) and used in ceremonies, rituals, and day-by-day life expressing feelings, prayers, emotions, and happenings.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remains of Paleolithic art are very few, but its existence in those so remote times is a consistent demonstration of the ancient cognitive and human emotional skills.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Ambrose(</w:t>
      </w:r>
      <w:r w:rsidRPr="004F4E91">
        <w:rPr>
          <w:rFonts w:ascii="Century Gothic" w:hAnsi="Century Gothic"/>
          <w:sz w:val="14"/>
          <w:szCs w:val="20"/>
          <w:lang w:val="en-US"/>
        </w:rPr>
        <w:t>118</w:t>
      </w:r>
      <w:r w:rsidRPr="004F4E91">
        <w:rPr>
          <w:rFonts w:ascii="Century Gothic" w:hAnsi="Century Gothic"/>
          <w:sz w:val="20"/>
          <w:szCs w:val="20"/>
          <w:lang w:val="en-US"/>
        </w:rPr>
        <w:t xml:space="preserve">) says, “Paleolithic art, as well as the art of other hunter-gatherer cultures throughout history, seems to prove that art exists across all human societies.”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same way as in modern societies, Paleolithic art exposed a complex semiotic content involving the empiric experience, the environmental references and interpretations, the human interaction, and the projective imaginary. Mithen’s researches arrived at this evidence:</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lastRenderedPageBreak/>
        <w:t>This art was part of modern human ecological adaptation to their environment. The art functioned to extend human memory, to hold concepts that are difficult for minds to grasp, and to instigate creative thinking about the solution of environmental and social problems.</w:t>
      </w:r>
      <w:r w:rsidRPr="004F4E91">
        <w:rPr>
          <w:rFonts w:ascii="Century Gothic" w:hAnsi="Century Gothic"/>
          <w:sz w:val="14"/>
          <w:szCs w:val="20"/>
        </w:rPr>
        <w:footnoteReference w:id="119"/>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Donald considers such universality from the standpoint of its causation:</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There is no reason to think that visual art in the Upper Paleolithic came from a different creative source than it does today. The human brain is the biological constraint on, and the ultimate source of creativity. Culture provides the specific semantic fields that determine meaning. Thus, we cannot expect that the inspiration for Upper Paleolithic parietal art was somehow derived outside of the social-cognitive networks that have shaped its modern equivalents.</w:t>
      </w:r>
      <w:r w:rsidRPr="004F4E91">
        <w:rPr>
          <w:rFonts w:ascii="Century Gothic" w:hAnsi="Century Gothic"/>
          <w:sz w:val="14"/>
          <w:szCs w:val="20"/>
        </w:rPr>
        <w:footnoteReference w:id="120"/>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third and last element of the “CCC Triangle” is “Cooperation.”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To analyze this element, we have two ways: the affirmative and the negative way, or the “inclusion-exclusion” logic reasoning.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In an affirmative way (inclusion), a general finding dismisses specific evidence and studies: the Paleolithic man survived and evolved continuously for one hundred and fifty millennia, based on small and organized interactive groups. They exchanged resources as artifacts, technology, knowledge, experience, and beliefs, under the most aggressive and inhospitable environmental conditions of nomad life, needy of resources, and full of threats. </w:t>
      </w:r>
      <w:r w:rsidR="000A790F">
        <w:rPr>
          <w:rFonts w:ascii="Century Gothic" w:hAnsi="Century Gothic"/>
          <w:sz w:val="20"/>
          <w:szCs w:val="20"/>
          <w:lang w:val="en-US"/>
        </w:rPr>
        <w:t>Unquestionably,</w:t>
      </w:r>
      <w:r w:rsidRPr="004F4E91">
        <w:rPr>
          <w:rFonts w:ascii="Century Gothic" w:hAnsi="Century Gothic"/>
          <w:sz w:val="20"/>
          <w:szCs w:val="20"/>
          <w:lang w:val="en-US"/>
        </w:rPr>
        <w:t xml:space="preserve"> this epic rout</w:t>
      </w:r>
      <w:r w:rsidR="000A790F">
        <w:rPr>
          <w:rFonts w:ascii="Century Gothic" w:hAnsi="Century Gothic"/>
          <w:sz w:val="20"/>
          <w:szCs w:val="20"/>
          <w:lang w:val="en-US"/>
        </w:rPr>
        <w:t>e</w:t>
      </w:r>
      <w:r w:rsidRPr="004F4E91">
        <w:rPr>
          <w:rFonts w:ascii="Century Gothic" w:hAnsi="Century Gothic"/>
          <w:sz w:val="20"/>
          <w:szCs w:val="20"/>
          <w:lang w:val="en-US"/>
        </w:rPr>
        <w:t xml:space="preserve"> would not be possible without cooperation.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It does not matter for our study to determine how cooperation happened and which detailed evidence do we have about these specific forms or proceedings. Cooperation in Paleolithic, from this affirmative angle, is just an obvious logical inference supported by the historical argument.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From the negative side (exclusion), we should ask about the presence of the opposite of cooperation, to confirm (or deny) the conclusions of the affirmative way. The opposite of cooperation means competition, and here, once more, Pedersen can help us: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The Polar Eskimos and the Kalahari Ju/wasi did not have competition. They assiduously avoided it. Our simple hunter-gatherer ancestors lived the same with perfect social equanimity for 150,000 years.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We justify competition as building physical and mental skills, but our early ancestors simply </w:t>
      </w:r>
      <w:r w:rsidRPr="004F4E91">
        <w:rPr>
          <w:rFonts w:ascii="Century Gothic" w:hAnsi="Century Gothic"/>
          <w:sz w:val="20"/>
          <w:szCs w:val="20"/>
          <w:lang w:val="en-US"/>
        </w:rPr>
        <w:lastRenderedPageBreak/>
        <w:t>practiced a skill until it was sufficiently acquired:- they did not need an opponent to beat.</w:t>
      </w:r>
      <w:r w:rsidRPr="004F4E91">
        <w:rPr>
          <w:rFonts w:ascii="Century Gothic" w:hAnsi="Century Gothic"/>
          <w:sz w:val="14"/>
          <w:szCs w:val="20"/>
        </w:rPr>
        <w:footnoteReference w:id="121"/>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Pedersen’s argument gets stronger in the extension that he considers the war as the ultimate competition. Indeed, there is no research indicating the remains of armed conflicts or wars in the Paleolithic.</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Conclusively, the exclusive logical way confirms the inclusive one, and we may coherent and soundly affirm that the presence of cooperation is evidence of the Paleolithic societies.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b/>
          <w:sz w:val="20"/>
          <w:szCs w:val="20"/>
          <w:lang w:val="en-US"/>
        </w:rPr>
      </w:pPr>
      <w:r w:rsidRPr="004F4E91">
        <w:rPr>
          <w:rFonts w:ascii="Century Gothic" w:hAnsi="Century Gothic"/>
          <w:b/>
          <w:sz w:val="20"/>
          <w:szCs w:val="20"/>
          <w:lang w:val="en-US"/>
        </w:rPr>
        <w:t>3. The Context of the Imaginary and the Divine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imaginary is the realm of human free will. This assertion usually provokes a repugnance reaction or an angry grumble among radical determinists of any sect.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will not discuss these preformatted theoretical ideas that do not enlighten any discussion, and whose efforts to demonstrate that human knowledge and consciousness do not exist drive to the useless belief of sterility of the intelligence.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may learn from the neuroscientist Peter Ulrich Tse that what we said has scientific ground:</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We will see that outcomes that arise from internal operations in working memory, that afford imagination and </w:t>
      </w:r>
      <w:r w:rsidR="000106F7">
        <w:rPr>
          <w:rFonts w:ascii="Century Gothic" w:hAnsi="Century Gothic"/>
          <w:sz w:val="20"/>
          <w:szCs w:val="20"/>
          <w:lang w:val="en-US"/>
        </w:rPr>
        <w:t xml:space="preserve">deliberations about the future, </w:t>
      </w:r>
      <w:r w:rsidRPr="004F4E91">
        <w:rPr>
          <w:rFonts w:ascii="Century Gothic" w:hAnsi="Century Gothic"/>
          <w:sz w:val="20"/>
          <w:szCs w:val="20"/>
          <w:lang w:val="en-US"/>
        </w:rPr>
        <w:t xml:space="preserve">can alter probabilities of future courses of action. </w:t>
      </w:r>
      <w:r w:rsidRPr="004F4E91">
        <w:rPr>
          <w:rFonts w:ascii="Century Gothic" w:hAnsi="Century Gothic"/>
          <w:sz w:val="20"/>
          <w:szCs w:val="20"/>
          <w:lang w:val="en-US"/>
        </w:rPr>
        <w:lastRenderedPageBreak/>
        <w:t>I will argue that evolution has instantiated these conditions necessary for Libertarian Free Will in o</w:t>
      </w:r>
      <w:r w:rsidR="000106F7">
        <w:rPr>
          <w:rFonts w:ascii="Century Gothic" w:hAnsi="Century Gothic"/>
          <w:sz w:val="20"/>
          <w:szCs w:val="20"/>
          <w:lang w:val="en-US"/>
        </w:rPr>
        <w:t xml:space="preserve">ur brains. Indeed, evolution has </w:t>
      </w:r>
      <w:r w:rsidRPr="004F4E91">
        <w:rPr>
          <w:rFonts w:ascii="Century Gothic" w:hAnsi="Century Gothic"/>
          <w:sz w:val="20"/>
          <w:szCs w:val="20"/>
          <w:lang w:val="en-US"/>
        </w:rPr>
        <w:t>afforded us two kinds of Libertarian Free Will, one that we share with other animals, namely, the ability to weigh and select from among internally simulated options, and the other, unique to humans, namely, the capacity to imagine and then set about becoming of a new kind of chooser in the future.</w:t>
      </w:r>
      <w:r w:rsidRPr="004F4E91">
        <w:rPr>
          <w:rFonts w:ascii="Century Gothic" w:hAnsi="Century Gothic"/>
          <w:sz w:val="14"/>
          <w:szCs w:val="20"/>
        </w:rPr>
        <w:footnoteReference w:id="122"/>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presence and expression of the imaginary in a society is a cultural demonstration of the cognitive ability, social consciousness, aesthetic sensibility, free will, and creativity among their individuals. The imaginary is a material ingredient in the construction of moral behavior. The projection of current reality in an imaginary future and the perception of its consequences is a mechanism of intelligent choice and certainly is a moral mechanism. Without this projection, the moral behavior, which is a choosing exercise, would be a simple random occurrence.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presence of the imaginary and their several expressions are one of the relevant features of the Paleolithic societies. The semiotic structure of these expressions and the evolutionary ability to deal with symbols are visible elements since the early Paleolithic.</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Researches indicate that the evolution of arts during this period is visible in the visual arts, as well as ritual dances and other aesthetic expressions, and surpassed the representation of the known world. Art became </w:t>
      </w:r>
      <w:r w:rsidRPr="004F4E91">
        <w:rPr>
          <w:rFonts w:ascii="Century Gothic" w:hAnsi="Century Gothic"/>
          <w:sz w:val="20"/>
          <w:szCs w:val="20"/>
          <w:lang w:val="en-US"/>
        </w:rPr>
        <w:lastRenderedPageBreak/>
        <w:t xml:space="preserve">conceptual when it reached the level of expression of abstractions, such as emotions and imaginary elements, and configured the practice of “art by the sake of art.” </w:t>
      </w:r>
    </w:p>
    <w:p w:rsidR="008D0320" w:rsidRPr="004F4E91" w:rsidRDefault="00A246E0" w:rsidP="008D0320">
      <w:pPr>
        <w:spacing w:line="240" w:lineRule="auto"/>
        <w:jc w:val="both"/>
        <w:rPr>
          <w:rFonts w:ascii="Century Gothic" w:hAnsi="Century Gothic"/>
          <w:sz w:val="20"/>
          <w:szCs w:val="20"/>
          <w:lang w:val="en-US"/>
        </w:rPr>
      </w:pPr>
      <w:hyperlink r:id="rId56" w:history="1">
        <w:r w:rsidR="008D0320" w:rsidRPr="004F4E91">
          <w:rPr>
            <w:rFonts w:ascii="Century Gothic" w:hAnsi="Century Gothic"/>
            <w:sz w:val="20"/>
            <w:szCs w:val="20"/>
            <w:lang w:val="en-US"/>
          </w:rPr>
          <w:t>Eduardo Palacio-Pérez</w:t>
        </w:r>
      </w:hyperlink>
      <w:r w:rsidR="000106F7">
        <w:rPr>
          <w:rFonts w:ascii="Century Gothic" w:hAnsi="Century Gothic"/>
          <w:sz w:val="20"/>
          <w:szCs w:val="20"/>
          <w:lang w:val="en-US"/>
        </w:rPr>
        <w:t xml:space="preserve"> and </w:t>
      </w:r>
      <w:r w:rsidR="008D0320" w:rsidRPr="004F4E91">
        <w:rPr>
          <w:rFonts w:ascii="Century Gothic" w:hAnsi="Century Gothic"/>
          <w:sz w:val="20"/>
          <w:szCs w:val="20"/>
          <w:lang w:val="en-US"/>
        </w:rPr>
        <w:t>Aitor Ruiz Redondo</w:t>
      </w:r>
      <w:r w:rsidR="000106F7">
        <w:rPr>
          <w:rFonts w:ascii="Century Gothic" w:hAnsi="Century Gothic"/>
          <w:sz w:val="20"/>
          <w:szCs w:val="20"/>
          <w:lang w:val="en-US"/>
        </w:rPr>
        <w:t xml:space="preserve"> </w:t>
      </w:r>
      <w:r w:rsidR="008D0320" w:rsidRPr="004F4E91">
        <w:rPr>
          <w:rFonts w:ascii="Century Gothic" w:hAnsi="Century Gothic"/>
          <w:sz w:val="20"/>
          <w:szCs w:val="20"/>
          <w:lang w:val="en-US"/>
        </w:rPr>
        <w:t>focused the content of such expressions of the imaginary:</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In the course of research currently being carried out at Santimamine (Bizkaia, Spain) (Gonz’alez S’ainz &amp; Idarraga 2010) and Altxerri (Gipuzkoa, Spain) a series of zoomorphic figures have been identified (four in total between the two sites) that represent creatures that do not exist in nature (Figure 1). They are examples of the so-called ‘imaginary creatures,’ unreal or fantastic beings that appear in Paleolithic art ensembles. Despite their rarity—fewer than 50 are known in Paleolithic parietal art—they have been the subject of debate and controversy since the first of them were discovered.</w:t>
      </w:r>
      <w:r w:rsidRPr="004F4E91">
        <w:rPr>
          <w:rFonts w:ascii="Century Gothic" w:hAnsi="Century Gothic"/>
          <w:sz w:val="14"/>
          <w:szCs w:val="20"/>
        </w:rPr>
        <w:footnoteReference w:id="123"/>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the same course, the human experience in those times brought the perception of the realm of Divine and, in the face of the comprehension of death, the collective and projective beliefs on a “post mortem” life. Here religion starts.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Focusing this context, we can understand that both rituals and religion are different human behavior expressions of the same phenomenon: the assumption of the existence of </w:t>
      </w:r>
      <w:r w:rsidRPr="004F4E91">
        <w:rPr>
          <w:rFonts w:ascii="Century Gothic" w:hAnsi="Century Gothic"/>
          <w:sz w:val="20"/>
          <w:szCs w:val="20"/>
          <w:lang w:val="en-US"/>
        </w:rPr>
        <w:lastRenderedPageBreak/>
        <w:t>the Divine and the forms of relation and communication with the deity.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Credible and coherent evidence, brought by archeology and anthropology, indicates the existence of this metaphysical human feeling and perception since at least mid-Paleolithic Period. Religion aggregates the spiri</w:t>
      </w:r>
      <w:r w:rsidR="000106F7">
        <w:rPr>
          <w:rFonts w:ascii="Century Gothic" w:hAnsi="Century Gothic"/>
          <w:sz w:val="20"/>
          <w:szCs w:val="20"/>
          <w:lang w:val="en-US"/>
        </w:rPr>
        <w:t xml:space="preserve">tual and psychological contents, </w:t>
      </w:r>
      <w:r w:rsidRPr="004F4E91">
        <w:rPr>
          <w:rFonts w:ascii="Century Gothic" w:hAnsi="Century Gothic"/>
          <w:sz w:val="20"/>
          <w:szCs w:val="20"/>
          <w:lang w:val="en-US"/>
        </w:rPr>
        <w:t>systems, and semiotic elements defining the relation human-divinity. Rituals are stereotypical corporal and psychological behaviors expressing elements of religion.</w:t>
      </w:r>
    </w:p>
    <w:p w:rsidR="008D0320" w:rsidRPr="004F4E91" w:rsidRDefault="00A246E0" w:rsidP="008D0320">
      <w:pPr>
        <w:spacing w:line="240" w:lineRule="auto"/>
        <w:jc w:val="both"/>
        <w:rPr>
          <w:rFonts w:ascii="Century Gothic" w:hAnsi="Century Gothic"/>
          <w:sz w:val="20"/>
          <w:szCs w:val="20"/>
          <w:lang w:val="en-US"/>
        </w:rPr>
      </w:pPr>
      <w:hyperlink r:id="rId57" w:history="1">
        <w:r w:rsidR="008D0320" w:rsidRPr="004F4E91">
          <w:rPr>
            <w:rFonts w:ascii="Century Gothic" w:hAnsi="Century Gothic"/>
            <w:sz w:val="20"/>
            <w:szCs w:val="20"/>
            <w:lang w:val="en-US"/>
          </w:rPr>
          <w:t>Hervey C. Peoples</w:t>
        </w:r>
      </w:hyperlink>
      <w:r w:rsidR="008D0320" w:rsidRPr="004F4E91">
        <w:rPr>
          <w:rFonts w:ascii="Century Gothic" w:hAnsi="Century Gothic"/>
          <w:sz w:val="20"/>
          <w:szCs w:val="20"/>
          <w:lang w:val="en-US"/>
        </w:rPr>
        <w:t xml:space="preserve">, </w:t>
      </w:r>
      <w:hyperlink r:id="rId58" w:history="1">
        <w:r w:rsidR="008D0320" w:rsidRPr="004F4E91">
          <w:rPr>
            <w:rFonts w:ascii="Century Gothic" w:hAnsi="Century Gothic"/>
            <w:sz w:val="20"/>
            <w:szCs w:val="20"/>
            <w:lang w:val="en-US"/>
          </w:rPr>
          <w:t>Pavel Duda</w:t>
        </w:r>
      </w:hyperlink>
      <w:r w:rsidR="000106F7">
        <w:rPr>
          <w:rFonts w:ascii="Century Gothic" w:hAnsi="Century Gothic"/>
          <w:sz w:val="20"/>
          <w:szCs w:val="20"/>
          <w:lang w:val="en-US"/>
        </w:rPr>
        <w:t xml:space="preserve">, and </w:t>
      </w:r>
      <w:hyperlink r:id="rId59" w:history="1">
        <w:r w:rsidR="008D0320" w:rsidRPr="004F4E91">
          <w:rPr>
            <w:rFonts w:ascii="Century Gothic" w:hAnsi="Century Gothic"/>
            <w:sz w:val="20"/>
            <w:szCs w:val="20"/>
            <w:lang w:val="en-US"/>
          </w:rPr>
          <w:t>Frank W. Marlowe</w:t>
        </w:r>
      </w:hyperlink>
      <w:r w:rsidR="008D0320" w:rsidRPr="004F4E91">
        <w:rPr>
          <w:rFonts w:ascii="Century Gothic" w:hAnsi="Century Gothic"/>
          <w:sz w:val="20"/>
          <w:szCs w:val="20"/>
          <w:lang w:val="en-US"/>
        </w:rPr>
        <w:t xml:space="preserve"> describe the characteristics of this process: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We reconstruct ancestral character states using a time-calibrated supertree based on published phylogenetic trees and linguistic classification and then test for correlated evolution between the characters and the direction of cultural change. Results indicate that the oldest trait of religion, present in the most recent common ancestor of present-day hunter-gatherers, was animism, in agreement with long-standing beliefs about the fundamental role of this trait. Belief in an afterlife emerged, followed by shamanism and ancestor worship. Ancestor spirits or high gods who are active in human affairs were absent in early humans, suggesting a deep history for the egalitarian nature of hunter-gatherer societies.</w:t>
      </w:r>
      <w:r w:rsidRPr="004F4E91">
        <w:rPr>
          <w:rFonts w:ascii="Century Gothic" w:hAnsi="Century Gothic"/>
          <w:sz w:val="14"/>
          <w:szCs w:val="20"/>
        </w:rPr>
        <w:footnoteReference w:id="124"/>
      </w:r>
      <w:r w:rsidRPr="004F4E91">
        <w:rPr>
          <w:rFonts w:ascii="Century Gothic" w:hAnsi="Century Gothic"/>
          <w:sz w:val="14"/>
          <w:szCs w:val="20"/>
          <w:lang w:val="en-US"/>
        </w:rPr>
        <w:t>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The individual and collective imaginary, the ability to interpret nature as an expression of the divine, to represent it with semiotic elements and to overpass the unknown by the construction of myths, legends, and figurative abstractions were the ingredients of the imaginary/divine context.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From this complex human experience came the aesthetic sensibility, the metaphysical assumptions, and the religious beliefs. Continuously they evolved to </w:t>
      </w:r>
      <w:r w:rsidR="000A790F">
        <w:rPr>
          <w:rFonts w:ascii="Century Gothic" w:hAnsi="Century Gothic"/>
          <w:sz w:val="20"/>
          <w:szCs w:val="20"/>
          <w:lang w:val="en-US"/>
        </w:rPr>
        <w:t>specific</w:t>
      </w:r>
      <w:r w:rsidRPr="004F4E91">
        <w:rPr>
          <w:rFonts w:ascii="Century Gothic" w:hAnsi="Century Gothic"/>
          <w:sz w:val="20"/>
          <w:szCs w:val="20"/>
          <w:lang w:val="en-US"/>
        </w:rPr>
        <w:t xml:space="preserve"> moral and social behaviors incorporated into the collective unconscious.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 Jungian terms,</w:t>
      </w:r>
    </w:p>
    <w:p w:rsidR="000A790F"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The primitive mentality does not invent myths; it experiences them. Myths are original revelations of the preconscious psyche, involuntary statements about unconscious psychic happenings, and anything but allegories of physical processes. Such allegories would be an idle amusement for an unscientific intellect. Myths, on the contrary, have a vital meaning. Not merely do they represent, they are the psychic life of the primitive tribe, which immediately falls to pieces and decays when it loses its mythological heritage, like a man who has lost his soul. A tribe’s mythology is its living religion, “whose loss is always and everywhere, even among the civilized, a moral catastrophe. </w:t>
      </w:r>
    </w:p>
    <w:p w:rsidR="008D0320" w:rsidRPr="004F4E91" w:rsidRDefault="000A790F" w:rsidP="008D0320">
      <w:pPr>
        <w:spacing w:line="240" w:lineRule="auto"/>
        <w:ind w:left="964"/>
        <w:jc w:val="both"/>
        <w:rPr>
          <w:rFonts w:ascii="Century Gothic" w:hAnsi="Century Gothic"/>
          <w:sz w:val="20"/>
          <w:szCs w:val="20"/>
          <w:lang w:val="en-US"/>
        </w:rPr>
      </w:pPr>
      <w:r>
        <w:rPr>
          <w:rFonts w:ascii="Century Gothic" w:hAnsi="Century Gothic"/>
          <w:sz w:val="20"/>
          <w:szCs w:val="20"/>
          <w:lang w:val="en-US"/>
        </w:rPr>
        <w:t>Nevertheless,</w:t>
      </w:r>
      <w:r w:rsidR="008D0320" w:rsidRPr="004F4E91">
        <w:rPr>
          <w:rFonts w:ascii="Century Gothic" w:hAnsi="Century Gothic"/>
          <w:sz w:val="20"/>
          <w:szCs w:val="20"/>
          <w:lang w:val="en-US"/>
        </w:rPr>
        <w:t xml:space="preserve"> religion is a vital link with psychic processes independent of and beyond consciousness in the dark hinterland of the psyche. Many of these unconscious processes may be indirectly occasioned by consciousness, but never by conscious choice. Others appear to </w:t>
      </w:r>
      <w:r w:rsidR="008D0320" w:rsidRPr="004F4E91">
        <w:rPr>
          <w:rFonts w:ascii="Century Gothic" w:hAnsi="Century Gothic"/>
          <w:sz w:val="20"/>
          <w:szCs w:val="20"/>
          <w:lang w:val="en-US"/>
        </w:rPr>
        <w:lastRenderedPageBreak/>
        <w:t>arise spontaneously, that is to say, from no discernible or demonstrable conscious cause.</w:t>
      </w:r>
      <w:r w:rsidR="008D0320" w:rsidRPr="004F4E91">
        <w:rPr>
          <w:rFonts w:ascii="Century Gothic" w:hAnsi="Century Gothic"/>
          <w:sz w:val="14"/>
          <w:szCs w:val="20"/>
        </w:rPr>
        <w:footnoteReference w:id="125"/>
      </w:r>
      <w:r w:rsidR="008D0320" w:rsidRPr="004F4E91">
        <w:rPr>
          <w:rFonts w:ascii="Century Gothic" w:hAnsi="Century Gothic"/>
          <w:sz w:val="20"/>
          <w:szCs w:val="20"/>
          <w:lang w:val="en-US"/>
        </w:rPr>
        <w:t>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CHAPTER VII</w:t>
      </w:r>
    </w:p>
    <w:p w:rsidR="008D0320" w:rsidRPr="004F4E91" w:rsidRDefault="008D0320" w:rsidP="008D0320">
      <w:pPr>
        <w:spacing w:line="240" w:lineRule="auto"/>
        <w:rPr>
          <w:rFonts w:ascii="Copperplate Gothic Bold" w:hAnsi="Copperplate Gothic Bold"/>
          <w:sz w:val="32"/>
          <w:szCs w:val="32"/>
          <w:lang w:val="en-US"/>
        </w:rPr>
      </w:pPr>
      <w:r w:rsidRPr="004F4E91">
        <w:rPr>
          <w:rFonts w:ascii="Copperplate Gothic Bold" w:hAnsi="Copperplate Gothic Bold"/>
          <w:sz w:val="32"/>
          <w:szCs w:val="32"/>
          <w:lang w:val="en-US"/>
        </w:rPr>
        <w:t>RECOMPOSING A PREHISTORIC SYSTEM OF MORALS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If we contemplate the three contexts of the Paleolithic societies which we explored (the Human, the Imaginary, and the Divine) certainly some question arise. The most important ones are: “What made these contexts possible?” “Which are the ‘sine qua non’ conditions of this process?”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Among diverse and equally correct explanations, one becomes the center of our study: a moral behavior system was ever-present in human social evolution. Analyzing the structure of our “CCC Triangle” model, we can immediately understand that nothing contained in the evidence we collected would exist in the absence of moral behavior. Should we eliminate the existence of such a moral system in any phase of human evolution, the results would change dramatically. It is relatively simple to build several experimental social and anthropological models based on the absence of morals since the beginning of the Paleolithic. Indeed, none of them will conduct the same results demonstrated by Human History.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were looking for, since the beginning of this work, this ball. We could not see it, because the colored photo of the soccer match did not show it. However, we knew it was there because it is an indispensable element for a soccer match. Denying its presence would mean that what we saw in the photo could be a party, or a theatrical play, or anything else rather than a soccer match.</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All this evidence brought by different sources is the foundation of our inferences, and going through the </w:t>
      </w:r>
      <w:r w:rsidRPr="004F4E91">
        <w:rPr>
          <w:rFonts w:ascii="Century Gothic" w:hAnsi="Century Gothic"/>
          <w:sz w:val="20"/>
          <w:szCs w:val="20"/>
          <w:lang w:val="en-US"/>
        </w:rPr>
        <w:lastRenderedPageBreak/>
        <w:t>philosophical and scientific research, theories, and debates, we finally found the justification of our reasoning.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From our three contexts, we may easily extract several moral tenets existing in the Paleolithic, represented and expressed through social behaviors, being possible to summarize them as follows: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notion of life and death.</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perception of the value of human life and the need to preserve it.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necessity of the best relation between the individual and the social life to make survival possible.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need for cooperative behaviors and congregational efforts to this end.</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definition of extreme situations where social survival prevails over individual existence (capital punishment, euthanasia, etc.).</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Altruism instead of egoism.</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Equality and absence of discrimination.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Absence of any kind of domination.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value of free will and the importance of choices.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Aggregation and exchange instead of competition and aggression.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significance of the domestic core and its stability.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responsibility for reproduction and care for the offspring,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expression of feelings, ideas, and emotions by social means like arts.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The conscious dilemma about death and life after death.</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perception of the Divine, the efforts to understand it, and acceptance of its nature.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 non-destructive relation with the environment.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Flexibility for adaptation.</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mean for Paleolithic Moral System the social and behavioral model we can construct with all these tenets brought by the empirical observation of the human experience. In no way, we adopt any kind of deontological approach in these behaviors and understand them as internal propositional features of the societies involved, acquired by experience, and aggregate to the human genome as elements of the collective unconscious. They are the moral archetypes, the object of this thesis.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For this reason, we step aside from any attempt to interpret these archetypes as a moral code. Moral codes are meaningless to philosophical thinking. They are modern formal deontological linguistic expressions of the attempt to convert into objective social commandments some specific moral tenets, intentionally chosen according to the circumstances of a society in a </w:t>
      </w:r>
      <w:r w:rsidR="000A790F">
        <w:rPr>
          <w:rFonts w:ascii="Century Gothic" w:hAnsi="Century Gothic"/>
          <w:sz w:val="20"/>
          <w:szCs w:val="20"/>
          <w:lang w:val="en-US"/>
        </w:rPr>
        <w:t>particular</w:t>
      </w:r>
      <w:r w:rsidRPr="004F4E91">
        <w:rPr>
          <w:rFonts w:ascii="Century Gothic" w:hAnsi="Century Gothic"/>
          <w:sz w:val="20"/>
          <w:szCs w:val="20"/>
          <w:lang w:val="en-US"/>
        </w:rPr>
        <w:t xml:space="preserve"> time-space context. They are formal teleological semantic expressions. It is not possible, therefore, the emergence of a moral system from the study of a moral code. Moral systems shelter behaviors, rather than textual declarations, and they may be compared with other systems. Moral codes cannot be compared to anything, except to themselves.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CHAPTER VIII</w:t>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RELATIONS BETWEEN THE PALEOLITHIC MORAL SYSTEM AND MODERN SOCIETY</w:t>
      </w:r>
    </w:p>
    <w:p w:rsidR="008D0320" w:rsidRPr="004F4E91" w:rsidRDefault="008D0320" w:rsidP="008D0320">
      <w:pPr>
        <w:spacing w:line="240" w:lineRule="auto"/>
        <w:jc w:val="both"/>
        <w:rPr>
          <w:rFonts w:ascii="Copperplate Gothic Bold" w:hAnsi="Copperplate Gothic Bold"/>
          <w:sz w:val="32"/>
          <w:szCs w:val="32"/>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 tenets contained in the Paleolithic moral system traveled for uncountable millennia engraved in the human genome, up to the present days. They have never changed, nor has our nature forgotten them. In many times and places, for multiple reasons, they have not been represented in social behavior as a moral system, or have not been adopted by social groups for </w:t>
      </w:r>
      <w:r w:rsidR="000A790F">
        <w:rPr>
          <w:rFonts w:ascii="Century Gothic" w:hAnsi="Century Gothic"/>
          <w:sz w:val="20"/>
          <w:szCs w:val="20"/>
          <w:lang w:val="en-US"/>
        </w:rPr>
        <w:t>some</w:t>
      </w:r>
      <w:r w:rsidRPr="004F4E91">
        <w:rPr>
          <w:rFonts w:ascii="Century Gothic" w:hAnsi="Century Gothic"/>
          <w:sz w:val="20"/>
          <w:szCs w:val="20"/>
          <w:lang w:val="en-US"/>
        </w:rPr>
        <w:t xml:space="preserve"> elapses of time. However, they remain there in its integrity, ever and ever.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There is only one hypothetical possibility of elimination of the Paleolithic moral system from our collective unconscious: the construction of human society much more efficient as an evolutionary structure than the hunter-gatherer societies, based on entirely different moral behaviors, and able to be more successful than those, from all standpoints.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This hypothetical society should be submitted to the natural dialectic processes of survival, evolution, and stability of humankind for many millennia, to gradually substitute the content of our existing collective unconscious. However, this would be a different world and a different species.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For sure, any effective moral system is adaptable to cultural, technological, biological, and environmental </w:t>
      </w:r>
      <w:r w:rsidRPr="004F4E91">
        <w:rPr>
          <w:rFonts w:ascii="Century Gothic" w:hAnsi="Century Gothic"/>
          <w:sz w:val="20"/>
          <w:szCs w:val="20"/>
          <w:lang w:val="en-US"/>
        </w:rPr>
        <w:lastRenderedPageBreak/>
        <w:t xml:space="preserve">changes. Adaptability is one of the </w:t>
      </w:r>
      <w:r w:rsidR="000A790F">
        <w:rPr>
          <w:rFonts w:ascii="Century Gothic" w:hAnsi="Century Gothic"/>
          <w:sz w:val="20"/>
          <w:szCs w:val="20"/>
          <w:lang w:val="en-US"/>
        </w:rPr>
        <w:t>crucial</w:t>
      </w:r>
      <w:r w:rsidRPr="004F4E91">
        <w:rPr>
          <w:rFonts w:ascii="Century Gothic" w:hAnsi="Century Gothic"/>
          <w:sz w:val="20"/>
          <w:szCs w:val="20"/>
          <w:lang w:val="en-US"/>
        </w:rPr>
        <w:t xml:space="preserve"> tenets we mentioned. For this reason, we have argued that our original moral foundations are somehow relative to time-space contexts.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When structural changes in the social fabric happened with the first agricultural settlements and urban organizations, at the end of the upper Paleolithic and beginning of the Mesolithic period, one of the most significant processes of human behavioral adaptation took place. Even under the influence of these extreme changes in the social model, the Paleolithic moral tenets persisted with flexibility and adaptability. Indeed, researches sustain the belief that the social models, resulting from the transformation of the hunter-gatherer society into the territorial life arising from the first settlements, did not contain necessarily any trace or mechanism of moral behavior disruption.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economic model of the early Mesolithic society was perfectly compatible with the evolutionary properties and moral foundations of our Paleolithic ancestors, as Vernon L. Smith explains: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 xml:space="preserve">Prehistoric man developed institutions that conditioned his use of resources. Property rights evolved as an essential part of man's institutional environment as a result of the changing constraints of the natural and technological environment. These property rights could evolve in the absence of a centralized state because they depended on reciprocity, mutual dependence, and state-like forms of control achieved through broadened kinship ties, customs, and culture. While early property rights were not always private or transferable, they did constrain individual and group behavior by </w:t>
      </w:r>
      <w:r w:rsidRPr="004F4E91">
        <w:rPr>
          <w:rFonts w:ascii="Century Gothic" w:hAnsi="Century Gothic"/>
          <w:sz w:val="20"/>
          <w:szCs w:val="20"/>
          <w:lang w:val="en-US"/>
        </w:rPr>
        <w:lastRenderedPageBreak/>
        <w:t>limiting access to scarce resources. In this sense, the successful evolution of humankind is closely related to the customs and culture that shaped prehistoric property rights.</w:t>
      </w:r>
      <w:r w:rsidRPr="004F4E91">
        <w:rPr>
          <w:rFonts w:ascii="Century Gothic" w:hAnsi="Century Gothic"/>
          <w:sz w:val="14"/>
          <w:szCs w:val="20"/>
        </w:rPr>
        <w:footnoteReference w:id="126"/>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When we turn our attention to modern society, so distant from the hunter-gatherer life in terms of chronology, technology, culture, and behavior, at first glance, we may believe that both are entirely different realities. This perception is as simplistic as false. On the one hand, the chronological difference of approximately 12,000 years is irrelevant in evolutionary and genetic terms, when compared with 150,000 years of behavioral stability of the Paleolithic. On the other hand, and as far as moral behavior is concerned, we can find in any period of modern human life the persistence of the same basic prehistoric moral tenets expressed as social behaviors or as “desiderata.”</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We should ever consider social and cultural desiderata in any analysis of adaptive moral processes because they transport the same ethical content than behavior does. Behavior is an active practice; social and cultural desiderata are the persistent essence of the human cognition about behaving. The semiotic content and structure of our cultural desiderata are complex and aggregate to our collective unconscious the same way that the moral behavioral tenets are. Both are archetypal universal elements, and we can find in both of them the traces and roots of our archaic morality. Consequently, we </w:t>
      </w:r>
      <w:r w:rsidRPr="004F4E91">
        <w:rPr>
          <w:rFonts w:ascii="Century Gothic" w:hAnsi="Century Gothic"/>
          <w:sz w:val="20"/>
          <w:szCs w:val="20"/>
          <w:lang w:val="en-US"/>
        </w:rPr>
        <w:lastRenderedPageBreak/>
        <w:t>admit that human morality is universal, that its content is composed of archetypes and expressed through behaviors and desiderata.</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 Attachment Theory considers the value of these semiotic contents in social adaptation, as Hinde exposes:</w:t>
      </w:r>
    </w:p>
    <w:p w:rsidR="008D0320" w:rsidRPr="004F4E91" w:rsidRDefault="008D0320" w:rsidP="008D0320">
      <w:pPr>
        <w:spacing w:line="240" w:lineRule="auto"/>
        <w:ind w:left="964"/>
        <w:jc w:val="both"/>
        <w:rPr>
          <w:rFonts w:ascii="Century Gothic" w:hAnsi="Century Gothic"/>
          <w:sz w:val="20"/>
          <w:szCs w:val="20"/>
          <w:lang w:val="en-US"/>
        </w:rPr>
      </w:pPr>
      <w:r w:rsidRPr="004F4E91">
        <w:rPr>
          <w:rFonts w:ascii="Century Gothic" w:hAnsi="Century Gothic"/>
          <w:sz w:val="20"/>
          <w:szCs w:val="20"/>
          <w:lang w:val="en-US"/>
        </w:rPr>
        <w:t>Attachment theory is based in part on biological considerations concerned with the selective forces that probably acted in our environment of evolutionary adaptedness. This functional approach poses questions seldom addressed by developmentalists – for instance, why are humans so constructed that particular childhood experiences have particular outcomes? Today much behaviour is directed towards goals other than the maximization of inclusive fitness. This fact poses a number of questions about the relations between biological and cultural desiderata and the methods for assessing attachment. Finally, the relations of biological and cultural desiderata to the individual desideratum of psychological well-being are considered.</w:t>
      </w:r>
      <w:r w:rsidRPr="004F4E91">
        <w:rPr>
          <w:rFonts w:ascii="Century Gothic" w:hAnsi="Century Gothic"/>
          <w:sz w:val="14"/>
          <w:szCs w:val="20"/>
        </w:rPr>
        <w:footnoteReference w:id="127"/>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Thus, we argue that the day by day of moral behaviors in modern society, aggregating elements of many different time-space situations, does not change its prehistoric foundations and is limited to necessary adaptations of the society experiencing new technologies, new scientific knowledge, many religious, economic and political </w:t>
      </w:r>
      <w:r w:rsidRPr="004F4E91">
        <w:rPr>
          <w:rFonts w:ascii="Century Gothic" w:hAnsi="Century Gothic"/>
          <w:sz w:val="20"/>
          <w:szCs w:val="20"/>
          <w:lang w:val="en-US"/>
        </w:rPr>
        <w:lastRenderedPageBreak/>
        <w:t>evolutional influences, cultural acquisitions and losses. These changes are superficial and generally related to limited and circumstantial features of moral behavior.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 could not identify through our researches any adaptive and stable moral behavioral introduced by modern humans, which could be able to change or eliminate any of the tenets we listed above.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However, we should take into account that modern society, with its continuous and progressive complexity, frequently deviates behaviorally to counter evolutionary situations through the adoption of practices and concepts contravening our original moral tenets. These contraventions are not adaptive changes nor the relative cultural evolution of the moral system. They are just contraventions, behaviors offending the foundations of human morality, a counter evolutionary context of a pathological social state.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Many times in many places, modern humans attempt to impose egoism, violence, competition, domination, discrimination, possession, war, cruelty, and despair. They even attempt to model an unfeasible and gammy society. All these attempts, meaning counter evolutionary behaviors, prevail for a very short historical period, after which course the foundations of human morality outcrop from our collective unconscious, where they live for uncountable millennia.</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Indeed, in a generalized context, we observed that these deflections do not have the capacitance to become aggregate by the collective unconscious, just because they correspond to social behaviors in the benefit of certain groups in the detriment of others, rather than an evolutionary element to be incorporated to the human genome.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In many cases, the social process defeats with cultural instruments some of these deflections. This reaction is the </w:t>
      </w:r>
      <w:r w:rsidR="000A790F">
        <w:rPr>
          <w:rFonts w:ascii="Century Gothic" w:hAnsi="Century Gothic"/>
          <w:sz w:val="20"/>
          <w:szCs w:val="20"/>
          <w:lang w:val="en-US"/>
        </w:rPr>
        <w:t>primary</w:t>
      </w:r>
      <w:r w:rsidRPr="004F4E91">
        <w:rPr>
          <w:rFonts w:ascii="Century Gothic" w:hAnsi="Century Gothic"/>
          <w:sz w:val="20"/>
          <w:szCs w:val="20"/>
          <w:lang w:val="en-US"/>
        </w:rPr>
        <w:t xml:space="preserve"> content of what we call “counter cultures,” meaning them the social response against a dominant culture sheltering counter evolutionary moral practices. In some other cases, the reaction could be more complex than counter-cultural actions, but they are equally inevitable because the evolutionary process is determinant.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Very curiously, in the popular culture some changes made in the modern moral systems are taken into account as an evolutionary event, a developmental episode or a substantial modernization of the social behavior when, in fact, they are just the restoration of a primitive moral tenet after the failure of systematic attempts to offend or denying it.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 offer two contemporary contexts: slavery and sexuality.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When the modern world abolished the last traces of slavery in North and South America, the fact was celebrated as a </w:t>
      </w:r>
      <w:r w:rsidR="000A790F">
        <w:rPr>
          <w:rFonts w:ascii="Century Gothic" w:hAnsi="Century Gothic"/>
          <w:sz w:val="20"/>
          <w:szCs w:val="20"/>
          <w:lang w:val="en-US"/>
        </w:rPr>
        <w:t>significan</w:t>
      </w:r>
      <w:r w:rsidRPr="004F4E91">
        <w:rPr>
          <w:rFonts w:ascii="Century Gothic" w:hAnsi="Century Gothic"/>
          <w:sz w:val="20"/>
          <w:szCs w:val="20"/>
          <w:lang w:val="en-US"/>
        </w:rPr>
        <w:t xml:space="preserve">t social advance, welcome modernity arriving from the last stages of human evolution. This </w:t>
      </w:r>
      <w:r w:rsidR="000A790F">
        <w:rPr>
          <w:rFonts w:ascii="Century Gothic" w:hAnsi="Century Gothic"/>
          <w:sz w:val="20"/>
          <w:szCs w:val="20"/>
          <w:lang w:val="en-US"/>
        </w:rPr>
        <w:t xml:space="preserve">interpretation </w:t>
      </w:r>
      <w:r w:rsidRPr="004F4E91">
        <w:rPr>
          <w:rFonts w:ascii="Century Gothic" w:hAnsi="Century Gothic"/>
          <w:sz w:val="20"/>
          <w:szCs w:val="20"/>
          <w:lang w:val="en-US"/>
        </w:rPr>
        <w:t>is entirely wrong. Slavery was unknown by the Paleolithic societies and obviously contravened the structure of the Paleolithic moral system engraved in our genes, which was based on equality and collaboration.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Slavery was introduced by the modern man and corresponded to the denial of several ancestral moral behaviors. This practice failed in its purposes and became the opposite of modernity and evolution, up to the point where its banishment became a condition to the continuity of the human social experience. This banishment did not represent the advances of modern humans, but the return to our original moral system after many disasters caused by its infringement.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The same applies to the “sexual revolution” of the 60s’, the feminist movements since the beginning of the 20th Century, and the LGTBI movements and conquers. The results of these movements considered the “evolution of the new moral” are, in fact, the “return to the </w:t>
      </w:r>
      <w:r w:rsidR="000A790F">
        <w:rPr>
          <w:rFonts w:ascii="Century Gothic" w:hAnsi="Century Gothic"/>
          <w:sz w:val="20"/>
          <w:szCs w:val="20"/>
          <w:lang w:val="en-US"/>
        </w:rPr>
        <w:t>ancient</w:t>
      </w:r>
      <w:r w:rsidRPr="004F4E91">
        <w:rPr>
          <w:rFonts w:ascii="Century Gothic" w:hAnsi="Century Gothic"/>
          <w:sz w:val="20"/>
          <w:szCs w:val="20"/>
          <w:lang w:val="en-US"/>
        </w:rPr>
        <w:t xml:space="preserve"> moral system” from 150,000 years ago, because sexuality and gender options were not properly a problem in Paleolithic society. These themes became a modern moral problem because of modern discrimination and oppression, mostly arriving from contemporary religious, political, and economic actions.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These movements against sexual behavioral discrimination succeeded in a very short elapse of time just because discrimination and oppression are not a part of our genome as moral behaviors, being its abolishment acceptable by society as a whole.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All severe denial or offense to our original moral system introduced by the modern humans had for result, violence, pain, misery, hate, inequality, ugliness, and death. They were the opposite of evolution, and for these reasons, did not succeed as a behavioral model and never have been accepted as a cultural identity.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Therefore, we claim that the behavioral and social-economic problems of modern civilization are a dialectic confrontation between counter evolutionary models and the human genetic moral foundations. If the theorists of the “Game Theory” (as the brilliant John Maynard Smith) are right, and if the theory is somehow applicable to moral processes of decision, for sure, the modern players are doing the wrong play. The immediate pay-off of some individuals and groups could be </w:t>
      </w:r>
      <w:r w:rsidR="000A790F">
        <w:rPr>
          <w:rFonts w:ascii="Century Gothic" w:hAnsi="Century Gothic"/>
          <w:sz w:val="20"/>
          <w:szCs w:val="20"/>
          <w:lang w:val="en-US"/>
        </w:rPr>
        <w:t>advantageous</w:t>
      </w:r>
      <w:r w:rsidRPr="004F4E91">
        <w:rPr>
          <w:rFonts w:ascii="Century Gothic" w:hAnsi="Century Gothic"/>
          <w:sz w:val="20"/>
          <w:szCs w:val="20"/>
          <w:lang w:val="en-US"/>
        </w:rPr>
        <w:t xml:space="preserve"> in a short time, but the table on which they play the game is under severe risk.</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In this context, Philosophy should play a relevant role for a better understanding of human social nature and behavior. Unfortunately, we cannot say that this is true.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All the Social and Political Philosophy, from ancient Greece to the present days, is just a collection of conflictive, superficial, and useless essays on the severe problems arising from the deviations of our genetic moral system. Philosophy thinking faces these severe problems passively, understanding them as a contextual circumstance of the modern human, which should be accepted as reality and somehow justified and organized.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Alongside its history, Political Philosophy and its theorists, in one or other ways: (i) justified or ignored slavery and misery, (ii) justified inequality, stimulated unlimited competition and possession, (iii) supposed imaginary social contracts supporting and regulating exclusion, domination, and injustice, (iv) justified or silently assisted the stupidity of war, violence and domination, genocide, torture and human submission for religious, political and economic reasons, (v)  Accepted and stimulated colonialism in the benefit of dominant societies, (vii) proposed that the value of human existence could be calculated by an equation of the relations cost-benefit, (viii) proposed violent conflicts of classes and a totalitarian state, eliminating liberty and free will, to deal with inequality, (ix) disseminated the belief that a magic and invisible hand would take care of sculpting social justice, (x) turned its attention away from the extreme misery and human suffering.</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Western Social and Political Philosophy has always been passive and sterile spectators of the human tragedy and did not yet understand, </w:t>
      </w:r>
      <w:r w:rsidR="000A790F">
        <w:rPr>
          <w:rFonts w:ascii="Century Gothic" w:hAnsi="Century Gothic"/>
          <w:sz w:val="20"/>
          <w:szCs w:val="20"/>
          <w:lang w:val="en-US"/>
        </w:rPr>
        <w:t>clearly and simply</w:t>
      </w:r>
      <w:r w:rsidRPr="004F4E91">
        <w:rPr>
          <w:rFonts w:ascii="Century Gothic" w:hAnsi="Century Gothic"/>
          <w:sz w:val="20"/>
          <w:szCs w:val="20"/>
          <w:lang w:val="en-US"/>
        </w:rPr>
        <w:t>, the essence of all universal thinking: the meaning of humanity and the intrinsic cosmologic value of life.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There is no Philosophy without Cosmology. Without cosmological foundations, “Philosophy is dead.” </w:t>
      </w:r>
      <w:r w:rsidRPr="004F4E91">
        <w:rPr>
          <w:rFonts w:ascii="Century Gothic" w:hAnsi="Century Gothic"/>
          <w:sz w:val="14"/>
          <w:szCs w:val="20"/>
        </w:rPr>
        <w:footnoteReference w:id="128"/>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In this confrontation between evolution, egoism, and blindness, for sure, evolution will prevail, even though this could mean the extinction of our species, once evolution is a cosmologic process, rather than a human phenomenon, and will prosecute with or without humans. On the other hand, the Homo sapiens will not survive without biological and social adaptation to the evolutionary process.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 We want to close this work repeating the same quotation used on the first page:</w:t>
      </w:r>
    </w:p>
    <w:p w:rsidR="008D0320" w:rsidRPr="004F4E91" w:rsidRDefault="008D0320" w:rsidP="008D0320">
      <w:pPr>
        <w:spacing w:line="240" w:lineRule="auto"/>
        <w:ind w:left="964"/>
        <w:jc w:val="both"/>
        <w:rPr>
          <w:rFonts w:ascii="Century Gothic" w:hAnsi="Century Gothic"/>
          <w:b/>
          <w:sz w:val="20"/>
          <w:szCs w:val="20"/>
          <w:lang w:val="en-US"/>
        </w:rPr>
      </w:pPr>
      <w:r w:rsidRPr="004F4E91">
        <w:rPr>
          <w:rFonts w:ascii="Century Gothic" w:hAnsi="Century Gothic"/>
          <w:b/>
          <w:sz w:val="20"/>
          <w:szCs w:val="20"/>
          <w:lang w:val="en-US"/>
        </w:rPr>
        <w:t xml:space="preserve"> “Evolution is a process that involves blind variation and selective retention.”</w:t>
      </w:r>
      <w:r w:rsidRPr="004F4E91">
        <w:rPr>
          <w:rFonts w:ascii="Century Gothic" w:hAnsi="Century Gothic"/>
          <w:sz w:val="14"/>
          <w:szCs w:val="20"/>
        </w:rPr>
        <w:footnoteReference w:id="129"/>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center"/>
        <w:rPr>
          <w:rFonts w:ascii="Copperplate Gothic Bold" w:hAnsi="Copperplate Gothic Bold"/>
          <w:sz w:val="32"/>
          <w:szCs w:val="32"/>
          <w:lang w:val="en-US"/>
        </w:rPr>
      </w:pPr>
      <w:r w:rsidRPr="004F4E91">
        <w:rPr>
          <w:rFonts w:ascii="Copperplate Gothic Bold" w:hAnsi="Copperplate Gothic Bold"/>
          <w:sz w:val="32"/>
          <w:szCs w:val="32"/>
          <w:lang w:val="en-US"/>
        </w:rPr>
        <w:t>TABLES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center"/>
        <w:rPr>
          <w:rFonts w:ascii="Century Gothic" w:hAnsi="Century Gothic"/>
          <w:b/>
          <w:sz w:val="20"/>
          <w:szCs w:val="20"/>
          <w:lang w:val="en-US"/>
        </w:rPr>
      </w:pPr>
      <w:r w:rsidRPr="004F4E91">
        <w:rPr>
          <w:rFonts w:ascii="Century Gothic" w:hAnsi="Century Gothic"/>
          <w:b/>
          <w:sz w:val="20"/>
          <w:szCs w:val="20"/>
          <w:lang w:val="en-US"/>
        </w:rPr>
        <w:lastRenderedPageBreak/>
        <w:t>TABLE 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Traits Used to Identify Modern Human Behavior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(From  Christopher S. Henshilwood and Curtis W. Marean - The Origin of Modern Human Behavior  - Critique of the Models and Their Test Implications – apud Current Anthropology Volume 44, Number 5, December 2003 by The Wenner-Gren Foundation for Anthropological Research – pg.628. )</w:t>
      </w:r>
    </w:p>
    <w:p w:rsidR="008D0320" w:rsidRPr="004F4E91" w:rsidRDefault="008D0320" w:rsidP="008D0320">
      <w:pPr>
        <w:spacing w:line="240" w:lineRule="auto"/>
        <w:jc w:val="both"/>
        <w:rPr>
          <w:rFonts w:ascii="Century Gothic" w:hAnsi="Century Gothic"/>
          <w:sz w:val="20"/>
          <w:szCs w:val="20"/>
          <w:lang w:val="en-US"/>
        </w:rPr>
      </w:pPr>
    </w:p>
    <w:tbl>
      <w:tblPr>
        <w:tblStyle w:val="Tabelacomgrade"/>
        <w:tblpPr w:leftFromText="141" w:rightFromText="141" w:vertAnchor="text" w:horzAnchor="margin" w:tblpY="359"/>
        <w:tblW w:w="0" w:type="auto"/>
        <w:tblLook w:val="04A0" w:firstRow="1" w:lastRow="0" w:firstColumn="1" w:lastColumn="0" w:noHBand="0" w:noVBand="1"/>
      </w:tblPr>
      <w:tblGrid>
        <w:gridCol w:w="2877"/>
        <w:gridCol w:w="2782"/>
      </w:tblGrid>
      <w:tr w:rsidR="008D0320" w:rsidRPr="001620ED" w:rsidTr="008D0320">
        <w:tc>
          <w:tcPr>
            <w:tcW w:w="3099"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Seasonally focused mobility strategies</w:t>
            </w:r>
          </w:p>
        </w:tc>
        <w:tc>
          <w:tcPr>
            <w:tcW w:w="3013"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Klein (1994, 1995), Klein, Cruz-Uribe, and Skinner (1999), Milo(1998), Soffer (1989)</w:t>
            </w:r>
          </w:p>
        </w:tc>
      </w:tr>
      <w:tr w:rsidR="008D0320" w:rsidRPr="001620ED" w:rsidTr="008D0320">
        <w:tc>
          <w:tcPr>
            <w:tcW w:w="3099"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Use of harsh environments</w:t>
            </w:r>
          </w:p>
        </w:tc>
        <w:tc>
          <w:tcPr>
            <w:tcW w:w="3013"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Ambrose and Lorenz (1990), Deacon (1989), Foley(1998), Gamble (1994), Klein (1994, 1995), Mellars (1989a)</w:t>
            </w:r>
          </w:p>
        </w:tc>
      </w:tr>
      <w:tr w:rsidR="008D0320" w:rsidRPr="004F4E91" w:rsidTr="008D0320">
        <w:tc>
          <w:tcPr>
            <w:tcW w:w="3099"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Fishing and fowling</w:t>
            </w:r>
          </w:p>
        </w:tc>
        <w:tc>
          <w:tcPr>
            <w:tcW w:w="3013"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Deacon (1989), Klein (1995), Milo (1998), Thackeray (1992)</w:t>
            </w:r>
          </w:p>
        </w:tc>
      </w:tr>
    </w:tbl>
    <w:p w:rsidR="008D0320" w:rsidRPr="004F4E91" w:rsidRDefault="008D0320" w:rsidP="008D0320">
      <w:pPr>
        <w:spacing w:line="240" w:lineRule="auto"/>
        <w:jc w:val="both"/>
        <w:rPr>
          <w:rFonts w:ascii="Century Gothic" w:hAnsi="Century Gothic"/>
          <w:sz w:val="20"/>
          <w:szCs w:val="20"/>
        </w:rPr>
      </w:pPr>
      <w:r w:rsidRPr="004F4E91">
        <w:rPr>
          <w:rFonts w:ascii="Century Gothic" w:hAnsi="Century Gothic"/>
          <w:sz w:val="20"/>
          <w:szCs w:val="20"/>
        </w:rPr>
        <w:t xml:space="preserve">             Trait                                               Reference</w:t>
      </w:r>
    </w:p>
    <w:p w:rsidR="008D0320" w:rsidRPr="004F4E91" w:rsidRDefault="008D0320" w:rsidP="008D0320">
      <w:pPr>
        <w:spacing w:line="240" w:lineRule="auto"/>
        <w:jc w:val="both"/>
        <w:rPr>
          <w:rFonts w:ascii="Century Gothic" w:hAnsi="Century Gothic"/>
          <w:sz w:val="20"/>
          <w:szCs w:val="20"/>
        </w:rPr>
      </w:pPr>
    </w:p>
    <w:tbl>
      <w:tblPr>
        <w:tblStyle w:val="Tabelacomgrade"/>
        <w:tblpPr w:leftFromText="141" w:rightFromText="141" w:vertAnchor="text" w:horzAnchor="margin" w:tblpY="359"/>
        <w:tblW w:w="0" w:type="auto"/>
        <w:tblLook w:val="04A0" w:firstRow="1" w:lastRow="0" w:firstColumn="1" w:lastColumn="0" w:noHBand="0" w:noVBand="1"/>
      </w:tblPr>
      <w:tblGrid>
        <w:gridCol w:w="2808"/>
        <w:gridCol w:w="2851"/>
      </w:tblGrid>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 xml:space="preserve">Art, ornamentation, and decoration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Chase and Dibble (1990), Deacon (2001), Klein(1995), Mellars (1989a, b), Milo (1998), Renfrew (1996), Thackeray</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 xml:space="preserve">The symbolic use of ochre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 xml:space="preserve">Chase and Dibble (1987), Clark (1989), Deacon </w:t>
            </w:r>
            <w:r w:rsidRPr="004F4E91">
              <w:rPr>
                <w:rFonts w:ascii="Century Gothic" w:hAnsi="Century Gothic"/>
                <w:sz w:val="20"/>
                <w:szCs w:val="20"/>
                <w:lang w:val="en-US"/>
              </w:rPr>
              <w:lastRenderedPageBreak/>
              <w:t>(2001), Klein (1995), Knight, Powers, and Watts (1995), Mellars (1989a, 1996), Watts</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lastRenderedPageBreak/>
              <w:t xml:space="preserve">Worked bone and antler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Clark (1989), Deacon (1989, 2001), Gibson (1996), Klein (1995), Knight, Powers, and Watts (1995), Mellars (1989a, b,1996), Milo (1998), Thackeray (1992)</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 xml:space="preserve">Blade technology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and Lorenz (1990), Clark (Wurz (1996), Foley and Lahr (1997), Mellars (1989a, b), Thackeray(1992)</w:t>
            </w:r>
          </w:p>
        </w:tc>
      </w:tr>
      <w:tr w:rsidR="008D0320" w:rsidRPr="004F4E91"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Standardization of artifact types</w:t>
            </w:r>
          </w:p>
        </w:tc>
        <w:tc>
          <w:tcPr>
            <w:tcW w:w="3074"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Klein (1995), Mellars (1989b, 1996)</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 xml:space="preserve">Artifact diversity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Ambrose and Lorenz (1990), Deacon (2001), Klein(1995), Knight, Powers, and Watts (1995), Mellars (1989a, b, 1996), Milo (1998), Thackeray (1992)</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 xml:space="preserve">Complex hearth construction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Barham (1996), DDeacon (1999), Gamble (1994), Klein (1995), Mellars (1989a)</w:t>
            </w:r>
          </w:p>
        </w:tc>
      </w:tr>
      <w:tr w:rsidR="008D0320" w:rsidRPr="001620ED" w:rsidTr="008D0320">
        <w:tc>
          <w:tcPr>
            <w:tcW w:w="3038"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Organized use of domestic space</w:t>
            </w: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Deacon (2001), Klein (1995), Mellars (1989a)</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t xml:space="preserve">Expanded exchange networks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Ambrose (1998), Ambrose and Lorenz (1990), Deacon (1989, 2001),Deacon and Wurz (1996), Klein (1995)</w:t>
            </w:r>
          </w:p>
        </w:tc>
      </w:tr>
      <w:tr w:rsidR="008D0320" w:rsidRPr="001620ED" w:rsidTr="008D0320">
        <w:tc>
          <w:tcPr>
            <w:tcW w:w="3038" w:type="dxa"/>
          </w:tcPr>
          <w:p w:rsidR="008D0320" w:rsidRPr="004F4E91" w:rsidRDefault="008D0320" w:rsidP="008D0320">
            <w:pPr>
              <w:jc w:val="both"/>
              <w:rPr>
                <w:rFonts w:ascii="Century Gothic" w:hAnsi="Century Gothic"/>
                <w:sz w:val="20"/>
                <w:szCs w:val="20"/>
              </w:rPr>
            </w:pPr>
            <w:r w:rsidRPr="004F4E91">
              <w:rPr>
                <w:rFonts w:ascii="Century Gothic" w:hAnsi="Century Gothic"/>
                <w:sz w:val="20"/>
                <w:szCs w:val="20"/>
              </w:rPr>
              <w:lastRenderedPageBreak/>
              <w:t xml:space="preserve">Effective large-mammal exploitation </w:t>
            </w:r>
          </w:p>
          <w:p w:rsidR="008D0320" w:rsidRPr="004F4E91" w:rsidRDefault="008D0320" w:rsidP="008D0320">
            <w:pPr>
              <w:jc w:val="both"/>
              <w:rPr>
                <w:rFonts w:ascii="Century Gothic" w:hAnsi="Century Gothic"/>
                <w:sz w:val="20"/>
                <w:szCs w:val="20"/>
              </w:rPr>
            </w:pPr>
          </w:p>
        </w:tc>
        <w:tc>
          <w:tcPr>
            <w:tcW w:w="3074" w:type="dxa"/>
          </w:tcPr>
          <w:p w:rsidR="008D0320" w:rsidRPr="004F4E91" w:rsidRDefault="008D0320" w:rsidP="008D0320">
            <w:pPr>
              <w:jc w:val="both"/>
              <w:rPr>
                <w:rFonts w:ascii="Century Gothic" w:hAnsi="Century Gothic"/>
                <w:sz w:val="20"/>
                <w:szCs w:val="20"/>
                <w:lang w:val="en-US"/>
              </w:rPr>
            </w:pPr>
            <w:r w:rsidRPr="004F4E91">
              <w:rPr>
                <w:rFonts w:ascii="Century Gothic" w:hAnsi="Century Gothic"/>
                <w:sz w:val="20"/>
                <w:szCs w:val="20"/>
                <w:lang w:val="en-US"/>
              </w:rPr>
              <w:t>Binford (1984, 1985), Klein (2001), Marean (1998), Marean and Assefa(1999), Mellars (1989a), Milo (1998), Thackeray (1992)</w:t>
            </w:r>
          </w:p>
        </w:tc>
      </w:tr>
    </w:tbl>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rPr>
      </w:pPr>
      <w:r w:rsidRPr="004F4E91">
        <w:rPr>
          <w:rFonts w:ascii="Century Gothic" w:hAnsi="Century Gothic"/>
          <w:sz w:val="20"/>
          <w:szCs w:val="20"/>
        </w:rPr>
        <w:object w:dxaOrig="6134" w:dyaOrig="9212">
          <v:shape id="_x0000_i1025" type="#_x0000_t75" style="width:306.5pt;height:460.5pt" o:ole="">
            <v:imagedata r:id="rId60" o:title=""/>
          </v:shape>
          <o:OLEObject Type="Embed" ProgID="Photoshop.Image.13" ShapeID="_x0000_i1025" DrawAspect="Content" ObjectID="_1638819406" r:id="rId61">
            <o:FieldCodes>\s</o:FieldCodes>
          </o:OLEObject>
        </w:object>
      </w:r>
    </w:p>
    <w:p w:rsidR="008D0320" w:rsidRPr="004F4E91" w:rsidRDefault="008D0320" w:rsidP="008D0320">
      <w:pPr>
        <w:spacing w:line="240" w:lineRule="auto"/>
        <w:jc w:val="both"/>
        <w:rPr>
          <w:rFonts w:ascii="Century Gothic" w:hAnsi="Century Gothic"/>
          <w:sz w:val="20"/>
          <w:szCs w:val="20"/>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TABLE 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From Ferraro, J. V. (2012) A Primer on Paleolithic Technology. Nature Education Knowledge 4(2):9</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center"/>
        <w:rPr>
          <w:rFonts w:ascii="Copperplate Gothic Bold" w:hAnsi="Copperplate Gothic Bold"/>
          <w:sz w:val="32"/>
          <w:szCs w:val="32"/>
          <w:lang w:val="en-US"/>
        </w:rPr>
      </w:pPr>
      <w:r w:rsidRPr="004F4E91">
        <w:rPr>
          <w:rFonts w:ascii="Copperplate Gothic Bold" w:hAnsi="Copperplate Gothic Bold"/>
          <w:sz w:val="32"/>
          <w:szCs w:val="32"/>
          <w:lang w:val="en-US"/>
        </w:rPr>
        <w:t>BIBLIOGRAPHY AND REFERENCES</w:t>
      </w:r>
    </w:p>
    <w:p w:rsidR="008D0320" w:rsidRPr="004F4E91" w:rsidRDefault="008D0320" w:rsidP="008D0320">
      <w:pPr>
        <w:spacing w:line="240" w:lineRule="auto"/>
        <w:jc w:val="center"/>
        <w:rPr>
          <w:rFonts w:ascii="Copperplate Gothic Bold" w:hAnsi="Copperplate Gothic Bold"/>
          <w:sz w:val="32"/>
          <w:szCs w:val="32"/>
          <w:lang w:val="en-US"/>
        </w:rPr>
      </w:pPr>
      <w:r w:rsidRPr="004F4E91">
        <w:rPr>
          <w:rFonts w:ascii="Copperplate Gothic Bold" w:hAnsi="Copperplate Gothic Bold"/>
          <w:sz w:val="32"/>
          <w:szCs w:val="32"/>
          <w:lang w:val="en-US"/>
        </w:rPr>
        <w:t>(In alphabetical order)</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A</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Abdullah Sliti (2014) “Islamic Ethics: Divine Command Theory in Arabo-Islamic Thought, Islam and Christian–Muslim Relations,” 25:1, 132-134, DOI: 10.1080/09596410.2013.842089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Adams, Robert M. (1987).” The Virtue of Faith and Other Essays in Philosophical Theology”. New York: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Adams, Robert M. (1999). “Finite and Infinite Goods.” New York: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Airoboman, Felix Ayemere  – (2017) “A Critical Reflection on Divine Command Theory of Morality.”Ewanlen. A Journal of Philosophical Inquiry https://www.academia.edu/36768829/3.</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Al-Attar, Mariam. (2010).” Islamic Ethics: Divine Command Theory in Arabo-Islamic Thought”. Routledge; 1 edition.ISBN-10: 0415555191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Alen, S – (2015) “Language and Spiritual culture in Old stone age” – inhttps://www.shorthistory.org/prehistory/language-and-spiritual-culture-in-old-stone-age/ - retrieved Mar,11- 2019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Alston, William P. (1989). Epistemic Justification: Essays in the Theory of Knowledge. Cornell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Armstrong, David (1973). Belief, Truth, and Knowledge. CUP Archive, 1973-p ISBN0521097371, 9780521097376</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Austin, Michael W. “Divine Command Theory” -in Internet Encyclopedia of Philosophy –https://www.iep.utm.edu/divine-c/#H7- retrieved Aug.18, 2018</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B</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Balter, Michael (2008) - “Prehistoric Family Values” - in https://www.sciencemag.org/news/2008/11/prehistoric-family-values – retrieved Dec.12 - 2018</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Bentham, Jeremy (1948) – “An Introduction to the Principles of Morals and Legislation” – New York, Hafner Publishing Co. 1948 - Chapter 1 - Of the Principle of Utility.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Birch, Jonathan (2017) Book review: Michael Tomasello // “A natural history of human morality.” British Journal for the Philosophy of Science - Review of Books. ISSN 0007-0882.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Blatner, Adam, M.D –(2019) “The Relevance of the Concept of Arqchetype” - </w:t>
      </w:r>
      <w:r w:rsidRPr="004F4E91">
        <w:rPr>
          <w:rFonts w:ascii="Century Gothic" w:hAnsi="Century Gothic"/>
          <w:sz w:val="20"/>
          <w:szCs w:val="20"/>
          <w:lang w:val="en-US"/>
        </w:rPr>
        <w:lastRenderedPageBreak/>
        <w:t xml:space="preserve">https://www.blatner.com/adam/level2/archetype.htm - retrieved on May, 14 -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Boehm, Christopher ( 2017)– “Prehistoric Capital Punishment and Parallel Evolutionary Effects” - Minding Nature: Spring, Volume 10, Number 2, in https://www.humansandnature.org/prehistoric-capital-punishment-and-parallel-evolutionary-effects -   retrieved mar,11 - 2019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Bohem, Christopher(2012) “Moral Origins: The Evolution of Altruism, Shame, and Virtue” -New York: Basic Books.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Boehm, Christopher (2014) “The Moral Consequences of Social Selection,” - Behaviour (JO)171 (2014): 167-83. 10.1163/1568539X-00003143</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Bohem, Christopher (2017)– “Prehistoric Capital Punishment and Parallel Evolutionary Effects “- Minding Nature: Spring 2017, Volume 10, Number 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BonJour, Laurence (1985). The Structure of Empirical Knowledge. Cambridge, MA: Harvard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Boyd, Richard (1988).  In G. Sayre-McCord (ed.), Essays on Moral Realism. Cornell University Press. pp. 181-228 (1988)</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Breed, Michael D., and Moore, Janice (2011) “Animal Behavior” - Academic Press; 1 edition ISBN-10: 012372581X - ISBN-13: 978-0123725813</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Brink David O, - “Moral Realism and the Foundations of Ethics” – Cambridge Studies in Philosophy – Cambridge University Press –ISBN 0 52135937.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Buchanan A, R Powell – (2015). “The limits of evolutionary explanations of morality and their implications for moral progress.” Ethics.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 xml:space="preserve">Burkart J. M., Hrdy S. B., Schaik C. P. V. (2009). “Cooperative breeding and human cognitive evolution.” Evol. Anthropol. 18, 175–18610.1002/evan.20222 (doi:10.1002/evan.20222)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Brune, M., and Brunecohrs, U. (2006). “Theory Of Mind—Evolution, Ontogeny, Brain Mechanisms, And Psychopathology.” Neuroscience &amp; Biobehavioral Reviews, 30:437-455.</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C</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Cahn, Steven, M. (2012) Exploring Philosophy: An Introduction Anthology. New York, Oxford: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Campbell, T.D. (1965) “Variation and Selective Retention in socio-cultural Evolution,” apud H.R. Barringer, B.I. Blanksten, and R.W. Mack, eds., Social Change in Developing AreasNew York: Schenkman.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Changeux, J.P. (1985) Neuronal Man: The Biology of Mind. Oxford: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Chisholm, Roderick (1966). Theory of Knowledge, Englewood Cliffs, NJ: Prentice-Hall.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Churchland, Patricia S. (2014)“Touching a Nerve: Our Brains, Our Selves” - W. W. Norton &amp; Company –ISBN-10: 0393349446 / ISBN-13: 978-0393349443</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Clarke, R. ( 2003) “Incompatibilism.” In: CLARKE, R. Libertarian Accounts of Free Will. Oxford University Press, p. 3-14.</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Clark J. D. (2001). “Variability in primary and secondary technologies of the Later Acheulian in Africa.” In A very </w:t>
      </w:r>
      <w:r w:rsidRPr="004F4E91">
        <w:rPr>
          <w:rFonts w:ascii="Century Gothic" w:hAnsi="Century Gothic"/>
          <w:sz w:val="20"/>
          <w:szCs w:val="20"/>
          <w:lang w:val="en-US"/>
        </w:rPr>
        <w:lastRenderedPageBreak/>
        <w:t xml:space="preserve">remote period indeed: papers on the Palaeolithic presented to Derek Roe (eds Miliken S., Cook J., editors. ), pp. 1–18 Oakville, CT: Oxbow Books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Clottes, Jean, and David Lewis-Williams.(1998) “The Shamans of Prehistory: Trance and Magic in the Painted Caves.” New York: Harry Abrams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Cohen, L. J. (1986): The Dialogue of Reason: An Analysis of Analytical Philosophy, Oxford: Clarendon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Collingwood, R.G. (2014) “An Essay on Philosophical Method” - Martino Fine Books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Conkle, D. O. (2000) “The Path of American Religious Liberty: From the Original Theology to Formal Neutrality and an Uncertain Future.” Indiana Law Journal, vol. 75, no. 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Crowe, M. B., (1977) “The Changing Profile of the Natural Law,” The Hague: Nijhoff.</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D</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Delagnes, A., Roche H. (2005). “Late Pliocene hominid knapping skills: the case of Lokalalei 2C, West Turkana, Kenya”. J. Hum. Evol. 48, 435–47210.1016/j.jhevol.2004.12.005 (doi:10.1016/j.jhevol.2004.12.005)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Danaher, J. SOPHIA (2017). “In Defence of the Epistemological Objection to Divine Command Theory”- First Online19 October 2017 – DOI https://doi.org/10.1007/s11841-017-0622-9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Darwall, Stephen (2006). “The Second-Person Standpoint: Morality, Respect, and Accountability,” Cambridge, Massachusetts: Harvard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Darwin, Charles (1871). “The Descent of Man, and Selection in Relation to Sex,” London-John Murray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Despain, David – “Early Humans Used Brain Power, Innovation and Teamwork to Dominate the Planet” in Scientific American – in https://www.scientificamerican.com/article/humans-brain-power-origins/ - retrieved on Aug 03,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Donagan, Alan. (1977). “The Theory of Morality.” Chicago: The University of Chicago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Donald, M. (2009) ‘The Roots of Art and Religion in Ancient Material Culture,’ in Renfrew, C &amp; Morley, apud Ambrose, Darren – “The Affectivity of Prehistoric Art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(Part 2)” in https://dcambrose.com/philosophy/the-affectivity-of-prehistoric-art-part-2/ - retrieved Apr.21,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Dyson, L., Stephen &amp; M. Gero, Joan &amp; Conkey, Margaret. (1992).” Engendering Archaeology: Women and Prehistory”. Journal of Interdisciplinary History. 23. 309. 10.2307/205279.</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E</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“Ethics According To Immanuel Kant - Ethics Sage.” (n.d.). Retrieved from https://www.ethicssage.com/2017/05/ethics-according-to-immanuel-kant.html.Jun, 16-2019</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t>F</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Fagan, Brian M – (1998) “From Black Land to Fifth Sun: The Science of Sacred Sites” –ISBN 0-20195991-7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Fehr, E., &amp; Fischbacher, U. (2003).” The Nature of Human Altruism”. Nature 425:785-791.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Ferraro, J. V. (2012) “A Primer on Paleolithic Technology.” Nature Education Knowledge 4(2):9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Finer, S. E. (1999) “The History of Government: The Intermediate Ages,” Oxford: Oxford UniversityPress.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Francisco J. Ayala (2010) -“In the Light of Evolution: Volume IV: The Human Condition.”  National Academy of Sciences (US); Avise JC, Ayala FJ, editors. Washington (DC): National Academies Press (US);.In https://www.ncbi.nlm.nih.gov/books/NBK210003/ ).</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G</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Galadari, Abdulla. (2011). Science vs. Religion: The Debate Ends. In https://www.researchgate.net/publication/228175424_Science_vs_Religion_The_Debate_Ends- retrieved Apr,6, 201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Gash, DM, and Deane, AS (2015) “Neuron-based heredity and human evolution.” Neurosci. 9:209. doi: 10.3389/fnins.2015.00209.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Gilkeson, John S.  (2010)  - “Anthropologists and the Rediscovery of America,1886–1965” – Cambridge University </w:t>
      </w:r>
      <w:r w:rsidRPr="004F4E91">
        <w:rPr>
          <w:rFonts w:ascii="Century Gothic" w:hAnsi="Century Gothic"/>
          <w:sz w:val="20"/>
          <w:szCs w:val="20"/>
          <w:lang w:val="en-US"/>
        </w:rPr>
        <w:lastRenderedPageBreak/>
        <w:t>Press - Online ISBN: 9780511779558 - DOI: https://doi.org/10.1017/CBO9780511779558</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Goldenberg, N.R. (1989). “Archetypal theory and the separation of mind and body.” In J. Plaskow &amp; C.P. Christ (eds.),” Weaving the visions: New patterns in feminist spirituality.” New York: Harper &amp; Row.</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Gonzalez, Pedro Blaz (2014)-“The Economics of Being” - Cultura. International Journal of Philosophy of Culture and Axiology 11(1)/2014: 23–39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Grafen, Alan – (2007) “Detecting kin selection at work using inclusive fitness” - Proc Biol Sci. 2007 Mar 7; 274(1610): 713–719. Published online 2006 Dec 12. doi: 10.1098/rspb.2006.0140 ----00PMCID: PMC2197210/</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Gray, Peter (2012) “The origins of morality: an evolutionary account” - Dennis L. Krebs, 2011 Oxford, UK, Oxford University Press US$49.95 (HBK), 291 pp. ISBN 978-0199778232, Journal of Moral Education, 41:2, 264-266, DOI: 10.1080/03057240.2012.680715</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H</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Hare, John. (1997). “The Moral Gap: Kantian Ethics, Human Limits, and God’s Assistance.” New York: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Hare, John. (2000). “Naturalism and Morality.” In Naturalism: A Critical Analysis. Edited by William Lane Craig and J. P. Moreland. New York: Routledge: 189-212.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“Hare's Preference Utilitarianism: An Overview And Critique,” </w:t>
      </w:r>
      <w:r w:rsidRPr="004F4E91">
        <w:rPr>
          <w:rFonts w:ascii="Century Gothic" w:hAnsi="Century Gothic"/>
          <w:sz w:val="20"/>
          <w:szCs w:val="20"/>
          <w:lang w:val="en-US"/>
        </w:rPr>
        <w:lastRenderedPageBreak/>
        <w:t>http://www.scielo.br/scielo.php?script=sci_arttext&amp;pid=S0101-317320130002000 -Retrieved June 30,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Harman, Gilbert and Thomson, Judith Jarvis (1996) – “Moral Relativism and Moral Objectivity” - WB; 1 edition ISBN-10: 0631192115/ ISBN-13: 978-0631192114 - pp. 3-5. 3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Hawking, Stephen, and Mlodinow, Leonard (2012)” The Grand Design”  Bantam; Reprint edition.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Henshilwood, Christopher S. and Marean, Curtis W. (2003)- “The Origin of Modern Human Behavior  - Critique of the Models and Their Test Implications” –in Current Anthropology Volume 44, Number 5, December 2003 by The Wenner-Gren Foundation for Anthropological Research – pg.628.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Hinde Robert A., Stevenson-Hinde Joan.(1990) “Attachment: Biological, Cultural and Individual Desiderata”- Human Development 1990;33:62–72  (DOI:10.1159/000276503)- Karger.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Hollis, Martin (1994). “The Philosophy of Social Science: An Introduction.”Cambridge. ISBN 978-0-521-44780-5.)</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Hoffman, M, E Yoeli, CD (2016) “Game theory and morality. The evolution of morality, Springer”. Navarrete.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“How Is The Divine Command Theory Related To Ethics And,” apud https://www.compellingtruth.org/divine-command-theory.html (accessed June 30,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H.R. Barringer, B.I. Blanksten, and R.W. Mack (1965) – “Social Change in Developing Areas”- New York: Schenkman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Hume, David –( 1958 ) “A Treatise of Human Nature”-  A. D. Lindsay -  - Philosophical Quarterly 8 (33):379-380.</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t>I</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Imtiaz, Adam(2015) – “Plato’s Theory of Forms” - Apud “im print” in http://uwimprint.ca/article/platos-theory-of-forms/ retrieved Jul,24/2019</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J</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Jordan, J. (2006). “Does Skeptical Theism Lead to Moral Skepticism?” Philosophy and Phenomenological Research, 72 (2), 403–417. https://doi.org/10.1111/j.1933-1592.2006.tb00567.x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Joyce, R. (2001). “The Myth of Morality.” Cambridge: Cambridge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Jung, Carl G. (1952).  “Synchronicity: An Acausal Connecting Principle”-. Collected Works (Vol. 8). Princeton, NJ: Princeton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Jung, Carl G., (1933) “Modern Man in Search of a Soul “- Harcourt, Brace &amp; World, -ISBN</w:t>
      </w:r>
      <w:r w:rsidRPr="004F4E91">
        <w:rPr>
          <w:rFonts w:ascii="Century Gothic" w:hAnsi="Century Gothic"/>
          <w:sz w:val="20"/>
          <w:szCs w:val="20"/>
          <w:lang w:val="en-US"/>
        </w:rPr>
        <w:tab/>
        <w:t>0156612062, 9780156612067</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Jung, Carl G.,(1968) “Man and His Symbols”- Dell Publishing Co., Inc.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Jung, C.G. (1939). “Archetypes of the collective unconscious.” In, The Integration of the Personality (Collected Works, V.9, New York: Farrar &amp; Rinehart.</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Jung, Carl G.(2014) “The Relations Between the Ego and the Unconscious”-  Princeton University Press; 2nd ed. </w:t>
      </w:r>
    </w:p>
    <w:p w:rsidR="008D0320" w:rsidRPr="004F4E91" w:rsidRDefault="008D0320" w:rsidP="008D0320">
      <w:pPr>
        <w:spacing w:line="240" w:lineRule="auto"/>
        <w:jc w:val="both"/>
        <w:rPr>
          <w:rFonts w:ascii="Copperplate Gothic Bold" w:hAnsi="Copperplate Gothic Bold"/>
          <w:sz w:val="32"/>
          <w:szCs w:val="32"/>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 xml:space="preserve">K </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Kant, Immanuel. (1993). “Critique of Practical Reason.” Third Edition. Translated by Lewis White Beck. Upper Saddle River, N.J.: Prentice Hall.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“Kant’s Moral Philosophy” (Stanford Encyclopedia of Philosophy). https://plato.stanford.edu/entries/kant-moral/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Krebs, Dennis L. (2011)- “The Origins of Morality: An Evolutionary Account,” Oxford, UK, Oxford University Press 291 pp. ISBN 978-0199778232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Kohlberg, Lawrence -(1969)   "Stage and Sequence: The Cognitive-Developmental Approach to Socialization." In Handbook of Socialization.  G. Goslin. Chicago: Rand McNally.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L</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Laplane, Lucie - Mantovani, Paolo - Padreu, Thomas and others (2019)- “Why science needs philosophy” Proceedings of the National Academy of Science http://www.pnas.org/content/116/10/3948.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Lashley, K. (1951). “The problem of serial order in behavior. In Cerebral mechanisms in behavior” (ed. Jeffress L. A., editor. ), pp. 112–136 New York, NY: John Wiley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Laughlin, Charles D. and Eugene G. D'Aquili (1974) “Biogenetic Structuralism”-New York: Columbia University Press, ISBN</w:t>
      </w:r>
      <w:r w:rsidRPr="004F4E91">
        <w:rPr>
          <w:rFonts w:ascii="Century Gothic" w:hAnsi="Century Gothic"/>
          <w:sz w:val="20"/>
          <w:szCs w:val="20"/>
          <w:lang w:val="en-US"/>
        </w:rPr>
        <w:tab/>
        <w:t>0231038178</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Laughlin, Charles D., John McManus, and Eugene G. d'Aquili (1990)” Brain, Symbol, and Experience: Toward a Neurophenomenology of Consciousness.” - New Science Library, 1990</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Laughlin, Charles D. (1996) "Archetypes, Neurognosis, and the Quantum Sea."  Journal of Scientific Exploration,(1996) – 375400</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Layton, Robert / O’Hara, Sean/ Bilsborough, Alan -  “Antiquity and Social Functions of Multilevel Social Organization Among Human Hunter-Gatherers “- International Journal of Primatology Volume 33, Issue 5, pp 1215–1245DOI https://doi.org/10.1007/s10764-012-9634-z Publisher NameSpringer US - Print ISSN0164-0291 Online ISSN1573-8604</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Lewis-Williams, David J. (2002) “The Mind in the Cave: Consciousness and the Origin of Art.” London: Thames &amp; Hudson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Locke, John (1824)-” An Essay Concerning Human Understanding.” 25th. Ed. London, 1824- Print W. Dowall – BookII, Chapter XXI, pg. 319.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Locke, John. (1988). “Essays on the Law of Nature,” W. von Leyden (ed.), Oxford: Oxford University Press.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M</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MacIntyre. Alasdair C.(1999)- “Dependent Rational Animals: Why Human Beings Need the Virtues.” Open Court Publishing- ISBN 081269452X, 978081269452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Mackie, J. L. (1978). “Can there be a rights-based moral theory?” Midwest Studies in Philosophy 3 (1):350-359.125</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Markie, Peter, "Rationalism vs. Empiricism," The Stanford Encyclopedia of Philosophy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Massey, Reginald, and Massey, Jamila (1993).” The Music of India” - Kahn &amp; Averill Publishers; Revised edition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Matthew, Kieran (1996) – “Art, Imagination, and the Cultivation of Morals” (art) The Journal of Aesthetics and Art Criticism - Vol. 54, No. 4 pp. 337-351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McKeever, Matthew – The Beauty of Analytic Philosophy. https://mipmckeever.weebly.com/things-ive-written.html - retrieved Apr. 8,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McKenna, Brittany in “Natural Law Theory: Definition, Ethics &amp; Examples “-https://study.com/academy/lesson/natural-law-theory-definition-ethics-examples.html#transcriptHeader-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retrieved Mar, 6 –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Mesoudi A., O'Brien M. J. (2008). “The learning and transmission of hierarchical cultural recipes.” Biol. Theory 3, 63–7210.1162/biot.2008.3.1.63 (doi:10.1162/biot.2008.3.1.63) 17. Pelegrin, J., 1990. Prehistoric lithic technology: some aspects of research. Archaeol. Rev. Cambridge 9, 116–125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Mesoudi A., Whiten A. (2004.) “The hierarchical transformation of event knowledge in human cultural transmission.” J. Cogn. Cult. 4, 1–</w:t>
      </w:r>
      <w:r w:rsidRPr="004F4E91">
        <w:rPr>
          <w:rFonts w:ascii="Century Gothic" w:hAnsi="Century Gothic"/>
          <w:sz w:val="20"/>
          <w:szCs w:val="20"/>
          <w:lang w:val="en-US"/>
        </w:rPr>
        <w:lastRenderedPageBreak/>
        <w:t xml:space="preserve">2410.1163/156853704323074732 (doi:10.1163/156853704323074732) </w:t>
      </w:r>
    </w:p>
    <w:p w:rsidR="008D0320" w:rsidRPr="004F4E91" w:rsidRDefault="008D0320" w:rsidP="008D0320">
      <w:pPr>
        <w:spacing w:line="240" w:lineRule="auto"/>
        <w:jc w:val="both"/>
        <w:rPr>
          <w:rFonts w:ascii="Century Gothic" w:hAnsi="Century Gothic"/>
          <w:sz w:val="20"/>
          <w:szCs w:val="20"/>
        </w:rPr>
      </w:pPr>
      <w:r w:rsidRPr="004F4E91">
        <w:rPr>
          <w:rFonts w:ascii="Century Gothic" w:hAnsi="Century Gothic"/>
          <w:sz w:val="20"/>
          <w:szCs w:val="20"/>
          <w:lang w:val="en-US"/>
        </w:rPr>
        <w:t xml:space="preserve">Metzner, R. (1986). “Opening to inner light: The transformation of human nature and consciousness.” </w:t>
      </w:r>
      <w:r w:rsidRPr="004F4E91">
        <w:rPr>
          <w:rFonts w:ascii="Century Gothic" w:hAnsi="Century Gothic"/>
          <w:sz w:val="20"/>
          <w:szCs w:val="20"/>
        </w:rPr>
        <w:t>Los Angeles: J.P. Tarcher.</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rPr>
        <w:t xml:space="preserve">Miller G. A., Pribram K. H., Galanter E. (1960). </w:t>
      </w:r>
      <w:r w:rsidRPr="004F4E91">
        <w:rPr>
          <w:rFonts w:ascii="Century Gothic" w:hAnsi="Century Gothic"/>
          <w:sz w:val="20"/>
          <w:szCs w:val="20"/>
          <w:lang w:val="en-US"/>
        </w:rPr>
        <w:t xml:space="preserve">“Plans and the structure of behavior.” New York, NY: Holt, Reinhart, and Winston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Mithen, Steven - “The Early Prehistory of Human Social Behaviour” – Issues of Archeological IKnference and Cognitive Evolution – Proceedings of the British Academy – 88, pg.145/177</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Mithen, S. (1999). “Imitation and cultural change: a view from the Stone Age, with specific reference to the manufacture of handaxes.” In Mammalian social learning: comparative and ecological perspectives (eds Box H. O., Gibson K. R., editors. ), pp. 389–413 Cambridge, MA: Cambridge University Press.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Mithen, Steven. (1999) – “The Prehistory of the Mind: The Cognitive Origins of Art, Religion and Science” - Thames &amp; Hudson; 1st edition.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Modell, A. H. (2003). “Imagination and the Meaningful Brain.” Cambridge, Mass.: MIT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“Morality - The Euthyphro Dilemma” (2019) - Islam Stack Exchange. (n.d.). Retrieved from https://islam.stackexchange.com/questions/46742/the-euthyphro-dilemma- May, 8- 2019</w:t>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N</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Nozick, R., (1974), “Anarchy, State and Utopia,” New York: Basic Books.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O</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Otsuka, M., (2006), “Saving Lives, Moral Theories and the Claims of Individuals,” Philosophy and Public Affairs, Vol.</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Owen, R. (1857). “On the characters, principles of division and primary groups of the class Mammalia.” J. Proc. Linn. Soc. 2, 1–37 </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P</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Palacio-Pérez, Eduardo and Redondo, Aitor Ruiz (2015)- “Imaginary creatures in Palaeolithic art: prehistoric dreams or prehistorians' dreams?”DOI: https://doi.org/10.1017/S0003598X00050341Published online by Cambridge University Press: 02 January 2015</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Parfit, D., (1987), “Reasons and Persons,” Oxford: Clarendon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Patten, M.M. (2017) ”Kin Selection” in Reference Module in Life Sciences - https://www.sciencedirect.com/topics/biochemistry-genetics-and-molecular-biology/kin-selection - retrieved Jul, 28 -2019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Piaget, J. (1971). “Biology and knowledge: An essay on the relations between organic regulations and cognitive processes.” Oxford, England: U. Chicago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Piaget, Jean – ( 1973) "Affective Unconscious and Cognitive Unconscious In The Child and Reality” Translated by A. Rosin. Oxford, England: Grossman.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Pearson, Carol S (1996)., “Archetypes, Neurognosis, and the Quantum Sea” (art.) – Jornal of Scientific Exploration 1996 – in http://citeseerx.ist.psu.edu/viewdoc/summary?doi=10.1.1.456.710 – retrieved on Jul. 26,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Pedersen, Norman (2017) “The Seed of Civilization – The Origins of War, Marriage and Religion” –– SóL-Earth Publishers – ISBN 978-1978169531;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Pedersen, Norman (2014) “When Was the Name of God First Spoken: Correcting Misconceptions About Prehistory”  –- SóL-Earth Publishers  ISBN-10: 1505457068</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Pedersen, Norman –“Biases about Prehistory” https://pedersensprehistory.com/biases-about-prehistory - retrieved Mar, 18 –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People, Hervey C., Duda, Pavel, and Marlowe, Frank W. (201600 “Hunter-Gatherers and the Origins of Religion,” Hum Nat  Journal -    Sep;27(3):261-82. doi: 10.1007/s12110-016-9260-0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rPr>
        <w:t xml:space="preserve">Plato. (1981). “Five Dialogues: Euthyphro, Apology, Crito, Meno, Phaedo.” </w:t>
      </w:r>
      <w:r w:rsidRPr="004F4E91">
        <w:rPr>
          <w:rFonts w:ascii="Century Gothic" w:hAnsi="Century Gothic"/>
          <w:sz w:val="20"/>
          <w:szCs w:val="20"/>
          <w:lang w:val="en-US"/>
        </w:rPr>
        <w:t>Translated by G. M. A. Grube. Indianapolis, Ind.: Hackett Publishing Company.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Powell A., Shennan S., Thomas M. G. (2009). “Late Pleistocene demography and the appearance of modern human behavior.” Science 324, 1298–130110.1126/science.1170165 (doi:10.1126/science.1170165)</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t>Q</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Quinn, Philip. (1992). “The Primacy of God's Will in Christian Ethics.” Philosophical Perspectives 6: 493-513.</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Quinn, Philip L. (1978.). “Divine Commands and Moral Requirements.” Oxford: Clarendon Press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R</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Rayner, Sam (2005) "Too Strong for Principle: An Examination of the Theory and Philosophical Implications of Evolutionary Ethics," Macalester Journal of Philosophy: Vol. 15 : Iss. 1 , Article 6. https://digitalcommons.macalester.edu/philo/vol15/iss1/6-</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Rizzolatti, G. (2008). “Mirrors in the Brain: How Our Minds Share Actions,” Emotions.Oxford; New York: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Roche, H. (2005).” From simple flaking to shaping: stone knapping evolution among early hominins. In Stone knapping: the necessary conditions for a unique hominin behavior” (eds Roux V., Bril B., editors. ), pp. 35–48 Cambridge, MA: McDonald Institute for Archaeological Research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Russell, Bertrand  (1914)-  “Our Knowledge of the External World as a Field for Scientific Method in Philosophy.” – London: Allen &amp; Unwin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Russell, Bertrand (1954)“Human Society in Ethics and Politics.”  London - Allen &amp; Unwin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lastRenderedPageBreak/>
        <w:t>Russell, Bertrand (1968) - “The Art of Philosophizing and Other Essays.” – New York Philosophical Library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Russel, Bertrand (1912) - “Knowledge by Acquaintance and Knowledge by Description” Proceedings of the Aristotelian Society, 11: 108–128., The Problems of Philosophy, Oxford: Oxford University Press.</w:t>
      </w:r>
    </w:p>
    <w:p w:rsidR="008D0320" w:rsidRPr="004F4E91" w:rsidRDefault="008D0320" w:rsidP="008D0320">
      <w:pPr>
        <w:spacing w:line="240" w:lineRule="auto"/>
        <w:jc w:val="both"/>
        <w:rPr>
          <w:rFonts w:ascii="Copperplate Gothic Bold" w:hAnsi="Copperplate Gothic Bold"/>
          <w:sz w:val="36"/>
          <w:szCs w:val="36"/>
          <w:lang w:val="en-US"/>
        </w:rPr>
      </w:pPr>
      <w:r w:rsidRPr="004F4E91">
        <w:rPr>
          <w:rFonts w:ascii="Copperplate Gothic Bold" w:hAnsi="Copperplate Gothic Bold"/>
          <w:sz w:val="36"/>
          <w:szCs w:val="36"/>
          <w:lang w:val="en-US"/>
        </w:rPr>
        <w:t>S</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Sagi, Avi, and Statman, Daniel –“ Divine Command Morality and Jewish Tradition” in The Journal of Religious Ethics Vol. 23, No. 1 (Spring, 1995), pp. 39-67</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Stevens, A. (1982). “Archetypes: A Natural History of Self.” Anthony Stevens. William Morrow &amp; Co., New York, 1982.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Sandel. Michael (2016)– “The Moral Foundations of Politics” – Yale University Press – ISBN 978-0-300-18545-4</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Shapiro, Ian (2012) – “The Moral Foundations of Politics” -  Yale University Press; Reprint 2012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Schwartz, Barry and Sharpe Kenneth (2011) -  “Practical Wisdom: The Right Way to Do the Right Thing” - Riverhead Books; Ed: Reprint (2011 - ISBN-10: 1594485437ISBN-13: 978-1594485435.</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Shin Kim Hanuk (2016)–“ Moral Realism” – International Encyclopedia of Philosophy - in https://www.iep.utm.edu/moralrea/ - retrieved on July 05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Shultz S, Nelson E, Dunbar RI.(2012) “Hominin cognitive evolution: identifying patterns and processes in the fossil and archaeological record.” Philosophical Transactions of </w:t>
      </w:r>
      <w:r w:rsidRPr="004F4E91">
        <w:rPr>
          <w:rFonts w:ascii="Century Gothic" w:hAnsi="Century Gothic"/>
          <w:sz w:val="20"/>
          <w:szCs w:val="20"/>
          <w:lang w:val="en-US"/>
        </w:rPr>
        <w:lastRenderedPageBreak/>
        <w:t>the Royal Society B: Biological Sciences. 2012;367(1599):2130–40. pmid:22734056</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Smith, Vernon L.(1993) “Humankind in Prehistory: Economy, Ecology, and Institutions” in The Political Economy of Customs and Culture, edited by Terry L. Anderson and Randy T. Simmons, Copyright 1993 Rowman &amp; Littlefield Publishers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Sober, Elliott &amp; Sloan, David Wilson (1998)  “Unto Others: The Evolution and Psychology of Unselfish Behavior”  - Harvard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Sosa, E. and Tooley, M. (1993) ”Causation” Oxford University Press.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Stout D. (2005). “The social and cultural context of stone-knapping skill acquisition. In Stone knapping: the necessary conditions for a uniquely hominin behavior” (eds Roux V., Bril B., editors. ), pp. 331–340 Cambridge, MA: McDonald Institute for Archaeological Research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Striker, Gisela (1986). “Origins of the Concept of Natural Law.” Proceedings of the Boston Area Colloquium in Ancient Philosophy, 2: 79-94.</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Stump, Eleonore, and Norman Kretzmann. (1985). “Absolute Simplicity.” Faith and Philosophy 2: 353-382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br w:type="page"/>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t>T</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Tennie C., Call J., Tomasello M. (2009). “Ratcheting up the ratchet: on the evolution of cumulative culture.” Phil. Trans. R. Soc. B 364, 2405–241510.1098/rstb.2009.0052 (doi:10.1098/rstb.2009.0052) [PMC free article</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Thagard, Paul – (2019) “The Origins Of Morality” - Psychology Today. (n.d.). Retrieved from https://www.psychologytoday.com/us/blog/hot-thought/201311/the-origins-morality on May,12 - 2019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Thagard, Paul. (2012) – “Eleven Dogmas of Analytic Philosophy” – in Psychology Today -  https://www.psychologytoday.com/us/blog/hot-thought/201212/eleven-dogmas-analytic-philosophy</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Thompson, Michael (1995). “The Representation of Life,” in Rosalind Hursthouse, Gavin Lawrence, and Warren Quinn (eds.), Virtues and Reasons, Oxford: Oxford University Press, pp. 247-296.</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Tomasello, Michael – “A Natural History of Human Morality.” Apud https://mipmckeever.weebly.com/things-ive-written.html - Retrieved June 30,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Tomasello, M.(1999). “The cultural origins of human cognition.” Cambridge, MA: Harvard University Press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Tse, Peter Ulrich (2015) – “The Neural Basis of Free Will: Criterial Causation” The MIT Press-ISBN 10: 0262528312</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entury Gothic" w:hAnsi="Century Gothic"/>
          <w:sz w:val="20"/>
          <w:szCs w:val="20"/>
          <w:lang w:val="en-US"/>
        </w:rPr>
        <w:br w:type="page"/>
      </w:r>
      <w:r w:rsidRPr="004F4E91">
        <w:rPr>
          <w:rFonts w:ascii="Copperplate Gothic Bold" w:hAnsi="Copperplate Gothic Bold"/>
          <w:sz w:val="32"/>
          <w:szCs w:val="32"/>
          <w:lang w:val="en-US"/>
        </w:rPr>
        <w:lastRenderedPageBreak/>
        <w:t>V</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Vernon, Mark. (2011) “Carl Jung: Do Archetypes exist? “https://www.theguardian.com/commentisfree/belief/2011/jun/20/jung-archetypes--structurind-principles - retrieved Jul, 26 - 2019</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Voyatsis, Mary E. (1998). "From Athena to Zeus: An A-Z Guide to the Origins of Greek Goddesses," in Lucy Goodison and Christine Morris, eds. Ancient Goddesses. Madison, W: University of Wisconsin. 132-147.</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W</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Wainwright, William (1998)–“ Philosophy of Religion” -  Cengage Learning; 2 edition (August 4, 1998) p.101</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Wallace A. R. (1870). “Contributions to the theory of natural selection, a series of essays.” London, UK: Macmillan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Walls, Neal H., Jr. (1992). “The Goddess Anat in Ugaritic Myth.” Atlanta, GA: Scholars.</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Wenegrat, B. (1990). The divine archetype. Lexington, MA: Lexington Books/ D.C. Heath &amp; Co.</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West SA, Griffin AS, Gardner A. (2007) “Social semantics: altruism, cooperation, mutualism, strong reciprocity, and group selection.” J. Evol. Biol. 20, 415-432.(doi:10.1111/j.14209101.2006.01258.x) Crossref, PubMed, ISI, Google Scholar- Apud Woodford Note 18.</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Westenholz, Joan (1998). "Goddesses of the ancient Near East 3000-lOOO BC," in Lucy Goodison and Christine Morris, </w:t>
      </w:r>
      <w:r w:rsidRPr="004F4E91">
        <w:rPr>
          <w:rFonts w:ascii="Century Gothic" w:hAnsi="Century Gothic"/>
          <w:sz w:val="20"/>
          <w:szCs w:val="20"/>
          <w:lang w:val="en-US"/>
        </w:rPr>
        <w:lastRenderedPageBreak/>
        <w:t>eds. Ancient Goddesses. Madison, WI: University of Wisconsin. 62-82</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“What Is Utilitarianism? Definition And Meaning.” Retrieved June 30, 2019.http://www.businessdictionary.com/definition/utilitarianism.html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Whitehouse, R. D. (1992). “Underground religion: cult and culture in prehistoric Italy.” London: Accordia Research Centre, University of London.</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Whiten A., Horner V., Marshall-Pescini S.(2003.) “Cultural panthropology.” Evol. Anthropol. 12, 92–10510.1002/evan.10107 (doi:10.1002/evan.10107)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Whiten A., van Schaik C. (2006). “The evolution of animal ‘cultures’ and social intelligence.” Phil. Trans. R. Soc. B 362, 603–62010.1098/rstb.2006.1998 (doi:10.1098/rstb.2006.1998) [PMC free article] </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Wilson, Edward Osborne” The Creation: A Meeting of Science and Religion” – Norton ISBN 978-0-393-06217-5</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Wilson, Edward Osborne. – (1975) – “Sociobiology: The New Synthesis” - Journal of the History of Biology 33 (3):577-584.</w:t>
      </w: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Woodford, Peter (2019)-  “Evaluating inclusive fitness”– Royal Society Open Science -Published:26 June 2019https://doi.org/10.1098/rsos.190644</w:t>
      </w: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t>Y</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 xml:space="preserve">Yinger, J. Milton(1960) “Contraculture and Subculture” by, American Sociological Review, Vol. 25, No. 5 -Oct. 1960- pg. 625-635 </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opperplate Gothic Bold" w:hAnsi="Copperplate Gothic Bold"/>
          <w:sz w:val="32"/>
          <w:szCs w:val="32"/>
          <w:lang w:val="en-US"/>
        </w:rPr>
      </w:pPr>
      <w:r w:rsidRPr="004F4E91">
        <w:rPr>
          <w:rFonts w:ascii="Copperplate Gothic Bold" w:hAnsi="Copperplate Gothic Bold"/>
          <w:sz w:val="32"/>
          <w:szCs w:val="32"/>
          <w:lang w:val="en-US"/>
        </w:rPr>
        <w:lastRenderedPageBreak/>
        <w:t>Z</w:t>
      </w:r>
    </w:p>
    <w:p w:rsidR="008D0320" w:rsidRPr="004F4E91" w:rsidRDefault="008D0320" w:rsidP="008D0320">
      <w:pPr>
        <w:spacing w:line="240" w:lineRule="auto"/>
        <w:jc w:val="both"/>
        <w:rPr>
          <w:rFonts w:ascii="Century Gothic" w:hAnsi="Century Gothic"/>
          <w:sz w:val="20"/>
          <w:szCs w:val="20"/>
          <w:lang w:val="en-US"/>
        </w:rPr>
      </w:pPr>
    </w:p>
    <w:p w:rsidR="008D0320" w:rsidRPr="004F4E91" w:rsidRDefault="008D0320" w:rsidP="008D0320">
      <w:pPr>
        <w:spacing w:line="240" w:lineRule="auto"/>
        <w:jc w:val="both"/>
        <w:rPr>
          <w:rFonts w:ascii="Century Gothic" w:hAnsi="Century Gothic"/>
          <w:sz w:val="20"/>
          <w:szCs w:val="20"/>
          <w:lang w:val="en-US"/>
        </w:rPr>
      </w:pPr>
      <w:r w:rsidRPr="004F4E91">
        <w:rPr>
          <w:rFonts w:ascii="Century Gothic" w:hAnsi="Century Gothic"/>
          <w:sz w:val="20"/>
          <w:szCs w:val="20"/>
          <w:lang w:val="en-US"/>
        </w:rPr>
        <w:t>Zahn, Roland/ Souza, Ricardo de Oliveira/ Moll, Jorge –“Neural Foundation of Morality” https://doi.org/10.1016/B978-0-08-097086-8.56026-7 - retrieved Jul,29 - 2019</w:t>
      </w:r>
    </w:p>
    <w:p w:rsidR="008D0320" w:rsidRPr="004F4E91" w:rsidRDefault="008D0320" w:rsidP="008D0320">
      <w:pPr>
        <w:spacing w:line="240" w:lineRule="auto"/>
        <w:jc w:val="both"/>
        <w:rPr>
          <w:rFonts w:ascii="Century Gothic" w:hAnsi="Century Gothic"/>
          <w:sz w:val="20"/>
          <w:szCs w:val="20"/>
        </w:rPr>
      </w:pPr>
      <w:r w:rsidRPr="004F4E91">
        <w:rPr>
          <w:rFonts w:ascii="Century Gothic" w:hAnsi="Century Gothic"/>
          <w:sz w:val="20"/>
          <w:szCs w:val="20"/>
          <w:lang w:val="en-US"/>
        </w:rPr>
        <w:t xml:space="preserve">Zolla, E. (1981). “Archetypes: The persistence of unifying patterns.” </w:t>
      </w:r>
      <w:r w:rsidRPr="004F4E91">
        <w:rPr>
          <w:rFonts w:ascii="Century Gothic" w:hAnsi="Century Gothic"/>
          <w:sz w:val="20"/>
          <w:szCs w:val="20"/>
        </w:rPr>
        <w:t>New York: Harcourt Brace Jovanovich.</w:t>
      </w:r>
    </w:p>
    <w:p w:rsidR="00A61D39" w:rsidRPr="004F4E91" w:rsidRDefault="00A61D39"/>
    <w:sectPr w:rsidR="00A61D39" w:rsidRPr="004F4E91" w:rsidSect="00597DB0">
      <w:headerReference w:type="default" r:id="rId62"/>
      <w:pgSz w:w="8391" w:h="11907" w:code="11"/>
      <w:pgMar w:top="1440" w:right="1361" w:bottom="1440"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E8" w:rsidRDefault="00AA33E8" w:rsidP="008D0320">
      <w:pPr>
        <w:spacing w:after="0" w:line="240" w:lineRule="auto"/>
      </w:pPr>
      <w:r>
        <w:separator/>
      </w:r>
    </w:p>
  </w:endnote>
  <w:endnote w:type="continuationSeparator" w:id="0">
    <w:p w:rsidR="00AA33E8" w:rsidRDefault="00AA33E8" w:rsidP="008D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E8" w:rsidRDefault="00AA33E8" w:rsidP="008D0320">
      <w:pPr>
        <w:spacing w:after="0" w:line="240" w:lineRule="auto"/>
      </w:pPr>
      <w:r>
        <w:separator/>
      </w:r>
    </w:p>
  </w:footnote>
  <w:footnote w:type="continuationSeparator" w:id="0">
    <w:p w:rsidR="00AA33E8" w:rsidRDefault="00AA33E8" w:rsidP="008D0320">
      <w:pPr>
        <w:spacing w:after="0" w:line="240" w:lineRule="auto"/>
      </w:pPr>
      <w:r>
        <w:continuationSeparator/>
      </w:r>
    </w:p>
  </w:footnote>
  <w:footnote w:id="1">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hyperlink r:id="rId1" w:history="1">
        <w:r w:rsidRPr="00855AD7">
          <w:rPr>
            <w:rFonts w:cstheme="minorHAnsi"/>
            <w:sz w:val="20"/>
            <w:szCs w:val="20"/>
            <w:lang w:val="en-US"/>
          </w:rPr>
          <w:t>MHRA Style Guide</w:t>
        </w:r>
      </w:hyperlink>
      <w:r w:rsidRPr="00855AD7">
        <w:rPr>
          <w:rFonts w:cstheme="minorHAnsi"/>
          <w:sz w:val="20"/>
          <w:szCs w:val="20"/>
          <w:lang w:val="en-US"/>
        </w:rPr>
        <w:t xml:space="preserve"> - Modern Humanities Research Association- 1 January 2013  •  120pp - ISBN: 978-1-781880-09-8 </w:t>
      </w:r>
    </w:p>
    <w:p w:rsidR="00A246E0" w:rsidRPr="00855AD7" w:rsidRDefault="00A246E0" w:rsidP="008D0320">
      <w:pPr>
        <w:pStyle w:val="Textodenotaderodap"/>
        <w:jc w:val="both"/>
        <w:rPr>
          <w:rFonts w:cstheme="minorHAnsi"/>
          <w:lang w:val="en-US"/>
        </w:rPr>
      </w:pPr>
    </w:p>
  </w:footnote>
  <w:footnote w:id="2">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T.D. Campbell “Variation and Selective Retention inSocio-cultural Evolution,” in H.R. Barringer, B.I. Blanksten, and R.W. Mack, eds., Social Change in Developing AreasNew York: Schenkman, 1965. – 32.</w:t>
      </w:r>
    </w:p>
  </w:footnote>
  <w:footnote w:id="3">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McKeever,Matthew – </w:t>
      </w:r>
      <w:r w:rsidRPr="00855AD7">
        <w:rPr>
          <w:rFonts w:eastAsia="Adobe Fangsong Std R" w:cstheme="minorHAnsi"/>
          <w:sz w:val="20"/>
          <w:szCs w:val="20"/>
          <w:lang w:val="en-US"/>
        </w:rPr>
        <w:t>The Beauty of Analytic Philosophy.</w:t>
      </w:r>
      <w:r w:rsidRPr="00855AD7">
        <w:rPr>
          <w:rFonts w:cstheme="minorHAnsi"/>
          <w:sz w:val="20"/>
          <w:szCs w:val="20"/>
          <w:lang w:val="en-US"/>
        </w:rPr>
        <w:t xml:space="preserve"> </w:t>
      </w:r>
      <w:r w:rsidRPr="004F4E91">
        <w:rPr>
          <w:rFonts w:cstheme="minorHAnsi"/>
          <w:sz w:val="20"/>
          <w:szCs w:val="20"/>
          <w:lang w:val="en-US"/>
        </w:rPr>
        <w:t>https://mipmckeever.weebly.com/things-ive-written.html</w:t>
      </w:r>
    </w:p>
  </w:footnote>
  <w:footnote w:id="4">
    <w:p w:rsidR="00A246E0" w:rsidRPr="005B4CD6" w:rsidRDefault="00A246E0" w:rsidP="008D0320">
      <w:pPr>
        <w:pStyle w:val="Textodenotaderodap"/>
        <w:contextualSpacing/>
        <w:jc w:val="both"/>
        <w:rPr>
          <w:rFonts w:cstheme="minorHAnsi"/>
          <w:shd w:val="clear" w:color="auto" w:fill="FFFFFF"/>
          <w:lang w:val="en-US"/>
        </w:rPr>
      </w:pPr>
      <w:r w:rsidRPr="0061150C">
        <w:rPr>
          <w:sz w:val="14"/>
        </w:rPr>
        <w:footnoteRef/>
      </w:r>
      <w:r w:rsidRPr="00DF0DD7">
        <w:rPr>
          <w:lang w:val="en-US"/>
        </w:rPr>
        <w:t xml:space="preserve"> Associate Professor, Department of Plant Pathology, University of Florida.</w:t>
      </w:r>
    </w:p>
    <w:p w:rsidR="00A246E0" w:rsidRPr="005B4CD6" w:rsidRDefault="00A246E0" w:rsidP="008D0320">
      <w:pPr>
        <w:pStyle w:val="Textodenotaderodap"/>
        <w:contextualSpacing/>
        <w:jc w:val="both"/>
        <w:rPr>
          <w:rFonts w:cstheme="minorHAnsi"/>
          <w:lang w:val="en-US"/>
        </w:rPr>
      </w:pPr>
      <w:hyperlink r:id="rId2" w:history="1">
        <w:r w:rsidRPr="005B4CD6">
          <w:rPr>
            <w:rFonts w:cstheme="minorHAnsi"/>
            <w:lang w:val="en-US"/>
          </w:rPr>
          <w:t>https://www.pnas.org/content/109/20/7617</w:t>
        </w:r>
      </w:hyperlink>
    </w:p>
  </w:footnote>
  <w:footnote w:id="5">
    <w:p w:rsidR="00A246E0" w:rsidRPr="005B4CD6" w:rsidRDefault="00A246E0" w:rsidP="008D0320">
      <w:pPr>
        <w:spacing w:line="240" w:lineRule="auto"/>
        <w:contextualSpacing/>
        <w:jc w:val="both"/>
        <w:rPr>
          <w:rFonts w:cstheme="minorHAnsi"/>
          <w:sz w:val="20"/>
          <w:szCs w:val="20"/>
          <w:lang w:val="en-US"/>
        </w:rPr>
      </w:pPr>
      <w:r w:rsidRPr="005B4CD6">
        <w:rPr>
          <w:rStyle w:val="Refdenotaderodap"/>
          <w:rFonts w:cstheme="minorHAnsi"/>
        </w:rPr>
        <w:footnoteRef/>
      </w:r>
      <w:r w:rsidRPr="005B4CD6">
        <w:rPr>
          <w:rFonts w:cstheme="minorHAnsi"/>
          <w:sz w:val="20"/>
          <w:szCs w:val="20"/>
          <w:lang w:val="en-US"/>
        </w:rPr>
        <w:t xml:space="preserve"> </w:t>
      </w:r>
      <w:r w:rsidRPr="00DF0DD7">
        <w:rPr>
          <w:sz w:val="20"/>
          <w:szCs w:val="20"/>
          <w:lang w:val="en-US"/>
        </w:rPr>
        <w:t>MacArthur Curator of Anthropology, The </w:t>
      </w:r>
      <w:r w:rsidRPr="004F4E91">
        <w:rPr>
          <w:sz w:val="20"/>
          <w:szCs w:val="20"/>
          <w:lang w:val="en-US"/>
        </w:rPr>
        <w:t>Field Museum</w:t>
      </w:r>
    </w:p>
  </w:footnote>
  <w:footnote w:id="6">
    <w:p w:rsidR="00A246E0" w:rsidRPr="005B4CD6" w:rsidRDefault="00A246E0" w:rsidP="008D0320">
      <w:pPr>
        <w:pStyle w:val="Textodenotaderodap"/>
        <w:contextualSpacing/>
        <w:jc w:val="both"/>
        <w:rPr>
          <w:rFonts w:cstheme="minorHAnsi"/>
          <w:lang w:val="en-US"/>
        </w:rPr>
      </w:pPr>
      <w:r w:rsidRPr="005B4CD6">
        <w:rPr>
          <w:rStyle w:val="Refdenotaderodap"/>
          <w:rFonts w:cstheme="minorHAnsi"/>
        </w:rPr>
        <w:footnoteRef/>
      </w:r>
      <w:r w:rsidRPr="005B4CD6">
        <w:rPr>
          <w:rFonts w:cstheme="minorHAnsi"/>
          <w:lang w:val="en-US"/>
        </w:rPr>
        <w:t xml:space="preserve"> </w:t>
      </w:r>
      <w:r w:rsidRPr="00DF0DD7">
        <w:rPr>
          <w:lang w:val="en-US"/>
        </w:rPr>
        <w:t>Distinguished Professor at the De</w:t>
      </w:r>
      <w:r w:rsidR="005803F6">
        <w:rPr>
          <w:lang w:val="en-US"/>
        </w:rPr>
        <w:t xml:space="preserve">partment of Anthropology of the </w:t>
      </w:r>
      <w:r w:rsidRPr="004F4E91">
        <w:rPr>
          <w:lang w:val="en-US"/>
        </w:rPr>
        <w:t>University of Pittsburgh</w:t>
      </w:r>
    </w:p>
  </w:footnote>
  <w:footnote w:id="7">
    <w:p w:rsidR="00A246E0" w:rsidRPr="005B4CD6" w:rsidRDefault="00A246E0" w:rsidP="008D0320">
      <w:pPr>
        <w:spacing w:line="240" w:lineRule="auto"/>
        <w:contextualSpacing/>
        <w:jc w:val="both"/>
        <w:rPr>
          <w:rFonts w:cstheme="minorHAnsi"/>
          <w:sz w:val="20"/>
          <w:szCs w:val="20"/>
          <w:shd w:val="clear" w:color="auto" w:fill="FFFFFF"/>
          <w:lang w:val="en-US"/>
        </w:rPr>
      </w:pPr>
      <w:r w:rsidRPr="005B4CD6">
        <w:rPr>
          <w:rStyle w:val="Refdenotaderodap"/>
          <w:rFonts w:cstheme="minorHAnsi"/>
        </w:rPr>
        <w:footnoteRef/>
      </w:r>
      <w:r w:rsidRPr="005B4CD6">
        <w:rPr>
          <w:rFonts w:cstheme="minorHAnsi"/>
          <w:sz w:val="20"/>
          <w:szCs w:val="20"/>
          <w:lang w:val="en-US"/>
        </w:rPr>
        <w:t xml:space="preserve"> </w:t>
      </w:r>
      <w:r w:rsidRPr="00DF0DD7">
        <w:rPr>
          <w:sz w:val="20"/>
          <w:szCs w:val="20"/>
          <w:lang w:val="en-US"/>
        </w:rPr>
        <w:t>Chair of the Department of Anthropology, and President of the Archaeology Division of the American Anthropological Association</w:t>
      </w:r>
    </w:p>
  </w:footnote>
  <w:footnote w:id="8">
    <w:p w:rsidR="00A246E0" w:rsidRPr="005B4CD6" w:rsidRDefault="00A246E0" w:rsidP="008D0320">
      <w:pPr>
        <w:pStyle w:val="Textodenotaderodap"/>
        <w:contextualSpacing/>
        <w:jc w:val="both"/>
        <w:rPr>
          <w:rFonts w:cstheme="minorHAnsi"/>
          <w:lang w:val="en-US"/>
        </w:rPr>
      </w:pPr>
      <w:r w:rsidRPr="005B4CD6">
        <w:rPr>
          <w:rStyle w:val="Refdenotaderodap"/>
          <w:rFonts w:cstheme="minorHAnsi"/>
        </w:rPr>
        <w:footnoteRef/>
      </w:r>
      <w:r w:rsidRPr="005B4CD6">
        <w:rPr>
          <w:rFonts w:cstheme="minorHAnsi"/>
          <w:lang w:val="en-US"/>
        </w:rPr>
        <w:t xml:space="preserve"> </w:t>
      </w:r>
      <w:r w:rsidRPr="00DF0DD7">
        <w:rPr>
          <w:lang w:val="en-US"/>
        </w:rPr>
        <w:t>Department of Classics. Stanford University</w:t>
      </w:r>
    </w:p>
  </w:footnote>
  <w:footnote w:id="9">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r w:rsidRPr="004F4E91">
        <w:rPr>
          <w:rFonts w:cstheme="minorHAnsi"/>
          <w:sz w:val="20"/>
          <w:szCs w:val="20"/>
          <w:lang w:val="en-US"/>
        </w:rPr>
        <w:t>Proc Natl Acad Sci U S A</w:t>
      </w:r>
      <w:r w:rsidRPr="00855AD7">
        <w:rPr>
          <w:rFonts w:cstheme="minorHAnsi"/>
          <w:sz w:val="20"/>
          <w:szCs w:val="20"/>
          <w:lang w:val="en-US"/>
        </w:rPr>
        <w:t>. 2012 May 15; 109(20): 7617–7621.Published onli</w:t>
      </w:r>
      <w:r w:rsidR="005803F6">
        <w:rPr>
          <w:rFonts w:cstheme="minorHAnsi"/>
          <w:sz w:val="20"/>
          <w:szCs w:val="20"/>
          <w:lang w:val="en-US"/>
        </w:rPr>
        <w:t xml:space="preserve">ne 2012 Apr 30. </w:t>
      </w:r>
      <w:r w:rsidRPr="00855AD7">
        <w:rPr>
          <w:rFonts w:cstheme="minorHAnsi"/>
          <w:sz w:val="20"/>
          <w:szCs w:val="20"/>
          <w:lang w:val="en-US"/>
        </w:rPr>
        <w:t>doi: </w:t>
      </w:r>
      <w:r w:rsidRPr="004F4E91">
        <w:rPr>
          <w:rFonts w:cstheme="minorHAnsi"/>
          <w:sz w:val="20"/>
          <w:szCs w:val="20"/>
          <w:lang w:val="en-US"/>
        </w:rPr>
        <w:t>10.1073/pnas.1201714109</w:t>
      </w:r>
      <w:r w:rsidR="003069FA">
        <w:rPr>
          <w:rStyle w:val="Hyperlink"/>
          <w:rFonts w:cstheme="minorHAnsi"/>
          <w:sz w:val="20"/>
          <w:szCs w:val="20"/>
          <w:lang w:val="en-US"/>
        </w:rPr>
        <w:t xml:space="preserve"> </w:t>
      </w:r>
      <w:r w:rsidRPr="004F4E91">
        <w:rPr>
          <w:rStyle w:val="Hyperlink"/>
          <w:rFonts w:cstheme="minorHAnsi"/>
          <w:color w:val="auto"/>
          <w:sz w:val="20"/>
          <w:szCs w:val="20"/>
          <w:u w:val="none"/>
          <w:lang w:val="en-US"/>
        </w:rPr>
        <w:t xml:space="preserve">and </w:t>
      </w:r>
      <w:r w:rsidRPr="00855AD7">
        <w:rPr>
          <w:rFonts w:cstheme="minorHAnsi"/>
          <w:sz w:val="20"/>
          <w:szCs w:val="20"/>
          <w:lang w:val="en-US"/>
        </w:rPr>
        <w:t>Michael Tomasello // A Natural History Of Human Morality, http://eprints.lse.ac.uk/73681/1/bjpsbooks.wordpress.com-Michael%20Tomasello%20% (accessed June 30, 2019).</w:t>
      </w:r>
    </w:p>
  </w:footnote>
  <w:footnote w:id="10">
    <w:p w:rsidR="00A246E0" w:rsidRPr="00DF0DD7" w:rsidRDefault="00A246E0" w:rsidP="008D0320">
      <w:pPr>
        <w:spacing w:line="240" w:lineRule="auto"/>
        <w:jc w:val="both"/>
        <w:rPr>
          <w:sz w:val="20"/>
          <w:szCs w:val="20"/>
          <w:lang w:val="en-US"/>
        </w:rPr>
      </w:pPr>
      <w:r w:rsidRPr="0061150C">
        <w:rPr>
          <w:sz w:val="12"/>
          <w:szCs w:val="20"/>
        </w:rPr>
        <w:footnoteRef/>
      </w:r>
      <w:r w:rsidRPr="0061150C">
        <w:rPr>
          <w:sz w:val="12"/>
          <w:szCs w:val="20"/>
          <w:lang w:val="en-US"/>
        </w:rPr>
        <w:t xml:space="preserve"> </w:t>
      </w:r>
      <w:r w:rsidR="005803F6">
        <w:rPr>
          <w:sz w:val="20"/>
          <w:szCs w:val="20"/>
          <w:lang w:val="en-US"/>
        </w:rPr>
        <w:t>Russel, Betrrand -</w:t>
      </w:r>
      <w:r w:rsidRPr="00DF0DD7">
        <w:rPr>
          <w:sz w:val="20"/>
          <w:szCs w:val="20"/>
          <w:lang w:val="en-US"/>
        </w:rPr>
        <w:t>“Knowledge by Acquaintanc</w:t>
      </w:r>
      <w:r w:rsidR="005803F6">
        <w:rPr>
          <w:sz w:val="20"/>
          <w:szCs w:val="20"/>
          <w:lang w:val="en-US"/>
        </w:rPr>
        <w:t>e and Knowledge by Description”</w:t>
      </w:r>
      <w:r w:rsidRPr="00DF0DD7">
        <w:rPr>
          <w:sz w:val="20"/>
          <w:szCs w:val="20"/>
          <w:lang w:val="en-US"/>
        </w:rPr>
        <w:t>Proceedings of the Aristoteli</w:t>
      </w:r>
      <w:r w:rsidR="005803F6">
        <w:rPr>
          <w:sz w:val="20"/>
          <w:szCs w:val="20"/>
          <w:lang w:val="en-US"/>
        </w:rPr>
        <w:t>an Society, 11: 108–128., 1912,</w:t>
      </w:r>
      <w:r w:rsidRPr="00DF0DD7">
        <w:rPr>
          <w:sz w:val="20"/>
          <w:szCs w:val="20"/>
          <w:lang w:val="en-US"/>
        </w:rPr>
        <w:t>The Problems of Philosophy, Oxford: Oxford University Press.</w:t>
      </w:r>
    </w:p>
    <w:p w:rsidR="00A246E0" w:rsidRPr="00855AD7" w:rsidRDefault="00A246E0" w:rsidP="008D0320">
      <w:pPr>
        <w:pStyle w:val="Textodenotaderodap"/>
        <w:jc w:val="both"/>
        <w:rPr>
          <w:rFonts w:cstheme="minorHAnsi"/>
          <w:lang w:val="en-US"/>
        </w:rPr>
      </w:pPr>
    </w:p>
  </w:footnote>
  <w:footnote w:id="11">
    <w:p w:rsidR="00A246E0" w:rsidRPr="00855AD7" w:rsidRDefault="00A246E0" w:rsidP="008D0320">
      <w:pPr>
        <w:spacing w:after="0" w:line="240" w:lineRule="auto"/>
        <w:jc w:val="both"/>
        <w:rPr>
          <w:rFonts w:cstheme="minorHAnsi"/>
          <w:sz w:val="20"/>
          <w:szCs w:val="20"/>
          <w:lang w:val="en-US"/>
        </w:rPr>
      </w:pPr>
      <w:r w:rsidRPr="0061150C">
        <w:rPr>
          <w:rFonts w:cstheme="minorHAnsi"/>
          <w:sz w:val="12"/>
          <w:szCs w:val="20"/>
        </w:rPr>
        <w:footnoteRef/>
      </w:r>
      <w:r w:rsidR="00B75A30">
        <w:rPr>
          <w:rFonts w:cstheme="minorHAnsi"/>
          <w:sz w:val="20"/>
          <w:szCs w:val="20"/>
          <w:lang w:val="en-US"/>
        </w:rPr>
        <w:t xml:space="preserve"> Abdullah Sliti (2014)</w:t>
      </w:r>
      <w:r w:rsidRPr="00855AD7">
        <w:rPr>
          <w:rFonts w:cstheme="minorHAnsi"/>
          <w:sz w:val="20"/>
          <w:szCs w:val="20"/>
          <w:lang w:val="en-US"/>
        </w:rPr>
        <w:t>Islamic Ethics: Divine Command T</w:t>
      </w:r>
      <w:r w:rsidR="00B75A30">
        <w:rPr>
          <w:rFonts w:cstheme="minorHAnsi"/>
          <w:sz w:val="20"/>
          <w:szCs w:val="20"/>
          <w:lang w:val="en-US"/>
        </w:rPr>
        <w:t xml:space="preserve">heory in Arabo-Islamic Thought, </w:t>
      </w:r>
      <w:r w:rsidRPr="00855AD7">
        <w:rPr>
          <w:rFonts w:cstheme="minorHAnsi"/>
          <w:sz w:val="20"/>
          <w:szCs w:val="20"/>
          <w:lang w:val="en-US"/>
        </w:rPr>
        <w:t>Islam an</w:t>
      </w:r>
      <w:r w:rsidR="00B75A30">
        <w:rPr>
          <w:rFonts w:cstheme="minorHAnsi"/>
          <w:sz w:val="20"/>
          <w:szCs w:val="20"/>
          <w:lang w:val="en-US"/>
        </w:rPr>
        <w:t>d Christian–Muslim Relations, 25:1, 132-134, DOI:</w:t>
      </w:r>
      <w:r w:rsidRPr="004F4E91">
        <w:rPr>
          <w:rFonts w:cstheme="minorHAnsi"/>
          <w:sz w:val="20"/>
          <w:szCs w:val="20"/>
          <w:lang w:val="en-US"/>
        </w:rPr>
        <w:t>10.1080/09596410.2013.842089</w:t>
      </w:r>
    </w:p>
  </w:footnote>
  <w:footnote w:id="12">
    <w:p w:rsidR="00A246E0" w:rsidRPr="0061150C" w:rsidRDefault="00A246E0" w:rsidP="008D0320">
      <w:pPr>
        <w:pStyle w:val="Textodenotaderodap"/>
        <w:jc w:val="both"/>
        <w:rPr>
          <w:rFonts w:cstheme="minorHAnsi"/>
          <w:sz w:val="18"/>
          <w:szCs w:val="18"/>
          <w:lang w:val="en-US"/>
        </w:rPr>
      </w:pPr>
      <w:r w:rsidRPr="00855AD7">
        <w:rPr>
          <w:rStyle w:val="Refdenotaderodap"/>
          <w:rFonts w:cstheme="minorHAnsi"/>
        </w:rPr>
        <w:footnoteRef/>
      </w:r>
      <w:r w:rsidRPr="00855AD7">
        <w:rPr>
          <w:rFonts w:cstheme="minorHAnsi"/>
          <w:lang w:val="en-US"/>
        </w:rPr>
        <w:t xml:space="preserve"> Al-Attar, Mariam. (2010). Islamic Ethics: Divine Command Theory </w:t>
      </w:r>
      <w:r w:rsidRPr="0061150C">
        <w:rPr>
          <w:rFonts w:cstheme="minorHAnsi"/>
          <w:sz w:val="18"/>
          <w:szCs w:val="18"/>
          <w:lang w:val="en-US"/>
        </w:rPr>
        <w:t>in Arabo-Islamic Though. 1</w:t>
      </w:r>
      <w:r w:rsidRPr="0061150C">
        <w:rPr>
          <w:rFonts w:cstheme="minorHAnsi"/>
          <w:sz w:val="18"/>
          <w:szCs w:val="18"/>
        </w:rPr>
        <w:footnoteRef/>
      </w:r>
      <w:r w:rsidRPr="0061150C">
        <w:rPr>
          <w:rFonts w:cstheme="minorHAnsi"/>
          <w:sz w:val="18"/>
          <w:szCs w:val="18"/>
          <w:lang w:val="en-US"/>
        </w:rPr>
        <w:t xml:space="preserve"> Avi Sagi an Daniel Statman - Divine Command Morality and Jewish Tradition in The Journal of Religious.</w:t>
      </w:r>
      <w:r w:rsidRPr="0061150C">
        <w:rPr>
          <w:rFonts w:cstheme="minorHAnsi"/>
          <w:lang w:val="en-US"/>
        </w:rPr>
        <w:t xml:space="preserve"> </w:t>
      </w:r>
      <w:r w:rsidRPr="0061150C">
        <w:rPr>
          <w:rFonts w:cstheme="minorHAnsi"/>
          <w:sz w:val="18"/>
          <w:szCs w:val="18"/>
          <w:lang w:val="en-US"/>
        </w:rPr>
        <w:t>Ethics Vol. 23, No. 1 (Spring, 1995), pp. 39-67  / 0.4324/9780203855270</w:t>
      </w:r>
    </w:p>
  </w:footnote>
  <w:footnote w:id="13">
    <w:p w:rsidR="00A246E0" w:rsidRPr="00572413" w:rsidRDefault="00A246E0" w:rsidP="008D0320">
      <w:pPr>
        <w:spacing w:line="240" w:lineRule="auto"/>
        <w:jc w:val="both"/>
        <w:rPr>
          <w:sz w:val="20"/>
          <w:szCs w:val="20"/>
          <w:lang w:val="en-US"/>
        </w:rPr>
      </w:pPr>
      <w:r w:rsidRPr="0061150C">
        <w:rPr>
          <w:sz w:val="14"/>
        </w:rPr>
        <w:footnoteRef/>
      </w:r>
      <w:r w:rsidRPr="00DF0DD7">
        <w:rPr>
          <w:lang w:val="en-US"/>
        </w:rPr>
        <w:t xml:space="preserve"> </w:t>
      </w:r>
      <w:r w:rsidRPr="00572413">
        <w:rPr>
          <w:sz w:val="20"/>
          <w:szCs w:val="20"/>
          <w:lang w:val="en-US"/>
        </w:rPr>
        <w:t>Avi Sagi and Daniel Statman - Divine Command Morality and Jewish Tradition in The Journal of Religious Ethics Vol. 23, No. 1 (Spring, 1995), pp. 39-67</w:t>
      </w:r>
    </w:p>
  </w:footnote>
  <w:footnote w:id="14">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Brittany McKenna in Natural Law Theory: Definition, Ethics &amp; Examples - </w:t>
      </w:r>
      <w:r w:rsidRPr="004F4E91">
        <w:rPr>
          <w:rFonts w:cstheme="minorHAnsi"/>
          <w:lang w:val="en-US"/>
        </w:rPr>
        <w:t>https://study.com/academy/lesson/natural-law-theory-definition-ethics-examples.html#transcriptHeader</w:t>
      </w:r>
    </w:p>
  </w:footnote>
  <w:footnote w:id="15">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855AD7">
        <w:rPr>
          <w:rFonts w:cstheme="minorHAnsi"/>
          <w:noProof/>
          <w:lang w:val="en-US"/>
        </w:rPr>
        <w:t>Ewanlen</w:t>
      </w:r>
      <w:r w:rsidRPr="00855AD7">
        <w:rPr>
          <w:rFonts w:cstheme="minorHAnsi"/>
          <w:lang w:val="en-US"/>
        </w:rPr>
        <w:t>. A Journal of Philosophical Inquiry. “3. 1.1 (2017): 17–31. Print Felix Ayemere Airoboman - A Critical Reflection on Divine Command Theory of Morality</w:t>
      </w:r>
    </w:p>
  </w:footnote>
  <w:footnote w:id="16">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Eduard Osborne Wilson in  https://www.age-of-the-sage.org/science-versus-religion-debate.html</w:t>
      </w:r>
    </w:p>
  </w:footnote>
  <w:footnote w:id="17">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Galadari, Abdulla. (2011). Science vs. Religion: The Debate Ends</w:t>
      </w:r>
    </w:p>
  </w:footnote>
  <w:footnote w:id="18">
    <w:p w:rsidR="00A246E0" w:rsidRPr="00DF0DD7" w:rsidRDefault="00A246E0" w:rsidP="008D0320">
      <w:pPr>
        <w:spacing w:line="240" w:lineRule="auto"/>
        <w:jc w:val="both"/>
        <w:rPr>
          <w:lang w:val="en-US"/>
        </w:rPr>
      </w:pPr>
      <w:r w:rsidRPr="00760405">
        <w:rPr>
          <w:sz w:val="16"/>
        </w:rPr>
        <w:footnoteRef/>
      </w:r>
      <w:r w:rsidRPr="00DF0DD7">
        <w:rPr>
          <w:lang w:val="en-US"/>
        </w:rPr>
        <w:t xml:space="preserve"> Au</w:t>
      </w:r>
      <w:r w:rsidR="00B75A30">
        <w:rPr>
          <w:lang w:val="en-US"/>
        </w:rPr>
        <w:t>stin, Michael (21 August 2006).</w:t>
      </w:r>
      <w:r w:rsidRPr="004F4E91">
        <w:rPr>
          <w:lang w:val="en-US"/>
        </w:rPr>
        <w:t>"Divine Command Theory"</w:t>
      </w:r>
      <w:r w:rsidRPr="00DF0DD7">
        <w:rPr>
          <w:lang w:val="en-US"/>
        </w:rPr>
        <w:t>. Internet Encycl</w:t>
      </w:r>
      <w:r w:rsidR="00B75A30">
        <w:rPr>
          <w:lang w:val="en-US"/>
        </w:rPr>
        <w:t xml:space="preserve">opedia of Philosophy. Retrieved </w:t>
      </w:r>
      <w:r w:rsidRPr="00DF0DD7">
        <w:rPr>
          <w:lang w:val="en-US"/>
        </w:rPr>
        <w:t>3 April 2012).</w:t>
      </w:r>
    </w:p>
    <w:p w:rsidR="00A246E0" w:rsidRPr="00855AD7" w:rsidRDefault="00A246E0" w:rsidP="008D0320">
      <w:pPr>
        <w:pStyle w:val="Textodenotaderodap"/>
        <w:jc w:val="both"/>
        <w:rPr>
          <w:rFonts w:cstheme="minorHAnsi"/>
          <w:lang w:val="en-US"/>
        </w:rPr>
      </w:pPr>
    </w:p>
  </w:footnote>
  <w:footnote w:id="19">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Danaher, J. SOPHIA (2017). https://doi.org/10.1007/s11841-017-0622-9</w:t>
      </w:r>
    </w:p>
  </w:footnote>
  <w:footnote w:id="20">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Austin, Michael W. in Internet Encyclopedia of Philosophy -</w:t>
      </w:r>
      <w:r w:rsidRPr="00855AD7">
        <w:rPr>
          <w:rFonts w:cstheme="minorHAnsi"/>
          <w:shd w:val="clear" w:color="auto" w:fill="FFFFFF"/>
          <w:lang w:val="en-US"/>
        </w:rPr>
        <w:t xml:space="preserve"> </w:t>
      </w:r>
      <w:r w:rsidRPr="00855AD7">
        <w:rPr>
          <w:rFonts w:cstheme="minorHAnsi"/>
          <w:lang w:val="en-US"/>
        </w:rPr>
        <w:t>https://www.iep.utm.edu/divine-c/#H7</w:t>
      </w:r>
    </w:p>
  </w:footnote>
  <w:footnote w:id="21">
    <w:p w:rsidR="00A246E0" w:rsidRPr="00DF0DD7" w:rsidRDefault="00A246E0" w:rsidP="008D0320">
      <w:pPr>
        <w:spacing w:line="240" w:lineRule="auto"/>
        <w:jc w:val="both"/>
        <w:rPr>
          <w:sz w:val="20"/>
          <w:szCs w:val="20"/>
          <w:lang w:val="en-US"/>
        </w:rPr>
      </w:pPr>
      <w:r w:rsidRPr="00760405">
        <w:rPr>
          <w:sz w:val="14"/>
          <w:szCs w:val="20"/>
        </w:rPr>
        <w:footnoteRef/>
      </w:r>
      <w:r w:rsidRPr="00DF0DD7">
        <w:rPr>
          <w:sz w:val="20"/>
          <w:szCs w:val="20"/>
          <w:lang w:val="en-US"/>
        </w:rPr>
        <w:t xml:space="preserve"> Wainwright, Will</w:t>
      </w:r>
      <w:r w:rsidR="00F355C7">
        <w:rPr>
          <w:sz w:val="20"/>
          <w:szCs w:val="20"/>
          <w:lang w:val="en-US"/>
        </w:rPr>
        <w:t xml:space="preserve">iam – Philosophy of Religion - </w:t>
      </w:r>
      <w:r w:rsidRPr="00DF0DD7">
        <w:rPr>
          <w:sz w:val="20"/>
          <w:szCs w:val="20"/>
          <w:lang w:val="en-US"/>
        </w:rPr>
        <w:t>Cengage Learning; 2 edition (August 4, 1998)p.101</w:t>
      </w:r>
    </w:p>
  </w:footnote>
  <w:footnote w:id="22">
    <w:p w:rsidR="00A246E0" w:rsidRPr="00855AD7" w:rsidRDefault="00A246E0" w:rsidP="008D0320">
      <w:pPr>
        <w:spacing w:after="120" w:line="240" w:lineRule="auto"/>
        <w:jc w:val="both"/>
        <w:rPr>
          <w:rFonts w:cstheme="minorHAnsi"/>
          <w:sz w:val="20"/>
          <w:szCs w:val="20"/>
          <w:shd w:val="clear" w:color="auto" w:fill="FFFFFF"/>
          <w:lang w:val="en-US"/>
        </w:rPr>
      </w:pPr>
      <w:r w:rsidRPr="00855AD7">
        <w:rPr>
          <w:rStyle w:val="Refdenotaderodap"/>
          <w:rFonts w:cstheme="minorHAnsi"/>
        </w:rPr>
        <w:footnoteRef/>
      </w:r>
      <w:r w:rsidRPr="00855AD7">
        <w:rPr>
          <w:rFonts w:cstheme="minorHAnsi"/>
          <w:sz w:val="20"/>
          <w:szCs w:val="20"/>
          <w:lang w:val="en-US"/>
        </w:rPr>
        <w:t xml:space="preserve"> </w:t>
      </w:r>
      <w:r w:rsidRPr="00DF0DD7">
        <w:rPr>
          <w:lang w:val="en-US"/>
        </w:rPr>
        <w:t>Austin, Michael W. in  Internet Encyclopedia of Philosophy -</w:t>
      </w:r>
      <w:r w:rsidRPr="00855AD7">
        <w:rPr>
          <w:rFonts w:cstheme="minorHAnsi"/>
          <w:sz w:val="20"/>
          <w:szCs w:val="20"/>
          <w:shd w:val="clear" w:color="auto" w:fill="FFFFFF"/>
          <w:lang w:val="en-US"/>
        </w:rPr>
        <w:t xml:space="preserve"> </w:t>
      </w:r>
      <w:r w:rsidRPr="00855AD7">
        <w:rPr>
          <w:rFonts w:cstheme="minorHAnsi"/>
          <w:sz w:val="20"/>
          <w:szCs w:val="20"/>
          <w:lang w:val="en-US"/>
        </w:rPr>
        <w:t>https://www.iep.utm.edu/divine-c/#H7</w:t>
      </w:r>
    </w:p>
  </w:footnote>
  <w:footnote w:id="23">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Austin, Michael W. in Internet Encyclopedia of Philosophy -</w:t>
      </w:r>
      <w:r w:rsidRPr="00855AD7">
        <w:rPr>
          <w:rFonts w:cstheme="minorHAnsi"/>
          <w:shd w:val="clear" w:color="auto" w:fill="FFFFFF"/>
          <w:lang w:val="en-US"/>
        </w:rPr>
        <w:t xml:space="preserve"> </w:t>
      </w:r>
      <w:hyperlink r:id="rId3" w:anchor="H7" w:history="1">
        <w:r w:rsidRPr="00855AD7">
          <w:rPr>
            <w:rFonts w:cstheme="minorHAnsi"/>
            <w:lang w:val="en-US"/>
          </w:rPr>
          <w:t>https://www.iep.utm.edu/divine-c/#H7</w:t>
        </w:r>
      </w:hyperlink>
    </w:p>
  </w:footnote>
  <w:footnote w:id="24">
    <w:p w:rsidR="00A246E0" w:rsidRPr="00F75D57" w:rsidRDefault="00A246E0" w:rsidP="008D0320">
      <w:pPr>
        <w:spacing w:line="240" w:lineRule="auto"/>
        <w:rPr>
          <w:sz w:val="20"/>
          <w:szCs w:val="20"/>
          <w:lang w:val="en-US"/>
        </w:rPr>
      </w:pPr>
      <w:r w:rsidRPr="00855AD7">
        <w:rPr>
          <w:rStyle w:val="Refdenotaderodap"/>
          <w:rFonts w:cstheme="minorHAnsi"/>
        </w:rPr>
        <w:footnoteRef/>
      </w:r>
      <w:r w:rsidRPr="00855AD7">
        <w:rPr>
          <w:lang w:val="en-US"/>
        </w:rPr>
        <w:t xml:space="preserve"> </w:t>
      </w:r>
      <w:r w:rsidRPr="00F75D57">
        <w:rPr>
          <w:sz w:val="20"/>
          <w:szCs w:val="20"/>
          <w:lang w:val="en-US"/>
        </w:rPr>
        <w:t xml:space="preserve">Kant, Immanuel </w:t>
      </w:r>
      <w:r w:rsidRPr="00DF0DD7">
        <w:rPr>
          <w:sz w:val="20"/>
          <w:szCs w:val="20"/>
          <w:lang w:val="en-US"/>
        </w:rPr>
        <w:t xml:space="preserve">(Critique of Pure Reason-1781). </w:t>
      </w:r>
      <w:bookmarkStart w:id="6" w:name="_Hlk12454508"/>
      <w:r w:rsidRPr="00F75D57">
        <w:rPr>
          <w:sz w:val="20"/>
          <w:szCs w:val="20"/>
          <w:lang w:val="en-US"/>
        </w:rPr>
        <w:t xml:space="preserve">Translated by J. M. D. Meiklejohn -web edition published by </w:t>
      </w:r>
      <w:hyperlink r:id="rId4" w:history="1">
        <w:r w:rsidRPr="00F75D57">
          <w:rPr>
            <w:sz w:val="20"/>
            <w:szCs w:val="20"/>
            <w:lang w:val="en-US"/>
          </w:rPr>
          <w:t>eBooks@Adelaide</w:t>
        </w:r>
      </w:hyperlink>
      <w:r w:rsidRPr="00F75D57">
        <w:rPr>
          <w:sz w:val="20"/>
          <w:szCs w:val="20"/>
          <w:lang w:val="en-US"/>
        </w:rPr>
        <w:t xml:space="preserve">. </w:t>
      </w:r>
    </w:p>
    <w:bookmarkEnd w:id="6"/>
  </w:footnote>
  <w:footnote w:id="25">
    <w:p w:rsidR="00A246E0" w:rsidRPr="00F75D57" w:rsidRDefault="00A246E0" w:rsidP="008D0320">
      <w:pPr>
        <w:pStyle w:val="Textodenotaderodap"/>
        <w:rPr>
          <w:lang w:val="en-US"/>
        </w:rPr>
      </w:pPr>
      <w:r>
        <w:rPr>
          <w:rStyle w:val="Refdenotaderodap"/>
        </w:rPr>
        <w:footnoteRef/>
      </w:r>
      <w:r w:rsidRPr="00F75D57">
        <w:rPr>
          <w:lang w:val="en-US"/>
        </w:rPr>
        <w:t xml:space="preserve"> </w:t>
      </w:r>
      <w:r>
        <w:rPr>
          <w:rFonts w:cstheme="minorHAnsi"/>
          <w:lang w:val="en-US"/>
        </w:rPr>
        <w:t>Chapter 23,</w:t>
      </w:r>
    </w:p>
  </w:footnote>
  <w:footnote w:id="26">
    <w:p w:rsidR="00A246E0" w:rsidRPr="00855AD7" w:rsidRDefault="00A246E0" w:rsidP="008D0320">
      <w:pPr>
        <w:pStyle w:val="Textodenotaderodap"/>
        <w:rPr>
          <w:rFonts w:cstheme="minorHAnsi"/>
          <w:lang w:val="en-US"/>
        </w:rPr>
      </w:pPr>
      <w:r w:rsidRPr="00855AD7">
        <w:rPr>
          <w:rStyle w:val="Refdenotaderodap"/>
          <w:rFonts w:cstheme="minorHAnsi"/>
        </w:rPr>
        <w:footnoteRef/>
      </w:r>
      <w:r w:rsidRPr="00855AD7">
        <w:rPr>
          <w:rFonts w:cstheme="minorHAnsi"/>
          <w:lang w:val="en-US"/>
        </w:rPr>
        <w:t xml:space="preserve"> You Would Not Be Acting Autonomously As You Had No Control ... (n.d.). Retrieved from</w:t>
      </w:r>
      <w:r>
        <w:rPr>
          <w:rFonts w:cstheme="minorHAnsi"/>
          <w:lang w:val="en-US"/>
        </w:rPr>
        <w:t xml:space="preserve"> </w:t>
      </w:r>
      <w:r w:rsidRPr="00855AD7">
        <w:rPr>
          <w:rFonts w:cstheme="minorHAnsi"/>
          <w:lang w:val="en-US"/>
        </w:rPr>
        <w:t>https://www.coursehero.com/file/p2k8bd1/You-would-not-be-acting-autonomously-as-</w:t>
      </w:r>
    </w:p>
  </w:footnote>
  <w:footnote w:id="27">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Immanuel Kant - Internet Encyclopedia Of Philosophy. (n.d.). Retrieved from https://www.iep.utm.edu/kantview/</w:t>
      </w:r>
    </w:p>
  </w:footnote>
  <w:footnote w:id="28">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Kant, Immanuel | Internet Encyclopedia of Philosophy. https://www.iep.utm.edu/kantview/</w:t>
      </w:r>
    </w:p>
  </w:footnote>
  <w:footnote w:id="29">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Ethics According To Immanuel Kant - Ethics Sage. (n.d.). Retrieved from https://www.ethicssage.com/2017/05/ethics-according-to-immanuel-kant.html</w:t>
      </w:r>
    </w:p>
  </w:footnote>
  <w:footnote w:id="30">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Ibidem</w:t>
      </w:r>
    </w:p>
  </w:footnote>
  <w:footnote w:id="31">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Kant’s Moral Philosophy (Stanford Encyclopedia of Philosophy). https://plato.stanford.edu/entries/kant-moral/</w:t>
      </w:r>
    </w:p>
  </w:footnote>
  <w:footnote w:id="32">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Kant, Immanuel | Internet Encyclopedia of Philosophy. https://www.iep.utm.edu/kantview/</w:t>
      </w:r>
    </w:p>
  </w:footnote>
  <w:footnote w:id="33">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What Is Utilitarianism? Definition And Meaning .., http://www.businessdictionary.com/definition/utilitarianism.html (accessed June 30, 2019).</w:t>
      </w:r>
    </w:p>
  </w:footnote>
  <w:footnote w:id="34">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r w:rsidRPr="00855AD7">
        <w:rPr>
          <w:rFonts w:cstheme="minorHAnsi"/>
          <w:i/>
          <w:sz w:val="20"/>
          <w:szCs w:val="20"/>
          <w:lang w:val="en-US"/>
        </w:rPr>
        <w:t xml:space="preserve"> </w:t>
      </w:r>
      <w:r w:rsidRPr="00855AD7">
        <w:rPr>
          <w:rFonts w:cstheme="minorHAnsi"/>
          <w:sz w:val="20"/>
          <w:szCs w:val="20"/>
          <w:lang w:val="en-US"/>
        </w:rPr>
        <w:t>Bentham, Jeremy</w:t>
      </w:r>
      <w:r w:rsidRPr="00855AD7">
        <w:rPr>
          <w:rFonts w:cstheme="minorHAnsi"/>
          <w:i/>
          <w:sz w:val="20"/>
          <w:szCs w:val="20"/>
          <w:lang w:val="en-US"/>
        </w:rPr>
        <w:t xml:space="preserve"> – An Introduction to the Principles of Morals and Legislation – </w:t>
      </w:r>
      <w:r w:rsidRPr="00855AD7">
        <w:rPr>
          <w:rFonts w:cstheme="minorHAnsi"/>
          <w:sz w:val="20"/>
          <w:szCs w:val="20"/>
          <w:lang w:val="en-US"/>
        </w:rPr>
        <w:t>New York, Hafner Publishing Co. 1948 -</w:t>
      </w:r>
      <w:r w:rsidRPr="00855AD7">
        <w:rPr>
          <w:rFonts w:eastAsia="Times New Roman" w:cstheme="minorHAnsi"/>
          <w:b/>
          <w:bCs/>
          <w:iCs/>
          <w:sz w:val="20"/>
          <w:szCs w:val="20"/>
          <w:lang w:val="en-US" w:eastAsia="pt-BR"/>
        </w:rPr>
        <w:t xml:space="preserve"> </w:t>
      </w:r>
      <w:r w:rsidRPr="00855AD7">
        <w:rPr>
          <w:rFonts w:eastAsia="Times New Roman" w:cstheme="minorHAnsi"/>
          <w:bCs/>
          <w:sz w:val="20"/>
          <w:szCs w:val="20"/>
          <w:lang w:val="en-US" w:eastAsia="pt-BR"/>
        </w:rPr>
        <w:t>Chapter 1</w:t>
      </w:r>
      <w:r w:rsidRPr="00855AD7">
        <w:rPr>
          <w:rFonts w:eastAsia="Times New Roman" w:cstheme="minorHAnsi"/>
          <w:bCs/>
          <w:iCs/>
          <w:sz w:val="20"/>
          <w:szCs w:val="20"/>
          <w:lang w:val="en-US" w:eastAsia="pt-BR"/>
        </w:rPr>
        <w:t xml:space="preserve"> - </w:t>
      </w:r>
      <w:r w:rsidRPr="00855AD7">
        <w:rPr>
          <w:rFonts w:eastAsia="Times New Roman" w:cstheme="minorHAnsi"/>
          <w:bCs/>
          <w:sz w:val="20"/>
          <w:szCs w:val="20"/>
          <w:lang w:val="en-US" w:eastAsia="pt-BR"/>
        </w:rPr>
        <w:t>Of the Principle of Utility.</w:t>
      </w:r>
    </w:p>
  </w:footnote>
  <w:footnote w:id="35">
    <w:p w:rsidR="00A246E0" w:rsidRPr="00855AD7" w:rsidRDefault="00A246E0" w:rsidP="008D0320">
      <w:pPr>
        <w:autoSpaceDE w:val="0"/>
        <w:autoSpaceDN w:val="0"/>
        <w:adjustRightInd w:val="0"/>
        <w:spacing w:after="90" w:line="240" w:lineRule="auto"/>
        <w:jc w:val="both"/>
        <w:rPr>
          <w:rFonts w:eastAsia="Times New Roman"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r w:rsidRPr="00855AD7">
        <w:rPr>
          <w:rFonts w:eastAsia="Times New Roman" w:cstheme="minorHAnsi"/>
          <w:sz w:val="20"/>
          <w:szCs w:val="20"/>
          <w:lang w:val="en-US"/>
        </w:rPr>
        <w:t>Hare's Preference Utilitarianism: An Overview And Critique, http://www.scielo.br/scielo.php?script=sci_arttext&amp;pid=S0101-317320130002000 (accessed June 30, 2019).</w:t>
      </w:r>
    </w:p>
  </w:footnote>
  <w:footnote w:id="36">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The Moral Foundations of Politics – Yale University Press – ISBN 978-0-300-18545-4</w:t>
      </w:r>
    </w:p>
  </w:footnote>
  <w:footnote w:id="37">
    <w:p w:rsidR="00A246E0" w:rsidRPr="00855AD7" w:rsidRDefault="00A246E0" w:rsidP="008D0320">
      <w:pPr>
        <w:pStyle w:val="Textodenotaderodap"/>
        <w:rPr>
          <w:rFonts w:cstheme="minorHAnsi"/>
          <w:lang w:val="en-US"/>
        </w:rPr>
      </w:pPr>
      <w:r w:rsidRPr="00855AD7">
        <w:rPr>
          <w:rStyle w:val="Refdenotaderodap"/>
          <w:rFonts w:cstheme="minorHAnsi"/>
        </w:rPr>
        <w:footnoteRef/>
      </w:r>
      <w:r w:rsidRPr="00855AD7">
        <w:rPr>
          <w:rFonts w:cstheme="minorHAnsi"/>
          <w:lang w:val="en-US"/>
        </w:rPr>
        <w:t xml:space="preserve">Virtue Ethics - Ethics Unwrapped, https://ethicsunwrapped.utexas.edu/glossary/virtue-ethics (accessed June 30, 2019). </w:t>
      </w:r>
    </w:p>
  </w:footnote>
  <w:footnote w:id="38">
    <w:p w:rsidR="00A246E0" w:rsidRPr="00F75D57" w:rsidRDefault="00A246E0" w:rsidP="008D0320">
      <w:pPr>
        <w:spacing w:line="240" w:lineRule="auto"/>
        <w:jc w:val="both"/>
        <w:rPr>
          <w:rFonts w:cstheme="minorHAnsi"/>
          <w:sz w:val="20"/>
          <w:szCs w:val="20"/>
          <w:shd w:val="clear" w:color="auto" w:fill="FFFFFF"/>
          <w:lang w:val="en-US"/>
        </w:rPr>
      </w:pPr>
      <w:r w:rsidRPr="00855AD7">
        <w:rPr>
          <w:rStyle w:val="Refdenotaderodap"/>
          <w:rFonts w:cstheme="minorHAnsi"/>
        </w:rPr>
        <w:footnoteRef/>
      </w:r>
      <w:r w:rsidRPr="00855AD7">
        <w:rPr>
          <w:rFonts w:cstheme="minorHAnsi"/>
          <w:sz w:val="20"/>
          <w:szCs w:val="20"/>
          <w:lang w:val="en-US"/>
        </w:rPr>
        <w:t xml:space="preserve"> </w:t>
      </w:r>
      <w:r w:rsidRPr="00F75D57">
        <w:rPr>
          <w:rFonts w:cstheme="minorHAnsi"/>
          <w:sz w:val="20"/>
          <w:szCs w:val="20"/>
          <w:lang w:val="en-US"/>
        </w:rPr>
        <w:t>The</w:t>
      </w:r>
      <w:r w:rsidR="00207BC1">
        <w:rPr>
          <w:sz w:val="20"/>
          <w:szCs w:val="20"/>
          <w:lang w:val="en-US"/>
        </w:rPr>
        <w:t xml:space="preserve"> Dorwin Cartwright Professor of </w:t>
      </w:r>
      <w:r w:rsidRPr="004F4E91">
        <w:rPr>
          <w:sz w:val="20"/>
          <w:szCs w:val="20"/>
          <w:lang w:val="en-US"/>
        </w:rPr>
        <w:t>Social Theory</w:t>
      </w:r>
      <w:r w:rsidR="00207BC1">
        <w:rPr>
          <w:sz w:val="20"/>
          <w:szCs w:val="20"/>
          <w:lang w:val="en-US"/>
        </w:rPr>
        <w:t xml:space="preserve"> and Social Action at S</w:t>
      </w:r>
      <w:r w:rsidRPr="004F4E91">
        <w:rPr>
          <w:sz w:val="20"/>
          <w:szCs w:val="20"/>
          <w:lang w:val="en-US"/>
        </w:rPr>
        <w:t>warthmore College</w:t>
      </w:r>
      <w:r w:rsidRPr="00DF0DD7">
        <w:rPr>
          <w:sz w:val="20"/>
          <w:szCs w:val="20"/>
          <w:lang w:val="en-US"/>
        </w:rPr>
        <w:t>.</w:t>
      </w:r>
    </w:p>
  </w:footnote>
  <w:footnote w:id="39">
    <w:p w:rsidR="00A246E0" w:rsidRPr="00F75D57" w:rsidRDefault="00A246E0" w:rsidP="008D0320">
      <w:pPr>
        <w:spacing w:line="240" w:lineRule="auto"/>
        <w:jc w:val="both"/>
        <w:rPr>
          <w:rFonts w:cstheme="minorHAnsi"/>
          <w:sz w:val="20"/>
          <w:szCs w:val="20"/>
          <w:lang w:val="en-US"/>
        </w:rPr>
      </w:pPr>
      <w:r w:rsidRPr="00F75D57">
        <w:rPr>
          <w:rStyle w:val="Refdenotaderodap"/>
          <w:rFonts w:cstheme="minorHAnsi"/>
        </w:rPr>
        <w:footnoteRef/>
      </w:r>
      <w:r w:rsidRPr="00F75D57">
        <w:rPr>
          <w:rFonts w:cstheme="minorHAnsi"/>
          <w:sz w:val="20"/>
          <w:szCs w:val="20"/>
          <w:lang w:val="en-US"/>
        </w:rPr>
        <w:t xml:space="preserve"> The </w:t>
      </w:r>
      <w:r w:rsidRPr="00DF0DD7">
        <w:rPr>
          <w:sz w:val="20"/>
          <w:szCs w:val="20"/>
          <w:lang w:val="en-US"/>
        </w:rPr>
        <w:t>William R. Kenan, Jr. Professor of Political Science at Swarthmore College</w:t>
      </w:r>
    </w:p>
  </w:footnote>
  <w:footnote w:id="40">
    <w:p w:rsidR="00A246E0" w:rsidRPr="00FF35BA"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hyperlink r:id="rId5" w:tgtFrame="_blank" w:history="1">
        <w:r w:rsidRPr="00855AD7">
          <w:rPr>
            <w:rFonts w:cstheme="minorHAnsi"/>
            <w:sz w:val="20"/>
            <w:szCs w:val="20"/>
            <w:lang w:val="en-US"/>
          </w:rPr>
          <w:t>Practical Wisdom: The Right Way to Do the Right Thing</w:t>
        </w:r>
      </w:hyperlink>
      <w:r w:rsidRPr="00855AD7">
        <w:rPr>
          <w:rFonts w:cstheme="minorHAnsi"/>
          <w:sz w:val="20"/>
          <w:szCs w:val="20"/>
          <w:lang w:val="en-US"/>
        </w:rPr>
        <w:t xml:space="preserve"> - Riverhead Book</w:t>
      </w:r>
      <w:r w:rsidR="00207BC1">
        <w:rPr>
          <w:rFonts w:cstheme="minorHAnsi"/>
          <w:sz w:val="20"/>
          <w:szCs w:val="20"/>
          <w:lang w:val="en-US"/>
        </w:rPr>
        <w:t xml:space="preserve">s; Ed: Reprint (2011 - ISBN-10:1594485437ISBN-13: </w:t>
      </w:r>
      <w:r w:rsidRPr="00855AD7">
        <w:rPr>
          <w:rFonts w:cstheme="minorHAnsi"/>
          <w:sz w:val="20"/>
          <w:szCs w:val="20"/>
          <w:lang w:val="en-US"/>
        </w:rPr>
        <w:t>978-1594485435 p17.</w:t>
      </w:r>
    </w:p>
  </w:footnote>
  <w:footnote w:id="41">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Mackie, J. L. (1978). Can there</w:t>
      </w:r>
      <w:r w:rsidR="00207BC1">
        <w:rPr>
          <w:rFonts w:cstheme="minorHAnsi"/>
          <w:sz w:val="20"/>
          <w:szCs w:val="20"/>
          <w:lang w:val="en-US"/>
        </w:rPr>
        <w:t xml:space="preserve"> be a right-based moral theory? Midwest Studies in Philosophy </w:t>
      </w:r>
      <w:r w:rsidRPr="00855AD7">
        <w:rPr>
          <w:rFonts w:cstheme="minorHAnsi"/>
          <w:sz w:val="20"/>
          <w:szCs w:val="20"/>
          <w:lang w:val="en-US"/>
        </w:rPr>
        <w:t>3 (1):350-359.125</w:t>
      </w:r>
    </w:p>
  </w:footnote>
  <w:footnote w:id="42">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Harman, Gilbert and Thomson, Judith Jarvis – “Moral Relativism and Moral Objectivity” - WB; 1 edition (January 9, 1996) IS</w:t>
      </w:r>
      <w:r>
        <w:rPr>
          <w:rFonts w:cstheme="minorHAnsi"/>
          <w:sz w:val="20"/>
          <w:szCs w:val="20"/>
          <w:lang w:val="en-US"/>
        </w:rPr>
        <w:t>BN-10: 0631192115/ ISBN-13:</w:t>
      </w:r>
      <w:r w:rsidRPr="00855AD7">
        <w:rPr>
          <w:rFonts w:cstheme="minorHAnsi"/>
          <w:sz w:val="20"/>
          <w:szCs w:val="20"/>
          <w:lang w:val="en-US"/>
        </w:rPr>
        <w:t xml:space="preserve">978-0631192114 - pp. 3-5. 3 </w:t>
      </w:r>
    </w:p>
  </w:footnote>
  <w:footnote w:id="43">
    <w:p w:rsidR="00A246E0" w:rsidRPr="00DF0DD7" w:rsidRDefault="00A246E0" w:rsidP="008D0320">
      <w:pPr>
        <w:spacing w:line="240" w:lineRule="auto"/>
        <w:jc w:val="both"/>
        <w:rPr>
          <w:sz w:val="20"/>
          <w:szCs w:val="20"/>
          <w:lang w:val="en-US"/>
        </w:rPr>
      </w:pPr>
      <w:r w:rsidRPr="00F75D57">
        <w:rPr>
          <w:sz w:val="20"/>
          <w:szCs w:val="20"/>
        </w:rPr>
        <w:footnoteRef/>
      </w:r>
      <w:r w:rsidRPr="00DF0DD7">
        <w:rPr>
          <w:sz w:val="20"/>
          <w:szCs w:val="20"/>
          <w:lang w:val="en-US"/>
        </w:rPr>
        <w:t xml:space="preserve">  John S. Gilkeson  - “Anthropologists and the Rediscovery of America,1886–1965” 2009, p.251</w:t>
      </w:r>
    </w:p>
  </w:footnote>
  <w:footnote w:id="44">
    <w:p w:rsidR="00A246E0" w:rsidRPr="00855AD7" w:rsidRDefault="00A246E0" w:rsidP="008D0320">
      <w:pPr>
        <w:spacing w:line="240" w:lineRule="auto"/>
        <w:jc w:val="both"/>
        <w:rPr>
          <w:rFonts w:cstheme="minorHAnsi"/>
          <w:sz w:val="20"/>
          <w:szCs w:val="20"/>
          <w:shd w:val="clear" w:color="auto" w:fill="FFFFFF"/>
          <w:lang w:val="en-US"/>
        </w:rPr>
      </w:pPr>
      <w:r w:rsidRPr="00855AD7">
        <w:rPr>
          <w:rStyle w:val="Refdenotaderodap"/>
          <w:rFonts w:cstheme="minorHAnsi"/>
        </w:rPr>
        <w:footnoteRef/>
      </w:r>
      <w:r w:rsidRPr="00855AD7">
        <w:rPr>
          <w:rFonts w:cstheme="minorHAnsi"/>
          <w:sz w:val="20"/>
          <w:szCs w:val="20"/>
          <w:lang w:val="en-US"/>
        </w:rPr>
        <w:t xml:space="preserve"> </w:t>
      </w:r>
      <w:r>
        <w:rPr>
          <w:sz w:val="20"/>
          <w:szCs w:val="20"/>
          <w:lang w:val="en-US"/>
        </w:rPr>
        <w:t xml:space="preserve">Former President of the </w:t>
      </w:r>
      <w:r w:rsidRPr="004F4E91">
        <w:rPr>
          <w:sz w:val="20"/>
          <w:szCs w:val="20"/>
          <w:lang w:val="en-US"/>
        </w:rPr>
        <w:t>American Sociological Association</w:t>
      </w:r>
      <w:r>
        <w:rPr>
          <w:sz w:val="20"/>
          <w:szCs w:val="20"/>
          <w:lang w:val="en-US"/>
        </w:rPr>
        <w:t xml:space="preserve"> </w:t>
      </w:r>
      <w:r w:rsidRPr="00DF0DD7">
        <w:rPr>
          <w:sz w:val="20"/>
          <w:szCs w:val="20"/>
          <w:lang w:val="en-US"/>
        </w:rPr>
        <w:t>and Eme</w:t>
      </w:r>
      <w:r>
        <w:rPr>
          <w:sz w:val="20"/>
          <w:szCs w:val="20"/>
          <w:lang w:val="en-US"/>
        </w:rPr>
        <w:t xml:space="preserve">ritus Professor of Sociology at </w:t>
      </w:r>
      <w:r w:rsidRPr="004F4E91">
        <w:rPr>
          <w:sz w:val="20"/>
          <w:szCs w:val="20"/>
          <w:lang w:val="en-US"/>
        </w:rPr>
        <w:t>Oberlin College</w:t>
      </w:r>
    </w:p>
  </w:footnote>
  <w:footnote w:id="45">
    <w:p w:rsidR="00A246E0" w:rsidRPr="00855AD7" w:rsidRDefault="00A246E0" w:rsidP="008D0320">
      <w:pPr>
        <w:spacing w:line="240" w:lineRule="auto"/>
        <w:jc w:val="both"/>
        <w:rPr>
          <w:rFonts w:cstheme="minorHAnsi"/>
          <w:sz w:val="20"/>
          <w:szCs w:val="20"/>
          <w:shd w:val="clear" w:color="auto" w:fill="FFFFFF"/>
          <w:lang w:val="en-US"/>
        </w:rPr>
      </w:pPr>
      <w:r w:rsidRPr="00855AD7">
        <w:rPr>
          <w:rStyle w:val="Refdenotaderodap"/>
          <w:rFonts w:cstheme="minorHAnsi"/>
        </w:rPr>
        <w:footnoteRef/>
      </w:r>
      <w:r w:rsidRPr="00855AD7">
        <w:rPr>
          <w:rFonts w:cstheme="minorHAnsi"/>
          <w:sz w:val="20"/>
          <w:szCs w:val="20"/>
          <w:lang w:val="en-US"/>
        </w:rPr>
        <w:t xml:space="preserve"> “</w:t>
      </w:r>
      <w:r w:rsidRPr="00DF0DD7">
        <w:rPr>
          <w:sz w:val="20"/>
          <w:szCs w:val="20"/>
          <w:lang w:val="en-US"/>
        </w:rPr>
        <w:t>Contraculture and S</w:t>
      </w:r>
      <w:r>
        <w:rPr>
          <w:sz w:val="20"/>
          <w:szCs w:val="20"/>
          <w:lang w:val="en-US"/>
        </w:rPr>
        <w:t xml:space="preserve">ubculture” by J. Milton Yinger, </w:t>
      </w:r>
      <w:r w:rsidRPr="00DF0DD7">
        <w:rPr>
          <w:sz w:val="20"/>
          <w:szCs w:val="20"/>
          <w:lang w:val="en-US"/>
        </w:rPr>
        <w:t>American Sociological Rev</w:t>
      </w:r>
      <w:r>
        <w:rPr>
          <w:sz w:val="20"/>
          <w:szCs w:val="20"/>
          <w:lang w:val="en-US"/>
        </w:rPr>
        <w:t>iew, Vol. 25, No. 5 -Oct. 1960-</w:t>
      </w:r>
      <w:r w:rsidRPr="00DF0DD7">
        <w:rPr>
          <w:sz w:val="20"/>
          <w:szCs w:val="20"/>
          <w:lang w:val="en-US"/>
        </w:rPr>
        <w:t>pg. 625-635</w:t>
      </w:r>
      <w:r w:rsidRPr="00855AD7">
        <w:rPr>
          <w:rFonts w:cstheme="minorHAnsi"/>
          <w:sz w:val="20"/>
          <w:szCs w:val="20"/>
          <w:shd w:val="clear" w:color="auto" w:fill="FFFFFF"/>
          <w:lang w:val="en-US"/>
        </w:rPr>
        <w:t xml:space="preserve"> </w:t>
      </w:r>
    </w:p>
  </w:footnote>
  <w:footnote w:id="46">
    <w:p w:rsidR="00A246E0" w:rsidRPr="00855AD7" w:rsidRDefault="00A246E0" w:rsidP="008D0320">
      <w:pPr>
        <w:pStyle w:val="Textodenotaderodap"/>
        <w:rPr>
          <w:rFonts w:cstheme="minorHAnsi"/>
          <w:lang w:val="en-US"/>
        </w:rPr>
      </w:pPr>
      <w:r w:rsidRPr="00855AD7">
        <w:rPr>
          <w:rStyle w:val="Refdenotaderodap"/>
          <w:rFonts w:cstheme="minorHAnsi"/>
        </w:rPr>
        <w:footnoteRef/>
      </w:r>
      <w:r>
        <w:rPr>
          <w:rFonts w:cstheme="minorHAnsi"/>
          <w:lang w:val="en-US"/>
        </w:rPr>
        <w:t xml:space="preserve"> </w:t>
      </w:r>
      <w:r w:rsidRPr="004F4E91">
        <w:rPr>
          <w:rFonts w:cstheme="minorHAnsi"/>
          <w:lang w:val="en-US"/>
        </w:rPr>
        <w:t>https://www.philosophybasics.com/branch_moral_realism.html - retrieved on July,05</w:t>
      </w:r>
      <w:r w:rsidRPr="00855AD7">
        <w:rPr>
          <w:rFonts w:cstheme="minorHAnsi"/>
          <w:lang w:val="en-US"/>
        </w:rPr>
        <w:t xml:space="preserve"> 2019</w:t>
      </w:r>
    </w:p>
  </w:footnote>
  <w:footnote w:id="47">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Boyd, Richard,at Cornell University (1988). How to Be a Moral Realist.</w:t>
      </w:r>
    </w:p>
  </w:footnote>
  <w:footnote w:id="48">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 xml:space="preserve">Hanuk University of Foreign Studies Korea </w:t>
      </w:r>
      <w:r w:rsidRPr="00F75D57">
        <w:rPr>
          <w:lang w:val="en-US"/>
        </w:rPr>
        <w:t>Shin Kim</w:t>
      </w:r>
      <w:r w:rsidRPr="00DF0DD7">
        <w:rPr>
          <w:lang w:val="en-US"/>
        </w:rPr>
        <w:t xml:space="preserve"> in</w:t>
      </w:r>
      <w:r w:rsidRPr="00855AD7">
        <w:rPr>
          <w:rFonts w:cstheme="minorHAnsi"/>
          <w:shd w:val="clear" w:color="auto" w:fill="FFFFFF"/>
          <w:lang w:val="en-US"/>
        </w:rPr>
        <w:t xml:space="preserve"> </w:t>
      </w:r>
      <w:r w:rsidRPr="004F4E91">
        <w:rPr>
          <w:rFonts w:cstheme="minorHAnsi"/>
          <w:lang w:val="en-US"/>
        </w:rPr>
        <w:t>https://www.iep.utm.edu/moralrea/</w:t>
      </w:r>
      <w:r w:rsidRPr="00855AD7">
        <w:rPr>
          <w:rFonts w:cstheme="minorHAnsi"/>
          <w:lang w:val="en-US"/>
        </w:rPr>
        <w:t xml:space="preserve"> (retrieved on July 05 2019)</w:t>
      </w:r>
    </w:p>
  </w:footnote>
  <w:footnote w:id="49">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Brink David O, - “Moral Realism and the Foundations of Ethics” – Cambridge Studies in Philosophy – Cambridge University Press –ISBN 0 52135937. pg 15</w:t>
      </w:r>
    </w:p>
  </w:footnote>
  <w:footnote w:id="50">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Op.cit. pg 19</w:t>
      </w:r>
    </w:p>
  </w:footnote>
  <w:footnote w:id="51">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Boyd, Richard,at Cornell University (1988). How to Be a Moral Realist. Item 4.1</w:t>
      </w:r>
    </w:p>
  </w:footnote>
  <w:footnote w:id="52">
    <w:p w:rsidR="00A246E0" w:rsidRPr="00855AD7" w:rsidRDefault="00A246E0" w:rsidP="008D0320">
      <w:pPr>
        <w:spacing w:line="240" w:lineRule="auto"/>
        <w:jc w:val="both"/>
        <w:rPr>
          <w:rFonts w:cstheme="minorHAnsi"/>
          <w:sz w:val="20"/>
          <w:szCs w:val="20"/>
          <w:shd w:val="clear" w:color="auto" w:fill="FFFFFF"/>
          <w:lang w:val="en-US"/>
        </w:rPr>
      </w:pPr>
      <w:r w:rsidRPr="00855AD7">
        <w:rPr>
          <w:rStyle w:val="Refdenotaderodap"/>
          <w:rFonts w:cstheme="minorHAnsi"/>
        </w:rPr>
        <w:footnoteRef/>
      </w:r>
      <w:r w:rsidR="00207BC1">
        <w:rPr>
          <w:rFonts w:cstheme="minorHAnsi"/>
          <w:sz w:val="20"/>
          <w:szCs w:val="20"/>
          <w:lang w:val="en-US"/>
        </w:rPr>
        <w:t xml:space="preserve"> Darwin, Charles. The Descent of Man - </w:t>
      </w:r>
      <w:r w:rsidRPr="00855AD7">
        <w:rPr>
          <w:rFonts w:cstheme="minorHAnsi"/>
          <w:sz w:val="20"/>
          <w:szCs w:val="20"/>
          <w:lang w:val="en-US"/>
        </w:rPr>
        <w:t>1871b, Chap. IV par.97 </w:t>
      </w:r>
    </w:p>
    <w:p w:rsidR="00A246E0" w:rsidRPr="00855AD7" w:rsidRDefault="00A246E0" w:rsidP="008D0320">
      <w:pPr>
        <w:pStyle w:val="Textodenotaderodap"/>
        <w:jc w:val="both"/>
        <w:rPr>
          <w:rFonts w:cstheme="minorHAnsi"/>
          <w:lang w:val="en-US"/>
        </w:rPr>
      </w:pPr>
    </w:p>
  </w:footnote>
  <w:footnote w:id="53">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Rayner, Sam (2005) "</w:t>
      </w:r>
      <w:r w:rsidRPr="00855AD7">
        <w:rPr>
          <w:rFonts w:cstheme="minorHAnsi"/>
          <w:i/>
          <w:lang w:val="en-US"/>
        </w:rPr>
        <w:t>Too Strong for Principle: An Examination of the Theory and Philosophical Implications of Evolutionary Ethics</w:t>
      </w:r>
      <w:r w:rsidRPr="00855AD7">
        <w:rPr>
          <w:rFonts w:cstheme="minorHAnsi"/>
          <w:lang w:val="en-US"/>
        </w:rPr>
        <w:t>," Macalester Journal of Philosophy: Vol. 15 : Iss. 1 , Article 6. Available at: https://digitalcommons.macalester.edu/philo/vol15/iss1/6-</w:t>
      </w:r>
    </w:p>
  </w:footnote>
  <w:footnote w:id="54">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DF0DD7">
        <w:rPr>
          <w:lang w:val="en-US"/>
        </w:rPr>
        <w:t xml:space="preserve"> ( source: </w:t>
      </w:r>
      <w:r w:rsidRPr="004F4E91">
        <w:rPr>
          <w:rFonts w:cstheme="minorHAnsi"/>
          <w:lang w:val="en-US"/>
        </w:rPr>
        <w:t>Hollis, Martin</w:t>
      </w:r>
      <w:r w:rsidRPr="00DF0DD7">
        <w:rPr>
          <w:lang w:val="en-US"/>
        </w:rPr>
        <w:t> (1994). </w:t>
      </w:r>
      <w:r w:rsidRPr="00365295">
        <w:rPr>
          <w:lang w:val="en-US"/>
        </w:rPr>
        <w:t>The Philosophy of Social Science: An Introduction. Cambridge. </w:t>
      </w:r>
      <w:r w:rsidRPr="004F4E91">
        <w:rPr>
          <w:rFonts w:cstheme="minorHAnsi"/>
          <w:lang w:val="en-US"/>
        </w:rPr>
        <w:t>ISBN</w:t>
      </w:r>
      <w:r w:rsidRPr="00855AD7">
        <w:rPr>
          <w:rFonts w:cstheme="minorHAnsi"/>
          <w:lang w:val="en-US"/>
        </w:rPr>
        <w:t> </w:t>
      </w:r>
      <w:r w:rsidRPr="004F4E91">
        <w:rPr>
          <w:rFonts w:cstheme="minorHAnsi"/>
          <w:lang w:val="en-US"/>
        </w:rPr>
        <w:t>978-0-521-44780-5</w:t>
      </w:r>
      <w:r w:rsidRPr="00855AD7">
        <w:rPr>
          <w:rFonts w:cstheme="minorHAnsi"/>
          <w:lang w:val="en-US"/>
        </w:rPr>
        <w:t>.)</w:t>
      </w:r>
    </w:p>
  </w:footnote>
  <w:footnote w:id="55">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Columbia University</w:t>
      </w:r>
    </w:p>
  </w:footnote>
  <w:footnote w:id="56">
    <w:p w:rsidR="00A246E0" w:rsidRPr="00F75D57" w:rsidRDefault="00A246E0" w:rsidP="008D0320">
      <w:pPr>
        <w:spacing w:line="240" w:lineRule="auto"/>
        <w:contextualSpacing/>
        <w:jc w:val="both"/>
        <w:rPr>
          <w:rFonts w:eastAsia="Times New Roman" w:cstheme="minorHAnsi"/>
          <w:sz w:val="20"/>
          <w:szCs w:val="20"/>
          <w:lang w:val="en-US" w:eastAsia="pt-BR"/>
        </w:rPr>
      </w:pPr>
      <w:r w:rsidRPr="00F75D57">
        <w:rPr>
          <w:rStyle w:val="Refdenotaderodap"/>
          <w:rFonts w:cstheme="minorHAnsi"/>
        </w:rPr>
        <w:footnoteRef/>
      </w:r>
      <w:r w:rsidRPr="00F75D57">
        <w:rPr>
          <w:rFonts w:cstheme="minorHAnsi"/>
          <w:sz w:val="20"/>
          <w:szCs w:val="20"/>
          <w:lang w:val="en-US"/>
        </w:rPr>
        <w:t xml:space="preserve"> </w:t>
      </w:r>
      <w:r w:rsidRPr="00DF0DD7">
        <w:rPr>
          <w:sz w:val="20"/>
          <w:szCs w:val="20"/>
          <w:lang w:val="en-US"/>
        </w:rPr>
        <w:t>Pacific Biosciences Research Center, University of Hawaii at Manoa</w:t>
      </w:r>
    </w:p>
  </w:footnote>
  <w:footnote w:id="57">
    <w:p w:rsidR="00A246E0" w:rsidRPr="00F75D57" w:rsidRDefault="00A246E0" w:rsidP="008D0320">
      <w:pPr>
        <w:pStyle w:val="Textodenotaderodap"/>
        <w:jc w:val="both"/>
        <w:rPr>
          <w:rFonts w:cstheme="minorHAnsi"/>
          <w:lang w:val="en-US"/>
        </w:rPr>
      </w:pPr>
      <w:r w:rsidRPr="00F75D57">
        <w:rPr>
          <w:rStyle w:val="Refdenotaderodap"/>
          <w:rFonts w:cstheme="minorHAnsi"/>
        </w:rPr>
        <w:footnoteRef/>
      </w:r>
      <w:r w:rsidRPr="00F75D57">
        <w:rPr>
          <w:rFonts w:cstheme="minorHAnsi"/>
          <w:lang w:val="en-US"/>
        </w:rPr>
        <w:t xml:space="preserve"> </w:t>
      </w:r>
      <w:r w:rsidRPr="00DF0DD7">
        <w:rPr>
          <w:lang w:val="en-US"/>
        </w:rPr>
        <w:t>Professor of Physics, Aix-Marseille University</w:t>
      </w:r>
    </w:p>
  </w:footnote>
  <w:footnote w:id="58">
    <w:p w:rsidR="00A246E0" w:rsidRPr="00F75D57" w:rsidRDefault="00A246E0" w:rsidP="008D0320">
      <w:pPr>
        <w:spacing w:line="240" w:lineRule="auto"/>
        <w:contextualSpacing/>
        <w:jc w:val="both"/>
        <w:rPr>
          <w:rFonts w:eastAsia="Times New Roman" w:cstheme="minorHAnsi"/>
          <w:sz w:val="20"/>
          <w:szCs w:val="20"/>
          <w:lang w:val="en-US" w:eastAsia="pt-BR"/>
        </w:rPr>
      </w:pPr>
      <w:r w:rsidRPr="00F75D57">
        <w:rPr>
          <w:rStyle w:val="Refdenotaderodap"/>
          <w:rFonts w:cstheme="minorHAnsi"/>
        </w:rPr>
        <w:footnoteRef/>
      </w:r>
      <w:r w:rsidRPr="00F75D57">
        <w:rPr>
          <w:rFonts w:cstheme="minorHAnsi"/>
          <w:sz w:val="20"/>
          <w:szCs w:val="20"/>
          <w:lang w:val="en-US"/>
        </w:rPr>
        <w:t xml:space="preserve"> </w:t>
      </w:r>
      <w:r w:rsidRPr="00DF0DD7">
        <w:rPr>
          <w:sz w:val="20"/>
          <w:szCs w:val="20"/>
          <w:lang w:val="en-US"/>
        </w:rPr>
        <w:t>Professor of Philosophy, University of Wisconsin</w:t>
      </w:r>
    </w:p>
  </w:footnote>
  <w:footnote w:id="59">
    <w:p w:rsidR="00A246E0" w:rsidRPr="00F75D57" w:rsidRDefault="00A246E0" w:rsidP="008D0320">
      <w:pPr>
        <w:pStyle w:val="Textodenotaderodap"/>
        <w:jc w:val="both"/>
        <w:rPr>
          <w:rFonts w:cstheme="minorHAnsi"/>
          <w:lang w:val="en-US"/>
        </w:rPr>
      </w:pPr>
      <w:r w:rsidRPr="00F75D57">
        <w:rPr>
          <w:rStyle w:val="Refdenotaderodap"/>
          <w:rFonts w:cstheme="minorHAnsi"/>
        </w:rPr>
        <w:footnoteRef/>
      </w:r>
      <w:r w:rsidRPr="00F75D57">
        <w:rPr>
          <w:rFonts w:cstheme="minorHAnsi"/>
          <w:lang w:val="en-US"/>
        </w:rPr>
        <w:t xml:space="preserve"> </w:t>
      </w:r>
      <w:r w:rsidRPr="00DF0DD7">
        <w:rPr>
          <w:lang w:val="en-US"/>
        </w:rPr>
        <w:t>California Institute of Technology</w:t>
      </w:r>
    </w:p>
  </w:footnote>
  <w:footnote w:id="60">
    <w:p w:rsidR="00A246E0" w:rsidRPr="00F75D57" w:rsidRDefault="00A246E0" w:rsidP="008D0320">
      <w:pPr>
        <w:pStyle w:val="Textodenotaderodap"/>
        <w:jc w:val="both"/>
        <w:rPr>
          <w:rFonts w:cstheme="minorHAnsi"/>
          <w:lang w:val="en-US"/>
        </w:rPr>
      </w:pPr>
      <w:r w:rsidRPr="00F75D57">
        <w:rPr>
          <w:rStyle w:val="Refdenotaderodap"/>
          <w:rFonts w:cstheme="minorHAnsi"/>
        </w:rPr>
        <w:footnoteRef/>
      </w:r>
      <w:r w:rsidRPr="00F75D57">
        <w:rPr>
          <w:rFonts w:cstheme="minorHAnsi"/>
          <w:lang w:val="en-US"/>
        </w:rPr>
        <w:t xml:space="preserve"> </w:t>
      </w:r>
      <w:r w:rsidRPr="00DF0DD7">
        <w:rPr>
          <w:lang w:val="en-US"/>
        </w:rPr>
        <w:t>Senior Researcher (permanent), ImmunoConcEpT, CNRS, University of Bordeaux; IHPST</w:t>
      </w:r>
    </w:p>
  </w:footnote>
  <w:footnote w:id="61">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National Academy of Sciences of The United States of America - PNAS March 5, 2019, 116 (10) 39483952; </w:t>
      </w:r>
      <w:hyperlink r:id="rId6" w:history="1">
        <w:r w:rsidRPr="00855AD7">
          <w:rPr>
            <w:rFonts w:cstheme="minorHAnsi"/>
            <w:sz w:val="20"/>
            <w:szCs w:val="20"/>
            <w:lang w:val="en-US"/>
          </w:rPr>
          <w:t>https://doi.org/10.1073/pnas.1900357116</w:t>
        </w:r>
      </w:hyperlink>
      <w:r w:rsidRPr="00855AD7">
        <w:rPr>
          <w:rFonts w:cstheme="minorHAnsi"/>
          <w:sz w:val="20"/>
          <w:szCs w:val="20"/>
          <w:lang w:val="en-US"/>
        </w:rPr>
        <w:t>)</w:t>
      </w:r>
    </w:p>
  </w:footnote>
  <w:footnote w:id="62">
    <w:p w:rsidR="00A246E0" w:rsidRPr="00365295" w:rsidRDefault="00A246E0" w:rsidP="008D0320">
      <w:pPr>
        <w:spacing w:line="240" w:lineRule="auto"/>
        <w:rPr>
          <w:sz w:val="20"/>
          <w:szCs w:val="20"/>
          <w:lang w:val="en-US"/>
        </w:rPr>
      </w:pPr>
      <w:r w:rsidRPr="00BD5ED4">
        <w:rPr>
          <w:sz w:val="14"/>
          <w:szCs w:val="20"/>
        </w:rPr>
        <w:footnoteRef/>
      </w:r>
      <w:r w:rsidRPr="00DF0DD7">
        <w:rPr>
          <w:sz w:val="20"/>
          <w:szCs w:val="20"/>
          <w:lang w:val="en-US"/>
        </w:rPr>
        <w:t xml:space="preserve"> Krebs, Dennis L. 2011 Oxford, UK, Oxford University Press US$49.95 (hbk), 291 pp. </w:t>
      </w:r>
      <w:r w:rsidRPr="00365295">
        <w:rPr>
          <w:sz w:val="20"/>
          <w:szCs w:val="20"/>
          <w:lang w:val="en-US"/>
        </w:rPr>
        <w:t>ISBN 978-0199778232</w:t>
      </w:r>
    </w:p>
  </w:footnote>
  <w:footnote w:id="63">
    <w:p w:rsidR="00A246E0" w:rsidRPr="00DF0DD7" w:rsidRDefault="00A246E0" w:rsidP="008D0320">
      <w:pPr>
        <w:spacing w:line="240" w:lineRule="auto"/>
        <w:rPr>
          <w:sz w:val="20"/>
          <w:szCs w:val="20"/>
          <w:lang w:val="en-US"/>
        </w:rPr>
      </w:pPr>
      <w:r w:rsidRPr="00BD5ED4">
        <w:rPr>
          <w:sz w:val="14"/>
          <w:szCs w:val="20"/>
        </w:rPr>
        <w:footnoteRef/>
      </w:r>
      <w:r w:rsidRPr="00DF0DD7">
        <w:rPr>
          <w:sz w:val="20"/>
          <w:szCs w:val="20"/>
          <w:lang w:val="en-US"/>
        </w:rPr>
        <w:t xml:space="preserve"> Piaget, Jean - "Affective Unconscious and Cognitive Unconscious." In The Child and Reality” Translated by A. Rosin. New York: Grossman.</w:t>
      </w:r>
    </w:p>
  </w:footnote>
  <w:footnote w:id="64">
    <w:p w:rsidR="00A246E0" w:rsidRPr="00DF0DD7" w:rsidRDefault="00A246E0" w:rsidP="008D0320">
      <w:pPr>
        <w:spacing w:line="240" w:lineRule="auto"/>
        <w:rPr>
          <w:sz w:val="20"/>
          <w:szCs w:val="20"/>
          <w:lang w:val="en-US"/>
        </w:rPr>
      </w:pPr>
      <w:r w:rsidRPr="00BD5ED4">
        <w:rPr>
          <w:sz w:val="14"/>
          <w:szCs w:val="20"/>
        </w:rPr>
        <w:footnoteRef/>
      </w:r>
      <w:r w:rsidRPr="00DF0DD7">
        <w:rPr>
          <w:sz w:val="20"/>
          <w:szCs w:val="20"/>
          <w:lang w:val="en-US"/>
        </w:rPr>
        <w:t xml:space="preserve"> Kohlberg, Lawrence   -     "Stage and Sequence: The Cognitive-Developmental Approach to Socialization." In· Handbook of Socialization.  G. Goslin. Chicago: Rand McNally.</w:t>
      </w:r>
    </w:p>
  </w:footnote>
  <w:footnote w:id="65">
    <w:p w:rsidR="00A246E0" w:rsidRPr="00BD5ED4" w:rsidRDefault="00A246E0" w:rsidP="008D0320">
      <w:pPr>
        <w:spacing w:line="240" w:lineRule="auto"/>
        <w:contextualSpacing/>
        <w:jc w:val="both"/>
        <w:rPr>
          <w:rFonts w:cstheme="minorHAnsi"/>
          <w:sz w:val="18"/>
          <w:szCs w:val="18"/>
          <w:lang w:val="en-US"/>
        </w:rPr>
      </w:pPr>
      <w:r w:rsidRPr="00855AD7">
        <w:rPr>
          <w:rStyle w:val="Refdenotaderodap"/>
          <w:rFonts w:cstheme="minorHAnsi"/>
        </w:rPr>
        <w:footnoteRef/>
      </w:r>
      <w:r w:rsidRPr="00855AD7">
        <w:rPr>
          <w:rFonts w:cstheme="minorHAnsi"/>
          <w:sz w:val="20"/>
          <w:szCs w:val="20"/>
          <w:lang w:val="en-US"/>
        </w:rPr>
        <w:t xml:space="preserve"> </w:t>
      </w:r>
      <w:hyperlink r:id="rId7" w:history="1">
        <w:r w:rsidRPr="00BD5ED4">
          <w:rPr>
            <w:rFonts w:cstheme="minorHAnsi"/>
            <w:sz w:val="18"/>
            <w:szCs w:val="18"/>
            <w:lang w:val="en-US"/>
          </w:rPr>
          <w:t>Boehm</w:t>
        </w:r>
      </w:hyperlink>
      <w:r w:rsidRPr="00BD5ED4">
        <w:rPr>
          <w:rFonts w:cstheme="minorHAnsi"/>
          <w:sz w:val="18"/>
          <w:szCs w:val="18"/>
          <w:lang w:val="en-US"/>
        </w:rPr>
        <w:t xml:space="preserve">, Christopher – Prehistoric Capital Punishment and Parallel Evolutionary Effects - </w:t>
      </w:r>
      <w:hyperlink r:id="rId8" w:history="1">
        <w:r w:rsidRPr="00BD5ED4">
          <w:rPr>
            <w:rFonts w:cstheme="minorHAnsi"/>
            <w:sz w:val="18"/>
            <w:szCs w:val="18"/>
            <w:lang w:val="en-US"/>
          </w:rPr>
          <w:t>Minding Nature: Spring 2017, Volume 10, Number 2</w:t>
        </w:r>
      </w:hyperlink>
      <w:r w:rsidRPr="00BD5ED4">
        <w:rPr>
          <w:rFonts w:cstheme="minorHAnsi"/>
          <w:sz w:val="18"/>
          <w:szCs w:val="18"/>
          <w:lang w:val="en-US"/>
        </w:rPr>
        <w:t xml:space="preserve">, in </w:t>
      </w:r>
      <w:hyperlink r:id="rId9" w:history="1">
        <w:r w:rsidRPr="00BD5ED4">
          <w:rPr>
            <w:rFonts w:cstheme="minorHAnsi"/>
            <w:sz w:val="18"/>
            <w:szCs w:val="18"/>
            <w:lang w:val="en-US"/>
          </w:rPr>
          <w:t>https://www.humansandnature.org/prehistoric-capital-punishment-and-parallel-evolutionary-effects</w:t>
        </w:r>
      </w:hyperlink>
      <w:r w:rsidRPr="00BD5ED4">
        <w:rPr>
          <w:rFonts w:cstheme="minorHAnsi"/>
          <w:sz w:val="18"/>
          <w:szCs w:val="18"/>
          <w:lang w:val="en-US"/>
        </w:rPr>
        <w:t xml:space="preserve"> </w:t>
      </w:r>
    </w:p>
  </w:footnote>
  <w:footnote w:id="66">
    <w:p w:rsidR="00A246E0" w:rsidRPr="00855AD7" w:rsidRDefault="00A246E0" w:rsidP="008D0320">
      <w:pPr>
        <w:spacing w:line="240" w:lineRule="auto"/>
        <w:jc w:val="both"/>
        <w:rPr>
          <w:rFonts w:cstheme="minorHAnsi"/>
          <w:sz w:val="20"/>
          <w:szCs w:val="20"/>
          <w:lang w:val="en-US"/>
        </w:rPr>
      </w:pPr>
      <w:r w:rsidRPr="00BD5ED4">
        <w:rPr>
          <w:rStyle w:val="Refdenotaderodap"/>
          <w:rFonts w:cstheme="minorHAnsi"/>
          <w:sz w:val="18"/>
          <w:szCs w:val="18"/>
        </w:rPr>
        <w:footnoteRef/>
      </w:r>
      <w:r w:rsidRPr="00BD5ED4">
        <w:rPr>
          <w:rFonts w:cstheme="minorHAnsi"/>
          <w:sz w:val="18"/>
          <w:szCs w:val="18"/>
          <w:lang w:val="en-US"/>
        </w:rPr>
        <w:t xml:space="preserve"> Co-director of </w:t>
      </w:r>
      <w:r w:rsidRPr="004F4E91">
        <w:rPr>
          <w:rFonts w:cstheme="minorHAnsi"/>
          <w:sz w:val="18"/>
          <w:szCs w:val="18"/>
          <w:lang w:val="en-US"/>
        </w:rPr>
        <w:t>Max Planck Institute for Evolutionary Anthropology</w:t>
      </w:r>
      <w:r w:rsidRPr="00BD5ED4">
        <w:rPr>
          <w:rFonts w:cstheme="minorHAnsi"/>
          <w:sz w:val="18"/>
          <w:szCs w:val="18"/>
          <w:lang w:val="en-US"/>
        </w:rPr>
        <w:t> in </w:t>
      </w:r>
      <w:r w:rsidRPr="004F4E91">
        <w:rPr>
          <w:rFonts w:cstheme="minorHAnsi"/>
          <w:sz w:val="18"/>
          <w:szCs w:val="18"/>
          <w:lang w:val="en-US"/>
        </w:rPr>
        <w:t>Leipzig</w:t>
      </w:r>
      <w:r w:rsidRPr="00BD5ED4">
        <w:rPr>
          <w:rFonts w:cstheme="minorHAnsi"/>
          <w:sz w:val="18"/>
          <w:szCs w:val="18"/>
          <w:lang w:val="en-US"/>
        </w:rPr>
        <w:t xml:space="preserve">, Co-director of the Wolfgang Kohler Primate </w:t>
      </w:r>
      <w:r w:rsidRPr="00855AD7">
        <w:rPr>
          <w:rFonts w:cstheme="minorHAnsi"/>
          <w:sz w:val="20"/>
          <w:szCs w:val="20"/>
          <w:lang w:val="en-US"/>
        </w:rPr>
        <w:t>Research Center, Honorary professor at </w:t>
      </w:r>
      <w:r w:rsidRPr="004F4E91">
        <w:rPr>
          <w:rFonts w:cstheme="minorHAnsi"/>
          <w:sz w:val="20"/>
          <w:szCs w:val="20"/>
          <w:lang w:val="en-US"/>
        </w:rPr>
        <w:t>University of Leipzig</w:t>
      </w:r>
      <w:r w:rsidRPr="00855AD7">
        <w:rPr>
          <w:rFonts w:cstheme="minorHAnsi"/>
          <w:sz w:val="20"/>
          <w:szCs w:val="20"/>
          <w:lang w:val="en-US"/>
        </w:rPr>
        <w:t xml:space="preserve"> and at </w:t>
      </w:r>
      <w:r w:rsidRPr="00BD5ED4">
        <w:rPr>
          <w:rFonts w:cstheme="minorHAnsi"/>
          <w:sz w:val="18"/>
          <w:szCs w:val="18"/>
          <w:lang w:val="en-US"/>
        </w:rPr>
        <w:t>Manchester University's Department of Psychology, and Professor of Psychology at </w:t>
      </w:r>
      <w:r w:rsidRPr="004F4E91">
        <w:rPr>
          <w:rFonts w:cstheme="minorHAnsi"/>
          <w:sz w:val="18"/>
          <w:szCs w:val="18"/>
          <w:lang w:val="en-US"/>
        </w:rPr>
        <w:t>Duke University</w:t>
      </w:r>
      <w:r w:rsidRPr="00855AD7">
        <w:rPr>
          <w:rFonts w:cstheme="minorHAnsi"/>
          <w:sz w:val="20"/>
          <w:szCs w:val="20"/>
          <w:lang w:val="en-US"/>
        </w:rPr>
        <w:t>.</w:t>
      </w:r>
    </w:p>
  </w:footnote>
  <w:footnote w:id="67">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Birch, Jonathan (2017 </w:t>
      </w:r>
      <w:r w:rsidRPr="00855AD7">
        <w:rPr>
          <w:rFonts w:cstheme="minorHAnsi"/>
          <w:i/>
          <w:sz w:val="20"/>
          <w:szCs w:val="20"/>
          <w:lang w:val="en-US"/>
        </w:rPr>
        <w:t>Book review: Michael Tomasello</w:t>
      </w:r>
      <w:r w:rsidRPr="00855AD7">
        <w:rPr>
          <w:rFonts w:cstheme="minorHAnsi"/>
          <w:sz w:val="20"/>
          <w:szCs w:val="20"/>
          <w:lang w:val="en-US"/>
        </w:rPr>
        <w:t xml:space="preserve"> // a natural history of human morality. British Journal for the Philosophy of Science - Review of Books. ISSN 0007-0882).</w:t>
      </w:r>
    </w:p>
  </w:footnote>
  <w:footnote w:id="68">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r w:rsidRPr="00DF0DD7">
        <w:rPr>
          <w:sz w:val="20"/>
          <w:szCs w:val="20"/>
          <w:lang w:val="en-US"/>
        </w:rPr>
        <w:t>Director/Test   Facility   Manager,  GLP   Neuroscience   Service   Center,   University   of Kentucky College of Medicine, Anatomy and Neurobiology</w:t>
      </w:r>
    </w:p>
  </w:footnote>
  <w:footnote w:id="69">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DF0DD7">
        <w:rPr>
          <w:lang w:val="en-US"/>
        </w:rPr>
        <w:t>Department of Anatomy and Cell Biology, Indiana University School of Medicine, Indianapolis IN</w:t>
      </w:r>
    </w:p>
  </w:footnote>
  <w:footnote w:id="70">
    <w:p w:rsidR="00A246E0" w:rsidRPr="00855AD7" w:rsidRDefault="00A246E0" w:rsidP="008D0320">
      <w:pPr>
        <w:pStyle w:val="Textodenotaderodap"/>
        <w:jc w:val="both"/>
        <w:rPr>
          <w:rFonts w:cstheme="minorHAnsi"/>
          <w:iCs/>
          <w:lang w:val="en-US"/>
        </w:rPr>
      </w:pPr>
      <w:r w:rsidRPr="00855AD7">
        <w:rPr>
          <w:rStyle w:val="Refdenotaderodap"/>
          <w:rFonts w:cstheme="minorHAnsi"/>
        </w:rPr>
        <w:footnoteRef/>
      </w:r>
      <w:r w:rsidRPr="00DF0DD7">
        <w:rPr>
          <w:lang w:val="en-US"/>
        </w:rPr>
        <w:t>Gash DM and Deane AS (2015) Neuron-base</w:t>
      </w:r>
      <w:r>
        <w:rPr>
          <w:lang w:val="en-US"/>
        </w:rPr>
        <w:t>d heredity and human evolution.Front. Neurosci.</w:t>
      </w:r>
      <w:r w:rsidRPr="00DF0DD7">
        <w:rPr>
          <w:lang w:val="en-US"/>
        </w:rPr>
        <w:t>9:209. doi: 10.3389/fnins.2015.00209.</w:t>
      </w:r>
    </w:p>
  </w:footnote>
  <w:footnote w:id="71">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(a)UC President's Professor of Philosophy Emerita at the </w:t>
      </w:r>
      <w:r w:rsidRPr="004F4E91">
        <w:rPr>
          <w:rFonts w:cstheme="minorHAnsi"/>
          <w:sz w:val="20"/>
          <w:szCs w:val="20"/>
          <w:lang w:val="en-US"/>
        </w:rPr>
        <w:t>University of California, San Diego</w:t>
      </w:r>
      <w:r w:rsidRPr="00855AD7">
        <w:rPr>
          <w:rFonts w:cstheme="minorHAnsi"/>
          <w:sz w:val="20"/>
          <w:szCs w:val="20"/>
          <w:lang w:val="en-US"/>
        </w:rPr>
        <w:t xml:space="preserve">;(b) op.ref. </w:t>
      </w:r>
      <w:r w:rsidRPr="004F4E91">
        <w:rPr>
          <w:rFonts w:cstheme="minorHAnsi"/>
          <w:sz w:val="20"/>
          <w:szCs w:val="20"/>
          <w:lang w:val="en-US"/>
        </w:rPr>
        <w:t>Churchland</w:t>
      </w:r>
      <w:r w:rsidRPr="00855AD7">
        <w:rPr>
          <w:rFonts w:cstheme="minorHAnsi"/>
          <w:sz w:val="20"/>
          <w:szCs w:val="20"/>
          <w:lang w:val="en-US"/>
        </w:rPr>
        <w:t>, Patricia S. “Touching a Nerve: Our Brains, Our Selves” - W. W. Norton &amp; Company – 2014 - ISBN-10: 0393349446 / ISBN-13: 978-0393349443</w:t>
      </w:r>
    </w:p>
  </w:footnote>
  <w:footnote w:id="72">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003069FA">
        <w:rPr>
          <w:rFonts w:cstheme="minorHAnsi"/>
          <w:lang w:val="en-US"/>
        </w:rPr>
        <w:t xml:space="preserve"> The Origins o</w:t>
      </w:r>
      <w:r w:rsidR="009B101B">
        <w:rPr>
          <w:rFonts w:cstheme="minorHAnsi"/>
          <w:lang w:val="en-US"/>
        </w:rPr>
        <w:t>4</w:t>
      </w:r>
      <w:r w:rsidRPr="00855AD7">
        <w:rPr>
          <w:rFonts w:cstheme="minorHAnsi"/>
          <w:lang w:val="en-US"/>
        </w:rPr>
        <w:t>f Morality | Psychology Today. (n.d.). Retrieved from https://www.psychologytoday.com/us/blog/hot-thought/201311/the-origins-morality</w:t>
      </w:r>
    </w:p>
  </w:footnote>
  <w:footnote w:id="73">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The Origins of Morality | Psychology Today. https://www.psychologytoday.com/us/blog/hot-thought/201311/the-origins-morality</w:t>
      </w:r>
    </w:p>
  </w:footnote>
  <w:footnote w:id="74">
    <w:p w:rsidR="00A246E0" w:rsidRPr="00855AD7" w:rsidRDefault="00A246E0" w:rsidP="008D0320">
      <w:pPr>
        <w:spacing w:after="0"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Paul Thagard, Ph.D.- “The Origins of Morality” in </w:t>
      </w:r>
      <w:hyperlink r:id="rId10" w:history="1">
        <w:r w:rsidRPr="00855AD7">
          <w:rPr>
            <w:rFonts w:cstheme="minorHAnsi"/>
            <w:sz w:val="20"/>
            <w:szCs w:val="20"/>
            <w:lang w:val="en-US"/>
          </w:rPr>
          <w:t>https://www.psychologytoday.com/intl/blog/hot-thought/201311/the-origins-morality</w:t>
        </w:r>
      </w:hyperlink>
    </w:p>
  </w:footnote>
  <w:footnote w:id="75">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855AD7">
        <w:rPr>
          <w:rFonts w:eastAsia="Times New Roman" w:cstheme="minorHAnsi"/>
          <w:lang w:val="en-US" w:eastAsia="pt-BR"/>
        </w:rPr>
        <w:t xml:space="preserve">Krebs , Dennis L. - </w:t>
      </w:r>
      <w:r w:rsidRPr="00855AD7">
        <w:rPr>
          <w:rFonts w:eastAsia="Times New Roman" w:cstheme="minorHAnsi"/>
          <w:i/>
          <w:lang w:val="en-US" w:eastAsia="pt-BR"/>
        </w:rPr>
        <w:t>The origins of morality: an evolutionary account</w:t>
      </w:r>
      <w:r w:rsidRPr="00855AD7">
        <w:rPr>
          <w:rFonts w:eastAsia="Times New Roman" w:cstheme="minorHAnsi"/>
          <w:lang w:val="en-US" w:eastAsia="pt-BR"/>
        </w:rPr>
        <w:t>, 2011 Oxford, UK, Oxford University Press – ISBN 978-0199778232</w:t>
      </w:r>
    </w:p>
  </w:footnote>
  <w:footnote w:id="76">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 xml:space="preserve">Peter Gray (2012) The origins of morality: an evolutionary account Dennis L. Krebs, 2011 Oxford, UK, Oxford University Press US$49.95 (hbk), 291 pp. </w:t>
      </w:r>
      <w:r w:rsidRPr="00365295">
        <w:rPr>
          <w:lang w:val="en-US"/>
        </w:rPr>
        <w:t>ISBN 978-0199778232, Journal of Moral Education, 41:2, 264-266, DOI: </w:t>
      </w:r>
      <w:hyperlink r:id="rId11" w:history="1">
        <w:r w:rsidRPr="00855AD7">
          <w:rPr>
            <w:rFonts w:cstheme="minorHAnsi"/>
            <w:lang w:val="en-US"/>
          </w:rPr>
          <w:t>10.1080/03057240.2012.680715</w:t>
        </w:r>
      </w:hyperlink>
    </w:p>
  </w:footnote>
  <w:footnote w:id="77">
    <w:p w:rsidR="00A246E0" w:rsidRPr="00DF0DD7" w:rsidRDefault="00A246E0" w:rsidP="008D0320">
      <w:pPr>
        <w:spacing w:line="240" w:lineRule="auto"/>
        <w:rPr>
          <w:lang w:val="en-US"/>
        </w:rPr>
      </w:pPr>
      <w:r w:rsidRPr="00D11D9D">
        <w:rPr>
          <w:sz w:val="14"/>
          <w:szCs w:val="20"/>
        </w:rPr>
        <w:footnoteRef/>
      </w:r>
      <w:r w:rsidRPr="00D11D9D">
        <w:rPr>
          <w:sz w:val="14"/>
          <w:szCs w:val="20"/>
          <w:lang w:val="en-US"/>
        </w:rPr>
        <w:t xml:space="preserve"> </w:t>
      </w:r>
      <w:r w:rsidRPr="00DF0DD7">
        <w:rPr>
          <w:sz w:val="20"/>
          <w:szCs w:val="20"/>
          <w:lang w:val="en-US"/>
        </w:rPr>
        <w:t>Kohlberg, Lawrence   -     "Stage and Sequence: The Cognitive-Developmental Approach to Socialization." In·</w:t>
      </w:r>
      <w:r w:rsidRPr="00DF0DD7">
        <w:rPr>
          <w:lang w:val="en-US"/>
        </w:rPr>
        <w:t xml:space="preserve"> Handbook of Socialization.  G. Goslin. Chicago: Rand McNally.</w:t>
      </w:r>
    </w:p>
  </w:footnote>
  <w:footnote w:id="78">
    <w:p w:rsidR="00A246E0" w:rsidRPr="00855AD7" w:rsidRDefault="00A246E0" w:rsidP="008D0320">
      <w:pPr>
        <w:spacing w:line="240" w:lineRule="auto"/>
        <w:jc w:val="both"/>
        <w:rPr>
          <w:rFonts w:eastAsia="Times New Roman" w:cstheme="minorHAnsi"/>
          <w:sz w:val="20"/>
          <w:szCs w:val="20"/>
          <w:lang w:val="en-US" w:eastAsia="pt-BR"/>
        </w:rPr>
      </w:pPr>
      <w:r w:rsidRPr="00855AD7">
        <w:rPr>
          <w:rStyle w:val="Refdenotaderodap"/>
          <w:rFonts w:cstheme="minorHAnsi"/>
        </w:rPr>
        <w:footnoteRef/>
      </w:r>
      <w:r w:rsidRPr="00855AD7">
        <w:rPr>
          <w:rFonts w:cstheme="minorHAnsi"/>
          <w:sz w:val="20"/>
          <w:szCs w:val="20"/>
          <w:lang w:val="en-US"/>
        </w:rPr>
        <w:t xml:space="preserve"> </w:t>
      </w:r>
      <w:r w:rsidRPr="004F4E91">
        <w:rPr>
          <w:lang w:val="en-US"/>
        </w:rPr>
        <w:t xml:space="preserve"> Imtiaz</w:t>
      </w:r>
      <w:r w:rsidRPr="00AC7F41">
        <w:rPr>
          <w:rFonts w:eastAsia="Times New Roman" w:cstheme="minorHAnsi"/>
          <w:sz w:val="20"/>
          <w:szCs w:val="20"/>
          <w:lang w:val="en-US" w:eastAsia="pt-BR"/>
        </w:rPr>
        <w:t xml:space="preserve">, </w:t>
      </w:r>
      <w:r w:rsidRPr="00855AD7">
        <w:rPr>
          <w:rFonts w:eastAsia="Times New Roman" w:cstheme="minorHAnsi"/>
          <w:sz w:val="20"/>
          <w:szCs w:val="20"/>
          <w:lang w:val="en-US" w:eastAsia="pt-BR"/>
        </w:rPr>
        <w:t xml:space="preserve">Adam </w:t>
      </w:r>
      <w:r w:rsidRPr="00855AD7">
        <w:rPr>
          <w:rFonts w:eastAsia="Times New Roman" w:cstheme="minorHAnsi"/>
          <w:i/>
          <w:sz w:val="20"/>
          <w:szCs w:val="20"/>
          <w:lang w:val="en-US" w:eastAsia="pt-BR"/>
        </w:rPr>
        <w:t>– Plato’s Theory of Forms</w:t>
      </w:r>
      <w:r w:rsidRPr="00855AD7">
        <w:rPr>
          <w:rFonts w:eastAsia="Times New Roman" w:cstheme="minorHAnsi"/>
          <w:sz w:val="20"/>
          <w:szCs w:val="20"/>
          <w:lang w:val="en-US" w:eastAsia="pt-BR"/>
        </w:rPr>
        <w:t xml:space="preserve"> - </w:t>
      </w:r>
      <w:r w:rsidRPr="00855AD7">
        <w:rPr>
          <w:rFonts w:cstheme="minorHAnsi"/>
          <w:sz w:val="20"/>
          <w:szCs w:val="20"/>
          <w:lang w:val="en-US"/>
        </w:rPr>
        <w:t xml:space="preserve">Apud “im print” in </w:t>
      </w:r>
      <w:hyperlink r:id="rId12" w:history="1">
        <w:r w:rsidRPr="00855AD7">
          <w:rPr>
            <w:rFonts w:cstheme="minorHAnsi"/>
            <w:sz w:val="20"/>
            <w:szCs w:val="20"/>
            <w:lang w:val="en-US"/>
          </w:rPr>
          <w:t>http://uwimprint.ca/article/platos-theory-of-forms/</w:t>
        </w:r>
      </w:hyperlink>
      <w:r w:rsidRPr="00855AD7">
        <w:rPr>
          <w:rFonts w:cstheme="minorHAnsi"/>
          <w:sz w:val="20"/>
          <w:szCs w:val="20"/>
          <w:lang w:val="en-US"/>
        </w:rPr>
        <w:t xml:space="preserve"> retrieved Jul,24/2019</w:t>
      </w:r>
    </w:p>
  </w:footnote>
  <w:footnote w:id="79">
    <w:p w:rsidR="00A246E0" w:rsidRPr="00855AD7" w:rsidRDefault="00A246E0" w:rsidP="008D0320">
      <w:pPr>
        <w:spacing w:line="240" w:lineRule="auto"/>
        <w:jc w:val="both"/>
        <w:rPr>
          <w:rFonts w:cstheme="minorHAnsi"/>
          <w:sz w:val="20"/>
          <w:szCs w:val="20"/>
          <w:shd w:val="clear" w:color="auto" w:fill="CCFFFF"/>
          <w:lang w:val="en-US"/>
        </w:rPr>
      </w:pPr>
      <w:r w:rsidRPr="00855AD7">
        <w:rPr>
          <w:rStyle w:val="Refdenotaderodap"/>
          <w:rFonts w:cstheme="minorHAnsi"/>
        </w:rPr>
        <w:footnoteRef/>
      </w:r>
      <w:r w:rsidRPr="00855AD7">
        <w:rPr>
          <w:rFonts w:cstheme="minorHAnsi"/>
          <w:sz w:val="20"/>
          <w:szCs w:val="20"/>
          <w:lang w:val="en-US"/>
        </w:rPr>
        <w:t xml:space="preserve"> Locke, John -</w:t>
      </w:r>
      <w:r w:rsidRPr="00DF0DD7">
        <w:rPr>
          <w:lang w:val="en-US"/>
        </w:rPr>
        <w:t xml:space="preserve"> </w:t>
      </w:r>
      <w:r w:rsidRPr="00DF0DD7">
        <w:rPr>
          <w:sz w:val="20"/>
          <w:szCs w:val="20"/>
          <w:lang w:val="en-US"/>
        </w:rPr>
        <w:t>An Essay Concerning Human Understanding. 25th. Ed. London, 1824- Print W. Dowall – BookII,Chapter XXI pg. 319</w:t>
      </w:r>
      <w:r w:rsidRPr="00DF0DD7">
        <w:rPr>
          <w:lang w:val="en-US"/>
        </w:rPr>
        <w:t>.</w:t>
      </w:r>
    </w:p>
  </w:footnote>
  <w:footnote w:id="80">
    <w:p w:rsidR="00A246E0" w:rsidRPr="00855AD7" w:rsidRDefault="00A246E0" w:rsidP="008D0320">
      <w:pPr>
        <w:spacing w:line="240" w:lineRule="auto"/>
        <w:jc w:val="both"/>
        <w:rPr>
          <w:rFonts w:cstheme="minorHAnsi"/>
          <w:i/>
          <w:sz w:val="20"/>
          <w:szCs w:val="20"/>
          <w:lang w:val="en-US"/>
        </w:rPr>
      </w:pPr>
      <w:r w:rsidRPr="00855AD7">
        <w:rPr>
          <w:rStyle w:val="Refdenotaderodap"/>
          <w:rFonts w:cstheme="minorHAnsi"/>
        </w:rPr>
        <w:footnoteRef/>
      </w:r>
      <w:r w:rsidRPr="00855AD7">
        <w:rPr>
          <w:rFonts w:cstheme="minorHAnsi"/>
          <w:sz w:val="20"/>
          <w:szCs w:val="20"/>
          <w:lang w:val="en-US"/>
        </w:rPr>
        <w:t xml:space="preserve"> </w:t>
      </w:r>
      <w:r w:rsidRPr="00855AD7">
        <w:rPr>
          <w:rFonts w:cstheme="minorHAnsi"/>
          <w:i/>
          <w:sz w:val="20"/>
          <w:szCs w:val="20"/>
          <w:lang w:val="en-US"/>
        </w:rPr>
        <w:t xml:space="preserve">Archetypes and the Collective Unconscious </w:t>
      </w:r>
      <w:r w:rsidRPr="00DF0DD7">
        <w:rPr>
          <w:sz w:val="20"/>
          <w:szCs w:val="20"/>
          <w:lang w:val="en-US"/>
        </w:rPr>
        <w:t xml:space="preserve">- Collected Works of C. G. Jung, Vol. 9, Part 1. </w:t>
      </w:r>
      <w:r w:rsidRPr="00365295">
        <w:rPr>
          <w:sz w:val="20"/>
          <w:szCs w:val="20"/>
          <w:lang w:val="en-US"/>
        </w:rPr>
        <w:t>2nd ed. (1968), Princeton University Press </w:t>
      </w:r>
      <w:r w:rsidRPr="004F4E91">
        <w:rPr>
          <w:sz w:val="20"/>
          <w:szCs w:val="20"/>
          <w:lang w:val="en-US"/>
        </w:rPr>
        <w:t>ISBN 0691018332</w:t>
      </w:r>
      <w:r w:rsidRPr="00365295">
        <w:rPr>
          <w:sz w:val="20"/>
          <w:szCs w:val="20"/>
          <w:lang w:val="en-US"/>
        </w:rPr>
        <w:t xml:space="preserve"> – p99</w:t>
      </w:r>
    </w:p>
  </w:footnote>
  <w:footnote w:id="81">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(Ibidem)</w:t>
      </w:r>
    </w:p>
  </w:footnote>
  <w:footnote w:id="82">
    <w:p w:rsidR="00A246E0" w:rsidRPr="004F4E91" w:rsidRDefault="00A246E0" w:rsidP="008D0320">
      <w:pPr>
        <w:spacing w:line="240" w:lineRule="auto"/>
        <w:jc w:val="both"/>
        <w:rPr>
          <w:rFonts w:cstheme="minorHAnsi"/>
          <w:sz w:val="20"/>
          <w:szCs w:val="20"/>
          <w:lang w:val="en-US"/>
        </w:rPr>
      </w:pPr>
      <w:r w:rsidRPr="00D11D9D">
        <w:rPr>
          <w:rFonts w:cstheme="minorHAnsi"/>
          <w:sz w:val="14"/>
          <w:szCs w:val="20"/>
        </w:rPr>
        <w:footnoteRef/>
      </w:r>
      <w:r w:rsidRPr="00855AD7">
        <w:rPr>
          <w:rFonts w:cstheme="minorHAnsi"/>
          <w:sz w:val="20"/>
          <w:szCs w:val="20"/>
          <w:lang w:val="en-US"/>
        </w:rPr>
        <w:t xml:space="preserve"> Blatner, Adam, M.D - The Relevance of the Concept of Archetype - </w:t>
      </w:r>
      <w:r w:rsidRPr="004F4E91">
        <w:rPr>
          <w:rFonts w:cstheme="minorHAnsi"/>
          <w:sz w:val="20"/>
          <w:szCs w:val="20"/>
          <w:lang w:val="en-US"/>
        </w:rPr>
        <w:t>https://www.blatner.com/adam/level2/archetype.htm</w:t>
      </w:r>
      <w:r w:rsidRPr="004F4E91">
        <w:rPr>
          <w:rStyle w:val="Hyperlink"/>
          <w:rFonts w:cstheme="minorHAnsi"/>
          <w:color w:val="auto"/>
          <w:sz w:val="20"/>
          <w:szCs w:val="20"/>
          <w:u w:val="none"/>
          <w:lang w:val="en-US"/>
        </w:rPr>
        <w:t xml:space="preserve"> - retrieved on May, 14 - 2019</w:t>
      </w:r>
    </w:p>
  </w:footnote>
  <w:footnote w:id="83">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Laughlin, Charles D.  </w:t>
      </w:r>
      <w:r w:rsidRPr="00855AD7">
        <w:rPr>
          <w:rFonts w:cstheme="minorHAnsi"/>
          <w:i/>
          <w:sz w:val="20"/>
          <w:szCs w:val="20"/>
          <w:lang w:val="en-US"/>
        </w:rPr>
        <w:t>Archetypes, Neurognosis and the Quantum Sea</w:t>
      </w:r>
      <w:r w:rsidRPr="00855AD7">
        <w:rPr>
          <w:rFonts w:cstheme="minorHAnsi"/>
          <w:sz w:val="20"/>
          <w:szCs w:val="20"/>
          <w:lang w:val="en-US"/>
        </w:rPr>
        <w:t xml:space="preserve"> – Art. Pg.3)</w:t>
      </w:r>
    </w:p>
    <w:p w:rsidR="00A246E0" w:rsidRPr="00855AD7" w:rsidRDefault="00A246E0" w:rsidP="008D0320">
      <w:pPr>
        <w:pStyle w:val="Textodenotaderodap"/>
        <w:jc w:val="both"/>
        <w:rPr>
          <w:rFonts w:cstheme="minorHAnsi"/>
          <w:lang w:val="en-US"/>
        </w:rPr>
      </w:pPr>
    </w:p>
  </w:footnote>
  <w:footnote w:id="84">
    <w:p w:rsidR="00A246E0" w:rsidRPr="00DF0DD7" w:rsidRDefault="00A246E0" w:rsidP="008D0320">
      <w:pPr>
        <w:spacing w:line="240" w:lineRule="auto"/>
        <w:rPr>
          <w:sz w:val="20"/>
          <w:szCs w:val="20"/>
          <w:lang w:val="en-US"/>
        </w:rPr>
      </w:pPr>
      <w:r w:rsidRPr="00D11D9D">
        <w:rPr>
          <w:sz w:val="14"/>
          <w:szCs w:val="20"/>
        </w:rPr>
        <w:footnoteRef/>
      </w:r>
      <w:r w:rsidRPr="00DF0DD7">
        <w:rPr>
          <w:sz w:val="20"/>
          <w:szCs w:val="20"/>
          <w:lang w:val="en-US"/>
        </w:rPr>
        <w:t xml:space="preserve"> Pearson, Carol S., Arquetypes, Neurognosis and the Quantum Sea (art.) – Jornal of Scientific Exploration 1996 – in http://citeseerx.ist.psu.edu/viewd</w:t>
      </w:r>
      <w:r>
        <w:rPr>
          <w:sz w:val="20"/>
          <w:szCs w:val="20"/>
          <w:lang w:val="en-US"/>
        </w:rPr>
        <w:t xml:space="preserve">oc/summary?doi=10.1.1.456.710 </w:t>
      </w:r>
      <w:r w:rsidRPr="00DF0DD7">
        <w:rPr>
          <w:sz w:val="20"/>
          <w:szCs w:val="20"/>
          <w:lang w:val="en-US"/>
        </w:rPr>
        <w:t>retrieved on Jul. 26, 2019</w:t>
      </w:r>
    </w:p>
  </w:footnote>
  <w:footnote w:id="85">
    <w:p w:rsidR="00A246E0" w:rsidRPr="00855AD7" w:rsidRDefault="00A246E0" w:rsidP="008D0320">
      <w:pPr>
        <w:spacing w:before="100" w:beforeAutospacing="1" w:after="100" w:afterAutospacing="1" w:line="240" w:lineRule="auto"/>
        <w:jc w:val="both"/>
        <w:rPr>
          <w:rFonts w:eastAsia="Times New Roman" w:cstheme="minorHAnsi"/>
          <w:sz w:val="20"/>
          <w:szCs w:val="20"/>
          <w:lang w:val="en-US" w:eastAsia="pt-BR"/>
        </w:rPr>
      </w:pPr>
      <w:r w:rsidRPr="00855AD7">
        <w:rPr>
          <w:rStyle w:val="Refdenotaderodap"/>
          <w:rFonts w:cstheme="minorHAnsi"/>
        </w:rPr>
        <w:footnoteRef/>
      </w:r>
      <w:r w:rsidRPr="00855AD7">
        <w:rPr>
          <w:rFonts w:eastAsia="Times New Roman" w:cstheme="minorHAnsi"/>
          <w:sz w:val="20"/>
          <w:szCs w:val="20"/>
          <w:lang w:val="en-US" w:eastAsia="pt-BR"/>
        </w:rPr>
        <w:t xml:space="preserve">Vernon,Mark. </w:t>
      </w:r>
      <w:r w:rsidRPr="00855AD7">
        <w:rPr>
          <w:rFonts w:eastAsia="Times New Roman" w:cstheme="minorHAnsi"/>
          <w:i/>
          <w:sz w:val="20"/>
          <w:szCs w:val="20"/>
          <w:lang w:val="en-US" w:eastAsia="pt-BR"/>
        </w:rPr>
        <w:t>Carl Jung: Do Archetypes exist?</w:t>
      </w:r>
      <w:r w:rsidRPr="00855AD7">
        <w:rPr>
          <w:rFonts w:eastAsia="Times New Roman" w:cstheme="minorHAnsi"/>
          <w:sz w:val="20"/>
          <w:szCs w:val="20"/>
          <w:lang w:val="en-US" w:eastAsia="pt-BR"/>
        </w:rPr>
        <w:t xml:space="preserve"> </w:t>
      </w:r>
      <w:r w:rsidRPr="004F4E91">
        <w:rPr>
          <w:rFonts w:eastAsia="Times New Roman" w:cstheme="minorHAnsi"/>
          <w:sz w:val="20"/>
          <w:szCs w:val="20"/>
          <w:lang w:val="en-US" w:eastAsia="pt-BR"/>
        </w:rPr>
        <w:t>https://www.theguardian.com/commentisfree/belief/2011/jun/20/jung-archetypes--structurind-principles</w:t>
      </w:r>
      <w:r w:rsidRPr="00855AD7">
        <w:rPr>
          <w:rFonts w:eastAsia="Times New Roman" w:cstheme="minorHAnsi"/>
          <w:sz w:val="20"/>
          <w:szCs w:val="20"/>
          <w:lang w:val="en-US" w:eastAsia="pt-BR"/>
        </w:rPr>
        <w:t xml:space="preserve"> - retrieved Jul, 26 - 2019</w:t>
      </w:r>
    </w:p>
  </w:footnote>
  <w:footnote w:id="86">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http://www.biogeneticstructuralism.com/tenets.htm, retrieved on Jul,27 - 2019</w:t>
      </w:r>
    </w:p>
  </w:footnote>
  <w:footnote w:id="87">
    <w:p w:rsidR="00A246E0" w:rsidRPr="00AC7F41" w:rsidRDefault="00A246E0" w:rsidP="008D0320">
      <w:pPr>
        <w:spacing w:line="240" w:lineRule="auto"/>
        <w:jc w:val="both"/>
        <w:rPr>
          <w:rFonts w:cstheme="minorHAnsi"/>
          <w:i/>
          <w:iCs/>
          <w:sz w:val="20"/>
          <w:szCs w:val="20"/>
          <w:shd w:val="clear" w:color="auto" w:fill="FFFFFF"/>
          <w:lang w:val="en-US"/>
        </w:rPr>
      </w:pPr>
      <w:r w:rsidRPr="00855AD7">
        <w:rPr>
          <w:rStyle w:val="Refdenotaderodap"/>
          <w:rFonts w:cstheme="minorHAnsi"/>
        </w:rPr>
        <w:footnoteRef/>
      </w:r>
      <w:r w:rsidRPr="00855AD7">
        <w:rPr>
          <w:rFonts w:cstheme="minorHAnsi"/>
          <w:sz w:val="20"/>
          <w:szCs w:val="20"/>
          <w:lang w:val="en-US"/>
        </w:rPr>
        <w:t xml:space="preserve"> </w:t>
      </w:r>
      <w:r w:rsidRPr="004F4E91">
        <w:rPr>
          <w:sz w:val="20"/>
          <w:szCs w:val="20"/>
          <w:lang w:val="en-US"/>
        </w:rPr>
        <w:t>Laughlin, Charles D.</w:t>
      </w:r>
      <w:r>
        <w:rPr>
          <w:sz w:val="20"/>
          <w:szCs w:val="20"/>
          <w:lang w:val="en-US"/>
        </w:rPr>
        <w:t xml:space="preserve"> </w:t>
      </w:r>
      <w:r w:rsidRPr="00AC7F41">
        <w:rPr>
          <w:sz w:val="20"/>
          <w:szCs w:val="20"/>
          <w:lang w:val="en-US"/>
        </w:rPr>
        <w:t>(1996) "Archetypes, Neu</w:t>
      </w:r>
      <w:r>
        <w:rPr>
          <w:sz w:val="20"/>
          <w:szCs w:val="20"/>
          <w:lang w:val="en-US"/>
        </w:rPr>
        <w:t>rognosis and the Quantum Sea."J</w:t>
      </w:r>
      <w:r w:rsidRPr="00AC7F41">
        <w:rPr>
          <w:sz w:val="20"/>
          <w:szCs w:val="20"/>
          <w:lang w:val="en-US"/>
        </w:rPr>
        <w:t>ournal of Scientific</w:t>
      </w:r>
      <w:r>
        <w:rPr>
          <w:i/>
          <w:sz w:val="20"/>
          <w:szCs w:val="20"/>
          <w:lang w:val="en-US"/>
        </w:rPr>
        <w:t xml:space="preserve"> Exploration</w:t>
      </w:r>
      <w:r w:rsidRPr="00DF0DD7">
        <w:rPr>
          <w:i/>
          <w:sz w:val="20"/>
          <w:szCs w:val="20"/>
          <w:lang w:val="en-US"/>
        </w:rPr>
        <w:t>10(3):375-400.</w:t>
      </w:r>
    </w:p>
  </w:footnote>
  <w:footnote w:id="88">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855AD7">
        <w:rPr>
          <w:rFonts w:eastAsia="Times New Roman" w:cstheme="minorHAnsi"/>
          <w:lang w:val="en-US" w:eastAsia="pt-BR"/>
        </w:rPr>
        <w:t>Department of Anatomy and Neurobiology, College of Medicine, University of Kentucky</w:t>
      </w:r>
    </w:p>
  </w:footnote>
  <w:footnote w:id="89">
    <w:p w:rsidR="00A246E0" w:rsidRPr="00DF0DD7" w:rsidRDefault="00A246E0" w:rsidP="008D0320">
      <w:pPr>
        <w:spacing w:line="240" w:lineRule="auto"/>
        <w:rPr>
          <w:sz w:val="20"/>
          <w:szCs w:val="20"/>
          <w:lang w:val="en-US"/>
        </w:rPr>
      </w:pPr>
      <w:r w:rsidRPr="00430571">
        <w:rPr>
          <w:sz w:val="14"/>
          <w:szCs w:val="20"/>
        </w:rPr>
        <w:footnoteRef/>
      </w:r>
      <w:r w:rsidRPr="00DF0DD7">
        <w:rPr>
          <w:sz w:val="20"/>
          <w:szCs w:val="20"/>
          <w:lang w:val="en-US"/>
        </w:rPr>
        <w:t xml:space="preserve"> Gash, Don M. and Dean, Andrew S. -Neuron-based heredity and human evolution – apud Neurosci., 17 June 2015 - </w:t>
      </w:r>
      <w:r w:rsidRPr="004F4E91">
        <w:rPr>
          <w:sz w:val="20"/>
          <w:szCs w:val="20"/>
          <w:lang w:val="en-US"/>
        </w:rPr>
        <w:t>https://doi.org/10.3389/fnins.2015.00209</w:t>
      </w:r>
      <w:r w:rsidRPr="00DF0DD7">
        <w:rPr>
          <w:sz w:val="20"/>
          <w:szCs w:val="20"/>
          <w:lang w:val="en-US"/>
        </w:rPr>
        <w:t xml:space="preserve"> – retrieved Jul,27-2019.</w:t>
      </w:r>
    </w:p>
  </w:footnote>
  <w:footnote w:id="90">
    <w:p w:rsidR="00A246E0" w:rsidRPr="00855AD7" w:rsidRDefault="00A246E0" w:rsidP="008D0320">
      <w:pPr>
        <w:spacing w:after="0" w:line="240" w:lineRule="auto"/>
        <w:jc w:val="both"/>
        <w:rPr>
          <w:rFonts w:eastAsia="Times New Roman" w:cstheme="minorHAnsi"/>
          <w:sz w:val="20"/>
          <w:szCs w:val="20"/>
          <w:lang w:val="en-US" w:eastAsia="pt-BR"/>
        </w:rPr>
      </w:pPr>
      <w:r w:rsidRPr="00855AD7">
        <w:rPr>
          <w:rStyle w:val="Refdenotaderodap"/>
          <w:rFonts w:cstheme="minorHAnsi"/>
        </w:rPr>
        <w:footnoteRef/>
      </w:r>
      <w:r w:rsidRPr="00855AD7">
        <w:rPr>
          <w:rFonts w:cstheme="minorHAnsi"/>
          <w:sz w:val="20"/>
          <w:szCs w:val="20"/>
          <w:lang w:val="en-US"/>
        </w:rPr>
        <w:t xml:space="preserve"> </w:t>
      </w:r>
      <w:r>
        <w:rPr>
          <w:rFonts w:eastAsia="Times New Roman" w:cstheme="minorHAnsi"/>
          <w:sz w:val="20"/>
          <w:szCs w:val="20"/>
          <w:lang w:val="en-US" w:eastAsia="pt-BR"/>
        </w:rPr>
        <w:t xml:space="preserve">Michael D. Breed,Janice </w:t>
      </w:r>
      <w:r w:rsidRPr="00855AD7">
        <w:rPr>
          <w:rFonts w:eastAsia="Times New Roman" w:cstheme="minorHAnsi"/>
          <w:sz w:val="20"/>
          <w:szCs w:val="20"/>
          <w:lang w:val="en-US" w:eastAsia="pt-BR"/>
        </w:rPr>
        <w:t>Moore, in </w:t>
      </w:r>
      <w:hyperlink r:id="rId13" w:history="1">
        <w:r w:rsidRPr="00855AD7">
          <w:rPr>
            <w:rFonts w:eastAsia="Times New Roman" w:cstheme="minorHAnsi"/>
            <w:sz w:val="20"/>
            <w:szCs w:val="20"/>
            <w:lang w:val="en-US" w:eastAsia="pt-BR"/>
          </w:rPr>
          <w:t>Animal Behavior</w:t>
        </w:r>
      </w:hyperlink>
      <w:r w:rsidRPr="00855AD7">
        <w:rPr>
          <w:rFonts w:eastAsia="Times New Roman" w:cstheme="minorHAnsi"/>
          <w:sz w:val="20"/>
          <w:szCs w:val="20"/>
          <w:lang w:val="en-US" w:eastAsia="pt-BR"/>
        </w:rPr>
        <w:t>, 2012</w:t>
      </w:r>
    </w:p>
    <w:p w:rsidR="00A246E0" w:rsidRPr="00855AD7" w:rsidRDefault="00A246E0" w:rsidP="008D0320">
      <w:pPr>
        <w:pStyle w:val="Textodenotaderodap"/>
        <w:jc w:val="both"/>
        <w:rPr>
          <w:rFonts w:cstheme="minorHAnsi"/>
          <w:lang w:val="en-US"/>
        </w:rPr>
      </w:pPr>
    </w:p>
  </w:footnote>
  <w:footnote w:id="91">
    <w:p w:rsidR="00A246E0" w:rsidRPr="00855AD7" w:rsidRDefault="00A246E0" w:rsidP="008D0320">
      <w:pPr>
        <w:spacing w:line="240" w:lineRule="auto"/>
        <w:jc w:val="both"/>
        <w:rPr>
          <w:rFonts w:cstheme="minorHAnsi"/>
          <w:sz w:val="20"/>
          <w:szCs w:val="20"/>
          <w:shd w:val="clear" w:color="auto" w:fill="FFFFFF"/>
          <w:lang w:val="en-US"/>
        </w:rPr>
      </w:pPr>
      <w:r w:rsidRPr="00855AD7">
        <w:rPr>
          <w:rStyle w:val="Refdenotaderodap"/>
          <w:rFonts w:cstheme="minorHAnsi"/>
        </w:rPr>
        <w:footnoteRef/>
      </w:r>
      <w:r>
        <w:rPr>
          <w:rFonts w:cstheme="minorHAnsi"/>
          <w:sz w:val="20"/>
          <w:szCs w:val="20"/>
          <w:lang w:val="en-US"/>
        </w:rPr>
        <w:t xml:space="preserve"> M.M.Patten, in </w:t>
      </w:r>
      <w:hyperlink r:id="rId14" w:history="1">
        <w:r w:rsidRPr="00855AD7">
          <w:rPr>
            <w:rStyle w:val="anchor-text"/>
            <w:rFonts w:cstheme="minorHAnsi"/>
            <w:sz w:val="20"/>
            <w:szCs w:val="20"/>
            <w:lang w:val="en-US"/>
          </w:rPr>
          <w:t>Reference Module in Life Sciences</w:t>
        </w:r>
      </w:hyperlink>
      <w:r w:rsidRPr="00855AD7">
        <w:rPr>
          <w:rFonts w:cstheme="minorHAnsi"/>
          <w:sz w:val="20"/>
          <w:szCs w:val="20"/>
          <w:lang w:val="en-US"/>
        </w:rPr>
        <w:t>, 2017-</w:t>
      </w:r>
      <w:r w:rsidRPr="00855AD7">
        <w:rPr>
          <w:rFonts w:eastAsia="Times New Roman" w:cstheme="minorHAnsi"/>
          <w:sz w:val="20"/>
          <w:szCs w:val="20"/>
          <w:lang w:val="en-US" w:eastAsia="pt-BR"/>
        </w:rPr>
        <w:t xml:space="preserve"> In </w:t>
      </w:r>
      <w:hyperlink r:id="rId15" w:history="1">
        <w:r w:rsidRPr="00855AD7">
          <w:rPr>
            <w:rFonts w:cstheme="minorHAnsi"/>
            <w:sz w:val="20"/>
            <w:szCs w:val="20"/>
            <w:lang w:val="en-US"/>
          </w:rPr>
          <w:t>https://www.sciencedirect.com/topics/biochemistry-genetics-and-molecular-biology/kin-selection</w:t>
        </w:r>
      </w:hyperlink>
      <w:r w:rsidRPr="00855AD7">
        <w:rPr>
          <w:rFonts w:cstheme="minorHAnsi"/>
          <w:sz w:val="20"/>
          <w:szCs w:val="20"/>
          <w:lang w:val="en-US"/>
        </w:rPr>
        <w:t xml:space="preserve"> - retrieved Jul, 28 -2019</w:t>
      </w:r>
    </w:p>
  </w:footnote>
  <w:footnote w:id="92">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Pr>
          <w:rFonts w:eastAsia="Times New Roman" w:cstheme="minorHAnsi"/>
          <w:lang w:val="en-US" w:eastAsia="pt-BR"/>
        </w:rPr>
        <w:t>Michael D.Breed,</w:t>
      </w:r>
      <w:r w:rsidRPr="00855AD7">
        <w:rPr>
          <w:rFonts w:eastAsia="Times New Roman" w:cstheme="minorHAnsi"/>
          <w:lang w:val="en-US" w:eastAsia="pt-BR"/>
        </w:rPr>
        <w:t>Janice Moore op.cit</w:t>
      </w:r>
    </w:p>
  </w:footnote>
  <w:footnote w:id="93">
    <w:p w:rsidR="00A246E0" w:rsidRPr="00DF0DD7" w:rsidRDefault="00A246E0" w:rsidP="008D0320">
      <w:pPr>
        <w:spacing w:line="240" w:lineRule="auto"/>
        <w:rPr>
          <w:sz w:val="20"/>
          <w:szCs w:val="20"/>
          <w:lang w:val="en-US"/>
        </w:rPr>
      </w:pPr>
      <w:r w:rsidRPr="00430571">
        <w:rPr>
          <w:sz w:val="14"/>
          <w:szCs w:val="20"/>
        </w:rPr>
        <w:footnoteRef/>
      </w:r>
      <w:r w:rsidRPr="00430571">
        <w:rPr>
          <w:sz w:val="14"/>
          <w:szCs w:val="20"/>
          <w:lang w:val="en-US"/>
        </w:rPr>
        <w:t xml:space="preserve"> </w:t>
      </w:r>
      <w:r w:rsidRPr="00DF0DD7">
        <w:rPr>
          <w:sz w:val="20"/>
          <w:szCs w:val="20"/>
          <w:lang w:val="en-US"/>
        </w:rPr>
        <w:t xml:space="preserve">Grafen, Alan - Detecting kin selection at work using inclusive fitness - </w:t>
      </w:r>
      <w:r w:rsidRPr="004F4E91">
        <w:rPr>
          <w:sz w:val="20"/>
          <w:szCs w:val="20"/>
          <w:lang w:val="en-US"/>
        </w:rPr>
        <w:t>Proc Biol Sci</w:t>
      </w:r>
      <w:r w:rsidRPr="00DF0DD7">
        <w:rPr>
          <w:sz w:val="20"/>
          <w:szCs w:val="20"/>
          <w:lang w:val="en-US"/>
        </w:rPr>
        <w:t>. 2007 Mar 7; 274(1610): 713–71</w:t>
      </w:r>
      <w:r>
        <w:rPr>
          <w:sz w:val="20"/>
          <w:szCs w:val="20"/>
          <w:lang w:val="en-US"/>
        </w:rPr>
        <w:t>9.Published online 2006 Dec 12.doi:</w:t>
      </w:r>
      <w:r w:rsidRPr="004F4E91">
        <w:rPr>
          <w:sz w:val="20"/>
          <w:szCs w:val="20"/>
          <w:lang w:val="en-US"/>
        </w:rPr>
        <w:t>10.1098/rspb.2006.0140</w:t>
      </w:r>
      <w:r>
        <w:rPr>
          <w:sz w:val="20"/>
          <w:szCs w:val="20"/>
          <w:lang w:val="en-US"/>
        </w:rPr>
        <w:t xml:space="preserve"> ----00PMCID:</w:t>
      </w:r>
      <w:r w:rsidRPr="00DF0DD7">
        <w:rPr>
          <w:sz w:val="20"/>
          <w:szCs w:val="20"/>
          <w:lang w:val="en-US"/>
        </w:rPr>
        <w:t>PMC2197210/</w:t>
      </w:r>
    </w:p>
  </w:footnote>
  <w:footnote w:id="94">
    <w:p w:rsidR="00A246E0" w:rsidRPr="00855AD7" w:rsidRDefault="00A246E0" w:rsidP="008D0320">
      <w:pPr>
        <w:pStyle w:val="Textodenotaderodap"/>
        <w:rPr>
          <w:rFonts w:cstheme="minorHAnsi"/>
          <w:lang w:val="en-US"/>
        </w:rPr>
      </w:pPr>
      <w:r w:rsidRPr="00855AD7">
        <w:rPr>
          <w:rStyle w:val="Refdenotaderodap"/>
          <w:rFonts w:cstheme="minorHAnsi"/>
        </w:rPr>
        <w:footnoteRef/>
      </w:r>
      <w:r w:rsidRPr="00855AD7">
        <w:rPr>
          <w:rFonts w:cstheme="minorHAnsi"/>
          <w:lang w:val="en-US"/>
        </w:rPr>
        <w:t xml:space="preserve"> West SA, Griffin AS, Gardner A</w:t>
      </w:r>
      <w:r w:rsidRPr="00DF0DD7">
        <w:rPr>
          <w:lang w:val="en-US"/>
        </w:rPr>
        <w:t>. 2007Social semantics: altruism, cooperation, mutualism, strong r</w:t>
      </w:r>
      <w:r>
        <w:rPr>
          <w:lang w:val="en-US"/>
        </w:rPr>
        <w:t>eciprocity and group selection.J. Evol. Biol.</w:t>
      </w:r>
      <w:r w:rsidRPr="00DF0DD7">
        <w:rPr>
          <w:lang w:val="en-US"/>
        </w:rPr>
        <w:t>20, 415-</w:t>
      </w:r>
      <w:r w:rsidRPr="00430571">
        <w:rPr>
          <w:sz w:val="18"/>
          <w:szCs w:val="18"/>
          <w:lang w:val="en-US"/>
        </w:rPr>
        <w:t>432.(</w:t>
      </w:r>
      <w:r w:rsidRPr="004F4E91">
        <w:rPr>
          <w:sz w:val="18"/>
          <w:szCs w:val="18"/>
          <w:lang w:val="en-US"/>
        </w:rPr>
        <w:t>doi:10.1111/j.14209101.2006.01258.x</w:t>
      </w:r>
      <w:r>
        <w:rPr>
          <w:lang w:val="en-US"/>
        </w:rPr>
        <w:t>)</w:t>
      </w:r>
      <w:r w:rsidRPr="00855AD7">
        <w:rPr>
          <w:rFonts w:cstheme="minorHAnsi"/>
          <w:bCs/>
          <w:lang w:val="en-US"/>
        </w:rPr>
        <w:t>Crossref</w:t>
      </w:r>
      <w:r>
        <w:rPr>
          <w:lang w:val="en-US"/>
        </w:rPr>
        <w:t>,</w:t>
      </w:r>
      <w:hyperlink r:id="rId16" w:tgtFrame="_blank" w:history="1">
        <w:r w:rsidRPr="00855AD7">
          <w:rPr>
            <w:rFonts w:cstheme="minorHAnsi"/>
            <w:bCs/>
            <w:lang w:val="en-US"/>
          </w:rPr>
          <w:t>PubMed</w:t>
        </w:r>
      </w:hyperlink>
      <w:r>
        <w:rPr>
          <w:lang w:val="en-US"/>
        </w:rPr>
        <w:t>,</w:t>
      </w:r>
      <w:r w:rsidRPr="00855AD7">
        <w:rPr>
          <w:rFonts w:cstheme="minorHAnsi"/>
          <w:bCs/>
          <w:lang w:val="en-US"/>
        </w:rPr>
        <w:t>ISI</w:t>
      </w:r>
      <w:r>
        <w:rPr>
          <w:lang w:val="en-US"/>
        </w:rPr>
        <w:t>,</w:t>
      </w:r>
      <w:hyperlink r:id="rId17" w:tgtFrame="_blank" w:history="1">
        <w:r w:rsidRPr="00855AD7">
          <w:rPr>
            <w:rFonts w:cstheme="minorHAnsi"/>
            <w:bCs/>
            <w:lang w:val="en-US"/>
          </w:rPr>
          <w:t>Google Scholar</w:t>
        </w:r>
      </w:hyperlink>
      <w:r w:rsidRPr="00DF0DD7">
        <w:rPr>
          <w:lang w:val="en-US"/>
        </w:rPr>
        <w:t>- Apud Woodford Note 18.</w:t>
      </w:r>
    </w:p>
  </w:footnote>
  <w:footnote w:id="95">
    <w:p w:rsidR="00A246E0" w:rsidRPr="00855AD7" w:rsidRDefault="00A246E0" w:rsidP="008D0320">
      <w:pPr>
        <w:spacing w:after="225" w:line="240" w:lineRule="auto"/>
        <w:outlineLvl w:val="0"/>
        <w:rPr>
          <w:rFonts w:eastAsia="Times New Roman" w:cstheme="minorHAnsi"/>
          <w:bCs/>
          <w:kern w:val="36"/>
          <w:sz w:val="20"/>
          <w:szCs w:val="20"/>
          <w:lang w:val="en-US" w:eastAsia="pt-BR"/>
        </w:rPr>
      </w:pPr>
      <w:r w:rsidRPr="00855AD7">
        <w:rPr>
          <w:rStyle w:val="Refdenotaderodap"/>
          <w:rFonts w:cstheme="minorHAnsi"/>
        </w:rPr>
        <w:footnoteRef/>
      </w:r>
      <w:r w:rsidRPr="00855AD7">
        <w:rPr>
          <w:rFonts w:cstheme="minorHAnsi"/>
          <w:sz w:val="20"/>
          <w:szCs w:val="20"/>
          <w:lang w:val="en-US"/>
        </w:rPr>
        <w:t xml:space="preserve"> </w:t>
      </w:r>
      <w:r w:rsidRPr="00855AD7">
        <w:rPr>
          <w:rFonts w:eastAsia="Times New Roman" w:cstheme="minorHAnsi"/>
          <w:bCs/>
          <w:kern w:val="36"/>
          <w:sz w:val="20"/>
          <w:szCs w:val="20"/>
          <w:lang w:val="en-US" w:eastAsia="pt-BR"/>
        </w:rPr>
        <w:t>Woodford, Peter -  Evaluating inclusive fitness – Royal Society Open Science -</w:t>
      </w:r>
      <w:r w:rsidRPr="00855AD7">
        <w:rPr>
          <w:rFonts w:eastAsia="Times New Roman" w:cstheme="minorHAnsi"/>
          <w:sz w:val="20"/>
          <w:szCs w:val="20"/>
          <w:bdr w:val="none" w:sz="0" w:space="0" w:color="auto" w:frame="1"/>
          <w:lang w:val="en-US" w:eastAsia="pt-BR"/>
        </w:rPr>
        <w:t>Published:</w:t>
      </w:r>
      <w:r w:rsidRPr="00855AD7">
        <w:rPr>
          <w:rFonts w:eastAsia="Times New Roman" w:cstheme="minorHAnsi"/>
          <w:bCs/>
          <w:sz w:val="20"/>
          <w:szCs w:val="20"/>
          <w:bdr w:val="none" w:sz="0" w:space="0" w:color="auto" w:frame="1"/>
          <w:lang w:val="en-US" w:eastAsia="pt-BR"/>
        </w:rPr>
        <w:t>26 June 2019</w:t>
      </w:r>
      <w:r w:rsidRPr="00855AD7">
        <w:rPr>
          <w:rFonts w:eastAsia="Times New Roman" w:cstheme="minorHAnsi"/>
          <w:bCs/>
          <w:sz w:val="20"/>
          <w:szCs w:val="20"/>
          <w:lang w:val="en-US" w:eastAsia="pt-BR"/>
        </w:rPr>
        <w:t>https://doi.org/10.1098/rsos.190644</w:t>
      </w:r>
    </w:p>
  </w:footnote>
  <w:footnote w:id="96">
    <w:p w:rsidR="00A246E0" w:rsidRPr="00855AD7" w:rsidRDefault="00A246E0" w:rsidP="008D0320">
      <w:pPr>
        <w:spacing w:line="240" w:lineRule="auto"/>
        <w:jc w:val="both"/>
        <w:rPr>
          <w:rFonts w:eastAsia="Times New Roman"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w:t>
      </w:r>
      <w:hyperlink r:id="rId18" w:anchor="!" w:history="1">
        <w:r w:rsidRPr="00430571">
          <w:rPr>
            <w:rFonts w:eastAsia="Times New Roman" w:cstheme="minorHAnsi"/>
            <w:sz w:val="20"/>
            <w:szCs w:val="20"/>
            <w:lang w:val="en-US"/>
          </w:rPr>
          <w:t>Roland Zahn</w:t>
        </w:r>
      </w:hyperlink>
      <w:r w:rsidRPr="00430571">
        <w:rPr>
          <w:rFonts w:eastAsia="Times New Roman" w:cstheme="minorHAnsi"/>
          <w:sz w:val="20"/>
          <w:szCs w:val="20"/>
          <w:lang w:val="en-US"/>
        </w:rPr>
        <w:t xml:space="preserve">, </w:t>
      </w:r>
      <w:hyperlink r:id="rId19" w:anchor="!" w:history="1">
        <w:r w:rsidRPr="00430571">
          <w:rPr>
            <w:rFonts w:eastAsia="Times New Roman" w:cstheme="minorHAnsi"/>
            <w:sz w:val="20"/>
            <w:szCs w:val="20"/>
            <w:lang w:val="en-US"/>
          </w:rPr>
          <w:t>Ricardo de Oliveira Souza</w:t>
        </w:r>
      </w:hyperlink>
      <w:hyperlink r:id="rId20" w:anchor="!" w:history="1">
        <w:r w:rsidRPr="00430571">
          <w:rPr>
            <w:rFonts w:eastAsia="Times New Roman" w:cstheme="minorHAnsi"/>
            <w:sz w:val="20"/>
            <w:szCs w:val="20"/>
            <w:lang w:val="en-US"/>
          </w:rPr>
          <w:t>, Jorge Moll</w:t>
        </w:r>
      </w:hyperlink>
      <w:r w:rsidRPr="00430571">
        <w:rPr>
          <w:rFonts w:eastAsia="Times New Roman" w:cstheme="minorHAnsi"/>
          <w:sz w:val="20"/>
          <w:szCs w:val="20"/>
          <w:lang w:val="en-US"/>
        </w:rPr>
        <w:t xml:space="preserve"> -</w:t>
      </w:r>
      <w:r w:rsidRPr="00430571">
        <w:rPr>
          <w:rFonts w:eastAsia="Times New Roman" w:cstheme="minorHAnsi"/>
          <w:bCs/>
          <w:i/>
          <w:kern w:val="36"/>
          <w:sz w:val="20"/>
          <w:szCs w:val="20"/>
          <w:lang w:val="en-US"/>
        </w:rPr>
        <w:t>Neural Foundation of Morality</w:t>
      </w:r>
      <w:r>
        <w:rPr>
          <w:rFonts w:eastAsia="Times New Roman" w:cstheme="minorHAnsi"/>
          <w:sz w:val="20"/>
          <w:szCs w:val="20"/>
          <w:lang w:val="en-US"/>
        </w:rPr>
        <w:t xml:space="preserve"> </w:t>
      </w:r>
      <w:r w:rsidRPr="000A790F">
        <w:rPr>
          <w:rFonts w:eastAsia="Times New Roman" w:cstheme="minorHAnsi"/>
          <w:sz w:val="20"/>
          <w:szCs w:val="20"/>
          <w:lang w:val="en-US"/>
        </w:rPr>
        <w:t>https://doi.org/10.1016/B978-0-08-097086-8.56026-7 - retrieved Jul,29</w:t>
      </w:r>
      <w:r w:rsidRPr="00855AD7">
        <w:rPr>
          <w:rFonts w:eastAsia="Times New Roman" w:cstheme="minorHAnsi"/>
          <w:sz w:val="20"/>
          <w:szCs w:val="20"/>
          <w:lang w:val="en-US"/>
        </w:rPr>
        <w:t xml:space="preserve"> - 2019</w:t>
      </w:r>
    </w:p>
  </w:footnote>
  <w:footnote w:id="97">
    <w:p w:rsidR="00A246E0" w:rsidRPr="00DF0DD7" w:rsidRDefault="00A246E0" w:rsidP="008D0320">
      <w:pPr>
        <w:spacing w:line="240" w:lineRule="auto"/>
        <w:rPr>
          <w:sz w:val="20"/>
          <w:szCs w:val="20"/>
          <w:lang w:val="en-US"/>
        </w:rPr>
      </w:pPr>
      <w:r w:rsidRPr="00430571">
        <w:rPr>
          <w:sz w:val="14"/>
          <w:szCs w:val="20"/>
        </w:rPr>
        <w:footnoteRef/>
      </w:r>
      <w:r w:rsidRPr="00DF0DD7">
        <w:rPr>
          <w:sz w:val="20"/>
          <w:szCs w:val="20"/>
          <w:lang w:val="en-US"/>
        </w:rPr>
        <w:t xml:space="preserve"> The Seed of Civilization – The Origins of War, Marriage and Religion – 2017 – SóL-Earth Publishers – ISBN 978-1978169531; When Was the Name of God First Spoken: Correcting </w:t>
      </w:r>
      <w:r>
        <w:rPr>
          <w:sz w:val="20"/>
          <w:szCs w:val="20"/>
          <w:lang w:val="en-US"/>
        </w:rPr>
        <w:t>Misconceptions About Prehistory– December 13, 2014 - ISBN-10:</w:t>
      </w:r>
      <w:r w:rsidRPr="00DF0DD7">
        <w:rPr>
          <w:sz w:val="20"/>
          <w:szCs w:val="20"/>
          <w:lang w:val="en-US"/>
        </w:rPr>
        <w:t>1505457068</w:t>
      </w:r>
    </w:p>
    <w:p w:rsidR="00A246E0" w:rsidRPr="00855AD7" w:rsidRDefault="00A246E0" w:rsidP="008D0320">
      <w:pPr>
        <w:pStyle w:val="Textodenotaderodap"/>
        <w:jc w:val="both"/>
        <w:rPr>
          <w:rFonts w:cstheme="minorHAnsi"/>
          <w:lang w:val="en-US"/>
        </w:rPr>
      </w:pPr>
    </w:p>
  </w:footnote>
  <w:footnote w:id="98">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Bohem, Christopher</w:t>
      </w:r>
      <w:r w:rsidRPr="00DF0DD7">
        <w:rPr>
          <w:lang w:val="en-US"/>
        </w:rPr>
        <w:t>, Moral Origins:” The Evolution of Altruism, Shame and Virtue” (New York: Basic Books, 2012). See also C. Boehm, “The Moral Consequences of Social Selection,” Behaviour 171 (2014): 167-83.</w:t>
      </w:r>
    </w:p>
  </w:footnote>
  <w:footnote w:id="99">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Christopher S. Henshilwood and Curtis W. Marean - </w:t>
      </w:r>
      <w:r w:rsidRPr="00855AD7">
        <w:rPr>
          <w:rFonts w:cstheme="minorHAnsi"/>
          <w:i/>
          <w:sz w:val="20"/>
          <w:szCs w:val="20"/>
          <w:lang w:val="en-US"/>
        </w:rPr>
        <w:t>The Origin of Modern Human Behavior  - Critique of the Models and Their Test Implications</w:t>
      </w:r>
      <w:r w:rsidRPr="00855AD7">
        <w:rPr>
          <w:rFonts w:cstheme="minorHAnsi"/>
          <w:sz w:val="20"/>
          <w:szCs w:val="20"/>
          <w:lang w:val="en-US"/>
        </w:rPr>
        <w:t xml:space="preserve"> – apud Current Anthropology Volume 44, Number 5, December 2003 by The Wenner-Gren Foundation for Anthropological Research – pg.628. </w:t>
      </w:r>
    </w:p>
  </w:footnote>
  <w:footnote w:id="100">
    <w:p w:rsidR="00A246E0" w:rsidRPr="00A56EEC" w:rsidRDefault="00A246E0" w:rsidP="008D0320">
      <w:pPr>
        <w:spacing w:line="240" w:lineRule="auto"/>
        <w:rPr>
          <w:sz w:val="20"/>
          <w:szCs w:val="20"/>
          <w:lang w:val="en-US"/>
        </w:rPr>
      </w:pPr>
      <w:r w:rsidRPr="00430571">
        <w:rPr>
          <w:sz w:val="14"/>
          <w:szCs w:val="20"/>
        </w:rPr>
        <w:footnoteRef/>
      </w:r>
      <w:r w:rsidRPr="00430571">
        <w:rPr>
          <w:sz w:val="14"/>
          <w:szCs w:val="20"/>
          <w:lang w:val="en-US"/>
        </w:rPr>
        <w:t xml:space="preserve"> </w:t>
      </w:r>
      <w:r w:rsidRPr="00DF0DD7">
        <w:rPr>
          <w:sz w:val="20"/>
          <w:szCs w:val="20"/>
          <w:lang w:val="en-US"/>
        </w:rPr>
        <w:t>Despain, David – “Early Humans Used Brain Power, Innovation and Teamwork to Dominate the Plan</w:t>
      </w:r>
      <w:r>
        <w:rPr>
          <w:sz w:val="20"/>
          <w:szCs w:val="20"/>
          <w:lang w:val="en-US"/>
        </w:rPr>
        <w:t xml:space="preserve">et” in Scientific American – in </w:t>
      </w:r>
      <w:r w:rsidRPr="004F4E91">
        <w:rPr>
          <w:sz w:val="20"/>
          <w:szCs w:val="20"/>
          <w:lang w:val="en-US"/>
        </w:rPr>
        <w:t>https://www.scientificamerican.com/article/humans-brain-power-origins/</w:t>
      </w:r>
      <w:r w:rsidRPr="00DF0DD7">
        <w:rPr>
          <w:sz w:val="20"/>
          <w:szCs w:val="20"/>
          <w:lang w:val="en-US"/>
        </w:rPr>
        <w:t xml:space="preserve"> - retrieved on Aug 03, 2019</w:t>
      </w:r>
      <w:r w:rsidRPr="00A56EEC">
        <w:rPr>
          <w:sz w:val="20"/>
          <w:szCs w:val="20"/>
          <w:lang w:val="en-US"/>
        </w:rPr>
        <w:t>.</w:t>
      </w:r>
    </w:p>
  </w:footnote>
  <w:footnote w:id="101">
    <w:p w:rsidR="00A246E0" w:rsidRPr="00855AD7" w:rsidRDefault="00A246E0" w:rsidP="008D0320">
      <w:pPr>
        <w:spacing w:after="0" w:line="240" w:lineRule="auto"/>
        <w:jc w:val="both"/>
        <w:rPr>
          <w:rFonts w:eastAsia="Times New Roman"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Boehm,</w:t>
      </w:r>
      <w:hyperlink r:id="rId21" w:history="1">
        <w:r w:rsidRPr="00855AD7">
          <w:rPr>
            <w:rFonts w:eastAsia="Times New Roman" w:cstheme="minorHAnsi"/>
            <w:sz w:val="20"/>
            <w:szCs w:val="20"/>
            <w:bdr w:val="none" w:sz="0" w:space="0" w:color="auto" w:frame="1"/>
            <w:lang w:val="en-US"/>
          </w:rPr>
          <w:t xml:space="preserve">Christopher </w:t>
        </w:r>
      </w:hyperlink>
      <w:r w:rsidRPr="00855AD7">
        <w:rPr>
          <w:rFonts w:eastAsia="Times New Roman" w:cstheme="minorHAnsi"/>
          <w:sz w:val="20"/>
          <w:szCs w:val="20"/>
          <w:bdr w:val="none" w:sz="0" w:space="0" w:color="auto" w:frame="1"/>
          <w:lang w:val="en-US"/>
        </w:rPr>
        <w:t>-</w:t>
      </w:r>
      <w:hyperlink r:id="rId22" w:history="1">
        <w:r w:rsidRPr="00855AD7">
          <w:rPr>
            <w:rFonts w:eastAsia="Times New Roman" w:cstheme="minorHAnsi"/>
            <w:sz w:val="20"/>
            <w:szCs w:val="20"/>
            <w:bdr w:val="none" w:sz="0" w:space="0" w:color="auto" w:frame="1"/>
            <w:lang w:val="en-US"/>
          </w:rPr>
          <w:t>Minding Nature Journal: Spring 2017, Volume 10, Number 2</w:t>
        </w:r>
      </w:hyperlink>
      <w:r w:rsidRPr="00855AD7">
        <w:rPr>
          <w:rFonts w:eastAsia="Times New Roman" w:cstheme="minorHAnsi"/>
          <w:sz w:val="20"/>
          <w:szCs w:val="20"/>
          <w:bdr w:val="none" w:sz="0" w:space="0" w:color="auto" w:frame="1"/>
          <w:lang w:val="en-US"/>
        </w:rPr>
        <w:t xml:space="preserve">- in </w:t>
      </w:r>
      <w:r w:rsidRPr="00855AD7">
        <w:rPr>
          <w:rFonts w:cstheme="minorHAnsi"/>
          <w:sz w:val="20"/>
          <w:szCs w:val="20"/>
          <w:lang w:val="en-US"/>
        </w:rPr>
        <w:t>https://www.humansandnature.org/May-2017</w:t>
      </w:r>
    </w:p>
  </w:footnote>
  <w:footnote w:id="102">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Alen, S - Language and Spiritual culture in Old stone age - December 17, 2015 in</w:t>
      </w:r>
      <w:r>
        <w:rPr>
          <w:rFonts w:cstheme="minorHAnsi"/>
          <w:lang w:val="en-US"/>
        </w:rPr>
        <w:t xml:space="preserve"> </w:t>
      </w:r>
      <w:r w:rsidRPr="00855AD7">
        <w:rPr>
          <w:rFonts w:cstheme="minorHAnsi"/>
          <w:lang w:val="en-US"/>
        </w:rPr>
        <w:t>https://www.shorthistory.org/prehistory/language-and-spiritual-culture-in-old-stone-age/ - retrieved Mar,11- 2019</w:t>
      </w:r>
    </w:p>
  </w:footnote>
  <w:footnote w:id="103">
    <w:p w:rsidR="00A246E0" w:rsidRPr="00236097" w:rsidRDefault="00A246E0" w:rsidP="008D0320">
      <w:pPr>
        <w:spacing w:line="240" w:lineRule="auto"/>
        <w:rPr>
          <w:sz w:val="20"/>
          <w:szCs w:val="20"/>
          <w:lang w:val="en-US"/>
        </w:rPr>
      </w:pPr>
      <w:r w:rsidRPr="00BB373E">
        <w:rPr>
          <w:sz w:val="14"/>
          <w:szCs w:val="20"/>
        </w:rPr>
        <w:footnoteRef/>
      </w:r>
      <w:r>
        <w:rPr>
          <w:sz w:val="20"/>
          <w:szCs w:val="20"/>
          <w:lang w:val="en-US"/>
        </w:rPr>
        <w:t xml:space="preserve"> Ferraro,J.V.(2012)</w:t>
      </w:r>
      <w:r w:rsidRPr="00236097">
        <w:rPr>
          <w:sz w:val="20"/>
          <w:szCs w:val="20"/>
          <w:lang w:val="en-US"/>
        </w:rPr>
        <w:t>A Pr</w:t>
      </w:r>
      <w:r>
        <w:rPr>
          <w:sz w:val="20"/>
          <w:szCs w:val="20"/>
          <w:lang w:val="en-US"/>
        </w:rPr>
        <w:t>imer on Paleolithic Technology.Nature Education Knowledge</w:t>
      </w:r>
      <w:r w:rsidRPr="00236097">
        <w:rPr>
          <w:sz w:val="20"/>
          <w:szCs w:val="20"/>
          <w:lang w:val="en-US"/>
        </w:rPr>
        <w:t>4(2):9</w:t>
      </w:r>
    </w:p>
  </w:footnote>
  <w:footnote w:id="104">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Ferraro, op.cit.</w:t>
      </w:r>
    </w:p>
  </w:footnote>
  <w:footnote w:id="105">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Gonzalez, Pedro Blaz /-</w:t>
      </w:r>
      <w:r w:rsidRPr="00855AD7">
        <w:rPr>
          <w:rFonts w:cstheme="minorHAnsi"/>
          <w:i/>
          <w:lang w:val="en-US"/>
        </w:rPr>
        <w:t>The Economics of Being</w:t>
      </w:r>
      <w:r w:rsidRPr="00855AD7">
        <w:rPr>
          <w:rFonts w:cstheme="minorHAnsi"/>
          <w:lang w:val="en-US"/>
        </w:rPr>
        <w:t xml:space="preserve"> - Cultura. International Journal of Philosophy of Culture and Axiology 11(1)/2014: 23–39</w:t>
      </w:r>
    </w:p>
  </w:footnote>
  <w:footnote w:id="106">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Despain, David – op.cit.</w:t>
      </w:r>
    </w:p>
  </w:footnote>
  <w:footnote w:id="107">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Pedersen, Norman - </w:t>
      </w:r>
      <w:hyperlink r:id="rId23" w:history="1">
        <w:r w:rsidRPr="00855AD7">
          <w:rPr>
            <w:rFonts w:cstheme="minorHAnsi"/>
            <w:lang w:val="en-US"/>
          </w:rPr>
          <w:t>https://pedersensprehistory.com/biases-about-prehistory</w:t>
        </w:r>
      </w:hyperlink>
      <w:r w:rsidRPr="00855AD7">
        <w:rPr>
          <w:rFonts w:cstheme="minorHAnsi"/>
          <w:lang w:val="en-US"/>
        </w:rPr>
        <w:t xml:space="preserve"> - retrieved Mar, 18 – 2019.</w:t>
      </w:r>
    </w:p>
  </w:footnote>
  <w:footnote w:id="108">
    <w:p w:rsidR="00A246E0" w:rsidRPr="00DF0DD7" w:rsidRDefault="00A246E0" w:rsidP="008D0320">
      <w:pPr>
        <w:spacing w:line="240" w:lineRule="auto"/>
        <w:rPr>
          <w:sz w:val="20"/>
          <w:szCs w:val="20"/>
          <w:lang w:val="en-US"/>
        </w:rPr>
      </w:pPr>
      <w:r w:rsidRPr="00236097">
        <w:rPr>
          <w:sz w:val="14"/>
          <w:szCs w:val="20"/>
        </w:rPr>
        <w:footnoteRef/>
      </w:r>
      <w:r w:rsidRPr="00DF0DD7">
        <w:rPr>
          <w:sz w:val="20"/>
          <w:szCs w:val="20"/>
          <w:lang w:val="en-US"/>
        </w:rPr>
        <w:t xml:space="preserve"> Mithen, Steven -  The Early Prehistory of Human Social Behaviour – Issues of Archeological IKnference and Cognitive Evolution – Proceedings of the British Academy – 88, pg.145/177 </w:t>
      </w:r>
    </w:p>
  </w:footnote>
  <w:footnote w:id="109">
    <w:p w:rsidR="00A246E0" w:rsidRPr="00DF0DD7" w:rsidRDefault="00A246E0" w:rsidP="008D0320">
      <w:pPr>
        <w:spacing w:line="240" w:lineRule="auto"/>
        <w:rPr>
          <w:sz w:val="20"/>
          <w:szCs w:val="20"/>
          <w:lang w:val="en-US"/>
        </w:rPr>
      </w:pPr>
      <w:r w:rsidRPr="00236097">
        <w:rPr>
          <w:sz w:val="14"/>
          <w:szCs w:val="20"/>
        </w:rPr>
        <w:footnoteRef/>
      </w:r>
      <w:r w:rsidRPr="00236097">
        <w:rPr>
          <w:sz w:val="14"/>
          <w:szCs w:val="20"/>
          <w:lang w:val="en-US"/>
        </w:rPr>
        <w:t xml:space="preserve"> </w:t>
      </w:r>
      <w:r w:rsidRPr="00DF0DD7">
        <w:rPr>
          <w:sz w:val="20"/>
          <w:szCs w:val="20"/>
          <w:lang w:val="en-US"/>
        </w:rPr>
        <w:t xml:space="preserve">Pedersen. Norman – Predersen’s Prehistory in </w:t>
      </w:r>
      <w:r w:rsidRPr="004F4E91">
        <w:rPr>
          <w:sz w:val="20"/>
          <w:szCs w:val="20"/>
          <w:lang w:val="en-US"/>
        </w:rPr>
        <w:t>https://pedersensprehistory.com/biases-about-prehistory</w:t>
      </w:r>
      <w:r w:rsidRPr="00DF0DD7">
        <w:rPr>
          <w:sz w:val="20"/>
          <w:szCs w:val="20"/>
          <w:lang w:val="en-US"/>
        </w:rPr>
        <w:t xml:space="preserve"> - </w:t>
      </w:r>
    </w:p>
  </w:footnote>
  <w:footnote w:id="110">
    <w:p w:rsidR="00A246E0" w:rsidRPr="00DF0DD7" w:rsidRDefault="00A246E0" w:rsidP="008D0320">
      <w:pPr>
        <w:spacing w:line="240" w:lineRule="auto"/>
        <w:rPr>
          <w:sz w:val="20"/>
          <w:szCs w:val="20"/>
          <w:lang w:val="en-US"/>
        </w:rPr>
      </w:pPr>
      <w:r w:rsidRPr="00236097">
        <w:rPr>
          <w:sz w:val="14"/>
          <w:szCs w:val="20"/>
        </w:rPr>
        <w:footnoteRef/>
      </w:r>
      <w:r w:rsidRPr="00236097">
        <w:rPr>
          <w:sz w:val="14"/>
          <w:szCs w:val="20"/>
          <w:lang w:val="en-US"/>
        </w:rPr>
        <w:t xml:space="preserve"> </w:t>
      </w:r>
      <w:r>
        <w:rPr>
          <w:sz w:val="20"/>
          <w:szCs w:val="20"/>
          <w:lang w:val="en-US"/>
        </w:rPr>
        <w:t xml:space="preserve">Robert Layton,Sean O’Hara, Alan </w:t>
      </w:r>
      <w:r w:rsidRPr="00DF0DD7">
        <w:rPr>
          <w:sz w:val="20"/>
          <w:szCs w:val="20"/>
          <w:lang w:val="en-US"/>
        </w:rPr>
        <w:t xml:space="preserve">Bilsborough -  Antiquity and Social Functions of Multilevel Social Organization Among Human Hunter-Gatherers - </w:t>
      </w:r>
      <w:r w:rsidRPr="004F4E91">
        <w:rPr>
          <w:sz w:val="20"/>
          <w:szCs w:val="20"/>
          <w:lang w:val="en-US"/>
        </w:rPr>
        <w:t>International Journal of Primatology</w:t>
      </w:r>
      <w:r>
        <w:rPr>
          <w:sz w:val="20"/>
          <w:szCs w:val="20"/>
          <w:lang w:val="en-US"/>
        </w:rPr>
        <w:t xml:space="preserve"> </w:t>
      </w:r>
      <w:r w:rsidRPr="00DF0DD7">
        <w:rPr>
          <w:sz w:val="20"/>
          <w:szCs w:val="20"/>
          <w:lang w:val="en-US"/>
        </w:rPr>
        <w:t>Vol</w:t>
      </w:r>
      <w:r>
        <w:rPr>
          <w:sz w:val="20"/>
          <w:szCs w:val="20"/>
          <w:lang w:val="en-US"/>
        </w:rPr>
        <w:t>ume 33,I ssue</w:t>
      </w:r>
      <w:r w:rsidRPr="004F4E91">
        <w:rPr>
          <w:sz w:val="20"/>
          <w:szCs w:val="20"/>
          <w:lang w:val="en-US"/>
        </w:rPr>
        <w:t>5</w:t>
      </w:r>
      <w:r>
        <w:rPr>
          <w:sz w:val="20"/>
          <w:szCs w:val="20"/>
          <w:lang w:val="en-US"/>
        </w:rPr>
        <w:t>,</w:t>
      </w:r>
      <w:r w:rsidRPr="00DF0DD7">
        <w:rPr>
          <w:sz w:val="20"/>
          <w:szCs w:val="20"/>
          <w:lang w:val="en-US"/>
        </w:rPr>
        <w:t xml:space="preserve">pp 1215–1245DOI </w:t>
      </w:r>
      <w:r w:rsidRPr="004F4E91">
        <w:rPr>
          <w:sz w:val="20"/>
          <w:szCs w:val="20"/>
          <w:lang w:val="en-US"/>
        </w:rPr>
        <w:t>https://doi.org/10.1007/s10764-012-9634-z</w:t>
      </w:r>
      <w:r w:rsidRPr="00DF0DD7">
        <w:rPr>
          <w:sz w:val="20"/>
          <w:szCs w:val="20"/>
          <w:lang w:val="en-US"/>
        </w:rPr>
        <w:t xml:space="preserve"> Publisher NameSpringer US - Print ISSN0164-0291 Online ISSN1573-8604</w:t>
      </w:r>
    </w:p>
  </w:footnote>
  <w:footnote w:id="111">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A geneticist at the Australian Centre for Ancient DNA in Adelaide.</w:t>
      </w:r>
    </w:p>
  </w:footnote>
  <w:footnote w:id="112">
    <w:p w:rsidR="00A246E0" w:rsidRPr="00855AD7" w:rsidRDefault="00A246E0" w:rsidP="008D0320">
      <w:pPr>
        <w:spacing w:after="225" w:line="240" w:lineRule="auto"/>
        <w:jc w:val="both"/>
        <w:outlineLvl w:val="0"/>
        <w:rPr>
          <w:rFonts w:eastAsia="Times New Roman" w:cstheme="minorHAnsi"/>
          <w:kern w:val="36"/>
          <w:sz w:val="20"/>
          <w:szCs w:val="20"/>
          <w:lang w:val="en-US"/>
        </w:rPr>
      </w:pPr>
      <w:r w:rsidRPr="00855AD7">
        <w:rPr>
          <w:rStyle w:val="Refdenotaderodap"/>
          <w:rFonts w:cstheme="minorHAnsi"/>
        </w:rPr>
        <w:footnoteRef/>
      </w:r>
      <w:r w:rsidRPr="00855AD7">
        <w:rPr>
          <w:rFonts w:cstheme="minorHAnsi"/>
          <w:sz w:val="20"/>
          <w:szCs w:val="20"/>
          <w:lang w:val="en-US"/>
        </w:rPr>
        <w:t xml:space="preserve">Balter, </w:t>
      </w:r>
      <w:hyperlink r:id="rId24" w:history="1">
        <w:r w:rsidRPr="00855AD7">
          <w:rPr>
            <w:rFonts w:eastAsia="Times New Roman" w:cstheme="minorHAnsi"/>
            <w:bCs/>
            <w:sz w:val="20"/>
            <w:szCs w:val="20"/>
            <w:lang w:val="en-US"/>
          </w:rPr>
          <w:t xml:space="preserve">Michael </w:t>
        </w:r>
      </w:hyperlink>
      <w:r w:rsidRPr="00855AD7">
        <w:rPr>
          <w:rFonts w:eastAsia="Times New Roman" w:cstheme="minorHAnsi"/>
          <w:bCs/>
          <w:sz w:val="20"/>
          <w:szCs w:val="20"/>
          <w:lang w:val="en-US"/>
        </w:rPr>
        <w:t xml:space="preserve"> - </w:t>
      </w:r>
      <w:r w:rsidRPr="00855AD7">
        <w:rPr>
          <w:rFonts w:eastAsia="Times New Roman" w:cstheme="minorHAnsi"/>
          <w:kern w:val="36"/>
          <w:sz w:val="20"/>
          <w:szCs w:val="20"/>
          <w:lang w:val="en-US"/>
        </w:rPr>
        <w:t xml:space="preserve"> </w:t>
      </w:r>
      <w:r w:rsidRPr="00855AD7">
        <w:rPr>
          <w:rFonts w:eastAsia="Times New Roman" w:cstheme="minorHAnsi"/>
          <w:i/>
          <w:kern w:val="36"/>
          <w:sz w:val="20"/>
          <w:szCs w:val="20"/>
          <w:lang w:val="en-US"/>
        </w:rPr>
        <w:t xml:space="preserve">Prehistoric Family Values </w:t>
      </w:r>
      <w:r w:rsidRPr="00855AD7">
        <w:rPr>
          <w:rFonts w:eastAsia="Times New Roman" w:cstheme="minorHAnsi"/>
          <w:kern w:val="36"/>
          <w:sz w:val="20"/>
          <w:szCs w:val="20"/>
          <w:lang w:val="en-US"/>
        </w:rPr>
        <w:t xml:space="preserve">- </w:t>
      </w:r>
      <w:r w:rsidRPr="00855AD7">
        <w:rPr>
          <w:rFonts w:eastAsia="Times New Roman" w:cstheme="minorHAnsi"/>
          <w:bCs/>
          <w:sz w:val="20"/>
          <w:szCs w:val="20"/>
          <w:lang w:val="en-US"/>
        </w:rPr>
        <w:t xml:space="preserve">Nov. 17, 2008 in </w:t>
      </w:r>
      <w:r w:rsidRPr="00855AD7">
        <w:rPr>
          <w:rFonts w:cstheme="minorHAnsi"/>
          <w:sz w:val="20"/>
          <w:szCs w:val="20"/>
          <w:lang w:val="en-US"/>
        </w:rPr>
        <w:t>https://www.sciencemag.org/news/2008/11/prehistoric-family-values – retrieved Dec.12 - 2018</w:t>
      </w:r>
    </w:p>
  </w:footnote>
  <w:footnote w:id="113">
    <w:p w:rsidR="00A246E0" w:rsidRPr="00BB373E" w:rsidRDefault="00A246E0" w:rsidP="008D0320">
      <w:pPr>
        <w:spacing w:line="240" w:lineRule="auto"/>
        <w:rPr>
          <w:sz w:val="20"/>
          <w:szCs w:val="20"/>
          <w:lang w:val="en-US"/>
        </w:rPr>
      </w:pPr>
      <w:r w:rsidRPr="00236097">
        <w:rPr>
          <w:sz w:val="16"/>
        </w:rPr>
        <w:footnoteRef/>
      </w:r>
      <w:r w:rsidRPr="00DF0DD7">
        <w:rPr>
          <w:lang w:val="en-US"/>
        </w:rPr>
        <w:t xml:space="preserve"> </w:t>
      </w:r>
      <w:r w:rsidRPr="00BB373E">
        <w:rPr>
          <w:sz w:val="20"/>
          <w:szCs w:val="20"/>
          <w:lang w:val="en-US"/>
        </w:rPr>
        <w:t xml:space="preserve">Paleolithic Society –in </w:t>
      </w:r>
      <w:r w:rsidRPr="004F4E91">
        <w:rPr>
          <w:sz w:val="20"/>
          <w:szCs w:val="20"/>
          <w:lang w:val="en-US"/>
        </w:rPr>
        <w:t>http://www.ime.gr/chronos/01/en/pl/society/index.html</w:t>
      </w:r>
      <w:r w:rsidRPr="00BB373E">
        <w:rPr>
          <w:sz w:val="20"/>
          <w:szCs w:val="20"/>
          <w:lang w:val="en-US"/>
        </w:rPr>
        <w:t xml:space="preserve"> - retrieved May, 24 - 2019</w:t>
      </w:r>
    </w:p>
  </w:footnote>
  <w:footnote w:id="114">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Bohem, Christopher – Prehistoric Capital Punishment and Parallel Evolutionary Effects - </w:t>
      </w:r>
      <w:r w:rsidRPr="004F4E91">
        <w:rPr>
          <w:rFonts w:cstheme="minorHAnsi"/>
          <w:sz w:val="20"/>
          <w:szCs w:val="20"/>
          <w:lang w:val="en-US"/>
        </w:rPr>
        <w:t>Minding Nature: Spring 2017, Volume 10, Number 2</w:t>
      </w:r>
    </w:p>
  </w:footnote>
  <w:footnote w:id="115">
    <w:p w:rsidR="00A246E0" w:rsidRPr="00236097" w:rsidRDefault="00A246E0" w:rsidP="008D0320">
      <w:pPr>
        <w:spacing w:line="240" w:lineRule="auto"/>
        <w:rPr>
          <w:sz w:val="20"/>
          <w:szCs w:val="20"/>
          <w:lang w:val="en-US"/>
        </w:rPr>
      </w:pPr>
      <w:r w:rsidRPr="00236097">
        <w:rPr>
          <w:sz w:val="16"/>
        </w:rPr>
        <w:footnoteRef/>
      </w:r>
      <w:r w:rsidRPr="00DF0DD7">
        <w:rPr>
          <w:lang w:val="en-US"/>
        </w:rPr>
        <w:t xml:space="preserve"> </w:t>
      </w:r>
      <w:r w:rsidRPr="00236097">
        <w:rPr>
          <w:sz w:val="20"/>
          <w:szCs w:val="20"/>
          <w:lang w:val="en-US"/>
        </w:rPr>
        <w:t>Kieran, Matthew - Art, Imagination, and the Cultivation of Morals(art) The Journal of Aesthetics and Art Criticism - Vol. 54, No. 4 (Autumn, 1996), pp. 337-351</w:t>
      </w:r>
    </w:p>
  </w:footnote>
  <w:footnote w:id="116">
    <w:p w:rsidR="00A246E0" w:rsidRPr="00236097" w:rsidRDefault="00A246E0" w:rsidP="008D0320">
      <w:pPr>
        <w:spacing w:after="0" w:line="240" w:lineRule="auto"/>
        <w:jc w:val="both"/>
        <w:rPr>
          <w:rFonts w:cstheme="minorHAnsi"/>
          <w:sz w:val="20"/>
          <w:szCs w:val="20"/>
          <w:shd w:val="clear" w:color="auto" w:fill="FFFFFF"/>
          <w:lang w:val="en-US"/>
        </w:rPr>
      </w:pPr>
      <w:r w:rsidRPr="00855AD7">
        <w:rPr>
          <w:rStyle w:val="Refdenotaderodap"/>
          <w:rFonts w:cstheme="minorHAnsi"/>
        </w:rPr>
        <w:footnoteRef/>
      </w:r>
      <w:r w:rsidRPr="004F4E91">
        <w:rPr>
          <w:sz w:val="20"/>
          <w:szCs w:val="20"/>
          <w:lang w:val="en-US"/>
        </w:rPr>
        <w:t>https://www.newscientist.com/article/mg22429983.200-shell-art-made-300000-years-before-humans-evolved.html</w:t>
      </w:r>
    </w:p>
  </w:footnote>
  <w:footnote w:id="117">
    <w:p w:rsidR="00A246E0" w:rsidRPr="00AE2D0F"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w:t>
      </w:r>
      <w:r w:rsidRPr="00DF0DD7">
        <w:rPr>
          <w:lang w:val="en-US"/>
        </w:rPr>
        <w:t>St. Fleur</w:t>
      </w:r>
      <w:r>
        <w:rPr>
          <w:lang w:val="en-US"/>
        </w:rPr>
        <w:t>, Nicholas (12 September 2018).</w:t>
      </w:r>
      <w:hyperlink r:id="rId25" w:history="1">
        <w:r w:rsidRPr="00855AD7">
          <w:rPr>
            <w:rFonts w:cstheme="minorHAnsi"/>
            <w:lang w:val="en-US"/>
          </w:rPr>
          <w:t>"Oldest Known Drawing by Human Hands Discovered in South African Cave"</w:t>
        </w:r>
      </w:hyperlink>
      <w:r>
        <w:rPr>
          <w:lang w:val="en-US"/>
        </w:rPr>
        <w:t>.</w:t>
      </w:r>
      <w:r w:rsidRPr="004F4E91">
        <w:rPr>
          <w:lang w:val="en-US"/>
        </w:rPr>
        <w:t>The New York Times</w:t>
      </w:r>
      <w:r>
        <w:rPr>
          <w:lang w:val="en-US"/>
        </w:rPr>
        <w:t>. Retrieved15 September</w:t>
      </w:r>
      <w:r w:rsidRPr="00DF0DD7">
        <w:rPr>
          <w:lang w:val="en-US"/>
        </w:rPr>
        <w:t>2018.</w:t>
      </w:r>
    </w:p>
  </w:footnote>
  <w:footnote w:id="118">
    <w:p w:rsidR="00A246E0" w:rsidRPr="00AE2D0F" w:rsidRDefault="00A246E0" w:rsidP="008D0320">
      <w:pPr>
        <w:pStyle w:val="Textodenotaderodap"/>
        <w:jc w:val="both"/>
        <w:rPr>
          <w:rFonts w:cstheme="minorHAnsi"/>
          <w:lang w:val="en-US"/>
        </w:rPr>
      </w:pPr>
      <w:r w:rsidRPr="00AE2D0F">
        <w:rPr>
          <w:rStyle w:val="Refdenotaderodap"/>
          <w:rFonts w:cstheme="minorHAnsi"/>
        </w:rPr>
        <w:footnoteRef/>
      </w:r>
      <w:r w:rsidRPr="00DF0DD7">
        <w:rPr>
          <w:lang w:val="en-US"/>
        </w:rPr>
        <w:t xml:space="preserve">  Massey, Reginald, and Massey, Jamila. </w:t>
      </w:r>
      <w:r w:rsidRPr="004F4E91">
        <w:rPr>
          <w:lang w:val="en-US"/>
        </w:rPr>
        <w:t>The Music of India</w:t>
      </w:r>
      <w:r w:rsidRPr="00760405">
        <w:rPr>
          <w:lang w:val="en-US"/>
        </w:rPr>
        <w:t xml:space="preserve"> - Google Books</w:t>
      </w:r>
    </w:p>
  </w:footnote>
  <w:footnote w:id="119">
    <w:p w:rsidR="00A246E0" w:rsidRPr="00DF0DD7" w:rsidRDefault="00A246E0" w:rsidP="008D0320">
      <w:pPr>
        <w:spacing w:line="240" w:lineRule="auto"/>
        <w:jc w:val="both"/>
        <w:rPr>
          <w:sz w:val="20"/>
          <w:szCs w:val="20"/>
          <w:lang w:val="en-US"/>
        </w:rPr>
      </w:pPr>
      <w:r w:rsidRPr="00227C03">
        <w:rPr>
          <w:sz w:val="14"/>
          <w:szCs w:val="20"/>
        </w:rPr>
        <w:footnoteRef/>
      </w:r>
      <w:r w:rsidRPr="00227C03">
        <w:rPr>
          <w:sz w:val="14"/>
          <w:szCs w:val="20"/>
          <w:lang w:val="en-US"/>
        </w:rPr>
        <w:t xml:space="preserve"> </w:t>
      </w:r>
      <w:r w:rsidRPr="00DF0DD7">
        <w:rPr>
          <w:sz w:val="20"/>
          <w:szCs w:val="20"/>
          <w:lang w:val="en-US"/>
        </w:rPr>
        <w:t>Mithen, Steven (2009) – “</w:t>
      </w:r>
      <w:r w:rsidRPr="004F4E91">
        <w:rPr>
          <w:sz w:val="20"/>
          <w:szCs w:val="20"/>
          <w:lang w:val="en-US"/>
        </w:rPr>
        <w:t>Thoughtful Foragers: A Study of Prehistoric Decision Making</w:t>
      </w:r>
      <w:r w:rsidRPr="00DF0DD7">
        <w:rPr>
          <w:sz w:val="20"/>
          <w:szCs w:val="20"/>
          <w:lang w:val="en-US"/>
        </w:rPr>
        <w:t>”  Cambridge University Press; Reissue edition (March 12, 2</w:t>
      </w:r>
      <w:r>
        <w:rPr>
          <w:sz w:val="20"/>
          <w:szCs w:val="20"/>
          <w:lang w:val="en-US"/>
        </w:rPr>
        <w:t>009)ISBN-10: 052110288XISBN-13:</w:t>
      </w:r>
      <w:r w:rsidRPr="00DF0DD7">
        <w:rPr>
          <w:sz w:val="20"/>
          <w:szCs w:val="20"/>
          <w:lang w:val="en-US"/>
        </w:rPr>
        <w:t>978-0521102889</w:t>
      </w:r>
    </w:p>
  </w:footnote>
  <w:footnote w:id="120">
    <w:p w:rsidR="00A246E0" w:rsidRPr="00227C03"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Donald, M. (2009) ‘The Roots of Art and Religion in Ancient Material Culture,’ in Renfrew, C &amp; Morley, apud Ambrose, Darren - </w:t>
      </w:r>
      <w:r w:rsidRPr="00855AD7">
        <w:rPr>
          <w:rFonts w:cstheme="minorHAnsi"/>
          <w:i/>
          <w:sz w:val="20"/>
          <w:szCs w:val="20"/>
          <w:lang w:val="en-US"/>
        </w:rPr>
        <w:t>The Affectivity of Prehistoric Art</w:t>
      </w:r>
      <w:r w:rsidRPr="00855AD7">
        <w:rPr>
          <w:rFonts w:cstheme="minorHAnsi"/>
          <w:sz w:val="20"/>
          <w:szCs w:val="20"/>
          <w:lang w:val="en-US"/>
        </w:rPr>
        <w:t xml:space="preserve"> (Part 2) in </w:t>
      </w:r>
      <w:r w:rsidRPr="00227C03">
        <w:rPr>
          <w:rFonts w:cstheme="minorHAnsi"/>
          <w:sz w:val="20"/>
          <w:szCs w:val="20"/>
          <w:lang w:val="en-US"/>
        </w:rPr>
        <w:t>https://dcambrose.com/philosophy/the-affectivity-of-prehistoric-art-part-2/ - retrieved Apr.21, 2019</w:t>
      </w:r>
    </w:p>
  </w:footnote>
  <w:footnote w:id="121">
    <w:p w:rsidR="00A246E0" w:rsidRPr="00855AD7" w:rsidRDefault="00A246E0" w:rsidP="008D0320">
      <w:pPr>
        <w:spacing w:line="240" w:lineRule="auto"/>
        <w:jc w:val="both"/>
        <w:rPr>
          <w:rFonts w:eastAsiaTheme="minorEastAsia" w:cstheme="minorHAnsi"/>
          <w:sz w:val="20"/>
          <w:szCs w:val="20"/>
          <w:lang w:val="en-US" w:eastAsia="pt-BR"/>
        </w:rPr>
      </w:pPr>
      <w:r w:rsidRPr="00855AD7">
        <w:rPr>
          <w:rStyle w:val="Refdenotaderodap"/>
          <w:rFonts w:cstheme="minorHAnsi"/>
        </w:rPr>
        <w:footnoteRef/>
      </w:r>
      <w:r w:rsidRPr="00855AD7">
        <w:rPr>
          <w:rFonts w:cstheme="minorHAnsi"/>
          <w:sz w:val="20"/>
          <w:szCs w:val="20"/>
          <w:lang w:val="en-US"/>
        </w:rPr>
        <w:t xml:space="preserve"> </w:t>
      </w:r>
      <w:r w:rsidRPr="00855AD7">
        <w:rPr>
          <w:rFonts w:eastAsiaTheme="minorEastAsia" w:cstheme="minorHAnsi"/>
          <w:sz w:val="20"/>
          <w:szCs w:val="20"/>
          <w:lang w:val="en-US" w:eastAsia="pt-BR"/>
        </w:rPr>
        <w:t>Pedersen, Norman – The Seed of Civilization – Sól-Earth Publishers -  ISBN 978 – 1978169531 – pg. 115</w:t>
      </w:r>
    </w:p>
  </w:footnote>
  <w:footnote w:id="122">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Tse, Peter Ulrich in the course </w:t>
      </w:r>
      <w:r w:rsidRPr="00855AD7">
        <w:rPr>
          <w:rFonts w:cstheme="minorHAnsi"/>
          <w:i/>
          <w:sz w:val="20"/>
          <w:szCs w:val="20"/>
          <w:lang w:val="en-US"/>
        </w:rPr>
        <w:t>Libertarian Free will –Neuroscientific and Philosophical Evidence</w:t>
      </w:r>
      <w:r w:rsidRPr="00855AD7">
        <w:rPr>
          <w:rFonts w:cstheme="minorHAnsi"/>
          <w:sz w:val="20"/>
          <w:szCs w:val="20"/>
          <w:lang w:val="en-US"/>
        </w:rPr>
        <w:t xml:space="preserve"> – at Dartmouth College.</w:t>
      </w:r>
    </w:p>
  </w:footnote>
  <w:footnote w:id="123">
    <w:p w:rsidR="00A246E0" w:rsidRPr="00DF0DD7" w:rsidRDefault="00A246E0" w:rsidP="008D0320">
      <w:pPr>
        <w:spacing w:line="240" w:lineRule="auto"/>
        <w:rPr>
          <w:sz w:val="20"/>
          <w:szCs w:val="20"/>
          <w:lang w:val="en-US"/>
        </w:rPr>
      </w:pPr>
      <w:r w:rsidRPr="00227C03">
        <w:rPr>
          <w:sz w:val="14"/>
          <w:szCs w:val="20"/>
        </w:rPr>
        <w:footnoteRef/>
      </w:r>
      <w:r w:rsidRPr="00DF0DD7">
        <w:rPr>
          <w:sz w:val="20"/>
          <w:szCs w:val="20"/>
          <w:lang w:val="en-US"/>
        </w:rPr>
        <w:t xml:space="preserve"> Palacio-Pérez, Eduardo and Redondo, Aitor Ruiz - Imaginary creatures in Palaeolithic art: prehistoric dreams</w:t>
      </w:r>
      <w:r>
        <w:rPr>
          <w:sz w:val="20"/>
          <w:szCs w:val="20"/>
          <w:lang w:val="en-US"/>
        </w:rPr>
        <w:t xml:space="preserve"> or prehistorians' dreams? DOI: </w:t>
      </w:r>
      <w:r w:rsidRPr="004F4E91">
        <w:rPr>
          <w:sz w:val="20"/>
          <w:szCs w:val="20"/>
          <w:lang w:val="en-US"/>
        </w:rPr>
        <w:t>https://doi.org/10.1017/S0003598X00050341</w:t>
      </w:r>
      <w:r w:rsidRPr="00DF0DD7">
        <w:rPr>
          <w:sz w:val="20"/>
          <w:szCs w:val="20"/>
          <w:lang w:val="en-US"/>
        </w:rPr>
        <w:t>Published online</w:t>
      </w:r>
      <w:r>
        <w:rPr>
          <w:sz w:val="20"/>
          <w:szCs w:val="20"/>
          <w:lang w:val="en-US"/>
        </w:rPr>
        <w:t xml:space="preserve"> by Cambridge University Press: </w:t>
      </w:r>
      <w:r w:rsidRPr="00DF0DD7">
        <w:rPr>
          <w:sz w:val="20"/>
          <w:szCs w:val="20"/>
          <w:lang w:val="en-US"/>
        </w:rPr>
        <w:t>02 January 2015</w:t>
      </w:r>
    </w:p>
  </w:footnote>
  <w:footnote w:id="124">
    <w:p w:rsidR="00A246E0" w:rsidRPr="00DF0DD7" w:rsidRDefault="00A246E0" w:rsidP="008D0320">
      <w:pPr>
        <w:spacing w:line="240" w:lineRule="auto"/>
        <w:jc w:val="both"/>
        <w:rPr>
          <w:sz w:val="20"/>
          <w:szCs w:val="20"/>
          <w:lang w:val="en-US"/>
        </w:rPr>
      </w:pPr>
      <w:r w:rsidRPr="00227C03">
        <w:rPr>
          <w:sz w:val="14"/>
          <w:szCs w:val="20"/>
        </w:rPr>
        <w:footnoteRef/>
      </w:r>
      <w:r w:rsidRPr="00DF0DD7">
        <w:rPr>
          <w:sz w:val="20"/>
          <w:szCs w:val="20"/>
          <w:lang w:val="en-US"/>
        </w:rPr>
        <w:t>People,</w:t>
      </w:r>
      <w:r w:rsidRPr="004F4E91">
        <w:rPr>
          <w:sz w:val="20"/>
          <w:szCs w:val="20"/>
          <w:lang w:val="en-US"/>
        </w:rPr>
        <w:t xml:space="preserve">Hervey C. </w:t>
      </w:r>
      <w:r w:rsidRPr="00DF0DD7">
        <w:rPr>
          <w:sz w:val="20"/>
          <w:szCs w:val="20"/>
          <w:lang w:val="en-US"/>
        </w:rPr>
        <w:t xml:space="preserve">, Duda, </w:t>
      </w:r>
      <w:r w:rsidRPr="004F4E91">
        <w:rPr>
          <w:sz w:val="20"/>
          <w:szCs w:val="20"/>
          <w:lang w:val="en-US"/>
        </w:rPr>
        <w:t xml:space="preserve">Pavel, </w:t>
      </w:r>
      <w:r w:rsidRPr="00DF0DD7">
        <w:rPr>
          <w:sz w:val="20"/>
          <w:szCs w:val="20"/>
          <w:lang w:val="en-US"/>
        </w:rPr>
        <w:t xml:space="preserve">and Marlowe, </w:t>
      </w:r>
      <w:r w:rsidRPr="004F4E91">
        <w:rPr>
          <w:sz w:val="20"/>
          <w:szCs w:val="20"/>
          <w:lang w:val="en-US"/>
        </w:rPr>
        <w:t xml:space="preserve">Frank W. </w:t>
      </w:r>
      <w:r w:rsidRPr="00DF0DD7">
        <w:rPr>
          <w:sz w:val="20"/>
          <w:szCs w:val="20"/>
          <w:lang w:val="en-US"/>
        </w:rPr>
        <w:t xml:space="preserve"> “Hunter-Gatherers and the Origins of            Religion”,HumNat  Journal -   2016 Sep;27(3):261-82. doi: 10.1007/s12110-016-9260-0  </w:t>
      </w:r>
    </w:p>
  </w:footnote>
  <w:footnote w:id="125">
    <w:p w:rsidR="00A246E0" w:rsidRPr="00855AD7" w:rsidRDefault="00A246E0" w:rsidP="008D0320">
      <w:pPr>
        <w:pStyle w:val="Textodenotaderodap"/>
        <w:jc w:val="both"/>
        <w:rPr>
          <w:rFonts w:cstheme="minorHAnsi"/>
          <w:lang w:val="en-US"/>
        </w:rPr>
      </w:pPr>
      <w:r w:rsidRPr="00855AD7">
        <w:rPr>
          <w:rStyle w:val="Refdenotaderodap"/>
          <w:rFonts w:cstheme="minorHAnsi"/>
        </w:rPr>
        <w:footnoteRef/>
      </w:r>
      <w:r w:rsidRPr="00855AD7">
        <w:rPr>
          <w:rFonts w:cstheme="minorHAnsi"/>
          <w:lang w:val="en-US"/>
        </w:rPr>
        <w:t xml:space="preserve"> Jung, Carl Gustav – The Archetypes and the Collective Unconscious, cit. Vol. 4</w:t>
      </w:r>
    </w:p>
  </w:footnote>
  <w:footnote w:id="126">
    <w:p w:rsidR="00A246E0" w:rsidRPr="00855AD7"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Smith, Vernon L.(1993) “</w:t>
      </w:r>
      <w:r w:rsidRPr="00855AD7">
        <w:rPr>
          <w:rFonts w:cstheme="minorHAnsi"/>
          <w:i/>
          <w:sz w:val="20"/>
          <w:szCs w:val="20"/>
          <w:lang w:val="en-US"/>
        </w:rPr>
        <w:t>Humankind in Prehistory: Economy, Ecology, and Institutions</w:t>
      </w:r>
      <w:r w:rsidRPr="00855AD7">
        <w:rPr>
          <w:rFonts w:cstheme="minorHAnsi"/>
          <w:sz w:val="20"/>
          <w:szCs w:val="20"/>
          <w:lang w:val="en-US"/>
        </w:rPr>
        <w:t>” in The Political Economy of Customs and Culture, edited by Terry L. Anderson and Randy T. Simmons, Copyright 1993 Rowman &amp; Littlefield Publishers</w:t>
      </w:r>
    </w:p>
  </w:footnote>
  <w:footnote w:id="127">
    <w:p w:rsidR="00A246E0" w:rsidRPr="00DF0DD7" w:rsidRDefault="00A246E0" w:rsidP="008D0320">
      <w:pPr>
        <w:spacing w:line="240" w:lineRule="auto"/>
        <w:rPr>
          <w:sz w:val="20"/>
          <w:szCs w:val="20"/>
          <w:lang w:val="en-US"/>
        </w:rPr>
      </w:pPr>
      <w:r w:rsidRPr="00227C03">
        <w:rPr>
          <w:sz w:val="14"/>
          <w:szCs w:val="20"/>
        </w:rPr>
        <w:footnoteRef/>
      </w:r>
      <w:r w:rsidRPr="00DF0DD7">
        <w:rPr>
          <w:sz w:val="20"/>
          <w:szCs w:val="20"/>
          <w:lang w:val="en-US"/>
        </w:rPr>
        <w:t xml:space="preserve"> Hinde Robert </w:t>
      </w:r>
      <w:r>
        <w:rPr>
          <w:sz w:val="20"/>
          <w:szCs w:val="20"/>
          <w:lang w:val="en-US"/>
        </w:rPr>
        <w:t>A., Stevenson-Hinde Joan.(1990)</w:t>
      </w:r>
      <w:r w:rsidRPr="00DF0DD7">
        <w:rPr>
          <w:sz w:val="20"/>
          <w:szCs w:val="20"/>
          <w:lang w:val="en-US"/>
        </w:rPr>
        <w:t xml:space="preserve">“Attachment: Biological, Cultural and Individual Desiderata”- </w:t>
      </w:r>
      <w:r>
        <w:rPr>
          <w:sz w:val="20"/>
          <w:szCs w:val="20"/>
          <w:lang w:val="en-US"/>
        </w:rPr>
        <w:t>Human Development 1990;33:62–72</w:t>
      </w:r>
      <w:r w:rsidRPr="00DF0DD7">
        <w:rPr>
          <w:sz w:val="20"/>
          <w:szCs w:val="20"/>
          <w:lang w:val="en-US"/>
        </w:rPr>
        <w:t xml:space="preserve"> (DOI:10.1159/000276503)- Karger.</w:t>
      </w:r>
    </w:p>
    <w:p w:rsidR="00A246E0" w:rsidRPr="00855AD7" w:rsidRDefault="00A246E0" w:rsidP="008D0320">
      <w:pPr>
        <w:pStyle w:val="Textodenotaderodap"/>
        <w:jc w:val="both"/>
        <w:rPr>
          <w:rFonts w:cstheme="minorHAnsi"/>
          <w:lang w:val="en-US"/>
        </w:rPr>
      </w:pPr>
    </w:p>
  </w:footnote>
  <w:footnote w:id="128">
    <w:p w:rsidR="00A246E0" w:rsidRPr="00DF0DD7" w:rsidRDefault="00A246E0" w:rsidP="008D0320">
      <w:pPr>
        <w:spacing w:line="240" w:lineRule="auto"/>
        <w:rPr>
          <w:sz w:val="20"/>
          <w:szCs w:val="20"/>
          <w:lang w:val="en-US"/>
        </w:rPr>
      </w:pPr>
      <w:r w:rsidRPr="00CF3125">
        <w:rPr>
          <w:sz w:val="14"/>
          <w:szCs w:val="20"/>
        </w:rPr>
        <w:footnoteRef/>
      </w:r>
      <w:r w:rsidRPr="00DF0DD7">
        <w:rPr>
          <w:sz w:val="20"/>
          <w:szCs w:val="20"/>
          <w:lang w:val="en-US"/>
        </w:rPr>
        <w:t xml:space="preserve"> Hawking, Stephen, and Mlodinow, Le</w:t>
      </w:r>
      <w:r>
        <w:rPr>
          <w:sz w:val="20"/>
          <w:szCs w:val="20"/>
          <w:lang w:val="en-US"/>
        </w:rPr>
        <w:t>onard (2012)”The Grand Design”.</w:t>
      </w:r>
      <w:r w:rsidRPr="00DF0DD7">
        <w:rPr>
          <w:sz w:val="20"/>
          <w:szCs w:val="20"/>
          <w:lang w:val="en-US"/>
        </w:rPr>
        <w:t xml:space="preserve"> Bantam; Reprint edition – p5</w:t>
      </w:r>
    </w:p>
  </w:footnote>
  <w:footnote w:id="129">
    <w:p w:rsidR="00A246E0" w:rsidRPr="0082284A" w:rsidRDefault="00A246E0" w:rsidP="008D0320">
      <w:pPr>
        <w:spacing w:line="240" w:lineRule="auto"/>
        <w:jc w:val="both"/>
        <w:rPr>
          <w:rFonts w:cstheme="minorHAnsi"/>
          <w:sz w:val="20"/>
          <w:szCs w:val="20"/>
          <w:lang w:val="en-US"/>
        </w:rPr>
      </w:pPr>
      <w:r w:rsidRPr="00855AD7">
        <w:rPr>
          <w:rStyle w:val="Refdenotaderodap"/>
          <w:rFonts w:cstheme="minorHAnsi"/>
        </w:rPr>
        <w:footnoteRef/>
      </w:r>
      <w:r w:rsidRPr="00855AD7">
        <w:rPr>
          <w:rFonts w:cstheme="minorHAnsi"/>
          <w:sz w:val="20"/>
          <w:szCs w:val="20"/>
          <w:lang w:val="en-US"/>
        </w:rPr>
        <w:t xml:space="preserve"> T.D. Campbell “Variation and Selective Retention in Socio-cultural Evolution,” in H.R. Barringer, B.I. Blanksten, and R.W. Mack, eds., Social Change in Developing AreasNew York: Schenkman, 1965. –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150089"/>
      <w:docPartObj>
        <w:docPartGallery w:val="Page Numbers (Top of Page)"/>
        <w:docPartUnique/>
      </w:docPartObj>
    </w:sdtPr>
    <w:sdtContent>
      <w:p w:rsidR="007205FF" w:rsidRDefault="007205FF">
        <w:pPr>
          <w:pStyle w:val="Cabealho"/>
          <w:jc w:val="center"/>
        </w:pPr>
        <w:r>
          <w:fldChar w:fldCharType="begin"/>
        </w:r>
        <w:r>
          <w:instrText>PAGE   \* MERGEFORMAT</w:instrText>
        </w:r>
        <w:r>
          <w:fldChar w:fldCharType="separate"/>
        </w:r>
        <w:r w:rsidR="00D943BF">
          <w:rPr>
            <w:noProof/>
          </w:rPr>
          <w:t>5</w:t>
        </w:r>
        <w:r>
          <w:fldChar w:fldCharType="end"/>
        </w:r>
      </w:p>
    </w:sdtContent>
  </w:sdt>
  <w:p w:rsidR="00A246E0" w:rsidRDefault="00A246E0" w:rsidP="008D0320">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E414D"/>
    <w:multiLevelType w:val="multilevel"/>
    <w:tmpl w:val="D338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1568BC"/>
    <w:multiLevelType w:val="multilevel"/>
    <w:tmpl w:val="8FC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712C8"/>
    <w:multiLevelType w:val="hybridMultilevel"/>
    <w:tmpl w:val="7B561806"/>
    <w:lvl w:ilvl="0" w:tplc="A09CED34">
      <w:start w:val="1"/>
      <w:numFmt w:val="decimal"/>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2A76BCC"/>
    <w:multiLevelType w:val="hybridMultilevel"/>
    <w:tmpl w:val="E06C21D0"/>
    <w:lvl w:ilvl="0" w:tplc="B3C64C84">
      <w:start w:val="1"/>
      <w:numFmt w:val="lowerLetter"/>
      <w:lvlText w:val="%1)"/>
      <w:lvlJc w:val="left"/>
      <w:pPr>
        <w:ind w:left="1290" w:hanging="360"/>
      </w:pPr>
      <w:rPr>
        <w:rFonts w:hint="default"/>
      </w:rPr>
    </w:lvl>
    <w:lvl w:ilvl="1" w:tplc="04160019" w:tentative="1">
      <w:start w:val="1"/>
      <w:numFmt w:val="lowerLetter"/>
      <w:lvlText w:val="%2."/>
      <w:lvlJc w:val="left"/>
      <w:pPr>
        <w:ind w:left="2010" w:hanging="360"/>
      </w:pPr>
    </w:lvl>
    <w:lvl w:ilvl="2" w:tplc="0416001B" w:tentative="1">
      <w:start w:val="1"/>
      <w:numFmt w:val="lowerRoman"/>
      <w:lvlText w:val="%3."/>
      <w:lvlJc w:val="right"/>
      <w:pPr>
        <w:ind w:left="2730" w:hanging="180"/>
      </w:pPr>
    </w:lvl>
    <w:lvl w:ilvl="3" w:tplc="0416000F" w:tentative="1">
      <w:start w:val="1"/>
      <w:numFmt w:val="decimal"/>
      <w:lvlText w:val="%4."/>
      <w:lvlJc w:val="left"/>
      <w:pPr>
        <w:ind w:left="3450" w:hanging="360"/>
      </w:pPr>
    </w:lvl>
    <w:lvl w:ilvl="4" w:tplc="04160019" w:tentative="1">
      <w:start w:val="1"/>
      <w:numFmt w:val="lowerLetter"/>
      <w:lvlText w:val="%5."/>
      <w:lvlJc w:val="left"/>
      <w:pPr>
        <w:ind w:left="4170" w:hanging="360"/>
      </w:pPr>
    </w:lvl>
    <w:lvl w:ilvl="5" w:tplc="0416001B" w:tentative="1">
      <w:start w:val="1"/>
      <w:numFmt w:val="lowerRoman"/>
      <w:lvlText w:val="%6."/>
      <w:lvlJc w:val="right"/>
      <w:pPr>
        <w:ind w:left="4890" w:hanging="180"/>
      </w:pPr>
    </w:lvl>
    <w:lvl w:ilvl="6" w:tplc="0416000F" w:tentative="1">
      <w:start w:val="1"/>
      <w:numFmt w:val="decimal"/>
      <w:lvlText w:val="%7."/>
      <w:lvlJc w:val="left"/>
      <w:pPr>
        <w:ind w:left="5610" w:hanging="360"/>
      </w:pPr>
    </w:lvl>
    <w:lvl w:ilvl="7" w:tplc="04160019" w:tentative="1">
      <w:start w:val="1"/>
      <w:numFmt w:val="lowerLetter"/>
      <w:lvlText w:val="%8."/>
      <w:lvlJc w:val="left"/>
      <w:pPr>
        <w:ind w:left="6330" w:hanging="360"/>
      </w:pPr>
    </w:lvl>
    <w:lvl w:ilvl="8" w:tplc="0416001B" w:tentative="1">
      <w:start w:val="1"/>
      <w:numFmt w:val="lowerRoman"/>
      <w:lvlText w:val="%9."/>
      <w:lvlJc w:val="right"/>
      <w:pPr>
        <w:ind w:left="7050" w:hanging="180"/>
      </w:pPr>
    </w:lvl>
  </w:abstractNum>
  <w:abstractNum w:abstractNumId="4">
    <w:nsid w:val="32D66E5F"/>
    <w:multiLevelType w:val="multilevel"/>
    <w:tmpl w:val="0488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01129C"/>
    <w:multiLevelType w:val="multilevel"/>
    <w:tmpl w:val="61C6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2F5965"/>
    <w:multiLevelType w:val="hybridMultilevel"/>
    <w:tmpl w:val="EE164778"/>
    <w:lvl w:ilvl="0" w:tplc="5A1C51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95707C2"/>
    <w:multiLevelType w:val="multilevel"/>
    <w:tmpl w:val="9A88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3E0E7D"/>
    <w:multiLevelType w:val="multilevel"/>
    <w:tmpl w:val="EA00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C70255"/>
    <w:multiLevelType w:val="hybridMultilevel"/>
    <w:tmpl w:val="676E7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7"/>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1NzUzNLc0MzY3MbBU0lEKTi0uzszPAykwrgUACZbliywAAAA="/>
  </w:docVars>
  <w:rsids>
    <w:rsidRoot w:val="008D0320"/>
    <w:rsid w:val="000106F7"/>
    <w:rsid w:val="00093EDD"/>
    <w:rsid w:val="000A790F"/>
    <w:rsid w:val="000B66D6"/>
    <w:rsid w:val="001620ED"/>
    <w:rsid w:val="001E7E52"/>
    <w:rsid w:val="001F3F64"/>
    <w:rsid w:val="00207BC1"/>
    <w:rsid w:val="002F3AC1"/>
    <w:rsid w:val="003069FA"/>
    <w:rsid w:val="003B36CD"/>
    <w:rsid w:val="004845AB"/>
    <w:rsid w:val="004C3A7C"/>
    <w:rsid w:val="004F4E91"/>
    <w:rsid w:val="005206E7"/>
    <w:rsid w:val="00572F12"/>
    <w:rsid w:val="005803F6"/>
    <w:rsid w:val="00597DB0"/>
    <w:rsid w:val="005E44DB"/>
    <w:rsid w:val="005E4F2E"/>
    <w:rsid w:val="007205FF"/>
    <w:rsid w:val="00777CEF"/>
    <w:rsid w:val="008D0320"/>
    <w:rsid w:val="00960AFE"/>
    <w:rsid w:val="00977FA8"/>
    <w:rsid w:val="009B101B"/>
    <w:rsid w:val="00A246E0"/>
    <w:rsid w:val="00A61D39"/>
    <w:rsid w:val="00AA33E8"/>
    <w:rsid w:val="00AF7BE4"/>
    <w:rsid w:val="00B7524D"/>
    <w:rsid w:val="00B75A30"/>
    <w:rsid w:val="00B905D9"/>
    <w:rsid w:val="00BA236D"/>
    <w:rsid w:val="00CC0A27"/>
    <w:rsid w:val="00D943BF"/>
    <w:rsid w:val="00DE4EBF"/>
    <w:rsid w:val="00F355C7"/>
    <w:rsid w:val="00FE42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9f7db,#f4ebb2,#fce4ae"/>
    </o:shapedefaults>
    <o:shapelayout v:ext="edit">
      <o:idmap v:ext="edit" data="1"/>
    </o:shapelayout>
  </w:shapeDefaults>
  <w:decimalSymbol w:val=","/>
  <w:listSeparator w:val=";"/>
  <w15:chartTrackingRefBased/>
  <w15:docId w15:val="{28436709-C7DD-4954-A1A6-CBC4D0540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D0320"/>
    <w:pPr>
      <w:keepNext/>
      <w:keepLines/>
      <w:spacing w:before="240" w:after="0" w:line="480" w:lineRule="auto"/>
      <w:outlineLvl w:val="0"/>
    </w:pPr>
    <w:rPr>
      <w:rFonts w:asciiTheme="majorHAnsi" w:eastAsiaTheme="majorEastAsia" w:hAnsiTheme="majorHAnsi" w:cstheme="majorBidi"/>
      <w:color w:val="548AB7" w:themeColor="accent1" w:themeShade="BF"/>
      <w:sz w:val="32"/>
      <w:szCs w:val="32"/>
    </w:rPr>
  </w:style>
  <w:style w:type="paragraph" w:styleId="Ttulo4">
    <w:name w:val="heading 4"/>
    <w:basedOn w:val="Normal"/>
    <w:next w:val="Normal"/>
    <w:link w:val="Ttulo4Char"/>
    <w:uiPriority w:val="9"/>
    <w:semiHidden/>
    <w:unhideWhenUsed/>
    <w:qFormat/>
    <w:rsid w:val="008D0320"/>
    <w:pPr>
      <w:keepNext/>
      <w:keepLines/>
      <w:spacing w:before="40" w:after="0" w:line="480" w:lineRule="auto"/>
      <w:outlineLvl w:val="3"/>
    </w:pPr>
    <w:rPr>
      <w:rFonts w:asciiTheme="majorHAnsi" w:eastAsiaTheme="majorEastAsia" w:hAnsiTheme="majorHAnsi" w:cstheme="majorBidi"/>
      <w:i/>
      <w:iCs/>
      <w:color w:val="548AB7"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0320"/>
    <w:rPr>
      <w:rFonts w:asciiTheme="majorHAnsi" w:eastAsiaTheme="majorEastAsia" w:hAnsiTheme="majorHAnsi" w:cstheme="majorBidi"/>
      <w:color w:val="548AB7" w:themeColor="accent1" w:themeShade="BF"/>
      <w:sz w:val="32"/>
      <w:szCs w:val="32"/>
    </w:rPr>
  </w:style>
  <w:style w:type="character" w:customStyle="1" w:styleId="Ttulo4Char">
    <w:name w:val="Título 4 Char"/>
    <w:basedOn w:val="Fontepargpadro"/>
    <w:link w:val="Ttulo4"/>
    <w:uiPriority w:val="9"/>
    <w:semiHidden/>
    <w:rsid w:val="008D0320"/>
    <w:rPr>
      <w:rFonts w:asciiTheme="majorHAnsi" w:eastAsiaTheme="majorEastAsia" w:hAnsiTheme="majorHAnsi" w:cstheme="majorBidi"/>
      <w:i/>
      <w:iCs/>
      <w:color w:val="548AB7" w:themeColor="accent1" w:themeShade="BF"/>
    </w:rPr>
  </w:style>
  <w:style w:type="numbering" w:customStyle="1" w:styleId="Semlista1">
    <w:name w:val="Sem lista1"/>
    <w:next w:val="Semlista"/>
    <w:uiPriority w:val="99"/>
    <w:semiHidden/>
    <w:unhideWhenUsed/>
    <w:rsid w:val="008D0320"/>
  </w:style>
  <w:style w:type="paragraph" w:styleId="Cabealho">
    <w:name w:val="header"/>
    <w:basedOn w:val="Normal"/>
    <w:link w:val="CabealhoChar"/>
    <w:uiPriority w:val="99"/>
    <w:unhideWhenUsed/>
    <w:rsid w:val="008D03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0320"/>
  </w:style>
  <w:style w:type="paragraph" w:styleId="Rodap">
    <w:name w:val="footer"/>
    <w:basedOn w:val="Normal"/>
    <w:link w:val="RodapChar"/>
    <w:uiPriority w:val="99"/>
    <w:unhideWhenUsed/>
    <w:rsid w:val="008D0320"/>
    <w:pPr>
      <w:tabs>
        <w:tab w:val="center" w:pos="4252"/>
        <w:tab w:val="right" w:pos="8504"/>
      </w:tabs>
      <w:spacing w:after="0" w:line="240" w:lineRule="auto"/>
    </w:pPr>
  </w:style>
  <w:style w:type="character" w:customStyle="1" w:styleId="RodapChar">
    <w:name w:val="Rodapé Char"/>
    <w:basedOn w:val="Fontepargpadro"/>
    <w:link w:val="Rodap"/>
    <w:uiPriority w:val="99"/>
    <w:rsid w:val="008D0320"/>
  </w:style>
  <w:style w:type="numbering" w:customStyle="1" w:styleId="Semlista11">
    <w:name w:val="Sem lista11"/>
    <w:next w:val="Semlista"/>
    <w:uiPriority w:val="99"/>
    <w:semiHidden/>
    <w:unhideWhenUsed/>
    <w:rsid w:val="008D0320"/>
  </w:style>
  <w:style w:type="character" w:styleId="Hyperlink">
    <w:name w:val="Hyperlink"/>
    <w:basedOn w:val="Fontepargpadro"/>
    <w:uiPriority w:val="99"/>
    <w:unhideWhenUsed/>
    <w:rsid w:val="008D0320"/>
    <w:rPr>
      <w:color w:val="0000FF"/>
      <w:u w:val="single"/>
    </w:rPr>
  </w:style>
  <w:style w:type="paragraph" w:styleId="Textodenotaderodap">
    <w:name w:val="footnote text"/>
    <w:basedOn w:val="Normal"/>
    <w:link w:val="TextodenotaderodapChar"/>
    <w:uiPriority w:val="99"/>
    <w:semiHidden/>
    <w:unhideWhenUsed/>
    <w:rsid w:val="008D032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D0320"/>
    <w:rPr>
      <w:sz w:val="20"/>
      <w:szCs w:val="20"/>
    </w:rPr>
  </w:style>
  <w:style w:type="character" w:styleId="Refdenotaderodap">
    <w:name w:val="footnote reference"/>
    <w:basedOn w:val="Fontepargpadro"/>
    <w:uiPriority w:val="99"/>
    <w:semiHidden/>
    <w:unhideWhenUsed/>
    <w:rsid w:val="008D0320"/>
    <w:rPr>
      <w:vertAlign w:val="superscript"/>
    </w:rPr>
  </w:style>
  <w:style w:type="character" w:customStyle="1" w:styleId="a">
    <w:name w:val="a"/>
    <w:basedOn w:val="Fontepargpadro"/>
    <w:rsid w:val="008D0320"/>
  </w:style>
  <w:style w:type="character" w:styleId="nfase">
    <w:name w:val="Emphasis"/>
    <w:basedOn w:val="Fontepargpadro"/>
    <w:uiPriority w:val="20"/>
    <w:qFormat/>
    <w:rsid w:val="008D0320"/>
    <w:rPr>
      <w:i/>
      <w:iCs/>
    </w:rPr>
  </w:style>
  <w:style w:type="character" w:customStyle="1" w:styleId="MenoPendente1">
    <w:name w:val="Menção Pendente1"/>
    <w:basedOn w:val="Fontepargpadro"/>
    <w:uiPriority w:val="99"/>
    <w:semiHidden/>
    <w:unhideWhenUsed/>
    <w:rsid w:val="008D0320"/>
    <w:rPr>
      <w:color w:val="605E5C"/>
      <w:shd w:val="clear" w:color="auto" w:fill="E1DFDD"/>
    </w:rPr>
  </w:style>
  <w:style w:type="character" w:customStyle="1" w:styleId="anchor-text">
    <w:name w:val="anchor-text"/>
    <w:basedOn w:val="Fontepargpadro"/>
    <w:rsid w:val="008D0320"/>
  </w:style>
  <w:style w:type="table" w:styleId="Tabelacomgrade">
    <w:name w:val="Table Grid"/>
    <w:basedOn w:val="Tabelanormal"/>
    <w:uiPriority w:val="39"/>
    <w:rsid w:val="008D0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Fontepargpadro"/>
    <w:rsid w:val="008D0320"/>
  </w:style>
  <w:style w:type="character" w:customStyle="1" w:styleId="topiccitationitalics">
    <w:name w:val="topiccitationitalics"/>
    <w:basedOn w:val="Fontepargpadro"/>
    <w:rsid w:val="008D0320"/>
  </w:style>
  <w:style w:type="character" w:styleId="Refdecomentrio">
    <w:name w:val="annotation reference"/>
    <w:basedOn w:val="Fontepargpadro"/>
    <w:uiPriority w:val="99"/>
    <w:semiHidden/>
    <w:unhideWhenUsed/>
    <w:rsid w:val="008D0320"/>
    <w:rPr>
      <w:sz w:val="16"/>
      <w:szCs w:val="16"/>
    </w:rPr>
  </w:style>
  <w:style w:type="paragraph" w:styleId="Textodecomentrio">
    <w:name w:val="annotation text"/>
    <w:basedOn w:val="Normal"/>
    <w:link w:val="TextodecomentrioChar"/>
    <w:uiPriority w:val="99"/>
    <w:semiHidden/>
    <w:unhideWhenUsed/>
    <w:rsid w:val="008D0320"/>
    <w:pPr>
      <w:spacing w:line="240" w:lineRule="auto"/>
    </w:pPr>
    <w:rPr>
      <w:rFonts w:ascii="Times New Roman" w:eastAsiaTheme="minorEastAsia"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8D0320"/>
    <w:rPr>
      <w:rFonts w:ascii="Times New Roman" w:eastAsiaTheme="minorEastAsia" w:hAnsi="Times New Roman" w:cs="Times New Roman"/>
      <w:sz w:val="20"/>
      <w:szCs w:val="20"/>
      <w:lang w:eastAsia="pt-BR"/>
    </w:rPr>
  </w:style>
  <w:style w:type="character" w:customStyle="1" w:styleId="journaltitle">
    <w:name w:val="journaltitle"/>
    <w:basedOn w:val="Fontepargpadro"/>
    <w:rsid w:val="008D0320"/>
  </w:style>
  <w:style w:type="character" w:customStyle="1" w:styleId="articlecitationyear">
    <w:name w:val="articlecitation_year"/>
    <w:basedOn w:val="Fontepargpadro"/>
    <w:rsid w:val="008D0320"/>
  </w:style>
  <w:style w:type="character" w:customStyle="1" w:styleId="articlecitationvolume">
    <w:name w:val="articlecitation_volume"/>
    <w:basedOn w:val="Fontepargpadro"/>
    <w:rsid w:val="008D0320"/>
  </w:style>
  <w:style w:type="character" w:customStyle="1" w:styleId="articlecitationpages">
    <w:name w:val="articlecitation_pages"/>
    <w:basedOn w:val="Fontepargpadro"/>
    <w:rsid w:val="008D0320"/>
  </w:style>
  <w:style w:type="paragraph" w:styleId="Textodebalo">
    <w:name w:val="Balloon Text"/>
    <w:basedOn w:val="Normal"/>
    <w:link w:val="TextodebaloChar"/>
    <w:uiPriority w:val="99"/>
    <w:semiHidden/>
    <w:unhideWhenUsed/>
    <w:rsid w:val="008D032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D0320"/>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8D0320"/>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8D0320"/>
    <w:rPr>
      <w:rFonts w:ascii="Times New Roman" w:eastAsiaTheme="minorEastAsia" w:hAnsi="Times New Roman" w:cs="Times New Roman"/>
      <w:b/>
      <w:bCs/>
      <w:sz w:val="20"/>
      <w:szCs w:val="20"/>
      <w:lang w:eastAsia="pt-BR"/>
    </w:rPr>
  </w:style>
  <w:style w:type="character" w:customStyle="1" w:styleId="color">
    <w:name w:val="color"/>
    <w:basedOn w:val="Fontepargpadro"/>
    <w:rsid w:val="008D0320"/>
  </w:style>
  <w:style w:type="paragraph" w:styleId="PargrafodaLista">
    <w:name w:val="List Paragraph"/>
    <w:basedOn w:val="Normal"/>
    <w:uiPriority w:val="34"/>
    <w:qFormat/>
    <w:rsid w:val="008D0320"/>
    <w:pPr>
      <w:spacing w:line="480" w:lineRule="auto"/>
      <w:ind w:left="720"/>
      <w:contextualSpacing/>
    </w:pPr>
  </w:style>
  <w:style w:type="paragraph" w:styleId="SemEspaamento">
    <w:name w:val="No Spacing"/>
    <w:link w:val="SemEspaamentoChar"/>
    <w:uiPriority w:val="1"/>
    <w:qFormat/>
    <w:rsid w:val="00AF7BE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F7BE4"/>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cience_of_morality" TargetMode="External"/><Relationship Id="rId18" Type="http://schemas.openxmlformats.org/officeDocument/2006/relationships/hyperlink" Target="https://www.ncbi.nlm.nih.gov/pubmed/?term=Earle%20T%5BAuthor%5D&amp;cauthor=true&amp;cauthor_uid=22547811" TargetMode="External"/><Relationship Id="rId26" Type="http://schemas.openxmlformats.org/officeDocument/2006/relationships/hyperlink" Target="https://pt.wikipedia.org/wiki/2013" TargetMode="External"/><Relationship Id="rId39" Type="http://schemas.openxmlformats.org/officeDocument/2006/relationships/hyperlink" Target="http://plato.stanford.edu/entries/qm-relational/" TargetMode="External"/><Relationship Id="rId21" Type="http://schemas.openxmlformats.org/officeDocument/2006/relationships/hyperlink" Target="https://www.compellingtruth.org/deontology.html" TargetMode="External"/><Relationship Id="rId34" Type="http://schemas.openxmlformats.org/officeDocument/2006/relationships/hyperlink" Target="http://www.amazon.com/Archetypes-Collective-Unconscious-Collected-Works/dp/0710062958%3FSubscriptionId%3D0G81C5DAZ03ZR9WH9X82%26tag%3Dzemanta-20%26linkCode%3Dxm2%26camp%3D2025%26creative%3D165953%26creativeASIN%3D0710062958" TargetMode="External"/><Relationship Id="rId42" Type="http://schemas.openxmlformats.org/officeDocument/2006/relationships/hyperlink" Target="http://frontiersin.org/people/u/206928" TargetMode="External"/><Relationship Id="rId47" Type="http://schemas.openxmlformats.org/officeDocument/2006/relationships/hyperlink" Target="https://www.sciencedirect.com/topics/biochemistry-genetics-and-molecular-biology/group-selection" TargetMode="External"/><Relationship Id="rId50" Type="http://schemas.openxmlformats.org/officeDocument/2006/relationships/hyperlink" Target="https://www.sciencedirect.com/topics/immunology-and-microbiology/gene-frequency" TargetMode="External"/><Relationship Id="rId55" Type="http://schemas.openxmlformats.org/officeDocument/2006/relationships/hyperlink" Target="https://en.wikipedia.org/wiki/Divje_Babe_flute"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ncbi.nlm.nih.gov/pubmed/?term=Smith%20ME%5BAuthor%5D&amp;cauthor=true&amp;cauthor_uid=22547811" TargetMode="External"/><Relationship Id="rId29" Type="http://schemas.openxmlformats.org/officeDocument/2006/relationships/hyperlink" Target="https://www.psychologytoday.com/intl/basics/genetics" TargetMode="External"/><Relationship Id="rId11" Type="http://schemas.openxmlformats.org/officeDocument/2006/relationships/image" Target="media/image3.jpeg"/><Relationship Id="rId24" Type="http://schemas.openxmlformats.org/officeDocument/2006/relationships/hyperlink" Target="https://en.wikipedia.org/wiki/Modal_logic" TargetMode="External"/><Relationship Id="rId32" Type="http://schemas.openxmlformats.org/officeDocument/2006/relationships/hyperlink" Target="http://en.wiktionary.org/wiki/suprapersonal?source=post_page---------------------------" TargetMode="External"/><Relationship Id="rId37" Type="http://schemas.openxmlformats.org/officeDocument/2006/relationships/hyperlink" Target="http://en.wikipedia.org/wiki/Biogenetic_structuralism" TargetMode="External"/><Relationship Id="rId40" Type="http://schemas.openxmlformats.org/officeDocument/2006/relationships/hyperlink" Target="http://amzn.to/jyFYb3" TargetMode="External"/><Relationship Id="rId45" Type="http://schemas.openxmlformats.org/officeDocument/2006/relationships/hyperlink" Target="https://www.sciencedirect.com/topics/agricultural-and-biological-sciences/genetics" TargetMode="External"/><Relationship Id="rId53" Type="http://schemas.openxmlformats.org/officeDocument/2006/relationships/hyperlink" Target="https://royalsocietypublishing.org/doi/10.1098/rsos.190644" TargetMode="External"/><Relationship Id="rId58" Type="http://schemas.openxmlformats.org/officeDocument/2006/relationships/hyperlink" Target="https://www.ncbi.nlm.nih.gov/pubmed/?term=Duda%20P%5BAuthor%5D&amp;cauthor=true&amp;cauthor_uid=27154194" TargetMode="External"/><Relationship Id="rId5" Type="http://schemas.openxmlformats.org/officeDocument/2006/relationships/settings" Target="settings.xml"/><Relationship Id="rId61" Type="http://schemas.openxmlformats.org/officeDocument/2006/relationships/oleObject" Target="embeddings/oleObject2.bin"/><Relationship Id="rId19" Type="http://schemas.openxmlformats.org/officeDocument/2006/relationships/hyperlink" Target="https://en.wikipedia.org/wiki/Meta-ethics" TargetMode="External"/><Relationship Id="rId14" Type="http://schemas.openxmlformats.org/officeDocument/2006/relationships/hyperlink" Target="https://en.wikipedia.org/wiki/Hominini" TargetMode="External"/><Relationship Id="rId22" Type="http://schemas.openxmlformats.org/officeDocument/2006/relationships/hyperlink" Target="https://en.wikipedia.org/wiki/God" TargetMode="External"/><Relationship Id="rId27" Type="http://schemas.openxmlformats.org/officeDocument/2006/relationships/hyperlink" Target="https://en.wikipedia.org/wiki/Natural_science" TargetMode="External"/><Relationship Id="rId30" Type="http://schemas.openxmlformats.org/officeDocument/2006/relationships/hyperlink" Target="https://www.psychologytoday.com/intl/basics/oxytocin" TargetMode="External"/><Relationship Id="rId35" Type="http://schemas.openxmlformats.org/officeDocument/2006/relationships/hyperlink" Target="http://en.wikipedia.org/wiki/Neuroscience" TargetMode="External"/><Relationship Id="rId43" Type="http://schemas.openxmlformats.org/officeDocument/2006/relationships/hyperlink" Target="https://www.britannica.com/biography/William-Donald-Hamilton" TargetMode="External"/><Relationship Id="rId48" Type="http://schemas.openxmlformats.org/officeDocument/2006/relationships/hyperlink" Target="https://www.sciencedirect.com/topics/immunology-and-microbiology/kin-selection" TargetMode="External"/><Relationship Id="rId56" Type="http://schemas.openxmlformats.org/officeDocument/2006/relationships/hyperlink" Target="https://www.cambridge.org/core/search?filters%5BauthorTerms%5D=Eduardo%20Palacio-P%C3%A9rez&amp;eventCode=SE-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sciencedirect.com/topics/immunology-and-microbiology/cooperation" TargetMode="External"/><Relationship Id="rId3" Type="http://schemas.openxmlformats.org/officeDocument/2006/relationships/styles" Target="styles.xml"/><Relationship Id="rId12" Type="http://schemas.openxmlformats.org/officeDocument/2006/relationships/hyperlink" Target="mailto:terra@vista.com.br" TargetMode="External"/><Relationship Id="rId17" Type="http://schemas.openxmlformats.org/officeDocument/2006/relationships/hyperlink" Target="https://www.ncbi.nlm.nih.gov/pubmed/?term=Drennan%20RD%5BAuthor%5D&amp;cauthor=true&amp;cauthor_uid=22547811" TargetMode="External"/><Relationship Id="rId25" Type="http://schemas.openxmlformats.org/officeDocument/2006/relationships/hyperlink" Target="https://pt.wikipedia.org/wiki/1931" TargetMode="External"/><Relationship Id="rId33" Type="http://schemas.openxmlformats.org/officeDocument/2006/relationships/hyperlink" Target="https://doi.org/10.1111/j.1468-5922.2009.01783.x" TargetMode="External"/><Relationship Id="rId38" Type="http://schemas.openxmlformats.org/officeDocument/2006/relationships/hyperlink" Target="http://en.wikipedia.org/wiki/Archetypal_psychology" TargetMode="External"/><Relationship Id="rId46" Type="http://schemas.openxmlformats.org/officeDocument/2006/relationships/hyperlink" Target="https://www.sciencedirect.com/topics/agricultural-and-biological-sciences/evolution" TargetMode="External"/><Relationship Id="rId59" Type="http://schemas.openxmlformats.org/officeDocument/2006/relationships/hyperlink" Target="https://www.ncbi.nlm.nih.gov/pubmed/?term=Marlowe%20FW%5BAuthor%5D&amp;cauthor=true&amp;cauthor_uid=27154194" TargetMode="External"/><Relationship Id="rId20" Type="http://schemas.openxmlformats.org/officeDocument/2006/relationships/hyperlink" Target="https://www.compellingtruth.org/moral-absolutism.html" TargetMode="External"/><Relationship Id="rId41" Type="http://schemas.openxmlformats.org/officeDocument/2006/relationships/hyperlink" Target="http://amzn.to/kh9vRE" TargetMode="External"/><Relationship Id="rId54" Type="http://schemas.openxmlformats.org/officeDocument/2006/relationships/hyperlink" Target="https://www.newscientist.com/article/mg20527504-300-oldest-writing-found-on-60000-year-old-eggshell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Pleistocene" TargetMode="External"/><Relationship Id="rId23" Type="http://schemas.openxmlformats.org/officeDocument/2006/relationships/hyperlink" Target="https://en.wikipedia.org/wiki/Socratic_dialogue" TargetMode="External"/><Relationship Id="rId28" Type="http://schemas.openxmlformats.org/officeDocument/2006/relationships/hyperlink" Target="https://www.humansandnature.org/christopher-boehm" TargetMode="External"/><Relationship Id="rId36" Type="http://schemas.openxmlformats.org/officeDocument/2006/relationships/hyperlink" Target="http://en.wikipedia.org/wiki/Vacuum_state" TargetMode="External"/><Relationship Id="rId49" Type="http://schemas.openxmlformats.org/officeDocument/2006/relationships/hyperlink" Target="https://www.sciencedirect.com/topics/immunology-and-microbiology/gene" TargetMode="External"/><Relationship Id="rId57" Type="http://schemas.openxmlformats.org/officeDocument/2006/relationships/hyperlink" Target="https://www.ncbi.nlm.nih.gov/pubmed/?term=Peoples%20HC%5BAuthor%5D&amp;cauthor=true&amp;cauthor_uid=27154194" TargetMode="External"/><Relationship Id="rId10" Type="http://schemas.openxmlformats.org/officeDocument/2006/relationships/oleObject" Target="embeddings/oleObject1.bin"/><Relationship Id="rId31" Type="http://schemas.openxmlformats.org/officeDocument/2006/relationships/hyperlink" Target="https://www.psychologytoday.com/intl/basics/empathy" TargetMode="External"/><Relationship Id="rId44" Type="http://schemas.openxmlformats.org/officeDocument/2006/relationships/hyperlink" Target="https://www.britannica.com/topic/animal-social-behaviour" TargetMode="External"/><Relationship Id="rId52" Type="http://schemas.openxmlformats.org/officeDocument/2006/relationships/hyperlink" Target="https://www.sciencedirect.com/topics/agricultural-and-biological-sciences/society" TargetMode="External"/><Relationship Id="rId60" Type="http://schemas.openxmlformats.org/officeDocument/2006/relationships/image" Target="media/image4.emf"/><Relationship Id="rId4" Type="http://schemas.openxmlformats.org/officeDocument/2006/relationships/image" Target="media/image1.jpeg"/><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humansandnature.org/May-2017" TargetMode="External"/><Relationship Id="rId13" Type="http://schemas.openxmlformats.org/officeDocument/2006/relationships/hyperlink" Target="https://www.sciencedirect.com/book/9780123725813" TargetMode="External"/><Relationship Id="rId18" Type="http://schemas.openxmlformats.org/officeDocument/2006/relationships/hyperlink" Target="https://www.sciencedirect.com/science/article/pii/B9780080970868560267" TargetMode="External"/><Relationship Id="rId3" Type="http://schemas.openxmlformats.org/officeDocument/2006/relationships/hyperlink" Target="https://www.iep.utm.edu/divine-c/" TargetMode="External"/><Relationship Id="rId21" Type="http://schemas.openxmlformats.org/officeDocument/2006/relationships/hyperlink" Target="https://www.humansandnature.org/christopher-boehm" TargetMode="External"/><Relationship Id="rId7" Type="http://schemas.openxmlformats.org/officeDocument/2006/relationships/hyperlink" Target="https://www.humansandnature.org/christopher-boehm" TargetMode="External"/><Relationship Id="rId12" Type="http://schemas.openxmlformats.org/officeDocument/2006/relationships/hyperlink" Target="http://uwimprint.ca/article/platos-theory-of-forms/" TargetMode="External"/><Relationship Id="rId17" Type="http://schemas.openxmlformats.org/officeDocument/2006/relationships/hyperlink" Target="http://scholar.google.com/scholar_lookup?hl=en&amp;volume=20&amp;publication_year=2007&amp;pages=415-432&amp;journal=J.+Evol.+Biol.&amp;author=SA+West&amp;author=AS+Griffin&amp;author=A+Gardner&amp;title=Social+semantics%3A+altruism%2C+cooperation%2C+mutualism%2C+strong+reciprocity+and+group+selection" TargetMode="External"/><Relationship Id="rId25" Type="http://schemas.openxmlformats.org/officeDocument/2006/relationships/hyperlink" Target="https://www.nytimes.com/2018/09/12/science/oldest-drawing-ever-found.html" TargetMode="External"/><Relationship Id="rId2" Type="http://schemas.openxmlformats.org/officeDocument/2006/relationships/hyperlink" Target="https://www.pnas.org/content/109/20/7617" TargetMode="External"/><Relationship Id="rId16" Type="http://schemas.openxmlformats.org/officeDocument/2006/relationships/hyperlink" Target="https://royalsocietypublishing.org/servlet/linkout?suffix=e_1_3_5_11_2&amp;dbid=8&amp;doi=10.1098%2Frsos.190644&amp;key=17305808" TargetMode="External"/><Relationship Id="rId20" Type="http://schemas.openxmlformats.org/officeDocument/2006/relationships/hyperlink" Target="https://www.sciencedirect.com/science/article/pii/B9780080970868560267" TargetMode="External"/><Relationship Id="rId1" Type="http://schemas.openxmlformats.org/officeDocument/2006/relationships/hyperlink" Target="http://mhra.org.uk/style" TargetMode="External"/><Relationship Id="rId6" Type="http://schemas.openxmlformats.org/officeDocument/2006/relationships/hyperlink" Target="https://doi.org/10.1073/pnas.1900357116" TargetMode="External"/><Relationship Id="rId11" Type="http://schemas.openxmlformats.org/officeDocument/2006/relationships/hyperlink" Target="https://doi.org/10.1080/03057240.2012.680715" TargetMode="External"/><Relationship Id="rId24" Type="http://schemas.openxmlformats.org/officeDocument/2006/relationships/hyperlink" Target="https://www.sciencemag.org/author/michael-balter" TargetMode="External"/><Relationship Id="rId5" Type="http://schemas.openxmlformats.org/officeDocument/2006/relationships/hyperlink" Target="http://amzn.to/1uf8VxH" TargetMode="External"/><Relationship Id="rId15" Type="http://schemas.openxmlformats.org/officeDocument/2006/relationships/hyperlink" Target="https://www.sciencedirect.com/topics/biochemistry-genetics-and-molecular-biology/kin-selection" TargetMode="External"/><Relationship Id="rId23" Type="http://schemas.openxmlformats.org/officeDocument/2006/relationships/hyperlink" Target="https://pedersensprehistory.com/biases-about-prehistory" TargetMode="External"/><Relationship Id="rId10" Type="http://schemas.openxmlformats.org/officeDocument/2006/relationships/hyperlink" Target="https://www.psychologytoday.com/intl/blog/hot-thought/201311/the-origins-morality" TargetMode="External"/><Relationship Id="rId19" Type="http://schemas.openxmlformats.org/officeDocument/2006/relationships/hyperlink" Target="https://www.sciencedirect.com/science/article/pii/B9780080970868560267" TargetMode="External"/><Relationship Id="rId4" Type="http://schemas.openxmlformats.org/officeDocument/2006/relationships/hyperlink" Target="http://ebooks.adelaide.edu.au/" TargetMode="External"/><Relationship Id="rId9" Type="http://schemas.openxmlformats.org/officeDocument/2006/relationships/hyperlink" Target="https://www.humansandnature.org/prehistoric-capital-punishment-and-parallel-evolutionary-effects" TargetMode="External"/><Relationship Id="rId14" Type="http://schemas.openxmlformats.org/officeDocument/2006/relationships/hyperlink" Target="https://www.sciencedirect.com/referencework/9780128096338" TargetMode="External"/><Relationship Id="rId22" Type="http://schemas.openxmlformats.org/officeDocument/2006/relationships/hyperlink" Target="https://www.humansandnature.org/May-2017" TargetMode="External"/></Relationships>
</file>

<file path=word/theme/theme1.xml><?xml version="1.0" encoding="utf-8"?>
<a:theme xmlns:a="http://schemas.openxmlformats.org/drawingml/2006/main" name="Tema do Office">
  <a:themeElements>
    <a:clrScheme name="Median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1D755-4582-46F5-925C-83A938E7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28252</Words>
  <Characters>152566</Characters>
  <Application>Microsoft Office Word</Application>
  <DocSecurity>0</DocSecurity>
  <Lines>1271</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2</cp:revision>
  <dcterms:created xsi:type="dcterms:W3CDTF">2019-12-26T01:49:00Z</dcterms:created>
  <dcterms:modified xsi:type="dcterms:W3CDTF">2019-12-26T01:49:00Z</dcterms:modified>
</cp:coreProperties>
</file>