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04" w:rsidRDefault="00046004" w:rsidP="0004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Part of an unpublished paper for the </w:t>
      </w:r>
      <w:r w:rsidRPr="00014351">
        <w:rPr>
          <w:rFonts w:ascii="Times New Roman" w:hAnsi="Times New Roman" w:cs="Times New Roman"/>
          <w:szCs w:val="24"/>
        </w:rPr>
        <w:t xml:space="preserve">Invited Symposium on </w:t>
      </w:r>
    </w:p>
    <w:p w:rsidR="00046004" w:rsidRPr="00014351" w:rsidRDefault="00046004" w:rsidP="0004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</w:t>
      </w:r>
      <w:r w:rsidRPr="00014351">
        <w:rPr>
          <w:rFonts w:ascii="Times New Roman" w:hAnsi="Times New Roman" w:cs="Times New Roman"/>
          <w:szCs w:val="24"/>
        </w:rPr>
        <w:t>Intersections between Social, Feminist, and Virtue Epistemologies</w:t>
      </w:r>
      <w:r>
        <w:rPr>
          <w:rFonts w:ascii="Times New Roman" w:hAnsi="Times New Roman" w:cs="Times New Roman"/>
          <w:szCs w:val="24"/>
        </w:rPr>
        <w:t>”</w:t>
      </w:r>
    </w:p>
    <w:p w:rsidR="00046004" w:rsidRPr="00014351" w:rsidRDefault="00046004" w:rsidP="0004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14351">
        <w:rPr>
          <w:rFonts w:ascii="Times New Roman" w:hAnsi="Times New Roman" w:cs="Times New Roman"/>
          <w:szCs w:val="24"/>
        </w:rPr>
        <w:t xml:space="preserve">APA Pacific Division Meeting, </w:t>
      </w:r>
      <w:r>
        <w:rPr>
          <w:rFonts w:ascii="Times New Roman" w:hAnsi="Times New Roman" w:cs="Times New Roman"/>
          <w:szCs w:val="24"/>
        </w:rPr>
        <w:t xml:space="preserve">April </w:t>
      </w:r>
      <w:r w:rsidRPr="00014351">
        <w:rPr>
          <w:rFonts w:ascii="Times New Roman" w:hAnsi="Times New Roman" w:cs="Times New Roman"/>
          <w:szCs w:val="24"/>
        </w:rPr>
        <w:t>2011, San Diego</w:t>
      </w:r>
    </w:p>
    <w:p w:rsidR="00046004" w:rsidRDefault="00046004" w:rsidP="00046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</w:p>
    <w:p w:rsidR="00046004" w:rsidRDefault="00046004" w:rsidP="00046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Responsibilism</w:t>
      </w:r>
      <w:proofErr w:type="spellEnd"/>
      <w:r>
        <w:rPr>
          <w:rFonts w:cs="Arial"/>
          <w:b/>
          <w:szCs w:val="24"/>
        </w:rPr>
        <w:t>: A Proposed Shared Research Program</w:t>
      </w:r>
    </w:p>
    <w:p w:rsidR="00046004" w:rsidRDefault="00046004" w:rsidP="00046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</w:p>
    <w:p w:rsidR="00046004" w:rsidRPr="00046004" w:rsidRDefault="00046004" w:rsidP="000460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4"/>
        </w:rPr>
      </w:pPr>
      <w:r w:rsidRPr="00046004">
        <w:rPr>
          <w:rFonts w:cs="Arial"/>
          <w:szCs w:val="24"/>
        </w:rPr>
        <w:t>Guy Axtell</w:t>
      </w:r>
      <w:r>
        <w:rPr>
          <w:rFonts w:cs="Arial"/>
          <w:szCs w:val="24"/>
        </w:rPr>
        <w:t>,</w:t>
      </w:r>
      <w:r w:rsidRPr="00046004">
        <w:rPr>
          <w:rFonts w:cs="Arial"/>
          <w:szCs w:val="24"/>
        </w:rPr>
        <w:t xml:space="preserve"> 2011</w:t>
      </w:r>
    </w:p>
    <w:p w:rsidR="00046004" w:rsidRDefault="00046004" w:rsidP="00046004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</w:p>
    <w:p w:rsidR="00046004" w:rsidRPr="006924EC" w:rsidRDefault="00046004" w:rsidP="0004600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924EC">
        <w:rPr>
          <w:rFonts w:cs="Arial"/>
          <w:szCs w:val="24"/>
        </w:rPr>
        <w:t xml:space="preserve">A </w:t>
      </w:r>
      <w:proofErr w:type="spellStart"/>
      <w:r w:rsidRPr="006924EC">
        <w:rPr>
          <w:rFonts w:cs="Arial"/>
          <w:szCs w:val="24"/>
        </w:rPr>
        <w:t>responsibilist</w:t>
      </w:r>
      <w:proofErr w:type="spellEnd"/>
      <w:r w:rsidRPr="006924EC">
        <w:rPr>
          <w:rFonts w:cs="Arial"/>
          <w:szCs w:val="24"/>
        </w:rPr>
        <w:t xml:space="preserve"> research program able to serve </w:t>
      </w:r>
      <w:r>
        <w:rPr>
          <w:rFonts w:cs="Arial"/>
          <w:szCs w:val="24"/>
        </w:rPr>
        <w:t xml:space="preserve">shared interests of </w:t>
      </w:r>
      <w:r w:rsidRPr="006924EC">
        <w:rPr>
          <w:rFonts w:cs="Arial"/>
          <w:szCs w:val="24"/>
        </w:rPr>
        <w:t>social, feminist, and character epistemolog</w:t>
      </w:r>
      <w:r>
        <w:rPr>
          <w:rFonts w:cs="Arial"/>
          <w:szCs w:val="24"/>
        </w:rPr>
        <w:t>ists</w:t>
      </w:r>
      <w:r w:rsidRPr="006924E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will</w:t>
      </w:r>
      <w:r w:rsidRPr="006924EC">
        <w:rPr>
          <w:rFonts w:cs="Arial"/>
          <w:szCs w:val="24"/>
        </w:rPr>
        <w:t>:</w:t>
      </w:r>
    </w:p>
    <w:p w:rsidR="00046004" w:rsidRDefault="00046004" w:rsidP="000460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24"/>
        </w:rPr>
      </w:pPr>
    </w:p>
    <w:p w:rsidR="00046004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6924EC">
        <w:rPr>
          <w:rFonts w:cs="Arial"/>
          <w:szCs w:val="24"/>
        </w:rPr>
        <w:t>Be practice-orientated</w:t>
      </w:r>
      <w:r>
        <w:rPr>
          <w:rFonts w:cs="Arial"/>
          <w:szCs w:val="24"/>
        </w:rPr>
        <w:t>,</w:t>
      </w:r>
      <w:r w:rsidRPr="006924EC">
        <w:rPr>
          <w:rFonts w:cs="Arial"/>
          <w:szCs w:val="24"/>
        </w:rPr>
        <w:t xml:space="preserve"> viewing epistemic agents as social and inter-dependent, and knowledge as evolving from </w:t>
      </w:r>
      <w:r>
        <w:rPr>
          <w:rFonts w:cs="Arial"/>
          <w:szCs w:val="24"/>
        </w:rPr>
        <w:t xml:space="preserve">situated </w:t>
      </w:r>
      <w:r w:rsidRPr="006924EC">
        <w:rPr>
          <w:rFonts w:cs="Arial"/>
          <w:szCs w:val="24"/>
        </w:rPr>
        <w:t>social epistemic practices;</w:t>
      </w:r>
    </w:p>
    <w:p w:rsidR="00046004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Embrace a relational of social conception of selves and acknowledge the social location or </w:t>
      </w:r>
      <w:proofErr w:type="spellStart"/>
      <w:r>
        <w:rPr>
          <w:rFonts w:cs="Arial"/>
          <w:szCs w:val="24"/>
        </w:rPr>
        <w:t>situatedness</w:t>
      </w:r>
      <w:proofErr w:type="spellEnd"/>
      <w:r>
        <w:rPr>
          <w:rFonts w:cs="Arial"/>
          <w:szCs w:val="24"/>
        </w:rPr>
        <w:t xml:space="preserve"> of the subject of knowledge;</w:t>
      </w:r>
    </w:p>
    <w:p w:rsidR="00046004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6924EC">
        <w:rPr>
          <w:rFonts w:cs="Arial"/>
          <w:szCs w:val="24"/>
        </w:rPr>
        <w:t>Take know</w:t>
      </w:r>
      <w:r>
        <w:rPr>
          <w:rFonts w:cs="Arial"/>
          <w:szCs w:val="24"/>
        </w:rPr>
        <w:t>ing</w:t>
      </w:r>
      <w:r w:rsidRPr="006924EC">
        <w:rPr>
          <w:rFonts w:cs="Arial"/>
          <w:szCs w:val="24"/>
        </w:rPr>
        <w:t xml:space="preserve"> and understanding </w:t>
      </w:r>
      <w:r>
        <w:rPr>
          <w:rFonts w:cs="Arial"/>
          <w:szCs w:val="24"/>
        </w:rPr>
        <w:t xml:space="preserve">(the achievement of epistemic goods) </w:t>
      </w:r>
      <w:r w:rsidRPr="006924EC">
        <w:rPr>
          <w:rFonts w:cs="Arial"/>
          <w:szCs w:val="24"/>
        </w:rPr>
        <w:t>to be linked closely with action</w:t>
      </w:r>
      <w:r>
        <w:rPr>
          <w:rFonts w:cs="Arial"/>
          <w:szCs w:val="24"/>
        </w:rPr>
        <w:t xml:space="preserve"> and inquiry; not just knowing </w:t>
      </w:r>
      <w:r>
        <w:rPr>
          <w:rFonts w:cs="Arial"/>
          <w:i/>
          <w:szCs w:val="24"/>
        </w:rPr>
        <w:t xml:space="preserve">for the sake of </w:t>
      </w:r>
      <w:r>
        <w:rPr>
          <w:rFonts w:cs="Arial"/>
          <w:szCs w:val="24"/>
        </w:rPr>
        <w:t xml:space="preserve">acting, but also inquiring, strategizing, deliberating </w:t>
      </w:r>
      <w:r>
        <w:rPr>
          <w:rFonts w:cs="Arial"/>
          <w:i/>
          <w:szCs w:val="24"/>
        </w:rPr>
        <w:t xml:space="preserve">as </w:t>
      </w:r>
      <w:r>
        <w:rPr>
          <w:rFonts w:cs="Arial"/>
          <w:szCs w:val="24"/>
        </w:rPr>
        <w:t xml:space="preserve">activities in which the agent, individual or collective, is </w:t>
      </w:r>
      <w:r>
        <w:rPr>
          <w:rFonts w:cs="Arial"/>
          <w:i/>
          <w:szCs w:val="24"/>
        </w:rPr>
        <w:t>active</w:t>
      </w:r>
      <w:r>
        <w:rPr>
          <w:rFonts w:cs="Arial"/>
          <w:szCs w:val="24"/>
        </w:rPr>
        <w:t>;</w:t>
      </w:r>
    </w:p>
    <w:p w:rsidR="00046004" w:rsidRPr="006924EC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6924EC">
        <w:rPr>
          <w:rFonts w:cs="Arial"/>
          <w:szCs w:val="24"/>
        </w:rPr>
        <w:t xml:space="preserve">Be virtue-theoretical in the sense of </w:t>
      </w:r>
      <w:r>
        <w:rPr>
          <w:rFonts w:cs="Arial"/>
          <w:szCs w:val="24"/>
        </w:rPr>
        <w:t xml:space="preserve">having a central focus on individual and group </w:t>
      </w:r>
      <w:r w:rsidRPr="006924EC">
        <w:rPr>
          <w:rFonts w:cs="Arial"/>
          <w:szCs w:val="24"/>
        </w:rPr>
        <w:t xml:space="preserve">character </w:t>
      </w:r>
      <w:r>
        <w:rPr>
          <w:rFonts w:cs="Arial"/>
          <w:szCs w:val="24"/>
        </w:rPr>
        <w:t>traits</w:t>
      </w:r>
      <w:r w:rsidRPr="006924EC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responsibility, </w:t>
      </w:r>
      <w:r w:rsidRPr="006924EC">
        <w:rPr>
          <w:rFonts w:cs="Arial"/>
          <w:szCs w:val="24"/>
        </w:rPr>
        <w:t xml:space="preserve">credit </w:t>
      </w:r>
      <w:r>
        <w:rPr>
          <w:rFonts w:cs="Arial"/>
          <w:szCs w:val="24"/>
        </w:rPr>
        <w:t>and discredit for achievement of epistemic goods (value-driven epistemology);</w:t>
      </w:r>
    </w:p>
    <w:p w:rsidR="00046004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Utilize</w:t>
      </w:r>
      <w:r w:rsidRPr="006924EC">
        <w:rPr>
          <w:rFonts w:cs="Arial"/>
          <w:szCs w:val="24"/>
        </w:rPr>
        <w:t xml:space="preserve"> genealogical and other social-functional ap</w:t>
      </w:r>
      <w:r>
        <w:rPr>
          <w:rFonts w:cs="Arial"/>
          <w:szCs w:val="24"/>
        </w:rPr>
        <w:t>proaches to epistemic concepts like knowledge which (</w:t>
      </w:r>
      <w:r w:rsidRPr="006924EC">
        <w:rPr>
          <w:rFonts w:cs="Arial"/>
          <w:szCs w:val="24"/>
        </w:rPr>
        <w:t>in contrast wi</w:t>
      </w:r>
      <w:r>
        <w:rPr>
          <w:rFonts w:cs="Arial"/>
          <w:szCs w:val="24"/>
        </w:rPr>
        <w:t xml:space="preserve">th </w:t>
      </w:r>
      <w:proofErr w:type="spellStart"/>
      <w:r>
        <w:rPr>
          <w:rFonts w:cs="Arial"/>
          <w:szCs w:val="24"/>
        </w:rPr>
        <w:t>Fregean</w:t>
      </w:r>
      <w:proofErr w:type="spellEnd"/>
      <w:r>
        <w:rPr>
          <w:rFonts w:cs="Arial"/>
          <w:szCs w:val="24"/>
        </w:rPr>
        <w:t xml:space="preserve"> analysis of concepts), highlights the importance of </w:t>
      </w:r>
      <w:proofErr w:type="spellStart"/>
      <w:r>
        <w:rPr>
          <w:rFonts w:cs="Arial"/>
          <w:szCs w:val="24"/>
        </w:rPr>
        <w:t>epistemically</w:t>
      </w:r>
      <w:proofErr w:type="spellEnd"/>
      <w:r>
        <w:rPr>
          <w:rFonts w:cs="Arial"/>
          <w:szCs w:val="24"/>
        </w:rPr>
        <w:t xml:space="preserve"> trustworthy testimony and testifiers, exchanges in which epistemic authority is granted or denied, and attendant intellectual virtues of being trustworthiness, sincerity, etc. and vices;</w:t>
      </w:r>
    </w:p>
    <w:p w:rsidR="00046004" w:rsidRPr="006924EC" w:rsidRDefault="00046004" w:rsidP="000460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443E3D">
        <w:rPr>
          <w:rFonts w:cs="Arial"/>
          <w:szCs w:val="24"/>
        </w:rPr>
        <w:t>Acknowledge the limits of trustworthiness, and the need for agents to be aware of these limits—‘risk aware’</w:t>
      </w:r>
      <w:r>
        <w:rPr>
          <w:rFonts w:cs="Arial"/>
          <w:szCs w:val="24"/>
        </w:rPr>
        <w:t xml:space="preserve"> social epistemology, cognizant of the human costs of falsehood and concerned to alleviate epistemic (as part of social) injustice;</w:t>
      </w:r>
    </w:p>
    <w:p w:rsidR="00046004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Adopt an</w:t>
      </w:r>
      <w:r w:rsidRPr="006924EC">
        <w:rPr>
          <w:rFonts w:cs="Arial"/>
          <w:szCs w:val="24"/>
        </w:rPr>
        <w:t xml:space="preserve"> inquiry-focused </w:t>
      </w:r>
      <w:r>
        <w:rPr>
          <w:rFonts w:cs="Arial"/>
          <w:szCs w:val="24"/>
        </w:rPr>
        <w:t xml:space="preserve">approach emphasizing the point of view of agency (the </w:t>
      </w:r>
      <w:proofErr w:type="spellStart"/>
      <w:r>
        <w:rPr>
          <w:rFonts w:cs="Arial"/>
          <w:i/>
          <w:szCs w:val="24"/>
        </w:rPr>
        <w:t>zetetic</w:t>
      </w:r>
      <w:proofErr w:type="spellEnd"/>
      <w:r>
        <w:rPr>
          <w:rFonts w:cs="Arial"/>
          <w:i/>
          <w:szCs w:val="24"/>
        </w:rPr>
        <w:t xml:space="preserve"> </w:t>
      </w:r>
      <w:r>
        <w:rPr>
          <w:rFonts w:cs="Arial"/>
          <w:szCs w:val="24"/>
        </w:rPr>
        <w:t>perspective of the agent or group engaged in inquiry) and hence;</w:t>
      </w:r>
    </w:p>
    <w:p w:rsidR="00046004" w:rsidRPr="006924EC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Be concerned with a phenomenology of inquiry, describing, evaluating and prescribing </w:t>
      </w:r>
      <w:r w:rsidRPr="006924EC">
        <w:rPr>
          <w:rFonts w:cs="Arial"/>
          <w:szCs w:val="24"/>
        </w:rPr>
        <w:t>responsible habits of inquiry (</w:t>
      </w:r>
      <w:r>
        <w:rPr>
          <w:rFonts w:cs="Arial"/>
          <w:szCs w:val="24"/>
        </w:rPr>
        <w:t xml:space="preserve">i.e., </w:t>
      </w:r>
      <w:r w:rsidRPr="006924EC">
        <w:rPr>
          <w:rFonts w:cs="Arial"/>
          <w:szCs w:val="24"/>
        </w:rPr>
        <w:t>inquiry-direct</w:t>
      </w:r>
      <w:r>
        <w:rPr>
          <w:rFonts w:cs="Arial"/>
          <w:szCs w:val="24"/>
        </w:rPr>
        <w:t>ed</w:t>
      </w:r>
      <w:r w:rsidRPr="006924E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</w:t>
      </w:r>
      <w:proofErr w:type="spellStart"/>
      <w:r w:rsidRPr="00443E3D">
        <w:rPr>
          <w:rFonts w:cs="Arial"/>
          <w:i/>
          <w:szCs w:val="24"/>
        </w:rPr>
        <w:t>zetetic</w:t>
      </w:r>
      <w:proofErr w:type="spellEnd"/>
      <w:r>
        <w:rPr>
          <w:rFonts w:cs="Arial"/>
          <w:szCs w:val="24"/>
        </w:rPr>
        <w:t>)</w:t>
      </w:r>
      <w:r w:rsidRPr="00443E3D">
        <w:rPr>
          <w:rFonts w:cs="Arial"/>
          <w:i/>
          <w:szCs w:val="24"/>
        </w:rPr>
        <w:t xml:space="preserve"> </w:t>
      </w:r>
      <w:r w:rsidRPr="006924EC">
        <w:rPr>
          <w:rFonts w:cs="Arial"/>
          <w:szCs w:val="24"/>
        </w:rPr>
        <w:t>motives, activities, and strategies)</w:t>
      </w:r>
      <w:r>
        <w:rPr>
          <w:rFonts w:cs="Arial"/>
          <w:szCs w:val="24"/>
        </w:rPr>
        <w:t xml:space="preserve">; this concern includes developing </w:t>
      </w:r>
      <w:proofErr w:type="spellStart"/>
      <w:r>
        <w:rPr>
          <w:rFonts w:cs="Arial"/>
          <w:szCs w:val="24"/>
        </w:rPr>
        <w:t>contextualisms</w:t>
      </w:r>
      <w:proofErr w:type="spellEnd"/>
      <w:r>
        <w:rPr>
          <w:rFonts w:cs="Arial"/>
          <w:szCs w:val="24"/>
        </w:rPr>
        <w:t xml:space="preserve"> of explanatory salience, social roles, and narrow/broad, local/global, </w:t>
      </w:r>
      <w:proofErr w:type="spellStart"/>
      <w:r>
        <w:rPr>
          <w:rFonts w:cs="Arial"/>
          <w:szCs w:val="24"/>
        </w:rPr>
        <w:t>occurrent</w:t>
      </w:r>
      <w:proofErr w:type="spellEnd"/>
      <w:r>
        <w:rPr>
          <w:rFonts w:cs="Arial"/>
          <w:szCs w:val="24"/>
        </w:rPr>
        <w:t>/dispositional trait-ascription, etc.;</w:t>
      </w:r>
    </w:p>
    <w:p w:rsidR="00046004" w:rsidRDefault="00046004" w:rsidP="000460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6924EC">
        <w:rPr>
          <w:rFonts w:cs="Arial"/>
          <w:szCs w:val="24"/>
        </w:rPr>
        <w:t xml:space="preserve">Acknowledge the centrality of diachronic evaluations of agents and their </w:t>
      </w:r>
      <w:proofErr w:type="spellStart"/>
      <w:r w:rsidRPr="006924EC">
        <w:rPr>
          <w:rFonts w:cs="Arial"/>
          <w:i/>
          <w:szCs w:val="24"/>
        </w:rPr>
        <w:t>zetetic</w:t>
      </w:r>
      <w:proofErr w:type="spellEnd"/>
      <w:r w:rsidRPr="006924EC">
        <w:rPr>
          <w:rFonts w:cs="Arial"/>
          <w:i/>
          <w:szCs w:val="24"/>
        </w:rPr>
        <w:t xml:space="preserve"> </w:t>
      </w:r>
      <w:r w:rsidRPr="006924EC">
        <w:rPr>
          <w:rFonts w:cs="Arial"/>
          <w:szCs w:val="24"/>
        </w:rPr>
        <w:t xml:space="preserve">activities to epistemology’s central tasks </w:t>
      </w:r>
      <w:r>
        <w:rPr>
          <w:rFonts w:cs="Arial"/>
          <w:szCs w:val="24"/>
        </w:rPr>
        <w:t xml:space="preserve">(responsibility, </w:t>
      </w:r>
      <w:r w:rsidRPr="006924EC">
        <w:rPr>
          <w:rFonts w:cs="Arial"/>
          <w:szCs w:val="24"/>
        </w:rPr>
        <w:t>reliability</w:t>
      </w:r>
      <w:r>
        <w:rPr>
          <w:rFonts w:cs="Arial"/>
          <w:szCs w:val="24"/>
        </w:rPr>
        <w:t>, and creditworthy true belief are all centrally concerns of diachronic evaluation)</w:t>
      </w:r>
      <w:r w:rsidRPr="006924E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Diachronic evaluation looks both backwards (to both responsible agent motivations and activities and to the reliable etiology of belief), </w:t>
      </w:r>
      <w:r w:rsidRPr="00BB4851">
        <w:rPr>
          <w:rFonts w:cs="Arial"/>
          <w:i/>
          <w:szCs w:val="24"/>
        </w:rPr>
        <w:t>and</w:t>
      </w:r>
      <w:r>
        <w:rPr>
          <w:rFonts w:cs="Arial"/>
          <w:szCs w:val="24"/>
        </w:rPr>
        <w:t xml:space="preserve"> forwards (to the improvement of deliberative practices, divisions of labor, inclusiveness of perspectives, etc. (see prior graph));</w:t>
      </w:r>
    </w:p>
    <w:p w:rsidR="00046004" w:rsidRPr="00023117" w:rsidRDefault="00046004" w:rsidP="000460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023117">
        <w:rPr>
          <w:rFonts w:cs="Arial"/>
          <w:szCs w:val="24"/>
        </w:rPr>
        <w:t xml:space="preserve">Support </w:t>
      </w:r>
      <w:r w:rsidRPr="00952F0F">
        <w:rPr>
          <w:rFonts w:cs="Arial"/>
          <w:i/>
          <w:szCs w:val="24"/>
        </w:rPr>
        <w:t>strongly</w:t>
      </w:r>
      <w:r w:rsidRPr="00023117">
        <w:rPr>
          <w:rFonts w:cs="Arial"/>
          <w:szCs w:val="24"/>
        </w:rPr>
        <w:t xml:space="preserve"> normative, including politically ‘transformative’ concerns with improving epistemic practices</w:t>
      </w:r>
      <w:r>
        <w:rPr>
          <w:rFonts w:cs="Arial"/>
          <w:szCs w:val="24"/>
        </w:rPr>
        <w:t>;</w:t>
      </w:r>
    </w:p>
    <w:p w:rsidR="00046004" w:rsidRPr="00443E3D" w:rsidRDefault="00046004" w:rsidP="000460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443E3D">
        <w:rPr>
          <w:rFonts w:cs="Arial"/>
          <w:szCs w:val="24"/>
        </w:rPr>
        <w:lastRenderedPageBreak/>
        <w:t xml:space="preserve">Acknowledge positive interplay between naturalism and </w:t>
      </w:r>
      <w:proofErr w:type="spellStart"/>
      <w:r w:rsidRPr="00443E3D">
        <w:rPr>
          <w:rFonts w:cs="Arial"/>
          <w:szCs w:val="24"/>
        </w:rPr>
        <w:t>normativity</w:t>
      </w:r>
      <w:proofErr w:type="spellEnd"/>
      <w:r w:rsidRPr="00443E3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and fact/value, and epistemology/ethics ‘entanglements’ while resisting the confusions and reductionisms that don’t allow us to </w:t>
      </w:r>
      <w:r w:rsidRPr="00443E3D">
        <w:rPr>
          <w:rFonts w:cs="Arial"/>
          <w:szCs w:val="24"/>
        </w:rPr>
        <w:t>maintaining the</w:t>
      </w:r>
      <w:r>
        <w:rPr>
          <w:rFonts w:cs="Arial"/>
          <w:szCs w:val="24"/>
        </w:rPr>
        <w:t>se</w:t>
      </w:r>
      <w:r w:rsidRPr="00443E3D">
        <w:rPr>
          <w:rFonts w:cs="Arial"/>
          <w:szCs w:val="24"/>
        </w:rPr>
        <w:t xml:space="preserve"> distinction</w:t>
      </w:r>
      <w:r>
        <w:rPr>
          <w:rFonts w:cs="Arial"/>
          <w:szCs w:val="24"/>
        </w:rPr>
        <w:t>s;</w:t>
      </w:r>
    </w:p>
    <w:p w:rsidR="00046004" w:rsidRPr="00023117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023117">
        <w:rPr>
          <w:rFonts w:cs="Arial"/>
          <w:szCs w:val="24"/>
        </w:rPr>
        <w:t>Support liberal democratic theory, individual and group deliberative virtues</w:t>
      </w:r>
      <w:r>
        <w:rPr>
          <w:rFonts w:cs="Arial"/>
          <w:szCs w:val="24"/>
        </w:rPr>
        <w:t xml:space="preserve">, and </w:t>
      </w:r>
      <w:r w:rsidRPr="00023117">
        <w:rPr>
          <w:rFonts w:cs="Arial"/>
          <w:szCs w:val="24"/>
        </w:rPr>
        <w:t xml:space="preserve">the epistemic benefits of collective inquiry and </w:t>
      </w:r>
      <w:r>
        <w:rPr>
          <w:rFonts w:cs="Arial"/>
          <w:szCs w:val="24"/>
        </w:rPr>
        <w:t>of</w:t>
      </w:r>
      <w:r w:rsidRPr="00023117">
        <w:rPr>
          <w:rFonts w:cs="Arial"/>
          <w:szCs w:val="24"/>
        </w:rPr>
        <w:t xml:space="preserve"> broadly inclusive deliberative practi</w:t>
      </w:r>
      <w:r>
        <w:rPr>
          <w:rFonts w:cs="Arial"/>
          <w:szCs w:val="24"/>
        </w:rPr>
        <w:t>ces</w:t>
      </w:r>
      <w:r w:rsidRPr="00023117">
        <w:rPr>
          <w:rFonts w:cs="Arial"/>
          <w:szCs w:val="24"/>
        </w:rPr>
        <w:t>;</w:t>
      </w:r>
    </w:p>
    <w:p w:rsidR="00046004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Support </w:t>
      </w:r>
      <w:r w:rsidRPr="006924EC">
        <w:rPr>
          <w:rFonts w:cs="Arial"/>
          <w:szCs w:val="24"/>
        </w:rPr>
        <w:t xml:space="preserve">an ‘ethics of belief’ </w:t>
      </w:r>
      <w:r>
        <w:rPr>
          <w:rFonts w:cs="Arial"/>
          <w:szCs w:val="24"/>
        </w:rPr>
        <w:t xml:space="preserve">and ‘epistemology of disagreement/diversity’ </w:t>
      </w:r>
      <w:r w:rsidRPr="006924EC">
        <w:rPr>
          <w:rFonts w:cs="Arial"/>
          <w:szCs w:val="24"/>
        </w:rPr>
        <w:t xml:space="preserve">that respects </w:t>
      </w:r>
      <w:proofErr w:type="spellStart"/>
      <w:r>
        <w:rPr>
          <w:rFonts w:cs="Arial"/>
          <w:szCs w:val="24"/>
        </w:rPr>
        <w:t>Rawlsian</w:t>
      </w:r>
      <w:proofErr w:type="spellEnd"/>
      <w:r>
        <w:rPr>
          <w:rFonts w:cs="Arial"/>
          <w:szCs w:val="24"/>
        </w:rPr>
        <w:t xml:space="preserve"> “</w:t>
      </w:r>
      <w:r w:rsidRPr="006924EC">
        <w:rPr>
          <w:rFonts w:cs="Arial"/>
          <w:szCs w:val="24"/>
        </w:rPr>
        <w:t>reasonable pluralism</w:t>
      </w:r>
      <w:r>
        <w:rPr>
          <w:rFonts w:cs="Arial"/>
          <w:szCs w:val="24"/>
        </w:rPr>
        <w:t>”</w:t>
      </w:r>
      <w:r w:rsidRPr="006924E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and that </w:t>
      </w:r>
      <w:r w:rsidRPr="006924EC">
        <w:rPr>
          <w:rFonts w:cs="Arial"/>
          <w:szCs w:val="24"/>
        </w:rPr>
        <w:t xml:space="preserve">supports the reality of reasonable disagreements among epistemic peers. </w:t>
      </w:r>
      <w:r>
        <w:rPr>
          <w:rFonts w:cs="Arial"/>
          <w:szCs w:val="24"/>
        </w:rPr>
        <w:t>Rational agency plus shared evidence on large issues does not always or even typically result in consensus;</w:t>
      </w:r>
    </w:p>
    <w:p w:rsidR="00046004" w:rsidRPr="006924EC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6924EC">
        <w:rPr>
          <w:rFonts w:cs="Arial"/>
          <w:szCs w:val="24"/>
        </w:rPr>
        <w:t xml:space="preserve">Acknowledge the personal </w:t>
      </w:r>
      <w:r>
        <w:rPr>
          <w:rFonts w:cs="Arial"/>
          <w:szCs w:val="24"/>
        </w:rPr>
        <w:t xml:space="preserve">value of the virtues, and even while critiquing traditional epistemology, avoid </w:t>
      </w:r>
      <w:r w:rsidRPr="006924EC">
        <w:rPr>
          <w:rFonts w:cs="Arial"/>
          <w:szCs w:val="24"/>
        </w:rPr>
        <w:t xml:space="preserve">confusing the pursuit of projects that </w:t>
      </w:r>
      <w:r>
        <w:rPr>
          <w:rFonts w:cs="Arial"/>
          <w:szCs w:val="24"/>
        </w:rPr>
        <w:t xml:space="preserve">turn on personal value or that essentially serve to </w:t>
      </w:r>
      <w:r w:rsidRPr="007000CE">
        <w:rPr>
          <w:rFonts w:cs="Arial"/>
          <w:i/>
          <w:szCs w:val="24"/>
        </w:rPr>
        <w:t>expand</w:t>
      </w:r>
      <w:r w:rsidRPr="006924EC">
        <w:rPr>
          <w:rFonts w:cs="Arial"/>
          <w:szCs w:val="24"/>
        </w:rPr>
        <w:t xml:space="preserve"> epistemology </w:t>
      </w:r>
      <w:r>
        <w:rPr>
          <w:rFonts w:cs="Arial"/>
          <w:szCs w:val="24"/>
        </w:rPr>
        <w:t>and ethics</w:t>
      </w:r>
      <w:r w:rsidRPr="006924EC">
        <w:rPr>
          <w:rFonts w:cs="Arial"/>
          <w:szCs w:val="24"/>
        </w:rPr>
        <w:t xml:space="preserve">, with claims </w:t>
      </w:r>
      <w:r>
        <w:rPr>
          <w:rFonts w:cs="Arial"/>
          <w:szCs w:val="24"/>
        </w:rPr>
        <w:t>that such projects must ‘</w:t>
      </w:r>
      <w:r w:rsidRPr="006924EC">
        <w:rPr>
          <w:rFonts w:cs="Arial"/>
          <w:szCs w:val="24"/>
        </w:rPr>
        <w:t>replace</w:t>
      </w:r>
      <w:r>
        <w:rPr>
          <w:rFonts w:cs="Arial"/>
          <w:szCs w:val="24"/>
        </w:rPr>
        <w:t>’</w:t>
      </w:r>
      <w:r w:rsidRPr="006924EC">
        <w:rPr>
          <w:rFonts w:cs="Arial"/>
          <w:szCs w:val="24"/>
        </w:rPr>
        <w:t xml:space="preserve"> or </w:t>
      </w:r>
      <w:r>
        <w:rPr>
          <w:rFonts w:cs="Arial"/>
          <w:szCs w:val="24"/>
        </w:rPr>
        <w:t>‘</w:t>
      </w:r>
      <w:r w:rsidRPr="006924EC">
        <w:rPr>
          <w:rFonts w:cs="Arial"/>
          <w:szCs w:val="24"/>
        </w:rPr>
        <w:t>supplant</w:t>
      </w:r>
      <w:r>
        <w:rPr>
          <w:rFonts w:cs="Arial"/>
          <w:szCs w:val="24"/>
        </w:rPr>
        <w:t>’</w:t>
      </w:r>
      <w:r w:rsidRPr="006924EC">
        <w:rPr>
          <w:rFonts w:cs="Arial"/>
          <w:szCs w:val="24"/>
        </w:rPr>
        <w:t xml:space="preserve"> traditional </w:t>
      </w:r>
      <w:r>
        <w:rPr>
          <w:rFonts w:cs="Arial"/>
          <w:szCs w:val="24"/>
        </w:rPr>
        <w:t xml:space="preserve">epistemological or ethical </w:t>
      </w:r>
      <w:r w:rsidRPr="006924EC">
        <w:rPr>
          <w:rFonts w:cs="Arial"/>
          <w:szCs w:val="24"/>
        </w:rPr>
        <w:t>concerns.</w:t>
      </w:r>
    </w:p>
    <w:p w:rsidR="00046004" w:rsidRPr="00A8042D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A8042D">
        <w:rPr>
          <w:rFonts w:cs="Arial"/>
          <w:szCs w:val="24"/>
        </w:rPr>
        <w:t xml:space="preserve">Seek greater unification of epistemology and ethics </w:t>
      </w:r>
      <w:r w:rsidRPr="00CD6BE8">
        <w:rPr>
          <w:rFonts w:cs="Arial"/>
          <w:i/>
          <w:szCs w:val="24"/>
        </w:rPr>
        <w:t>via</w:t>
      </w:r>
      <w:r w:rsidRPr="00A8042D">
        <w:rPr>
          <w:rFonts w:cs="Arial"/>
          <w:szCs w:val="24"/>
        </w:rPr>
        <w:t xml:space="preserve"> analogy and </w:t>
      </w:r>
      <w:r w:rsidRPr="00CD6BE8">
        <w:rPr>
          <w:rFonts w:cs="Arial"/>
          <w:i/>
          <w:szCs w:val="24"/>
        </w:rPr>
        <w:t>via</w:t>
      </w:r>
      <w:r w:rsidRPr="00A8042D">
        <w:rPr>
          <w:rFonts w:cs="Arial"/>
          <w:szCs w:val="24"/>
        </w:rPr>
        <w:t xml:space="preserve"> general theory of value, but not </w:t>
      </w:r>
      <w:r w:rsidRPr="00CD6BE8">
        <w:rPr>
          <w:rFonts w:cs="Arial"/>
          <w:i/>
          <w:szCs w:val="24"/>
        </w:rPr>
        <w:t>via</w:t>
      </w:r>
      <w:r w:rsidRPr="00A8042D">
        <w:rPr>
          <w:rFonts w:cs="Arial"/>
          <w:szCs w:val="24"/>
        </w:rPr>
        <w:t xml:space="preserve"> reductionism.</w:t>
      </w:r>
      <w:r>
        <w:rPr>
          <w:rFonts w:cs="Arial"/>
          <w:szCs w:val="24"/>
        </w:rPr>
        <w:t xml:space="preserve"> </w:t>
      </w:r>
      <w:r w:rsidRPr="00A8042D">
        <w:rPr>
          <w:rFonts w:cs="Arial"/>
          <w:szCs w:val="24"/>
        </w:rPr>
        <w:t>Adopt a model of the relationship between fact and value that acknowledges a degree of ‘entanglement’ sufficient to reject reductionism and to support the importance of thick evaluative and axiological concepts.</w:t>
      </w:r>
    </w:p>
    <w:p w:rsidR="00046004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6924EC">
        <w:rPr>
          <w:rFonts w:cs="Arial"/>
          <w:szCs w:val="24"/>
        </w:rPr>
        <w:t xml:space="preserve">Encourage a ‘thickening’ of epistemology by way of thick descriptions of epistemic concepts </w:t>
      </w:r>
      <w:r>
        <w:rPr>
          <w:rFonts w:cs="Arial"/>
          <w:szCs w:val="24"/>
        </w:rPr>
        <w:t xml:space="preserve">(trustworthiness, conscientiousness, etc.) </w:t>
      </w:r>
      <w:r w:rsidRPr="006924EC">
        <w:rPr>
          <w:rFonts w:cs="Arial"/>
          <w:szCs w:val="24"/>
        </w:rPr>
        <w:t>and their role in deliberati</w:t>
      </w:r>
      <w:r>
        <w:rPr>
          <w:rFonts w:cs="Arial"/>
          <w:szCs w:val="24"/>
        </w:rPr>
        <w:t xml:space="preserve">on and in our cognitive ecology; encourage a rejection of the ‘centralist’ thesis of the epistemic primacy of ‘thin’ concepts such as ‘justified,’ ‘warranted,’ ‘rational,’ etc. Find an epistemology of the ‘right thickness’ or the right </w:t>
      </w:r>
      <w:r>
        <w:rPr>
          <w:rFonts w:cs="Arial"/>
          <w:i/>
          <w:szCs w:val="24"/>
        </w:rPr>
        <w:t xml:space="preserve">balance </w:t>
      </w:r>
      <w:r>
        <w:rPr>
          <w:rFonts w:cs="Arial"/>
          <w:szCs w:val="24"/>
        </w:rPr>
        <w:t>of thin/thick explanatory and normative interests.</w:t>
      </w:r>
    </w:p>
    <w:p w:rsidR="00046004" w:rsidRPr="00CD6BE8" w:rsidRDefault="00046004" w:rsidP="00046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???</w:t>
      </w:r>
    </w:p>
    <w:p w:rsidR="00543508" w:rsidRDefault="00543508"/>
    <w:sectPr w:rsidR="00543508" w:rsidSect="0047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5BEE"/>
    <w:multiLevelType w:val="hybridMultilevel"/>
    <w:tmpl w:val="1C72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A5365"/>
    <w:multiLevelType w:val="hybridMultilevel"/>
    <w:tmpl w:val="2F82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46004"/>
    <w:rsid w:val="00046004"/>
    <w:rsid w:val="0054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0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</cp:revision>
  <dcterms:created xsi:type="dcterms:W3CDTF">2013-01-10T19:29:00Z</dcterms:created>
  <dcterms:modified xsi:type="dcterms:W3CDTF">2013-01-10T19:33:00Z</dcterms:modified>
</cp:coreProperties>
</file>