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F1481" w14:textId="2BDFAB71" w:rsidR="0031655D" w:rsidRDefault="0031655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is a pre-publication draft. To cite the published version of the paper, </w:t>
      </w:r>
      <w:r w:rsidR="00006CB9">
        <w:rPr>
          <w:rFonts w:ascii="Times New Roman" w:eastAsia="Times New Roman" w:hAnsi="Times New Roman" w:cs="Times New Roman"/>
          <w:bCs/>
          <w:sz w:val="24"/>
          <w:szCs w:val="24"/>
        </w:rPr>
        <w:t>use this link:</w:t>
      </w:r>
    </w:p>
    <w:p w14:paraId="07A15D9E" w14:textId="7E3A9EB0" w:rsidR="00006CB9" w:rsidRPr="0031655D" w:rsidRDefault="00C13B74">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HYPERLINK "</w:instrText>
      </w:r>
      <w:r w:rsidRPr="00C13B74">
        <w:rPr>
          <w:rFonts w:ascii="Times New Roman" w:eastAsia="Times New Roman" w:hAnsi="Times New Roman" w:cs="Times New Roman"/>
          <w:bCs/>
          <w:sz w:val="24"/>
          <w:szCs w:val="24"/>
        </w:rPr>
        <w:instrText>https://www.doi.org/10.1007/s11673-024-10372-w</w:instrText>
      </w:r>
      <w:r>
        <w:rPr>
          <w:rFonts w:ascii="Times New Roman" w:eastAsia="Times New Roman" w:hAnsi="Times New Roman" w:cs="Times New Roman"/>
          <w:bCs/>
          <w:sz w:val="24"/>
          <w:szCs w:val="24"/>
        </w:rPr>
        <w:instrText>"</w:instrText>
      </w:r>
      <w:r>
        <w:rPr>
          <w:rFonts w:ascii="Times New Roman" w:eastAsia="Times New Roman" w:hAnsi="Times New Roman" w:cs="Times New Roman"/>
          <w:bCs/>
          <w:sz w:val="24"/>
          <w:szCs w:val="24"/>
        </w:rPr>
        <w:fldChar w:fldCharType="separate"/>
      </w:r>
      <w:r w:rsidRPr="00E06560">
        <w:rPr>
          <w:rStyle w:val="Hyperlink"/>
          <w:rFonts w:ascii="Times New Roman" w:eastAsia="Times New Roman" w:hAnsi="Times New Roman" w:cs="Times New Roman"/>
          <w:bCs/>
          <w:sz w:val="24"/>
          <w:szCs w:val="24"/>
        </w:rPr>
        <w:t>https://www.doi.org/10.1007/s11673-024-10372-w</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p>
    <w:p w14:paraId="1DC22984" w14:textId="77777777" w:rsidR="0031655D" w:rsidRDefault="0031655D">
      <w:pPr>
        <w:jc w:val="center"/>
        <w:rPr>
          <w:rFonts w:ascii="Times New Roman" w:eastAsia="Times New Roman" w:hAnsi="Times New Roman" w:cs="Times New Roman"/>
          <w:b/>
          <w:sz w:val="24"/>
          <w:szCs w:val="24"/>
        </w:rPr>
      </w:pPr>
    </w:p>
    <w:p w14:paraId="00000001" w14:textId="68A0EADD" w:rsidR="00E83534" w:rsidRDefault="00C13B74">
      <w:pPr>
        <w:jc w:val="center"/>
        <w:rPr>
          <w:rFonts w:ascii="Times New Roman" w:eastAsia="Times New Roman" w:hAnsi="Times New Roman" w:cs="Times New Roman"/>
          <w:b/>
          <w:sz w:val="24"/>
          <w:szCs w:val="24"/>
        </w:rPr>
      </w:pPr>
      <w:r w:rsidRPr="00FF28A2">
        <w:rPr>
          <w:rFonts w:ascii="Times New Roman" w:eastAsia="Times New Roman" w:hAnsi="Times New Roman" w:cs="Times New Roman"/>
          <w:b/>
          <w:sz w:val="24"/>
          <w:szCs w:val="24"/>
        </w:rPr>
        <w:t xml:space="preserve">Decision-Making Capacity and Authenticity </w:t>
      </w:r>
    </w:p>
    <w:p w14:paraId="696323BD" w14:textId="182424C9" w:rsidR="0031655D" w:rsidRDefault="0031655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Tim Aylsworth</w:t>
      </w:r>
    </w:p>
    <w:p w14:paraId="53D4278D" w14:textId="4C335717" w:rsidR="0031655D" w:rsidRPr="0031655D" w:rsidRDefault="0031655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Jake Greenblum</w:t>
      </w:r>
    </w:p>
    <w:p w14:paraId="00000002" w14:textId="77777777" w:rsidR="00E83534" w:rsidRPr="00FF28A2" w:rsidRDefault="00E83534">
      <w:pPr>
        <w:rPr>
          <w:rFonts w:ascii="Times New Roman" w:eastAsia="Times New Roman" w:hAnsi="Times New Roman" w:cs="Times New Roman"/>
          <w:sz w:val="24"/>
          <w:szCs w:val="24"/>
        </w:rPr>
      </w:pPr>
    </w:p>
    <w:p w14:paraId="00000003" w14:textId="6BDC4DC2" w:rsidR="00E83534" w:rsidRPr="00FF28A2" w:rsidRDefault="00C13B74">
      <w:pPr>
        <w:jc w:val="both"/>
        <w:rPr>
          <w:rFonts w:ascii="Times New Roman" w:eastAsia="Times New Roman" w:hAnsi="Times New Roman" w:cs="Times New Roman"/>
          <w:sz w:val="24"/>
          <w:szCs w:val="24"/>
        </w:rPr>
      </w:pPr>
      <w:r w:rsidRPr="00FF28A2">
        <w:rPr>
          <w:rFonts w:ascii="Times New Roman" w:eastAsia="Times New Roman" w:hAnsi="Times New Roman" w:cs="Times New Roman"/>
          <w:b/>
          <w:sz w:val="24"/>
          <w:szCs w:val="24"/>
        </w:rPr>
        <w:t>Abstract:</w:t>
      </w:r>
      <w:r w:rsidRPr="00FF28A2">
        <w:rPr>
          <w:rFonts w:ascii="Times New Roman" w:eastAsia="Times New Roman" w:hAnsi="Times New Roman" w:cs="Times New Roman"/>
          <w:sz w:val="24"/>
          <w:szCs w:val="24"/>
        </w:rPr>
        <w:t xml:space="preserve"> There is wide consensus among bioethicists about the importance of autonomy when determining whether or not a patient has the right to refuse life-saving treatment (LST). In this context, autonomy has typically been understood in terms of the patient’s ability to make an informed decision. According to the traditional view, decision-making capacity (DMC) is seen as both necessary and sufficient for the right to refuse LST. Recently, this view has been challenged by those who think that considerations of au</w:t>
      </w:r>
      <w:r w:rsidRPr="00FF28A2">
        <w:rPr>
          <w:rFonts w:ascii="Times New Roman" w:eastAsia="Times New Roman" w:hAnsi="Times New Roman" w:cs="Times New Roman"/>
          <w:sz w:val="24"/>
          <w:szCs w:val="24"/>
        </w:rPr>
        <w:t xml:space="preserve">thenticity and putative counterexamples should lead us to revise the traditional </w:t>
      </w:r>
      <w:r w:rsidR="0031266F">
        <w:rPr>
          <w:rFonts w:ascii="Times New Roman" w:eastAsia="Times New Roman" w:hAnsi="Times New Roman" w:cs="Times New Roman"/>
          <w:sz w:val="24"/>
          <w:szCs w:val="24"/>
        </w:rPr>
        <w:t>account</w:t>
      </w:r>
      <w:r w:rsidRPr="00FF28A2">
        <w:rPr>
          <w:rFonts w:ascii="Times New Roman" w:eastAsia="Times New Roman" w:hAnsi="Times New Roman" w:cs="Times New Roman"/>
          <w:sz w:val="24"/>
          <w:szCs w:val="24"/>
        </w:rPr>
        <w:t>. In this paper, we respond to these revisionist arguments and we defend the traditional view according to which we have autonomy-based reasons to respect a patient’s decision to refuse LST if and only if she has DMC.</w:t>
      </w:r>
    </w:p>
    <w:p w14:paraId="00000004" w14:textId="77777777" w:rsidR="00E83534" w:rsidRPr="00FF28A2" w:rsidRDefault="00E83534">
      <w:pPr>
        <w:rPr>
          <w:rFonts w:ascii="Times New Roman" w:eastAsia="Times New Roman" w:hAnsi="Times New Roman" w:cs="Times New Roman"/>
          <w:sz w:val="24"/>
          <w:szCs w:val="24"/>
          <w:u w:val="single"/>
        </w:rPr>
      </w:pPr>
    </w:p>
    <w:p w14:paraId="00000005" w14:textId="77777777" w:rsidR="00E83534" w:rsidRPr="00FF28A2" w:rsidRDefault="00C13B74">
      <w:pPr>
        <w:rPr>
          <w:rFonts w:ascii="Times New Roman" w:eastAsia="Times New Roman" w:hAnsi="Times New Roman" w:cs="Times New Roman"/>
          <w:sz w:val="24"/>
          <w:szCs w:val="24"/>
        </w:rPr>
      </w:pPr>
      <w:r w:rsidRPr="00FF28A2">
        <w:rPr>
          <w:rFonts w:ascii="Times New Roman" w:eastAsia="Times New Roman" w:hAnsi="Times New Roman" w:cs="Times New Roman"/>
          <w:b/>
          <w:sz w:val="24"/>
          <w:szCs w:val="24"/>
        </w:rPr>
        <w:t>Keywords:</w:t>
      </w:r>
      <w:r w:rsidRPr="00FF28A2">
        <w:rPr>
          <w:rFonts w:ascii="Times New Roman" w:eastAsia="Times New Roman" w:hAnsi="Times New Roman" w:cs="Times New Roman"/>
          <w:sz w:val="24"/>
          <w:szCs w:val="24"/>
        </w:rPr>
        <w:t xml:space="preserve"> Agency; autonomy; authenticity; decision-making capacity; right to refuse treatment</w:t>
      </w:r>
    </w:p>
    <w:p w14:paraId="00000006" w14:textId="77777777" w:rsidR="00E83534" w:rsidRPr="00FF28A2" w:rsidRDefault="00E83534">
      <w:pPr>
        <w:rPr>
          <w:rFonts w:ascii="Times New Roman" w:eastAsia="Times New Roman" w:hAnsi="Times New Roman" w:cs="Times New Roman"/>
          <w:sz w:val="24"/>
          <w:szCs w:val="24"/>
        </w:rPr>
      </w:pPr>
    </w:p>
    <w:p w14:paraId="00000007" w14:textId="77777777" w:rsidR="00E83534" w:rsidRPr="00FF28A2" w:rsidRDefault="00C13B74">
      <w:pPr>
        <w:rPr>
          <w:rFonts w:ascii="Times New Roman" w:eastAsia="Times New Roman" w:hAnsi="Times New Roman" w:cs="Times New Roman"/>
          <w:sz w:val="24"/>
          <w:szCs w:val="24"/>
        </w:rPr>
      </w:pPr>
      <w:r w:rsidRPr="00FF28A2">
        <w:rPr>
          <w:rFonts w:ascii="Times New Roman" w:eastAsia="Times New Roman" w:hAnsi="Times New Roman" w:cs="Times New Roman"/>
          <w:b/>
          <w:sz w:val="24"/>
          <w:szCs w:val="24"/>
        </w:rPr>
        <w:t>Disclosure of interest:</w:t>
      </w:r>
      <w:r w:rsidRPr="00FF28A2">
        <w:rPr>
          <w:rFonts w:ascii="Times New Roman" w:eastAsia="Times New Roman" w:hAnsi="Times New Roman" w:cs="Times New Roman"/>
          <w:sz w:val="24"/>
          <w:szCs w:val="24"/>
        </w:rPr>
        <w:t xml:space="preserve"> The authors report there are no competing interests to declare.</w:t>
      </w:r>
    </w:p>
    <w:p w14:paraId="00000008" w14:textId="77777777" w:rsidR="00E83534" w:rsidRPr="00FF28A2" w:rsidRDefault="00E83534">
      <w:pPr>
        <w:rPr>
          <w:rFonts w:ascii="Times New Roman" w:eastAsia="Times New Roman" w:hAnsi="Times New Roman" w:cs="Times New Roman"/>
          <w:sz w:val="24"/>
          <w:szCs w:val="24"/>
          <w:u w:val="single"/>
        </w:rPr>
      </w:pPr>
    </w:p>
    <w:p w14:paraId="00000009" w14:textId="77777777" w:rsidR="00E83534" w:rsidRPr="00FF28A2" w:rsidRDefault="00C13B74" w:rsidP="00E84F7E">
      <w:pPr>
        <w:numPr>
          <w:ilvl w:val="0"/>
          <w:numId w:val="1"/>
        </w:numPr>
        <w:spacing w:line="360" w:lineRule="auto"/>
        <w:ind w:left="0" w:firstLine="0"/>
        <w:rPr>
          <w:rFonts w:ascii="Times New Roman" w:eastAsia="Times New Roman" w:hAnsi="Times New Roman" w:cs="Times New Roman"/>
          <w:b/>
          <w:sz w:val="24"/>
          <w:szCs w:val="24"/>
        </w:rPr>
      </w:pPr>
      <w:r w:rsidRPr="00FF28A2">
        <w:rPr>
          <w:rFonts w:ascii="Times New Roman" w:eastAsia="Times New Roman" w:hAnsi="Times New Roman" w:cs="Times New Roman"/>
          <w:b/>
          <w:sz w:val="24"/>
          <w:szCs w:val="24"/>
        </w:rPr>
        <w:t>Introduction</w:t>
      </w:r>
    </w:p>
    <w:p w14:paraId="0000000A" w14:textId="77777777" w:rsidR="00E83534" w:rsidRPr="00FF28A2" w:rsidRDefault="00E83534" w:rsidP="00E84F7E">
      <w:pPr>
        <w:spacing w:line="360" w:lineRule="auto"/>
        <w:rPr>
          <w:rFonts w:ascii="Times New Roman" w:eastAsia="Times New Roman" w:hAnsi="Times New Roman" w:cs="Times New Roman"/>
          <w:sz w:val="24"/>
          <w:szCs w:val="24"/>
        </w:rPr>
      </w:pPr>
    </w:p>
    <w:p w14:paraId="0000000B" w14:textId="0F598186"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Some ethicists maintain that autonomy comprises at least two values: self-determination (sometimes also called sovereignty or agency) and authenticity</w:t>
      </w:r>
      <w:r w:rsidR="00FF28A2" w:rsidRPr="00FF28A2">
        <w:rPr>
          <w:rFonts w:ascii="Times New Roman" w:eastAsia="Times New Roman" w:hAnsi="Times New Roman" w:cs="Times New Roman"/>
          <w:sz w:val="24"/>
          <w:szCs w:val="24"/>
        </w:rPr>
        <w:t xml:space="preserve"> (Christman 2009)</w:t>
      </w:r>
      <w:r w:rsidRPr="00FF28A2">
        <w:rPr>
          <w:rFonts w:ascii="Times New Roman" w:eastAsia="Times New Roman" w:hAnsi="Times New Roman" w:cs="Times New Roman"/>
          <w:sz w:val="24"/>
          <w:szCs w:val="24"/>
        </w:rPr>
        <w:t>. Self-determination is the capacity to make choices on the basis of reasons. Authenticity, by contrast, is defined by some theorists as the capacity to live in accordance with one’s deeply held, or reflectively-endorsed, values. Others define it in grander terms, like the ability to live one’s distinctive life (Brudney and Lantos 2011, 221), coherent narrative (Brudney 2009, 35), or to be free from alienated desires (Christman 2009).</w:t>
      </w:r>
    </w:p>
    <w:p w14:paraId="0000000C" w14:textId="3DFB885E"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In bioethics, decision-making capacity (DMC) is the ability for patients to make informed </w:t>
      </w:r>
      <w:proofErr w:type="gramStart"/>
      <w:r w:rsidRPr="00FF28A2">
        <w:rPr>
          <w:rFonts w:ascii="Times New Roman" w:eastAsia="Times New Roman" w:hAnsi="Times New Roman" w:cs="Times New Roman"/>
          <w:sz w:val="24"/>
          <w:szCs w:val="24"/>
        </w:rPr>
        <w:t>choices, and</w:t>
      </w:r>
      <w:proofErr w:type="gramEnd"/>
      <w:r w:rsidRPr="00FF28A2">
        <w:rPr>
          <w:rFonts w:ascii="Times New Roman" w:eastAsia="Times New Roman" w:hAnsi="Times New Roman" w:cs="Times New Roman"/>
          <w:sz w:val="24"/>
          <w:szCs w:val="24"/>
        </w:rPr>
        <w:t xml:space="preserve"> is often thought to be a general proxy for autonomy, and self-determination more specifically (Brudney and Lantos 2011). And, ordinarily, when a patient has DMC to refuse life-saving treatment (LST) and wishes to do so, they are taken to have the right to decline such treatment. According to what we will call “the traditional view,” DMC is understood in terms of a set of capacities that are required for making informed decisions about treatment. The patient must </w:t>
      </w:r>
      <w:r w:rsidRPr="00FF28A2">
        <w:rPr>
          <w:rFonts w:ascii="Times New Roman" w:eastAsia="Times New Roman" w:hAnsi="Times New Roman" w:cs="Times New Roman"/>
          <w:sz w:val="24"/>
          <w:szCs w:val="24"/>
        </w:rPr>
        <w:lastRenderedPageBreak/>
        <w:t>be able to (1) “communicate choi</w:t>
      </w:r>
      <w:r w:rsidRPr="00FF28A2">
        <w:rPr>
          <w:rFonts w:ascii="Times New Roman" w:eastAsia="Times New Roman" w:hAnsi="Times New Roman" w:cs="Times New Roman"/>
          <w:sz w:val="24"/>
          <w:szCs w:val="24"/>
        </w:rPr>
        <w:t>ces,” (2) “appreciate the situation and its consequences,” (3) “understand relevant information” and (4) “manipulate information rationally” (Applebaum and Grisso 1998).</w:t>
      </w:r>
    </w:p>
    <w:p w14:paraId="0000000D" w14:textId="5A337172"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Some physicians are uncomfortable, however, when patients with DMC decline LST in cases where it seems these choices are inauthentic. Consider the case of a patient, Ms. G, described by Brudney and Lantos (2011), who in the past had accepted LST, but who now is declining it</w:t>
      </w:r>
      <w:r w:rsidR="00FF28A2" w:rsidRPr="00FF28A2">
        <w:rPr>
          <w:rFonts w:ascii="Times New Roman" w:eastAsia="Times New Roman" w:hAnsi="Times New Roman" w:cs="Times New Roman"/>
          <w:sz w:val="24"/>
          <w:szCs w:val="24"/>
        </w:rPr>
        <w:t xml:space="preserve"> (Halpern 2001)</w:t>
      </w:r>
      <w:r w:rsidRPr="00FF28A2">
        <w:rPr>
          <w:rFonts w:ascii="Times New Roman" w:eastAsia="Times New Roman" w:hAnsi="Times New Roman" w:cs="Times New Roman"/>
          <w:sz w:val="24"/>
          <w:szCs w:val="24"/>
        </w:rPr>
        <w:t>. Although Ms. G’s husband recently left her for another woman, her psychiatrist nevertheless believes that she has DMC, and that her wish to forgo LST ought to be respected. Other medical team members however disagree because, due to her emotional trauma, she is no longer living in accordance with her deeply held values.</w:t>
      </w:r>
      <w:r w:rsidRPr="00FF28A2">
        <w:rPr>
          <w:rFonts w:ascii="Times New Roman" w:eastAsia="Times New Roman" w:hAnsi="Times New Roman" w:cs="Times New Roman"/>
          <w:sz w:val="24"/>
          <w:szCs w:val="24"/>
          <w:vertAlign w:val="superscript"/>
        </w:rPr>
        <w:footnoteReference w:id="1"/>
      </w:r>
    </w:p>
    <w:p w14:paraId="0000000E" w14:textId="1A1EB531"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Brudney and Lantos state that even though patients like Ms. G have the legal right to decline LST (in virtue of having DMC), that it may be morally justifiable to override her decision on account of the fact that </w:t>
      </w:r>
      <w:r w:rsidR="00D76856">
        <w:rPr>
          <w:rFonts w:ascii="Times New Roman" w:eastAsia="Times New Roman" w:hAnsi="Times New Roman" w:cs="Times New Roman"/>
          <w:sz w:val="24"/>
          <w:szCs w:val="24"/>
        </w:rPr>
        <w:t>her</w:t>
      </w:r>
      <w:r w:rsidRPr="00FF28A2">
        <w:rPr>
          <w:rFonts w:ascii="Times New Roman" w:eastAsia="Times New Roman" w:hAnsi="Times New Roman" w:cs="Times New Roman"/>
          <w:sz w:val="24"/>
          <w:szCs w:val="24"/>
        </w:rPr>
        <w:t xml:space="preserve"> choice is inauthentic.</w:t>
      </w:r>
      <w:r w:rsidR="00FF28A2" w:rsidRPr="00FF28A2">
        <w:rPr>
          <w:rFonts w:ascii="Times New Roman" w:eastAsia="Times New Roman" w:hAnsi="Times New Roman" w:cs="Times New Roman"/>
          <w:sz w:val="24"/>
          <w:szCs w:val="24"/>
        </w:rPr>
        <w:t xml:space="preserve"> They write, “In such situations, clinicians may intuit that mere decisional competence does not reflect a sufficiently robust value to justify going along with, say, the refusal of lifesaving treatment</w:t>
      </w:r>
      <w:r w:rsidR="00D76856">
        <w:rPr>
          <w:rFonts w:ascii="Times New Roman" w:eastAsia="Times New Roman" w:hAnsi="Times New Roman" w:cs="Times New Roman"/>
          <w:sz w:val="24"/>
          <w:szCs w:val="24"/>
        </w:rPr>
        <w:t>…</w:t>
      </w:r>
      <w:r w:rsidR="00FF28A2" w:rsidRPr="00FF28A2">
        <w:rPr>
          <w:rFonts w:ascii="Times New Roman" w:eastAsia="Times New Roman" w:hAnsi="Times New Roman" w:cs="Times New Roman"/>
          <w:sz w:val="24"/>
          <w:szCs w:val="24"/>
        </w:rPr>
        <w:t>they want to see such a refusal as part of a more or less stable and coherent set of beliefs and values, as flowing from who the patient is” (Brudney and Lantos 2011, 222).</w:t>
      </w:r>
      <w:r w:rsidRPr="00FF28A2">
        <w:rPr>
          <w:rFonts w:ascii="Times New Roman" w:eastAsia="Times New Roman" w:hAnsi="Times New Roman" w:cs="Times New Roman"/>
          <w:sz w:val="24"/>
          <w:szCs w:val="24"/>
        </w:rPr>
        <w:t xml:space="preserve"> On this framing, the question at issue is whether or not physicians ought to respect the patient’s right to re</w:t>
      </w:r>
      <w:r w:rsidRPr="00FF28A2">
        <w:rPr>
          <w:rFonts w:ascii="Times New Roman" w:eastAsia="Times New Roman" w:hAnsi="Times New Roman" w:cs="Times New Roman"/>
          <w:sz w:val="24"/>
          <w:szCs w:val="24"/>
        </w:rPr>
        <w:t xml:space="preserve">fuse treatment. According to their view, Ms. G has DMC but lacks authenticity, and this leads them to conclude that we are not required to respect her decision. If they are right, this would show that DMC alone is not </w:t>
      </w:r>
      <w:r w:rsidRPr="00FF28A2">
        <w:rPr>
          <w:rFonts w:ascii="Times New Roman" w:eastAsia="Times New Roman" w:hAnsi="Times New Roman" w:cs="Times New Roman"/>
          <w:i/>
          <w:sz w:val="24"/>
          <w:szCs w:val="24"/>
        </w:rPr>
        <w:t xml:space="preserve">sufficient </w:t>
      </w:r>
      <w:r w:rsidRPr="00FF28A2">
        <w:rPr>
          <w:rFonts w:ascii="Times New Roman" w:eastAsia="Times New Roman" w:hAnsi="Times New Roman" w:cs="Times New Roman"/>
          <w:sz w:val="24"/>
          <w:szCs w:val="24"/>
        </w:rPr>
        <w:t xml:space="preserve">for generating overriding, autonomy-based reasons for respecting her refusal of LST. </w:t>
      </w:r>
    </w:p>
    <w:p w14:paraId="0000000F"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Others have challenged the claim that DMC is a necessary condition of the right to refuse treatment. Navin et al. (2022) </w:t>
      </w:r>
      <w:proofErr w:type="gramStart"/>
      <w:r w:rsidRPr="00FF28A2">
        <w:rPr>
          <w:rFonts w:ascii="Times New Roman" w:eastAsia="Times New Roman" w:hAnsi="Times New Roman" w:cs="Times New Roman"/>
          <w:sz w:val="24"/>
          <w:szCs w:val="24"/>
        </w:rPr>
        <w:t>present</w:t>
      </w:r>
      <w:proofErr w:type="gramEnd"/>
      <w:r w:rsidRPr="00FF28A2">
        <w:rPr>
          <w:rFonts w:ascii="Times New Roman" w:eastAsia="Times New Roman" w:hAnsi="Times New Roman" w:cs="Times New Roman"/>
          <w:sz w:val="24"/>
          <w:szCs w:val="24"/>
        </w:rPr>
        <w:t xml:space="preserve"> the case of Mrs. P, a patient who refuses LST but who lacks the abilities typically associated with DMC. For instance, she is not able to demonstrate a sufficient understanding of her treatment options; she “does not even understand why she is in the hospital” (2022, 75). Navin et al. argue that physicians nevertheless ought to respect her decision, even though she lacks DMC in the traditional sense. They argue that we should revise our conception of DMC, lowering the threshold that we use to determ</w:t>
      </w:r>
      <w:r w:rsidRPr="00FF28A2">
        <w:rPr>
          <w:rFonts w:ascii="Times New Roman" w:eastAsia="Times New Roman" w:hAnsi="Times New Roman" w:cs="Times New Roman"/>
          <w:sz w:val="24"/>
          <w:szCs w:val="24"/>
        </w:rPr>
        <w:t xml:space="preserve">ine a patient's capacities. They suggest that </w:t>
      </w:r>
      <w:r w:rsidRPr="00FF28A2">
        <w:rPr>
          <w:rFonts w:ascii="Times New Roman" w:eastAsia="Times New Roman" w:hAnsi="Times New Roman" w:cs="Times New Roman"/>
          <w:sz w:val="24"/>
          <w:szCs w:val="24"/>
        </w:rPr>
        <w:lastRenderedPageBreak/>
        <w:t xml:space="preserve">we should include what they call “burdens-based” and “goals-based” capacities in clinical assessments of DMC. If their argument is successful, it would show that traditional DMC is not </w:t>
      </w:r>
      <w:r w:rsidRPr="00FF28A2">
        <w:rPr>
          <w:rFonts w:ascii="Times New Roman" w:eastAsia="Times New Roman" w:hAnsi="Times New Roman" w:cs="Times New Roman"/>
          <w:i/>
          <w:sz w:val="24"/>
          <w:szCs w:val="24"/>
        </w:rPr>
        <w:t xml:space="preserve">necessary </w:t>
      </w:r>
      <w:r w:rsidRPr="00FF28A2">
        <w:rPr>
          <w:rFonts w:ascii="Times New Roman" w:eastAsia="Times New Roman" w:hAnsi="Times New Roman" w:cs="Times New Roman"/>
          <w:sz w:val="24"/>
          <w:szCs w:val="24"/>
        </w:rPr>
        <w:t xml:space="preserve">for the right to refuse LST. </w:t>
      </w:r>
    </w:p>
    <w:p w14:paraId="00000010"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In this paper, we will defend the traditional view of DMC from both of these revisionist objections. We begin in section 2 by considering Brudney and Lantos’s argument, which purports to show that DMC is not sufficient for the right to refuse. We agree with their claim that authenticity is morally relevant to autonomy, but we argue that they have set the bar too high. We distinguish between weak and strong conceptions of authenticity. It is plausible to suggest that weak authenticity is among the set of suf</w:t>
      </w:r>
      <w:r w:rsidRPr="00FF28A2">
        <w:rPr>
          <w:rFonts w:ascii="Times New Roman" w:eastAsia="Times New Roman" w:hAnsi="Times New Roman" w:cs="Times New Roman"/>
          <w:sz w:val="24"/>
          <w:szCs w:val="24"/>
        </w:rPr>
        <w:t>ficient conditions for refusing LST, but we argue that the traditional view of DMC already accommodates this intuition. It would be less plausible, however, to require patients to possess strong authenticity. This would lead us to override the decisions of many patients whose right to refuse LST ought to be respected.</w:t>
      </w:r>
    </w:p>
    <w:p w14:paraId="00000011"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In section 3, we respond to the challenge posed by Mrs. P, which Navin et al. (2022) take as a reason to expand the concept of DMC. We suggest two different ways of dealing with this objection. First, it could be argued that Mrs. P does not in fact have the right to refuse LST. If Navin et al. are right about burdens-based and goals-based capacities, then this would allow us to find cases where we ought to respect the decision of patients who not only lack traditional DMC but who never had it in the first p</w:t>
      </w:r>
      <w:r w:rsidRPr="00FF28A2">
        <w:rPr>
          <w:rFonts w:ascii="Times New Roman" w:eastAsia="Times New Roman" w:hAnsi="Times New Roman" w:cs="Times New Roman"/>
          <w:sz w:val="24"/>
          <w:szCs w:val="24"/>
        </w:rPr>
        <w:t xml:space="preserve">lace. We present an example that is meant to show how this sets the bar too low. On the other hand, we could concede the point and claim that physicians ought to respect Mrs. P’s decision in virtue of her autonomy. But if this is the case, then we argue that traditional DMC already accounts for these reasons. This could be done in one of two ways. First, we could agree with Garrett et al. (2022) who argue that Mrs. P does in fact possess DMC. Or we could side with Koch (2022) who argues that our reasons to </w:t>
      </w:r>
      <w:r w:rsidRPr="00FF28A2">
        <w:rPr>
          <w:rFonts w:ascii="Times New Roman" w:eastAsia="Times New Roman" w:hAnsi="Times New Roman" w:cs="Times New Roman"/>
          <w:sz w:val="24"/>
          <w:szCs w:val="24"/>
        </w:rPr>
        <w:t xml:space="preserve">respect Mrs. P’s decision stem from the fact that she previously had DMC. Either way, this would vindicate the claim that traditional DMC is indeed a necessary condition for the right to refuse LST. </w:t>
      </w:r>
    </w:p>
    <w:p w14:paraId="00000012" w14:textId="45986F78"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In section 4, we take stock of our defense and present some of the benefits of preserving the traditional view. If, </w:t>
      </w:r>
      <w:r w:rsidRPr="00FF28A2">
        <w:rPr>
          <w:rFonts w:ascii="Times New Roman" w:eastAsia="Times New Roman" w:hAnsi="Times New Roman" w:cs="Times New Roman"/>
          <w:i/>
          <w:sz w:val="24"/>
          <w:szCs w:val="24"/>
        </w:rPr>
        <w:t xml:space="preserve">pace </w:t>
      </w:r>
      <w:r w:rsidRPr="00FF28A2">
        <w:rPr>
          <w:rFonts w:ascii="Times New Roman" w:eastAsia="Times New Roman" w:hAnsi="Times New Roman" w:cs="Times New Roman"/>
          <w:sz w:val="24"/>
          <w:szCs w:val="24"/>
        </w:rPr>
        <w:t xml:space="preserve">Brudney and Lantos, Ms. G does </w:t>
      </w:r>
      <w:r w:rsidRPr="00FF28A2">
        <w:rPr>
          <w:rFonts w:ascii="Times New Roman" w:eastAsia="Times New Roman" w:hAnsi="Times New Roman" w:cs="Times New Roman"/>
          <w:i/>
          <w:sz w:val="24"/>
          <w:szCs w:val="24"/>
        </w:rPr>
        <w:t xml:space="preserve">not </w:t>
      </w:r>
      <w:r w:rsidRPr="00FF28A2">
        <w:rPr>
          <w:rFonts w:ascii="Times New Roman" w:eastAsia="Times New Roman" w:hAnsi="Times New Roman" w:cs="Times New Roman"/>
          <w:sz w:val="24"/>
          <w:szCs w:val="24"/>
        </w:rPr>
        <w:t xml:space="preserve">have the right to refuse treatment, then we no longer have to address difficult casuistical questions about when we are permitted to override the choices of capacitated patients. If strong authenticity is not sufficient for autonomy-based refusals, then we can simply say that Ms. G lacks the right to refuse treatment because she lacks DMC. And by resisting the expansion proposed by Navin et al., we can avoid “multiplying </w:t>
      </w:r>
      <w:r w:rsidRPr="00FF28A2">
        <w:rPr>
          <w:rFonts w:ascii="Times New Roman" w:eastAsia="Times New Roman" w:hAnsi="Times New Roman" w:cs="Times New Roman"/>
          <w:sz w:val="24"/>
          <w:szCs w:val="24"/>
        </w:rPr>
        <w:lastRenderedPageBreak/>
        <w:t>clinical standards without necessity,” as Garre</w:t>
      </w:r>
      <w:r w:rsidRPr="00FF28A2">
        <w:rPr>
          <w:rFonts w:ascii="Times New Roman" w:eastAsia="Times New Roman" w:hAnsi="Times New Roman" w:cs="Times New Roman"/>
          <w:sz w:val="24"/>
          <w:szCs w:val="24"/>
        </w:rPr>
        <w:t>tt et al. put it (2022). We conclude by considering potential objections and offering replies. For instance, there are many discussions of what to do with patients suffering from anorexia nervosa. Some bioethicists use these examples to demonstrate the importance of authenticity, but we show how the traditional account is already equipped to deal with these cases.</w:t>
      </w:r>
      <w:r w:rsidR="00E84F7E">
        <w:rPr>
          <w:rFonts w:ascii="Times New Roman" w:eastAsia="Times New Roman" w:hAnsi="Times New Roman" w:cs="Times New Roman"/>
          <w:sz w:val="24"/>
          <w:szCs w:val="24"/>
        </w:rPr>
        <w:t xml:space="preserve"> </w:t>
      </w:r>
    </w:p>
    <w:p w14:paraId="00000013" w14:textId="77777777" w:rsidR="00E83534" w:rsidRPr="00FF28A2" w:rsidRDefault="00C13B74" w:rsidP="00E84F7E">
      <w:pPr>
        <w:numPr>
          <w:ilvl w:val="0"/>
          <w:numId w:val="1"/>
        </w:numPr>
        <w:spacing w:line="360" w:lineRule="auto"/>
        <w:ind w:left="0" w:firstLine="0"/>
        <w:rPr>
          <w:rFonts w:ascii="Times New Roman" w:eastAsia="Times New Roman" w:hAnsi="Times New Roman" w:cs="Times New Roman"/>
          <w:b/>
          <w:sz w:val="24"/>
          <w:szCs w:val="24"/>
        </w:rPr>
      </w:pPr>
      <w:r w:rsidRPr="00FF28A2">
        <w:rPr>
          <w:rFonts w:ascii="Times New Roman" w:eastAsia="Times New Roman" w:hAnsi="Times New Roman" w:cs="Times New Roman"/>
          <w:b/>
          <w:sz w:val="24"/>
          <w:szCs w:val="24"/>
        </w:rPr>
        <w:t>Why DMC is Sufficient to Refuse LST</w:t>
      </w:r>
    </w:p>
    <w:p w14:paraId="00000014"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Recall that Brudney and Lantos claim that physicians need not respect the decisions of patients like Ms. G to decline LST, that is, patients who have DMC, but whose choices are inauthentic. Are Brudney and </w:t>
      </w:r>
      <w:proofErr w:type="gramStart"/>
      <w:r w:rsidRPr="00FF28A2">
        <w:rPr>
          <w:rFonts w:ascii="Times New Roman" w:eastAsia="Times New Roman" w:hAnsi="Times New Roman" w:cs="Times New Roman"/>
          <w:sz w:val="24"/>
          <w:szCs w:val="24"/>
        </w:rPr>
        <w:t>Lantos</w:t>
      </w:r>
      <w:proofErr w:type="gramEnd"/>
      <w:r w:rsidRPr="00FF28A2">
        <w:rPr>
          <w:rFonts w:ascii="Times New Roman" w:eastAsia="Times New Roman" w:hAnsi="Times New Roman" w:cs="Times New Roman"/>
          <w:sz w:val="24"/>
          <w:szCs w:val="24"/>
        </w:rPr>
        <w:t xml:space="preserve"> correct? </w:t>
      </w:r>
    </w:p>
    <w:p w14:paraId="00000015" w14:textId="13F68E3A"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To answer this question, we need to clarify which definition of authenticity is the most appropriate for patient care. Here are two possible definitions: (1) the capacity to live in accordance with one’s deeply held, or reflectively-endorsed, values, and (2) the ability to live one’s distinctive life (Brudney and Lantos 221), or coherent narrative (Brudney 2009, 35), free from unalienated desires (Christman 2009). We call (1) weak authenticity and (2) strong authenticity. We think (2) cannot be the right de</w:t>
      </w:r>
      <w:r w:rsidRPr="00FF28A2">
        <w:rPr>
          <w:rFonts w:ascii="Times New Roman" w:eastAsia="Times New Roman" w:hAnsi="Times New Roman" w:cs="Times New Roman"/>
          <w:sz w:val="24"/>
          <w:szCs w:val="24"/>
        </w:rPr>
        <w:t>finition, at least if distinctive life and coherent narrative mean that an individual’s conception of themselves is as an ongoing unique and unified story. For instance, some views of authenticity might suggest that a woman’s desire for cosmetic surgery is motivated by a “pervasive and oppressive societal ideal,” and this would lead us to “deny that a woman can be autonomous with respect to that desire, no matter how much she personally endorses it” (Pugh 2020, 6).</w:t>
      </w:r>
      <w:r w:rsidRPr="00FF28A2">
        <w:rPr>
          <w:rFonts w:ascii="Times New Roman" w:eastAsia="Times New Roman" w:hAnsi="Times New Roman" w:cs="Times New Roman"/>
          <w:sz w:val="24"/>
          <w:szCs w:val="24"/>
          <w:vertAlign w:val="superscript"/>
        </w:rPr>
        <w:footnoteReference w:id="2"/>
      </w:r>
      <w:r w:rsidR="00E84F7E">
        <w:rPr>
          <w:rFonts w:ascii="Times New Roman" w:eastAsia="Times New Roman" w:hAnsi="Times New Roman" w:cs="Times New Roman"/>
          <w:sz w:val="24"/>
          <w:szCs w:val="24"/>
        </w:rPr>
        <w:t xml:space="preserve"> </w:t>
      </w:r>
      <w:r w:rsidRPr="00FF28A2">
        <w:rPr>
          <w:rFonts w:ascii="Times New Roman" w:eastAsia="Times New Roman" w:hAnsi="Times New Roman" w:cs="Times New Roman"/>
          <w:sz w:val="24"/>
          <w:szCs w:val="24"/>
        </w:rPr>
        <w:t xml:space="preserve">We think this is far too lofty a conception of authenticity. Such a view might be fitting for the normative ideal of authenticity, but it is inappropriate for clinical contexts. </w:t>
      </w:r>
    </w:p>
    <w:p w14:paraId="00000016" w14:textId="5FC91540"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According to another prominent account of strong authenticity, desires are authentic if and only if they pass a historical test for nonalienation (Christman 1991, 2009). Agents must engage in a counterfactual test by asking whether or not they would repudiate their desire if they were to reflect rationally on the process that formed the desire. To see why this also sets the bar too high, consider a patient, Ms. M, who sincerely endorses her religious beliefs as a Jehovah’s Witness. She was raised as a Jehov</w:t>
      </w:r>
      <w:r w:rsidRPr="00FF28A2">
        <w:rPr>
          <w:rFonts w:ascii="Times New Roman" w:eastAsia="Times New Roman" w:hAnsi="Times New Roman" w:cs="Times New Roman"/>
          <w:sz w:val="24"/>
          <w:szCs w:val="24"/>
        </w:rPr>
        <w:t xml:space="preserve">ah’s Witness and her family gave her no choice but to practice the religion. When she comes to the hospital, she refuses a blood transfusion for religious reasons. </w:t>
      </w:r>
      <w:r w:rsidRPr="00FF28A2">
        <w:rPr>
          <w:rFonts w:ascii="Times New Roman" w:eastAsia="Times New Roman" w:hAnsi="Times New Roman" w:cs="Times New Roman"/>
          <w:sz w:val="24"/>
          <w:szCs w:val="24"/>
        </w:rPr>
        <w:lastRenderedPageBreak/>
        <w:t>Even though Ms. M currently endorses her religious beliefs, it is possible that she would have resisted the formation of the desire if she were to reflect rationally on the manipulative or coercive behavior of her parents who inculcated her religious beliefs.</w:t>
      </w:r>
      <w:r w:rsidR="008B0BF8">
        <w:rPr>
          <w:rStyle w:val="FootnoteReference"/>
          <w:rFonts w:ascii="Times New Roman" w:eastAsia="Times New Roman" w:hAnsi="Times New Roman" w:cs="Times New Roman"/>
          <w:sz w:val="24"/>
          <w:szCs w:val="24"/>
        </w:rPr>
        <w:footnoteReference w:id="3"/>
      </w:r>
      <w:r w:rsidRPr="00FF28A2">
        <w:rPr>
          <w:rFonts w:ascii="Times New Roman" w:eastAsia="Times New Roman" w:hAnsi="Times New Roman" w:cs="Times New Roman"/>
          <w:sz w:val="24"/>
          <w:szCs w:val="24"/>
        </w:rPr>
        <w:t xml:space="preserve"> </w:t>
      </w:r>
    </w:p>
    <w:p w14:paraId="00000017" w14:textId="2EEAD1F7" w:rsidR="00E83534" w:rsidRPr="00FF28A2" w:rsidRDefault="00BE20AF" w:rsidP="00E84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contend that </w:t>
      </w:r>
      <w:r w:rsidRPr="00FF28A2">
        <w:rPr>
          <w:rFonts w:ascii="Times New Roman" w:eastAsia="Times New Roman" w:hAnsi="Times New Roman" w:cs="Times New Roman"/>
          <w:sz w:val="24"/>
          <w:szCs w:val="24"/>
        </w:rPr>
        <w:t>Ms. M</w:t>
      </w:r>
      <w:r>
        <w:rPr>
          <w:rFonts w:ascii="Times New Roman" w:eastAsia="Times New Roman" w:hAnsi="Times New Roman" w:cs="Times New Roman"/>
          <w:sz w:val="24"/>
          <w:szCs w:val="24"/>
        </w:rPr>
        <w:t xml:space="preserve"> demonstrates capacity; in particular, her </w:t>
      </w:r>
      <w:r w:rsidRPr="00FF28A2">
        <w:rPr>
          <w:rFonts w:ascii="Times New Roman" w:eastAsia="Times New Roman" w:hAnsi="Times New Roman" w:cs="Times New Roman"/>
          <w:sz w:val="24"/>
          <w:szCs w:val="24"/>
        </w:rPr>
        <w:t>decision satisfies the conditions of weak authenticity</w:t>
      </w:r>
      <w:r>
        <w:rPr>
          <w:rFonts w:ascii="Times New Roman" w:eastAsia="Times New Roman" w:hAnsi="Times New Roman" w:cs="Times New Roman"/>
          <w:sz w:val="24"/>
          <w:szCs w:val="24"/>
        </w:rPr>
        <w:t xml:space="preserve"> because it </w:t>
      </w:r>
      <w:r w:rsidRPr="00FF28A2">
        <w:rPr>
          <w:rFonts w:ascii="Times New Roman" w:eastAsia="Times New Roman" w:hAnsi="Times New Roman" w:cs="Times New Roman"/>
          <w:sz w:val="24"/>
          <w:szCs w:val="24"/>
        </w:rPr>
        <w:t>is consistent with her deeply held commitments.</w:t>
      </w:r>
      <w:r w:rsidRPr="00BE20AF">
        <w:rPr>
          <w:rFonts w:ascii="Times New Roman" w:eastAsia="Times New Roman" w:hAnsi="Times New Roman" w:cs="Times New Roman"/>
          <w:sz w:val="24"/>
          <w:szCs w:val="24"/>
          <w:vertAlign w:val="superscript"/>
        </w:rPr>
        <w:t xml:space="preserve"> </w:t>
      </w:r>
      <w:r w:rsidRPr="00FF28A2">
        <w:rPr>
          <w:rFonts w:ascii="Times New Roman" w:eastAsia="Times New Roman" w:hAnsi="Times New Roman" w:cs="Times New Roman"/>
          <w:sz w:val="24"/>
          <w:szCs w:val="24"/>
          <w:vertAlign w:val="superscript"/>
        </w:rPr>
        <w:footnoteReference w:id="4"/>
      </w:r>
      <w:r w:rsidRPr="00FF28A2">
        <w:rPr>
          <w:rFonts w:ascii="Times New Roman" w:eastAsia="Times New Roman" w:hAnsi="Times New Roman" w:cs="Times New Roman"/>
          <w:sz w:val="24"/>
          <w:szCs w:val="24"/>
        </w:rPr>
        <w:t xml:space="preserve">  </w:t>
      </w:r>
      <w:r w:rsidR="0025060C">
        <w:rPr>
          <w:rFonts w:ascii="Times New Roman" w:eastAsia="Times New Roman" w:hAnsi="Times New Roman" w:cs="Times New Roman"/>
          <w:sz w:val="24"/>
          <w:szCs w:val="24"/>
        </w:rPr>
        <w:t>Therefore,</w:t>
      </w:r>
      <w:r w:rsidR="00116C40">
        <w:rPr>
          <w:rFonts w:ascii="Times New Roman" w:eastAsia="Times New Roman" w:hAnsi="Times New Roman" w:cs="Times New Roman"/>
          <w:sz w:val="24"/>
          <w:szCs w:val="24"/>
        </w:rPr>
        <w:t xml:space="preserve"> </w:t>
      </w:r>
      <w:r w:rsidR="0025060C">
        <w:rPr>
          <w:rFonts w:ascii="Times New Roman" w:eastAsia="Times New Roman" w:hAnsi="Times New Roman" w:cs="Times New Roman"/>
          <w:sz w:val="24"/>
          <w:szCs w:val="24"/>
        </w:rPr>
        <w:t>in virtue</w:t>
      </w:r>
      <w:r w:rsidR="00116C40">
        <w:rPr>
          <w:rFonts w:ascii="Times New Roman" w:eastAsia="Times New Roman" w:hAnsi="Times New Roman" w:cs="Times New Roman"/>
          <w:sz w:val="24"/>
          <w:szCs w:val="24"/>
        </w:rPr>
        <w:t xml:space="preserve"> of </w:t>
      </w:r>
      <w:r w:rsidR="0083041F">
        <w:rPr>
          <w:rFonts w:ascii="Times New Roman" w:eastAsia="Times New Roman" w:hAnsi="Times New Roman" w:cs="Times New Roman"/>
          <w:sz w:val="24"/>
          <w:szCs w:val="24"/>
        </w:rPr>
        <w:t>her DMC</w:t>
      </w:r>
      <w:r w:rsidR="00116C40">
        <w:rPr>
          <w:rFonts w:ascii="Times New Roman" w:eastAsia="Times New Roman" w:hAnsi="Times New Roman" w:cs="Times New Roman"/>
          <w:sz w:val="24"/>
          <w:szCs w:val="24"/>
        </w:rPr>
        <w:t xml:space="preserve">, her clinicians ought to respect her </w:t>
      </w:r>
      <w:r w:rsidR="00A740DB">
        <w:rPr>
          <w:rFonts w:ascii="Times New Roman" w:eastAsia="Times New Roman" w:hAnsi="Times New Roman" w:cs="Times New Roman"/>
          <w:sz w:val="24"/>
          <w:szCs w:val="24"/>
        </w:rPr>
        <w:t>choice</w:t>
      </w:r>
      <w:r w:rsidR="00116C40">
        <w:rPr>
          <w:rFonts w:ascii="Times New Roman" w:eastAsia="Times New Roman" w:hAnsi="Times New Roman" w:cs="Times New Roman"/>
          <w:sz w:val="24"/>
          <w:szCs w:val="24"/>
        </w:rPr>
        <w:t xml:space="preserve">. </w:t>
      </w:r>
      <w:r w:rsidR="00A740DB">
        <w:rPr>
          <w:rFonts w:ascii="Times New Roman" w:eastAsia="Times New Roman" w:hAnsi="Times New Roman" w:cs="Times New Roman"/>
          <w:sz w:val="24"/>
          <w:szCs w:val="24"/>
        </w:rPr>
        <w:t>Importantly</w:t>
      </w:r>
      <w:r>
        <w:rPr>
          <w:rFonts w:ascii="Times New Roman" w:eastAsia="Times New Roman" w:hAnsi="Times New Roman" w:cs="Times New Roman"/>
          <w:sz w:val="24"/>
          <w:szCs w:val="24"/>
        </w:rPr>
        <w:t>,</w:t>
      </w:r>
      <w:r w:rsidR="00A740DB">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 xml:space="preserve"> s</w:t>
      </w:r>
      <w:r w:rsidRPr="00FF28A2">
        <w:rPr>
          <w:rFonts w:ascii="Times New Roman" w:eastAsia="Times New Roman" w:hAnsi="Times New Roman" w:cs="Times New Roman"/>
          <w:sz w:val="24"/>
          <w:szCs w:val="24"/>
        </w:rPr>
        <w:t>he falls short of strong authenticity. But that is not a good reason to override her decision. The concept of autonomy is used in a variety of ways. It is important to distinguish between the normative ideal of autonomy and the moral or political claims that one may assert when demanding that others respect her choices</w:t>
      </w:r>
      <w:r w:rsidR="0007529A">
        <w:rPr>
          <w:rFonts w:ascii="Times New Roman" w:eastAsia="Times New Roman" w:hAnsi="Times New Roman" w:cs="Times New Roman"/>
          <w:sz w:val="24"/>
          <w:szCs w:val="24"/>
        </w:rPr>
        <w:t xml:space="preserve"> (Feinberg 1989)</w:t>
      </w:r>
      <w:r w:rsidRPr="00FF28A2">
        <w:rPr>
          <w:rFonts w:ascii="Times New Roman" w:eastAsia="Times New Roman" w:hAnsi="Times New Roman" w:cs="Times New Roman"/>
          <w:sz w:val="24"/>
          <w:szCs w:val="24"/>
        </w:rPr>
        <w:t>. Conceptions of strong authenticity, such as that suggested by Brudney and Lantos (2011) or Christman (1991, 2009), might outline admirable goals for the former but they surely set the bar too high for latter. There are many cases where we ought to respect patients’ autonomous decisions even if we think that they are not living up to the highest ideals of self-government and authenticity.</w:t>
      </w:r>
      <w:r w:rsidR="00E84F7E">
        <w:rPr>
          <w:rFonts w:ascii="Times New Roman" w:eastAsia="Times New Roman" w:hAnsi="Times New Roman" w:cs="Times New Roman"/>
          <w:sz w:val="24"/>
          <w:szCs w:val="24"/>
        </w:rPr>
        <w:t xml:space="preserve"> </w:t>
      </w:r>
      <w:r w:rsidRPr="00FF28A2">
        <w:rPr>
          <w:rFonts w:ascii="Times New Roman" w:eastAsia="Times New Roman" w:hAnsi="Times New Roman" w:cs="Times New Roman"/>
          <w:sz w:val="24"/>
          <w:szCs w:val="24"/>
        </w:rPr>
        <w:t xml:space="preserve"> </w:t>
      </w:r>
    </w:p>
    <w:p w14:paraId="00000018" w14:textId="49D80843"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If we reject strong authenticity as a condition of autonomy, that leaves us with weak authenticity. On this </w:t>
      </w:r>
      <w:proofErr w:type="gramStart"/>
      <w:r w:rsidRPr="00FF28A2">
        <w:rPr>
          <w:rFonts w:ascii="Times New Roman" w:eastAsia="Times New Roman" w:hAnsi="Times New Roman" w:cs="Times New Roman"/>
          <w:sz w:val="24"/>
          <w:szCs w:val="24"/>
        </w:rPr>
        <w:t>more earthly</w:t>
      </w:r>
      <w:proofErr w:type="gramEnd"/>
      <w:r w:rsidRPr="00FF28A2">
        <w:rPr>
          <w:rFonts w:ascii="Times New Roman" w:eastAsia="Times New Roman" w:hAnsi="Times New Roman" w:cs="Times New Roman"/>
          <w:sz w:val="24"/>
          <w:szCs w:val="24"/>
        </w:rPr>
        <w:t xml:space="preserve"> conception of authenticity, it is worth pointing out that the way Brudney and Lantos frame their discussion—that self-determination is the underlying value of DMC—is misleading. At first glance, however, their framing might seem right. After all, DMC is simply about making choices—exercising one’s will in an informed way (i.e., on the basis of understanding, appreciation, and reasons). But even though self-determination is clearly at stake in DMC, we believe it is not the only relevant value in</w:t>
      </w:r>
      <w:r w:rsidRPr="00FF28A2">
        <w:rPr>
          <w:rFonts w:ascii="Times New Roman" w:eastAsia="Times New Roman" w:hAnsi="Times New Roman" w:cs="Times New Roman"/>
          <w:sz w:val="24"/>
          <w:szCs w:val="24"/>
        </w:rPr>
        <w:t xml:space="preserve"> play. To demonstrate, we wish to point out that DMC is not just about expressing a choice in a one-off way. Appelbaum and Grisso (1988) state that the capacitated patient should “maintain and communicate stable choices long enough for them to be implemented” (1635), and that “repeated reversals of intent … may suggest the </w:t>
      </w:r>
      <w:r w:rsidRPr="00FF28A2">
        <w:rPr>
          <w:rFonts w:ascii="Times New Roman" w:eastAsia="Times New Roman" w:hAnsi="Times New Roman" w:cs="Times New Roman"/>
          <w:sz w:val="24"/>
          <w:szCs w:val="24"/>
        </w:rPr>
        <w:lastRenderedPageBreak/>
        <w:t>presence of substantial impairment.”</w:t>
      </w:r>
      <w:r w:rsidRPr="00FF28A2">
        <w:rPr>
          <w:rFonts w:ascii="Times New Roman" w:eastAsia="Times New Roman" w:hAnsi="Times New Roman" w:cs="Times New Roman"/>
          <w:sz w:val="24"/>
          <w:szCs w:val="24"/>
          <w:vertAlign w:val="superscript"/>
        </w:rPr>
        <w:footnoteReference w:id="5"/>
      </w:r>
      <w:r w:rsidRPr="00FF28A2">
        <w:rPr>
          <w:rFonts w:ascii="Times New Roman" w:eastAsia="Times New Roman" w:hAnsi="Times New Roman" w:cs="Times New Roman"/>
          <w:sz w:val="24"/>
          <w:szCs w:val="24"/>
        </w:rPr>
        <w:t xml:space="preserve"> They go on to say that capacitated patients ought to reason by indicating “the major factors in their decisions” (1636), and demonstrate appreciation by reference to the values that one “genuinely holds” and applying that understanding to one’s medical situation</w:t>
      </w:r>
      <w:r w:rsidR="001C5A6A">
        <w:rPr>
          <w:rFonts w:ascii="Times New Roman" w:eastAsia="Times New Roman" w:hAnsi="Times New Roman" w:cs="Times New Roman"/>
          <w:sz w:val="24"/>
          <w:szCs w:val="24"/>
        </w:rPr>
        <w:t xml:space="preserve">. Similarly Lucie White points out that </w:t>
      </w:r>
      <w:r w:rsidR="00CF3678">
        <w:rPr>
          <w:rFonts w:ascii="Times New Roman" w:eastAsia="Times New Roman" w:hAnsi="Times New Roman" w:cs="Times New Roman"/>
          <w:sz w:val="24"/>
          <w:szCs w:val="24"/>
        </w:rPr>
        <w:t xml:space="preserve">traditional DMC involves </w:t>
      </w:r>
      <w:r w:rsidR="004A076E">
        <w:rPr>
          <w:rFonts w:ascii="Times New Roman" w:eastAsia="Times New Roman" w:hAnsi="Times New Roman" w:cs="Times New Roman"/>
          <w:sz w:val="24"/>
          <w:szCs w:val="24"/>
        </w:rPr>
        <w:t xml:space="preserve">authenticity </w:t>
      </w:r>
      <w:r w:rsidR="00DA5D4A">
        <w:rPr>
          <w:rFonts w:ascii="Times New Roman" w:eastAsia="Times New Roman" w:hAnsi="Times New Roman" w:cs="Times New Roman"/>
          <w:sz w:val="24"/>
          <w:szCs w:val="24"/>
        </w:rPr>
        <w:t>(White 2018)</w:t>
      </w:r>
      <w:r w:rsidRPr="00FF28A2">
        <w:rPr>
          <w:rFonts w:ascii="Times New Roman" w:eastAsia="Times New Roman" w:hAnsi="Times New Roman" w:cs="Times New Roman"/>
          <w:sz w:val="24"/>
          <w:szCs w:val="24"/>
        </w:rPr>
        <w:t>. We believe it is possible to infer from these comments that DMC aims to capture how a patient applies their deeply held (i.e., authentic)</w:t>
      </w:r>
      <w:r w:rsidR="00E84F7E">
        <w:rPr>
          <w:rFonts w:ascii="Times New Roman" w:eastAsia="Times New Roman" w:hAnsi="Times New Roman" w:cs="Times New Roman"/>
          <w:sz w:val="24"/>
          <w:szCs w:val="24"/>
        </w:rPr>
        <w:t xml:space="preserve"> </w:t>
      </w:r>
      <w:r w:rsidRPr="00FF28A2">
        <w:rPr>
          <w:rFonts w:ascii="Times New Roman" w:eastAsia="Times New Roman" w:hAnsi="Times New Roman" w:cs="Times New Roman"/>
          <w:sz w:val="24"/>
          <w:szCs w:val="24"/>
        </w:rPr>
        <w:t>values. If a patien</w:t>
      </w:r>
      <w:r w:rsidRPr="00FF28A2">
        <w:rPr>
          <w:rFonts w:ascii="Times New Roman" w:eastAsia="Times New Roman" w:hAnsi="Times New Roman" w:cs="Times New Roman"/>
          <w:sz w:val="24"/>
          <w:szCs w:val="24"/>
        </w:rPr>
        <w:t>t fails to either communicate a stable choice, reason in accordance with their major (i.e., deeply held) values, or appreciate how the risks and benefits apply to themselves, then, according to the traditional view, this is prima facie evidence that their choice does not reflect their authentically endorsed values.</w:t>
      </w:r>
      <w:r w:rsidR="009B46FB">
        <w:rPr>
          <w:rFonts w:ascii="Times New Roman" w:eastAsia="Times New Roman" w:hAnsi="Times New Roman" w:cs="Times New Roman"/>
          <w:sz w:val="24"/>
          <w:szCs w:val="24"/>
        </w:rPr>
        <w:t xml:space="preserve"> For instance, in cases involving substance abuse, </w:t>
      </w:r>
      <w:r w:rsidR="00B430A9">
        <w:rPr>
          <w:rFonts w:ascii="Times New Roman" w:eastAsia="Times New Roman" w:hAnsi="Times New Roman" w:cs="Times New Roman"/>
          <w:sz w:val="24"/>
          <w:szCs w:val="24"/>
        </w:rPr>
        <w:t xml:space="preserve">patients sometimes vacillate </w:t>
      </w:r>
      <w:r w:rsidR="0071254E">
        <w:rPr>
          <w:rFonts w:ascii="Times New Roman" w:eastAsia="Times New Roman" w:hAnsi="Times New Roman" w:cs="Times New Roman"/>
          <w:sz w:val="24"/>
          <w:szCs w:val="24"/>
        </w:rPr>
        <w:t>in ways that indicate the absence of a stable, authentic preference. T</w:t>
      </w:r>
      <w:r w:rsidR="00D21341">
        <w:rPr>
          <w:rFonts w:ascii="Times New Roman" w:eastAsia="Times New Roman" w:hAnsi="Times New Roman" w:cs="Times New Roman"/>
          <w:sz w:val="24"/>
          <w:szCs w:val="24"/>
        </w:rPr>
        <w:t xml:space="preserve">he standard account of DMC </w:t>
      </w:r>
      <w:r w:rsidR="00B43401">
        <w:rPr>
          <w:rFonts w:ascii="Times New Roman" w:eastAsia="Times New Roman" w:hAnsi="Times New Roman" w:cs="Times New Roman"/>
          <w:sz w:val="24"/>
          <w:szCs w:val="24"/>
        </w:rPr>
        <w:t xml:space="preserve">is already </w:t>
      </w:r>
      <w:r w:rsidR="008C7A86">
        <w:rPr>
          <w:rFonts w:ascii="Times New Roman" w:eastAsia="Times New Roman" w:hAnsi="Times New Roman" w:cs="Times New Roman"/>
          <w:sz w:val="24"/>
          <w:szCs w:val="24"/>
        </w:rPr>
        <w:t>equipped to</w:t>
      </w:r>
      <w:r w:rsidR="00B43401">
        <w:rPr>
          <w:rFonts w:ascii="Times New Roman" w:eastAsia="Times New Roman" w:hAnsi="Times New Roman" w:cs="Times New Roman"/>
          <w:sz w:val="24"/>
          <w:szCs w:val="24"/>
        </w:rPr>
        <w:t xml:space="preserve"> </w:t>
      </w:r>
      <w:r w:rsidR="008C7A86">
        <w:rPr>
          <w:rFonts w:ascii="Times New Roman" w:eastAsia="Times New Roman" w:hAnsi="Times New Roman" w:cs="Times New Roman"/>
          <w:sz w:val="24"/>
          <w:szCs w:val="24"/>
        </w:rPr>
        <w:t xml:space="preserve">handle </w:t>
      </w:r>
      <w:r w:rsidR="00B43401">
        <w:rPr>
          <w:rFonts w:ascii="Times New Roman" w:eastAsia="Times New Roman" w:hAnsi="Times New Roman" w:cs="Times New Roman"/>
          <w:sz w:val="24"/>
          <w:szCs w:val="24"/>
        </w:rPr>
        <w:t>cases of this kind</w:t>
      </w:r>
      <w:r w:rsidR="0071254E">
        <w:rPr>
          <w:rFonts w:ascii="Times New Roman" w:eastAsia="Times New Roman" w:hAnsi="Times New Roman" w:cs="Times New Roman"/>
          <w:sz w:val="24"/>
          <w:szCs w:val="24"/>
        </w:rPr>
        <w:t>.</w:t>
      </w:r>
    </w:p>
    <w:p w14:paraId="00000019" w14:textId="06DB1541"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Given </w:t>
      </w:r>
      <w:r w:rsidRPr="00FF28A2">
        <w:rPr>
          <w:rFonts w:ascii="Times New Roman" w:eastAsia="Times New Roman" w:hAnsi="Times New Roman" w:cs="Times New Roman"/>
          <w:sz w:val="24"/>
          <w:szCs w:val="24"/>
        </w:rPr>
        <w:t xml:space="preserve">our reading of Appelbaum and Grisso, we maintain, contra Brudney and Lantos, that a patient does not have DMC simply by virtue of having self-determination. In our view, therefore, Ms. G lacks DMC. Although she is self-determinative, she lacks DMC because her choice to forgo LST is sufficiently inauthentic. She lacks weak authenticity. So even though Brudney and Lantos are correct when they say that Ms. G’s wish to decline LST can permissibly be overruled, they are wrong to say that doing so would override </w:t>
      </w:r>
      <w:r w:rsidRPr="00FF28A2">
        <w:rPr>
          <w:rFonts w:ascii="Times New Roman" w:eastAsia="Times New Roman" w:hAnsi="Times New Roman" w:cs="Times New Roman"/>
          <w:sz w:val="24"/>
          <w:szCs w:val="24"/>
        </w:rPr>
        <w:t>her right to decline LST. Therefore, Ms. G lacks the right to decline LST in the first place.</w:t>
      </w:r>
      <w:r w:rsidR="00E84F7E">
        <w:rPr>
          <w:rFonts w:ascii="Times New Roman" w:eastAsia="Times New Roman" w:hAnsi="Times New Roman" w:cs="Times New Roman"/>
          <w:sz w:val="24"/>
          <w:szCs w:val="24"/>
        </w:rPr>
        <w:t xml:space="preserve"> </w:t>
      </w:r>
    </w:p>
    <w:p w14:paraId="0000001A" w14:textId="0C5CF85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It is worth noting that just because our view yields the verdict that Ms. G lacks capacity with respect to forgoing LST, it does not imply that no other autonomy considerations bear on her case.</w:t>
      </w:r>
      <w:r w:rsidRPr="00FF28A2">
        <w:rPr>
          <w:rFonts w:ascii="Times New Roman" w:eastAsia="Times New Roman" w:hAnsi="Times New Roman" w:cs="Times New Roman"/>
          <w:sz w:val="24"/>
          <w:szCs w:val="24"/>
          <w:vertAlign w:val="superscript"/>
        </w:rPr>
        <w:footnoteReference w:id="6"/>
      </w:r>
      <w:r w:rsidRPr="00FF28A2">
        <w:rPr>
          <w:rFonts w:ascii="Times New Roman" w:eastAsia="Times New Roman" w:hAnsi="Times New Roman" w:cs="Times New Roman"/>
          <w:sz w:val="24"/>
          <w:szCs w:val="24"/>
        </w:rPr>
        <w:t xml:space="preserve"> They certainly do. After all, she is self-determinative insofar as she is able to make a choice about LST on the basis of reasons. These reasons just are not the ones she reflectively endorses. The fact that she is self-determinative means that proxy decision makers ought to give her preference substantial non-instrumental weight when they make decisions on her behalf. To fail to do so would be to insult her as an autonomous (albeit somewhat compromised) person.</w:t>
      </w:r>
      <w:r w:rsidR="00605D3F">
        <w:rPr>
          <w:rFonts w:ascii="Times New Roman" w:eastAsia="Times New Roman" w:hAnsi="Times New Roman" w:cs="Times New Roman"/>
          <w:sz w:val="24"/>
          <w:szCs w:val="24"/>
        </w:rPr>
        <w:t xml:space="preserve"> </w:t>
      </w:r>
      <w:r w:rsidR="00605D3F" w:rsidRPr="00605D3F">
        <w:rPr>
          <w:rFonts w:ascii="Times New Roman" w:eastAsia="Times New Roman" w:hAnsi="Times New Roman" w:cs="Times New Roman"/>
          <w:sz w:val="24"/>
          <w:szCs w:val="24"/>
        </w:rPr>
        <w:t xml:space="preserve">When a proxy gives a patient’s preferences non-instrumental weight in their decision making, they assign these preferences what Dana Howard and David Wendler call “structural force” </w:t>
      </w:r>
      <w:r w:rsidR="00605D3F">
        <w:rPr>
          <w:rFonts w:ascii="Times New Roman" w:eastAsia="Times New Roman" w:hAnsi="Times New Roman" w:cs="Times New Roman"/>
          <w:sz w:val="24"/>
          <w:szCs w:val="24"/>
        </w:rPr>
        <w:t>(</w:t>
      </w:r>
      <w:r w:rsidR="00605D3F" w:rsidRPr="00605D3F">
        <w:rPr>
          <w:rFonts w:ascii="Times New Roman" w:eastAsia="Times New Roman" w:hAnsi="Times New Roman" w:cs="Times New Roman"/>
          <w:sz w:val="24"/>
          <w:szCs w:val="24"/>
        </w:rPr>
        <w:t xml:space="preserve">Howard and </w:t>
      </w:r>
      <w:r w:rsidR="00605D3F" w:rsidRPr="00605D3F">
        <w:rPr>
          <w:rFonts w:ascii="Times New Roman" w:eastAsia="Times New Roman" w:hAnsi="Times New Roman" w:cs="Times New Roman"/>
          <w:sz w:val="24"/>
          <w:szCs w:val="24"/>
        </w:rPr>
        <w:lastRenderedPageBreak/>
        <w:t>Wendler 2018).</w:t>
      </w:r>
      <w:r w:rsidRPr="00FF28A2">
        <w:rPr>
          <w:rFonts w:ascii="Times New Roman" w:eastAsia="Times New Roman" w:hAnsi="Times New Roman" w:cs="Times New Roman"/>
          <w:sz w:val="24"/>
          <w:szCs w:val="24"/>
        </w:rPr>
        <w:t xml:space="preserve"> The same goes for patients who maintain authentic preferences, but who lack the ability to make choices on the basis of reasons. Proxies should also give their wishes non-instrumental weight when making decisions. What explains the obligation to give their preferences non-instrumental weight is the fact that they stem from a component of autonom</w:t>
      </w:r>
      <w:r w:rsidRPr="00FF28A2">
        <w:rPr>
          <w:rFonts w:ascii="Times New Roman" w:eastAsia="Times New Roman" w:hAnsi="Times New Roman" w:cs="Times New Roman"/>
          <w:sz w:val="24"/>
          <w:szCs w:val="24"/>
        </w:rPr>
        <w:t xml:space="preserve">y. </w:t>
      </w:r>
    </w:p>
    <w:p w14:paraId="0000001B"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Moreover, even if Ms. G was found to be incapable of fully expressing both self-determination and authenticity with respect to the choice at hand, she nevertheless might maintain sufficient self-determination and authenticity in many other aspects of her overall course of life. For instance, she might have DMC with respect to what to eat, who she wishes to spend time with, and whether to generally pursue or not pursue medical treatment. </w:t>
      </w:r>
    </w:p>
    <w:p w14:paraId="0000001C"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At this point, one might wonder what the relevance of our thesis is. After all, if we agree with Brudney and Lantos that Ms. G’s refusal of LST could potentially be permissibly overruled, why does it matter that they believe she has the right to forgo LST, whereas we deny this claim? If, in the end, we agree </w:t>
      </w:r>
      <w:proofErr w:type="gramStart"/>
      <w:r w:rsidRPr="00FF28A2">
        <w:rPr>
          <w:rFonts w:ascii="Times New Roman" w:eastAsia="Times New Roman" w:hAnsi="Times New Roman" w:cs="Times New Roman"/>
          <w:sz w:val="24"/>
          <w:szCs w:val="24"/>
        </w:rPr>
        <w:t>that,</w:t>
      </w:r>
      <w:proofErr w:type="gramEnd"/>
      <w:r w:rsidRPr="00FF28A2">
        <w:rPr>
          <w:rFonts w:ascii="Times New Roman" w:eastAsia="Times New Roman" w:hAnsi="Times New Roman" w:cs="Times New Roman"/>
          <w:sz w:val="24"/>
          <w:szCs w:val="24"/>
        </w:rPr>
        <w:t xml:space="preserve"> all things considered, it might be permissible to override her refusal, what difference does it make to ascribe or deny her the right to forgo LST? </w:t>
      </w:r>
    </w:p>
    <w:p w14:paraId="0000001D"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Two responses are in order. First, if, as we have argued, Ms. G does not have a right to forgo LST, then a proxy could give her preference less non-instrumental weight in their deliberation about whether her physicians should withhold or withdraw treatment. Again, this would not mean her proxy would be incapable of disrespect. It would only mean that it would be easier for a proxy to consider her well-being without disrespecting her. </w:t>
      </w:r>
    </w:p>
    <w:p w14:paraId="4EB9CFC2" w14:textId="164957E8" w:rsidR="0082332D"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Second, and relatedly, it matters whether Ms. G has the right to decline LST because ordinarily rights, especially rights to refuse invasive procedures, are understood to impose strong duties on others to refrain from infringing on those rights. And we believe our view does greater justice to rights talk than Brudney and Lantos’ by simply denying that Ms. G lacks the right to refuse LST. Moreover it readily explains why: she lacks this right in virtue of not having DMC; and she does not have DMC because her</w:t>
      </w:r>
      <w:r w:rsidRPr="00FF28A2">
        <w:rPr>
          <w:rFonts w:ascii="Times New Roman" w:eastAsia="Times New Roman" w:hAnsi="Times New Roman" w:cs="Times New Roman"/>
          <w:sz w:val="24"/>
          <w:szCs w:val="24"/>
        </w:rPr>
        <w:t xml:space="preserve"> choice is inauthentic.</w:t>
      </w:r>
      <w:r w:rsidR="0082332D">
        <w:rPr>
          <w:rFonts w:ascii="Times New Roman" w:eastAsia="Times New Roman" w:hAnsi="Times New Roman" w:cs="Times New Roman"/>
          <w:sz w:val="24"/>
          <w:szCs w:val="24"/>
        </w:rPr>
        <w:t xml:space="preserve"> </w:t>
      </w:r>
      <w:r w:rsidR="0082332D" w:rsidRPr="0082332D">
        <w:rPr>
          <w:rFonts w:ascii="Times New Roman" w:eastAsia="Times New Roman" w:hAnsi="Times New Roman" w:cs="Times New Roman"/>
          <w:sz w:val="24"/>
          <w:szCs w:val="24"/>
        </w:rPr>
        <w:t xml:space="preserve">Of course, her physicians should perhaps withhold LST in any case—perhaps giving her LST would be too traumatic for her—but not because she has the </w:t>
      </w:r>
      <w:r w:rsidR="0082332D" w:rsidRPr="00A93798">
        <w:rPr>
          <w:rFonts w:ascii="Times New Roman" w:eastAsia="Times New Roman" w:hAnsi="Times New Roman" w:cs="Times New Roman"/>
          <w:i/>
          <w:iCs/>
          <w:sz w:val="24"/>
          <w:szCs w:val="24"/>
        </w:rPr>
        <w:t>right</w:t>
      </w:r>
      <w:r w:rsidR="0082332D" w:rsidRPr="0082332D">
        <w:rPr>
          <w:rFonts w:ascii="Times New Roman" w:eastAsia="Times New Roman" w:hAnsi="Times New Roman" w:cs="Times New Roman"/>
          <w:sz w:val="24"/>
          <w:szCs w:val="24"/>
        </w:rPr>
        <w:t xml:space="preserve"> to make this choice. Physicians often have well-being</w:t>
      </w:r>
      <w:r w:rsidR="0082332D">
        <w:rPr>
          <w:rFonts w:ascii="Times New Roman" w:eastAsia="Times New Roman" w:hAnsi="Times New Roman" w:cs="Times New Roman"/>
          <w:sz w:val="24"/>
          <w:szCs w:val="24"/>
        </w:rPr>
        <w:t>-</w:t>
      </w:r>
      <w:r w:rsidR="0082332D" w:rsidRPr="0082332D">
        <w:rPr>
          <w:rFonts w:ascii="Times New Roman" w:eastAsia="Times New Roman" w:hAnsi="Times New Roman" w:cs="Times New Roman"/>
          <w:sz w:val="24"/>
          <w:szCs w:val="24"/>
        </w:rPr>
        <w:t xml:space="preserve">based reasons to refuse treatment even when they lack autonomy-based reasons. </w:t>
      </w:r>
      <w:r w:rsidRPr="00FF28A2">
        <w:rPr>
          <w:rFonts w:ascii="Times New Roman" w:eastAsia="Times New Roman" w:hAnsi="Times New Roman" w:cs="Times New Roman"/>
          <w:sz w:val="24"/>
          <w:szCs w:val="24"/>
        </w:rPr>
        <w:t xml:space="preserve"> </w:t>
      </w:r>
    </w:p>
    <w:p w14:paraId="0000001E" w14:textId="03448395"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By contrast, if Ms. G was understood to have DMC with respect to refusing LST, and so had the right to refuse it, then one must amend the ordinary view of rights in the medical context by articulating thresholds for when it is permissible to override them. Perhaps this is a project </w:t>
      </w:r>
      <w:r w:rsidRPr="00FF28A2">
        <w:rPr>
          <w:rFonts w:ascii="Times New Roman" w:eastAsia="Times New Roman" w:hAnsi="Times New Roman" w:cs="Times New Roman"/>
          <w:sz w:val="24"/>
          <w:szCs w:val="24"/>
        </w:rPr>
        <w:lastRenderedPageBreak/>
        <w:t>worth pursuing. But surely, besides being a theoretical last resort, it also carries the practical risk</w:t>
      </w:r>
      <w:r w:rsidR="00116C40">
        <w:rPr>
          <w:rFonts w:ascii="Times New Roman" w:eastAsia="Times New Roman" w:hAnsi="Times New Roman" w:cs="Times New Roman"/>
          <w:sz w:val="24"/>
          <w:szCs w:val="24"/>
        </w:rPr>
        <w:t>, recognized by Brudney and Lantos,</w:t>
      </w:r>
      <w:r w:rsidRPr="00FF28A2">
        <w:rPr>
          <w:rFonts w:ascii="Times New Roman" w:eastAsia="Times New Roman" w:hAnsi="Times New Roman" w:cs="Times New Roman"/>
          <w:sz w:val="24"/>
          <w:szCs w:val="24"/>
        </w:rPr>
        <w:t xml:space="preserve"> of inviting physicians to impermissibly override patients’ rights to refuse invasive procedures</w:t>
      </w:r>
      <w:r w:rsidR="00116C40">
        <w:rPr>
          <w:rFonts w:ascii="Times New Roman" w:eastAsia="Times New Roman" w:hAnsi="Times New Roman" w:cs="Times New Roman"/>
          <w:sz w:val="24"/>
          <w:szCs w:val="24"/>
        </w:rPr>
        <w:t xml:space="preserve"> </w:t>
      </w:r>
      <w:r w:rsidR="001358D9">
        <w:rPr>
          <w:rFonts w:ascii="Times New Roman" w:eastAsia="Times New Roman" w:hAnsi="Times New Roman" w:cs="Times New Roman"/>
          <w:sz w:val="24"/>
          <w:szCs w:val="24"/>
        </w:rPr>
        <w:t>(2011, 224).</w:t>
      </w:r>
      <w:r w:rsidR="00E84F7E">
        <w:rPr>
          <w:rFonts w:ascii="Times New Roman" w:eastAsia="Times New Roman" w:hAnsi="Times New Roman" w:cs="Times New Roman"/>
          <w:sz w:val="24"/>
          <w:szCs w:val="24"/>
        </w:rPr>
        <w:t xml:space="preserve"> </w:t>
      </w:r>
    </w:p>
    <w:p w14:paraId="0000001F" w14:textId="77777777" w:rsidR="00E83534" w:rsidRPr="00FF28A2" w:rsidRDefault="00C13B74" w:rsidP="00E84F7E">
      <w:pPr>
        <w:numPr>
          <w:ilvl w:val="0"/>
          <w:numId w:val="1"/>
        </w:numPr>
        <w:spacing w:line="360" w:lineRule="auto"/>
        <w:ind w:left="0" w:firstLine="0"/>
        <w:rPr>
          <w:rFonts w:ascii="Times New Roman" w:eastAsia="Times New Roman" w:hAnsi="Times New Roman" w:cs="Times New Roman"/>
          <w:b/>
          <w:sz w:val="24"/>
          <w:szCs w:val="24"/>
        </w:rPr>
      </w:pPr>
      <w:r w:rsidRPr="00FF28A2">
        <w:rPr>
          <w:rFonts w:ascii="Times New Roman" w:eastAsia="Times New Roman" w:hAnsi="Times New Roman" w:cs="Times New Roman"/>
          <w:b/>
          <w:sz w:val="24"/>
          <w:szCs w:val="24"/>
        </w:rPr>
        <w:t>Defending DMC as Necessary for the Right to Refuse</w:t>
      </w:r>
    </w:p>
    <w:p w14:paraId="00000020"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Navin et al. (2022) </w:t>
      </w:r>
      <w:proofErr w:type="gramStart"/>
      <w:r w:rsidRPr="00FF28A2">
        <w:rPr>
          <w:rFonts w:ascii="Times New Roman" w:eastAsia="Times New Roman" w:hAnsi="Times New Roman" w:cs="Times New Roman"/>
          <w:sz w:val="24"/>
          <w:szCs w:val="24"/>
        </w:rPr>
        <w:t>describe</w:t>
      </w:r>
      <w:proofErr w:type="gramEnd"/>
      <w:r w:rsidRPr="00FF28A2">
        <w:rPr>
          <w:rFonts w:ascii="Times New Roman" w:eastAsia="Times New Roman" w:hAnsi="Times New Roman" w:cs="Times New Roman"/>
          <w:sz w:val="24"/>
          <w:szCs w:val="24"/>
        </w:rPr>
        <w:t xml:space="preserve"> the case of Mrs. P as representative of why patients need not have traditional DMC when declining LST. If they are right, this would demonstrate that </w:t>
      </w:r>
      <w:proofErr w:type="spellStart"/>
      <w:r w:rsidRPr="00FF28A2">
        <w:rPr>
          <w:rFonts w:ascii="Times New Roman" w:eastAsia="Times New Roman" w:hAnsi="Times New Roman" w:cs="Times New Roman"/>
          <w:sz w:val="24"/>
          <w:szCs w:val="24"/>
        </w:rPr>
        <w:t>Applebaumian</w:t>
      </w:r>
      <w:proofErr w:type="spellEnd"/>
      <w:r w:rsidRPr="00FF28A2">
        <w:rPr>
          <w:rFonts w:ascii="Times New Roman" w:eastAsia="Times New Roman" w:hAnsi="Times New Roman" w:cs="Times New Roman"/>
          <w:sz w:val="24"/>
          <w:szCs w:val="24"/>
        </w:rPr>
        <w:t xml:space="preserve"> DMC is not a necessary condition of the right to refuse LST. Mrs. P, they say, has multiple medical comorbidities, including chronic kidney disease, cerebral aneurysm, and dementia. She is admitted to the hospital with altered mental </w:t>
      </w:r>
      <w:proofErr w:type="gramStart"/>
      <w:r w:rsidRPr="00FF28A2">
        <w:rPr>
          <w:rFonts w:ascii="Times New Roman" w:eastAsia="Times New Roman" w:hAnsi="Times New Roman" w:cs="Times New Roman"/>
          <w:sz w:val="24"/>
          <w:szCs w:val="24"/>
        </w:rPr>
        <w:t>status, and</w:t>
      </w:r>
      <w:proofErr w:type="gramEnd"/>
      <w:r w:rsidRPr="00FF28A2">
        <w:rPr>
          <w:rFonts w:ascii="Times New Roman" w:eastAsia="Times New Roman" w:hAnsi="Times New Roman" w:cs="Times New Roman"/>
          <w:sz w:val="24"/>
          <w:szCs w:val="24"/>
        </w:rPr>
        <w:t xml:space="preserve"> does not understand why she is in the hospital. Her physicians believe that she is likely to s</w:t>
      </w:r>
      <w:r w:rsidRPr="00FF28A2">
        <w:rPr>
          <w:rFonts w:ascii="Times New Roman" w:eastAsia="Times New Roman" w:hAnsi="Times New Roman" w:cs="Times New Roman"/>
          <w:sz w:val="24"/>
          <w:szCs w:val="24"/>
        </w:rPr>
        <w:t xml:space="preserve">urvive with dialysis, medication, nutrition and hydration, but she refuses all treatments and simply wants to go home. Mrs. P’s attending physician determines that she lacks DMC at least in part because she does not comprehend the purpose of the team’s recommendations, and her daughter and surrogate consents to all of them. </w:t>
      </w:r>
    </w:p>
    <w:p w14:paraId="00000021"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Navin et al. argue that even though Mrs. P lacks traditional DMC, she nevertheless may have an overriding objection to the care team’s recommended treatments grounded in the burden they would impose on her. They call this “burdens-based capacity.” Navin et al. claim that Mrs. P may alternatively have an overriding goal that is inconsistent with LST (for example, to spend as much conscious time with her family as possible), which she cites as her primary reason to forgo LST. They label this “goals-based capa</w:t>
      </w:r>
      <w:r w:rsidRPr="00FF28A2">
        <w:rPr>
          <w:rFonts w:ascii="Times New Roman" w:eastAsia="Times New Roman" w:hAnsi="Times New Roman" w:cs="Times New Roman"/>
          <w:sz w:val="24"/>
          <w:szCs w:val="24"/>
        </w:rPr>
        <w:t xml:space="preserve">city.” They conclude that patients who have either burdens-based or goals-based capacity have the right to refuse LST, which entails that traditional DMC is not necessary to forgo LST. </w:t>
      </w:r>
    </w:p>
    <w:p w14:paraId="7C4E2764" w14:textId="7678ADAA" w:rsidR="0005178C"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We are skeptical that Navin et </w:t>
      </w:r>
      <w:proofErr w:type="spellStart"/>
      <w:r w:rsidRPr="00FF28A2">
        <w:rPr>
          <w:rFonts w:ascii="Times New Roman" w:eastAsia="Times New Roman" w:hAnsi="Times New Roman" w:cs="Times New Roman"/>
          <w:sz w:val="24"/>
          <w:szCs w:val="24"/>
        </w:rPr>
        <w:t>al’s</w:t>
      </w:r>
      <w:proofErr w:type="spellEnd"/>
      <w:r w:rsidRPr="00FF28A2">
        <w:rPr>
          <w:rFonts w:ascii="Times New Roman" w:eastAsia="Times New Roman" w:hAnsi="Times New Roman" w:cs="Times New Roman"/>
          <w:sz w:val="24"/>
          <w:szCs w:val="24"/>
        </w:rPr>
        <w:t xml:space="preserve"> argument succeeds, as it suggests that we ought to respect patients’ decisions who not only lack traditional DMC in the present, but who never had it to begin with. This is highly counterintuitive. If Mrs. P never had traditional DMC about LST in the past, and she is declining LST in the present for either a burdens-based or goals-based reason, then, per Navin et al.’s account, she imposes on her physicians an autonomy grounded (i.e., a backward-looking) duty to refrain from giving her LST. The problem</w:t>
      </w:r>
      <w:r w:rsidRPr="00FF28A2">
        <w:rPr>
          <w:rFonts w:ascii="Times New Roman" w:eastAsia="Times New Roman" w:hAnsi="Times New Roman" w:cs="Times New Roman"/>
          <w:sz w:val="24"/>
          <w:szCs w:val="24"/>
        </w:rPr>
        <w:t xml:space="preserve"> is that if Mrs. P never had traditional DMC, it seems that there is no such duty. A more plausible justification to refrain from giving her LST, and one that does not require appealing to novel forms of purported </w:t>
      </w:r>
      <w:r w:rsidR="005E6A92" w:rsidRPr="00FF28A2">
        <w:rPr>
          <w:rFonts w:ascii="Times New Roman" w:eastAsia="Times New Roman" w:hAnsi="Times New Roman" w:cs="Times New Roman"/>
          <w:sz w:val="24"/>
          <w:szCs w:val="24"/>
        </w:rPr>
        <w:t>decision-making</w:t>
      </w:r>
      <w:r w:rsidRPr="00FF28A2">
        <w:rPr>
          <w:rFonts w:ascii="Times New Roman" w:eastAsia="Times New Roman" w:hAnsi="Times New Roman" w:cs="Times New Roman"/>
          <w:sz w:val="24"/>
          <w:szCs w:val="24"/>
        </w:rPr>
        <w:t xml:space="preserve"> capacity, is that her burdens or goals are at least in part grounded in her </w:t>
      </w:r>
      <w:proofErr w:type="gramStart"/>
      <w:r w:rsidRPr="00FF28A2">
        <w:rPr>
          <w:rFonts w:ascii="Times New Roman" w:eastAsia="Times New Roman" w:hAnsi="Times New Roman" w:cs="Times New Roman"/>
          <w:sz w:val="24"/>
          <w:szCs w:val="24"/>
        </w:rPr>
        <w:t>well-being, and</w:t>
      </w:r>
      <w:proofErr w:type="gramEnd"/>
      <w:r w:rsidRPr="00FF28A2">
        <w:rPr>
          <w:rFonts w:ascii="Times New Roman" w:eastAsia="Times New Roman" w:hAnsi="Times New Roman" w:cs="Times New Roman"/>
          <w:sz w:val="24"/>
          <w:szCs w:val="24"/>
        </w:rPr>
        <w:t xml:space="preserve"> </w:t>
      </w:r>
      <w:r w:rsidRPr="00FF28A2">
        <w:rPr>
          <w:rFonts w:ascii="Times New Roman" w:eastAsia="Times New Roman" w:hAnsi="Times New Roman" w:cs="Times New Roman"/>
          <w:sz w:val="24"/>
          <w:szCs w:val="24"/>
        </w:rPr>
        <w:lastRenderedPageBreak/>
        <w:t xml:space="preserve">offer forward-looking reasons against LST. Importantly, </w:t>
      </w:r>
      <w:r w:rsidRPr="00FF28A2">
        <w:rPr>
          <w:rFonts w:ascii="Times New Roman" w:eastAsia="Times New Roman" w:hAnsi="Times New Roman" w:cs="Times New Roman"/>
          <w:sz w:val="24"/>
          <w:szCs w:val="24"/>
        </w:rPr>
        <w:t>however, autonomy-based reasons would not ground a right of hers to decline LST.</w:t>
      </w:r>
      <w:r w:rsidR="0005178C">
        <w:rPr>
          <w:rFonts w:ascii="Times New Roman" w:eastAsia="Times New Roman" w:hAnsi="Times New Roman" w:cs="Times New Roman"/>
          <w:sz w:val="24"/>
          <w:szCs w:val="24"/>
        </w:rPr>
        <w:t xml:space="preserve"> </w:t>
      </w:r>
    </w:p>
    <w:p w14:paraId="00000022" w14:textId="3DBD7B15" w:rsidR="00E83534" w:rsidRPr="00FF28A2" w:rsidRDefault="0005178C" w:rsidP="00E84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Well-being considerations become weightier in situations like this precisely because the absence of DMC undermines the possibility of autonomy-based reasons.</w:t>
      </w:r>
      <w:r w:rsidR="000C3A76">
        <w:rPr>
          <w:rFonts w:ascii="Times New Roman" w:eastAsia="Times New Roman" w:hAnsi="Times New Roman" w:cs="Times New Roman"/>
          <w:sz w:val="24"/>
          <w:szCs w:val="24"/>
        </w:rPr>
        <w:t xml:space="preserve"> T</w:t>
      </w:r>
      <w:r w:rsidR="00EC78C7">
        <w:rPr>
          <w:rFonts w:ascii="Times New Roman" w:eastAsia="Times New Roman" w:hAnsi="Times New Roman" w:cs="Times New Roman"/>
          <w:sz w:val="24"/>
          <w:szCs w:val="24"/>
        </w:rPr>
        <w:t xml:space="preserve">here may be </w:t>
      </w:r>
      <w:r w:rsidR="000C3A76">
        <w:rPr>
          <w:rFonts w:ascii="Times New Roman" w:eastAsia="Times New Roman" w:hAnsi="Times New Roman" w:cs="Times New Roman"/>
          <w:sz w:val="24"/>
          <w:szCs w:val="24"/>
        </w:rPr>
        <w:t xml:space="preserve">other </w:t>
      </w:r>
      <w:r w:rsidR="00EC78C7">
        <w:rPr>
          <w:rFonts w:ascii="Times New Roman" w:eastAsia="Times New Roman" w:hAnsi="Times New Roman" w:cs="Times New Roman"/>
          <w:sz w:val="24"/>
          <w:szCs w:val="24"/>
        </w:rPr>
        <w:t xml:space="preserve">instances where a </w:t>
      </w:r>
      <w:r>
        <w:rPr>
          <w:rFonts w:ascii="Times New Roman" w:eastAsia="Times New Roman" w:hAnsi="Times New Roman" w:cs="Times New Roman"/>
          <w:sz w:val="24"/>
          <w:szCs w:val="24"/>
        </w:rPr>
        <w:t>surrogate requests</w:t>
      </w:r>
      <w:r w:rsidR="00F760B3">
        <w:rPr>
          <w:rFonts w:ascii="Times New Roman" w:eastAsia="Times New Roman" w:hAnsi="Times New Roman" w:cs="Times New Roman"/>
          <w:sz w:val="24"/>
          <w:szCs w:val="24"/>
        </w:rPr>
        <w:t xml:space="preserve"> LST </w:t>
      </w:r>
      <w:r w:rsidR="00B552F1">
        <w:rPr>
          <w:rFonts w:ascii="Times New Roman" w:eastAsia="Times New Roman" w:hAnsi="Times New Roman" w:cs="Times New Roman"/>
          <w:sz w:val="24"/>
          <w:szCs w:val="24"/>
        </w:rPr>
        <w:t xml:space="preserve">for a patient who lacks DMC in order </w:t>
      </w:r>
      <w:r w:rsidR="00EC78C7">
        <w:rPr>
          <w:rFonts w:ascii="Times New Roman" w:eastAsia="Times New Roman" w:hAnsi="Times New Roman" w:cs="Times New Roman"/>
          <w:sz w:val="24"/>
          <w:szCs w:val="24"/>
        </w:rPr>
        <w:t xml:space="preserve">to restore the patient’s capacities </w:t>
      </w:r>
      <w:r w:rsidR="001C5745">
        <w:rPr>
          <w:rFonts w:ascii="Times New Roman" w:eastAsia="Times New Roman" w:hAnsi="Times New Roman" w:cs="Times New Roman"/>
          <w:sz w:val="24"/>
          <w:szCs w:val="24"/>
        </w:rPr>
        <w:t xml:space="preserve">to decide for herself about </w:t>
      </w:r>
      <w:r w:rsidR="00795141">
        <w:rPr>
          <w:rFonts w:ascii="Times New Roman" w:eastAsia="Times New Roman" w:hAnsi="Times New Roman" w:cs="Times New Roman"/>
          <w:sz w:val="24"/>
          <w:szCs w:val="24"/>
        </w:rPr>
        <w:t xml:space="preserve">continuing </w:t>
      </w:r>
      <w:r w:rsidR="001C5745">
        <w:rPr>
          <w:rFonts w:ascii="Times New Roman" w:eastAsia="Times New Roman" w:hAnsi="Times New Roman" w:cs="Times New Roman"/>
          <w:sz w:val="24"/>
          <w:szCs w:val="24"/>
        </w:rPr>
        <w:t>treatment.</w:t>
      </w:r>
      <w:r w:rsidR="00795141">
        <w:rPr>
          <w:rFonts w:ascii="Times New Roman" w:eastAsia="Times New Roman" w:hAnsi="Times New Roman" w:cs="Times New Roman"/>
          <w:sz w:val="24"/>
          <w:szCs w:val="24"/>
        </w:rPr>
        <w:t xml:space="preserve"> In such cases, there would </w:t>
      </w:r>
      <w:r w:rsidR="009A00E0">
        <w:rPr>
          <w:rFonts w:ascii="Times New Roman" w:eastAsia="Times New Roman" w:hAnsi="Times New Roman" w:cs="Times New Roman"/>
          <w:sz w:val="24"/>
          <w:szCs w:val="24"/>
        </w:rPr>
        <w:t>indeed</w:t>
      </w:r>
      <w:r w:rsidR="00795141">
        <w:rPr>
          <w:rFonts w:ascii="Times New Roman" w:eastAsia="Times New Roman" w:hAnsi="Times New Roman" w:cs="Times New Roman"/>
          <w:sz w:val="24"/>
          <w:szCs w:val="24"/>
        </w:rPr>
        <w:t xml:space="preserve"> be autonomy-based reasons for intervening. But </w:t>
      </w:r>
      <w:r w:rsidR="000C3A76">
        <w:rPr>
          <w:rFonts w:ascii="Times New Roman" w:eastAsia="Times New Roman" w:hAnsi="Times New Roman" w:cs="Times New Roman"/>
          <w:sz w:val="24"/>
          <w:szCs w:val="24"/>
        </w:rPr>
        <w:t xml:space="preserve">if we judge that a patient like Mrs. P does not have DMC, then our reasons for treating her cannot stem from her present capacities. </w:t>
      </w:r>
      <w:r w:rsidR="001C5745">
        <w:rPr>
          <w:rFonts w:ascii="Times New Roman" w:eastAsia="Times New Roman" w:hAnsi="Times New Roman" w:cs="Times New Roman"/>
          <w:sz w:val="24"/>
          <w:szCs w:val="24"/>
        </w:rPr>
        <w:t xml:space="preserve"> </w:t>
      </w:r>
      <w:r w:rsidRPr="00FF28A2">
        <w:rPr>
          <w:rFonts w:ascii="Times New Roman" w:eastAsia="Times New Roman" w:hAnsi="Times New Roman" w:cs="Times New Roman"/>
          <w:sz w:val="24"/>
          <w:szCs w:val="24"/>
        </w:rPr>
        <w:t xml:space="preserve"> </w:t>
      </w:r>
    </w:p>
    <w:p w14:paraId="00000023"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If, however, one has the intuition that Mrs. P’s physicians have a backward-looking obligation, grounded in her autonomy, to respect her decision, then we believe that it is necessary to refer to traditional DMC to explain why. Here, traditional DMC would enter the discussion in at least one of two ways. First, as Garrett et al. (2022) point out, Mrs. P does not obviously lack traditional DMC. One of the main reasons why Navin et al. think she lacks traditional DMC is because she fails to understand “the en</w:t>
      </w:r>
      <w:r w:rsidRPr="00FF28A2">
        <w:rPr>
          <w:rFonts w:ascii="Times New Roman" w:eastAsia="Times New Roman" w:hAnsi="Times New Roman" w:cs="Times New Roman"/>
          <w:sz w:val="24"/>
          <w:szCs w:val="24"/>
        </w:rPr>
        <w:t xml:space="preserve">tire range of options presented” and make “systematic comparative judgments” about them. But, as Garrett et al. note, traditional DMC sets a significantly lower threshold of understanding than this; it only requires that patients have a basic understanding of the available </w:t>
      </w:r>
      <w:proofErr w:type="gramStart"/>
      <w:r w:rsidRPr="00FF28A2">
        <w:rPr>
          <w:rFonts w:ascii="Times New Roman" w:eastAsia="Times New Roman" w:hAnsi="Times New Roman" w:cs="Times New Roman"/>
          <w:sz w:val="24"/>
          <w:szCs w:val="24"/>
        </w:rPr>
        <w:t>options, and</w:t>
      </w:r>
      <w:proofErr w:type="gramEnd"/>
      <w:r w:rsidRPr="00FF28A2">
        <w:rPr>
          <w:rFonts w:ascii="Times New Roman" w:eastAsia="Times New Roman" w:hAnsi="Times New Roman" w:cs="Times New Roman"/>
          <w:sz w:val="24"/>
          <w:szCs w:val="24"/>
        </w:rPr>
        <w:t xml:space="preserve"> compare them. This is far from knowing the entire range of treatment options and engaging in systematic comparative deliberation, a threshold that most patients are able to meet. Therefore, once we see that Navin et al.’s arg</w:t>
      </w:r>
      <w:r w:rsidRPr="00FF28A2">
        <w:rPr>
          <w:rFonts w:ascii="Times New Roman" w:eastAsia="Times New Roman" w:hAnsi="Times New Roman" w:cs="Times New Roman"/>
          <w:sz w:val="24"/>
          <w:szCs w:val="24"/>
        </w:rPr>
        <w:t xml:space="preserve">ument rests on the questionable assumption that Mrs. P lacks traditional DMC, their proposal to lower the threshold for DMC seems less plausible. </w:t>
      </w:r>
    </w:p>
    <w:p w14:paraId="00000024"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Alternatively, even if we grant Navin et al.’s assumption that Mrs. P lacks traditional DMC at the time of assessment, it does not follow that we need additional kinds of DMC to make sense of her physicians’ obligation to respect her wish to decline LST. For as long as she previously had traditional DMC and made her wish known then that she would not want LST in at least roughly the circumstances that she is now in (Koch 2022), then her preference ought to be respected. Either way, the above-mentioned two r</w:t>
      </w:r>
      <w:r w:rsidRPr="00FF28A2">
        <w:rPr>
          <w:rFonts w:ascii="Times New Roman" w:eastAsia="Times New Roman" w:hAnsi="Times New Roman" w:cs="Times New Roman"/>
          <w:sz w:val="24"/>
          <w:szCs w:val="24"/>
        </w:rPr>
        <w:t xml:space="preserve">easons vindicate the claim that traditional DMC is indeed a necessary condition for the right to refuse LST. </w:t>
      </w:r>
    </w:p>
    <w:p w14:paraId="00000025" w14:textId="2265E0E2"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What if the care team lacks knowledge about whether a patient ever previously had traditional DMC? One might think that Navin et al.’s argument is strongest with these patients in mind. After all, if one lacks knowledge about a patient’s history of either the presence or absence </w:t>
      </w:r>
      <w:r w:rsidRPr="00FF28A2">
        <w:rPr>
          <w:rFonts w:ascii="Times New Roman" w:eastAsia="Times New Roman" w:hAnsi="Times New Roman" w:cs="Times New Roman"/>
          <w:sz w:val="24"/>
          <w:szCs w:val="24"/>
        </w:rPr>
        <w:lastRenderedPageBreak/>
        <w:t>of DMC, and going against the patient’s wishes for non-treatment feels wrong, then one must explain why. And Navin et al. provide an explanation by appealing to burdens and goals-based DMC. Nevertheless, even with these kinds of patients, we still believe that Navin et al. set the bar too low. For instance, Mr. S is a homeless diabetic patient with an infected foot. This is his first time at the hospital, the medical team is unfamiliar with his previous medical history, and they recommend IV antibiotics. Mr</w:t>
      </w:r>
      <w:r w:rsidRPr="00FF28A2">
        <w:rPr>
          <w:rFonts w:ascii="Times New Roman" w:eastAsia="Times New Roman" w:hAnsi="Times New Roman" w:cs="Times New Roman"/>
          <w:sz w:val="24"/>
          <w:szCs w:val="24"/>
        </w:rPr>
        <w:t>. S however declines antibiotics for both burdens</w:t>
      </w:r>
      <w:r w:rsidR="00A93798">
        <w:rPr>
          <w:rFonts w:ascii="Times New Roman" w:eastAsia="Times New Roman" w:hAnsi="Times New Roman" w:cs="Times New Roman"/>
          <w:sz w:val="24"/>
          <w:szCs w:val="24"/>
        </w:rPr>
        <w:t>-based</w:t>
      </w:r>
      <w:r w:rsidRPr="00FF28A2">
        <w:rPr>
          <w:rFonts w:ascii="Times New Roman" w:eastAsia="Times New Roman" w:hAnsi="Times New Roman" w:cs="Times New Roman"/>
          <w:sz w:val="24"/>
          <w:szCs w:val="24"/>
        </w:rPr>
        <w:t xml:space="preserve"> and </w:t>
      </w:r>
      <w:r w:rsidR="0046141D" w:rsidRPr="00FF28A2">
        <w:rPr>
          <w:rFonts w:ascii="Times New Roman" w:eastAsia="Times New Roman" w:hAnsi="Times New Roman" w:cs="Times New Roman"/>
          <w:sz w:val="24"/>
          <w:szCs w:val="24"/>
        </w:rPr>
        <w:t>goals-based</w:t>
      </w:r>
      <w:r w:rsidRPr="00FF28A2">
        <w:rPr>
          <w:rFonts w:ascii="Times New Roman" w:eastAsia="Times New Roman" w:hAnsi="Times New Roman" w:cs="Times New Roman"/>
          <w:sz w:val="24"/>
          <w:szCs w:val="24"/>
        </w:rPr>
        <w:t xml:space="preserve"> reasons after demonstrating understanding of the risks and benefits of taking antibiotics versus forgoing them. He fails though to appreciate how the risks of declining antibiotics apply to him due to a grandiose belief in his invincibility. Navin et al. should be open to respecting Mr. S’s choice. And we certainly think the care team ought </w:t>
      </w:r>
      <w:proofErr w:type="gramStart"/>
      <w:r w:rsidRPr="00FF28A2">
        <w:rPr>
          <w:rFonts w:ascii="Times New Roman" w:eastAsia="Times New Roman" w:hAnsi="Times New Roman" w:cs="Times New Roman"/>
          <w:sz w:val="24"/>
          <w:szCs w:val="24"/>
        </w:rPr>
        <w:t>hesitat</w:t>
      </w:r>
      <w:r w:rsidR="0046141D">
        <w:rPr>
          <w:rFonts w:ascii="Times New Roman" w:eastAsia="Times New Roman" w:hAnsi="Times New Roman" w:cs="Times New Roman"/>
          <w:sz w:val="24"/>
          <w:szCs w:val="24"/>
        </w:rPr>
        <w:t>e</w:t>
      </w:r>
      <w:proofErr w:type="gramEnd"/>
      <w:r w:rsidR="0046141D">
        <w:rPr>
          <w:rFonts w:ascii="Times New Roman" w:eastAsia="Times New Roman" w:hAnsi="Times New Roman" w:cs="Times New Roman"/>
          <w:sz w:val="24"/>
          <w:szCs w:val="24"/>
        </w:rPr>
        <w:t xml:space="preserve"> before</w:t>
      </w:r>
      <w:r w:rsidRPr="00FF28A2">
        <w:rPr>
          <w:rFonts w:ascii="Times New Roman" w:eastAsia="Times New Roman" w:hAnsi="Times New Roman" w:cs="Times New Roman"/>
          <w:sz w:val="24"/>
          <w:szCs w:val="24"/>
        </w:rPr>
        <w:t xml:space="preserve"> overrid</w:t>
      </w:r>
      <w:r w:rsidR="0046141D">
        <w:rPr>
          <w:rFonts w:ascii="Times New Roman" w:eastAsia="Times New Roman" w:hAnsi="Times New Roman" w:cs="Times New Roman"/>
          <w:sz w:val="24"/>
          <w:szCs w:val="24"/>
        </w:rPr>
        <w:t>ing</w:t>
      </w:r>
      <w:r w:rsidRPr="00FF28A2">
        <w:rPr>
          <w:rFonts w:ascii="Times New Roman" w:eastAsia="Times New Roman" w:hAnsi="Times New Roman" w:cs="Times New Roman"/>
          <w:sz w:val="24"/>
          <w:szCs w:val="24"/>
        </w:rPr>
        <w:t xml:space="preserve"> his choice, especially if doing so requires restraints (for reasons st</w:t>
      </w:r>
      <w:r w:rsidRPr="00FF28A2">
        <w:rPr>
          <w:rFonts w:ascii="Times New Roman" w:eastAsia="Times New Roman" w:hAnsi="Times New Roman" w:cs="Times New Roman"/>
          <w:sz w:val="24"/>
          <w:szCs w:val="24"/>
        </w:rPr>
        <w:t xml:space="preserve">emming from well-being). But because Mr. S lacks DMC as Applebaum and Grisso describe it, it is hard to understand why we should think that he has an autonomy-based right to refuse treatment. Therefore, to the extent that Navin et al.’s argument </w:t>
      </w:r>
      <w:r w:rsidR="0046141D">
        <w:rPr>
          <w:rFonts w:ascii="Times New Roman" w:eastAsia="Times New Roman" w:hAnsi="Times New Roman" w:cs="Times New Roman"/>
          <w:sz w:val="24"/>
          <w:szCs w:val="24"/>
        </w:rPr>
        <w:t>appear</w:t>
      </w:r>
      <w:r w:rsidRPr="00FF28A2">
        <w:rPr>
          <w:rFonts w:ascii="Times New Roman" w:eastAsia="Times New Roman" w:hAnsi="Times New Roman" w:cs="Times New Roman"/>
          <w:sz w:val="24"/>
          <w:szCs w:val="24"/>
        </w:rPr>
        <w:t xml:space="preserve">s persuasive by seeming to provide reasons against treating Mr. S over his objections, we think there are non-autonomy grounded reasons that provide </w:t>
      </w:r>
      <w:r w:rsidR="0046141D">
        <w:rPr>
          <w:rFonts w:ascii="Times New Roman" w:eastAsia="Times New Roman" w:hAnsi="Times New Roman" w:cs="Times New Roman"/>
          <w:sz w:val="24"/>
          <w:szCs w:val="24"/>
        </w:rPr>
        <w:t>a</w:t>
      </w:r>
      <w:r w:rsidRPr="00FF28A2">
        <w:rPr>
          <w:rFonts w:ascii="Times New Roman" w:eastAsia="Times New Roman" w:hAnsi="Times New Roman" w:cs="Times New Roman"/>
          <w:sz w:val="24"/>
          <w:szCs w:val="24"/>
        </w:rPr>
        <w:t xml:space="preserve"> more compelling </w:t>
      </w:r>
      <w:r w:rsidR="0046141D">
        <w:rPr>
          <w:rFonts w:ascii="Times New Roman" w:eastAsia="Times New Roman" w:hAnsi="Times New Roman" w:cs="Times New Roman"/>
          <w:sz w:val="24"/>
          <w:szCs w:val="24"/>
        </w:rPr>
        <w:t xml:space="preserve">argument </w:t>
      </w:r>
      <w:r w:rsidRPr="00FF28A2">
        <w:rPr>
          <w:rFonts w:ascii="Times New Roman" w:eastAsia="Times New Roman" w:hAnsi="Times New Roman" w:cs="Times New Roman"/>
          <w:sz w:val="24"/>
          <w:szCs w:val="24"/>
        </w:rPr>
        <w:t>against treatment.</w:t>
      </w:r>
      <w:r w:rsidR="00E84F7E">
        <w:rPr>
          <w:rFonts w:ascii="Times New Roman" w:eastAsia="Times New Roman" w:hAnsi="Times New Roman" w:cs="Times New Roman"/>
          <w:sz w:val="24"/>
          <w:szCs w:val="24"/>
        </w:rPr>
        <w:t xml:space="preserve"> </w:t>
      </w:r>
    </w:p>
    <w:p w14:paraId="00000026" w14:textId="77777777" w:rsidR="00E83534" w:rsidRPr="00FF28A2" w:rsidRDefault="00C13B74" w:rsidP="00E84F7E">
      <w:pPr>
        <w:numPr>
          <w:ilvl w:val="0"/>
          <w:numId w:val="1"/>
        </w:numPr>
        <w:spacing w:line="360" w:lineRule="auto"/>
        <w:ind w:left="0" w:firstLine="0"/>
        <w:jc w:val="both"/>
        <w:rPr>
          <w:rFonts w:ascii="Times New Roman" w:eastAsia="Times New Roman" w:hAnsi="Times New Roman" w:cs="Times New Roman"/>
          <w:b/>
          <w:sz w:val="24"/>
          <w:szCs w:val="24"/>
        </w:rPr>
      </w:pPr>
      <w:r w:rsidRPr="00FF28A2">
        <w:rPr>
          <w:rFonts w:ascii="Times New Roman" w:eastAsia="Times New Roman" w:hAnsi="Times New Roman" w:cs="Times New Roman"/>
          <w:b/>
          <w:sz w:val="24"/>
          <w:szCs w:val="24"/>
        </w:rPr>
        <w:t>Benefits of the Traditional Account and Replies to Objections</w:t>
      </w:r>
    </w:p>
    <w:p w14:paraId="00000027"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One objection to our view that authenticity is crucially relevant when making decisions to forgo LST is that it is unfeasible for physicians to determine whether a patient’s choice is authentic or not. As Brudney and Lantos put it, </w:t>
      </w:r>
    </w:p>
    <w:p w14:paraId="00000028" w14:textId="77777777" w:rsidR="00E83534" w:rsidRPr="00FF28A2" w:rsidRDefault="00C13B74" w:rsidP="00E84F7E">
      <w:pPr>
        <w:spacing w:line="360" w:lineRule="auto"/>
        <w:ind w:left="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The ideal of authenticity seems to presuppose doctors who have known their patients over many years or who can spend many hours with a new patient. In a modern medical system neither seems possible. Moreover, to facilitate authentic patient choice and to judge when it obtains…seems to require a kind of practical wisdom that we have little reason to believe doctors possess. (2011, 225)</w:t>
      </w:r>
    </w:p>
    <w:p w14:paraId="00000029" w14:textId="70B47B59" w:rsidR="00E83534" w:rsidRPr="00FF28A2" w:rsidRDefault="00C13B74" w:rsidP="00E84F7E">
      <w:pPr>
        <w:spacing w:line="360" w:lineRule="auto"/>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In their response to this objection, Brudney and Lantos admit that making judgments about authenticity would be time intensive, but that this is simply what morality requires, just as morality demands that medical care accommodate the </w:t>
      </w:r>
      <w:proofErr w:type="gramStart"/>
      <w:r w:rsidRPr="00FF28A2">
        <w:rPr>
          <w:rFonts w:ascii="Times New Roman" w:eastAsia="Times New Roman" w:hAnsi="Times New Roman" w:cs="Times New Roman"/>
          <w:sz w:val="24"/>
          <w:szCs w:val="24"/>
        </w:rPr>
        <w:t>often burdensome</w:t>
      </w:r>
      <w:proofErr w:type="gramEnd"/>
      <w:r w:rsidRPr="00FF28A2">
        <w:rPr>
          <w:rFonts w:ascii="Times New Roman" w:eastAsia="Times New Roman" w:hAnsi="Times New Roman" w:cs="Times New Roman"/>
          <w:sz w:val="24"/>
          <w:szCs w:val="24"/>
        </w:rPr>
        <w:t xml:space="preserve"> practice of obtaining informed consent.</w:t>
      </w:r>
      <w:r w:rsidR="00E84F7E">
        <w:rPr>
          <w:rFonts w:ascii="Times New Roman" w:eastAsia="Times New Roman" w:hAnsi="Times New Roman" w:cs="Times New Roman"/>
          <w:sz w:val="24"/>
          <w:szCs w:val="24"/>
        </w:rPr>
        <w:t xml:space="preserve"> </w:t>
      </w:r>
    </w:p>
    <w:p w14:paraId="0000002A" w14:textId="397109DB" w:rsidR="00E83534"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It is worth pointing out that if one has a strong conception of authenticity, as Brudney and Lantos do, this response is practically unsatisfying precisely because assessing strong authenticity </w:t>
      </w:r>
      <w:r w:rsidRPr="00FF28A2">
        <w:rPr>
          <w:rFonts w:ascii="Times New Roman" w:eastAsia="Times New Roman" w:hAnsi="Times New Roman" w:cs="Times New Roman"/>
          <w:sz w:val="24"/>
          <w:szCs w:val="24"/>
        </w:rPr>
        <w:lastRenderedPageBreak/>
        <w:t>requires extensive knowledge of a patient’s life, and how their values fit into their life, if at all, in a unifying way, which physicians almost always never have. Moreover, this is true, not simply in our non-ideal world where patients often do not have primary care providers, and thus, often lack a substantive relationship with their providers. It would also likely be true even under the most ideal of scenarios, where resources enable everyone to have a primary care provider, because physicians are not t</w:t>
      </w:r>
      <w:r w:rsidRPr="00FF28A2">
        <w:rPr>
          <w:rFonts w:ascii="Times New Roman" w:eastAsia="Times New Roman" w:hAnsi="Times New Roman" w:cs="Times New Roman"/>
          <w:sz w:val="24"/>
          <w:szCs w:val="24"/>
        </w:rPr>
        <w:t xml:space="preserve">herapists, spiritual advisors, family members, or the like, nor should they be. And yet this kind of relationship—which is not what we think of as the proper physician-patient relationship—seems </w:t>
      </w:r>
      <w:r w:rsidR="00116C40">
        <w:rPr>
          <w:rFonts w:ascii="Times New Roman" w:eastAsia="Times New Roman" w:hAnsi="Times New Roman" w:cs="Times New Roman"/>
          <w:sz w:val="24"/>
          <w:szCs w:val="24"/>
        </w:rPr>
        <w:t xml:space="preserve">practically </w:t>
      </w:r>
      <w:r w:rsidRPr="00FF28A2">
        <w:rPr>
          <w:rFonts w:ascii="Times New Roman" w:eastAsia="Times New Roman" w:hAnsi="Times New Roman" w:cs="Times New Roman"/>
          <w:sz w:val="24"/>
          <w:szCs w:val="24"/>
        </w:rPr>
        <w:t xml:space="preserve">necessary to give physicians this kind of extensive knowledge. Therefore, according to Brudney and Lantos, morality would seem to demand of physicians either something they are extremely unlikely to be able to </w:t>
      </w:r>
      <w:r w:rsidRPr="00FF28A2">
        <w:rPr>
          <w:rFonts w:ascii="Times New Roman" w:eastAsia="Times New Roman" w:hAnsi="Times New Roman" w:cs="Times New Roman"/>
          <w:sz w:val="24"/>
          <w:szCs w:val="24"/>
        </w:rPr>
        <w:t>obtain</w:t>
      </w:r>
      <w:r w:rsidR="00F61CB8" w:rsidRPr="00FF28A2">
        <w:rPr>
          <w:rFonts w:ascii="Times New Roman" w:eastAsia="Times New Roman" w:hAnsi="Times New Roman" w:cs="Times New Roman"/>
          <w:sz w:val="24"/>
          <w:szCs w:val="24"/>
        </w:rPr>
        <w:t>—</w:t>
      </w:r>
      <w:r w:rsidRPr="00FF28A2">
        <w:rPr>
          <w:rFonts w:ascii="Times New Roman" w:eastAsia="Times New Roman" w:hAnsi="Times New Roman" w:cs="Times New Roman"/>
          <w:sz w:val="24"/>
          <w:szCs w:val="24"/>
        </w:rPr>
        <w:t>namely, detailed knowledge of their patient’s life story—or something that, even under the best scenarios, seems inconsistent with the physician-patient relationship.</w:t>
      </w:r>
      <w:r w:rsidR="00E84F7E">
        <w:rPr>
          <w:rFonts w:ascii="Times New Roman" w:eastAsia="Times New Roman" w:hAnsi="Times New Roman" w:cs="Times New Roman"/>
          <w:sz w:val="24"/>
          <w:szCs w:val="24"/>
        </w:rPr>
        <w:t xml:space="preserve"> </w:t>
      </w:r>
      <w:r w:rsidRPr="00FF28A2">
        <w:rPr>
          <w:rFonts w:ascii="Times New Roman" w:eastAsia="Times New Roman" w:hAnsi="Times New Roman" w:cs="Times New Roman"/>
          <w:sz w:val="24"/>
          <w:szCs w:val="24"/>
        </w:rPr>
        <w:t>If, however, one has a weaker conception of authenticity in mind, as our view does, then it is easy to largely bypass the problem the objection points to. After all, if we are right, traditional DMC already incorporates a concern for authenticity. Therefore, physicians would likely not have to spend significantly more time with patients</w:t>
      </w:r>
      <w:r w:rsidRPr="00FF28A2">
        <w:rPr>
          <w:rFonts w:ascii="Times New Roman" w:eastAsia="Times New Roman" w:hAnsi="Times New Roman" w:cs="Times New Roman"/>
          <w:sz w:val="24"/>
          <w:szCs w:val="24"/>
        </w:rPr>
        <w:t xml:space="preserve"> because, when they assess DMC, they already take authenticity into account. </w:t>
      </w:r>
    </w:p>
    <w:p w14:paraId="480D5D28" w14:textId="67A8383A" w:rsidR="00F61CB8" w:rsidRPr="00FF28A2" w:rsidRDefault="00E10596" w:rsidP="00E84F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when patients lack DMC, it is often friends and family that provide </w:t>
      </w:r>
      <w:r w:rsidR="008D5967">
        <w:rPr>
          <w:rFonts w:ascii="Times New Roman" w:eastAsia="Times New Roman" w:hAnsi="Times New Roman" w:cs="Times New Roman"/>
          <w:sz w:val="24"/>
          <w:szCs w:val="24"/>
        </w:rPr>
        <w:t xml:space="preserve">physicians with reflections about the patient’s </w:t>
      </w:r>
      <w:r w:rsidR="002923AE">
        <w:rPr>
          <w:rFonts w:ascii="Times New Roman" w:eastAsia="Times New Roman" w:hAnsi="Times New Roman" w:cs="Times New Roman"/>
          <w:sz w:val="24"/>
          <w:szCs w:val="24"/>
        </w:rPr>
        <w:t xml:space="preserve">beliefs and </w:t>
      </w:r>
      <w:r w:rsidR="00DE631E">
        <w:rPr>
          <w:rFonts w:ascii="Times New Roman" w:eastAsia="Times New Roman" w:hAnsi="Times New Roman" w:cs="Times New Roman"/>
          <w:sz w:val="24"/>
          <w:szCs w:val="24"/>
        </w:rPr>
        <w:t>values</w:t>
      </w:r>
      <w:r w:rsidR="008D5967">
        <w:rPr>
          <w:rFonts w:ascii="Times New Roman" w:eastAsia="Times New Roman" w:hAnsi="Times New Roman" w:cs="Times New Roman"/>
          <w:sz w:val="24"/>
          <w:szCs w:val="24"/>
        </w:rPr>
        <w:t>.</w:t>
      </w:r>
      <w:r w:rsidR="00D13689">
        <w:rPr>
          <w:rFonts w:ascii="Times New Roman" w:eastAsia="Times New Roman" w:hAnsi="Times New Roman" w:cs="Times New Roman"/>
          <w:sz w:val="24"/>
          <w:szCs w:val="24"/>
        </w:rPr>
        <w:t xml:space="preserve"> This alleviates the doctor from</w:t>
      </w:r>
      <w:r w:rsidR="00E56E74">
        <w:rPr>
          <w:rFonts w:ascii="Times New Roman" w:eastAsia="Times New Roman" w:hAnsi="Times New Roman" w:cs="Times New Roman"/>
          <w:sz w:val="24"/>
          <w:szCs w:val="24"/>
        </w:rPr>
        <w:t xml:space="preserve"> some of</w:t>
      </w:r>
      <w:r w:rsidR="00D13689">
        <w:rPr>
          <w:rFonts w:ascii="Times New Roman" w:eastAsia="Times New Roman" w:hAnsi="Times New Roman" w:cs="Times New Roman"/>
          <w:sz w:val="24"/>
          <w:szCs w:val="24"/>
        </w:rPr>
        <w:t xml:space="preserve"> the investigative burden of judging authenticity</w:t>
      </w:r>
      <w:r w:rsidR="00BF61DD">
        <w:rPr>
          <w:rFonts w:ascii="Times New Roman" w:eastAsia="Times New Roman" w:hAnsi="Times New Roman" w:cs="Times New Roman"/>
          <w:sz w:val="24"/>
          <w:szCs w:val="24"/>
        </w:rPr>
        <w:t xml:space="preserve">, which </w:t>
      </w:r>
      <w:r w:rsidR="00F47A16">
        <w:rPr>
          <w:rFonts w:ascii="Times New Roman" w:eastAsia="Times New Roman" w:hAnsi="Times New Roman" w:cs="Times New Roman"/>
          <w:sz w:val="24"/>
          <w:szCs w:val="24"/>
        </w:rPr>
        <w:t xml:space="preserve">family and friends </w:t>
      </w:r>
      <w:r w:rsidR="00EF5E88">
        <w:rPr>
          <w:rFonts w:ascii="Times New Roman" w:eastAsia="Times New Roman" w:hAnsi="Times New Roman" w:cs="Times New Roman"/>
          <w:sz w:val="24"/>
          <w:szCs w:val="24"/>
        </w:rPr>
        <w:t>are</w:t>
      </w:r>
      <w:r w:rsidR="00BF61DD">
        <w:rPr>
          <w:rFonts w:ascii="Times New Roman" w:eastAsia="Times New Roman" w:hAnsi="Times New Roman" w:cs="Times New Roman"/>
          <w:sz w:val="24"/>
          <w:szCs w:val="24"/>
        </w:rPr>
        <w:t xml:space="preserve"> </w:t>
      </w:r>
      <w:r w:rsidR="009D3C83">
        <w:rPr>
          <w:rFonts w:ascii="Times New Roman" w:eastAsia="Times New Roman" w:hAnsi="Times New Roman" w:cs="Times New Roman"/>
          <w:sz w:val="24"/>
          <w:szCs w:val="24"/>
        </w:rPr>
        <w:t xml:space="preserve">frequently </w:t>
      </w:r>
      <w:r w:rsidR="00EF5E88">
        <w:rPr>
          <w:rFonts w:ascii="Times New Roman" w:eastAsia="Times New Roman" w:hAnsi="Times New Roman" w:cs="Times New Roman"/>
          <w:sz w:val="24"/>
          <w:szCs w:val="24"/>
        </w:rPr>
        <w:t>in a better position to</w:t>
      </w:r>
      <w:r w:rsidR="009D3C83">
        <w:rPr>
          <w:rFonts w:ascii="Times New Roman" w:eastAsia="Times New Roman" w:hAnsi="Times New Roman" w:cs="Times New Roman"/>
          <w:sz w:val="24"/>
          <w:szCs w:val="24"/>
        </w:rPr>
        <w:t xml:space="preserve"> bear</w:t>
      </w:r>
      <w:r w:rsidR="00BF61DD">
        <w:rPr>
          <w:rFonts w:ascii="Times New Roman" w:eastAsia="Times New Roman" w:hAnsi="Times New Roman" w:cs="Times New Roman"/>
          <w:sz w:val="24"/>
          <w:szCs w:val="24"/>
        </w:rPr>
        <w:t>, at least regarding weak authenticity</w:t>
      </w:r>
      <w:r w:rsidR="00BB7E93">
        <w:rPr>
          <w:rFonts w:ascii="Times New Roman" w:eastAsia="Times New Roman" w:hAnsi="Times New Roman" w:cs="Times New Roman"/>
          <w:sz w:val="24"/>
          <w:szCs w:val="24"/>
        </w:rPr>
        <w:t xml:space="preserve">. After all, </w:t>
      </w:r>
      <w:r w:rsidR="007236E8">
        <w:rPr>
          <w:rFonts w:ascii="Times New Roman" w:eastAsia="Times New Roman" w:hAnsi="Times New Roman" w:cs="Times New Roman"/>
          <w:sz w:val="24"/>
          <w:szCs w:val="24"/>
        </w:rPr>
        <w:t>even close friends</w:t>
      </w:r>
      <w:r w:rsidR="00BB7E93">
        <w:rPr>
          <w:rFonts w:ascii="Times New Roman" w:eastAsia="Times New Roman" w:hAnsi="Times New Roman" w:cs="Times New Roman"/>
          <w:sz w:val="24"/>
          <w:szCs w:val="24"/>
        </w:rPr>
        <w:t xml:space="preserve"> and family </w:t>
      </w:r>
      <w:r w:rsidR="009D3C83">
        <w:rPr>
          <w:rFonts w:ascii="Times New Roman" w:eastAsia="Times New Roman" w:hAnsi="Times New Roman" w:cs="Times New Roman"/>
          <w:sz w:val="24"/>
          <w:szCs w:val="24"/>
        </w:rPr>
        <w:t xml:space="preserve">are sometimes </w:t>
      </w:r>
      <w:r w:rsidR="00BB7E93">
        <w:rPr>
          <w:rFonts w:ascii="Times New Roman" w:eastAsia="Times New Roman" w:hAnsi="Times New Roman" w:cs="Times New Roman"/>
          <w:sz w:val="24"/>
          <w:szCs w:val="24"/>
        </w:rPr>
        <w:t>unable</w:t>
      </w:r>
      <w:r w:rsidR="007236E8">
        <w:rPr>
          <w:rFonts w:ascii="Times New Roman" w:eastAsia="Times New Roman" w:hAnsi="Times New Roman" w:cs="Times New Roman"/>
          <w:sz w:val="24"/>
          <w:szCs w:val="24"/>
        </w:rPr>
        <w:t xml:space="preserve"> to </w:t>
      </w:r>
      <w:r w:rsidR="00BB7E93">
        <w:rPr>
          <w:rFonts w:ascii="Times New Roman" w:eastAsia="Times New Roman" w:hAnsi="Times New Roman" w:cs="Times New Roman"/>
          <w:sz w:val="24"/>
          <w:szCs w:val="24"/>
        </w:rPr>
        <w:t>make determinations about strong authenticity</w:t>
      </w:r>
      <w:r w:rsidR="009D3C83">
        <w:rPr>
          <w:rFonts w:ascii="Times New Roman" w:eastAsia="Times New Roman" w:hAnsi="Times New Roman" w:cs="Times New Roman"/>
          <w:sz w:val="24"/>
          <w:szCs w:val="24"/>
        </w:rPr>
        <w:t>,</w:t>
      </w:r>
      <w:r w:rsidR="00BB7E93">
        <w:rPr>
          <w:rFonts w:ascii="Times New Roman" w:eastAsia="Times New Roman" w:hAnsi="Times New Roman" w:cs="Times New Roman"/>
          <w:sz w:val="24"/>
          <w:szCs w:val="24"/>
        </w:rPr>
        <w:t xml:space="preserve"> like whether</w:t>
      </w:r>
      <w:r w:rsidR="009D3C83">
        <w:rPr>
          <w:rFonts w:ascii="Times New Roman" w:eastAsia="Times New Roman" w:hAnsi="Times New Roman" w:cs="Times New Roman"/>
          <w:sz w:val="24"/>
          <w:szCs w:val="24"/>
        </w:rPr>
        <w:t xml:space="preserve"> a</w:t>
      </w:r>
      <w:r w:rsidR="00BB7E93">
        <w:rPr>
          <w:rFonts w:ascii="Times New Roman" w:eastAsia="Times New Roman" w:hAnsi="Times New Roman" w:cs="Times New Roman"/>
          <w:sz w:val="24"/>
          <w:szCs w:val="24"/>
        </w:rPr>
        <w:t xml:space="preserve"> patient’</w:t>
      </w:r>
      <w:r w:rsidR="009D3C83">
        <w:rPr>
          <w:rFonts w:ascii="Times New Roman" w:eastAsia="Times New Roman" w:hAnsi="Times New Roman" w:cs="Times New Roman"/>
          <w:sz w:val="24"/>
          <w:szCs w:val="24"/>
        </w:rPr>
        <w:t>s</w:t>
      </w:r>
      <w:r w:rsidR="00BB7E93">
        <w:rPr>
          <w:rFonts w:ascii="Times New Roman" w:eastAsia="Times New Roman" w:hAnsi="Times New Roman" w:cs="Times New Roman"/>
          <w:sz w:val="24"/>
          <w:szCs w:val="24"/>
        </w:rPr>
        <w:t xml:space="preserve"> desires are unalienated or if their lives are sufficiently distinctive</w:t>
      </w:r>
      <w:r w:rsidR="007236E8">
        <w:rPr>
          <w:rFonts w:ascii="Times New Roman" w:eastAsia="Times New Roman" w:hAnsi="Times New Roman" w:cs="Times New Roman"/>
          <w:sz w:val="24"/>
          <w:szCs w:val="24"/>
        </w:rPr>
        <w:t xml:space="preserve">. </w:t>
      </w:r>
      <w:r w:rsidR="00E41B52">
        <w:rPr>
          <w:rFonts w:ascii="Times New Roman" w:eastAsia="Times New Roman" w:hAnsi="Times New Roman" w:cs="Times New Roman"/>
          <w:sz w:val="24"/>
          <w:szCs w:val="24"/>
        </w:rPr>
        <w:t>And</w:t>
      </w:r>
      <w:r w:rsidR="00333DA5">
        <w:rPr>
          <w:rFonts w:ascii="Times New Roman" w:eastAsia="Times New Roman" w:hAnsi="Times New Roman" w:cs="Times New Roman"/>
          <w:sz w:val="24"/>
          <w:szCs w:val="24"/>
        </w:rPr>
        <w:t xml:space="preserve">, </w:t>
      </w:r>
      <w:r w:rsidR="00E56E74">
        <w:rPr>
          <w:rFonts w:ascii="Times New Roman" w:eastAsia="Times New Roman" w:hAnsi="Times New Roman" w:cs="Times New Roman"/>
          <w:sz w:val="24"/>
          <w:szCs w:val="24"/>
        </w:rPr>
        <w:t>in the end</w:t>
      </w:r>
      <w:r w:rsidR="00333DA5">
        <w:rPr>
          <w:rFonts w:ascii="Times New Roman" w:eastAsia="Times New Roman" w:hAnsi="Times New Roman" w:cs="Times New Roman"/>
          <w:sz w:val="24"/>
          <w:szCs w:val="24"/>
        </w:rPr>
        <w:t>, it is</w:t>
      </w:r>
      <w:r w:rsidR="006F2C71">
        <w:rPr>
          <w:rFonts w:ascii="Times New Roman" w:eastAsia="Times New Roman" w:hAnsi="Times New Roman" w:cs="Times New Roman"/>
          <w:sz w:val="24"/>
          <w:szCs w:val="24"/>
        </w:rPr>
        <w:t xml:space="preserve"> still</w:t>
      </w:r>
      <w:r w:rsidR="00333DA5">
        <w:rPr>
          <w:rFonts w:ascii="Times New Roman" w:eastAsia="Times New Roman" w:hAnsi="Times New Roman" w:cs="Times New Roman"/>
          <w:sz w:val="24"/>
          <w:szCs w:val="24"/>
        </w:rPr>
        <w:t xml:space="preserve"> the physician who is left with the task of evaluating DMC, not </w:t>
      </w:r>
      <w:r w:rsidR="00D52582">
        <w:rPr>
          <w:rFonts w:ascii="Times New Roman" w:eastAsia="Times New Roman" w:hAnsi="Times New Roman" w:cs="Times New Roman"/>
          <w:sz w:val="24"/>
          <w:szCs w:val="24"/>
        </w:rPr>
        <w:t>friends and family. At best</w:t>
      </w:r>
      <w:r w:rsidR="007236E8">
        <w:rPr>
          <w:rFonts w:ascii="Times New Roman" w:eastAsia="Times New Roman" w:hAnsi="Times New Roman" w:cs="Times New Roman"/>
          <w:sz w:val="24"/>
          <w:szCs w:val="24"/>
        </w:rPr>
        <w:t>,</w:t>
      </w:r>
      <w:r w:rsidR="00D52582">
        <w:rPr>
          <w:rFonts w:ascii="Times New Roman" w:eastAsia="Times New Roman" w:hAnsi="Times New Roman" w:cs="Times New Roman"/>
          <w:sz w:val="24"/>
          <w:szCs w:val="24"/>
        </w:rPr>
        <w:t xml:space="preserve"> </w:t>
      </w:r>
      <w:r w:rsidR="007236E8">
        <w:rPr>
          <w:rFonts w:ascii="Times New Roman" w:eastAsia="Times New Roman" w:hAnsi="Times New Roman" w:cs="Times New Roman"/>
          <w:sz w:val="24"/>
          <w:szCs w:val="24"/>
        </w:rPr>
        <w:t>loved ones</w:t>
      </w:r>
      <w:r w:rsidR="00D52582">
        <w:rPr>
          <w:rFonts w:ascii="Times New Roman" w:eastAsia="Times New Roman" w:hAnsi="Times New Roman" w:cs="Times New Roman"/>
          <w:sz w:val="24"/>
          <w:szCs w:val="24"/>
        </w:rPr>
        <w:t xml:space="preserve"> can provide evidence that </w:t>
      </w:r>
      <w:r w:rsidR="00E62530">
        <w:rPr>
          <w:rFonts w:ascii="Times New Roman" w:eastAsia="Times New Roman" w:hAnsi="Times New Roman" w:cs="Times New Roman"/>
          <w:sz w:val="24"/>
          <w:szCs w:val="24"/>
        </w:rPr>
        <w:t xml:space="preserve">can assist the </w:t>
      </w:r>
      <w:r w:rsidR="00D52582">
        <w:rPr>
          <w:rFonts w:ascii="Times New Roman" w:eastAsia="Times New Roman" w:hAnsi="Times New Roman" w:cs="Times New Roman"/>
          <w:sz w:val="24"/>
          <w:szCs w:val="24"/>
        </w:rPr>
        <w:t>physician to make judgments about aut</w:t>
      </w:r>
      <w:r w:rsidR="007236E8">
        <w:rPr>
          <w:rFonts w:ascii="Times New Roman" w:eastAsia="Times New Roman" w:hAnsi="Times New Roman" w:cs="Times New Roman"/>
          <w:sz w:val="24"/>
          <w:szCs w:val="24"/>
        </w:rPr>
        <w:t>henticity</w:t>
      </w:r>
      <w:r w:rsidR="006F2C71">
        <w:rPr>
          <w:rFonts w:ascii="Times New Roman" w:eastAsia="Times New Roman" w:hAnsi="Times New Roman" w:cs="Times New Roman"/>
          <w:sz w:val="24"/>
          <w:szCs w:val="24"/>
        </w:rPr>
        <w:t>. I</w:t>
      </w:r>
      <w:r w:rsidR="00F203C7">
        <w:rPr>
          <w:rFonts w:ascii="Times New Roman" w:eastAsia="Times New Roman" w:hAnsi="Times New Roman" w:cs="Times New Roman"/>
          <w:sz w:val="24"/>
          <w:szCs w:val="24"/>
        </w:rPr>
        <w:t xml:space="preserve">t would be impractical to expect </w:t>
      </w:r>
      <w:r w:rsidR="00E62530">
        <w:rPr>
          <w:rFonts w:ascii="Times New Roman" w:eastAsia="Times New Roman" w:hAnsi="Times New Roman" w:cs="Times New Roman"/>
          <w:sz w:val="24"/>
          <w:szCs w:val="24"/>
        </w:rPr>
        <w:t>clinician</w:t>
      </w:r>
      <w:r w:rsidR="00F203C7">
        <w:rPr>
          <w:rFonts w:ascii="Times New Roman" w:eastAsia="Times New Roman" w:hAnsi="Times New Roman" w:cs="Times New Roman"/>
          <w:sz w:val="24"/>
          <w:szCs w:val="24"/>
        </w:rPr>
        <w:t xml:space="preserve">s to make judgments about strong authenticity, even when presented with evidence from those who know the patient well. </w:t>
      </w:r>
    </w:p>
    <w:p w14:paraId="0000002B"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Another objection to our view is motivated by cases involving seemingly capacitated patients whose values themselves are intuitively inauthentic. For instance, many severely anorexic patients refuse treatment even when they demonstrate an understanding that doing so may lead to death. Some critics believe that this is a problem for the traditional view that DMC is necessary and sufficient for the right to refuse LST. They claim that when capacitated anorexic patients’ </w:t>
      </w:r>
      <w:r w:rsidRPr="00FF28A2">
        <w:rPr>
          <w:rFonts w:ascii="Times New Roman" w:eastAsia="Times New Roman" w:hAnsi="Times New Roman" w:cs="Times New Roman"/>
          <w:sz w:val="24"/>
          <w:szCs w:val="24"/>
        </w:rPr>
        <w:lastRenderedPageBreak/>
        <w:t>choices result from their pathology and motivate them to choose in the manner they do, their decisions are inauthentic and thus fail to generate rights to decline treatment (Tan et al. 2006).</w:t>
      </w:r>
    </w:p>
    <w:p w14:paraId="0000002C" w14:textId="77777777"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One difficulty for this view is that anorexic patients often forge a close connection between their disorder and their personal identity. For instance, take the following statements as documented by Tan et al:</w:t>
      </w:r>
    </w:p>
    <w:p w14:paraId="0000002D" w14:textId="77777777" w:rsidR="00E83534" w:rsidRPr="00FF28A2" w:rsidRDefault="00C13B74" w:rsidP="00E84F7E">
      <w:pPr>
        <w:spacing w:line="360" w:lineRule="auto"/>
        <w:ind w:left="720" w:right="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Once you’ve taken that [the anorexia nervosa] away, you’ve taken away part of my identity, so I’m bound to feel a bit lost.’ (Tan et al. 2003, 23) </w:t>
      </w:r>
    </w:p>
    <w:p w14:paraId="0000002E" w14:textId="77777777" w:rsidR="00E83534" w:rsidRPr="00FF28A2" w:rsidRDefault="00E83534" w:rsidP="00E84F7E">
      <w:pPr>
        <w:spacing w:line="360" w:lineRule="auto"/>
        <w:ind w:left="720" w:right="720"/>
        <w:jc w:val="both"/>
        <w:rPr>
          <w:rFonts w:ascii="Times New Roman" w:eastAsia="Times New Roman" w:hAnsi="Times New Roman" w:cs="Times New Roman"/>
          <w:sz w:val="24"/>
          <w:szCs w:val="24"/>
        </w:rPr>
      </w:pPr>
    </w:p>
    <w:p w14:paraId="0000002F" w14:textId="77777777" w:rsidR="00E83534" w:rsidRPr="00FF28A2" w:rsidRDefault="00C13B74" w:rsidP="00E84F7E">
      <w:pPr>
        <w:spacing w:line="360" w:lineRule="auto"/>
        <w:ind w:left="720" w:right="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It [the anorexia nervosa] almost does become part of you and so in order to get it out of you I think you do have to kind of hurt you in the process, I think it’s almost inevitable. (Tan et al. 2003, 28)</w:t>
      </w:r>
    </w:p>
    <w:p w14:paraId="00000030" w14:textId="77777777" w:rsidR="00E83534" w:rsidRPr="00FF28A2" w:rsidRDefault="00E83534" w:rsidP="00E84F7E">
      <w:pPr>
        <w:spacing w:line="360" w:lineRule="auto"/>
        <w:ind w:left="720" w:right="720"/>
        <w:jc w:val="both"/>
        <w:rPr>
          <w:rFonts w:ascii="Times New Roman" w:eastAsia="Times New Roman" w:hAnsi="Times New Roman" w:cs="Times New Roman"/>
          <w:sz w:val="24"/>
          <w:szCs w:val="24"/>
        </w:rPr>
      </w:pPr>
    </w:p>
    <w:p w14:paraId="00000031" w14:textId="77777777" w:rsidR="00E83534" w:rsidRPr="00FF28A2" w:rsidRDefault="00C13B74" w:rsidP="00E84F7E">
      <w:pPr>
        <w:spacing w:line="360" w:lineRule="auto"/>
        <w:ind w:left="720" w:right="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It’s like you’re trying to take away the something that is a huge part of my life … and if that goes what am I left with? (Tan et al. 2003, 39)</w:t>
      </w:r>
    </w:p>
    <w:p w14:paraId="00000032" w14:textId="77777777" w:rsidR="00E83534" w:rsidRPr="00FF28A2" w:rsidRDefault="00E83534" w:rsidP="00E84F7E">
      <w:pPr>
        <w:spacing w:line="360" w:lineRule="auto"/>
        <w:ind w:left="720" w:right="720"/>
        <w:jc w:val="both"/>
        <w:rPr>
          <w:rFonts w:ascii="Times New Roman" w:eastAsia="Times New Roman" w:hAnsi="Times New Roman" w:cs="Times New Roman"/>
          <w:sz w:val="24"/>
          <w:szCs w:val="24"/>
        </w:rPr>
      </w:pPr>
    </w:p>
    <w:p w14:paraId="00000033" w14:textId="77777777" w:rsidR="00E83534" w:rsidRPr="00FF28A2" w:rsidRDefault="00C13B74" w:rsidP="00E84F7E">
      <w:pPr>
        <w:spacing w:line="360" w:lineRule="auto"/>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These comments suggest that there is often no practical way to delineate what distinguishes the patient’s illness from their conception of themselves. Sometimes however a delineation seems possible. Consider the following patient’s testimony. </w:t>
      </w:r>
    </w:p>
    <w:p w14:paraId="00000034" w14:textId="77777777" w:rsidR="00E83534" w:rsidRPr="00FF28A2" w:rsidRDefault="00E83534" w:rsidP="00E84F7E">
      <w:pPr>
        <w:spacing w:line="360" w:lineRule="auto"/>
        <w:jc w:val="both"/>
        <w:rPr>
          <w:rFonts w:ascii="Times New Roman" w:eastAsia="Times New Roman" w:hAnsi="Times New Roman" w:cs="Times New Roman"/>
          <w:sz w:val="24"/>
          <w:szCs w:val="24"/>
        </w:rPr>
      </w:pPr>
    </w:p>
    <w:p w14:paraId="00000035" w14:textId="77777777" w:rsidR="00E83534" w:rsidRPr="00FF28A2" w:rsidRDefault="00C13B74" w:rsidP="00E84F7E">
      <w:pPr>
        <w:spacing w:line="360" w:lineRule="auto"/>
        <w:ind w:left="720" w:right="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It feels like there’s two of you inside—like there’s another half of you, which is my anorexia, and then there’s the real K [own name], the real me, the logic part of me, and it’s a constant battle between the two. (Hope et al. 2011, 19)</w:t>
      </w:r>
    </w:p>
    <w:p w14:paraId="00000036" w14:textId="77777777" w:rsidR="00E83534" w:rsidRPr="00FF28A2" w:rsidRDefault="00E83534" w:rsidP="00E84F7E">
      <w:pPr>
        <w:spacing w:line="360" w:lineRule="auto"/>
        <w:ind w:left="720" w:right="720"/>
        <w:jc w:val="both"/>
        <w:rPr>
          <w:rFonts w:ascii="Times New Roman" w:eastAsia="Times New Roman" w:hAnsi="Times New Roman" w:cs="Times New Roman"/>
          <w:sz w:val="24"/>
          <w:szCs w:val="24"/>
        </w:rPr>
      </w:pPr>
    </w:p>
    <w:p w14:paraId="00000037" w14:textId="3B81E95B" w:rsidR="00E83534" w:rsidRPr="00FF28A2" w:rsidRDefault="00C13B74" w:rsidP="00E84F7E">
      <w:pPr>
        <w:spacing w:line="360" w:lineRule="auto"/>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In our view, patients who describe an internal conflict like this and who vacillate between wanting treatment and not wanting it </w:t>
      </w:r>
      <w:proofErr w:type="gramStart"/>
      <w:r w:rsidRPr="00FF28A2">
        <w:rPr>
          <w:rFonts w:ascii="Times New Roman" w:eastAsia="Times New Roman" w:hAnsi="Times New Roman" w:cs="Times New Roman"/>
          <w:sz w:val="24"/>
          <w:szCs w:val="24"/>
        </w:rPr>
        <w:t>demonstrate</w:t>
      </w:r>
      <w:proofErr w:type="gramEnd"/>
      <w:r w:rsidRPr="00FF28A2">
        <w:rPr>
          <w:rFonts w:ascii="Times New Roman" w:eastAsia="Times New Roman" w:hAnsi="Times New Roman" w:cs="Times New Roman"/>
          <w:sz w:val="24"/>
          <w:szCs w:val="24"/>
        </w:rPr>
        <w:t xml:space="preserve"> a lack of what we have called weak authenticity. In such cases, patients are unable to make a consistent choice in accordance with their deeply-held values. Therefore, in our view, this inability indicates a lack of DMC. So we deny this version of the objection insofar as it assumes, falsely in our view, that the patient has DMC in the first place. If anorexic patients are incapable of expressing consistent and stable choices, are unable to rationally manipulate information, or demonstrate suffi</w:t>
      </w:r>
      <w:r w:rsidRPr="00FF28A2">
        <w:rPr>
          <w:rFonts w:ascii="Times New Roman" w:eastAsia="Times New Roman" w:hAnsi="Times New Roman" w:cs="Times New Roman"/>
          <w:sz w:val="24"/>
          <w:szCs w:val="24"/>
        </w:rPr>
        <w:t xml:space="preserve">cient appreciation of the implications of their choice, then they fail to live up to the standards of weak authenticity. Notably though cases of this kind no </w:t>
      </w:r>
      <w:r w:rsidRPr="00FF28A2">
        <w:rPr>
          <w:rFonts w:ascii="Times New Roman" w:eastAsia="Times New Roman" w:hAnsi="Times New Roman" w:cs="Times New Roman"/>
          <w:sz w:val="24"/>
          <w:szCs w:val="24"/>
        </w:rPr>
        <w:lastRenderedPageBreak/>
        <w:t xml:space="preserve">longer involve questions about the patient’s “true self.” Rather, they involve traditional issues of DMC. </w:t>
      </w:r>
    </w:p>
    <w:p w14:paraId="00000038" w14:textId="77777777" w:rsidR="00E83534" w:rsidRPr="00FF28A2" w:rsidRDefault="00C13B74" w:rsidP="00E84F7E">
      <w:pPr>
        <w:numPr>
          <w:ilvl w:val="0"/>
          <w:numId w:val="1"/>
        </w:numPr>
        <w:spacing w:line="360" w:lineRule="auto"/>
        <w:ind w:left="0" w:firstLine="0"/>
        <w:rPr>
          <w:rFonts w:ascii="Times New Roman" w:eastAsia="Times New Roman" w:hAnsi="Times New Roman" w:cs="Times New Roman"/>
          <w:b/>
          <w:sz w:val="24"/>
          <w:szCs w:val="24"/>
        </w:rPr>
      </w:pPr>
      <w:r w:rsidRPr="00FF28A2">
        <w:rPr>
          <w:rFonts w:ascii="Times New Roman" w:eastAsia="Times New Roman" w:hAnsi="Times New Roman" w:cs="Times New Roman"/>
          <w:b/>
          <w:sz w:val="24"/>
          <w:szCs w:val="24"/>
        </w:rPr>
        <w:t>Conclusion</w:t>
      </w:r>
    </w:p>
    <w:p w14:paraId="0000003A" w14:textId="41E5F728" w:rsidR="00E83534" w:rsidRPr="00FF28A2" w:rsidRDefault="00C13B74" w:rsidP="00E84F7E">
      <w:pPr>
        <w:spacing w:line="360" w:lineRule="auto"/>
        <w:ind w:firstLine="720"/>
        <w:jc w:val="both"/>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We have defended </w:t>
      </w:r>
      <w:r w:rsidR="0031266F">
        <w:rPr>
          <w:rFonts w:ascii="Times New Roman" w:eastAsia="Times New Roman" w:hAnsi="Times New Roman" w:cs="Times New Roman"/>
          <w:sz w:val="24"/>
          <w:szCs w:val="24"/>
        </w:rPr>
        <w:t xml:space="preserve">the </w:t>
      </w:r>
      <w:r w:rsidR="00116C40">
        <w:rPr>
          <w:rFonts w:ascii="Times New Roman" w:eastAsia="Times New Roman" w:hAnsi="Times New Roman" w:cs="Times New Roman"/>
          <w:sz w:val="24"/>
          <w:szCs w:val="24"/>
        </w:rPr>
        <w:t>traditional</w:t>
      </w:r>
      <w:r w:rsidRPr="00FF28A2">
        <w:rPr>
          <w:rFonts w:ascii="Times New Roman" w:eastAsia="Times New Roman" w:hAnsi="Times New Roman" w:cs="Times New Roman"/>
          <w:sz w:val="24"/>
          <w:szCs w:val="24"/>
        </w:rPr>
        <w:t xml:space="preserve"> </w:t>
      </w:r>
      <w:r w:rsidR="0031266F">
        <w:rPr>
          <w:rFonts w:ascii="Times New Roman" w:eastAsia="Times New Roman" w:hAnsi="Times New Roman" w:cs="Times New Roman"/>
          <w:sz w:val="24"/>
          <w:szCs w:val="24"/>
        </w:rPr>
        <w:t xml:space="preserve">account of </w:t>
      </w:r>
      <w:r w:rsidRPr="00FF28A2">
        <w:rPr>
          <w:rFonts w:ascii="Times New Roman" w:eastAsia="Times New Roman" w:hAnsi="Times New Roman" w:cs="Times New Roman"/>
          <w:sz w:val="24"/>
          <w:szCs w:val="24"/>
        </w:rPr>
        <w:t xml:space="preserve">decision-making capacity </w:t>
      </w:r>
      <w:r w:rsidR="009E6589">
        <w:rPr>
          <w:rFonts w:ascii="Times New Roman" w:eastAsia="Times New Roman" w:hAnsi="Times New Roman" w:cs="Times New Roman"/>
          <w:sz w:val="24"/>
          <w:szCs w:val="24"/>
        </w:rPr>
        <w:t>which states that DMC is</w:t>
      </w:r>
      <w:r w:rsidRPr="00FF28A2">
        <w:rPr>
          <w:rFonts w:ascii="Times New Roman" w:eastAsia="Times New Roman" w:hAnsi="Times New Roman" w:cs="Times New Roman"/>
          <w:sz w:val="24"/>
          <w:szCs w:val="24"/>
        </w:rPr>
        <w:t xml:space="preserve"> both necessary and sufficient for the right to refuse life-saving treatment. We did this by responding to challenges to both sides of the claim. Against Brudney and Lantos (2011), we argued that DMC is indeed sufficient for the right to refuse LST. We suggested that their concern for authenticity is legitimate but that it can be folded into </w:t>
      </w:r>
      <w:r w:rsidR="002D689B">
        <w:rPr>
          <w:rFonts w:ascii="Times New Roman" w:eastAsia="Times New Roman" w:hAnsi="Times New Roman" w:cs="Times New Roman"/>
          <w:sz w:val="24"/>
          <w:szCs w:val="24"/>
        </w:rPr>
        <w:t xml:space="preserve">traditional </w:t>
      </w:r>
      <w:r w:rsidRPr="00FF28A2">
        <w:rPr>
          <w:rFonts w:ascii="Times New Roman" w:eastAsia="Times New Roman" w:hAnsi="Times New Roman" w:cs="Times New Roman"/>
          <w:sz w:val="24"/>
          <w:szCs w:val="24"/>
        </w:rPr>
        <w:t>capacity</w:t>
      </w:r>
      <w:r w:rsidR="009E6589">
        <w:rPr>
          <w:rFonts w:ascii="Times New Roman" w:eastAsia="Times New Roman" w:hAnsi="Times New Roman" w:cs="Times New Roman"/>
          <w:sz w:val="24"/>
          <w:szCs w:val="24"/>
        </w:rPr>
        <w:t>, understood in its properly expansive sense</w:t>
      </w:r>
      <w:r w:rsidRPr="00FF28A2">
        <w:rPr>
          <w:rFonts w:ascii="Times New Roman" w:eastAsia="Times New Roman" w:hAnsi="Times New Roman" w:cs="Times New Roman"/>
          <w:sz w:val="24"/>
          <w:szCs w:val="24"/>
        </w:rPr>
        <w:t>. Against Navin et al. (2022), we argued that DMC is necessary for the right to refuse LST. We offered a</w:t>
      </w:r>
      <w:r w:rsidRPr="00FF28A2">
        <w:rPr>
          <w:rFonts w:ascii="Times New Roman" w:eastAsia="Times New Roman" w:hAnsi="Times New Roman" w:cs="Times New Roman"/>
          <w:sz w:val="24"/>
          <w:szCs w:val="24"/>
        </w:rPr>
        <w:t xml:space="preserve"> variety of responses to their discussion of Ms. P. For those who share the judgment that it is inappropriate to override her </w:t>
      </w:r>
      <w:r w:rsidR="005E6A92">
        <w:rPr>
          <w:rFonts w:ascii="Times New Roman" w:eastAsia="Times New Roman" w:hAnsi="Times New Roman" w:cs="Times New Roman"/>
          <w:sz w:val="24"/>
          <w:szCs w:val="24"/>
        </w:rPr>
        <w:t>choice</w:t>
      </w:r>
      <w:r w:rsidRPr="00FF28A2">
        <w:rPr>
          <w:rFonts w:ascii="Times New Roman" w:eastAsia="Times New Roman" w:hAnsi="Times New Roman" w:cs="Times New Roman"/>
          <w:sz w:val="24"/>
          <w:szCs w:val="24"/>
        </w:rPr>
        <w:t xml:space="preserve">, we showed how this is true either because she has DMC or because she had it in the past. And for those who believe that we may permissibly override her decision, we showed how this would follow from the conclusion that she lacks DMC. </w:t>
      </w:r>
    </w:p>
    <w:p w14:paraId="0000003D" w14:textId="6801221C" w:rsidR="00E83534" w:rsidRPr="00FF28A2" w:rsidRDefault="00C13B74" w:rsidP="00FF28A2">
      <w:pPr>
        <w:rPr>
          <w:rFonts w:ascii="Times New Roman" w:eastAsia="Times New Roman" w:hAnsi="Times New Roman" w:cs="Times New Roman"/>
          <w:b/>
          <w:sz w:val="24"/>
          <w:szCs w:val="24"/>
        </w:rPr>
      </w:pPr>
      <w:r w:rsidRPr="00FF28A2">
        <w:rPr>
          <w:rFonts w:ascii="Times New Roman" w:hAnsi="Times New Roman" w:cs="Times New Roman"/>
          <w:sz w:val="24"/>
          <w:szCs w:val="24"/>
        </w:rPr>
        <w:br w:type="page"/>
      </w:r>
      <w:r w:rsidRPr="00FF28A2">
        <w:rPr>
          <w:rFonts w:ascii="Times New Roman" w:eastAsia="Times New Roman" w:hAnsi="Times New Roman" w:cs="Times New Roman"/>
          <w:b/>
          <w:sz w:val="24"/>
          <w:szCs w:val="24"/>
        </w:rPr>
        <w:lastRenderedPageBreak/>
        <w:t>References</w:t>
      </w:r>
    </w:p>
    <w:p w14:paraId="0000003E" w14:textId="77777777" w:rsidR="00E83534" w:rsidRPr="00FF28A2" w:rsidRDefault="00E83534">
      <w:pPr>
        <w:jc w:val="center"/>
        <w:rPr>
          <w:rFonts w:ascii="Times New Roman" w:eastAsia="Times New Roman" w:hAnsi="Times New Roman" w:cs="Times New Roman"/>
          <w:sz w:val="24"/>
          <w:szCs w:val="24"/>
        </w:rPr>
      </w:pPr>
    </w:p>
    <w:p w14:paraId="0000003F" w14:textId="14FADDEB" w:rsidR="00E83534" w:rsidRPr="00FF28A2" w:rsidRDefault="00C13B74">
      <w:pPr>
        <w:spacing w:line="324" w:lineRule="auto"/>
        <w:ind w:left="720" w:hanging="720"/>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Appelbaum, P., and T. Grisso. 1998. Assessing patients’ capacities to consent to treatment. </w:t>
      </w:r>
      <w:r w:rsidRPr="00FF28A2">
        <w:rPr>
          <w:rFonts w:ascii="Times New Roman" w:eastAsia="Times New Roman" w:hAnsi="Times New Roman" w:cs="Times New Roman"/>
          <w:i/>
          <w:sz w:val="24"/>
          <w:szCs w:val="24"/>
        </w:rPr>
        <w:t>New England Journal of Medicine</w:t>
      </w:r>
      <w:r w:rsidRPr="00FF28A2">
        <w:rPr>
          <w:rFonts w:ascii="Times New Roman" w:eastAsia="Times New Roman" w:hAnsi="Times New Roman" w:cs="Times New Roman"/>
          <w:sz w:val="24"/>
          <w:szCs w:val="24"/>
        </w:rPr>
        <w:t xml:space="preserve"> 319 (25): 1635–</w:t>
      </w:r>
      <w:r w:rsidR="00F966B1">
        <w:rPr>
          <w:rFonts w:ascii="Times New Roman" w:eastAsia="Times New Roman" w:hAnsi="Times New Roman" w:cs="Times New Roman"/>
          <w:sz w:val="24"/>
          <w:szCs w:val="24"/>
        </w:rPr>
        <w:t>16</w:t>
      </w:r>
      <w:r w:rsidRPr="00FF28A2">
        <w:rPr>
          <w:rFonts w:ascii="Times New Roman" w:eastAsia="Times New Roman" w:hAnsi="Times New Roman" w:cs="Times New Roman"/>
          <w:sz w:val="24"/>
          <w:szCs w:val="24"/>
        </w:rPr>
        <w:t>38.</w:t>
      </w:r>
      <w:hyperlink r:id="rId7">
        <w:r w:rsidRPr="00FF28A2">
          <w:rPr>
            <w:rFonts w:ascii="Times New Roman" w:eastAsia="Times New Roman" w:hAnsi="Times New Roman" w:cs="Times New Roman"/>
            <w:sz w:val="24"/>
            <w:szCs w:val="24"/>
          </w:rPr>
          <w:t xml:space="preserve"> </w:t>
        </w:r>
      </w:hyperlink>
      <w:hyperlink r:id="rId8">
        <w:r w:rsidRPr="00FF28A2">
          <w:rPr>
            <w:rFonts w:ascii="Times New Roman" w:eastAsia="Times New Roman" w:hAnsi="Times New Roman" w:cs="Times New Roman"/>
            <w:color w:val="1155CC"/>
            <w:sz w:val="24"/>
            <w:szCs w:val="24"/>
            <w:u w:val="single"/>
          </w:rPr>
          <w:t>https://doi.org/10.1056/NEJM198812223192504</w:t>
        </w:r>
      </w:hyperlink>
      <w:r w:rsidRPr="00FF28A2">
        <w:rPr>
          <w:rFonts w:ascii="Times New Roman" w:eastAsia="Times New Roman" w:hAnsi="Times New Roman" w:cs="Times New Roman"/>
          <w:sz w:val="24"/>
          <w:szCs w:val="24"/>
        </w:rPr>
        <w:t>.</w:t>
      </w:r>
    </w:p>
    <w:p w14:paraId="00000040" w14:textId="77777777" w:rsidR="00E83534" w:rsidRPr="00FF28A2" w:rsidRDefault="00E83534">
      <w:pPr>
        <w:ind w:left="720" w:hanging="720"/>
        <w:rPr>
          <w:rFonts w:ascii="Times New Roman" w:eastAsia="Times New Roman" w:hAnsi="Times New Roman" w:cs="Times New Roman"/>
          <w:sz w:val="24"/>
          <w:szCs w:val="24"/>
        </w:rPr>
      </w:pPr>
    </w:p>
    <w:p w14:paraId="00000041" w14:textId="4DE5BB71" w:rsidR="00E83534" w:rsidRPr="00FF28A2" w:rsidRDefault="00C13B74">
      <w:pPr>
        <w:spacing w:line="324" w:lineRule="auto"/>
        <w:ind w:left="720" w:hanging="720"/>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Brudney, D., and J. Lantos. 2011. Agency and authenticity: Which value grounds patient choice? </w:t>
      </w:r>
      <w:r w:rsidRPr="00FF28A2">
        <w:rPr>
          <w:rFonts w:ascii="Times New Roman" w:eastAsia="Times New Roman" w:hAnsi="Times New Roman" w:cs="Times New Roman"/>
          <w:i/>
          <w:sz w:val="24"/>
          <w:szCs w:val="24"/>
        </w:rPr>
        <w:t>Theoretical Medicine and Bioethics</w:t>
      </w:r>
      <w:r w:rsidRPr="00FF28A2">
        <w:rPr>
          <w:rFonts w:ascii="Times New Roman" w:eastAsia="Times New Roman" w:hAnsi="Times New Roman" w:cs="Times New Roman"/>
          <w:sz w:val="24"/>
          <w:szCs w:val="24"/>
        </w:rPr>
        <w:t xml:space="preserve"> 32 (4): 217–</w:t>
      </w:r>
      <w:r w:rsidR="00F966B1">
        <w:rPr>
          <w:rFonts w:ascii="Times New Roman" w:eastAsia="Times New Roman" w:hAnsi="Times New Roman" w:cs="Times New Roman"/>
          <w:sz w:val="24"/>
          <w:szCs w:val="24"/>
        </w:rPr>
        <w:t>2</w:t>
      </w:r>
      <w:r w:rsidRPr="00FF28A2">
        <w:rPr>
          <w:rFonts w:ascii="Times New Roman" w:eastAsia="Times New Roman" w:hAnsi="Times New Roman" w:cs="Times New Roman"/>
          <w:sz w:val="24"/>
          <w:szCs w:val="24"/>
        </w:rPr>
        <w:t>27.</w:t>
      </w:r>
      <w:hyperlink r:id="rId9">
        <w:r w:rsidRPr="00FF28A2">
          <w:rPr>
            <w:rFonts w:ascii="Times New Roman" w:eastAsia="Times New Roman" w:hAnsi="Times New Roman" w:cs="Times New Roman"/>
            <w:sz w:val="24"/>
            <w:szCs w:val="24"/>
          </w:rPr>
          <w:t xml:space="preserve"> </w:t>
        </w:r>
      </w:hyperlink>
      <w:hyperlink r:id="rId10">
        <w:r w:rsidRPr="00FF28A2">
          <w:rPr>
            <w:rFonts w:ascii="Times New Roman" w:eastAsia="Times New Roman" w:hAnsi="Times New Roman" w:cs="Times New Roman"/>
            <w:color w:val="1155CC"/>
            <w:sz w:val="24"/>
            <w:szCs w:val="24"/>
            <w:u w:val="single"/>
          </w:rPr>
          <w:t>https://doi.org/10.1007/s11017-011-9180-2</w:t>
        </w:r>
      </w:hyperlink>
      <w:r w:rsidRPr="00FF28A2">
        <w:rPr>
          <w:rFonts w:ascii="Times New Roman" w:eastAsia="Times New Roman" w:hAnsi="Times New Roman" w:cs="Times New Roman"/>
          <w:sz w:val="24"/>
          <w:szCs w:val="24"/>
        </w:rPr>
        <w:t>.</w:t>
      </w:r>
    </w:p>
    <w:p w14:paraId="00000042" w14:textId="77777777" w:rsidR="00E83534" w:rsidRPr="00FF28A2" w:rsidRDefault="00E83534">
      <w:pPr>
        <w:ind w:left="720" w:hanging="720"/>
        <w:rPr>
          <w:rFonts w:ascii="Times New Roman" w:eastAsia="Times New Roman" w:hAnsi="Times New Roman" w:cs="Times New Roman"/>
          <w:sz w:val="24"/>
          <w:szCs w:val="24"/>
        </w:rPr>
      </w:pPr>
    </w:p>
    <w:p w14:paraId="00000043" w14:textId="77777777" w:rsidR="00E83534" w:rsidRPr="00FF28A2" w:rsidRDefault="00C13B74">
      <w:pPr>
        <w:spacing w:line="324" w:lineRule="auto"/>
        <w:ind w:left="720" w:hanging="720"/>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Brudney, D. 2009. Choosing for another: Beyond autonomy and best interests. </w:t>
      </w:r>
      <w:r w:rsidRPr="00FF28A2">
        <w:rPr>
          <w:rFonts w:ascii="Times New Roman" w:eastAsia="Times New Roman" w:hAnsi="Times New Roman" w:cs="Times New Roman"/>
          <w:i/>
          <w:sz w:val="24"/>
          <w:szCs w:val="24"/>
        </w:rPr>
        <w:t>The Hastings Center Report</w:t>
      </w:r>
      <w:r w:rsidRPr="00FF28A2">
        <w:rPr>
          <w:rFonts w:ascii="Times New Roman" w:eastAsia="Times New Roman" w:hAnsi="Times New Roman" w:cs="Times New Roman"/>
          <w:sz w:val="24"/>
          <w:szCs w:val="24"/>
        </w:rPr>
        <w:t xml:space="preserve"> 39 (2): 31–37.</w:t>
      </w:r>
      <w:hyperlink r:id="rId11">
        <w:r w:rsidRPr="00FF28A2">
          <w:rPr>
            <w:rFonts w:ascii="Times New Roman" w:eastAsia="Times New Roman" w:hAnsi="Times New Roman" w:cs="Times New Roman"/>
            <w:sz w:val="24"/>
            <w:szCs w:val="24"/>
          </w:rPr>
          <w:t xml:space="preserve"> </w:t>
        </w:r>
      </w:hyperlink>
      <w:hyperlink r:id="rId12">
        <w:r w:rsidRPr="00FF28A2">
          <w:rPr>
            <w:rFonts w:ascii="Times New Roman" w:eastAsia="Times New Roman" w:hAnsi="Times New Roman" w:cs="Times New Roman"/>
            <w:color w:val="1155CC"/>
            <w:sz w:val="24"/>
            <w:szCs w:val="24"/>
            <w:u w:val="single"/>
          </w:rPr>
          <w:t>https://doi.org/10.1353/hcr.0.0113</w:t>
        </w:r>
      </w:hyperlink>
      <w:r w:rsidRPr="00FF28A2">
        <w:rPr>
          <w:rFonts w:ascii="Times New Roman" w:eastAsia="Times New Roman" w:hAnsi="Times New Roman" w:cs="Times New Roman"/>
          <w:sz w:val="24"/>
          <w:szCs w:val="24"/>
        </w:rPr>
        <w:t>.</w:t>
      </w:r>
    </w:p>
    <w:p w14:paraId="00000044" w14:textId="77777777" w:rsidR="00E83534" w:rsidRPr="00FF28A2" w:rsidRDefault="00E83534">
      <w:pPr>
        <w:spacing w:line="324" w:lineRule="auto"/>
        <w:ind w:left="720" w:hanging="720"/>
        <w:rPr>
          <w:rFonts w:ascii="Times New Roman" w:eastAsia="Times New Roman" w:hAnsi="Times New Roman" w:cs="Times New Roman"/>
          <w:sz w:val="24"/>
          <w:szCs w:val="24"/>
        </w:rPr>
      </w:pPr>
    </w:p>
    <w:p w14:paraId="00000045" w14:textId="77777777" w:rsidR="00E83534" w:rsidRPr="00FF28A2" w:rsidRDefault="00C13B74">
      <w:pPr>
        <w:spacing w:line="240" w:lineRule="auto"/>
        <w:ind w:left="720" w:hanging="720"/>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Charland, L, C. (1998). Appreciation and emotion: Theoretical reflections on the MacArthur treatment competence study. </w:t>
      </w:r>
      <w:r w:rsidRPr="00FF28A2">
        <w:rPr>
          <w:rFonts w:ascii="Times New Roman" w:eastAsia="Times New Roman" w:hAnsi="Times New Roman" w:cs="Times New Roman"/>
          <w:i/>
          <w:sz w:val="24"/>
          <w:szCs w:val="24"/>
        </w:rPr>
        <w:t xml:space="preserve">Kennedy </w:t>
      </w:r>
      <w:r w:rsidRPr="00FF28A2">
        <w:rPr>
          <w:rFonts w:ascii="Times New Roman" w:eastAsia="Times New Roman" w:hAnsi="Times New Roman" w:cs="Times New Roman"/>
          <w:i/>
          <w:sz w:val="24"/>
          <w:szCs w:val="24"/>
        </w:rPr>
        <w:t>Institute for Ethics Journal</w:t>
      </w:r>
      <w:r w:rsidRPr="00FF28A2">
        <w:rPr>
          <w:rFonts w:ascii="Times New Roman" w:eastAsia="Times New Roman" w:hAnsi="Times New Roman" w:cs="Times New Roman"/>
          <w:sz w:val="24"/>
          <w:szCs w:val="24"/>
        </w:rPr>
        <w:t xml:space="preserve"> 8 (4), 359-174</w:t>
      </w:r>
    </w:p>
    <w:p w14:paraId="00000046" w14:textId="77777777" w:rsidR="00E83534" w:rsidRPr="00FF28A2" w:rsidRDefault="00E83534">
      <w:pPr>
        <w:ind w:left="720" w:hanging="720"/>
        <w:rPr>
          <w:rFonts w:ascii="Times New Roman" w:eastAsia="Times New Roman" w:hAnsi="Times New Roman" w:cs="Times New Roman"/>
          <w:sz w:val="24"/>
          <w:szCs w:val="24"/>
        </w:rPr>
      </w:pPr>
    </w:p>
    <w:p w14:paraId="00000047" w14:textId="77777777" w:rsidR="00E83534" w:rsidRPr="00FF28A2" w:rsidRDefault="00C13B74">
      <w:pPr>
        <w:ind w:left="720" w:hanging="720"/>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Christman, J. </w:t>
      </w:r>
      <w:r w:rsidRPr="00FF28A2">
        <w:rPr>
          <w:rFonts w:ascii="Times New Roman" w:eastAsia="Times New Roman" w:hAnsi="Times New Roman" w:cs="Times New Roman"/>
          <w:color w:val="1A1A1A"/>
          <w:sz w:val="24"/>
          <w:szCs w:val="24"/>
          <w:highlight w:val="white"/>
        </w:rPr>
        <w:t xml:space="preserve">1991. Autonomy and personal history. </w:t>
      </w:r>
      <w:r w:rsidRPr="00FF28A2">
        <w:rPr>
          <w:rFonts w:ascii="Times New Roman" w:eastAsia="Times New Roman" w:hAnsi="Times New Roman" w:cs="Times New Roman"/>
          <w:i/>
          <w:color w:val="1A1A1A"/>
          <w:sz w:val="24"/>
          <w:szCs w:val="24"/>
          <w:highlight w:val="white"/>
        </w:rPr>
        <w:t>Canadian Journal of Philosophy</w:t>
      </w:r>
      <w:r w:rsidRPr="00FF28A2">
        <w:rPr>
          <w:rFonts w:ascii="Times New Roman" w:eastAsia="Times New Roman" w:hAnsi="Times New Roman" w:cs="Times New Roman"/>
          <w:color w:val="1A1A1A"/>
          <w:sz w:val="24"/>
          <w:szCs w:val="24"/>
          <w:highlight w:val="white"/>
        </w:rPr>
        <w:t xml:space="preserve"> 21 (1): 1–24.</w:t>
      </w:r>
      <w:hyperlink r:id="rId13">
        <w:r w:rsidRPr="00FF28A2">
          <w:rPr>
            <w:rFonts w:ascii="Times New Roman" w:eastAsia="Times New Roman" w:hAnsi="Times New Roman" w:cs="Times New Roman"/>
            <w:color w:val="1A1A1A"/>
            <w:sz w:val="24"/>
            <w:szCs w:val="24"/>
            <w:highlight w:val="white"/>
          </w:rPr>
          <w:t xml:space="preserve"> </w:t>
        </w:r>
      </w:hyperlink>
      <w:hyperlink r:id="rId14">
        <w:r w:rsidRPr="00FF28A2">
          <w:rPr>
            <w:rFonts w:ascii="Times New Roman" w:eastAsia="Times New Roman" w:hAnsi="Times New Roman" w:cs="Times New Roman"/>
            <w:color w:val="1155CC"/>
            <w:sz w:val="24"/>
            <w:szCs w:val="24"/>
            <w:highlight w:val="white"/>
            <w:u w:val="single"/>
          </w:rPr>
          <w:t>https://doi.org/10.1080/00455091.1991.10717234</w:t>
        </w:r>
      </w:hyperlink>
      <w:r w:rsidRPr="00FF28A2">
        <w:rPr>
          <w:rFonts w:ascii="Times New Roman" w:eastAsia="Times New Roman" w:hAnsi="Times New Roman" w:cs="Times New Roman"/>
          <w:color w:val="1A1A1A"/>
          <w:sz w:val="24"/>
          <w:szCs w:val="24"/>
          <w:highlight w:val="white"/>
        </w:rPr>
        <w:t>.</w:t>
      </w:r>
    </w:p>
    <w:p w14:paraId="00000048" w14:textId="77777777" w:rsidR="00E83534" w:rsidRPr="00FF28A2" w:rsidRDefault="00E83534">
      <w:pPr>
        <w:ind w:left="720" w:hanging="720"/>
        <w:rPr>
          <w:rFonts w:ascii="Times New Roman" w:eastAsia="Times New Roman" w:hAnsi="Times New Roman" w:cs="Times New Roman"/>
          <w:sz w:val="24"/>
          <w:szCs w:val="24"/>
        </w:rPr>
      </w:pPr>
    </w:p>
    <w:p w14:paraId="00000049" w14:textId="77777777"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 2009. </w:t>
      </w:r>
      <w:r w:rsidRPr="00FF28A2">
        <w:rPr>
          <w:rFonts w:ascii="Times New Roman" w:eastAsia="Times New Roman" w:hAnsi="Times New Roman" w:cs="Times New Roman"/>
          <w:i/>
          <w:color w:val="1A1A1A"/>
          <w:sz w:val="24"/>
          <w:szCs w:val="24"/>
          <w:highlight w:val="white"/>
        </w:rPr>
        <w:t>The Politics of Persons: Individual Autonomy and Socio-historical Selves</w:t>
      </w:r>
      <w:r w:rsidRPr="00FF28A2">
        <w:rPr>
          <w:rFonts w:ascii="Times New Roman" w:eastAsia="Times New Roman" w:hAnsi="Times New Roman" w:cs="Times New Roman"/>
          <w:color w:val="1A1A1A"/>
          <w:sz w:val="24"/>
          <w:szCs w:val="24"/>
          <w:highlight w:val="white"/>
        </w:rPr>
        <w:t>, Cambridge: Cambridge University Press.</w:t>
      </w:r>
    </w:p>
    <w:p w14:paraId="0000004A" w14:textId="77777777" w:rsidR="00E83534" w:rsidRPr="00FF28A2" w:rsidRDefault="00E83534">
      <w:pPr>
        <w:spacing w:line="324" w:lineRule="auto"/>
        <w:ind w:left="720" w:hanging="720"/>
        <w:rPr>
          <w:rFonts w:ascii="Times New Roman" w:eastAsia="Times New Roman" w:hAnsi="Times New Roman" w:cs="Times New Roman"/>
          <w:color w:val="1A1A1A"/>
          <w:sz w:val="24"/>
          <w:szCs w:val="24"/>
          <w:highlight w:val="white"/>
        </w:rPr>
      </w:pPr>
    </w:p>
    <w:p w14:paraId="0000004B" w14:textId="1639C493"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Coverdale, J. H., F. A. Chervenak, L. B. McCullough, and T. Bayer. 1996. Ethically justified clinically comprehensive guidelines for the management of the depressed pregnant patient. </w:t>
      </w:r>
      <w:r w:rsidRPr="00FF28A2">
        <w:rPr>
          <w:rFonts w:ascii="Times New Roman" w:eastAsia="Times New Roman" w:hAnsi="Times New Roman" w:cs="Times New Roman"/>
          <w:i/>
          <w:color w:val="1A1A1A"/>
          <w:sz w:val="24"/>
          <w:szCs w:val="24"/>
          <w:highlight w:val="white"/>
        </w:rPr>
        <w:t>American Journal of Obstetrics and Gynecology</w:t>
      </w:r>
      <w:r w:rsidRPr="00FF28A2">
        <w:rPr>
          <w:rFonts w:ascii="Times New Roman" w:eastAsia="Times New Roman" w:hAnsi="Times New Roman" w:cs="Times New Roman"/>
          <w:color w:val="1A1A1A"/>
          <w:sz w:val="24"/>
          <w:szCs w:val="24"/>
          <w:highlight w:val="white"/>
        </w:rPr>
        <w:t xml:space="preserve"> 174 (1): 169–</w:t>
      </w:r>
      <w:r w:rsidR="00F966B1">
        <w:rPr>
          <w:rFonts w:ascii="Times New Roman" w:eastAsia="Times New Roman" w:hAnsi="Times New Roman" w:cs="Times New Roman"/>
          <w:color w:val="1A1A1A"/>
          <w:sz w:val="24"/>
          <w:szCs w:val="24"/>
          <w:highlight w:val="white"/>
        </w:rPr>
        <w:t>1</w:t>
      </w:r>
      <w:r w:rsidRPr="00FF28A2">
        <w:rPr>
          <w:rFonts w:ascii="Times New Roman" w:eastAsia="Times New Roman" w:hAnsi="Times New Roman" w:cs="Times New Roman"/>
          <w:color w:val="1A1A1A"/>
          <w:sz w:val="24"/>
          <w:szCs w:val="24"/>
          <w:highlight w:val="white"/>
        </w:rPr>
        <w:t>73.</w:t>
      </w:r>
      <w:hyperlink r:id="rId15">
        <w:r w:rsidRPr="00FF28A2">
          <w:rPr>
            <w:rFonts w:ascii="Times New Roman" w:eastAsia="Times New Roman" w:hAnsi="Times New Roman" w:cs="Times New Roman"/>
            <w:color w:val="1A1A1A"/>
            <w:sz w:val="24"/>
            <w:szCs w:val="24"/>
            <w:highlight w:val="white"/>
          </w:rPr>
          <w:t xml:space="preserve"> </w:t>
        </w:r>
      </w:hyperlink>
      <w:hyperlink r:id="rId16">
        <w:r w:rsidRPr="00FF28A2">
          <w:rPr>
            <w:rFonts w:ascii="Times New Roman" w:eastAsia="Times New Roman" w:hAnsi="Times New Roman" w:cs="Times New Roman"/>
            <w:color w:val="1155CC"/>
            <w:sz w:val="24"/>
            <w:szCs w:val="24"/>
            <w:highlight w:val="white"/>
            <w:u w:val="single"/>
          </w:rPr>
          <w:t>https://doi.org/10.1016/s0002-9378(96)70390-3</w:t>
        </w:r>
      </w:hyperlink>
      <w:r w:rsidRPr="00FF28A2">
        <w:rPr>
          <w:rFonts w:ascii="Times New Roman" w:eastAsia="Times New Roman" w:hAnsi="Times New Roman" w:cs="Times New Roman"/>
          <w:color w:val="1A1A1A"/>
          <w:sz w:val="24"/>
          <w:szCs w:val="24"/>
          <w:highlight w:val="white"/>
        </w:rPr>
        <w:t>.</w:t>
      </w:r>
    </w:p>
    <w:p w14:paraId="0000004C" w14:textId="77777777" w:rsidR="00E83534" w:rsidRPr="00FF28A2" w:rsidRDefault="00C13B74">
      <w:pPr>
        <w:spacing w:before="240"/>
        <w:ind w:left="720" w:hanging="720"/>
        <w:rPr>
          <w:rFonts w:ascii="Times New Roman" w:eastAsia="Times New Roman" w:hAnsi="Times New Roman" w:cs="Times New Roman"/>
          <w:sz w:val="24"/>
          <w:szCs w:val="24"/>
          <w:highlight w:val="white"/>
        </w:rPr>
      </w:pPr>
      <w:r w:rsidRPr="00FF28A2">
        <w:rPr>
          <w:rFonts w:ascii="Times New Roman" w:eastAsia="Times New Roman" w:hAnsi="Times New Roman" w:cs="Times New Roman"/>
          <w:sz w:val="24"/>
          <w:szCs w:val="24"/>
          <w:highlight w:val="white"/>
        </w:rPr>
        <w:t xml:space="preserve">Feinberg, J. 1989. Autonomy. In </w:t>
      </w:r>
      <w:r w:rsidRPr="00FF28A2">
        <w:rPr>
          <w:rFonts w:ascii="Times New Roman" w:eastAsia="Times New Roman" w:hAnsi="Times New Roman" w:cs="Times New Roman"/>
          <w:i/>
          <w:sz w:val="24"/>
          <w:szCs w:val="24"/>
          <w:highlight w:val="white"/>
        </w:rPr>
        <w:t>The inner citadel: Essays on individual autonomy</w:t>
      </w:r>
      <w:r w:rsidRPr="00FF28A2">
        <w:rPr>
          <w:rFonts w:ascii="Times New Roman" w:eastAsia="Times New Roman" w:hAnsi="Times New Roman" w:cs="Times New Roman"/>
          <w:sz w:val="24"/>
          <w:szCs w:val="24"/>
          <w:highlight w:val="white"/>
        </w:rPr>
        <w:t>, ed. John Christman. New York: Oxford University Press.</w:t>
      </w:r>
    </w:p>
    <w:p w14:paraId="0000004D" w14:textId="712B7D5C" w:rsidR="00E83534" w:rsidRPr="00FF28A2" w:rsidRDefault="00C13B74">
      <w:pPr>
        <w:spacing w:before="240"/>
        <w:ind w:left="720" w:hanging="720"/>
        <w:rPr>
          <w:rFonts w:ascii="Times New Roman" w:eastAsia="Times New Roman" w:hAnsi="Times New Roman" w:cs="Times New Roman"/>
          <w:sz w:val="24"/>
          <w:szCs w:val="24"/>
          <w:highlight w:val="white"/>
        </w:rPr>
      </w:pPr>
      <w:proofErr w:type="spellStart"/>
      <w:r w:rsidRPr="00FF28A2">
        <w:rPr>
          <w:rFonts w:ascii="Times New Roman" w:eastAsia="Times New Roman" w:hAnsi="Times New Roman" w:cs="Times New Roman"/>
          <w:sz w:val="24"/>
          <w:szCs w:val="24"/>
          <w:highlight w:val="white"/>
        </w:rPr>
        <w:t>Ganzini</w:t>
      </w:r>
      <w:proofErr w:type="spellEnd"/>
      <w:r w:rsidRPr="00FF28A2">
        <w:rPr>
          <w:rFonts w:ascii="Times New Roman" w:eastAsia="Times New Roman" w:hAnsi="Times New Roman" w:cs="Times New Roman"/>
          <w:sz w:val="24"/>
          <w:szCs w:val="24"/>
          <w:highlight w:val="white"/>
        </w:rPr>
        <w:t xml:space="preserve">, L., M. A. Lee, R. T. Heintz, and J. D. Bloom. 1992. Do-Not-Resuscitate orders for depressed psychiatric inpatients. </w:t>
      </w:r>
      <w:r w:rsidRPr="00FF28A2">
        <w:rPr>
          <w:rFonts w:ascii="Times New Roman" w:eastAsia="Times New Roman" w:hAnsi="Times New Roman" w:cs="Times New Roman"/>
          <w:i/>
          <w:sz w:val="24"/>
          <w:szCs w:val="24"/>
          <w:highlight w:val="white"/>
        </w:rPr>
        <w:t xml:space="preserve">Hospital &amp; Community Psychiatry </w:t>
      </w:r>
      <w:r w:rsidRPr="00FF28A2">
        <w:rPr>
          <w:rFonts w:ascii="Times New Roman" w:eastAsia="Times New Roman" w:hAnsi="Times New Roman" w:cs="Times New Roman"/>
          <w:sz w:val="24"/>
          <w:szCs w:val="24"/>
          <w:highlight w:val="white"/>
        </w:rPr>
        <w:t>43 (9): 915–</w:t>
      </w:r>
      <w:r w:rsidR="00F966B1">
        <w:rPr>
          <w:rFonts w:ascii="Times New Roman" w:eastAsia="Times New Roman" w:hAnsi="Times New Roman" w:cs="Times New Roman"/>
          <w:sz w:val="24"/>
          <w:szCs w:val="24"/>
          <w:highlight w:val="white"/>
        </w:rPr>
        <w:t>9</w:t>
      </w:r>
      <w:r w:rsidRPr="00FF28A2">
        <w:rPr>
          <w:rFonts w:ascii="Times New Roman" w:eastAsia="Times New Roman" w:hAnsi="Times New Roman" w:cs="Times New Roman"/>
          <w:sz w:val="24"/>
          <w:szCs w:val="24"/>
          <w:highlight w:val="white"/>
        </w:rPr>
        <w:t>19. https://doi.org/10.1176/ps.43.9.915.</w:t>
      </w:r>
    </w:p>
    <w:p w14:paraId="0000004E" w14:textId="77777777" w:rsidR="00E83534" w:rsidRPr="00FF28A2" w:rsidRDefault="00E83534">
      <w:pPr>
        <w:ind w:left="720" w:hanging="720"/>
        <w:rPr>
          <w:rFonts w:ascii="Times New Roman" w:eastAsia="Times New Roman" w:hAnsi="Times New Roman" w:cs="Times New Roman"/>
          <w:color w:val="1A1A1A"/>
          <w:sz w:val="24"/>
          <w:szCs w:val="24"/>
          <w:highlight w:val="white"/>
        </w:rPr>
      </w:pPr>
    </w:p>
    <w:p w14:paraId="0000004F" w14:textId="77777777"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Garrett, J., J. Moskop, and J. Parker. 2022. Against multiplying clinical ethics standards without necessity: The case for parsimony in evaluating decision-making capacity. </w:t>
      </w:r>
      <w:r w:rsidRPr="00FF28A2">
        <w:rPr>
          <w:rFonts w:ascii="Times New Roman" w:eastAsia="Times New Roman" w:hAnsi="Times New Roman" w:cs="Times New Roman"/>
          <w:i/>
          <w:color w:val="1A1A1A"/>
          <w:sz w:val="24"/>
          <w:szCs w:val="24"/>
          <w:highlight w:val="white"/>
        </w:rPr>
        <w:t>The American Journal of Bioethics</w:t>
      </w:r>
      <w:r w:rsidRPr="00FF28A2">
        <w:rPr>
          <w:rFonts w:ascii="Times New Roman" w:eastAsia="Times New Roman" w:hAnsi="Times New Roman" w:cs="Times New Roman"/>
          <w:color w:val="1A1A1A"/>
          <w:sz w:val="24"/>
          <w:szCs w:val="24"/>
          <w:highlight w:val="white"/>
        </w:rPr>
        <w:t xml:space="preserve"> 22 (11): 87–89.</w:t>
      </w:r>
      <w:hyperlink r:id="rId17">
        <w:r w:rsidRPr="00FF28A2">
          <w:rPr>
            <w:rFonts w:ascii="Times New Roman" w:eastAsia="Times New Roman" w:hAnsi="Times New Roman" w:cs="Times New Roman"/>
            <w:color w:val="1A1A1A"/>
            <w:sz w:val="24"/>
            <w:szCs w:val="24"/>
            <w:highlight w:val="white"/>
          </w:rPr>
          <w:t xml:space="preserve"> </w:t>
        </w:r>
      </w:hyperlink>
      <w:hyperlink r:id="rId18">
        <w:r w:rsidRPr="00FF28A2">
          <w:rPr>
            <w:rFonts w:ascii="Times New Roman" w:eastAsia="Times New Roman" w:hAnsi="Times New Roman" w:cs="Times New Roman"/>
            <w:color w:val="1155CC"/>
            <w:sz w:val="24"/>
            <w:szCs w:val="24"/>
            <w:highlight w:val="white"/>
            <w:u w:val="single"/>
          </w:rPr>
          <w:t>https://doi.org/10.1080/15265161.2022.2123994</w:t>
        </w:r>
      </w:hyperlink>
      <w:r w:rsidRPr="00FF28A2">
        <w:rPr>
          <w:rFonts w:ascii="Times New Roman" w:eastAsia="Times New Roman" w:hAnsi="Times New Roman" w:cs="Times New Roman"/>
          <w:color w:val="1A1A1A"/>
          <w:sz w:val="24"/>
          <w:szCs w:val="24"/>
          <w:highlight w:val="white"/>
        </w:rPr>
        <w:t>.</w:t>
      </w:r>
    </w:p>
    <w:p w14:paraId="00000050" w14:textId="77777777" w:rsidR="00E83534" w:rsidRPr="00FF28A2" w:rsidRDefault="00E83534">
      <w:pPr>
        <w:spacing w:line="324" w:lineRule="auto"/>
        <w:ind w:left="720" w:hanging="720"/>
        <w:rPr>
          <w:rFonts w:ascii="Times New Roman" w:eastAsia="Times New Roman" w:hAnsi="Times New Roman" w:cs="Times New Roman"/>
          <w:color w:val="1A1A1A"/>
          <w:sz w:val="24"/>
          <w:szCs w:val="24"/>
          <w:highlight w:val="white"/>
        </w:rPr>
      </w:pPr>
    </w:p>
    <w:p w14:paraId="00000051" w14:textId="77777777"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lastRenderedPageBreak/>
        <w:t xml:space="preserve">Halpern, Jodi. 2011. </w:t>
      </w:r>
      <w:r w:rsidRPr="00FF28A2">
        <w:rPr>
          <w:rFonts w:ascii="Times New Roman" w:eastAsia="Times New Roman" w:hAnsi="Times New Roman" w:cs="Times New Roman"/>
          <w:i/>
          <w:color w:val="1A1A1A"/>
          <w:sz w:val="24"/>
          <w:szCs w:val="24"/>
          <w:highlight w:val="white"/>
        </w:rPr>
        <w:t>From Detached Concern to Empathy: Humanizing Medical Practice</w:t>
      </w:r>
      <w:r w:rsidRPr="00FF28A2">
        <w:rPr>
          <w:rFonts w:ascii="Times New Roman" w:eastAsia="Times New Roman" w:hAnsi="Times New Roman" w:cs="Times New Roman"/>
          <w:color w:val="1A1A1A"/>
          <w:sz w:val="24"/>
          <w:szCs w:val="24"/>
          <w:highlight w:val="white"/>
        </w:rPr>
        <w:t>. 1st edition. New York: Oxford University Press.</w:t>
      </w:r>
    </w:p>
    <w:p w14:paraId="00000052" w14:textId="77777777" w:rsidR="00E83534" w:rsidRPr="00FF28A2" w:rsidRDefault="00E83534">
      <w:pPr>
        <w:spacing w:line="324" w:lineRule="auto"/>
        <w:ind w:left="720" w:hanging="720"/>
        <w:rPr>
          <w:rFonts w:ascii="Times New Roman" w:eastAsia="Times New Roman" w:hAnsi="Times New Roman" w:cs="Times New Roman"/>
          <w:color w:val="1A1A1A"/>
          <w:sz w:val="24"/>
          <w:szCs w:val="24"/>
          <w:highlight w:val="white"/>
        </w:rPr>
      </w:pPr>
    </w:p>
    <w:p w14:paraId="00000053" w14:textId="77777777"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Hope, T., J. Tan, A. Stewart, and R, Fitzpatrick. 2011. Anorexia nervosa and the language of authenticity. </w:t>
      </w:r>
      <w:r w:rsidRPr="00FF28A2">
        <w:rPr>
          <w:rFonts w:ascii="Times New Roman" w:eastAsia="Times New Roman" w:hAnsi="Times New Roman" w:cs="Times New Roman"/>
          <w:i/>
          <w:color w:val="1A1A1A"/>
          <w:sz w:val="24"/>
          <w:szCs w:val="24"/>
          <w:highlight w:val="white"/>
        </w:rPr>
        <w:t>Hastings Center Report</w:t>
      </w:r>
      <w:r w:rsidRPr="00FF28A2">
        <w:rPr>
          <w:rFonts w:ascii="Times New Roman" w:eastAsia="Times New Roman" w:hAnsi="Times New Roman" w:cs="Times New Roman"/>
          <w:color w:val="1A1A1A"/>
          <w:sz w:val="24"/>
          <w:szCs w:val="24"/>
          <w:highlight w:val="white"/>
        </w:rPr>
        <w:t xml:space="preserve"> 41 (6): 19–29.</w:t>
      </w:r>
      <w:hyperlink r:id="rId19">
        <w:r w:rsidRPr="00FF28A2">
          <w:rPr>
            <w:rFonts w:ascii="Times New Roman" w:eastAsia="Times New Roman" w:hAnsi="Times New Roman" w:cs="Times New Roman"/>
            <w:color w:val="1A1A1A"/>
            <w:sz w:val="24"/>
            <w:szCs w:val="24"/>
            <w:highlight w:val="white"/>
          </w:rPr>
          <w:t xml:space="preserve"> </w:t>
        </w:r>
      </w:hyperlink>
      <w:hyperlink r:id="rId20">
        <w:r w:rsidRPr="00FF28A2">
          <w:rPr>
            <w:rFonts w:ascii="Times New Roman" w:eastAsia="Times New Roman" w:hAnsi="Times New Roman" w:cs="Times New Roman"/>
            <w:color w:val="1155CC"/>
            <w:sz w:val="24"/>
            <w:szCs w:val="24"/>
            <w:highlight w:val="white"/>
            <w:u w:val="single"/>
          </w:rPr>
          <w:t>https://doi.org/10.1002/j.1552-146X.2011.tb00153.x</w:t>
        </w:r>
      </w:hyperlink>
      <w:r w:rsidRPr="00FF28A2">
        <w:rPr>
          <w:rFonts w:ascii="Times New Roman" w:eastAsia="Times New Roman" w:hAnsi="Times New Roman" w:cs="Times New Roman"/>
          <w:color w:val="1A1A1A"/>
          <w:sz w:val="24"/>
          <w:szCs w:val="24"/>
          <w:highlight w:val="white"/>
        </w:rPr>
        <w:t>.</w:t>
      </w:r>
    </w:p>
    <w:p w14:paraId="00000054" w14:textId="77777777" w:rsidR="00E83534" w:rsidRPr="00FF28A2" w:rsidRDefault="00E83534">
      <w:pPr>
        <w:spacing w:line="240" w:lineRule="auto"/>
        <w:ind w:left="720" w:hanging="720"/>
        <w:rPr>
          <w:rFonts w:ascii="Times New Roman" w:eastAsia="Times New Roman" w:hAnsi="Times New Roman" w:cs="Times New Roman"/>
          <w:color w:val="1A1A1A"/>
          <w:sz w:val="24"/>
          <w:szCs w:val="24"/>
          <w:highlight w:val="white"/>
        </w:rPr>
      </w:pPr>
    </w:p>
    <w:p w14:paraId="00000055" w14:textId="77777777" w:rsidR="00E83534" w:rsidRPr="00FF28A2" w:rsidRDefault="00C13B74">
      <w:pPr>
        <w:spacing w:line="240"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sz w:val="24"/>
          <w:szCs w:val="24"/>
        </w:rPr>
        <w:t xml:space="preserve">Howard, Dana and David Wendler. 2018. Beyond instrumental value: respecting the will of others and deciding on their behalf. In </w:t>
      </w:r>
      <w:r w:rsidRPr="00FF28A2">
        <w:rPr>
          <w:rFonts w:ascii="Times New Roman" w:eastAsia="Times New Roman" w:hAnsi="Times New Roman" w:cs="Times New Roman"/>
          <w:i/>
          <w:sz w:val="24"/>
          <w:szCs w:val="24"/>
        </w:rPr>
        <w:t>Oxford Handbook of Philosophy and Disability</w:t>
      </w:r>
      <w:r w:rsidRPr="00FF28A2">
        <w:rPr>
          <w:rFonts w:ascii="Times New Roman" w:eastAsia="Times New Roman" w:hAnsi="Times New Roman" w:cs="Times New Roman"/>
          <w:sz w:val="24"/>
          <w:szCs w:val="24"/>
        </w:rPr>
        <w:t xml:space="preserve"> ed. Behalf. </w:t>
      </w:r>
      <w:proofErr w:type="spellStart"/>
      <w:r w:rsidRPr="00FF28A2">
        <w:rPr>
          <w:rFonts w:ascii="Times New Roman" w:eastAsia="Times New Roman" w:hAnsi="Times New Roman" w:cs="Times New Roman"/>
          <w:sz w:val="24"/>
          <w:szCs w:val="24"/>
        </w:rPr>
        <w:t>Cureteon</w:t>
      </w:r>
      <w:proofErr w:type="spellEnd"/>
      <w:r w:rsidRPr="00FF28A2">
        <w:rPr>
          <w:rFonts w:ascii="Times New Roman" w:eastAsia="Times New Roman" w:hAnsi="Times New Roman" w:cs="Times New Roman"/>
          <w:sz w:val="24"/>
          <w:szCs w:val="24"/>
        </w:rPr>
        <w:t>, A., and Wasserman, D. ed. New York: Oxford University Press.</w:t>
      </w:r>
    </w:p>
    <w:p w14:paraId="00000056" w14:textId="77777777" w:rsidR="00E83534" w:rsidRPr="00FF28A2" w:rsidRDefault="00E83534">
      <w:pPr>
        <w:spacing w:line="324" w:lineRule="auto"/>
        <w:ind w:left="720" w:hanging="720"/>
        <w:rPr>
          <w:rFonts w:ascii="Times New Roman" w:eastAsia="Times New Roman" w:hAnsi="Times New Roman" w:cs="Times New Roman"/>
          <w:color w:val="1A1A1A"/>
          <w:sz w:val="24"/>
          <w:szCs w:val="24"/>
          <w:highlight w:val="white"/>
        </w:rPr>
      </w:pPr>
    </w:p>
    <w:p w14:paraId="00000057" w14:textId="77777777"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Koch, Peter Maloy. 2022. Goals- and burdens-based DMC as expressions of value rather than manifestations of DMC. </w:t>
      </w:r>
      <w:r w:rsidRPr="00FF28A2">
        <w:rPr>
          <w:rFonts w:ascii="Times New Roman" w:eastAsia="Times New Roman" w:hAnsi="Times New Roman" w:cs="Times New Roman"/>
          <w:i/>
          <w:color w:val="1A1A1A"/>
          <w:sz w:val="24"/>
          <w:szCs w:val="24"/>
          <w:highlight w:val="white"/>
        </w:rPr>
        <w:t>The American Journal of Bioethics</w:t>
      </w:r>
      <w:r w:rsidRPr="00FF28A2">
        <w:rPr>
          <w:rFonts w:ascii="Times New Roman" w:eastAsia="Times New Roman" w:hAnsi="Times New Roman" w:cs="Times New Roman"/>
          <w:color w:val="1A1A1A"/>
          <w:sz w:val="24"/>
          <w:szCs w:val="24"/>
          <w:highlight w:val="white"/>
        </w:rPr>
        <w:t xml:space="preserve"> 22 (11): 94–96.</w:t>
      </w:r>
      <w:hyperlink r:id="rId21">
        <w:r w:rsidRPr="00FF28A2">
          <w:rPr>
            <w:rFonts w:ascii="Times New Roman" w:eastAsia="Times New Roman" w:hAnsi="Times New Roman" w:cs="Times New Roman"/>
            <w:color w:val="1A1A1A"/>
            <w:sz w:val="24"/>
            <w:szCs w:val="24"/>
            <w:highlight w:val="white"/>
          </w:rPr>
          <w:t xml:space="preserve"> </w:t>
        </w:r>
      </w:hyperlink>
      <w:hyperlink r:id="rId22">
        <w:r w:rsidRPr="00FF28A2">
          <w:rPr>
            <w:rFonts w:ascii="Times New Roman" w:eastAsia="Times New Roman" w:hAnsi="Times New Roman" w:cs="Times New Roman"/>
            <w:color w:val="1155CC"/>
            <w:sz w:val="24"/>
            <w:szCs w:val="24"/>
            <w:highlight w:val="white"/>
            <w:u w:val="single"/>
          </w:rPr>
          <w:t>https://doi.org/10.1080/15265161.2022.2123987</w:t>
        </w:r>
      </w:hyperlink>
      <w:r w:rsidRPr="00FF28A2">
        <w:rPr>
          <w:rFonts w:ascii="Times New Roman" w:eastAsia="Times New Roman" w:hAnsi="Times New Roman" w:cs="Times New Roman"/>
          <w:color w:val="1A1A1A"/>
          <w:sz w:val="24"/>
          <w:szCs w:val="24"/>
          <w:highlight w:val="white"/>
        </w:rPr>
        <w:t>.</w:t>
      </w:r>
    </w:p>
    <w:p w14:paraId="00000058" w14:textId="77777777" w:rsidR="00E83534" w:rsidRPr="00FF28A2" w:rsidRDefault="00E83534">
      <w:pPr>
        <w:ind w:left="720" w:hanging="720"/>
        <w:rPr>
          <w:rFonts w:ascii="Times New Roman" w:eastAsia="Times New Roman" w:hAnsi="Times New Roman" w:cs="Times New Roman"/>
          <w:color w:val="1A1A1A"/>
          <w:sz w:val="24"/>
          <w:szCs w:val="24"/>
          <w:highlight w:val="white"/>
        </w:rPr>
      </w:pPr>
    </w:p>
    <w:p w14:paraId="00000059" w14:textId="77777777"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Navin, M., A. Brummett, and J. Wasserman. 2022. Three kinds of decision-making capacity for refusing medical interventions. </w:t>
      </w:r>
      <w:r w:rsidRPr="00FF28A2">
        <w:rPr>
          <w:rFonts w:ascii="Times New Roman" w:eastAsia="Times New Roman" w:hAnsi="Times New Roman" w:cs="Times New Roman"/>
          <w:i/>
          <w:color w:val="1A1A1A"/>
          <w:sz w:val="24"/>
          <w:szCs w:val="24"/>
          <w:highlight w:val="white"/>
        </w:rPr>
        <w:t>The American Journal of Bioethics</w:t>
      </w:r>
      <w:r w:rsidRPr="00FF28A2">
        <w:rPr>
          <w:rFonts w:ascii="Times New Roman" w:eastAsia="Times New Roman" w:hAnsi="Times New Roman" w:cs="Times New Roman"/>
          <w:color w:val="1A1A1A"/>
          <w:sz w:val="24"/>
          <w:szCs w:val="24"/>
          <w:highlight w:val="white"/>
        </w:rPr>
        <w:t xml:space="preserve"> 22 (11): 73–83.</w:t>
      </w:r>
      <w:hyperlink r:id="rId23">
        <w:r w:rsidRPr="00FF28A2">
          <w:rPr>
            <w:rFonts w:ascii="Times New Roman" w:eastAsia="Times New Roman" w:hAnsi="Times New Roman" w:cs="Times New Roman"/>
            <w:color w:val="1A1A1A"/>
            <w:sz w:val="24"/>
            <w:szCs w:val="24"/>
            <w:highlight w:val="white"/>
          </w:rPr>
          <w:t xml:space="preserve"> </w:t>
        </w:r>
      </w:hyperlink>
      <w:hyperlink r:id="rId24">
        <w:r w:rsidRPr="00FF28A2">
          <w:rPr>
            <w:rFonts w:ascii="Times New Roman" w:eastAsia="Times New Roman" w:hAnsi="Times New Roman" w:cs="Times New Roman"/>
            <w:color w:val="1155CC"/>
            <w:sz w:val="24"/>
            <w:szCs w:val="24"/>
            <w:highlight w:val="white"/>
            <w:u w:val="single"/>
          </w:rPr>
          <w:t>https://doi.org/10.1080/15265161.2021.1941423</w:t>
        </w:r>
      </w:hyperlink>
      <w:r w:rsidRPr="00FF28A2">
        <w:rPr>
          <w:rFonts w:ascii="Times New Roman" w:eastAsia="Times New Roman" w:hAnsi="Times New Roman" w:cs="Times New Roman"/>
          <w:color w:val="1A1A1A"/>
          <w:sz w:val="24"/>
          <w:szCs w:val="24"/>
          <w:highlight w:val="white"/>
        </w:rPr>
        <w:t>.</w:t>
      </w:r>
    </w:p>
    <w:p w14:paraId="0000005A" w14:textId="77777777" w:rsidR="00E83534" w:rsidRPr="00FF28A2" w:rsidRDefault="00E83534">
      <w:pPr>
        <w:ind w:left="720" w:hanging="720"/>
        <w:rPr>
          <w:rFonts w:ascii="Times New Roman" w:eastAsia="Times New Roman" w:hAnsi="Times New Roman" w:cs="Times New Roman"/>
          <w:color w:val="1A1A1A"/>
          <w:sz w:val="24"/>
          <w:szCs w:val="24"/>
          <w:highlight w:val="white"/>
        </w:rPr>
      </w:pPr>
    </w:p>
    <w:p w14:paraId="0000005B" w14:textId="2A5C35FC"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Schwan, B. 2022. Why decision-making capacity matters. </w:t>
      </w:r>
      <w:r w:rsidRPr="00FF28A2">
        <w:rPr>
          <w:rFonts w:ascii="Times New Roman" w:eastAsia="Times New Roman" w:hAnsi="Times New Roman" w:cs="Times New Roman"/>
          <w:i/>
          <w:color w:val="1A1A1A"/>
          <w:sz w:val="24"/>
          <w:szCs w:val="24"/>
          <w:highlight w:val="white"/>
        </w:rPr>
        <w:t>Journal of Moral Philosophy</w:t>
      </w:r>
      <w:r w:rsidRPr="00FF28A2">
        <w:rPr>
          <w:rFonts w:ascii="Times New Roman" w:eastAsia="Times New Roman" w:hAnsi="Times New Roman" w:cs="Times New Roman"/>
          <w:color w:val="1A1A1A"/>
          <w:sz w:val="24"/>
          <w:szCs w:val="24"/>
          <w:highlight w:val="white"/>
        </w:rPr>
        <w:t xml:space="preserve"> 19 (5): 447–</w:t>
      </w:r>
      <w:r w:rsidR="00F966B1">
        <w:rPr>
          <w:rFonts w:ascii="Times New Roman" w:eastAsia="Times New Roman" w:hAnsi="Times New Roman" w:cs="Times New Roman"/>
          <w:color w:val="1A1A1A"/>
          <w:sz w:val="24"/>
          <w:szCs w:val="24"/>
          <w:highlight w:val="white"/>
        </w:rPr>
        <w:t>4</w:t>
      </w:r>
      <w:r w:rsidRPr="00FF28A2">
        <w:rPr>
          <w:rFonts w:ascii="Times New Roman" w:eastAsia="Times New Roman" w:hAnsi="Times New Roman" w:cs="Times New Roman"/>
          <w:color w:val="1A1A1A"/>
          <w:sz w:val="24"/>
          <w:szCs w:val="24"/>
          <w:highlight w:val="white"/>
        </w:rPr>
        <w:t>73.</w:t>
      </w:r>
      <w:hyperlink r:id="rId25">
        <w:r w:rsidRPr="00FF28A2">
          <w:rPr>
            <w:rFonts w:ascii="Times New Roman" w:eastAsia="Times New Roman" w:hAnsi="Times New Roman" w:cs="Times New Roman"/>
            <w:color w:val="1A1A1A"/>
            <w:sz w:val="24"/>
            <w:szCs w:val="24"/>
            <w:highlight w:val="white"/>
          </w:rPr>
          <w:t xml:space="preserve"> </w:t>
        </w:r>
      </w:hyperlink>
      <w:hyperlink r:id="rId26">
        <w:r w:rsidRPr="00FF28A2">
          <w:rPr>
            <w:rFonts w:ascii="Times New Roman" w:eastAsia="Times New Roman" w:hAnsi="Times New Roman" w:cs="Times New Roman"/>
            <w:color w:val="1155CC"/>
            <w:sz w:val="24"/>
            <w:szCs w:val="24"/>
            <w:highlight w:val="white"/>
            <w:u w:val="single"/>
          </w:rPr>
          <w:t>https://doi.org/10.1163/17455243-20213610</w:t>
        </w:r>
      </w:hyperlink>
      <w:r w:rsidRPr="00FF28A2">
        <w:rPr>
          <w:rFonts w:ascii="Times New Roman" w:eastAsia="Times New Roman" w:hAnsi="Times New Roman" w:cs="Times New Roman"/>
          <w:color w:val="1A1A1A"/>
          <w:sz w:val="24"/>
          <w:szCs w:val="24"/>
          <w:highlight w:val="white"/>
        </w:rPr>
        <w:t>.</w:t>
      </w:r>
    </w:p>
    <w:p w14:paraId="0000005C" w14:textId="77777777" w:rsidR="00E83534" w:rsidRPr="00FF28A2" w:rsidRDefault="00E83534">
      <w:pPr>
        <w:ind w:left="720" w:hanging="720"/>
        <w:rPr>
          <w:rFonts w:ascii="Times New Roman" w:eastAsia="Times New Roman" w:hAnsi="Times New Roman" w:cs="Times New Roman"/>
          <w:color w:val="1A1A1A"/>
          <w:sz w:val="24"/>
          <w:szCs w:val="24"/>
          <w:highlight w:val="white"/>
        </w:rPr>
      </w:pPr>
    </w:p>
    <w:p w14:paraId="0000005D" w14:textId="56DF692C" w:rsidR="00E83534" w:rsidRPr="00FF28A2" w:rsidRDefault="00C13B74">
      <w:pPr>
        <w:spacing w:line="324"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color w:val="1A1A1A"/>
          <w:sz w:val="24"/>
          <w:szCs w:val="24"/>
          <w:highlight w:val="white"/>
        </w:rPr>
        <w:t xml:space="preserve">Tan, J., A. Stewart, R. Fitzpatrick, and R. A. Hope. 2006 Competence to make treatment decisions in anorexia nervosa: thinking processes and values. </w:t>
      </w:r>
      <w:r w:rsidRPr="00FF28A2">
        <w:rPr>
          <w:rFonts w:ascii="Times New Roman" w:eastAsia="Times New Roman" w:hAnsi="Times New Roman" w:cs="Times New Roman"/>
          <w:i/>
          <w:color w:val="1A1A1A"/>
          <w:sz w:val="24"/>
          <w:szCs w:val="24"/>
          <w:highlight w:val="white"/>
        </w:rPr>
        <w:t>Philosophy, Psychiatry, &amp; Psychology</w:t>
      </w:r>
      <w:r w:rsidRPr="00FF28A2">
        <w:rPr>
          <w:rFonts w:ascii="Times New Roman" w:eastAsia="Times New Roman" w:hAnsi="Times New Roman" w:cs="Times New Roman"/>
          <w:color w:val="1A1A1A"/>
          <w:sz w:val="24"/>
          <w:szCs w:val="24"/>
          <w:highlight w:val="white"/>
        </w:rPr>
        <w:t xml:space="preserve"> 13 (4): 267–</w:t>
      </w:r>
      <w:r w:rsidR="00F966B1">
        <w:rPr>
          <w:rFonts w:ascii="Times New Roman" w:eastAsia="Times New Roman" w:hAnsi="Times New Roman" w:cs="Times New Roman"/>
          <w:color w:val="1A1A1A"/>
          <w:sz w:val="24"/>
          <w:szCs w:val="24"/>
          <w:highlight w:val="white"/>
        </w:rPr>
        <w:t>2</w:t>
      </w:r>
      <w:r w:rsidRPr="00FF28A2">
        <w:rPr>
          <w:rFonts w:ascii="Times New Roman" w:eastAsia="Times New Roman" w:hAnsi="Times New Roman" w:cs="Times New Roman"/>
          <w:color w:val="1A1A1A"/>
          <w:sz w:val="24"/>
          <w:szCs w:val="24"/>
          <w:highlight w:val="white"/>
        </w:rPr>
        <w:t>82.</w:t>
      </w:r>
      <w:hyperlink r:id="rId27">
        <w:r w:rsidRPr="00FF28A2">
          <w:rPr>
            <w:rFonts w:ascii="Times New Roman" w:eastAsia="Times New Roman" w:hAnsi="Times New Roman" w:cs="Times New Roman"/>
            <w:color w:val="1A1A1A"/>
            <w:sz w:val="24"/>
            <w:szCs w:val="24"/>
            <w:highlight w:val="white"/>
          </w:rPr>
          <w:t xml:space="preserve"> </w:t>
        </w:r>
      </w:hyperlink>
      <w:hyperlink r:id="rId28">
        <w:r w:rsidRPr="00FF28A2">
          <w:rPr>
            <w:rFonts w:ascii="Times New Roman" w:eastAsia="Times New Roman" w:hAnsi="Times New Roman" w:cs="Times New Roman"/>
            <w:color w:val="1155CC"/>
            <w:sz w:val="24"/>
            <w:szCs w:val="24"/>
            <w:highlight w:val="white"/>
            <w:u w:val="single"/>
          </w:rPr>
          <w:t>https://doi.org/10.1353/ppp.2007.0032</w:t>
        </w:r>
      </w:hyperlink>
      <w:r w:rsidRPr="00FF28A2">
        <w:rPr>
          <w:rFonts w:ascii="Times New Roman" w:eastAsia="Times New Roman" w:hAnsi="Times New Roman" w:cs="Times New Roman"/>
          <w:color w:val="1A1A1A"/>
          <w:sz w:val="24"/>
          <w:szCs w:val="24"/>
          <w:highlight w:val="white"/>
        </w:rPr>
        <w:t>.</w:t>
      </w:r>
    </w:p>
    <w:p w14:paraId="0000005E" w14:textId="77777777" w:rsidR="00E83534" w:rsidRPr="00FF28A2" w:rsidRDefault="00E83534">
      <w:pPr>
        <w:ind w:left="720" w:hanging="720"/>
        <w:rPr>
          <w:rFonts w:ascii="Times New Roman" w:eastAsia="Times New Roman" w:hAnsi="Times New Roman" w:cs="Times New Roman"/>
          <w:color w:val="1A1A1A"/>
          <w:sz w:val="24"/>
          <w:szCs w:val="24"/>
          <w:highlight w:val="white"/>
        </w:rPr>
      </w:pPr>
    </w:p>
    <w:p w14:paraId="0000005F" w14:textId="77777777" w:rsidR="00E83534" w:rsidRPr="00FF28A2" w:rsidRDefault="00C13B74">
      <w:pPr>
        <w:spacing w:line="240" w:lineRule="auto"/>
        <w:ind w:left="720" w:hanging="720"/>
        <w:rPr>
          <w:rFonts w:ascii="Times New Roman" w:eastAsia="Times New Roman" w:hAnsi="Times New Roman" w:cs="Times New Roman"/>
          <w:sz w:val="24"/>
          <w:szCs w:val="24"/>
        </w:rPr>
      </w:pPr>
      <w:r w:rsidRPr="00FF28A2">
        <w:rPr>
          <w:rFonts w:ascii="Times New Roman" w:eastAsia="Times New Roman" w:hAnsi="Times New Roman" w:cs="Times New Roman"/>
          <w:sz w:val="24"/>
          <w:szCs w:val="24"/>
        </w:rPr>
        <w:t xml:space="preserve">Tan J, Hope T, Stewart A. 2003. Competence to refuse treatment in anorexia nervosa. </w:t>
      </w:r>
      <w:r w:rsidRPr="00FF28A2">
        <w:rPr>
          <w:rFonts w:ascii="Times New Roman" w:eastAsia="Times New Roman" w:hAnsi="Times New Roman" w:cs="Times New Roman"/>
          <w:i/>
          <w:sz w:val="24"/>
          <w:szCs w:val="24"/>
        </w:rPr>
        <w:t xml:space="preserve">Int J Law Psychiatry </w:t>
      </w:r>
      <w:r w:rsidRPr="00FF28A2">
        <w:rPr>
          <w:rFonts w:ascii="Times New Roman" w:eastAsia="Times New Roman" w:hAnsi="Times New Roman" w:cs="Times New Roman"/>
          <w:sz w:val="24"/>
          <w:szCs w:val="24"/>
        </w:rPr>
        <w:t xml:space="preserve">26 (6):697–707. </w:t>
      </w:r>
    </w:p>
    <w:p w14:paraId="00000060" w14:textId="77777777" w:rsidR="00E83534" w:rsidRPr="00FF28A2" w:rsidRDefault="00E83534">
      <w:pPr>
        <w:ind w:left="720" w:hanging="720"/>
        <w:rPr>
          <w:rFonts w:ascii="Times New Roman" w:eastAsia="Times New Roman" w:hAnsi="Times New Roman" w:cs="Times New Roman"/>
          <w:color w:val="1A1A1A"/>
          <w:sz w:val="24"/>
          <w:szCs w:val="24"/>
          <w:highlight w:val="white"/>
        </w:rPr>
      </w:pPr>
    </w:p>
    <w:p w14:paraId="00000061" w14:textId="77777777" w:rsidR="00E83534" w:rsidRPr="00FF28A2" w:rsidRDefault="00C13B74">
      <w:pPr>
        <w:spacing w:line="240" w:lineRule="auto"/>
        <w:ind w:left="720" w:hanging="720"/>
        <w:rPr>
          <w:rFonts w:ascii="Times New Roman" w:eastAsia="Times New Roman" w:hAnsi="Times New Roman" w:cs="Times New Roman"/>
          <w:color w:val="1A1A1A"/>
          <w:sz w:val="24"/>
          <w:szCs w:val="24"/>
          <w:highlight w:val="white"/>
        </w:rPr>
      </w:pPr>
      <w:r w:rsidRPr="00FF28A2">
        <w:rPr>
          <w:rFonts w:ascii="Times New Roman" w:eastAsia="Times New Roman" w:hAnsi="Times New Roman" w:cs="Times New Roman"/>
          <w:sz w:val="24"/>
          <w:szCs w:val="24"/>
        </w:rPr>
        <w:t xml:space="preserve">White, Lucie. 2018. The need for authenticity-based autonomy in medical ethics. </w:t>
      </w:r>
      <w:r w:rsidRPr="00FF28A2">
        <w:rPr>
          <w:rFonts w:ascii="Times New Roman" w:eastAsia="Times New Roman" w:hAnsi="Times New Roman" w:cs="Times New Roman"/>
          <w:i/>
          <w:sz w:val="24"/>
          <w:szCs w:val="24"/>
        </w:rPr>
        <w:t>HEC Forum</w:t>
      </w:r>
      <w:r w:rsidRPr="00FF28A2">
        <w:rPr>
          <w:rFonts w:ascii="Times New Roman" w:eastAsia="Times New Roman" w:hAnsi="Times New Roman" w:cs="Times New Roman"/>
          <w:sz w:val="24"/>
          <w:szCs w:val="24"/>
        </w:rPr>
        <w:t xml:space="preserve"> 30 (3): 191-209.</w:t>
      </w:r>
    </w:p>
    <w:sectPr w:rsidR="00E83534" w:rsidRPr="00FF28A2">
      <w:head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DEF5" w14:textId="77777777" w:rsidR="00E33E42" w:rsidRDefault="00E33E42">
      <w:pPr>
        <w:spacing w:line="240" w:lineRule="auto"/>
      </w:pPr>
      <w:r>
        <w:separator/>
      </w:r>
    </w:p>
  </w:endnote>
  <w:endnote w:type="continuationSeparator" w:id="0">
    <w:p w14:paraId="5F838DF0" w14:textId="77777777" w:rsidR="00E33E42" w:rsidRDefault="00E33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A01C" w14:textId="77777777" w:rsidR="00E33E42" w:rsidRDefault="00E33E42">
      <w:pPr>
        <w:spacing w:line="240" w:lineRule="auto"/>
      </w:pPr>
      <w:r>
        <w:separator/>
      </w:r>
    </w:p>
  </w:footnote>
  <w:footnote w:type="continuationSeparator" w:id="0">
    <w:p w14:paraId="6D367595" w14:textId="77777777" w:rsidR="00E33E42" w:rsidRDefault="00E33E42">
      <w:pPr>
        <w:spacing w:line="240" w:lineRule="auto"/>
      </w:pPr>
      <w:r>
        <w:continuationSeparator/>
      </w:r>
    </w:p>
  </w:footnote>
  <w:footnote w:id="1">
    <w:p w14:paraId="00000062" w14:textId="77777777" w:rsidR="00E83534" w:rsidRDefault="00C13B74">
      <w:pPr>
        <w:spacing w:line="240" w:lineRule="auto"/>
        <w:ind w:firstLine="36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Of course, patients can change their minds about which values are important to them, and this might be the case for Ms. G. However, we grant Brudney and Lantos the assumption that Ms. G’s choice to forgo LST is in some sense inauthentic. In other words, we assume that she maintains her previously endorsed values.</w:t>
      </w:r>
    </w:p>
  </w:footnote>
  <w:footnote w:id="2">
    <w:p w14:paraId="00000070" w14:textId="77777777" w:rsidR="00E83534" w:rsidRDefault="00C13B74">
      <w:pPr>
        <w:spacing w:line="240" w:lineRule="auto"/>
        <w:ind w:firstLine="36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Pugh mentions this example in order to demonstrate the type of feminist concerns that have motivated “substantive” conceptions of autonomy, but he goes on to defend the use of procedural views in bioethics on the grounds that it would be objectionable to constrain patients’ choices for the sake of values that they do not necessarily endorse. </w:t>
      </w:r>
    </w:p>
  </w:footnote>
  <w:footnote w:id="3">
    <w:p w14:paraId="404133A8" w14:textId="0893CA36" w:rsidR="008B0BF8" w:rsidRPr="000E6FB8" w:rsidRDefault="008B0BF8" w:rsidP="000E6FB8">
      <w:pPr>
        <w:pStyle w:val="FootnoteText"/>
        <w:ind w:firstLine="360"/>
        <w:jc w:val="both"/>
        <w:rPr>
          <w:rFonts w:ascii="Times New Roman" w:hAnsi="Times New Roman" w:cs="Times New Roman"/>
          <w:lang w:val="en-US"/>
        </w:rPr>
      </w:pPr>
      <w:r w:rsidRPr="000E6FB8">
        <w:rPr>
          <w:rStyle w:val="FootnoteReference"/>
          <w:rFonts w:ascii="Times New Roman" w:hAnsi="Times New Roman" w:cs="Times New Roman"/>
        </w:rPr>
        <w:footnoteRef/>
      </w:r>
      <w:r w:rsidRPr="000E6FB8">
        <w:rPr>
          <w:rFonts w:ascii="Times New Roman" w:hAnsi="Times New Roman" w:cs="Times New Roman"/>
        </w:rPr>
        <w:t xml:space="preserve"> </w:t>
      </w:r>
      <w:r w:rsidR="00EF3921" w:rsidRPr="000E6FB8">
        <w:rPr>
          <w:rFonts w:ascii="Times New Roman" w:hAnsi="Times New Roman" w:cs="Times New Roman"/>
          <w:lang w:val="en-US"/>
        </w:rPr>
        <w:t xml:space="preserve">We do not wish to imply </w:t>
      </w:r>
      <w:r w:rsidR="007E4DED" w:rsidRPr="000E6FB8">
        <w:rPr>
          <w:rFonts w:ascii="Times New Roman" w:hAnsi="Times New Roman" w:cs="Times New Roman"/>
          <w:lang w:val="en-US"/>
        </w:rPr>
        <w:t xml:space="preserve">that </w:t>
      </w:r>
      <w:r w:rsidR="0067345A" w:rsidRPr="000E6FB8">
        <w:rPr>
          <w:rFonts w:ascii="Times New Roman" w:hAnsi="Times New Roman" w:cs="Times New Roman"/>
          <w:lang w:val="en-US"/>
        </w:rPr>
        <w:t>the preferences of every</w:t>
      </w:r>
      <w:r w:rsidR="007E4DED" w:rsidRPr="000E6FB8">
        <w:rPr>
          <w:rFonts w:ascii="Times New Roman" w:hAnsi="Times New Roman" w:cs="Times New Roman"/>
          <w:lang w:val="en-US"/>
        </w:rPr>
        <w:t xml:space="preserve"> Jehovah’s Witness </w:t>
      </w:r>
      <w:r w:rsidR="00614C2B">
        <w:rPr>
          <w:rFonts w:ascii="Times New Roman" w:hAnsi="Times New Roman" w:cs="Times New Roman"/>
          <w:lang w:val="en-US"/>
        </w:rPr>
        <w:t>are</w:t>
      </w:r>
      <w:r w:rsidR="001D004A" w:rsidRPr="000E6FB8">
        <w:rPr>
          <w:rFonts w:ascii="Times New Roman" w:hAnsi="Times New Roman" w:cs="Times New Roman"/>
          <w:lang w:val="en-US"/>
        </w:rPr>
        <w:t xml:space="preserve"> shaped by manipulation and coercion. We simply stipulate that Ms. M</w:t>
      </w:r>
      <w:r w:rsidR="00614C2B">
        <w:rPr>
          <w:rFonts w:ascii="Times New Roman" w:hAnsi="Times New Roman" w:cs="Times New Roman"/>
          <w:lang w:val="en-US"/>
        </w:rPr>
        <w:t xml:space="preserve">’s beliefs and values were the result of these forces, and she </w:t>
      </w:r>
      <w:r w:rsidR="001D004A" w:rsidRPr="000E6FB8">
        <w:rPr>
          <w:rFonts w:ascii="Times New Roman" w:hAnsi="Times New Roman" w:cs="Times New Roman"/>
          <w:i/>
          <w:iCs/>
          <w:lang w:val="en-US"/>
        </w:rPr>
        <w:t xml:space="preserve">would </w:t>
      </w:r>
      <w:r w:rsidR="001D004A" w:rsidRPr="000E6FB8">
        <w:rPr>
          <w:rFonts w:ascii="Times New Roman" w:hAnsi="Times New Roman" w:cs="Times New Roman"/>
          <w:lang w:val="en-US"/>
        </w:rPr>
        <w:t xml:space="preserve">repudiate her desires </w:t>
      </w:r>
      <w:r w:rsidR="000D14A3" w:rsidRPr="000E6FB8">
        <w:rPr>
          <w:rFonts w:ascii="Times New Roman" w:hAnsi="Times New Roman" w:cs="Times New Roman"/>
          <w:lang w:val="en-US"/>
        </w:rPr>
        <w:t xml:space="preserve">if she were to reflect on her upbringing. </w:t>
      </w:r>
      <w:r w:rsidR="00345F9C">
        <w:rPr>
          <w:rFonts w:ascii="Times New Roman" w:hAnsi="Times New Roman" w:cs="Times New Roman"/>
          <w:lang w:val="en-US"/>
        </w:rPr>
        <w:t>T</w:t>
      </w:r>
      <w:r w:rsidR="00A541FF" w:rsidRPr="000E6FB8">
        <w:rPr>
          <w:rFonts w:ascii="Times New Roman" w:hAnsi="Times New Roman" w:cs="Times New Roman"/>
          <w:lang w:val="en-US"/>
        </w:rPr>
        <w:t>he lesson that we are meant to learn from</w:t>
      </w:r>
      <w:r w:rsidR="000D14A3" w:rsidRPr="000E6FB8">
        <w:rPr>
          <w:rFonts w:ascii="Times New Roman" w:hAnsi="Times New Roman" w:cs="Times New Roman"/>
          <w:lang w:val="en-US"/>
        </w:rPr>
        <w:t xml:space="preserve"> Ms. M</w:t>
      </w:r>
      <w:r w:rsidR="00A541FF" w:rsidRPr="000E6FB8">
        <w:rPr>
          <w:rFonts w:ascii="Times New Roman" w:hAnsi="Times New Roman" w:cs="Times New Roman"/>
          <w:lang w:val="en-US"/>
        </w:rPr>
        <w:t xml:space="preserve"> is that </w:t>
      </w:r>
      <w:r w:rsidR="000D14A3" w:rsidRPr="000E6FB8">
        <w:rPr>
          <w:rFonts w:ascii="Times New Roman" w:hAnsi="Times New Roman" w:cs="Times New Roman"/>
          <w:lang w:val="en-US"/>
        </w:rPr>
        <w:t xml:space="preserve">we ought to respect the decisions of patients who </w:t>
      </w:r>
      <w:r w:rsidR="000D14A3" w:rsidRPr="000E6FB8">
        <w:rPr>
          <w:rFonts w:ascii="Times New Roman" w:hAnsi="Times New Roman" w:cs="Times New Roman"/>
          <w:i/>
          <w:iCs/>
          <w:lang w:val="en-US"/>
        </w:rPr>
        <w:t xml:space="preserve">have </w:t>
      </w:r>
      <w:r w:rsidR="000D14A3" w:rsidRPr="000E6FB8">
        <w:rPr>
          <w:rFonts w:ascii="Times New Roman" w:hAnsi="Times New Roman" w:cs="Times New Roman"/>
          <w:lang w:val="en-US"/>
        </w:rPr>
        <w:t xml:space="preserve">weak authenticity but </w:t>
      </w:r>
      <w:r w:rsidR="000D14A3" w:rsidRPr="000E6FB8">
        <w:rPr>
          <w:rFonts w:ascii="Times New Roman" w:hAnsi="Times New Roman" w:cs="Times New Roman"/>
          <w:i/>
          <w:iCs/>
          <w:lang w:val="en-US"/>
        </w:rPr>
        <w:t xml:space="preserve">lack </w:t>
      </w:r>
      <w:r w:rsidR="000D14A3" w:rsidRPr="000E6FB8">
        <w:rPr>
          <w:rFonts w:ascii="Times New Roman" w:hAnsi="Times New Roman" w:cs="Times New Roman"/>
          <w:lang w:val="en-US"/>
        </w:rPr>
        <w:t xml:space="preserve">strong authenticity. </w:t>
      </w:r>
      <w:r w:rsidR="00A541FF" w:rsidRPr="000E6FB8">
        <w:rPr>
          <w:rFonts w:ascii="Times New Roman" w:hAnsi="Times New Roman" w:cs="Times New Roman"/>
          <w:lang w:val="en-US"/>
        </w:rPr>
        <w:t>This scenario was constructed in order to highlight this point</w:t>
      </w:r>
      <w:r w:rsidR="00614C2B">
        <w:rPr>
          <w:rFonts w:ascii="Times New Roman" w:hAnsi="Times New Roman" w:cs="Times New Roman"/>
          <w:lang w:val="en-US"/>
        </w:rPr>
        <w:t xml:space="preserve">, </w:t>
      </w:r>
      <w:r w:rsidR="00A541FF" w:rsidRPr="000E6FB8">
        <w:rPr>
          <w:rFonts w:ascii="Times New Roman" w:hAnsi="Times New Roman" w:cs="Times New Roman"/>
          <w:lang w:val="en-US"/>
        </w:rPr>
        <w:t>not to suggest that all such preferences</w:t>
      </w:r>
      <w:r w:rsidR="00FB1D0B">
        <w:rPr>
          <w:rFonts w:ascii="Times New Roman" w:hAnsi="Times New Roman" w:cs="Times New Roman"/>
          <w:lang w:val="en-US"/>
        </w:rPr>
        <w:t xml:space="preserve"> about blood transfusions</w:t>
      </w:r>
      <w:r w:rsidR="00A541FF" w:rsidRPr="000E6FB8">
        <w:rPr>
          <w:rFonts w:ascii="Times New Roman" w:hAnsi="Times New Roman" w:cs="Times New Roman"/>
          <w:lang w:val="en-US"/>
        </w:rPr>
        <w:t xml:space="preserve"> </w:t>
      </w:r>
      <w:r w:rsidR="00BE20AF">
        <w:rPr>
          <w:rFonts w:ascii="Times New Roman" w:hAnsi="Times New Roman" w:cs="Times New Roman"/>
          <w:lang w:val="en-US"/>
        </w:rPr>
        <w:t>result from</w:t>
      </w:r>
      <w:r w:rsidR="000E6FB8" w:rsidRPr="000E6FB8">
        <w:rPr>
          <w:rFonts w:ascii="Times New Roman" w:hAnsi="Times New Roman" w:cs="Times New Roman"/>
          <w:lang w:val="en-US"/>
        </w:rPr>
        <w:t xml:space="preserve"> </w:t>
      </w:r>
      <w:r w:rsidR="00614C2B">
        <w:rPr>
          <w:rFonts w:ascii="Times New Roman" w:hAnsi="Times New Roman" w:cs="Times New Roman"/>
          <w:lang w:val="en-US"/>
        </w:rPr>
        <w:t xml:space="preserve">either </w:t>
      </w:r>
      <w:r w:rsidR="000E6FB8" w:rsidRPr="000E6FB8">
        <w:rPr>
          <w:rFonts w:ascii="Times New Roman" w:hAnsi="Times New Roman" w:cs="Times New Roman"/>
          <w:lang w:val="en-US"/>
        </w:rPr>
        <w:t xml:space="preserve">manipulation </w:t>
      </w:r>
      <w:r w:rsidR="00614C2B">
        <w:rPr>
          <w:rFonts w:ascii="Times New Roman" w:hAnsi="Times New Roman" w:cs="Times New Roman"/>
          <w:lang w:val="en-US"/>
        </w:rPr>
        <w:t xml:space="preserve">or </w:t>
      </w:r>
      <w:r w:rsidR="000E6FB8" w:rsidRPr="000E6FB8">
        <w:rPr>
          <w:rFonts w:ascii="Times New Roman" w:hAnsi="Times New Roman" w:cs="Times New Roman"/>
          <w:lang w:val="en-US"/>
        </w:rPr>
        <w:t xml:space="preserve">coercion. We would like to thank an anonymous reviewer for this clarification. </w:t>
      </w:r>
    </w:p>
  </w:footnote>
  <w:footnote w:id="4">
    <w:p w14:paraId="7C92CA64" w14:textId="77777777" w:rsidR="00BE20AF" w:rsidRDefault="00BE20AF" w:rsidP="00BE20AF">
      <w:pPr>
        <w:spacing w:line="240" w:lineRule="auto"/>
        <w:ind w:firstLine="36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Brudney and Lantos also mention a less detailed Jehovah’s Witness case, Ms. W, who declines a blood transfusion. They assert Ms. W has authenticity; her choice “fits well with her deeply held and long-standing values and beliefs” (2011, 222). In other words, Ms. W has weak authenticity. Had they applied the strong account to Ms. M, we believe they would reach the same verdict we do: that she lacks authenticity because, given the manipulation in her childhood, it is implausible to say that her values are part of a life </w:t>
      </w:r>
      <w:r>
        <w:rPr>
          <w:rFonts w:ascii="Times New Roman" w:eastAsia="Times New Roman" w:hAnsi="Times New Roman" w:cs="Times New Roman"/>
          <w:i/>
          <w:sz w:val="20"/>
          <w:szCs w:val="20"/>
        </w:rPr>
        <w:t>she</w:t>
      </w:r>
      <w:r>
        <w:rPr>
          <w:rFonts w:ascii="Times New Roman" w:eastAsia="Times New Roman" w:hAnsi="Times New Roman" w:cs="Times New Roman"/>
          <w:sz w:val="20"/>
          <w:szCs w:val="20"/>
        </w:rPr>
        <w:t xml:space="preserve"> made for herself. </w:t>
      </w:r>
    </w:p>
  </w:footnote>
  <w:footnote w:id="5">
    <w:p w14:paraId="00000064" w14:textId="77777777" w:rsidR="00E83534" w:rsidRDefault="00C13B74">
      <w:pPr>
        <w:spacing w:line="240" w:lineRule="auto"/>
        <w:ind w:firstLine="36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others who suggest that authenticity is necessary for DMC, see: Ganzini et al. (1992), Charland (1998), and Coverdale et al. (1996). Against this view of authenticity, see Hope et al. (2011).</w:t>
      </w:r>
    </w:p>
  </w:footnote>
  <w:footnote w:id="6">
    <w:p w14:paraId="00000066" w14:textId="222A1A20" w:rsidR="00E83534" w:rsidRDefault="00C13B74">
      <w:pPr>
        <w:spacing w:line="240" w:lineRule="auto"/>
        <w:ind w:firstLine="36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Implying this would assume what Ben Schwann (2022) calls the “Gatekeeping Model,” according to which</w:t>
      </w:r>
      <w:r w:rsidR="00E84F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patient’s decision generates autonomy concerns if and only if a patient has DMC.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C" w14:textId="1511B997" w:rsidR="00E83534" w:rsidRDefault="00C13B74">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F28A2">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C2EEE"/>
    <w:multiLevelType w:val="multilevel"/>
    <w:tmpl w:val="4CF48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99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34"/>
    <w:rsid w:val="00006CB9"/>
    <w:rsid w:val="0005178C"/>
    <w:rsid w:val="0007529A"/>
    <w:rsid w:val="0009392D"/>
    <w:rsid w:val="000C3A76"/>
    <w:rsid w:val="000D14A3"/>
    <w:rsid w:val="000E6FB8"/>
    <w:rsid w:val="00116C40"/>
    <w:rsid w:val="001358D9"/>
    <w:rsid w:val="0017656E"/>
    <w:rsid w:val="001C5745"/>
    <w:rsid w:val="001C5A6A"/>
    <w:rsid w:val="001D004A"/>
    <w:rsid w:val="0025060C"/>
    <w:rsid w:val="0028633B"/>
    <w:rsid w:val="002923AE"/>
    <w:rsid w:val="002B430B"/>
    <w:rsid w:val="002D689B"/>
    <w:rsid w:val="002E0BFD"/>
    <w:rsid w:val="0031266F"/>
    <w:rsid w:val="0031655D"/>
    <w:rsid w:val="00333DA5"/>
    <w:rsid w:val="00345F9C"/>
    <w:rsid w:val="003B10D7"/>
    <w:rsid w:val="004558B8"/>
    <w:rsid w:val="0046141D"/>
    <w:rsid w:val="004647F0"/>
    <w:rsid w:val="004A076E"/>
    <w:rsid w:val="004B7283"/>
    <w:rsid w:val="00536EA5"/>
    <w:rsid w:val="00595B53"/>
    <w:rsid w:val="005A0998"/>
    <w:rsid w:val="005C37A2"/>
    <w:rsid w:val="005E6A92"/>
    <w:rsid w:val="00605D3F"/>
    <w:rsid w:val="00614C2B"/>
    <w:rsid w:val="0067345A"/>
    <w:rsid w:val="00680246"/>
    <w:rsid w:val="006A0ED1"/>
    <w:rsid w:val="006A4BB9"/>
    <w:rsid w:val="006F2C71"/>
    <w:rsid w:val="0071254E"/>
    <w:rsid w:val="0071309B"/>
    <w:rsid w:val="00714094"/>
    <w:rsid w:val="007236E8"/>
    <w:rsid w:val="0078603D"/>
    <w:rsid w:val="00795141"/>
    <w:rsid w:val="007E37E1"/>
    <w:rsid w:val="007E4DED"/>
    <w:rsid w:val="0082332D"/>
    <w:rsid w:val="0083041F"/>
    <w:rsid w:val="008B0BF8"/>
    <w:rsid w:val="008C7A86"/>
    <w:rsid w:val="008D5967"/>
    <w:rsid w:val="00927386"/>
    <w:rsid w:val="00997010"/>
    <w:rsid w:val="009A00E0"/>
    <w:rsid w:val="009B46FB"/>
    <w:rsid w:val="009D3C83"/>
    <w:rsid w:val="009D6A0E"/>
    <w:rsid w:val="009E6589"/>
    <w:rsid w:val="00A31C7F"/>
    <w:rsid w:val="00A541FF"/>
    <w:rsid w:val="00A740DB"/>
    <w:rsid w:val="00A85A86"/>
    <w:rsid w:val="00A93798"/>
    <w:rsid w:val="00B430A9"/>
    <w:rsid w:val="00B43401"/>
    <w:rsid w:val="00B552F1"/>
    <w:rsid w:val="00B97622"/>
    <w:rsid w:val="00BB226C"/>
    <w:rsid w:val="00BB7E93"/>
    <w:rsid w:val="00BE20AF"/>
    <w:rsid w:val="00BF61DD"/>
    <w:rsid w:val="00C13B74"/>
    <w:rsid w:val="00C83536"/>
    <w:rsid w:val="00CF3678"/>
    <w:rsid w:val="00D13689"/>
    <w:rsid w:val="00D21341"/>
    <w:rsid w:val="00D52582"/>
    <w:rsid w:val="00D76856"/>
    <w:rsid w:val="00DA5D4A"/>
    <w:rsid w:val="00DD2BE0"/>
    <w:rsid w:val="00DE631E"/>
    <w:rsid w:val="00E07A82"/>
    <w:rsid w:val="00E10596"/>
    <w:rsid w:val="00E33E42"/>
    <w:rsid w:val="00E41B52"/>
    <w:rsid w:val="00E56E74"/>
    <w:rsid w:val="00E62530"/>
    <w:rsid w:val="00E83534"/>
    <w:rsid w:val="00E84F7E"/>
    <w:rsid w:val="00EC78C7"/>
    <w:rsid w:val="00EF3921"/>
    <w:rsid w:val="00EF59C5"/>
    <w:rsid w:val="00EF5E88"/>
    <w:rsid w:val="00F159C6"/>
    <w:rsid w:val="00F203C7"/>
    <w:rsid w:val="00F47A16"/>
    <w:rsid w:val="00F61CB8"/>
    <w:rsid w:val="00F760B3"/>
    <w:rsid w:val="00F966B1"/>
    <w:rsid w:val="00FB1D0B"/>
    <w:rsid w:val="00FF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67AA"/>
  <w15:docId w15:val="{6403C2C8-83D8-4E3C-82CB-F6D47D2A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F28A2"/>
    <w:pPr>
      <w:spacing w:line="240" w:lineRule="auto"/>
    </w:pPr>
  </w:style>
  <w:style w:type="paragraph" w:styleId="FootnoteText">
    <w:name w:val="footnote text"/>
    <w:basedOn w:val="Normal"/>
    <w:link w:val="FootnoteTextChar"/>
    <w:uiPriority w:val="99"/>
    <w:semiHidden/>
    <w:unhideWhenUsed/>
    <w:rsid w:val="008B0BF8"/>
    <w:pPr>
      <w:spacing w:line="240" w:lineRule="auto"/>
    </w:pPr>
    <w:rPr>
      <w:sz w:val="20"/>
      <w:szCs w:val="20"/>
    </w:rPr>
  </w:style>
  <w:style w:type="character" w:customStyle="1" w:styleId="FootnoteTextChar">
    <w:name w:val="Footnote Text Char"/>
    <w:basedOn w:val="DefaultParagraphFont"/>
    <w:link w:val="FootnoteText"/>
    <w:uiPriority w:val="99"/>
    <w:semiHidden/>
    <w:rsid w:val="008B0BF8"/>
    <w:rPr>
      <w:sz w:val="20"/>
      <w:szCs w:val="20"/>
    </w:rPr>
  </w:style>
  <w:style w:type="character" w:styleId="FootnoteReference">
    <w:name w:val="footnote reference"/>
    <w:basedOn w:val="DefaultParagraphFont"/>
    <w:uiPriority w:val="99"/>
    <w:semiHidden/>
    <w:unhideWhenUsed/>
    <w:rsid w:val="008B0BF8"/>
    <w:rPr>
      <w:vertAlign w:val="superscript"/>
    </w:rPr>
  </w:style>
  <w:style w:type="character" w:styleId="Hyperlink">
    <w:name w:val="Hyperlink"/>
    <w:basedOn w:val="DefaultParagraphFont"/>
    <w:uiPriority w:val="99"/>
    <w:unhideWhenUsed/>
    <w:rsid w:val="00C13B74"/>
    <w:rPr>
      <w:color w:val="0000FF" w:themeColor="hyperlink"/>
      <w:u w:val="single"/>
    </w:rPr>
  </w:style>
  <w:style w:type="character" w:styleId="UnresolvedMention">
    <w:name w:val="Unresolved Mention"/>
    <w:basedOn w:val="DefaultParagraphFont"/>
    <w:uiPriority w:val="99"/>
    <w:semiHidden/>
    <w:unhideWhenUsed/>
    <w:rsid w:val="00C1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56/NEJM198812223192504" TargetMode="External"/><Relationship Id="rId13" Type="http://schemas.openxmlformats.org/officeDocument/2006/relationships/hyperlink" Target="https://doi.org/10.1080/00455091.1991.10717234" TargetMode="External"/><Relationship Id="rId18" Type="http://schemas.openxmlformats.org/officeDocument/2006/relationships/hyperlink" Target="https://doi.org/10.1080/15265161.2022.2123994" TargetMode="External"/><Relationship Id="rId26" Type="http://schemas.openxmlformats.org/officeDocument/2006/relationships/hyperlink" Target="https://doi.org/10.1163/17455243-20213610" TargetMode="External"/><Relationship Id="rId3" Type="http://schemas.openxmlformats.org/officeDocument/2006/relationships/settings" Target="settings.xml"/><Relationship Id="rId21" Type="http://schemas.openxmlformats.org/officeDocument/2006/relationships/hyperlink" Target="https://doi.org/10.1080/15265161.2022.2123987" TargetMode="External"/><Relationship Id="rId7" Type="http://schemas.openxmlformats.org/officeDocument/2006/relationships/hyperlink" Target="https://doi.org/10.1056/NEJM198812223192504" TargetMode="External"/><Relationship Id="rId12" Type="http://schemas.openxmlformats.org/officeDocument/2006/relationships/hyperlink" Target="https://doi.org/10.1353/hcr.0.0113" TargetMode="External"/><Relationship Id="rId17" Type="http://schemas.openxmlformats.org/officeDocument/2006/relationships/hyperlink" Target="https://doi.org/10.1080/15265161.2022.2123994" TargetMode="External"/><Relationship Id="rId25" Type="http://schemas.openxmlformats.org/officeDocument/2006/relationships/hyperlink" Target="https://doi.org/10.1163/17455243-20213610" TargetMode="External"/><Relationship Id="rId2" Type="http://schemas.openxmlformats.org/officeDocument/2006/relationships/styles" Target="styles.xml"/><Relationship Id="rId16" Type="http://schemas.openxmlformats.org/officeDocument/2006/relationships/hyperlink" Target="https://doi.org/10.1016/s0002-9378(96)70390-3" TargetMode="External"/><Relationship Id="rId20" Type="http://schemas.openxmlformats.org/officeDocument/2006/relationships/hyperlink" Target="https://doi.org/10.1002/j.1552-146X.2011.tb00153.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53/hcr.0.0113" TargetMode="External"/><Relationship Id="rId24" Type="http://schemas.openxmlformats.org/officeDocument/2006/relationships/hyperlink" Target="https://doi.org/10.1080/15265161.2021.1941423" TargetMode="External"/><Relationship Id="rId5" Type="http://schemas.openxmlformats.org/officeDocument/2006/relationships/footnotes" Target="footnotes.xml"/><Relationship Id="rId15" Type="http://schemas.openxmlformats.org/officeDocument/2006/relationships/hyperlink" Target="https://doi.org/10.1016/s0002-9378(96)70390-3" TargetMode="External"/><Relationship Id="rId23" Type="http://schemas.openxmlformats.org/officeDocument/2006/relationships/hyperlink" Target="https://doi.org/10.1080/15265161.2021.1941423" TargetMode="External"/><Relationship Id="rId28" Type="http://schemas.openxmlformats.org/officeDocument/2006/relationships/hyperlink" Target="https://doi.org/10.1353/ppp.2007.0032" TargetMode="External"/><Relationship Id="rId10" Type="http://schemas.openxmlformats.org/officeDocument/2006/relationships/hyperlink" Target="https://doi.org/10.1007/s11017-011-9180-2" TargetMode="External"/><Relationship Id="rId19" Type="http://schemas.openxmlformats.org/officeDocument/2006/relationships/hyperlink" Target="https://doi.org/10.1002/j.1552-146X.2011.tb00153.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1017-011-9180-2" TargetMode="External"/><Relationship Id="rId14" Type="http://schemas.openxmlformats.org/officeDocument/2006/relationships/hyperlink" Target="https://doi.org/10.1080/00455091.1991.10717234" TargetMode="External"/><Relationship Id="rId22" Type="http://schemas.openxmlformats.org/officeDocument/2006/relationships/hyperlink" Target="https://doi.org/10.1080/15265161.2022.2123987" TargetMode="External"/><Relationship Id="rId27" Type="http://schemas.openxmlformats.org/officeDocument/2006/relationships/hyperlink" Target="https://doi.org/10.1353/ppp.2007.003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Aylsworth</dc:creator>
  <cp:lastModifiedBy>Timothy Aylsworth</cp:lastModifiedBy>
  <cp:revision>6</cp:revision>
  <dcterms:created xsi:type="dcterms:W3CDTF">2024-05-09T18:45:00Z</dcterms:created>
  <dcterms:modified xsi:type="dcterms:W3CDTF">2024-08-14T12:04:00Z</dcterms:modified>
</cp:coreProperties>
</file>