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D1449" w14:textId="6F4D62CA" w:rsidR="00CC127F" w:rsidRDefault="00CC127F" w:rsidP="0077069D">
      <w:pPr>
        <w:spacing w:line="480" w:lineRule="auto"/>
        <w:ind w:right="89" w:firstLine="567"/>
        <w:jc w:val="center"/>
        <w:rPr>
          <w:rFonts w:asciiTheme="minorHAnsi" w:hAnsiTheme="minorHAnsi" w:cstheme="minorHAnsi"/>
          <w:b/>
          <w:bCs/>
          <w:color w:val="000000" w:themeColor="text1"/>
        </w:rPr>
      </w:pPr>
      <w:r w:rsidRPr="00923197">
        <w:rPr>
          <w:rFonts w:asciiTheme="minorHAnsi" w:hAnsiTheme="minorHAnsi" w:cstheme="minorHAnsi"/>
          <w:b/>
          <w:bCs/>
        </w:rPr>
        <w:t>Experts, P</w:t>
      </w:r>
      <w:r w:rsidRPr="00923197">
        <w:rPr>
          <w:rFonts w:asciiTheme="minorHAnsi" w:hAnsiTheme="minorHAnsi" w:cstheme="minorHAnsi"/>
          <w:b/>
          <w:bCs/>
          <w:color w:val="000000" w:themeColor="text1"/>
        </w:rPr>
        <w:t>ublic Policy and the Question of Trust</w:t>
      </w:r>
    </w:p>
    <w:p w14:paraId="06D3E13D" w14:textId="09748C66" w:rsidR="000450E7" w:rsidRDefault="000450E7" w:rsidP="0077069D">
      <w:pPr>
        <w:spacing w:line="480" w:lineRule="auto"/>
        <w:ind w:right="89" w:firstLine="567"/>
        <w:jc w:val="center"/>
        <w:rPr>
          <w:rFonts w:asciiTheme="minorHAnsi" w:hAnsiTheme="minorHAnsi" w:cstheme="minorHAnsi"/>
          <w:b/>
          <w:bCs/>
          <w:color w:val="000000" w:themeColor="text1"/>
        </w:rPr>
      </w:pPr>
    </w:p>
    <w:p w14:paraId="573AD11D" w14:textId="374224A7" w:rsidR="000450E7" w:rsidRDefault="000450E7" w:rsidP="0077069D">
      <w:pPr>
        <w:spacing w:line="480" w:lineRule="auto"/>
        <w:ind w:right="89" w:firstLine="567"/>
        <w:jc w:val="center"/>
        <w:rPr>
          <w:rFonts w:asciiTheme="minorHAnsi" w:hAnsiTheme="minorHAnsi" w:cstheme="minorHAnsi"/>
          <w:b/>
          <w:bCs/>
          <w:color w:val="000000" w:themeColor="text1"/>
        </w:rPr>
      </w:pPr>
      <w:r>
        <w:rPr>
          <w:rFonts w:asciiTheme="minorHAnsi" w:hAnsiTheme="minorHAnsi" w:cstheme="minorHAnsi"/>
          <w:b/>
          <w:bCs/>
          <w:color w:val="000000" w:themeColor="text1"/>
        </w:rPr>
        <w:t>Maria Baghramian &amp; Michel Croce</w:t>
      </w:r>
    </w:p>
    <w:p w14:paraId="7F84E658" w14:textId="2885A958" w:rsidR="000450E7" w:rsidRPr="000450E7" w:rsidRDefault="000450E7" w:rsidP="0077069D">
      <w:pPr>
        <w:spacing w:line="480" w:lineRule="auto"/>
        <w:ind w:right="89" w:firstLine="567"/>
        <w:jc w:val="center"/>
        <w:rPr>
          <w:rFonts w:asciiTheme="minorHAnsi" w:hAnsiTheme="minorHAnsi" w:cstheme="minorHAnsi"/>
          <w:color w:val="000000" w:themeColor="text1"/>
        </w:rPr>
      </w:pPr>
    </w:p>
    <w:p w14:paraId="2ABE53AF" w14:textId="6D5AA86C" w:rsidR="000450E7" w:rsidRPr="000450E7" w:rsidRDefault="000450E7" w:rsidP="0077069D">
      <w:pPr>
        <w:spacing w:line="480" w:lineRule="auto"/>
        <w:ind w:right="89" w:firstLine="567"/>
        <w:jc w:val="center"/>
        <w:rPr>
          <w:rFonts w:asciiTheme="minorHAnsi" w:hAnsiTheme="minorHAnsi" w:cstheme="minorHAnsi"/>
          <w:color w:val="000000" w:themeColor="text1"/>
        </w:rPr>
      </w:pPr>
      <w:r w:rsidRPr="000450E7">
        <w:rPr>
          <w:rFonts w:asciiTheme="minorHAnsi" w:hAnsiTheme="minorHAnsi" w:cstheme="minorHAnsi"/>
          <w:color w:val="000000" w:themeColor="text1"/>
        </w:rPr>
        <w:t xml:space="preserve">This paper is </w:t>
      </w:r>
      <w:r>
        <w:rPr>
          <w:rFonts w:asciiTheme="minorHAnsi" w:hAnsiTheme="minorHAnsi" w:cstheme="minorHAnsi"/>
          <w:color w:val="000000" w:themeColor="text1"/>
        </w:rPr>
        <w:t xml:space="preserve">the </w:t>
      </w:r>
      <w:r w:rsidRPr="000450E7">
        <w:rPr>
          <w:rFonts w:asciiTheme="minorHAnsi" w:hAnsiTheme="minorHAnsi" w:cstheme="minorHAnsi"/>
          <w:color w:val="000000" w:themeColor="text1"/>
        </w:rPr>
        <w:t xml:space="preserve">preprint version of </w:t>
      </w:r>
      <w:r>
        <w:rPr>
          <w:rFonts w:asciiTheme="minorHAnsi" w:hAnsiTheme="minorHAnsi" w:cstheme="minorHAnsi"/>
          <w:color w:val="000000" w:themeColor="text1"/>
        </w:rPr>
        <w:t xml:space="preserve"> </w:t>
      </w:r>
      <w:r w:rsidRPr="000450E7">
        <w:rPr>
          <w:rFonts w:asciiTheme="minorHAnsi" w:hAnsiTheme="minorHAnsi" w:cstheme="minorHAnsi"/>
          <w:color w:val="000000" w:themeColor="text1"/>
        </w:rPr>
        <w:t>an entry</w:t>
      </w:r>
      <w:r>
        <w:rPr>
          <w:rFonts w:asciiTheme="minorHAnsi" w:hAnsiTheme="minorHAnsi" w:cstheme="minorHAnsi"/>
          <w:color w:val="000000" w:themeColor="text1"/>
        </w:rPr>
        <w:t xml:space="preserve"> </w:t>
      </w:r>
      <w:r w:rsidRPr="000450E7">
        <w:rPr>
          <w:rFonts w:asciiTheme="minorHAnsi" w:hAnsiTheme="minorHAnsi" w:cstheme="minorHAnsi"/>
          <w:color w:val="000000" w:themeColor="text1"/>
        </w:rPr>
        <w:t>in</w:t>
      </w:r>
      <w:r>
        <w:rPr>
          <w:rFonts w:asciiTheme="minorHAnsi" w:hAnsiTheme="minorHAnsi" w:cstheme="minorHAnsi"/>
          <w:color w:val="000000" w:themeColor="text1"/>
        </w:rPr>
        <w:t xml:space="preserve"> </w:t>
      </w:r>
      <w:r w:rsidRPr="000450E7">
        <w:rPr>
          <w:rFonts w:asciiTheme="minorHAnsi" w:hAnsiTheme="minorHAnsi" w:cstheme="minorHAnsi"/>
          <w:color w:val="000000" w:themeColor="text1"/>
        </w:rPr>
        <w:t xml:space="preserve">the </w:t>
      </w:r>
      <w:r>
        <w:rPr>
          <w:rFonts w:asciiTheme="minorHAnsi" w:hAnsiTheme="minorHAnsi" w:cstheme="minorHAnsi"/>
          <w:color w:val="000000" w:themeColor="text1"/>
        </w:rPr>
        <w:t xml:space="preserve">forthcoming </w:t>
      </w:r>
      <w:r w:rsidRPr="000450E7">
        <w:rPr>
          <w:rFonts w:asciiTheme="minorHAnsi" w:hAnsiTheme="minorHAnsi" w:cstheme="minorHAnsi"/>
          <w:i/>
          <w:iCs/>
          <w:color w:val="000000" w:themeColor="text1"/>
        </w:rPr>
        <w:t>Routledge Handbook of Political Epistemology</w:t>
      </w:r>
      <w:r w:rsidRPr="000450E7">
        <w:rPr>
          <w:rFonts w:asciiTheme="minorHAnsi" w:hAnsiTheme="minorHAnsi" w:cstheme="minorHAnsi"/>
          <w:color w:val="000000" w:themeColor="text1"/>
        </w:rPr>
        <w:t xml:space="preserve">, Edited by Michael Hannon and </w:t>
      </w:r>
      <w:r>
        <w:rPr>
          <w:rFonts w:asciiTheme="minorHAnsi" w:hAnsiTheme="minorHAnsi" w:cstheme="minorHAnsi"/>
          <w:color w:val="000000" w:themeColor="text1"/>
        </w:rPr>
        <w:t xml:space="preserve"> </w:t>
      </w:r>
      <w:r w:rsidRPr="000450E7">
        <w:rPr>
          <w:rFonts w:asciiTheme="minorHAnsi" w:hAnsiTheme="minorHAnsi" w:cstheme="minorHAnsi"/>
          <w:color w:val="000000" w:themeColor="text1"/>
        </w:rPr>
        <w:t>Jeroen de Ridder</w:t>
      </w:r>
      <w:r>
        <w:rPr>
          <w:rFonts w:asciiTheme="minorHAnsi" w:hAnsiTheme="minorHAnsi" w:cstheme="minorHAnsi"/>
          <w:color w:val="000000" w:themeColor="text1"/>
        </w:rPr>
        <w:t xml:space="preserve"> </w:t>
      </w:r>
    </w:p>
    <w:p w14:paraId="07CC3A26" w14:textId="77777777" w:rsidR="002F600B" w:rsidRPr="00923197" w:rsidRDefault="002F600B" w:rsidP="0077069D">
      <w:pPr>
        <w:spacing w:line="480" w:lineRule="auto"/>
        <w:ind w:right="89" w:firstLine="567"/>
        <w:jc w:val="center"/>
        <w:rPr>
          <w:rFonts w:asciiTheme="minorHAnsi" w:hAnsiTheme="minorHAnsi" w:cstheme="minorHAnsi"/>
          <w:b/>
          <w:bCs/>
          <w:color w:val="000000" w:themeColor="text1"/>
        </w:rPr>
      </w:pPr>
    </w:p>
    <w:p w14:paraId="36872F08" w14:textId="77777777" w:rsidR="00C32BEF" w:rsidRPr="00923197" w:rsidRDefault="00C32BEF" w:rsidP="0077069D">
      <w:pPr>
        <w:pStyle w:val="ListParagraph"/>
        <w:spacing w:line="480" w:lineRule="auto"/>
        <w:ind w:right="89" w:hanging="578"/>
        <w:rPr>
          <w:rFonts w:cstheme="minorHAnsi"/>
          <w:b/>
          <w:bCs/>
          <w:color w:val="000000" w:themeColor="text1"/>
        </w:rPr>
      </w:pPr>
      <w:r w:rsidRPr="00923197">
        <w:rPr>
          <w:rFonts w:cstheme="minorHAnsi"/>
          <w:b/>
          <w:bCs/>
          <w:color w:val="000000" w:themeColor="text1"/>
        </w:rPr>
        <w:t xml:space="preserve">Abstract </w:t>
      </w:r>
    </w:p>
    <w:p w14:paraId="7B24291C" w14:textId="77777777" w:rsidR="00C32BEF" w:rsidRPr="00923197" w:rsidRDefault="00C32BEF" w:rsidP="0077069D">
      <w:pPr>
        <w:pStyle w:val="ListParagraph"/>
        <w:spacing w:line="480" w:lineRule="auto"/>
        <w:ind w:right="89" w:hanging="578"/>
        <w:rPr>
          <w:rFonts w:cstheme="minorHAnsi"/>
          <w:b/>
          <w:bCs/>
          <w:color w:val="000000" w:themeColor="text1"/>
        </w:rPr>
      </w:pPr>
    </w:p>
    <w:p w14:paraId="31621B8C" w14:textId="54DCE351" w:rsidR="00C32BEF" w:rsidRPr="00923197" w:rsidRDefault="00C32BEF" w:rsidP="0077069D">
      <w:pPr>
        <w:spacing w:line="480" w:lineRule="auto"/>
        <w:rPr>
          <w:rFonts w:asciiTheme="minorHAnsi" w:hAnsiTheme="minorHAnsi" w:cstheme="minorHAnsi"/>
        </w:rPr>
      </w:pPr>
      <w:r w:rsidRPr="00923197">
        <w:rPr>
          <w:rFonts w:asciiTheme="minorHAnsi" w:hAnsiTheme="minorHAnsi" w:cstheme="minorHAnsi"/>
        </w:rPr>
        <w:t>This chapter discusses the topics of trust and expertise from the perspective of political epistemology. In particular, it addresses four main questions: (§1) How should we characterise experts and their expertise? (§2) How can non-experts recognize a reliable expert? (§3) What does it take for non-experts to trust experts? (§4) What problems impede trust in experts?</w:t>
      </w:r>
    </w:p>
    <w:p w14:paraId="3909893F" w14:textId="77777777" w:rsidR="0077069D" w:rsidRPr="00923197" w:rsidRDefault="0077069D" w:rsidP="0077069D">
      <w:pPr>
        <w:spacing w:line="480" w:lineRule="auto"/>
        <w:rPr>
          <w:rFonts w:asciiTheme="minorHAnsi" w:hAnsiTheme="minorHAnsi" w:cstheme="minorHAnsi"/>
        </w:rPr>
      </w:pPr>
    </w:p>
    <w:p w14:paraId="55DE1BBE" w14:textId="77777777" w:rsidR="00B91B24" w:rsidRPr="00167683" w:rsidRDefault="00B91B24" w:rsidP="00167683">
      <w:pPr>
        <w:spacing w:line="480" w:lineRule="auto"/>
        <w:ind w:right="89"/>
        <w:rPr>
          <w:rFonts w:cstheme="minorHAnsi"/>
          <w:b/>
          <w:bCs/>
          <w:color w:val="000000" w:themeColor="text1"/>
        </w:rPr>
      </w:pPr>
    </w:p>
    <w:p w14:paraId="4D8C6FC8" w14:textId="2E39678E" w:rsidR="00923197" w:rsidRPr="00122E5C" w:rsidRDefault="009F71AA" w:rsidP="00122E5C">
      <w:pPr>
        <w:pStyle w:val="ListParagraph"/>
        <w:numPr>
          <w:ilvl w:val="0"/>
          <w:numId w:val="4"/>
        </w:numPr>
        <w:spacing w:line="480" w:lineRule="auto"/>
        <w:ind w:left="0" w:right="89" w:firstLine="0"/>
        <w:rPr>
          <w:rFonts w:cstheme="minorHAnsi"/>
          <w:b/>
          <w:bCs/>
          <w:color w:val="000000" w:themeColor="text1"/>
        </w:rPr>
      </w:pPr>
      <w:r w:rsidRPr="00122E5C">
        <w:rPr>
          <w:rFonts w:cstheme="minorHAnsi"/>
          <w:b/>
          <w:bCs/>
          <w:color w:val="000000" w:themeColor="text1"/>
        </w:rPr>
        <w:t xml:space="preserve">Introduction: </w:t>
      </w:r>
      <w:r w:rsidR="00547611" w:rsidRPr="00122E5C">
        <w:rPr>
          <w:rFonts w:cstheme="minorHAnsi"/>
          <w:b/>
          <w:bCs/>
          <w:color w:val="000000" w:themeColor="text1"/>
        </w:rPr>
        <w:t>Experts and their political function</w:t>
      </w:r>
      <w:r w:rsidR="00923197" w:rsidRPr="00923197">
        <w:rPr>
          <w:rStyle w:val="EndnoteReference"/>
          <w:rFonts w:cstheme="minorHAnsi"/>
          <w:b/>
          <w:bCs/>
          <w:color w:val="000000" w:themeColor="text1"/>
        </w:rPr>
        <w:endnoteReference w:id="2"/>
      </w:r>
    </w:p>
    <w:p w14:paraId="3A5289CB" w14:textId="77777777" w:rsidR="00923197" w:rsidRPr="00923197" w:rsidRDefault="00923197" w:rsidP="0077069D">
      <w:pPr>
        <w:spacing w:line="480" w:lineRule="auto"/>
        <w:ind w:right="89"/>
        <w:rPr>
          <w:rFonts w:asciiTheme="minorHAnsi" w:hAnsiTheme="minorHAnsi" w:cstheme="minorHAnsi"/>
          <w:color w:val="000000" w:themeColor="text1"/>
        </w:rPr>
      </w:pPr>
    </w:p>
    <w:p w14:paraId="0EC625BC" w14:textId="76831FC3" w:rsidR="00923197" w:rsidRPr="00923197" w:rsidRDefault="00923197" w:rsidP="0077069D">
      <w:pPr>
        <w:spacing w:line="480" w:lineRule="auto"/>
        <w:ind w:right="89"/>
        <w:rPr>
          <w:rFonts w:asciiTheme="minorHAnsi" w:hAnsiTheme="minorHAnsi" w:cstheme="minorHAnsi"/>
          <w:color w:val="000000" w:themeColor="text1"/>
        </w:rPr>
      </w:pPr>
      <w:r w:rsidRPr="00923197">
        <w:rPr>
          <w:rFonts w:asciiTheme="minorHAnsi" w:hAnsiTheme="minorHAnsi" w:cstheme="minorHAnsi"/>
          <w:color w:val="000000" w:themeColor="text1"/>
        </w:rPr>
        <w:t xml:space="preserve">In our daily lives we routinely depend on experts of various kinds, their skills and their advice. From matters of health to technology, weather forecasts to air-travel, even in mundane matters of dealing with blocked drainpipes or broken washing machines, experts have a ubiquitous role in our lives and guide our choices. Experts and our reliance on them become a political matter when they are involved in policy formation and implementation. Cognitive experts (Goldman 2001: 91) in different fields,  experts who have epistemic </w:t>
      </w:r>
      <w:r w:rsidRPr="00923197">
        <w:rPr>
          <w:rFonts w:asciiTheme="minorHAnsi" w:hAnsiTheme="minorHAnsi" w:cstheme="minorHAnsi"/>
          <w:color w:val="000000" w:themeColor="text1"/>
        </w:rPr>
        <w:lastRenderedPageBreak/>
        <w:t xml:space="preserve">competences in some domain of enquiry, rather than </w:t>
      </w:r>
      <w:r w:rsidRPr="00923197">
        <w:rPr>
          <w:rFonts w:asciiTheme="minorHAnsi" w:hAnsiTheme="minorHAnsi" w:cstheme="minorHAnsi"/>
          <w:i/>
          <w:iCs/>
          <w:color w:val="000000" w:themeColor="text1"/>
        </w:rPr>
        <w:t>practical</w:t>
      </w:r>
      <w:r w:rsidRPr="00923197">
        <w:rPr>
          <w:rFonts w:asciiTheme="minorHAnsi" w:hAnsiTheme="minorHAnsi" w:cstheme="minorHAnsi"/>
          <w:color w:val="000000" w:themeColor="text1"/>
        </w:rPr>
        <w:t xml:space="preserve"> or performative expertise (Watson 2018: 40), are increasingly called upon to  provide data and evidence in the service of governmental policy goals.  We review and briefly address four questions on experts and their role from the perspective of political epistemology: (§1) How should we characterise experts and their expertise? (§2)</w:t>
      </w:r>
      <w:r w:rsidRPr="00923197">
        <w:rPr>
          <w:rFonts w:asciiTheme="minorHAnsi" w:hAnsiTheme="minorHAnsi" w:cstheme="minorHAnsi"/>
          <w:color w:val="000000" w:themeColor="text1"/>
          <w:lang w:val="en-US"/>
        </w:rPr>
        <w:t xml:space="preserve"> How can non-experts recognize a reliable expert? </w:t>
      </w:r>
      <w:r w:rsidRPr="00923197">
        <w:rPr>
          <w:rFonts w:asciiTheme="minorHAnsi" w:hAnsiTheme="minorHAnsi" w:cstheme="minorHAnsi"/>
          <w:color w:val="000000" w:themeColor="text1"/>
        </w:rPr>
        <w:t>(§3) What does it take for non-experts to trust experts? (§4) What problems impede trust in experts?</w:t>
      </w:r>
    </w:p>
    <w:p w14:paraId="7B6B9793" w14:textId="7A03CB75"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t xml:space="preserve">Recent years have seen a sharp turn towards populist politics with leaders claiming to represent the univocal "will of the people" and to stand against "liberal elite" enemies and the privileged cosmopolitan educated classes (e.g. </w:t>
      </w:r>
      <w:proofErr w:type="spellStart"/>
      <w:r w:rsidRPr="00923197">
        <w:rPr>
          <w:rFonts w:asciiTheme="minorHAnsi" w:hAnsiTheme="minorHAnsi" w:cstheme="minorHAnsi"/>
          <w:color w:val="000000" w:themeColor="text1"/>
          <w:lang w:val="en-US"/>
        </w:rPr>
        <w:t>Canovan</w:t>
      </w:r>
      <w:proofErr w:type="spellEnd"/>
      <w:r w:rsidRPr="00923197">
        <w:rPr>
          <w:rFonts w:asciiTheme="minorHAnsi" w:hAnsiTheme="minorHAnsi" w:cstheme="minorHAnsi"/>
          <w:color w:val="000000" w:themeColor="text1"/>
          <w:lang w:val="en-US"/>
        </w:rPr>
        <w:t xml:space="preserve"> 1999). This anti-elitist rhetoric has put the scientific advisory process under serious stress (OECD 2015). Policy advice on health and environmental issues has proven particularly controversial and led to partisan political debates and confrontations, not just in the US, but across the world. While headline figures in recent surveys on trust in scientific expertise do not indicate a drop in trust levels—unlike trust in politicians and the media—the public discourse around expertise has noticeably changed and there is evidence of a breakdown of trust in specific policy areas such as vaccination and climate change (</w:t>
      </w:r>
      <w:proofErr w:type="spellStart"/>
      <w:r w:rsidRPr="00923197">
        <w:rPr>
          <w:rFonts w:asciiTheme="minorHAnsi" w:hAnsiTheme="minorHAnsi" w:cstheme="minorHAnsi"/>
          <w:color w:val="000000" w:themeColor="text1"/>
          <w:lang w:val="en-US"/>
        </w:rPr>
        <w:t>Facciolà</w:t>
      </w:r>
      <w:proofErr w:type="spellEnd"/>
      <w:r w:rsidRPr="00923197">
        <w:rPr>
          <w:rFonts w:asciiTheme="minorHAnsi" w:hAnsiTheme="minorHAnsi" w:cstheme="minorHAnsi"/>
          <w:color w:val="000000" w:themeColor="text1"/>
          <w:lang w:val="en-US"/>
        </w:rPr>
        <w:t xml:space="preserve"> et al., 2019). </w:t>
      </w:r>
    </w:p>
    <w:p w14:paraId="69A2E3BA" w14:textId="77777777" w:rsidR="00923197" w:rsidRPr="00923197" w:rsidRDefault="00923197" w:rsidP="0077069D">
      <w:pPr>
        <w:spacing w:line="480" w:lineRule="auto"/>
        <w:ind w:right="89" w:firstLine="567"/>
        <w:rPr>
          <w:rFonts w:asciiTheme="minorHAnsi" w:hAnsiTheme="minorHAnsi" w:cstheme="minorHAnsi"/>
          <w:color w:val="000000" w:themeColor="text1"/>
        </w:rPr>
      </w:pPr>
    </w:p>
    <w:p w14:paraId="29074431" w14:textId="4C3011AA" w:rsidR="00923197" w:rsidRPr="00122E5C" w:rsidRDefault="00923197" w:rsidP="00122E5C">
      <w:pPr>
        <w:pStyle w:val="ListParagraph"/>
        <w:numPr>
          <w:ilvl w:val="0"/>
          <w:numId w:val="3"/>
        </w:numPr>
        <w:spacing w:line="480" w:lineRule="auto"/>
        <w:ind w:left="0" w:right="89" w:firstLine="142"/>
        <w:rPr>
          <w:rFonts w:cstheme="minorHAnsi"/>
          <w:color w:val="000000" w:themeColor="text1"/>
        </w:rPr>
      </w:pPr>
      <w:r w:rsidRPr="00122E5C">
        <w:rPr>
          <w:rFonts w:cstheme="minorHAnsi"/>
          <w:b/>
          <w:bCs/>
          <w:color w:val="000000" w:themeColor="text1"/>
        </w:rPr>
        <w:t xml:space="preserve">What is expertise? </w:t>
      </w:r>
    </w:p>
    <w:p w14:paraId="6FECE23E" w14:textId="77777777" w:rsidR="00923197" w:rsidRPr="00923197" w:rsidRDefault="00923197" w:rsidP="0077069D">
      <w:pPr>
        <w:spacing w:line="480" w:lineRule="auto"/>
        <w:ind w:right="89" w:firstLine="567"/>
        <w:rPr>
          <w:rFonts w:asciiTheme="minorHAnsi" w:hAnsiTheme="minorHAnsi" w:cstheme="minorHAnsi"/>
          <w:b/>
          <w:bCs/>
          <w:color w:val="000000" w:themeColor="text1"/>
        </w:rPr>
      </w:pPr>
    </w:p>
    <w:p w14:paraId="3F2B4773" w14:textId="07D187C6"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t>The term “expert” is defined in various ways. At first blush, and very roughly, an expert is a person with a high level of knowledge in a particular domain. Predictably, though, the question of how to understand the notion has generated lively and timely discussions among social epistemologists.</w:t>
      </w:r>
    </w:p>
    <w:p w14:paraId="7A60EB2E" w14:textId="7A54161D"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rPr>
        <w:lastRenderedPageBreak/>
        <w:t xml:space="preserve">Alvin Goldman’s 2001 paper has become a classic of the field and almost all subsequent debates on the topic define their position in relation to it. His theory of expertise is grounded in a conceptual analysis approach and has two main features: it is a </w:t>
      </w:r>
      <w:proofErr w:type="spellStart"/>
      <w:r w:rsidRPr="00923197">
        <w:rPr>
          <w:rFonts w:asciiTheme="minorHAnsi" w:hAnsiTheme="minorHAnsi" w:cstheme="minorHAnsi"/>
          <w:color w:val="000000" w:themeColor="text1"/>
        </w:rPr>
        <w:t>veritistic</w:t>
      </w:r>
      <w:proofErr w:type="spellEnd"/>
      <w:r w:rsidRPr="00923197">
        <w:rPr>
          <w:rFonts w:asciiTheme="minorHAnsi" w:hAnsiTheme="minorHAnsi" w:cstheme="minorHAnsi"/>
          <w:color w:val="000000" w:themeColor="text1"/>
        </w:rPr>
        <w:t xml:space="preserve"> and realist theory of expertise, where </w:t>
      </w:r>
      <w:proofErr w:type="spellStart"/>
      <w:r w:rsidRPr="00923197">
        <w:rPr>
          <w:rFonts w:asciiTheme="minorHAnsi" w:hAnsiTheme="minorHAnsi" w:cstheme="minorHAnsi"/>
          <w:i/>
          <w:iCs/>
          <w:color w:val="000000" w:themeColor="text1"/>
        </w:rPr>
        <w:t>veritistic</w:t>
      </w:r>
      <w:proofErr w:type="spellEnd"/>
      <w:r w:rsidRPr="00923197">
        <w:rPr>
          <w:rFonts w:asciiTheme="minorHAnsi" w:hAnsiTheme="minorHAnsi" w:cstheme="minorHAnsi"/>
          <w:color w:val="000000" w:themeColor="text1"/>
        </w:rPr>
        <w:t xml:space="preserve"> means that expertise is measured by the amount of true beliefs one possesses in a given domain—more precisely, by the ratio of true to false beliefs in the domain—and where </w:t>
      </w:r>
      <w:r w:rsidRPr="00923197">
        <w:rPr>
          <w:rFonts w:asciiTheme="minorHAnsi" w:hAnsiTheme="minorHAnsi" w:cstheme="minorHAnsi"/>
          <w:i/>
          <w:iCs/>
          <w:color w:val="000000" w:themeColor="text1"/>
        </w:rPr>
        <w:t>realist</w:t>
      </w:r>
      <w:r w:rsidRPr="00923197">
        <w:rPr>
          <w:rFonts w:asciiTheme="minorHAnsi" w:hAnsiTheme="minorHAnsi" w:cstheme="minorHAnsi"/>
          <w:color w:val="000000" w:themeColor="text1"/>
        </w:rPr>
        <w:t xml:space="preserve"> means that one’s possession of expertise does not depend on social recognition within one’s community or attribution by one’s clients (Collins and Evans 2007: 2-3). Briefly put, on Goldman’s view, experts are those who get things right in a domain of inquiry more often than most members of a community.</w:t>
      </w:r>
    </w:p>
    <w:p w14:paraId="53143E1A" w14:textId="39D22754" w:rsidR="00923197" w:rsidRPr="00923197" w:rsidRDefault="00923197"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lang w:val="en-US"/>
        </w:rPr>
        <w:t xml:space="preserve">Over the last decade, an upsurge of alternative views of expertise has challenged the main features of Goldman’s theory. One influential approach—embraced by Goldman in more recent work— identifies experts in terms of </w:t>
      </w:r>
      <w:r w:rsidRPr="00923197">
        <w:rPr>
          <w:rFonts w:asciiTheme="minorHAnsi" w:hAnsiTheme="minorHAnsi" w:cstheme="minorHAnsi"/>
          <w:color w:val="000000" w:themeColor="text1"/>
        </w:rPr>
        <w:t xml:space="preserve">their socio-epistemic functions, or the service they provide within an epistemic community. Functionalist accounts cash out the notion of expertise “by reference to what experts can do for laypersons by means of their special knowledge or skill” (Goldman 2018: 3) and (only) then assess the “categorical states” that underpin the functional requirements of expertise (4). The question about the function of an expert may be seen as complementary to the definitional question about what an expert is—Goldman does not seem to take a clear stand on the issue, though others tend to favour a functionalist approach over a realist one (e.g. Quast 2018). </w:t>
      </w:r>
    </w:p>
    <w:p w14:paraId="732B2CD5" w14:textId="60A9B962" w:rsidR="00923197" w:rsidRPr="00923197" w:rsidRDefault="00923197"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 xml:space="preserve">Novice-oriented accounts (Goldman 2018; Quast 2018) capture the idea that a community relies on experts to ensure that laypeople receive the help required to acquire reliable information in domains in which they are incompetent. If we stick to John Greco’s characterization of social epistemology (2020: §2), it could be argued that experts have a </w:t>
      </w:r>
      <w:r w:rsidRPr="00923197">
        <w:rPr>
          <w:rFonts w:asciiTheme="minorHAnsi" w:hAnsiTheme="minorHAnsi" w:cstheme="minorHAnsi"/>
          <w:color w:val="000000" w:themeColor="text1"/>
        </w:rPr>
        <w:lastRenderedPageBreak/>
        <w:t xml:space="preserve">prominent role in </w:t>
      </w:r>
      <w:r w:rsidRPr="00923197">
        <w:rPr>
          <w:rFonts w:asciiTheme="minorHAnsi" w:hAnsiTheme="minorHAnsi" w:cstheme="minorHAnsi"/>
          <w:i/>
          <w:iCs/>
          <w:color w:val="000000" w:themeColor="text1"/>
        </w:rPr>
        <w:t>knowledge distribution</w:t>
      </w:r>
      <w:r w:rsidRPr="00923197">
        <w:rPr>
          <w:rFonts w:asciiTheme="minorHAnsi" w:hAnsiTheme="minorHAnsi" w:cstheme="minorHAnsi"/>
          <w:color w:val="000000" w:themeColor="text1"/>
        </w:rPr>
        <w:t xml:space="preserve">, in that they make available information accessible to lay members of the community. </w:t>
      </w:r>
    </w:p>
    <w:p w14:paraId="7D2DE198" w14:textId="3EEB9642" w:rsidR="00923197" w:rsidRPr="00923197" w:rsidRDefault="00923197" w:rsidP="0077069D">
      <w:pPr>
        <w:spacing w:line="480" w:lineRule="auto"/>
        <w:ind w:right="89"/>
        <w:rPr>
          <w:rFonts w:asciiTheme="minorHAnsi" w:hAnsiTheme="minorHAnsi" w:cstheme="minorHAnsi"/>
          <w:color w:val="000000" w:themeColor="text1"/>
        </w:rPr>
      </w:pPr>
      <w:r w:rsidRPr="00923197">
        <w:rPr>
          <w:rFonts w:asciiTheme="minorHAnsi" w:hAnsiTheme="minorHAnsi" w:cstheme="minorHAnsi"/>
          <w:color w:val="000000" w:themeColor="text1"/>
        </w:rPr>
        <w:tab/>
        <w:t>In contrast, research-oriented accounts (Croce 2019) capture the idea that a community relies on experts to ensure “epistemic progress” by, among other things, addressing extant problems and answering new questions in various disciplines. Experts, seen in this light, perform a “</w:t>
      </w:r>
      <w:r w:rsidRPr="00923197">
        <w:rPr>
          <w:rFonts w:asciiTheme="minorHAnsi" w:hAnsiTheme="minorHAnsi" w:cstheme="minorHAnsi"/>
          <w:i/>
          <w:iCs/>
          <w:color w:val="000000" w:themeColor="text1"/>
        </w:rPr>
        <w:t>gatekeeping</w:t>
      </w:r>
      <w:r w:rsidRPr="00923197">
        <w:rPr>
          <w:rFonts w:asciiTheme="minorHAnsi" w:hAnsiTheme="minorHAnsi" w:cstheme="minorHAnsi"/>
          <w:color w:val="000000" w:themeColor="text1"/>
        </w:rPr>
        <w:t xml:space="preserve"> function” (Henderson 2009) insofar as they take care of the business of acquiring, selecting and introducing new information within an epistemic community. Grundmann (forthcoming) has recently argued against functionalist views of expertise, instead defining experts as those who possess better evidence in a given domain as well as more reliable reasoning skills compared to other members of an epistemic community (</w:t>
      </w:r>
      <w:r w:rsidRPr="00923197">
        <w:rPr>
          <w:rFonts w:asciiTheme="minorHAnsi" w:hAnsiTheme="minorHAnsi" w:cstheme="minorHAnsi"/>
          <w:i/>
          <w:iCs/>
          <w:color w:val="000000" w:themeColor="text1"/>
        </w:rPr>
        <w:t>ibid</w:t>
      </w:r>
      <w:r w:rsidRPr="00923197">
        <w:rPr>
          <w:rFonts w:asciiTheme="minorHAnsi" w:hAnsiTheme="minorHAnsi" w:cstheme="minorHAnsi"/>
          <w:color w:val="000000" w:themeColor="text1"/>
        </w:rPr>
        <w:t>).</w:t>
      </w:r>
      <w:r w:rsidRPr="00923197">
        <w:rPr>
          <w:rStyle w:val="EndnoteReference"/>
          <w:rFonts w:asciiTheme="minorHAnsi" w:hAnsiTheme="minorHAnsi" w:cstheme="minorHAnsi"/>
          <w:color w:val="000000" w:themeColor="text1"/>
        </w:rPr>
        <w:endnoteReference w:id="3"/>
      </w:r>
      <w:r w:rsidRPr="00923197">
        <w:rPr>
          <w:rFonts w:asciiTheme="minorHAnsi" w:hAnsiTheme="minorHAnsi" w:cstheme="minorHAnsi"/>
          <w:color w:val="000000" w:themeColor="text1"/>
        </w:rPr>
        <w:t xml:space="preserve"> Other attempts to broaden Goldman’s </w:t>
      </w:r>
      <w:proofErr w:type="spellStart"/>
      <w:r w:rsidRPr="00923197">
        <w:rPr>
          <w:rFonts w:asciiTheme="minorHAnsi" w:hAnsiTheme="minorHAnsi" w:cstheme="minorHAnsi"/>
          <w:color w:val="000000" w:themeColor="text1"/>
        </w:rPr>
        <w:t>veritistic</w:t>
      </w:r>
      <w:proofErr w:type="spellEnd"/>
      <w:r w:rsidRPr="00923197">
        <w:rPr>
          <w:rFonts w:asciiTheme="minorHAnsi" w:hAnsiTheme="minorHAnsi" w:cstheme="minorHAnsi"/>
          <w:color w:val="000000" w:themeColor="text1"/>
        </w:rPr>
        <w:t xml:space="preserve"> approach have been offered by proponents of </w:t>
      </w:r>
      <w:r w:rsidRPr="00923197">
        <w:rPr>
          <w:rFonts w:asciiTheme="minorHAnsi" w:hAnsiTheme="minorHAnsi" w:cstheme="minorHAnsi"/>
          <w:color w:val="000000" w:themeColor="text1"/>
          <w:lang w:val="en-US"/>
        </w:rPr>
        <w:t xml:space="preserve">what Grundmann calls “the gnostic account”, where the epistemic superiority of experts is cashed out in terms of their superior knowledge and understanding in a given domain (Croce 2019; </w:t>
      </w:r>
      <w:proofErr w:type="spellStart"/>
      <w:r w:rsidRPr="00923197">
        <w:rPr>
          <w:rFonts w:asciiTheme="minorHAnsi" w:hAnsiTheme="minorHAnsi" w:cstheme="minorHAnsi"/>
          <w:color w:val="000000" w:themeColor="text1"/>
          <w:lang w:val="en-US"/>
        </w:rPr>
        <w:t>Jäger</w:t>
      </w:r>
      <w:proofErr w:type="spellEnd"/>
      <w:r w:rsidRPr="00923197">
        <w:rPr>
          <w:rFonts w:asciiTheme="minorHAnsi" w:hAnsiTheme="minorHAnsi" w:cstheme="minorHAnsi"/>
          <w:color w:val="000000" w:themeColor="text1"/>
          <w:lang w:val="en-US"/>
        </w:rPr>
        <w:t xml:space="preserve"> 2016). There are also those who argue that </w:t>
      </w:r>
      <w:r w:rsidRPr="00923197">
        <w:rPr>
          <w:rFonts w:asciiTheme="minorHAnsi" w:hAnsiTheme="minorHAnsi" w:cstheme="minorHAnsi"/>
          <w:color w:val="000000" w:themeColor="text1"/>
        </w:rPr>
        <w:t xml:space="preserve">expertise does not simply reduce to epistemic superiority within a community, but that part of experts’ competence has to do with their epistemic—if not moral—character, that is, with how they conduct their inquiries, their impartiality, intellectual honesty, epistemic autonomy, open-mindedness, etc. (Croce 2018; Grundmann 2017; Collins 2014; </w:t>
      </w:r>
      <w:proofErr w:type="spellStart"/>
      <w:r w:rsidRPr="00923197">
        <w:rPr>
          <w:rFonts w:asciiTheme="minorHAnsi" w:hAnsiTheme="minorHAnsi" w:cstheme="minorHAnsi"/>
          <w:color w:val="000000" w:themeColor="text1"/>
        </w:rPr>
        <w:t>Shapin</w:t>
      </w:r>
      <w:proofErr w:type="spellEnd"/>
      <w:r w:rsidRPr="00923197">
        <w:rPr>
          <w:rFonts w:asciiTheme="minorHAnsi" w:hAnsiTheme="minorHAnsi" w:cstheme="minorHAnsi"/>
          <w:color w:val="000000" w:themeColor="text1"/>
        </w:rPr>
        <w:t xml:space="preserve"> 2008). </w:t>
      </w:r>
    </w:p>
    <w:p w14:paraId="53391672" w14:textId="737037EE" w:rsidR="00923197" w:rsidRPr="00923197" w:rsidRDefault="00923197"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 xml:space="preserve">Sociological discussions of expertise, at least in their descriptive versions, are an important source of critiques of the realist views. Sociologists and social theorists tend to endorse a </w:t>
      </w:r>
      <w:r w:rsidRPr="00923197">
        <w:rPr>
          <w:rFonts w:asciiTheme="minorHAnsi" w:hAnsiTheme="minorHAnsi" w:cstheme="minorHAnsi"/>
          <w:i/>
          <w:iCs/>
          <w:color w:val="000000" w:themeColor="text1"/>
        </w:rPr>
        <w:t>relational</w:t>
      </w:r>
      <w:r w:rsidRPr="00923197">
        <w:rPr>
          <w:rFonts w:asciiTheme="minorHAnsi" w:hAnsiTheme="minorHAnsi" w:cstheme="minorHAnsi"/>
          <w:color w:val="000000" w:themeColor="text1"/>
        </w:rPr>
        <w:t xml:space="preserve"> view of expertise, according to which expertise is not a status one possesses in virtue of one’s epistemic achievements in a domain, but one conferred or attributed by others—typically by experts’ clients rather than their peers (Grundmann </w:t>
      </w:r>
      <w:r w:rsidRPr="00923197">
        <w:rPr>
          <w:rFonts w:asciiTheme="minorHAnsi" w:hAnsiTheme="minorHAnsi" w:cstheme="minorHAnsi"/>
          <w:color w:val="000000" w:themeColor="text1"/>
        </w:rPr>
        <w:lastRenderedPageBreak/>
        <w:t xml:space="preserve">2017). Expertise on this view comes down to a specific form of social recognition that individuals receive as a result of their services within the community. </w:t>
      </w:r>
    </w:p>
    <w:p w14:paraId="443A5507" w14:textId="20B693F0" w:rsidR="00923197" w:rsidRPr="00923197" w:rsidRDefault="00923197"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This view of expertise is important not only because it departs from the realist approach, but because it shows that analysis of experts should not be reduced to that of “pure scientists”—those who care only about acquiring and sharing knowledge and show no interest in how their information addresses concrete issues (Pielke Jr 2007, Douglas 2009). A key limitation of the traditional model is that the role expert knowledge plays in collective and personal decision-making processes is inadequately considered. While questions about the nature of expertise may be separate from those about the social roles of experts, in discussing expertise in the context of policy decisions, a characterisation of what experts are that does not account for their specific role in the epistemic landscape of their society is bound to be incomplete. Relational accounts attempt to address this particular deficit.</w:t>
      </w:r>
    </w:p>
    <w:p w14:paraId="0A10EC5A" w14:textId="6F803139" w:rsidR="00923197" w:rsidRPr="00923197" w:rsidRDefault="00923197"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 xml:space="preserve"> This dimension of expertise, we believe, is key to placing the notion in a social and political context. While it may be plausible to contend that an epistemic community expects its competent members to fulfil functions such as maximising its overall epistemic welfare, teaching or conducting research, and that it recognises members as experts in virtue of such roles, experts in policy-making contexts are given more limited and tightly delineated roles. Expert advice at the political level takes a variety of forms: experts are frequently part of statutory national and international science advisory committees, academic bodies or think tanks that produce policy reports and advise governments (Holst 2019), with their advice elicited on an ongoing basis or on specific occasions. Individual experts are also invited to act as advisors in a formal or informal capacity for specific purposes. Their advice is used to design and implement policy but also to boost policy </w:t>
      </w:r>
      <w:r w:rsidRPr="00923197">
        <w:rPr>
          <w:rFonts w:asciiTheme="minorHAnsi" w:hAnsiTheme="minorHAnsi" w:cstheme="minorHAnsi"/>
          <w:color w:val="000000" w:themeColor="text1"/>
        </w:rPr>
        <w:lastRenderedPageBreak/>
        <w:t>credibility. Occasionally, they are used as scapegoats for policy failures.</w:t>
      </w:r>
      <w:r w:rsidRPr="00923197">
        <w:rPr>
          <w:rStyle w:val="EndnoteReference"/>
          <w:rFonts w:asciiTheme="minorHAnsi" w:hAnsiTheme="minorHAnsi" w:cstheme="minorHAnsi"/>
          <w:color w:val="000000" w:themeColor="text1"/>
        </w:rPr>
        <w:endnoteReference w:id="4"/>
      </w:r>
      <w:r w:rsidRPr="00923197">
        <w:rPr>
          <w:rFonts w:asciiTheme="minorHAnsi" w:hAnsiTheme="minorHAnsi" w:cstheme="minorHAnsi"/>
          <w:color w:val="000000" w:themeColor="text1"/>
        </w:rPr>
        <w:t xml:space="preserve"> The engagement of experts with policy matters often gives them an advisory or consultative role, which does not require first-hand research on their part, even if their advice is expected to be informed by the most up to date research. </w:t>
      </w:r>
      <w:proofErr w:type="spellStart"/>
      <w:r w:rsidRPr="00923197">
        <w:rPr>
          <w:rFonts w:asciiTheme="minorHAnsi" w:hAnsiTheme="minorHAnsi" w:cstheme="minorHAnsi"/>
          <w:color w:val="000000" w:themeColor="text1"/>
        </w:rPr>
        <w:t>Jasanoff</w:t>
      </w:r>
      <w:proofErr w:type="spellEnd"/>
      <w:r w:rsidRPr="00923197">
        <w:rPr>
          <w:rFonts w:asciiTheme="minorHAnsi" w:hAnsiTheme="minorHAnsi" w:cstheme="minorHAnsi"/>
          <w:color w:val="000000" w:themeColor="text1"/>
        </w:rPr>
        <w:t xml:space="preserve"> (2011: 21) characterises the role of experts, in this context—as translators or mediators between knowledge and decision-making professionals, bridges between science and policy.</w:t>
      </w:r>
    </w:p>
    <w:p w14:paraId="4647DDEF" w14:textId="6EF03059" w:rsidR="00923197" w:rsidRPr="00923197" w:rsidRDefault="00923197"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 xml:space="preserve">On those occasions when experts involved in policy advice are required to undertake new research, they are often expected to produce what Salter et al. (1988) have called “mandated science”, i.e. the type of research that is commissioned or supported by governmental or other public bodies for specific purposes. Mandated science, more so than pure or autonomous research should, it is argued, work for the benefit of the society and its members (Powys Whyte and Crease 2010; </w:t>
      </w:r>
      <w:proofErr w:type="spellStart"/>
      <w:r w:rsidRPr="00923197">
        <w:rPr>
          <w:rFonts w:asciiTheme="minorHAnsi" w:hAnsiTheme="minorHAnsi" w:cstheme="minorHAnsi"/>
          <w:color w:val="000000" w:themeColor="text1"/>
        </w:rPr>
        <w:t>Scheman</w:t>
      </w:r>
      <w:proofErr w:type="spellEnd"/>
      <w:r w:rsidRPr="00923197">
        <w:rPr>
          <w:rFonts w:asciiTheme="minorHAnsi" w:hAnsiTheme="minorHAnsi" w:cstheme="minorHAnsi"/>
          <w:color w:val="000000" w:themeColor="text1"/>
        </w:rPr>
        <w:t xml:space="preserve"> 2011). This expectation introduces a normative dimension to the politics of expertise.</w:t>
      </w:r>
    </w:p>
    <w:p w14:paraId="4E19FE3A" w14:textId="4BBC59C0" w:rsidR="00923197" w:rsidRPr="00923197" w:rsidRDefault="00923197"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 xml:space="preserve">This line has been strongly pursued by political scientists investigating the political functions of expert knowledge. Christina Boswell (2009), for instance, has argued that in addition to a standard </w:t>
      </w:r>
      <w:r w:rsidRPr="00923197">
        <w:rPr>
          <w:rFonts w:asciiTheme="minorHAnsi" w:hAnsiTheme="minorHAnsi" w:cstheme="minorHAnsi"/>
          <w:i/>
          <w:iCs/>
          <w:color w:val="000000" w:themeColor="text1"/>
        </w:rPr>
        <w:t>instrumental</w:t>
      </w:r>
      <w:r w:rsidRPr="00923197">
        <w:rPr>
          <w:rFonts w:asciiTheme="minorHAnsi" w:hAnsiTheme="minorHAnsi" w:cstheme="minorHAnsi"/>
          <w:color w:val="000000" w:themeColor="text1"/>
        </w:rPr>
        <w:t xml:space="preserve"> function of improving the quality of political decision-making by grounding policies in sound reasoning and empirical data, institutional appeal to expert knowledge in public policy decision-making helps to enhance the credibility of organizations and their policies. This symbolic role boils down to two specific socio-epistemic functions: a </w:t>
      </w:r>
      <w:r w:rsidRPr="00923197">
        <w:rPr>
          <w:rFonts w:asciiTheme="minorHAnsi" w:hAnsiTheme="minorHAnsi" w:cstheme="minorHAnsi"/>
          <w:i/>
          <w:iCs/>
          <w:color w:val="000000" w:themeColor="text1"/>
        </w:rPr>
        <w:t>legitimizing</w:t>
      </w:r>
      <w:r w:rsidRPr="00923197">
        <w:rPr>
          <w:rFonts w:asciiTheme="minorHAnsi" w:hAnsiTheme="minorHAnsi" w:cstheme="minorHAnsi"/>
          <w:color w:val="000000" w:themeColor="text1"/>
        </w:rPr>
        <w:t xml:space="preserve"> function, in that relying on expert knowledge endows institutions with epistemic authority; and a </w:t>
      </w:r>
      <w:r w:rsidRPr="00923197">
        <w:rPr>
          <w:rFonts w:asciiTheme="minorHAnsi" w:hAnsiTheme="minorHAnsi" w:cstheme="minorHAnsi"/>
          <w:i/>
          <w:iCs/>
          <w:color w:val="000000" w:themeColor="text1"/>
        </w:rPr>
        <w:t>substantiating</w:t>
      </w:r>
      <w:r w:rsidRPr="00923197">
        <w:rPr>
          <w:rFonts w:asciiTheme="minorHAnsi" w:hAnsiTheme="minorHAnsi" w:cstheme="minorHAnsi"/>
          <w:color w:val="000000" w:themeColor="text1"/>
        </w:rPr>
        <w:t xml:space="preserve"> function, in that relying on expert knowledge gives credibility to an organization’s policy preferences and contributes to undermining the policies of rival organizations (2009: 7). A substantiating function is particularly helpful in cases of contested policies and widespread professional </w:t>
      </w:r>
      <w:r w:rsidRPr="00923197">
        <w:rPr>
          <w:rFonts w:asciiTheme="minorHAnsi" w:hAnsiTheme="minorHAnsi" w:cstheme="minorHAnsi"/>
          <w:color w:val="000000" w:themeColor="text1"/>
        </w:rPr>
        <w:lastRenderedPageBreak/>
        <w:t>disagreement, because it allows the organization to move the discussion from the level of values, interests, and public opinion to the level of scientific evidence and well-founded reasoning (81).</w:t>
      </w:r>
    </w:p>
    <w:p w14:paraId="563AE032" w14:textId="4EF8C108" w:rsidR="00923197" w:rsidRPr="00923197" w:rsidRDefault="00923197"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Importantly, however, despite recent attempts</w:t>
      </w:r>
      <w:r w:rsidRPr="00923197">
        <w:rPr>
          <w:rStyle w:val="CommentReference"/>
          <w:rFonts w:asciiTheme="minorHAnsi" w:hAnsiTheme="minorHAnsi" w:cstheme="minorHAnsi"/>
          <w:color w:val="000000" w:themeColor="text1"/>
          <w:sz w:val="24"/>
          <w:szCs w:val="24"/>
        </w:rPr>
        <w:t xml:space="preserve"> </w:t>
      </w:r>
      <w:r w:rsidRPr="00923197">
        <w:rPr>
          <w:rFonts w:asciiTheme="minorHAnsi" w:hAnsiTheme="minorHAnsi" w:cstheme="minorHAnsi"/>
          <w:color w:val="000000" w:themeColor="text1"/>
        </w:rPr>
        <w:t xml:space="preserve">to bridge the disciplinary gaps </w:t>
      </w:r>
      <w:r w:rsidRPr="00923197">
        <w:rPr>
          <w:rStyle w:val="CommentReference"/>
          <w:rFonts w:asciiTheme="minorHAnsi" w:hAnsiTheme="minorHAnsi" w:cstheme="minorHAnsi"/>
          <w:color w:val="000000" w:themeColor="text1"/>
          <w:sz w:val="24"/>
          <w:szCs w:val="24"/>
        </w:rPr>
        <w:t>(Baghramian and Martini 2018)</w:t>
      </w:r>
      <w:r w:rsidRPr="00923197">
        <w:rPr>
          <w:rFonts w:asciiTheme="minorHAnsi" w:hAnsiTheme="minorHAnsi" w:cstheme="minorHAnsi"/>
          <w:color w:val="000000" w:themeColor="text1"/>
        </w:rPr>
        <w:t>, not enough has been done to develop a unified—or, at least, multi-faceted—account of experts and expertise that captures both the epistemic and political dimensions of their work and role. Certainly, the proposed considerations about the understanding of expert knowledge in politics, especially in highly contested domains, call for further inquiry into the rational criteria for identifying experts. As we shall show in the next section, several problems complicate the matter, but none completely undermines the possibility of recognizing whose expertise should be trusted.</w:t>
      </w:r>
    </w:p>
    <w:p w14:paraId="2BB7B1EF" w14:textId="77777777" w:rsidR="00923197" w:rsidRPr="00923197" w:rsidRDefault="00923197" w:rsidP="0077069D">
      <w:pPr>
        <w:pStyle w:val="NormalWeb"/>
        <w:spacing w:line="480" w:lineRule="auto"/>
        <w:ind w:right="89" w:firstLine="567"/>
        <w:rPr>
          <w:rFonts w:asciiTheme="minorHAnsi" w:hAnsiTheme="minorHAnsi" w:cstheme="minorHAnsi"/>
          <w:color w:val="000000" w:themeColor="text1"/>
        </w:rPr>
      </w:pPr>
    </w:p>
    <w:p w14:paraId="4131FA83" w14:textId="077322A0" w:rsidR="00923197" w:rsidRPr="00923197" w:rsidRDefault="00923197" w:rsidP="00122E5C">
      <w:pPr>
        <w:pStyle w:val="NormalWeb"/>
        <w:numPr>
          <w:ilvl w:val="0"/>
          <w:numId w:val="3"/>
        </w:numPr>
        <w:spacing w:line="480" w:lineRule="auto"/>
        <w:ind w:left="0" w:right="89" w:firstLine="0"/>
        <w:rPr>
          <w:rFonts w:asciiTheme="minorHAnsi" w:eastAsia="Times New Roman" w:hAnsiTheme="minorHAnsi" w:cstheme="minorHAnsi"/>
          <w:b/>
          <w:bCs/>
          <w:color w:val="000000" w:themeColor="text1"/>
          <w:lang w:eastAsia="en-GB"/>
        </w:rPr>
      </w:pPr>
      <w:r w:rsidRPr="00923197">
        <w:rPr>
          <w:rFonts w:asciiTheme="minorHAnsi" w:eastAsia="Times New Roman" w:hAnsiTheme="minorHAnsi" w:cstheme="minorHAnsi"/>
          <w:b/>
          <w:bCs/>
          <w:color w:val="000000" w:themeColor="text1"/>
          <w:lang w:eastAsia="en-GB"/>
        </w:rPr>
        <w:t xml:space="preserve">Expertise and the Credentials Problem </w:t>
      </w:r>
    </w:p>
    <w:p w14:paraId="22D8A81C" w14:textId="77777777" w:rsidR="00923197" w:rsidRPr="00923197" w:rsidRDefault="00923197" w:rsidP="0077069D">
      <w:pPr>
        <w:spacing w:line="480" w:lineRule="auto"/>
        <w:ind w:right="89" w:firstLine="567"/>
        <w:rPr>
          <w:rFonts w:asciiTheme="minorHAnsi" w:hAnsiTheme="minorHAnsi" w:cstheme="minorHAnsi"/>
          <w:color w:val="000000" w:themeColor="text1"/>
        </w:rPr>
      </w:pPr>
    </w:p>
    <w:p w14:paraId="62323B32" w14:textId="0828606C" w:rsidR="00923197" w:rsidRPr="00923197" w:rsidRDefault="00923197" w:rsidP="0077069D">
      <w:pPr>
        <w:spacing w:line="480" w:lineRule="auto"/>
        <w:ind w:right="89" w:firstLine="567"/>
        <w:rPr>
          <w:rFonts w:asciiTheme="minorHAnsi" w:eastAsiaTheme="minorHAnsi" w:hAnsiTheme="minorHAnsi" w:cstheme="minorHAnsi"/>
          <w:color w:val="000000" w:themeColor="text1"/>
          <w:lang w:val="en-US" w:eastAsia="en-US"/>
        </w:rPr>
      </w:pPr>
      <w:r w:rsidRPr="00923197">
        <w:rPr>
          <w:rFonts w:asciiTheme="minorHAnsi" w:hAnsiTheme="minorHAnsi" w:cstheme="minorHAnsi"/>
          <w:color w:val="000000" w:themeColor="text1"/>
        </w:rPr>
        <w:t xml:space="preserve">All societies’ knowledge economies operate on the basis of division of epistemic labour—that we do not all know the same things and are not equally knowledgeable about the same issues (Goldberg 2011). The division of labour will operate smoothly only on the assumption of epistemic trust, that is, our willingness to accept others, under appropriate conditions, as sources of authority on matters where we presume they are more knowledgeable. </w:t>
      </w:r>
      <w:r w:rsidRPr="00923197">
        <w:rPr>
          <w:rFonts w:asciiTheme="minorHAnsi" w:hAnsiTheme="minorHAnsi" w:cstheme="minorHAnsi"/>
          <w:color w:val="000000" w:themeColor="text1"/>
          <w:lang w:val="en-US"/>
        </w:rPr>
        <w:t>The ever-increasing scope and depth of cognitive specialization makes us epistemically dependent on others, and this dependence highlights the need for trust.</w:t>
      </w:r>
    </w:p>
    <w:p w14:paraId="3C15C9A0" w14:textId="7C2BB68F" w:rsidR="00923197" w:rsidRPr="00923197" w:rsidRDefault="00923197" w:rsidP="0077069D">
      <w:pPr>
        <w:pStyle w:val="NormalWeb"/>
        <w:spacing w:line="480" w:lineRule="auto"/>
        <w:ind w:right="89" w:firstLine="567"/>
        <w:rPr>
          <w:rFonts w:asciiTheme="minorHAnsi" w:hAnsiTheme="minorHAnsi" w:cstheme="minorHAnsi"/>
          <w:color w:val="000000" w:themeColor="text1"/>
        </w:rPr>
      </w:pPr>
      <w:r w:rsidRPr="00923197">
        <w:rPr>
          <w:rFonts w:asciiTheme="minorHAnsi" w:eastAsia="Times New Roman" w:hAnsiTheme="minorHAnsi" w:cstheme="minorHAnsi"/>
          <w:color w:val="000000" w:themeColor="text1"/>
          <w:lang w:val="en-IE" w:eastAsia="en-GB"/>
        </w:rPr>
        <w:t xml:space="preserve">Considering the role experts play in policy decisions, the key debates or disagreements are not normally about what class of people count as experts. Policy-makers </w:t>
      </w:r>
      <w:r w:rsidRPr="00923197">
        <w:rPr>
          <w:rFonts w:asciiTheme="minorHAnsi" w:eastAsia="Times New Roman" w:hAnsiTheme="minorHAnsi" w:cstheme="minorHAnsi"/>
          <w:color w:val="000000" w:themeColor="text1"/>
          <w:lang w:val="en-IE" w:eastAsia="en-GB"/>
        </w:rPr>
        <w:lastRenderedPageBreak/>
        <w:t xml:space="preserve">frequently seek expert advice by choosing from the top tiers of </w:t>
      </w:r>
      <w:r w:rsidRPr="00923197">
        <w:rPr>
          <w:rFonts w:asciiTheme="minorHAnsi" w:hAnsiTheme="minorHAnsi" w:cstheme="minorHAnsi"/>
          <w:color w:val="000000" w:themeColor="text1"/>
        </w:rPr>
        <w:t>Elizabeth Anderson’s (2011) hierarchy of expertise:</w:t>
      </w:r>
    </w:p>
    <w:p w14:paraId="1A7A4D92" w14:textId="4BC41EC7" w:rsidR="00923197" w:rsidRPr="00923197" w:rsidRDefault="00923197" w:rsidP="0077069D">
      <w:pPr>
        <w:pStyle w:val="NormalWeb"/>
        <w:numPr>
          <w:ilvl w:val="0"/>
          <w:numId w:val="2"/>
        </w:numPr>
        <w:spacing w:line="480" w:lineRule="auto"/>
        <w:ind w:right="89"/>
        <w:rPr>
          <w:rFonts w:asciiTheme="minorHAnsi" w:hAnsiTheme="minorHAnsi" w:cstheme="minorHAnsi"/>
          <w:color w:val="000000" w:themeColor="text1"/>
          <w:lang w:val="en-IE"/>
        </w:rPr>
      </w:pPr>
      <w:r w:rsidRPr="00923197">
        <w:rPr>
          <w:rFonts w:asciiTheme="minorHAnsi" w:hAnsiTheme="minorHAnsi" w:cstheme="minorHAnsi"/>
          <w:color w:val="000000" w:themeColor="text1"/>
          <w:lang w:val="en-IE"/>
        </w:rPr>
        <w:t>Scientists whose current research is widely recognized by other experts. This can be determined by considering factors such as citation counts, impact factors of the journals in which they publish, and record in winning major grants.</w:t>
      </w:r>
    </w:p>
    <w:p w14:paraId="7A8C1E8E" w14:textId="2F965656" w:rsidR="00923197" w:rsidRPr="00923197" w:rsidRDefault="00923197" w:rsidP="0077069D">
      <w:pPr>
        <w:pStyle w:val="NormalWeb"/>
        <w:numPr>
          <w:ilvl w:val="0"/>
          <w:numId w:val="2"/>
        </w:numPr>
        <w:spacing w:line="480" w:lineRule="auto"/>
        <w:ind w:right="89"/>
        <w:rPr>
          <w:rFonts w:asciiTheme="minorHAnsi" w:hAnsiTheme="minorHAnsi" w:cstheme="minorHAnsi"/>
          <w:color w:val="000000" w:themeColor="text1"/>
        </w:rPr>
      </w:pPr>
      <w:r w:rsidRPr="00923197">
        <w:rPr>
          <w:rFonts w:asciiTheme="minorHAnsi" w:hAnsiTheme="minorHAnsi" w:cstheme="minorHAnsi"/>
          <w:color w:val="000000" w:themeColor="text1"/>
          <w:lang w:val="en-IE"/>
        </w:rPr>
        <w:t>Scientists who are leaders in the ﬁeld – who have taken leading roles in advancing theories that have won scientiﬁc consensus or opened up major new lines of research, or in developing instruments and methods that have become standard practice. In addition [...], leadership is indicated by election to prestigious positions in the field’s professional societies, election to honorary scientiﬁc societies, such as the National Academy of Science, and receipt of major prizes in the ﬁeld, such as the Nobel Prize. (146-147)</w:t>
      </w:r>
    </w:p>
    <w:p w14:paraId="23E62BD4" w14:textId="77777777" w:rsidR="00923197" w:rsidRPr="00923197" w:rsidRDefault="00923197" w:rsidP="0077069D">
      <w:pPr>
        <w:pStyle w:val="NormalWeb"/>
        <w:spacing w:line="480" w:lineRule="auto"/>
        <w:ind w:right="89" w:firstLine="567"/>
        <w:rPr>
          <w:rFonts w:asciiTheme="minorHAnsi" w:eastAsia="Times New Roman" w:hAnsiTheme="minorHAnsi" w:cstheme="minorHAnsi"/>
          <w:color w:val="000000" w:themeColor="text1"/>
          <w:lang w:val="en-IE" w:eastAsia="en-GB"/>
        </w:rPr>
      </w:pPr>
    </w:p>
    <w:p w14:paraId="51CA9F6E" w14:textId="36B11564" w:rsidR="00923197" w:rsidRPr="00923197" w:rsidRDefault="00923197" w:rsidP="0077069D">
      <w:pPr>
        <w:spacing w:line="480" w:lineRule="auto"/>
        <w:ind w:right="89" w:firstLine="567"/>
        <w:contextualSpacing/>
        <w:rPr>
          <w:rFonts w:asciiTheme="minorHAnsi" w:hAnsiTheme="minorHAnsi" w:cstheme="minorHAnsi"/>
          <w:color w:val="000000" w:themeColor="text1"/>
          <w:w w:val="90"/>
        </w:rPr>
      </w:pPr>
      <w:r w:rsidRPr="00923197">
        <w:rPr>
          <w:rFonts w:asciiTheme="minorHAnsi" w:hAnsiTheme="minorHAnsi" w:cstheme="minorHAnsi"/>
          <w:color w:val="000000" w:themeColor="text1"/>
        </w:rPr>
        <w:t>The disagreements come at later stages, over whether a particular person meets these qualifications, and more significantly, over how to choose between experts with similar qualifications who provide contradictory advice, and relatedly, over when and how much should the general public and policy-makers trust experts and their advice.</w:t>
      </w:r>
    </w:p>
    <w:p w14:paraId="655312A7" w14:textId="74ED2502"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t>This recognition problem for expertise (Watson forthcoming) boils down to at least two questions. The first, typically called the credentials problem (</w:t>
      </w:r>
      <w:proofErr w:type="spellStart"/>
      <w:r w:rsidRPr="00923197">
        <w:rPr>
          <w:rFonts w:asciiTheme="minorHAnsi" w:hAnsiTheme="minorHAnsi" w:cstheme="minorHAnsi"/>
          <w:color w:val="000000" w:themeColor="text1"/>
          <w:lang w:val="en-US"/>
        </w:rPr>
        <w:t>Cholbi</w:t>
      </w:r>
      <w:proofErr w:type="spellEnd"/>
      <w:r w:rsidRPr="00923197">
        <w:rPr>
          <w:rFonts w:asciiTheme="minorHAnsi" w:hAnsiTheme="minorHAnsi" w:cstheme="minorHAnsi"/>
          <w:color w:val="000000" w:themeColor="text1"/>
          <w:lang w:val="en-US"/>
        </w:rPr>
        <w:t xml:space="preserve"> 2007) or the novice/expert problem (Goldman 2001), asks how a novice can come to recognize an expert. The second question, typically called the problem of conflicting expert testimony (Ballantyne 2019: 222) or the novice/2-experts problem (Goldman 2001), asks how a novice can decide what to believe when the experts disagree on the matter at issue.</w:t>
      </w:r>
      <w:r w:rsidRPr="00923197">
        <w:rPr>
          <w:rStyle w:val="EndnoteReference"/>
          <w:rFonts w:asciiTheme="minorHAnsi" w:hAnsiTheme="minorHAnsi" w:cstheme="minorHAnsi"/>
          <w:color w:val="000000" w:themeColor="text1"/>
          <w:lang w:val="en-US"/>
        </w:rPr>
        <w:endnoteReference w:id="5"/>
      </w:r>
    </w:p>
    <w:p w14:paraId="3EFF8CC0" w14:textId="137A2361"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lastRenderedPageBreak/>
        <w:tab/>
        <w:t>Both questions are extremely complex and discussions around them show no signs of attenuation. However, while expert disagreement might justify a prudent suspension of judgment in laypeople and force them to cope with some level of uncertainty, a list of criteria to work around the credentials problem—even if imperfect—is needed by epistemically dependent beings like us. For this reason—and given constraints of space —we shall focus on the credentials problem and postpone discussion of conflicting expert testimony to another occasion.</w:t>
      </w:r>
      <w:r w:rsidRPr="00923197">
        <w:rPr>
          <w:rStyle w:val="EndnoteReference"/>
          <w:rFonts w:asciiTheme="minorHAnsi" w:hAnsiTheme="minorHAnsi" w:cstheme="minorHAnsi"/>
          <w:color w:val="000000" w:themeColor="text1"/>
          <w:lang w:val="en-US"/>
        </w:rPr>
        <w:endnoteReference w:id="6"/>
      </w:r>
    </w:p>
    <w:p w14:paraId="6CC773CB" w14:textId="7DDE1C18"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tab/>
        <w:t>Let us set aside situations in which novices have direct or first-order evidence in favor of an expert opinion and can verify the reliability of expert opinion by checking how things are in the world, for instance by following an expert’s directions and seeing where they lead or by figuring out whether a practical expert succeeds in repairing a defective mechanism (Goldman 1999: 269). The relevant cases are those in which novices can only rely on indirect or second-order evidence of an expert’s trustworthiness. In such circumstances, assessing one’s expertise requires more cognitive effort on the novice’s part. Elizabeth Anderson has identified four main dimensions of an expert’s trustworthiness—namely, expertise, honesty, epistemic responsibility, and consensus—which we can consider as criteria laypeople should rely on to decide whom to trust (2011).</w:t>
      </w:r>
      <w:r w:rsidRPr="00923197">
        <w:rPr>
          <w:rStyle w:val="EndnoteReference"/>
          <w:rFonts w:asciiTheme="minorHAnsi" w:hAnsiTheme="minorHAnsi" w:cstheme="minorHAnsi"/>
          <w:color w:val="000000" w:themeColor="text1"/>
          <w:lang w:val="en-US"/>
        </w:rPr>
        <w:endnoteReference w:id="7"/>
      </w:r>
      <w:r w:rsidRPr="00923197">
        <w:rPr>
          <w:rFonts w:asciiTheme="minorHAnsi" w:hAnsiTheme="minorHAnsi" w:cstheme="minorHAnsi"/>
          <w:color w:val="000000" w:themeColor="text1"/>
          <w:lang w:val="en-US"/>
        </w:rPr>
        <w:t xml:space="preserve"> </w:t>
      </w:r>
    </w:p>
    <w:p w14:paraId="3AB22EFA" w14:textId="48B1AF65"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t xml:space="preserve">Indirect evidence concerning someone’s </w:t>
      </w:r>
      <w:r w:rsidRPr="00923197">
        <w:rPr>
          <w:rFonts w:asciiTheme="minorHAnsi" w:hAnsiTheme="minorHAnsi" w:cstheme="minorHAnsi"/>
          <w:i/>
          <w:iCs/>
          <w:color w:val="000000" w:themeColor="text1"/>
          <w:lang w:val="en-US"/>
        </w:rPr>
        <w:t>expertise</w:t>
      </w:r>
      <w:r w:rsidRPr="00923197">
        <w:rPr>
          <w:rFonts w:asciiTheme="minorHAnsi" w:hAnsiTheme="minorHAnsi" w:cstheme="minorHAnsi"/>
          <w:color w:val="000000" w:themeColor="text1"/>
          <w:lang w:val="en-US"/>
        </w:rPr>
        <w:t xml:space="preserve"> in a given domain D is provided at least by the following factors (Goldman 2001; Grundmann forthcoming; Martini 2019; Watson forthcoming): (</w:t>
      </w:r>
      <w:proofErr w:type="spellStart"/>
      <w:r w:rsidRPr="00923197">
        <w:rPr>
          <w:rFonts w:asciiTheme="minorHAnsi" w:hAnsiTheme="minorHAnsi" w:cstheme="minorHAnsi"/>
          <w:color w:val="000000" w:themeColor="text1"/>
          <w:lang w:val="en-US"/>
        </w:rPr>
        <w:t>i</w:t>
      </w:r>
      <w:proofErr w:type="spellEnd"/>
      <w:r w:rsidRPr="00923197">
        <w:rPr>
          <w:rFonts w:asciiTheme="minorHAnsi" w:hAnsiTheme="minorHAnsi" w:cstheme="minorHAnsi"/>
          <w:color w:val="000000" w:themeColor="text1"/>
          <w:lang w:val="en-US"/>
        </w:rPr>
        <w:t xml:space="preserve">) a track record of accurate predictions or other kinds of success depending on the specifics of D (see also Collins and Evans 2007); (ii) one’s qualifications and reputation within D, which can be derived from one’s CV and professional position, and one’s status within a community of peers, such as citations, impact factor, grants and awards, and reputation in general (e.g., </w:t>
      </w:r>
      <w:proofErr w:type="spellStart"/>
      <w:r w:rsidRPr="00923197">
        <w:rPr>
          <w:rFonts w:asciiTheme="minorHAnsi" w:hAnsiTheme="minorHAnsi" w:cstheme="minorHAnsi"/>
          <w:color w:val="000000" w:themeColor="text1"/>
          <w:lang w:val="en-US"/>
        </w:rPr>
        <w:t>Origgi</w:t>
      </w:r>
      <w:proofErr w:type="spellEnd"/>
      <w:r w:rsidRPr="00923197">
        <w:rPr>
          <w:rFonts w:asciiTheme="minorHAnsi" w:hAnsiTheme="minorHAnsi" w:cstheme="minorHAnsi"/>
          <w:color w:val="000000" w:themeColor="text1"/>
          <w:lang w:val="en-US"/>
        </w:rPr>
        <w:t xml:space="preserve"> 2019); (iii) one’s argumentative skills, </w:t>
      </w:r>
      <w:r w:rsidRPr="00923197">
        <w:rPr>
          <w:rFonts w:asciiTheme="minorHAnsi" w:hAnsiTheme="minorHAnsi" w:cstheme="minorHAnsi"/>
          <w:color w:val="000000" w:themeColor="text1"/>
          <w:lang w:val="en-US"/>
        </w:rPr>
        <w:lastRenderedPageBreak/>
        <w:t>including the ability to present evidence supporting one’s judgments, the ability to distinguish between similar but not equivalent cases, and the ability to offer consistent judgments; and (iv) one’s dialectical skills, including the behavioral reaction —in terms of smoothness, quickness, and confidence—one is able to offer to such challenges.</w:t>
      </w:r>
    </w:p>
    <w:p w14:paraId="60C10CF4" w14:textId="24C56511"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t xml:space="preserve">The proposed list of markers is far short of necessary and/or sufficient conditions for identifying experts. Though most scholars agree on track record as a key requirement, they have different takes on the other markers. For example, Grundmann suggests </w:t>
      </w:r>
      <w:r w:rsidRPr="00923197">
        <w:rPr>
          <w:rFonts w:asciiTheme="minorHAnsi" w:hAnsiTheme="minorHAnsi" w:cstheme="minorHAnsi"/>
          <w:i/>
          <w:iCs/>
          <w:color w:val="000000" w:themeColor="text1"/>
          <w:lang w:val="en-US"/>
        </w:rPr>
        <w:t>the selection by the procedural standards of science</w:t>
      </w:r>
      <w:r w:rsidRPr="00923197">
        <w:rPr>
          <w:rFonts w:asciiTheme="minorHAnsi" w:hAnsiTheme="minorHAnsi" w:cstheme="minorHAnsi"/>
          <w:color w:val="000000" w:themeColor="text1"/>
          <w:lang w:val="en-US"/>
        </w:rPr>
        <w:t xml:space="preserve">—including conditions about the required talent, training, critical thinking and character traits of its members, but also about science’s openness to diversity, free competition, independent peer review—as the only consideration that makes it sufficiently likely that a member of the scientific community is a genuine expert. Collins and Evans (2007: 67) dispute the reliability of (ii), in that it unduly restricts the notion of expertise to professional roles, but include (vi) experience, which they define as the familiarity one has with the questions arising in D and the methods deployed to address them. </w:t>
      </w:r>
      <w:proofErr w:type="spellStart"/>
      <w:r w:rsidRPr="00923197">
        <w:rPr>
          <w:rFonts w:asciiTheme="minorHAnsi" w:hAnsiTheme="minorHAnsi" w:cstheme="minorHAnsi"/>
          <w:color w:val="000000" w:themeColor="text1"/>
          <w:lang w:val="en-US"/>
        </w:rPr>
        <w:t>Origgi</w:t>
      </w:r>
      <w:proofErr w:type="spellEnd"/>
      <w:r w:rsidRPr="00923197">
        <w:rPr>
          <w:rFonts w:asciiTheme="minorHAnsi" w:hAnsiTheme="minorHAnsi" w:cstheme="minorHAnsi"/>
          <w:color w:val="000000" w:themeColor="text1"/>
          <w:lang w:val="en-US"/>
        </w:rPr>
        <w:t xml:space="preserve"> and colleagues seem to agree with the aforementioned markers but would include one’s </w:t>
      </w:r>
      <w:r w:rsidRPr="00923197">
        <w:rPr>
          <w:rFonts w:asciiTheme="minorHAnsi" w:hAnsiTheme="minorHAnsi" w:cstheme="minorHAnsi"/>
          <w:i/>
          <w:iCs/>
          <w:color w:val="000000" w:themeColor="text1"/>
          <w:lang w:val="en-US"/>
        </w:rPr>
        <w:t>popularity</w:t>
      </w:r>
      <w:r w:rsidRPr="00923197">
        <w:rPr>
          <w:rFonts w:asciiTheme="minorHAnsi" w:hAnsiTheme="minorHAnsi" w:cstheme="minorHAnsi"/>
          <w:color w:val="000000" w:themeColor="text1"/>
          <w:lang w:val="en-US"/>
        </w:rPr>
        <w:t xml:space="preserve">, intended as one’s capacity to generate actions in other people (Branch, </w:t>
      </w:r>
      <w:proofErr w:type="spellStart"/>
      <w:r w:rsidRPr="00923197">
        <w:rPr>
          <w:rFonts w:asciiTheme="minorHAnsi" w:hAnsiTheme="minorHAnsi" w:cstheme="minorHAnsi"/>
          <w:color w:val="000000" w:themeColor="text1"/>
          <w:lang w:val="en-US"/>
        </w:rPr>
        <w:t>Morisseau</w:t>
      </w:r>
      <w:proofErr w:type="spellEnd"/>
      <w:r w:rsidRPr="00923197">
        <w:rPr>
          <w:rFonts w:asciiTheme="minorHAnsi" w:hAnsiTheme="minorHAnsi" w:cstheme="minorHAnsi"/>
          <w:color w:val="000000" w:themeColor="text1"/>
          <w:lang w:val="en-US"/>
        </w:rPr>
        <w:t xml:space="preserve">, </w:t>
      </w:r>
      <w:proofErr w:type="spellStart"/>
      <w:r w:rsidRPr="00923197">
        <w:rPr>
          <w:rFonts w:asciiTheme="minorHAnsi" w:hAnsiTheme="minorHAnsi" w:cstheme="minorHAnsi"/>
          <w:color w:val="000000" w:themeColor="text1"/>
          <w:lang w:val="en-US"/>
        </w:rPr>
        <w:t>Origgi</w:t>
      </w:r>
      <w:proofErr w:type="spellEnd"/>
      <w:r w:rsidRPr="00923197">
        <w:rPr>
          <w:rFonts w:asciiTheme="minorHAnsi" w:hAnsiTheme="minorHAnsi" w:cstheme="minorHAnsi"/>
          <w:color w:val="000000" w:themeColor="text1"/>
          <w:lang w:val="en-US"/>
        </w:rPr>
        <w:t xml:space="preserve"> 2020).</w:t>
      </w:r>
    </w:p>
    <w:p w14:paraId="437F4B62" w14:textId="63A27E4C"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t xml:space="preserve">As regards </w:t>
      </w:r>
      <w:r w:rsidRPr="00923197">
        <w:rPr>
          <w:rFonts w:asciiTheme="minorHAnsi" w:hAnsiTheme="minorHAnsi" w:cstheme="minorHAnsi"/>
          <w:i/>
          <w:iCs/>
          <w:color w:val="000000" w:themeColor="text1"/>
          <w:lang w:val="en-US"/>
        </w:rPr>
        <w:t>honesty</w:t>
      </w:r>
      <w:r w:rsidRPr="00923197">
        <w:rPr>
          <w:rFonts w:asciiTheme="minorHAnsi" w:hAnsiTheme="minorHAnsi" w:cstheme="minorHAnsi"/>
          <w:color w:val="000000" w:themeColor="text1"/>
          <w:lang w:val="en-US"/>
        </w:rPr>
        <w:t xml:space="preserve">, novices can at least be sensitive to negative markers or cues of misbehavior, such as conflicts of interests, plagiarism, cherry-picking data or misrepresenting views of other experts (Anderson 2011: 147). Anderson proposes a similar approach to the evaluation of the </w:t>
      </w:r>
      <w:r w:rsidRPr="00923197">
        <w:rPr>
          <w:rFonts w:asciiTheme="minorHAnsi" w:hAnsiTheme="minorHAnsi" w:cstheme="minorHAnsi"/>
          <w:i/>
          <w:iCs/>
          <w:color w:val="000000" w:themeColor="text1"/>
          <w:lang w:val="en-US"/>
        </w:rPr>
        <w:t xml:space="preserve">epistemic responsibility </w:t>
      </w:r>
      <w:r w:rsidRPr="00923197">
        <w:rPr>
          <w:rFonts w:asciiTheme="minorHAnsi" w:hAnsiTheme="minorHAnsi" w:cstheme="minorHAnsi"/>
          <w:color w:val="000000" w:themeColor="text1"/>
          <w:lang w:val="en-US"/>
        </w:rPr>
        <w:t xml:space="preserve">of experts: novices should be on the lookout for cues of blunt irrationality (e.g., sticking to views proven false), evasion of peer-review standards, and </w:t>
      </w:r>
      <w:r w:rsidRPr="00923197">
        <w:rPr>
          <w:rFonts w:asciiTheme="minorHAnsi" w:hAnsiTheme="minorHAnsi" w:cstheme="minorHAnsi"/>
          <w:i/>
          <w:iCs/>
          <w:color w:val="000000" w:themeColor="text1"/>
          <w:lang w:val="en-US"/>
        </w:rPr>
        <w:t xml:space="preserve">epistemic trespassing </w:t>
      </w:r>
      <w:r w:rsidRPr="00923197">
        <w:rPr>
          <w:rFonts w:asciiTheme="minorHAnsi" w:hAnsiTheme="minorHAnsi" w:cstheme="minorHAnsi"/>
          <w:color w:val="000000" w:themeColor="text1"/>
          <w:lang w:val="en-US"/>
        </w:rPr>
        <w:t xml:space="preserve">- the practice of passing along judgments in areas outside of expertise </w:t>
      </w:r>
      <w:r w:rsidRPr="00923197">
        <w:rPr>
          <w:rFonts w:asciiTheme="minorHAnsi" w:hAnsiTheme="minorHAnsi" w:cstheme="minorHAnsi"/>
          <w:iCs/>
          <w:color w:val="000000" w:themeColor="text1"/>
          <w:lang w:val="en-US"/>
        </w:rPr>
        <w:t>(</w:t>
      </w:r>
      <w:r w:rsidRPr="00923197">
        <w:rPr>
          <w:rFonts w:asciiTheme="minorHAnsi" w:hAnsiTheme="minorHAnsi" w:cstheme="minorHAnsi"/>
          <w:color w:val="000000" w:themeColor="text1"/>
          <w:lang w:val="en-US"/>
        </w:rPr>
        <w:t xml:space="preserve">Ballantyne 2019). Finally, </w:t>
      </w:r>
      <w:r w:rsidRPr="00923197">
        <w:rPr>
          <w:rFonts w:asciiTheme="minorHAnsi" w:hAnsiTheme="minorHAnsi" w:cstheme="minorHAnsi"/>
          <w:i/>
          <w:iCs/>
          <w:color w:val="000000" w:themeColor="text1"/>
          <w:lang w:val="en-US"/>
        </w:rPr>
        <w:t>consensus</w:t>
      </w:r>
      <w:r w:rsidRPr="00923197">
        <w:rPr>
          <w:rFonts w:asciiTheme="minorHAnsi" w:hAnsiTheme="minorHAnsi" w:cstheme="minorHAnsi"/>
          <w:color w:val="000000" w:themeColor="text1"/>
          <w:lang w:val="en-US"/>
        </w:rPr>
        <w:t xml:space="preserve">, where the opinions of a </w:t>
      </w:r>
      <w:r w:rsidRPr="00923197">
        <w:rPr>
          <w:rFonts w:asciiTheme="minorHAnsi" w:hAnsiTheme="minorHAnsi" w:cstheme="minorHAnsi"/>
          <w:color w:val="000000" w:themeColor="text1"/>
          <w:lang w:val="en-US"/>
        </w:rPr>
        <w:lastRenderedPageBreak/>
        <w:t>putative expert are backed by a notable proportion of peers, gives lay people a good reason to consider this person an expert. Cues of a consensus among experts in a domain D include surveys of trustworthy sources within D, reviews of the available literature, and official reports by leaders and well-established institutions in D.</w:t>
      </w:r>
      <w:r w:rsidRPr="00923197">
        <w:rPr>
          <w:rStyle w:val="EndnoteReference"/>
          <w:rFonts w:asciiTheme="minorHAnsi" w:hAnsiTheme="minorHAnsi" w:cstheme="minorHAnsi"/>
          <w:color w:val="000000" w:themeColor="text1"/>
          <w:lang w:val="en-US"/>
        </w:rPr>
        <w:endnoteReference w:id="8"/>
      </w:r>
      <w:r w:rsidRPr="00923197">
        <w:rPr>
          <w:rFonts w:asciiTheme="minorHAnsi" w:hAnsiTheme="minorHAnsi" w:cstheme="minorHAnsi"/>
          <w:color w:val="000000" w:themeColor="text1"/>
          <w:lang w:val="en-US"/>
        </w:rPr>
        <w:t xml:space="preserve"> </w:t>
      </w:r>
    </w:p>
    <w:p w14:paraId="6E819340" w14:textId="13E52B3A"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t>To conclude our analysis of the credentials problem, none of these factors, taken individually, ensures that a novice is in a position to individuate experts reliably; rather, at best a combination of these criteria—depending on the specifics of context under consideration—increases the likelihood that a layperson would successfully identify someone as a genuine expert. Our analysis has moved from the (esoteric) contents of expert testimony and the mode of communication of such contents to the trustworthiness of experts and the manifestation of character traits such as honesty. As noted above, the moral dimension of scientific expertise becomes particularly important where experts take part in informing policy decisions and take on a wider range of socio-epistemic responsibilities (</w:t>
      </w:r>
      <w:proofErr w:type="spellStart"/>
      <w:r w:rsidRPr="00923197">
        <w:rPr>
          <w:rFonts w:asciiTheme="minorHAnsi" w:hAnsiTheme="minorHAnsi" w:cstheme="minorHAnsi"/>
          <w:color w:val="000000" w:themeColor="text1"/>
          <w:lang w:val="en-US"/>
        </w:rPr>
        <w:t>Hardwig</w:t>
      </w:r>
      <w:proofErr w:type="spellEnd"/>
      <w:r w:rsidRPr="00923197">
        <w:rPr>
          <w:rFonts w:asciiTheme="minorHAnsi" w:hAnsiTheme="minorHAnsi" w:cstheme="minorHAnsi"/>
          <w:color w:val="000000" w:themeColor="text1"/>
          <w:lang w:val="en-US"/>
        </w:rPr>
        <w:t xml:space="preserve"> 1991; </w:t>
      </w:r>
      <w:proofErr w:type="spellStart"/>
      <w:r w:rsidRPr="00923197">
        <w:rPr>
          <w:rFonts w:asciiTheme="minorHAnsi" w:hAnsiTheme="minorHAnsi" w:cstheme="minorHAnsi"/>
          <w:color w:val="000000" w:themeColor="text1"/>
          <w:lang w:val="en-US"/>
        </w:rPr>
        <w:t>Rolin</w:t>
      </w:r>
      <w:proofErr w:type="spellEnd"/>
      <w:r w:rsidRPr="00923197">
        <w:rPr>
          <w:rFonts w:asciiTheme="minorHAnsi" w:hAnsiTheme="minorHAnsi" w:cstheme="minorHAnsi"/>
          <w:color w:val="000000" w:themeColor="text1"/>
          <w:lang w:val="en-US"/>
        </w:rPr>
        <w:t xml:space="preserve"> 2020). We will return to this point in the next section, when discussing the question of trust in experts.</w:t>
      </w:r>
    </w:p>
    <w:p w14:paraId="75FF68AA" w14:textId="77777777" w:rsidR="00923197" w:rsidRPr="00923197" w:rsidRDefault="00923197" w:rsidP="0077069D">
      <w:pPr>
        <w:spacing w:line="480" w:lineRule="auto"/>
        <w:ind w:right="89"/>
        <w:rPr>
          <w:rFonts w:asciiTheme="minorHAnsi" w:hAnsiTheme="minorHAnsi" w:cstheme="minorHAnsi"/>
          <w:color w:val="000000" w:themeColor="text1"/>
          <w:lang w:val="en-US"/>
        </w:rPr>
      </w:pPr>
    </w:p>
    <w:p w14:paraId="4504D02B" w14:textId="186F70F5" w:rsidR="00923197" w:rsidRPr="00122E5C" w:rsidRDefault="00923197" w:rsidP="00122E5C">
      <w:pPr>
        <w:pStyle w:val="ListParagraph"/>
        <w:numPr>
          <w:ilvl w:val="0"/>
          <w:numId w:val="3"/>
        </w:numPr>
        <w:spacing w:line="480" w:lineRule="auto"/>
        <w:ind w:left="0" w:right="89" w:firstLine="0"/>
        <w:rPr>
          <w:rFonts w:cstheme="minorHAnsi"/>
          <w:b/>
          <w:bCs/>
          <w:color w:val="000000" w:themeColor="text1"/>
          <w:lang w:val="en-US"/>
        </w:rPr>
      </w:pPr>
      <w:r w:rsidRPr="00122E5C">
        <w:rPr>
          <w:rFonts w:cstheme="minorHAnsi"/>
          <w:b/>
          <w:bCs/>
          <w:color w:val="000000" w:themeColor="text1"/>
          <w:lang w:val="en-US"/>
        </w:rPr>
        <w:t xml:space="preserve">A Question of Trust </w:t>
      </w:r>
    </w:p>
    <w:p w14:paraId="6A1B5F70" w14:textId="77777777" w:rsidR="00923197" w:rsidRPr="00923197" w:rsidRDefault="00923197" w:rsidP="0077069D">
      <w:pPr>
        <w:pStyle w:val="ListParagraph"/>
        <w:spacing w:line="480" w:lineRule="auto"/>
        <w:ind w:left="1069" w:right="89"/>
        <w:rPr>
          <w:rFonts w:cstheme="minorHAnsi"/>
          <w:b/>
          <w:bCs/>
          <w:color w:val="000000" w:themeColor="text1"/>
          <w:lang w:val="en-US"/>
        </w:rPr>
      </w:pPr>
    </w:p>
    <w:p w14:paraId="23E9665D" w14:textId="2AADF2EC" w:rsidR="00923197" w:rsidRPr="00923197" w:rsidRDefault="00923197"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lang w:val="en-US"/>
        </w:rPr>
        <w:t>As we saw, epistemic dependence on experts is bound up with the question of trust. The peculiar form of trust at stake in discussing the relationship between experts and non-experts is epistemic trust or trust that applies to agents’ beliefs and the reasons provided for their beliefs, rather than their actions (</w:t>
      </w:r>
      <w:proofErr w:type="spellStart"/>
      <w:r w:rsidRPr="00923197">
        <w:rPr>
          <w:rFonts w:asciiTheme="minorHAnsi" w:hAnsiTheme="minorHAnsi" w:cstheme="minorHAnsi"/>
          <w:color w:val="000000" w:themeColor="text1"/>
          <w:lang w:val="en-US"/>
        </w:rPr>
        <w:t>Hardwig</w:t>
      </w:r>
      <w:proofErr w:type="spellEnd"/>
      <w:r w:rsidRPr="00923197">
        <w:rPr>
          <w:rFonts w:asciiTheme="minorHAnsi" w:hAnsiTheme="minorHAnsi" w:cstheme="minorHAnsi"/>
          <w:color w:val="000000" w:themeColor="text1"/>
          <w:lang w:val="en-US"/>
        </w:rPr>
        <w:t xml:space="preserve"> 1991: 697). </w:t>
      </w:r>
      <w:r w:rsidRPr="00923197">
        <w:rPr>
          <w:rFonts w:asciiTheme="minorHAnsi" w:hAnsiTheme="minorHAnsi" w:cstheme="minorHAnsi"/>
          <w:color w:val="000000" w:themeColor="text1"/>
        </w:rPr>
        <w:t xml:space="preserve">Epistemic trust in general, and trust in experts in particular, often take the form of testimonial trust, i.e. trusting what the experts tell the non-experts as well as the policies that are based on these </w:t>
      </w:r>
      <w:r w:rsidRPr="00923197">
        <w:rPr>
          <w:rFonts w:asciiTheme="minorHAnsi" w:hAnsiTheme="minorHAnsi" w:cstheme="minorHAnsi"/>
          <w:color w:val="000000" w:themeColor="text1"/>
        </w:rPr>
        <w:lastRenderedPageBreak/>
        <w:t>recommendations. The considerations offered in the previous section illustrated what kinds of indicators non-experts should look for to individuate whom is worthy of their trust. However, recognizing a trustworthy source is one thing, while trusting a trustworthy source is another. In this section, we inquire into the nature of the trust-attitude that non-experts should have towards experts.</w:t>
      </w:r>
    </w:p>
    <w:p w14:paraId="3C136547" w14:textId="6BD403D2"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t>Three main families of views—predictive accounts, normative accounts, and combined accounts (</w:t>
      </w:r>
      <w:proofErr w:type="spellStart"/>
      <w:r w:rsidRPr="00923197">
        <w:rPr>
          <w:rFonts w:asciiTheme="minorHAnsi" w:hAnsiTheme="minorHAnsi" w:cstheme="minorHAnsi"/>
          <w:color w:val="000000" w:themeColor="text1"/>
          <w:lang w:val="en-US"/>
        </w:rPr>
        <w:t>Dormandy</w:t>
      </w:r>
      <w:proofErr w:type="spellEnd"/>
      <w:r w:rsidRPr="00923197">
        <w:rPr>
          <w:rFonts w:asciiTheme="minorHAnsi" w:hAnsiTheme="minorHAnsi" w:cstheme="minorHAnsi"/>
          <w:color w:val="000000" w:themeColor="text1"/>
          <w:lang w:val="en-US"/>
        </w:rPr>
        <w:t xml:space="preserve"> 2020)—dominate current discussions of the philosophy of trust. Predictive accounts argue that to trust someone amounts to forming a positive expectation—if not a belief—that they will behave as agreed or required by the situation (Hardin 1993). Normative accounts, by contrast, argue that to trust someone involves expectations about how the trustee ought to behave (Holton 1994; Jones 1996; Faulkner 2007; </w:t>
      </w:r>
      <w:proofErr w:type="spellStart"/>
      <w:r w:rsidRPr="00923197">
        <w:rPr>
          <w:rFonts w:asciiTheme="minorHAnsi" w:hAnsiTheme="minorHAnsi" w:cstheme="minorHAnsi"/>
          <w:color w:val="000000" w:themeColor="text1"/>
          <w:lang w:val="en-US"/>
        </w:rPr>
        <w:t>Darwall</w:t>
      </w:r>
      <w:proofErr w:type="spellEnd"/>
      <w:r w:rsidRPr="00923197">
        <w:rPr>
          <w:rFonts w:asciiTheme="minorHAnsi" w:hAnsiTheme="minorHAnsi" w:cstheme="minorHAnsi"/>
          <w:color w:val="000000" w:themeColor="text1"/>
          <w:lang w:val="en-US"/>
        </w:rPr>
        <w:t xml:space="preserve"> 2017). In other words, trust presupposes a normative demand that the trustee will behave as expected because the trustor is not just predicting but also counting on the trustee to do so. A weak version of this view concedes that one can trust another while suspending judgment about the likelihood that they will behave as expected, but, does not concede that one can have negative expectations towards the trustee (e.g., Holton 1994). In contrast, the strong version of the normative account is compatible with negative predictive expectations, in that all it takes for one to trust another is to place normative expectations on their behavior and to be optimistic about their fulfillment (Jones 2004).</w:t>
      </w:r>
    </w:p>
    <w:p w14:paraId="4C380626" w14:textId="0D043346"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t xml:space="preserve">When it comes to trust in experts in the policy domain, it looks as though a purely normative account is a non-starter, in that such accounts concede that one can trust another even when one believes that the trustee will not act as agreed or expected. We can make sense of this account in the context of a relationship, say, between parents and </w:t>
      </w:r>
      <w:r w:rsidRPr="00923197">
        <w:rPr>
          <w:rFonts w:asciiTheme="minorHAnsi" w:hAnsiTheme="minorHAnsi" w:cstheme="minorHAnsi"/>
          <w:color w:val="000000" w:themeColor="text1"/>
          <w:lang w:val="en-US"/>
        </w:rPr>
        <w:lastRenderedPageBreak/>
        <w:t xml:space="preserve">children, but surely it cannot apply to the domain of policy expertise, where no institution would request consultation from </w:t>
      </w:r>
      <w:proofErr w:type="gramStart"/>
      <w:r w:rsidRPr="00923197">
        <w:rPr>
          <w:rFonts w:asciiTheme="minorHAnsi" w:hAnsiTheme="minorHAnsi" w:cstheme="minorHAnsi"/>
          <w:color w:val="000000" w:themeColor="text1"/>
          <w:lang w:val="en-US"/>
        </w:rPr>
        <w:t>someone</w:t>
      </w:r>
      <w:proofErr w:type="gramEnd"/>
      <w:r w:rsidRPr="00923197">
        <w:rPr>
          <w:rFonts w:asciiTheme="minorHAnsi" w:hAnsiTheme="minorHAnsi" w:cstheme="minorHAnsi"/>
          <w:color w:val="000000" w:themeColor="text1"/>
          <w:lang w:val="en-US"/>
        </w:rPr>
        <w:t xml:space="preserve"> they consider unable or unwilling to deliver the requested outputs. To put it differently, there seems to be little room for </w:t>
      </w:r>
      <w:r w:rsidRPr="00923197">
        <w:rPr>
          <w:rFonts w:asciiTheme="minorHAnsi" w:hAnsiTheme="minorHAnsi" w:cstheme="minorHAnsi"/>
          <w:i/>
          <w:iCs/>
          <w:color w:val="000000" w:themeColor="text1"/>
          <w:lang w:val="en-US"/>
        </w:rPr>
        <w:t>therapeutic trust</w:t>
      </w:r>
      <w:r w:rsidRPr="00923197">
        <w:rPr>
          <w:rFonts w:asciiTheme="minorHAnsi" w:hAnsiTheme="minorHAnsi" w:cstheme="minorHAnsi"/>
          <w:color w:val="000000" w:themeColor="text1"/>
          <w:lang w:val="en-US"/>
        </w:rPr>
        <w:t xml:space="preserve"> in the context of expert advice and policy making (Faulkner 2007; Nickel 2007).</w:t>
      </w:r>
    </w:p>
    <w:p w14:paraId="33FC7BF0" w14:textId="555E78A2"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t xml:space="preserve">The predictive account of trust fares better because it accommodates the intuitive idea that non-experts and institutions select experts to provide policy advice based on the aforementioned credentials, that is, based on a considered—and likely reliable—esteem that such experts are able and willing to fulfil their function. Crucially, they predict that the experts will deliver the expected results. </w:t>
      </w:r>
      <w:r w:rsidRPr="00923197">
        <w:rPr>
          <w:rFonts w:asciiTheme="minorHAnsi" w:hAnsiTheme="minorHAnsi" w:cstheme="minorHAnsi"/>
          <w:color w:val="000000" w:themeColor="text1"/>
        </w:rPr>
        <w:t>Predictive expectations take numerous forms, ranging from placing a high degree of confidence in the information provided, relying on the information provided, ascribing credibility to sources of information (including the person testifying) and having justified expectation of accuracy, usually cashed out in terms of truth. What these kinds of predictive expectations have in common is their epistemic goal—namely the production of epistemic goods such as knowledge, justified beliefs, understanding, and inquiry (</w:t>
      </w:r>
      <w:proofErr w:type="spellStart"/>
      <w:r w:rsidRPr="00923197">
        <w:rPr>
          <w:rFonts w:asciiTheme="minorHAnsi" w:hAnsiTheme="minorHAnsi" w:cstheme="minorHAnsi"/>
          <w:color w:val="000000" w:themeColor="text1"/>
        </w:rPr>
        <w:t>Grasswick</w:t>
      </w:r>
      <w:proofErr w:type="spellEnd"/>
      <w:r w:rsidRPr="00923197">
        <w:rPr>
          <w:rFonts w:asciiTheme="minorHAnsi" w:hAnsiTheme="minorHAnsi" w:cstheme="minorHAnsi"/>
          <w:color w:val="000000" w:themeColor="text1"/>
        </w:rPr>
        <w:t xml:space="preserve"> 2020).</w:t>
      </w:r>
    </w:p>
    <w:p w14:paraId="333FA18F" w14:textId="2446B0D3" w:rsidR="00923197"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t xml:space="preserve">One reason we might want to go beyond a purely predictive view of trust, even in the policy domain, is that this view reduces trust to mere reliance (e.g., Goldberg 2020), where the latter—unlike the former—requires no commitment on the part of the trustee to display an appropriate reaction to the trustor’s attitude. Yet, it could be argued that when non-experts and institutions put their trust in a policy advisor, they expect both that the trustee will act as predicted and that the trustee will do so because of a normative stance that the trust-relationship creates. </w:t>
      </w:r>
    </w:p>
    <w:p w14:paraId="2F663539" w14:textId="3FA383CE" w:rsidR="006F2271" w:rsidRPr="00923197" w:rsidRDefault="00923197" w:rsidP="0077069D">
      <w:pPr>
        <w:spacing w:line="480" w:lineRule="auto"/>
        <w:ind w:right="89" w:firstLine="567"/>
        <w:rPr>
          <w:rFonts w:asciiTheme="minorHAnsi" w:hAnsiTheme="minorHAnsi" w:cstheme="minorHAnsi"/>
          <w:color w:val="000000" w:themeColor="text1"/>
          <w:lang w:val="en-US"/>
        </w:rPr>
      </w:pPr>
      <w:r w:rsidRPr="00923197">
        <w:rPr>
          <w:rFonts w:asciiTheme="minorHAnsi" w:hAnsiTheme="minorHAnsi" w:cstheme="minorHAnsi"/>
          <w:color w:val="000000" w:themeColor="text1"/>
          <w:lang w:val="en-US"/>
        </w:rPr>
        <w:t>This normative stance can be cashed out in various ways. Some regard it as an expectation of the trustee’s goodwill (</w:t>
      </w:r>
      <w:proofErr w:type="spellStart"/>
      <w:r w:rsidRPr="00923197">
        <w:rPr>
          <w:rFonts w:asciiTheme="minorHAnsi" w:hAnsiTheme="minorHAnsi" w:cstheme="minorHAnsi"/>
          <w:color w:val="000000" w:themeColor="text1"/>
          <w:lang w:val="en-US"/>
        </w:rPr>
        <w:t>Almassi</w:t>
      </w:r>
      <w:proofErr w:type="spellEnd"/>
      <w:r w:rsidRPr="00923197">
        <w:rPr>
          <w:rFonts w:asciiTheme="minorHAnsi" w:hAnsiTheme="minorHAnsi" w:cstheme="minorHAnsi"/>
          <w:color w:val="000000" w:themeColor="text1"/>
          <w:lang w:val="en-US"/>
        </w:rPr>
        <w:t xml:space="preserve"> 2012; Baier 1986; </w:t>
      </w:r>
      <w:proofErr w:type="spellStart"/>
      <w:r w:rsidRPr="00923197">
        <w:rPr>
          <w:rFonts w:asciiTheme="minorHAnsi" w:hAnsiTheme="minorHAnsi" w:cstheme="minorHAnsi"/>
          <w:color w:val="000000" w:themeColor="text1"/>
          <w:lang w:val="en-US"/>
        </w:rPr>
        <w:t>Cogley</w:t>
      </w:r>
      <w:proofErr w:type="spellEnd"/>
      <w:r w:rsidRPr="00923197">
        <w:rPr>
          <w:rFonts w:asciiTheme="minorHAnsi" w:hAnsiTheme="minorHAnsi" w:cstheme="minorHAnsi"/>
          <w:color w:val="000000" w:themeColor="text1"/>
          <w:lang w:val="en-US"/>
        </w:rPr>
        <w:t xml:space="preserve"> 2012 Frost-Arnold </w:t>
      </w:r>
      <w:r w:rsidRPr="00923197">
        <w:rPr>
          <w:rFonts w:asciiTheme="minorHAnsi" w:hAnsiTheme="minorHAnsi" w:cstheme="minorHAnsi"/>
          <w:color w:val="000000" w:themeColor="text1"/>
          <w:lang w:val="en-US"/>
        </w:rPr>
        <w:lastRenderedPageBreak/>
        <w:t xml:space="preserve">2013; </w:t>
      </w:r>
      <w:proofErr w:type="spellStart"/>
      <w:r w:rsidRPr="00923197">
        <w:rPr>
          <w:rFonts w:asciiTheme="minorHAnsi" w:hAnsiTheme="minorHAnsi" w:cstheme="minorHAnsi"/>
          <w:color w:val="000000" w:themeColor="text1"/>
          <w:lang w:val="en-US"/>
        </w:rPr>
        <w:t>Wilholt</w:t>
      </w:r>
      <w:proofErr w:type="spellEnd"/>
      <w:r w:rsidRPr="00923197">
        <w:rPr>
          <w:rFonts w:asciiTheme="minorHAnsi" w:hAnsiTheme="minorHAnsi" w:cstheme="minorHAnsi"/>
          <w:color w:val="000000" w:themeColor="text1"/>
          <w:lang w:val="en-US"/>
        </w:rPr>
        <w:t xml:space="preserve"> 2013); others as a participant stance according to which the trustor treats the trustee as a person who bears responsibility for their actions (Holton 1994); others, finally, as a mere responsiveness of the trustee to the fact that the trustor is counting on them to act as expected (Faulkner 2017). Normative and affective expectations, unlike predictive ones, lead to feelings of betrayal and not just disappointment when the trust is broken (Baier 1986: 285). A plausible way to account for this normative dimension of a trust-relationship in the context of expert advice involves requiring that experts at least comply with the ethical and epistemic norms of scientific practice, or, that they display honesty, integrity, and the other moral-epistemic virtues we require from scientists.</w:t>
      </w:r>
      <w:r w:rsidRPr="00923197">
        <w:rPr>
          <w:rStyle w:val="EndnoteReference"/>
          <w:rFonts w:asciiTheme="minorHAnsi" w:hAnsiTheme="minorHAnsi" w:cstheme="minorHAnsi"/>
          <w:color w:val="000000" w:themeColor="text1"/>
          <w:lang w:val="en-US"/>
        </w:rPr>
        <w:endnoteReference w:id="9"/>
      </w:r>
      <w:r w:rsidRPr="00923197">
        <w:rPr>
          <w:rFonts w:asciiTheme="minorHAnsi" w:hAnsiTheme="minorHAnsi" w:cstheme="minorHAnsi"/>
          <w:color w:val="000000" w:themeColor="text1"/>
          <w:lang w:val="en-US"/>
        </w:rPr>
        <w:t xml:space="preserve"> </w:t>
      </w:r>
      <w:r w:rsidR="00AE610A" w:rsidRPr="00923197">
        <w:rPr>
          <w:rFonts w:asciiTheme="minorHAnsi" w:hAnsiTheme="minorHAnsi" w:cstheme="minorHAnsi"/>
          <w:color w:val="000000" w:themeColor="text1"/>
        </w:rPr>
        <w:t>A</w:t>
      </w:r>
      <w:r w:rsidR="004B1103" w:rsidRPr="00923197">
        <w:rPr>
          <w:rFonts w:asciiTheme="minorHAnsi" w:hAnsiTheme="minorHAnsi" w:cstheme="minorHAnsi"/>
          <w:color w:val="000000" w:themeColor="text1"/>
        </w:rPr>
        <w:t xml:space="preserve"> willingness to act in the interest</w:t>
      </w:r>
      <w:r w:rsidR="00812F33" w:rsidRPr="00923197">
        <w:rPr>
          <w:rFonts w:asciiTheme="minorHAnsi" w:hAnsiTheme="minorHAnsi" w:cstheme="minorHAnsi"/>
          <w:color w:val="000000" w:themeColor="text1"/>
        </w:rPr>
        <w:t xml:space="preserve"> of </w:t>
      </w:r>
      <w:r w:rsidR="00A03DFE" w:rsidRPr="00923197">
        <w:rPr>
          <w:rFonts w:asciiTheme="minorHAnsi" w:hAnsiTheme="minorHAnsi" w:cstheme="minorHAnsi"/>
          <w:color w:val="000000" w:themeColor="text1"/>
        </w:rPr>
        <w:t xml:space="preserve">the recipients of their advice </w:t>
      </w:r>
      <w:r w:rsidR="00812F33" w:rsidRPr="00923197">
        <w:rPr>
          <w:rFonts w:asciiTheme="minorHAnsi" w:hAnsiTheme="minorHAnsi" w:cstheme="minorHAnsi"/>
          <w:color w:val="000000" w:themeColor="text1"/>
        </w:rPr>
        <w:t xml:space="preserve">is </w:t>
      </w:r>
      <w:r w:rsidR="00A03DFE" w:rsidRPr="00923197">
        <w:rPr>
          <w:rFonts w:asciiTheme="minorHAnsi" w:hAnsiTheme="minorHAnsi" w:cstheme="minorHAnsi"/>
          <w:color w:val="000000" w:themeColor="text1"/>
        </w:rPr>
        <w:t xml:space="preserve">also </w:t>
      </w:r>
      <w:r w:rsidR="00A04683" w:rsidRPr="00923197">
        <w:rPr>
          <w:rFonts w:asciiTheme="minorHAnsi" w:hAnsiTheme="minorHAnsi" w:cstheme="minorHAnsi"/>
          <w:color w:val="000000" w:themeColor="text1"/>
        </w:rPr>
        <w:t xml:space="preserve">seen as </w:t>
      </w:r>
      <w:r w:rsidR="00812F33" w:rsidRPr="00923197">
        <w:rPr>
          <w:rFonts w:asciiTheme="minorHAnsi" w:hAnsiTheme="minorHAnsi" w:cstheme="minorHAnsi"/>
          <w:color w:val="000000" w:themeColor="text1"/>
        </w:rPr>
        <w:t xml:space="preserve">a feature of the integrity expected of the experts and such willingness is </w:t>
      </w:r>
      <w:r w:rsidR="00A04683" w:rsidRPr="00923197">
        <w:rPr>
          <w:rFonts w:asciiTheme="minorHAnsi" w:hAnsiTheme="minorHAnsi" w:cstheme="minorHAnsi"/>
          <w:color w:val="000000" w:themeColor="text1"/>
        </w:rPr>
        <w:t>taken as an</w:t>
      </w:r>
      <w:r w:rsidR="00812F33" w:rsidRPr="00923197">
        <w:rPr>
          <w:rFonts w:asciiTheme="minorHAnsi" w:hAnsiTheme="minorHAnsi" w:cstheme="minorHAnsi"/>
          <w:color w:val="000000" w:themeColor="text1"/>
        </w:rPr>
        <w:t xml:space="preserve"> indicator of the</w:t>
      </w:r>
      <w:r w:rsidR="00A04683" w:rsidRPr="00923197">
        <w:rPr>
          <w:rFonts w:asciiTheme="minorHAnsi" w:hAnsiTheme="minorHAnsi" w:cstheme="minorHAnsi"/>
          <w:color w:val="000000" w:themeColor="text1"/>
        </w:rPr>
        <w:t>ir</w:t>
      </w:r>
      <w:r w:rsidR="00812F33" w:rsidRPr="00923197">
        <w:rPr>
          <w:rFonts w:asciiTheme="minorHAnsi" w:hAnsiTheme="minorHAnsi" w:cstheme="minorHAnsi"/>
          <w:color w:val="000000" w:themeColor="text1"/>
        </w:rPr>
        <w:t xml:space="preserve"> benevolence</w:t>
      </w:r>
      <w:r w:rsidR="001E2C1B" w:rsidRPr="00923197">
        <w:rPr>
          <w:rFonts w:asciiTheme="minorHAnsi" w:hAnsiTheme="minorHAnsi" w:cstheme="minorHAnsi"/>
          <w:color w:val="000000" w:themeColor="text1"/>
        </w:rPr>
        <w:t xml:space="preserve"> (see Hawley 2017 for contrary view)</w:t>
      </w:r>
      <w:r w:rsidR="001A5126" w:rsidRPr="00923197">
        <w:rPr>
          <w:rFonts w:asciiTheme="minorHAnsi" w:hAnsiTheme="minorHAnsi" w:cstheme="minorHAnsi"/>
          <w:color w:val="000000" w:themeColor="text1"/>
        </w:rPr>
        <w:t>.</w:t>
      </w:r>
      <w:r w:rsidR="00812F33" w:rsidRPr="00923197">
        <w:rPr>
          <w:rFonts w:asciiTheme="minorHAnsi" w:hAnsiTheme="minorHAnsi" w:cstheme="minorHAnsi"/>
          <w:color w:val="000000" w:themeColor="text1"/>
        </w:rPr>
        <w:t xml:space="preserve"> These normative and affective expectations are the reassurances that we need in the face of the risks we take in trusting and justi</w:t>
      </w:r>
      <w:r w:rsidR="00EE2945" w:rsidRPr="00923197">
        <w:rPr>
          <w:rFonts w:asciiTheme="minorHAnsi" w:hAnsiTheme="minorHAnsi" w:cstheme="minorHAnsi"/>
          <w:color w:val="000000" w:themeColor="text1"/>
        </w:rPr>
        <w:t>fy</w:t>
      </w:r>
      <w:r w:rsidR="00812F33" w:rsidRPr="00923197">
        <w:rPr>
          <w:rFonts w:asciiTheme="minorHAnsi" w:hAnsiTheme="minorHAnsi" w:cstheme="minorHAnsi"/>
          <w:color w:val="000000" w:themeColor="text1"/>
        </w:rPr>
        <w:t xml:space="preserve"> the hope and confidence we place on</w:t>
      </w:r>
      <w:r w:rsidR="00A03DFE" w:rsidRPr="00923197">
        <w:rPr>
          <w:rFonts w:asciiTheme="minorHAnsi" w:hAnsiTheme="minorHAnsi" w:cstheme="minorHAnsi"/>
          <w:color w:val="000000" w:themeColor="text1"/>
        </w:rPr>
        <w:t xml:space="preserve"> those we trust</w:t>
      </w:r>
      <w:r w:rsidR="00812F33" w:rsidRPr="00923197">
        <w:rPr>
          <w:rFonts w:asciiTheme="minorHAnsi" w:hAnsiTheme="minorHAnsi" w:cstheme="minorHAnsi"/>
          <w:color w:val="000000" w:themeColor="text1"/>
        </w:rPr>
        <w:t xml:space="preserve">. </w:t>
      </w:r>
      <w:r w:rsidR="00A04683" w:rsidRPr="00923197">
        <w:rPr>
          <w:rFonts w:asciiTheme="minorHAnsi" w:hAnsiTheme="minorHAnsi" w:cstheme="minorHAnsi"/>
          <w:color w:val="000000" w:themeColor="text1"/>
        </w:rPr>
        <w:t xml:space="preserve">As we will see in the next section, not fulfilling such expectations is one </w:t>
      </w:r>
      <w:r w:rsidR="00A03DFE" w:rsidRPr="00923197">
        <w:rPr>
          <w:rFonts w:asciiTheme="minorHAnsi" w:hAnsiTheme="minorHAnsi" w:cstheme="minorHAnsi"/>
          <w:color w:val="000000" w:themeColor="text1"/>
        </w:rPr>
        <w:t xml:space="preserve">of </w:t>
      </w:r>
      <w:r w:rsidR="00A04683" w:rsidRPr="00923197">
        <w:rPr>
          <w:rFonts w:asciiTheme="minorHAnsi" w:hAnsiTheme="minorHAnsi" w:cstheme="minorHAnsi"/>
          <w:color w:val="000000" w:themeColor="text1"/>
        </w:rPr>
        <w:t>the reasons for the breakdown of trust in experts.</w:t>
      </w:r>
    </w:p>
    <w:p w14:paraId="046C3169" w14:textId="2BE7E617" w:rsidR="000A2176" w:rsidRPr="00923197" w:rsidRDefault="000A2176" w:rsidP="0077069D">
      <w:pPr>
        <w:spacing w:line="480" w:lineRule="auto"/>
        <w:ind w:right="89" w:firstLine="567"/>
        <w:rPr>
          <w:rFonts w:asciiTheme="minorHAnsi" w:hAnsiTheme="minorHAnsi" w:cstheme="minorHAnsi"/>
          <w:color w:val="000000" w:themeColor="text1"/>
        </w:rPr>
      </w:pPr>
    </w:p>
    <w:p w14:paraId="7F149F06" w14:textId="77777777" w:rsidR="002D6B41" w:rsidRPr="00923197" w:rsidRDefault="002D6B41" w:rsidP="0077069D">
      <w:pPr>
        <w:spacing w:line="480" w:lineRule="auto"/>
        <w:ind w:right="89" w:firstLine="567"/>
        <w:rPr>
          <w:rFonts w:asciiTheme="minorHAnsi" w:hAnsiTheme="minorHAnsi" w:cstheme="minorHAnsi"/>
          <w:b/>
          <w:bCs/>
          <w:color w:val="000000" w:themeColor="text1"/>
        </w:rPr>
      </w:pPr>
    </w:p>
    <w:p w14:paraId="5525A8C8" w14:textId="6978557D" w:rsidR="00DA63C0" w:rsidRPr="00122E5C" w:rsidRDefault="00122E5C" w:rsidP="00122E5C">
      <w:pPr>
        <w:spacing w:line="480" w:lineRule="auto"/>
        <w:ind w:right="89"/>
        <w:rPr>
          <w:rFonts w:cstheme="minorHAnsi"/>
          <w:b/>
          <w:bCs/>
          <w:color w:val="000000" w:themeColor="text1"/>
        </w:rPr>
      </w:pPr>
      <w:r>
        <w:rPr>
          <w:rFonts w:cstheme="minorHAnsi"/>
          <w:b/>
          <w:bCs/>
          <w:color w:val="000000" w:themeColor="text1"/>
        </w:rPr>
        <w:t>4.</w:t>
      </w:r>
      <w:r w:rsidR="00A03DFE" w:rsidRPr="00122E5C">
        <w:rPr>
          <w:rFonts w:cstheme="minorHAnsi"/>
          <w:b/>
          <w:bCs/>
          <w:color w:val="000000" w:themeColor="text1"/>
        </w:rPr>
        <w:t xml:space="preserve">The </w:t>
      </w:r>
      <w:r w:rsidR="00DA63C0" w:rsidRPr="00122E5C">
        <w:rPr>
          <w:rFonts w:cstheme="minorHAnsi"/>
          <w:b/>
          <w:bCs/>
          <w:color w:val="000000" w:themeColor="text1"/>
        </w:rPr>
        <w:t>Bre</w:t>
      </w:r>
      <w:r w:rsidR="00AF532B" w:rsidRPr="00122E5C">
        <w:rPr>
          <w:rFonts w:cstheme="minorHAnsi"/>
          <w:b/>
          <w:bCs/>
          <w:color w:val="000000" w:themeColor="text1"/>
        </w:rPr>
        <w:t>a</w:t>
      </w:r>
      <w:r w:rsidR="00DA63C0" w:rsidRPr="00122E5C">
        <w:rPr>
          <w:rFonts w:cstheme="minorHAnsi"/>
          <w:b/>
          <w:bCs/>
          <w:color w:val="000000" w:themeColor="text1"/>
        </w:rPr>
        <w:t xml:space="preserve">kdown of Trust </w:t>
      </w:r>
    </w:p>
    <w:p w14:paraId="20C8E763" w14:textId="77777777" w:rsidR="00545110" w:rsidRPr="00923197" w:rsidRDefault="00545110" w:rsidP="0077069D">
      <w:pPr>
        <w:spacing w:line="480" w:lineRule="auto"/>
        <w:ind w:right="89" w:firstLine="567"/>
        <w:rPr>
          <w:rFonts w:asciiTheme="minorHAnsi" w:hAnsiTheme="minorHAnsi" w:cstheme="minorHAnsi"/>
          <w:color w:val="000000" w:themeColor="text1"/>
        </w:rPr>
      </w:pPr>
    </w:p>
    <w:p w14:paraId="56617590" w14:textId="357F1740" w:rsidR="00545110" w:rsidRPr="00923197" w:rsidRDefault="001E2C1B"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Mistrust of experts is a source of socio-political concern</w:t>
      </w:r>
      <w:r w:rsidR="0018448E" w:rsidRPr="00923197">
        <w:rPr>
          <w:rFonts w:asciiTheme="minorHAnsi" w:hAnsiTheme="minorHAnsi" w:cstheme="minorHAnsi"/>
          <w:color w:val="000000" w:themeColor="text1"/>
        </w:rPr>
        <w:t xml:space="preserve"> and </w:t>
      </w:r>
      <w:r w:rsidRPr="00923197">
        <w:rPr>
          <w:rFonts w:asciiTheme="minorHAnsi" w:hAnsiTheme="minorHAnsi" w:cstheme="minorHAnsi"/>
          <w:color w:val="000000" w:themeColor="text1"/>
        </w:rPr>
        <w:t xml:space="preserve">a topic of philosophical interest. </w:t>
      </w:r>
      <w:r w:rsidR="00545110" w:rsidRPr="00923197">
        <w:rPr>
          <w:rFonts w:asciiTheme="minorHAnsi" w:hAnsiTheme="minorHAnsi" w:cstheme="minorHAnsi"/>
          <w:color w:val="000000" w:themeColor="text1"/>
        </w:rPr>
        <w:t xml:space="preserve">This section </w:t>
      </w:r>
      <w:r w:rsidR="001E480A" w:rsidRPr="00923197">
        <w:rPr>
          <w:rFonts w:asciiTheme="minorHAnsi" w:hAnsiTheme="minorHAnsi" w:cstheme="minorHAnsi"/>
          <w:color w:val="000000" w:themeColor="text1"/>
        </w:rPr>
        <w:t xml:space="preserve">briefly examines some of the </w:t>
      </w:r>
      <w:r w:rsidR="00545110" w:rsidRPr="00923197">
        <w:rPr>
          <w:rFonts w:asciiTheme="minorHAnsi" w:hAnsiTheme="minorHAnsi" w:cstheme="minorHAnsi"/>
          <w:color w:val="000000" w:themeColor="text1"/>
        </w:rPr>
        <w:t xml:space="preserve">reasons </w:t>
      </w:r>
      <w:r w:rsidR="001E480A" w:rsidRPr="00923197">
        <w:rPr>
          <w:rFonts w:asciiTheme="minorHAnsi" w:hAnsiTheme="minorHAnsi" w:cstheme="minorHAnsi"/>
          <w:color w:val="000000" w:themeColor="text1"/>
        </w:rPr>
        <w:t>for withdrawal</w:t>
      </w:r>
      <w:r w:rsidR="00F15247" w:rsidRPr="00923197">
        <w:rPr>
          <w:rFonts w:asciiTheme="minorHAnsi" w:hAnsiTheme="minorHAnsi" w:cstheme="minorHAnsi"/>
          <w:color w:val="000000" w:themeColor="text1"/>
        </w:rPr>
        <w:t>s</w:t>
      </w:r>
      <w:r w:rsidR="001E480A" w:rsidRPr="00923197">
        <w:rPr>
          <w:rFonts w:asciiTheme="minorHAnsi" w:hAnsiTheme="minorHAnsi" w:cstheme="minorHAnsi"/>
          <w:color w:val="000000" w:themeColor="text1"/>
        </w:rPr>
        <w:t xml:space="preserve"> of trust from </w:t>
      </w:r>
      <w:r w:rsidR="00545110" w:rsidRPr="00923197">
        <w:rPr>
          <w:rFonts w:asciiTheme="minorHAnsi" w:hAnsiTheme="minorHAnsi" w:cstheme="minorHAnsi"/>
          <w:color w:val="000000" w:themeColor="text1"/>
        </w:rPr>
        <w:t>experts</w:t>
      </w:r>
      <w:r w:rsidR="001E480A" w:rsidRPr="00923197">
        <w:rPr>
          <w:rFonts w:asciiTheme="minorHAnsi" w:hAnsiTheme="minorHAnsi" w:cstheme="minorHAnsi"/>
          <w:color w:val="000000" w:themeColor="text1"/>
        </w:rPr>
        <w:t xml:space="preserve">. </w:t>
      </w:r>
    </w:p>
    <w:p w14:paraId="131A8B56" w14:textId="52A715CE" w:rsidR="00B91B24" w:rsidRPr="00923197" w:rsidRDefault="00246EA0"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lastRenderedPageBreak/>
        <w:t xml:space="preserve">Mistrust of experts, like trust, has many sources and </w:t>
      </w:r>
      <w:r w:rsidR="00F15247" w:rsidRPr="00923197">
        <w:rPr>
          <w:rFonts w:asciiTheme="minorHAnsi" w:hAnsiTheme="minorHAnsi" w:cstheme="minorHAnsi"/>
          <w:color w:val="000000" w:themeColor="text1"/>
        </w:rPr>
        <w:t>explanations</w:t>
      </w:r>
      <w:r w:rsidRPr="00923197">
        <w:rPr>
          <w:rFonts w:asciiTheme="minorHAnsi" w:hAnsiTheme="minorHAnsi" w:cstheme="minorHAnsi"/>
          <w:color w:val="000000" w:themeColor="text1"/>
        </w:rPr>
        <w:t xml:space="preserve">. Trust </w:t>
      </w:r>
      <w:r w:rsidR="00847758" w:rsidRPr="00923197">
        <w:rPr>
          <w:rFonts w:asciiTheme="minorHAnsi" w:hAnsiTheme="minorHAnsi" w:cstheme="minorHAnsi"/>
          <w:color w:val="000000" w:themeColor="text1"/>
        </w:rPr>
        <w:t xml:space="preserve">can </w:t>
      </w:r>
      <w:r w:rsidRPr="00923197">
        <w:rPr>
          <w:rFonts w:asciiTheme="minorHAnsi" w:hAnsiTheme="minorHAnsi" w:cstheme="minorHAnsi"/>
          <w:color w:val="000000" w:themeColor="text1"/>
        </w:rPr>
        <w:t>justifiably be withdrawn</w:t>
      </w:r>
      <w:r w:rsidR="00F15247" w:rsidRPr="00923197">
        <w:rPr>
          <w:rFonts w:asciiTheme="minorHAnsi" w:hAnsiTheme="minorHAnsi" w:cstheme="minorHAnsi"/>
          <w:color w:val="000000" w:themeColor="text1"/>
        </w:rPr>
        <w:t xml:space="preserve"> from</w:t>
      </w:r>
      <w:r w:rsidRPr="00923197">
        <w:rPr>
          <w:rFonts w:asciiTheme="minorHAnsi" w:hAnsiTheme="minorHAnsi" w:cstheme="minorHAnsi"/>
          <w:color w:val="000000" w:themeColor="text1"/>
        </w:rPr>
        <w:t xml:space="preserve"> experts who are judged to have made serious mistakes or have been dishonest, untruthful or biased. The legitimacy of these concerns, at least in principle, </w:t>
      </w:r>
      <w:r w:rsidR="00DE07FD" w:rsidRPr="00923197">
        <w:rPr>
          <w:rFonts w:asciiTheme="minorHAnsi" w:hAnsiTheme="minorHAnsi" w:cstheme="minorHAnsi"/>
          <w:color w:val="000000" w:themeColor="text1"/>
        </w:rPr>
        <w:t xml:space="preserve">is </w:t>
      </w:r>
      <w:r w:rsidRPr="00923197">
        <w:rPr>
          <w:rFonts w:asciiTheme="minorHAnsi" w:hAnsiTheme="minorHAnsi" w:cstheme="minorHAnsi"/>
          <w:color w:val="000000" w:themeColor="text1"/>
        </w:rPr>
        <w:t>acknowledged by</w:t>
      </w:r>
      <w:r w:rsidR="00DE07FD" w:rsidRPr="00923197">
        <w:rPr>
          <w:rFonts w:asciiTheme="minorHAnsi" w:hAnsiTheme="minorHAnsi" w:cstheme="minorHAnsi"/>
          <w:color w:val="000000" w:themeColor="text1"/>
        </w:rPr>
        <w:t xml:space="preserve"> </w:t>
      </w:r>
      <w:r w:rsidRPr="00923197">
        <w:rPr>
          <w:rFonts w:asciiTheme="minorHAnsi" w:hAnsiTheme="minorHAnsi" w:cstheme="minorHAnsi"/>
          <w:color w:val="000000" w:themeColor="text1"/>
        </w:rPr>
        <w:t>experts and non-experts alike</w:t>
      </w:r>
      <w:r w:rsidR="00DE07FD" w:rsidRPr="00923197">
        <w:rPr>
          <w:rFonts w:asciiTheme="minorHAnsi" w:hAnsiTheme="minorHAnsi" w:cstheme="minorHAnsi"/>
          <w:color w:val="000000" w:themeColor="text1"/>
        </w:rPr>
        <w:t>.</w:t>
      </w:r>
      <w:r w:rsidRPr="00923197">
        <w:rPr>
          <w:rFonts w:asciiTheme="minorHAnsi" w:hAnsiTheme="minorHAnsi" w:cstheme="minorHAnsi"/>
          <w:color w:val="000000" w:themeColor="text1"/>
        </w:rPr>
        <w:t xml:space="preserve"> </w:t>
      </w:r>
      <w:r w:rsidR="00DE07FD" w:rsidRPr="00923197">
        <w:rPr>
          <w:rFonts w:asciiTheme="minorHAnsi" w:hAnsiTheme="minorHAnsi" w:cstheme="minorHAnsi"/>
          <w:color w:val="000000" w:themeColor="text1"/>
        </w:rPr>
        <w:t>B</w:t>
      </w:r>
      <w:r w:rsidRPr="00923197">
        <w:rPr>
          <w:rFonts w:asciiTheme="minorHAnsi" w:hAnsiTheme="minorHAnsi" w:cstheme="minorHAnsi"/>
          <w:color w:val="000000" w:themeColor="text1"/>
        </w:rPr>
        <w:t xml:space="preserve">ut it is easy to imagine that adequate training, professional vigilance and public monitoring of the markers of intellectual </w:t>
      </w:r>
      <w:r w:rsidRPr="00923197">
        <w:rPr>
          <w:rFonts w:asciiTheme="minorHAnsi" w:hAnsiTheme="minorHAnsi" w:cstheme="minorHAnsi"/>
          <w:i/>
          <w:iCs/>
          <w:color w:val="000000" w:themeColor="text1"/>
        </w:rPr>
        <w:t>integrity</w:t>
      </w:r>
      <w:r w:rsidR="0069150E" w:rsidRPr="00923197">
        <w:rPr>
          <w:rFonts w:asciiTheme="minorHAnsi" w:hAnsiTheme="minorHAnsi" w:cstheme="minorHAnsi"/>
          <w:i/>
          <w:iCs/>
          <w:color w:val="000000" w:themeColor="text1"/>
        </w:rPr>
        <w:t>,</w:t>
      </w:r>
      <w:r w:rsidR="00312CF4" w:rsidRPr="00923197">
        <w:rPr>
          <w:rFonts w:asciiTheme="minorHAnsi" w:hAnsiTheme="minorHAnsi" w:cstheme="minorHAnsi"/>
          <w:i/>
          <w:iCs/>
          <w:color w:val="000000" w:themeColor="text1"/>
        </w:rPr>
        <w:t xml:space="preserve"> </w:t>
      </w:r>
      <w:r w:rsidR="00312CF4" w:rsidRPr="00923197">
        <w:rPr>
          <w:rFonts w:asciiTheme="minorHAnsi" w:hAnsiTheme="minorHAnsi" w:cstheme="minorHAnsi"/>
          <w:color w:val="000000" w:themeColor="text1"/>
        </w:rPr>
        <w:t xml:space="preserve">as well </w:t>
      </w:r>
      <w:r w:rsidR="0069150E" w:rsidRPr="00923197">
        <w:rPr>
          <w:rFonts w:asciiTheme="minorHAnsi" w:hAnsiTheme="minorHAnsi" w:cstheme="minorHAnsi"/>
          <w:color w:val="000000" w:themeColor="text1"/>
        </w:rPr>
        <w:t xml:space="preserve">as vigilance around the institutional norms governing the work of </w:t>
      </w:r>
      <w:r w:rsidR="00312CF4" w:rsidRPr="00923197">
        <w:rPr>
          <w:rFonts w:asciiTheme="minorHAnsi" w:hAnsiTheme="minorHAnsi" w:cstheme="minorHAnsi"/>
          <w:color w:val="000000" w:themeColor="text1"/>
        </w:rPr>
        <w:t>expert bodies</w:t>
      </w:r>
      <w:r w:rsidR="00DE07FD" w:rsidRPr="00923197">
        <w:rPr>
          <w:rFonts w:asciiTheme="minorHAnsi" w:hAnsiTheme="minorHAnsi" w:cstheme="minorHAnsi"/>
          <w:color w:val="000000" w:themeColor="text1"/>
        </w:rPr>
        <w:t>—</w:t>
      </w:r>
      <w:r w:rsidR="0069150E" w:rsidRPr="00923197">
        <w:rPr>
          <w:rFonts w:asciiTheme="minorHAnsi" w:hAnsiTheme="minorHAnsi" w:cstheme="minorHAnsi"/>
          <w:color w:val="000000" w:themeColor="text1"/>
        </w:rPr>
        <w:t>e.g</w:t>
      </w:r>
      <w:r w:rsidR="000A6651" w:rsidRPr="00923197">
        <w:rPr>
          <w:rFonts w:asciiTheme="minorHAnsi" w:hAnsiTheme="minorHAnsi" w:cstheme="minorHAnsi"/>
          <w:color w:val="000000" w:themeColor="text1"/>
        </w:rPr>
        <w:t>.</w:t>
      </w:r>
      <w:r w:rsidR="0069150E" w:rsidRPr="00923197">
        <w:rPr>
          <w:rFonts w:asciiTheme="minorHAnsi" w:hAnsiTheme="minorHAnsi" w:cstheme="minorHAnsi"/>
          <w:color w:val="000000" w:themeColor="text1"/>
        </w:rPr>
        <w:t xml:space="preserve"> rigorous </w:t>
      </w:r>
      <w:r w:rsidR="00312CF4" w:rsidRPr="00923197">
        <w:rPr>
          <w:rFonts w:asciiTheme="minorHAnsi" w:hAnsiTheme="minorHAnsi" w:cstheme="minorHAnsi"/>
          <w:color w:val="000000" w:themeColor="text1"/>
        </w:rPr>
        <w:t xml:space="preserve">review mechanisms, </w:t>
      </w:r>
      <w:r w:rsidR="00DE07FD" w:rsidRPr="00923197">
        <w:rPr>
          <w:rFonts w:asciiTheme="minorHAnsi" w:hAnsiTheme="minorHAnsi" w:cstheme="minorHAnsi"/>
          <w:color w:val="000000" w:themeColor="text1"/>
        </w:rPr>
        <w:t xml:space="preserve">political </w:t>
      </w:r>
      <w:r w:rsidR="00312CF4" w:rsidRPr="00923197">
        <w:rPr>
          <w:rFonts w:asciiTheme="minorHAnsi" w:hAnsiTheme="minorHAnsi" w:cstheme="minorHAnsi"/>
          <w:color w:val="000000" w:themeColor="text1"/>
        </w:rPr>
        <w:t>independence</w:t>
      </w:r>
      <w:r w:rsidR="0069150E" w:rsidRPr="00923197">
        <w:rPr>
          <w:rFonts w:asciiTheme="minorHAnsi" w:hAnsiTheme="minorHAnsi" w:cstheme="minorHAnsi"/>
          <w:color w:val="000000" w:themeColor="text1"/>
        </w:rPr>
        <w:t xml:space="preserve">, </w:t>
      </w:r>
      <w:r w:rsidR="00312CF4" w:rsidRPr="00923197">
        <w:rPr>
          <w:rFonts w:asciiTheme="minorHAnsi" w:hAnsiTheme="minorHAnsi" w:cstheme="minorHAnsi"/>
          <w:color w:val="000000" w:themeColor="text1"/>
        </w:rPr>
        <w:t>etc</w:t>
      </w:r>
      <w:r w:rsidR="0069150E" w:rsidRPr="00923197">
        <w:rPr>
          <w:rFonts w:asciiTheme="minorHAnsi" w:hAnsiTheme="minorHAnsi" w:cstheme="minorHAnsi"/>
          <w:color w:val="000000" w:themeColor="text1"/>
        </w:rPr>
        <w:t>.</w:t>
      </w:r>
      <w:r w:rsidR="0069150E" w:rsidRPr="00923197">
        <w:rPr>
          <w:rFonts w:asciiTheme="minorHAnsi" w:hAnsiTheme="minorHAnsi" w:cstheme="minorHAnsi"/>
          <w:i/>
          <w:iCs/>
          <w:color w:val="000000" w:themeColor="text1"/>
        </w:rPr>
        <w:t xml:space="preserve"> </w:t>
      </w:r>
      <w:r w:rsidRPr="00923197">
        <w:rPr>
          <w:rFonts w:asciiTheme="minorHAnsi" w:hAnsiTheme="minorHAnsi" w:cstheme="minorHAnsi"/>
          <w:i/>
          <w:iCs/>
          <w:color w:val="000000" w:themeColor="text1"/>
        </w:rPr>
        <w:t>could address</w:t>
      </w:r>
      <w:r w:rsidRPr="00923197">
        <w:rPr>
          <w:rFonts w:asciiTheme="minorHAnsi" w:hAnsiTheme="minorHAnsi" w:cstheme="minorHAnsi"/>
          <w:color w:val="000000" w:themeColor="text1"/>
        </w:rPr>
        <w:t xml:space="preserve"> such concerns. Serious disagreement among experts </w:t>
      </w:r>
      <w:r w:rsidR="004A7A02" w:rsidRPr="00923197">
        <w:rPr>
          <w:rFonts w:asciiTheme="minorHAnsi" w:hAnsiTheme="minorHAnsi" w:cstheme="minorHAnsi"/>
          <w:color w:val="000000" w:themeColor="text1"/>
        </w:rPr>
        <w:t>is thought to have</w:t>
      </w:r>
      <w:r w:rsidRPr="00923197">
        <w:rPr>
          <w:rFonts w:asciiTheme="minorHAnsi" w:hAnsiTheme="minorHAnsi" w:cstheme="minorHAnsi"/>
          <w:color w:val="000000" w:themeColor="text1"/>
        </w:rPr>
        <w:t xml:space="preserve"> an impact on the perceptions of the trustworthiness of their advice, but </w:t>
      </w:r>
      <w:r w:rsidR="004A7A02" w:rsidRPr="00923197">
        <w:rPr>
          <w:rFonts w:asciiTheme="minorHAnsi" w:hAnsiTheme="minorHAnsi" w:cstheme="minorHAnsi"/>
          <w:color w:val="000000" w:themeColor="text1"/>
        </w:rPr>
        <w:t xml:space="preserve">the </w:t>
      </w:r>
      <w:r w:rsidR="0018448E" w:rsidRPr="00923197">
        <w:rPr>
          <w:rFonts w:asciiTheme="minorHAnsi" w:hAnsiTheme="minorHAnsi" w:cstheme="minorHAnsi"/>
          <w:color w:val="000000" w:themeColor="text1"/>
        </w:rPr>
        <w:t xml:space="preserve">exact scope </w:t>
      </w:r>
      <w:r w:rsidR="004A7A02" w:rsidRPr="00923197">
        <w:rPr>
          <w:rFonts w:asciiTheme="minorHAnsi" w:hAnsiTheme="minorHAnsi" w:cstheme="minorHAnsi"/>
          <w:color w:val="000000" w:themeColor="text1"/>
        </w:rPr>
        <w:t xml:space="preserve">of this concern </w:t>
      </w:r>
      <w:r w:rsidR="0018448E" w:rsidRPr="00923197">
        <w:rPr>
          <w:rFonts w:asciiTheme="minorHAnsi" w:hAnsiTheme="minorHAnsi" w:cstheme="minorHAnsi"/>
          <w:color w:val="000000" w:themeColor="text1"/>
        </w:rPr>
        <w:t xml:space="preserve">is in </w:t>
      </w:r>
      <w:r w:rsidR="004A7A02" w:rsidRPr="00923197">
        <w:rPr>
          <w:rFonts w:asciiTheme="minorHAnsi" w:hAnsiTheme="minorHAnsi" w:cstheme="minorHAnsi"/>
          <w:color w:val="000000" w:themeColor="text1"/>
        </w:rPr>
        <w:t xml:space="preserve">question </w:t>
      </w:r>
      <w:r w:rsidRPr="00923197">
        <w:rPr>
          <w:rFonts w:asciiTheme="minorHAnsi" w:hAnsiTheme="minorHAnsi" w:cstheme="minorHAnsi"/>
          <w:color w:val="000000" w:themeColor="text1"/>
        </w:rPr>
        <w:t xml:space="preserve">(Dellsén 2018). </w:t>
      </w:r>
    </w:p>
    <w:p w14:paraId="6BA28DCC" w14:textId="4C99B73C" w:rsidR="00B91B24" w:rsidRPr="00923197" w:rsidRDefault="004A7A02"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 xml:space="preserve">The question </w:t>
      </w:r>
      <w:r w:rsidR="00DE07FD" w:rsidRPr="00923197">
        <w:rPr>
          <w:rFonts w:asciiTheme="minorHAnsi" w:hAnsiTheme="minorHAnsi" w:cstheme="minorHAnsi"/>
          <w:color w:val="000000" w:themeColor="text1"/>
        </w:rPr>
        <w:t>remains</w:t>
      </w:r>
      <w:r w:rsidR="00847758" w:rsidRPr="00923197">
        <w:rPr>
          <w:rFonts w:asciiTheme="minorHAnsi" w:hAnsiTheme="minorHAnsi" w:cstheme="minorHAnsi"/>
          <w:color w:val="000000" w:themeColor="text1"/>
        </w:rPr>
        <w:t xml:space="preserve"> </w:t>
      </w:r>
      <w:r w:rsidR="00246EA0" w:rsidRPr="00923197">
        <w:rPr>
          <w:rFonts w:asciiTheme="minorHAnsi" w:hAnsiTheme="minorHAnsi" w:cstheme="minorHAnsi"/>
          <w:color w:val="000000" w:themeColor="text1"/>
        </w:rPr>
        <w:t xml:space="preserve">why large numbers of people reject scientific consensus on crucial issues </w:t>
      </w:r>
      <w:r w:rsidR="00DE07FD" w:rsidRPr="00923197">
        <w:rPr>
          <w:rFonts w:asciiTheme="minorHAnsi" w:hAnsiTheme="minorHAnsi" w:cstheme="minorHAnsi"/>
          <w:color w:val="000000" w:themeColor="text1"/>
        </w:rPr>
        <w:t>like</w:t>
      </w:r>
      <w:r w:rsidR="00246EA0" w:rsidRPr="00923197">
        <w:rPr>
          <w:rFonts w:asciiTheme="minorHAnsi" w:hAnsiTheme="minorHAnsi" w:cstheme="minorHAnsi"/>
          <w:color w:val="000000" w:themeColor="text1"/>
        </w:rPr>
        <w:t xml:space="preserve"> climate change (in the US)</w:t>
      </w:r>
      <w:r w:rsidR="00DE07FD" w:rsidRPr="00923197">
        <w:rPr>
          <w:rFonts w:asciiTheme="minorHAnsi" w:hAnsiTheme="minorHAnsi" w:cstheme="minorHAnsi"/>
          <w:color w:val="000000" w:themeColor="text1"/>
        </w:rPr>
        <w:t xml:space="preserve"> and </w:t>
      </w:r>
      <w:r w:rsidR="00246EA0" w:rsidRPr="00923197">
        <w:rPr>
          <w:rFonts w:asciiTheme="minorHAnsi" w:hAnsiTheme="minorHAnsi" w:cstheme="minorHAnsi"/>
          <w:color w:val="000000" w:themeColor="text1"/>
        </w:rPr>
        <w:t>vaccination (UK and US</w:t>
      </w:r>
      <w:r w:rsidRPr="00923197">
        <w:rPr>
          <w:rFonts w:asciiTheme="minorHAnsi" w:hAnsiTheme="minorHAnsi" w:cstheme="minorHAnsi"/>
          <w:color w:val="000000" w:themeColor="text1"/>
        </w:rPr>
        <w:t>)</w:t>
      </w:r>
      <w:r w:rsidR="00C26BC2" w:rsidRPr="00923197">
        <w:rPr>
          <w:rFonts w:asciiTheme="minorHAnsi" w:hAnsiTheme="minorHAnsi" w:cstheme="minorHAnsi"/>
          <w:color w:val="000000" w:themeColor="text1"/>
        </w:rPr>
        <w:t>.</w:t>
      </w:r>
      <w:r w:rsidRPr="00923197">
        <w:rPr>
          <w:rFonts w:asciiTheme="minorHAnsi" w:hAnsiTheme="minorHAnsi" w:cstheme="minorHAnsi"/>
          <w:color w:val="000000" w:themeColor="text1"/>
        </w:rPr>
        <w:t xml:space="preserve"> </w:t>
      </w:r>
      <w:r w:rsidR="00246EA0" w:rsidRPr="00923197">
        <w:rPr>
          <w:rFonts w:asciiTheme="minorHAnsi" w:hAnsiTheme="minorHAnsi" w:cstheme="minorHAnsi"/>
          <w:color w:val="000000" w:themeColor="text1"/>
        </w:rPr>
        <w:t>Scepticism about expert advice in such cases rarely comes down to the details of the scientific evidence or the methodology scientists employ</w:t>
      </w:r>
      <w:r w:rsidR="00C26BC2" w:rsidRPr="00923197">
        <w:rPr>
          <w:rFonts w:asciiTheme="minorHAnsi" w:hAnsiTheme="minorHAnsi" w:cstheme="minorHAnsi"/>
          <w:color w:val="000000" w:themeColor="text1"/>
        </w:rPr>
        <w:t>,</w:t>
      </w:r>
      <w:r w:rsidR="00246EA0" w:rsidRPr="00923197">
        <w:rPr>
          <w:rFonts w:asciiTheme="minorHAnsi" w:hAnsiTheme="minorHAnsi" w:cstheme="minorHAnsi"/>
          <w:color w:val="000000" w:themeColor="text1"/>
        </w:rPr>
        <w:t xml:space="preserve"> but is linked to social, psychological and broadly normative considerations (Levy 2019).</w:t>
      </w:r>
    </w:p>
    <w:p w14:paraId="27A7E9B5" w14:textId="6B230C3B" w:rsidR="00B91B24" w:rsidRPr="00923197" w:rsidRDefault="00545110"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Let us consider the psychological aspects first. At an individual level, traditional cognitive biases such as confirmation bias, desirability bias, and motivated reasoning obstruc</w:t>
      </w:r>
      <w:r w:rsidR="00847758" w:rsidRPr="00923197">
        <w:rPr>
          <w:rFonts w:asciiTheme="minorHAnsi" w:hAnsiTheme="minorHAnsi" w:cstheme="minorHAnsi"/>
          <w:color w:val="000000" w:themeColor="text1"/>
        </w:rPr>
        <w:t>t</w:t>
      </w:r>
      <w:r w:rsidRPr="00923197">
        <w:rPr>
          <w:rFonts w:asciiTheme="minorHAnsi" w:hAnsiTheme="minorHAnsi" w:cstheme="minorHAnsi"/>
          <w:color w:val="000000" w:themeColor="text1"/>
        </w:rPr>
        <w:t xml:space="preserve"> trust-relationships whenever th</w:t>
      </w:r>
      <w:r w:rsidR="004A7A02" w:rsidRPr="00923197">
        <w:rPr>
          <w:rFonts w:asciiTheme="minorHAnsi" w:hAnsiTheme="minorHAnsi" w:cstheme="minorHAnsi"/>
          <w:color w:val="000000" w:themeColor="text1"/>
        </w:rPr>
        <w:t xml:space="preserve">ere is a clash of </w:t>
      </w:r>
      <w:r w:rsidRPr="00923197">
        <w:rPr>
          <w:rFonts w:asciiTheme="minorHAnsi" w:hAnsiTheme="minorHAnsi" w:cstheme="minorHAnsi"/>
          <w:color w:val="000000" w:themeColor="text1"/>
        </w:rPr>
        <w:t xml:space="preserve">opinions </w:t>
      </w:r>
      <w:r w:rsidR="004A7A02" w:rsidRPr="00923197">
        <w:rPr>
          <w:rFonts w:asciiTheme="minorHAnsi" w:hAnsiTheme="minorHAnsi" w:cstheme="minorHAnsi"/>
          <w:color w:val="000000" w:themeColor="text1"/>
        </w:rPr>
        <w:t xml:space="preserve">between the expert and the lay person </w:t>
      </w:r>
      <w:r w:rsidRPr="00923197">
        <w:rPr>
          <w:rFonts w:asciiTheme="minorHAnsi" w:hAnsiTheme="minorHAnsi" w:cstheme="minorHAnsi"/>
          <w:color w:val="000000" w:themeColor="text1"/>
        </w:rPr>
        <w:t>(</w:t>
      </w:r>
      <w:r w:rsidR="00F96A4E" w:rsidRPr="00923197">
        <w:rPr>
          <w:rFonts w:asciiTheme="minorHAnsi" w:hAnsiTheme="minorHAnsi" w:cstheme="minorHAnsi"/>
          <w:color w:val="000000" w:themeColor="text1"/>
        </w:rPr>
        <w:t>e.g., Nichols 2017</w:t>
      </w:r>
      <w:r w:rsidRPr="00923197">
        <w:rPr>
          <w:rFonts w:asciiTheme="minorHAnsi" w:hAnsiTheme="minorHAnsi" w:cstheme="minorHAnsi"/>
          <w:color w:val="000000" w:themeColor="text1"/>
        </w:rPr>
        <w:t xml:space="preserve">). At a collective level, the opportunity to establish immediate connections with people who share one’s own worldview—typically online, via social media—makes novices prone to group polarization, that is, the tendency to take one’s beliefs to extremes when </w:t>
      </w:r>
      <w:r w:rsidR="00761F9A" w:rsidRPr="00923197">
        <w:rPr>
          <w:rFonts w:asciiTheme="minorHAnsi" w:hAnsiTheme="minorHAnsi" w:cstheme="minorHAnsi"/>
          <w:color w:val="000000" w:themeColor="text1"/>
        </w:rPr>
        <w:t>participating</w:t>
      </w:r>
      <w:r w:rsidRPr="00923197">
        <w:rPr>
          <w:rFonts w:asciiTheme="minorHAnsi" w:hAnsiTheme="minorHAnsi" w:cstheme="minorHAnsi"/>
          <w:color w:val="000000" w:themeColor="text1"/>
        </w:rPr>
        <w:t xml:space="preserve"> in a group of individuals who share one’s view</w:t>
      </w:r>
      <w:r w:rsidR="00761F9A" w:rsidRPr="00923197">
        <w:rPr>
          <w:rFonts w:asciiTheme="minorHAnsi" w:hAnsiTheme="minorHAnsi" w:cstheme="minorHAnsi"/>
          <w:color w:val="000000" w:themeColor="text1"/>
        </w:rPr>
        <w:t>s</w:t>
      </w:r>
      <w:r w:rsidRPr="00923197">
        <w:rPr>
          <w:rFonts w:asciiTheme="minorHAnsi" w:hAnsiTheme="minorHAnsi" w:cstheme="minorHAnsi"/>
          <w:color w:val="000000" w:themeColor="text1"/>
        </w:rPr>
        <w:t xml:space="preserve"> (Sunstein 2017). </w:t>
      </w:r>
      <w:r w:rsidR="00D240EE" w:rsidRPr="00923197">
        <w:rPr>
          <w:rFonts w:asciiTheme="minorHAnsi" w:hAnsiTheme="minorHAnsi" w:cstheme="minorHAnsi"/>
          <w:color w:val="000000" w:themeColor="text1"/>
        </w:rPr>
        <w:t>Combining</w:t>
      </w:r>
      <w:r w:rsidRPr="00923197">
        <w:rPr>
          <w:rFonts w:asciiTheme="minorHAnsi" w:hAnsiTheme="minorHAnsi" w:cstheme="minorHAnsi"/>
          <w:color w:val="000000" w:themeColor="text1"/>
        </w:rPr>
        <w:t xml:space="preserve"> these factors, we can easily make sense of Kahan and colleagues’ </w:t>
      </w:r>
      <w:r w:rsidRPr="00923197">
        <w:rPr>
          <w:rFonts w:asciiTheme="minorHAnsi" w:hAnsiTheme="minorHAnsi" w:cstheme="minorHAnsi"/>
          <w:i/>
          <w:iCs/>
          <w:color w:val="000000" w:themeColor="text1"/>
        </w:rPr>
        <w:t>cultural cognition thesis</w:t>
      </w:r>
      <w:r w:rsidRPr="00923197">
        <w:rPr>
          <w:rFonts w:asciiTheme="minorHAnsi" w:hAnsiTheme="minorHAnsi" w:cstheme="minorHAnsi"/>
          <w:color w:val="000000" w:themeColor="text1"/>
        </w:rPr>
        <w:t>, namely</w:t>
      </w:r>
      <w:r w:rsidR="000D050E" w:rsidRPr="00923197">
        <w:rPr>
          <w:rFonts w:asciiTheme="minorHAnsi" w:hAnsiTheme="minorHAnsi" w:cstheme="minorHAnsi"/>
          <w:color w:val="000000" w:themeColor="text1"/>
        </w:rPr>
        <w:t>,</w:t>
      </w:r>
      <w:r w:rsidRPr="00923197">
        <w:rPr>
          <w:rFonts w:asciiTheme="minorHAnsi" w:hAnsiTheme="minorHAnsi" w:cstheme="minorHAnsi"/>
          <w:color w:val="000000" w:themeColor="text1"/>
        </w:rPr>
        <w:t xml:space="preserve"> that people tend to form beliefs about </w:t>
      </w:r>
      <w:r w:rsidRPr="00923197">
        <w:rPr>
          <w:rFonts w:asciiTheme="minorHAnsi" w:hAnsiTheme="minorHAnsi" w:cstheme="minorHAnsi"/>
          <w:color w:val="000000" w:themeColor="text1"/>
        </w:rPr>
        <w:lastRenderedPageBreak/>
        <w:t xml:space="preserve">societal risks and factual information that sustain their personal values, and </w:t>
      </w:r>
      <w:r w:rsidRPr="00923197">
        <w:rPr>
          <w:rFonts w:asciiTheme="minorHAnsi" w:hAnsiTheme="minorHAnsi" w:cstheme="minorHAnsi"/>
          <w:i/>
          <w:iCs/>
          <w:color w:val="000000" w:themeColor="text1"/>
        </w:rPr>
        <w:t>political motivated reasoning</w:t>
      </w:r>
      <w:r w:rsidRPr="00923197">
        <w:rPr>
          <w:rFonts w:asciiTheme="minorHAnsi" w:hAnsiTheme="minorHAnsi" w:cstheme="minorHAnsi"/>
          <w:color w:val="000000" w:themeColor="text1"/>
        </w:rPr>
        <w:t>, that is, the idea that people trust those experts who appear to share their values and distrust those who seem to hold diverging views (2010). The icing on the cake is offered by</w:t>
      </w:r>
      <w:r w:rsidR="000D050E" w:rsidRPr="00923197">
        <w:rPr>
          <w:rFonts w:asciiTheme="minorHAnsi" w:hAnsiTheme="minorHAnsi" w:cstheme="minorHAnsi"/>
          <w:color w:val="000000" w:themeColor="text1"/>
        </w:rPr>
        <w:t xml:space="preserve"> the</w:t>
      </w:r>
      <w:r w:rsidRPr="00923197">
        <w:rPr>
          <w:rFonts w:asciiTheme="minorHAnsi" w:hAnsiTheme="minorHAnsi" w:cstheme="minorHAnsi"/>
          <w:color w:val="000000" w:themeColor="text1"/>
        </w:rPr>
        <w:t xml:space="preserve"> </w:t>
      </w:r>
      <w:r w:rsidRPr="00923197">
        <w:rPr>
          <w:rFonts w:asciiTheme="minorHAnsi" w:hAnsiTheme="minorHAnsi" w:cstheme="minorHAnsi"/>
          <w:i/>
          <w:iCs/>
          <w:color w:val="000000" w:themeColor="text1"/>
        </w:rPr>
        <w:t>Dunning-Kruger</w:t>
      </w:r>
      <w:r w:rsidRPr="00923197">
        <w:rPr>
          <w:rFonts w:asciiTheme="minorHAnsi" w:hAnsiTheme="minorHAnsi" w:cstheme="minorHAnsi"/>
          <w:color w:val="000000" w:themeColor="text1"/>
        </w:rPr>
        <w:t xml:space="preserve"> </w:t>
      </w:r>
      <w:r w:rsidRPr="00923197">
        <w:rPr>
          <w:rFonts w:asciiTheme="minorHAnsi" w:hAnsiTheme="minorHAnsi" w:cstheme="minorHAnsi"/>
          <w:i/>
          <w:iCs/>
          <w:color w:val="000000" w:themeColor="text1"/>
        </w:rPr>
        <w:t>effect</w:t>
      </w:r>
      <w:r w:rsidRPr="00923197">
        <w:rPr>
          <w:rFonts w:asciiTheme="minorHAnsi" w:hAnsiTheme="minorHAnsi" w:cstheme="minorHAnsi"/>
          <w:color w:val="000000" w:themeColor="text1"/>
        </w:rPr>
        <w:t xml:space="preserve"> (Kruger and Dunning 1999), that is</w:t>
      </w:r>
      <w:r w:rsidR="000D050E" w:rsidRPr="00923197">
        <w:rPr>
          <w:rFonts w:asciiTheme="minorHAnsi" w:hAnsiTheme="minorHAnsi" w:cstheme="minorHAnsi"/>
          <w:color w:val="000000" w:themeColor="text1"/>
        </w:rPr>
        <w:t>,</w:t>
      </w:r>
      <w:r w:rsidRPr="00923197">
        <w:rPr>
          <w:rFonts w:asciiTheme="minorHAnsi" w:hAnsiTheme="minorHAnsi" w:cstheme="minorHAnsi"/>
          <w:color w:val="000000" w:themeColor="text1"/>
        </w:rPr>
        <w:t xml:space="preserve"> the tendency of novices to overestimate their ability in a given domain</w:t>
      </w:r>
      <w:r w:rsidR="00D240EE" w:rsidRPr="00923197">
        <w:rPr>
          <w:rFonts w:asciiTheme="minorHAnsi" w:hAnsiTheme="minorHAnsi" w:cstheme="minorHAnsi"/>
          <w:color w:val="000000" w:themeColor="text1"/>
        </w:rPr>
        <w:t>;</w:t>
      </w:r>
      <w:r w:rsidRPr="00923197">
        <w:rPr>
          <w:rFonts w:asciiTheme="minorHAnsi" w:hAnsiTheme="minorHAnsi" w:cstheme="minorHAnsi"/>
          <w:color w:val="000000" w:themeColor="text1"/>
        </w:rPr>
        <w:t xml:space="preserve"> as Ballantyne (2019) and Brennan (2020) point out, this psychological phenomenon is particularly relevant </w:t>
      </w:r>
      <w:r w:rsidR="000D050E" w:rsidRPr="00923197">
        <w:rPr>
          <w:rFonts w:asciiTheme="minorHAnsi" w:hAnsiTheme="minorHAnsi" w:cstheme="minorHAnsi"/>
          <w:color w:val="000000" w:themeColor="text1"/>
        </w:rPr>
        <w:t xml:space="preserve">in </w:t>
      </w:r>
      <w:r w:rsidR="006C158B" w:rsidRPr="00923197">
        <w:rPr>
          <w:rFonts w:asciiTheme="minorHAnsi" w:hAnsiTheme="minorHAnsi" w:cstheme="minorHAnsi"/>
          <w:color w:val="000000" w:themeColor="text1"/>
        </w:rPr>
        <w:t xml:space="preserve">cases where </w:t>
      </w:r>
      <w:r w:rsidRPr="00923197">
        <w:rPr>
          <w:rFonts w:asciiTheme="minorHAnsi" w:hAnsiTheme="minorHAnsi" w:cstheme="minorHAnsi"/>
          <w:color w:val="000000" w:themeColor="text1"/>
        </w:rPr>
        <w:t>laypeople</w:t>
      </w:r>
      <w:r w:rsidR="006C158B" w:rsidRPr="00923197">
        <w:rPr>
          <w:rFonts w:asciiTheme="minorHAnsi" w:hAnsiTheme="minorHAnsi" w:cstheme="minorHAnsi"/>
          <w:color w:val="000000" w:themeColor="text1"/>
        </w:rPr>
        <w:t xml:space="preserve"> seem</w:t>
      </w:r>
      <w:r w:rsidRPr="00923197">
        <w:rPr>
          <w:rFonts w:asciiTheme="minorHAnsi" w:hAnsiTheme="minorHAnsi" w:cstheme="minorHAnsi"/>
          <w:color w:val="000000" w:themeColor="text1"/>
        </w:rPr>
        <w:t xml:space="preserve"> </w:t>
      </w:r>
      <w:r w:rsidR="006C158B" w:rsidRPr="00923197">
        <w:rPr>
          <w:rFonts w:asciiTheme="minorHAnsi" w:hAnsiTheme="minorHAnsi" w:cstheme="minorHAnsi"/>
          <w:color w:val="000000" w:themeColor="text1"/>
        </w:rPr>
        <w:t xml:space="preserve">unable </w:t>
      </w:r>
      <w:r w:rsidRPr="00923197">
        <w:rPr>
          <w:rFonts w:asciiTheme="minorHAnsi" w:hAnsiTheme="minorHAnsi" w:cstheme="minorHAnsi"/>
          <w:color w:val="000000" w:themeColor="text1"/>
        </w:rPr>
        <w:t>to acknowledge who is epistemically superior in a given domain.</w:t>
      </w:r>
    </w:p>
    <w:p w14:paraId="7851FF8D" w14:textId="5F2134A7" w:rsidR="0031016E" w:rsidRPr="00923197" w:rsidRDefault="0018448E"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S</w:t>
      </w:r>
      <w:r w:rsidR="00545110" w:rsidRPr="00923197">
        <w:rPr>
          <w:rFonts w:asciiTheme="minorHAnsi" w:hAnsiTheme="minorHAnsi" w:cstheme="minorHAnsi"/>
          <w:color w:val="000000" w:themeColor="text1"/>
        </w:rPr>
        <w:t>ocio-epistemic structures such as epistemic bubbles and echo chambers, which reinforce ideological exclusion in different ways (Nguyen 2018)</w:t>
      </w:r>
      <w:r w:rsidR="00D240EE" w:rsidRPr="00923197">
        <w:rPr>
          <w:rFonts w:asciiTheme="minorHAnsi" w:hAnsiTheme="minorHAnsi" w:cstheme="minorHAnsi"/>
          <w:color w:val="000000" w:themeColor="text1"/>
        </w:rPr>
        <w:t>,</w:t>
      </w:r>
      <w:r w:rsidR="00FF4BDA" w:rsidRPr="00923197">
        <w:rPr>
          <w:rFonts w:asciiTheme="minorHAnsi" w:hAnsiTheme="minorHAnsi" w:cstheme="minorHAnsi"/>
          <w:color w:val="000000" w:themeColor="text1"/>
        </w:rPr>
        <w:t xml:space="preserve"> </w:t>
      </w:r>
      <w:r w:rsidRPr="00923197">
        <w:rPr>
          <w:rFonts w:asciiTheme="minorHAnsi" w:hAnsiTheme="minorHAnsi" w:cstheme="minorHAnsi"/>
          <w:color w:val="000000" w:themeColor="text1"/>
        </w:rPr>
        <w:t xml:space="preserve">strengthen </w:t>
      </w:r>
      <w:r w:rsidR="00D240EE" w:rsidRPr="00923197">
        <w:rPr>
          <w:rFonts w:asciiTheme="minorHAnsi" w:hAnsiTheme="minorHAnsi" w:cstheme="minorHAnsi"/>
          <w:color w:val="000000" w:themeColor="text1"/>
        </w:rPr>
        <w:t>psychological support</w:t>
      </w:r>
      <w:r w:rsidRPr="00923197">
        <w:rPr>
          <w:rFonts w:asciiTheme="minorHAnsi" w:hAnsiTheme="minorHAnsi" w:cstheme="minorHAnsi"/>
          <w:color w:val="000000" w:themeColor="text1"/>
        </w:rPr>
        <w:t xml:space="preserve"> for mistrust </w:t>
      </w:r>
      <w:r w:rsidR="00FF4BDA" w:rsidRPr="00923197">
        <w:rPr>
          <w:rFonts w:asciiTheme="minorHAnsi" w:hAnsiTheme="minorHAnsi" w:cstheme="minorHAnsi"/>
          <w:color w:val="000000" w:themeColor="text1"/>
        </w:rPr>
        <w:t>(</w:t>
      </w:r>
      <w:r w:rsidRPr="00923197">
        <w:rPr>
          <w:rFonts w:asciiTheme="minorHAnsi" w:hAnsiTheme="minorHAnsi" w:cstheme="minorHAnsi"/>
          <w:color w:val="000000" w:themeColor="text1"/>
        </w:rPr>
        <w:t>s</w:t>
      </w:r>
      <w:r w:rsidR="00FF4BDA" w:rsidRPr="00923197">
        <w:rPr>
          <w:rFonts w:asciiTheme="minorHAnsi" w:hAnsiTheme="minorHAnsi" w:cstheme="minorHAnsi"/>
          <w:color w:val="000000" w:themeColor="text1"/>
        </w:rPr>
        <w:t xml:space="preserve">ee </w:t>
      </w:r>
      <w:r w:rsidR="00FF4BDA" w:rsidRPr="00923197">
        <w:rPr>
          <w:rFonts w:asciiTheme="minorHAnsi" w:hAnsiTheme="minorHAnsi" w:cstheme="minorHAnsi"/>
          <w:color w:val="000000" w:themeColor="text1"/>
          <w:highlight w:val="yellow"/>
        </w:rPr>
        <w:t xml:space="preserve">also chapters xx, xxx, xxx </w:t>
      </w:r>
      <w:r w:rsidR="000F2B59" w:rsidRPr="00923197">
        <w:rPr>
          <w:rFonts w:asciiTheme="minorHAnsi" w:hAnsiTheme="minorHAnsi" w:cstheme="minorHAnsi"/>
          <w:color w:val="000000" w:themeColor="text1"/>
        </w:rPr>
        <w:t>in this volume</w:t>
      </w:r>
      <w:r w:rsidR="00FF4BDA" w:rsidRPr="00923197">
        <w:rPr>
          <w:rFonts w:asciiTheme="minorHAnsi" w:hAnsiTheme="minorHAnsi" w:cstheme="minorHAnsi"/>
          <w:color w:val="000000" w:themeColor="text1"/>
        </w:rPr>
        <w:t>)</w:t>
      </w:r>
      <w:r w:rsidR="00545110" w:rsidRPr="00923197">
        <w:rPr>
          <w:rFonts w:asciiTheme="minorHAnsi" w:hAnsiTheme="minorHAnsi" w:cstheme="minorHAnsi"/>
          <w:color w:val="000000" w:themeColor="text1"/>
        </w:rPr>
        <w:t>. The</w:t>
      </w:r>
      <w:r w:rsidRPr="00923197">
        <w:rPr>
          <w:rFonts w:asciiTheme="minorHAnsi" w:hAnsiTheme="minorHAnsi" w:cstheme="minorHAnsi"/>
          <w:color w:val="000000" w:themeColor="text1"/>
        </w:rPr>
        <w:t>ir combination</w:t>
      </w:r>
      <w:r w:rsidR="00545110" w:rsidRPr="00923197">
        <w:rPr>
          <w:rFonts w:asciiTheme="minorHAnsi" w:hAnsiTheme="minorHAnsi" w:cstheme="minorHAnsi"/>
          <w:color w:val="000000" w:themeColor="text1"/>
        </w:rPr>
        <w:t xml:space="preserve"> leads us to increase in </w:t>
      </w:r>
      <w:r w:rsidRPr="00923197">
        <w:rPr>
          <w:rFonts w:asciiTheme="minorHAnsi" w:hAnsiTheme="minorHAnsi" w:cstheme="minorHAnsi"/>
          <w:color w:val="000000" w:themeColor="text1"/>
        </w:rPr>
        <w:t xml:space="preserve">in-group trust </w:t>
      </w:r>
      <w:r w:rsidR="000D050E" w:rsidRPr="00923197">
        <w:rPr>
          <w:rFonts w:asciiTheme="minorHAnsi" w:hAnsiTheme="minorHAnsi" w:cstheme="minorHAnsi"/>
          <w:color w:val="000000" w:themeColor="text1"/>
        </w:rPr>
        <w:t xml:space="preserve">and </w:t>
      </w:r>
      <w:r w:rsidRPr="00923197">
        <w:rPr>
          <w:rFonts w:asciiTheme="minorHAnsi" w:hAnsiTheme="minorHAnsi" w:cstheme="minorHAnsi"/>
          <w:color w:val="000000" w:themeColor="text1"/>
        </w:rPr>
        <w:t xml:space="preserve">higher levels of </w:t>
      </w:r>
      <w:r w:rsidR="00545110" w:rsidRPr="00923197">
        <w:rPr>
          <w:rFonts w:asciiTheme="minorHAnsi" w:hAnsiTheme="minorHAnsi" w:cstheme="minorHAnsi"/>
          <w:color w:val="000000" w:themeColor="text1"/>
        </w:rPr>
        <w:t xml:space="preserve">distrust </w:t>
      </w:r>
      <w:r w:rsidRPr="00923197">
        <w:rPr>
          <w:rFonts w:asciiTheme="minorHAnsi" w:hAnsiTheme="minorHAnsi" w:cstheme="minorHAnsi"/>
          <w:color w:val="000000" w:themeColor="text1"/>
        </w:rPr>
        <w:t xml:space="preserve">of </w:t>
      </w:r>
      <w:r w:rsidR="00545110" w:rsidRPr="00923197">
        <w:rPr>
          <w:rFonts w:asciiTheme="minorHAnsi" w:hAnsiTheme="minorHAnsi" w:cstheme="minorHAnsi"/>
          <w:color w:val="000000" w:themeColor="text1"/>
        </w:rPr>
        <w:t xml:space="preserve">outsiders </w:t>
      </w:r>
      <w:r w:rsidRPr="00923197">
        <w:rPr>
          <w:rFonts w:asciiTheme="minorHAnsi" w:hAnsiTheme="minorHAnsi" w:cstheme="minorHAnsi"/>
          <w:color w:val="000000" w:themeColor="text1"/>
        </w:rPr>
        <w:t>regardless of their expertise.</w:t>
      </w:r>
    </w:p>
    <w:p w14:paraId="515342FB" w14:textId="7ADD0A5D" w:rsidR="00246EA0" w:rsidRPr="00923197" w:rsidRDefault="00545110"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A</w:t>
      </w:r>
      <w:r w:rsidR="00FF4BDA" w:rsidRPr="00923197">
        <w:rPr>
          <w:rFonts w:asciiTheme="minorHAnsi" w:hAnsiTheme="minorHAnsi" w:cstheme="minorHAnsi"/>
          <w:color w:val="000000" w:themeColor="text1"/>
        </w:rPr>
        <w:t xml:space="preserve"> further</w:t>
      </w:r>
      <w:r w:rsidRPr="00923197">
        <w:rPr>
          <w:rFonts w:asciiTheme="minorHAnsi" w:hAnsiTheme="minorHAnsi" w:cstheme="minorHAnsi"/>
          <w:color w:val="000000" w:themeColor="text1"/>
        </w:rPr>
        <w:t xml:space="preserve">, but no less threatening aspect, has to do with the suspicion, if not outright disdain, shown towards experts and their advice by populist politicians. The negative attitude of populist leaders towards experts is </w:t>
      </w:r>
      <w:r w:rsidR="001E0CCB" w:rsidRPr="00923197">
        <w:rPr>
          <w:rFonts w:asciiTheme="minorHAnsi" w:hAnsiTheme="minorHAnsi" w:cstheme="minorHAnsi"/>
          <w:color w:val="000000" w:themeColor="text1"/>
        </w:rPr>
        <w:t>un</w:t>
      </w:r>
      <w:r w:rsidRPr="00923197">
        <w:rPr>
          <w:rFonts w:asciiTheme="minorHAnsi" w:hAnsiTheme="minorHAnsi" w:cstheme="minorHAnsi"/>
          <w:color w:val="000000" w:themeColor="text1"/>
        </w:rPr>
        <w:t>surprising. Populists wish to govern directly, establishing an unmediated</w:t>
      </w:r>
      <w:r w:rsidR="00D240EE" w:rsidRPr="00923197">
        <w:rPr>
          <w:rFonts w:asciiTheme="minorHAnsi" w:hAnsiTheme="minorHAnsi" w:cstheme="minorHAnsi"/>
          <w:color w:val="000000" w:themeColor="text1"/>
        </w:rPr>
        <w:t>,</w:t>
      </w:r>
      <w:r w:rsidRPr="00923197">
        <w:rPr>
          <w:rFonts w:asciiTheme="minorHAnsi" w:hAnsiTheme="minorHAnsi" w:cstheme="minorHAnsi"/>
          <w:color w:val="000000" w:themeColor="text1"/>
        </w:rPr>
        <w:t xml:space="preserve"> emotionally replete bond with the “real people”. Experts</w:t>
      </w:r>
      <w:r w:rsidR="001D0E20" w:rsidRPr="00923197">
        <w:rPr>
          <w:rFonts w:asciiTheme="minorHAnsi" w:hAnsiTheme="minorHAnsi" w:cstheme="minorHAnsi"/>
          <w:color w:val="000000" w:themeColor="text1"/>
        </w:rPr>
        <w:t>,</w:t>
      </w:r>
      <w:r w:rsidRPr="00923197">
        <w:rPr>
          <w:rFonts w:asciiTheme="minorHAnsi" w:hAnsiTheme="minorHAnsi" w:cstheme="minorHAnsi"/>
          <w:color w:val="000000" w:themeColor="text1"/>
        </w:rPr>
        <w:t xml:space="preserve"> with their evidence-based policy recommendations, aspirations of cool-headed objectivity, </w:t>
      </w:r>
      <w:r w:rsidR="00FF4BDA" w:rsidRPr="00923197">
        <w:rPr>
          <w:rFonts w:asciiTheme="minorHAnsi" w:hAnsiTheme="minorHAnsi" w:cstheme="minorHAnsi"/>
          <w:color w:val="000000" w:themeColor="text1"/>
        </w:rPr>
        <w:t xml:space="preserve">high educational achievements, </w:t>
      </w:r>
      <w:r w:rsidRPr="00923197">
        <w:rPr>
          <w:rFonts w:asciiTheme="minorHAnsi" w:hAnsiTheme="minorHAnsi" w:cstheme="minorHAnsi"/>
          <w:color w:val="000000" w:themeColor="text1"/>
        </w:rPr>
        <w:t>and unabashed desire to be among the elite in their field</w:t>
      </w:r>
      <w:r w:rsidR="001E0CCB" w:rsidRPr="00923197">
        <w:rPr>
          <w:rFonts w:asciiTheme="minorHAnsi" w:hAnsiTheme="minorHAnsi" w:cstheme="minorHAnsi"/>
          <w:color w:val="000000" w:themeColor="text1"/>
        </w:rPr>
        <w:t xml:space="preserve">, </w:t>
      </w:r>
      <w:r w:rsidRPr="00923197">
        <w:rPr>
          <w:rFonts w:asciiTheme="minorHAnsi" w:hAnsiTheme="minorHAnsi" w:cstheme="minorHAnsi"/>
          <w:color w:val="000000" w:themeColor="text1"/>
        </w:rPr>
        <w:t>stand in stark contrast to the populist vision of politics</w:t>
      </w:r>
      <w:r w:rsidR="001E0CCB" w:rsidRPr="00923197">
        <w:rPr>
          <w:rFonts w:asciiTheme="minorHAnsi" w:hAnsiTheme="minorHAnsi" w:cstheme="minorHAnsi"/>
          <w:color w:val="000000" w:themeColor="text1"/>
        </w:rPr>
        <w:t xml:space="preserve"> and become ready targets of their ire. </w:t>
      </w:r>
    </w:p>
    <w:p w14:paraId="023D8748" w14:textId="4ACAB109" w:rsidR="005C3B40" w:rsidRPr="00923197" w:rsidRDefault="00246EA0" w:rsidP="0077069D">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 xml:space="preserve">Finally, there is </w:t>
      </w:r>
      <w:r w:rsidR="00CC127F" w:rsidRPr="00923197">
        <w:rPr>
          <w:rFonts w:asciiTheme="minorHAnsi" w:hAnsiTheme="minorHAnsi" w:cstheme="minorHAnsi"/>
          <w:color w:val="000000" w:themeColor="text1"/>
        </w:rPr>
        <w:t>the</w:t>
      </w:r>
      <w:r w:rsidR="00847758" w:rsidRPr="00923197">
        <w:rPr>
          <w:rFonts w:asciiTheme="minorHAnsi" w:hAnsiTheme="minorHAnsi" w:cstheme="minorHAnsi"/>
          <w:color w:val="000000" w:themeColor="text1"/>
        </w:rPr>
        <w:t xml:space="preserve"> </w:t>
      </w:r>
      <w:r w:rsidRPr="00923197">
        <w:rPr>
          <w:rFonts w:asciiTheme="minorHAnsi" w:hAnsiTheme="minorHAnsi" w:cstheme="minorHAnsi"/>
          <w:color w:val="000000" w:themeColor="text1"/>
        </w:rPr>
        <w:t xml:space="preserve">broader </w:t>
      </w:r>
      <w:r w:rsidR="000933CD" w:rsidRPr="00923197">
        <w:rPr>
          <w:rFonts w:asciiTheme="minorHAnsi" w:hAnsiTheme="minorHAnsi" w:cstheme="minorHAnsi"/>
          <w:color w:val="000000" w:themeColor="text1"/>
        </w:rPr>
        <w:t>worry concerning</w:t>
      </w:r>
      <w:r w:rsidRPr="00923197">
        <w:rPr>
          <w:rFonts w:asciiTheme="minorHAnsi" w:hAnsiTheme="minorHAnsi" w:cstheme="minorHAnsi"/>
          <w:color w:val="000000" w:themeColor="text1"/>
        </w:rPr>
        <w:t xml:space="preserve"> </w:t>
      </w:r>
      <w:r w:rsidR="00CC127F" w:rsidRPr="00923197">
        <w:rPr>
          <w:rFonts w:asciiTheme="minorHAnsi" w:hAnsiTheme="minorHAnsi" w:cstheme="minorHAnsi"/>
          <w:color w:val="000000" w:themeColor="text1"/>
        </w:rPr>
        <w:t xml:space="preserve">the </w:t>
      </w:r>
      <w:r w:rsidR="000933CD" w:rsidRPr="00923197">
        <w:rPr>
          <w:rFonts w:asciiTheme="minorHAnsi" w:hAnsiTheme="minorHAnsi" w:cstheme="minorHAnsi"/>
          <w:color w:val="000000" w:themeColor="text1"/>
        </w:rPr>
        <w:t>role</w:t>
      </w:r>
      <w:r w:rsidR="00CC127F" w:rsidRPr="00923197">
        <w:rPr>
          <w:rFonts w:asciiTheme="minorHAnsi" w:hAnsiTheme="minorHAnsi" w:cstheme="minorHAnsi"/>
          <w:color w:val="000000" w:themeColor="text1"/>
        </w:rPr>
        <w:t xml:space="preserve"> of </w:t>
      </w:r>
      <w:r w:rsidRPr="00923197">
        <w:rPr>
          <w:rFonts w:asciiTheme="minorHAnsi" w:hAnsiTheme="minorHAnsi" w:cstheme="minorHAnsi"/>
          <w:color w:val="000000" w:themeColor="text1"/>
        </w:rPr>
        <w:t xml:space="preserve">experts in </w:t>
      </w:r>
      <w:r w:rsidR="006C158B" w:rsidRPr="00923197">
        <w:rPr>
          <w:rFonts w:asciiTheme="minorHAnsi" w:hAnsiTheme="minorHAnsi" w:cstheme="minorHAnsi"/>
          <w:color w:val="000000" w:themeColor="text1"/>
        </w:rPr>
        <w:t>democratic</w:t>
      </w:r>
      <w:r w:rsidRPr="00923197">
        <w:rPr>
          <w:rFonts w:asciiTheme="minorHAnsi" w:hAnsiTheme="minorHAnsi" w:cstheme="minorHAnsi"/>
          <w:color w:val="000000" w:themeColor="text1"/>
        </w:rPr>
        <w:t xml:space="preserve"> governance</w:t>
      </w:r>
      <w:r w:rsidR="001E0CCB" w:rsidRPr="00923197">
        <w:rPr>
          <w:rFonts w:asciiTheme="minorHAnsi" w:hAnsiTheme="minorHAnsi" w:cstheme="minorHAnsi"/>
          <w:color w:val="000000" w:themeColor="text1"/>
        </w:rPr>
        <w:t xml:space="preserve"> and the</w:t>
      </w:r>
      <w:r w:rsidR="001D0E20" w:rsidRPr="00923197">
        <w:rPr>
          <w:rFonts w:asciiTheme="minorHAnsi" w:hAnsiTheme="minorHAnsi" w:cstheme="minorHAnsi"/>
          <w:color w:val="000000" w:themeColor="text1"/>
        </w:rPr>
        <w:t xml:space="preserve"> extent </w:t>
      </w:r>
      <w:r w:rsidR="001E0CCB" w:rsidRPr="00923197">
        <w:rPr>
          <w:rFonts w:asciiTheme="minorHAnsi" w:hAnsiTheme="minorHAnsi" w:cstheme="minorHAnsi"/>
          <w:color w:val="000000" w:themeColor="text1"/>
        </w:rPr>
        <w:t>of their influence</w:t>
      </w:r>
      <w:r w:rsidR="009A1553" w:rsidRPr="00923197">
        <w:rPr>
          <w:rFonts w:asciiTheme="minorHAnsi" w:hAnsiTheme="minorHAnsi" w:cstheme="minorHAnsi"/>
          <w:color w:val="000000" w:themeColor="text1"/>
        </w:rPr>
        <w:t xml:space="preserve"> (</w:t>
      </w:r>
      <w:proofErr w:type="spellStart"/>
      <w:r w:rsidR="00255C07" w:rsidRPr="00923197">
        <w:rPr>
          <w:rFonts w:asciiTheme="minorHAnsi" w:hAnsiTheme="minorHAnsi" w:cstheme="minorHAnsi"/>
          <w:color w:val="000000" w:themeColor="text1"/>
        </w:rPr>
        <w:t>Landemore</w:t>
      </w:r>
      <w:proofErr w:type="spellEnd"/>
      <w:r w:rsidR="009A1553" w:rsidRPr="00923197">
        <w:rPr>
          <w:rFonts w:asciiTheme="minorHAnsi" w:hAnsiTheme="minorHAnsi" w:cstheme="minorHAnsi"/>
          <w:color w:val="000000" w:themeColor="text1"/>
        </w:rPr>
        <w:t xml:space="preserve"> 2017; Moore</w:t>
      </w:r>
      <w:r w:rsidR="00255C07" w:rsidRPr="00923197">
        <w:rPr>
          <w:rFonts w:asciiTheme="minorHAnsi" w:hAnsiTheme="minorHAnsi" w:cstheme="minorHAnsi"/>
          <w:color w:val="000000" w:themeColor="text1"/>
        </w:rPr>
        <w:t xml:space="preserve"> 2017</w:t>
      </w:r>
      <w:r w:rsidR="009A1553" w:rsidRPr="00923197">
        <w:rPr>
          <w:rFonts w:asciiTheme="minorHAnsi" w:hAnsiTheme="minorHAnsi" w:cstheme="minorHAnsi"/>
          <w:color w:val="000000" w:themeColor="text1"/>
        </w:rPr>
        <w:t>)</w:t>
      </w:r>
      <w:r w:rsidRPr="00923197">
        <w:rPr>
          <w:rFonts w:asciiTheme="minorHAnsi" w:hAnsiTheme="minorHAnsi" w:cstheme="minorHAnsi"/>
          <w:color w:val="000000" w:themeColor="text1"/>
        </w:rPr>
        <w:t xml:space="preserve">. Briefly put, the question is not whether we should trust </w:t>
      </w:r>
      <w:r w:rsidR="006C158B" w:rsidRPr="00923197">
        <w:rPr>
          <w:rFonts w:asciiTheme="minorHAnsi" w:hAnsiTheme="minorHAnsi" w:cstheme="minorHAnsi"/>
          <w:color w:val="000000" w:themeColor="text1"/>
        </w:rPr>
        <w:t xml:space="preserve">expert </w:t>
      </w:r>
      <w:r w:rsidRPr="00923197">
        <w:rPr>
          <w:rFonts w:asciiTheme="minorHAnsi" w:hAnsiTheme="minorHAnsi" w:cstheme="minorHAnsi"/>
          <w:color w:val="000000" w:themeColor="text1"/>
        </w:rPr>
        <w:t xml:space="preserve">advice </w:t>
      </w:r>
      <w:r w:rsidR="006C158B" w:rsidRPr="00923197">
        <w:rPr>
          <w:rFonts w:asciiTheme="minorHAnsi" w:hAnsiTheme="minorHAnsi" w:cstheme="minorHAnsi"/>
          <w:color w:val="000000" w:themeColor="text1"/>
        </w:rPr>
        <w:t>in particular domain</w:t>
      </w:r>
      <w:r w:rsidR="00D240EE" w:rsidRPr="00923197">
        <w:rPr>
          <w:rFonts w:asciiTheme="minorHAnsi" w:hAnsiTheme="minorHAnsi" w:cstheme="minorHAnsi"/>
          <w:color w:val="000000" w:themeColor="text1"/>
        </w:rPr>
        <w:t>s</w:t>
      </w:r>
      <w:r w:rsidR="006C158B" w:rsidRPr="00923197">
        <w:rPr>
          <w:rFonts w:asciiTheme="minorHAnsi" w:hAnsiTheme="minorHAnsi" w:cstheme="minorHAnsi"/>
          <w:color w:val="000000" w:themeColor="text1"/>
        </w:rPr>
        <w:t xml:space="preserve">, </w:t>
      </w:r>
      <w:r w:rsidRPr="00923197">
        <w:rPr>
          <w:rFonts w:asciiTheme="minorHAnsi" w:hAnsiTheme="minorHAnsi" w:cstheme="minorHAnsi"/>
          <w:color w:val="000000" w:themeColor="text1"/>
        </w:rPr>
        <w:t xml:space="preserve">but </w:t>
      </w:r>
      <w:r w:rsidRPr="00923197">
        <w:rPr>
          <w:rFonts w:asciiTheme="minorHAnsi" w:hAnsiTheme="minorHAnsi" w:cstheme="minorHAnsi"/>
          <w:color w:val="000000" w:themeColor="text1"/>
        </w:rPr>
        <w:lastRenderedPageBreak/>
        <w:t>whether we should accept</w:t>
      </w:r>
      <w:r w:rsidR="000933CD" w:rsidRPr="00923197">
        <w:rPr>
          <w:rFonts w:asciiTheme="minorHAnsi" w:hAnsiTheme="minorHAnsi" w:cstheme="minorHAnsi"/>
          <w:color w:val="000000" w:themeColor="text1"/>
        </w:rPr>
        <w:t xml:space="preserve"> </w:t>
      </w:r>
      <w:r w:rsidRPr="00923197">
        <w:rPr>
          <w:rFonts w:asciiTheme="minorHAnsi" w:hAnsiTheme="minorHAnsi" w:cstheme="minorHAnsi"/>
          <w:color w:val="000000" w:themeColor="text1"/>
        </w:rPr>
        <w:t xml:space="preserve">the </w:t>
      </w:r>
      <w:r w:rsidR="006C158B" w:rsidRPr="00923197">
        <w:rPr>
          <w:rFonts w:asciiTheme="minorHAnsi" w:hAnsiTheme="minorHAnsi" w:cstheme="minorHAnsi"/>
          <w:color w:val="000000" w:themeColor="text1"/>
        </w:rPr>
        <w:t xml:space="preserve">prominent </w:t>
      </w:r>
      <w:r w:rsidRPr="00923197">
        <w:rPr>
          <w:rFonts w:asciiTheme="minorHAnsi" w:hAnsiTheme="minorHAnsi" w:cstheme="minorHAnsi"/>
          <w:color w:val="000000" w:themeColor="text1"/>
        </w:rPr>
        <w:t>role given to experts in policy decisions. The worry is around a</w:t>
      </w:r>
      <w:r w:rsidR="006C158B" w:rsidRPr="00923197">
        <w:rPr>
          <w:rFonts w:asciiTheme="minorHAnsi" w:hAnsiTheme="minorHAnsi" w:cstheme="minorHAnsi"/>
          <w:color w:val="000000" w:themeColor="text1"/>
        </w:rPr>
        <w:t xml:space="preserve"> possible</w:t>
      </w:r>
      <w:r w:rsidRPr="00923197">
        <w:rPr>
          <w:rFonts w:asciiTheme="minorHAnsi" w:hAnsiTheme="minorHAnsi" w:cstheme="minorHAnsi"/>
          <w:color w:val="000000" w:themeColor="text1"/>
        </w:rPr>
        <w:t xml:space="preserve"> tension between the ideal</w:t>
      </w:r>
      <w:r w:rsidR="006C158B" w:rsidRPr="00923197">
        <w:rPr>
          <w:rFonts w:asciiTheme="minorHAnsi" w:hAnsiTheme="minorHAnsi" w:cstheme="minorHAnsi"/>
          <w:color w:val="000000" w:themeColor="text1"/>
        </w:rPr>
        <w:t>s</w:t>
      </w:r>
      <w:r w:rsidRPr="00923197">
        <w:rPr>
          <w:rFonts w:asciiTheme="minorHAnsi" w:hAnsiTheme="minorHAnsi" w:cstheme="minorHAnsi"/>
          <w:color w:val="000000" w:themeColor="text1"/>
        </w:rPr>
        <w:t xml:space="preserve"> of autonomy and </w:t>
      </w:r>
      <w:r w:rsidR="006C158B" w:rsidRPr="00923197">
        <w:rPr>
          <w:rFonts w:asciiTheme="minorHAnsi" w:hAnsiTheme="minorHAnsi" w:cstheme="minorHAnsi"/>
          <w:color w:val="000000" w:themeColor="text1"/>
        </w:rPr>
        <w:t xml:space="preserve">freedom, embedded in the </w:t>
      </w:r>
      <w:r w:rsidR="005C3B40" w:rsidRPr="00923197">
        <w:rPr>
          <w:rFonts w:asciiTheme="minorHAnsi" w:hAnsiTheme="minorHAnsi" w:cstheme="minorHAnsi"/>
          <w:color w:val="000000" w:themeColor="text1"/>
        </w:rPr>
        <w:t xml:space="preserve">liberal </w:t>
      </w:r>
      <w:r w:rsidR="006C158B" w:rsidRPr="00923197">
        <w:rPr>
          <w:rFonts w:asciiTheme="minorHAnsi" w:hAnsiTheme="minorHAnsi" w:cstheme="minorHAnsi"/>
          <w:color w:val="000000" w:themeColor="text1"/>
        </w:rPr>
        <w:t xml:space="preserve">democratic tradition, and </w:t>
      </w:r>
      <w:r w:rsidRPr="00923197">
        <w:rPr>
          <w:rFonts w:asciiTheme="minorHAnsi" w:hAnsiTheme="minorHAnsi" w:cstheme="minorHAnsi"/>
          <w:color w:val="000000" w:themeColor="text1"/>
        </w:rPr>
        <w:t>the deference</w:t>
      </w:r>
      <w:r w:rsidR="006C158B" w:rsidRPr="00923197">
        <w:rPr>
          <w:rFonts w:asciiTheme="minorHAnsi" w:hAnsiTheme="minorHAnsi" w:cstheme="minorHAnsi"/>
          <w:color w:val="000000" w:themeColor="text1"/>
        </w:rPr>
        <w:t xml:space="preserve"> that lay persons are expected to </w:t>
      </w:r>
      <w:r w:rsidR="00D240EE" w:rsidRPr="00923197">
        <w:rPr>
          <w:rFonts w:asciiTheme="minorHAnsi" w:hAnsiTheme="minorHAnsi" w:cstheme="minorHAnsi"/>
          <w:color w:val="000000" w:themeColor="text1"/>
        </w:rPr>
        <w:t>afford</w:t>
      </w:r>
      <w:r w:rsidRPr="00923197">
        <w:rPr>
          <w:rFonts w:asciiTheme="minorHAnsi" w:hAnsiTheme="minorHAnsi" w:cstheme="minorHAnsi"/>
          <w:color w:val="000000" w:themeColor="text1"/>
        </w:rPr>
        <w:t xml:space="preserve"> experts</w:t>
      </w:r>
      <w:r w:rsidR="006C158B" w:rsidRPr="00923197">
        <w:rPr>
          <w:rFonts w:asciiTheme="minorHAnsi" w:hAnsiTheme="minorHAnsi" w:cstheme="minorHAnsi"/>
          <w:color w:val="000000" w:themeColor="text1"/>
        </w:rPr>
        <w:t xml:space="preserve">. </w:t>
      </w:r>
      <w:r w:rsidRPr="00923197">
        <w:rPr>
          <w:rFonts w:asciiTheme="minorHAnsi" w:hAnsiTheme="minorHAnsi" w:cstheme="minorHAnsi"/>
          <w:color w:val="000000" w:themeColor="text1"/>
        </w:rPr>
        <w:t>The point is not new</w:t>
      </w:r>
      <w:r w:rsidR="00D240EE" w:rsidRPr="00923197">
        <w:rPr>
          <w:rFonts w:asciiTheme="minorHAnsi" w:hAnsiTheme="minorHAnsi" w:cstheme="minorHAnsi"/>
          <w:color w:val="000000" w:themeColor="text1"/>
        </w:rPr>
        <w:t>—t</w:t>
      </w:r>
      <w:r w:rsidRPr="00923197">
        <w:rPr>
          <w:rFonts w:asciiTheme="minorHAnsi" w:hAnsiTheme="minorHAnsi" w:cstheme="minorHAnsi"/>
          <w:color w:val="000000" w:themeColor="text1"/>
        </w:rPr>
        <w:t xml:space="preserve">he problem was discussed by John Dewey (1917) in </w:t>
      </w:r>
      <w:r w:rsidR="005C3B40" w:rsidRPr="00923197">
        <w:rPr>
          <w:rFonts w:asciiTheme="minorHAnsi" w:hAnsiTheme="minorHAnsi" w:cstheme="minorHAnsi"/>
          <w:color w:val="000000" w:themeColor="text1"/>
        </w:rPr>
        <w:t xml:space="preserve">countering </w:t>
      </w:r>
      <w:r w:rsidRPr="00923197">
        <w:rPr>
          <w:rFonts w:asciiTheme="minorHAnsi" w:hAnsiTheme="minorHAnsi" w:cstheme="minorHAnsi"/>
          <w:color w:val="000000" w:themeColor="text1"/>
        </w:rPr>
        <w:t>the journalist Walter Lippmann’s enthusiasm for the technocracy of a “bureau of experts” (</w:t>
      </w:r>
      <w:r w:rsidRPr="00923197">
        <w:rPr>
          <w:rFonts w:asciiTheme="minorHAnsi" w:hAnsiTheme="minorHAnsi" w:cstheme="minorHAnsi"/>
          <w:color w:val="000000" w:themeColor="text1"/>
          <w:highlight w:val="yellow"/>
        </w:rPr>
        <w:t>See Heather Douglas</w:t>
      </w:r>
      <w:r w:rsidR="00F96A4E" w:rsidRPr="00923197">
        <w:rPr>
          <w:rFonts w:asciiTheme="minorHAnsi" w:hAnsiTheme="minorHAnsi" w:cstheme="minorHAnsi"/>
          <w:color w:val="000000" w:themeColor="text1"/>
          <w:highlight w:val="yellow"/>
        </w:rPr>
        <w:t>’s chapter in this handbook</w:t>
      </w:r>
      <w:r w:rsidRPr="00923197">
        <w:rPr>
          <w:rFonts w:asciiTheme="minorHAnsi" w:hAnsiTheme="minorHAnsi" w:cstheme="minorHAnsi"/>
          <w:color w:val="000000" w:themeColor="text1"/>
        </w:rPr>
        <w:t>) and</w:t>
      </w:r>
      <w:r w:rsidR="005C3B40" w:rsidRPr="00923197">
        <w:rPr>
          <w:rFonts w:asciiTheme="minorHAnsi" w:hAnsiTheme="minorHAnsi" w:cstheme="minorHAnsi"/>
          <w:color w:val="000000" w:themeColor="text1"/>
        </w:rPr>
        <w:t xml:space="preserve"> </w:t>
      </w:r>
      <w:r w:rsidRPr="00923197">
        <w:rPr>
          <w:rFonts w:asciiTheme="minorHAnsi" w:hAnsiTheme="minorHAnsi" w:cstheme="minorHAnsi"/>
          <w:color w:val="000000" w:themeColor="text1"/>
        </w:rPr>
        <w:t>was reiterated by Hannah Arendt who warned against the steadily increasing prestige of “scientifically minded brain-</w:t>
      </w:r>
      <w:proofErr w:type="spellStart"/>
      <w:r w:rsidRPr="00923197">
        <w:rPr>
          <w:rFonts w:asciiTheme="minorHAnsi" w:hAnsiTheme="minorHAnsi" w:cstheme="minorHAnsi"/>
          <w:color w:val="000000" w:themeColor="text1"/>
        </w:rPr>
        <w:t>trusters</w:t>
      </w:r>
      <w:proofErr w:type="spellEnd"/>
      <w:r w:rsidRPr="00923197">
        <w:rPr>
          <w:rFonts w:asciiTheme="minorHAnsi" w:hAnsiTheme="minorHAnsi" w:cstheme="minorHAnsi"/>
          <w:color w:val="000000" w:themeColor="text1"/>
        </w:rPr>
        <w:t>” in the government</w:t>
      </w:r>
      <w:r w:rsidR="001D0E20" w:rsidRPr="00923197">
        <w:rPr>
          <w:rFonts w:asciiTheme="minorHAnsi" w:hAnsiTheme="minorHAnsi" w:cstheme="minorHAnsi"/>
          <w:color w:val="000000" w:themeColor="text1"/>
        </w:rPr>
        <w:t xml:space="preserve"> councils</w:t>
      </w:r>
      <w:r w:rsidR="00212067" w:rsidRPr="00923197">
        <w:rPr>
          <w:rFonts w:asciiTheme="minorHAnsi" w:hAnsiTheme="minorHAnsi" w:cstheme="minorHAnsi"/>
          <w:color w:val="000000" w:themeColor="text1"/>
        </w:rPr>
        <w:t xml:space="preserve"> (Arendt </w:t>
      </w:r>
      <w:r w:rsidR="00571668" w:rsidRPr="00923197">
        <w:rPr>
          <w:rFonts w:asciiTheme="minorHAnsi" w:hAnsiTheme="minorHAnsi" w:cstheme="minorHAnsi"/>
          <w:color w:val="000000" w:themeColor="text1"/>
        </w:rPr>
        <w:t>1972:</w:t>
      </w:r>
      <w:r w:rsidR="00B13BA3" w:rsidRPr="00923197">
        <w:rPr>
          <w:rFonts w:asciiTheme="minorHAnsi" w:hAnsiTheme="minorHAnsi" w:cstheme="minorHAnsi"/>
          <w:color w:val="000000" w:themeColor="text1"/>
        </w:rPr>
        <w:t xml:space="preserve"> </w:t>
      </w:r>
      <w:r w:rsidR="00571668" w:rsidRPr="00923197">
        <w:rPr>
          <w:rFonts w:asciiTheme="minorHAnsi" w:hAnsiTheme="minorHAnsi" w:cstheme="minorHAnsi"/>
          <w:color w:val="000000" w:themeColor="text1"/>
        </w:rPr>
        <w:t>108</w:t>
      </w:r>
      <w:r w:rsidR="00212067" w:rsidRPr="00923197">
        <w:rPr>
          <w:rFonts w:asciiTheme="minorHAnsi" w:hAnsiTheme="minorHAnsi" w:cstheme="minorHAnsi"/>
          <w:color w:val="000000" w:themeColor="text1"/>
        </w:rPr>
        <w:t>). The worry is that b</w:t>
      </w:r>
      <w:r w:rsidR="000933CD" w:rsidRPr="00923197">
        <w:rPr>
          <w:rFonts w:asciiTheme="minorHAnsi" w:hAnsiTheme="minorHAnsi" w:cstheme="minorHAnsi"/>
          <w:color w:val="000000" w:themeColor="text1"/>
        </w:rPr>
        <w:t>y</w:t>
      </w:r>
      <w:r w:rsidR="005C3B40" w:rsidRPr="00923197">
        <w:rPr>
          <w:rFonts w:asciiTheme="minorHAnsi" w:hAnsiTheme="minorHAnsi" w:cstheme="minorHAnsi"/>
          <w:color w:val="000000" w:themeColor="text1"/>
        </w:rPr>
        <w:t xml:space="preserve"> trusting experts to guide our policies</w:t>
      </w:r>
      <w:r w:rsidR="000933CD" w:rsidRPr="00923197">
        <w:rPr>
          <w:rFonts w:asciiTheme="minorHAnsi" w:hAnsiTheme="minorHAnsi" w:cstheme="minorHAnsi"/>
          <w:color w:val="000000" w:themeColor="text1"/>
        </w:rPr>
        <w:t xml:space="preserve">, </w:t>
      </w:r>
      <w:r w:rsidR="005C3B40" w:rsidRPr="00923197">
        <w:rPr>
          <w:rFonts w:asciiTheme="minorHAnsi" w:hAnsiTheme="minorHAnsi" w:cstheme="minorHAnsi"/>
          <w:color w:val="000000" w:themeColor="text1"/>
        </w:rPr>
        <w:t>in an important sense</w:t>
      </w:r>
      <w:r w:rsidR="000933CD" w:rsidRPr="00923197">
        <w:rPr>
          <w:rFonts w:asciiTheme="minorHAnsi" w:hAnsiTheme="minorHAnsi" w:cstheme="minorHAnsi"/>
          <w:color w:val="000000" w:themeColor="text1"/>
        </w:rPr>
        <w:t xml:space="preserve">, </w:t>
      </w:r>
      <w:r w:rsidR="005C3B40" w:rsidRPr="00923197">
        <w:rPr>
          <w:rFonts w:asciiTheme="minorHAnsi" w:hAnsiTheme="minorHAnsi" w:cstheme="minorHAnsi"/>
          <w:color w:val="000000" w:themeColor="text1"/>
        </w:rPr>
        <w:t>we are not only relinquishing autonomy but also</w:t>
      </w:r>
      <w:r w:rsidR="001D0E20" w:rsidRPr="00923197">
        <w:rPr>
          <w:rFonts w:asciiTheme="minorHAnsi" w:hAnsiTheme="minorHAnsi" w:cstheme="minorHAnsi"/>
          <w:color w:val="000000" w:themeColor="text1"/>
        </w:rPr>
        <w:t>,</w:t>
      </w:r>
      <w:r w:rsidR="00212067" w:rsidRPr="00923197">
        <w:rPr>
          <w:rFonts w:asciiTheme="minorHAnsi" w:hAnsiTheme="minorHAnsi" w:cstheme="minorHAnsi"/>
          <w:color w:val="000000" w:themeColor="text1"/>
        </w:rPr>
        <w:t xml:space="preserve"> contrary to democratic principles, we are </w:t>
      </w:r>
      <w:r w:rsidR="005C3B40" w:rsidRPr="00923197">
        <w:rPr>
          <w:rFonts w:asciiTheme="minorHAnsi" w:hAnsiTheme="minorHAnsi" w:cstheme="minorHAnsi"/>
          <w:color w:val="000000" w:themeColor="text1"/>
        </w:rPr>
        <w:t>accepting the authority of unelected persons and bodies</w:t>
      </w:r>
      <w:r w:rsidR="009C2885" w:rsidRPr="00923197">
        <w:rPr>
          <w:rFonts w:asciiTheme="minorHAnsi" w:hAnsiTheme="minorHAnsi" w:cstheme="minorHAnsi"/>
          <w:color w:val="000000" w:themeColor="text1"/>
        </w:rPr>
        <w:t>.</w:t>
      </w:r>
    </w:p>
    <w:p w14:paraId="0D7B7E72" w14:textId="561A6A20" w:rsidR="00246EA0" w:rsidRPr="00923197" w:rsidRDefault="00B901D2" w:rsidP="0077069D">
      <w:pPr>
        <w:spacing w:line="480" w:lineRule="auto"/>
        <w:ind w:right="89" w:firstLine="567"/>
        <w:rPr>
          <w:rFonts w:asciiTheme="minorHAnsi" w:hAnsiTheme="minorHAnsi" w:cstheme="minorHAnsi"/>
          <w:color w:val="000000" w:themeColor="text1"/>
          <w:lang w:val="en-GB"/>
        </w:rPr>
      </w:pPr>
      <w:r w:rsidRPr="00923197">
        <w:rPr>
          <w:rFonts w:asciiTheme="minorHAnsi" w:hAnsiTheme="minorHAnsi" w:cstheme="minorHAnsi"/>
          <w:color w:val="000000" w:themeColor="text1"/>
        </w:rPr>
        <w:t>Concern</w:t>
      </w:r>
      <w:r w:rsidR="00246EA0" w:rsidRPr="00923197">
        <w:rPr>
          <w:rFonts w:asciiTheme="minorHAnsi" w:hAnsiTheme="minorHAnsi" w:cstheme="minorHAnsi"/>
          <w:color w:val="000000" w:themeColor="text1"/>
        </w:rPr>
        <w:t xml:space="preserve"> around the democratic deficit </w:t>
      </w:r>
      <w:r w:rsidR="00845077" w:rsidRPr="00923197">
        <w:rPr>
          <w:rFonts w:asciiTheme="minorHAnsi" w:hAnsiTheme="minorHAnsi" w:cstheme="minorHAnsi"/>
          <w:color w:val="000000" w:themeColor="text1"/>
        </w:rPr>
        <w:t>in</w:t>
      </w:r>
      <w:r w:rsidR="00246EA0" w:rsidRPr="00923197">
        <w:rPr>
          <w:rFonts w:asciiTheme="minorHAnsi" w:hAnsiTheme="minorHAnsi" w:cstheme="minorHAnsi"/>
          <w:color w:val="000000" w:themeColor="text1"/>
        </w:rPr>
        <w:t xml:space="preserve"> experts</w:t>
      </w:r>
      <w:r w:rsidR="00845077" w:rsidRPr="00923197">
        <w:rPr>
          <w:rFonts w:asciiTheme="minorHAnsi" w:hAnsiTheme="minorHAnsi" w:cstheme="minorHAnsi"/>
          <w:color w:val="000000" w:themeColor="text1"/>
        </w:rPr>
        <w:t>’ roles</w:t>
      </w:r>
      <w:r w:rsidR="00246EA0" w:rsidRPr="00923197">
        <w:rPr>
          <w:rFonts w:asciiTheme="minorHAnsi" w:hAnsiTheme="minorHAnsi" w:cstheme="minorHAnsi"/>
          <w:color w:val="000000" w:themeColor="text1"/>
        </w:rPr>
        <w:t xml:space="preserve"> has a strong ethical dimension. </w:t>
      </w:r>
      <w:r w:rsidR="00246EA0" w:rsidRPr="00923197">
        <w:rPr>
          <w:rFonts w:asciiTheme="minorHAnsi" w:hAnsiTheme="minorHAnsi" w:cstheme="minorHAnsi"/>
          <w:color w:val="000000" w:themeColor="text1"/>
          <w:lang w:val="en-US"/>
        </w:rPr>
        <w:t xml:space="preserve">Naomi </w:t>
      </w:r>
      <w:proofErr w:type="spellStart"/>
      <w:r w:rsidR="00246EA0" w:rsidRPr="00923197">
        <w:rPr>
          <w:rFonts w:asciiTheme="minorHAnsi" w:hAnsiTheme="minorHAnsi" w:cstheme="minorHAnsi"/>
          <w:color w:val="000000" w:themeColor="text1"/>
          <w:lang w:val="en-US"/>
        </w:rPr>
        <w:t>Scheman</w:t>
      </w:r>
      <w:proofErr w:type="spellEnd"/>
      <w:r w:rsidR="00246EA0" w:rsidRPr="00923197">
        <w:rPr>
          <w:rFonts w:asciiTheme="minorHAnsi" w:hAnsiTheme="minorHAnsi" w:cstheme="minorHAnsi"/>
          <w:color w:val="000000" w:themeColor="text1"/>
          <w:lang w:val="en-US"/>
        </w:rPr>
        <w:t xml:space="preserve"> (20</w:t>
      </w:r>
      <w:r w:rsidR="00307878" w:rsidRPr="00923197">
        <w:rPr>
          <w:rFonts w:asciiTheme="minorHAnsi" w:hAnsiTheme="minorHAnsi" w:cstheme="minorHAnsi"/>
          <w:color w:val="000000" w:themeColor="text1"/>
          <w:lang w:val="en-US"/>
        </w:rPr>
        <w:t>1</w:t>
      </w:r>
      <w:r w:rsidR="00246EA0" w:rsidRPr="00923197">
        <w:rPr>
          <w:rFonts w:asciiTheme="minorHAnsi" w:hAnsiTheme="minorHAnsi" w:cstheme="minorHAnsi"/>
          <w:color w:val="000000" w:themeColor="text1"/>
          <w:lang w:val="en-US"/>
        </w:rPr>
        <w:t>1) has argued that epistemic trust in scientists involves reliance on scientific institutions’ ability to take responsibility</w:t>
      </w:r>
      <w:r w:rsidR="00845077" w:rsidRPr="00923197">
        <w:rPr>
          <w:rFonts w:asciiTheme="minorHAnsi" w:hAnsiTheme="minorHAnsi" w:cstheme="minorHAnsi"/>
          <w:color w:val="000000" w:themeColor="text1"/>
          <w:lang w:val="en-US"/>
        </w:rPr>
        <w:t>,</w:t>
      </w:r>
      <w:r w:rsidR="00246EA0" w:rsidRPr="00923197">
        <w:rPr>
          <w:rFonts w:asciiTheme="minorHAnsi" w:hAnsiTheme="minorHAnsi" w:cstheme="minorHAnsi"/>
          <w:color w:val="000000" w:themeColor="text1"/>
          <w:lang w:val="en-US"/>
        </w:rPr>
        <w:t xml:space="preserve"> not merely for epistemic justice</w:t>
      </w:r>
      <w:r w:rsidR="00845077" w:rsidRPr="00923197">
        <w:rPr>
          <w:rFonts w:asciiTheme="minorHAnsi" w:hAnsiTheme="minorHAnsi" w:cstheme="minorHAnsi"/>
          <w:color w:val="000000" w:themeColor="text1"/>
          <w:lang w:val="en-US"/>
        </w:rPr>
        <w:t>,</w:t>
      </w:r>
      <w:r w:rsidR="00246EA0" w:rsidRPr="00923197">
        <w:rPr>
          <w:rFonts w:asciiTheme="minorHAnsi" w:hAnsiTheme="minorHAnsi" w:cstheme="minorHAnsi"/>
          <w:color w:val="000000" w:themeColor="text1"/>
          <w:lang w:val="en-US"/>
        </w:rPr>
        <w:t xml:space="preserve"> but more broadly for social justice. When the trustworthiness of scientists is understood to require goodwill towards those who are epistemically dependent on the scientists, scientists may lack trustworthiness in the eyes of marginal social groups even when they are honest and competent. The lack of trustworthiness may be due to historical connections between science and social injustices (e.g., past uses of science against the interests of particular social groups, the unjust underrepresentation of particular social groups within </w:t>
      </w:r>
      <w:r w:rsidR="00845077" w:rsidRPr="00923197">
        <w:rPr>
          <w:rFonts w:asciiTheme="minorHAnsi" w:hAnsiTheme="minorHAnsi" w:cstheme="minorHAnsi"/>
          <w:color w:val="000000" w:themeColor="text1"/>
          <w:lang w:val="en-US"/>
        </w:rPr>
        <w:t>professional science</w:t>
      </w:r>
      <w:r w:rsidR="00246EA0" w:rsidRPr="00923197">
        <w:rPr>
          <w:rFonts w:asciiTheme="minorHAnsi" w:hAnsiTheme="minorHAnsi" w:cstheme="minorHAnsi"/>
          <w:color w:val="000000" w:themeColor="text1"/>
          <w:lang w:val="en-US"/>
        </w:rPr>
        <w:t xml:space="preserve">, and the abuse of members of particular social groups in scientific research). As </w:t>
      </w:r>
      <w:proofErr w:type="spellStart"/>
      <w:r w:rsidR="00246EA0" w:rsidRPr="00923197">
        <w:rPr>
          <w:rFonts w:asciiTheme="minorHAnsi" w:hAnsiTheme="minorHAnsi" w:cstheme="minorHAnsi"/>
          <w:color w:val="000000" w:themeColor="text1"/>
          <w:lang w:val="en-US"/>
        </w:rPr>
        <w:t>Scheman</w:t>
      </w:r>
      <w:proofErr w:type="spellEnd"/>
      <w:r w:rsidR="00246EA0" w:rsidRPr="00923197">
        <w:rPr>
          <w:rFonts w:asciiTheme="minorHAnsi" w:hAnsiTheme="minorHAnsi" w:cstheme="minorHAnsi"/>
          <w:color w:val="000000" w:themeColor="text1"/>
          <w:lang w:val="en-US"/>
        </w:rPr>
        <w:t xml:space="preserve"> (2001: 43) argues: “It is, in short, irrational to expect people to place their trust in the results of practices about which they know little and that emerge from institutions -universities, corporations, government agencies - which they </w:t>
      </w:r>
      <w:r w:rsidR="00246EA0" w:rsidRPr="00923197">
        <w:rPr>
          <w:rFonts w:asciiTheme="minorHAnsi" w:hAnsiTheme="minorHAnsi" w:cstheme="minorHAnsi"/>
          <w:color w:val="000000" w:themeColor="text1"/>
          <w:lang w:val="en-US"/>
        </w:rPr>
        <w:lastRenderedPageBreak/>
        <w:t>know to be inequitable.”</w:t>
      </w:r>
      <w:r w:rsidR="00246EA0" w:rsidRPr="00923197">
        <w:rPr>
          <w:rFonts w:asciiTheme="minorHAnsi" w:hAnsiTheme="minorHAnsi" w:cstheme="minorHAnsi"/>
          <w:color w:val="000000" w:themeColor="text1"/>
        </w:rPr>
        <w:t xml:space="preserve"> </w:t>
      </w:r>
      <w:r w:rsidR="001C0F14" w:rsidRPr="00923197">
        <w:rPr>
          <w:rFonts w:asciiTheme="minorHAnsi" w:hAnsiTheme="minorHAnsi" w:cstheme="minorHAnsi"/>
          <w:color w:val="000000" w:themeColor="text1"/>
        </w:rPr>
        <w:t xml:space="preserve">We also know that </w:t>
      </w:r>
      <w:r w:rsidR="009C2885" w:rsidRPr="00923197">
        <w:rPr>
          <w:rFonts w:asciiTheme="minorHAnsi" w:hAnsiTheme="minorHAnsi" w:cstheme="minorHAnsi"/>
          <w:color w:val="000000" w:themeColor="text1"/>
        </w:rPr>
        <w:t>invocation</w:t>
      </w:r>
      <w:r w:rsidR="00246EA0" w:rsidRPr="00923197">
        <w:rPr>
          <w:rFonts w:asciiTheme="minorHAnsi" w:hAnsiTheme="minorHAnsi" w:cstheme="minorHAnsi"/>
          <w:color w:val="000000" w:themeColor="text1"/>
        </w:rPr>
        <w:t xml:space="preserve"> o</w:t>
      </w:r>
      <w:r w:rsidR="009C2885" w:rsidRPr="00923197">
        <w:rPr>
          <w:rFonts w:asciiTheme="minorHAnsi" w:hAnsiTheme="minorHAnsi" w:cstheme="minorHAnsi"/>
          <w:color w:val="000000" w:themeColor="text1"/>
        </w:rPr>
        <w:t>f</w:t>
      </w:r>
      <w:r w:rsidR="00246EA0" w:rsidRPr="00923197">
        <w:rPr>
          <w:rFonts w:asciiTheme="minorHAnsi" w:hAnsiTheme="minorHAnsi" w:cstheme="minorHAnsi"/>
          <w:color w:val="000000" w:themeColor="text1"/>
        </w:rPr>
        <w:t xml:space="preserve"> experts has not always been benevolent and </w:t>
      </w:r>
      <w:r w:rsidR="001C0F14" w:rsidRPr="00923197">
        <w:rPr>
          <w:rFonts w:asciiTheme="minorHAnsi" w:hAnsiTheme="minorHAnsi" w:cstheme="minorHAnsi"/>
          <w:color w:val="000000" w:themeColor="text1"/>
        </w:rPr>
        <w:t>i</w:t>
      </w:r>
      <w:r w:rsidR="00246EA0" w:rsidRPr="00923197">
        <w:rPr>
          <w:rFonts w:asciiTheme="minorHAnsi" w:hAnsiTheme="minorHAnsi" w:cstheme="minorHAnsi"/>
          <w:color w:val="000000" w:themeColor="text1"/>
        </w:rPr>
        <w:t>nclude</w:t>
      </w:r>
      <w:r w:rsidR="001C0F14" w:rsidRPr="00923197">
        <w:rPr>
          <w:rFonts w:asciiTheme="minorHAnsi" w:hAnsiTheme="minorHAnsi" w:cstheme="minorHAnsi"/>
          <w:color w:val="000000" w:themeColor="text1"/>
        </w:rPr>
        <w:t>d</w:t>
      </w:r>
      <w:r w:rsidR="00246EA0" w:rsidRPr="00923197">
        <w:rPr>
          <w:rFonts w:asciiTheme="minorHAnsi" w:hAnsiTheme="minorHAnsi" w:cstheme="minorHAnsi"/>
          <w:color w:val="000000" w:themeColor="text1"/>
        </w:rPr>
        <w:t xml:space="preserve"> unwelcome examples such as </w:t>
      </w:r>
      <w:r w:rsidR="009C2885" w:rsidRPr="00923197">
        <w:rPr>
          <w:rFonts w:asciiTheme="minorHAnsi" w:hAnsiTheme="minorHAnsi" w:cstheme="minorHAnsi"/>
          <w:color w:val="000000" w:themeColor="text1"/>
        </w:rPr>
        <w:t xml:space="preserve">the </w:t>
      </w:r>
      <w:r w:rsidR="00212067" w:rsidRPr="00923197">
        <w:rPr>
          <w:rFonts w:asciiTheme="minorHAnsi" w:hAnsiTheme="minorHAnsi" w:cstheme="minorHAnsi"/>
          <w:color w:val="000000" w:themeColor="text1"/>
        </w:rPr>
        <w:t xml:space="preserve">US </w:t>
      </w:r>
      <w:r w:rsidR="00246EA0" w:rsidRPr="00923197">
        <w:rPr>
          <w:rFonts w:asciiTheme="minorHAnsi" w:hAnsiTheme="minorHAnsi" w:cstheme="minorHAnsi"/>
          <w:color w:val="000000" w:themeColor="text1"/>
        </w:rPr>
        <w:t xml:space="preserve">administration’s reliance on expert psychological advice </w:t>
      </w:r>
      <w:r w:rsidR="00212067" w:rsidRPr="00923197">
        <w:rPr>
          <w:rFonts w:asciiTheme="minorHAnsi" w:hAnsiTheme="minorHAnsi" w:cstheme="minorHAnsi"/>
          <w:color w:val="000000" w:themeColor="text1"/>
        </w:rPr>
        <w:t xml:space="preserve">on </w:t>
      </w:r>
      <w:r w:rsidR="00246EA0" w:rsidRPr="00923197">
        <w:rPr>
          <w:rFonts w:asciiTheme="minorHAnsi" w:hAnsiTheme="minorHAnsi" w:cstheme="minorHAnsi"/>
          <w:color w:val="000000" w:themeColor="text1"/>
        </w:rPr>
        <w:t>enhanced interrogation tactics in the years 2002-2006 (Washington Post, October 13, 2017).</w:t>
      </w:r>
    </w:p>
    <w:p w14:paraId="55AE921D" w14:textId="77777777" w:rsidR="00246EA0" w:rsidRPr="00923197" w:rsidRDefault="00246EA0" w:rsidP="0077069D">
      <w:pPr>
        <w:spacing w:line="480" w:lineRule="auto"/>
        <w:ind w:right="89" w:firstLine="567"/>
        <w:rPr>
          <w:rFonts w:asciiTheme="minorHAnsi" w:hAnsiTheme="minorHAnsi" w:cstheme="minorHAnsi"/>
          <w:color w:val="000000" w:themeColor="text1"/>
        </w:rPr>
      </w:pPr>
    </w:p>
    <w:p w14:paraId="252843F2" w14:textId="77777777" w:rsidR="00246EA0" w:rsidRPr="00923197" w:rsidRDefault="00246EA0" w:rsidP="00122E5C">
      <w:pPr>
        <w:spacing w:line="480" w:lineRule="auto"/>
        <w:ind w:right="89"/>
        <w:rPr>
          <w:rFonts w:asciiTheme="minorHAnsi" w:hAnsiTheme="minorHAnsi" w:cstheme="minorHAnsi"/>
          <w:b/>
          <w:bCs/>
          <w:color w:val="000000" w:themeColor="text1"/>
        </w:rPr>
      </w:pPr>
      <w:r w:rsidRPr="00923197">
        <w:rPr>
          <w:rFonts w:asciiTheme="minorHAnsi" w:hAnsiTheme="minorHAnsi" w:cstheme="minorHAnsi"/>
          <w:b/>
          <w:bCs/>
          <w:color w:val="000000" w:themeColor="text1"/>
        </w:rPr>
        <w:t>Conclusion</w:t>
      </w:r>
    </w:p>
    <w:p w14:paraId="14C3537D" w14:textId="77777777" w:rsidR="00246EA0" w:rsidRPr="00923197" w:rsidRDefault="00246EA0" w:rsidP="0077069D">
      <w:pPr>
        <w:spacing w:line="480" w:lineRule="auto"/>
        <w:ind w:right="89" w:firstLine="567"/>
        <w:rPr>
          <w:rFonts w:asciiTheme="minorHAnsi" w:hAnsiTheme="minorHAnsi" w:cstheme="minorHAnsi"/>
          <w:color w:val="000000" w:themeColor="text1"/>
        </w:rPr>
      </w:pPr>
    </w:p>
    <w:p w14:paraId="64FE7632" w14:textId="4DAEC29C" w:rsidR="00D80E25" w:rsidRPr="00923197" w:rsidRDefault="00212067" w:rsidP="00167683">
      <w:pPr>
        <w:spacing w:line="480" w:lineRule="auto"/>
        <w:ind w:right="89" w:firstLine="567"/>
        <w:rPr>
          <w:rFonts w:asciiTheme="minorHAnsi" w:hAnsiTheme="minorHAnsi" w:cstheme="minorHAnsi"/>
          <w:color w:val="000000" w:themeColor="text1"/>
        </w:rPr>
      </w:pPr>
      <w:r w:rsidRPr="00923197">
        <w:rPr>
          <w:rFonts w:asciiTheme="minorHAnsi" w:hAnsiTheme="minorHAnsi" w:cstheme="minorHAnsi"/>
          <w:color w:val="000000" w:themeColor="text1"/>
        </w:rPr>
        <w:t>Despite these concerns</w:t>
      </w:r>
      <w:r w:rsidR="00545110" w:rsidRPr="00923197">
        <w:rPr>
          <w:rFonts w:asciiTheme="minorHAnsi" w:hAnsiTheme="minorHAnsi" w:cstheme="minorHAnsi"/>
          <w:color w:val="000000" w:themeColor="text1"/>
        </w:rPr>
        <w:t xml:space="preserve">, it remains unquestionable that we need </w:t>
      </w:r>
      <w:r w:rsidRPr="00923197">
        <w:rPr>
          <w:rFonts w:asciiTheme="minorHAnsi" w:hAnsiTheme="minorHAnsi" w:cstheme="minorHAnsi"/>
          <w:color w:val="000000" w:themeColor="text1"/>
        </w:rPr>
        <w:t>experts</w:t>
      </w:r>
      <w:r w:rsidR="00545110" w:rsidRPr="00923197">
        <w:rPr>
          <w:rFonts w:asciiTheme="minorHAnsi" w:hAnsiTheme="minorHAnsi" w:cstheme="minorHAnsi"/>
          <w:color w:val="000000" w:themeColor="text1"/>
        </w:rPr>
        <w:t xml:space="preserve"> to advi</w:t>
      </w:r>
      <w:r w:rsidR="00246EA0" w:rsidRPr="00923197">
        <w:rPr>
          <w:rFonts w:asciiTheme="minorHAnsi" w:hAnsiTheme="minorHAnsi" w:cstheme="minorHAnsi"/>
          <w:color w:val="000000" w:themeColor="text1"/>
        </w:rPr>
        <w:t>s</w:t>
      </w:r>
      <w:r w:rsidR="00545110" w:rsidRPr="00923197">
        <w:rPr>
          <w:rFonts w:asciiTheme="minorHAnsi" w:hAnsiTheme="minorHAnsi" w:cstheme="minorHAnsi"/>
          <w:color w:val="000000" w:themeColor="text1"/>
        </w:rPr>
        <w:t xml:space="preserve">e our institutions, provide novices with manageable information, and </w:t>
      </w:r>
      <w:r w:rsidR="00845077" w:rsidRPr="00923197">
        <w:rPr>
          <w:rFonts w:asciiTheme="minorHAnsi" w:hAnsiTheme="minorHAnsi" w:cstheme="minorHAnsi"/>
          <w:color w:val="000000" w:themeColor="text1"/>
        </w:rPr>
        <w:t xml:space="preserve">facilitate </w:t>
      </w:r>
      <w:r w:rsidR="00545110" w:rsidRPr="00923197">
        <w:rPr>
          <w:rFonts w:asciiTheme="minorHAnsi" w:hAnsiTheme="minorHAnsi" w:cstheme="minorHAnsi"/>
          <w:color w:val="000000" w:themeColor="text1"/>
        </w:rPr>
        <w:t xml:space="preserve">epistemic progress. </w:t>
      </w:r>
      <w:r w:rsidR="00877A34" w:rsidRPr="00923197">
        <w:rPr>
          <w:rFonts w:asciiTheme="minorHAnsi" w:hAnsiTheme="minorHAnsi" w:cstheme="minorHAnsi"/>
          <w:color w:val="000000" w:themeColor="text1"/>
        </w:rPr>
        <w:t xml:space="preserve">Proposed </w:t>
      </w:r>
      <w:r w:rsidR="00545110" w:rsidRPr="00923197">
        <w:rPr>
          <w:rFonts w:asciiTheme="minorHAnsi" w:hAnsiTheme="minorHAnsi" w:cstheme="minorHAnsi"/>
          <w:color w:val="000000" w:themeColor="text1"/>
        </w:rPr>
        <w:t xml:space="preserve">remedies to </w:t>
      </w:r>
      <w:r w:rsidR="001C0F14" w:rsidRPr="00923197">
        <w:rPr>
          <w:rFonts w:asciiTheme="minorHAnsi" w:hAnsiTheme="minorHAnsi" w:cstheme="minorHAnsi"/>
          <w:color w:val="000000" w:themeColor="text1"/>
        </w:rPr>
        <w:t xml:space="preserve">local or global </w:t>
      </w:r>
      <w:r w:rsidR="00545110" w:rsidRPr="00923197">
        <w:rPr>
          <w:rFonts w:asciiTheme="minorHAnsi" w:hAnsiTheme="minorHAnsi" w:cstheme="minorHAnsi"/>
          <w:color w:val="000000" w:themeColor="text1"/>
        </w:rPr>
        <w:t>breakdown of trust in experts</w:t>
      </w:r>
      <w:r w:rsidR="00D80E25" w:rsidRPr="00923197">
        <w:rPr>
          <w:rFonts w:asciiTheme="minorHAnsi" w:hAnsiTheme="minorHAnsi" w:cstheme="minorHAnsi"/>
          <w:color w:val="000000" w:themeColor="text1"/>
        </w:rPr>
        <w:t xml:space="preserve">, on the novice side, </w:t>
      </w:r>
      <w:r w:rsidR="00545110" w:rsidRPr="00923197">
        <w:rPr>
          <w:rFonts w:asciiTheme="minorHAnsi" w:hAnsiTheme="minorHAnsi" w:cstheme="minorHAnsi"/>
          <w:color w:val="000000" w:themeColor="text1"/>
        </w:rPr>
        <w:t xml:space="preserve">range from </w:t>
      </w:r>
      <w:r w:rsidR="00877A34" w:rsidRPr="00923197">
        <w:rPr>
          <w:rFonts w:asciiTheme="minorHAnsi" w:hAnsiTheme="minorHAnsi" w:cstheme="minorHAnsi"/>
          <w:color w:val="000000" w:themeColor="text1"/>
        </w:rPr>
        <w:t xml:space="preserve">steps to </w:t>
      </w:r>
      <w:r w:rsidR="000F2B59" w:rsidRPr="00923197">
        <w:rPr>
          <w:rFonts w:asciiTheme="minorHAnsi" w:hAnsiTheme="minorHAnsi" w:cstheme="minorHAnsi"/>
          <w:color w:val="000000" w:themeColor="text1"/>
        </w:rPr>
        <w:t xml:space="preserve">enhance </w:t>
      </w:r>
      <w:r w:rsidR="00545110" w:rsidRPr="00923197">
        <w:rPr>
          <w:rFonts w:asciiTheme="minorHAnsi" w:hAnsiTheme="minorHAnsi" w:cstheme="minorHAnsi"/>
          <w:color w:val="000000" w:themeColor="text1"/>
        </w:rPr>
        <w:t>laypeople’s intellectual character—</w:t>
      </w:r>
      <w:r w:rsidR="00877A34" w:rsidRPr="00923197">
        <w:rPr>
          <w:rFonts w:asciiTheme="minorHAnsi" w:hAnsiTheme="minorHAnsi" w:cstheme="minorHAnsi"/>
          <w:color w:val="000000" w:themeColor="text1"/>
        </w:rPr>
        <w:t xml:space="preserve">e.g. </w:t>
      </w:r>
      <w:r w:rsidR="00545110" w:rsidRPr="00923197">
        <w:rPr>
          <w:rFonts w:asciiTheme="minorHAnsi" w:hAnsiTheme="minorHAnsi" w:cstheme="minorHAnsi"/>
          <w:color w:val="000000" w:themeColor="text1"/>
        </w:rPr>
        <w:t xml:space="preserve">increasing their sensitivity to cognitive biases (Cassam 2019)—to suggesting changes in the infrastructures of social networks and other epistemic landscapes that obstruct trust-relationship between novices and experts (e.g., </w:t>
      </w:r>
      <w:proofErr w:type="spellStart"/>
      <w:r w:rsidR="00545110" w:rsidRPr="00923197">
        <w:rPr>
          <w:rFonts w:asciiTheme="minorHAnsi" w:hAnsiTheme="minorHAnsi" w:cstheme="minorHAnsi"/>
          <w:color w:val="000000" w:themeColor="text1"/>
        </w:rPr>
        <w:t>Rini</w:t>
      </w:r>
      <w:proofErr w:type="spellEnd"/>
      <w:r w:rsidR="00545110" w:rsidRPr="00923197">
        <w:rPr>
          <w:rFonts w:asciiTheme="minorHAnsi" w:hAnsiTheme="minorHAnsi" w:cstheme="minorHAnsi"/>
          <w:color w:val="000000" w:themeColor="text1"/>
        </w:rPr>
        <w:t xml:space="preserve"> 2017; De Cruz 2020)</w:t>
      </w:r>
      <w:r w:rsidR="00255C07" w:rsidRPr="00923197">
        <w:rPr>
          <w:rFonts w:asciiTheme="minorHAnsi" w:hAnsiTheme="minorHAnsi" w:cstheme="minorHAnsi"/>
          <w:color w:val="000000" w:themeColor="text1"/>
        </w:rPr>
        <w:t>.</w:t>
      </w:r>
      <w:r w:rsidR="00D80E25" w:rsidRPr="00923197">
        <w:rPr>
          <w:rFonts w:asciiTheme="minorHAnsi" w:hAnsiTheme="minorHAnsi" w:cstheme="minorHAnsi"/>
          <w:color w:val="000000" w:themeColor="text1"/>
        </w:rPr>
        <w:t xml:space="preserve"> What is required of the experts, on the other hand, is </w:t>
      </w:r>
      <w:r w:rsidR="00117FB5" w:rsidRPr="00923197">
        <w:rPr>
          <w:rFonts w:asciiTheme="minorHAnsi" w:hAnsiTheme="minorHAnsi" w:cstheme="minorHAnsi"/>
          <w:color w:val="000000" w:themeColor="text1"/>
        </w:rPr>
        <w:t>greater</w:t>
      </w:r>
      <w:r w:rsidR="00D80E25" w:rsidRPr="00923197">
        <w:rPr>
          <w:rFonts w:asciiTheme="minorHAnsi" w:hAnsiTheme="minorHAnsi" w:cstheme="minorHAnsi"/>
          <w:color w:val="000000" w:themeColor="text1"/>
        </w:rPr>
        <w:t xml:space="preserve"> transparency, </w:t>
      </w:r>
      <w:r w:rsidR="00117FB5" w:rsidRPr="00923197">
        <w:rPr>
          <w:rFonts w:asciiTheme="minorHAnsi" w:hAnsiTheme="minorHAnsi" w:cstheme="minorHAnsi"/>
          <w:color w:val="000000" w:themeColor="text1"/>
        </w:rPr>
        <w:t>intellectual humility and openness to direct public scrutiny</w:t>
      </w:r>
      <w:r w:rsidR="00845077" w:rsidRPr="00923197">
        <w:rPr>
          <w:rFonts w:asciiTheme="minorHAnsi" w:hAnsiTheme="minorHAnsi" w:cstheme="minorHAnsi"/>
          <w:color w:val="000000" w:themeColor="text1"/>
        </w:rPr>
        <w:t>—i</w:t>
      </w:r>
      <w:r w:rsidR="00117FB5" w:rsidRPr="00923197">
        <w:rPr>
          <w:rFonts w:asciiTheme="minorHAnsi" w:hAnsiTheme="minorHAnsi" w:cstheme="minorHAnsi"/>
          <w:color w:val="000000" w:themeColor="text1"/>
        </w:rPr>
        <w:t>n other words, genuine efforts to prove their trustworthiness.</w:t>
      </w:r>
    </w:p>
    <w:p w14:paraId="6ADEBD4B" w14:textId="446CA7FF" w:rsidR="004D2C89" w:rsidRDefault="009F71AA" w:rsidP="0077069D">
      <w:pPr>
        <w:spacing w:line="480" w:lineRule="auto"/>
        <w:ind w:right="89" w:firstLine="567"/>
        <w:rPr>
          <w:rFonts w:asciiTheme="minorHAnsi" w:eastAsiaTheme="minorHAnsi" w:hAnsiTheme="minorHAnsi" w:cstheme="minorHAnsi"/>
          <w:b/>
          <w:bCs/>
          <w:lang w:eastAsia="en-US"/>
        </w:rPr>
      </w:pPr>
      <w:r w:rsidRPr="00923197">
        <w:rPr>
          <w:rFonts w:asciiTheme="minorHAnsi" w:hAnsiTheme="minorHAnsi" w:cstheme="minorHAnsi"/>
          <w:b/>
          <w:bCs/>
        </w:rPr>
        <w:t xml:space="preserve">Work </w:t>
      </w:r>
      <w:r w:rsidR="00CC127F" w:rsidRPr="00923197">
        <w:rPr>
          <w:rFonts w:asciiTheme="minorHAnsi" w:hAnsiTheme="minorHAnsi" w:cstheme="minorHAnsi"/>
          <w:b/>
          <w:bCs/>
        </w:rPr>
        <w:t xml:space="preserve">on this paper has been made possible by </w:t>
      </w:r>
      <w:r w:rsidR="004D2C89" w:rsidRPr="00923197">
        <w:rPr>
          <w:rFonts w:asciiTheme="minorHAnsi" w:eastAsiaTheme="minorHAnsi" w:hAnsiTheme="minorHAnsi" w:cstheme="minorHAnsi"/>
          <w:b/>
          <w:bCs/>
          <w:lang w:eastAsia="en-US"/>
        </w:rPr>
        <w:t>funding from the European Union’s Horizon 2020 research and innovation programme for the project Policy, Expertise and Trust in Action (PEriTiA) under grant agreement No 870883.</w:t>
      </w:r>
    </w:p>
    <w:p w14:paraId="1775CCDD" w14:textId="77777777" w:rsidR="00167683" w:rsidRPr="00923197" w:rsidRDefault="00167683" w:rsidP="0077069D">
      <w:pPr>
        <w:spacing w:line="480" w:lineRule="auto"/>
        <w:ind w:right="89" w:firstLine="567"/>
        <w:rPr>
          <w:rFonts w:asciiTheme="minorHAnsi" w:eastAsiaTheme="minorHAnsi" w:hAnsiTheme="minorHAnsi" w:cstheme="minorHAnsi"/>
          <w:b/>
          <w:bCs/>
          <w:lang w:eastAsia="en-US"/>
        </w:rPr>
      </w:pPr>
    </w:p>
    <w:p w14:paraId="32C10674" w14:textId="77777777" w:rsidR="00167683" w:rsidRPr="00923197" w:rsidRDefault="00167683" w:rsidP="00167683">
      <w:pPr>
        <w:spacing w:line="480" w:lineRule="auto"/>
        <w:ind w:right="89"/>
        <w:rPr>
          <w:rFonts w:asciiTheme="minorHAnsi" w:hAnsiTheme="minorHAnsi" w:cstheme="minorHAnsi"/>
          <w:color w:val="000000" w:themeColor="text1"/>
        </w:rPr>
      </w:pPr>
      <w:r w:rsidRPr="00923197">
        <w:rPr>
          <w:rFonts w:asciiTheme="minorHAnsi" w:hAnsiTheme="minorHAnsi" w:cstheme="minorHAnsi"/>
          <w:b/>
          <w:color w:val="231F20"/>
        </w:rPr>
        <w:t xml:space="preserve">Maria Baghramian </w:t>
      </w:r>
      <w:r w:rsidRPr="00923197">
        <w:rPr>
          <w:rFonts w:asciiTheme="minorHAnsi" w:hAnsiTheme="minorHAnsi" w:cstheme="minorHAnsi"/>
          <w:color w:val="231F20"/>
        </w:rPr>
        <w:t xml:space="preserve">is Full Professor of American Philosophy at the School of </w:t>
      </w:r>
      <w:r w:rsidRPr="00923197">
        <w:rPr>
          <w:rFonts w:asciiTheme="minorHAnsi" w:hAnsiTheme="minorHAnsi" w:cstheme="minorHAnsi"/>
          <w:color w:val="231F20"/>
          <w:spacing w:val="-3"/>
        </w:rPr>
        <w:t xml:space="preserve">Philosophy, </w:t>
      </w:r>
      <w:r w:rsidRPr="00923197">
        <w:rPr>
          <w:rFonts w:asciiTheme="minorHAnsi" w:hAnsiTheme="minorHAnsi" w:cstheme="minorHAnsi"/>
          <w:color w:val="231F20"/>
        </w:rPr>
        <w:t>University College Dublin, and the coordinator</w:t>
      </w:r>
      <w:r w:rsidRPr="00923197">
        <w:rPr>
          <w:rFonts w:asciiTheme="minorHAnsi" w:hAnsiTheme="minorHAnsi" w:cstheme="minorHAnsi"/>
          <w:color w:val="231F20"/>
          <w:spacing w:val="-8"/>
        </w:rPr>
        <w:t xml:space="preserve"> of </w:t>
      </w:r>
      <w:r w:rsidRPr="00923197">
        <w:rPr>
          <w:rFonts w:asciiTheme="minorHAnsi" w:hAnsiTheme="minorHAnsi" w:cstheme="minorHAnsi"/>
          <w:color w:val="231F20"/>
        </w:rPr>
        <w:t>the</w:t>
      </w:r>
      <w:r w:rsidRPr="00923197">
        <w:rPr>
          <w:rFonts w:asciiTheme="minorHAnsi" w:hAnsiTheme="minorHAnsi" w:cstheme="minorHAnsi"/>
          <w:color w:val="231F20"/>
          <w:spacing w:val="-8"/>
        </w:rPr>
        <w:t xml:space="preserve"> </w:t>
      </w:r>
      <w:r w:rsidRPr="00923197">
        <w:rPr>
          <w:rFonts w:asciiTheme="minorHAnsi" w:hAnsiTheme="minorHAnsi" w:cstheme="minorHAnsi"/>
          <w:color w:val="231F20"/>
        </w:rPr>
        <w:t>Horizon</w:t>
      </w:r>
      <w:r w:rsidRPr="00923197">
        <w:rPr>
          <w:rFonts w:asciiTheme="minorHAnsi" w:hAnsiTheme="minorHAnsi" w:cstheme="minorHAnsi"/>
          <w:color w:val="231F20"/>
          <w:spacing w:val="-7"/>
        </w:rPr>
        <w:t xml:space="preserve"> </w:t>
      </w:r>
      <w:r w:rsidRPr="00923197">
        <w:rPr>
          <w:rFonts w:asciiTheme="minorHAnsi" w:hAnsiTheme="minorHAnsi" w:cstheme="minorHAnsi"/>
          <w:color w:val="231F20"/>
        </w:rPr>
        <w:t>2020</w:t>
      </w:r>
      <w:r w:rsidRPr="00923197">
        <w:rPr>
          <w:rFonts w:asciiTheme="minorHAnsi" w:hAnsiTheme="minorHAnsi" w:cstheme="minorHAnsi"/>
          <w:color w:val="231F20"/>
          <w:spacing w:val="-8"/>
        </w:rPr>
        <w:t xml:space="preserve"> EU </w:t>
      </w:r>
      <w:r w:rsidRPr="00923197">
        <w:rPr>
          <w:rFonts w:asciiTheme="minorHAnsi" w:hAnsiTheme="minorHAnsi" w:cstheme="minorHAnsi"/>
          <w:color w:val="231F20"/>
        </w:rPr>
        <w:t>project</w:t>
      </w:r>
      <w:r w:rsidRPr="00923197">
        <w:rPr>
          <w:rFonts w:asciiTheme="minorHAnsi" w:hAnsiTheme="minorHAnsi" w:cstheme="minorHAnsi"/>
          <w:color w:val="231F20"/>
          <w:spacing w:val="-7"/>
        </w:rPr>
        <w:t xml:space="preserve"> </w:t>
      </w:r>
      <w:r w:rsidRPr="00923197">
        <w:rPr>
          <w:rFonts w:asciiTheme="minorHAnsi" w:hAnsiTheme="minorHAnsi" w:cstheme="minorHAnsi"/>
          <w:color w:val="231F20"/>
          <w:spacing w:val="-4"/>
        </w:rPr>
        <w:t>Policy,</w:t>
      </w:r>
      <w:r w:rsidRPr="00923197">
        <w:rPr>
          <w:rFonts w:asciiTheme="minorHAnsi" w:hAnsiTheme="minorHAnsi" w:cstheme="minorHAnsi"/>
          <w:color w:val="231F20"/>
          <w:spacing w:val="-8"/>
        </w:rPr>
        <w:t xml:space="preserve"> </w:t>
      </w:r>
      <w:r w:rsidRPr="00923197">
        <w:rPr>
          <w:rFonts w:asciiTheme="minorHAnsi" w:hAnsiTheme="minorHAnsi" w:cstheme="minorHAnsi"/>
          <w:color w:val="231F20"/>
        </w:rPr>
        <w:t>Expertise</w:t>
      </w:r>
      <w:r w:rsidRPr="00923197">
        <w:rPr>
          <w:rFonts w:asciiTheme="minorHAnsi" w:hAnsiTheme="minorHAnsi" w:cstheme="minorHAnsi"/>
          <w:color w:val="231F20"/>
          <w:spacing w:val="-7"/>
        </w:rPr>
        <w:t xml:space="preserve"> </w:t>
      </w:r>
      <w:r w:rsidRPr="00923197">
        <w:rPr>
          <w:rFonts w:asciiTheme="minorHAnsi" w:hAnsiTheme="minorHAnsi" w:cstheme="minorHAnsi"/>
          <w:color w:val="231F20"/>
        </w:rPr>
        <w:t>and</w:t>
      </w:r>
      <w:r w:rsidRPr="00923197">
        <w:rPr>
          <w:rFonts w:asciiTheme="minorHAnsi" w:hAnsiTheme="minorHAnsi" w:cstheme="minorHAnsi"/>
          <w:color w:val="231F20"/>
          <w:spacing w:val="-8"/>
        </w:rPr>
        <w:t xml:space="preserve"> </w:t>
      </w:r>
      <w:r w:rsidRPr="00923197">
        <w:rPr>
          <w:rFonts w:asciiTheme="minorHAnsi" w:hAnsiTheme="minorHAnsi" w:cstheme="minorHAnsi"/>
          <w:color w:val="231F20"/>
          <w:spacing w:val="-4"/>
        </w:rPr>
        <w:t>Trust</w:t>
      </w:r>
      <w:r w:rsidRPr="00923197">
        <w:rPr>
          <w:rFonts w:asciiTheme="minorHAnsi" w:hAnsiTheme="minorHAnsi" w:cstheme="minorHAnsi"/>
          <w:color w:val="231F20"/>
          <w:spacing w:val="-7"/>
        </w:rPr>
        <w:t xml:space="preserve"> </w:t>
      </w:r>
      <w:r w:rsidRPr="00923197">
        <w:rPr>
          <w:rFonts w:asciiTheme="minorHAnsi" w:hAnsiTheme="minorHAnsi" w:cstheme="minorHAnsi"/>
          <w:color w:val="231F20"/>
        </w:rPr>
        <w:t>in</w:t>
      </w:r>
      <w:r w:rsidRPr="00923197">
        <w:rPr>
          <w:rFonts w:asciiTheme="minorHAnsi" w:hAnsiTheme="minorHAnsi" w:cstheme="minorHAnsi"/>
          <w:color w:val="231F20"/>
          <w:spacing w:val="-8"/>
        </w:rPr>
        <w:t xml:space="preserve"> </w:t>
      </w:r>
      <w:r w:rsidRPr="00923197">
        <w:rPr>
          <w:rFonts w:asciiTheme="minorHAnsi" w:hAnsiTheme="minorHAnsi" w:cstheme="minorHAnsi"/>
          <w:color w:val="231F20"/>
        </w:rPr>
        <w:t xml:space="preserve">Action (PEriTiA). She is also a Member of the Royal Irish </w:t>
      </w:r>
      <w:r w:rsidRPr="00923197">
        <w:rPr>
          <w:rFonts w:asciiTheme="minorHAnsi" w:hAnsiTheme="minorHAnsi" w:cstheme="minorHAnsi"/>
          <w:color w:val="231F20"/>
          <w:spacing w:val="-4"/>
        </w:rPr>
        <w:t>Academy.</w:t>
      </w:r>
    </w:p>
    <w:p w14:paraId="3221572C" w14:textId="77777777" w:rsidR="00167683" w:rsidRPr="00923197" w:rsidRDefault="00167683" w:rsidP="00167683">
      <w:pPr>
        <w:spacing w:line="480" w:lineRule="auto"/>
        <w:ind w:right="89"/>
        <w:rPr>
          <w:rFonts w:asciiTheme="minorHAnsi" w:hAnsiTheme="minorHAnsi" w:cstheme="minorHAnsi"/>
          <w:color w:val="000000" w:themeColor="text1"/>
        </w:rPr>
      </w:pPr>
    </w:p>
    <w:p w14:paraId="441A1451" w14:textId="77777777" w:rsidR="00167683" w:rsidRPr="00923197" w:rsidRDefault="00167683" w:rsidP="00167683">
      <w:pPr>
        <w:spacing w:line="480" w:lineRule="auto"/>
        <w:ind w:right="89"/>
        <w:rPr>
          <w:rFonts w:asciiTheme="minorHAnsi" w:hAnsiTheme="minorHAnsi" w:cstheme="minorHAnsi"/>
          <w:color w:val="000000" w:themeColor="text1"/>
        </w:rPr>
      </w:pPr>
      <w:r w:rsidRPr="00923197">
        <w:rPr>
          <w:rFonts w:asciiTheme="minorHAnsi" w:hAnsiTheme="minorHAnsi" w:cstheme="minorHAnsi"/>
          <w:b/>
          <w:bCs/>
          <w:color w:val="000000" w:themeColor="text1"/>
        </w:rPr>
        <w:lastRenderedPageBreak/>
        <w:t>Michel Croce</w:t>
      </w:r>
      <w:r w:rsidRPr="00923197">
        <w:rPr>
          <w:rFonts w:asciiTheme="minorHAnsi" w:hAnsiTheme="minorHAnsi" w:cstheme="minorHAnsi"/>
          <w:color w:val="000000" w:themeColor="text1"/>
        </w:rPr>
        <w:t xml:space="preserve"> is postdoctoral fellow at University College Dublin, where he works as part of PEriTiA, a major European funded project on policy, expertise, and trust. His current research focuses on the philosophy of expertise, moral epistemology, and the philosophy of education.</w:t>
      </w:r>
    </w:p>
    <w:p w14:paraId="378A3F64" w14:textId="77777777" w:rsidR="00167683" w:rsidRPr="00923197" w:rsidRDefault="00167683" w:rsidP="00167683">
      <w:pPr>
        <w:spacing w:line="480" w:lineRule="auto"/>
        <w:rPr>
          <w:rFonts w:asciiTheme="minorHAnsi" w:hAnsiTheme="minorHAnsi" w:cstheme="minorHAnsi"/>
        </w:rPr>
      </w:pPr>
    </w:p>
    <w:p w14:paraId="76B9FE47" w14:textId="77777777" w:rsidR="00327637" w:rsidRPr="00923197" w:rsidRDefault="00327637" w:rsidP="0077069D">
      <w:pPr>
        <w:spacing w:line="480" w:lineRule="auto"/>
        <w:rPr>
          <w:rFonts w:asciiTheme="minorHAnsi" w:hAnsiTheme="minorHAnsi" w:cstheme="minorHAnsi"/>
          <w:b/>
          <w:bCs/>
          <w:lang w:val="en-US"/>
        </w:rPr>
      </w:pPr>
    </w:p>
    <w:p w14:paraId="13883B9F" w14:textId="06E41303" w:rsidR="00327637" w:rsidRPr="00923197" w:rsidRDefault="00327637" w:rsidP="0077069D">
      <w:pPr>
        <w:spacing w:line="480" w:lineRule="auto"/>
        <w:rPr>
          <w:rFonts w:asciiTheme="minorHAnsi" w:hAnsiTheme="minorHAnsi" w:cstheme="minorHAnsi"/>
          <w:b/>
          <w:bCs/>
          <w:lang w:val="en-US"/>
        </w:rPr>
      </w:pPr>
      <w:r w:rsidRPr="00923197">
        <w:rPr>
          <w:rFonts w:asciiTheme="minorHAnsi" w:hAnsiTheme="minorHAnsi" w:cstheme="minorHAnsi"/>
          <w:b/>
          <w:bCs/>
          <w:lang w:val="en-US"/>
        </w:rPr>
        <w:t>References</w:t>
      </w:r>
    </w:p>
    <w:p w14:paraId="6C64072B" w14:textId="77777777" w:rsidR="00327637" w:rsidRPr="00923197" w:rsidRDefault="00327637" w:rsidP="0077069D">
      <w:pPr>
        <w:spacing w:line="480" w:lineRule="auto"/>
        <w:rPr>
          <w:rFonts w:asciiTheme="minorHAnsi" w:hAnsiTheme="minorHAnsi" w:cstheme="minorHAnsi"/>
          <w:lang w:val="en-US"/>
        </w:rPr>
      </w:pPr>
    </w:p>
    <w:p w14:paraId="5473F69A" w14:textId="36059992" w:rsidR="00327637" w:rsidRPr="00923197" w:rsidRDefault="00327637" w:rsidP="0077069D">
      <w:pPr>
        <w:spacing w:line="480" w:lineRule="auto"/>
        <w:rPr>
          <w:rFonts w:asciiTheme="minorHAnsi" w:hAnsiTheme="minorHAnsi" w:cstheme="minorHAnsi"/>
          <w:lang w:val="en-US"/>
        </w:rPr>
      </w:pPr>
      <w:proofErr w:type="spellStart"/>
      <w:r w:rsidRPr="00923197">
        <w:rPr>
          <w:rFonts w:asciiTheme="minorHAnsi" w:hAnsiTheme="minorHAnsi" w:cstheme="minorHAnsi"/>
          <w:lang w:val="en-US"/>
        </w:rPr>
        <w:t>Almassi</w:t>
      </w:r>
      <w:proofErr w:type="spellEnd"/>
      <w:r w:rsidRPr="00923197">
        <w:rPr>
          <w:rFonts w:asciiTheme="minorHAnsi" w:hAnsiTheme="minorHAnsi" w:cstheme="minorHAnsi"/>
          <w:lang w:val="en-US"/>
        </w:rPr>
        <w:t xml:space="preserve">, B. (2012) ‘Climate Change, Epistemic Trust, and Expert Trustworthiness’, </w:t>
      </w:r>
      <w:r w:rsidRPr="00923197">
        <w:rPr>
          <w:rFonts w:asciiTheme="minorHAnsi" w:hAnsiTheme="minorHAnsi" w:cstheme="minorHAnsi"/>
          <w:i/>
          <w:iCs/>
          <w:lang w:val="en-US"/>
        </w:rPr>
        <w:t>Ethics &amp; The Environment</w:t>
      </w:r>
      <w:r w:rsidRPr="00923197">
        <w:rPr>
          <w:rFonts w:asciiTheme="minorHAnsi" w:hAnsiTheme="minorHAnsi" w:cstheme="minorHAnsi"/>
          <w:lang w:val="en-US"/>
        </w:rPr>
        <w:t>, 17(2), 29-49.</w:t>
      </w:r>
    </w:p>
    <w:p w14:paraId="7FC8670E" w14:textId="1589A54B"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Anderson, E. (2011) ‘Democracy, Public Policy, and Lay Assessments of Scientific Testimony’, </w:t>
      </w:r>
      <w:r w:rsidRPr="00923197">
        <w:rPr>
          <w:rFonts w:asciiTheme="minorHAnsi" w:hAnsiTheme="minorHAnsi" w:cstheme="minorHAnsi"/>
          <w:i/>
          <w:iCs/>
          <w:lang w:val="en-US"/>
        </w:rPr>
        <w:t>Episteme</w:t>
      </w:r>
      <w:r w:rsidRPr="00923197">
        <w:rPr>
          <w:rFonts w:asciiTheme="minorHAnsi" w:hAnsiTheme="minorHAnsi" w:cstheme="minorHAnsi"/>
          <w:lang w:val="en-US"/>
        </w:rPr>
        <w:t>, 8(2), 144-164.</w:t>
      </w:r>
    </w:p>
    <w:p w14:paraId="24357A11" w14:textId="685D2764" w:rsidR="00C26FE8" w:rsidRPr="00923197" w:rsidRDefault="00C26FE8"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Arendt, H. (</w:t>
      </w:r>
      <w:r w:rsidR="00571668" w:rsidRPr="00923197">
        <w:rPr>
          <w:rFonts w:asciiTheme="minorHAnsi" w:hAnsiTheme="minorHAnsi" w:cstheme="minorHAnsi"/>
          <w:lang w:val="en-US"/>
        </w:rPr>
        <w:t xml:space="preserve">1972) </w:t>
      </w:r>
      <w:r w:rsidR="00571668" w:rsidRPr="00923197">
        <w:rPr>
          <w:rFonts w:asciiTheme="minorHAnsi" w:hAnsiTheme="minorHAnsi" w:cstheme="minorHAnsi"/>
          <w:i/>
          <w:iCs/>
          <w:lang w:val="en-US"/>
        </w:rPr>
        <w:t>The Crises of the Republic: Lying in Politics; Civil Disobedience; On Violence</w:t>
      </w:r>
      <w:r w:rsidR="00571668" w:rsidRPr="00923197">
        <w:rPr>
          <w:rFonts w:asciiTheme="minorHAnsi" w:hAnsiTheme="minorHAnsi" w:cstheme="minorHAnsi"/>
          <w:lang w:val="en-US"/>
        </w:rPr>
        <w:t xml:space="preserve">; </w:t>
      </w:r>
      <w:r w:rsidR="00571668" w:rsidRPr="00923197">
        <w:rPr>
          <w:rFonts w:asciiTheme="minorHAnsi" w:hAnsiTheme="minorHAnsi" w:cstheme="minorHAnsi"/>
          <w:i/>
          <w:iCs/>
          <w:lang w:val="en-US"/>
        </w:rPr>
        <w:t>Thoughts on Politics and Revolution.</w:t>
      </w:r>
      <w:r w:rsidR="00143B26" w:rsidRPr="00923197">
        <w:rPr>
          <w:rFonts w:asciiTheme="minorHAnsi" w:hAnsiTheme="minorHAnsi" w:cstheme="minorHAnsi"/>
          <w:i/>
          <w:iCs/>
          <w:lang w:val="en-US"/>
        </w:rPr>
        <w:t xml:space="preserve"> </w:t>
      </w:r>
      <w:r w:rsidR="00143B26" w:rsidRPr="00923197">
        <w:rPr>
          <w:rFonts w:asciiTheme="minorHAnsi" w:hAnsiTheme="minorHAnsi" w:cstheme="minorHAnsi"/>
          <w:lang w:val="en-US"/>
        </w:rPr>
        <w:t>New York: Harcourt Brace &amp; Co.</w:t>
      </w:r>
    </w:p>
    <w:p w14:paraId="4E21030A" w14:textId="72EDB494"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Baghramian, M. and Martini, C. (2018) ‘Expertise and Expert Knowledge’, special issue of </w:t>
      </w:r>
      <w:r w:rsidRPr="00923197">
        <w:rPr>
          <w:rFonts w:asciiTheme="minorHAnsi" w:hAnsiTheme="minorHAnsi" w:cstheme="minorHAnsi"/>
          <w:i/>
          <w:iCs/>
          <w:lang w:val="en-US"/>
        </w:rPr>
        <w:t>Social Epistemology</w:t>
      </w:r>
      <w:r w:rsidRPr="00923197">
        <w:rPr>
          <w:rFonts w:asciiTheme="minorHAnsi" w:hAnsiTheme="minorHAnsi" w:cstheme="minorHAnsi"/>
          <w:lang w:val="en-US"/>
        </w:rPr>
        <w:t xml:space="preserve">, 32(6). </w:t>
      </w:r>
    </w:p>
    <w:p w14:paraId="08371AE5" w14:textId="777777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Baier, A. (1986) ‘Trust and Antitrust’, </w:t>
      </w:r>
      <w:r w:rsidRPr="00923197">
        <w:rPr>
          <w:rFonts w:asciiTheme="minorHAnsi" w:hAnsiTheme="minorHAnsi" w:cstheme="minorHAnsi"/>
          <w:i/>
          <w:iCs/>
          <w:lang w:val="en-US"/>
        </w:rPr>
        <w:t>Ethics</w:t>
      </w:r>
      <w:r w:rsidRPr="00923197">
        <w:rPr>
          <w:rFonts w:asciiTheme="minorHAnsi" w:hAnsiTheme="minorHAnsi" w:cstheme="minorHAnsi"/>
          <w:lang w:val="en-US"/>
        </w:rPr>
        <w:t>, 96(2), 231-260.</w:t>
      </w:r>
    </w:p>
    <w:p w14:paraId="7E25A5D5" w14:textId="777777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Boswell, C. (2009) </w:t>
      </w:r>
      <w:r w:rsidRPr="00923197">
        <w:rPr>
          <w:rFonts w:asciiTheme="minorHAnsi" w:hAnsiTheme="minorHAnsi" w:cstheme="minorHAnsi"/>
          <w:i/>
          <w:iCs/>
          <w:lang w:val="en-US"/>
        </w:rPr>
        <w:t>The Political Uses of Expert Knowledge</w:t>
      </w:r>
      <w:r w:rsidRPr="00923197">
        <w:rPr>
          <w:rFonts w:asciiTheme="minorHAnsi" w:hAnsiTheme="minorHAnsi" w:cstheme="minorHAnsi"/>
          <w:lang w:val="en-US"/>
        </w:rPr>
        <w:t>. Cambridge: Cambridge University Press.</w:t>
      </w:r>
    </w:p>
    <w:p w14:paraId="0557D1B8" w14:textId="77777777" w:rsidR="00327637" w:rsidRPr="00923197" w:rsidRDefault="00327637" w:rsidP="0077069D">
      <w:pPr>
        <w:spacing w:line="480" w:lineRule="auto"/>
        <w:ind w:left="426" w:hanging="426"/>
        <w:rPr>
          <w:rFonts w:asciiTheme="minorHAnsi" w:hAnsiTheme="minorHAnsi" w:cstheme="minorHAnsi"/>
          <w:i/>
          <w:iCs/>
          <w:lang w:val="en-US"/>
        </w:rPr>
      </w:pPr>
      <w:r w:rsidRPr="00923197">
        <w:rPr>
          <w:rFonts w:asciiTheme="minorHAnsi" w:hAnsiTheme="minorHAnsi" w:cstheme="minorHAnsi"/>
          <w:lang w:val="en-US"/>
        </w:rPr>
        <w:t xml:space="preserve">Branch, T., </w:t>
      </w:r>
      <w:proofErr w:type="spellStart"/>
      <w:r w:rsidRPr="00923197">
        <w:rPr>
          <w:rFonts w:asciiTheme="minorHAnsi" w:hAnsiTheme="minorHAnsi" w:cstheme="minorHAnsi"/>
          <w:lang w:val="en-US"/>
        </w:rPr>
        <w:t>Morisseau</w:t>
      </w:r>
      <w:proofErr w:type="spellEnd"/>
      <w:r w:rsidRPr="00923197">
        <w:rPr>
          <w:rFonts w:asciiTheme="minorHAnsi" w:hAnsiTheme="minorHAnsi" w:cstheme="minorHAnsi"/>
          <w:lang w:val="en-US"/>
        </w:rPr>
        <w:t xml:space="preserve">, T., </w:t>
      </w:r>
      <w:proofErr w:type="spellStart"/>
      <w:r w:rsidRPr="00923197">
        <w:rPr>
          <w:rFonts w:asciiTheme="minorHAnsi" w:hAnsiTheme="minorHAnsi" w:cstheme="minorHAnsi"/>
          <w:lang w:val="en-US"/>
        </w:rPr>
        <w:t>Origgi</w:t>
      </w:r>
      <w:proofErr w:type="spellEnd"/>
      <w:r w:rsidRPr="00923197">
        <w:rPr>
          <w:rFonts w:asciiTheme="minorHAnsi" w:hAnsiTheme="minorHAnsi" w:cstheme="minorHAnsi"/>
          <w:lang w:val="en-US"/>
        </w:rPr>
        <w:t>, G. (2020) ‘Trust, Expertise, and the Controversy over Hydroxychloroquine’, unpublished manuscript.</w:t>
      </w:r>
    </w:p>
    <w:p w14:paraId="151544B5" w14:textId="777777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Brennan, J. (2020) ‘Can Novices Trust Themselves to Choose Trustworthy Experts? Reasons for (Reserved) Optimism’, </w:t>
      </w:r>
      <w:r w:rsidRPr="00923197">
        <w:rPr>
          <w:rFonts w:asciiTheme="minorHAnsi" w:hAnsiTheme="minorHAnsi" w:cstheme="minorHAnsi"/>
          <w:i/>
          <w:iCs/>
          <w:lang w:val="en-US"/>
        </w:rPr>
        <w:t>Social Epistemology</w:t>
      </w:r>
      <w:r w:rsidRPr="00923197">
        <w:rPr>
          <w:rFonts w:asciiTheme="minorHAnsi" w:hAnsiTheme="minorHAnsi" w:cstheme="minorHAnsi"/>
          <w:lang w:val="en-US"/>
        </w:rPr>
        <w:t>, 34(3), 227-240.</w:t>
      </w:r>
    </w:p>
    <w:p w14:paraId="6BF98474" w14:textId="777777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lastRenderedPageBreak/>
        <w:t xml:space="preserve">Brown, M.B. (2014) ‘Expertise and Deliberative Democracy’, in </w:t>
      </w:r>
      <w:proofErr w:type="spellStart"/>
      <w:r w:rsidRPr="00923197">
        <w:rPr>
          <w:rFonts w:asciiTheme="minorHAnsi" w:hAnsiTheme="minorHAnsi" w:cstheme="minorHAnsi"/>
          <w:lang w:val="en-US"/>
        </w:rPr>
        <w:t>Elstub</w:t>
      </w:r>
      <w:proofErr w:type="spellEnd"/>
      <w:r w:rsidRPr="00923197">
        <w:rPr>
          <w:rFonts w:asciiTheme="minorHAnsi" w:hAnsiTheme="minorHAnsi" w:cstheme="minorHAnsi"/>
          <w:lang w:val="en-US"/>
        </w:rPr>
        <w:t xml:space="preserve">, S. and </w:t>
      </w:r>
      <w:proofErr w:type="spellStart"/>
      <w:r w:rsidRPr="00923197">
        <w:rPr>
          <w:rFonts w:asciiTheme="minorHAnsi" w:hAnsiTheme="minorHAnsi" w:cstheme="minorHAnsi"/>
          <w:lang w:val="en-US"/>
        </w:rPr>
        <w:t>McLaverty</w:t>
      </w:r>
      <w:proofErr w:type="spellEnd"/>
      <w:r w:rsidRPr="00923197">
        <w:rPr>
          <w:rFonts w:asciiTheme="minorHAnsi" w:hAnsiTheme="minorHAnsi" w:cstheme="minorHAnsi"/>
          <w:lang w:val="en-US"/>
        </w:rPr>
        <w:t xml:space="preserve">, P. (eds.), </w:t>
      </w:r>
      <w:r w:rsidRPr="00923197">
        <w:rPr>
          <w:rFonts w:asciiTheme="minorHAnsi" w:hAnsiTheme="minorHAnsi" w:cstheme="minorHAnsi"/>
          <w:i/>
          <w:iCs/>
          <w:lang w:val="en-US"/>
        </w:rPr>
        <w:t>Deliberative Democracy: Issues and Cases</w:t>
      </w:r>
      <w:r w:rsidRPr="00923197">
        <w:rPr>
          <w:rFonts w:asciiTheme="minorHAnsi" w:hAnsiTheme="minorHAnsi" w:cstheme="minorHAnsi"/>
          <w:lang w:val="en-US"/>
        </w:rPr>
        <w:t>. Edinburgh: Edinburgh University Press, pp. 50-68.</w:t>
      </w:r>
    </w:p>
    <w:p w14:paraId="798E96BB" w14:textId="15E6CDC5" w:rsidR="008F05B3" w:rsidRPr="00923197" w:rsidRDefault="008F05B3" w:rsidP="0077069D">
      <w:pPr>
        <w:tabs>
          <w:tab w:val="left" w:pos="2543"/>
        </w:tabs>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t>Canovan</w:t>
      </w:r>
      <w:proofErr w:type="spellEnd"/>
      <w:r w:rsidRPr="00923197">
        <w:rPr>
          <w:rFonts w:asciiTheme="minorHAnsi" w:hAnsiTheme="minorHAnsi" w:cstheme="minorHAnsi"/>
          <w:lang w:val="en-US"/>
        </w:rPr>
        <w:t xml:space="preserve">, Margaret (1999) ‘Trust the people! Populism and the two faces of democracy’, </w:t>
      </w:r>
      <w:r w:rsidRPr="00923197">
        <w:rPr>
          <w:rFonts w:asciiTheme="minorHAnsi" w:hAnsiTheme="minorHAnsi" w:cstheme="minorHAnsi"/>
          <w:i/>
          <w:iCs/>
          <w:lang w:val="en-US"/>
        </w:rPr>
        <w:t>Political Studies</w:t>
      </w:r>
      <w:r w:rsidRPr="00923197">
        <w:rPr>
          <w:rFonts w:asciiTheme="minorHAnsi" w:hAnsiTheme="minorHAnsi" w:cstheme="minorHAnsi"/>
          <w:lang w:val="en-US"/>
        </w:rPr>
        <w:t xml:space="preserve"> 47: 2–16</w:t>
      </w:r>
      <w:r w:rsidR="00A052FD" w:rsidRPr="00923197">
        <w:rPr>
          <w:rFonts w:asciiTheme="minorHAnsi" w:hAnsiTheme="minorHAnsi" w:cstheme="minorHAnsi"/>
          <w:lang w:val="en-US"/>
        </w:rPr>
        <w:t>.</w:t>
      </w:r>
    </w:p>
    <w:p w14:paraId="716DFB51" w14:textId="5270B770" w:rsidR="00327637" w:rsidRPr="00923197" w:rsidRDefault="00327637" w:rsidP="0077069D">
      <w:pPr>
        <w:tabs>
          <w:tab w:val="left" w:pos="2543"/>
        </w:tabs>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Cassam, Q. (2019) </w:t>
      </w:r>
      <w:r w:rsidRPr="00923197">
        <w:rPr>
          <w:rFonts w:asciiTheme="minorHAnsi" w:hAnsiTheme="minorHAnsi" w:cstheme="minorHAnsi"/>
          <w:i/>
          <w:iCs/>
          <w:lang w:val="en-US"/>
        </w:rPr>
        <w:t>Vices of the Mind: From the Intellectual to the Political</w:t>
      </w:r>
      <w:r w:rsidRPr="00923197">
        <w:rPr>
          <w:rFonts w:asciiTheme="minorHAnsi" w:hAnsiTheme="minorHAnsi" w:cstheme="minorHAnsi"/>
          <w:lang w:val="en-US"/>
        </w:rPr>
        <w:t>, Oxford: Oxford University Press.</w:t>
      </w:r>
    </w:p>
    <w:p w14:paraId="234F401F" w14:textId="77777777"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t>Cholbi</w:t>
      </w:r>
      <w:proofErr w:type="spellEnd"/>
      <w:r w:rsidRPr="00923197">
        <w:rPr>
          <w:rFonts w:asciiTheme="minorHAnsi" w:hAnsiTheme="minorHAnsi" w:cstheme="minorHAnsi"/>
          <w:lang w:val="en-US"/>
        </w:rPr>
        <w:t xml:space="preserve">, M. (2007) ‘Moral Expertise and the Credentials Problem’, </w:t>
      </w:r>
      <w:r w:rsidRPr="00923197">
        <w:rPr>
          <w:rFonts w:asciiTheme="minorHAnsi" w:hAnsiTheme="minorHAnsi" w:cstheme="minorHAnsi"/>
          <w:i/>
          <w:iCs/>
          <w:lang w:val="en-US"/>
        </w:rPr>
        <w:t>Ethical Theory and Moral Practice</w:t>
      </w:r>
      <w:r w:rsidRPr="00923197">
        <w:rPr>
          <w:rFonts w:asciiTheme="minorHAnsi" w:hAnsiTheme="minorHAnsi" w:cstheme="minorHAnsi"/>
          <w:lang w:val="en-US"/>
        </w:rPr>
        <w:t>, 10, 323-334.</w:t>
      </w:r>
    </w:p>
    <w:p w14:paraId="325BBC1B" w14:textId="777777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Collins, H. and Evans, R. (2007) </w:t>
      </w:r>
      <w:r w:rsidRPr="00923197">
        <w:rPr>
          <w:rFonts w:asciiTheme="minorHAnsi" w:hAnsiTheme="minorHAnsi" w:cstheme="minorHAnsi"/>
          <w:i/>
          <w:lang w:val="en-US"/>
        </w:rPr>
        <w:t>Rethinking Expertise</w:t>
      </w:r>
      <w:r w:rsidRPr="00923197">
        <w:rPr>
          <w:rFonts w:asciiTheme="minorHAnsi" w:hAnsiTheme="minorHAnsi" w:cstheme="minorHAnsi"/>
          <w:lang w:val="en-US"/>
        </w:rPr>
        <w:t>. Chicago: University of Chicago Press.</w:t>
      </w:r>
    </w:p>
    <w:p w14:paraId="044C1F4B" w14:textId="777777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Collins, H. (2014) </w:t>
      </w:r>
      <w:r w:rsidRPr="00923197">
        <w:rPr>
          <w:rFonts w:asciiTheme="minorHAnsi" w:hAnsiTheme="minorHAnsi" w:cstheme="minorHAnsi"/>
          <w:i/>
          <w:iCs/>
          <w:lang w:val="en-US"/>
        </w:rPr>
        <w:t>Are We All Scientific Experts Now?</w:t>
      </w:r>
      <w:r w:rsidRPr="00923197">
        <w:rPr>
          <w:rFonts w:asciiTheme="minorHAnsi" w:hAnsiTheme="minorHAnsi" w:cstheme="minorHAnsi"/>
          <w:lang w:val="en-US"/>
        </w:rPr>
        <w:t xml:space="preserve"> Cambridge: Polity Press.</w:t>
      </w:r>
    </w:p>
    <w:p w14:paraId="77593EA9" w14:textId="777777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Croce, M. (2018) ‘Expert-oriented Abilities vs. Novice-oriented Abilities: An Alternative Account of Epistemic Authority’, </w:t>
      </w:r>
      <w:r w:rsidRPr="00923197">
        <w:rPr>
          <w:rFonts w:asciiTheme="minorHAnsi" w:hAnsiTheme="minorHAnsi" w:cstheme="minorHAnsi"/>
          <w:i/>
          <w:lang w:val="en-US"/>
        </w:rPr>
        <w:t>Episteme</w:t>
      </w:r>
      <w:r w:rsidRPr="00923197">
        <w:rPr>
          <w:rFonts w:asciiTheme="minorHAnsi" w:hAnsiTheme="minorHAnsi" w:cstheme="minorHAnsi"/>
          <w:lang w:val="en-US"/>
        </w:rPr>
        <w:t xml:space="preserve">, 15(4), 476-498. </w:t>
      </w:r>
    </w:p>
    <w:p w14:paraId="35C5BF00" w14:textId="777777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Croce, M. (2019) ‘On What It Takes </w:t>
      </w:r>
      <w:proofErr w:type="gramStart"/>
      <w:r w:rsidRPr="00923197">
        <w:rPr>
          <w:rFonts w:asciiTheme="minorHAnsi" w:hAnsiTheme="minorHAnsi" w:cstheme="minorHAnsi"/>
          <w:lang w:val="en-US"/>
        </w:rPr>
        <w:t>To</w:t>
      </w:r>
      <w:proofErr w:type="gramEnd"/>
      <w:r w:rsidRPr="00923197">
        <w:rPr>
          <w:rFonts w:asciiTheme="minorHAnsi" w:hAnsiTheme="minorHAnsi" w:cstheme="minorHAnsi"/>
          <w:lang w:val="en-US"/>
        </w:rPr>
        <w:t xml:space="preserve"> Be An Expert’, </w:t>
      </w:r>
      <w:r w:rsidRPr="00923197">
        <w:rPr>
          <w:rFonts w:asciiTheme="minorHAnsi" w:hAnsiTheme="minorHAnsi" w:cstheme="minorHAnsi"/>
          <w:i/>
          <w:lang w:val="en-US"/>
        </w:rPr>
        <w:t>The Philosophical Quarterly</w:t>
      </w:r>
      <w:r w:rsidRPr="00923197">
        <w:rPr>
          <w:rFonts w:asciiTheme="minorHAnsi" w:hAnsiTheme="minorHAnsi" w:cstheme="minorHAnsi"/>
          <w:lang w:val="en-US"/>
        </w:rPr>
        <w:t xml:space="preserve">, 69, 1-21. </w:t>
      </w:r>
    </w:p>
    <w:p w14:paraId="7E3D2229" w14:textId="77777777"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t>Darwall</w:t>
      </w:r>
      <w:proofErr w:type="spellEnd"/>
      <w:r w:rsidRPr="00923197">
        <w:rPr>
          <w:rFonts w:asciiTheme="minorHAnsi" w:hAnsiTheme="minorHAnsi" w:cstheme="minorHAnsi"/>
          <w:lang w:val="en-US"/>
        </w:rPr>
        <w:t xml:space="preserve">, S. (2017) ‘Trust as a Second-Personal Attitude of the Hearth’, in Faulkner, P., Simpson, T. (eds.), </w:t>
      </w:r>
      <w:r w:rsidRPr="00923197">
        <w:rPr>
          <w:rFonts w:asciiTheme="minorHAnsi" w:hAnsiTheme="minorHAnsi" w:cstheme="minorHAnsi"/>
          <w:i/>
          <w:iCs/>
          <w:lang w:val="en-US"/>
        </w:rPr>
        <w:t>The Philosophy of Trust</w:t>
      </w:r>
      <w:r w:rsidRPr="00923197">
        <w:rPr>
          <w:rFonts w:asciiTheme="minorHAnsi" w:hAnsiTheme="minorHAnsi" w:cstheme="minorHAnsi"/>
          <w:lang w:val="en-US"/>
        </w:rPr>
        <w:t>. Oxford: Oxford University Press, pp. 35-50.</w:t>
      </w:r>
    </w:p>
    <w:p w14:paraId="0A5483D2" w14:textId="493A185B"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De Cruz, H. (2020) ‘Believing to Belong: Addressing the Novice-Expert Problem in Polarized Scientific Communication’</w:t>
      </w:r>
      <w:r w:rsidR="00A052FD" w:rsidRPr="00923197">
        <w:rPr>
          <w:rFonts w:asciiTheme="minorHAnsi" w:hAnsiTheme="minorHAnsi" w:cstheme="minorHAnsi"/>
          <w:lang w:val="en-US"/>
        </w:rPr>
        <w:t>.</w:t>
      </w:r>
      <w:r w:rsidRPr="00923197">
        <w:rPr>
          <w:rFonts w:asciiTheme="minorHAnsi" w:hAnsiTheme="minorHAnsi" w:cstheme="minorHAnsi"/>
          <w:i/>
          <w:iCs/>
          <w:lang w:val="en-US"/>
        </w:rPr>
        <w:t xml:space="preserve"> Social Epistemology</w:t>
      </w:r>
      <w:r w:rsidRPr="00923197">
        <w:rPr>
          <w:rFonts w:asciiTheme="minorHAnsi" w:hAnsiTheme="minorHAnsi" w:cstheme="minorHAnsi"/>
          <w:lang w:val="en-US"/>
        </w:rPr>
        <w:t>, 34(5), 440-452.</w:t>
      </w:r>
    </w:p>
    <w:p w14:paraId="4AAC401E" w14:textId="5E5DD9DB" w:rsidR="004A61D3" w:rsidRPr="00923197" w:rsidRDefault="004A61D3" w:rsidP="0077069D">
      <w:pPr>
        <w:spacing w:line="480" w:lineRule="auto"/>
        <w:ind w:left="426" w:hanging="426"/>
        <w:rPr>
          <w:rFonts w:asciiTheme="minorHAnsi" w:hAnsiTheme="minorHAnsi" w:cstheme="minorHAnsi"/>
          <w:lang w:val="en-US"/>
        </w:rPr>
      </w:pPr>
      <w:r w:rsidRPr="00923197">
        <w:rPr>
          <w:rFonts w:asciiTheme="minorHAnsi" w:hAnsiTheme="minorHAnsi" w:cstheme="minorHAnsi"/>
          <w:color w:val="000000" w:themeColor="text1"/>
        </w:rPr>
        <w:t xml:space="preserve">Dellsén, F. (2018) ‘The Epistemic Value of Expert Autonomy’. </w:t>
      </w:r>
      <w:r w:rsidRPr="00923197">
        <w:rPr>
          <w:rFonts w:asciiTheme="minorHAnsi" w:hAnsiTheme="minorHAnsi" w:cstheme="minorHAnsi"/>
          <w:i/>
          <w:iCs/>
          <w:color w:val="000000" w:themeColor="text1"/>
        </w:rPr>
        <w:t>Philosophy and Phenomenological Research</w:t>
      </w:r>
      <w:r w:rsidRPr="00923197">
        <w:rPr>
          <w:rFonts w:asciiTheme="minorHAnsi" w:hAnsiTheme="minorHAnsi" w:cstheme="minorHAnsi"/>
          <w:color w:val="000000" w:themeColor="text1"/>
        </w:rPr>
        <w:t xml:space="preserve"> (2):344-361.</w:t>
      </w:r>
    </w:p>
    <w:p w14:paraId="7B8237EB" w14:textId="03890249" w:rsidR="00117FB5" w:rsidRPr="00923197" w:rsidRDefault="00117FB5"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Dewey, J. </w:t>
      </w:r>
      <w:r w:rsidR="00845077" w:rsidRPr="00923197">
        <w:rPr>
          <w:rFonts w:asciiTheme="minorHAnsi" w:hAnsiTheme="minorHAnsi" w:cstheme="minorHAnsi"/>
          <w:lang w:val="en-US"/>
        </w:rPr>
        <w:t>(</w:t>
      </w:r>
      <w:r w:rsidRPr="00923197">
        <w:rPr>
          <w:rFonts w:asciiTheme="minorHAnsi" w:hAnsiTheme="minorHAnsi" w:cstheme="minorHAnsi"/>
          <w:lang w:val="en-US"/>
        </w:rPr>
        <w:t>1927</w:t>
      </w:r>
      <w:r w:rsidR="00845077"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The Public and Its Problems</w:t>
      </w:r>
      <w:r w:rsidR="00A052FD" w:rsidRPr="00923197">
        <w:rPr>
          <w:rFonts w:asciiTheme="minorHAnsi" w:hAnsiTheme="minorHAnsi" w:cstheme="minorHAnsi"/>
          <w:lang w:val="en-US"/>
        </w:rPr>
        <w:t>.</w:t>
      </w:r>
      <w:r w:rsidRPr="00923197">
        <w:rPr>
          <w:rFonts w:asciiTheme="minorHAnsi" w:hAnsiTheme="minorHAnsi" w:cstheme="minorHAnsi"/>
          <w:lang w:val="en-US"/>
        </w:rPr>
        <w:t xml:space="preserve"> New York: Henry Holt &amp; Co</w:t>
      </w:r>
    </w:p>
    <w:p w14:paraId="7E40C1C2" w14:textId="3A294FAF"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t>Dormandy</w:t>
      </w:r>
      <w:proofErr w:type="spellEnd"/>
      <w:r w:rsidRPr="00923197">
        <w:rPr>
          <w:rFonts w:asciiTheme="minorHAnsi" w:hAnsiTheme="minorHAnsi" w:cstheme="minorHAnsi"/>
          <w:lang w:val="en-US"/>
        </w:rPr>
        <w:t xml:space="preserve">, K. (2020) ‘Introduction: An Overview of trust and Some Key Epistemological Applications’, in </w:t>
      </w:r>
      <w:proofErr w:type="spellStart"/>
      <w:r w:rsidRPr="00923197">
        <w:rPr>
          <w:rFonts w:asciiTheme="minorHAnsi" w:hAnsiTheme="minorHAnsi" w:cstheme="minorHAnsi"/>
          <w:lang w:val="en-US"/>
        </w:rPr>
        <w:t>Dormandy</w:t>
      </w:r>
      <w:proofErr w:type="spellEnd"/>
      <w:r w:rsidRPr="00923197">
        <w:rPr>
          <w:rFonts w:asciiTheme="minorHAnsi" w:hAnsiTheme="minorHAnsi" w:cstheme="minorHAnsi"/>
          <w:lang w:val="en-US"/>
        </w:rPr>
        <w:t>, K (ed.)</w:t>
      </w:r>
      <w:r w:rsidR="00A052FD"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Trust in Epistemology</w:t>
      </w:r>
      <w:r w:rsidRPr="00923197">
        <w:rPr>
          <w:rFonts w:asciiTheme="minorHAnsi" w:hAnsiTheme="minorHAnsi" w:cstheme="minorHAnsi"/>
          <w:lang w:val="en-US"/>
        </w:rPr>
        <w:t>. London: Routledge, pp. 1-40.</w:t>
      </w:r>
    </w:p>
    <w:p w14:paraId="37E8BEF5" w14:textId="5DE2CA02" w:rsidR="004A61D3" w:rsidRPr="00923197" w:rsidRDefault="004A61D3"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Douglas, H.</w:t>
      </w:r>
    </w:p>
    <w:p w14:paraId="65AB7F01" w14:textId="606C9BF8" w:rsidR="006E579C" w:rsidRPr="00923197" w:rsidRDefault="006E579C"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lastRenderedPageBreak/>
        <w:t>Facciolà</w:t>
      </w:r>
      <w:proofErr w:type="spellEnd"/>
      <w:r w:rsidRPr="00923197">
        <w:rPr>
          <w:rFonts w:asciiTheme="minorHAnsi" w:hAnsiTheme="minorHAnsi" w:cstheme="minorHAnsi"/>
          <w:lang w:val="en-US"/>
        </w:rPr>
        <w:t xml:space="preserve">, A., </w:t>
      </w:r>
      <w:proofErr w:type="spellStart"/>
      <w:r w:rsidRPr="00923197">
        <w:rPr>
          <w:rFonts w:asciiTheme="minorHAnsi" w:hAnsiTheme="minorHAnsi" w:cstheme="minorHAnsi"/>
          <w:lang w:val="en-US"/>
        </w:rPr>
        <w:t>Visalli</w:t>
      </w:r>
      <w:proofErr w:type="spellEnd"/>
      <w:r w:rsidRPr="00923197">
        <w:rPr>
          <w:rFonts w:asciiTheme="minorHAnsi" w:hAnsiTheme="minorHAnsi" w:cstheme="minorHAnsi"/>
          <w:lang w:val="en-US"/>
        </w:rPr>
        <w:t xml:space="preserve">, G., Orlando, A., </w:t>
      </w:r>
      <w:proofErr w:type="spellStart"/>
      <w:r w:rsidRPr="00923197">
        <w:rPr>
          <w:rFonts w:asciiTheme="minorHAnsi" w:hAnsiTheme="minorHAnsi" w:cstheme="minorHAnsi"/>
          <w:lang w:val="en-US"/>
        </w:rPr>
        <w:t>Bertuccio</w:t>
      </w:r>
      <w:proofErr w:type="spellEnd"/>
      <w:r w:rsidRPr="00923197">
        <w:rPr>
          <w:rFonts w:asciiTheme="minorHAnsi" w:hAnsiTheme="minorHAnsi" w:cstheme="minorHAnsi"/>
          <w:lang w:val="en-US"/>
        </w:rPr>
        <w:t xml:space="preserve">, M. P., </w:t>
      </w:r>
      <w:proofErr w:type="spellStart"/>
      <w:r w:rsidRPr="00923197">
        <w:rPr>
          <w:rFonts w:asciiTheme="minorHAnsi" w:hAnsiTheme="minorHAnsi" w:cstheme="minorHAnsi"/>
          <w:lang w:val="en-US"/>
        </w:rPr>
        <w:t>Spataro</w:t>
      </w:r>
      <w:proofErr w:type="spellEnd"/>
      <w:r w:rsidRPr="00923197">
        <w:rPr>
          <w:rFonts w:asciiTheme="minorHAnsi" w:hAnsiTheme="minorHAnsi" w:cstheme="minorHAnsi"/>
          <w:lang w:val="en-US"/>
        </w:rPr>
        <w:t xml:space="preserve">, P., </w:t>
      </w:r>
      <w:proofErr w:type="spellStart"/>
      <w:r w:rsidRPr="00923197">
        <w:rPr>
          <w:rFonts w:asciiTheme="minorHAnsi" w:hAnsiTheme="minorHAnsi" w:cstheme="minorHAnsi"/>
          <w:lang w:val="en-US"/>
        </w:rPr>
        <w:t>Squeri</w:t>
      </w:r>
      <w:proofErr w:type="spellEnd"/>
      <w:r w:rsidRPr="00923197">
        <w:rPr>
          <w:rFonts w:asciiTheme="minorHAnsi" w:hAnsiTheme="minorHAnsi" w:cstheme="minorHAnsi"/>
          <w:lang w:val="en-US"/>
        </w:rPr>
        <w:t xml:space="preserve">, R., </w:t>
      </w:r>
      <w:proofErr w:type="spellStart"/>
      <w:r w:rsidRPr="00923197">
        <w:rPr>
          <w:rFonts w:asciiTheme="minorHAnsi" w:hAnsiTheme="minorHAnsi" w:cstheme="minorHAnsi"/>
          <w:lang w:val="en-US"/>
        </w:rPr>
        <w:t>Picerno</w:t>
      </w:r>
      <w:proofErr w:type="spellEnd"/>
      <w:r w:rsidRPr="00923197">
        <w:rPr>
          <w:rFonts w:asciiTheme="minorHAnsi" w:hAnsiTheme="minorHAnsi" w:cstheme="minorHAnsi"/>
          <w:lang w:val="en-US"/>
        </w:rPr>
        <w:t>, I., &amp; Di Pietro, A. (2019)</w:t>
      </w:r>
      <w:r w:rsidR="00845077" w:rsidRPr="00923197">
        <w:rPr>
          <w:rFonts w:asciiTheme="minorHAnsi" w:hAnsiTheme="minorHAnsi" w:cstheme="minorHAnsi"/>
          <w:lang w:val="en-US"/>
        </w:rPr>
        <w:t xml:space="preserve"> ‘</w:t>
      </w:r>
      <w:r w:rsidRPr="00923197">
        <w:rPr>
          <w:rFonts w:asciiTheme="minorHAnsi" w:hAnsiTheme="minorHAnsi" w:cstheme="minorHAnsi"/>
          <w:lang w:val="en-US"/>
        </w:rPr>
        <w:t>Vaccine hesitancy: An overview on parents' opinions about vaccination and possible reasons of vaccine refusal.</w:t>
      </w:r>
      <w:r w:rsidR="00845077" w:rsidRPr="00923197">
        <w:rPr>
          <w:rFonts w:asciiTheme="minorHAnsi" w:hAnsiTheme="minorHAnsi" w:cstheme="minorHAnsi"/>
          <w:lang w:val="en-US"/>
        </w:rPr>
        <w:t>’</w:t>
      </w:r>
      <w:r w:rsidRPr="00923197">
        <w:rPr>
          <w:rFonts w:asciiTheme="minorHAnsi" w:hAnsiTheme="minorHAnsi" w:cstheme="minorHAnsi"/>
          <w:lang w:val="en-US"/>
        </w:rPr>
        <w:t xml:space="preserve"> Journal of public health research, 8(1), 1436. https://doi.org/10.4081/jphr.2019.1436</w:t>
      </w:r>
    </w:p>
    <w:p w14:paraId="243C914F" w14:textId="41A872DA"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Faulkner, P. (2007) ‘On Telling and Trusting’</w:t>
      </w:r>
      <w:r w:rsidR="00A052FD"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Mind</w:t>
      </w:r>
      <w:r w:rsidRPr="00923197">
        <w:rPr>
          <w:rFonts w:asciiTheme="minorHAnsi" w:hAnsiTheme="minorHAnsi" w:cstheme="minorHAnsi"/>
          <w:lang w:val="en-US"/>
        </w:rPr>
        <w:t>, 116(464), 875-902.</w:t>
      </w:r>
    </w:p>
    <w:p w14:paraId="429F3FCB" w14:textId="34B552F3" w:rsidR="00327637" w:rsidRPr="00923197" w:rsidRDefault="00327637" w:rsidP="0077069D">
      <w:pPr>
        <w:spacing w:line="480" w:lineRule="auto"/>
        <w:ind w:left="426" w:hanging="426"/>
        <w:rPr>
          <w:rFonts w:asciiTheme="minorHAnsi" w:hAnsiTheme="minorHAnsi" w:cstheme="minorHAnsi"/>
          <w:lang w:val="en-US"/>
        </w:rPr>
      </w:pPr>
      <w:proofErr w:type="spellStart"/>
      <w:proofErr w:type="gramStart"/>
      <w:r w:rsidRPr="00923197">
        <w:rPr>
          <w:rFonts w:asciiTheme="minorHAnsi" w:hAnsiTheme="minorHAnsi" w:cstheme="minorHAnsi"/>
          <w:lang w:val="en-US"/>
        </w:rPr>
        <w:t>Faulkner,P</w:t>
      </w:r>
      <w:proofErr w:type="spellEnd"/>
      <w:r w:rsidRPr="00923197">
        <w:rPr>
          <w:rFonts w:asciiTheme="minorHAnsi" w:hAnsiTheme="minorHAnsi" w:cstheme="minorHAnsi"/>
          <w:lang w:val="en-US"/>
        </w:rPr>
        <w:t>.</w:t>
      </w:r>
      <w:proofErr w:type="gramEnd"/>
      <w:r w:rsidRPr="00923197">
        <w:rPr>
          <w:rFonts w:asciiTheme="minorHAnsi" w:hAnsiTheme="minorHAnsi" w:cstheme="minorHAnsi"/>
          <w:lang w:val="en-US"/>
        </w:rPr>
        <w:t xml:space="preserve"> (2017) ‘The Problem of Trust’</w:t>
      </w:r>
      <w:r w:rsidR="00A052FD" w:rsidRPr="00923197">
        <w:rPr>
          <w:rFonts w:asciiTheme="minorHAnsi" w:hAnsiTheme="minorHAnsi" w:cstheme="minorHAnsi"/>
          <w:lang w:val="en-US"/>
        </w:rPr>
        <w:t>.</w:t>
      </w:r>
      <w:r w:rsidRPr="00923197">
        <w:rPr>
          <w:rFonts w:asciiTheme="minorHAnsi" w:hAnsiTheme="minorHAnsi" w:cstheme="minorHAnsi"/>
          <w:lang w:val="en-US"/>
        </w:rPr>
        <w:t xml:space="preserve"> </w:t>
      </w:r>
      <w:r w:rsidR="00A052FD" w:rsidRPr="00923197">
        <w:rPr>
          <w:rFonts w:asciiTheme="minorHAnsi" w:hAnsiTheme="minorHAnsi" w:cstheme="minorHAnsi"/>
          <w:lang w:val="en-US"/>
        </w:rPr>
        <w:t>I</w:t>
      </w:r>
      <w:r w:rsidRPr="00923197">
        <w:rPr>
          <w:rFonts w:asciiTheme="minorHAnsi" w:hAnsiTheme="minorHAnsi" w:cstheme="minorHAnsi"/>
          <w:lang w:val="en-US"/>
        </w:rPr>
        <w:t xml:space="preserve">n Faulkner, P. and Simpson, T. (eds.), </w:t>
      </w:r>
      <w:r w:rsidRPr="00923197">
        <w:rPr>
          <w:rFonts w:asciiTheme="minorHAnsi" w:hAnsiTheme="minorHAnsi" w:cstheme="minorHAnsi"/>
          <w:i/>
          <w:iCs/>
          <w:lang w:val="en-US"/>
        </w:rPr>
        <w:t>The Philosophy of Trust</w:t>
      </w:r>
      <w:r w:rsidRPr="00923197">
        <w:rPr>
          <w:rFonts w:asciiTheme="minorHAnsi" w:hAnsiTheme="minorHAnsi" w:cstheme="minorHAnsi"/>
          <w:lang w:val="en-US"/>
        </w:rPr>
        <w:t>, Oxford: Oxford University Press, pp. 110-129.</w:t>
      </w:r>
    </w:p>
    <w:p w14:paraId="725F1C25" w14:textId="2B3C08B9"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Frost-Arnold, K. (2013) ‘Moral Trust and Scientific Collaboration’</w:t>
      </w:r>
      <w:r w:rsidR="00A052FD"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Studies in History and Philosophy of Science Part A</w:t>
      </w:r>
      <w:r w:rsidRPr="00923197">
        <w:rPr>
          <w:rFonts w:asciiTheme="minorHAnsi" w:hAnsiTheme="minorHAnsi" w:cstheme="minorHAnsi"/>
          <w:lang w:val="en-US"/>
        </w:rPr>
        <w:t>, 44(3), 301-310.</w:t>
      </w:r>
    </w:p>
    <w:p w14:paraId="17C37ECD" w14:textId="7B0653D8"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Goldberg, S. (2011) ‘The Division of Epistemic Labor’</w:t>
      </w:r>
      <w:r w:rsidR="00A052FD"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Episteme</w:t>
      </w:r>
      <w:r w:rsidRPr="00923197">
        <w:rPr>
          <w:rFonts w:asciiTheme="minorHAnsi" w:hAnsiTheme="minorHAnsi" w:cstheme="minorHAnsi"/>
          <w:lang w:val="en-US"/>
        </w:rPr>
        <w:t>, 8(1), 112-125.</w:t>
      </w:r>
    </w:p>
    <w:p w14:paraId="41E434DF" w14:textId="777777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Goldman, A. (1999) </w:t>
      </w:r>
      <w:r w:rsidRPr="00923197">
        <w:rPr>
          <w:rFonts w:asciiTheme="minorHAnsi" w:hAnsiTheme="minorHAnsi" w:cstheme="minorHAnsi"/>
          <w:i/>
          <w:lang w:val="en-US"/>
        </w:rPr>
        <w:t xml:space="preserve">Knowledge in a Social World. </w:t>
      </w:r>
      <w:r w:rsidRPr="00923197">
        <w:rPr>
          <w:rFonts w:asciiTheme="minorHAnsi" w:hAnsiTheme="minorHAnsi" w:cstheme="minorHAnsi"/>
          <w:lang w:val="en-US"/>
        </w:rPr>
        <w:t>Oxford: Oxford University Press.</w:t>
      </w:r>
    </w:p>
    <w:p w14:paraId="6ACD23E7" w14:textId="3CCB8718"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Goldman, A. (2001) ‘Experts: Which Ones Should You Trust?’</w:t>
      </w:r>
      <w:r w:rsidR="00A052FD"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lang w:val="en-US"/>
        </w:rPr>
        <w:t>Philosophy and Phenomenological Research</w:t>
      </w:r>
      <w:r w:rsidRPr="00923197">
        <w:rPr>
          <w:rFonts w:asciiTheme="minorHAnsi" w:hAnsiTheme="minorHAnsi" w:cstheme="minorHAnsi"/>
          <w:iCs/>
          <w:lang w:val="en-US"/>
        </w:rPr>
        <w:t>,</w:t>
      </w:r>
      <w:r w:rsidRPr="00923197">
        <w:rPr>
          <w:rFonts w:asciiTheme="minorHAnsi" w:hAnsiTheme="minorHAnsi" w:cstheme="minorHAnsi"/>
          <w:lang w:val="en-US"/>
        </w:rPr>
        <w:t xml:space="preserve"> 63, 85-110.</w:t>
      </w:r>
    </w:p>
    <w:p w14:paraId="5AE74D67" w14:textId="670A86D9"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Goldman, A. (2018) ‘Expertise’</w:t>
      </w:r>
      <w:r w:rsidR="00A052FD"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lang w:val="en-US"/>
        </w:rPr>
        <w:t>Topoi</w:t>
      </w:r>
      <w:r w:rsidRPr="00923197">
        <w:rPr>
          <w:rFonts w:asciiTheme="minorHAnsi" w:hAnsiTheme="minorHAnsi" w:cstheme="minorHAnsi"/>
          <w:lang w:val="en-US"/>
        </w:rPr>
        <w:t>, 37(1), 3-10.</w:t>
      </w:r>
    </w:p>
    <w:p w14:paraId="76914540" w14:textId="5E8FFF98"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t>Grasswick</w:t>
      </w:r>
      <w:proofErr w:type="spellEnd"/>
      <w:r w:rsidRPr="00923197">
        <w:rPr>
          <w:rFonts w:asciiTheme="minorHAnsi" w:hAnsiTheme="minorHAnsi" w:cstheme="minorHAnsi"/>
          <w:lang w:val="en-US"/>
        </w:rPr>
        <w:t>, H. (2020) ‘Reconciling Epistemic Trust and Responsibility’</w:t>
      </w:r>
      <w:r w:rsidR="00A052FD" w:rsidRPr="00923197">
        <w:rPr>
          <w:rFonts w:asciiTheme="minorHAnsi" w:hAnsiTheme="minorHAnsi" w:cstheme="minorHAnsi"/>
          <w:lang w:val="en-US"/>
        </w:rPr>
        <w:t>.</w:t>
      </w:r>
      <w:r w:rsidRPr="00923197">
        <w:rPr>
          <w:rFonts w:asciiTheme="minorHAnsi" w:hAnsiTheme="minorHAnsi" w:cstheme="minorHAnsi"/>
          <w:lang w:val="en-US"/>
        </w:rPr>
        <w:t xml:space="preserve"> </w:t>
      </w:r>
      <w:r w:rsidR="00A052FD" w:rsidRPr="00923197">
        <w:rPr>
          <w:rFonts w:asciiTheme="minorHAnsi" w:hAnsiTheme="minorHAnsi" w:cstheme="minorHAnsi"/>
          <w:lang w:val="en-US"/>
        </w:rPr>
        <w:t>I</w:t>
      </w:r>
      <w:r w:rsidRPr="00923197">
        <w:rPr>
          <w:rFonts w:asciiTheme="minorHAnsi" w:hAnsiTheme="minorHAnsi" w:cstheme="minorHAnsi"/>
          <w:lang w:val="en-US"/>
        </w:rPr>
        <w:t xml:space="preserve">n </w:t>
      </w:r>
      <w:proofErr w:type="spellStart"/>
      <w:r w:rsidRPr="00923197">
        <w:rPr>
          <w:rFonts w:asciiTheme="minorHAnsi" w:hAnsiTheme="minorHAnsi" w:cstheme="minorHAnsi"/>
          <w:lang w:val="en-US"/>
        </w:rPr>
        <w:t>Dormandy</w:t>
      </w:r>
      <w:proofErr w:type="spellEnd"/>
      <w:r w:rsidRPr="00923197">
        <w:rPr>
          <w:rFonts w:asciiTheme="minorHAnsi" w:hAnsiTheme="minorHAnsi" w:cstheme="minorHAnsi"/>
          <w:lang w:val="en-US"/>
        </w:rPr>
        <w:t xml:space="preserve">, K (ed.), </w:t>
      </w:r>
      <w:r w:rsidRPr="00923197">
        <w:rPr>
          <w:rFonts w:asciiTheme="minorHAnsi" w:hAnsiTheme="minorHAnsi" w:cstheme="minorHAnsi"/>
          <w:i/>
          <w:iCs/>
          <w:lang w:val="en-US"/>
        </w:rPr>
        <w:t>Trust in Epistemology</w:t>
      </w:r>
      <w:r w:rsidRPr="00923197">
        <w:rPr>
          <w:rFonts w:asciiTheme="minorHAnsi" w:hAnsiTheme="minorHAnsi" w:cstheme="minorHAnsi"/>
          <w:lang w:val="en-US"/>
        </w:rPr>
        <w:t>. London: Routledge, pp. 161-188.</w:t>
      </w:r>
    </w:p>
    <w:p w14:paraId="5B1F5EBD" w14:textId="0F358E5E"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Grundmann, R. (2017) ‘The Problem of Expertise in Knowledge Societies’</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Minerva</w:t>
      </w:r>
      <w:r w:rsidRPr="00923197">
        <w:rPr>
          <w:rFonts w:asciiTheme="minorHAnsi" w:hAnsiTheme="minorHAnsi" w:cstheme="minorHAnsi"/>
          <w:lang w:val="en-US"/>
        </w:rPr>
        <w:t>, 55, 25-48.</w:t>
      </w:r>
    </w:p>
    <w:p w14:paraId="5D826F1F" w14:textId="5A4AB24A"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Grundmann, T. (forthcoming) ‘Experts: What Are They and How Can Laypeople Identify Them?’</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006E47AB" w:rsidRPr="00923197">
        <w:rPr>
          <w:rFonts w:asciiTheme="minorHAnsi" w:hAnsiTheme="minorHAnsi" w:cstheme="minorHAnsi"/>
          <w:lang w:val="en-US"/>
        </w:rPr>
        <w:t>I</w:t>
      </w:r>
      <w:r w:rsidRPr="00923197">
        <w:rPr>
          <w:rFonts w:asciiTheme="minorHAnsi" w:hAnsiTheme="minorHAnsi" w:cstheme="minorHAnsi"/>
          <w:lang w:val="en-US"/>
        </w:rPr>
        <w:t xml:space="preserve">n Lackey, J. and McGlynn, A. (eds.) </w:t>
      </w:r>
      <w:r w:rsidRPr="00923197">
        <w:rPr>
          <w:rFonts w:asciiTheme="minorHAnsi" w:hAnsiTheme="minorHAnsi" w:cstheme="minorHAnsi"/>
          <w:i/>
          <w:iCs/>
          <w:lang w:val="en-US"/>
        </w:rPr>
        <w:t>Oxford Handbook of Social Epistemology</w:t>
      </w:r>
      <w:r w:rsidRPr="00923197">
        <w:rPr>
          <w:rFonts w:asciiTheme="minorHAnsi" w:hAnsiTheme="minorHAnsi" w:cstheme="minorHAnsi"/>
          <w:lang w:val="en-US"/>
        </w:rPr>
        <w:t>. Cambridge: Cambridge University Press.</w:t>
      </w:r>
    </w:p>
    <w:p w14:paraId="6FEDD8C4" w14:textId="57E6A440"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Guerrero, A. (2017) ‘Living with Ignorance in a World of Experts’</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006E47AB" w:rsidRPr="00923197">
        <w:rPr>
          <w:rFonts w:asciiTheme="minorHAnsi" w:hAnsiTheme="minorHAnsi" w:cstheme="minorHAnsi"/>
          <w:lang w:val="en-US"/>
        </w:rPr>
        <w:t>I</w:t>
      </w:r>
      <w:r w:rsidRPr="00923197">
        <w:rPr>
          <w:rFonts w:asciiTheme="minorHAnsi" w:hAnsiTheme="minorHAnsi" w:cstheme="minorHAnsi"/>
          <w:lang w:val="en-US"/>
        </w:rPr>
        <w:t xml:space="preserve">n Peels, R. (ed.), </w:t>
      </w:r>
      <w:r w:rsidRPr="00923197">
        <w:rPr>
          <w:rFonts w:asciiTheme="minorHAnsi" w:hAnsiTheme="minorHAnsi" w:cstheme="minorHAnsi"/>
          <w:i/>
          <w:iCs/>
          <w:lang w:val="en-US"/>
        </w:rPr>
        <w:t>Perspectives on Ignorance from Moral and Social Philosophy</w:t>
      </w:r>
      <w:r w:rsidRPr="00923197">
        <w:rPr>
          <w:rFonts w:asciiTheme="minorHAnsi" w:hAnsiTheme="minorHAnsi" w:cstheme="minorHAnsi"/>
          <w:lang w:val="en-US"/>
        </w:rPr>
        <w:t>. New York: Routledge, pp. 135-177.</w:t>
      </w:r>
    </w:p>
    <w:p w14:paraId="658C85A1" w14:textId="4638096F"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lastRenderedPageBreak/>
        <w:t>Hardin, R. (1993) ‘The Street-Level Epistemology of Trust’</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Politics and Society</w:t>
      </w:r>
      <w:r w:rsidRPr="00923197">
        <w:rPr>
          <w:rFonts w:asciiTheme="minorHAnsi" w:hAnsiTheme="minorHAnsi" w:cstheme="minorHAnsi"/>
          <w:lang w:val="en-US"/>
        </w:rPr>
        <w:t>, 21(4), 505-529.</w:t>
      </w:r>
    </w:p>
    <w:p w14:paraId="5AEF6806" w14:textId="6ECECD86"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t>Hardwig</w:t>
      </w:r>
      <w:proofErr w:type="spellEnd"/>
      <w:r w:rsidRPr="00923197">
        <w:rPr>
          <w:rFonts w:asciiTheme="minorHAnsi" w:hAnsiTheme="minorHAnsi" w:cstheme="minorHAnsi"/>
          <w:lang w:val="en-US"/>
        </w:rPr>
        <w:t>, J. (1991) ‘The Role of Trust in Knowledge’</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Journal of Philosophy</w:t>
      </w:r>
      <w:r w:rsidRPr="00923197">
        <w:rPr>
          <w:rFonts w:asciiTheme="minorHAnsi" w:hAnsiTheme="minorHAnsi" w:cstheme="minorHAnsi"/>
          <w:lang w:val="en-US"/>
        </w:rPr>
        <w:t>, 88(12), 693-708.</w:t>
      </w:r>
    </w:p>
    <w:p w14:paraId="395821F4" w14:textId="757E188C"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Hawley, K. </w:t>
      </w:r>
      <w:r w:rsidR="00C47720" w:rsidRPr="00923197">
        <w:rPr>
          <w:rFonts w:asciiTheme="minorHAnsi" w:hAnsiTheme="minorHAnsi" w:cstheme="minorHAnsi"/>
          <w:lang w:val="en-US"/>
        </w:rPr>
        <w:t xml:space="preserve">J. </w:t>
      </w:r>
      <w:r w:rsidRPr="00923197">
        <w:rPr>
          <w:rFonts w:asciiTheme="minorHAnsi" w:hAnsiTheme="minorHAnsi" w:cstheme="minorHAnsi"/>
          <w:lang w:val="en-US"/>
        </w:rPr>
        <w:t>(2017)</w:t>
      </w:r>
      <w:r w:rsidR="00C47720" w:rsidRPr="00923197">
        <w:rPr>
          <w:rFonts w:asciiTheme="minorHAnsi" w:hAnsiTheme="minorHAnsi" w:cstheme="minorHAnsi"/>
          <w:lang w:val="en-US"/>
        </w:rPr>
        <w:t xml:space="preserve"> “Trustworthy groups and </w:t>
      </w:r>
      <w:proofErr w:type="spellStart"/>
      <w:r w:rsidR="00C47720" w:rsidRPr="00923197">
        <w:rPr>
          <w:rFonts w:asciiTheme="minorHAnsi" w:hAnsiTheme="minorHAnsi" w:cstheme="minorHAnsi"/>
          <w:lang w:val="en-US"/>
        </w:rPr>
        <w:t>organisations</w:t>
      </w:r>
      <w:proofErr w:type="spellEnd"/>
      <w:r w:rsidR="00C47720" w:rsidRPr="00923197">
        <w:rPr>
          <w:rFonts w:asciiTheme="minorHAnsi" w:hAnsiTheme="minorHAnsi" w:cstheme="minorHAnsi"/>
          <w:lang w:val="en-US"/>
        </w:rPr>
        <w:t>”. In P. Faulkner &amp; T. Simpson (eds.), The Philosophy of Trust. Oxford, U.K.: Oxford University Press.</w:t>
      </w:r>
    </w:p>
    <w:p w14:paraId="051B51E7" w14:textId="055589FD"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Hawley, K. (2019) </w:t>
      </w:r>
      <w:r w:rsidRPr="00923197">
        <w:rPr>
          <w:rFonts w:asciiTheme="minorHAnsi" w:hAnsiTheme="minorHAnsi" w:cstheme="minorHAnsi"/>
          <w:i/>
          <w:iCs/>
          <w:lang w:val="en-US"/>
        </w:rPr>
        <w:t xml:space="preserve">How </w:t>
      </w:r>
      <w:r w:rsidR="00316241" w:rsidRPr="00923197">
        <w:rPr>
          <w:rFonts w:asciiTheme="minorHAnsi" w:hAnsiTheme="minorHAnsi" w:cstheme="minorHAnsi"/>
          <w:i/>
          <w:iCs/>
          <w:lang w:val="en-US"/>
        </w:rPr>
        <w:t>t</w:t>
      </w:r>
      <w:r w:rsidRPr="00923197">
        <w:rPr>
          <w:rFonts w:asciiTheme="minorHAnsi" w:hAnsiTheme="minorHAnsi" w:cstheme="minorHAnsi"/>
          <w:i/>
          <w:iCs/>
          <w:lang w:val="en-US"/>
        </w:rPr>
        <w:t>o Be Trustworthy</w:t>
      </w:r>
      <w:r w:rsidRPr="00923197">
        <w:rPr>
          <w:rFonts w:asciiTheme="minorHAnsi" w:hAnsiTheme="minorHAnsi" w:cstheme="minorHAnsi"/>
          <w:lang w:val="en-US"/>
        </w:rPr>
        <w:t>. Oxford: Oxford University Press.</w:t>
      </w:r>
    </w:p>
    <w:p w14:paraId="204C7AF0" w14:textId="26FF7041"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Henderson, D. (2009) ‘Motivated Contextualism’</w:t>
      </w:r>
      <w:r w:rsidR="006E47AB" w:rsidRPr="00923197">
        <w:rPr>
          <w:rFonts w:asciiTheme="minorHAnsi" w:hAnsiTheme="minorHAnsi" w:cstheme="minorHAnsi"/>
          <w:lang w:val="en-US"/>
        </w:rPr>
        <w:t>.</w:t>
      </w:r>
      <w:r w:rsidRPr="00923197">
        <w:rPr>
          <w:rFonts w:asciiTheme="minorHAnsi" w:hAnsiTheme="minorHAnsi" w:cstheme="minorHAnsi"/>
          <w:i/>
          <w:iCs/>
          <w:lang w:val="en-US"/>
        </w:rPr>
        <w:t xml:space="preserve"> Philosophical Studies</w:t>
      </w:r>
      <w:r w:rsidRPr="00923197">
        <w:rPr>
          <w:rFonts w:asciiTheme="minorHAnsi" w:hAnsiTheme="minorHAnsi" w:cstheme="minorHAnsi"/>
          <w:lang w:val="en-US"/>
        </w:rPr>
        <w:t>, 142(1), 119-131.</w:t>
      </w:r>
    </w:p>
    <w:p w14:paraId="0FB65400" w14:textId="38CDD99B" w:rsidR="0002257A" w:rsidRPr="00923197" w:rsidRDefault="0002257A"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Holst, </w:t>
      </w:r>
      <w:proofErr w:type="spellStart"/>
      <w:r w:rsidRPr="00923197">
        <w:rPr>
          <w:rFonts w:asciiTheme="minorHAnsi" w:hAnsiTheme="minorHAnsi" w:cstheme="minorHAnsi"/>
          <w:lang w:val="en-US"/>
        </w:rPr>
        <w:t>Cathrine</w:t>
      </w:r>
      <w:proofErr w:type="spellEnd"/>
      <w:r w:rsidRPr="00923197">
        <w:rPr>
          <w:rFonts w:asciiTheme="minorHAnsi" w:hAnsiTheme="minorHAnsi" w:cstheme="minorHAnsi"/>
          <w:lang w:val="en-US"/>
        </w:rPr>
        <w:t xml:space="preserve"> &amp; </w:t>
      </w:r>
      <w:proofErr w:type="spellStart"/>
      <w:r w:rsidRPr="00923197">
        <w:rPr>
          <w:rFonts w:asciiTheme="minorHAnsi" w:hAnsiTheme="minorHAnsi" w:cstheme="minorHAnsi"/>
          <w:lang w:val="en-US"/>
        </w:rPr>
        <w:t>Molander</w:t>
      </w:r>
      <w:proofErr w:type="spellEnd"/>
      <w:r w:rsidRPr="00923197">
        <w:rPr>
          <w:rFonts w:asciiTheme="minorHAnsi" w:hAnsiTheme="minorHAnsi" w:cstheme="minorHAnsi"/>
          <w:lang w:val="en-US"/>
        </w:rPr>
        <w:t xml:space="preserve">, Anders (2019) ‘Epistemic democracy and the role of </w:t>
      </w:r>
      <w:proofErr w:type="gramStart"/>
      <w:r w:rsidRPr="00923197">
        <w:rPr>
          <w:rFonts w:asciiTheme="minorHAnsi" w:hAnsiTheme="minorHAnsi" w:cstheme="minorHAnsi"/>
          <w:lang w:val="en-US"/>
        </w:rPr>
        <w:t>experts’</w:t>
      </w:r>
      <w:proofErr w:type="gramEnd"/>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Contemporary Political Theory.</w:t>
      </w:r>
      <w:r w:rsidRPr="00923197">
        <w:rPr>
          <w:rFonts w:asciiTheme="minorHAnsi" w:hAnsiTheme="minorHAnsi" w:cstheme="minorHAnsi"/>
          <w:lang w:val="en-US"/>
        </w:rPr>
        <w:t xml:space="preserve"> 18(4), 541- 561. </w:t>
      </w:r>
    </w:p>
    <w:p w14:paraId="5547D0D2" w14:textId="4B872DA6"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Holton, R. (1994) ‘Deciding to Trust, Coming to Believe’</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Australasian Journal of Philosophy</w:t>
      </w:r>
      <w:r w:rsidRPr="00923197">
        <w:rPr>
          <w:rFonts w:asciiTheme="minorHAnsi" w:hAnsiTheme="minorHAnsi" w:cstheme="minorHAnsi"/>
          <w:lang w:val="en-US"/>
        </w:rPr>
        <w:t>, 72(1), 63-76.</w:t>
      </w:r>
    </w:p>
    <w:p w14:paraId="3F22E6C6" w14:textId="1BEF1E16"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Jäger, C. (2016) ‘Epistemic Authority, Preemptive Reasons, and Understanding’</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lang w:val="en-US"/>
        </w:rPr>
        <w:t>Episteme</w:t>
      </w:r>
      <w:r w:rsidRPr="00923197">
        <w:rPr>
          <w:rFonts w:asciiTheme="minorHAnsi" w:hAnsiTheme="minorHAnsi" w:cstheme="minorHAnsi"/>
          <w:lang w:val="en-US"/>
        </w:rPr>
        <w:t>, 13(2), 167-185.</w:t>
      </w:r>
    </w:p>
    <w:p w14:paraId="38FC15A5" w14:textId="2B7049F7"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t>Jasanoff</w:t>
      </w:r>
      <w:proofErr w:type="spellEnd"/>
      <w:r w:rsidRPr="00923197">
        <w:rPr>
          <w:rFonts w:asciiTheme="minorHAnsi" w:hAnsiTheme="minorHAnsi" w:cstheme="minorHAnsi"/>
          <w:lang w:val="en-US"/>
        </w:rPr>
        <w:t>, S. (2011) ‘Quality Control and Peer Review in Advisory Science’</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006E47AB" w:rsidRPr="00923197">
        <w:rPr>
          <w:rFonts w:asciiTheme="minorHAnsi" w:hAnsiTheme="minorHAnsi" w:cstheme="minorHAnsi"/>
          <w:lang w:val="en-US"/>
        </w:rPr>
        <w:t>I</w:t>
      </w:r>
      <w:r w:rsidRPr="00923197">
        <w:rPr>
          <w:rFonts w:asciiTheme="minorHAnsi" w:hAnsiTheme="minorHAnsi" w:cstheme="minorHAnsi"/>
          <w:lang w:val="en-US"/>
        </w:rPr>
        <w:t xml:space="preserve">n </w:t>
      </w:r>
      <w:proofErr w:type="spellStart"/>
      <w:r w:rsidRPr="00923197">
        <w:rPr>
          <w:rFonts w:asciiTheme="minorHAnsi" w:hAnsiTheme="minorHAnsi" w:cstheme="minorHAnsi"/>
          <w:lang w:val="en-US"/>
        </w:rPr>
        <w:t>Weingart</w:t>
      </w:r>
      <w:proofErr w:type="spellEnd"/>
      <w:r w:rsidRPr="00923197">
        <w:rPr>
          <w:rFonts w:asciiTheme="minorHAnsi" w:hAnsiTheme="minorHAnsi" w:cstheme="minorHAnsi"/>
          <w:lang w:val="en-US"/>
        </w:rPr>
        <w:t xml:space="preserve">, P. and </w:t>
      </w:r>
      <w:proofErr w:type="spellStart"/>
      <w:r w:rsidRPr="00923197">
        <w:rPr>
          <w:rFonts w:asciiTheme="minorHAnsi" w:hAnsiTheme="minorHAnsi" w:cstheme="minorHAnsi"/>
          <w:lang w:val="en-US"/>
        </w:rPr>
        <w:t>Lentsch</w:t>
      </w:r>
      <w:proofErr w:type="spellEnd"/>
      <w:r w:rsidRPr="00923197">
        <w:rPr>
          <w:rFonts w:asciiTheme="minorHAnsi" w:hAnsiTheme="minorHAnsi" w:cstheme="minorHAnsi"/>
          <w:lang w:val="en-US"/>
        </w:rPr>
        <w:t xml:space="preserve">, J. (eds.), </w:t>
      </w:r>
      <w:r w:rsidRPr="00923197">
        <w:rPr>
          <w:rFonts w:asciiTheme="minorHAnsi" w:hAnsiTheme="minorHAnsi" w:cstheme="minorHAnsi"/>
          <w:i/>
          <w:iCs/>
          <w:lang w:val="en-US"/>
        </w:rPr>
        <w:t>The Politics of Scientific Advice. Institutional Design for Quality Assurance</w:t>
      </w:r>
      <w:r w:rsidRPr="00923197">
        <w:rPr>
          <w:rFonts w:asciiTheme="minorHAnsi" w:hAnsiTheme="minorHAnsi" w:cstheme="minorHAnsi"/>
          <w:lang w:val="en-US"/>
        </w:rPr>
        <w:t>. Cambridge: Cambridge University Press, pp. 19-35.</w:t>
      </w:r>
    </w:p>
    <w:p w14:paraId="39D71B01" w14:textId="0DD240EE"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Jones, K. (1996) ‘Trust as an Affective Attitude’</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Ethics</w:t>
      </w:r>
      <w:r w:rsidRPr="00923197">
        <w:rPr>
          <w:rFonts w:asciiTheme="minorHAnsi" w:hAnsiTheme="minorHAnsi" w:cstheme="minorHAnsi"/>
          <w:lang w:val="en-US"/>
        </w:rPr>
        <w:t>, 107(1), 4-25.</w:t>
      </w:r>
    </w:p>
    <w:p w14:paraId="0C33DAD2" w14:textId="45C88D69"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Jones, K. (2004) ‘Trust and </w:t>
      </w:r>
      <w:proofErr w:type="spellStart"/>
      <w:r w:rsidRPr="00923197">
        <w:rPr>
          <w:rFonts w:asciiTheme="minorHAnsi" w:hAnsiTheme="minorHAnsi" w:cstheme="minorHAnsi"/>
          <w:lang w:val="en-US"/>
        </w:rPr>
        <w:t>Terror</w:t>
      </w:r>
      <w:proofErr w:type="gramStart"/>
      <w:r w:rsidRPr="00923197">
        <w:rPr>
          <w:rFonts w:asciiTheme="minorHAnsi" w:hAnsiTheme="minorHAnsi" w:cstheme="minorHAnsi"/>
          <w:lang w:val="en-US"/>
        </w:rPr>
        <w:t>’</w:t>
      </w:r>
      <w:r w:rsidR="006E47AB" w:rsidRPr="00923197">
        <w:rPr>
          <w:rFonts w:asciiTheme="minorHAnsi" w:hAnsiTheme="minorHAnsi" w:cstheme="minorHAnsi"/>
          <w:lang w:val="en-US"/>
        </w:rPr>
        <w:t>.I</w:t>
      </w:r>
      <w:r w:rsidRPr="00923197">
        <w:rPr>
          <w:rFonts w:asciiTheme="minorHAnsi" w:hAnsiTheme="minorHAnsi" w:cstheme="minorHAnsi"/>
          <w:lang w:val="en-US"/>
        </w:rPr>
        <w:t>n</w:t>
      </w:r>
      <w:proofErr w:type="spellEnd"/>
      <w:proofErr w:type="gramEnd"/>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proofErr w:type="spellStart"/>
      <w:r w:rsidRPr="00923197">
        <w:rPr>
          <w:rFonts w:asciiTheme="minorHAnsi" w:hAnsiTheme="minorHAnsi" w:cstheme="minorHAnsi"/>
          <w:lang w:val="en-US"/>
        </w:rPr>
        <w:t>DesAutels</w:t>
      </w:r>
      <w:proofErr w:type="spellEnd"/>
      <w:r w:rsidRPr="00923197">
        <w:rPr>
          <w:rFonts w:asciiTheme="minorHAnsi" w:hAnsiTheme="minorHAnsi" w:cstheme="minorHAnsi"/>
          <w:lang w:val="en-US"/>
        </w:rPr>
        <w:t xml:space="preserve">, P. and Urban Walker, M. (eds.), </w:t>
      </w:r>
      <w:r w:rsidRPr="00923197">
        <w:rPr>
          <w:rFonts w:asciiTheme="minorHAnsi" w:hAnsiTheme="minorHAnsi" w:cstheme="minorHAnsi"/>
          <w:i/>
          <w:iCs/>
          <w:lang w:val="en-US"/>
        </w:rPr>
        <w:t>Moral Psychology: Feminist Ethics and Social Theory</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Lanham (MD): Rowman and Littlefield, pp. 3-18.</w:t>
      </w:r>
    </w:p>
    <w:p w14:paraId="0AE9BDC2" w14:textId="39E5C94A"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Kahan, D., Jenkins-Smith, H., </w:t>
      </w:r>
      <w:proofErr w:type="spellStart"/>
      <w:r w:rsidRPr="00923197">
        <w:rPr>
          <w:rFonts w:asciiTheme="minorHAnsi" w:hAnsiTheme="minorHAnsi" w:cstheme="minorHAnsi"/>
          <w:lang w:val="en-US"/>
        </w:rPr>
        <w:t>Braman</w:t>
      </w:r>
      <w:proofErr w:type="spellEnd"/>
      <w:r w:rsidRPr="00923197">
        <w:rPr>
          <w:rFonts w:asciiTheme="minorHAnsi" w:hAnsiTheme="minorHAnsi" w:cstheme="minorHAnsi"/>
          <w:lang w:val="en-US"/>
        </w:rPr>
        <w:t>, D. (2010) ‘Cultural Cognition of Scientific Consensus’</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Journal of Risk Research</w:t>
      </w:r>
      <w:r w:rsidRPr="00923197">
        <w:rPr>
          <w:rFonts w:asciiTheme="minorHAnsi" w:hAnsiTheme="minorHAnsi" w:cstheme="minorHAnsi"/>
          <w:lang w:val="en-US"/>
        </w:rPr>
        <w:t>, 14(2), 147-174.</w:t>
      </w:r>
    </w:p>
    <w:p w14:paraId="52E0CA58" w14:textId="3F67F50C"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Keren, A. (2014) ‘Trust and Belief: A Preemptive Reasons Account’</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proofErr w:type="spellStart"/>
      <w:r w:rsidRPr="00923197">
        <w:rPr>
          <w:rFonts w:asciiTheme="minorHAnsi" w:hAnsiTheme="minorHAnsi" w:cstheme="minorHAnsi"/>
          <w:i/>
          <w:iCs/>
          <w:lang w:val="en-US"/>
        </w:rPr>
        <w:t>Synthese</w:t>
      </w:r>
      <w:proofErr w:type="spellEnd"/>
      <w:r w:rsidRPr="00923197">
        <w:rPr>
          <w:rFonts w:asciiTheme="minorHAnsi" w:hAnsiTheme="minorHAnsi" w:cstheme="minorHAnsi"/>
          <w:lang w:val="en-US"/>
        </w:rPr>
        <w:t>, 191(12), 2593-2615.</w:t>
      </w:r>
    </w:p>
    <w:p w14:paraId="14BF7AA6" w14:textId="1230AD0C"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lastRenderedPageBreak/>
        <w:t>Kruger, J., Dunning, D. (1999) ‘Unskilled and Unaware of It: How Difficulties in Recognizing One’s Own Incompetence Lead to Inflated Self-Assessments’</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Journal of Personality and Social Psychology</w:t>
      </w:r>
      <w:r w:rsidRPr="00923197">
        <w:rPr>
          <w:rFonts w:asciiTheme="minorHAnsi" w:hAnsiTheme="minorHAnsi" w:cstheme="minorHAnsi"/>
          <w:lang w:val="en-US"/>
        </w:rPr>
        <w:t>, 77(6), 1121-1134.</w:t>
      </w:r>
    </w:p>
    <w:p w14:paraId="379EEBC1" w14:textId="2D1FD336"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t>Landemore</w:t>
      </w:r>
      <w:proofErr w:type="spellEnd"/>
      <w:r w:rsidRPr="00923197">
        <w:rPr>
          <w:rFonts w:asciiTheme="minorHAnsi" w:hAnsiTheme="minorHAnsi" w:cstheme="minorHAnsi"/>
          <w:lang w:val="en-US"/>
        </w:rPr>
        <w:t>, H. (2017) ‘Beyond the Fact of Disagreement: The Epistemic Turn in Deliberative Democracy’</w:t>
      </w:r>
      <w:r w:rsidR="006E47AB" w:rsidRPr="00923197">
        <w:rPr>
          <w:rFonts w:asciiTheme="minorHAnsi" w:hAnsiTheme="minorHAnsi" w:cstheme="minorHAnsi"/>
          <w:lang w:val="en-US"/>
        </w:rPr>
        <w:t>.</w:t>
      </w:r>
      <w:r w:rsidRPr="00923197">
        <w:rPr>
          <w:rFonts w:asciiTheme="minorHAnsi" w:hAnsiTheme="minorHAnsi" w:cstheme="minorHAnsi"/>
          <w:i/>
          <w:iCs/>
          <w:lang w:val="en-US"/>
        </w:rPr>
        <w:t xml:space="preserve"> Social Epistemology</w:t>
      </w:r>
      <w:r w:rsidRPr="00923197">
        <w:rPr>
          <w:rFonts w:asciiTheme="minorHAnsi" w:hAnsiTheme="minorHAnsi" w:cstheme="minorHAnsi"/>
          <w:lang w:val="en-US"/>
        </w:rPr>
        <w:t>, 31(3), 277-295.</w:t>
      </w:r>
    </w:p>
    <w:p w14:paraId="66C716CA" w14:textId="38F6959C"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Lane, M. (2014) ‘When the Experts are Uncertain: Scientific Knowledge and the Ethics of Democratic Judgment’</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Episteme</w:t>
      </w:r>
      <w:r w:rsidRPr="00923197">
        <w:rPr>
          <w:rFonts w:asciiTheme="minorHAnsi" w:hAnsiTheme="minorHAnsi" w:cstheme="minorHAnsi"/>
          <w:lang w:val="en-US"/>
        </w:rPr>
        <w:t>, 11(1), 97-118.</w:t>
      </w:r>
    </w:p>
    <w:p w14:paraId="7EC22EC0" w14:textId="66D6571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Levy, N. (2019) ‘Due Deference to Denialism: Explaining Ordinary People’s Rejection of Established Scientific Findings’</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proofErr w:type="spellStart"/>
      <w:r w:rsidRPr="00923197">
        <w:rPr>
          <w:rFonts w:asciiTheme="minorHAnsi" w:hAnsiTheme="minorHAnsi" w:cstheme="minorHAnsi"/>
          <w:i/>
          <w:iCs/>
          <w:lang w:val="en-US"/>
        </w:rPr>
        <w:t>Synthese</w:t>
      </w:r>
      <w:proofErr w:type="spellEnd"/>
      <w:r w:rsidRPr="00923197">
        <w:rPr>
          <w:rFonts w:asciiTheme="minorHAnsi" w:hAnsiTheme="minorHAnsi" w:cstheme="minorHAnsi"/>
          <w:lang w:val="en-US"/>
        </w:rPr>
        <w:t>, 196(1), 313-327.</w:t>
      </w:r>
    </w:p>
    <w:p w14:paraId="62B45E0B" w14:textId="260849AE"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Martini, C. (2019) ‘The Epistemology of Expertise’</w:t>
      </w:r>
      <w:r w:rsidR="006E47AB" w:rsidRPr="00923197">
        <w:rPr>
          <w:rFonts w:asciiTheme="minorHAnsi" w:hAnsiTheme="minorHAnsi" w:cstheme="minorHAnsi"/>
          <w:lang w:val="en-US"/>
        </w:rPr>
        <w:t>. I</w:t>
      </w:r>
      <w:r w:rsidRPr="00923197">
        <w:rPr>
          <w:rFonts w:asciiTheme="minorHAnsi" w:hAnsiTheme="minorHAnsi" w:cstheme="minorHAnsi"/>
          <w:lang w:val="en-US"/>
        </w:rPr>
        <w:t>n</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Graham, P., Fricker, M., Henderson, D. and Pedersen, N. (eds.), </w:t>
      </w:r>
      <w:r w:rsidRPr="00923197">
        <w:rPr>
          <w:rFonts w:asciiTheme="minorHAnsi" w:hAnsiTheme="minorHAnsi" w:cstheme="minorHAnsi"/>
          <w:i/>
          <w:iCs/>
          <w:lang w:val="en-US"/>
        </w:rPr>
        <w:t>Routledge Handbook of Social Epistemology</w:t>
      </w:r>
      <w:r w:rsidRPr="00923197">
        <w:rPr>
          <w:rFonts w:asciiTheme="minorHAnsi" w:hAnsiTheme="minorHAnsi" w:cstheme="minorHAnsi"/>
          <w:lang w:val="en-US"/>
        </w:rPr>
        <w:t>. London: Routledge, pp. 155-122.</w:t>
      </w:r>
    </w:p>
    <w:p w14:paraId="3C88A53C" w14:textId="777777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Moore, A. (2017) </w:t>
      </w:r>
      <w:r w:rsidRPr="00923197">
        <w:rPr>
          <w:rFonts w:asciiTheme="minorHAnsi" w:hAnsiTheme="minorHAnsi" w:cstheme="minorHAnsi"/>
          <w:i/>
          <w:iCs/>
          <w:lang w:val="en-US"/>
        </w:rPr>
        <w:t>Critical Elitism: Deliberation, Democracy, and the Problem of Expertise</w:t>
      </w:r>
      <w:r w:rsidRPr="00923197">
        <w:rPr>
          <w:rFonts w:asciiTheme="minorHAnsi" w:hAnsiTheme="minorHAnsi" w:cstheme="minorHAnsi"/>
          <w:lang w:val="en-US"/>
        </w:rPr>
        <w:t>. Cambridge: Cambridge University Press.</w:t>
      </w:r>
    </w:p>
    <w:p w14:paraId="6137D572" w14:textId="235A8B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Nichols, T. (2017) </w:t>
      </w:r>
      <w:r w:rsidRPr="00923197">
        <w:rPr>
          <w:rFonts w:asciiTheme="minorHAnsi" w:hAnsiTheme="minorHAnsi" w:cstheme="minorHAnsi"/>
          <w:i/>
          <w:iCs/>
          <w:lang w:val="en-US"/>
        </w:rPr>
        <w:t>The Death of Expertise: The Campaign against Established Knowledge and Why It Matters</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New York: Oxford University Press.</w:t>
      </w:r>
    </w:p>
    <w:p w14:paraId="360470C6" w14:textId="63A51318"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Nickel, P.J. (2007), ‘Trust and Obligation-Ascription’</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Ethical Theory and Moral Practice</w:t>
      </w:r>
      <w:r w:rsidRPr="00923197">
        <w:rPr>
          <w:rFonts w:asciiTheme="minorHAnsi" w:hAnsiTheme="minorHAnsi" w:cstheme="minorHAnsi"/>
          <w:lang w:val="en-US"/>
        </w:rPr>
        <w:t>, 10(3), 309-319.</w:t>
      </w:r>
    </w:p>
    <w:p w14:paraId="63672728" w14:textId="4EDA68C5" w:rsidR="00327637" w:rsidRPr="00923197" w:rsidRDefault="00327637" w:rsidP="0077069D">
      <w:pPr>
        <w:spacing w:line="480" w:lineRule="auto"/>
        <w:ind w:left="426" w:hanging="426"/>
        <w:rPr>
          <w:rFonts w:asciiTheme="minorHAnsi" w:hAnsiTheme="minorHAnsi" w:cstheme="minorHAnsi"/>
          <w:iCs/>
          <w:lang w:val="en-US"/>
        </w:rPr>
      </w:pPr>
      <w:r w:rsidRPr="00923197">
        <w:rPr>
          <w:rFonts w:asciiTheme="minorHAnsi" w:hAnsiTheme="minorHAnsi" w:cstheme="minorHAnsi"/>
          <w:lang w:val="en-US"/>
        </w:rPr>
        <w:t>Nguyen, T.</w:t>
      </w:r>
      <w:r w:rsidRPr="00923197">
        <w:rPr>
          <w:rFonts w:asciiTheme="minorHAnsi" w:hAnsiTheme="minorHAnsi" w:cstheme="minorHAnsi"/>
          <w:iCs/>
          <w:lang w:val="en-US"/>
        </w:rPr>
        <w:t xml:space="preserve"> (2018) ‘Echo Chambers and Epistemic Bubbles</w:t>
      </w:r>
      <w:r w:rsidRPr="00923197">
        <w:rPr>
          <w:rFonts w:asciiTheme="minorHAnsi" w:hAnsiTheme="minorHAnsi" w:cstheme="minorHAnsi"/>
          <w:lang w:val="en-US"/>
        </w:rPr>
        <w:t>’</w:t>
      </w:r>
      <w:r w:rsidR="006E47AB" w:rsidRPr="00923197">
        <w:rPr>
          <w:rFonts w:asciiTheme="minorHAnsi" w:hAnsiTheme="minorHAnsi" w:cstheme="minorHAnsi"/>
          <w:lang w:val="en-US"/>
        </w:rPr>
        <w:t>.</w:t>
      </w:r>
      <w:r w:rsidRPr="00923197">
        <w:rPr>
          <w:rFonts w:asciiTheme="minorHAnsi" w:hAnsiTheme="minorHAnsi" w:cstheme="minorHAnsi"/>
          <w:i/>
          <w:iCs/>
          <w:lang w:val="en-US"/>
        </w:rPr>
        <w:t xml:space="preserve"> Episteme.</w:t>
      </w:r>
      <w:r w:rsidRPr="00923197">
        <w:rPr>
          <w:rFonts w:asciiTheme="minorHAnsi" w:hAnsiTheme="minorHAnsi" w:cstheme="minorHAnsi"/>
          <w:iCs/>
          <w:lang w:val="en-US"/>
        </w:rPr>
        <w:t xml:space="preserve"> </w:t>
      </w:r>
      <w:proofErr w:type="spellStart"/>
      <w:r w:rsidRPr="00923197">
        <w:rPr>
          <w:rFonts w:asciiTheme="minorHAnsi" w:hAnsiTheme="minorHAnsi" w:cstheme="minorHAnsi"/>
          <w:iCs/>
          <w:lang w:val="en-US"/>
        </w:rPr>
        <w:t>doi</w:t>
      </w:r>
      <w:proofErr w:type="spellEnd"/>
      <w:r w:rsidRPr="00923197">
        <w:rPr>
          <w:rFonts w:asciiTheme="minorHAnsi" w:hAnsiTheme="minorHAnsi" w:cstheme="minorHAnsi"/>
          <w:iCs/>
          <w:lang w:val="en-US"/>
        </w:rPr>
        <w:t>: 10.1017/epi.2018.32.</w:t>
      </w:r>
    </w:p>
    <w:p w14:paraId="0BE88CE0" w14:textId="18C94C8F" w:rsidR="00327637" w:rsidRPr="00923197" w:rsidRDefault="00327637" w:rsidP="0077069D">
      <w:pPr>
        <w:spacing w:line="480" w:lineRule="auto"/>
        <w:ind w:left="426" w:hanging="426"/>
        <w:rPr>
          <w:rFonts w:asciiTheme="minorHAnsi" w:hAnsiTheme="minorHAnsi" w:cstheme="minorHAnsi"/>
          <w:highlight w:val="yellow"/>
          <w:lang w:val="en-US"/>
        </w:rPr>
      </w:pPr>
      <w:r w:rsidRPr="00923197">
        <w:rPr>
          <w:rFonts w:asciiTheme="minorHAnsi" w:hAnsiTheme="minorHAnsi" w:cstheme="minorHAnsi"/>
          <w:lang w:val="en-US"/>
        </w:rPr>
        <w:t>O’Neill, O. (</w:t>
      </w:r>
      <w:r w:rsidR="008F4F76" w:rsidRPr="00923197">
        <w:rPr>
          <w:rFonts w:asciiTheme="minorHAnsi" w:hAnsiTheme="minorHAnsi" w:cstheme="minorHAnsi"/>
          <w:lang w:val="en-US"/>
        </w:rPr>
        <w:t>201</w:t>
      </w:r>
      <w:r w:rsidR="004F5DB5" w:rsidRPr="00923197">
        <w:rPr>
          <w:rFonts w:asciiTheme="minorHAnsi" w:hAnsiTheme="minorHAnsi" w:cstheme="minorHAnsi"/>
          <w:lang w:val="en-US"/>
        </w:rPr>
        <w:t>9</w:t>
      </w:r>
      <w:r w:rsidRPr="00923197">
        <w:rPr>
          <w:rFonts w:asciiTheme="minorHAnsi" w:hAnsiTheme="minorHAnsi" w:cstheme="minorHAnsi"/>
          <w:lang w:val="en-US"/>
        </w:rPr>
        <w:t>)</w:t>
      </w:r>
      <w:r w:rsidR="008F4F76" w:rsidRPr="00923197">
        <w:rPr>
          <w:rFonts w:asciiTheme="minorHAnsi" w:hAnsiTheme="minorHAnsi" w:cstheme="minorHAnsi"/>
          <w:lang w:val="en-US"/>
        </w:rPr>
        <w:t xml:space="preserve"> ‘Linking Trust to Trustworthiness’</w:t>
      </w:r>
      <w:r w:rsidR="006E47AB" w:rsidRPr="00923197">
        <w:rPr>
          <w:rFonts w:asciiTheme="minorHAnsi" w:hAnsiTheme="minorHAnsi" w:cstheme="minorHAnsi"/>
          <w:lang w:val="en-US"/>
        </w:rPr>
        <w:t>.</w:t>
      </w:r>
      <w:r w:rsidR="008F4F76" w:rsidRPr="00923197">
        <w:rPr>
          <w:rFonts w:asciiTheme="minorHAnsi" w:hAnsiTheme="minorHAnsi" w:cstheme="minorHAnsi"/>
          <w:lang w:val="en-US"/>
        </w:rPr>
        <w:t xml:space="preserve"> </w:t>
      </w:r>
      <w:r w:rsidR="008F4F76" w:rsidRPr="00923197">
        <w:rPr>
          <w:rFonts w:asciiTheme="minorHAnsi" w:hAnsiTheme="minorHAnsi" w:cstheme="minorHAnsi"/>
          <w:i/>
          <w:iCs/>
          <w:lang w:val="en-US"/>
        </w:rPr>
        <w:t>International Journal of Philosophical Studies</w:t>
      </w:r>
      <w:r w:rsidR="008F4F76" w:rsidRPr="00923197">
        <w:rPr>
          <w:rFonts w:asciiTheme="minorHAnsi" w:hAnsiTheme="minorHAnsi" w:cstheme="minorHAnsi"/>
          <w:lang w:val="en-US"/>
        </w:rPr>
        <w:t>, 26:2, 293-300, DOI: 10.1080/09672559.2018.1454637</w:t>
      </w:r>
    </w:p>
    <w:p w14:paraId="64BCB07A" w14:textId="4E8F0767" w:rsidR="00DA2779" w:rsidRPr="00923197" w:rsidRDefault="00DA2779"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Owens, S. (2015) </w:t>
      </w:r>
      <w:r w:rsidRPr="00923197">
        <w:rPr>
          <w:rFonts w:asciiTheme="minorHAnsi" w:hAnsiTheme="minorHAnsi" w:cstheme="minorHAnsi"/>
          <w:i/>
          <w:iCs/>
          <w:lang w:val="en-US"/>
        </w:rPr>
        <w:t>Knowledge, Policy, and Expertise</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The UK Royal Commission on Environmental Pollution 1970–2011. Oxford: Oxford University Press.</w:t>
      </w:r>
    </w:p>
    <w:p w14:paraId="737118E8" w14:textId="601BCEDC"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lastRenderedPageBreak/>
        <w:t>Origgi</w:t>
      </w:r>
      <w:proofErr w:type="spellEnd"/>
      <w:r w:rsidRPr="00923197">
        <w:rPr>
          <w:rFonts w:asciiTheme="minorHAnsi" w:hAnsiTheme="minorHAnsi" w:cstheme="minorHAnsi"/>
          <w:lang w:val="en-US"/>
        </w:rPr>
        <w:t xml:space="preserve">, G. (2019) </w:t>
      </w:r>
      <w:r w:rsidRPr="00923197">
        <w:rPr>
          <w:rFonts w:asciiTheme="minorHAnsi" w:hAnsiTheme="minorHAnsi" w:cstheme="minorHAnsi"/>
          <w:i/>
          <w:iCs/>
          <w:lang w:val="en-US"/>
        </w:rPr>
        <w:t>Reputation: What It Is and Why It Matters</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Princeton: Princeton University Press.</w:t>
      </w:r>
    </w:p>
    <w:p w14:paraId="54D56A93" w14:textId="777777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Pielke Jr., R. (2007) </w:t>
      </w:r>
      <w:r w:rsidRPr="00923197">
        <w:rPr>
          <w:rFonts w:asciiTheme="minorHAnsi" w:hAnsiTheme="minorHAnsi" w:cstheme="minorHAnsi"/>
          <w:i/>
          <w:iCs/>
          <w:lang w:val="en-US"/>
        </w:rPr>
        <w:t>The Honest Broker: Making Sense of Science in Policy and Politics</w:t>
      </w:r>
      <w:r w:rsidRPr="00923197">
        <w:rPr>
          <w:rFonts w:asciiTheme="minorHAnsi" w:hAnsiTheme="minorHAnsi" w:cstheme="minorHAnsi"/>
          <w:lang w:val="en-US"/>
        </w:rPr>
        <w:t>. Cambridge: Cambridge University Press.</w:t>
      </w:r>
    </w:p>
    <w:p w14:paraId="1A6671A1" w14:textId="25DBC2F6"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t>Powys</w:t>
      </w:r>
      <w:proofErr w:type="spellEnd"/>
      <w:r w:rsidRPr="00923197">
        <w:rPr>
          <w:rFonts w:asciiTheme="minorHAnsi" w:hAnsiTheme="minorHAnsi" w:cstheme="minorHAnsi"/>
          <w:lang w:val="en-US"/>
        </w:rPr>
        <w:t xml:space="preserve"> Whyte, K., Crease, R. P. (2010) ‘Trust, Expertise, and the Philosophy of Science’</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proofErr w:type="spellStart"/>
      <w:r w:rsidRPr="00923197">
        <w:rPr>
          <w:rFonts w:asciiTheme="minorHAnsi" w:hAnsiTheme="minorHAnsi" w:cstheme="minorHAnsi"/>
          <w:i/>
          <w:iCs/>
          <w:lang w:val="en-US"/>
        </w:rPr>
        <w:t>Synthese</w:t>
      </w:r>
      <w:proofErr w:type="spellEnd"/>
      <w:r w:rsidRPr="00923197">
        <w:rPr>
          <w:rFonts w:asciiTheme="minorHAnsi" w:hAnsiTheme="minorHAnsi" w:cstheme="minorHAnsi"/>
          <w:lang w:val="en-US"/>
        </w:rPr>
        <w:t>, 177, 411-425.</w:t>
      </w:r>
    </w:p>
    <w:p w14:paraId="6721FA5D" w14:textId="7AD32690"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GB"/>
        </w:rPr>
        <w:t>Rini</w:t>
      </w:r>
      <w:proofErr w:type="spellEnd"/>
      <w:r w:rsidRPr="00923197">
        <w:rPr>
          <w:rFonts w:asciiTheme="minorHAnsi" w:hAnsiTheme="minorHAnsi" w:cstheme="minorHAnsi"/>
          <w:lang w:val="en-GB"/>
        </w:rPr>
        <w:t>, R. (2017) ‘Fake News and Partisan Epistemology’</w:t>
      </w:r>
      <w:r w:rsidR="006E47AB" w:rsidRPr="00923197">
        <w:rPr>
          <w:rFonts w:asciiTheme="minorHAnsi" w:hAnsiTheme="minorHAnsi" w:cstheme="minorHAnsi"/>
          <w:lang w:val="en-GB"/>
        </w:rPr>
        <w:t>.</w:t>
      </w:r>
      <w:r w:rsidRPr="00923197">
        <w:rPr>
          <w:rFonts w:asciiTheme="minorHAnsi" w:hAnsiTheme="minorHAnsi" w:cstheme="minorHAnsi"/>
          <w:i/>
          <w:iCs/>
          <w:lang w:val="en-GB"/>
        </w:rPr>
        <w:t xml:space="preserve"> Kennedy Institute of Ethics Journal</w:t>
      </w:r>
      <w:r w:rsidRPr="00923197">
        <w:rPr>
          <w:rFonts w:asciiTheme="minorHAnsi" w:hAnsiTheme="minorHAnsi" w:cstheme="minorHAnsi"/>
          <w:lang w:val="en-GB"/>
        </w:rPr>
        <w:t xml:space="preserve">, 27 (S2), </w:t>
      </w:r>
      <w:r w:rsidRPr="00923197">
        <w:rPr>
          <w:rFonts w:asciiTheme="minorHAnsi" w:hAnsiTheme="minorHAnsi" w:cstheme="minorHAnsi"/>
          <w:lang w:val="en-US"/>
        </w:rPr>
        <w:t>E43­–E64.</w:t>
      </w:r>
    </w:p>
    <w:p w14:paraId="1D8EA990" w14:textId="50567861"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t>Rolin</w:t>
      </w:r>
      <w:proofErr w:type="spellEnd"/>
      <w:r w:rsidRPr="00923197">
        <w:rPr>
          <w:rFonts w:asciiTheme="minorHAnsi" w:hAnsiTheme="minorHAnsi" w:cstheme="minorHAnsi"/>
          <w:lang w:val="en-US"/>
        </w:rPr>
        <w:t>, K. (2020) ‘Trust in Science’</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006E47AB" w:rsidRPr="00923197">
        <w:rPr>
          <w:rFonts w:asciiTheme="minorHAnsi" w:hAnsiTheme="minorHAnsi" w:cstheme="minorHAnsi"/>
          <w:lang w:val="en-US"/>
        </w:rPr>
        <w:t>I</w:t>
      </w:r>
      <w:r w:rsidRPr="00923197">
        <w:rPr>
          <w:rFonts w:asciiTheme="minorHAnsi" w:hAnsiTheme="minorHAnsi" w:cstheme="minorHAnsi"/>
          <w:lang w:val="en-US"/>
        </w:rPr>
        <w:t>n</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Simon, J. (ed.), </w:t>
      </w:r>
      <w:r w:rsidRPr="00923197">
        <w:rPr>
          <w:rFonts w:asciiTheme="minorHAnsi" w:hAnsiTheme="minorHAnsi" w:cstheme="minorHAnsi"/>
          <w:i/>
          <w:iCs/>
          <w:lang w:val="en-US"/>
        </w:rPr>
        <w:t>Routledge Handbook of Trust and Philosophy</w:t>
      </w:r>
      <w:r w:rsidRPr="00923197">
        <w:rPr>
          <w:rFonts w:asciiTheme="minorHAnsi" w:hAnsiTheme="minorHAnsi" w:cstheme="minorHAnsi"/>
          <w:lang w:val="en-US"/>
        </w:rPr>
        <w:t>. New York: Routledge</w:t>
      </w:r>
      <w:r w:rsidR="007C3DA4" w:rsidRPr="00923197">
        <w:rPr>
          <w:rFonts w:asciiTheme="minorHAnsi" w:hAnsiTheme="minorHAnsi" w:cstheme="minorHAnsi"/>
          <w:lang w:val="en-US"/>
        </w:rPr>
        <w:t xml:space="preserve"> </w:t>
      </w:r>
      <w:r w:rsidRPr="00923197">
        <w:rPr>
          <w:rFonts w:asciiTheme="minorHAnsi" w:hAnsiTheme="minorHAnsi" w:cstheme="minorHAnsi"/>
          <w:lang w:val="en-US"/>
        </w:rPr>
        <w:t>,</w:t>
      </w:r>
      <w:r w:rsidR="004F5DB5" w:rsidRPr="00923197">
        <w:rPr>
          <w:rFonts w:asciiTheme="minorHAnsi" w:hAnsiTheme="minorHAnsi" w:cstheme="minorHAnsi"/>
          <w:lang w:val="en-US"/>
        </w:rPr>
        <w:t>2</w:t>
      </w:r>
      <w:r w:rsidR="0064731B" w:rsidRPr="00923197">
        <w:rPr>
          <w:rFonts w:asciiTheme="minorHAnsi" w:hAnsiTheme="minorHAnsi" w:cstheme="minorHAnsi"/>
          <w:lang w:val="en-US"/>
        </w:rPr>
        <w:t>89</w:t>
      </w:r>
      <w:r w:rsidRPr="00923197">
        <w:rPr>
          <w:rFonts w:asciiTheme="minorHAnsi" w:hAnsiTheme="minorHAnsi" w:cstheme="minorHAnsi"/>
          <w:lang w:val="en-US"/>
        </w:rPr>
        <w:t>.</w:t>
      </w:r>
    </w:p>
    <w:p w14:paraId="050BC2BF" w14:textId="71191CD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Quast, C. (2018) ‘Expertise: A Practical Explanation’</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lang w:val="en-US"/>
        </w:rPr>
        <w:t>Topoi</w:t>
      </w:r>
      <w:r w:rsidRPr="00923197">
        <w:rPr>
          <w:rFonts w:asciiTheme="minorHAnsi" w:hAnsiTheme="minorHAnsi" w:cstheme="minorHAnsi"/>
          <w:lang w:val="en-US"/>
        </w:rPr>
        <w:t xml:space="preserve">, 37(1), 11-27. </w:t>
      </w:r>
    </w:p>
    <w:p w14:paraId="2F3ACD2A" w14:textId="777777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Salter, L., Levy, E. and </w:t>
      </w:r>
      <w:proofErr w:type="spellStart"/>
      <w:r w:rsidRPr="00923197">
        <w:rPr>
          <w:rFonts w:asciiTheme="minorHAnsi" w:hAnsiTheme="minorHAnsi" w:cstheme="minorHAnsi"/>
          <w:lang w:val="en-US"/>
        </w:rPr>
        <w:t>Leiss</w:t>
      </w:r>
      <w:proofErr w:type="spellEnd"/>
      <w:r w:rsidRPr="00923197">
        <w:rPr>
          <w:rFonts w:asciiTheme="minorHAnsi" w:hAnsiTheme="minorHAnsi" w:cstheme="minorHAnsi"/>
          <w:lang w:val="en-US"/>
        </w:rPr>
        <w:t xml:space="preserve">, W. (1988) </w:t>
      </w:r>
      <w:r w:rsidRPr="00923197">
        <w:rPr>
          <w:rFonts w:asciiTheme="minorHAnsi" w:hAnsiTheme="minorHAnsi" w:cstheme="minorHAnsi"/>
          <w:i/>
          <w:iCs/>
          <w:lang w:val="en-US"/>
        </w:rPr>
        <w:t>Mandated Science: Science and Scientists in the Making of Standards</w:t>
      </w:r>
      <w:r w:rsidRPr="00923197">
        <w:rPr>
          <w:rFonts w:asciiTheme="minorHAnsi" w:hAnsiTheme="minorHAnsi" w:cstheme="minorHAnsi"/>
          <w:lang w:val="en-US"/>
        </w:rPr>
        <w:t>. Berlin: Springer.</w:t>
      </w:r>
    </w:p>
    <w:p w14:paraId="373B36F5" w14:textId="645F88DE"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t>Scheman</w:t>
      </w:r>
      <w:proofErr w:type="spellEnd"/>
      <w:r w:rsidRPr="00923197">
        <w:rPr>
          <w:rFonts w:asciiTheme="minorHAnsi" w:hAnsiTheme="minorHAnsi" w:cstheme="minorHAnsi"/>
          <w:lang w:val="en-US"/>
        </w:rPr>
        <w:t>, N. (20</w:t>
      </w:r>
      <w:r w:rsidR="00307878" w:rsidRPr="00923197">
        <w:rPr>
          <w:rFonts w:asciiTheme="minorHAnsi" w:hAnsiTheme="minorHAnsi" w:cstheme="minorHAnsi"/>
          <w:lang w:val="en-US"/>
        </w:rPr>
        <w:t>1</w:t>
      </w:r>
      <w:r w:rsidRPr="00923197">
        <w:rPr>
          <w:rFonts w:asciiTheme="minorHAnsi" w:hAnsiTheme="minorHAnsi" w:cstheme="minorHAnsi"/>
          <w:lang w:val="en-US"/>
        </w:rPr>
        <w:t>1)</w:t>
      </w:r>
      <w:r w:rsidR="00307878" w:rsidRPr="00923197">
        <w:rPr>
          <w:rFonts w:asciiTheme="minorHAnsi" w:hAnsiTheme="minorHAnsi" w:cstheme="minorHAnsi"/>
          <w:lang w:val="en-US"/>
        </w:rPr>
        <w:t xml:space="preserve"> </w:t>
      </w:r>
      <w:r w:rsidR="00307878" w:rsidRPr="00923197">
        <w:rPr>
          <w:rFonts w:asciiTheme="minorHAnsi" w:hAnsiTheme="minorHAnsi" w:cstheme="minorHAnsi"/>
          <w:i/>
          <w:iCs/>
          <w:lang w:val="en-US"/>
        </w:rPr>
        <w:t>Shifting Ground: Knowledge and Reality, Transgression and Trustworthiness</w:t>
      </w:r>
      <w:r w:rsidR="00307878" w:rsidRPr="00923197">
        <w:rPr>
          <w:rFonts w:asciiTheme="minorHAnsi" w:hAnsiTheme="minorHAnsi" w:cstheme="minorHAnsi"/>
          <w:lang w:val="en-US"/>
        </w:rPr>
        <w:t>. Oxford: Oxford University Press</w:t>
      </w:r>
      <w:r w:rsidR="006E47AB" w:rsidRPr="00923197">
        <w:rPr>
          <w:rFonts w:asciiTheme="minorHAnsi" w:hAnsiTheme="minorHAnsi" w:cstheme="minorHAnsi"/>
          <w:lang w:val="en-US"/>
        </w:rPr>
        <w:t>.</w:t>
      </w:r>
    </w:p>
    <w:p w14:paraId="3468B779" w14:textId="77777777"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t>Shapin</w:t>
      </w:r>
      <w:proofErr w:type="spellEnd"/>
      <w:r w:rsidRPr="00923197">
        <w:rPr>
          <w:rFonts w:asciiTheme="minorHAnsi" w:hAnsiTheme="minorHAnsi" w:cstheme="minorHAnsi"/>
          <w:lang w:val="en-US"/>
        </w:rPr>
        <w:t xml:space="preserve">, S. (2008), </w:t>
      </w:r>
      <w:r w:rsidRPr="00923197">
        <w:rPr>
          <w:rFonts w:asciiTheme="minorHAnsi" w:hAnsiTheme="minorHAnsi" w:cstheme="minorHAnsi"/>
          <w:i/>
          <w:iCs/>
          <w:lang w:val="en-US"/>
        </w:rPr>
        <w:t>The Scientific Life: A Moral History of a Late Modern Vocation</w:t>
      </w:r>
      <w:r w:rsidRPr="00923197">
        <w:rPr>
          <w:rFonts w:asciiTheme="minorHAnsi" w:hAnsiTheme="minorHAnsi" w:cstheme="minorHAnsi"/>
          <w:lang w:val="en-US"/>
        </w:rPr>
        <w:t>. Chicago: University of Chicago Press.</w:t>
      </w:r>
    </w:p>
    <w:p w14:paraId="0974EAA7" w14:textId="77777777"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Sunstein, C. (2017) </w:t>
      </w:r>
      <w:r w:rsidRPr="00923197">
        <w:rPr>
          <w:rFonts w:asciiTheme="minorHAnsi" w:hAnsiTheme="minorHAnsi" w:cstheme="minorHAnsi"/>
          <w:i/>
          <w:iCs/>
          <w:lang w:val="en-US"/>
        </w:rPr>
        <w:t>#Republic: Divided Democracy in the Age of Social Media</w:t>
      </w:r>
      <w:r w:rsidRPr="00923197">
        <w:rPr>
          <w:rFonts w:asciiTheme="minorHAnsi" w:hAnsiTheme="minorHAnsi" w:cstheme="minorHAnsi"/>
          <w:lang w:val="en-US"/>
        </w:rPr>
        <w:t>. Princeton (NJ): Princeton University Press.</w:t>
      </w:r>
    </w:p>
    <w:p w14:paraId="124C296F" w14:textId="7F8147C3"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Watson, J.C. (2018) ‘The Shoulders of Giants: A Case for Non-</w:t>
      </w:r>
      <w:proofErr w:type="spellStart"/>
      <w:r w:rsidRPr="00923197">
        <w:rPr>
          <w:rFonts w:asciiTheme="minorHAnsi" w:hAnsiTheme="minorHAnsi" w:cstheme="minorHAnsi"/>
          <w:lang w:val="en-US"/>
        </w:rPr>
        <w:t>veritism</w:t>
      </w:r>
      <w:proofErr w:type="spellEnd"/>
      <w:r w:rsidRPr="00923197">
        <w:rPr>
          <w:rFonts w:asciiTheme="minorHAnsi" w:hAnsiTheme="minorHAnsi" w:cstheme="minorHAnsi"/>
          <w:lang w:val="en-US"/>
        </w:rPr>
        <w:t xml:space="preserve"> about Expert Authority’</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lang w:val="en-US"/>
        </w:rPr>
        <w:t>Topoi</w:t>
      </w:r>
      <w:r w:rsidRPr="00923197">
        <w:rPr>
          <w:rFonts w:asciiTheme="minorHAnsi" w:hAnsiTheme="minorHAnsi" w:cstheme="minorHAnsi"/>
          <w:lang w:val="en-US"/>
        </w:rPr>
        <w:t>, 37(1), 39-53.</w:t>
      </w:r>
    </w:p>
    <w:p w14:paraId="0EDE315D" w14:textId="1DAB04A5" w:rsidR="00327637" w:rsidRPr="00923197" w:rsidRDefault="00327637" w:rsidP="0077069D">
      <w:pPr>
        <w:spacing w:line="480" w:lineRule="auto"/>
        <w:ind w:left="426" w:hanging="426"/>
        <w:rPr>
          <w:rFonts w:asciiTheme="minorHAnsi" w:hAnsiTheme="minorHAnsi" w:cstheme="minorHAnsi"/>
          <w:lang w:val="en-US"/>
        </w:rPr>
      </w:pPr>
      <w:r w:rsidRPr="00923197">
        <w:rPr>
          <w:rFonts w:asciiTheme="minorHAnsi" w:hAnsiTheme="minorHAnsi" w:cstheme="minorHAnsi"/>
          <w:lang w:val="en-US"/>
        </w:rPr>
        <w:t xml:space="preserve">Watson, J.C. (forthcoming) </w:t>
      </w:r>
      <w:r w:rsidRPr="00923197">
        <w:rPr>
          <w:rFonts w:asciiTheme="minorHAnsi" w:hAnsiTheme="minorHAnsi" w:cstheme="minorHAnsi"/>
          <w:i/>
          <w:iCs/>
          <w:lang w:val="en-US"/>
        </w:rPr>
        <w:t>A History and Philosophy of Expertise</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London: Bloomsbury.</w:t>
      </w:r>
    </w:p>
    <w:p w14:paraId="2D04F29C" w14:textId="44DDEAB5" w:rsidR="00327637" w:rsidRPr="00923197" w:rsidRDefault="00327637" w:rsidP="0077069D">
      <w:pPr>
        <w:spacing w:line="480" w:lineRule="auto"/>
        <w:ind w:left="426" w:hanging="426"/>
        <w:rPr>
          <w:rFonts w:asciiTheme="minorHAnsi" w:hAnsiTheme="minorHAnsi" w:cstheme="minorHAnsi"/>
          <w:lang w:val="en-US"/>
        </w:rPr>
      </w:pPr>
      <w:proofErr w:type="spellStart"/>
      <w:r w:rsidRPr="00923197">
        <w:rPr>
          <w:rFonts w:asciiTheme="minorHAnsi" w:hAnsiTheme="minorHAnsi" w:cstheme="minorHAnsi"/>
          <w:lang w:val="en-US"/>
        </w:rPr>
        <w:t>Wilholt</w:t>
      </w:r>
      <w:proofErr w:type="spellEnd"/>
      <w:r w:rsidRPr="00923197">
        <w:rPr>
          <w:rFonts w:asciiTheme="minorHAnsi" w:hAnsiTheme="minorHAnsi" w:cstheme="minorHAnsi"/>
          <w:lang w:val="en-US"/>
        </w:rPr>
        <w:t>, T. (2013) ‘Epistemic Trust in Science’</w:t>
      </w:r>
      <w:r w:rsidR="006E47AB" w:rsidRPr="00923197">
        <w:rPr>
          <w:rFonts w:asciiTheme="minorHAnsi" w:hAnsiTheme="minorHAnsi" w:cstheme="minorHAnsi"/>
          <w:lang w:val="en-US"/>
        </w:rPr>
        <w:t>.</w:t>
      </w:r>
      <w:r w:rsidRPr="00923197">
        <w:rPr>
          <w:rFonts w:asciiTheme="minorHAnsi" w:hAnsiTheme="minorHAnsi" w:cstheme="minorHAnsi"/>
          <w:lang w:val="en-US"/>
        </w:rPr>
        <w:t xml:space="preserve"> </w:t>
      </w:r>
      <w:r w:rsidRPr="00923197">
        <w:rPr>
          <w:rFonts w:asciiTheme="minorHAnsi" w:hAnsiTheme="minorHAnsi" w:cstheme="minorHAnsi"/>
          <w:i/>
          <w:iCs/>
          <w:lang w:val="en-US"/>
        </w:rPr>
        <w:t>British Journal for Philosophy of Science</w:t>
      </w:r>
      <w:r w:rsidRPr="00923197">
        <w:rPr>
          <w:rFonts w:asciiTheme="minorHAnsi" w:hAnsiTheme="minorHAnsi" w:cstheme="minorHAnsi"/>
          <w:lang w:val="en-US"/>
        </w:rPr>
        <w:t>, 64, 233-253.</w:t>
      </w:r>
    </w:p>
    <w:p w14:paraId="579C8891" w14:textId="77777777" w:rsidR="0077069D" w:rsidRPr="00923197" w:rsidRDefault="0077069D" w:rsidP="00327637">
      <w:pPr>
        <w:spacing w:line="360" w:lineRule="auto"/>
        <w:ind w:right="89"/>
        <w:rPr>
          <w:rFonts w:asciiTheme="minorHAnsi" w:hAnsiTheme="minorHAnsi" w:cstheme="minorHAnsi"/>
        </w:rPr>
        <w:sectPr w:rsidR="0077069D" w:rsidRPr="00923197" w:rsidSect="00547611">
          <w:footerReference w:type="even" r:id="rId8"/>
          <w:footerReference w:type="default" r:id="rId9"/>
          <w:footnotePr>
            <w:pos w:val="beneathText"/>
          </w:footnotePr>
          <w:pgSz w:w="11900" w:h="16840"/>
          <w:pgMar w:top="1440" w:right="1440" w:bottom="1440" w:left="1440" w:header="708" w:footer="708" w:gutter="0"/>
          <w:cols w:space="708"/>
          <w:docGrid w:linePitch="360"/>
        </w:sectPr>
      </w:pPr>
    </w:p>
    <w:p w14:paraId="7E10DA62" w14:textId="008A6049" w:rsidR="00400182" w:rsidRPr="00923197" w:rsidRDefault="00400182" w:rsidP="00327637">
      <w:pPr>
        <w:spacing w:line="360" w:lineRule="auto"/>
        <w:ind w:right="89"/>
        <w:rPr>
          <w:rFonts w:asciiTheme="minorHAnsi" w:hAnsiTheme="minorHAnsi" w:cstheme="minorHAnsi"/>
        </w:rPr>
      </w:pPr>
    </w:p>
    <w:sectPr w:rsidR="00400182" w:rsidRPr="00923197" w:rsidSect="0077069D">
      <w:footnotePr>
        <w:pos w:val="beneathText"/>
      </w:footnotePr>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63386" w14:textId="77777777" w:rsidR="005939CF" w:rsidRDefault="005939CF">
      <w:r>
        <w:separator/>
      </w:r>
    </w:p>
  </w:endnote>
  <w:endnote w:type="continuationSeparator" w:id="0">
    <w:p w14:paraId="1D952D68" w14:textId="77777777" w:rsidR="005939CF" w:rsidRDefault="005939CF">
      <w:r>
        <w:continuationSeparator/>
      </w:r>
    </w:p>
  </w:endnote>
  <w:endnote w:type="continuationNotice" w:id="1">
    <w:p w14:paraId="1B6377E9" w14:textId="77777777" w:rsidR="005939CF" w:rsidRDefault="005939CF"/>
  </w:endnote>
  <w:endnote w:id="2">
    <w:p w14:paraId="30615290" w14:textId="60F1ECE9" w:rsidR="00923197" w:rsidRPr="00923197" w:rsidRDefault="00923197" w:rsidP="00923197">
      <w:pPr>
        <w:pStyle w:val="EndnoteText"/>
        <w:spacing w:line="360" w:lineRule="auto"/>
        <w:rPr>
          <w:rFonts w:asciiTheme="minorHAnsi" w:hAnsiTheme="minorHAnsi" w:cstheme="minorHAnsi"/>
          <w:sz w:val="22"/>
          <w:szCs w:val="22"/>
          <w:lang w:val="en-GB"/>
        </w:rPr>
      </w:pPr>
      <w:r w:rsidRPr="00923197">
        <w:rPr>
          <w:rStyle w:val="EndnoteReference"/>
          <w:rFonts w:asciiTheme="minorHAnsi" w:hAnsiTheme="minorHAnsi" w:cstheme="minorHAnsi"/>
          <w:sz w:val="22"/>
          <w:szCs w:val="22"/>
        </w:rPr>
        <w:endnoteRef/>
      </w:r>
      <w:r w:rsidRPr="00923197">
        <w:rPr>
          <w:rFonts w:asciiTheme="minorHAnsi" w:hAnsiTheme="minorHAnsi" w:cstheme="minorHAnsi"/>
          <w:sz w:val="22"/>
          <w:szCs w:val="22"/>
        </w:rPr>
        <w:t xml:space="preserve"> </w:t>
      </w:r>
      <w:r w:rsidRPr="00923197">
        <w:rPr>
          <w:rFonts w:asciiTheme="minorHAnsi" w:hAnsiTheme="minorHAnsi" w:cstheme="minorHAnsi"/>
          <w:sz w:val="22"/>
          <w:szCs w:val="22"/>
          <w:lang w:val="en-GB"/>
        </w:rPr>
        <w:t>We would like to thank Catherine Holst, Carlo Martini, Clare Moriarty, and the editors of this collection for their helpful and generous comments on earlier drafts of this chapter.</w:t>
      </w:r>
    </w:p>
  </w:endnote>
  <w:endnote w:id="3">
    <w:p w14:paraId="2DFE2A54" w14:textId="4833E442" w:rsidR="00923197" w:rsidRPr="00923197" w:rsidRDefault="00923197" w:rsidP="00923197">
      <w:pPr>
        <w:pStyle w:val="EndnoteText"/>
        <w:spacing w:line="360" w:lineRule="auto"/>
        <w:rPr>
          <w:rFonts w:asciiTheme="minorHAnsi" w:hAnsiTheme="minorHAnsi" w:cstheme="minorHAnsi"/>
          <w:sz w:val="22"/>
          <w:szCs w:val="22"/>
        </w:rPr>
      </w:pPr>
      <w:r w:rsidRPr="00923197">
        <w:rPr>
          <w:rStyle w:val="EndnoteReference"/>
          <w:rFonts w:asciiTheme="minorHAnsi" w:hAnsiTheme="minorHAnsi" w:cstheme="minorHAnsi"/>
          <w:sz w:val="22"/>
          <w:szCs w:val="22"/>
        </w:rPr>
        <w:endnoteRef/>
      </w:r>
      <w:r w:rsidRPr="00923197">
        <w:rPr>
          <w:rFonts w:asciiTheme="minorHAnsi" w:hAnsiTheme="minorHAnsi" w:cstheme="minorHAnsi"/>
          <w:sz w:val="22"/>
          <w:szCs w:val="22"/>
        </w:rPr>
        <w:t xml:space="preserve"> Grundmann deploys the tools of network analysis, which starts “by giving a list of common platitudes about experts, and then proceed by checking whether the standard definitions of experts match these platitudes” </w:t>
      </w:r>
      <w:r w:rsidRPr="00923197">
        <w:rPr>
          <w:rFonts w:asciiTheme="minorHAnsi" w:hAnsiTheme="minorHAnsi" w:cstheme="minorHAnsi"/>
          <w:sz w:val="22"/>
          <w:szCs w:val="22"/>
          <w:highlight w:val="yellow"/>
        </w:rPr>
        <w:t>(forthcoming: xx).</w:t>
      </w:r>
    </w:p>
  </w:endnote>
  <w:endnote w:id="4">
    <w:p w14:paraId="0C60C926" w14:textId="2FA93A8D" w:rsidR="00923197" w:rsidRPr="00923197" w:rsidRDefault="00923197" w:rsidP="00923197">
      <w:pPr>
        <w:pStyle w:val="EndnoteText"/>
        <w:spacing w:line="360" w:lineRule="auto"/>
        <w:rPr>
          <w:rFonts w:asciiTheme="minorHAnsi" w:hAnsiTheme="minorHAnsi" w:cstheme="minorHAnsi"/>
          <w:sz w:val="22"/>
          <w:szCs w:val="22"/>
          <w:lang w:val="en-GB"/>
        </w:rPr>
      </w:pPr>
      <w:r w:rsidRPr="00923197">
        <w:rPr>
          <w:rStyle w:val="EndnoteReference"/>
          <w:rFonts w:asciiTheme="minorHAnsi" w:hAnsiTheme="minorHAnsi" w:cstheme="minorHAnsi"/>
          <w:sz w:val="22"/>
          <w:szCs w:val="22"/>
        </w:rPr>
        <w:endnoteRef/>
      </w:r>
      <w:r w:rsidRPr="00923197">
        <w:rPr>
          <w:rFonts w:asciiTheme="minorHAnsi" w:hAnsiTheme="minorHAnsi" w:cstheme="minorHAnsi"/>
          <w:sz w:val="22"/>
          <w:szCs w:val="22"/>
        </w:rPr>
        <w:t xml:space="preserve"> For a detailed study of use of experts in specific policy contexts see Owens (2015). </w:t>
      </w:r>
    </w:p>
  </w:endnote>
  <w:endnote w:id="5">
    <w:p w14:paraId="23BCB0CD" w14:textId="418A9758" w:rsidR="00923197" w:rsidRPr="00923197" w:rsidRDefault="00923197" w:rsidP="00923197">
      <w:pPr>
        <w:pStyle w:val="EndnoteText"/>
        <w:spacing w:line="360" w:lineRule="auto"/>
        <w:rPr>
          <w:rFonts w:asciiTheme="minorHAnsi" w:hAnsiTheme="minorHAnsi" w:cstheme="minorHAnsi"/>
          <w:sz w:val="22"/>
          <w:szCs w:val="22"/>
        </w:rPr>
      </w:pPr>
      <w:r w:rsidRPr="00923197">
        <w:rPr>
          <w:rStyle w:val="EndnoteReference"/>
          <w:rFonts w:asciiTheme="minorHAnsi" w:hAnsiTheme="minorHAnsi" w:cstheme="minorHAnsi"/>
          <w:sz w:val="22"/>
          <w:szCs w:val="22"/>
        </w:rPr>
        <w:endnoteRef/>
      </w:r>
      <w:r w:rsidRPr="00923197">
        <w:rPr>
          <w:rFonts w:asciiTheme="minorHAnsi" w:hAnsiTheme="minorHAnsi" w:cstheme="minorHAnsi"/>
          <w:sz w:val="22"/>
          <w:szCs w:val="22"/>
        </w:rPr>
        <w:t xml:space="preserve"> For an alternative presentation of the two problems, see Martini (2019: 119-120).</w:t>
      </w:r>
    </w:p>
  </w:endnote>
  <w:endnote w:id="6">
    <w:p w14:paraId="43E0714F" w14:textId="7F043AB1" w:rsidR="00923197" w:rsidRPr="00923197" w:rsidRDefault="00923197" w:rsidP="00923197">
      <w:pPr>
        <w:pStyle w:val="EndnoteText"/>
        <w:spacing w:line="360" w:lineRule="auto"/>
        <w:rPr>
          <w:rFonts w:asciiTheme="minorHAnsi" w:hAnsiTheme="minorHAnsi" w:cstheme="minorHAnsi"/>
          <w:sz w:val="22"/>
          <w:szCs w:val="22"/>
        </w:rPr>
      </w:pPr>
      <w:r w:rsidRPr="00923197">
        <w:rPr>
          <w:rStyle w:val="EndnoteReference"/>
          <w:rFonts w:asciiTheme="minorHAnsi" w:hAnsiTheme="minorHAnsi" w:cstheme="minorHAnsi"/>
          <w:sz w:val="22"/>
          <w:szCs w:val="22"/>
        </w:rPr>
        <w:endnoteRef/>
      </w:r>
      <w:r w:rsidRPr="00923197">
        <w:rPr>
          <w:rFonts w:asciiTheme="minorHAnsi" w:hAnsiTheme="minorHAnsi" w:cstheme="minorHAnsi"/>
          <w:sz w:val="22"/>
          <w:szCs w:val="22"/>
        </w:rPr>
        <w:t xml:space="preserve"> For a discussion of the latter problem see, among others, Lane (2014); Dellsen and Baghramian (2020 forthcoming). </w:t>
      </w:r>
    </w:p>
  </w:endnote>
  <w:endnote w:id="7">
    <w:p w14:paraId="6CAB141C" w14:textId="1C80BD8D" w:rsidR="00923197" w:rsidRPr="00923197" w:rsidRDefault="00923197" w:rsidP="00923197">
      <w:pPr>
        <w:pStyle w:val="EndnoteText"/>
        <w:spacing w:line="360" w:lineRule="auto"/>
        <w:rPr>
          <w:rFonts w:asciiTheme="minorHAnsi" w:hAnsiTheme="minorHAnsi" w:cstheme="minorHAnsi"/>
          <w:sz w:val="22"/>
          <w:szCs w:val="22"/>
        </w:rPr>
      </w:pPr>
      <w:r w:rsidRPr="00923197">
        <w:rPr>
          <w:rStyle w:val="EndnoteReference"/>
          <w:rFonts w:asciiTheme="minorHAnsi" w:hAnsiTheme="minorHAnsi" w:cstheme="minorHAnsi"/>
          <w:sz w:val="22"/>
          <w:szCs w:val="22"/>
        </w:rPr>
        <w:endnoteRef/>
      </w:r>
      <w:r w:rsidRPr="00923197">
        <w:rPr>
          <w:rFonts w:asciiTheme="minorHAnsi" w:hAnsiTheme="minorHAnsi" w:cstheme="minorHAnsi"/>
          <w:sz w:val="22"/>
          <w:szCs w:val="22"/>
        </w:rPr>
        <w:t xml:space="preserve"> See Johnston, Mills, and Landrum (2015) for empirical evidence partly supporting Anderson’s diagnosis. </w:t>
      </w:r>
    </w:p>
  </w:endnote>
  <w:endnote w:id="8">
    <w:p w14:paraId="11120D5A" w14:textId="3FF3B5CF" w:rsidR="00923197" w:rsidRPr="00923197" w:rsidRDefault="00923197" w:rsidP="00923197">
      <w:pPr>
        <w:pStyle w:val="EndnoteText"/>
        <w:spacing w:line="360" w:lineRule="auto"/>
        <w:rPr>
          <w:rFonts w:asciiTheme="minorHAnsi" w:hAnsiTheme="minorHAnsi" w:cstheme="minorHAnsi"/>
          <w:sz w:val="22"/>
          <w:szCs w:val="22"/>
        </w:rPr>
      </w:pPr>
      <w:r w:rsidRPr="00923197">
        <w:rPr>
          <w:rStyle w:val="EndnoteReference"/>
          <w:rFonts w:asciiTheme="minorHAnsi" w:hAnsiTheme="minorHAnsi" w:cstheme="minorHAnsi"/>
          <w:sz w:val="22"/>
          <w:szCs w:val="22"/>
        </w:rPr>
        <w:endnoteRef/>
      </w:r>
      <w:r w:rsidRPr="00923197">
        <w:rPr>
          <w:rFonts w:asciiTheme="minorHAnsi" w:hAnsiTheme="minorHAnsi" w:cstheme="minorHAnsi"/>
          <w:sz w:val="22"/>
          <w:szCs w:val="22"/>
        </w:rPr>
        <w:t xml:space="preserve"> Critical discussions of Anderson’s criteria for identifying experts are offered in Brennan (2020), Brown (2014), Guerrero (2017), and Lane (2014).</w:t>
      </w:r>
    </w:p>
  </w:endnote>
  <w:endnote w:id="9">
    <w:p w14:paraId="628437E8" w14:textId="1B11DC8B" w:rsidR="00923197" w:rsidRPr="00923197" w:rsidRDefault="00923197" w:rsidP="00923197">
      <w:pPr>
        <w:spacing w:line="360" w:lineRule="auto"/>
        <w:rPr>
          <w:rFonts w:asciiTheme="minorHAnsi" w:hAnsiTheme="minorHAnsi" w:cstheme="minorHAnsi"/>
          <w:sz w:val="22"/>
          <w:szCs w:val="22"/>
          <w:lang w:val="en-US"/>
        </w:rPr>
      </w:pPr>
      <w:r w:rsidRPr="00923197">
        <w:rPr>
          <w:rStyle w:val="EndnoteReference"/>
          <w:rFonts w:asciiTheme="minorHAnsi" w:hAnsiTheme="minorHAnsi" w:cstheme="minorHAnsi"/>
          <w:sz w:val="22"/>
          <w:szCs w:val="22"/>
        </w:rPr>
        <w:endnoteRef/>
      </w:r>
      <w:r w:rsidRPr="00923197">
        <w:rPr>
          <w:rFonts w:asciiTheme="minorHAnsi" w:hAnsiTheme="minorHAnsi" w:cstheme="minorHAnsi"/>
          <w:sz w:val="22"/>
          <w:szCs w:val="22"/>
        </w:rPr>
        <w:t xml:space="preserve"> Those</w:t>
      </w:r>
      <w:r w:rsidRPr="00923197">
        <w:rPr>
          <w:rFonts w:asciiTheme="minorHAnsi" w:hAnsiTheme="minorHAnsi" w:cstheme="minorHAnsi"/>
          <w:sz w:val="22"/>
          <w:szCs w:val="22"/>
          <w:lang w:val="en-US"/>
        </w:rPr>
        <w:t xml:space="preserve"> who do not buy into the </w:t>
      </w:r>
      <w:r w:rsidRPr="00923197">
        <w:rPr>
          <w:rFonts w:asciiTheme="minorHAnsi" w:hAnsiTheme="minorHAnsi" w:cstheme="minorHAnsi"/>
          <w:sz w:val="22"/>
          <w:szCs w:val="22"/>
        </w:rPr>
        <w:t xml:space="preserve">combined account of trust may </w:t>
      </w:r>
      <w:r w:rsidRPr="00923197">
        <w:rPr>
          <w:rFonts w:asciiTheme="minorHAnsi" w:hAnsiTheme="minorHAnsi" w:cstheme="minorHAnsi"/>
          <w:sz w:val="22"/>
          <w:szCs w:val="22"/>
          <w:lang w:val="en-US"/>
        </w:rPr>
        <w:t xml:space="preserve">locate trust in the prudential, rather than moral, domain. There are distinct social, financial and personal advantages in being judged reliable and trustworthy (Frost-Arnold 2013: 302, </w:t>
      </w:r>
      <w:proofErr w:type="spellStart"/>
      <w:r w:rsidRPr="00923197">
        <w:rPr>
          <w:rFonts w:asciiTheme="minorHAnsi" w:hAnsiTheme="minorHAnsi" w:cstheme="minorHAnsi"/>
          <w:sz w:val="22"/>
          <w:szCs w:val="22"/>
          <w:lang w:val="en-US"/>
        </w:rPr>
        <w:t>Rolin</w:t>
      </w:r>
      <w:proofErr w:type="spellEnd"/>
      <w:r w:rsidRPr="00923197">
        <w:rPr>
          <w:rFonts w:asciiTheme="minorHAnsi" w:hAnsiTheme="minorHAnsi" w:cstheme="minorHAnsi"/>
          <w:sz w:val="22"/>
          <w:szCs w:val="22"/>
          <w:lang w:val="en-US"/>
        </w:rPr>
        <w:t xml:space="preserve"> 2020). “A self-interest account of trust shifts the focus away from an individual scientist’s moral and epistemic character to the social practices of scientific communities and the institutions of science. When the social practices and institutions of science are well-designed, there are incentives for scientists to behave in a trustworthy way, and prudential considerations are likely to ensure that they will actually do so” (</w:t>
      </w:r>
      <w:proofErr w:type="spellStart"/>
      <w:r w:rsidRPr="00923197">
        <w:rPr>
          <w:rFonts w:asciiTheme="minorHAnsi" w:hAnsiTheme="minorHAnsi" w:cstheme="minorHAnsi"/>
          <w:sz w:val="22"/>
          <w:szCs w:val="22"/>
          <w:lang w:val="en-US"/>
        </w:rPr>
        <w:t>Rolin</w:t>
      </w:r>
      <w:proofErr w:type="spellEnd"/>
      <w:r w:rsidRPr="00923197">
        <w:rPr>
          <w:rFonts w:asciiTheme="minorHAnsi" w:hAnsiTheme="minorHAnsi" w:cstheme="minorHAnsi"/>
          <w:sz w:val="22"/>
          <w:szCs w:val="22"/>
          <w:lang w:val="en-US"/>
        </w:rPr>
        <w:t xml:space="preserve"> 2020).</w:t>
      </w:r>
    </w:p>
    <w:p w14:paraId="43317D87" w14:textId="77777777" w:rsidR="00923197" w:rsidRPr="00461D45" w:rsidRDefault="00923197" w:rsidP="004B110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8639297"/>
      <w:docPartObj>
        <w:docPartGallery w:val="Page Numbers (Bottom of Page)"/>
        <w:docPartUnique/>
      </w:docPartObj>
    </w:sdtPr>
    <w:sdtEndPr>
      <w:rPr>
        <w:rStyle w:val="PageNumber"/>
      </w:rPr>
    </w:sdtEndPr>
    <w:sdtContent>
      <w:p w14:paraId="577E3373" w14:textId="5B59B81D" w:rsidR="00923197" w:rsidRDefault="00923197" w:rsidP="00AB24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5AD3DB" w14:textId="77777777" w:rsidR="00923197" w:rsidRDefault="00923197" w:rsidP="009231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773454"/>
      <w:docPartObj>
        <w:docPartGallery w:val="Page Numbers (Bottom of Page)"/>
        <w:docPartUnique/>
      </w:docPartObj>
    </w:sdtPr>
    <w:sdtEndPr>
      <w:rPr>
        <w:rStyle w:val="PageNumber"/>
      </w:rPr>
    </w:sdtEndPr>
    <w:sdtContent>
      <w:p w14:paraId="73707087" w14:textId="2115910A" w:rsidR="00923197" w:rsidRDefault="00923197" w:rsidP="00AB24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9FF46A" w14:textId="77777777" w:rsidR="00923197" w:rsidRDefault="00923197" w:rsidP="009231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17FF5" w14:textId="77777777" w:rsidR="005939CF" w:rsidRDefault="005939CF">
      <w:r>
        <w:separator/>
      </w:r>
    </w:p>
  </w:footnote>
  <w:footnote w:type="continuationSeparator" w:id="0">
    <w:p w14:paraId="53873E53" w14:textId="77777777" w:rsidR="005939CF" w:rsidRDefault="005939CF">
      <w:r>
        <w:continuationSeparator/>
      </w:r>
    </w:p>
  </w:footnote>
  <w:footnote w:type="continuationNotice" w:id="1">
    <w:p w14:paraId="67477140" w14:textId="77777777" w:rsidR="005939CF" w:rsidRDefault="005939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6DC6"/>
    <w:multiLevelType w:val="hybridMultilevel"/>
    <w:tmpl w:val="FE6C3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B7445C"/>
    <w:multiLevelType w:val="hybridMultilevel"/>
    <w:tmpl w:val="807A5AB6"/>
    <w:lvl w:ilvl="0" w:tplc="D8FCFB3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3C530786"/>
    <w:multiLevelType w:val="hybridMultilevel"/>
    <w:tmpl w:val="E6D06BD2"/>
    <w:lvl w:ilvl="0" w:tplc="266663EC">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6B4507D4"/>
    <w:multiLevelType w:val="hybridMultilevel"/>
    <w:tmpl w:val="81D8C9DA"/>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hyphenationZone w:val="283"/>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E0"/>
    <w:rsid w:val="0000356A"/>
    <w:rsid w:val="00007E42"/>
    <w:rsid w:val="00016A0B"/>
    <w:rsid w:val="00020138"/>
    <w:rsid w:val="0002257A"/>
    <w:rsid w:val="00025ECF"/>
    <w:rsid w:val="00030566"/>
    <w:rsid w:val="00032D7F"/>
    <w:rsid w:val="00035EE3"/>
    <w:rsid w:val="000411B9"/>
    <w:rsid w:val="000450E7"/>
    <w:rsid w:val="0005688C"/>
    <w:rsid w:val="00076694"/>
    <w:rsid w:val="000933CD"/>
    <w:rsid w:val="00093C54"/>
    <w:rsid w:val="00096114"/>
    <w:rsid w:val="000979B6"/>
    <w:rsid w:val="000A2176"/>
    <w:rsid w:val="000A6651"/>
    <w:rsid w:val="000B0A11"/>
    <w:rsid w:val="000B7138"/>
    <w:rsid w:val="000C3024"/>
    <w:rsid w:val="000C5AB7"/>
    <w:rsid w:val="000D050E"/>
    <w:rsid w:val="000D7A30"/>
    <w:rsid w:val="000F2042"/>
    <w:rsid w:val="000F278F"/>
    <w:rsid w:val="000F2B59"/>
    <w:rsid w:val="000F5D0B"/>
    <w:rsid w:val="001063AC"/>
    <w:rsid w:val="00117C76"/>
    <w:rsid w:val="00117FB5"/>
    <w:rsid w:val="00122E5C"/>
    <w:rsid w:val="00136A57"/>
    <w:rsid w:val="001406F1"/>
    <w:rsid w:val="00143B26"/>
    <w:rsid w:val="00144F52"/>
    <w:rsid w:val="001575A3"/>
    <w:rsid w:val="00157BBD"/>
    <w:rsid w:val="001614A7"/>
    <w:rsid w:val="0016257C"/>
    <w:rsid w:val="00167683"/>
    <w:rsid w:val="0017251E"/>
    <w:rsid w:val="001779AB"/>
    <w:rsid w:val="0018448E"/>
    <w:rsid w:val="00187E8F"/>
    <w:rsid w:val="001A0D3C"/>
    <w:rsid w:val="001A5126"/>
    <w:rsid w:val="001A5284"/>
    <w:rsid w:val="001B2037"/>
    <w:rsid w:val="001B648F"/>
    <w:rsid w:val="001C0019"/>
    <w:rsid w:val="001C0797"/>
    <w:rsid w:val="001C0EF3"/>
    <w:rsid w:val="001C0F14"/>
    <w:rsid w:val="001C70FF"/>
    <w:rsid w:val="001D0E20"/>
    <w:rsid w:val="001D5894"/>
    <w:rsid w:val="001D7D83"/>
    <w:rsid w:val="001E0CCB"/>
    <w:rsid w:val="001E10E9"/>
    <w:rsid w:val="001E2C1B"/>
    <w:rsid w:val="001E3C7F"/>
    <w:rsid w:val="001E480A"/>
    <w:rsid w:val="001F166D"/>
    <w:rsid w:val="001F2EBA"/>
    <w:rsid w:val="00212067"/>
    <w:rsid w:val="00217179"/>
    <w:rsid w:val="002177D6"/>
    <w:rsid w:val="00223500"/>
    <w:rsid w:val="00225B8B"/>
    <w:rsid w:val="0022668A"/>
    <w:rsid w:val="002353E0"/>
    <w:rsid w:val="00246EA0"/>
    <w:rsid w:val="00250AAB"/>
    <w:rsid w:val="00255354"/>
    <w:rsid w:val="00255C07"/>
    <w:rsid w:val="002615ED"/>
    <w:rsid w:val="00270F51"/>
    <w:rsid w:val="00280653"/>
    <w:rsid w:val="00281B73"/>
    <w:rsid w:val="002839B0"/>
    <w:rsid w:val="00284528"/>
    <w:rsid w:val="00286D34"/>
    <w:rsid w:val="002A4891"/>
    <w:rsid w:val="002A67C5"/>
    <w:rsid w:val="002B0213"/>
    <w:rsid w:val="002B3184"/>
    <w:rsid w:val="002B4353"/>
    <w:rsid w:val="002B7271"/>
    <w:rsid w:val="002D2873"/>
    <w:rsid w:val="002D6B41"/>
    <w:rsid w:val="002E28DD"/>
    <w:rsid w:val="002E49AB"/>
    <w:rsid w:val="002E661D"/>
    <w:rsid w:val="002F37D1"/>
    <w:rsid w:val="002F54B5"/>
    <w:rsid w:val="002F58C3"/>
    <w:rsid w:val="002F600B"/>
    <w:rsid w:val="00303244"/>
    <w:rsid w:val="0030428E"/>
    <w:rsid w:val="00307878"/>
    <w:rsid w:val="0031016E"/>
    <w:rsid w:val="00312CF4"/>
    <w:rsid w:val="00316241"/>
    <w:rsid w:val="00327287"/>
    <w:rsid w:val="00327637"/>
    <w:rsid w:val="00330C04"/>
    <w:rsid w:val="00332C8C"/>
    <w:rsid w:val="003376D6"/>
    <w:rsid w:val="00351303"/>
    <w:rsid w:val="00360B52"/>
    <w:rsid w:val="00362D17"/>
    <w:rsid w:val="003805B3"/>
    <w:rsid w:val="00387C79"/>
    <w:rsid w:val="00391D81"/>
    <w:rsid w:val="003A4D7A"/>
    <w:rsid w:val="003A73ED"/>
    <w:rsid w:val="003B496C"/>
    <w:rsid w:val="003B49AF"/>
    <w:rsid w:val="003B753E"/>
    <w:rsid w:val="003C5062"/>
    <w:rsid w:val="003D2B2D"/>
    <w:rsid w:val="003D387C"/>
    <w:rsid w:val="003D4FCA"/>
    <w:rsid w:val="003E5AEE"/>
    <w:rsid w:val="00400182"/>
    <w:rsid w:val="00403BA4"/>
    <w:rsid w:val="00404E22"/>
    <w:rsid w:val="00407504"/>
    <w:rsid w:val="00410CD6"/>
    <w:rsid w:val="0041427D"/>
    <w:rsid w:val="00421BB0"/>
    <w:rsid w:val="00430F69"/>
    <w:rsid w:val="004422FD"/>
    <w:rsid w:val="00460C05"/>
    <w:rsid w:val="00463919"/>
    <w:rsid w:val="00470AB6"/>
    <w:rsid w:val="00472672"/>
    <w:rsid w:val="00480C34"/>
    <w:rsid w:val="00483325"/>
    <w:rsid w:val="00491331"/>
    <w:rsid w:val="004A3A47"/>
    <w:rsid w:val="004A61D3"/>
    <w:rsid w:val="004A7A02"/>
    <w:rsid w:val="004B1103"/>
    <w:rsid w:val="004B261B"/>
    <w:rsid w:val="004B2858"/>
    <w:rsid w:val="004C3ACB"/>
    <w:rsid w:val="004D2C89"/>
    <w:rsid w:val="004D6607"/>
    <w:rsid w:val="004F5DB5"/>
    <w:rsid w:val="0050021E"/>
    <w:rsid w:val="005059D1"/>
    <w:rsid w:val="00525F03"/>
    <w:rsid w:val="00535781"/>
    <w:rsid w:val="00545110"/>
    <w:rsid w:val="00547611"/>
    <w:rsid w:val="0055394F"/>
    <w:rsid w:val="00570718"/>
    <w:rsid w:val="00571668"/>
    <w:rsid w:val="005814DA"/>
    <w:rsid w:val="005939CF"/>
    <w:rsid w:val="005A3091"/>
    <w:rsid w:val="005B5456"/>
    <w:rsid w:val="005B5D74"/>
    <w:rsid w:val="005C3B40"/>
    <w:rsid w:val="005C4BDE"/>
    <w:rsid w:val="005C77EF"/>
    <w:rsid w:val="005D2520"/>
    <w:rsid w:val="005D3C5E"/>
    <w:rsid w:val="005D508E"/>
    <w:rsid w:val="005D5520"/>
    <w:rsid w:val="005D63DB"/>
    <w:rsid w:val="005E6106"/>
    <w:rsid w:val="005F57BC"/>
    <w:rsid w:val="006037AA"/>
    <w:rsid w:val="00605A06"/>
    <w:rsid w:val="00615B28"/>
    <w:rsid w:val="006252C4"/>
    <w:rsid w:val="00627A07"/>
    <w:rsid w:val="00635286"/>
    <w:rsid w:val="0063629F"/>
    <w:rsid w:val="0064731B"/>
    <w:rsid w:val="00683C96"/>
    <w:rsid w:val="00686AA0"/>
    <w:rsid w:val="0069150E"/>
    <w:rsid w:val="006A7F0F"/>
    <w:rsid w:val="006B0D73"/>
    <w:rsid w:val="006B4344"/>
    <w:rsid w:val="006B646B"/>
    <w:rsid w:val="006B6B70"/>
    <w:rsid w:val="006B7D9F"/>
    <w:rsid w:val="006C158B"/>
    <w:rsid w:val="006C4E37"/>
    <w:rsid w:val="006D5E17"/>
    <w:rsid w:val="006E312E"/>
    <w:rsid w:val="006E354B"/>
    <w:rsid w:val="006E47AB"/>
    <w:rsid w:val="006E579C"/>
    <w:rsid w:val="006F2271"/>
    <w:rsid w:val="006F3A3F"/>
    <w:rsid w:val="006F54A6"/>
    <w:rsid w:val="00705DAA"/>
    <w:rsid w:val="007103EE"/>
    <w:rsid w:val="00710873"/>
    <w:rsid w:val="00737299"/>
    <w:rsid w:val="00745374"/>
    <w:rsid w:val="00754F14"/>
    <w:rsid w:val="0075724A"/>
    <w:rsid w:val="007602AD"/>
    <w:rsid w:val="00761665"/>
    <w:rsid w:val="00761762"/>
    <w:rsid w:val="00761F9A"/>
    <w:rsid w:val="00763096"/>
    <w:rsid w:val="0077065C"/>
    <w:rsid w:val="0077069D"/>
    <w:rsid w:val="0077241E"/>
    <w:rsid w:val="00777543"/>
    <w:rsid w:val="007870C7"/>
    <w:rsid w:val="0079617B"/>
    <w:rsid w:val="007A0288"/>
    <w:rsid w:val="007C3DA4"/>
    <w:rsid w:val="007D488B"/>
    <w:rsid w:val="007F782A"/>
    <w:rsid w:val="00802A1A"/>
    <w:rsid w:val="00805D64"/>
    <w:rsid w:val="00812F33"/>
    <w:rsid w:val="008171F8"/>
    <w:rsid w:val="00822493"/>
    <w:rsid w:val="00831A6D"/>
    <w:rsid w:val="00837B45"/>
    <w:rsid w:val="00840033"/>
    <w:rsid w:val="00845077"/>
    <w:rsid w:val="00847290"/>
    <w:rsid w:val="00847758"/>
    <w:rsid w:val="008478E7"/>
    <w:rsid w:val="008541A9"/>
    <w:rsid w:val="0085555B"/>
    <w:rsid w:val="0085587B"/>
    <w:rsid w:val="008577E0"/>
    <w:rsid w:val="0086630E"/>
    <w:rsid w:val="00867328"/>
    <w:rsid w:val="00872897"/>
    <w:rsid w:val="00876EA7"/>
    <w:rsid w:val="00877A34"/>
    <w:rsid w:val="008836BA"/>
    <w:rsid w:val="008851E3"/>
    <w:rsid w:val="00892860"/>
    <w:rsid w:val="00892AFF"/>
    <w:rsid w:val="008A79E3"/>
    <w:rsid w:val="008B0A67"/>
    <w:rsid w:val="008B2CD6"/>
    <w:rsid w:val="008C0BEB"/>
    <w:rsid w:val="008C4126"/>
    <w:rsid w:val="008E1761"/>
    <w:rsid w:val="008E58AC"/>
    <w:rsid w:val="008F05B3"/>
    <w:rsid w:val="008F4F76"/>
    <w:rsid w:val="009038DC"/>
    <w:rsid w:val="00913A9A"/>
    <w:rsid w:val="00915CEB"/>
    <w:rsid w:val="009166DE"/>
    <w:rsid w:val="00923197"/>
    <w:rsid w:val="00930D90"/>
    <w:rsid w:val="00930F2C"/>
    <w:rsid w:val="00943F79"/>
    <w:rsid w:val="00944C81"/>
    <w:rsid w:val="00945CD4"/>
    <w:rsid w:val="00951F6C"/>
    <w:rsid w:val="00953228"/>
    <w:rsid w:val="00964A4A"/>
    <w:rsid w:val="00965673"/>
    <w:rsid w:val="00973743"/>
    <w:rsid w:val="00973974"/>
    <w:rsid w:val="009744DF"/>
    <w:rsid w:val="00980E93"/>
    <w:rsid w:val="00987EA9"/>
    <w:rsid w:val="00991A9C"/>
    <w:rsid w:val="0099618A"/>
    <w:rsid w:val="009A1553"/>
    <w:rsid w:val="009C04EA"/>
    <w:rsid w:val="009C2844"/>
    <w:rsid w:val="009C2885"/>
    <w:rsid w:val="009E3BB4"/>
    <w:rsid w:val="009E3DD4"/>
    <w:rsid w:val="009F3CA0"/>
    <w:rsid w:val="009F71AA"/>
    <w:rsid w:val="00A03DFE"/>
    <w:rsid w:val="00A04683"/>
    <w:rsid w:val="00A052FD"/>
    <w:rsid w:val="00A107C7"/>
    <w:rsid w:val="00A109FF"/>
    <w:rsid w:val="00A17E4A"/>
    <w:rsid w:val="00A30B4A"/>
    <w:rsid w:val="00A357E8"/>
    <w:rsid w:val="00A414DA"/>
    <w:rsid w:val="00A4245A"/>
    <w:rsid w:val="00A44014"/>
    <w:rsid w:val="00A802FE"/>
    <w:rsid w:val="00A84515"/>
    <w:rsid w:val="00A90356"/>
    <w:rsid w:val="00A97FEA"/>
    <w:rsid w:val="00AA2276"/>
    <w:rsid w:val="00AA2EC0"/>
    <w:rsid w:val="00AB24F2"/>
    <w:rsid w:val="00AC19A1"/>
    <w:rsid w:val="00AC2B53"/>
    <w:rsid w:val="00AC7A89"/>
    <w:rsid w:val="00AE2E09"/>
    <w:rsid w:val="00AE34F0"/>
    <w:rsid w:val="00AE610A"/>
    <w:rsid w:val="00AE6993"/>
    <w:rsid w:val="00AF0FE0"/>
    <w:rsid w:val="00AF532B"/>
    <w:rsid w:val="00B01C2B"/>
    <w:rsid w:val="00B13BA3"/>
    <w:rsid w:val="00B22008"/>
    <w:rsid w:val="00B247F8"/>
    <w:rsid w:val="00B35411"/>
    <w:rsid w:val="00B4719B"/>
    <w:rsid w:val="00B47362"/>
    <w:rsid w:val="00B57915"/>
    <w:rsid w:val="00B822FF"/>
    <w:rsid w:val="00B901D2"/>
    <w:rsid w:val="00B91B24"/>
    <w:rsid w:val="00B9527C"/>
    <w:rsid w:val="00BA3211"/>
    <w:rsid w:val="00BB0F70"/>
    <w:rsid w:val="00BB1308"/>
    <w:rsid w:val="00BB3D1A"/>
    <w:rsid w:val="00BE7E42"/>
    <w:rsid w:val="00C001AF"/>
    <w:rsid w:val="00C01837"/>
    <w:rsid w:val="00C03728"/>
    <w:rsid w:val="00C26BC2"/>
    <w:rsid w:val="00C26FE8"/>
    <w:rsid w:val="00C31A35"/>
    <w:rsid w:val="00C32BEF"/>
    <w:rsid w:val="00C47720"/>
    <w:rsid w:val="00C517C5"/>
    <w:rsid w:val="00C51ACF"/>
    <w:rsid w:val="00C61D9A"/>
    <w:rsid w:val="00C65733"/>
    <w:rsid w:val="00C73625"/>
    <w:rsid w:val="00C75CD5"/>
    <w:rsid w:val="00C77FE5"/>
    <w:rsid w:val="00C87082"/>
    <w:rsid w:val="00C979D8"/>
    <w:rsid w:val="00CA2992"/>
    <w:rsid w:val="00CB26C2"/>
    <w:rsid w:val="00CC127F"/>
    <w:rsid w:val="00CC6166"/>
    <w:rsid w:val="00CC63F7"/>
    <w:rsid w:val="00CC656F"/>
    <w:rsid w:val="00CD3BEC"/>
    <w:rsid w:val="00CF0A84"/>
    <w:rsid w:val="00D151AD"/>
    <w:rsid w:val="00D1621E"/>
    <w:rsid w:val="00D240EE"/>
    <w:rsid w:val="00D2546F"/>
    <w:rsid w:val="00D43565"/>
    <w:rsid w:val="00D54D80"/>
    <w:rsid w:val="00D565C8"/>
    <w:rsid w:val="00D677B6"/>
    <w:rsid w:val="00D73A1D"/>
    <w:rsid w:val="00D7555A"/>
    <w:rsid w:val="00D76D3A"/>
    <w:rsid w:val="00D80E25"/>
    <w:rsid w:val="00D90850"/>
    <w:rsid w:val="00DA05BA"/>
    <w:rsid w:val="00DA2680"/>
    <w:rsid w:val="00DA2779"/>
    <w:rsid w:val="00DA63C0"/>
    <w:rsid w:val="00DA7DF5"/>
    <w:rsid w:val="00DC379E"/>
    <w:rsid w:val="00DC4303"/>
    <w:rsid w:val="00DC6003"/>
    <w:rsid w:val="00DC723B"/>
    <w:rsid w:val="00DE07FD"/>
    <w:rsid w:val="00DE40DF"/>
    <w:rsid w:val="00DF39F3"/>
    <w:rsid w:val="00DF51B2"/>
    <w:rsid w:val="00E06FCB"/>
    <w:rsid w:val="00E110D0"/>
    <w:rsid w:val="00E12D5B"/>
    <w:rsid w:val="00E150F0"/>
    <w:rsid w:val="00E16E7A"/>
    <w:rsid w:val="00E21F77"/>
    <w:rsid w:val="00E26A20"/>
    <w:rsid w:val="00E36692"/>
    <w:rsid w:val="00E40215"/>
    <w:rsid w:val="00E46703"/>
    <w:rsid w:val="00E50356"/>
    <w:rsid w:val="00E54DC0"/>
    <w:rsid w:val="00E60199"/>
    <w:rsid w:val="00E76DCA"/>
    <w:rsid w:val="00E85143"/>
    <w:rsid w:val="00E93EE3"/>
    <w:rsid w:val="00EA179F"/>
    <w:rsid w:val="00EA6535"/>
    <w:rsid w:val="00EB0ACA"/>
    <w:rsid w:val="00ED5D0D"/>
    <w:rsid w:val="00ED799E"/>
    <w:rsid w:val="00EE2945"/>
    <w:rsid w:val="00EE61AA"/>
    <w:rsid w:val="00EF25C2"/>
    <w:rsid w:val="00EF3076"/>
    <w:rsid w:val="00F05590"/>
    <w:rsid w:val="00F06E8D"/>
    <w:rsid w:val="00F15247"/>
    <w:rsid w:val="00F17486"/>
    <w:rsid w:val="00F244B4"/>
    <w:rsid w:val="00F25DB0"/>
    <w:rsid w:val="00F41D32"/>
    <w:rsid w:val="00F43806"/>
    <w:rsid w:val="00F52B2E"/>
    <w:rsid w:val="00F575CB"/>
    <w:rsid w:val="00F66840"/>
    <w:rsid w:val="00F70F34"/>
    <w:rsid w:val="00F73923"/>
    <w:rsid w:val="00F81608"/>
    <w:rsid w:val="00F96A4E"/>
    <w:rsid w:val="00FB231B"/>
    <w:rsid w:val="00FC7526"/>
    <w:rsid w:val="00FD2DB7"/>
    <w:rsid w:val="00FE464A"/>
    <w:rsid w:val="00FE6F30"/>
    <w:rsid w:val="00FF4BDA"/>
    <w:rsid w:val="00FF608B"/>
    <w:rsid w:val="00FF77A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1B6EB9"/>
  <w15:docId w15:val="{AF5A81F6-3C90-214B-9311-7E1C1CBF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89"/>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F2271"/>
    <w:pPr>
      <w:spacing w:after="120"/>
    </w:pPr>
    <w:rPr>
      <w:rFonts w:asciiTheme="minorHAnsi" w:eastAsiaTheme="minorHAnsi" w:hAnsiTheme="minorHAnsi" w:cstheme="minorBidi"/>
      <w:lang w:val="en-GB" w:eastAsia="en-US"/>
    </w:rPr>
  </w:style>
  <w:style w:type="character" w:customStyle="1" w:styleId="BodyTextChar">
    <w:name w:val="Body Text Char"/>
    <w:basedOn w:val="DefaultParagraphFont"/>
    <w:link w:val="BodyText"/>
    <w:uiPriority w:val="99"/>
    <w:rsid w:val="006F2271"/>
    <w:rPr>
      <w:lang w:val="en-GB"/>
    </w:rPr>
  </w:style>
  <w:style w:type="paragraph" w:styleId="NormalWeb">
    <w:name w:val="Normal (Web)"/>
    <w:basedOn w:val="Normal"/>
    <w:uiPriority w:val="99"/>
    <w:unhideWhenUsed/>
    <w:rsid w:val="006F2271"/>
    <w:rPr>
      <w:rFonts w:eastAsiaTheme="minorHAnsi"/>
      <w:lang w:val="en-GB" w:eastAsia="en-US"/>
    </w:rPr>
  </w:style>
  <w:style w:type="character" w:styleId="CommentReference">
    <w:name w:val="annotation reference"/>
    <w:basedOn w:val="DefaultParagraphFont"/>
    <w:uiPriority w:val="99"/>
    <w:semiHidden/>
    <w:unhideWhenUsed/>
    <w:rsid w:val="006F2271"/>
    <w:rPr>
      <w:sz w:val="16"/>
      <w:szCs w:val="16"/>
    </w:rPr>
  </w:style>
  <w:style w:type="paragraph" w:styleId="CommentText">
    <w:name w:val="annotation text"/>
    <w:basedOn w:val="Normal"/>
    <w:link w:val="CommentTextChar"/>
    <w:uiPriority w:val="99"/>
    <w:unhideWhenUsed/>
    <w:rsid w:val="006F2271"/>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6F2271"/>
    <w:rPr>
      <w:sz w:val="20"/>
      <w:szCs w:val="20"/>
      <w:lang w:val="en-GB"/>
    </w:rPr>
  </w:style>
  <w:style w:type="paragraph" w:styleId="FootnoteText">
    <w:name w:val="footnote text"/>
    <w:basedOn w:val="Normal"/>
    <w:link w:val="FootnoteTextChar"/>
    <w:uiPriority w:val="99"/>
    <w:semiHidden/>
    <w:unhideWhenUsed/>
    <w:rsid w:val="008B0A67"/>
    <w:rPr>
      <w:sz w:val="20"/>
      <w:szCs w:val="20"/>
      <w:lang w:val="en-US" w:eastAsia="en-US"/>
    </w:rPr>
  </w:style>
  <w:style w:type="character" w:customStyle="1" w:styleId="FootnoteTextChar">
    <w:name w:val="Footnote Text Char"/>
    <w:basedOn w:val="DefaultParagraphFont"/>
    <w:link w:val="FootnoteText"/>
    <w:uiPriority w:val="99"/>
    <w:semiHidden/>
    <w:rsid w:val="008B0A6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8B0A67"/>
    <w:rPr>
      <w:vertAlign w:val="superscript"/>
    </w:rPr>
  </w:style>
  <w:style w:type="paragraph" w:styleId="BalloonText">
    <w:name w:val="Balloon Text"/>
    <w:basedOn w:val="Normal"/>
    <w:link w:val="BalloonTextChar"/>
    <w:uiPriority w:val="99"/>
    <w:semiHidden/>
    <w:unhideWhenUsed/>
    <w:rsid w:val="008B0A67"/>
    <w:rPr>
      <w:rFonts w:eastAsiaTheme="minorHAnsi"/>
      <w:sz w:val="18"/>
      <w:szCs w:val="18"/>
      <w:lang w:val="en-GB" w:eastAsia="en-US"/>
    </w:rPr>
  </w:style>
  <w:style w:type="character" w:customStyle="1" w:styleId="BalloonTextChar">
    <w:name w:val="Balloon Text Char"/>
    <w:basedOn w:val="DefaultParagraphFont"/>
    <w:link w:val="BalloonText"/>
    <w:uiPriority w:val="99"/>
    <w:semiHidden/>
    <w:rsid w:val="008B0A67"/>
    <w:rPr>
      <w:rFonts w:ascii="Times New Roman" w:hAnsi="Times New Roman" w:cs="Times New Roman"/>
      <w:sz w:val="18"/>
      <w:szCs w:val="18"/>
      <w:lang w:val="en-GB"/>
    </w:rPr>
  </w:style>
  <w:style w:type="paragraph" w:styleId="Header">
    <w:name w:val="header"/>
    <w:basedOn w:val="Normal"/>
    <w:link w:val="HeaderChar"/>
    <w:uiPriority w:val="99"/>
    <w:unhideWhenUsed/>
    <w:rsid w:val="008B0A67"/>
    <w:pPr>
      <w:tabs>
        <w:tab w:val="center" w:pos="4513"/>
        <w:tab w:val="right" w:pos="9026"/>
      </w:tabs>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8B0A67"/>
    <w:rPr>
      <w:lang w:val="en-GB"/>
    </w:rPr>
  </w:style>
  <w:style w:type="paragraph" w:styleId="Footer">
    <w:name w:val="footer"/>
    <w:basedOn w:val="Normal"/>
    <w:link w:val="FooterChar"/>
    <w:uiPriority w:val="99"/>
    <w:unhideWhenUsed/>
    <w:rsid w:val="008B0A67"/>
    <w:pPr>
      <w:tabs>
        <w:tab w:val="center" w:pos="4513"/>
        <w:tab w:val="right" w:pos="9026"/>
      </w:tabs>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8B0A67"/>
    <w:rPr>
      <w:lang w:val="en-GB"/>
    </w:rPr>
  </w:style>
  <w:style w:type="character" w:styleId="Hyperlink">
    <w:name w:val="Hyperlink"/>
    <w:basedOn w:val="DefaultParagraphFont"/>
    <w:uiPriority w:val="99"/>
    <w:unhideWhenUsed/>
    <w:rsid w:val="00547611"/>
    <w:rPr>
      <w:color w:val="0563C1" w:themeColor="hyperlink"/>
      <w:u w:val="single"/>
    </w:rPr>
  </w:style>
  <w:style w:type="character" w:customStyle="1" w:styleId="apple-converted-space">
    <w:name w:val="apple-converted-space"/>
    <w:basedOn w:val="DefaultParagraphFont"/>
    <w:rsid w:val="00547611"/>
  </w:style>
  <w:style w:type="character" w:styleId="Emphasis">
    <w:name w:val="Emphasis"/>
    <w:basedOn w:val="DefaultParagraphFont"/>
    <w:uiPriority w:val="20"/>
    <w:qFormat/>
    <w:rsid w:val="00547611"/>
    <w:rPr>
      <w:i/>
      <w:iCs/>
    </w:rPr>
  </w:style>
  <w:style w:type="paragraph" w:styleId="ListParagraph">
    <w:name w:val="List Paragraph"/>
    <w:basedOn w:val="Normal"/>
    <w:uiPriority w:val="34"/>
    <w:qFormat/>
    <w:rsid w:val="00400182"/>
    <w:pPr>
      <w:ind w:left="720"/>
      <w:contextualSpacing/>
    </w:pPr>
    <w:rPr>
      <w:rFonts w:asciiTheme="minorHAnsi" w:eastAsiaTheme="minorHAnsi" w:hAnsiTheme="minorHAnsi" w:cstheme="minorBidi"/>
      <w:lang w:val="en-GB" w:eastAsia="en-US"/>
    </w:rPr>
  </w:style>
  <w:style w:type="paragraph" w:styleId="Revision">
    <w:name w:val="Revision"/>
    <w:hidden/>
    <w:uiPriority w:val="99"/>
    <w:semiHidden/>
    <w:rsid w:val="00953228"/>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2E28DD"/>
    <w:rPr>
      <w:rFonts w:ascii="Times New Roman" w:eastAsia="Times New Roman" w:hAnsi="Times New Roman" w:cs="Times New Roman"/>
      <w:b/>
      <w:bCs/>
      <w:lang w:val="en-IE" w:eastAsia="en-GB"/>
    </w:rPr>
  </w:style>
  <w:style w:type="character" w:customStyle="1" w:styleId="CommentSubjectChar">
    <w:name w:val="Comment Subject Char"/>
    <w:basedOn w:val="CommentTextChar"/>
    <w:link w:val="CommentSubject"/>
    <w:uiPriority w:val="99"/>
    <w:semiHidden/>
    <w:rsid w:val="002E28DD"/>
    <w:rPr>
      <w:rFonts w:ascii="Times New Roman" w:eastAsia="Times New Roman" w:hAnsi="Times New Roman" w:cs="Times New Roman"/>
      <w:b/>
      <w:bCs/>
      <w:sz w:val="20"/>
      <w:szCs w:val="20"/>
      <w:lang w:val="en-GB" w:eastAsia="en-GB"/>
    </w:rPr>
  </w:style>
  <w:style w:type="character" w:styleId="UnresolvedMention">
    <w:name w:val="Unresolved Mention"/>
    <w:basedOn w:val="DefaultParagraphFont"/>
    <w:uiPriority w:val="99"/>
    <w:semiHidden/>
    <w:unhideWhenUsed/>
    <w:rsid w:val="00332C8C"/>
    <w:rPr>
      <w:color w:val="605E5C"/>
      <w:shd w:val="clear" w:color="auto" w:fill="E1DFDD"/>
    </w:rPr>
  </w:style>
  <w:style w:type="character" w:styleId="FollowedHyperlink">
    <w:name w:val="FollowedHyperlink"/>
    <w:basedOn w:val="DefaultParagraphFont"/>
    <w:uiPriority w:val="99"/>
    <w:semiHidden/>
    <w:unhideWhenUsed/>
    <w:rsid w:val="00C26FE8"/>
    <w:rPr>
      <w:color w:val="954F72" w:themeColor="followedHyperlink"/>
      <w:u w:val="single"/>
    </w:rPr>
  </w:style>
  <w:style w:type="paragraph" w:styleId="EndnoteText">
    <w:name w:val="endnote text"/>
    <w:basedOn w:val="Normal"/>
    <w:link w:val="EndnoteTextChar"/>
    <w:uiPriority w:val="99"/>
    <w:semiHidden/>
    <w:unhideWhenUsed/>
    <w:rsid w:val="00923197"/>
    <w:rPr>
      <w:sz w:val="20"/>
      <w:szCs w:val="20"/>
    </w:rPr>
  </w:style>
  <w:style w:type="character" w:customStyle="1" w:styleId="EndnoteTextChar">
    <w:name w:val="Endnote Text Char"/>
    <w:basedOn w:val="DefaultParagraphFont"/>
    <w:link w:val="EndnoteText"/>
    <w:uiPriority w:val="99"/>
    <w:semiHidden/>
    <w:rsid w:val="00923197"/>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923197"/>
    <w:rPr>
      <w:vertAlign w:val="superscript"/>
    </w:rPr>
  </w:style>
  <w:style w:type="character" w:styleId="PageNumber">
    <w:name w:val="page number"/>
    <w:basedOn w:val="DefaultParagraphFont"/>
    <w:uiPriority w:val="99"/>
    <w:semiHidden/>
    <w:unhideWhenUsed/>
    <w:rsid w:val="0092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80579">
      <w:bodyDiv w:val="1"/>
      <w:marLeft w:val="0"/>
      <w:marRight w:val="0"/>
      <w:marTop w:val="0"/>
      <w:marBottom w:val="0"/>
      <w:divBdr>
        <w:top w:val="none" w:sz="0" w:space="0" w:color="auto"/>
        <w:left w:val="none" w:sz="0" w:space="0" w:color="auto"/>
        <w:bottom w:val="none" w:sz="0" w:space="0" w:color="auto"/>
        <w:right w:val="none" w:sz="0" w:space="0" w:color="auto"/>
      </w:divBdr>
    </w:div>
    <w:div w:id="738137304">
      <w:bodyDiv w:val="1"/>
      <w:marLeft w:val="0"/>
      <w:marRight w:val="0"/>
      <w:marTop w:val="0"/>
      <w:marBottom w:val="0"/>
      <w:divBdr>
        <w:top w:val="none" w:sz="0" w:space="0" w:color="auto"/>
        <w:left w:val="none" w:sz="0" w:space="0" w:color="auto"/>
        <w:bottom w:val="none" w:sz="0" w:space="0" w:color="auto"/>
        <w:right w:val="none" w:sz="0" w:space="0" w:color="auto"/>
      </w:divBdr>
    </w:div>
    <w:div w:id="948778269">
      <w:bodyDiv w:val="1"/>
      <w:marLeft w:val="0"/>
      <w:marRight w:val="0"/>
      <w:marTop w:val="0"/>
      <w:marBottom w:val="0"/>
      <w:divBdr>
        <w:top w:val="none" w:sz="0" w:space="0" w:color="auto"/>
        <w:left w:val="none" w:sz="0" w:space="0" w:color="auto"/>
        <w:bottom w:val="none" w:sz="0" w:space="0" w:color="auto"/>
        <w:right w:val="none" w:sz="0" w:space="0" w:color="auto"/>
      </w:divBdr>
    </w:div>
    <w:div w:id="1119027900">
      <w:bodyDiv w:val="1"/>
      <w:marLeft w:val="0"/>
      <w:marRight w:val="0"/>
      <w:marTop w:val="0"/>
      <w:marBottom w:val="0"/>
      <w:divBdr>
        <w:top w:val="none" w:sz="0" w:space="0" w:color="auto"/>
        <w:left w:val="none" w:sz="0" w:space="0" w:color="auto"/>
        <w:bottom w:val="none" w:sz="0" w:space="0" w:color="auto"/>
        <w:right w:val="none" w:sz="0" w:space="0" w:color="auto"/>
      </w:divBdr>
    </w:div>
    <w:div w:id="1150294473">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91065168">
      <w:bodyDiv w:val="1"/>
      <w:marLeft w:val="0"/>
      <w:marRight w:val="0"/>
      <w:marTop w:val="0"/>
      <w:marBottom w:val="0"/>
      <w:divBdr>
        <w:top w:val="none" w:sz="0" w:space="0" w:color="auto"/>
        <w:left w:val="none" w:sz="0" w:space="0" w:color="auto"/>
        <w:bottom w:val="none" w:sz="0" w:space="0" w:color="auto"/>
        <w:right w:val="none" w:sz="0" w:space="0" w:color="auto"/>
      </w:divBdr>
    </w:div>
    <w:div w:id="1427189204">
      <w:bodyDiv w:val="1"/>
      <w:marLeft w:val="0"/>
      <w:marRight w:val="0"/>
      <w:marTop w:val="0"/>
      <w:marBottom w:val="0"/>
      <w:divBdr>
        <w:top w:val="none" w:sz="0" w:space="0" w:color="auto"/>
        <w:left w:val="none" w:sz="0" w:space="0" w:color="auto"/>
        <w:bottom w:val="none" w:sz="0" w:space="0" w:color="auto"/>
        <w:right w:val="none" w:sz="0" w:space="0" w:color="auto"/>
      </w:divBdr>
    </w:div>
    <w:div w:id="1540389043">
      <w:bodyDiv w:val="1"/>
      <w:marLeft w:val="0"/>
      <w:marRight w:val="0"/>
      <w:marTop w:val="0"/>
      <w:marBottom w:val="0"/>
      <w:divBdr>
        <w:top w:val="none" w:sz="0" w:space="0" w:color="auto"/>
        <w:left w:val="none" w:sz="0" w:space="0" w:color="auto"/>
        <w:bottom w:val="none" w:sz="0" w:space="0" w:color="auto"/>
        <w:right w:val="none" w:sz="0" w:space="0" w:color="auto"/>
      </w:divBdr>
    </w:div>
    <w:div w:id="1555651931">
      <w:bodyDiv w:val="1"/>
      <w:marLeft w:val="0"/>
      <w:marRight w:val="0"/>
      <w:marTop w:val="0"/>
      <w:marBottom w:val="0"/>
      <w:divBdr>
        <w:top w:val="none" w:sz="0" w:space="0" w:color="auto"/>
        <w:left w:val="none" w:sz="0" w:space="0" w:color="auto"/>
        <w:bottom w:val="none" w:sz="0" w:space="0" w:color="auto"/>
        <w:right w:val="none" w:sz="0" w:space="0" w:color="auto"/>
      </w:divBdr>
    </w:div>
    <w:div w:id="1620641728">
      <w:bodyDiv w:val="1"/>
      <w:marLeft w:val="0"/>
      <w:marRight w:val="0"/>
      <w:marTop w:val="0"/>
      <w:marBottom w:val="0"/>
      <w:divBdr>
        <w:top w:val="none" w:sz="0" w:space="0" w:color="auto"/>
        <w:left w:val="none" w:sz="0" w:space="0" w:color="auto"/>
        <w:bottom w:val="none" w:sz="0" w:space="0" w:color="auto"/>
        <w:right w:val="none" w:sz="0" w:space="0" w:color="auto"/>
      </w:divBdr>
    </w:div>
    <w:div w:id="1770857028">
      <w:bodyDiv w:val="1"/>
      <w:marLeft w:val="0"/>
      <w:marRight w:val="0"/>
      <w:marTop w:val="0"/>
      <w:marBottom w:val="0"/>
      <w:divBdr>
        <w:top w:val="none" w:sz="0" w:space="0" w:color="auto"/>
        <w:left w:val="none" w:sz="0" w:space="0" w:color="auto"/>
        <w:bottom w:val="none" w:sz="0" w:space="0" w:color="auto"/>
        <w:right w:val="none" w:sz="0" w:space="0" w:color="auto"/>
      </w:divBdr>
    </w:div>
    <w:div w:id="1957368986">
      <w:bodyDiv w:val="1"/>
      <w:marLeft w:val="0"/>
      <w:marRight w:val="0"/>
      <w:marTop w:val="0"/>
      <w:marBottom w:val="0"/>
      <w:divBdr>
        <w:top w:val="none" w:sz="0" w:space="0" w:color="auto"/>
        <w:left w:val="none" w:sz="0" w:space="0" w:color="auto"/>
        <w:bottom w:val="none" w:sz="0" w:space="0" w:color="auto"/>
        <w:right w:val="none" w:sz="0" w:space="0" w:color="auto"/>
      </w:divBdr>
    </w:div>
    <w:div w:id="2105372457">
      <w:bodyDiv w:val="1"/>
      <w:marLeft w:val="0"/>
      <w:marRight w:val="0"/>
      <w:marTop w:val="0"/>
      <w:marBottom w:val="0"/>
      <w:divBdr>
        <w:top w:val="none" w:sz="0" w:space="0" w:color="auto"/>
        <w:left w:val="none" w:sz="0" w:space="0" w:color="auto"/>
        <w:bottom w:val="none" w:sz="0" w:space="0" w:color="auto"/>
        <w:right w:val="none" w:sz="0" w:space="0" w:color="auto"/>
      </w:divBdr>
    </w:div>
    <w:div w:id="21238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A2330-319F-44FF-8195-D4D6E100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6609</Words>
  <Characters>36089</Characters>
  <Application>Microsoft Office Word</Application>
  <DocSecurity>0</DocSecurity>
  <Lines>494</Lines>
  <Paragraphs>80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Maria Baghramian</cp:lastModifiedBy>
  <cp:revision>4</cp:revision>
  <dcterms:created xsi:type="dcterms:W3CDTF">2020-09-28T19:51:00Z</dcterms:created>
  <dcterms:modified xsi:type="dcterms:W3CDTF">2020-09-28T21:19:00Z</dcterms:modified>
</cp:coreProperties>
</file>