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997D" w14:textId="77777777" w:rsidR="00D469DD" w:rsidRPr="004E569C" w:rsidRDefault="00D469DD" w:rsidP="001B36D1">
      <w:pPr>
        <w:jc w:val="center"/>
        <w:rPr>
          <w:sz w:val="40"/>
          <w:szCs w:val="40"/>
        </w:rPr>
      </w:pPr>
      <w:r w:rsidRPr="004E569C">
        <w:rPr>
          <w:sz w:val="40"/>
          <w:szCs w:val="40"/>
        </w:rPr>
        <w:t>General Introduction</w:t>
      </w:r>
    </w:p>
    <w:p w14:paraId="31683258" w14:textId="77777777" w:rsidR="00D469DD" w:rsidRDefault="00D469DD" w:rsidP="0051435B">
      <w:pPr>
        <w:pStyle w:val="Heading1"/>
      </w:pPr>
      <w:r>
        <w:t xml:space="preserve">The structure and character of the Essays in this volume. </w:t>
      </w:r>
    </w:p>
    <w:p w14:paraId="05601D09" w14:textId="77777777" w:rsidR="00D469DD" w:rsidRDefault="00D469DD">
      <w:r>
        <w:t xml:space="preserve">The General Introduction to volume 1 in this series provides an overview of Proclus’ </w:t>
      </w:r>
      <w:r w:rsidRPr="0089337B">
        <w:rPr>
          <w:i/>
          <w:iCs/>
        </w:rPr>
        <w:t>Republic Commentary</w:t>
      </w:r>
      <w:r>
        <w:t>.</w:t>
      </w:r>
      <w:r>
        <w:rPr>
          <w:rStyle w:val="FootnoteReference"/>
        </w:rPr>
        <w:footnoteReference w:id="1"/>
      </w:r>
      <w:r>
        <w:t xml:space="preserve"> We discussed the place of Plato’s </w:t>
      </w:r>
      <w:r w:rsidRPr="0089337B">
        <w:rPr>
          <w:i/>
          <w:iCs/>
        </w:rPr>
        <w:t>Republic</w:t>
      </w:r>
      <w:r>
        <w:t xml:space="preserve"> within the Neoplatonist curriculum and defended the conclusion that, while Proclus’ </w:t>
      </w:r>
      <w:r w:rsidRPr="0089337B">
        <w:rPr>
          <w:i/>
          <w:iCs/>
        </w:rPr>
        <w:t>Republic Commentary</w:t>
      </w:r>
      <w:r>
        <w:t xml:space="preserve"> is different in character from his (incomplete) line-by-line commentaries on </w:t>
      </w:r>
      <w:r w:rsidRPr="0089337B">
        <w:rPr>
          <w:i/>
          <w:iCs/>
        </w:rPr>
        <w:t>Alcibiades I</w:t>
      </w:r>
      <w:r>
        <w:t xml:space="preserve">, </w:t>
      </w:r>
      <w:r w:rsidRPr="0089337B">
        <w:rPr>
          <w:i/>
          <w:iCs/>
        </w:rPr>
        <w:t>Parmenides</w:t>
      </w:r>
      <w:r>
        <w:t xml:space="preserve">, and </w:t>
      </w:r>
      <w:r w:rsidRPr="0089337B">
        <w:rPr>
          <w:i/>
          <w:iCs/>
        </w:rPr>
        <w:t>Timaeus</w:t>
      </w:r>
      <w:r>
        <w:t xml:space="preserve">, it is not merely a grab bag of disparate materials that is unified only by having the </w:t>
      </w:r>
      <w:r w:rsidRPr="0089337B">
        <w:rPr>
          <w:i/>
          <w:iCs/>
        </w:rPr>
        <w:t>Republic</w:t>
      </w:r>
      <w:r>
        <w:t xml:space="preserve"> as their subject matter.</w:t>
      </w:r>
      <w:r>
        <w:rPr>
          <w:rStyle w:val="FootnoteReference"/>
        </w:rPr>
        <w:footnoteReference w:id="2"/>
      </w:r>
      <w:r>
        <w:t xml:space="preserve"> The seventeen essays that make up the </w:t>
      </w:r>
      <w:r w:rsidRPr="007E4A52">
        <w:rPr>
          <w:i/>
          <w:iCs/>
        </w:rPr>
        <w:t>Republic Commentary</w:t>
      </w:r>
      <w:r>
        <w:t xml:space="preserve"> do cover the dialogue from beginning to end. The essays also differ from one another in character and tone. Some are expressly said to have been composed for one purpose (e.g. Essay 1 arises from a class on the </w:t>
      </w:r>
      <w:r w:rsidRPr="007E4A52">
        <w:rPr>
          <w:i/>
          <w:iCs/>
        </w:rPr>
        <w:t>Republic</w:t>
      </w:r>
      <w:r>
        <w:t xml:space="preserve">), while others were for special occasions. As we noted in volume 1, Essay 6 reflects a lecture celebrating Plato’s birthday. The longest essay in the </w:t>
      </w:r>
      <w:r w:rsidRPr="007E4A52">
        <w:rPr>
          <w:i/>
          <w:iCs/>
        </w:rPr>
        <w:t>Republic Commentary</w:t>
      </w:r>
      <w:r>
        <w:t xml:space="preserve">, Essay 16, covers the myth of Er in the manner of the line-by-line commentaries and is dedicated to Proclus’ friend Marinus. While it has become customary to see the existing </w:t>
      </w:r>
      <w:r w:rsidRPr="007E4A52">
        <w:rPr>
          <w:i/>
          <w:iCs/>
        </w:rPr>
        <w:t>Republic Commentary</w:t>
      </w:r>
      <w:r>
        <w:t xml:space="preserve"> as composed of essays that once made up a </w:t>
      </w:r>
      <w:r w:rsidRPr="007E4A52">
        <w:rPr>
          <w:i/>
          <w:iCs/>
        </w:rPr>
        <w:t>basic</w:t>
      </w:r>
      <w:r>
        <w:t xml:space="preserve"> lecture course on the dialogue supplemented with special, </w:t>
      </w:r>
      <w:r w:rsidRPr="007E4A52">
        <w:rPr>
          <w:i/>
          <w:iCs/>
        </w:rPr>
        <w:t>advanced</w:t>
      </w:r>
      <w:r>
        <w:t xml:space="preserve"> teaching on select parts of it, we struggle to see any vast differences in the level of the teaching or exegesis involved in the various essays. Any single essay is capable of swinging between fairly banal summary of Plato’s dialogue suitable for beginners and difficult Neoplatonic exegesis that presupposes acquaintance with the full panoply of their elaborately structured metaphysics. So while the </w:t>
      </w:r>
      <w:r w:rsidRPr="002261EB">
        <w:rPr>
          <w:i/>
          <w:iCs/>
        </w:rPr>
        <w:t>Republic Commentary</w:t>
      </w:r>
      <w:r>
        <w:t xml:space="preserve"> does not have the uniformity of Proclus’ </w:t>
      </w:r>
      <w:r w:rsidRPr="002261EB">
        <w:rPr>
          <w:i/>
          <w:iCs/>
        </w:rPr>
        <w:t>Timaeus</w:t>
      </w:r>
      <w:r>
        <w:t xml:space="preserve"> or </w:t>
      </w:r>
      <w:r w:rsidRPr="002261EB">
        <w:rPr>
          <w:i/>
          <w:iCs/>
        </w:rPr>
        <w:t>Parmenides</w:t>
      </w:r>
      <w:r>
        <w:t xml:space="preserve"> commentaries, we think it has more unity to it than a portmanteau of materials – one perhaps even assembled after Proclus’ death. If readers do not find the argument of the General Introduction to volume 1 in this series persuasive, each of the essays translated in our series is prefaced by an introduction that treats the essay in isolation. In short, you are free to treat them as elements in a portmanteau, but we think it is more illuminating to see them as chapters in a single, more-or-less uniform work whose purpose is to interpret those parts of the </w:t>
      </w:r>
      <w:r w:rsidRPr="000E76D9">
        <w:rPr>
          <w:i/>
          <w:iCs/>
        </w:rPr>
        <w:t>Republic</w:t>
      </w:r>
      <w:r>
        <w:t xml:space="preserve"> that Neoplatonists would find most salient or most in need to explanation. </w:t>
      </w:r>
    </w:p>
    <w:p w14:paraId="5346852F" w14:textId="71C3D0BC" w:rsidR="00D469DD" w:rsidRDefault="00D469DD">
      <w:r>
        <w:t xml:space="preserve">While volume 1 in this series translated and introduced Proclus’ essays on Books I to III of Plato’s </w:t>
      </w:r>
      <w:r w:rsidRPr="00A4336A">
        <w:rPr>
          <w:i/>
          <w:iCs/>
        </w:rPr>
        <w:t>Republic</w:t>
      </w:r>
      <w:r>
        <w:t>, the present volume contains essays dealing with Books V–X. The longest of these, Essay 13, concerns the mysterious ‘</w:t>
      </w:r>
      <w:r w:rsidR="00590E85">
        <w:t>nuptial</w:t>
      </w:r>
      <w:r>
        <w:t xml:space="preserve"> number’ (546c5–547b) whose miscalculation explains the decline of the ideal </w:t>
      </w:r>
      <w:r w:rsidRPr="001B36D1">
        <w:rPr>
          <w:i/>
          <w:iCs/>
        </w:rPr>
        <w:t>polis</w:t>
      </w:r>
      <w:r>
        <w:t xml:space="preserve"> into the first of the degenerate political orders discussed in Books VIII and IX. Apart from a cottage industry attempting to decipher the complex mathematical instructions of 546b–c that flourished in the late 19</w:t>
      </w:r>
      <w:r w:rsidRPr="001B36D1">
        <w:rPr>
          <w:vertAlign w:val="superscript"/>
        </w:rPr>
        <w:t>th</w:t>
      </w:r>
      <w:r>
        <w:t xml:space="preserve"> and early 20</w:t>
      </w:r>
      <w:r w:rsidRPr="001B36D1">
        <w:rPr>
          <w:vertAlign w:val="superscript"/>
        </w:rPr>
        <w:t>th</w:t>
      </w:r>
      <w:r>
        <w:t xml:space="preserve"> century, this short stretch of text has not invited too much contemporary interest.</w:t>
      </w:r>
      <w:r>
        <w:rPr>
          <w:rStyle w:val="FootnoteReference"/>
        </w:rPr>
        <w:footnoteReference w:id="3"/>
      </w:r>
      <w:r>
        <w:t xml:space="preserve"> The mismatch in length between Proclus’ 80 pages on </w:t>
      </w:r>
      <w:r w:rsidRPr="00D82D51">
        <w:rPr>
          <w:i/>
          <w:iCs/>
        </w:rPr>
        <w:t>Republic</w:t>
      </w:r>
      <w:r>
        <w:t xml:space="preserve"> 545d–47c and contemporary judgements of its importance has perhaps contributed to the relative neglect of Proclus </w:t>
      </w:r>
      <w:r>
        <w:rPr>
          <w:i/>
          <w:iCs/>
        </w:rPr>
        <w:t xml:space="preserve">Republic </w:t>
      </w:r>
      <w:r w:rsidRPr="006F720B">
        <w:rPr>
          <w:i/>
          <w:iCs/>
        </w:rPr>
        <w:t>Commentary</w:t>
      </w:r>
      <w:r>
        <w:t xml:space="preserve"> as a whole. Yet the combined volume of the other essays contained here outweighs that of the essay on the </w:t>
      </w:r>
      <w:r w:rsidR="00E448C2">
        <w:t xml:space="preserve">nuptial </w:t>
      </w:r>
      <w:r>
        <w:t xml:space="preserve">number and these </w:t>
      </w:r>
      <w:r w:rsidRPr="00DE6684">
        <w:rPr>
          <w:i/>
          <w:iCs/>
        </w:rPr>
        <w:t>do</w:t>
      </w:r>
      <w:r>
        <w:t xml:space="preserve"> deal with aspects of Plato’s text that continue to command the attention of contemporary interpreters. </w:t>
      </w:r>
    </w:p>
    <w:tbl>
      <w:tblPr>
        <w:tblStyle w:val="TableGrid"/>
        <w:tblW w:w="0" w:type="auto"/>
        <w:tblLook w:val="04A0" w:firstRow="1" w:lastRow="0" w:firstColumn="1" w:lastColumn="0" w:noHBand="0" w:noVBand="1"/>
      </w:tblPr>
      <w:tblGrid>
        <w:gridCol w:w="4106"/>
        <w:gridCol w:w="1559"/>
        <w:gridCol w:w="3351"/>
      </w:tblGrid>
      <w:tr w:rsidR="00D469DD" w:rsidRPr="00EE483D" w14:paraId="49BA7C15" w14:textId="77777777" w:rsidTr="00EE483D">
        <w:tc>
          <w:tcPr>
            <w:tcW w:w="4106" w:type="dxa"/>
          </w:tcPr>
          <w:p w14:paraId="53704EA4" w14:textId="77777777" w:rsidR="00D469DD" w:rsidRPr="00732B51" w:rsidRDefault="00D469DD" w:rsidP="00C54AE7">
            <w:pPr>
              <w:rPr>
                <w:rFonts w:asciiTheme="majorBidi" w:hAnsiTheme="majorBidi" w:cstheme="majorBidi"/>
                <w:b/>
                <w:bCs/>
                <w:sz w:val="22"/>
                <w:szCs w:val="22"/>
              </w:rPr>
            </w:pPr>
            <w:r w:rsidRPr="00732B51">
              <w:rPr>
                <w:rFonts w:asciiTheme="majorBidi" w:hAnsiTheme="majorBidi" w:cstheme="majorBidi"/>
                <w:b/>
                <w:bCs/>
                <w:sz w:val="22"/>
                <w:szCs w:val="22"/>
              </w:rPr>
              <w:t>Topic of essay</w:t>
            </w:r>
          </w:p>
        </w:tc>
        <w:tc>
          <w:tcPr>
            <w:tcW w:w="1559" w:type="dxa"/>
          </w:tcPr>
          <w:p w14:paraId="1685B901" w14:textId="77777777" w:rsidR="00D469DD" w:rsidRPr="00732B51" w:rsidRDefault="00D469DD" w:rsidP="00C54AE7">
            <w:pPr>
              <w:rPr>
                <w:rFonts w:asciiTheme="majorBidi" w:hAnsiTheme="majorBidi" w:cstheme="majorBidi"/>
                <w:b/>
                <w:bCs/>
                <w:sz w:val="22"/>
                <w:szCs w:val="22"/>
              </w:rPr>
            </w:pPr>
            <w:r w:rsidRPr="00732B51">
              <w:rPr>
                <w:rFonts w:asciiTheme="majorBidi" w:hAnsiTheme="majorBidi" w:cstheme="majorBidi"/>
                <w:b/>
                <w:bCs/>
                <w:sz w:val="22"/>
                <w:szCs w:val="22"/>
              </w:rPr>
              <w:t>Length (pages in Kroll)</w:t>
            </w:r>
          </w:p>
        </w:tc>
        <w:tc>
          <w:tcPr>
            <w:tcW w:w="3351" w:type="dxa"/>
          </w:tcPr>
          <w:p w14:paraId="23172385" w14:textId="77777777" w:rsidR="00D469DD" w:rsidRPr="00732B51" w:rsidRDefault="00D469DD" w:rsidP="00C54AE7">
            <w:pPr>
              <w:rPr>
                <w:rFonts w:asciiTheme="majorBidi" w:hAnsiTheme="majorBidi" w:cstheme="majorBidi"/>
                <w:b/>
                <w:bCs/>
                <w:sz w:val="22"/>
                <w:szCs w:val="22"/>
              </w:rPr>
            </w:pPr>
            <w:r w:rsidRPr="00732B51">
              <w:rPr>
                <w:rFonts w:asciiTheme="majorBidi" w:hAnsiTheme="majorBidi" w:cstheme="majorBidi"/>
                <w:b/>
                <w:bCs/>
                <w:sz w:val="22"/>
                <w:szCs w:val="22"/>
              </w:rPr>
              <w:t>Platonic text commented upon</w:t>
            </w:r>
          </w:p>
        </w:tc>
      </w:tr>
      <w:tr w:rsidR="00D469DD" w:rsidRPr="00EE483D" w14:paraId="03FCB83B" w14:textId="77777777" w:rsidTr="00EE483D">
        <w:tc>
          <w:tcPr>
            <w:tcW w:w="4106" w:type="dxa"/>
          </w:tcPr>
          <w:p w14:paraId="12371882"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7 – on the tripartite division of the soul and the virtues</w:t>
            </w:r>
          </w:p>
        </w:tc>
        <w:tc>
          <w:tcPr>
            <w:tcW w:w="1559" w:type="dxa"/>
          </w:tcPr>
          <w:p w14:paraId="66B3F5C3"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30 (I 206–235)</w:t>
            </w:r>
          </w:p>
        </w:tc>
        <w:tc>
          <w:tcPr>
            <w:tcW w:w="3351" w:type="dxa"/>
          </w:tcPr>
          <w:p w14:paraId="20E81F12"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IV</w:t>
            </w:r>
          </w:p>
        </w:tc>
      </w:tr>
      <w:tr w:rsidR="00D469DD" w:rsidRPr="00EE483D" w14:paraId="4DA5AEDE" w14:textId="77777777" w:rsidTr="00EE483D">
        <w:tc>
          <w:tcPr>
            <w:tcW w:w="4106" w:type="dxa"/>
          </w:tcPr>
          <w:p w14:paraId="113455E0"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lastRenderedPageBreak/>
              <w:t>Essay 8 – on whether virtue in women is the same as in men</w:t>
            </w:r>
          </w:p>
        </w:tc>
        <w:tc>
          <w:tcPr>
            <w:tcW w:w="1559" w:type="dxa"/>
          </w:tcPr>
          <w:p w14:paraId="1FCF2CD2"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15 (I 236–50)</w:t>
            </w:r>
          </w:p>
        </w:tc>
        <w:tc>
          <w:tcPr>
            <w:tcW w:w="3351" w:type="dxa"/>
          </w:tcPr>
          <w:p w14:paraId="69F741D6"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 451c–57c</w:t>
            </w:r>
          </w:p>
        </w:tc>
      </w:tr>
      <w:tr w:rsidR="00D469DD" w:rsidRPr="00EE483D" w14:paraId="2E9AA8FA" w14:textId="77777777" w:rsidTr="00EE483D">
        <w:tc>
          <w:tcPr>
            <w:tcW w:w="4106" w:type="dxa"/>
          </w:tcPr>
          <w:p w14:paraId="68326BB7"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9 – on the views of Theodore of Asine on whether men’s and women’s virtue is the same</w:t>
            </w:r>
          </w:p>
        </w:tc>
        <w:tc>
          <w:tcPr>
            <w:tcW w:w="1559" w:type="dxa"/>
          </w:tcPr>
          <w:p w14:paraId="715B28FD"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7 (I 251–7)</w:t>
            </w:r>
          </w:p>
        </w:tc>
        <w:tc>
          <w:tcPr>
            <w:tcW w:w="3351" w:type="dxa"/>
          </w:tcPr>
          <w:p w14:paraId="51406620"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 451c–57c</w:t>
            </w:r>
          </w:p>
        </w:tc>
      </w:tr>
      <w:tr w:rsidR="00D469DD" w:rsidRPr="00EE483D" w14:paraId="1D42CC10" w14:textId="77777777" w:rsidTr="00EE483D">
        <w:tc>
          <w:tcPr>
            <w:tcW w:w="4106" w:type="dxa"/>
          </w:tcPr>
          <w:p w14:paraId="7E514001"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10 – on the difference between the philosopher and the lover of sights and sounds</w:t>
            </w:r>
          </w:p>
        </w:tc>
        <w:tc>
          <w:tcPr>
            <w:tcW w:w="1559" w:type="dxa"/>
          </w:tcPr>
          <w:p w14:paraId="0E11679E"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10 (I 258–68)</w:t>
            </w:r>
          </w:p>
        </w:tc>
        <w:tc>
          <w:tcPr>
            <w:tcW w:w="3351" w:type="dxa"/>
          </w:tcPr>
          <w:p w14:paraId="4CC0D89D"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 476a–480a</w:t>
            </w:r>
          </w:p>
        </w:tc>
      </w:tr>
      <w:tr w:rsidR="00D469DD" w:rsidRPr="00EE483D" w14:paraId="07B9A17A" w14:textId="77777777" w:rsidTr="00EE483D">
        <w:tc>
          <w:tcPr>
            <w:tcW w:w="4106" w:type="dxa"/>
          </w:tcPr>
          <w:p w14:paraId="269B512A"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11 – on the Good</w:t>
            </w:r>
          </w:p>
        </w:tc>
        <w:tc>
          <w:tcPr>
            <w:tcW w:w="1559" w:type="dxa"/>
          </w:tcPr>
          <w:p w14:paraId="2F857972"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19 (I 267–87)</w:t>
            </w:r>
          </w:p>
        </w:tc>
        <w:tc>
          <w:tcPr>
            <w:tcW w:w="3351" w:type="dxa"/>
          </w:tcPr>
          <w:p w14:paraId="2E90E54E"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VI, 504d–509e</w:t>
            </w:r>
          </w:p>
        </w:tc>
      </w:tr>
      <w:tr w:rsidR="00D469DD" w:rsidRPr="00EE483D" w14:paraId="7BEA699C" w14:textId="77777777" w:rsidTr="00EE483D">
        <w:tc>
          <w:tcPr>
            <w:tcW w:w="4106" w:type="dxa"/>
          </w:tcPr>
          <w:p w14:paraId="77748B60"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12 – on the Cave</w:t>
            </w:r>
          </w:p>
        </w:tc>
        <w:tc>
          <w:tcPr>
            <w:tcW w:w="1559" w:type="dxa"/>
          </w:tcPr>
          <w:p w14:paraId="4D13DBB5"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10 (I 287–96)</w:t>
            </w:r>
          </w:p>
        </w:tc>
        <w:tc>
          <w:tcPr>
            <w:tcW w:w="3351" w:type="dxa"/>
          </w:tcPr>
          <w:p w14:paraId="0DE09615"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VII, 514a–517e</w:t>
            </w:r>
          </w:p>
        </w:tc>
      </w:tr>
      <w:tr w:rsidR="00D469DD" w:rsidRPr="00EE483D" w14:paraId="600A5EA4" w14:textId="77777777" w:rsidTr="00EE483D">
        <w:tc>
          <w:tcPr>
            <w:tcW w:w="4106" w:type="dxa"/>
          </w:tcPr>
          <w:p w14:paraId="6AE27889"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13 – on the speech of the Muses and the interpretation of the nuptial number</w:t>
            </w:r>
          </w:p>
        </w:tc>
        <w:tc>
          <w:tcPr>
            <w:tcW w:w="1559" w:type="dxa"/>
          </w:tcPr>
          <w:p w14:paraId="0D370B25"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80 (II 1–80)</w:t>
            </w:r>
          </w:p>
        </w:tc>
        <w:tc>
          <w:tcPr>
            <w:tcW w:w="3351" w:type="dxa"/>
          </w:tcPr>
          <w:p w14:paraId="13B34929"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VIII, 546c–547b</w:t>
            </w:r>
          </w:p>
        </w:tc>
      </w:tr>
      <w:tr w:rsidR="00D469DD" w:rsidRPr="00EE483D" w14:paraId="686A0F87" w14:textId="77777777" w:rsidTr="00EE483D">
        <w:tc>
          <w:tcPr>
            <w:tcW w:w="4106" w:type="dxa"/>
          </w:tcPr>
          <w:p w14:paraId="08DDB4FD"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Essay 14 – on the three arguments that the life of the just person is happier</w:t>
            </w:r>
          </w:p>
        </w:tc>
        <w:tc>
          <w:tcPr>
            <w:tcW w:w="1559" w:type="dxa"/>
          </w:tcPr>
          <w:p w14:paraId="3C75079B"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3 (II 81–3)</w:t>
            </w:r>
          </w:p>
        </w:tc>
        <w:tc>
          <w:tcPr>
            <w:tcW w:w="3351" w:type="dxa"/>
          </w:tcPr>
          <w:p w14:paraId="70B199E6"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Book IX, 580a–88c</w:t>
            </w:r>
          </w:p>
        </w:tc>
      </w:tr>
      <w:tr w:rsidR="00D469DD" w:rsidRPr="00EE483D" w14:paraId="2889E7BC" w14:textId="77777777" w:rsidTr="00EE483D">
        <w:tc>
          <w:tcPr>
            <w:tcW w:w="4106" w:type="dxa"/>
          </w:tcPr>
          <w:p w14:paraId="47E29B5D"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 xml:space="preserve">Essay 15 – on the three main topics of book X </w:t>
            </w:r>
          </w:p>
        </w:tc>
        <w:tc>
          <w:tcPr>
            <w:tcW w:w="1559" w:type="dxa"/>
          </w:tcPr>
          <w:p w14:paraId="5B6F1926"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12 (II 84–95)</w:t>
            </w:r>
          </w:p>
        </w:tc>
        <w:tc>
          <w:tcPr>
            <w:tcW w:w="3351" w:type="dxa"/>
          </w:tcPr>
          <w:p w14:paraId="5024A2E4" w14:textId="77777777" w:rsidR="00D469DD" w:rsidRPr="00EE483D" w:rsidRDefault="00D469DD" w:rsidP="00C54AE7">
            <w:pPr>
              <w:rPr>
                <w:rFonts w:asciiTheme="majorBidi" w:hAnsiTheme="majorBidi" w:cstheme="majorBidi"/>
                <w:sz w:val="22"/>
                <w:szCs w:val="22"/>
              </w:rPr>
            </w:pPr>
            <w:r w:rsidRPr="00EE483D">
              <w:rPr>
                <w:rFonts w:asciiTheme="majorBidi" w:hAnsiTheme="majorBidi" w:cstheme="majorBidi"/>
                <w:sz w:val="22"/>
                <w:szCs w:val="22"/>
              </w:rPr>
              <w:t xml:space="preserve">Book X </w:t>
            </w:r>
            <w:r w:rsidRPr="00EE483D">
              <w:rPr>
                <w:rFonts w:asciiTheme="majorBidi" w:hAnsiTheme="majorBidi" w:cstheme="majorBidi"/>
                <w:i/>
                <w:iCs/>
                <w:sz w:val="22"/>
                <w:szCs w:val="22"/>
              </w:rPr>
              <w:t>in toto</w:t>
            </w:r>
          </w:p>
        </w:tc>
      </w:tr>
    </w:tbl>
    <w:p w14:paraId="4D8BE825" w14:textId="77777777" w:rsidR="00D469DD" w:rsidRPr="00EE483D" w:rsidRDefault="00D469DD"/>
    <w:p w14:paraId="0B55ACE9" w14:textId="1D675CE4" w:rsidR="00D469DD" w:rsidRDefault="00D469DD">
      <w:r>
        <w:t>It must be conceded immediately that Essay 13 stands out, not only for its length, but for the character of the commentary on it. It is prefaced with an introduction that re-visits some of the same issues that occupied Essay 1. Proclus treats ‘the speech of the Muses’</w:t>
      </w:r>
      <w:r>
        <w:rPr>
          <w:rStyle w:val="FootnoteReference"/>
        </w:rPr>
        <w:footnoteReference w:id="4"/>
      </w:r>
      <w:r>
        <w:t xml:space="preserve"> as if it were a mini-dialogue contained within the </w:t>
      </w:r>
      <w:r w:rsidRPr="00626E4B">
        <w:rPr>
          <w:i/>
          <w:iCs/>
        </w:rPr>
        <w:t>Republic</w:t>
      </w:r>
      <w:r>
        <w:t xml:space="preserve"> and according</w:t>
      </w:r>
      <w:r w:rsidR="007A0B3E">
        <w:t>ly</w:t>
      </w:r>
      <w:r>
        <w:t xml:space="preserve"> addresses its character and style as he did with the </w:t>
      </w:r>
      <w:r w:rsidRPr="00CF2C44">
        <w:rPr>
          <w:i/>
          <w:iCs/>
        </w:rPr>
        <w:t>Republic</w:t>
      </w:r>
      <w:r>
        <w:t xml:space="preserve"> as a whole. In addition, his exegesis of the marriage number involves citing interpretations or comments on the subject from a host of predecessors. This contrasts sharply with the Essays 10–12 on the sightlovers, the Sun, and the Cave. </w:t>
      </w:r>
    </w:p>
    <w:p w14:paraId="70D71579" w14:textId="77777777" w:rsidR="00D469DD" w:rsidRDefault="00D469DD">
      <w:r>
        <w:t xml:space="preserve">If Essay 13 stands apart as seemingly very different from the other essays in this volume – or in the </w:t>
      </w:r>
      <w:r w:rsidRPr="00464114">
        <w:rPr>
          <w:i/>
          <w:iCs/>
        </w:rPr>
        <w:t>Republic Commentary</w:t>
      </w:r>
      <w:r>
        <w:t xml:space="preserve"> as a whole – this is perhaps because </w:t>
      </w:r>
      <w:r w:rsidRPr="002907D6">
        <w:rPr>
          <w:i/>
          <w:iCs/>
        </w:rPr>
        <w:t>Republic</w:t>
      </w:r>
      <w:r>
        <w:t xml:space="preserve"> 545d5–47b1 stands out to the Neoplatonically inclined reader. Modern readers may suppose that the fact that Plato has Socrates call upon the Muses to tell ‘how discord broke out’ among the Guardians is simply a literary device. But Plato’s ancient readers were inclined to take seriously the idea that in the dialogues Socrates may utter ‘divinely inspired speech.’</w:t>
      </w:r>
      <w:r>
        <w:rPr>
          <w:rStyle w:val="FootnoteReference"/>
        </w:rPr>
        <w:footnoteReference w:id="5"/>
      </w:r>
      <w:r>
        <w:t xml:space="preserve"> By contrast, Grube’s lengthy (and otherwise helpful) note on the marriage number nicely sums up the lack of seriousness with which modern readers tend to treat the idea that the Muses’ description of the first steps in the degeneration of the ideal polis is importantly different from the surrounding text:</w:t>
      </w:r>
    </w:p>
    <w:p w14:paraId="065FB0F5" w14:textId="77777777" w:rsidR="00D469DD" w:rsidRDefault="00D469DD" w:rsidP="00464114">
      <w:pPr>
        <w:ind w:left="720"/>
      </w:pPr>
      <w:r>
        <w:t>The mock heroic invocation to the Muses and their talking in tragic language should warn us not to take the mathematical myth which follows too seriously or too literally. (Grube, p. 197, n. 1)</w:t>
      </w:r>
    </w:p>
    <w:p w14:paraId="20144CFF" w14:textId="77777777" w:rsidR="00D469DD" w:rsidRDefault="00D469DD">
      <w:r>
        <w:t xml:space="preserve">But it is precisely the intrusion of these otherworldly voices into Plato’s dialogue that prompts Proclus to take it </w:t>
      </w:r>
      <w:r w:rsidRPr="00464114">
        <w:rPr>
          <w:i/>
          <w:iCs/>
        </w:rPr>
        <w:t>very</w:t>
      </w:r>
      <w:r>
        <w:t xml:space="preserve"> seriously. So the length of Proclus’ treatment of this part of Plato’s text may look eccentric from our point of view. But that may say as much about </w:t>
      </w:r>
      <w:r w:rsidRPr="00B1231B">
        <w:rPr>
          <w:i/>
          <w:iCs/>
        </w:rPr>
        <w:t>us</w:t>
      </w:r>
      <w:r>
        <w:t xml:space="preserve"> and our presuppositions as it does about any deeply heterogeneous nature of the materials assembled in his </w:t>
      </w:r>
      <w:r w:rsidRPr="00B1231B">
        <w:rPr>
          <w:i/>
          <w:iCs/>
        </w:rPr>
        <w:t>Republic Commentary</w:t>
      </w:r>
      <w:r>
        <w:t xml:space="preserve">. </w:t>
      </w:r>
    </w:p>
    <w:p w14:paraId="45DA89A2" w14:textId="2E9C751B" w:rsidR="00D469DD" w:rsidRDefault="00D469DD">
      <w:r>
        <w:lastRenderedPageBreak/>
        <w:t xml:space="preserve">What about the fact that Essay 13 discusses the views of predecessors in ways that the other essays in this volume do not? It is a familiar observation that Proclus similarly ‘names names’ in his </w:t>
      </w:r>
      <w:r w:rsidRPr="00B1231B">
        <w:rPr>
          <w:i/>
          <w:iCs/>
        </w:rPr>
        <w:t>Timaeus Commentary</w:t>
      </w:r>
      <w:r>
        <w:t xml:space="preserve"> in ways that he does not in the </w:t>
      </w:r>
      <w:r w:rsidRPr="00B1231B">
        <w:rPr>
          <w:i/>
          <w:iCs/>
        </w:rPr>
        <w:t>Parmenides Commentary</w:t>
      </w:r>
      <w:r>
        <w:t xml:space="preserve">. The </w:t>
      </w:r>
      <w:r w:rsidRPr="00B1231B">
        <w:rPr>
          <w:i/>
          <w:iCs/>
        </w:rPr>
        <w:t>Republic Commentary</w:t>
      </w:r>
      <w:r>
        <w:t xml:space="preserve"> sits somewhere in between: some essays engage with other Platonists, while others do not. Is Essay 13 marked as having a profoundly different provenance from Essays 10–12 and 14–15 by virtue of the fact that Proclus names a lot of names in the former, but none in the latter group of essays? Consider that the Muses communicate through Socrates in a Pythagoreanising manner. That, after all, is the point of the </w:t>
      </w:r>
      <w:r w:rsidR="00E448C2">
        <w:t>nuptial</w:t>
      </w:r>
      <w:r>
        <w:t xml:space="preserve"> number. In the </w:t>
      </w:r>
      <w:r w:rsidRPr="0016755E">
        <w:rPr>
          <w:i/>
          <w:iCs/>
        </w:rPr>
        <w:t>Timaeus Commentary</w:t>
      </w:r>
      <w:r>
        <w:t>, Proclus describes this mode of communication as follows:</w:t>
      </w:r>
    </w:p>
    <w:p w14:paraId="6BDEF220" w14:textId="77777777" w:rsidR="00D469DD" w:rsidRDefault="00D469DD" w:rsidP="00B1231B">
      <w:pPr>
        <w:ind w:left="720"/>
      </w:pPr>
      <w:r>
        <w:t>[I]t contains loftiness of mind, intuition (</w:t>
      </w:r>
      <w:r w:rsidRPr="0016755E">
        <w:rPr>
          <w:i/>
          <w:iCs/>
        </w:rPr>
        <w:t>to noeron</w:t>
      </w:r>
      <w:r>
        <w:t>), inspiration, a tendency to link everything to intelligibles, to depict the Whole in terms of numbers, to give an indication of things in a symbolic and mystical fashion, to lead upwards, to remove one’s focus on particulars, to state with affirmation. (</w:t>
      </w:r>
      <w:r w:rsidRPr="008E5629">
        <w:rPr>
          <w:i/>
          <w:iCs/>
        </w:rPr>
        <w:t>in Tim</w:t>
      </w:r>
      <w:r>
        <w:t>. I 7.26–30, trans Tarrant)</w:t>
      </w:r>
    </w:p>
    <w:p w14:paraId="62FBB381" w14:textId="06254DE1" w:rsidR="00D469DD" w:rsidRDefault="00D469DD" w:rsidP="008E5629">
      <w:r>
        <w:t xml:space="preserve">Faced with the mathematically dense and symbolic text of the </w:t>
      </w:r>
      <w:r w:rsidRPr="0016755E">
        <w:rPr>
          <w:i/>
          <w:iCs/>
        </w:rPr>
        <w:t>Timaeus</w:t>
      </w:r>
      <w:r>
        <w:t xml:space="preserve">, Proclus frequently resorts to the insights of his fellow Platonists – particularly those who are part of the chorus of Bacchants following after the divine Plato (cf. </w:t>
      </w:r>
      <w:r w:rsidRPr="008E5629">
        <w:rPr>
          <w:i/>
          <w:iCs/>
        </w:rPr>
        <w:t>Plat. Theol</w:t>
      </w:r>
      <w:r>
        <w:t xml:space="preserve">. I §1. 6.16–7.8). So when Plato communicates in the Pythagorean mode, this seems to call for Proclus to synthesize a whole team of exegetes in order to properly discern his meaning. It may be that he even imagines a kind of symmetry between the plural voices of the Muses and the plurality of exegetical perspectives that he brings to the task of interpreting them. There is a gap in our text precisely at the point at which Proclus takes up the question why Plato does not call upon </w:t>
      </w:r>
      <w:r w:rsidRPr="007A0B3E">
        <w:rPr>
          <w:i/>
          <w:iCs/>
        </w:rPr>
        <w:t>one</w:t>
      </w:r>
      <w:r>
        <w:t xml:space="preserve"> authoritative voice – the Leader of the Muses (i.e. Apollo)  – to prophesy about the sources of the downfall of the ideal </w:t>
      </w:r>
      <w:r w:rsidRPr="008E5629">
        <w:rPr>
          <w:i/>
          <w:iCs/>
        </w:rPr>
        <w:t>polis</w:t>
      </w:r>
      <w:r>
        <w:t xml:space="preserve"> (</w:t>
      </w:r>
      <w:r w:rsidRPr="006E2492">
        <w:rPr>
          <w:i/>
          <w:iCs/>
        </w:rPr>
        <w:t>in Remp</w:t>
      </w:r>
      <w:r>
        <w:t xml:space="preserve">. II 4.11–22). The answer is incomplete in our text, but it begins by contrasting Apollo as the single author of a single cosmic harmony with the plurality of Muses and their pluralised harmonies. Perhaps Proclus supposed that a chorus of exegetes were needed to extract the multi-layered meanings of the </w:t>
      </w:r>
      <w:r w:rsidR="007A0B3E">
        <w:t xml:space="preserve">plural </w:t>
      </w:r>
      <w:r>
        <w:t>voices of the Muses.</w:t>
      </w:r>
    </w:p>
    <w:p w14:paraId="6D223BB2" w14:textId="77777777" w:rsidR="00D469DD" w:rsidRDefault="00D469DD">
      <w:r>
        <w:t xml:space="preserve">Apart from the nuptial number, Proclus’ most sustained discussions occur in relation to the virtues and the tri-partite soul in </w:t>
      </w:r>
      <w:r w:rsidRPr="00732B51">
        <w:rPr>
          <w:i/>
          <w:iCs/>
        </w:rPr>
        <w:t>Republic</w:t>
      </w:r>
      <w:r>
        <w:t xml:space="preserve"> IV and in relation to the question of female Guardians in </w:t>
      </w:r>
      <w:r w:rsidRPr="00732B51">
        <w:rPr>
          <w:i/>
          <w:iCs/>
        </w:rPr>
        <w:t>Republic</w:t>
      </w:r>
      <w:r>
        <w:t xml:space="preserve"> V. In the central, metaphysical books of the </w:t>
      </w:r>
      <w:r w:rsidRPr="00FC7FF1">
        <w:rPr>
          <w:i/>
          <w:iCs/>
        </w:rPr>
        <w:t>Republic</w:t>
      </w:r>
      <w:r>
        <w:t xml:space="preserve"> VI and VII, the longest discussion is over the nature of the Form of the Good. These are, of course, still aspects of Plato’s dialogue that are the subject of interpretive disagreements among contemporary philosophers. So Essay 13 perhaps creates the impression that Proclus’ interests in his </w:t>
      </w:r>
      <w:r w:rsidRPr="00732B51">
        <w:rPr>
          <w:i/>
          <w:iCs/>
        </w:rPr>
        <w:t>Commentary</w:t>
      </w:r>
      <w:r>
        <w:t xml:space="preserve"> are more eccentric (from the modern point of view) than they really are. </w:t>
      </w:r>
    </w:p>
    <w:p w14:paraId="555901B7" w14:textId="77777777" w:rsidR="00D469DD" w:rsidRDefault="00D469DD">
      <w:r>
        <w:t xml:space="preserve">If Essay 13 creates the impression that the </w:t>
      </w:r>
      <w:r w:rsidRPr="00876B74">
        <w:rPr>
          <w:i/>
          <w:iCs/>
        </w:rPr>
        <w:t>Republic Commentary</w:t>
      </w:r>
      <w:r>
        <w:t xml:space="preserve"> is an eccentric and scholastic approach to Plato’s text, Essays 8 and 9 have contributed to the claim that it is a grab-bag of different materials relating to the </w:t>
      </w:r>
      <w:r w:rsidRPr="00876B74">
        <w:rPr>
          <w:i/>
          <w:iCs/>
        </w:rPr>
        <w:t>Republic</w:t>
      </w:r>
      <w:r>
        <w:t xml:space="preserve">. Both obviously cover the same ground in general, but the second of the two essays on female guardians relates the views of Theodore of Asine on the question of whether the virtues of men and women are, in fact, one and the same. This led Festugière to comment that </w:t>
      </w:r>
    </w:p>
    <w:p w14:paraId="334CE54A" w14:textId="77438C78" w:rsidR="00C5732D" w:rsidRDefault="00C5732D" w:rsidP="00876B74">
      <w:pPr>
        <w:ind w:left="720"/>
      </w:pPr>
      <w:r>
        <w:t xml:space="preserve">Essay 9 </w:t>
      </w:r>
      <w:r w:rsidRPr="00C5732D">
        <w:t>cannot therefore be regarded as a simple appendix to the previous one (</w:t>
      </w:r>
      <w:r>
        <w:t xml:space="preserve">for </w:t>
      </w:r>
      <w:r w:rsidRPr="00C5732D">
        <w:t>in this case we would only have Theodore's contribution and the objection drawn from the comparison with Laws</w:t>
      </w:r>
      <w:r>
        <w:t xml:space="preserve"> at </w:t>
      </w:r>
      <w:r w:rsidRPr="00C5732D">
        <w:t xml:space="preserve">256.2 </w:t>
      </w:r>
      <w:r>
        <w:t>and</w:t>
      </w:r>
      <w:r w:rsidRPr="00C5732D">
        <w:t xml:space="preserve"> 256.15</w:t>
      </w:r>
      <w:r>
        <w:t>–</w:t>
      </w:r>
      <w:r w:rsidRPr="00C5732D">
        <w:t xml:space="preserve">257.6): it must be considered as a new essay on the same subject, perhaps composed long after the previous one. And this proves, therefore, that the </w:t>
      </w:r>
      <w:r w:rsidRPr="00C5732D">
        <w:rPr>
          <w:i/>
          <w:iCs/>
        </w:rPr>
        <w:t>Commentary on the Republic</w:t>
      </w:r>
      <w:r w:rsidRPr="00C5732D">
        <w:t xml:space="preserve"> is not a continuous series of lessons forming the same course </w:t>
      </w:r>
      <w:r>
        <w:lastRenderedPageBreak/>
        <w:t xml:space="preserve">arranged according to </w:t>
      </w:r>
      <w:r w:rsidRPr="00C5732D">
        <w:t xml:space="preserve">chronological order, but rather a collection of essays, the only common feature of which is that they all have the </w:t>
      </w:r>
      <w:r w:rsidRPr="00C5732D">
        <w:rPr>
          <w:i/>
          <w:iCs/>
        </w:rPr>
        <w:t>Republic</w:t>
      </w:r>
      <w:r w:rsidRPr="00C5732D">
        <w:t xml:space="preserve"> as their subject.</w:t>
      </w:r>
      <w:r>
        <w:rPr>
          <w:rStyle w:val="FootnoteReference"/>
        </w:rPr>
        <w:footnoteReference w:id="6"/>
      </w:r>
      <w:r w:rsidRPr="00C5732D">
        <w:t xml:space="preserve"> </w:t>
      </w:r>
    </w:p>
    <w:p w14:paraId="6D07B813" w14:textId="77777777" w:rsidR="00D469DD" w:rsidRDefault="00D469DD">
      <w:r>
        <w:t xml:space="preserve">We have already addressed the question of the unity of Proclus’ </w:t>
      </w:r>
      <w:r w:rsidRPr="0054095A">
        <w:rPr>
          <w:i/>
          <w:iCs/>
        </w:rPr>
        <w:t>Republic Commentary</w:t>
      </w:r>
      <w:r>
        <w:t xml:space="preserve"> in the General Introduction to volume 1. There we argued that, in spite of differences of among the essays, there is more unity to them than one would expect of a portmanteau unified only by the fact that the essays deal with the same Platonic dialogue. Proclus does cover the whole work – albeit not in the same way that the line by line commentaries on </w:t>
      </w:r>
      <w:r w:rsidRPr="0047558C">
        <w:rPr>
          <w:i/>
          <w:iCs/>
        </w:rPr>
        <w:t>Parmenides</w:t>
      </w:r>
      <w:r>
        <w:t xml:space="preserve">, </w:t>
      </w:r>
      <w:r w:rsidRPr="0047558C">
        <w:rPr>
          <w:i/>
          <w:iCs/>
        </w:rPr>
        <w:t>Timaeus</w:t>
      </w:r>
      <w:r>
        <w:t xml:space="preserve"> and </w:t>
      </w:r>
      <w:r w:rsidRPr="0047558C">
        <w:rPr>
          <w:i/>
          <w:iCs/>
        </w:rPr>
        <w:t>Alcibiades</w:t>
      </w:r>
      <w:r>
        <w:t xml:space="preserve"> do. Moreover, there is reason to think that his choices about which questions to pose about Plato’s text respond to ancient sensibilities about the job of the Platonic interpreter. So while the Myth of Er or the marriage number are not central to Plato’s text from </w:t>
      </w:r>
      <w:r w:rsidRPr="0016755E">
        <w:rPr>
          <w:i/>
          <w:iCs/>
        </w:rPr>
        <w:t>our</w:t>
      </w:r>
      <w:r>
        <w:t xml:space="preserve"> point of view, Proclus’ commentary itself, together with the reports that it contains of the readings of these Platonic passages by earlier Platonists, shows the extent to which ancient interpreters thought these parts of the text were central to understanding Plato’s philosophy. Finally, we observed that even a “proper commentary”, like Proclus’ </w:t>
      </w:r>
      <w:r w:rsidRPr="0047558C">
        <w:rPr>
          <w:i/>
          <w:iCs/>
        </w:rPr>
        <w:t>Timaeus Commentary</w:t>
      </w:r>
      <w:r>
        <w:t xml:space="preserve">, contains some traces of earlier drafts. Thus </w:t>
      </w:r>
      <w:r w:rsidRPr="0047558C">
        <w:rPr>
          <w:i/>
          <w:iCs/>
        </w:rPr>
        <w:t>Tim</w:t>
      </w:r>
      <w:r>
        <w:t xml:space="preserve">. 35b4–6 is quoted twice and interpreted twice – the first in a more basic way, and the second time with more attention to its symbolic significance. So while Festugière’s comment that Essay 9 is not merely an appendix to Essay 8, but a new essay on the same subject, is undeniable, this does not render the </w:t>
      </w:r>
      <w:r w:rsidRPr="00DE6684">
        <w:rPr>
          <w:i/>
          <w:iCs/>
        </w:rPr>
        <w:t>Republic Commentary</w:t>
      </w:r>
      <w:r>
        <w:t xml:space="preserve"> any less a unified work than the </w:t>
      </w:r>
      <w:r w:rsidRPr="00DE6684">
        <w:rPr>
          <w:i/>
          <w:iCs/>
        </w:rPr>
        <w:t>Timaeus Commentary</w:t>
      </w:r>
      <w:r>
        <w:t>.</w:t>
      </w:r>
    </w:p>
    <w:p w14:paraId="5C2DB3F3" w14:textId="77777777" w:rsidR="00D469DD" w:rsidRDefault="00D469DD" w:rsidP="0051435B">
      <w:pPr>
        <w:pStyle w:val="Heading1"/>
      </w:pPr>
      <w:r>
        <w:t>Intertextuality in Essays 7–13 of the Republic Commentary</w:t>
      </w:r>
    </w:p>
    <w:p w14:paraId="605D65A4" w14:textId="2ED95FD4" w:rsidR="00D469DD" w:rsidRDefault="00D469DD">
      <w:r>
        <w:t xml:space="preserve">If Proclus’ Essays 9 and 13 are conspicuous for the way they name the views of other thinkers, then Essays 10, 11 and 12 are conspicuous for the way in which they seek to connect the correct interpretation of Plato’s </w:t>
      </w:r>
      <w:r w:rsidRPr="00170391">
        <w:rPr>
          <w:i/>
          <w:iCs/>
        </w:rPr>
        <w:t>Republic</w:t>
      </w:r>
      <w:r>
        <w:t xml:space="preserve"> to other dialogues. Proclus explicitly connects the correct understanding of the shadows and reflections discussed in the Cave Analogy to the theory of images in the </w:t>
      </w:r>
      <w:r w:rsidRPr="00170391">
        <w:rPr>
          <w:i/>
          <w:iCs/>
        </w:rPr>
        <w:t>Sophist</w:t>
      </w:r>
      <w:r>
        <w:t xml:space="preserve">. Essay 10 also turns to the </w:t>
      </w:r>
      <w:r w:rsidRPr="0052265B">
        <w:rPr>
          <w:i/>
          <w:iCs/>
        </w:rPr>
        <w:t>Sophist</w:t>
      </w:r>
      <w:r>
        <w:t xml:space="preserve"> to shed light on opinion and discursive reasoning, as well as the distinction between a faculty’s power or </w:t>
      </w:r>
      <w:r w:rsidRPr="00BC691A">
        <w:rPr>
          <w:i/>
          <w:iCs/>
        </w:rPr>
        <w:t>dynamis</w:t>
      </w:r>
      <w:r>
        <w:t xml:space="preserve"> and its object. Because of the role that truth plays in the Sun Analogy, </w:t>
      </w:r>
      <w:r w:rsidRPr="00170391">
        <w:rPr>
          <w:i/>
          <w:iCs/>
        </w:rPr>
        <w:t>Philebus</w:t>
      </w:r>
      <w:r>
        <w:t xml:space="preserve"> 64bff is deemed to be relevant to the correct understanding of what Socrates says here in the </w:t>
      </w:r>
      <w:r w:rsidRPr="00170391">
        <w:rPr>
          <w:i/>
          <w:iCs/>
        </w:rPr>
        <w:t>Republic</w:t>
      </w:r>
      <w:r>
        <w:t>. As the Introduction to Essay 11 shows, truth is a potent causal principle. It is not merely a property of representations that correctly mirror reality: the ‘light of truth’ constitutes reality from a position high up in the Neoplatonists</w:t>
      </w:r>
      <w:r w:rsidR="00C5732D">
        <w:t>’</w:t>
      </w:r>
      <w:r>
        <w:t xml:space="preserve"> structured metaphysics.</w:t>
      </w:r>
      <w:r>
        <w:rPr>
          <w:rStyle w:val="FootnoteReference"/>
        </w:rPr>
        <w:footnoteReference w:id="7"/>
      </w:r>
      <w:r>
        <w:t xml:space="preserve"> Of course, throughout his interpretation of the </w:t>
      </w:r>
      <w:r w:rsidRPr="00BC691A">
        <w:rPr>
          <w:i/>
          <w:iCs/>
        </w:rPr>
        <w:t>Republic</w:t>
      </w:r>
      <w:r>
        <w:t xml:space="preserve">, Proclus takes the </w:t>
      </w:r>
      <w:r w:rsidRPr="00BC691A">
        <w:rPr>
          <w:i/>
          <w:iCs/>
        </w:rPr>
        <w:t>Timaeus</w:t>
      </w:r>
      <w:r>
        <w:t xml:space="preserve"> to be a relevant to the correct understanding of Plato’s thought. Indeed, the most pervasive theme in Proclus’ reading of the </w:t>
      </w:r>
      <w:r w:rsidRPr="00BC691A">
        <w:rPr>
          <w:i/>
          <w:iCs/>
        </w:rPr>
        <w:t>Republic</w:t>
      </w:r>
      <w:r>
        <w:t xml:space="preserve"> is the extension of the two-term analogy between the constitution or </w:t>
      </w:r>
      <w:r w:rsidRPr="00BC691A">
        <w:rPr>
          <w:i/>
          <w:iCs/>
        </w:rPr>
        <w:t>politeia</w:t>
      </w:r>
      <w:r>
        <w:t xml:space="preserve"> of the city-state and individual soul to a three-term analogy between the cosmic, civic and psychic constitutions. Modern readers of the </w:t>
      </w:r>
      <w:r w:rsidRPr="0016755E">
        <w:rPr>
          <w:i/>
          <w:iCs/>
        </w:rPr>
        <w:t>Republic</w:t>
      </w:r>
      <w:r>
        <w:t xml:space="preserve"> who suppose that the text should be interpreted from just the text may find this disappointing. But often the connections drawn between the </w:t>
      </w:r>
      <w:r w:rsidRPr="00FC7FF1">
        <w:rPr>
          <w:i/>
          <w:iCs/>
        </w:rPr>
        <w:t>Republic</w:t>
      </w:r>
      <w:r>
        <w:t xml:space="preserve"> and other dialogues are at least creative and invite us to confront some of our deepest philosophical assumptions. </w:t>
      </w:r>
    </w:p>
    <w:p w14:paraId="7A1121C9" w14:textId="77777777" w:rsidR="00D469DD" w:rsidRDefault="00D469DD" w:rsidP="0051435B">
      <w:pPr>
        <w:pStyle w:val="Heading1"/>
      </w:pPr>
      <w:r>
        <w:lastRenderedPageBreak/>
        <w:t xml:space="preserve">Key Themes from the </w:t>
      </w:r>
      <w:r w:rsidRPr="006E7421">
        <w:rPr>
          <w:i/>
          <w:iCs/>
        </w:rPr>
        <w:t>Republic</w:t>
      </w:r>
      <w:r>
        <w:t xml:space="preserve"> Outside Proclus’ </w:t>
      </w:r>
      <w:r w:rsidRPr="006E7421">
        <w:rPr>
          <w:i/>
          <w:iCs/>
        </w:rPr>
        <w:t>Republic Commentary</w:t>
      </w:r>
    </w:p>
    <w:p w14:paraId="7E4A1AB8" w14:textId="77777777" w:rsidR="00D469DD" w:rsidRDefault="00D469DD">
      <w:r>
        <w:t xml:space="preserve">We conclude this General Introduction with a brief consideration of the ways in which the key ideas of the central books of the </w:t>
      </w:r>
      <w:r w:rsidRPr="006C701D">
        <w:rPr>
          <w:i/>
          <w:iCs/>
        </w:rPr>
        <w:t>Republic</w:t>
      </w:r>
      <w:r>
        <w:t xml:space="preserve"> are interpreted outside the context of Proclus’ </w:t>
      </w:r>
      <w:r w:rsidRPr="006C701D">
        <w:rPr>
          <w:i/>
          <w:iCs/>
        </w:rPr>
        <w:t>Republic Commentary</w:t>
      </w:r>
      <w:r>
        <w:t xml:space="preserve">. </w:t>
      </w:r>
    </w:p>
    <w:p w14:paraId="7BF00B09" w14:textId="77777777" w:rsidR="00D469DD" w:rsidRDefault="00D469DD" w:rsidP="006E7421">
      <w:pPr>
        <w:pStyle w:val="Heading2"/>
      </w:pPr>
      <w:r>
        <w:t xml:space="preserve">The </w:t>
      </w:r>
      <w:r w:rsidRPr="00040B15">
        <w:rPr>
          <w:i/>
          <w:iCs/>
        </w:rPr>
        <w:t>Republic</w:t>
      </w:r>
      <w:r>
        <w:t xml:space="preserve">’s Dialectic in the </w:t>
      </w:r>
      <w:r w:rsidRPr="00040B15">
        <w:rPr>
          <w:i/>
          <w:iCs/>
        </w:rPr>
        <w:t>Parmenides Commentary</w:t>
      </w:r>
    </w:p>
    <w:p w14:paraId="42E464C3" w14:textId="30215634" w:rsidR="00D469DD" w:rsidRDefault="00D469DD">
      <w:r>
        <w:t xml:space="preserve">Both contemporary interpreters of Plato and the Neoplatonists faced the question of reconciling the dialogues’ various discussions of </w:t>
      </w:r>
      <w:r w:rsidRPr="00EE07B4">
        <w:rPr>
          <w:i/>
          <w:iCs/>
        </w:rPr>
        <w:t>dialectic</w:t>
      </w:r>
      <w:r>
        <w:t>.</w:t>
      </w:r>
      <w:r>
        <w:rPr>
          <w:rStyle w:val="FootnoteReference"/>
        </w:rPr>
        <w:footnoteReference w:id="8"/>
      </w:r>
      <w:r>
        <w:t xml:space="preserve"> The </w:t>
      </w:r>
      <w:r w:rsidRPr="00EE07B4">
        <w:rPr>
          <w:i/>
          <w:iCs/>
        </w:rPr>
        <w:t>Republic</w:t>
      </w:r>
      <w:r>
        <w:t xml:space="preserve"> makes dialectic </w:t>
      </w:r>
      <w:r w:rsidRPr="00EE07B4">
        <w:rPr>
          <w:i/>
          <w:iCs/>
        </w:rPr>
        <w:t>the</w:t>
      </w:r>
      <w:r>
        <w:t xml:space="preserve"> distinctive philosophical method through which the Guardians know the Forms and especially the Form of the Good (</w:t>
      </w:r>
      <w:r w:rsidRPr="00EE1B1A">
        <w:rPr>
          <w:i/>
          <w:iCs/>
        </w:rPr>
        <w:t>Rep</w:t>
      </w:r>
      <w:r>
        <w:t xml:space="preserve">. VII 534b–c). The dialectician is able to ‘give an account of the essence of each thing’. His cognitive state is distinguished from that of the mathematician in its nature – intellection or </w:t>
      </w:r>
      <w:r w:rsidRPr="00EE1B1A">
        <w:rPr>
          <w:i/>
          <w:iCs/>
        </w:rPr>
        <w:t>noêsis</w:t>
      </w:r>
      <w:r>
        <w:t xml:space="preserve"> versus discursive thought or </w:t>
      </w:r>
      <w:r w:rsidRPr="00EE1B1A">
        <w:rPr>
          <w:i/>
          <w:iCs/>
        </w:rPr>
        <w:t>dianoia</w:t>
      </w:r>
      <w:r>
        <w:t xml:space="preserve"> – and perhaps also in its objects (</w:t>
      </w:r>
      <w:r w:rsidRPr="00EE1B1A">
        <w:rPr>
          <w:i/>
          <w:iCs/>
        </w:rPr>
        <w:t>Rep</w:t>
      </w:r>
      <w:r>
        <w:t xml:space="preserve">. VI 511a–c). The movement of thought involved in dialectic is also distinguished from that involved in mathematical thinking. We are told by Socrates that while dialectic treats hypotheses as hypotheses, using them as steps to ascend to an unhypothetical first principle, mathematicians proceed from hypotheses to a conclusion (510b4–9, 511b3–c2). Moreover, dialectic ultimately ‘does away with’ its hypotheses (533c8). Finally, while mathematical thinking involves the use of images, dialectic does not (510d5–511a1, 511b8–c2). So dialectic plays a key role in Plato’s </w:t>
      </w:r>
      <w:r w:rsidRPr="00D00A0B">
        <w:rPr>
          <w:i/>
          <w:iCs/>
        </w:rPr>
        <w:t>Republic</w:t>
      </w:r>
      <w:r>
        <w:t xml:space="preserve">. The authority of the Guardians to lead the ideal </w:t>
      </w:r>
      <w:r w:rsidRPr="00D00A0B">
        <w:rPr>
          <w:i/>
          <w:iCs/>
        </w:rPr>
        <w:t>polis</w:t>
      </w:r>
      <w:r>
        <w:t xml:space="preserve"> is grounded in the psychic consequences – both in terms of knowledge and character or motivation – that results from their acquaintance with</w:t>
      </w:r>
      <w:r w:rsidR="007A0B3E">
        <w:t>,</w:t>
      </w:r>
      <w:r>
        <w:t xml:space="preserve"> and love of</w:t>
      </w:r>
      <w:r w:rsidR="007A0B3E">
        <w:t>,</w:t>
      </w:r>
      <w:r>
        <w:t xml:space="preserve"> the Forms. Dialectic, in turn, is the method through which they gain this acquaintance. But in spite of this key role, Socrates’ remarks on the nature of dialectic are far from clear. The reader is left to wonder what, exactly, it consists in. The explanation of the nature of dialectic we are given does not seem proportionate to the argumentative weight resting on it in the dialogue.</w:t>
      </w:r>
    </w:p>
    <w:p w14:paraId="4EFA567E" w14:textId="77777777" w:rsidR="00D469DD" w:rsidRPr="00876B74" w:rsidRDefault="00D469DD">
      <w:r>
        <w:t xml:space="preserve">Things become even more puzzling when we look to dialogues other than the </w:t>
      </w:r>
      <w:r w:rsidRPr="00F24991">
        <w:rPr>
          <w:i/>
          <w:iCs/>
        </w:rPr>
        <w:t>Republic</w:t>
      </w:r>
      <w:r>
        <w:t xml:space="preserve">. There are, of course, remarks about the method of dialectic in the </w:t>
      </w:r>
      <w:r w:rsidRPr="00F24991">
        <w:rPr>
          <w:i/>
          <w:iCs/>
        </w:rPr>
        <w:t>Phaedrus</w:t>
      </w:r>
      <w:r>
        <w:t xml:space="preserve">, </w:t>
      </w:r>
      <w:r w:rsidRPr="00F24991">
        <w:rPr>
          <w:i/>
          <w:iCs/>
        </w:rPr>
        <w:t>Sophist</w:t>
      </w:r>
      <w:r>
        <w:t xml:space="preserve"> and </w:t>
      </w:r>
      <w:r w:rsidRPr="00F24991">
        <w:rPr>
          <w:i/>
          <w:iCs/>
        </w:rPr>
        <w:t>Philebus</w:t>
      </w:r>
      <w:r>
        <w:t xml:space="preserve"> that do not resemble closely the method of dialectic described in </w:t>
      </w:r>
      <w:r w:rsidRPr="00B27D6F">
        <w:rPr>
          <w:i/>
          <w:iCs/>
        </w:rPr>
        <w:t>Republic</w:t>
      </w:r>
      <w:r>
        <w:t xml:space="preserve">. Here it is the method of </w:t>
      </w:r>
      <w:r w:rsidRPr="00F24991">
        <w:rPr>
          <w:i/>
          <w:iCs/>
        </w:rPr>
        <w:t>collection and division</w:t>
      </w:r>
      <w:r>
        <w:t xml:space="preserve"> that is identified with dialectic.</w:t>
      </w:r>
      <w:r>
        <w:rPr>
          <w:rStyle w:val="FootnoteReference"/>
        </w:rPr>
        <w:footnoteReference w:id="9"/>
      </w:r>
      <w:r>
        <w:t xml:space="preserve"> Readers of Plato who take a chronological approach to the dialogues may find this switch unproblematic. Perhaps Plato just changed his mind. But Proclus is not such a reader. So how does he deal with the relation between the different procedures identified as </w:t>
      </w:r>
      <w:r w:rsidRPr="00B27D6F">
        <w:rPr>
          <w:i/>
          <w:iCs/>
        </w:rPr>
        <w:t>dialektikê</w:t>
      </w:r>
      <w:r>
        <w:t>?</w:t>
      </w:r>
    </w:p>
    <w:p w14:paraId="74D50ED0" w14:textId="568410F4" w:rsidR="00D469DD" w:rsidRPr="00D41821" w:rsidRDefault="00D469DD">
      <w:r>
        <w:t xml:space="preserve">The relation between the </w:t>
      </w:r>
      <w:r w:rsidRPr="00575DF2">
        <w:rPr>
          <w:i/>
          <w:iCs/>
        </w:rPr>
        <w:t>Republic</w:t>
      </w:r>
      <w:r w:rsidRPr="00575DF2">
        <w:t>’s</w:t>
      </w:r>
      <w:r>
        <w:t xml:space="preserve"> notion of dialectic and the method of collection and division emerges in Proclus’ </w:t>
      </w:r>
      <w:r w:rsidRPr="00575DF2">
        <w:rPr>
          <w:i/>
          <w:iCs/>
        </w:rPr>
        <w:t>Parmenides Commentary</w:t>
      </w:r>
      <w:r>
        <w:t xml:space="preserve"> but in a rather surprising context. At 648.1 Proclus takes up the arguments of those who assert that Parmenides’ method cannot be the same as Plato’s dialectic.</w:t>
      </w:r>
      <w:r>
        <w:rPr>
          <w:rStyle w:val="FootnoteReference"/>
        </w:rPr>
        <w:footnoteReference w:id="10"/>
      </w:r>
      <w:r>
        <w:t xml:space="preserve"> Three grounds are offered for this non-identity between Parmenidean and Platonic dialectic. First, Parmenides urges the young Socrates to engage in it, but Socrates recommends against young people being allowed to engage in dialectic too early (</w:t>
      </w:r>
      <w:r w:rsidRPr="0076575B">
        <w:rPr>
          <w:i/>
          <w:iCs/>
        </w:rPr>
        <w:t>Rep</w:t>
      </w:r>
      <w:r>
        <w:t xml:space="preserve">. 537–39d). Second, Parmenidean dialectic is </w:t>
      </w:r>
      <w:r w:rsidR="00AD4867">
        <w:t>described as an</w:t>
      </w:r>
      <w:r>
        <w:t xml:space="preserve"> exercise</w:t>
      </w:r>
      <w:r w:rsidR="00AD4867">
        <w:t xml:space="preserve"> (</w:t>
      </w:r>
      <w:r w:rsidR="00AD4867" w:rsidRPr="00AD4867">
        <w:rPr>
          <w:i/>
          <w:iCs/>
        </w:rPr>
        <w:t>askêsis</w:t>
      </w:r>
      <w:r w:rsidR="00AD4867">
        <w:t>)</w:t>
      </w:r>
      <w:r>
        <w:t xml:space="preserve"> </w:t>
      </w:r>
      <w:r w:rsidR="00AD4867">
        <w:t xml:space="preserve">and Proclus takes this to mean that it involves </w:t>
      </w:r>
      <w:r>
        <w:t>arguing both sides of a question. Thus</w:t>
      </w:r>
      <w:r w:rsidR="00AD4867">
        <w:t>, he claims,</w:t>
      </w:r>
      <w:r>
        <w:t xml:space="preserve"> it more closely resembles Aristotelian dialectic than Plato’s</w:t>
      </w:r>
      <w:r w:rsidR="00AD4867">
        <w:t>.</w:t>
      </w:r>
      <w:r>
        <w:t xml:space="preserve"> Proclus </w:t>
      </w:r>
      <w:r w:rsidR="00AD4867">
        <w:t xml:space="preserve">then </w:t>
      </w:r>
      <w:r>
        <w:t>summarises Platonic dialectic in way that resemble</w:t>
      </w:r>
      <w:r w:rsidR="007A0B3E">
        <w:t>s</w:t>
      </w:r>
      <w:r>
        <w:t xml:space="preserve"> the </w:t>
      </w:r>
      <w:r w:rsidRPr="00E60FEB">
        <w:rPr>
          <w:i/>
          <w:iCs/>
        </w:rPr>
        <w:t>Republic</w:t>
      </w:r>
      <w:r w:rsidR="00D41821">
        <w:t>:</w:t>
      </w:r>
    </w:p>
    <w:p w14:paraId="2CA6491C" w14:textId="47334E31" w:rsidR="00D469DD" w:rsidRDefault="00D469DD" w:rsidP="0076575B">
      <w:pPr>
        <w:ind w:left="720"/>
      </w:pPr>
      <w:r>
        <w:lastRenderedPageBreak/>
        <w:t xml:space="preserve">Plato’s dialectic is described in the dialogue </w:t>
      </w:r>
      <w:r w:rsidR="007A0B3E">
        <w:t xml:space="preserve">as </w:t>
      </w:r>
      <w:r>
        <w:t>leading to the highest and purest stage of knowledge and insight, since its activity is based on intelligible Forms, through which it advances to the very first member of the intelligible world, paying no attention to human opinion but using irrefutable knowledge at every step. (6491– trans. Dillon and Morrow)</w:t>
      </w:r>
      <w:r>
        <w:rPr>
          <w:rStyle w:val="FootnoteReference"/>
        </w:rPr>
        <w:footnoteReference w:id="11"/>
      </w:r>
    </w:p>
    <w:p w14:paraId="024F8148" w14:textId="77777777" w:rsidR="00D469DD" w:rsidRDefault="00D469DD">
      <w:r>
        <w:t>Finally, while Parmenidean dialectic is characterised as like a kind of ‘babbling’, Platonic dialectic is the ‘capstone of knowledge’ (</w:t>
      </w:r>
      <w:r w:rsidRPr="0076575B">
        <w:rPr>
          <w:i/>
          <w:iCs/>
        </w:rPr>
        <w:t>Rep</w:t>
      </w:r>
      <w:r>
        <w:t>. 534e) which is suitable only for genuine philosophers (</w:t>
      </w:r>
      <w:r w:rsidRPr="0076575B">
        <w:rPr>
          <w:i/>
          <w:iCs/>
        </w:rPr>
        <w:t>Soph</w:t>
      </w:r>
      <w:r>
        <w:t xml:space="preserve">. 253e). This final point suggests that Proclus’ Middle Platonic opponents do not sharply distinguish the method of collection and division described in the </w:t>
      </w:r>
      <w:r w:rsidRPr="00253227">
        <w:rPr>
          <w:i/>
          <w:iCs/>
        </w:rPr>
        <w:t>Sophist</w:t>
      </w:r>
      <w:r>
        <w:t xml:space="preserve"> (and elsewhere) from the dialectic of the </w:t>
      </w:r>
      <w:r w:rsidRPr="00253227">
        <w:rPr>
          <w:i/>
          <w:iCs/>
        </w:rPr>
        <w:t>Republic</w:t>
      </w:r>
      <w:r>
        <w:t xml:space="preserve">. Or at the very least, Proclus has seen fit to put their arguments in ways that elide the difference since both </w:t>
      </w:r>
      <w:r w:rsidRPr="00253227">
        <w:rPr>
          <w:i/>
          <w:iCs/>
        </w:rPr>
        <w:t>Republic</w:t>
      </w:r>
      <w:r>
        <w:t xml:space="preserve"> and </w:t>
      </w:r>
      <w:r w:rsidRPr="00253227">
        <w:rPr>
          <w:i/>
          <w:iCs/>
        </w:rPr>
        <w:t>Sophist</w:t>
      </w:r>
      <w:r>
        <w:t xml:space="preserve"> are mentioned in the same breath, as if were obvious that these things were one and the same, or at least closely related. </w:t>
      </w:r>
    </w:p>
    <w:p w14:paraId="3F1F4CEC" w14:textId="238B5049" w:rsidR="00D469DD" w:rsidRDefault="00D469DD">
      <w:r>
        <w:t xml:space="preserve">Let us set aside as not philosophically interesting the tedious special pleading that Proclus does on behalf of the young Socrates (who is, of course, </w:t>
      </w:r>
      <w:r w:rsidRPr="00AD4867">
        <w:rPr>
          <w:i/>
          <w:iCs/>
        </w:rPr>
        <w:t>so</w:t>
      </w:r>
      <w:r>
        <w:t xml:space="preserve"> obviously talented that he should enjoy an exemption for youthful participation in Platonic dialectic). The overall thrust of Proclus’ reconciliation of the putative differences between Parmenidean and Platonic dialectic is to assimilate collection and division to the method of hypothesis employed in the latter half of the </w:t>
      </w:r>
      <w:r w:rsidRPr="00D4155A">
        <w:rPr>
          <w:i/>
          <w:iCs/>
        </w:rPr>
        <w:t>Parmenides</w:t>
      </w:r>
      <w:r>
        <w:t>. Proclus offers a tripartite division of Platonic dialectic: the kind that argues both sides of the question; the kind that exhibits only the truth; and the kind that serve</w:t>
      </w:r>
      <w:r w:rsidR="007A0B3E">
        <w:t>s</w:t>
      </w:r>
      <w:r>
        <w:t xml:space="preserve"> only to refute false beliefs (</w:t>
      </w:r>
      <w:r w:rsidRPr="007A0B3E">
        <w:rPr>
          <w:i/>
          <w:iCs/>
        </w:rPr>
        <w:t>in Parm</w:t>
      </w:r>
      <w:r>
        <w:t xml:space="preserve">. 654.11–13). The second kind seems to include both </w:t>
      </w:r>
      <w:r w:rsidRPr="007C19F0">
        <w:t>Republican</w:t>
      </w:r>
      <w:r>
        <w:t xml:space="preserve"> dialectic and the method of collection and division from the </w:t>
      </w:r>
      <w:r w:rsidRPr="007C19F0">
        <w:rPr>
          <w:i/>
          <w:iCs/>
        </w:rPr>
        <w:t>Phaedrus</w:t>
      </w:r>
      <w:r>
        <w:t xml:space="preserve"> and the </w:t>
      </w:r>
      <w:r w:rsidRPr="007C19F0">
        <w:rPr>
          <w:i/>
          <w:iCs/>
        </w:rPr>
        <w:t>Statesman</w:t>
      </w:r>
      <w:r>
        <w:t>. As Proclus says</w:t>
      </w:r>
      <w:r w:rsidR="00D41821">
        <w:t>:</w:t>
      </w:r>
    </w:p>
    <w:p w14:paraId="2ED6C232" w14:textId="77777777" w:rsidR="00D469DD" w:rsidRDefault="00D469DD" w:rsidP="00D4155A">
      <w:pPr>
        <w:ind w:left="720"/>
      </w:pPr>
      <w:r>
        <w:t>In another form of its activity, dialectic places the mind at the outset of the region of thought where it is most at home, looking at truth itself, ‘sitting on a sacred pedestal’ (</w:t>
      </w:r>
      <w:r w:rsidRPr="00501D53">
        <w:rPr>
          <w:i/>
          <w:iCs/>
        </w:rPr>
        <w:t>Phaedr</w:t>
      </w:r>
      <w:r>
        <w:t xml:space="preserve">. 254b7), which Socrates says unfolds before the mind the whole intelligible world, making its way from Form to Form, until it reaches the very first Form of all, sometimes using analysis, sometimes definition, now demonstrating, now dividing, both moving downwards from above and upwards from below until, having examined in every way the whole nature of the intelligible, it climbs aloft to that which is beyond all being. When it has safely anchored the soul there, it has reached its goal and there will no longer be anything greater to be desired. You could say these are the functions of dialectic spoken of in the </w:t>
      </w:r>
      <w:r w:rsidRPr="009478ED">
        <w:rPr>
          <w:i/>
          <w:iCs/>
        </w:rPr>
        <w:t>Phaedrus</w:t>
      </w:r>
      <w:r>
        <w:t xml:space="preserve"> and in the </w:t>
      </w:r>
      <w:r w:rsidRPr="00586DCA">
        <w:rPr>
          <w:i/>
          <w:iCs/>
        </w:rPr>
        <w:t>Sophist</w:t>
      </w:r>
      <w:r>
        <w:t>, the former dividing dialectical procedures into two, the latter into four parts. (</w:t>
      </w:r>
      <w:r w:rsidRPr="00501D53">
        <w:rPr>
          <w:i/>
          <w:iCs/>
        </w:rPr>
        <w:t>in P</w:t>
      </w:r>
      <w:r>
        <w:rPr>
          <w:i/>
          <w:iCs/>
        </w:rPr>
        <w:t>a</w:t>
      </w:r>
      <w:r w:rsidRPr="00501D53">
        <w:rPr>
          <w:i/>
          <w:iCs/>
        </w:rPr>
        <w:t>rm</w:t>
      </w:r>
      <w:r>
        <w:t>.</w:t>
      </w:r>
      <w:r w:rsidRPr="00501D53">
        <w:t xml:space="preserve"> 653.1</w:t>
      </w:r>
      <w:r>
        <w:t>8</w:t>
      </w:r>
      <w:r w:rsidRPr="00501D53">
        <w:t>–33</w:t>
      </w:r>
      <w:r>
        <w:t>, trans Dillon and Morrow)</w:t>
      </w:r>
      <w:r>
        <w:rPr>
          <w:rStyle w:val="FootnoteReference"/>
        </w:rPr>
        <w:footnoteReference w:id="12"/>
      </w:r>
    </w:p>
    <w:p w14:paraId="7FE4B514" w14:textId="33EF2A25" w:rsidR="00D469DD" w:rsidRPr="00586DCA" w:rsidRDefault="00D469DD">
      <w:r>
        <w:t xml:space="preserve">Steel’s new Oxford Classical Text reveals the extent to which this passage approaches a cento of Platonic passages. The quotation from </w:t>
      </w:r>
      <w:r w:rsidRPr="00586DCA">
        <w:rPr>
          <w:i/>
          <w:iCs/>
        </w:rPr>
        <w:t>Phaedrus</w:t>
      </w:r>
      <w:r>
        <w:t xml:space="preserve"> 247b8 is of course obvious. Steel rightly notes the connection between Proclus’</w:t>
      </w:r>
      <w:r>
        <w:rPr>
          <w:rFonts w:ascii="Silver Humana" w:hAnsi="Silver Humana" w:cs="Silver Humana"/>
          <w:sz w:val="24"/>
          <w:szCs w:val="24"/>
        </w:rPr>
        <w:t xml:space="preserve"> ἅπαν τὸ νοητὸν ἀνελίττειν, δι</w:t>
      </w:r>
      <w:r>
        <w:t>’</w:t>
      </w:r>
      <w:r>
        <w:rPr>
          <w:rFonts w:ascii="Silver Humana" w:hAnsi="Silver Humana" w:cs="Silver Humana"/>
          <w:sz w:val="24"/>
          <w:szCs w:val="24"/>
        </w:rPr>
        <w:t xml:space="preserve"> εἰδῶν ἀεὶ πορευομένην</w:t>
      </w:r>
      <w:r>
        <w:t xml:space="preserve"> and the double use of the same participle at the point where the divine souls survey the realm of Forms in </w:t>
      </w:r>
      <w:r w:rsidRPr="00713642">
        <w:rPr>
          <w:i/>
          <w:iCs/>
        </w:rPr>
        <w:lastRenderedPageBreak/>
        <w:t>Phaedrus</w:t>
      </w:r>
      <w:r>
        <w:t xml:space="preserve"> 247a8–b3</w:t>
      </w:r>
      <w:r>
        <w:rPr>
          <w:rFonts w:ascii="Silver Humana" w:hAnsi="Silver Humana" w:cs="Silver Humana"/>
          <w:sz w:val="24"/>
          <w:szCs w:val="24"/>
        </w:rPr>
        <w:t xml:space="preserve"> ἄκραν ἐπὶ τὴν ὑπουράνιον ἁψῖδα πορεύονται πρὸς ἄναντες, ᾗ δὴ τὰ μὲν θεῶν ὀχήματα ἰσορρόπως εὐήνια ὄντα ῥᾳδίως πορεύεται, τὰ δὲ ἄλλα μόγις</w:t>
      </w:r>
      <w:r>
        <w:t xml:space="preserve">. But Proclus’ </w:t>
      </w:r>
      <w:r>
        <w:rPr>
          <w:rFonts w:ascii="Silver Humana" w:hAnsi="Silver Humana" w:cs="Silver Humana"/>
          <w:sz w:val="24"/>
          <w:szCs w:val="24"/>
        </w:rPr>
        <w:t>δι</w:t>
      </w:r>
      <w:r>
        <w:t>’</w:t>
      </w:r>
      <w:r>
        <w:rPr>
          <w:rFonts w:ascii="Silver Humana" w:hAnsi="Silver Humana" w:cs="Silver Humana"/>
          <w:sz w:val="24"/>
          <w:szCs w:val="24"/>
        </w:rPr>
        <w:t xml:space="preserve"> εἰδῶν ἀεὶ πορευομένην </w:t>
      </w:r>
      <w:r>
        <w:t xml:space="preserve">also echoes the way in which the </w:t>
      </w:r>
      <w:r w:rsidRPr="00F82694">
        <w:rPr>
          <w:i/>
          <w:iCs/>
        </w:rPr>
        <w:t>Republic</w:t>
      </w:r>
      <w:r>
        <w:t xml:space="preserve"> describes dialectic as ‘moving by means of Forms, through Forms, to its conclusions which are Forms’ (511c1–2, trans. Grube</w:t>
      </w:r>
      <w:r>
        <w:rPr>
          <w:rFonts w:ascii="Silver Humana" w:hAnsi="Silver Humana" w:cs="Silver Humana"/>
          <w:sz w:val="24"/>
          <w:szCs w:val="24"/>
        </w:rPr>
        <w:t xml:space="preserve"> ἀλλ</w:t>
      </w:r>
      <w:r>
        <w:t>’</w:t>
      </w:r>
      <w:r>
        <w:rPr>
          <w:rFonts w:ascii="Silver Humana" w:hAnsi="Silver Humana" w:cs="Silver Humana"/>
          <w:sz w:val="24"/>
          <w:szCs w:val="24"/>
        </w:rPr>
        <w:t xml:space="preserve"> εἴδεσιν αὐτοῖς δι</w:t>
      </w:r>
      <w:r>
        <w:t>’</w:t>
      </w:r>
      <w:r>
        <w:rPr>
          <w:rFonts w:ascii="Silver Humana" w:hAnsi="Silver Humana" w:cs="Silver Humana"/>
          <w:sz w:val="24"/>
          <w:szCs w:val="24"/>
        </w:rPr>
        <w:t xml:space="preserve"> αὐτῶν εἰς αὐτά, καὶ τελευτᾷ εἰς εἴδη.</w:t>
      </w:r>
      <w:r>
        <w:t xml:space="preserve">) Now in Proclus’ passage, this movement extends upward rather than downward. So that instead of </w:t>
      </w:r>
      <w:r>
        <w:rPr>
          <w:rFonts w:ascii="Silver Humana" w:hAnsi="Silver Humana" w:cs="Silver Humana"/>
          <w:sz w:val="24"/>
          <w:szCs w:val="24"/>
        </w:rPr>
        <w:t>τελευτᾷ εἰς εἴδη</w:t>
      </w:r>
      <w:r>
        <w:t xml:space="preserve">, dialectic arrives at what is </w:t>
      </w:r>
      <w:r w:rsidRPr="00F82694">
        <w:rPr>
          <w:i/>
          <w:iCs/>
        </w:rPr>
        <w:t>first</w:t>
      </w:r>
      <w:r>
        <w:t xml:space="preserve"> (</w:t>
      </w:r>
      <w:r>
        <w:rPr>
          <w:rFonts w:ascii="Silver Humana" w:hAnsi="Silver Humana" w:cs="Silver Humana"/>
          <w:sz w:val="24"/>
          <w:szCs w:val="24"/>
        </w:rPr>
        <w:t>τὸ πρῶτον</w:t>
      </w:r>
      <w:r>
        <w:t xml:space="preserve">). And dialectic’s omni-directional capacity is stressed in </w:t>
      </w:r>
      <w:r>
        <w:rPr>
          <w:rFonts w:ascii="Silver Humana" w:hAnsi="Silver Humana" w:cs="Silver Humana"/>
          <w:sz w:val="24"/>
          <w:szCs w:val="24"/>
        </w:rPr>
        <w:t>ἄνωθέν τε καὶ κάτωθεν</w:t>
      </w:r>
      <w:r>
        <w:t xml:space="preserve">. So, it goes </w:t>
      </w:r>
      <w:r w:rsidRPr="00586DCA">
        <w:rPr>
          <w:i/>
          <w:iCs/>
        </w:rPr>
        <w:t>through</w:t>
      </w:r>
      <w:r>
        <w:t xml:space="preserve"> Forms to Forms, but also arises through </w:t>
      </w:r>
      <w:r w:rsidR="007A0B3E">
        <w:t>F</w:t>
      </w:r>
      <w:r>
        <w:t xml:space="preserve">orms (perhaps by seeing many kinds as unified by their genus) and descends through </w:t>
      </w:r>
      <w:r w:rsidR="007A0B3E">
        <w:t>F</w:t>
      </w:r>
      <w:r>
        <w:t xml:space="preserve">orms (dividing a genus into its parts). Arising to the first principle and descending again it ‘analyses, defines, demonstrates, and divides’ along the way. Analysing, dividing and defining are plausibly activities associated with the method of collection and division from the later dialogues. But in the next sentence we find </w:t>
      </w:r>
      <w:r>
        <w:rPr>
          <w:rFonts w:ascii="Silver Humana" w:hAnsi="Silver Humana" w:cs="Silver Humana"/>
          <w:sz w:val="24"/>
          <w:szCs w:val="24"/>
        </w:rPr>
        <w:t>διερευνωμένη τὴν τῶν νοητῶν φύσιν εἰς τὸ ἐπέκεινα πάντων ἀναδράμῃ τῶν ὄντων</w:t>
      </w:r>
      <w:r>
        <w:t xml:space="preserve"> which clearly recalls the Form of the Good in </w:t>
      </w:r>
      <w:r w:rsidRPr="0027740D">
        <w:rPr>
          <w:i/>
          <w:iCs/>
        </w:rPr>
        <w:t>Republic</w:t>
      </w:r>
      <w:r>
        <w:t xml:space="preserve"> 509b9 (</w:t>
      </w:r>
      <w:r>
        <w:rPr>
          <w:rFonts w:ascii="Silver Humana" w:hAnsi="Silver Humana" w:cs="Silver Humana"/>
          <w:sz w:val="24"/>
          <w:szCs w:val="24"/>
        </w:rPr>
        <w:t>ἐπέκεινα τῆς οὐσίας</w:t>
      </w:r>
      <w:r>
        <w:t xml:space="preserve">). The soul is finally ‘safely anchored’ here and Proclus’ language in relation to this anchoring </w:t>
      </w:r>
      <w:r w:rsidRPr="001F1288">
        <w:rPr>
          <w:i/>
          <w:iCs/>
        </w:rPr>
        <w:t>may</w:t>
      </w:r>
      <w:r>
        <w:t xml:space="preserve"> function to suggest a confluence between Platonic dialectic and the practice of theurgy.</w:t>
      </w:r>
      <w:r>
        <w:rPr>
          <w:rStyle w:val="FootnoteReference"/>
        </w:rPr>
        <w:footnoteReference w:id="13"/>
      </w:r>
      <w:r>
        <w:t xml:space="preserve"> So Proclus’ second form of Platonic dialectic – the kind that</w:t>
      </w:r>
      <w:r>
        <w:rPr>
          <w:rFonts w:ascii="Silver Humana" w:hAnsi="Silver Humana" w:cs="Silver Humana"/>
          <w:sz w:val="24"/>
          <w:szCs w:val="24"/>
        </w:rPr>
        <w:t xml:space="preserve"> μόνον τὸ ἀληθὲς ἐκφαινούσης</w:t>
      </w:r>
      <w:r>
        <w:t xml:space="preserve"> (</w:t>
      </w:r>
      <w:r w:rsidRPr="00586DCA">
        <w:rPr>
          <w:i/>
          <w:iCs/>
        </w:rPr>
        <w:t>in Parm</w:t>
      </w:r>
      <w:r>
        <w:t xml:space="preserve">. 654.17) – seems to combine what is described in the </w:t>
      </w:r>
      <w:r w:rsidRPr="007A0B3E">
        <w:rPr>
          <w:i/>
          <w:iCs/>
        </w:rPr>
        <w:t>Republic</w:t>
      </w:r>
      <w:r>
        <w:t xml:space="preserve"> with collection and division</w:t>
      </w:r>
      <w:r w:rsidR="001F1288">
        <w:t xml:space="preserve"> and,</w:t>
      </w:r>
      <w:r>
        <w:t xml:space="preserve"> </w:t>
      </w:r>
      <w:r w:rsidR="001F1288">
        <w:t>p</w:t>
      </w:r>
      <w:r>
        <w:t>erhaps</w:t>
      </w:r>
      <w:r w:rsidR="001F1288">
        <w:t>,</w:t>
      </w:r>
      <w:r>
        <w:t xml:space="preserve"> even theurgical practice.</w:t>
      </w:r>
      <w:r w:rsidR="001F1288">
        <w:rPr>
          <w:rStyle w:val="FootnoteReference"/>
        </w:rPr>
        <w:footnoteReference w:id="14"/>
      </w:r>
      <w:r>
        <w:t xml:space="preserve"> So the truth-revealing kind of dialectic is capacious indeed. Where modern interpreters have found a puzzle about how Plato’s seemingly different characterizations of fit together, Proclus supposes that these are simply different perspectives on a single movement of thought.</w:t>
      </w:r>
    </w:p>
    <w:p w14:paraId="0403B3F5" w14:textId="77777777" w:rsidR="00D469DD" w:rsidRDefault="00D469DD">
      <w:r>
        <w:t xml:space="preserve">Proclus’ passage quoted above is not really an </w:t>
      </w:r>
      <w:r>
        <w:rPr>
          <w:i/>
          <w:iCs/>
        </w:rPr>
        <w:t xml:space="preserve">interpretive </w:t>
      </w:r>
      <w:r w:rsidRPr="002660EC">
        <w:rPr>
          <w:i/>
          <w:iCs/>
        </w:rPr>
        <w:t>argument</w:t>
      </w:r>
      <w:r>
        <w:t xml:space="preserve"> that this unified conception of truth-revealing dialectic is present across Plato’s dialogues. The rich and rapid-fire string of associations or near quotations seems intended to </w:t>
      </w:r>
      <w:r w:rsidRPr="002660EC">
        <w:rPr>
          <w:i/>
          <w:iCs/>
        </w:rPr>
        <w:t>reveal</w:t>
      </w:r>
      <w:r>
        <w:t xml:space="preserve"> a unity of method between </w:t>
      </w:r>
      <w:r w:rsidRPr="002660EC">
        <w:rPr>
          <w:i/>
          <w:iCs/>
        </w:rPr>
        <w:t>Republic</w:t>
      </w:r>
      <w:r>
        <w:t xml:space="preserve">, on the one hand, and </w:t>
      </w:r>
      <w:r w:rsidRPr="002660EC">
        <w:rPr>
          <w:i/>
          <w:iCs/>
        </w:rPr>
        <w:t>Phaedrus</w:t>
      </w:r>
      <w:r w:rsidRPr="002660EC">
        <w:t xml:space="preserve">, </w:t>
      </w:r>
      <w:r w:rsidRPr="002660EC">
        <w:rPr>
          <w:i/>
          <w:iCs/>
        </w:rPr>
        <w:t>Statesman</w:t>
      </w:r>
      <w:r>
        <w:t xml:space="preserve"> and </w:t>
      </w:r>
      <w:r w:rsidRPr="002660EC">
        <w:rPr>
          <w:i/>
          <w:iCs/>
        </w:rPr>
        <w:t>Sophist</w:t>
      </w:r>
      <w:r>
        <w:t xml:space="preserve"> on the other. An audience that knows Plato’s dialogues sufficiently well would literally </w:t>
      </w:r>
      <w:r w:rsidRPr="001D6A9F">
        <w:rPr>
          <w:i/>
          <w:iCs/>
        </w:rPr>
        <w:t>hear</w:t>
      </w:r>
      <w:r>
        <w:t xml:space="preserve"> the presence of all these dialogues in Proclus’ description of this species of dialectic. </w:t>
      </w:r>
    </w:p>
    <w:p w14:paraId="1D1B82DE" w14:textId="77777777" w:rsidR="00D469DD" w:rsidRDefault="00D469DD">
      <w:r>
        <w:t xml:space="preserve">In the General Introduction to volume 1 in this series we introduced the notion that our Neoplatonic texts constitute </w:t>
      </w:r>
      <w:r w:rsidRPr="001D6A9F">
        <w:rPr>
          <w:i/>
          <w:iCs/>
        </w:rPr>
        <w:t>performances</w:t>
      </w:r>
      <w:r>
        <w:t xml:space="preserve"> of a distinctively philosophical kind of </w:t>
      </w:r>
      <w:r w:rsidRPr="001D6A9F">
        <w:rPr>
          <w:i/>
          <w:iCs/>
        </w:rPr>
        <w:t>paideia</w:t>
      </w:r>
      <w:r>
        <w:t xml:space="preserve"> or education.</w:t>
      </w:r>
      <w:r>
        <w:rPr>
          <w:rStyle w:val="FootnoteReference"/>
        </w:rPr>
        <w:footnoteReference w:id="15"/>
      </w:r>
      <w:r>
        <w:t xml:space="preserve"> The goal of the educational program from which works like the </w:t>
      </w:r>
      <w:r w:rsidRPr="001D6A9F">
        <w:rPr>
          <w:i/>
          <w:iCs/>
        </w:rPr>
        <w:t>Republic Commentary</w:t>
      </w:r>
      <w:r>
        <w:t xml:space="preserve"> and the </w:t>
      </w:r>
      <w:r w:rsidRPr="001D6A9F">
        <w:rPr>
          <w:i/>
          <w:iCs/>
        </w:rPr>
        <w:t>Parmenides Commentary</w:t>
      </w:r>
      <w:r>
        <w:t xml:space="preserve"> emerged was a condition that surpasses the limitations of discursive thought. As a result, we submit that we should always be attuned to the possibility that a Platonic commentary is showing rather than saying or exhibiting rather than arguing. This seems particularly possible when – as we shall see in our detailed examination of dialectic in the </w:t>
      </w:r>
      <w:r w:rsidRPr="006E7421">
        <w:rPr>
          <w:i/>
          <w:iCs/>
        </w:rPr>
        <w:t>Republic</w:t>
      </w:r>
      <w:r>
        <w:t xml:space="preserve"> in Essay 11 – dialectic’s pathway to the Good lies through subtraction or the stripping away of the plurality of words (</w:t>
      </w:r>
      <w:r w:rsidRPr="006E7421">
        <w:rPr>
          <w:i/>
          <w:iCs/>
        </w:rPr>
        <w:t>in Remp</w:t>
      </w:r>
      <w:r>
        <w:t>. I 285.5–9).</w:t>
      </w:r>
    </w:p>
    <w:p w14:paraId="43782F5A" w14:textId="77777777" w:rsidR="00D469DD" w:rsidRDefault="00D469DD" w:rsidP="006E7421">
      <w:pPr>
        <w:pStyle w:val="Heading2"/>
      </w:pPr>
      <w:r>
        <w:lastRenderedPageBreak/>
        <w:t xml:space="preserve">The Good of the </w:t>
      </w:r>
      <w:r w:rsidRPr="00040B15">
        <w:rPr>
          <w:i/>
          <w:iCs/>
        </w:rPr>
        <w:t>Republic</w:t>
      </w:r>
      <w:r>
        <w:t xml:space="preserve"> and the One of the </w:t>
      </w:r>
      <w:r w:rsidRPr="002D129C">
        <w:rPr>
          <w:i/>
          <w:iCs/>
        </w:rPr>
        <w:t>Parmenides</w:t>
      </w:r>
      <w:r>
        <w:t xml:space="preserve"> in the </w:t>
      </w:r>
      <w:r w:rsidRPr="00040B15">
        <w:rPr>
          <w:i/>
          <w:iCs/>
        </w:rPr>
        <w:t>Platonic Theology</w:t>
      </w:r>
    </w:p>
    <w:p w14:paraId="74BD6C14" w14:textId="7E291DF5" w:rsidR="00D469DD" w:rsidRDefault="00D469DD">
      <w:r>
        <w:t xml:space="preserve">The famous passage at </w:t>
      </w:r>
      <w:r w:rsidRPr="00960148">
        <w:rPr>
          <w:i/>
          <w:iCs/>
        </w:rPr>
        <w:t>Republic</w:t>
      </w:r>
      <w:r>
        <w:t xml:space="preserve"> 509b6 on the transcendence of the Good is regularly used by the Neoplatonists to show that the first principle of all things is hyper-essential</w:t>
      </w:r>
      <w:r w:rsidR="007C0DCE">
        <w:t xml:space="preserve"> or ‘beyond being’</w:t>
      </w:r>
      <w:r>
        <w:t xml:space="preserve">. This is exactly what we find at </w:t>
      </w:r>
      <w:r w:rsidRPr="00960148">
        <w:rPr>
          <w:i/>
          <w:iCs/>
        </w:rPr>
        <w:t>Platonic Theology</w:t>
      </w:r>
      <w:r>
        <w:t xml:space="preserve"> II §4, 32.1ff where Proclus evinces amazement that putative Platonists like Origen could have been so inattentive to Plato’s words as to suppose that the first principle is merely intellective. Once he has set the scene by quoting from the </w:t>
      </w:r>
      <w:r w:rsidRPr="00200056">
        <w:rPr>
          <w:i/>
          <w:iCs/>
        </w:rPr>
        <w:t>Republic</w:t>
      </w:r>
      <w:r>
        <w:t xml:space="preserve"> and working from this to the complete transcendence of the One, Proclus recruits </w:t>
      </w:r>
      <w:r w:rsidRPr="00200056">
        <w:rPr>
          <w:i/>
          <w:iCs/>
        </w:rPr>
        <w:t>Sophist</w:t>
      </w:r>
      <w:r>
        <w:t xml:space="preserve"> 244b-245b to the same purpose – though it is hardly obvious that it makes exactly the same point.</w:t>
      </w:r>
      <w:r>
        <w:rPr>
          <w:rStyle w:val="FootnoteReference"/>
        </w:rPr>
        <w:footnoteReference w:id="16"/>
      </w:r>
      <w:r>
        <w:t xml:space="preserve"> Next, the </w:t>
      </w:r>
      <w:r w:rsidRPr="005134D7">
        <w:rPr>
          <w:i/>
          <w:iCs/>
        </w:rPr>
        <w:t>Philebus</w:t>
      </w:r>
      <w:r>
        <w:t xml:space="preserve"> is made to teach the same lesson with the help of a distinction that figures prominently in Proclus’ Essay 11 on the Good. As we’ll see in more detail in our Introduction to Essay 11, Proclus distinguishes between the Good as first principle, the Good as a Form and the Good in or for us.</w:t>
      </w:r>
      <w:r>
        <w:rPr>
          <w:rStyle w:val="FootnoteReference"/>
        </w:rPr>
        <w:footnoteReference w:id="17"/>
      </w:r>
      <w:r>
        <w:t xml:space="preserve"> The </w:t>
      </w:r>
      <w:r w:rsidRPr="00CC3F62">
        <w:rPr>
          <w:i/>
          <w:iCs/>
        </w:rPr>
        <w:t>Philebus</w:t>
      </w:r>
      <w:r>
        <w:t xml:space="preserve"> passage is made to testify to the transcendence of the Good as first principle by analogical reasoning. The </w:t>
      </w:r>
      <w:r w:rsidRPr="00246ACD">
        <w:rPr>
          <w:i/>
          <w:iCs/>
        </w:rPr>
        <w:t>Philebus</w:t>
      </w:r>
      <w:r>
        <w:t xml:space="preserve"> (allegedly) shows that the good for us is not the same as intellect or </w:t>
      </w:r>
      <w:r w:rsidRPr="00CC3F62">
        <w:rPr>
          <w:i/>
          <w:iCs/>
        </w:rPr>
        <w:t>nous</w:t>
      </w:r>
      <w:r>
        <w:t xml:space="preserve"> – any more than it is pleasure on its own. But if our good is something beyond intellect in </w:t>
      </w:r>
      <w:r w:rsidRPr="007C0DCE">
        <w:rPr>
          <w:i/>
          <w:iCs/>
        </w:rPr>
        <w:t>our</w:t>
      </w:r>
      <w:r>
        <w:t xml:space="preserve"> case, the same reasoning shows that</w:t>
      </w:r>
      <w:r w:rsidR="007C0DCE">
        <w:t>, in ranks of the real,</w:t>
      </w:r>
      <w:r>
        <w:t xml:space="preserve"> the Good is something beyond even the First Intellect.</w:t>
      </w:r>
      <w:r>
        <w:rPr>
          <w:rStyle w:val="FootnoteReference"/>
        </w:rPr>
        <w:footnoteReference w:id="18"/>
      </w:r>
      <w:r>
        <w:t xml:space="preserve"> Finally, Proclus adds the testimony of the first hypothesis of the </w:t>
      </w:r>
      <w:r w:rsidRPr="00CC3F62">
        <w:rPr>
          <w:i/>
          <w:iCs/>
        </w:rPr>
        <w:t>Parmenides</w:t>
      </w:r>
      <w:r>
        <w:t xml:space="preserve"> to the case against Platonists like Origen. This teaches the lesson ‘most clearly’ (</w:t>
      </w:r>
      <w:r w:rsidRPr="00CC3F62">
        <w:rPr>
          <w:i/>
          <w:iCs/>
        </w:rPr>
        <w:t>saphestata</w:t>
      </w:r>
      <w:r>
        <w:t xml:space="preserve">). </w:t>
      </w:r>
    </w:p>
    <w:p w14:paraId="21E83A0C" w14:textId="77777777" w:rsidR="00D469DD" w:rsidRDefault="00D469DD">
      <w:r>
        <w:t xml:space="preserve">But if the </w:t>
      </w:r>
      <w:r w:rsidRPr="00CC3F62">
        <w:rPr>
          <w:i/>
          <w:iCs/>
        </w:rPr>
        <w:t>Republic</w:t>
      </w:r>
      <w:r>
        <w:t xml:space="preserve"> and the </w:t>
      </w:r>
      <w:r w:rsidRPr="00CC3F62">
        <w:rPr>
          <w:i/>
          <w:iCs/>
        </w:rPr>
        <w:t>Parmenides</w:t>
      </w:r>
      <w:r>
        <w:t xml:space="preserve"> form the bookends of the case for the hyper-essential transcendence of the first principle in </w:t>
      </w:r>
      <w:r w:rsidRPr="00CC3F62">
        <w:rPr>
          <w:i/>
          <w:iCs/>
        </w:rPr>
        <w:t>Platonic Theology</w:t>
      </w:r>
      <w:r>
        <w:t xml:space="preserve"> II §4, one might well wonder why the first first dialogue calls it the Good and the other dialogue calls it the One. One answer is that the dialogues differ methodologically. The </w:t>
      </w:r>
      <w:r w:rsidRPr="00B463DE">
        <w:rPr>
          <w:i/>
          <w:iCs/>
        </w:rPr>
        <w:t>Parmenides</w:t>
      </w:r>
      <w:r>
        <w:t xml:space="preserve"> teaches us through the method of negation, while the </w:t>
      </w:r>
      <w:r w:rsidRPr="00B463DE">
        <w:rPr>
          <w:i/>
          <w:iCs/>
        </w:rPr>
        <w:t>Republic</w:t>
      </w:r>
      <w:r>
        <w:t xml:space="preserve"> instructs through analogy (</w:t>
      </w:r>
      <w:r w:rsidRPr="00B463DE">
        <w:rPr>
          <w:i/>
          <w:iCs/>
        </w:rPr>
        <w:t>Plat. Theol</w:t>
      </w:r>
      <w:r>
        <w:t>. II §5, 37.12–19). Proclus’ own answer to this question</w:t>
      </w:r>
      <w:r>
        <w:rPr>
          <w:rStyle w:val="FootnoteReference"/>
        </w:rPr>
        <w:footnoteReference w:id="19"/>
      </w:r>
      <w:r>
        <w:t xml:space="preserve"> relies on the complementary but opposite quasi-processes of procession and reversion. (These are, of course, quasi-processes since they take place among both beings that are in time and those that are eternal and, moreover, even among the time-bound beings, these quasi-processes are without beginning or end.) The </w:t>
      </w:r>
      <w:r w:rsidRPr="00521754">
        <w:rPr>
          <w:i/>
          <w:iCs/>
        </w:rPr>
        <w:t>Parmenides</w:t>
      </w:r>
      <w:r>
        <w:t xml:space="preserve"> ‘reveals’ that which is beyond everything in the mode of procession. The </w:t>
      </w:r>
      <w:r w:rsidRPr="00521754">
        <w:rPr>
          <w:i/>
          <w:iCs/>
        </w:rPr>
        <w:t>Republic</w:t>
      </w:r>
      <w:r>
        <w:t>, by contrast, ‘represents’ the first principle through the mode of reversion through which all things go back to it.</w:t>
      </w:r>
      <w:r>
        <w:rPr>
          <w:rStyle w:val="FootnoteReference"/>
        </w:rPr>
        <w:footnoteReference w:id="20"/>
      </w:r>
      <w:r>
        <w:t xml:space="preserve"> Proclus’ choice of verbs here is careful: neither dialogue can describe or otherwise give a </w:t>
      </w:r>
      <w:r w:rsidRPr="006078FF">
        <w:rPr>
          <w:i/>
          <w:iCs/>
        </w:rPr>
        <w:t>logos</w:t>
      </w:r>
      <w:r>
        <w:t xml:space="preserve"> of that which lies beyond all thought and all </w:t>
      </w:r>
      <w:r w:rsidRPr="006078FF">
        <w:rPr>
          <w:i/>
          <w:iCs/>
        </w:rPr>
        <w:t>logos</w:t>
      </w:r>
      <w:r>
        <w:t>. The method of analogy that takes the perspective of reversion is risky. In Essay 11, Proclus reminds the audience that taking analogies too far will not only mislead, but carry us off into sophistry (</w:t>
      </w:r>
      <w:r w:rsidRPr="006078FF">
        <w:rPr>
          <w:i/>
          <w:iCs/>
        </w:rPr>
        <w:t>in Remp</w:t>
      </w:r>
      <w:r>
        <w:t>. I 274.24) and false beliefs (</w:t>
      </w:r>
      <w:r w:rsidRPr="007232F4">
        <w:rPr>
          <w:i/>
          <w:iCs/>
        </w:rPr>
        <w:t>Plat. Theol</w:t>
      </w:r>
      <w:r>
        <w:t>. II 39.6–9). They give us only an indication (</w:t>
      </w:r>
      <w:r w:rsidRPr="007232F4">
        <w:rPr>
          <w:i/>
          <w:iCs/>
        </w:rPr>
        <w:t>endeixis</w:t>
      </w:r>
      <w:r>
        <w:t xml:space="preserve">) of similarity. </w:t>
      </w:r>
    </w:p>
    <w:p w14:paraId="65079EB9" w14:textId="77777777" w:rsidR="00D469DD" w:rsidRDefault="00D469DD" w:rsidP="00A35A57">
      <w:pPr>
        <w:pStyle w:val="Heading1"/>
      </w:pPr>
      <w:r>
        <w:lastRenderedPageBreak/>
        <w:t>Conclusion</w:t>
      </w:r>
    </w:p>
    <w:p w14:paraId="7060FA2B" w14:textId="77777777" w:rsidR="00D469DD" w:rsidRDefault="00D469DD">
      <w:r>
        <w:t xml:space="preserve">We believe that both examples of Proclus’ exegesis of the </w:t>
      </w:r>
      <w:r w:rsidRPr="00A30F1E">
        <w:rPr>
          <w:i/>
          <w:iCs/>
        </w:rPr>
        <w:t>Republic</w:t>
      </w:r>
      <w:r>
        <w:t xml:space="preserve"> outside the context of the </w:t>
      </w:r>
      <w:r w:rsidRPr="00C83736">
        <w:rPr>
          <w:i/>
          <w:iCs/>
        </w:rPr>
        <w:t>Republic Commentary</w:t>
      </w:r>
      <w:r>
        <w:t xml:space="preserve"> highlight the </w:t>
      </w:r>
      <w:r w:rsidRPr="00A35A57">
        <w:t>performative</w:t>
      </w:r>
      <w:r>
        <w:t xml:space="preserve"> aspect of Neoplatonic interpretation. In the former, Proclus’ audience can literally hear the unity of collection and division with Republican dialectic through the description of the ‘truth-revealing’ form of dialectic knitted together from various Platonic passages. The unified character of dialectic between the </w:t>
      </w:r>
      <w:r w:rsidRPr="00C83736">
        <w:rPr>
          <w:i/>
          <w:iCs/>
        </w:rPr>
        <w:t>Republic</w:t>
      </w:r>
      <w:r>
        <w:t xml:space="preserve"> and the </w:t>
      </w:r>
      <w:r w:rsidRPr="00C83736">
        <w:rPr>
          <w:i/>
          <w:iCs/>
        </w:rPr>
        <w:t>Phaedrus</w:t>
      </w:r>
      <w:r>
        <w:t xml:space="preserve"> is attested to by the cento constructed from both dialogues. In the second example, Proclus acknowledges the limits of saying and counsels us on the proper use of showing. But what is done – indeed what </w:t>
      </w:r>
      <w:r w:rsidRPr="00C83736">
        <w:rPr>
          <w:i/>
          <w:iCs/>
        </w:rPr>
        <w:t>can</w:t>
      </w:r>
      <w:r>
        <w:t xml:space="preserve"> be done – in his exegesis of the analogy of the Sun but show? We encourage the readers of this first complete English translation of the </w:t>
      </w:r>
      <w:r w:rsidRPr="00346877">
        <w:rPr>
          <w:i/>
          <w:iCs/>
        </w:rPr>
        <w:t xml:space="preserve">Republic Commentary </w:t>
      </w:r>
      <w:r>
        <w:t xml:space="preserve">to approach this text with different questions in mind. Perhaps it is more fruitful to ask, ‘How is pagan Platonism </w:t>
      </w:r>
      <w:r w:rsidRPr="00A35A57">
        <w:rPr>
          <w:i/>
          <w:iCs/>
        </w:rPr>
        <w:t>being performed</w:t>
      </w:r>
      <w:r>
        <w:t xml:space="preserve"> in Proclus’ work?’ than it is to ask, ‘Is Proclus’ reading of Plato’s dialogue correct?’ or ‘Is it wholly consistent with his remarks on Plato elsewhere?’ In this way, we come closer to situating the works of the Neoplatonists in the lived context from which they emerged: as part of an effort to achieve – with one’s fellow Platonists – contact with the divine.</w:t>
      </w:r>
    </w:p>
    <w:p w14:paraId="536A3117" w14:textId="77777777" w:rsidR="00D469DD" w:rsidRDefault="00D469DD"/>
    <w:sectPr w:rsidR="00D46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9A4C" w14:textId="77777777" w:rsidR="000D00B3" w:rsidRDefault="000D00B3" w:rsidP="00D469DD">
      <w:pPr>
        <w:spacing w:after="0" w:line="240" w:lineRule="auto"/>
      </w:pPr>
      <w:r>
        <w:separator/>
      </w:r>
    </w:p>
  </w:endnote>
  <w:endnote w:type="continuationSeparator" w:id="0">
    <w:p w14:paraId="1CF25A81" w14:textId="77777777" w:rsidR="000D00B3" w:rsidRDefault="000D00B3" w:rsidP="00D4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lver Humana">
    <w:panose1 w:val="020B0402000000000000"/>
    <w:charset w:val="00"/>
    <w:family w:val="swiss"/>
    <w:pitch w:val="variable"/>
    <w:sig w:usb0="000002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CF53" w14:textId="77777777" w:rsidR="000D00B3" w:rsidRDefault="000D00B3" w:rsidP="00D469DD">
      <w:pPr>
        <w:spacing w:after="0" w:line="240" w:lineRule="auto"/>
      </w:pPr>
      <w:r>
        <w:separator/>
      </w:r>
    </w:p>
  </w:footnote>
  <w:footnote w:type="continuationSeparator" w:id="0">
    <w:p w14:paraId="019BA77D" w14:textId="77777777" w:rsidR="000D00B3" w:rsidRDefault="000D00B3" w:rsidP="00D469DD">
      <w:pPr>
        <w:spacing w:after="0" w:line="240" w:lineRule="auto"/>
      </w:pPr>
      <w:r>
        <w:continuationSeparator/>
      </w:r>
    </w:p>
  </w:footnote>
  <w:footnote w:id="1">
    <w:p w14:paraId="365B06DD" w14:textId="77777777" w:rsidR="00D469DD" w:rsidRDefault="00D469DD">
      <w:pPr>
        <w:pStyle w:val="FootnoteText"/>
      </w:pPr>
      <w:r>
        <w:rPr>
          <w:rStyle w:val="FootnoteReference"/>
        </w:rPr>
        <w:footnoteRef/>
      </w:r>
      <w:r>
        <w:t xml:space="preserve"> </w:t>
      </w:r>
      <w:r>
        <w:rPr>
          <w:noProof/>
        </w:rPr>
        <w:t>Baltzly, Finamore and Miles (2018)</w:t>
      </w:r>
    </w:p>
  </w:footnote>
  <w:footnote w:id="2">
    <w:p w14:paraId="5D23109E" w14:textId="77777777" w:rsidR="00D469DD" w:rsidRDefault="00D469DD">
      <w:pPr>
        <w:pStyle w:val="FootnoteText"/>
      </w:pPr>
      <w:r>
        <w:rPr>
          <w:rStyle w:val="FootnoteReference"/>
        </w:rPr>
        <w:footnoteRef/>
      </w:r>
      <w:r>
        <w:t xml:space="preserve"> For references to the previous literature defending the ‘portmanteau’ understanding of the nature of Proclus’ </w:t>
      </w:r>
      <w:r w:rsidRPr="00EF236A">
        <w:rPr>
          <w:i/>
          <w:iCs/>
        </w:rPr>
        <w:t>Republic Commentary</w:t>
      </w:r>
      <w:r>
        <w:t xml:space="preserve">, see volume 1 and </w:t>
      </w:r>
      <w:r>
        <w:rPr>
          <w:noProof/>
        </w:rPr>
        <w:t>Sheppard (2013)</w:t>
      </w:r>
      <w:r>
        <w:t>.</w:t>
      </w:r>
    </w:p>
  </w:footnote>
  <w:footnote w:id="3">
    <w:p w14:paraId="2541706A" w14:textId="77777777" w:rsidR="00D469DD" w:rsidRDefault="00D469DD">
      <w:pPr>
        <w:pStyle w:val="FootnoteText"/>
      </w:pPr>
      <w:r>
        <w:rPr>
          <w:rStyle w:val="FootnoteReference"/>
        </w:rPr>
        <w:footnoteRef/>
      </w:r>
      <w:r>
        <w:t xml:space="preserve"> Prominent examples of this literature include </w:t>
      </w:r>
      <w:r>
        <w:rPr>
          <w:noProof/>
        </w:rPr>
        <w:t>Adam (1891)</w:t>
      </w:r>
      <w:r>
        <w:t xml:space="preserve"> and </w:t>
      </w:r>
      <w:r>
        <w:rPr>
          <w:noProof/>
        </w:rPr>
        <w:t>Diès (1936)</w:t>
      </w:r>
      <w:r>
        <w:t>.</w:t>
      </w:r>
    </w:p>
  </w:footnote>
  <w:footnote w:id="4">
    <w:p w14:paraId="5A826561" w14:textId="77777777" w:rsidR="00D469DD" w:rsidRDefault="00D469DD" w:rsidP="0046649A">
      <w:pPr>
        <w:pStyle w:val="FootnoteText"/>
      </w:pPr>
      <w:r>
        <w:rPr>
          <w:rStyle w:val="FootnoteReference"/>
        </w:rPr>
        <w:footnoteRef/>
      </w:r>
      <w:r>
        <w:t xml:space="preserve"> Modern  readers of Plato’s </w:t>
      </w:r>
      <w:r w:rsidRPr="00940AD5">
        <w:rPr>
          <w:i/>
          <w:iCs/>
        </w:rPr>
        <w:t>Republic</w:t>
      </w:r>
      <w:r>
        <w:t xml:space="preserve"> may well be scratching their heads at this point: ‘The speech of the Muses?’ This episode in book VIII 545e–47a does not now attract much interpretive attention. In it, Socrates turns to the Muses to tell the assembled party ‘how dissension first broke out’ among the Guardians in such a way as to lead to the first stage of political decline: from the ideal constitutition to timocracy. It is they who narrate the details of the notorious obscure ‘nuptial number.’</w:t>
      </w:r>
    </w:p>
  </w:footnote>
  <w:footnote w:id="5">
    <w:p w14:paraId="57781008" w14:textId="56FF45C5" w:rsidR="00D469DD" w:rsidRDefault="00D469DD">
      <w:pPr>
        <w:pStyle w:val="FootnoteText"/>
      </w:pPr>
      <w:r>
        <w:rPr>
          <w:rStyle w:val="FootnoteReference"/>
        </w:rPr>
        <w:footnoteRef/>
      </w:r>
      <w:r>
        <w:t xml:space="preserve"> Cf. Hermias </w:t>
      </w:r>
      <w:r w:rsidRPr="00CF2C44">
        <w:rPr>
          <w:i/>
          <w:iCs/>
        </w:rPr>
        <w:t>in Phdr</w:t>
      </w:r>
      <w:r>
        <w:t xml:space="preserve">. 59.1 </w:t>
      </w:r>
      <w:r>
        <w:rPr>
          <w:noProof/>
        </w:rPr>
        <w:t>Lucarini and Moreschini (2012)</w:t>
      </w:r>
      <w:r>
        <w:t xml:space="preserve"> where </w:t>
      </w:r>
      <w:r w:rsidR="00C5732D">
        <w:t xml:space="preserve">Proclus’ friend and classmate, </w:t>
      </w:r>
      <w:r>
        <w:t>Hermias</w:t>
      </w:r>
      <w:r w:rsidR="00C5732D">
        <w:t>,</w:t>
      </w:r>
      <w:r>
        <w:t xml:space="preserve"> takes very seriously that Socrates is verging on being possessed by the Nymphs at </w:t>
      </w:r>
      <w:r w:rsidRPr="00CF2C44">
        <w:rPr>
          <w:i/>
          <w:iCs/>
        </w:rPr>
        <w:t>Phdr</w:t>
      </w:r>
      <w:r>
        <w:t xml:space="preserve">. 238c. </w:t>
      </w:r>
    </w:p>
  </w:footnote>
  <w:footnote w:id="6">
    <w:p w14:paraId="7570CE5A" w14:textId="61BAC0D9" w:rsidR="00C5732D" w:rsidRDefault="00C5732D">
      <w:pPr>
        <w:pStyle w:val="FootnoteText"/>
      </w:pPr>
      <w:r>
        <w:rPr>
          <w:rStyle w:val="FootnoteReference"/>
        </w:rPr>
        <w:footnoteRef/>
      </w:r>
      <w:r>
        <w:t xml:space="preserve"> </w:t>
      </w:r>
      <w:r w:rsidRPr="00876B74">
        <w:t>Cette IX</w:t>
      </w:r>
      <w:r w:rsidRPr="00876B74">
        <w:rPr>
          <w:vertAlign w:val="superscript"/>
        </w:rPr>
        <w:t>e</w:t>
      </w:r>
      <w:r w:rsidRPr="00876B74">
        <w:t xml:space="preserve"> Dissertation ne peut donc être regardée comme un simple appendice à la précédente (on n'aurait en ce cas que la contribution de Théodore et l'objection tirée de la comparaison avec les </w:t>
      </w:r>
      <w:r w:rsidRPr="00876B74">
        <w:rPr>
          <w:i/>
          <w:iCs/>
        </w:rPr>
        <w:t>Lois</w:t>
      </w:r>
      <w:r w:rsidRPr="00876B74">
        <w:t xml:space="preserve"> 256.2 </w:t>
      </w:r>
      <w:r>
        <w:t>s</w:t>
      </w:r>
      <w:r w:rsidRPr="00876B74">
        <w:t>.</w:t>
      </w:r>
      <w:r>
        <w:t xml:space="preserve"> + </w:t>
      </w:r>
      <w:r w:rsidRPr="00876B74">
        <w:t xml:space="preserve">256.15-257.6): il faut la tenir pour une nouvelle dissertation sur le même sujet, peut-être composée longtemps après la précédente. Et ceci prouve, dès lors, que le Commentaire sur la </w:t>
      </w:r>
      <w:r w:rsidRPr="00B1275B">
        <w:rPr>
          <w:i/>
          <w:iCs/>
        </w:rPr>
        <w:t>République</w:t>
      </w:r>
      <w:r w:rsidRPr="00876B74">
        <w:t xml:space="preserve"> n'est pas une suite continue de leçons formant un même cours selon qu'elles ont été données dans l'ordre chronologique, mais plutôt un recueil d'essais, dont le seul trait commun est qu'ils ont tous pour objet la </w:t>
      </w:r>
      <w:r w:rsidRPr="00B1275B">
        <w:rPr>
          <w:i/>
          <w:iCs/>
        </w:rPr>
        <w:t>Republique</w:t>
      </w:r>
      <w:r w:rsidRPr="00876B74">
        <w:t>.</w:t>
      </w:r>
      <w:r>
        <w:t xml:space="preserve"> </w:t>
      </w:r>
      <w:r>
        <w:t xml:space="preserve">Festugiére (1970), </w:t>
      </w:r>
      <w:r>
        <w:t>vol 2, p. 54, n.1)</w:t>
      </w:r>
    </w:p>
  </w:footnote>
  <w:footnote w:id="7">
    <w:p w14:paraId="340BDBEC" w14:textId="77777777" w:rsidR="00D469DD" w:rsidRDefault="00D469DD">
      <w:pPr>
        <w:pStyle w:val="FootnoteText"/>
      </w:pPr>
      <w:r>
        <w:rPr>
          <w:rStyle w:val="FootnoteReference"/>
        </w:rPr>
        <w:footnoteRef/>
      </w:r>
      <w:r>
        <w:t xml:space="preserve"> </w:t>
      </w:r>
      <w:r>
        <w:rPr>
          <w:noProof/>
        </w:rPr>
        <w:t>Taormina (2000)</w:t>
      </w:r>
      <w:r>
        <w:t>.</w:t>
      </w:r>
    </w:p>
  </w:footnote>
  <w:footnote w:id="8">
    <w:p w14:paraId="4600BE7B" w14:textId="77777777" w:rsidR="00D469DD" w:rsidRDefault="00D469DD">
      <w:pPr>
        <w:pStyle w:val="FootnoteText"/>
      </w:pPr>
      <w:r>
        <w:rPr>
          <w:rStyle w:val="FootnoteReference"/>
        </w:rPr>
        <w:footnoteRef/>
      </w:r>
      <w:r>
        <w:t xml:space="preserve"> For a sketch of the contemporary landscape around the topic of dialectic over all the dialogues, see </w:t>
      </w:r>
      <w:r>
        <w:rPr>
          <w:noProof/>
        </w:rPr>
        <w:t>Benson (2006)</w:t>
      </w:r>
      <w:r>
        <w:t xml:space="preserve"> or, more briefly, </w:t>
      </w:r>
      <w:r>
        <w:rPr>
          <w:noProof/>
        </w:rPr>
        <w:t>Baltzly (2012)</w:t>
      </w:r>
      <w:r>
        <w:t xml:space="preserve">. Other reference works treat dialectic in the </w:t>
      </w:r>
      <w:r w:rsidRPr="0047773C">
        <w:rPr>
          <w:i/>
          <w:iCs/>
        </w:rPr>
        <w:t>Republic</w:t>
      </w:r>
      <w:r>
        <w:t xml:space="preserve"> in separate entries from dialectic in, e.g., the </w:t>
      </w:r>
      <w:r w:rsidRPr="00DB4488">
        <w:rPr>
          <w:i/>
          <w:iCs/>
        </w:rPr>
        <w:t>Philebus</w:t>
      </w:r>
      <w:r>
        <w:t xml:space="preserve">. Cf. </w:t>
      </w:r>
      <w:r>
        <w:rPr>
          <w:noProof/>
        </w:rPr>
        <w:t>Fine (2008)</w:t>
      </w:r>
      <w:r>
        <w:t>.</w:t>
      </w:r>
    </w:p>
  </w:footnote>
  <w:footnote w:id="9">
    <w:p w14:paraId="2598550B" w14:textId="77777777" w:rsidR="00D469DD" w:rsidRDefault="00D469DD">
      <w:pPr>
        <w:pStyle w:val="FootnoteText"/>
      </w:pPr>
      <w:r>
        <w:rPr>
          <w:rStyle w:val="FootnoteReference"/>
        </w:rPr>
        <w:footnoteRef/>
      </w:r>
      <w:r>
        <w:t xml:space="preserve"> Perhaps most explicitly at </w:t>
      </w:r>
      <w:r w:rsidRPr="00F24991">
        <w:rPr>
          <w:i/>
          <w:iCs/>
        </w:rPr>
        <w:t>Phdr</w:t>
      </w:r>
      <w:r>
        <w:t>. 266b3–c1</w:t>
      </w:r>
      <w:r w:rsidRPr="00F24991">
        <w:rPr>
          <w:rFonts w:ascii="Silver Humana" w:hAnsi="Silver Humana" w:cs="Silver Humana"/>
        </w:rPr>
        <w:t xml:space="preserve"> Τούτων δὴ ἔγωγε αὐτός τε ἐραστής, ὦ Φαῖδρε, τῶν διαιρέσεων καὶ συναγωγῶν, ἵνα οἷός τε ὦ λέγειν τε καὶ φρονεῖν…. καὶ μέντοι καὶ τοὺς δυναμένους αὐτὸ δρᾶν εἰ μὲν ὀρθῶς ἢ μὴ προσαγορεύω, θεὸς οἶδε, καλῶ δὲ οὖν μέχρι τοῦδε διαλεκτικούς.</w:t>
      </w:r>
    </w:p>
  </w:footnote>
  <w:footnote w:id="10">
    <w:p w14:paraId="60035119" w14:textId="77777777" w:rsidR="00D469DD" w:rsidRDefault="00D469DD">
      <w:pPr>
        <w:pStyle w:val="FootnoteText"/>
      </w:pPr>
      <w:r>
        <w:rPr>
          <w:rStyle w:val="FootnoteReference"/>
        </w:rPr>
        <w:footnoteRef/>
      </w:r>
      <w:r>
        <w:t xml:space="preserve"> Cf. </w:t>
      </w:r>
      <w:r>
        <w:rPr>
          <w:noProof/>
        </w:rPr>
        <w:t>Steel (1997)</w:t>
      </w:r>
      <w:r>
        <w:t>.</w:t>
      </w:r>
    </w:p>
  </w:footnote>
  <w:footnote w:id="11">
    <w:p w14:paraId="7A4B1E92" w14:textId="77777777" w:rsidR="00D469DD" w:rsidRDefault="00D469DD">
      <w:pPr>
        <w:pStyle w:val="FootnoteText"/>
      </w:pPr>
      <w:r>
        <w:rPr>
          <w:rStyle w:val="FootnoteReference"/>
        </w:rPr>
        <w:footnoteRef/>
      </w:r>
      <w:r>
        <w:t xml:space="preserve"> </w:t>
      </w:r>
      <w:r w:rsidRPr="0076575B">
        <w:rPr>
          <w:rFonts w:ascii="Silver Humana" w:hAnsi="Silver Humana" w:cs="Silver Humana"/>
        </w:rPr>
        <w:t>τὴν δὲ Πλάτωνος τὸ ἀκρότατον παρ</w:t>
      </w:r>
      <w:r>
        <w:t>’</w:t>
      </w:r>
      <w:r w:rsidRPr="0076575B">
        <w:rPr>
          <w:rFonts w:ascii="Silver Humana" w:hAnsi="Silver Humana" w:cs="Silver Humana"/>
        </w:rPr>
        <w:t xml:space="preserve"> αὐτῷ λέγεσθαι καὶ καθαρώτατον νοῦ καὶ φρονήσεως, ἐν τοῖς νοητοῖς εἴδεσι τὴν πραγματείαν ἑαυτῆς ἱδρύσασαν καὶ διὰ τούτων χωροῦσαν ἐπ</w:t>
      </w:r>
      <w:r>
        <w:t>’</w:t>
      </w:r>
      <w:r w:rsidRPr="0076575B">
        <w:rPr>
          <w:rFonts w:ascii="Silver Humana" w:hAnsi="Silver Humana" w:cs="Silver Humana"/>
        </w:rPr>
        <w:t xml:space="preserve"> αὐτὸ τὸ ἡγούμενον τοῦ νοητοῦ παντὸς, οὐ πρὸς δόξαν βλέπουσαν ἀνθρώπων, ἀλλ</w:t>
      </w:r>
      <w:r>
        <w:t>’</w:t>
      </w:r>
      <w:r w:rsidRPr="0076575B">
        <w:rPr>
          <w:rFonts w:ascii="Silver Humana" w:hAnsi="Silver Humana" w:cs="Silver Humana"/>
        </w:rPr>
        <w:t xml:space="preserve"> ἐπιστήμῃ περὶ πάντων ἀνελέγκτῳ χρωμένην·</w:t>
      </w:r>
    </w:p>
  </w:footnote>
  <w:footnote w:id="12">
    <w:p w14:paraId="2EE0B5DC" w14:textId="77777777" w:rsidR="00D469DD" w:rsidRPr="00501D53" w:rsidRDefault="00D469DD">
      <w:pPr>
        <w:pStyle w:val="FootnoteText"/>
        <w:rPr>
          <w:rFonts w:ascii="Silver Humana" w:hAnsi="Silver Humana" w:cs="Silver Humana"/>
          <w:sz w:val="24"/>
          <w:szCs w:val="24"/>
        </w:rPr>
      </w:pPr>
      <w:r>
        <w:rPr>
          <w:rStyle w:val="FootnoteReference"/>
        </w:rPr>
        <w:footnoteRef/>
      </w:r>
      <w:r>
        <w:t xml:space="preserve"> </w:t>
      </w:r>
      <w:r>
        <w:rPr>
          <w:rFonts w:ascii="Silver Humana" w:hAnsi="Silver Humana" w:cs="Silver Humana"/>
          <w:sz w:val="24"/>
          <w:szCs w:val="24"/>
        </w:rPr>
        <w:t xml:space="preserve"> </w:t>
      </w:r>
      <w:r w:rsidRPr="006E7421">
        <w:rPr>
          <w:rFonts w:ascii="Silver Humana" w:hAnsi="Silver Humana" w:cs="Silver Humana"/>
        </w:rPr>
        <w:t>ἑτέρα δὲ ἀναπαύουσα ἤδη τὸν νοῦν οἰκειοτάτῃ θεωρίᾳ τῶν ὄντων καὶ αὐτὴν ὁρῶσα καθ</w:t>
      </w:r>
      <w:r w:rsidRPr="006E7421">
        <w:rPr>
          <w:sz w:val="16"/>
          <w:szCs w:val="16"/>
        </w:rPr>
        <w:t>’</w:t>
      </w:r>
      <w:r w:rsidRPr="006E7421">
        <w:rPr>
          <w:rFonts w:ascii="Silver Humana" w:hAnsi="Silver Humana" w:cs="Silver Humana"/>
        </w:rPr>
        <w:t xml:space="preserve"> αὑτὴν τὴν ἀλήθειαν ἐν ἁγνῷ βάθρῳ βεβῶσαν, ἥν φησιν ὁ Σωκράτης ἅπαν τὸ νοητὸν ἀνελίττειν, δι</w:t>
      </w:r>
      <w:r w:rsidRPr="006E7421">
        <w:rPr>
          <w:sz w:val="16"/>
          <w:szCs w:val="16"/>
        </w:rPr>
        <w:t>’</w:t>
      </w:r>
      <w:r w:rsidRPr="006E7421">
        <w:rPr>
          <w:rFonts w:ascii="Silver Humana" w:hAnsi="Silver Humana" w:cs="Silver Humana"/>
        </w:rPr>
        <w:t xml:space="preserve"> εἰδῶν ἀεὶ πορευομένην ἕως ἂν εἰς αὐτὸ καταντήσῃ τὸ πρῶτον, τὰ μὲν ἀναλύουσαν, τὰ δὲ ὁριζομένην, τὰ δὲ ἀποδεικνῦσαν, τὰ δὲ διαιροῦσαν, ἄνωθέν τε καὶ κάτωθεν εἰς τὸ ἄναντες χωροῦσαν, ἕως ἂν πᾶσαν πάντη διερευνωμένη τὴν τῶν νοητῶν φύσιν εἰς τὸ ἐπέκεινα πάντων ἀναδράμῃ τῶν ὄντων, οὗ τὴν ψυχὴν ὁρμίσασα τελέως οὐκ ἔτι ποθήσεται κρεῖττον ἐφετὸν ἐπὶ τέλος ἥκουσα· καὶ ταύτης ἂν εἴποις ἔργα εἶναι τά τε ἐν Φαίδρῳ ῥηθέντα καὶ τὰ ἐν Σοφιστῇ, τὰ μὲν διχῇ διῃρημένα, τὰ δὲ τετραχῇ τῆς διαλεκτικῆς ἔργα</w:t>
      </w:r>
      <w:r>
        <w:rPr>
          <w:rFonts w:ascii="Silver Humana" w:hAnsi="Silver Humana" w:cs="Silver Humana"/>
        </w:rPr>
        <w:t>.</w:t>
      </w:r>
    </w:p>
  </w:footnote>
  <w:footnote w:id="13">
    <w:p w14:paraId="7DAD8545" w14:textId="0409FD3F" w:rsidR="00D469DD" w:rsidRDefault="00D469DD">
      <w:pPr>
        <w:pStyle w:val="FootnoteText"/>
      </w:pPr>
      <w:r>
        <w:rPr>
          <w:rStyle w:val="FootnoteReference"/>
        </w:rPr>
        <w:footnoteRef/>
      </w:r>
      <w:r>
        <w:t xml:space="preserve"> </w:t>
      </w:r>
      <w:r w:rsidR="00AD4867">
        <w:t xml:space="preserve">Cf. </w:t>
      </w:r>
      <w:r>
        <w:rPr>
          <w:noProof/>
        </w:rPr>
        <w:t>van den Berg (2000)</w:t>
      </w:r>
      <w:r w:rsidR="00AD4867">
        <w:t xml:space="preserve">, especially the appendix in which van den Berg catalogues the extensive use of this image. He relies on Saffrey and Westerink </w:t>
      </w:r>
      <w:r w:rsidR="00AD4867" w:rsidRPr="001F1288">
        <w:rPr>
          <w:i/>
          <w:iCs/>
        </w:rPr>
        <w:t>Platonic Theology</w:t>
      </w:r>
      <w:r w:rsidR="00AD4867">
        <w:t xml:space="preserve"> vol IV</w:t>
      </w:r>
      <w:r w:rsidR="001F1288">
        <w:t xml:space="preserve">, p. 147, note 3 for the connection with the </w:t>
      </w:r>
      <w:r w:rsidR="001F1288" w:rsidRPr="001F1288">
        <w:rPr>
          <w:i/>
          <w:iCs/>
        </w:rPr>
        <w:t>Chaldean Oracles</w:t>
      </w:r>
      <w:r w:rsidR="001F1288">
        <w:t xml:space="preserve">. On van den Berg’s reading, Proclus supposed that only the divine Nous or Intellect – equated with the Demiurge – contemplates the Forms. The human soul’s access to the Demiurge is mediated through the Leader Gods of </w:t>
      </w:r>
      <w:r w:rsidR="001F1288" w:rsidRPr="00D41821">
        <w:rPr>
          <w:i/>
          <w:iCs/>
        </w:rPr>
        <w:t>Platonic Theology</w:t>
      </w:r>
      <w:r w:rsidR="001F1288">
        <w:t xml:space="preserve"> VI. van den Berg further argues that humans can use theurgy to bring themselves to the attention of these Leader Gods in order to facilitate access to the Demiurge.</w:t>
      </w:r>
    </w:p>
  </w:footnote>
  <w:footnote w:id="14">
    <w:p w14:paraId="7930A268" w14:textId="6872684F" w:rsidR="001F1288" w:rsidRDefault="001F1288">
      <w:pPr>
        <w:pStyle w:val="FootnoteText"/>
      </w:pPr>
      <w:r>
        <w:rPr>
          <w:rStyle w:val="FootnoteReference"/>
        </w:rPr>
        <w:footnoteRef/>
      </w:r>
      <w:r>
        <w:t xml:space="preserve"> For the view that philosophical and theurgic methods of ascent to the divine should be seen as complementary rather than opposed alternatives, see Baltzly (2006).</w:t>
      </w:r>
    </w:p>
  </w:footnote>
  <w:footnote w:id="15">
    <w:p w14:paraId="04DEABCB" w14:textId="77777777" w:rsidR="00D469DD" w:rsidRDefault="00D469DD">
      <w:pPr>
        <w:pStyle w:val="FootnoteText"/>
      </w:pPr>
      <w:r>
        <w:rPr>
          <w:rStyle w:val="FootnoteReference"/>
        </w:rPr>
        <w:footnoteRef/>
      </w:r>
      <w:r>
        <w:t xml:space="preserve"> Vol 1, pp. 30–2, 125–6.</w:t>
      </w:r>
    </w:p>
  </w:footnote>
  <w:footnote w:id="16">
    <w:p w14:paraId="6D714ACF" w14:textId="77777777" w:rsidR="00D469DD" w:rsidRPr="00200056" w:rsidRDefault="00D469DD">
      <w:pPr>
        <w:pStyle w:val="FootnoteText"/>
      </w:pPr>
      <w:r>
        <w:rPr>
          <w:rStyle w:val="FootnoteReference"/>
        </w:rPr>
        <w:footnoteRef/>
      </w:r>
      <w:r>
        <w:t xml:space="preserve"> </w:t>
      </w:r>
      <w:r w:rsidRPr="005134D7">
        <w:rPr>
          <w:i/>
          <w:iCs/>
        </w:rPr>
        <w:t>Plat. Theol</w:t>
      </w:r>
      <w:r>
        <w:t>. II §4, 34.12</w:t>
      </w:r>
      <w:r>
        <w:softHyphen/>
        <w:t xml:space="preserve">–35.9 As Saffrey and Westerink note: Cette exégese du </w:t>
      </w:r>
      <w:r w:rsidRPr="00200056">
        <w:rPr>
          <w:i/>
          <w:iCs/>
        </w:rPr>
        <w:t>Sophiste</w:t>
      </w:r>
      <w:r>
        <w:t xml:space="preserve"> est un interprétation du </w:t>
      </w:r>
      <w:r w:rsidRPr="00200056">
        <w:rPr>
          <w:rFonts w:ascii="Silver Humana" w:hAnsi="Silver Humana" w:cs="Silver Humana"/>
        </w:rPr>
        <w:t>ἕν ὄν</w:t>
      </w:r>
      <w:r w:rsidRPr="00200056">
        <w:rPr>
          <w:sz w:val="16"/>
          <w:szCs w:val="16"/>
        </w:rPr>
        <w:t xml:space="preserve"> </w:t>
      </w:r>
      <w:r>
        <w:t xml:space="preserve">en fonction de la transcendance de l’Un déjà établie par l’exégèse précédente de la </w:t>
      </w:r>
      <w:r w:rsidRPr="00200056">
        <w:rPr>
          <w:i/>
          <w:iCs/>
        </w:rPr>
        <w:t>République</w:t>
      </w:r>
      <w:r>
        <w:t xml:space="preserve">. </w:t>
      </w:r>
    </w:p>
  </w:footnote>
  <w:footnote w:id="17">
    <w:p w14:paraId="2E4FCCA7" w14:textId="77777777" w:rsidR="00D469DD" w:rsidRDefault="00D469DD">
      <w:pPr>
        <w:pStyle w:val="FootnoteText"/>
      </w:pPr>
      <w:r>
        <w:rPr>
          <w:rStyle w:val="FootnoteReference"/>
        </w:rPr>
        <w:footnoteRef/>
      </w:r>
      <w:r>
        <w:t xml:space="preserve"> While the interpretation of the </w:t>
      </w:r>
      <w:r w:rsidRPr="0047773C">
        <w:rPr>
          <w:i/>
          <w:iCs/>
        </w:rPr>
        <w:t>Philebus</w:t>
      </w:r>
      <w:r>
        <w:t xml:space="preserve"> here only makes use of two of these senses (the good in us and the Good as first principle), the Essay 11 distinction between the Good as Form and the Good as super-essential first principle returns later at </w:t>
      </w:r>
      <w:r w:rsidRPr="00246ACD">
        <w:rPr>
          <w:i/>
          <w:iCs/>
        </w:rPr>
        <w:t>Plat. Theol</w:t>
      </w:r>
      <w:r>
        <w:t>. II. §7, 46.13–48.26.</w:t>
      </w:r>
    </w:p>
  </w:footnote>
  <w:footnote w:id="18">
    <w:p w14:paraId="466AFA69" w14:textId="77777777" w:rsidR="00D469DD" w:rsidRDefault="00D469DD">
      <w:pPr>
        <w:pStyle w:val="FootnoteText"/>
      </w:pPr>
      <w:r>
        <w:rPr>
          <w:rStyle w:val="FootnoteReference"/>
        </w:rPr>
        <w:footnoteRef/>
      </w:r>
      <w:r>
        <w:t xml:space="preserve"> </w:t>
      </w:r>
      <w:r w:rsidRPr="00CC3F62">
        <w:rPr>
          <w:i/>
          <w:iCs/>
        </w:rPr>
        <w:t>Plat. Theol</w:t>
      </w:r>
      <w:r w:rsidRPr="00CC3F62">
        <w:t xml:space="preserve">. II §4, </w:t>
      </w:r>
      <w:r w:rsidRPr="00CC3F62">
        <w:rPr>
          <w:rFonts w:ascii="Silver Humana" w:hAnsi="Silver Humana" w:cs="Silver Humana"/>
        </w:rPr>
        <w:t>36.7–11 Ο αὐτὸς τοίνυν λόγος τό τε ἀγαθὸν ἐξῃρῆσθαι τοῦ πρωτίστου νοῦ καὶ τὴν εὐδαιμονίαν οὐ κατὰ τὴν νόησιν μόνον ἀλλὰ κατὰ τὴν παντελῆ τοῦ ἀγαθοῦ παρουσίαν ἀφορίζεται· τὸ γὰρ νοερὸν τῆς ἐνεργείας εἶδος αὐτὸ καθ</w:t>
      </w:r>
      <w:r>
        <w:t>’</w:t>
      </w:r>
      <w:r w:rsidRPr="00CC3F62">
        <w:rPr>
          <w:rFonts w:ascii="Silver Humana" w:hAnsi="Silver Humana" w:cs="Silver Humana"/>
        </w:rPr>
        <w:t xml:space="preserve"> αὑτὸ πρὸς τὸ μακάριον ἐλλιπές.</w:t>
      </w:r>
    </w:p>
  </w:footnote>
  <w:footnote w:id="19">
    <w:p w14:paraId="11155C86" w14:textId="77777777" w:rsidR="00D469DD" w:rsidRDefault="00D469DD">
      <w:pPr>
        <w:pStyle w:val="FootnoteText"/>
      </w:pPr>
      <w:r>
        <w:rPr>
          <w:rStyle w:val="FootnoteReference"/>
        </w:rPr>
        <w:footnoteRef/>
      </w:r>
      <w:r>
        <w:t xml:space="preserve"> Cf. 37.12–13: </w:t>
      </w:r>
      <w:r w:rsidRPr="00B463DE">
        <w:rPr>
          <w:rFonts w:ascii="Silver Humana" w:hAnsi="Silver Humana" w:cs="Silver Humana"/>
        </w:rPr>
        <w:t>Δοκεῖ δ</w:t>
      </w:r>
      <w:r w:rsidRPr="00B463DE">
        <w:t>’</w:t>
      </w:r>
      <w:r w:rsidRPr="00B463DE">
        <w:rPr>
          <w:rFonts w:ascii="Silver Humana" w:hAnsi="Silver Humana" w:cs="Silver Humana"/>
        </w:rPr>
        <w:t xml:space="preserve"> ἔμοιγε κατὰ μὲν τὸν ἕτερον τῶν τρόπων …</w:t>
      </w:r>
    </w:p>
  </w:footnote>
  <w:footnote w:id="20">
    <w:p w14:paraId="7B8B3401" w14:textId="77777777" w:rsidR="00D469DD" w:rsidRPr="00521754" w:rsidRDefault="00D469DD">
      <w:pPr>
        <w:pStyle w:val="FootnoteText"/>
      </w:pPr>
      <w:r>
        <w:rPr>
          <w:rStyle w:val="FootnoteReference"/>
        </w:rPr>
        <w:footnoteRef/>
      </w:r>
      <w:r>
        <w:t xml:space="preserve"> </w:t>
      </w:r>
      <w:r w:rsidRPr="00521754">
        <w:rPr>
          <w:i/>
          <w:iCs/>
        </w:rPr>
        <w:t>Plat. Theol.</w:t>
      </w:r>
      <w:r w:rsidRPr="00521754">
        <w:t xml:space="preserve"> II §5, 37.19–38.3</w:t>
      </w:r>
      <w:r w:rsidRPr="00521754">
        <w:rPr>
          <w:rFonts w:ascii="Silver Humana" w:hAnsi="Silver Humana" w:cs="Silver Humana"/>
        </w:rPr>
        <w:t xml:space="preserve"> κατὰ μὲν τὸν ἕτερον τῶν τρόπων τὴν πρόοδον ἐκφαίνειν τὴν ἀπ</w:t>
      </w:r>
      <w:r w:rsidRPr="00521754">
        <w:t>’</w:t>
      </w:r>
      <w:r w:rsidRPr="00521754">
        <w:rPr>
          <w:rFonts w:ascii="Silver Humana" w:hAnsi="Silver Humana" w:cs="Silver Humana"/>
        </w:rPr>
        <w:t xml:space="preserve"> ἐκείνου τῶν τε ἄλλων ἁπάντων καὶ πρὸ τῶν ἄλλων τῶν θείων διακόσμων…. Κατὰ δὲ αὖ τὸν ἕτερον τὴν πρὸς αὐτὸ τῶν προελθόντων ἐπιστροφὴν ἀπεικονίζεται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E7AD2"/>
    <w:multiLevelType w:val="multilevel"/>
    <w:tmpl w:val="42D69FF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284"/>
        </w:tabs>
        <w:ind w:left="0" w:firstLine="284"/>
      </w:pPr>
      <w:rPr>
        <w:rFonts w:hint="default"/>
      </w:rPr>
    </w:lvl>
    <w:lvl w:ilvl="3">
      <w:start w:val="1"/>
      <w:numFmt w:val="lowerLetter"/>
      <w:pStyle w:val="Dhead"/>
      <w:lvlText w:val="%4."/>
      <w:lvlJc w:val="left"/>
      <w:pPr>
        <w:tabs>
          <w:tab w:val="num" w:pos="284"/>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59276947"/>
    <w:multiLevelType w:val="multilevel"/>
    <w:tmpl w:val="42D08B3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Chead"/>
      <w:lvlText w:val="%3."/>
      <w:lvlJc w:val="left"/>
      <w:pPr>
        <w:tabs>
          <w:tab w:val="num" w:pos="284"/>
        </w:tabs>
        <w:ind w:left="0" w:firstLine="284"/>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69A9505B"/>
    <w:multiLevelType w:val="multilevel"/>
    <w:tmpl w:val="C362314E"/>
    <w:lvl w:ilvl="0">
      <w:start w:val="1"/>
      <w:numFmt w:val="upperRoman"/>
      <w:pStyle w:val="Ahead"/>
      <w:lvlText w:val="%1."/>
      <w:lvlJc w:val="left"/>
      <w:pPr>
        <w:tabs>
          <w:tab w:val="num" w:pos="284"/>
        </w:tabs>
        <w:ind w:left="0" w:firstLine="0"/>
      </w:pPr>
      <w:rPr>
        <w:rFonts w:hint="default"/>
      </w:rPr>
    </w:lvl>
    <w:lvl w:ilvl="1">
      <w:start w:val="1"/>
      <w:numFmt w:val="upperLetter"/>
      <w:pStyle w:val="Bhead"/>
      <w:lvlText w:val="%2."/>
      <w:lvlJc w:val="left"/>
      <w:pPr>
        <w:tabs>
          <w:tab w:val="num" w:pos="0"/>
        </w:tabs>
        <w:ind w:left="0" w:firstLine="28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pStyle w:val="Ehead"/>
      <w:lvlText w:val="%5."/>
      <w:lvlJc w:val="left"/>
      <w:pPr>
        <w:tabs>
          <w:tab w:val="num" w:pos="284"/>
        </w:tabs>
        <w:ind w:left="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D469DD"/>
    <w:rsid w:val="000866C6"/>
    <w:rsid w:val="000D00B3"/>
    <w:rsid w:val="00120413"/>
    <w:rsid w:val="001F1288"/>
    <w:rsid w:val="00227002"/>
    <w:rsid w:val="0035471C"/>
    <w:rsid w:val="0037610B"/>
    <w:rsid w:val="004A28E5"/>
    <w:rsid w:val="004A5500"/>
    <w:rsid w:val="004D0DF3"/>
    <w:rsid w:val="004D2131"/>
    <w:rsid w:val="00590E85"/>
    <w:rsid w:val="005A35FC"/>
    <w:rsid w:val="00600866"/>
    <w:rsid w:val="0072413B"/>
    <w:rsid w:val="007A0B3E"/>
    <w:rsid w:val="007C0DCE"/>
    <w:rsid w:val="00A11D9A"/>
    <w:rsid w:val="00A26AC8"/>
    <w:rsid w:val="00A47EBE"/>
    <w:rsid w:val="00AD4867"/>
    <w:rsid w:val="00AF16D9"/>
    <w:rsid w:val="00BC0CD8"/>
    <w:rsid w:val="00BD7067"/>
    <w:rsid w:val="00BF1D96"/>
    <w:rsid w:val="00C12C9D"/>
    <w:rsid w:val="00C5732D"/>
    <w:rsid w:val="00D41821"/>
    <w:rsid w:val="00D469DD"/>
    <w:rsid w:val="00DA5327"/>
    <w:rsid w:val="00E448C2"/>
    <w:rsid w:val="00F836A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4CC4"/>
  <w15:chartTrackingRefBased/>
  <w15:docId w15:val="{C12AC128-30F6-426C-BFDD-F1E32764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DD"/>
    <w:rPr>
      <w:rFonts w:ascii="Times New Roman" w:hAnsi="Times New Roman"/>
    </w:rPr>
  </w:style>
  <w:style w:type="paragraph" w:styleId="Heading1">
    <w:name w:val="heading 1"/>
    <w:basedOn w:val="Normal"/>
    <w:next w:val="Normal"/>
    <w:link w:val="Heading1Char"/>
    <w:uiPriority w:val="9"/>
    <w:qFormat/>
    <w:rsid w:val="00D469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69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next w:val="Normal"/>
    <w:rsid w:val="00D469DD"/>
    <w:pPr>
      <w:numPr>
        <w:numId w:val="1"/>
      </w:numPr>
      <w:spacing w:before="240" w:after="120" w:line="240" w:lineRule="auto"/>
      <w:jc w:val="center"/>
    </w:pPr>
    <w:rPr>
      <w:rFonts w:ascii="Times New Roman" w:eastAsia="Times New Roman" w:hAnsi="Times New Roman" w:cs="Times New Roman"/>
      <w:b/>
      <w:i/>
      <w:sz w:val="28"/>
      <w:szCs w:val="24"/>
    </w:rPr>
  </w:style>
  <w:style w:type="paragraph" w:customStyle="1" w:styleId="Bhead">
    <w:name w:val="B head"/>
    <w:next w:val="Normal"/>
    <w:rsid w:val="00D469DD"/>
    <w:pPr>
      <w:keepNext/>
      <w:numPr>
        <w:ilvl w:val="1"/>
        <w:numId w:val="1"/>
      </w:numPr>
      <w:spacing w:before="240" w:after="120" w:line="240" w:lineRule="auto"/>
      <w:jc w:val="center"/>
    </w:pPr>
    <w:rPr>
      <w:rFonts w:ascii="Times New Roman" w:eastAsia="Times New Roman" w:hAnsi="Times New Roman" w:cs="Times New Roman"/>
      <w:b/>
      <w:i/>
      <w:sz w:val="24"/>
      <w:szCs w:val="24"/>
    </w:rPr>
  </w:style>
  <w:style w:type="paragraph" w:customStyle="1" w:styleId="Chead">
    <w:name w:val="C head"/>
    <w:next w:val="Normal"/>
    <w:rsid w:val="00D469DD"/>
    <w:pPr>
      <w:numPr>
        <w:ilvl w:val="2"/>
        <w:numId w:val="3"/>
      </w:numPr>
      <w:spacing w:before="240" w:after="120" w:line="240" w:lineRule="auto"/>
      <w:jc w:val="center"/>
    </w:pPr>
    <w:rPr>
      <w:rFonts w:ascii="Times New Roman" w:eastAsia="Times New Roman" w:hAnsi="Times New Roman" w:cs="Times New Roman"/>
      <w:b/>
      <w:sz w:val="24"/>
      <w:szCs w:val="24"/>
    </w:rPr>
  </w:style>
  <w:style w:type="paragraph" w:customStyle="1" w:styleId="Dhead">
    <w:name w:val="D head"/>
    <w:next w:val="Normal"/>
    <w:rsid w:val="00D469DD"/>
    <w:pPr>
      <w:keepNext/>
      <w:numPr>
        <w:ilvl w:val="3"/>
        <w:numId w:val="4"/>
      </w:numPr>
      <w:spacing w:before="240" w:after="120" w:line="240" w:lineRule="auto"/>
      <w:jc w:val="center"/>
    </w:pPr>
    <w:rPr>
      <w:rFonts w:ascii="Times New Roman" w:eastAsia="Times New Roman" w:hAnsi="Times New Roman" w:cs="Times New Roman"/>
      <w:i/>
      <w:sz w:val="24"/>
      <w:szCs w:val="24"/>
    </w:rPr>
  </w:style>
  <w:style w:type="paragraph" w:customStyle="1" w:styleId="Ehead">
    <w:name w:val="E head"/>
    <w:basedOn w:val="Normal"/>
    <w:next w:val="Normal"/>
    <w:rsid w:val="00D469DD"/>
    <w:pPr>
      <w:numPr>
        <w:ilvl w:val="4"/>
        <w:numId w:val="1"/>
      </w:numPr>
      <w:spacing w:before="240" w:after="120" w:line="240" w:lineRule="auto"/>
      <w:jc w:val="center"/>
    </w:pPr>
    <w:rPr>
      <w:rFonts w:eastAsia="Times New Roman" w:cs="Times New Roman"/>
      <w:b/>
      <w:i/>
    </w:rPr>
  </w:style>
  <w:style w:type="paragraph" w:customStyle="1" w:styleId="footnotefirst">
    <w:name w:val="footnote first"/>
    <w:basedOn w:val="FootnoteText"/>
    <w:next w:val="Normal"/>
    <w:rsid w:val="00D469DD"/>
  </w:style>
  <w:style w:type="paragraph" w:styleId="FootnoteText">
    <w:name w:val="footnote text"/>
    <w:basedOn w:val="Normal"/>
    <w:link w:val="FootnoteTextChar"/>
    <w:semiHidden/>
    <w:rsid w:val="00D469DD"/>
    <w:pPr>
      <w:spacing w:before="120"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469DD"/>
    <w:rPr>
      <w:rFonts w:ascii="Times New Roman" w:eastAsia="Times New Roman" w:hAnsi="Times New Roman" w:cs="Times New Roman"/>
      <w:sz w:val="20"/>
      <w:szCs w:val="20"/>
    </w:rPr>
  </w:style>
  <w:style w:type="paragraph" w:customStyle="1" w:styleId="Footnotequote">
    <w:name w:val="Footnote quote"/>
    <w:basedOn w:val="Normal"/>
    <w:rsid w:val="00D469DD"/>
    <w:pPr>
      <w:spacing w:after="0" w:line="240" w:lineRule="auto"/>
      <w:ind w:left="567" w:right="567"/>
    </w:pPr>
    <w:rPr>
      <w:rFonts w:eastAsia="Times New Roman" w:cs="Times New Roman"/>
      <w:sz w:val="20"/>
      <w:szCs w:val="20"/>
    </w:rPr>
  </w:style>
  <w:style w:type="character" w:styleId="FootnoteReference">
    <w:name w:val="footnote reference"/>
    <w:semiHidden/>
    <w:rsid w:val="00D469DD"/>
    <w:rPr>
      <w:vertAlign w:val="superscript"/>
    </w:rPr>
  </w:style>
  <w:style w:type="paragraph" w:customStyle="1" w:styleId="Footnotesecond">
    <w:name w:val="Footnote second"/>
    <w:basedOn w:val="FootnoteText"/>
    <w:rsid w:val="00D469DD"/>
    <w:pPr>
      <w:ind w:firstLine="284"/>
    </w:pPr>
  </w:style>
  <w:style w:type="paragraph" w:customStyle="1" w:styleId="lemma">
    <w:name w:val="lemma"/>
    <w:rsid w:val="00D469DD"/>
    <w:pPr>
      <w:spacing w:before="240" w:after="120" w:line="360" w:lineRule="auto"/>
      <w:ind w:left="284" w:right="284"/>
    </w:pPr>
    <w:rPr>
      <w:rFonts w:ascii="Times New Roman" w:eastAsia="Times New Roman" w:hAnsi="Times New Roman" w:cs="Times New Roman"/>
      <w:b/>
      <w:sz w:val="24"/>
      <w:szCs w:val="24"/>
    </w:rPr>
  </w:style>
  <w:style w:type="paragraph" w:customStyle="1" w:styleId="para1">
    <w:name w:val="para 1"/>
    <w:next w:val="Normal"/>
    <w:rsid w:val="00D469DD"/>
    <w:pPr>
      <w:spacing w:after="0" w:line="360" w:lineRule="auto"/>
    </w:pPr>
    <w:rPr>
      <w:rFonts w:ascii="Times New Roman" w:eastAsia="Times New Roman" w:hAnsi="Times New Roman" w:cs="Times New Roman"/>
      <w:sz w:val="24"/>
      <w:szCs w:val="24"/>
    </w:rPr>
  </w:style>
  <w:style w:type="paragraph" w:customStyle="1" w:styleId="para2">
    <w:name w:val="para 2"/>
    <w:rsid w:val="00D469DD"/>
    <w:pPr>
      <w:spacing w:after="0" w:line="360" w:lineRule="auto"/>
      <w:ind w:firstLine="284"/>
    </w:pPr>
    <w:rPr>
      <w:rFonts w:ascii="Times New Roman" w:eastAsia="Times New Roman" w:hAnsi="Times New Roman" w:cs="Times New Roman"/>
      <w:sz w:val="24"/>
      <w:szCs w:val="24"/>
    </w:rPr>
  </w:style>
  <w:style w:type="paragraph" w:customStyle="1" w:styleId="quotation">
    <w:name w:val="quotation"/>
    <w:basedOn w:val="Normal"/>
    <w:next w:val="para2"/>
    <w:rsid w:val="00D469DD"/>
    <w:pPr>
      <w:spacing w:before="120" w:after="60" w:line="360" w:lineRule="auto"/>
      <w:ind w:left="720" w:right="720"/>
    </w:pPr>
    <w:rPr>
      <w:rFonts w:eastAsia="Times New Roman" w:cs="Times New Roman"/>
      <w:sz w:val="24"/>
    </w:rPr>
  </w:style>
  <w:style w:type="character" w:customStyle="1" w:styleId="Heading1Char">
    <w:name w:val="Heading 1 Char"/>
    <w:basedOn w:val="DefaultParagraphFont"/>
    <w:link w:val="Heading1"/>
    <w:uiPriority w:val="9"/>
    <w:rsid w:val="00D469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69DD"/>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D469DD"/>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DefaultParagraphFont"/>
    <w:uiPriority w:val="99"/>
    <w:rsid w:val="00D469DD"/>
    <w:rPr>
      <w:rFonts w:ascii="Times New Roman" w:hAnsi="Times New Roman" w:cs="Times New Roman"/>
      <w:b/>
      <w:bCs/>
      <w:color w:val="000000"/>
      <w:sz w:val="16"/>
      <w:szCs w:val="16"/>
    </w:rPr>
  </w:style>
  <w:style w:type="character" w:customStyle="1" w:styleId="FontStyle19">
    <w:name w:val="Font Style19"/>
    <w:basedOn w:val="DefaultParagraphFont"/>
    <w:uiPriority w:val="99"/>
    <w:rsid w:val="00D469DD"/>
    <w:rPr>
      <w:rFonts w:ascii="Times New Roman" w:hAnsi="Times New Roman" w:cs="Times New Roman"/>
      <w:b/>
      <w:bCs/>
      <w:color w:val="000000"/>
      <w:sz w:val="12"/>
      <w:szCs w:val="12"/>
    </w:rPr>
  </w:style>
  <w:style w:type="character" w:customStyle="1" w:styleId="FontStyle20">
    <w:name w:val="Font Style20"/>
    <w:basedOn w:val="DefaultParagraphFont"/>
    <w:uiPriority w:val="99"/>
    <w:rsid w:val="00D469DD"/>
    <w:rPr>
      <w:rFonts w:ascii="Times New Roman" w:hAnsi="Times New Roman" w:cs="Times New Roman"/>
      <w:b/>
      <w:bCs/>
      <w:i/>
      <w:iCs/>
      <w:color w:val="000000"/>
      <w:spacing w:val="10"/>
      <w:sz w:val="16"/>
      <w:szCs w:val="16"/>
    </w:rPr>
  </w:style>
  <w:style w:type="paragraph" w:styleId="BalloonText">
    <w:name w:val="Balloon Text"/>
    <w:basedOn w:val="Normal"/>
    <w:link w:val="BalloonTextChar"/>
    <w:uiPriority w:val="99"/>
    <w:semiHidden/>
    <w:unhideWhenUsed/>
    <w:rsid w:val="00D46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DD"/>
    <w:rPr>
      <w:rFonts w:ascii="Segoe UI" w:hAnsi="Segoe UI" w:cs="Segoe UI"/>
      <w:sz w:val="18"/>
      <w:szCs w:val="18"/>
    </w:rPr>
  </w:style>
  <w:style w:type="character" w:styleId="CommentReference">
    <w:name w:val="annotation reference"/>
    <w:basedOn w:val="DefaultParagraphFont"/>
    <w:uiPriority w:val="99"/>
    <w:semiHidden/>
    <w:unhideWhenUsed/>
    <w:rsid w:val="00D469DD"/>
    <w:rPr>
      <w:sz w:val="16"/>
      <w:szCs w:val="16"/>
    </w:rPr>
  </w:style>
  <w:style w:type="paragraph" w:styleId="CommentText">
    <w:name w:val="annotation text"/>
    <w:basedOn w:val="Normal"/>
    <w:link w:val="CommentTextChar"/>
    <w:uiPriority w:val="99"/>
    <w:semiHidden/>
    <w:unhideWhenUsed/>
    <w:rsid w:val="00D469DD"/>
    <w:pPr>
      <w:spacing w:line="240" w:lineRule="auto"/>
    </w:pPr>
    <w:rPr>
      <w:sz w:val="20"/>
      <w:szCs w:val="20"/>
    </w:rPr>
  </w:style>
  <w:style w:type="character" w:customStyle="1" w:styleId="CommentTextChar">
    <w:name w:val="Comment Text Char"/>
    <w:basedOn w:val="DefaultParagraphFont"/>
    <w:link w:val="CommentText"/>
    <w:uiPriority w:val="99"/>
    <w:semiHidden/>
    <w:rsid w:val="00D469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469DD"/>
    <w:rPr>
      <w:b/>
      <w:bCs/>
    </w:rPr>
  </w:style>
  <w:style w:type="character" w:customStyle="1" w:styleId="CommentSubjectChar">
    <w:name w:val="Comment Subject Char"/>
    <w:basedOn w:val="CommentTextChar"/>
    <w:link w:val="CommentSubject"/>
    <w:uiPriority w:val="99"/>
    <w:semiHidden/>
    <w:rsid w:val="00D469DD"/>
    <w:rPr>
      <w:rFonts w:ascii="Times New Roman" w:hAnsi="Times New Roman"/>
      <w:b/>
      <w:bCs/>
      <w:sz w:val="20"/>
      <w:szCs w:val="20"/>
    </w:rPr>
  </w:style>
  <w:style w:type="paragraph" w:customStyle="1" w:styleId="EndNoteBibliographyTitle">
    <w:name w:val="EndNote Bibliography Title"/>
    <w:basedOn w:val="Normal"/>
    <w:link w:val="EndNoteBibliographyTitleChar"/>
    <w:rsid w:val="00D469D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D469DD"/>
    <w:rPr>
      <w:rFonts w:ascii="Times New Roman" w:hAnsi="Times New Roman" w:cs="Times New Roman"/>
      <w:noProof/>
      <w:lang w:val="en-US"/>
    </w:rPr>
  </w:style>
  <w:style w:type="paragraph" w:customStyle="1" w:styleId="EndNoteBibliography">
    <w:name w:val="EndNote Bibliography"/>
    <w:basedOn w:val="Normal"/>
    <w:link w:val="EndNoteBibliographyChar"/>
    <w:rsid w:val="00D469D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D469DD"/>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4268</Words>
  <Characters>24333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Baltzly</dc:creator>
  <cp:keywords/>
  <dc:description/>
  <cp:lastModifiedBy>Dirk Baltzly</cp:lastModifiedBy>
  <cp:revision>5</cp:revision>
  <dcterms:created xsi:type="dcterms:W3CDTF">2020-06-18T03:37:00Z</dcterms:created>
  <dcterms:modified xsi:type="dcterms:W3CDTF">2020-10-11T03:44:00Z</dcterms:modified>
</cp:coreProperties>
</file>