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2AA9E" w14:textId="76AB5923" w:rsidR="00981723" w:rsidRPr="00981723" w:rsidRDefault="00981723" w:rsidP="00981723">
      <w:pPr>
        <w:spacing w:line="480" w:lineRule="auto"/>
        <w:rPr>
          <w:rFonts w:ascii="Sylfaen" w:hAnsi="Sylfaen"/>
          <w:b/>
          <w:i/>
          <w:sz w:val="24"/>
          <w:szCs w:val="24"/>
          <w:lang w:val="en-GB"/>
        </w:rPr>
      </w:pPr>
      <w:bookmarkStart w:id="0" w:name="_Hlk32700888"/>
      <w:r w:rsidRPr="009D361D">
        <w:rPr>
          <w:rFonts w:ascii="Sylfaen" w:hAnsi="Sylfaen"/>
          <w:i/>
          <w:lang w:val="en-GB"/>
        </w:rPr>
        <w:t>Note: This is the authors</w:t>
      </w:r>
      <w:r>
        <w:rPr>
          <w:rFonts w:ascii="Sylfaen" w:hAnsi="Sylfaen"/>
          <w:i/>
          <w:lang w:val="en-GB"/>
        </w:rPr>
        <w:t>’</w:t>
      </w:r>
      <w:r w:rsidRPr="009D361D">
        <w:rPr>
          <w:rFonts w:ascii="Sylfaen" w:hAnsi="Sylfaen"/>
          <w:i/>
          <w:lang w:val="en-GB"/>
        </w:rPr>
        <w:t xml:space="preserve"> post-print version of an article published in the Journal of Medical Ethics (Online First in 2018).</w:t>
      </w:r>
      <w:r>
        <w:rPr>
          <w:rFonts w:ascii="Sylfaen" w:hAnsi="Sylfaen"/>
          <w:i/>
          <w:lang w:val="en-GB"/>
        </w:rPr>
        <w:t xml:space="preserve">  The final publication is available via BMJ (which retains copyright) </w:t>
      </w:r>
      <w:r w:rsidRPr="00981723">
        <w:rPr>
          <w:rFonts w:ascii="Sylfaen" w:hAnsi="Sylfaen"/>
          <w:i/>
          <w:lang w:val="en-GB"/>
        </w:rPr>
        <w:t>at</w:t>
      </w:r>
      <w:r w:rsidRPr="00981723">
        <w:rPr>
          <w:rFonts w:ascii="Sylfaen" w:hAnsi="Sylfaen"/>
          <w:i/>
          <w:lang w:val="en-GB"/>
        </w:rPr>
        <w:t xml:space="preserve"> </w:t>
      </w:r>
      <w:hyperlink r:id="rId8" w:history="1">
        <w:r w:rsidRPr="00981723">
          <w:rPr>
            <w:rStyle w:val="Hyperlink"/>
            <w:rFonts w:ascii="Sylfaen" w:hAnsi="Sylfaen"/>
            <w:i/>
          </w:rPr>
          <w:t>https://jme.bmj.com/content/early/2020/05/06/medethics-2020-106152</w:t>
        </w:r>
      </w:hyperlink>
      <w:r w:rsidRPr="00981723">
        <w:rPr>
          <w:rFonts w:ascii="Sylfaen" w:hAnsi="Sylfaen"/>
          <w:i/>
        </w:rPr>
        <w:t xml:space="preserve"> .</w:t>
      </w:r>
    </w:p>
    <w:p w14:paraId="1F817C85" w14:textId="77777777" w:rsidR="00981723" w:rsidRDefault="00981723" w:rsidP="00B324F6">
      <w:pPr>
        <w:spacing w:after="0"/>
        <w:jc w:val="both"/>
        <w:rPr>
          <w:rFonts w:ascii="Century Schoolbook" w:hAnsi="Century Schoolbook"/>
          <w:b/>
        </w:rPr>
      </w:pPr>
    </w:p>
    <w:p w14:paraId="2C3B1BB5" w14:textId="77777777" w:rsidR="00981723" w:rsidRDefault="00981723" w:rsidP="00B324F6">
      <w:pPr>
        <w:spacing w:after="0"/>
        <w:jc w:val="both"/>
        <w:rPr>
          <w:rFonts w:ascii="Century Schoolbook" w:hAnsi="Century Schoolbook"/>
          <w:b/>
        </w:rPr>
      </w:pPr>
    </w:p>
    <w:p w14:paraId="1CFD9C94" w14:textId="268791AC" w:rsidR="00302610" w:rsidRDefault="00302610" w:rsidP="00B324F6">
      <w:pPr>
        <w:spacing w:after="0"/>
        <w:jc w:val="both"/>
        <w:rPr>
          <w:rFonts w:ascii="Century Schoolbook" w:hAnsi="Century Schoolbook"/>
          <w:b/>
        </w:rPr>
      </w:pPr>
      <w:r w:rsidRPr="00B324F6">
        <w:rPr>
          <w:rFonts w:ascii="Century Schoolbook" w:hAnsi="Century Schoolbook"/>
          <w:b/>
        </w:rPr>
        <w:t xml:space="preserve">Public </w:t>
      </w:r>
      <w:r w:rsidR="0067288B" w:rsidRPr="00B324F6">
        <w:rPr>
          <w:rFonts w:ascii="Century Schoolbook" w:hAnsi="Century Schoolbook"/>
          <w:b/>
        </w:rPr>
        <w:t xml:space="preserve">interest </w:t>
      </w:r>
      <w:r w:rsidRPr="00B324F6">
        <w:rPr>
          <w:rFonts w:ascii="Century Schoolbook" w:hAnsi="Century Schoolbook"/>
          <w:b/>
        </w:rPr>
        <w:t>in health data research</w:t>
      </w:r>
      <w:r w:rsidR="0067288B" w:rsidRPr="00B324F6">
        <w:rPr>
          <w:rFonts w:ascii="Century Schoolbook" w:hAnsi="Century Schoolbook"/>
          <w:b/>
        </w:rPr>
        <w:t>:</w:t>
      </w:r>
      <w:r w:rsidRPr="00B324F6">
        <w:rPr>
          <w:rFonts w:ascii="Century Schoolbook" w:hAnsi="Century Schoolbook"/>
          <w:b/>
        </w:rPr>
        <w:t xml:space="preserve"> </w:t>
      </w:r>
      <w:r w:rsidR="00816B8C" w:rsidRPr="00B324F6">
        <w:rPr>
          <w:rFonts w:ascii="Century Schoolbook" w:hAnsi="Century Schoolbook"/>
          <w:b/>
        </w:rPr>
        <w:t>laying out the conceptual groundwork</w:t>
      </w:r>
    </w:p>
    <w:p w14:paraId="39EC3400" w14:textId="58DF79E3" w:rsidR="00981723" w:rsidRDefault="00981723" w:rsidP="00B324F6">
      <w:pPr>
        <w:spacing w:after="0"/>
        <w:jc w:val="both"/>
        <w:rPr>
          <w:rFonts w:ascii="Century Schoolbook" w:hAnsi="Century Schoolbook"/>
          <w:b/>
        </w:rPr>
      </w:pPr>
    </w:p>
    <w:p w14:paraId="1053E836" w14:textId="50EB3018" w:rsidR="00981723" w:rsidRDefault="00981723" w:rsidP="00B324F6">
      <w:pPr>
        <w:spacing w:after="0"/>
        <w:jc w:val="both"/>
        <w:rPr>
          <w:rFonts w:ascii="Century Schoolbook" w:hAnsi="Century Schoolbook"/>
          <w:b/>
          <w:vertAlign w:val="superscript"/>
        </w:rPr>
      </w:pPr>
      <w:r>
        <w:rPr>
          <w:rFonts w:ascii="Century Schoolbook" w:hAnsi="Century Schoolbook"/>
          <w:b/>
        </w:rPr>
        <w:t>By Angela Ballantyne</w:t>
      </w:r>
      <w:r>
        <w:rPr>
          <w:rStyle w:val="FootnoteReference"/>
          <w:rFonts w:ascii="Century Schoolbook" w:hAnsi="Century Schoolbook"/>
          <w:b/>
        </w:rPr>
        <w:footnoteReference w:id="1"/>
      </w:r>
      <w:r>
        <w:rPr>
          <w:rFonts w:ascii="Century Schoolbook" w:hAnsi="Century Schoolbook"/>
          <w:b/>
        </w:rPr>
        <w:t xml:space="preserve"> and G. Owen Schaefer</w:t>
      </w:r>
      <w:r>
        <w:rPr>
          <w:rFonts w:ascii="Century Schoolbook" w:hAnsi="Century Schoolbook"/>
          <w:b/>
          <w:vertAlign w:val="superscript"/>
        </w:rPr>
        <w:t>1</w:t>
      </w:r>
    </w:p>
    <w:p w14:paraId="69A0F331" w14:textId="77777777" w:rsidR="00981723" w:rsidRPr="00981723" w:rsidRDefault="00981723" w:rsidP="00B324F6">
      <w:pPr>
        <w:spacing w:after="0"/>
        <w:jc w:val="both"/>
        <w:rPr>
          <w:rFonts w:ascii="Century Schoolbook" w:hAnsi="Century Schoolbook"/>
          <w:b/>
          <w:vertAlign w:val="superscript"/>
        </w:rPr>
      </w:pPr>
    </w:p>
    <w:bookmarkEnd w:id="0"/>
    <w:p w14:paraId="486CA930" w14:textId="77777777" w:rsidR="0069418C" w:rsidRPr="00B324F6" w:rsidRDefault="0069418C" w:rsidP="00B324F6">
      <w:pPr>
        <w:spacing w:after="0"/>
        <w:jc w:val="both"/>
        <w:rPr>
          <w:rFonts w:ascii="Century Schoolbook" w:hAnsi="Century Schoolbook"/>
          <w:b/>
        </w:rPr>
      </w:pPr>
    </w:p>
    <w:p w14:paraId="6527E3CE" w14:textId="77777777" w:rsidR="0045572C" w:rsidRPr="00B324F6" w:rsidRDefault="00302610" w:rsidP="00B324F6">
      <w:pPr>
        <w:jc w:val="both"/>
        <w:rPr>
          <w:rFonts w:ascii="Century Schoolbook" w:hAnsi="Century Schoolbook"/>
        </w:rPr>
      </w:pPr>
      <w:r w:rsidRPr="00B324F6">
        <w:rPr>
          <w:rFonts w:ascii="Century Schoolbook" w:hAnsi="Century Schoolbook"/>
          <w:b/>
        </w:rPr>
        <w:t>Abstract</w:t>
      </w:r>
      <w:r w:rsidRPr="00B324F6">
        <w:rPr>
          <w:rFonts w:ascii="Century Schoolbook" w:hAnsi="Century Schoolbook"/>
        </w:rPr>
        <w:t xml:space="preserve">: </w:t>
      </w:r>
    </w:p>
    <w:p w14:paraId="6296A482" w14:textId="1959891C" w:rsidR="0045572C" w:rsidRPr="00B324F6" w:rsidRDefault="0045572C" w:rsidP="00B324F6">
      <w:pPr>
        <w:jc w:val="both"/>
        <w:rPr>
          <w:rFonts w:ascii="Century Schoolbook" w:hAnsi="Century Schoolbook"/>
          <w:lang w:val="en-SG"/>
        </w:rPr>
      </w:pPr>
      <w:r w:rsidRPr="00B324F6">
        <w:rPr>
          <w:rFonts w:ascii="Century Schoolbook" w:hAnsi="Century Schoolbook"/>
        </w:rPr>
        <w:t>The future of health research</w:t>
      </w:r>
      <w:r w:rsidR="00DC547E" w:rsidRPr="00B324F6">
        <w:rPr>
          <w:rFonts w:ascii="Century Schoolbook" w:hAnsi="Century Schoolbook"/>
        </w:rPr>
        <w:t xml:space="preserve"> will be characterised by three </w:t>
      </w:r>
      <w:r w:rsidR="00A34379">
        <w:rPr>
          <w:rFonts w:ascii="Century Schoolbook" w:hAnsi="Century Schoolbook"/>
        </w:rPr>
        <w:t xml:space="preserve">continuing </w:t>
      </w:r>
      <w:r w:rsidR="00DC547E" w:rsidRPr="00B324F6">
        <w:rPr>
          <w:rFonts w:ascii="Century Schoolbook" w:hAnsi="Century Schoolbook"/>
        </w:rPr>
        <w:t>trends</w:t>
      </w:r>
      <w:r w:rsidRPr="00B324F6">
        <w:rPr>
          <w:rFonts w:ascii="Century Schoolbook" w:hAnsi="Century Schoolbook"/>
        </w:rPr>
        <w:t xml:space="preserve">: </w:t>
      </w:r>
      <w:r w:rsidR="00A34379">
        <w:rPr>
          <w:rFonts w:ascii="Century Schoolbook" w:hAnsi="Century Schoolbook"/>
        </w:rPr>
        <w:t xml:space="preserve">rising </w:t>
      </w:r>
      <w:r w:rsidRPr="00B324F6">
        <w:rPr>
          <w:rFonts w:ascii="Century Schoolbook" w:hAnsi="Century Schoolbook"/>
        </w:rPr>
        <w:t xml:space="preserve">demand for health data; </w:t>
      </w:r>
      <w:r w:rsidR="00A34379">
        <w:rPr>
          <w:rFonts w:ascii="Century Schoolbook" w:hAnsi="Century Schoolbook"/>
        </w:rPr>
        <w:t xml:space="preserve">increasing impracticability of obtaining </w:t>
      </w:r>
      <w:r w:rsidRPr="00B324F6">
        <w:rPr>
          <w:rFonts w:ascii="Century Schoolbook" w:hAnsi="Century Schoolbook"/>
        </w:rPr>
        <w:t xml:space="preserve">specific consent for secondary </w:t>
      </w:r>
      <w:r w:rsidR="00A34379">
        <w:rPr>
          <w:rFonts w:ascii="Century Schoolbook" w:hAnsi="Century Schoolbook"/>
        </w:rPr>
        <w:t>research</w:t>
      </w:r>
      <w:r w:rsidRPr="00B324F6">
        <w:rPr>
          <w:rFonts w:ascii="Century Schoolbook" w:hAnsi="Century Schoolbook"/>
        </w:rPr>
        <w:t xml:space="preserve">; and </w:t>
      </w:r>
      <w:r w:rsidR="00A34379">
        <w:rPr>
          <w:rFonts w:ascii="Century Schoolbook" w:hAnsi="Century Schoolbook"/>
        </w:rPr>
        <w:t>decreasing</w:t>
      </w:r>
      <w:r w:rsidRPr="00B324F6">
        <w:rPr>
          <w:rFonts w:ascii="Century Schoolbook" w:hAnsi="Century Schoolbook"/>
        </w:rPr>
        <w:t xml:space="preserve"> capacity to effectively anonymise</w:t>
      </w:r>
      <w:r w:rsidR="00A34379">
        <w:rPr>
          <w:rFonts w:ascii="Century Schoolbook" w:hAnsi="Century Schoolbook"/>
        </w:rPr>
        <w:t xml:space="preserve"> data</w:t>
      </w:r>
      <w:r w:rsidRPr="00B324F6">
        <w:rPr>
          <w:rFonts w:ascii="Century Schoolbook" w:hAnsi="Century Schoolbook"/>
        </w:rPr>
        <w:t xml:space="preserve">.  </w:t>
      </w:r>
      <w:r w:rsidR="00DC547E" w:rsidRPr="00B324F6">
        <w:rPr>
          <w:rFonts w:ascii="Century Schoolbook" w:hAnsi="Century Schoolbook"/>
        </w:rPr>
        <w:t>In this context, g</w:t>
      </w:r>
      <w:r w:rsidRPr="00B324F6">
        <w:rPr>
          <w:rFonts w:ascii="Century Schoolbook" w:hAnsi="Century Schoolbook"/>
        </w:rPr>
        <w:t xml:space="preserve">overnments, clinicians and the research community must demonstrate that they can be responsible stewards of health data.  IRBs and RECs sit at heart of this process because in many jurisdictions they have the capacity to grant consent waivers when research is judged to be of </w:t>
      </w:r>
      <w:proofErr w:type="gramStart"/>
      <w:r w:rsidRPr="00B324F6">
        <w:rPr>
          <w:rFonts w:ascii="Century Schoolbook" w:hAnsi="Century Schoolbook"/>
        </w:rPr>
        <w:t>particular value</w:t>
      </w:r>
      <w:proofErr w:type="gramEnd"/>
      <w:r w:rsidRPr="00B324F6">
        <w:rPr>
          <w:rFonts w:ascii="Century Schoolbook" w:hAnsi="Century Schoolbook"/>
        </w:rPr>
        <w:t>. However</w:t>
      </w:r>
      <w:r w:rsidR="00F93A73">
        <w:rPr>
          <w:rFonts w:ascii="Century Schoolbook" w:hAnsi="Century Schoolbook"/>
        </w:rPr>
        <w:t>,</w:t>
      </w:r>
      <w:r w:rsidRPr="00B324F6">
        <w:rPr>
          <w:rFonts w:ascii="Century Schoolbook" w:hAnsi="Century Schoolbook"/>
        </w:rPr>
        <w:t xml:space="preserve"> </w:t>
      </w:r>
      <w:r w:rsidR="002909BA">
        <w:rPr>
          <w:rFonts w:ascii="Century Schoolbook" w:hAnsi="Century Schoolbook"/>
        </w:rPr>
        <w:t>several</w:t>
      </w:r>
      <w:r w:rsidR="002909BA" w:rsidRPr="00B324F6">
        <w:rPr>
          <w:rFonts w:ascii="Century Schoolbook" w:hAnsi="Century Schoolbook"/>
        </w:rPr>
        <w:t xml:space="preserve"> </w:t>
      </w:r>
      <w:r w:rsidR="00A34379">
        <w:rPr>
          <w:rFonts w:ascii="Century Schoolbook" w:hAnsi="Century Schoolbook"/>
        </w:rPr>
        <w:t xml:space="preserve">different </w:t>
      </w:r>
      <w:r w:rsidRPr="00B324F6">
        <w:rPr>
          <w:rFonts w:ascii="Century Schoolbook" w:hAnsi="Century Schoolbook"/>
        </w:rPr>
        <w:t>terms are used to refer to this value (including public interest, public benefit, public good, and social value)</w:t>
      </w:r>
      <w:r w:rsidR="00A34379">
        <w:rPr>
          <w:rFonts w:ascii="Century Schoolbook" w:hAnsi="Century Schoolbook"/>
        </w:rPr>
        <w:t xml:space="preserve">, </w:t>
      </w:r>
      <w:r w:rsidRPr="00B324F6">
        <w:rPr>
          <w:rFonts w:ascii="Century Schoolbook" w:hAnsi="Century Schoolbook"/>
        </w:rPr>
        <w:t>indicat</w:t>
      </w:r>
      <w:r w:rsidR="00A34379">
        <w:rPr>
          <w:rFonts w:ascii="Century Schoolbook" w:hAnsi="Century Schoolbook"/>
        </w:rPr>
        <w:t>ing</w:t>
      </w:r>
      <w:r w:rsidRPr="00B324F6">
        <w:rPr>
          <w:rFonts w:ascii="Century Schoolbook" w:hAnsi="Century Schoolbook"/>
        </w:rPr>
        <w:t xml:space="preserve"> a lack of conceptual clarity regarding the appropriate test for access to </w:t>
      </w:r>
      <w:r w:rsidR="00DC547E" w:rsidRPr="00B324F6">
        <w:rPr>
          <w:rFonts w:ascii="Century Schoolbook" w:hAnsi="Century Schoolbook"/>
        </w:rPr>
        <w:t xml:space="preserve">health </w:t>
      </w:r>
      <w:r w:rsidRPr="00B324F6">
        <w:rPr>
          <w:rFonts w:ascii="Century Schoolbook" w:hAnsi="Century Schoolbook"/>
        </w:rPr>
        <w:t>data for research without consent.</w:t>
      </w:r>
    </w:p>
    <w:p w14:paraId="4831F86D" w14:textId="08FF8DF3" w:rsidR="0045572C" w:rsidRPr="00B324F6" w:rsidRDefault="0045572C" w:rsidP="00B324F6">
      <w:pPr>
        <w:jc w:val="both"/>
        <w:rPr>
          <w:rFonts w:ascii="Century Schoolbook" w:hAnsi="Century Schoolbook"/>
        </w:rPr>
      </w:pPr>
      <w:r w:rsidRPr="00B324F6">
        <w:rPr>
          <w:rFonts w:ascii="Century Schoolbook" w:hAnsi="Century Schoolbook"/>
        </w:rPr>
        <w:t xml:space="preserve">In this paper we do three things. </w:t>
      </w:r>
      <w:proofErr w:type="gramStart"/>
      <w:r w:rsidRPr="00B324F6">
        <w:rPr>
          <w:rFonts w:ascii="Century Schoolbook" w:hAnsi="Century Schoolbook"/>
        </w:rPr>
        <w:t>First</w:t>
      </w:r>
      <w:proofErr w:type="gramEnd"/>
      <w:r w:rsidRPr="00B324F6">
        <w:rPr>
          <w:rFonts w:ascii="Century Schoolbook" w:hAnsi="Century Schoolbook"/>
        </w:rPr>
        <w:t xml:space="preserve"> we describe the current confusion and instability in terminology relating to public interest in the context of consent waivers. </w:t>
      </w:r>
      <w:proofErr w:type="gramStart"/>
      <w:r w:rsidRPr="00B324F6">
        <w:rPr>
          <w:rFonts w:ascii="Century Schoolbook" w:hAnsi="Century Schoolbook"/>
        </w:rPr>
        <w:t>Second</w:t>
      </w:r>
      <w:proofErr w:type="gramEnd"/>
      <w:r w:rsidRPr="00B324F6">
        <w:rPr>
          <w:rFonts w:ascii="Century Schoolbook" w:hAnsi="Century Schoolbook"/>
        </w:rPr>
        <w:t xml:space="preserve"> we argue for harmonisation of terminology on the grounds of clarity, transparency and consistency. Third we argue that the term ‘public interest’</w:t>
      </w:r>
      <w:r w:rsidR="00A34379">
        <w:rPr>
          <w:rFonts w:ascii="Century Schoolbook" w:hAnsi="Century Schoolbook"/>
        </w:rPr>
        <w:t xml:space="preserve"> best reflects the normative work required to justify consent waivers because</w:t>
      </w:r>
      <w:r w:rsidRPr="00B324F6">
        <w:rPr>
          <w:rFonts w:ascii="Century Schoolbook" w:hAnsi="Century Schoolbook"/>
        </w:rPr>
        <w:t xml:space="preserve"> is the broadest of the competing terms</w:t>
      </w:r>
      <w:r w:rsidR="00A34379">
        <w:rPr>
          <w:rFonts w:ascii="Century Schoolbook" w:hAnsi="Century Schoolbook"/>
        </w:rPr>
        <w:t xml:space="preserve">. ‘Public interest’ contains </w:t>
      </w:r>
      <w:r w:rsidRPr="00B324F6">
        <w:rPr>
          <w:rFonts w:ascii="Century Schoolbook" w:hAnsi="Century Schoolbook"/>
        </w:rPr>
        <w:t xml:space="preserve">within its scope positive and negative implications of a study, as well as welfare, justice and rights considerations. In </w:t>
      </w:r>
      <w:r w:rsidR="00F93A73">
        <w:rPr>
          <w:rFonts w:ascii="Century Schoolbook" w:hAnsi="Century Schoolbook"/>
        </w:rPr>
        <w:t>making this argument</w:t>
      </w:r>
      <w:r w:rsidRPr="00B324F6">
        <w:rPr>
          <w:rFonts w:ascii="Century Schoolbook" w:hAnsi="Century Schoolbook"/>
        </w:rPr>
        <w:t xml:space="preserve">, we </w:t>
      </w:r>
      <w:r w:rsidR="002909BA">
        <w:rPr>
          <w:rFonts w:ascii="Century Schoolbook" w:hAnsi="Century Schoolbook"/>
        </w:rPr>
        <w:t>explain</w:t>
      </w:r>
      <w:r w:rsidR="002909BA" w:rsidRPr="00B324F6">
        <w:rPr>
          <w:rFonts w:ascii="Century Schoolbook" w:hAnsi="Century Schoolbook"/>
        </w:rPr>
        <w:t xml:space="preserve"> </w:t>
      </w:r>
      <w:r w:rsidRPr="00B324F6">
        <w:rPr>
          <w:rFonts w:ascii="Century Schoolbook" w:hAnsi="Century Schoolbook"/>
        </w:rPr>
        <w:t xml:space="preserve">the normative basis for consent waivers, and provide a starting place for further discussion about the precise conditions in which a given study can be said to advance the public interest. </w:t>
      </w:r>
    </w:p>
    <w:p w14:paraId="320B6881" w14:textId="5314EA18" w:rsidR="005A5000" w:rsidRPr="00B324F6" w:rsidRDefault="005A5000" w:rsidP="00B324F6">
      <w:pPr>
        <w:jc w:val="both"/>
        <w:rPr>
          <w:rFonts w:ascii="Century Schoolbook" w:hAnsi="Century Schoolbook"/>
        </w:rPr>
      </w:pPr>
    </w:p>
    <w:p w14:paraId="51C96E50" w14:textId="2C044D00" w:rsidR="002B40FB" w:rsidRPr="00B324F6" w:rsidRDefault="002B40FB" w:rsidP="00B324F6">
      <w:pPr>
        <w:jc w:val="both"/>
        <w:rPr>
          <w:rFonts w:ascii="Century Schoolbook" w:hAnsi="Century Schoolbook"/>
        </w:rPr>
      </w:pPr>
    </w:p>
    <w:p w14:paraId="3C0ACAD2" w14:textId="77777777" w:rsidR="002B40FB" w:rsidRPr="00B324F6" w:rsidRDefault="002B40FB" w:rsidP="00B324F6">
      <w:pPr>
        <w:jc w:val="both"/>
        <w:rPr>
          <w:rFonts w:ascii="Century Schoolbook" w:hAnsi="Century Schoolbook"/>
        </w:rPr>
      </w:pPr>
    </w:p>
    <w:p w14:paraId="2D64BB02" w14:textId="77777777" w:rsidR="00023F7C" w:rsidRPr="00B324F6" w:rsidRDefault="00023F7C" w:rsidP="00B324F6">
      <w:pPr>
        <w:shd w:val="clear" w:color="auto" w:fill="FFFFFF"/>
        <w:spacing w:after="0" w:line="0" w:lineRule="auto"/>
        <w:jc w:val="both"/>
        <w:rPr>
          <w:rFonts w:ascii="Century Schoolbook" w:eastAsia="Times New Roman" w:hAnsi="Century Schoolbook" w:cs="Times New Roman"/>
          <w:color w:val="231F20"/>
          <w:sz w:val="63"/>
          <w:szCs w:val="63"/>
          <w:lang w:val="en-US"/>
        </w:rPr>
      </w:pPr>
      <w:r w:rsidRPr="00B324F6">
        <w:rPr>
          <w:rFonts w:ascii="Century Schoolbook" w:eastAsia="Times New Roman" w:hAnsi="Century Schoolbook" w:cs="Times New Roman"/>
          <w:color w:val="231F20"/>
          <w:sz w:val="63"/>
          <w:szCs w:val="63"/>
          <w:lang w:val="en-US"/>
        </w:rPr>
        <w:t>Ipsos MORI study found that:</w:t>
      </w:r>
    </w:p>
    <w:p w14:paraId="0C670948" w14:textId="77777777" w:rsidR="00023F7C" w:rsidRPr="00B324F6" w:rsidRDefault="00023F7C" w:rsidP="00B324F6">
      <w:pPr>
        <w:shd w:val="clear" w:color="auto" w:fill="FFFFFF"/>
        <w:spacing w:after="0" w:line="0" w:lineRule="auto"/>
        <w:jc w:val="both"/>
        <w:rPr>
          <w:rFonts w:ascii="Century Schoolbook" w:eastAsia="Times New Roman" w:hAnsi="Century Schoolbook" w:cs="Times New Roman"/>
          <w:color w:val="231F20"/>
          <w:sz w:val="57"/>
          <w:szCs w:val="57"/>
          <w:lang w:val="en-US"/>
        </w:rPr>
      </w:pPr>
      <w:r w:rsidRPr="00B324F6">
        <w:rPr>
          <w:rFonts w:ascii="Century Schoolbook" w:eastAsia="Times New Roman" w:hAnsi="Century Schoolbook" w:cs="Times New Roman"/>
          <w:color w:val="231F20"/>
          <w:sz w:val="57"/>
          <w:szCs w:val="57"/>
          <w:lang w:val="en-US"/>
        </w:rPr>
        <w:t>. . . the public would be broadly happy with administrative data-linking for</w:t>
      </w:r>
    </w:p>
    <w:p w14:paraId="67DBC28E" w14:textId="77777777" w:rsidR="00023F7C" w:rsidRPr="00B324F6" w:rsidRDefault="00023F7C" w:rsidP="00B324F6">
      <w:pPr>
        <w:shd w:val="clear" w:color="auto" w:fill="FFFFFF"/>
        <w:spacing w:after="0" w:line="0" w:lineRule="auto"/>
        <w:jc w:val="both"/>
        <w:rPr>
          <w:rFonts w:ascii="Century Schoolbook" w:eastAsia="Times New Roman" w:hAnsi="Century Schoolbook" w:cs="Times New Roman"/>
          <w:color w:val="231F20"/>
          <w:sz w:val="57"/>
          <w:szCs w:val="57"/>
          <w:lang w:val="en-US"/>
        </w:rPr>
      </w:pPr>
      <w:r w:rsidRPr="00B324F6">
        <w:rPr>
          <w:rFonts w:ascii="Century Schoolbook" w:eastAsia="Times New Roman" w:hAnsi="Century Schoolbook" w:cs="Times New Roman"/>
          <w:color w:val="231F20"/>
          <w:sz w:val="57"/>
          <w:szCs w:val="57"/>
          <w:lang w:val="en-US"/>
        </w:rPr>
        <w:t>research projects provided (</w:t>
      </w:r>
      <w:proofErr w:type="spellStart"/>
      <w:r w:rsidRPr="00B324F6">
        <w:rPr>
          <w:rFonts w:ascii="Century Schoolbook" w:eastAsia="Times New Roman" w:hAnsi="Century Schoolbook" w:cs="Times New Roman"/>
          <w:color w:val="231F20"/>
          <w:sz w:val="57"/>
          <w:szCs w:val="57"/>
          <w:lang w:val="en-US"/>
        </w:rPr>
        <w:t>i</w:t>
      </w:r>
      <w:proofErr w:type="spellEnd"/>
      <w:r w:rsidRPr="00B324F6">
        <w:rPr>
          <w:rFonts w:ascii="Century Schoolbook" w:eastAsia="Times New Roman" w:hAnsi="Century Schoolbook" w:cs="Times New Roman"/>
          <w:color w:val="231F20"/>
          <w:sz w:val="57"/>
          <w:szCs w:val="57"/>
          <w:lang w:val="en-US"/>
        </w:rPr>
        <w:t>) those projects have social value, broadly defined</w:t>
      </w:r>
    </w:p>
    <w:p w14:paraId="74C3B2A6" w14:textId="77777777" w:rsidR="00023F7C" w:rsidRPr="00B324F6" w:rsidRDefault="00023F7C" w:rsidP="00B324F6">
      <w:pPr>
        <w:shd w:val="clear" w:color="auto" w:fill="FFFFFF"/>
        <w:spacing w:after="0" w:line="0" w:lineRule="auto"/>
        <w:jc w:val="both"/>
        <w:rPr>
          <w:rFonts w:ascii="Century Schoolbook" w:eastAsia="Times New Roman" w:hAnsi="Century Schoolbook" w:cs="Times New Roman"/>
          <w:color w:val="231F20"/>
          <w:sz w:val="57"/>
          <w:szCs w:val="57"/>
          <w:lang w:val="en-US"/>
        </w:rPr>
      </w:pPr>
      <w:r w:rsidRPr="00B324F6">
        <w:rPr>
          <w:rFonts w:ascii="Century Schoolbook" w:eastAsia="Times New Roman" w:hAnsi="Century Schoolbook" w:cs="Times New Roman"/>
          <w:color w:val="231F20"/>
          <w:sz w:val="57"/>
          <w:szCs w:val="57"/>
          <w:lang w:val="en-US"/>
        </w:rPr>
        <w:t>(ii) data is de-identified, (iii) data is kept secure, and (iv) businesses are not</w:t>
      </w:r>
    </w:p>
    <w:p w14:paraId="12A98E2E" w14:textId="77777777" w:rsidR="00023F7C" w:rsidRPr="00B324F6" w:rsidRDefault="00023F7C" w:rsidP="00B324F6">
      <w:pPr>
        <w:shd w:val="clear" w:color="auto" w:fill="FFFFFF"/>
        <w:spacing w:after="0" w:line="0" w:lineRule="auto"/>
        <w:jc w:val="both"/>
        <w:rPr>
          <w:rFonts w:ascii="Century Schoolbook" w:eastAsia="Times New Roman" w:hAnsi="Century Schoolbook" w:cs="Times New Roman"/>
          <w:color w:val="231F20"/>
          <w:sz w:val="57"/>
          <w:szCs w:val="57"/>
          <w:lang w:val="en-US"/>
        </w:rPr>
      </w:pPr>
      <w:r w:rsidRPr="00B324F6">
        <w:rPr>
          <w:rFonts w:ascii="Century Schoolbook" w:eastAsia="Times New Roman" w:hAnsi="Century Schoolbook" w:cs="Times New Roman"/>
          <w:color w:val="231F20"/>
          <w:sz w:val="57"/>
          <w:szCs w:val="57"/>
          <w:lang w:val="en-US"/>
        </w:rPr>
        <w:t>able to access the data for profit.</w:t>
      </w:r>
    </w:p>
    <w:p w14:paraId="0DC04891" w14:textId="77777777" w:rsidR="0011680F" w:rsidRPr="00B324F6" w:rsidRDefault="0011680F" w:rsidP="00B324F6">
      <w:pPr>
        <w:spacing w:after="0"/>
        <w:jc w:val="both"/>
        <w:rPr>
          <w:rFonts w:ascii="Century Schoolbook" w:hAnsi="Century Schoolbook"/>
        </w:rPr>
      </w:pPr>
    </w:p>
    <w:p w14:paraId="24AC8B97" w14:textId="77777777" w:rsidR="008A3FD5" w:rsidRPr="00B324F6" w:rsidRDefault="008A3FD5" w:rsidP="00B324F6">
      <w:pPr>
        <w:spacing w:after="0"/>
        <w:jc w:val="both"/>
        <w:rPr>
          <w:rFonts w:ascii="Century Schoolbook" w:hAnsi="Century Schoolbook"/>
        </w:rPr>
      </w:pPr>
      <w:r w:rsidRPr="00B324F6">
        <w:rPr>
          <w:rFonts w:ascii="Century Schoolbook" w:hAnsi="Century Schoolbook"/>
        </w:rPr>
        <w:br w:type="page"/>
      </w:r>
    </w:p>
    <w:p w14:paraId="0A73DA14" w14:textId="3FCD777E" w:rsidR="00406A14" w:rsidRPr="00B324F6" w:rsidRDefault="00E22457" w:rsidP="00B324F6">
      <w:pPr>
        <w:spacing w:after="0"/>
        <w:jc w:val="both"/>
        <w:rPr>
          <w:rFonts w:ascii="Century Schoolbook" w:hAnsi="Century Schoolbook"/>
          <w:b/>
        </w:rPr>
      </w:pPr>
      <w:bookmarkStart w:id="1" w:name="_Hlk32701197"/>
      <w:r w:rsidRPr="00B324F6">
        <w:rPr>
          <w:rFonts w:ascii="Century Schoolbook" w:hAnsi="Century Schoolbook"/>
          <w:b/>
        </w:rPr>
        <w:lastRenderedPageBreak/>
        <w:t xml:space="preserve">Introduction </w:t>
      </w:r>
    </w:p>
    <w:p w14:paraId="3722741E" w14:textId="77777777" w:rsidR="00E22457" w:rsidRPr="00B324F6" w:rsidRDefault="00E22457" w:rsidP="00B324F6">
      <w:pPr>
        <w:spacing w:after="0"/>
        <w:jc w:val="both"/>
        <w:rPr>
          <w:rFonts w:ascii="Century Schoolbook" w:hAnsi="Century Schoolbook"/>
        </w:rPr>
      </w:pPr>
    </w:p>
    <w:p w14:paraId="1981E9EA" w14:textId="2556DE35" w:rsidR="009B5B92" w:rsidRPr="00B324F6" w:rsidRDefault="00406A14" w:rsidP="00B324F6">
      <w:pPr>
        <w:spacing w:after="0"/>
        <w:jc w:val="both"/>
        <w:rPr>
          <w:rFonts w:ascii="Century Schoolbook" w:hAnsi="Century Schoolbook"/>
        </w:rPr>
      </w:pPr>
      <w:r w:rsidRPr="00B324F6">
        <w:rPr>
          <w:rFonts w:ascii="Century Schoolbook" w:hAnsi="Century Schoolbook"/>
        </w:rPr>
        <w:t>Routine</w:t>
      </w:r>
      <w:r w:rsidR="00D04911" w:rsidRPr="00B324F6">
        <w:rPr>
          <w:rFonts w:ascii="Century Schoolbook" w:hAnsi="Century Schoolbook"/>
        </w:rPr>
        <w:t>ly gathered</w:t>
      </w:r>
      <w:r w:rsidRPr="00B324F6">
        <w:rPr>
          <w:rFonts w:ascii="Century Schoolbook" w:hAnsi="Century Schoolbook"/>
        </w:rPr>
        <w:t xml:space="preserve"> patient health data ha</w:t>
      </w:r>
      <w:r w:rsidR="000B4361" w:rsidRPr="00B324F6">
        <w:rPr>
          <w:rFonts w:ascii="Century Schoolbook" w:hAnsi="Century Schoolbook"/>
        </w:rPr>
        <w:t>ve</w:t>
      </w:r>
      <w:r w:rsidRPr="00B324F6">
        <w:rPr>
          <w:rFonts w:ascii="Century Schoolbook" w:hAnsi="Century Schoolbook"/>
        </w:rPr>
        <w:t xml:space="preserve"> the potential to transform healthcare.</w:t>
      </w:r>
      <w:r w:rsidR="00846EA6" w:rsidRPr="00577B64">
        <w:rPr>
          <w:rStyle w:val="FootnoteReference"/>
        </w:rPr>
        <w:footnoteReference w:id="2"/>
      </w:r>
      <w:r w:rsidRPr="00B324F6">
        <w:rPr>
          <w:rFonts w:ascii="Century Schoolbook" w:hAnsi="Century Schoolbook"/>
        </w:rPr>
        <w:t xml:space="preserve"> </w:t>
      </w:r>
      <w:r w:rsidR="00B75381" w:rsidRPr="00B324F6">
        <w:rPr>
          <w:rFonts w:ascii="Century Schoolbook" w:hAnsi="Century Schoolbook"/>
        </w:rPr>
        <w:t xml:space="preserve">Data </w:t>
      </w:r>
      <w:r w:rsidRPr="00B324F6">
        <w:rPr>
          <w:rFonts w:ascii="Century Schoolbook" w:hAnsi="Century Schoolbook"/>
        </w:rPr>
        <w:t xml:space="preserve">is critical to precision medicine, </w:t>
      </w:r>
      <w:r w:rsidR="002A4716" w:rsidRPr="00B324F6">
        <w:rPr>
          <w:rFonts w:ascii="Century Schoolbook" w:hAnsi="Century Schoolbook"/>
        </w:rPr>
        <w:t>understanding</w:t>
      </w:r>
      <w:r w:rsidR="009B5B92" w:rsidRPr="00B324F6">
        <w:rPr>
          <w:rFonts w:ascii="Century Schoolbook" w:hAnsi="Century Schoolbook"/>
        </w:rPr>
        <w:t xml:space="preserve"> service</w:t>
      </w:r>
      <w:r w:rsidR="002A4716" w:rsidRPr="00B324F6">
        <w:rPr>
          <w:rFonts w:ascii="Century Schoolbook" w:hAnsi="Century Schoolbook"/>
        </w:rPr>
        <w:t xml:space="preserve"> utilisation, training </w:t>
      </w:r>
      <w:r w:rsidR="009B5B92" w:rsidRPr="00B324F6">
        <w:rPr>
          <w:rFonts w:ascii="Century Schoolbook" w:hAnsi="Century Schoolbook"/>
        </w:rPr>
        <w:t>artificial intelligence (AI)</w:t>
      </w:r>
      <w:r w:rsidR="002A4716" w:rsidRPr="00B324F6">
        <w:rPr>
          <w:rFonts w:ascii="Century Schoolbook" w:hAnsi="Century Schoolbook"/>
        </w:rPr>
        <w:t xml:space="preserve"> and </w:t>
      </w:r>
      <w:r w:rsidR="009B5B92" w:rsidRPr="00B324F6">
        <w:rPr>
          <w:rFonts w:ascii="Century Schoolbook" w:hAnsi="Century Schoolbook"/>
        </w:rPr>
        <w:t>improving diagnostic accuracy.  The</w:t>
      </w:r>
      <w:r w:rsidRPr="00B324F6">
        <w:rPr>
          <w:rFonts w:ascii="Century Schoolbook" w:hAnsi="Century Schoolbook"/>
        </w:rPr>
        <w:t xml:space="preserve"> volume</w:t>
      </w:r>
      <w:r w:rsidR="009B5B92" w:rsidRPr="00B324F6">
        <w:rPr>
          <w:rFonts w:ascii="Century Schoolbook" w:hAnsi="Century Schoolbook"/>
        </w:rPr>
        <w:t xml:space="preserve"> of health data</w:t>
      </w:r>
      <w:r w:rsidRPr="00B324F6">
        <w:rPr>
          <w:rFonts w:ascii="Century Schoolbook" w:hAnsi="Century Schoolbook"/>
        </w:rPr>
        <w:t xml:space="preserve"> and </w:t>
      </w:r>
      <w:r w:rsidR="002A4716" w:rsidRPr="00B324F6">
        <w:rPr>
          <w:rFonts w:ascii="Century Schoolbook" w:hAnsi="Century Schoolbook"/>
        </w:rPr>
        <w:t>its</w:t>
      </w:r>
      <w:r w:rsidR="008B5263" w:rsidRPr="00B324F6">
        <w:rPr>
          <w:rFonts w:ascii="Century Schoolbook" w:hAnsi="Century Schoolbook"/>
        </w:rPr>
        <w:t xml:space="preserve"> potential value</w:t>
      </w:r>
      <w:r w:rsidR="009B5B92" w:rsidRPr="00B324F6">
        <w:rPr>
          <w:rFonts w:ascii="Century Schoolbook" w:hAnsi="Century Schoolbook"/>
        </w:rPr>
        <w:t xml:space="preserve"> is increasing. In turn, demand for access to routine health data is growing, within and outside of the health sector and in both the public and private spheres.  </w:t>
      </w:r>
    </w:p>
    <w:p w14:paraId="27F775C6" w14:textId="77777777" w:rsidR="009B5B92" w:rsidRPr="00B324F6" w:rsidRDefault="009B5B92" w:rsidP="00B324F6">
      <w:pPr>
        <w:spacing w:after="0"/>
        <w:jc w:val="both"/>
        <w:rPr>
          <w:rFonts w:ascii="Century Schoolbook" w:hAnsi="Century Schoolbook"/>
        </w:rPr>
      </w:pPr>
    </w:p>
    <w:p w14:paraId="672BB017" w14:textId="1C67BF7B" w:rsidR="00C850CD" w:rsidRPr="00B324F6" w:rsidRDefault="00C850CD" w:rsidP="00B324F6">
      <w:pPr>
        <w:spacing w:after="0"/>
        <w:jc w:val="both"/>
        <w:rPr>
          <w:rFonts w:ascii="Century Schoolbook" w:hAnsi="Century Schoolbook"/>
        </w:rPr>
      </w:pPr>
      <w:r w:rsidRPr="00B324F6">
        <w:rPr>
          <w:rFonts w:ascii="Century Schoolbook" w:hAnsi="Century Schoolbook"/>
        </w:rPr>
        <w:t>Research ethics</w:t>
      </w:r>
      <w:r w:rsidR="00130433" w:rsidRPr="00B324F6">
        <w:rPr>
          <w:rFonts w:ascii="Century Schoolbook" w:hAnsi="Century Schoolbook"/>
        </w:rPr>
        <w:t xml:space="preserve"> standards</w:t>
      </w:r>
      <w:r w:rsidRPr="00B324F6">
        <w:rPr>
          <w:rFonts w:ascii="Century Schoolbook" w:hAnsi="Century Schoolbook"/>
        </w:rPr>
        <w:t xml:space="preserve"> are undergoing revision in many jurisdictions as governments attempt to respond to </w:t>
      </w:r>
      <w:r w:rsidR="001A29BF" w:rsidRPr="00B324F6">
        <w:rPr>
          <w:rFonts w:ascii="Century Schoolbook" w:hAnsi="Century Schoolbook"/>
        </w:rPr>
        <w:t>advances</w:t>
      </w:r>
      <w:r w:rsidRPr="00B324F6">
        <w:rPr>
          <w:rFonts w:ascii="Century Schoolbook" w:hAnsi="Century Schoolbook"/>
        </w:rPr>
        <w:t xml:space="preserve"> in technology and </w:t>
      </w:r>
      <w:r w:rsidR="001A29BF" w:rsidRPr="00B324F6">
        <w:rPr>
          <w:rFonts w:ascii="Century Schoolbook" w:hAnsi="Century Schoolbook"/>
        </w:rPr>
        <w:t xml:space="preserve">demand for data. </w:t>
      </w:r>
      <w:r w:rsidRPr="00B324F6">
        <w:rPr>
          <w:rFonts w:ascii="Century Schoolbook" w:hAnsi="Century Schoolbook"/>
        </w:rPr>
        <w:t>Options to effectively</w:t>
      </w:r>
      <w:r w:rsidRPr="00B324F6">
        <w:rPr>
          <w:rFonts w:ascii="Century Schoolbook" w:hAnsi="Century Schoolbook"/>
          <w:i/>
        </w:rPr>
        <w:t xml:space="preserve"> anonymise</w:t>
      </w:r>
      <w:r w:rsidRPr="00B324F6">
        <w:rPr>
          <w:rFonts w:ascii="Century Schoolbook" w:hAnsi="Century Schoolbook"/>
        </w:rPr>
        <w:t xml:space="preserve"> clinical or genomic data are dwindl</w:t>
      </w:r>
      <w:r w:rsidR="00130433" w:rsidRPr="00B324F6">
        <w:rPr>
          <w:rFonts w:ascii="Century Schoolbook" w:hAnsi="Century Schoolbook"/>
        </w:rPr>
        <w:t>ing</w:t>
      </w:r>
      <w:r w:rsidRPr="00B324F6">
        <w:rPr>
          <w:rFonts w:ascii="Century Schoolbook" w:hAnsi="Century Schoolbook"/>
        </w:rPr>
        <w:t xml:space="preserve"> rapidly</w:t>
      </w:r>
      <w:r w:rsidR="001A29BF" w:rsidRPr="00B324F6">
        <w:rPr>
          <w:rFonts w:ascii="Century Schoolbook" w:hAnsi="Century Schoolbook"/>
        </w:rPr>
        <w:t>.</w:t>
      </w:r>
      <w:r w:rsidR="001878FC" w:rsidRPr="00B324F6">
        <w:rPr>
          <w:rFonts w:ascii="Century Schoolbook" w:hAnsi="Century Schoolbook"/>
        </w:rPr>
        <w:fldChar w:fldCharType="begin"/>
      </w:r>
      <w:r w:rsidR="00D17BA1">
        <w:rPr>
          <w:rFonts w:ascii="Century Schoolbook" w:hAnsi="Century Schoolbook"/>
        </w:rPr>
        <w:instrText xml:space="preserve"> ADDIN ZOTERO_ITEM CSL_CITATION {"citationID":"qvX7oh06","properties":{"formattedCitation":"[1,2]","plainCitation":"[1,2]","noteIndex":0},"citationItems":[{"id":1824,"uris":["http://zotero.org/users/1170976/items/6DCFD6N2"],"uri":["http://zotero.org/users/1170976/items/6DCFD6N2"],"itemData":{"id":1824,"type":"article-journal","container-title":"Annual Review of Genomics and Human Genetics","DOI":"10.1146/annurev-genom-082410-101454","ISSN":"1527-8204, 1545-293X","issue":"1","language":"en","page":"415-431","source":"Crossref","title":"The Tension Between Data Sharing and the Protection of Privacy in Genomics Research","volume":"13","author":[{"family":"Kaye","given":"Jane"}],"issued":{"date-parts":[["2012",9,22]]}}},{"id":1823,"uris":["http://zotero.org/users/1170976/items/6XGCWNHK"],"uri":["http://zotero.org/users/1170976/items/6XGCWNHK"],"itemData":{"id":1823,"type":"article-journal","container-title":"BMC Medical Research Methodology","DOI":"10.1186/s12874-016-0169-4","ISSN":"1471-2288","issue":"S1","language":"en","source":"Crossref","title":"Protecting patient privacy when sharing patient-level data from clinical trials","URL":"http://bmcmedresmethodol.biomedcentral.com/articles/10.1186/s12874-016-0169-4","volume":"16","author":[{"family":"Tucker","given":"Katherine"},{"family":"Branson","given":"Janice"},{"family":"Dilleen","given":"Maria"},{"family":"Hollis","given":"Sally"},{"family":"Loughlin","given":"Paul"},{"family":"Nixon","given":"Mark J."},{"family":"Williams","given":"Zoë"}],"accessed":{"date-parts":[["2020",2,10]]},"issued":{"date-parts":[["2016",7]]}}}],"schema":"https://github.com/citation-style-language/schema/raw/master/csl-citation.json"} </w:instrText>
      </w:r>
      <w:r w:rsidR="001878FC" w:rsidRPr="00B324F6">
        <w:rPr>
          <w:rFonts w:ascii="Century Schoolbook" w:hAnsi="Century Schoolbook"/>
        </w:rPr>
        <w:fldChar w:fldCharType="separate"/>
      </w:r>
      <w:r w:rsidR="00877007" w:rsidRPr="00B324F6">
        <w:rPr>
          <w:rFonts w:ascii="Century Schoolbook" w:hAnsi="Century Schoolbook" w:cs="Calibri"/>
        </w:rPr>
        <w:t>[1,2]</w:t>
      </w:r>
      <w:r w:rsidR="001878FC" w:rsidRPr="00B324F6">
        <w:rPr>
          <w:rFonts w:ascii="Century Schoolbook" w:hAnsi="Century Schoolbook"/>
        </w:rPr>
        <w:fldChar w:fldCharType="end"/>
      </w:r>
      <w:r w:rsidR="001A29BF" w:rsidRPr="00B324F6">
        <w:rPr>
          <w:rFonts w:ascii="Century Schoolbook" w:hAnsi="Century Schoolbook"/>
        </w:rPr>
        <w:t xml:space="preserve"> Therefore</w:t>
      </w:r>
      <w:r w:rsidRPr="00B324F6">
        <w:rPr>
          <w:rFonts w:ascii="Century Schoolbook" w:hAnsi="Century Schoolbook"/>
        </w:rPr>
        <w:t xml:space="preserve">, data sharing now involves </w:t>
      </w:r>
      <w:r w:rsidR="00130433" w:rsidRPr="00B324F6">
        <w:rPr>
          <w:rFonts w:ascii="Century Schoolbook" w:hAnsi="Century Schoolbook"/>
        </w:rPr>
        <w:t xml:space="preserve">either </w:t>
      </w:r>
      <w:r w:rsidRPr="00B324F6">
        <w:rPr>
          <w:rFonts w:ascii="Century Schoolbook" w:hAnsi="Century Schoolbook"/>
        </w:rPr>
        <w:t>de-identified or identifi</w:t>
      </w:r>
      <w:r w:rsidR="00130433" w:rsidRPr="00B324F6">
        <w:rPr>
          <w:rFonts w:ascii="Century Schoolbook" w:hAnsi="Century Schoolbook"/>
        </w:rPr>
        <w:t>able</w:t>
      </w:r>
      <w:r w:rsidRPr="00B324F6">
        <w:rPr>
          <w:rFonts w:ascii="Century Schoolbook" w:hAnsi="Century Schoolbook"/>
        </w:rPr>
        <w:t xml:space="preserve"> data. De-identified data can be potentially re-</w:t>
      </w:r>
      <w:proofErr w:type="gramStart"/>
      <w:r w:rsidRPr="00B324F6">
        <w:rPr>
          <w:rFonts w:ascii="Century Schoolbook" w:hAnsi="Century Schoolbook"/>
        </w:rPr>
        <w:t>indented</w:t>
      </w:r>
      <w:proofErr w:type="gramEnd"/>
      <w:r w:rsidRPr="00B324F6">
        <w:rPr>
          <w:rFonts w:ascii="Century Schoolbook" w:hAnsi="Century Schoolbook"/>
        </w:rPr>
        <w:t xml:space="preserve"> and this risk varies depending </w:t>
      </w:r>
      <w:r w:rsidR="00130433" w:rsidRPr="00B324F6">
        <w:rPr>
          <w:rFonts w:ascii="Century Schoolbook" w:hAnsi="Century Schoolbook"/>
        </w:rPr>
        <w:t>on the</w:t>
      </w:r>
      <w:r w:rsidRPr="00B324F6">
        <w:rPr>
          <w:rFonts w:ascii="Century Schoolbook" w:hAnsi="Century Schoolbook"/>
        </w:rPr>
        <w:t xml:space="preserve"> nature of the data, the de-identification techniques used and environmental factors such as </w:t>
      </w:r>
      <w:r w:rsidR="001878FC" w:rsidRPr="00B324F6">
        <w:rPr>
          <w:rFonts w:ascii="Century Schoolbook" w:hAnsi="Century Schoolbook"/>
        </w:rPr>
        <w:t>the possibilities for data linkage</w:t>
      </w:r>
      <w:r w:rsidRPr="00B324F6">
        <w:rPr>
          <w:rFonts w:ascii="Century Schoolbook" w:hAnsi="Century Schoolbook"/>
        </w:rPr>
        <w:t xml:space="preserve">. </w:t>
      </w:r>
      <w:r w:rsidR="001A29BF" w:rsidRPr="00B324F6">
        <w:rPr>
          <w:rFonts w:ascii="Century Schoolbook" w:hAnsi="Century Schoolbook"/>
        </w:rPr>
        <w:t xml:space="preserve">Most countries still allow relatively liberal sharing, and even selling, of de-identified health data. </w:t>
      </w:r>
    </w:p>
    <w:p w14:paraId="257DF38A" w14:textId="77777777" w:rsidR="00C850CD" w:rsidRPr="00B324F6" w:rsidRDefault="00C850CD" w:rsidP="00B324F6">
      <w:pPr>
        <w:spacing w:after="0"/>
        <w:jc w:val="both"/>
        <w:rPr>
          <w:rFonts w:ascii="Century Schoolbook" w:hAnsi="Century Schoolbook"/>
        </w:rPr>
      </w:pPr>
    </w:p>
    <w:p w14:paraId="36D1EBA6" w14:textId="3673E161" w:rsidR="00E22457" w:rsidRPr="00B324F6" w:rsidRDefault="001A29BF" w:rsidP="00B324F6">
      <w:pPr>
        <w:spacing w:after="0"/>
        <w:jc w:val="both"/>
        <w:rPr>
          <w:rFonts w:ascii="Century Schoolbook" w:hAnsi="Century Schoolbook"/>
        </w:rPr>
      </w:pPr>
      <w:r w:rsidRPr="00B324F6">
        <w:rPr>
          <w:rFonts w:ascii="Century Schoolbook" w:hAnsi="Century Schoolbook"/>
        </w:rPr>
        <w:t>But for various reasons, r</w:t>
      </w:r>
      <w:r w:rsidR="009B5B92" w:rsidRPr="00B324F6">
        <w:rPr>
          <w:rFonts w:ascii="Century Schoolbook" w:hAnsi="Century Schoolbook"/>
        </w:rPr>
        <w:t>esearchers often require access, at least initially, to identifiable health records.</w:t>
      </w:r>
      <w:r w:rsidR="00020F35" w:rsidRPr="00B324F6">
        <w:rPr>
          <w:rFonts w:ascii="Century Schoolbook" w:hAnsi="Century Schoolbook"/>
        </w:rPr>
        <w:t xml:space="preserve"> </w:t>
      </w:r>
      <w:r w:rsidR="00020F35" w:rsidRPr="00B324F6">
        <w:rPr>
          <w:rFonts w:ascii="Century Schoolbook" w:hAnsi="Century Schoolbook"/>
        </w:rPr>
        <w:fldChar w:fldCharType="begin"/>
      </w:r>
      <w:r w:rsidR="00D17BA1">
        <w:rPr>
          <w:rFonts w:ascii="Century Schoolbook" w:hAnsi="Century Schoolbook"/>
        </w:rPr>
        <w:instrText xml:space="preserve"> ADDIN ZOTERO_ITEM CSL_CITATION {"citationID":"EIKvIbnx","properties":{"formattedCitation":"[3\\uc0\\u8211{}5]","plainCitation":"[3–5]","noteIndex":0},"citationItems":[{"id":1452,"uris":["http://zotero.org/users/1170976/items/XGUQPHWV"],"uri":["http://zotero.org/users/1170976/items/XGUQPHWV"],"itemData":{"id":1452,"type":"article-journal","container-title":"Journal of Health Services Research &amp; Policy","DOI":"10.1258/135581903766468873","ISSN":"1355-8196, 1758-1060","issue":"1_suppl","language":"en","page":"36-40","source":"Crossref","title":"Secondary use of personal data for health and health services research: why identifiable data are essential","title-short":"Secondary use of personal data for health and health services research","volume":"8","author":[{"family":"Black","given":"Nick"}],"issued":{"date-parts":[["2003",7]]}}},{"id":1831,"uris":["http://zotero.org/users/1170976/items/3WR27IIH"],"uri":["http://zotero.org/users/1170976/items/3WR27IIH"],"itemData":{"id":1831,"type":"article-journal","container-title":"Medical Care","DOI":"10.1097/MLR.0b013e31829b1e4b","ISSN":"0025-7079","language":"en","page":"S53-S57","source":"Crossref","title":"Ethics and Informed Consent for Comparative Effectiveness Research With Prospective Electronic Clinical Data:","title-short":"Ethics and Informed Consent for Comparative Effectiveness Research With Prospective Electronic Clinical Data","volume":"51","author":[{"family":"Faden","given":"Ruth"},{"family":"Kass","given":"Nancy"},{"family":"Whicher","given":"Danielle"},{"family":"Stewart","given":"Walter"},{"family":"Tunis","given":"Sean"}],"issued":{"date-parts":[["2013",8]]}}},{"id":1830,"uris":["http://zotero.org/users/1170976/items/KL27ZMNP"],"uri":["http://zotero.org/users/1170976/items/KL27ZMNP"],"itemData":{"id":1830,"type":"article-journal","container-title":"PLOS ONE","DOI":"10.1371/journal.pone.0129506","ISSN":"1932-6203","issue":"6","language":"en","page":"e0129506","source":"Crossref","title":"Biomedical Data Sharing and Reuse: Attitudes and Practices of Clinical and Scientific Research Staff","title-short":"Biomedical Data Sharing and Reuse","volume":"10","author":[{"family":"Federer","given":"Lisa M."},{"family":"Lu","given":"Ya-Ling"},{"family":"Joubert","given":"Douglas J."},{"family":"Welsh","given":"Judith"},{"family":"Brandys","given":"Barbara"}],"editor":[{"family":"Kanungo","given":"Jyotshna"}],"issued":{"date-parts":[["2015",6,24]]}}}],"schema":"https://github.com/citation-style-language/schema/raw/master/csl-citation.json"} </w:instrText>
      </w:r>
      <w:r w:rsidR="00020F35" w:rsidRPr="00B324F6">
        <w:rPr>
          <w:rFonts w:ascii="Century Schoolbook" w:hAnsi="Century Schoolbook"/>
        </w:rPr>
        <w:fldChar w:fldCharType="separate"/>
      </w:r>
      <w:r w:rsidR="00877007" w:rsidRPr="00B324F6">
        <w:rPr>
          <w:rFonts w:ascii="Century Schoolbook" w:hAnsi="Century Schoolbook" w:cs="Calibri"/>
          <w:szCs w:val="24"/>
        </w:rPr>
        <w:t>[3–5]</w:t>
      </w:r>
      <w:r w:rsidR="00020F35" w:rsidRPr="00B324F6">
        <w:rPr>
          <w:rFonts w:ascii="Century Schoolbook" w:hAnsi="Century Schoolbook"/>
        </w:rPr>
        <w:fldChar w:fldCharType="end"/>
      </w:r>
      <w:r w:rsidR="009B5B92" w:rsidRPr="00B324F6">
        <w:rPr>
          <w:rFonts w:ascii="Century Schoolbook" w:hAnsi="Century Schoolbook"/>
        </w:rPr>
        <w:t xml:space="preserve"> This can be due to the variable quality of the original </w:t>
      </w:r>
      <w:r w:rsidR="00DC547E" w:rsidRPr="00B324F6">
        <w:rPr>
          <w:rFonts w:ascii="Century Schoolbook" w:hAnsi="Century Schoolbook"/>
        </w:rPr>
        <w:t xml:space="preserve">clinical </w:t>
      </w:r>
      <w:r w:rsidR="009B5B92" w:rsidRPr="00B324F6">
        <w:rPr>
          <w:rFonts w:ascii="Century Schoolbook" w:hAnsi="Century Schoolbook"/>
        </w:rPr>
        <w:t>data, and the need to check, clean and remove errors or inconsistencies before the data is used for resear</w:t>
      </w:r>
      <w:r w:rsidR="00726DA2" w:rsidRPr="00B324F6">
        <w:rPr>
          <w:rFonts w:ascii="Century Schoolbook" w:hAnsi="Century Schoolbook"/>
        </w:rPr>
        <w:t xml:space="preserve">ch. Alternatively, researchers might need </w:t>
      </w:r>
      <w:r w:rsidR="009B5B92" w:rsidRPr="00B324F6">
        <w:rPr>
          <w:rFonts w:ascii="Century Schoolbook" w:hAnsi="Century Schoolbook"/>
        </w:rPr>
        <w:t xml:space="preserve">identifiable data </w:t>
      </w:r>
      <w:r w:rsidR="00726DA2" w:rsidRPr="00B324F6">
        <w:rPr>
          <w:rFonts w:ascii="Century Schoolbook" w:hAnsi="Century Schoolbook"/>
        </w:rPr>
        <w:t>in order to link</w:t>
      </w:r>
      <w:r w:rsidR="009B5B92" w:rsidRPr="00B324F6">
        <w:rPr>
          <w:rFonts w:ascii="Century Schoolbook" w:hAnsi="Century Schoolbook"/>
        </w:rPr>
        <w:t xml:space="preserve"> different datasets – e.g.</w:t>
      </w:r>
      <w:r w:rsidR="00726DA2" w:rsidRPr="00B324F6">
        <w:rPr>
          <w:rFonts w:ascii="Century Schoolbook" w:hAnsi="Century Schoolbook"/>
        </w:rPr>
        <w:t xml:space="preserve"> </w:t>
      </w:r>
      <w:r w:rsidR="009B5B92" w:rsidRPr="00B324F6">
        <w:rPr>
          <w:rFonts w:ascii="Century Schoolbook" w:hAnsi="Century Schoolbook"/>
        </w:rPr>
        <w:t xml:space="preserve"> </w:t>
      </w:r>
      <w:r w:rsidR="00726DA2" w:rsidRPr="00B324F6">
        <w:rPr>
          <w:rFonts w:ascii="Century Schoolbook" w:hAnsi="Century Schoolbook"/>
        </w:rPr>
        <w:t xml:space="preserve">data from mortality, birth, </w:t>
      </w:r>
      <w:r w:rsidR="009B5B92" w:rsidRPr="00B324F6">
        <w:rPr>
          <w:rFonts w:ascii="Century Schoolbook" w:hAnsi="Century Schoolbook"/>
        </w:rPr>
        <w:t xml:space="preserve">pharmaceutical, </w:t>
      </w:r>
      <w:r w:rsidR="00726DA2" w:rsidRPr="00B324F6">
        <w:rPr>
          <w:rFonts w:ascii="Century Schoolbook" w:hAnsi="Century Schoolbook"/>
        </w:rPr>
        <w:t>o</w:t>
      </w:r>
      <w:r w:rsidR="00C850CD" w:rsidRPr="00B324F6">
        <w:rPr>
          <w:rFonts w:ascii="Century Schoolbook" w:hAnsi="Century Schoolbook"/>
        </w:rPr>
        <w:t>r condition-specific registries; or in the case of precision medicine, to link genomic, environmental and behavioural data.</w:t>
      </w:r>
      <w:r w:rsidR="00353EC2" w:rsidRPr="00B324F6">
        <w:rPr>
          <w:rFonts w:ascii="Century Schoolbook" w:hAnsi="Century Schoolbook"/>
        </w:rPr>
        <w:fldChar w:fldCharType="begin"/>
      </w:r>
      <w:r w:rsidR="00D17BA1">
        <w:rPr>
          <w:rFonts w:ascii="Century Schoolbook" w:hAnsi="Century Schoolbook"/>
        </w:rPr>
        <w:instrText xml:space="preserve"> ADDIN ZOTERO_ITEM CSL_CITATION {"citationID":"H8Mbsx8C","properties":{"formattedCitation":"[6]","plainCitation":"[6]","noteIndex":0},"citationItems":[{"id":1829,"uris":["http://zotero.org/users/1170976/items/ZIYD82UW"],"uri":["http://zotero.org/users/1170976/items/ZIYD82UW"],"itemData":{"id":1829,"type":"article-journal","container-title":"Computer Supported Cooperative Work (CSCW)","DOI":"10.1007/s10606-016-9248-7","ISSN":"0925-9724, 1573-7551","issue":"2-3","language":"en","page":"115-136","source":"Crossref","title":"Genomic Big Data and Privacy: Challenges and Opportunities for Precision Medicine","title-short":"Genomic Big Data and Privacy","volume":"25","author":[{"family":"Frizzo-Barker","given":"Julie"},{"family":"Chow-White","given":"Peter A."},{"family":"Charters","given":"Anita"},{"family":"Ha","given":"Dung"}],"issued":{"date-parts":[["2016",6]]}}}],"schema":"https://github.com/citation-style-language/schema/raw/master/csl-citation.json"} </w:instrText>
      </w:r>
      <w:r w:rsidR="00353EC2" w:rsidRPr="00B324F6">
        <w:rPr>
          <w:rFonts w:ascii="Century Schoolbook" w:hAnsi="Century Schoolbook"/>
        </w:rPr>
        <w:fldChar w:fldCharType="separate"/>
      </w:r>
      <w:r w:rsidR="00877007" w:rsidRPr="00B324F6">
        <w:rPr>
          <w:rFonts w:ascii="Century Schoolbook" w:hAnsi="Century Schoolbook" w:cs="Calibri"/>
        </w:rPr>
        <w:t>[6]</w:t>
      </w:r>
      <w:r w:rsidR="00353EC2" w:rsidRPr="00B324F6">
        <w:rPr>
          <w:rFonts w:ascii="Century Schoolbook" w:hAnsi="Century Schoolbook"/>
        </w:rPr>
        <w:fldChar w:fldCharType="end"/>
      </w:r>
      <w:r w:rsidR="00C850CD" w:rsidRPr="00B324F6">
        <w:rPr>
          <w:rFonts w:ascii="Century Schoolbook" w:hAnsi="Century Schoolbook"/>
        </w:rPr>
        <w:t xml:space="preserve"> </w:t>
      </w:r>
      <w:r w:rsidRPr="00B324F6">
        <w:rPr>
          <w:rFonts w:ascii="Century Schoolbook" w:hAnsi="Century Schoolbook"/>
        </w:rPr>
        <w:t xml:space="preserve">In this paper we focus </w:t>
      </w:r>
      <w:r w:rsidRPr="00B324F6">
        <w:rPr>
          <w:rFonts w:ascii="Century Schoolbook" w:hAnsi="Century Schoolbook"/>
          <w:i/>
        </w:rPr>
        <w:t xml:space="preserve">only </w:t>
      </w:r>
      <w:r w:rsidRPr="00B324F6">
        <w:rPr>
          <w:rFonts w:ascii="Century Schoolbook" w:hAnsi="Century Schoolbook"/>
        </w:rPr>
        <w:t xml:space="preserve">on the ethics of </w:t>
      </w:r>
      <w:r w:rsidR="00105654" w:rsidRPr="00B324F6">
        <w:rPr>
          <w:rFonts w:ascii="Century Schoolbook" w:hAnsi="Century Schoolbook"/>
        </w:rPr>
        <w:t xml:space="preserve">using </w:t>
      </w:r>
      <w:r w:rsidRPr="00B324F6">
        <w:rPr>
          <w:rFonts w:ascii="Century Schoolbook" w:hAnsi="Century Schoolbook"/>
        </w:rPr>
        <w:t xml:space="preserve">identifiable health data for research. </w:t>
      </w:r>
      <w:r w:rsidR="00C850CD" w:rsidRPr="00B324F6">
        <w:rPr>
          <w:rFonts w:ascii="Century Schoolbook" w:hAnsi="Century Schoolbook"/>
        </w:rPr>
        <w:t xml:space="preserve">    </w:t>
      </w:r>
    </w:p>
    <w:p w14:paraId="697D2B97" w14:textId="77777777" w:rsidR="00E22457" w:rsidRPr="00B324F6" w:rsidRDefault="00E22457" w:rsidP="00B324F6">
      <w:pPr>
        <w:spacing w:after="0"/>
        <w:jc w:val="both"/>
        <w:rPr>
          <w:rFonts w:ascii="Century Schoolbook" w:hAnsi="Century Schoolbook"/>
        </w:rPr>
      </w:pPr>
    </w:p>
    <w:p w14:paraId="5B6DF682" w14:textId="09674BC7" w:rsidR="009B5B92" w:rsidRPr="00B324F6" w:rsidRDefault="001A29BF" w:rsidP="00B324F6">
      <w:pPr>
        <w:spacing w:after="0"/>
        <w:jc w:val="both"/>
        <w:rPr>
          <w:rFonts w:ascii="Century Schoolbook" w:hAnsi="Century Schoolbook"/>
        </w:rPr>
      </w:pPr>
      <w:r w:rsidRPr="00B324F6">
        <w:rPr>
          <w:rFonts w:ascii="Century Schoolbook" w:hAnsi="Century Schoolbook"/>
        </w:rPr>
        <w:t>R</w:t>
      </w:r>
      <w:r w:rsidR="00726DA2" w:rsidRPr="00B324F6">
        <w:rPr>
          <w:rFonts w:ascii="Century Schoolbook" w:hAnsi="Century Schoolbook"/>
        </w:rPr>
        <w:t>esearch</w:t>
      </w:r>
      <w:r w:rsidR="008B5263" w:rsidRPr="00B324F6">
        <w:rPr>
          <w:rFonts w:ascii="Century Schoolbook" w:hAnsi="Century Schoolbook"/>
        </w:rPr>
        <w:t>ers</w:t>
      </w:r>
      <w:r w:rsidR="00726DA2" w:rsidRPr="00B324F6">
        <w:rPr>
          <w:rFonts w:ascii="Century Schoolbook" w:hAnsi="Century Schoolbook"/>
        </w:rPr>
        <w:t xml:space="preserve"> using potentially identifiable patient data </w:t>
      </w:r>
      <w:r w:rsidRPr="00B324F6">
        <w:rPr>
          <w:rFonts w:ascii="Century Schoolbook" w:hAnsi="Century Schoolbook"/>
        </w:rPr>
        <w:t xml:space="preserve">typically </w:t>
      </w:r>
      <w:r w:rsidR="00726DA2" w:rsidRPr="00B324F6">
        <w:rPr>
          <w:rFonts w:ascii="Century Schoolbook" w:hAnsi="Century Schoolbook"/>
        </w:rPr>
        <w:t xml:space="preserve">will fall under research ethics regulation for observational research.  Often </w:t>
      </w:r>
      <w:r w:rsidRPr="00B324F6">
        <w:rPr>
          <w:rFonts w:ascii="Century Schoolbook" w:hAnsi="Century Schoolbook"/>
        </w:rPr>
        <w:t xml:space="preserve">the proposed </w:t>
      </w:r>
      <w:r w:rsidR="009B5B92" w:rsidRPr="00B324F6">
        <w:rPr>
          <w:rFonts w:ascii="Century Schoolbook" w:hAnsi="Century Schoolbook"/>
        </w:rPr>
        <w:t xml:space="preserve">secondary uses </w:t>
      </w:r>
      <w:r w:rsidRPr="00B324F6">
        <w:rPr>
          <w:rFonts w:ascii="Century Schoolbook" w:hAnsi="Century Schoolbook"/>
        </w:rPr>
        <w:t xml:space="preserve">of the data </w:t>
      </w:r>
      <w:r w:rsidR="009B5B92" w:rsidRPr="00B324F6">
        <w:rPr>
          <w:rFonts w:ascii="Century Schoolbook" w:hAnsi="Century Schoolbook"/>
        </w:rPr>
        <w:t xml:space="preserve">will not be covered by the existing </w:t>
      </w:r>
      <w:r w:rsidR="00726DA2" w:rsidRPr="00B324F6">
        <w:rPr>
          <w:rFonts w:ascii="Century Schoolbook" w:hAnsi="Century Schoolbook"/>
        </w:rPr>
        <w:t>patient consent, and re-consent</w:t>
      </w:r>
      <w:r w:rsidR="002A4716" w:rsidRPr="00B324F6">
        <w:rPr>
          <w:rFonts w:ascii="Century Schoolbook" w:hAnsi="Century Schoolbook"/>
        </w:rPr>
        <w:t>ing</w:t>
      </w:r>
      <w:r w:rsidR="00726DA2" w:rsidRPr="00B324F6">
        <w:rPr>
          <w:rFonts w:ascii="Century Schoolbook" w:hAnsi="Century Schoolbook"/>
        </w:rPr>
        <w:t xml:space="preserve"> all the patients in the dataset would be</w:t>
      </w:r>
      <w:r w:rsidR="009B5B92" w:rsidRPr="00B324F6">
        <w:rPr>
          <w:rFonts w:ascii="Century Schoolbook" w:hAnsi="Century Schoolbook"/>
        </w:rPr>
        <w:t xml:space="preserve"> impractical.</w:t>
      </w:r>
      <w:r w:rsidR="009B5B92" w:rsidRPr="00577B64">
        <w:rPr>
          <w:rStyle w:val="FootnoteReference"/>
        </w:rPr>
        <w:footnoteReference w:id="3"/>
      </w:r>
      <w:r w:rsidR="009B5B92" w:rsidRPr="00B324F6">
        <w:rPr>
          <w:rFonts w:ascii="Century Schoolbook" w:hAnsi="Century Schoolbook"/>
        </w:rPr>
        <w:t xml:space="preserve"> </w:t>
      </w:r>
      <w:r w:rsidR="00DC547E" w:rsidRPr="00B324F6">
        <w:rPr>
          <w:rFonts w:ascii="Century Schoolbook" w:hAnsi="Century Schoolbook"/>
        </w:rPr>
        <w:t>Therefore</w:t>
      </w:r>
      <w:r w:rsidRPr="00B324F6">
        <w:rPr>
          <w:rFonts w:ascii="Century Schoolbook" w:hAnsi="Century Schoolbook"/>
        </w:rPr>
        <w:t xml:space="preserve"> m</w:t>
      </w:r>
      <w:r w:rsidR="002A4716" w:rsidRPr="00B324F6">
        <w:rPr>
          <w:rFonts w:ascii="Century Schoolbook" w:hAnsi="Century Schoolbook"/>
        </w:rPr>
        <w:t xml:space="preserve">any jurisdictions allow </w:t>
      </w:r>
      <w:r w:rsidRPr="00B324F6">
        <w:rPr>
          <w:rFonts w:ascii="Century Schoolbook" w:hAnsi="Century Schoolbook"/>
        </w:rPr>
        <w:t xml:space="preserve">Institutional Review Boards (IRBs) or </w:t>
      </w:r>
      <w:r w:rsidR="00F43C94">
        <w:rPr>
          <w:rFonts w:ascii="Century Schoolbook" w:hAnsi="Century Schoolbook"/>
        </w:rPr>
        <w:t>R</w:t>
      </w:r>
      <w:r w:rsidRPr="00B324F6">
        <w:rPr>
          <w:rFonts w:ascii="Century Schoolbook" w:hAnsi="Century Schoolbook"/>
        </w:rPr>
        <w:t xml:space="preserve">esearch </w:t>
      </w:r>
      <w:r w:rsidR="00F43C94">
        <w:rPr>
          <w:rFonts w:ascii="Century Schoolbook" w:hAnsi="Century Schoolbook"/>
        </w:rPr>
        <w:t>E</w:t>
      </w:r>
      <w:r w:rsidRPr="00B324F6">
        <w:rPr>
          <w:rFonts w:ascii="Century Schoolbook" w:hAnsi="Century Schoolbook"/>
        </w:rPr>
        <w:t xml:space="preserve">thics </w:t>
      </w:r>
      <w:r w:rsidR="00F43C94">
        <w:rPr>
          <w:rFonts w:ascii="Century Schoolbook" w:hAnsi="Century Schoolbook"/>
        </w:rPr>
        <w:t>C</w:t>
      </w:r>
      <w:r w:rsidRPr="00B324F6">
        <w:rPr>
          <w:rFonts w:ascii="Century Schoolbook" w:hAnsi="Century Schoolbook"/>
        </w:rPr>
        <w:t>ommittees (RECs)</w:t>
      </w:r>
      <w:r w:rsidR="002A4716" w:rsidRPr="00B324F6">
        <w:rPr>
          <w:rFonts w:ascii="Century Schoolbook" w:hAnsi="Century Schoolbook"/>
        </w:rPr>
        <w:t xml:space="preserve"> to grant consent waivers, </w:t>
      </w:r>
      <w:r w:rsidR="00105654" w:rsidRPr="00B324F6">
        <w:rPr>
          <w:rFonts w:ascii="Century Schoolbook" w:hAnsi="Century Schoolbook"/>
        </w:rPr>
        <w:t xml:space="preserve">providing </w:t>
      </w:r>
      <w:r w:rsidR="002A4716" w:rsidRPr="00B324F6">
        <w:rPr>
          <w:rFonts w:ascii="Century Schoolbook" w:hAnsi="Century Schoolbook"/>
        </w:rPr>
        <w:t xml:space="preserve">researchers access </w:t>
      </w:r>
      <w:r w:rsidR="00105654" w:rsidRPr="00B324F6">
        <w:rPr>
          <w:rFonts w:ascii="Century Schoolbook" w:hAnsi="Century Schoolbook"/>
        </w:rPr>
        <w:t>to</w:t>
      </w:r>
      <w:r w:rsidR="00B75381" w:rsidRPr="00B324F6">
        <w:rPr>
          <w:rFonts w:ascii="Century Schoolbook" w:hAnsi="Century Schoolbook"/>
        </w:rPr>
        <w:t xml:space="preserve"> </w:t>
      </w:r>
      <w:r w:rsidRPr="00B324F6">
        <w:rPr>
          <w:rFonts w:ascii="Century Schoolbook" w:hAnsi="Century Schoolbook"/>
        </w:rPr>
        <w:t xml:space="preserve">identifiable </w:t>
      </w:r>
      <w:r w:rsidR="002A4716" w:rsidRPr="00B324F6">
        <w:rPr>
          <w:rFonts w:ascii="Century Schoolbook" w:hAnsi="Century Schoolbook"/>
        </w:rPr>
        <w:t xml:space="preserve">health data for research in the absence of specific patient consent. </w:t>
      </w:r>
      <w:r w:rsidRPr="00B324F6">
        <w:rPr>
          <w:rFonts w:ascii="Century Schoolbook" w:hAnsi="Century Schoolbook"/>
        </w:rPr>
        <w:t xml:space="preserve"> National and international guidelines provide IRBs/RECs with criteria for judging when to </w:t>
      </w:r>
      <w:r w:rsidR="00FD374D" w:rsidRPr="00B324F6">
        <w:rPr>
          <w:rFonts w:ascii="Century Schoolbook" w:hAnsi="Century Schoolbook"/>
        </w:rPr>
        <w:t>allow</w:t>
      </w:r>
      <w:r w:rsidRPr="00B324F6">
        <w:rPr>
          <w:rFonts w:ascii="Century Schoolbook" w:hAnsi="Century Schoolbook"/>
        </w:rPr>
        <w:t xml:space="preserve"> researchers</w:t>
      </w:r>
      <w:r w:rsidR="00FD374D" w:rsidRPr="00B324F6">
        <w:rPr>
          <w:rFonts w:ascii="Century Schoolbook" w:hAnsi="Century Schoolbook"/>
        </w:rPr>
        <w:t xml:space="preserve"> to use health data</w:t>
      </w:r>
      <w:r w:rsidR="005A1863" w:rsidRPr="00B324F6">
        <w:rPr>
          <w:rFonts w:ascii="Century Schoolbook" w:hAnsi="Century Schoolbook"/>
        </w:rPr>
        <w:t xml:space="preserve"> without patient consent</w:t>
      </w:r>
      <w:r w:rsidRPr="00B324F6">
        <w:rPr>
          <w:rFonts w:ascii="Century Schoolbook" w:hAnsi="Century Schoolbook"/>
        </w:rPr>
        <w:t xml:space="preserve">.  </w:t>
      </w:r>
    </w:p>
    <w:p w14:paraId="2496C14E" w14:textId="77777777" w:rsidR="00406A14" w:rsidRPr="00B324F6" w:rsidRDefault="00406A14" w:rsidP="00B324F6">
      <w:pPr>
        <w:spacing w:after="0"/>
        <w:jc w:val="both"/>
        <w:rPr>
          <w:rFonts w:ascii="Century Schoolbook" w:hAnsi="Century Schoolbook"/>
        </w:rPr>
      </w:pPr>
    </w:p>
    <w:p w14:paraId="7FBD08BC" w14:textId="2D3532F9" w:rsidR="00056FE7" w:rsidRPr="00B324F6" w:rsidRDefault="00FD374D" w:rsidP="00B324F6">
      <w:pPr>
        <w:spacing w:after="0"/>
        <w:jc w:val="both"/>
        <w:rPr>
          <w:rFonts w:ascii="Century Schoolbook" w:hAnsi="Century Schoolbook"/>
        </w:rPr>
      </w:pPr>
      <w:r w:rsidRPr="00B324F6">
        <w:rPr>
          <w:rFonts w:ascii="Century Schoolbook" w:hAnsi="Century Schoolbook"/>
        </w:rPr>
        <w:t>Some j</w:t>
      </w:r>
      <w:r w:rsidR="00056FE7" w:rsidRPr="00B324F6">
        <w:rPr>
          <w:rFonts w:ascii="Century Schoolbook" w:hAnsi="Century Schoolbook"/>
        </w:rPr>
        <w:t>urisdictions with universal or public health systems, including Australia, New Zealand and Singapore</w:t>
      </w:r>
      <w:r w:rsidR="00056FE7" w:rsidRPr="00577B64">
        <w:rPr>
          <w:rStyle w:val="FootnoteReference"/>
        </w:rPr>
        <w:footnoteReference w:id="4"/>
      </w:r>
      <w:r w:rsidR="00056FE7" w:rsidRPr="00B324F6">
        <w:rPr>
          <w:rFonts w:ascii="Century Schoolbook" w:hAnsi="Century Schoolbook"/>
        </w:rPr>
        <w:t xml:space="preserve">, require </w:t>
      </w:r>
      <w:r w:rsidR="005A1863" w:rsidRPr="00B324F6">
        <w:rPr>
          <w:rFonts w:ascii="Century Schoolbook" w:hAnsi="Century Schoolbook"/>
        </w:rPr>
        <w:t xml:space="preserve">that </w:t>
      </w:r>
      <w:r w:rsidR="00056FE7" w:rsidRPr="00B324F6">
        <w:rPr>
          <w:rFonts w:ascii="Century Schoolbook" w:hAnsi="Century Schoolbook"/>
        </w:rPr>
        <w:t xml:space="preserve">the data </w:t>
      </w:r>
      <w:r w:rsidRPr="00B324F6">
        <w:rPr>
          <w:rFonts w:ascii="Century Schoolbook" w:hAnsi="Century Schoolbook"/>
        </w:rPr>
        <w:t xml:space="preserve">use </w:t>
      </w:r>
      <w:r w:rsidR="00056FE7" w:rsidRPr="00B324F6">
        <w:rPr>
          <w:rFonts w:ascii="Century Schoolbook" w:hAnsi="Century Schoolbook"/>
        </w:rPr>
        <w:t xml:space="preserve">without consent must serve the public interest, or be likely to produce public benefit. This </w:t>
      </w:r>
      <w:r w:rsidR="005A1863" w:rsidRPr="00B324F6">
        <w:rPr>
          <w:rFonts w:ascii="Century Schoolbook" w:hAnsi="Century Schoolbook"/>
        </w:rPr>
        <w:t xml:space="preserve">requirement </w:t>
      </w:r>
      <w:r w:rsidR="00056FE7" w:rsidRPr="00B324F6">
        <w:rPr>
          <w:rFonts w:ascii="Century Schoolbook" w:hAnsi="Century Schoolbook"/>
        </w:rPr>
        <w:t xml:space="preserve">is supported by global </w:t>
      </w:r>
      <w:r w:rsidR="00056FE7" w:rsidRPr="00B324F6">
        <w:rPr>
          <w:rFonts w:ascii="Century Schoolbook" w:hAnsi="Century Schoolbook"/>
        </w:rPr>
        <w:lastRenderedPageBreak/>
        <w:t>e</w:t>
      </w:r>
      <w:r w:rsidR="00406A14" w:rsidRPr="00B324F6">
        <w:rPr>
          <w:rFonts w:ascii="Century Schoolbook" w:hAnsi="Century Schoolbook"/>
        </w:rPr>
        <w:t xml:space="preserve">mpirical research </w:t>
      </w:r>
      <w:r w:rsidR="00056FE7" w:rsidRPr="00B324F6">
        <w:rPr>
          <w:rFonts w:ascii="Century Schoolbook" w:hAnsi="Century Schoolbook"/>
        </w:rPr>
        <w:t xml:space="preserve">which consistently </w:t>
      </w:r>
      <w:r w:rsidR="00406A14" w:rsidRPr="00B324F6">
        <w:rPr>
          <w:rFonts w:ascii="Century Schoolbook" w:hAnsi="Century Schoolbook"/>
        </w:rPr>
        <w:t>shows that the public is more willing to share their clinical data for research when that research offers public benefit.</w:t>
      </w:r>
      <w:r w:rsidR="00DE11E2" w:rsidRPr="00B324F6">
        <w:rPr>
          <w:rFonts w:ascii="Century Schoolbook" w:hAnsi="Century Schoolbook"/>
        </w:rPr>
        <w:fldChar w:fldCharType="begin"/>
      </w:r>
      <w:r w:rsidR="00D17BA1">
        <w:rPr>
          <w:rFonts w:ascii="Century Schoolbook" w:hAnsi="Century Schoolbook"/>
        </w:rPr>
        <w:instrText xml:space="preserve"> ADDIN ZOTERO_ITEM CSL_CITATION {"citationID":"QR1rxgcG","properties":{"formattedCitation":"[9,10]","plainCitation":"[9,10]","noteIndex":0},"citationItems":[{"id":1439,"uris":["http://zotero.org/users/1170976/items/ZJA6ZBAE"],"uri":["http://zotero.org/users/1170976/items/ZJA6ZBAE"],"itemData":{"id":1439,"type":"article-newspaper","title":"New RSS research finds ‘data trust deficit’, with lessons for policymakers","URL":"https://www.statslife.org.uk/news/1672-new-rss-research-finds-data-trust-deficit-with-lessons-for-policymakers","author":[{"family":"Royal Statistical Society","given":""}],"issued":{"date-parts":[["2014",7,22]]}}},{"id":1438,"uris":["http://zotero.org/users/1170976/items/H3A4K3X8"],"uri":["http://zotero.org/users/1170976/items/H3A4K3X8"],"itemData":{"id":1438,"type":"article-journal","container-title":"AJOB Primary Research","DOI":"10.1080/21507716.2012.662575","ISSN":"2150-7716, 2150-7724","issue":"3","language":"en","page":"3-11","source":"Crossref","title":"Informed Consent in Genome-Scale Research: What Do Prospective Participants Think?","title-short":"Informed Consent in Genome-Scale Research","volume":"3","author":[{"family":"Trinidad","given":"Susan Brown"},{"family":"Fullerton","given":"Stephanie M."},{"family":"Bares","given":"Julie M."},{"family":"Jarvik","given":"Gail P."},{"family":"Larson","given":"Eric B."},{"family":"Burke","given":"Wylie"}],"issued":{"date-parts":[["2012",7]]}}}],"schema":"https://github.com/citation-style-language/schema/raw/master/csl-citation.json"} </w:instrText>
      </w:r>
      <w:r w:rsidR="00DE11E2" w:rsidRPr="00B324F6">
        <w:rPr>
          <w:rFonts w:ascii="Century Schoolbook" w:hAnsi="Century Schoolbook"/>
        </w:rPr>
        <w:fldChar w:fldCharType="separate"/>
      </w:r>
      <w:r w:rsidR="00877007" w:rsidRPr="00B324F6">
        <w:rPr>
          <w:rFonts w:ascii="Century Schoolbook" w:hAnsi="Century Schoolbook" w:cs="Calibri"/>
        </w:rPr>
        <w:t>[9,10]</w:t>
      </w:r>
      <w:r w:rsidR="00DE11E2" w:rsidRPr="00B324F6">
        <w:rPr>
          <w:rFonts w:ascii="Century Schoolbook" w:hAnsi="Century Schoolbook"/>
        </w:rPr>
        <w:fldChar w:fldCharType="end"/>
      </w:r>
      <w:r w:rsidR="00056FE7" w:rsidRPr="00B324F6">
        <w:rPr>
          <w:rFonts w:ascii="Century Schoolbook" w:hAnsi="Century Schoolbook"/>
        </w:rPr>
        <w:t xml:space="preserve"> </w:t>
      </w:r>
    </w:p>
    <w:p w14:paraId="6C09FE3B" w14:textId="77777777" w:rsidR="00056FE7" w:rsidRPr="00B324F6" w:rsidRDefault="00056FE7" w:rsidP="00B324F6">
      <w:pPr>
        <w:spacing w:after="0"/>
        <w:jc w:val="both"/>
        <w:rPr>
          <w:rFonts w:ascii="Century Schoolbook" w:hAnsi="Century Schoolbook"/>
        </w:rPr>
      </w:pPr>
    </w:p>
    <w:p w14:paraId="58EDC430" w14:textId="44E2C6A1" w:rsidR="00056FE7" w:rsidRPr="00B324F6" w:rsidRDefault="00056FE7" w:rsidP="00B324F6">
      <w:pPr>
        <w:spacing w:after="0"/>
        <w:jc w:val="both"/>
        <w:rPr>
          <w:rFonts w:ascii="Century Schoolbook" w:hAnsi="Century Schoolbook"/>
        </w:rPr>
      </w:pPr>
      <w:r w:rsidRPr="00B324F6">
        <w:rPr>
          <w:rFonts w:ascii="Century Schoolbook" w:hAnsi="Century Schoolbook"/>
        </w:rPr>
        <w:t xml:space="preserve">The notion of public interest </w:t>
      </w:r>
      <w:r w:rsidR="004C1C03" w:rsidRPr="00B324F6">
        <w:rPr>
          <w:rFonts w:ascii="Century Schoolbook" w:hAnsi="Century Schoolbook"/>
        </w:rPr>
        <w:t xml:space="preserve">does </w:t>
      </w:r>
      <w:r w:rsidRPr="00B324F6">
        <w:rPr>
          <w:rFonts w:ascii="Century Schoolbook" w:hAnsi="Century Schoolbook"/>
        </w:rPr>
        <w:t>much of the normative justificatory work in the current biomedical data research ecosystem.</w:t>
      </w:r>
      <w:r w:rsidR="00FD374D" w:rsidRPr="00B324F6">
        <w:rPr>
          <w:rFonts w:ascii="Century Schoolbook" w:hAnsi="Century Schoolbook"/>
        </w:rPr>
        <w:t xml:space="preserve"> </w:t>
      </w:r>
      <w:r w:rsidR="00FD374D" w:rsidRPr="00B324F6">
        <w:rPr>
          <w:rFonts w:ascii="Century Schoolbook" w:hAnsi="Century Schoolbook"/>
        </w:rPr>
        <w:fldChar w:fldCharType="begin"/>
      </w:r>
      <w:r w:rsidR="00D17BA1">
        <w:rPr>
          <w:rFonts w:ascii="Century Schoolbook" w:hAnsi="Century Schoolbook"/>
        </w:rPr>
        <w:instrText xml:space="preserve"> ADDIN ZOTERO_ITEM CSL_CITATION {"citationID":"iGR02ogS","properties":{"formattedCitation":"[11,12]","plainCitation":"[11,12]","noteIndex":0},"citationItems":[{"id":1828,"uris":["http://zotero.org/users/1170976/items/YUU7XZD9"],"uri":["http://zotero.org/users/1170976/items/YUU7XZD9"],"itemData":{"id":1828,"type":"article-journal","container-title":"The Journal of Law, Medicine &amp; Ethics","DOI":"10.1111/j.1748-720X.2008.304.x","ISSN":"1073-1105, 1748-720X","issue":"3","language":"en","page":"560-566","source":"Crossref","title":"Research on Medical Records without Informed Consent","volume":"36","author":[{"family":"Miller","given":"Franklin G."}],"issued":{"date-parts":[["2008",8]]}}},{"id":1822,"uris":["http://zotero.org/users/1170976/items/3NFF8KF5"],"uri":["http://zotero.org/users/1170976/items/3NFF8KF5"],"itemData":{"id":1822,"type":"article-journal","container-title":"Hastings Center Report","DOI":"10.1002/hast.548","ISSN":"00930334","issue":"2","language":"en","page":"35-43","source":"Crossref","title":"When and Why Is Research without Consent Permissible?","volume":"46","author":[{"family":"Gelinas","given":"Luke"},{"family":"Wertheimer","given":"Alan"},{"family":"Miller","given":"Franklin G."}],"issued":{"date-parts":[["2016",3]]}}}],"schema":"https://github.com/citation-style-language/schema/raw/master/csl-citation.json"} </w:instrText>
      </w:r>
      <w:r w:rsidR="00FD374D" w:rsidRPr="00B324F6">
        <w:rPr>
          <w:rFonts w:ascii="Century Schoolbook" w:hAnsi="Century Schoolbook"/>
        </w:rPr>
        <w:fldChar w:fldCharType="separate"/>
      </w:r>
      <w:r w:rsidR="00877007" w:rsidRPr="00B324F6">
        <w:rPr>
          <w:rFonts w:ascii="Century Schoolbook" w:hAnsi="Century Schoolbook" w:cs="Calibri"/>
        </w:rPr>
        <w:t>[11,12]</w:t>
      </w:r>
      <w:r w:rsidR="00FD374D" w:rsidRPr="00B324F6">
        <w:rPr>
          <w:rFonts w:ascii="Century Schoolbook" w:hAnsi="Century Schoolbook"/>
        </w:rPr>
        <w:fldChar w:fldCharType="end"/>
      </w:r>
      <w:r w:rsidRPr="00B324F6">
        <w:rPr>
          <w:rFonts w:ascii="Century Schoolbook" w:hAnsi="Century Schoolbook"/>
        </w:rPr>
        <w:t xml:space="preserve">  But the idea itself remains ambiguous, for two reasons. First, t</w:t>
      </w:r>
      <w:r w:rsidR="00E263B8" w:rsidRPr="00B324F6">
        <w:rPr>
          <w:rFonts w:ascii="Century Schoolbook" w:hAnsi="Century Schoolbook"/>
        </w:rPr>
        <w:t xml:space="preserve">here are a remarkable number of different terms in play. Four common terms found in the bioethics literature and research regulations are: public interest, public benefit, public good, and social value. </w:t>
      </w:r>
      <w:r w:rsidRPr="00B324F6">
        <w:rPr>
          <w:rFonts w:ascii="Century Schoolbook" w:hAnsi="Century Schoolbook"/>
        </w:rPr>
        <w:t xml:space="preserve">In addition, the following </w:t>
      </w:r>
      <w:proofErr w:type="gramStart"/>
      <w:r w:rsidRPr="00B324F6">
        <w:rPr>
          <w:rFonts w:ascii="Century Schoolbook" w:hAnsi="Century Schoolbook"/>
        </w:rPr>
        <w:t>less</w:t>
      </w:r>
      <w:proofErr w:type="gramEnd"/>
      <w:r w:rsidRPr="00B324F6">
        <w:rPr>
          <w:rFonts w:ascii="Century Schoolbook" w:hAnsi="Century Schoolbook"/>
        </w:rPr>
        <w:t xml:space="preserve"> common terms are also used</w:t>
      </w:r>
      <w:r w:rsidR="00BB2FBB" w:rsidRPr="00B324F6">
        <w:rPr>
          <w:rFonts w:ascii="Century Schoolbook" w:hAnsi="Century Schoolbook"/>
        </w:rPr>
        <w:t>: community benefit,</w:t>
      </w:r>
      <w:r w:rsidRPr="00B324F6">
        <w:rPr>
          <w:rFonts w:ascii="Century Schoolbook" w:hAnsi="Century Schoolbook"/>
        </w:rPr>
        <w:t xml:space="preserve"> </w:t>
      </w:r>
      <w:r w:rsidR="00BB2FBB" w:rsidRPr="00B324F6">
        <w:rPr>
          <w:rFonts w:ascii="Century Schoolbook" w:hAnsi="Century Schoolbook"/>
        </w:rPr>
        <w:t xml:space="preserve">common good, common interest, collective interests, collective good and social benefit. </w:t>
      </w:r>
      <w:r w:rsidR="001037DC" w:rsidRPr="00B324F6">
        <w:rPr>
          <w:rFonts w:ascii="Century Schoolbook" w:hAnsi="Century Schoolbook"/>
        </w:rPr>
        <w:t xml:space="preserve">These terms seem to be used interchangeably, often within the same document. </w:t>
      </w:r>
      <w:r w:rsidR="00BB2FBB" w:rsidRPr="00B324F6">
        <w:rPr>
          <w:rFonts w:ascii="Century Schoolbook" w:hAnsi="Century Schoolbook"/>
        </w:rPr>
        <w:t>The number of different terms gives greater scope for divergent interpretations of the</w:t>
      </w:r>
      <w:r w:rsidR="001037DC" w:rsidRPr="00B324F6">
        <w:rPr>
          <w:rFonts w:ascii="Century Schoolbook" w:hAnsi="Century Schoolbook"/>
        </w:rPr>
        <w:t>ir</w:t>
      </w:r>
      <w:r w:rsidR="00BB2FBB" w:rsidRPr="00B324F6">
        <w:rPr>
          <w:rFonts w:ascii="Century Schoolbook" w:hAnsi="Century Schoolbook"/>
        </w:rPr>
        <w:t xml:space="preserve"> meaning. Second, for the most part these regulatory </w:t>
      </w:r>
      <w:r w:rsidR="004C1C03" w:rsidRPr="00B324F6">
        <w:rPr>
          <w:rFonts w:ascii="Century Schoolbook" w:hAnsi="Century Schoolbook"/>
        </w:rPr>
        <w:t xml:space="preserve">and </w:t>
      </w:r>
      <w:r w:rsidR="00BB2FBB" w:rsidRPr="00B324F6">
        <w:rPr>
          <w:rFonts w:ascii="Century Schoolbook" w:hAnsi="Century Schoolbook"/>
        </w:rPr>
        <w:t xml:space="preserve">guidance documents do not define the terms. This lack of clarity creates uncertainty about what the public </w:t>
      </w:r>
      <w:proofErr w:type="gramStart"/>
      <w:r w:rsidR="00BB2FBB" w:rsidRPr="00B324F6">
        <w:rPr>
          <w:rFonts w:ascii="Century Schoolbook" w:hAnsi="Century Schoolbook"/>
        </w:rPr>
        <w:t>interests</w:t>
      </w:r>
      <w:proofErr w:type="gramEnd"/>
      <w:r w:rsidR="00BB2FBB" w:rsidRPr="00B324F6">
        <w:rPr>
          <w:rFonts w:ascii="Century Schoolbook" w:hAnsi="Century Schoolbook"/>
        </w:rPr>
        <w:t xml:space="preserve"> criteria require, and provides for a wide scope of varying IRB/REC interpretation. Empirical research shows that RECs find interpreting public interest on behalf of a pluralistic community stressful</w:t>
      </w:r>
      <w:r w:rsidR="00DC547E" w:rsidRPr="00B324F6">
        <w:rPr>
          <w:rFonts w:ascii="Century Schoolbook" w:hAnsi="Century Schoolbook"/>
        </w:rPr>
        <w:t xml:space="preserve"> and ambiguity regarding the scope and meaning of these terms contributes to this stress</w:t>
      </w:r>
      <w:r w:rsidR="00BB2FBB" w:rsidRPr="00B324F6">
        <w:rPr>
          <w:rFonts w:ascii="Century Schoolbook" w:hAnsi="Century Schoolbook"/>
        </w:rPr>
        <w:t>.</w:t>
      </w:r>
      <w:r w:rsidR="00FD374D" w:rsidRPr="00B324F6">
        <w:rPr>
          <w:rFonts w:ascii="Century Schoolbook" w:hAnsi="Century Schoolbook"/>
        </w:rPr>
        <w:fldChar w:fldCharType="begin"/>
      </w:r>
      <w:r w:rsidR="00D17BA1">
        <w:rPr>
          <w:rFonts w:ascii="Century Schoolbook" w:hAnsi="Century Schoolbook"/>
        </w:rPr>
        <w:instrText xml:space="preserve"> ADDIN ZOTERO_ITEM CSL_CITATION {"citationID":"mkNq3eq3","properties":{"formattedCitation":"[13]","plainCitation":"[13]","noteIndex":0},"citationItems":[{"id":1475,"uris":["http://zotero.org/users/1170976/items/MPCJRD29"],"uri":["http://zotero.org/users/1170976/items/MPCJRD29"],"itemData":{"id":1475,"type":"article-journal","container-title":"AJOB Empirical Bioethics","DOI":"10.1080/23294515.2018.1518938","ISSN":"2329-4515, 2329-4523","issue":"3","language":"en","page":"143-153","source":"Crossref","title":"Data and tissue research without patient consent: A qualitative study of the views of research ethics committees in New Zealand","title-short":"Data and tissue research without patient consent","volume":"9","author":[{"family":"Ballantyne","given":"Angela"},{"family":"Moore","given":"Andrew"}],"issued":{"date-parts":[["2018",7,3]]}}}],"schema":"https://github.com/citation-style-language/schema/raw/master/csl-citation.json"} </w:instrText>
      </w:r>
      <w:r w:rsidR="00FD374D" w:rsidRPr="00B324F6">
        <w:rPr>
          <w:rFonts w:ascii="Century Schoolbook" w:hAnsi="Century Schoolbook"/>
        </w:rPr>
        <w:fldChar w:fldCharType="separate"/>
      </w:r>
      <w:r w:rsidR="00877007" w:rsidRPr="00B324F6">
        <w:rPr>
          <w:rFonts w:ascii="Century Schoolbook" w:hAnsi="Century Schoolbook" w:cs="Calibri"/>
        </w:rPr>
        <w:t>[13]</w:t>
      </w:r>
      <w:r w:rsidR="00FD374D" w:rsidRPr="00B324F6">
        <w:rPr>
          <w:rFonts w:ascii="Century Schoolbook" w:hAnsi="Century Schoolbook"/>
        </w:rPr>
        <w:fldChar w:fldCharType="end"/>
      </w:r>
      <w:r w:rsidR="00BB2FBB" w:rsidRPr="00B324F6">
        <w:rPr>
          <w:rFonts w:ascii="Century Schoolbook" w:hAnsi="Century Schoolbook"/>
        </w:rPr>
        <w:t xml:space="preserve"> </w:t>
      </w:r>
    </w:p>
    <w:p w14:paraId="5081A643" w14:textId="77777777" w:rsidR="00BB2FBB" w:rsidRPr="00B324F6" w:rsidRDefault="00BB2FBB" w:rsidP="00B324F6">
      <w:pPr>
        <w:spacing w:after="0"/>
        <w:jc w:val="both"/>
        <w:rPr>
          <w:rFonts w:ascii="Century Schoolbook" w:hAnsi="Century Schoolbook"/>
        </w:rPr>
      </w:pPr>
    </w:p>
    <w:p w14:paraId="6D8E969A" w14:textId="1B3872BA" w:rsidR="00E263B8" w:rsidRPr="00B324F6" w:rsidRDefault="00056FE7" w:rsidP="00B324F6">
      <w:pPr>
        <w:spacing w:after="0"/>
        <w:jc w:val="both"/>
        <w:rPr>
          <w:rFonts w:ascii="Century Schoolbook" w:hAnsi="Century Schoolbook"/>
        </w:rPr>
      </w:pPr>
      <w:r w:rsidRPr="00B324F6">
        <w:rPr>
          <w:rFonts w:ascii="Century Schoolbook" w:hAnsi="Century Schoolbook"/>
        </w:rPr>
        <w:t xml:space="preserve">The sustainability of </w:t>
      </w:r>
      <w:r w:rsidR="00DC547E" w:rsidRPr="00B324F6">
        <w:rPr>
          <w:rFonts w:ascii="Century Schoolbook" w:hAnsi="Century Schoolbook"/>
        </w:rPr>
        <w:t xml:space="preserve">biomedical </w:t>
      </w:r>
      <w:r w:rsidRPr="00B324F6">
        <w:rPr>
          <w:rFonts w:ascii="Century Schoolbook" w:hAnsi="Century Schoolbook"/>
        </w:rPr>
        <w:t>research using identifiable health data relies upon</w:t>
      </w:r>
      <w:r w:rsidR="001878FC" w:rsidRPr="00B324F6">
        <w:rPr>
          <w:rFonts w:ascii="Century Schoolbook" w:hAnsi="Century Schoolbook"/>
        </w:rPr>
        <w:t xml:space="preserve"> earning</w:t>
      </w:r>
      <w:r w:rsidRPr="00B324F6">
        <w:rPr>
          <w:rFonts w:ascii="Century Schoolbook" w:hAnsi="Century Schoolbook"/>
        </w:rPr>
        <w:t xml:space="preserve"> public trust</w:t>
      </w:r>
      <w:r w:rsidR="00DC547E" w:rsidRPr="00B324F6">
        <w:rPr>
          <w:rFonts w:ascii="Century Schoolbook" w:hAnsi="Century Schoolbook"/>
        </w:rPr>
        <w:t>. The research community must demonstrate that data is</w:t>
      </w:r>
      <w:r w:rsidRPr="00B324F6">
        <w:rPr>
          <w:rFonts w:ascii="Century Schoolbook" w:hAnsi="Century Schoolbook"/>
        </w:rPr>
        <w:t xml:space="preserve"> being managed fairly and responsibly.  </w:t>
      </w:r>
      <w:r w:rsidR="001037DC" w:rsidRPr="00B324F6">
        <w:rPr>
          <w:rFonts w:ascii="Century Schoolbook" w:hAnsi="Century Schoolbook"/>
        </w:rPr>
        <w:t xml:space="preserve">Public trust is enhanced by clarity, transparency and consistency. These are important values for researchers applying for consent waivers, for IRBs and RECs trying to implement the guidelines, and the public who is called to trust IRBs/RECs to responsibly govern access to their health data and promote valuable research.  We argue that the public interest criterion for data sharing currently lacks clarity and therefore </w:t>
      </w:r>
      <w:r w:rsidR="00F43C94">
        <w:rPr>
          <w:rFonts w:ascii="Century Schoolbook" w:hAnsi="Century Schoolbook"/>
        </w:rPr>
        <w:t>IRBs’</w:t>
      </w:r>
      <w:r w:rsidR="001037DC" w:rsidRPr="00B324F6">
        <w:rPr>
          <w:rFonts w:ascii="Century Schoolbook" w:hAnsi="Century Schoolbook"/>
        </w:rPr>
        <w:t xml:space="preserve"> and </w:t>
      </w:r>
      <w:proofErr w:type="spellStart"/>
      <w:r w:rsidR="00F43C94">
        <w:rPr>
          <w:rFonts w:ascii="Century Schoolbook" w:hAnsi="Century Schoolbook"/>
        </w:rPr>
        <w:t>RECs’</w:t>
      </w:r>
      <w:proofErr w:type="spellEnd"/>
      <w:r w:rsidR="001037DC" w:rsidRPr="00B324F6">
        <w:rPr>
          <w:rFonts w:ascii="Century Schoolbook" w:hAnsi="Century Schoolbook"/>
        </w:rPr>
        <w:t xml:space="preserve"> judgements about public interest and benefit lack transparency and consistency. This is a significant risk to public trust and the future of health data-sharing for research. </w:t>
      </w:r>
    </w:p>
    <w:p w14:paraId="5083623E" w14:textId="77777777" w:rsidR="008F4D13" w:rsidRPr="00B324F6" w:rsidRDefault="008F4D13" w:rsidP="00B324F6">
      <w:pPr>
        <w:spacing w:after="0"/>
        <w:jc w:val="both"/>
        <w:rPr>
          <w:rFonts w:ascii="Century Schoolbook" w:hAnsi="Century Schoolbook"/>
        </w:rPr>
      </w:pPr>
    </w:p>
    <w:p w14:paraId="0EDF4C07" w14:textId="757E4B9C" w:rsidR="00B87C9C" w:rsidRPr="00B324F6" w:rsidRDefault="00B87C9C" w:rsidP="00B324F6">
      <w:pPr>
        <w:jc w:val="both"/>
        <w:rPr>
          <w:rFonts w:ascii="Century Schoolbook" w:hAnsi="Century Schoolbook"/>
        </w:rPr>
      </w:pPr>
      <w:r w:rsidRPr="00B324F6">
        <w:rPr>
          <w:rFonts w:ascii="Century Schoolbook" w:hAnsi="Century Schoolbook"/>
        </w:rPr>
        <w:t>In this paper we</w:t>
      </w:r>
      <w:r w:rsidR="001878FC" w:rsidRPr="00B324F6">
        <w:rPr>
          <w:rFonts w:ascii="Century Schoolbook" w:hAnsi="Century Schoolbook"/>
        </w:rPr>
        <w:t xml:space="preserve"> </w:t>
      </w:r>
      <w:r w:rsidR="00832BCD" w:rsidRPr="00B324F6">
        <w:rPr>
          <w:rFonts w:ascii="Century Schoolbook" w:hAnsi="Century Schoolbook"/>
        </w:rPr>
        <w:t xml:space="preserve">do three things. </w:t>
      </w:r>
      <w:proofErr w:type="gramStart"/>
      <w:r w:rsidR="00832BCD" w:rsidRPr="00B324F6">
        <w:rPr>
          <w:rFonts w:ascii="Century Schoolbook" w:hAnsi="Century Schoolbook"/>
        </w:rPr>
        <w:t>First</w:t>
      </w:r>
      <w:proofErr w:type="gramEnd"/>
      <w:r w:rsidR="00832BCD" w:rsidRPr="00B324F6">
        <w:rPr>
          <w:rFonts w:ascii="Century Schoolbook" w:hAnsi="Century Schoolbook"/>
        </w:rPr>
        <w:t xml:space="preserve"> we describe and document the current confusion and instability in terminology relating to public interest in the context of consent waivers. </w:t>
      </w:r>
      <w:proofErr w:type="gramStart"/>
      <w:r w:rsidR="00832BCD" w:rsidRPr="00B324F6">
        <w:rPr>
          <w:rFonts w:ascii="Century Schoolbook" w:hAnsi="Century Schoolbook"/>
        </w:rPr>
        <w:t>Second</w:t>
      </w:r>
      <w:proofErr w:type="gramEnd"/>
      <w:r w:rsidR="00832BCD" w:rsidRPr="00B324F6">
        <w:rPr>
          <w:rFonts w:ascii="Century Schoolbook" w:hAnsi="Century Schoolbook"/>
        </w:rPr>
        <w:t xml:space="preserve"> we argue for harmonisation of terminology on the grounds of clarity, transparency and consistency. Third we argue that the term ‘public interest’ is the broadest of the competing terms as it includes within its scope positive and negative implications of a study, as well as welfare, justice and rights considerations. We argue that ‘public interest’ best reflects the normative work required to justify consent waivers. </w:t>
      </w:r>
      <w:r w:rsidR="00F00DCB" w:rsidRPr="00B324F6">
        <w:rPr>
          <w:rFonts w:ascii="Century Schoolbook" w:hAnsi="Century Schoolbook"/>
        </w:rPr>
        <w:t>In so doing, we elucidate the normative basis for consent waivers, and provide a starting place for further</w:t>
      </w:r>
      <w:r w:rsidR="00832BCD" w:rsidRPr="00B324F6">
        <w:rPr>
          <w:rFonts w:ascii="Century Schoolbook" w:hAnsi="Century Schoolbook"/>
        </w:rPr>
        <w:t xml:space="preserve"> discussion about</w:t>
      </w:r>
      <w:r w:rsidR="00F00DCB" w:rsidRPr="00B324F6">
        <w:rPr>
          <w:rFonts w:ascii="Century Schoolbook" w:hAnsi="Century Schoolbook"/>
        </w:rPr>
        <w:t xml:space="preserve"> the precise conditions in which a given study can be said to advance the public interest</w:t>
      </w:r>
      <w:r w:rsidR="00832BCD" w:rsidRPr="00B324F6">
        <w:rPr>
          <w:rFonts w:ascii="Century Schoolbook" w:hAnsi="Century Schoolbook"/>
        </w:rPr>
        <w:t>.</w:t>
      </w:r>
      <w:r w:rsidR="00E4311B" w:rsidRPr="00B324F6">
        <w:rPr>
          <w:rFonts w:ascii="Century Schoolbook" w:hAnsi="Century Schoolbook"/>
        </w:rPr>
        <w:t xml:space="preserve"> </w:t>
      </w:r>
    </w:p>
    <w:p w14:paraId="0F01ACEC" w14:textId="77777777" w:rsidR="0056106A" w:rsidRPr="00B324F6" w:rsidRDefault="0056106A" w:rsidP="00B324F6">
      <w:pPr>
        <w:jc w:val="both"/>
        <w:rPr>
          <w:rFonts w:ascii="Century Schoolbook" w:hAnsi="Century Schoolbook"/>
        </w:rPr>
      </w:pPr>
      <w:r w:rsidRPr="00B324F6">
        <w:rPr>
          <w:rFonts w:ascii="Century Schoolbook" w:hAnsi="Century Schoolbook"/>
        </w:rPr>
        <w:br w:type="page"/>
      </w:r>
    </w:p>
    <w:p w14:paraId="712704CC" w14:textId="26A1452A" w:rsidR="002A4716" w:rsidRPr="00B324F6" w:rsidRDefault="00B87C9C" w:rsidP="00B324F6">
      <w:pPr>
        <w:spacing w:after="0"/>
        <w:jc w:val="both"/>
        <w:rPr>
          <w:rFonts w:ascii="Century Schoolbook" w:hAnsi="Century Schoolbook"/>
          <w:b/>
        </w:rPr>
      </w:pPr>
      <w:r w:rsidRPr="00B324F6">
        <w:rPr>
          <w:rFonts w:ascii="Century Schoolbook" w:hAnsi="Century Schoolbook"/>
          <w:b/>
        </w:rPr>
        <w:lastRenderedPageBreak/>
        <w:t xml:space="preserve">Terminology </w:t>
      </w:r>
    </w:p>
    <w:p w14:paraId="13E71CA0" w14:textId="050A053F" w:rsidR="00B87C9C" w:rsidRPr="00B324F6" w:rsidRDefault="00B87C9C" w:rsidP="00B324F6">
      <w:pPr>
        <w:spacing w:after="0"/>
        <w:jc w:val="both"/>
        <w:rPr>
          <w:rFonts w:ascii="Century Schoolbook" w:hAnsi="Century Schoolbook"/>
          <w:b/>
          <w:u w:val="single"/>
        </w:rPr>
      </w:pPr>
    </w:p>
    <w:p w14:paraId="6C780001" w14:textId="67263CB8" w:rsidR="00B87C9C" w:rsidRPr="00B324F6" w:rsidRDefault="00B87C9C" w:rsidP="00B324F6">
      <w:pPr>
        <w:spacing w:after="0"/>
        <w:jc w:val="both"/>
        <w:rPr>
          <w:rFonts w:ascii="Century Schoolbook" w:hAnsi="Century Schoolbook"/>
        </w:rPr>
      </w:pPr>
      <w:r w:rsidRPr="00B324F6">
        <w:rPr>
          <w:rFonts w:ascii="Century Schoolbook" w:hAnsi="Century Schoolbook"/>
        </w:rPr>
        <w:t xml:space="preserve">In Table 1 we present some of the </w:t>
      </w:r>
      <w:proofErr w:type="gramStart"/>
      <w:r w:rsidRPr="00B324F6">
        <w:rPr>
          <w:rFonts w:ascii="Century Schoolbook" w:hAnsi="Century Schoolbook"/>
        </w:rPr>
        <w:t>most commonly used</w:t>
      </w:r>
      <w:proofErr w:type="gramEnd"/>
      <w:r w:rsidRPr="00B324F6">
        <w:rPr>
          <w:rFonts w:ascii="Century Schoolbook" w:hAnsi="Century Schoolbook"/>
        </w:rPr>
        <w:t xml:space="preserve"> terms referring to public interest and examples from key guidelines. </w:t>
      </w:r>
      <w:r w:rsidR="007A2000" w:rsidRPr="00577B64">
        <w:rPr>
          <w:rStyle w:val="FootnoteReference"/>
        </w:rPr>
        <w:footnoteReference w:id="5"/>
      </w:r>
    </w:p>
    <w:p w14:paraId="0F682EB0" w14:textId="77777777" w:rsidR="002A4716" w:rsidRPr="00B324F6" w:rsidRDefault="002A4716" w:rsidP="00B324F6">
      <w:pPr>
        <w:spacing w:after="0"/>
        <w:jc w:val="both"/>
        <w:rPr>
          <w:rFonts w:ascii="Century Schoolbook" w:hAnsi="Century Schoolbook"/>
        </w:rPr>
      </w:pPr>
    </w:p>
    <w:tbl>
      <w:tblPr>
        <w:tblStyle w:val="TableGrid"/>
        <w:tblW w:w="0" w:type="auto"/>
        <w:tblLook w:val="04A0" w:firstRow="1" w:lastRow="0" w:firstColumn="1" w:lastColumn="0" w:noHBand="0" w:noVBand="1"/>
      </w:tblPr>
      <w:tblGrid>
        <w:gridCol w:w="1526"/>
        <w:gridCol w:w="2410"/>
        <w:gridCol w:w="3289"/>
        <w:gridCol w:w="1530"/>
      </w:tblGrid>
      <w:tr w:rsidR="00895A94" w:rsidRPr="00B324F6" w14:paraId="6C88F59E" w14:textId="77777777" w:rsidTr="00E22457">
        <w:tc>
          <w:tcPr>
            <w:tcW w:w="8755" w:type="dxa"/>
            <w:gridSpan w:val="4"/>
          </w:tcPr>
          <w:p w14:paraId="70EA6DF3" w14:textId="1F0BFA93" w:rsidR="00895A94" w:rsidRPr="00B324F6" w:rsidRDefault="001F1567" w:rsidP="00B324F6">
            <w:pPr>
              <w:spacing w:line="276" w:lineRule="auto"/>
              <w:jc w:val="both"/>
              <w:rPr>
                <w:rFonts w:ascii="Century Schoolbook" w:hAnsi="Century Schoolbook"/>
                <w:b/>
                <w:sz w:val="18"/>
                <w:szCs w:val="18"/>
                <w:lang w:val="en-AU"/>
              </w:rPr>
            </w:pPr>
            <w:r w:rsidRPr="00B324F6">
              <w:rPr>
                <w:rFonts w:ascii="Century Schoolbook" w:hAnsi="Century Schoolbook"/>
                <w:b/>
                <w:sz w:val="18"/>
                <w:szCs w:val="18"/>
                <w:lang w:val="en-AU"/>
              </w:rPr>
              <w:t xml:space="preserve">Table 1: Examples of terminology in regulation and guidance on </w:t>
            </w:r>
            <w:r w:rsidR="006A22FD" w:rsidRPr="00B324F6">
              <w:rPr>
                <w:rFonts w:ascii="Century Schoolbook" w:hAnsi="Century Schoolbook"/>
                <w:b/>
                <w:sz w:val="18"/>
                <w:szCs w:val="18"/>
                <w:lang w:val="en-AU"/>
              </w:rPr>
              <w:t xml:space="preserve">identifiable </w:t>
            </w:r>
            <w:r w:rsidRPr="00B324F6">
              <w:rPr>
                <w:rFonts w:ascii="Century Schoolbook" w:hAnsi="Century Schoolbook"/>
                <w:b/>
                <w:sz w:val="18"/>
                <w:szCs w:val="18"/>
                <w:lang w:val="en-AU"/>
              </w:rPr>
              <w:t>health data access for research</w:t>
            </w:r>
            <w:r w:rsidR="00111404" w:rsidRPr="00B324F6">
              <w:rPr>
                <w:rFonts w:ascii="Century Schoolbook" w:hAnsi="Century Schoolbook"/>
                <w:b/>
                <w:sz w:val="18"/>
                <w:szCs w:val="18"/>
                <w:lang w:val="en-AU"/>
              </w:rPr>
              <w:t xml:space="preserve"> without consent</w:t>
            </w:r>
          </w:p>
        </w:tc>
      </w:tr>
      <w:tr w:rsidR="00E22457" w:rsidRPr="00B324F6" w14:paraId="4E042720" w14:textId="77777777" w:rsidTr="00756AA6">
        <w:tc>
          <w:tcPr>
            <w:tcW w:w="1526" w:type="dxa"/>
          </w:tcPr>
          <w:p w14:paraId="5D438F6E" w14:textId="06988CC4"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Country/Body</w:t>
            </w:r>
          </w:p>
        </w:tc>
        <w:tc>
          <w:tcPr>
            <w:tcW w:w="2410" w:type="dxa"/>
          </w:tcPr>
          <w:p w14:paraId="2C1C19F8" w14:textId="2E2C895B"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Quote</w:t>
            </w:r>
          </w:p>
        </w:tc>
        <w:tc>
          <w:tcPr>
            <w:tcW w:w="3289" w:type="dxa"/>
          </w:tcPr>
          <w:p w14:paraId="03E2517F" w14:textId="7D9E3070"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Document</w:t>
            </w:r>
          </w:p>
        </w:tc>
        <w:tc>
          <w:tcPr>
            <w:tcW w:w="1530" w:type="dxa"/>
          </w:tcPr>
          <w:p w14:paraId="1C5D2325" w14:textId="38B5245C"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Key term</w:t>
            </w:r>
          </w:p>
        </w:tc>
      </w:tr>
      <w:tr w:rsidR="00E22457" w:rsidRPr="00B324F6" w14:paraId="5F08CB0D" w14:textId="77777777" w:rsidTr="00756AA6">
        <w:tc>
          <w:tcPr>
            <w:tcW w:w="1526" w:type="dxa"/>
          </w:tcPr>
          <w:p w14:paraId="3A34E32F" w14:textId="58F13238"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UNESCO IBC</w:t>
            </w:r>
          </w:p>
        </w:tc>
        <w:tc>
          <w:tcPr>
            <w:tcW w:w="2410" w:type="dxa"/>
          </w:tcPr>
          <w:p w14:paraId="19FC43A4" w14:textId="38207260"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w:t>
            </w:r>
            <w:r w:rsidRPr="00B324F6">
              <w:rPr>
                <w:rFonts w:ascii="Century Schoolbook" w:hAnsi="Century Schoolbook"/>
                <w:bCs/>
                <w:sz w:val="18"/>
                <w:szCs w:val="18"/>
              </w:rPr>
              <w:t>Overriding</w:t>
            </w:r>
            <w:r w:rsidRPr="00B324F6">
              <w:rPr>
                <w:rFonts w:ascii="Century Schoolbook" w:hAnsi="Century Schoolbook"/>
                <w:sz w:val="18"/>
                <w:szCs w:val="18"/>
              </w:rPr>
              <w:t xml:space="preserve"> </w:t>
            </w:r>
            <w:r w:rsidRPr="00B324F6">
              <w:rPr>
                <w:rFonts w:ascii="Century Schoolbook" w:hAnsi="Century Schoolbook"/>
                <w:b/>
                <w:sz w:val="18"/>
                <w:szCs w:val="18"/>
              </w:rPr>
              <w:t>public interest</w:t>
            </w:r>
            <w:r w:rsidRPr="00B324F6">
              <w:rPr>
                <w:rFonts w:ascii="Century Schoolbook" w:hAnsi="Century Schoolbook"/>
                <w:sz w:val="18"/>
                <w:szCs w:val="18"/>
              </w:rPr>
              <w:t xml:space="preserve"> in this health research.”</w:t>
            </w:r>
          </w:p>
        </w:tc>
        <w:tc>
          <w:tcPr>
            <w:tcW w:w="3289" w:type="dxa"/>
          </w:tcPr>
          <w:p w14:paraId="7DBB9B94" w14:textId="6C65DB38" w:rsidR="00E22457" w:rsidRPr="00B324F6" w:rsidRDefault="00E22457" w:rsidP="00B324F6">
            <w:pPr>
              <w:jc w:val="both"/>
              <w:rPr>
                <w:rFonts w:ascii="Century Schoolbook" w:hAnsi="Century Schoolbook"/>
                <w:i/>
                <w:iCs/>
                <w:sz w:val="18"/>
                <w:szCs w:val="18"/>
              </w:rPr>
            </w:pPr>
            <w:r w:rsidRPr="00B324F6">
              <w:rPr>
                <w:rFonts w:ascii="Century Schoolbook" w:hAnsi="Century Schoolbook"/>
                <w:sz w:val="18"/>
                <w:szCs w:val="18"/>
              </w:rPr>
              <w:t>Report of the IBC on Big Data and Health</w:t>
            </w:r>
            <w:r w:rsidR="00DE11E2" w:rsidRPr="00B324F6">
              <w:rPr>
                <w:rFonts w:ascii="Century Schoolbook" w:hAnsi="Century Schoolbook"/>
                <w:sz w:val="18"/>
                <w:szCs w:val="18"/>
              </w:rPr>
              <w:t xml:space="preserve"> </w:t>
            </w:r>
            <w:r w:rsidR="00DE11E2" w:rsidRPr="00B324F6">
              <w:rPr>
                <w:rFonts w:ascii="Century Schoolbook" w:hAnsi="Century Schoolbook"/>
                <w:sz w:val="18"/>
                <w:szCs w:val="18"/>
              </w:rPr>
              <w:fldChar w:fldCharType="begin"/>
            </w:r>
            <w:r w:rsidR="00D17BA1">
              <w:rPr>
                <w:rFonts w:ascii="Century Schoolbook" w:hAnsi="Century Schoolbook"/>
                <w:sz w:val="18"/>
                <w:szCs w:val="18"/>
              </w:rPr>
              <w:instrText xml:space="preserve"> ADDIN ZOTERO_ITEM CSL_CITATION {"citationID":"OG6MVrKz","properties":{"formattedCitation":"[15]","plainCitation":"[15]","noteIndex":0},"citationItems":[{"id":1455,"uris":["http://zotero.org/users/1170976/items/UQIGUJ22"],"uri":["http://zotero.org/users/1170976/items/UQIGUJ22"],"itemData":{"id":1455,"type":"report","event-place":"Paris, France","publisher-place":"Paris, France","title":"Report of the IBC on Big Data and Health","URL":"https://unesdoc.unesco.org/ark:/48223/pf0000248724","author":[{"family":"UNESCO International Bioethics Committee","given":""}],"issued":{"date-parts":[["2017"]]}}}],"schema":"https://github.com/citation-style-language/schema/raw/master/csl-citation.json"} </w:instrText>
            </w:r>
            <w:r w:rsidR="00DE11E2" w:rsidRPr="00B324F6">
              <w:rPr>
                <w:rFonts w:ascii="Century Schoolbook" w:hAnsi="Century Schoolbook"/>
                <w:sz w:val="18"/>
                <w:szCs w:val="18"/>
              </w:rPr>
              <w:fldChar w:fldCharType="separate"/>
            </w:r>
            <w:r w:rsidR="007A2000" w:rsidRPr="00340371">
              <w:rPr>
                <w:rFonts w:ascii="Century Schoolbook" w:hAnsi="Century Schoolbook"/>
                <w:sz w:val="18"/>
              </w:rPr>
              <w:t>[15]</w:t>
            </w:r>
            <w:r w:rsidR="00DE11E2" w:rsidRPr="00B324F6">
              <w:rPr>
                <w:rFonts w:ascii="Century Schoolbook" w:hAnsi="Century Schoolbook"/>
                <w:sz w:val="18"/>
                <w:szCs w:val="18"/>
              </w:rPr>
              <w:fldChar w:fldCharType="end"/>
            </w:r>
          </w:p>
        </w:tc>
        <w:tc>
          <w:tcPr>
            <w:tcW w:w="1530" w:type="dxa"/>
          </w:tcPr>
          <w:p w14:paraId="214C7507" w14:textId="137B9819"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Public interest</w:t>
            </w:r>
          </w:p>
        </w:tc>
      </w:tr>
      <w:tr w:rsidR="00E22457" w:rsidRPr="00B324F6" w14:paraId="7AD9DD39" w14:textId="77777777" w:rsidTr="00756AA6">
        <w:tc>
          <w:tcPr>
            <w:tcW w:w="1526" w:type="dxa"/>
          </w:tcPr>
          <w:p w14:paraId="7C43A9CF" w14:textId="516AE05C"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Ireland</w:t>
            </w:r>
          </w:p>
        </w:tc>
        <w:tc>
          <w:tcPr>
            <w:tcW w:w="2410" w:type="dxa"/>
          </w:tcPr>
          <w:p w14:paraId="68F6FADE" w14:textId="0C2E1ACB" w:rsidR="00E22457" w:rsidRPr="00B324F6" w:rsidRDefault="00E22457" w:rsidP="00B324F6">
            <w:pPr>
              <w:jc w:val="both"/>
              <w:rPr>
                <w:rFonts w:ascii="Century Schoolbook" w:hAnsi="Century Schoolbook"/>
                <w:sz w:val="18"/>
                <w:szCs w:val="18"/>
              </w:rPr>
            </w:pPr>
            <w:r w:rsidRPr="00B324F6">
              <w:rPr>
                <w:rFonts w:ascii="Century Schoolbook" w:hAnsi="Century Schoolbook" w:cstheme="minorHAnsi"/>
                <w:sz w:val="18"/>
                <w:szCs w:val="18"/>
                <w:lang w:val="en-US"/>
              </w:rPr>
              <w:t>“</w:t>
            </w:r>
            <w:r w:rsidRPr="00B324F6">
              <w:rPr>
                <w:rStyle w:val="Strong"/>
                <w:rFonts w:ascii="Century Schoolbook" w:hAnsi="Century Schoolbook" w:cs="Arial"/>
                <w:b w:val="0"/>
                <w:color w:val="333132"/>
                <w:sz w:val="18"/>
                <w:szCs w:val="18"/>
                <w:shd w:val="clear" w:color="auto" w:fill="FFFFFF"/>
              </w:rPr>
              <w:t xml:space="preserve">the </w:t>
            </w:r>
            <w:r w:rsidRPr="00B324F6">
              <w:rPr>
                <w:rStyle w:val="Strong"/>
                <w:rFonts w:ascii="Century Schoolbook" w:hAnsi="Century Schoolbook" w:cs="Arial"/>
                <w:color w:val="333132"/>
                <w:sz w:val="18"/>
                <w:szCs w:val="18"/>
                <w:shd w:val="clear" w:color="auto" w:fill="FFFFFF"/>
              </w:rPr>
              <w:t>public interest</w:t>
            </w:r>
            <w:r w:rsidRPr="00B324F6">
              <w:rPr>
                <w:rStyle w:val="Strong"/>
                <w:rFonts w:ascii="Century Schoolbook" w:hAnsi="Century Schoolbook" w:cs="Arial"/>
                <w:b w:val="0"/>
                <w:color w:val="333132"/>
                <w:sz w:val="18"/>
                <w:szCs w:val="18"/>
                <w:shd w:val="clear" w:color="auto" w:fill="FFFFFF"/>
              </w:rPr>
              <w:t xml:space="preserve"> of the research significantly outweighs the public interest in requiring the explicit consent of the individual whose data is being processed.”</w:t>
            </w:r>
          </w:p>
        </w:tc>
        <w:tc>
          <w:tcPr>
            <w:tcW w:w="3289" w:type="dxa"/>
          </w:tcPr>
          <w:p w14:paraId="4AD662E9" w14:textId="09F72114" w:rsidR="00E22457" w:rsidRPr="00B324F6" w:rsidRDefault="00E22457" w:rsidP="00B324F6">
            <w:pPr>
              <w:jc w:val="both"/>
              <w:rPr>
                <w:rFonts w:ascii="Century Schoolbook" w:hAnsi="Century Schoolbook"/>
                <w:sz w:val="18"/>
                <w:szCs w:val="18"/>
              </w:rPr>
            </w:pPr>
            <w:r w:rsidRPr="00B324F6">
              <w:rPr>
                <w:rStyle w:val="Strong"/>
                <w:rFonts w:ascii="Century Schoolbook" w:hAnsi="Century Schoolbook" w:cs="Arial"/>
                <w:b w:val="0"/>
                <w:color w:val="333132"/>
                <w:sz w:val="18"/>
                <w:szCs w:val="18"/>
                <w:shd w:val="clear" w:color="auto" w:fill="FFFFFF"/>
              </w:rPr>
              <w:t>Health Research Regulations</w:t>
            </w:r>
            <w:r w:rsidR="00DA4E4E" w:rsidRPr="00B324F6">
              <w:rPr>
                <w:rStyle w:val="Strong"/>
                <w:rFonts w:ascii="Century Schoolbook" w:hAnsi="Century Schoolbook" w:cs="Arial"/>
                <w:b w:val="0"/>
                <w:color w:val="333132"/>
                <w:sz w:val="18"/>
                <w:szCs w:val="18"/>
                <w:shd w:val="clear" w:color="auto" w:fill="FFFFFF"/>
              </w:rPr>
              <w:t xml:space="preserve"> </w:t>
            </w:r>
            <w:r w:rsidR="00DA4E4E" w:rsidRPr="00B324F6">
              <w:rPr>
                <w:rStyle w:val="Strong"/>
                <w:rFonts w:ascii="Century Schoolbook" w:hAnsi="Century Schoolbook" w:cs="Arial"/>
                <w:b w:val="0"/>
                <w:color w:val="333132"/>
                <w:sz w:val="18"/>
                <w:szCs w:val="18"/>
                <w:shd w:val="clear" w:color="auto" w:fill="FFFFFF"/>
              </w:rPr>
              <w:fldChar w:fldCharType="begin"/>
            </w:r>
            <w:r w:rsidR="00D17BA1">
              <w:rPr>
                <w:rStyle w:val="Strong"/>
                <w:rFonts w:ascii="Century Schoolbook" w:hAnsi="Century Schoolbook" w:cs="Arial"/>
                <w:b w:val="0"/>
                <w:color w:val="333132"/>
                <w:sz w:val="18"/>
                <w:szCs w:val="18"/>
                <w:shd w:val="clear" w:color="auto" w:fill="FFFFFF"/>
              </w:rPr>
              <w:instrText xml:space="preserve"> ADDIN ZOTERO_ITEM CSL_CITATION {"citationID":"f7G9yfPL","properties":{"formattedCitation":"[16]","plainCitation":"[16]","noteIndex":0},"citationItems":[{"id":1456,"uris":["http://zotero.org/users/1170976/items/8XPGCRG5"],"uri":["http://zotero.org/users/1170976/items/8XPGCRG5"],"itemData":{"id":1456,"type":"legislation","container-title":"S.I. No. 314 of 2018","section":"5(1)","title":"Data Protection Act 2018 (Section 36(2)) (Health Research) Regulations 2018","URL":"http://www.irishstatutebook.ie/eli/2018/si/314/made/en/pdf","issued":{"date-parts":[["2018"]]}}}],"schema":"https://github.com/citation-style-language/schema/raw/master/csl-citation.json"} </w:instrText>
            </w:r>
            <w:r w:rsidR="00DA4E4E" w:rsidRPr="00B324F6">
              <w:rPr>
                <w:rStyle w:val="Strong"/>
                <w:rFonts w:ascii="Century Schoolbook" w:hAnsi="Century Schoolbook" w:cs="Arial"/>
                <w:b w:val="0"/>
                <w:color w:val="333132"/>
                <w:sz w:val="18"/>
                <w:szCs w:val="18"/>
                <w:shd w:val="clear" w:color="auto" w:fill="FFFFFF"/>
              </w:rPr>
              <w:fldChar w:fldCharType="separate"/>
            </w:r>
            <w:r w:rsidR="007A2000" w:rsidRPr="00D17BA1">
              <w:rPr>
                <w:rFonts w:ascii="Century Schoolbook" w:hAnsi="Century Schoolbook"/>
                <w:sz w:val="18"/>
              </w:rPr>
              <w:t>[16]</w:t>
            </w:r>
            <w:r w:rsidR="00DA4E4E" w:rsidRPr="00B324F6">
              <w:rPr>
                <w:rStyle w:val="Strong"/>
                <w:rFonts w:ascii="Century Schoolbook" w:hAnsi="Century Schoolbook" w:cs="Arial"/>
                <w:b w:val="0"/>
                <w:color w:val="333132"/>
                <w:sz w:val="18"/>
                <w:szCs w:val="18"/>
                <w:shd w:val="clear" w:color="auto" w:fill="FFFFFF"/>
              </w:rPr>
              <w:fldChar w:fldCharType="end"/>
            </w:r>
          </w:p>
        </w:tc>
        <w:tc>
          <w:tcPr>
            <w:tcW w:w="1530" w:type="dxa"/>
          </w:tcPr>
          <w:p w14:paraId="1D9D501A" w14:textId="65730393"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Public interest</w:t>
            </w:r>
          </w:p>
        </w:tc>
      </w:tr>
      <w:tr w:rsidR="00E22457" w:rsidRPr="00B324F6" w14:paraId="263F8058" w14:textId="77777777" w:rsidTr="00756AA6">
        <w:tc>
          <w:tcPr>
            <w:tcW w:w="1526" w:type="dxa"/>
          </w:tcPr>
          <w:p w14:paraId="1308CD18" w14:textId="1061048B"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Australia</w:t>
            </w:r>
          </w:p>
        </w:tc>
        <w:tc>
          <w:tcPr>
            <w:tcW w:w="2410" w:type="dxa"/>
          </w:tcPr>
          <w:p w14:paraId="1C96BD24" w14:textId="74F7FFA4"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 xml:space="preserve">“…the </w:t>
            </w:r>
            <w:r w:rsidRPr="00B324F6">
              <w:rPr>
                <w:rFonts w:ascii="Century Schoolbook" w:hAnsi="Century Schoolbook"/>
                <w:b/>
                <w:sz w:val="18"/>
                <w:szCs w:val="18"/>
              </w:rPr>
              <w:t>benefits</w:t>
            </w:r>
            <w:r w:rsidRPr="00B324F6">
              <w:rPr>
                <w:rFonts w:ascii="Century Schoolbook" w:hAnsi="Century Schoolbook"/>
                <w:sz w:val="18"/>
                <w:szCs w:val="18"/>
              </w:rPr>
              <w:t xml:space="preserve"> from the research justify any risks of harm associated with not seeking consent”</w:t>
            </w:r>
          </w:p>
        </w:tc>
        <w:tc>
          <w:tcPr>
            <w:tcW w:w="3289" w:type="dxa"/>
          </w:tcPr>
          <w:p w14:paraId="53B0CF16" w14:textId="356FE319"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NHMRC Research ethics guidelines</w:t>
            </w:r>
            <w:r w:rsidR="00DA4E4E" w:rsidRPr="00B324F6">
              <w:rPr>
                <w:rFonts w:ascii="Century Schoolbook" w:hAnsi="Century Schoolbook"/>
                <w:sz w:val="18"/>
                <w:szCs w:val="18"/>
              </w:rPr>
              <w:fldChar w:fldCharType="begin"/>
            </w:r>
            <w:r w:rsidR="00D17BA1">
              <w:rPr>
                <w:rFonts w:ascii="Century Schoolbook" w:hAnsi="Century Schoolbook"/>
                <w:sz w:val="18"/>
                <w:szCs w:val="18"/>
              </w:rPr>
              <w:instrText xml:space="preserve"> ADDIN ZOTERO_ITEM CSL_CITATION {"citationID":"JN7JwyJy","properties":{"formattedCitation":"[17]","plainCitation":"[17]","noteIndex":0},"citationItems":[{"id":1127,"uris":["http://zotero.org/users/1170976/items/UU2PPTZU"],"uri":["http://zotero.org/users/1170976/items/UU2PPTZU"],"itemData":{"id":1127,"type":"book","event-place":"Canberra","ISBN":"978-1-86496-269-7","language":"English","note":"OCLC: 225568989","publisher":"National Health and Medical Research Council","publisher-place":"Canberra","source":"Open WorldCat","title":"National statement on ethical conduct in human research","author":[{"literal":"National Health and Medical Research Council (Australia)"},{"literal":"Australian Research Council"},{"literal":"Australian Vice-Chancellors' Committee"}],"issued":{"date-parts":[["2007"]]}}}],"schema":"https://github.com/citation-style-language/schema/raw/master/csl-citation.json"} </w:instrText>
            </w:r>
            <w:r w:rsidR="00DA4E4E" w:rsidRPr="00B324F6">
              <w:rPr>
                <w:rFonts w:ascii="Century Schoolbook" w:hAnsi="Century Schoolbook"/>
                <w:sz w:val="18"/>
                <w:szCs w:val="18"/>
              </w:rPr>
              <w:fldChar w:fldCharType="separate"/>
            </w:r>
            <w:r w:rsidR="007A2000" w:rsidRPr="00340371">
              <w:rPr>
                <w:rFonts w:ascii="Century Schoolbook" w:hAnsi="Century Schoolbook"/>
                <w:sz w:val="18"/>
              </w:rPr>
              <w:t>[17]</w:t>
            </w:r>
            <w:r w:rsidR="00DA4E4E" w:rsidRPr="00B324F6">
              <w:rPr>
                <w:rFonts w:ascii="Century Schoolbook" w:hAnsi="Century Schoolbook"/>
                <w:sz w:val="18"/>
                <w:szCs w:val="18"/>
              </w:rPr>
              <w:fldChar w:fldCharType="end"/>
            </w:r>
          </w:p>
        </w:tc>
        <w:tc>
          <w:tcPr>
            <w:tcW w:w="1530" w:type="dxa"/>
          </w:tcPr>
          <w:p w14:paraId="41054FC4" w14:textId="252146B2"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[public] Benefits</w:t>
            </w:r>
          </w:p>
        </w:tc>
      </w:tr>
      <w:tr w:rsidR="00E22457" w:rsidRPr="00B324F6" w14:paraId="0D89CAB3" w14:textId="77777777" w:rsidTr="00756AA6">
        <w:tc>
          <w:tcPr>
            <w:tcW w:w="1526" w:type="dxa"/>
          </w:tcPr>
          <w:p w14:paraId="05185D41" w14:textId="7BA2B98E"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New Zealand</w:t>
            </w:r>
          </w:p>
        </w:tc>
        <w:tc>
          <w:tcPr>
            <w:tcW w:w="2410" w:type="dxa"/>
          </w:tcPr>
          <w:p w14:paraId="6B182837" w14:textId="3A5E14D6" w:rsidR="00E22457" w:rsidRPr="00B324F6" w:rsidRDefault="00E22457" w:rsidP="00B324F6">
            <w:pPr>
              <w:jc w:val="both"/>
              <w:rPr>
                <w:rFonts w:ascii="Century Schoolbook" w:hAnsi="Century Schoolbook"/>
              </w:rPr>
            </w:pPr>
            <w:r w:rsidRPr="00B324F6">
              <w:rPr>
                <w:rFonts w:ascii="Century Schoolbook" w:hAnsi="Century Schoolbook"/>
                <w:sz w:val="18"/>
                <w:szCs w:val="18"/>
              </w:rPr>
              <w:t>“</w:t>
            </w:r>
            <w:r w:rsidRPr="00B324F6">
              <w:rPr>
                <w:rFonts w:ascii="Century Schoolbook" w:hAnsi="Century Schoolbook"/>
                <w:b/>
                <w:bCs/>
                <w:sz w:val="18"/>
                <w:szCs w:val="18"/>
              </w:rPr>
              <w:t xml:space="preserve">public </w:t>
            </w:r>
            <w:r w:rsidR="009F0589" w:rsidRPr="00B324F6">
              <w:rPr>
                <w:rFonts w:ascii="Century Schoolbook" w:hAnsi="Century Schoolbook"/>
                <w:b/>
                <w:bCs/>
                <w:sz w:val="18"/>
                <w:szCs w:val="18"/>
              </w:rPr>
              <w:t>i</w:t>
            </w:r>
            <w:r w:rsidR="009F0589" w:rsidRPr="00B324F6">
              <w:rPr>
                <w:rFonts w:ascii="Century Schoolbook" w:hAnsi="Century Schoolbook"/>
                <w:b/>
                <w:sz w:val="18"/>
                <w:szCs w:val="18"/>
              </w:rPr>
              <w:t xml:space="preserve">nterest </w:t>
            </w:r>
            <w:r w:rsidR="009F0589" w:rsidRPr="00B324F6">
              <w:rPr>
                <w:rFonts w:ascii="Century Schoolbook" w:hAnsi="Century Schoolbook"/>
                <w:bCs/>
                <w:sz w:val="18"/>
                <w:szCs w:val="18"/>
              </w:rPr>
              <w:t xml:space="preserve">in the study </w:t>
            </w:r>
            <w:r w:rsidRPr="00B324F6">
              <w:rPr>
                <w:rFonts w:ascii="Century Schoolbook" w:hAnsi="Century Schoolbook"/>
                <w:sz w:val="18"/>
                <w:szCs w:val="18"/>
              </w:rPr>
              <w:t>outweighs public interest in privacy”</w:t>
            </w:r>
            <w:r w:rsidR="009F0589" w:rsidRPr="00B324F6">
              <w:rPr>
                <w:rFonts w:ascii="Century Schoolbook" w:hAnsi="Century Schoolbook"/>
                <w:sz w:val="18"/>
                <w:szCs w:val="18"/>
              </w:rPr>
              <w:t xml:space="preserve"> (for collection</w:t>
            </w:r>
            <w:r w:rsidR="00111404" w:rsidRPr="00B324F6">
              <w:rPr>
                <w:rFonts w:ascii="Century Schoolbook" w:hAnsi="Century Schoolbook"/>
                <w:sz w:val="18"/>
                <w:szCs w:val="18"/>
              </w:rPr>
              <w:t xml:space="preserve"> without consent</w:t>
            </w:r>
            <w:r w:rsidR="009F0589" w:rsidRPr="00B324F6">
              <w:rPr>
                <w:rFonts w:ascii="Century Schoolbook" w:hAnsi="Century Schoolbook"/>
                <w:sz w:val="18"/>
                <w:szCs w:val="18"/>
              </w:rPr>
              <w:t>)</w:t>
            </w:r>
          </w:p>
          <w:p w14:paraId="58D894ED" w14:textId="77777777" w:rsidR="009F0589" w:rsidRPr="00B324F6" w:rsidRDefault="009F0589" w:rsidP="00B324F6">
            <w:pPr>
              <w:jc w:val="both"/>
              <w:rPr>
                <w:rFonts w:ascii="Century Schoolbook" w:hAnsi="Century Schoolbook"/>
              </w:rPr>
            </w:pPr>
          </w:p>
          <w:p w14:paraId="0350F29F" w14:textId="42B4EF78" w:rsidR="009F0589" w:rsidRPr="00B324F6" w:rsidRDefault="009F0589" w:rsidP="00B324F6">
            <w:pPr>
              <w:jc w:val="both"/>
              <w:rPr>
                <w:rFonts w:ascii="Century Schoolbook" w:hAnsi="Century Schoolbook"/>
                <w:sz w:val="18"/>
                <w:szCs w:val="18"/>
              </w:rPr>
            </w:pPr>
            <w:r w:rsidRPr="00B324F6">
              <w:rPr>
                <w:rFonts w:ascii="Century Schoolbook" w:hAnsi="Century Schoolbook"/>
                <w:sz w:val="18"/>
                <w:szCs w:val="18"/>
              </w:rPr>
              <w:t xml:space="preserve">“the research has the potential to </w:t>
            </w:r>
            <w:r w:rsidRPr="00B324F6">
              <w:rPr>
                <w:rFonts w:ascii="Century Schoolbook" w:hAnsi="Century Schoolbook"/>
                <w:b/>
                <w:bCs/>
                <w:sz w:val="18"/>
                <w:szCs w:val="18"/>
              </w:rPr>
              <w:t>benefit the public</w:t>
            </w:r>
            <w:r w:rsidRPr="00B324F6">
              <w:rPr>
                <w:rFonts w:ascii="Century Schoolbook" w:hAnsi="Century Schoolbook"/>
                <w:sz w:val="18"/>
                <w:szCs w:val="18"/>
              </w:rPr>
              <w:t>” (for linkage</w:t>
            </w:r>
            <w:r w:rsidR="00111404" w:rsidRPr="00B324F6">
              <w:rPr>
                <w:rFonts w:ascii="Century Schoolbook" w:hAnsi="Century Schoolbook"/>
                <w:sz w:val="18"/>
                <w:szCs w:val="18"/>
              </w:rPr>
              <w:t xml:space="preserve"> without consent</w:t>
            </w:r>
            <w:r w:rsidRPr="00B324F6">
              <w:rPr>
                <w:rFonts w:ascii="Century Schoolbook" w:hAnsi="Century Schoolbook"/>
                <w:sz w:val="18"/>
                <w:szCs w:val="18"/>
              </w:rPr>
              <w:t>)</w:t>
            </w:r>
          </w:p>
        </w:tc>
        <w:tc>
          <w:tcPr>
            <w:tcW w:w="3289" w:type="dxa"/>
          </w:tcPr>
          <w:p w14:paraId="12BE35E5" w14:textId="0757D7D7"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lang w:val="en-US"/>
              </w:rPr>
              <w:t>Guidelines for Observational Research</w:t>
            </w:r>
            <w:r w:rsidR="009F0589" w:rsidRPr="00B324F6">
              <w:rPr>
                <w:rFonts w:ascii="Century Schoolbook" w:hAnsi="Century Schoolbook"/>
                <w:sz w:val="18"/>
                <w:szCs w:val="18"/>
                <w:lang w:val="en-US"/>
              </w:rPr>
              <w:t xml:space="preserve"> </w:t>
            </w:r>
            <w:r w:rsidR="00DA4E4E" w:rsidRPr="00B324F6">
              <w:rPr>
                <w:rFonts w:ascii="Century Schoolbook" w:hAnsi="Century Schoolbook"/>
                <w:sz w:val="18"/>
                <w:szCs w:val="18"/>
                <w:lang w:val="en-US"/>
              </w:rPr>
              <w:fldChar w:fldCharType="begin"/>
            </w:r>
            <w:r w:rsidR="00D17BA1">
              <w:rPr>
                <w:rFonts w:ascii="Century Schoolbook" w:hAnsi="Century Schoolbook"/>
                <w:sz w:val="18"/>
                <w:szCs w:val="18"/>
                <w:lang w:val="en-US"/>
              </w:rPr>
              <w:instrText xml:space="preserve"> ADDIN ZOTERO_ITEM CSL_CITATION {"citationID":"JCQq5PH3","properties":{"formattedCitation":"[18]","plainCitation":"[18]","noteIndex":0},"citationItems":[{"id":1123,"uris":["http://zotero.org/users/1170976/items/XA8PZUB6"],"uri":["http://zotero.org/users/1170976/items/XA8PZUB6"],"itemData":{"id":1123,"type":"book","event-place":"Wellington","publisher":"Ministry of Health","publisher-place":"Wellington","title":"Ethical Guidelines for Observational Studies: Observational research, audits and related activities","author":[{"family":"National Ethics Advisory Committee","given":""}],"issued":{"date-parts":[["2012"]]}}}],"schema":"https://github.com/citation-style-language/schema/raw/master/csl-citation.json"} </w:instrText>
            </w:r>
            <w:r w:rsidR="00DA4E4E" w:rsidRPr="00B324F6">
              <w:rPr>
                <w:rFonts w:ascii="Century Schoolbook" w:hAnsi="Century Schoolbook"/>
                <w:sz w:val="18"/>
                <w:szCs w:val="18"/>
                <w:lang w:val="en-US"/>
              </w:rPr>
              <w:fldChar w:fldCharType="separate"/>
            </w:r>
            <w:r w:rsidR="007A2000" w:rsidRPr="00340371">
              <w:rPr>
                <w:rFonts w:ascii="Century Schoolbook" w:hAnsi="Century Schoolbook"/>
                <w:sz w:val="18"/>
              </w:rPr>
              <w:t>[18]</w:t>
            </w:r>
            <w:r w:rsidR="00DA4E4E" w:rsidRPr="00B324F6">
              <w:rPr>
                <w:rFonts w:ascii="Century Schoolbook" w:hAnsi="Century Schoolbook"/>
                <w:sz w:val="18"/>
                <w:szCs w:val="18"/>
                <w:lang w:val="en-US"/>
              </w:rPr>
              <w:fldChar w:fldCharType="end"/>
            </w:r>
          </w:p>
        </w:tc>
        <w:tc>
          <w:tcPr>
            <w:tcW w:w="1530" w:type="dxa"/>
          </w:tcPr>
          <w:p w14:paraId="26265D45" w14:textId="465238DF"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 xml:space="preserve">Public </w:t>
            </w:r>
            <w:r w:rsidR="009F0589" w:rsidRPr="00B324F6">
              <w:rPr>
                <w:rFonts w:ascii="Century Schoolbook" w:hAnsi="Century Schoolbook"/>
                <w:sz w:val="18"/>
                <w:szCs w:val="18"/>
              </w:rPr>
              <w:t>benefit &amp; public interest</w:t>
            </w:r>
          </w:p>
        </w:tc>
      </w:tr>
      <w:tr w:rsidR="00E22457" w:rsidRPr="00B324F6" w14:paraId="3BEA43FE" w14:textId="77777777" w:rsidTr="00756AA6">
        <w:tc>
          <w:tcPr>
            <w:tcW w:w="1526" w:type="dxa"/>
          </w:tcPr>
          <w:p w14:paraId="7A31DFCF" w14:textId="26CF29DE"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Singapore</w:t>
            </w:r>
          </w:p>
        </w:tc>
        <w:tc>
          <w:tcPr>
            <w:tcW w:w="2410" w:type="dxa"/>
          </w:tcPr>
          <w:p w14:paraId="500469AA" w14:textId="4BABF1CA" w:rsidR="00E22457" w:rsidRPr="00B324F6" w:rsidRDefault="00E22457" w:rsidP="00B324F6">
            <w:pPr>
              <w:jc w:val="both"/>
              <w:rPr>
                <w:rFonts w:ascii="Century Schoolbook" w:hAnsi="Century Schoolbook"/>
                <w:sz w:val="18"/>
                <w:szCs w:val="18"/>
              </w:rPr>
            </w:pPr>
            <w:r w:rsidRPr="00B324F6">
              <w:rPr>
                <w:rFonts w:ascii="Century Schoolbook" w:hAnsi="Century Schoolbook" w:cstheme="minorHAnsi"/>
                <w:sz w:val="18"/>
                <w:szCs w:val="18"/>
                <w:lang w:val="en-SG"/>
              </w:rPr>
              <w:t xml:space="preserve">“the human biomedical research or health information research would reasonably be considered to contribute to the greater </w:t>
            </w:r>
            <w:r w:rsidRPr="00B324F6">
              <w:rPr>
                <w:rFonts w:ascii="Century Schoolbook" w:hAnsi="Century Schoolbook" w:cstheme="minorHAnsi"/>
                <w:b/>
                <w:sz w:val="18"/>
                <w:szCs w:val="18"/>
                <w:lang w:val="en-SG"/>
              </w:rPr>
              <w:t>public good</w:t>
            </w:r>
            <w:r w:rsidRPr="00B324F6">
              <w:rPr>
                <w:rFonts w:ascii="Century Schoolbook" w:hAnsi="Century Schoolbook" w:cstheme="minorHAnsi"/>
                <w:sz w:val="18"/>
                <w:szCs w:val="18"/>
                <w:lang w:val="en-SG"/>
              </w:rPr>
              <w:t>.”</w:t>
            </w:r>
          </w:p>
        </w:tc>
        <w:tc>
          <w:tcPr>
            <w:tcW w:w="3289" w:type="dxa"/>
          </w:tcPr>
          <w:p w14:paraId="2E992F90" w14:textId="217491A3" w:rsidR="00E22457" w:rsidRPr="00B324F6" w:rsidRDefault="00E22457" w:rsidP="00B324F6">
            <w:pPr>
              <w:spacing w:line="276" w:lineRule="auto"/>
              <w:jc w:val="both"/>
              <w:rPr>
                <w:rFonts w:ascii="Century Schoolbook" w:hAnsi="Century Schoolbook" w:cstheme="minorHAnsi"/>
                <w:sz w:val="18"/>
                <w:szCs w:val="18"/>
                <w:lang w:val="en-US"/>
              </w:rPr>
            </w:pPr>
            <w:r w:rsidRPr="00B324F6">
              <w:rPr>
                <w:rFonts w:ascii="Century Schoolbook" w:hAnsi="Century Schoolbook"/>
                <w:sz w:val="18"/>
                <w:szCs w:val="18"/>
              </w:rPr>
              <w:t>Human Biomedical Research Act</w:t>
            </w:r>
            <w:r w:rsidR="00DA4E4E" w:rsidRPr="00B324F6">
              <w:rPr>
                <w:rFonts w:ascii="Century Schoolbook" w:hAnsi="Century Schoolbook"/>
                <w:sz w:val="18"/>
                <w:szCs w:val="18"/>
              </w:rPr>
              <w:fldChar w:fldCharType="begin"/>
            </w:r>
            <w:r w:rsidR="00D17BA1">
              <w:rPr>
                <w:rFonts w:ascii="Century Schoolbook" w:hAnsi="Century Schoolbook"/>
                <w:sz w:val="18"/>
                <w:szCs w:val="18"/>
              </w:rPr>
              <w:instrText xml:space="preserve"> ADDIN ZOTERO_ITEM CSL_CITATION {"citationID":"wdqZ3eeJ","properties":{"formattedCitation":"[19]","plainCitation":"[19]","noteIndex":0},"citationItems":[{"id":1129,"uris":["http://zotero.org/users/1170976/items/UPCXC3NW"],"uri":["http://zotero.org/users/1170976/items/UPCXC3NW"],"itemData":{"id":1129,"type":"legislation","container-title":"No. 29","section":"Fifth Schedule","title":"Human Biomedical Research Act","issued":{"date-parts":[["2015"]]}}}],"schema":"https://github.com/citation-style-language/schema/raw/master/csl-citation.json"} </w:instrText>
            </w:r>
            <w:r w:rsidR="00DA4E4E" w:rsidRPr="00B324F6">
              <w:rPr>
                <w:rFonts w:ascii="Century Schoolbook" w:hAnsi="Century Schoolbook"/>
                <w:sz w:val="18"/>
                <w:szCs w:val="18"/>
              </w:rPr>
              <w:fldChar w:fldCharType="separate"/>
            </w:r>
            <w:r w:rsidR="007A2000" w:rsidRPr="00340371">
              <w:rPr>
                <w:rFonts w:ascii="Century Schoolbook" w:hAnsi="Century Schoolbook"/>
                <w:sz w:val="18"/>
              </w:rPr>
              <w:t>[19]</w:t>
            </w:r>
            <w:r w:rsidR="00DA4E4E" w:rsidRPr="00B324F6">
              <w:rPr>
                <w:rFonts w:ascii="Century Schoolbook" w:hAnsi="Century Schoolbook"/>
                <w:sz w:val="18"/>
                <w:szCs w:val="18"/>
              </w:rPr>
              <w:fldChar w:fldCharType="end"/>
            </w:r>
          </w:p>
          <w:p w14:paraId="6663FD89" w14:textId="5B3D296C" w:rsidR="00E22457" w:rsidRPr="00B324F6" w:rsidRDefault="00E22457" w:rsidP="00B324F6">
            <w:pPr>
              <w:jc w:val="both"/>
              <w:rPr>
                <w:rFonts w:ascii="Century Schoolbook" w:hAnsi="Century Schoolbook"/>
                <w:sz w:val="18"/>
                <w:szCs w:val="18"/>
              </w:rPr>
            </w:pPr>
          </w:p>
        </w:tc>
        <w:tc>
          <w:tcPr>
            <w:tcW w:w="1530" w:type="dxa"/>
          </w:tcPr>
          <w:p w14:paraId="25025BFE" w14:textId="503D1585" w:rsidR="00E22457" w:rsidRPr="00B324F6" w:rsidRDefault="00E22457" w:rsidP="00B324F6">
            <w:pPr>
              <w:jc w:val="both"/>
              <w:rPr>
                <w:rFonts w:ascii="Century Schoolbook" w:hAnsi="Century Schoolbook"/>
                <w:sz w:val="18"/>
                <w:szCs w:val="18"/>
              </w:rPr>
            </w:pPr>
            <w:r w:rsidRPr="00B324F6">
              <w:rPr>
                <w:rFonts w:ascii="Century Schoolbook" w:hAnsi="Century Schoolbook"/>
                <w:sz w:val="18"/>
                <w:szCs w:val="18"/>
              </w:rPr>
              <w:t>Public Good</w:t>
            </w:r>
          </w:p>
        </w:tc>
      </w:tr>
      <w:tr w:rsidR="00E642CF" w:rsidRPr="00B324F6" w14:paraId="12C8234C" w14:textId="77777777" w:rsidTr="00756AA6">
        <w:tc>
          <w:tcPr>
            <w:tcW w:w="1526" w:type="dxa"/>
          </w:tcPr>
          <w:p w14:paraId="0EF2AA67" w14:textId="3F8F4955"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India</w:t>
            </w:r>
          </w:p>
        </w:tc>
        <w:tc>
          <w:tcPr>
            <w:tcW w:w="2410" w:type="dxa"/>
          </w:tcPr>
          <w:p w14:paraId="0E7FD83C" w14:textId="6A53CF3F" w:rsidR="00E642CF" w:rsidRPr="00B324F6" w:rsidRDefault="00E642CF" w:rsidP="00B324F6">
            <w:pPr>
              <w:jc w:val="both"/>
              <w:rPr>
                <w:rFonts w:ascii="Century Schoolbook" w:hAnsi="Century Schoolbook"/>
                <w:sz w:val="18"/>
                <w:szCs w:val="18"/>
              </w:rPr>
            </w:pPr>
            <w:r w:rsidRPr="00B324F6">
              <w:rPr>
                <w:rFonts w:ascii="Century Schoolbook" w:hAnsi="Century Schoolbook" w:cstheme="minorHAnsi"/>
                <w:sz w:val="18"/>
                <w:szCs w:val="18"/>
                <w:lang w:val="en-US"/>
              </w:rPr>
              <w:t xml:space="preserve">“…the research has important </w:t>
            </w:r>
            <w:r w:rsidRPr="00B324F6">
              <w:rPr>
                <w:rFonts w:ascii="Century Schoolbook" w:hAnsi="Century Schoolbook" w:cstheme="minorHAnsi"/>
                <w:b/>
                <w:sz w:val="18"/>
                <w:szCs w:val="18"/>
                <w:lang w:val="en-US"/>
              </w:rPr>
              <w:t>social</w:t>
            </w:r>
            <w:r w:rsidRPr="00B324F6">
              <w:rPr>
                <w:rFonts w:ascii="Century Schoolbook" w:hAnsi="Century Schoolbook" w:cstheme="minorHAnsi"/>
                <w:sz w:val="18"/>
                <w:szCs w:val="18"/>
                <w:lang w:val="en-US"/>
              </w:rPr>
              <w:t xml:space="preserve"> </w:t>
            </w:r>
            <w:r w:rsidRPr="00B324F6">
              <w:rPr>
                <w:rFonts w:ascii="Century Schoolbook" w:hAnsi="Century Schoolbook" w:cstheme="minorHAnsi"/>
                <w:b/>
                <w:sz w:val="18"/>
                <w:szCs w:val="18"/>
                <w:lang w:val="en-US"/>
              </w:rPr>
              <w:t>and public health value</w:t>
            </w:r>
            <w:r w:rsidRPr="00B324F6">
              <w:rPr>
                <w:rFonts w:ascii="Century Schoolbook" w:hAnsi="Century Schoolbook" w:cstheme="minorHAnsi"/>
                <w:sz w:val="18"/>
                <w:szCs w:val="18"/>
                <w:lang w:val="en-US"/>
              </w:rPr>
              <w:t>…”</w:t>
            </w:r>
          </w:p>
        </w:tc>
        <w:tc>
          <w:tcPr>
            <w:tcW w:w="3289" w:type="dxa"/>
          </w:tcPr>
          <w:p w14:paraId="59972CB8" w14:textId="70C3BD30" w:rsidR="00E642CF" w:rsidRPr="00B324F6" w:rsidRDefault="00E642CF" w:rsidP="00B324F6">
            <w:pPr>
              <w:jc w:val="both"/>
              <w:rPr>
                <w:rFonts w:ascii="Century Schoolbook" w:hAnsi="Century Schoolbook"/>
                <w:sz w:val="18"/>
                <w:szCs w:val="18"/>
              </w:rPr>
            </w:pPr>
            <w:r w:rsidRPr="00B324F6">
              <w:rPr>
                <w:rFonts w:ascii="Century Schoolbook" w:hAnsi="Century Schoolbook" w:cstheme="minorHAnsi"/>
                <w:sz w:val="18"/>
                <w:szCs w:val="18"/>
                <w:lang w:val="en-US"/>
              </w:rPr>
              <w:t>ICMR National Ethical Guidelines for Biomedical and Health Research Involving Human Participants</w:t>
            </w:r>
            <w:r w:rsidR="00C27496" w:rsidRPr="00B324F6">
              <w:rPr>
                <w:rFonts w:ascii="Century Schoolbook" w:hAnsi="Century Schoolbook" w:cstheme="minorHAnsi"/>
                <w:sz w:val="18"/>
                <w:szCs w:val="18"/>
                <w:lang w:val="en-US"/>
              </w:rPr>
              <w:t xml:space="preserve"> </w:t>
            </w:r>
            <w:r w:rsidR="00DA4E4E" w:rsidRPr="00B324F6">
              <w:rPr>
                <w:rFonts w:ascii="Century Schoolbook" w:hAnsi="Century Schoolbook" w:cstheme="minorHAnsi"/>
                <w:sz w:val="18"/>
                <w:szCs w:val="18"/>
                <w:lang w:val="en-US"/>
              </w:rPr>
              <w:fldChar w:fldCharType="begin"/>
            </w:r>
            <w:r w:rsidR="00D17BA1">
              <w:rPr>
                <w:rFonts w:ascii="Century Schoolbook" w:hAnsi="Century Schoolbook" w:cstheme="minorHAnsi"/>
                <w:sz w:val="18"/>
                <w:szCs w:val="18"/>
                <w:lang w:val="en-US"/>
              </w:rPr>
              <w:instrText xml:space="preserve"> ADDIN ZOTERO_ITEM CSL_CITATION {"citationID":"T62zk566","properties":{"formattedCitation":"[20]","plainCitation":"[20]","noteIndex":0},"citationItems":[{"id":1457,"uris":["http://zotero.org/users/1170976/items/M54ZTUPJ"],"uri":["http://zotero.org/users/1170976/items/M54ZTUPJ"],"itemData":{"id":1457,"type":"report","event-place":"Bengaluru, India","publisher-place":"Bengaluru, India","title":"National Ethical Guidelines for Biomedical and Health Research Involving Human Participants","URL":"https://www.icmr.nic.in/sites/default/files/guidelines/ICMR_Ethical_Guidelines_2017.pdf","author":[{"family":"Indian Council of Medical Research","given":""}],"issued":{"date-parts":[["2017"]]}}}],"schema":"https://github.com/citation-style-language/schema/raw/master/csl-citation.json"} </w:instrText>
            </w:r>
            <w:r w:rsidR="00DA4E4E" w:rsidRPr="00B324F6">
              <w:rPr>
                <w:rFonts w:ascii="Century Schoolbook" w:hAnsi="Century Schoolbook" w:cstheme="minorHAnsi"/>
                <w:sz w:val="18"/>
                <w:szCs w:val="18"/>
                <w:lang w:val="en-US"/>
              </w:rPr>
              <w:fldChar w:fldCharType="separate"/>
            </w:r>
            <w:r w:rsidR="007A2000" w:rsidRPr="00340371">
              <w:rPr>
                <w:rFonts w:ascii="Century Schoolbook" w:hAnsi="Century Schoolbook"/>
                <w:sz w:val="18"/>
              </w:rPr>
              <w:t>[20]</w:t>
            </w:r>
            <w:r w:rsidR="00DA4E4E" w:rsidRPr="00B324F6">
              <w:rPr>
                <w:rFonts w:ascii="Century Schoolbook" w:hAnsi="Century Schoolbook" w:cstheme="minorHAnsi"/>
                <w:sz w:val="18"/>
                <w:szCs w:val="18"/>
                <w:lang w:val="en-US"/>
              </w:rPr>
              <w:fldChar w:fldCharType="end"/>
            </w:r>
          </w:p>
        </w:tc>
        <w:tc>
          <w:tcPr>
            <w:tcW w:w="1530" w:type="dxa"/>
          </w:tcPr>
          <w:p w14:paraId="179B6E28" w14:textId="267C0215"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Social/public health value</w:t>
            </w:r>
          </w:p>
        </w:tc>
      </w:tr>
      <w:tr w:rsidR="00E642CF" w:rsidRPr="00B324F6" w14:paraId="348A9C5E" w14:textId="77777777" w:rsidTr="00756AA6">
        <w:tc>
          <w:tcPr>
            <w:tcW w:w="1526" w:type="dxa"/>
          </w:tcPr>
          <w:p w14:paraId="09981810" w14:textId="1118D7D7"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CIOMS</w:t>
            </w:r>
          </w:p>
        </w:tc>
        <w:tc>
          <w:tcPr>
            <w:tcW w:w="2410" w:type="dxa"/>
          </w:tcPr>
          <w:p w14:paraId="2ADFC96C" w14:textId="011D139F"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 xml:space="preserve">“the research has important </w:t>
            </w:r>
            <w:r w:rsidRPr="00B324F6">
              <w:rPr>
                <w:rFonts w:ascii="Century Schoolbook" w:hAnsi="Century Schoolbook"/>
                <w:b/>
                <w:bCs/>
                <w:sz w:val="18"/>
                <w:szCs w:val="18"/>
              </w:rPr>
              <w:t>social value</w:t>
            </w:r>
            <w:r w:rsidRPr="00B324F6">
              <w:rPr>
                <w:rFonts w:ascii="Century Schoolbook" w:hAnsi="Century Schoolbook"/>
                <w:sz w:val="18"/>
                <w:szCs w:val="18"/>
              </w:rPr>
              <w:t>”</w:t>
            </w:r>
          </w:p>
        </w:tc>
        <w:tc>
          <w:tcPr>
            <w:tcW w:w="3289" w:type="dxa"/>
          </w:tcPr>
          <w:p w14:paraId="663F0322" w14:textId="771F52E8"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International Ethical Guidelines for Health-related Research Involving Humans, Fourth Edition</w:t>
            </w:r>
            <w:r w:rsidR="00DA4E4E" w:rsidRPr="00B324F6">
              <w:rPr>
                <w:rFonts w:ascii="Century Schoolbook" w:hAnsi="Century Schoolbook"/>
                <w:sz w:val="18"/>
                <w:szCs w:val="18"/>
              </w:rPr>
              <w:fldChar w:fldCharType="begin"/>
            </w:r>
            <w:r w:rsidR="00D17BA1">
              <w:rPr>
                <w:rFonts w:ascii="Century Schoolbook" w:hAnsi="Century Schoolbook"/>
                <w:sz w:val="18"/>
                <w:szCs w:val="18"/>
              </w:rPr>
              <w:instrText xml:space="preserve"> ADDIN ZOTERO_ITEM CSL_CITATION {"citationID":"0AReqTOZ","properties":{"formattedCitation":"[21]","plainCitation":"[21]","noteIndex":0},"citationItems":[{"id":1275,"uris":["http://zotero.org/users/1170976/items/IDMQMFI7"],"uri":["http://zotero.org/users/1170976/items/IDMQMFI7"],"itemData":{"id":1275,"type":"book","ISBN":"978-92-9036-088-9","language":"English","note":"OCLC: 974025866","source":"Open WorldCat","title":"International ethical guidelines for health-related research involving humans","author":[{"literal":"Council for International Organizations of Medical Sciences"},{"literal":"World Health Organization"}],"issued":{"date-parts":[["2016"]]}}}],"schema":"https://github.com/citation-style-language/schema/raw/master/csl-citation.json"} </w:instrText>
            </w:r>
            <w:r w:rsidR="00DA4E4E" w:rsidRPr="00B324F6">
              <w:rPr>
                <w:rFonts w:ascii="Century Schoolbook" w:hAnsi="Century Schoolbook"/>
                <w:sz w:val="18"/>
                <w:szCs w:val="18"/>
              </w:rPr>
              <w:fldChar w:fldCharType="separate"/>
            </w:r>
            <w:r w:rsidR="007A2000" w:rsidRPr="00340371">
              <w:rPr>
                <w:rFonts w:ascii="Century Schoolbook" w:hAnsi="Century Schoolbook"/>
                <w:sz w:val="18"/>
              </w:rPr>
              <w:t>[21]</w:t>
            </w:r>
            <w:r w:rsidR="00DA4E4E" w:rsidRPr="00B324F6">
              <w:rPr>
                <w:rFonts w:ascii="Century Schoolbook" w:hAnsi="Century Schoolbook"/>
                <w:sz w:val="18"/>
                <w:szCs w:val="18"/>
              </w:rPr>
              <w:fldChar w:fldCharType="end"/>
            </w:r>
          </w:p>
        </w:tc>
        <w:tc>
          <w:tcPr>
            <w:tcW w:w="1530" w:type="dxa"/>
          </w:tcPr>
          <w:p w14:paraId="1A681375" w14:textId="2F905342" w:rsidR="00E642CF" w:rsidRPr="00B324F6" w:rsidRDefault="00E642CF" w:rsidP="00B324F6">
            <w:pPr>
              <w:jc w:val="both"/>
              <w:rPr>
                <w:rFonts w:ascii="Century Schoolbook" w:hAnsi="Century Schoolbook"/>
                <w:sz w:val="18"/>
                <w:szCs w:val="18"/>
              </w:rPr>
            </w:pPr>
            <w:r w:rsidRPr="00B324F6">
              <w:rPr>
                <w:rFonts w:ascii="Century Schoolbook" w:hAnsi="Century Schoolbook"/>
                <w:sz w:val="18"/>
                <w:szCs w:val="18"/>
              </w:rPr>
              <w:t>Social Value</w:t>
            </w:r>
          </w:p>
        </w:tc>
      </w:tr>
    </w:tbl>
    <w:p w14:paraId="2AD3DFF8" w14:textId="77777777" w:rsidR="00B95C1F" w:rsidRPr="00B324F6" w:rsidRDefault="00B95C1F" w:rsidP="00B324F6">
      <w:pPr>
        <w:spacing w:after="0"/>
        <w:jc w:val="both"/>
        <w:rPr>
          <w:rFonts w:ascii="Century Schoolbook" w:hAnsi="Century Schoolbook"/>
        </w:rPr>
      </w:pPr>
    </w:p>
    <w:p w14:paraId="41294EC7" w14:textId="77777777" w:rsidR="00B95C1F" w:rsidRPr="00B324F6" w:rsidRDefault="00B95C1F" w:rsidP="00B324F6">
      <w:pPr>
        <w:spacing w:after="0"/>
        <w:jc w:val="both"/>
        <w:rPr>
          <w:rFonts w:ascii="Century Schoolbook" w:hAnsi="Century Schoolbook"/>
        </w:rPr>
      </w:pPr>
    </w:p>
    <w:p w14:paraId="2D14A4B9" w14:textId="355D2FFA" w:rsidR="00B87C9C" w:rsidRPr="00B324F6" w:rsidRDefault="00B87C9C" w:rsidP="00B324F6">
      <w:pPr>
        <w:spacing w:after="0"/>
        <w:jc w:val="both"/>
        <w:rPr>
          <w:rFonts w:ascii="Century Schoolbook" w:hAnsi="Century Schoolbook"/>
          <w:bCs/>
          <w:i/>
          <w:iCs/>
        </w:rPr>
      </w:pPr>
      <w:r w:rsidRPr="00B324F6">
        <w:rPr>
          <w:rFonts w:ascii="Century Schoolbook" w:hAnsi="Century Schoolbook"/>
          <w:bCs/>
          <w:i/>
          <w:iCs/>
        </w:rPr>
        <w:t xml:space="preserve">Why is the multitude of terms a problem? </w:t>
      </w:r>
    </w:p>
    <w:p w14:paraId="6FB456E2" w14:textId="1D30C639" w:rsidR="00E90190" w:rsidRPr="00B324F6" w:rsidRDefault="00FD374D" w:rsidP="00B324F6">
      <w:pPr>
        <w:spacing w:after="0"/>
        <w:jc w:val="both"/>
        <w:rPr>
          <w:rFonts w:ascii="Century Schoolbook" w:hAnsi="Century Schoolbook"/>
        </w:rPr>
      </w:pPr>
      <w:r w:rsidRPr="00B324F6">
        <w:rPr>
          <w:rFonts w:ascii="Century Schoolbook" w:hAnsi="Century Schoolbook"/>
        </w:rPr>
        <w:t>While the</w:t>
      </w:r>
      <w:r w:rsidR="00244608" w:rsidRPr="00B324F6">
        <w:rPr>
          <w:rFonts w:ascii="Century Schoolbook" w:hAnsi="Century Schoolbook"/>
        </w:rPr>
        <w:t xml:space="preserve"> authors of the</w:t>
      </w:r>
      <w:r w:rsidRPr="00B324F6">
        <w:rPr>
          <w:rFonts w:ascii="Century Schoolbook" w:hAnsi="Century Schoolbook"/>
        </w:rPr>
        <w:t xml:space="preserve"> different regulations and</w:t>
      </w:r>
      <w:r w:rsidR="00244608" w:rsidRPr="00B324F6">
        <w:rPr>
          <w:rFonts w:ascii="Century Schoolbook" w:hAnsi="Century Schoolbook"/>
        </w:rPr>
        <w:t xml:space="preserve"> guidelines</w:t>
      </w:r>
      <w:r w:rsidRPr="00B324F6">
        <w:rPr>
          <w:rFonts w:ascii="Century Schoolbook" w:hAnsi="Century Schoolbook"/>
        </w:rPr>
        <w:t xml:space="preserve"> listed in Table 1 may</w:t>
      </w:r>
      <w:r w:rsidR="00244608" w:rsidRPr="00B324F6">
        <w:rPr>
          <w:rFonts w:ascii="Century Schoolbook" w:hAnsi="Century Schoolbook"/>
        </w:rPr>
        <w:t xml:space="preserve"> intend to mean something similar, each of these </w:t>
      </w:r>
      <w:proofErr w:type="gramStart"/>
      <w:r w:rsidR="00244608" w:rsidRPr="00B324F6">
        <w:rPr>
          <w:rFonts w:ascii="Century Schoolbook" w:hAnsi="Century Schoolbook"/>
        </w:rPr>
        <w:t>terms</w:t>
      </w:r>
      <w:proofErr w:type="gramEnd"/>
      <w:r w:rsidR="00244608" w:rsidRPr="00B324F6">
        <w:rPr>
          <w:rFonts w:ascii="Century Schoolbook" w:hAnsi="Century Schoolbook"/>
        </w:rPr>
        <w:t xml:space="preserve"> caries different connotation and lineages </w:t>
      </w:r>
      <w:r w:rsidR="00244608" w:rsidRPr="00B324F6">
        <w:rPr>
          <w:rFonts w:ascii="Century Schoolbook" w:hAnsi="Century Schoolbook"/>
        </w:rPr>
        <w:lastRenderedPageBreak/>
        <w:t>(as we describe below)</w:t>
      </w:r>
      <w:r w:rsidR="005C779F" w:rsidRPr="00B324F6">
        <w:rPr>
          <w:rFonts w:ascii="Century Schoolbook" w:hAnsi="Century Schoolbook"/>
        </w:rPr>
        <w:t>.</w:t>
      </w:r>
      <w:r w:rsidR="00244608" w:rsidRPr="00B324F6">
        <w:rPr>
          <w:rFonts w:ascii="Century Schoolbook" w:hAnsi="Century Schoolbook"/>
        </w:rPr>
        <w:t xml:space="preserve"> </w:t>
      </w:r>
      <w:r w:rsidR="005C779F" w:rsidRPr="00B324F6">
        <w:rPr>
          <w:rFonts w:ascii="Century Schoolbook" w:hAnsi="Century Schoolbook"/>
        </w:rPr>
        <w:t>U</w:t>
      </w:r>
      <w:r w:rsidR="00244608" w:rsidRPr="00B324F6">
        <w:rPr>
          <w:rFonts w:ascii="Century Schoolbook" w:hAnsi="Century Schoolbook"/>
        </w:rPr>
        <w:t xml:space="preserve">sers of the guideline may </w:t>
      </w:r>
      <w:r w:rsidR="005C779F" w:rsidRPr="00B324F6">
        <w:rPr>
          <w:rFonts w:ascii="Century Schoolbook" w:hAnsi="Century Schoolbook"/>
        </w:rPr>
        <w:t xml:space="preserve">in turn </w:t>
      </w:r>
      <w:r w:rsidR="00244608" w:rsidRPr="00B324F6">
        <w:rPr>
          <w:rFonts w:ascii="Century Schoolbook" w:hAnsi="Century Schoolbook"/>
        </w:rPr>
        <w:t>reasonably interpret the terms differently</w:t>
      </w:r>
      <w:r w:rsidR="005C779F" w:rsidRPr="00B324F6">
        <w:rPr>
          <w:rFonts w:ascii="Century Schoolbook" w:hAnsi="Century Schoolbook"/>
        </w:rPr>
        <w:t xml:space="preserve"> from the intended meaning</w:t>
      </w:r>
      <w:r w:rsidR="00DC547E" w:rsidRPr="00B324F6">
        <w:rPr>
          <w:rFonts w:ascii="Century Schoolbook" w:hAnsi="Century Schoolbook"/>
        </w:rPr>
        <w:t xml:space="preserve">. </w:t>
      </w:r>
      <w:r w:rsidR="005C779F" w:rsidRPr="00B324F6">
        <w:rPr>
          <w:rFonts w:ascii="Century Schoolbook" w:hAnsi="Century Schoolbook"/>
        </w:rPr>
        <w:t xml:space="preserve"> </w:t>
      </w:r>
      <w:r w:rsidR="000159E7" w:rsidRPr="00B324F6">
        <w:rPr>
          <w:rFonts w:ascii="Century Schoolbook" w:hAnsi="Century Schoolbook"/>
        </w:rPr>
        <w:t>In addition</w:t>
      </w:r>
      <w:r w:rsidR="00877007" w:rsidRPr="00B324F6">
        <w:rPr>
          <w:rFonts w:ascii="Century Schoolbook" w:hAnsi="Century Schoolbook"/>
        </w:rPr>
        <w:t>,</w:t>
      </w:r>
      <w:r w:rsidR="005C779F" w:rsidRPr="00B324F6">
        <w:rPr>
          <w:rFonts w:ascii="Century Schoolbook" w:hAnsi="Century Schoolbook"/>
        </w:rPr>
        <w:t xml:space="preserve"> both</w:t>
      </w:r>
      <w:r w:rsidR="00DC547E" w:rsidRPr="00B324F6">
        <w:rPr>
          <w:rFonts w:ascii="Century Schoolbook" w:hAnsi="Century Schoolbook"/>
        </w:rPr>
        <w:t xml:space="preserve"> the intended meaning and the users</w:t>
      </w:r>
      <w:r w:rsidR="00877007" w:rsidRPr="00B324F6">
        <w:rPr>
          <w:rFonts w:ascii="Century Schoolbook" w:hAnsi="Century Schoolbook"/>
        </w:rPr>
        <w:t>’</w:t>
      </w:r>
      <w:r w:rsidR="00DC547E" w:rsidRPr="00B324F6">
        <w:rPr>
          <w:rFonts w:ascii="Century Schoolbook" w:hAnsi="Century Schoolbook"/>
        </w:rPr>
        <w:t xml:space="preserve"> interpretation</w:t>
      </w:r>
      <w:r w:rsidR="005C779F" w:rsidRPr="00B324F6">
        <w:rPr>
          <w:rFonts w:ascii="Century Schoolbook" w:hAnsi="Century Schoolbook"/>
        </w:rPr>
        <w:t xml:space="preserve"> might differ from the most ethically appropriate meaning</w:t>
      </w:r>
      <w:r w:rsidR="00DC547E" w:rsidRPr="00B324F6">
        <w:rPr>
          <w:rFonts w:ascii="Century Schoolbook" w:hAnsi="Century Schoolbook"/>
        </w:rPr>
        <w:t xml:space="preserve"> of the term</w:t>
      </w:r>
      <w:r w:rsidR="00244608" w:rsidRPr="00B324F6">
        <w:rPr>
          <w:rFonts w:ascii="Century Schoolbook" w:hAnsi="Century Schoolbook"/>
        </w:rPr>
        <w:t>. If the authors of the guidelines do intend</w:t>
      </w:r>
      <w:r w:rsidR="006C6102" w:rsidRPr="00B324F6">
        <w:rPr>
          <w:rFonts w:ascii="Century Schoolbook" w:hAnsi="Century Schoolbook"/>
        </w:rPr>
        <w:t xml:space="preserve"> </w:t>
      </w:r>
      <w:r w:rsidR="00244608" w:rsidRPr="00B324F6">
        <w:rPr>
          <w:rFonts w:ascii="Century Schoolbook" w:hAnsi="Century Schoolbook"/>
        </w:rPr>
        <w:t xml:space="preserve">to refer to the same core idea, it would be preferable to use a consistent term to capture this concept. </w:t>
      </w:r>
      <w:r w:rsidR="00E90190" w:rsidRPr="00B324F6">
        <w:rPr>
          <w:rFonts w:ascii="Century Schoolbook" w:hAnsi="Century Schoolbook"/>
        </w:rPr>
        <w:t>The terms</w:t>
      </w:r>
      <w:r w:rsidR="006C6102" w:rsidRPr="00B324F6">
        <w:rPr>
          <w:rFonts w:ascii="Century Schoolbook" w:hAnsi="Century Schoolbook"/>
        </w:rPr>
        <w:t xml:space="preserve"> are very rarely defined </w:t>
      </w:r>
      <w:r w:rsidR="00832A5C" w:rsidRPr="00B324F6">
        <w:rPr>
          <w:rFonts w:ascii="Century Schoolbook" w:hAnsi="Century Schoolbook"/>
        </w:rPr>
        <w:t xml:space="preserve">or differentiated </w:t>
      </w:r>
      <w:r w:rsidR="006C6102" w:rsidRPr="00B324F6">
        <w:rPr>
          <w:rFonts w:ascii="Century Schoolbook" w:hAnsi="Century Schoolbook"/>
        </w:rPr>
        <w:t xml:space="preserve">(we discuss </w:t>
      </w:r>
      <w:r w:rsidR="005C779F" w:rsidRPr="00B324F6">
        <w:rPr>
          <w:rFonts w:ascii="Century Schoolbook" w:hAnsi="Century Schoolbook"/>
        </w:rPr>
        <w:t xml:space="preserve">exceptions </w:t>
      </w:r>
      <w:r w:rsidR="006C6102" w:rsidRPr="00B324F6">
        <w:rPr>
          <w:rFonts w:ascii="Century Schoolbook" w:hAnsi="Century Schoolbook"/>
        </w:rPr>
        <w:t xml:space="preserve">below) and </w:t>
      </w:r>
      <w:r w:rsidR="005C779F" w:rsidRPr="00B324F6">
        <w:rPr>
          <w:rFonts w:ascii="Century Schoolbook" w:hAnsi="Century Schoolbook"/>
        </w:rPr>
        <w:t xml:space="preserve">are sometimes </w:t>
      </w:r>
      <w:r w:rsidR="006C6102" w:rsidRPr="00B324F6">
        <w:rPr>
          <w:rFonts w:ascii="Century Schoolbook" w:hAnsi="Century Schoolbook"/>
        </w:rPr>
        <w:t xml:space="preserve">used </w:t>
      </w:r>
      <w:r w:rsidR="005C779F" w:rsidRPr="00B324F6">
        <w:rPr>
          <w:rFonts w:ascii="Century Schoolbook" w:hAnsi="Century Schoolbook"/>
        </w:rPr>
        <w:t xml:space="preserve">interchangeably </w:t>
      </w:r>
      <w:r w:rsidR="006C6102" w:rsidRPr="00B324F6">
        <w:rPr>
          <w:rFonts w:ascii="Century Schoolbook" w:hAnsi="Century Schoolbook"/>
        </w:rPr>
        <w:t xml:space="preserve">within one document, suggesting that they are </w:t>
      </w:r>
      <w:r w:rsidR="00C21218" w:rsidRPr="00B324F6">
        <w:rPr>
          <w:rFonts w:ascii="Century Schoolbook" w:hAnsi="Century Schoolbook"/>
        </w:rPr>
        <w:t xml:space="preserve">meant </w:t>
      </w:r>
      <w:r w:rsidR="006C6102" w:rsidRPr="00B324F6">
        <w:rPr>
          <w:rFonts w:ascii="Century Schoolbook" w:hAnsi="Century Schoolbook"/>
        </w:rPr>
        <w:t xml:space="preserve">to </w:t>
      </w:r>
      <w:r w:rsidR="00C21218" w:rsidRPr="00B324F6">
        <w:rPr>
          <w:rFonts w:ascii="Century Schoolbook" w:hAnsi="Century Schoolbook"/>
        </w:rPr>
        <w:t>capture</w:t>
      </w:r>
      <w:r w:rsidR="006C6102" w:rsidRPr="00B324F6">
        <w:rPr>
          <w:rFonts w:ascii="Century Schoolbook" w:hAnsi="Century Schoolbook"/>
        </w:rPr>
        <w:t xml:space="preserve"> the same </w:t>
      </w:r>
      <w:r w:rsidR="00C21218" w:rsidRPr="00B324F6">
        <w:rPr>
          <w:rFonts w:ascii="Century Schoolbook" w:hAnsi="Century Schoolbook"/>
        </w:rPr>
        <w:t>concept</w:t>
      </w:r>
      <w:r w:rsidR="006C6102" w:rsidRPr="00B324F6">
        <w:rPr>
          <w:rFonts w:ascii="Century Schoolbook" w:hAnsi="Century Schoolbook"/>
        </w:rPr>
        <w:t xml:space="preserve">. </w:t>
      </w:r>
      <w:r w:rsidR="00E90190" w:rsidRPr="00B324F6">
        <w:rPr>
          <w:rFonts w:ascii="Century Schoolbook" w:hAnsi="Century Schoolbook"/>
        </w:rPr>
        <w:t xml:space="preserve"> For example, a report from the Institute of Medicine (USA) roundtable on clinical data uses the terms </w:t>
      </w:r>
      <w:r w:rsidR="002909BA" w:rsidRPr="002909BA">
        <w:rPr>
          <w:rFonts w:ascii="Century Schoolbook" w:hAnsi="Century Schoolbook"/>
        </w:rPr>
        <w:t>‘</w:t>
      </w:r>
      <w:r w:rsidR="00E90190" w:rsidRPr="00D17BA1">
        <w:rPr>
          <w:rFonts w:ascii="Century Schoolbook" w:hAnsi="Century Schoolbook"/>
        </w:rPr>
        <w:t>common good</w:t>
      </w:r>
      <w:r w:rsidR="002909BA" w:rsidRPr="00D17BA1">
        <w:rPr>
          <w:rFonts w:ascii="Century Schoolbook" w:hAnsi="Century Schoolbook"/>
        </w:rPr>
        <w:t>’</w:t>
      </w:r>
      <w:r w:rsidR="00E90190" w:rsidRPr="002909BA">
        <w:rPr>
          <w:rFonts w:ascii="Century Schoolbook" w:hAnsi="Century Schoolbook"/>
        </w:rPr>
        <w:t xml:space="preserve">, </w:t>
      </w:r>
      <w:r w:rsidR="002909BA" w:rsidRPr="00F95E53">
        <w:rPr>
          <w:rFonts w:ascii="Century Schoolbook" w:hAnsi="Century Schoolbook"/>
        </w:rPr>
        <w:t>‘</w:t>
      </w:r>
      <w:r w:rsidR="00E90190" w:rsidRPr="00D17BA1">
        <w:rPr>
          <w:rFonts w:ascii="Century Schoolbook" w:hAnsi="Century Schoolbook"/>
        </w:rPr>
        <w:t>public benefit</w:t>
      </w:r>
      <w:r w:rsidR="002909BA" w:rsidRPr="00D17BA1">
        <w:rPr>
          <w:rFonts w:ascii="Century Schoolbook" w:hAnsi="Century Schoolbook"/>
        </w:rPr>
        <w:t>’</w:t>
      </w:r>
      <w:r w:rsidR="00E90190" w:rsidRPr="002909BA">
        <w:rPr>
          <w:rFonts w:ascii="Century Schoolbook" w:hAnsi="Century Schoolbook"/>
        </w:rPr>
        <w:t xml:space="preserve"> and </w:t>
      </w:r>
      <w:r w:rsidR="002909BA" w:rsidRPr="002909BA">
        <w:rPr>
          <w:rFonts w:ascii="Century Schoolbook" w:hAnsi="Century Schoolbook"/>
        </w:rPr>
        <w:t>‘</w:t>
      </w:r>
      <w:r w:rsidR="00E90190" w:rsidRPr="00D17BA1">
        <w:rPr>
          <w:rFonts w:ascii="Century Schoolbook" w:hAnsi="Century Schoolbook"/>
        </w:rPr>
        <w:t>public good</w:t>
      </w:r>
      <w:r w:rsidR="002909BA" w:rsidRPr="00D17BA1">
        <w:rPr>
          <w:rFonts w:ascii="Century Schoolbook" w:hAnsi="Century Schoolbook"/>
        </w:rPr>
        <w:t>’</w:t>
      </w:r>
      <w:r w:rsidR="00E90190" w:rsidRPr="00B324F6">
        <w:rPr>
          <w:rFonts w:ascii="Century Schoolbook" w:hAnsi="Century Schoolbook"/>
        </w:rPr>
        <w:t xml:space="preserve"> seemingly interchangeably.</w:t>
      </w:r>
      <w:r w:rsidR="00E90190" w:rsidRPr="00B324F6">
        <w:rPr>
          <w:rFonts w:ascii="Century Schoolbook" w:hAnsi="Century Schoolbook"/>
        </w:rPr>
        <w:fldChar w:fldCharType="begin"/>
      </w:r>
      <w:r w:rsidR="00D17BA1">
        <w:rPr>
          <w:rFonts w:ascii="Century Schoolbook" w:hAnsi="Century Schoolbook"/>
        </w:rPr>
        <w:instrText xml:space="preserve"> ADDIN ZOTERO_ITEM CSL_CITATION {"citationID":"Ha52eUUo","properties":{"formattedCitation":"[22]","plainCitation":"[22]","noteIndex":0},"citationItems":[{"id":1458,"uris":["http://zotero.org/users/1170976/items/IAS84QND"],"uri":["http://zotero.org/users/1170976/items/IAS84QND"],"itemData":{"id":1458,"type":"book","event-place":"Washington, DC","publisher":"The National Academies Press","publisher-place":"Washington, DC","title":"Clinical data as the basic staple of health learning: Creating and protecting a public good: Workshop Summary","author":[{"family":"IOM (Institute of Medicine)","given":""}],"issued":{"date-parts":[["2010"]]}}}],"schema":"https://github.com/citation-style-language/schema/raw/master/csl-citation.json"} </w:instrText>
      </w:r>
      <w:r w:rsidR="00E90190" w:rsidRPr="00B324F6">
        <w:rPr>
          <w:rFonts w:ascii="Century Schoolbook" w:hAnsi="Century Schoolbook"/>
        </w:rPr>
        <w:fldChar w:fldCharType="separate"/>
      </w:r>
      <w:r w:rsidR="007A2000" w:rsidRPr="00D17BA1">
        <w:rPr>
          <w:rFonts w:ascii="Century Schoolbook" w:hAnsi="Century Schoolbook"/>
        </w:rPr>
        <w:t>[22]</w:t>
      </w:r>
      <w:r w:rsidR="00E90190" w:rsidRPr="00B324F6">
        <w:rPr>
          <w:rFonts w:ascii="Century Schoolbook" w:hAnsi="Century Schoolbook"/>
        </w:rPr>
        <w:fldChar w:fldCharType="end"/>
      </w:r>
      <w:r w:rsidR="00E90190" w:rsidRPr="00B324F6">
        <w:rPr>
          <w:rFonts w:ascii="Century Schoolbook" w:hAnsi="Century Schoolbook"/>
        </w:rPr>
        <w:t xml:space="preserve">   The Australia National Statement uses the terms </w:t>
      </w:r>
      <w:r w:rsidR="002909BA" w:rsidRPr="002909BA">
        <w:rPr>
          <w:rFonts w:ascii="Century Schoolbook" w:hAnsi="Century Schoolbook"/>
        </w:rPr>
        <w:t>‘</w:t>
      </w:r>
      <w:r w:rsidR="00E90190" w:rsidRPr="00D17BA1">
        <w:rPr>
          <w:rFonts w:ascii="Century Schoolbook" w:hAnsi="Century Schoolbook"/>
        </w:rPr>
        <w:t>benefit</w:t>
      </w:r>
      <w:r w:rsidR="002909BA" w:rsidRPr="00D17BA1">
        <w:rPr>
          <w:rFonts w:ascii="Century Schoolbook" w:hAnsi="Century Schoolbook"/>
        </w:rPr>
        <w:t>’</w:t>
      </w:r>
      <w:r w:rsidR="00E90190" w:rsidRPr="002909BA">
        <w:rPr>
          <w:rFonts w:ascii="Century Schoolbook" w:hAnsi="Century Schoolbook"/>
        </w:rPr>
        <w:t xml:space="preserve">, </w:t>
      </w:r>
      <w:r w:rsidR="002909BA" w:rsidRPr="002909BA">
        <w:rPr>
          <w:rFonts w:ascii="Century Schoolbook" w:hAnsi="Century Schoolbook"/>
        </w:rPr>
        <w:t>‘</w:t>
      </w:r>
      <w:r w:rsidR="00E90190" w:rsidRPr="00D17BA1">
        <w:rPr>
          <w:rFonts w:ascii="Century Schoolbook" w:hAnsi="Century Schoolbook"/>
        </w:rPr>
        <w:t>common good</w:t>
      </w:r>
      <w:r w:rsidR="002909BA" w:rsidRPr="00D17BA1">
        <w:rPr>
          <w:rFonts w:ascii="Century Schoolbook" w:hAnsi="Century Schoolbook"/>
        </w:rPr>
        <w:t>’</w:t>
      </w:r>
      <w:r w:rsidR="00E90190" w:rsidRPr="00D17BA1">
        <w:rPr>
          <w:rFonts w:ascii="Century Schoolbook" w:hAnsi="Century Schoolbook"/>
        </w:rPr>
        <w:t xml:space="preserve">, </w:t>
      </w:r>
      <w:r w:rsidR="002909BA" w:rsidRPr="00D17BA1">
        <w:rPr>
          <w:rFonts w:ascii="Century Schoolbook" w:hAnsi="Century Schoolbook"/>
        </w:rPr>
        <w:t>‘</w:t>
      </w:r>
      <w:r w:rsidR="00E90190" w:rsidRPr="00D17BA1">
        <w:rPr>
          <w:rFonts w:ascii="Century Schoolbook" w:hAnsi="Century Schoolbook"/>
        </w:rPr>
        <w:t>public good</w:t>
      </w:r>
      <w:r w:rsidR="002909BA" w:rsidRPr="00D17BA1">
        <w:rPr>
          <w:rFonts w:ascii="Century Schoolbook" w:hAnsi="Century Schoolbook"/>
        </w:rPr>
        <w:t>’</w:t>
      </w:r>
      <w:r w:rsidR="00E90190" w:rsidRPr="002909BA">
        <w:rPr>
          <w:rFonts w:ascii="Century Schoolbook" w:hAnsi="Century Schoolbook"/>
        </w:rPr>
        <w:t xml:space="preserve"> and </w:t>
      </w:r>
      <w:r w:rsidR="002909BA" w:rsidRPr="002909BA">
        <w:rPr>
          <w:rFonts w:ascii="Century Schoolbook" w:hAnsi="Century Schoolbook"/>
        </w:rPr>
        <w:t>‘</w:t>
      </w:r>
      <w:r w:rsidR="00E90190" w:rsidRPr="00D17BA1">
        <w:rPr>
          <w:rFonts w:ascii="Century Schoolbook" w:hAnsi="Century Schoolbook"/>
        </w:rPr>
        <w:t>public interest</w:t>
      </w:r>
      <w:r w:rsidR="002909BA" w:rsidRPr="00D17BA1">
        <w:rPr>
          <w:rFonts w:ascii="Century Schoolbook" w:hAnsi="Century Schoolbook"/>
        </w:rPr>
        <w:t>’</w:t>
      </w:r>
      <w:r w:rsidR="00E90190" w:rsidRPr="002909BA">
        <w:rPr>
          <w:rFonts w:ascii="Century Schoolbook" w:hAnsi="Century Schoolbook"/>
        </w:rPr>
        <w:t xml:space="preserve"> throughout</w:t>
      </w:r>
      <w:r w:rsidR="00E90190" w:rsidRPr="00B324F6">
        <w:rPr>
          <w:rFonts w:ascii="Century Schoolbook" w:hAnsi="Century Schoolbook"/>
        </w:rPr>
        <w:t>, without a clear differentiation of the terms.</w:t>
      </w:r>
      <w:r w:rsidR="00E90190" w:rsidRPr="00B324F6">
        <w:rPr>
          <w:rFonts w:ascii="Century Schoolbook" w:hAnsi="Century Schoolbook"/>
        </w:rPr>
        <w:fldChar w:fldCharType="begin"/>
      </w:r>
      <w:r w:rsidR="00D17BA1">
        <w:rPr>
          <w:rFonts w:ascii="Century Schoolbook" w:hAnsi="Century Schoolbook"/>
        </w:rPr>
        <w:instrText xml:space="preserve"> ADDIN ZOTERO_ITEM CSL_CITATION {"citationID":"DDXg8STL","properties":{"formattedCitation":"[17]","plainCitation":"[17]","noteIndex":0},"citationItems":[{"id":1127,"uris":["http://zotero.org/users/1170976/items/UU2PPTZU"],"uri":["http://zotero.org/users/1170976/items/UU2PPTZU"],"itemData":{"id":1127,"type":"book","event-place":"Canberra","ISBN":"978-1-86496-269-7","language":"English","note":"OCLC: 225568989","publisher":"National Health and Medical Research Council","publisher-place":"Canberra","source":"Open WorldCat","title":"National statement on ethical conduct in human research","author":[{"literal":"National Health and Medical Research Council (Australia)"},{"literal":"Australian Research Council"},{"literal":"Australian Vice-Chancellors' Committee"}],"issued":{"date-parts":[["2007"]]}}}],"schema":"https://github.com/citation-style-language/schema/raw/master/csl-citation.json"} </w:instrText>
      </w:r>
      <w:r w:rsidR="00E90190" w:rsidRPr="00B324F6">
        <w:rPr>
          <w:rFonts w:ascii="Century Schoolbook" w:hAnsi="Century Schoolbook"/>
        </w:rPr>
        <w:fldChar w:fldCharType="separate"/>
      </w:r>
      <w:r w:rsidR="007A2000" w:rsidRPr="00D17BA1">
        <w:rPr>
          <w:rFonts w:ascii="Century Schoolbook" w:hAnsi="Century Schoolbook"/>
        </w:rPr>
        <w:t>[17]</w:t>
      </w:r>
      <w:r w:rsidR="00E90190" w:rsidRPr="00B324F6">
        <w:rPr>
          <w:rFonts w:ascii="Century Schoolbook" w:hAnsi="Century Schoolbook"/>
        </w:rPr>
        <w:fldChar w:fldCharType="end"/>
      </w:r>
      <w:r w:rsidR="00E90190" w:rsidRPr="00B324F6">
        <w:rPr>
          <w:rFonts w:ascii="Century Schoolbook" w:hAnsi="Century Schoolbook"/>
        </w:rPr>
        <w:t xml:space="preserve"> </w:t>
      </w:r>
      <w:r w:rsidR="00AC3971">
        <w:rPr>
          <w:rFonts w:ascii="Century Schoolbook" w:hAnsi="Century Schoolbook"/>
        </w:rPr>
        <w:t xml:space="preserve"> </w:t>
      </w:r>
      <w:r w:rsidR="00AC3971" w:rsidRPr="00AC3971">
        <w:rPr>
          <w:rFonts w:ascii="Century Schoolbook" w:hAnsi="Century Schoolbook"/>
        </w:rPr>
        <w:t xml:space="preserve">In our recent paper in </w:t>
      </w:r>
      <w:r w:rsidR="00AC3971">
        <w:rPr>
          <w:rFonts w:ascii="Century Schoolbook" w:hAnsi="Century Schoolbook"/>
        </w:rPr>
        <w:t>this journal,</w:t>
      </w:r>
      <w:r w:rsidR="00AC3971" w:rsidRPr="00AC3971">
        <w:rPr>
          <w:rFonts w:ascii="Century Schoolbook" w:hAnsi="Century Schoolbook"/>
        </w:rPr>
        <w:t xml:space="preserve"> we too are </w:t>
      </w:r>
      <w:r w:rsidR="00AC3971" w:rsidRPr="00577B64">
        <w:rPr>
          <w:rFonts w:ascii="Century Schoolbook" w:hAnsi="Century Schoolbook"/>
        </w:rPr>
        <w:t>guilty</w:t>
      </w:r>
      <w:r w:rsidR="00AC3971" w:rsidRPr="00AC3971">
        <w:rPr>
          <w:rFonts w:ascii="Century Schoolbook" w:hAnsi="Century Schoolbook"/>
        </w:rPr>
        <w:t xml:space="preserve"> of ambiguity by defining research as being in the </w:t>
      </w:r>
      <w:r w:rsidR="00AC3971" w:rsidRPr="00AC3971">
        <w:rPr>
          <w:rFonts w:ascii="Century Schoolbook" w:hAnsi="Century Schoolbook"/>
          <w:i/>
        </w:rPr>
        <w:t>public good</w:t>
      </w:r>
      <w:r w:rsidR="00AC3971" w:rsidRPr="00AC3971">
        <w:rPr>
          <w:rFonts w:ascii="Century Schoolbook" w:hAnsi="Century Schoolbook"/>
        </w:rPr>
        <w:t xml:space="preserve"> when, (amongst other criteria) it has high </w:t>
      </w:r>
      <w:r w:rsidR="00AC3971" w:rsidRPr="00AC3971">
        <w:rPr>
          <w:rFonts w:ascii="Century Schoolbook" w:hAnsi="Century Schoolbook"/>
          <w:i/>
        </w:rPr>
        <w:t>social value</w:t>
      </w:r>
      <w:r w:rsidR="00AC3971" w:rsidRPr="00AC3971">
        <w:rPr>
          <w:rFonts w:ascii="Century Schoolbook" w:hAnsi="Century Schoolbook"/>
        </w:rPr>
        <w:t>.</w:t>
      </w:r>
      <w:r w:rsidR="00AC3971">
        <w:rPr>
          <w:rFonts w:ascii="Century Schoolbook" w:hAnsi="Century Schoolbook"/>
        </w:rPr>
        <w:t xml:space="preserve"> </w:t>
      </w:r>
      <w:r w:rsidR="00AC3971">
        <w:rPr>
          <w:rFonts w:ascii="Century Schoolbook" w:hAnsi="Century Schoolbook"/>
        </w:rPr>
        <w:fldChar w:fldCharType="begin"/>
      </w:r>
      <w:r w:rsidR="00AC3971">
        <w:rPr>
          <w:rFonts w:ascii="Century Schoolbook" w:hAnsi="Century Schoolbook"/>
        </w:rPr>
        <w:instrText xml:space="preserve"> ADDIN ZOTERO_ITEM CSL_CITATION {"citationID":"tbZwCy6A","properties":{"formattedCitation":"[23]","plainCitation":"[23]","noteIndex":0},"citationItems":[{"id":1795,"uris":["http://zotero.org/users/1170976/items/8AEAM2ZL"],"uri":["http://zotero.org/users/1170976/items/8AEAM2ZL"],"itemData":{"id":1795,"type":"article-journal","container-title":"Journal of Medical Ethics","DOI":"10.1136/medethics-2017-104550","ISSN":"0306-6800, 1473-4257","issue":"6","language":"en","page":"392-396","source":"Crossref","title":"Consent and the ethical duty to participate in health data research","volume":"44","author":[{"family":"Ballantyne","given":"Angela"},{"family":"Schaefer","given":"G Owen"}],"issued":{"date-parts":[["2018",6]]}}}],"schema":"https://github.com/citation-style-language/schema/raw/master/csl-citation.json"} </w:instrText>
      </w:r>
      <w:r w:rsidR="00AC3971">
        <w:rPr>
          <w:rFonts w:ascii="Century Schoolbook" w:hAnsi="Century Schoolbook"/>
        </w:rPr>
        <w:fldChar w:fldCharType="separate"/>
      </w:r>
      <w:r w:rsidR="00AC3971" w:rsidRPr="00AC3971">
        <w:rPr>
          <w:rFonts w:ascii="Century Schoolbook" w:hAnsi="Century Schoolbook"/>
        </w:rPr>
        <w:t>[23]</w:t>
      </w:r>
      <w:r w:rsidR="00AC3971">
        <w:rPr>
          <w:rFonts w:ascii="Century Schoolbook" w:hAnsi="Century Schoolbook"/>
        </w:rPr>
        <w:fldChar w:fldCharType="end"/>
      </w:r>
    </w:p>
    <w:p w14:paraId="3563DDCC" w14:textId="4679D122" w:rsidR="00B87C9C" w:rsidRPr="00B324F6" w:rsidRDefault="00B87C9C" w:rsidP="00B324F6">
      <w:pPr>
        <w:spacing w:after="0"/>
        <w:jc w:val="both"/>
        <w:rPr>
          <w:rFonts w:ascii="Century Schoolbook" w:hAnsi="Century Schoolbook"/>
        </w:rPr>
      </w:pPr>
    </w:p>
    <w:p w14:paraId="49BF6614" w14:textId="5104634D" w:rsidR="00151802" w:rsidRPr="00D17BA1" w:rsidRDefault="00244608" w:rsidP="00B324F6">
      <w:pPr>
        <w:spacing w:after="0"/>
        <w:jc w:val="both"/>
        <w:rPr>
          <w:rFonts w:ascii="Century Schoolbook" w:hAnsi="Century Schoolbook"/>
        </w:rPr>
      </w:pPr>
      <w:r w:rsidRPr="00B324F6">
        <w:rPr>
          <w:rFonts w:ascii="Century Schoolbook" w:hAnsi="Century Schoolbook"/>
        </w:rPr>
        <w:t>Alternatively, it is possible the authors do in fact mean something different when they refer to common good versus public interest versus public good</w:t>
      </w:r>
      <w:r w:rsidR="005C779F" w:rsidRPr="00B324F6">
        <w:rPr>
          <w:rFonts w:ascii="Century Schoolbook" w:hAnsi="Century Schoolbook"/>
        </w:rPr>
        <w:t xml:space="preserve"> versus public benefit</w:t>
      </w:r>
      <w:r w:rsidRPr="00B324F6">
        <w:rPr>
          <w:rFonts w:ascii="Century Schoolbook" w:hAnsi="Century Schoolbook"/>
        </w:rPr>
        <w:t xml:space="preserve">. This is problematic in a different way. </w:t>
      </w:r>
      <w:r w:rsidR="006C6102" w:rsidRPr="00B324F6">
        <w:rPr>
          <w:rFonts w:ascii="Century Schoolbook" w:hAnsi="Century Schoolbook"/>
        </w:rPr>
        <w:t xml:space="preserve">If the meanings of the key terms </w:t>
      </w:r>
      <w:r w:rsidR="006C6102" w:rsidRPr="00B324F6">
        <w:rPr>
          <w:rFonts w:ascii="Century Schoolbook" w:hAnsi="Century Schoolbook"/>
          <w:i/>
        </w:rPr>
        <w:t>do</w:t>
      </w:r>
      <w:r w:rsidR="006C6102" w:rsidRPr="00B324F6">
        <w:rPr>
          <w:rFonts w:ascii="Century Schoolbook" w:hAnsi="Century Schoolbook"/>
        </w:rPr>
        <w:t xml:space="preserve"> differ, the guidance documents do not make this clear. This ambiguity will likely lead to confusion and inconsistency. Second, if the terms differ in meaning and multiple terms are used within one document, this amounts to multiple</w:t>
      </w:r>
      <w:r w:rsidR="006C6102" w:rsidRPr="00B324F6">
        <w:rPr>
          <w:rFonts w:ascii="Century Schoolbook" w:hAnsi="Century Schoolbook"/>
          <w:i/>
        </w:rPr>
        <w:t xml:space="preserve"> different</w:t>
      </w:r>
      <w:r w:rsidR="006C6102" w:rsidRPr="00B324F6">
        <w:rPr>
          <w:rFonts w:ascii="Century Schoolbook" w:hAnsi="Century Schoolbook"/>
        </w:rPr>
        <w:t xml:space="preserve"> tests that researchers must meet. This approach is not only confusing, but potentially overly burdensome and an unnecessary barrier to valuable research. Third, if the terms mean different things in different documents, this indicates </w:t>
      </w:r>
      <w:r w:rsidR="00E90190" w:rsidRPr="00B324F6">
        <w:rPr>
          <w:rFonts w:ascii="Century Schoolbook" w:hAnsi="Century Schoolbook"/>
        </w:rPr>
        <w:t>variable</w:t>
      </w:r>
      <w:r w:rsidR="006C6102" w:rsidRPr="00B324F6">
        <w:rPr>
          <w:rFonts w:ascii="Century Schoolbook" w:hAnsi="Century Schoolbook"/>
        </w:rPr>
        <w:t xml:space="preserve"> standards between jurisdictions. </w:t>
      </w:r>
      <w:r w:rsidR="00151802" w:rsidRPr="00151802">
        <w:rPr>
          <w:rFonts w:ascii="Century Schoolbook" w:hAnsi="Century Schoolbook"/>
        </w:rPr>
        <w:t xml:space="preserve">Health data sharing is increasingly a global pursuit and different research ethics standards between jurisdictions can increase the cost, time and energy associated with getting consent waivers for researchers working across jurisdictions, for example on international public health data-sharing. </w:t>
      </w:r>
      <w:r w:rsidR="008A51A4" w:rsidRPr="008A51A4">
        <w:rPr>
          <w:rFonts w:ascii="Century Schoolbook" w:hAnsi="Century Schoolbook"/>
        </w:rPr>
        <w:t>We assume for the purposes of this paper that the despite the various terms employed, they are intended to capture the same central normative idea of an overarching common or public interest in research.</w:t>
      </w:r>
    </w:p>
    <w:p w14:paraId="39836FA3" w14:textId="6E549F24" w:rsidR="00151802" w:rsidRPr="00D17BA1" w:rsidRDefault="00151802" w:rsidP="00B324F6">
      <w:pPr>
        <w:spacing w:after="0"/>
        <w:jc w:val="both"/>
        <w:rPr>
          <w:rFonts w:ascii="Century Schoolbook" w:hAnsi="Century Schoolbook"/>
        </w:rPr>
      </w:pPr>
    </w:p>
    <w:p w14:paraId="75F3D6BC" w14:textId="7CA63235" w:rsidR="008A51A4" w:rsidRPr="00426248" w:rsidRDefault="007913A2" w:rsidP="00426248">
      <w:pPr>
        <w:pStyle w:val="Bibliography"/>
        <w:tabs>
          <w:tab w:val="clear" w:pos="384"/>
          <w:tab w:val="left" w:pos="0"/>
        </w:tabs>
        <w:spacing w:line="276" w:lineRule="auto"/>
        <w:ind w:left="0" w:firstLine="0"/>
        <w:rPr>
          <w:rFonts w:ascii="Century Schoolbook" w:hAnsi="Century Schoolbook"/>
        </w:rPr>
      </w:pPr>
      <w:r w:rsidRPr="00D17BA1">
        <w:rPr>
          <w:rFonts w:ascii="Century Schoolbook" w:hAnsi="Century Schoolbook"/>
        </w:rPr>
        <w:t xml:space="preserve">Consistency </w:t>
      </w:r>
      <w:r w:rsidR="00151802" w:rsidRPr="00D17BA1">
        <w:rPr>
          <w:rFonts w:ascii="Century Schoolbook" w:hAnsi="Century Schoolbook"/>
        </w:rPr>
        <w:t>and speed of review are major challenges for IRBs</w:t>
      </w:r>
      <w:r w:rsidR="00F43C94">
        <w:rPr>
          <w:rFonts w:ascii="Century Schoolbook" w:hAnsi="Century Schoolbook"/>
        </w:rPr>
        <w:t>/RECs</w:t>
      </w:r>
      <w:r w:rsidR="00151802" w:rsidRPr="00D17BA1">
        <w:rPr>
          <w:rFonts w:ascii="Century Schoolbook" w:hAnsi="Century Schoolbook"/>
        </w:rPr>
        <w:t xml:space="preserve"> </w:t>
      </w:r>
      <w:r w:rsidRPr="00D17BA1">
        <w:rPr>
          <w:rFonts w:ascii="Century Schoolbook" w:hAnsi="Century Schoolbook"/>
        </w:rPr>
        <w:t>and this is likely exacerbated by</w:t>
      </w:r>
      <w:r w:rsidR="00D17BA1" w:rsidRPr="00D17BA1">
        <w:rPr>
          <w:rFonts w:ascii="Century Schoolbook" w:hAnsi="Century Schoolbook"/>
        </w:rPr>
        <w:t xml:space="preserve"> </w:t>
      </w:r>
      <w:r w:rsidRPr="00D17BA1">
        <w:rPr>
          <w:rFonts w:ascii="Century Schoolbook" w:hAnsi="Century Schoolbook"/>
        </w:rPr>
        <w:t>the use of multiple competing terms</w:t>
      </w:r>
      <w:r w:rsidR="00151802" w:rsidRPr="00D17BA1">
        <w:rPr>
          <w:rFonts w:ascii="Century Schoolbook" w:hAnsi="Century Schoolbook"/>
        </w:rPr>
        <w:t xml:space="preserve"> </w:t>
      </w:r>
      <w:r w:rsidR="009337E9" w:rsidRPr="00D17BA1">
        <w:rPr>
          <w:rFonts w:ascii="Century Schoolbook" w:hAnsi="Century Schoolbook"/>
        </w:rPr>
        <w:t>The ethics review process has been widely criticized by</w:t>
      </w:r>
      <w:r w:rsidR="00D17BA1" w:rsidRPr="00D17BA1">
        <w:rPr>
          <w:rFonts w:ascii="Century Schoolbook" w:hAnsi="Century Schoolbook"/>
        </w:rPr>
        <w:t xml:space="preserve"> </w:t>
      </w:r>
      <w:r w:rsidR="009337E9" w:rsidRPr="00D17BA1">
        <w:rPr>
          <w:rFonts w:ascii="Century Schoolbook" w:hAnsi="Century Schoolbook"/>
        </w:rPr>
        <w:t xml:space="preserve">researchers for being opaque, </w:t>
      </w:r>
      <w:r w:rsidR="009337E9" w:rsidRPr="00D17BA1">
        <w:rPr>
          <w:rFonts w:ascii="Century Schoolbook" w:hAnsi="Century Schoolbook"/>
        </w:rPr>
        <w:fldChar w:fldCharType="begin"/>
      </w:r>
      <w:r w:rsidR="00AC3971">
        <w:rPr>
          <w:rFonts w:ascii="Century Schoolbook" w:hAnsi="Century Schoolbook"/>
        </w:rPr>
        <w:instrText xml:space="preserve"> ADDIN ZOTERO_ITEM CSL_CITATION {"citationID":"JanHBjyD","properties":{"formattedCitation":"[24,25]","plainCitation":"[24,25]","noteIndex":0},"citationItems":[{"id":1875,"uris":["http://zotero.org/users/1170976/items/IMCCVHY2"],"uri":["http://zotero.org/users/1170976/items/IMCCVHY2"],"itemData":{"id":1875,"type":"article-journal","container-title":"Kennedy Institute of Ethics Journal","DOI":"10.1353/ken.2014.0029","ISSN":"1086-3249","issue":"4","language":"en","page":"385-411","source":"Crossref","title":"Redundant, Secretive, and Isolated: When Are Clinical Trials Scientifically Valid?","title-short":"Redundant, Secretive, and Isolated","volume":"24","author":[{"family":"Borgerson","given":"Kirstin"}],"issued":{"date-parts":[["2014"]]}}},{"id":1874,"uris":["http://zotero.org/users/1170976/items/U3G9AYTN"],"uri":["http://zotero.org/users/1170976/items/U3G9AYTN"],"itemData":{"id":1874,"type":"article-journal","container-title":"Sociological Research Online","DOI":"10.5153/sro.2255","ISSN":"1360-7804, 1360-7804","issue":"4","language":"en","page":"123-125","source":"Crossref","title":"Creeping Ethical Regulation and the Strangling of Research","volume":"15","author":[{"family":"Hammersley","given":"Martyn"}],"issued":{"date-parts":[["2010",11]]}}}],"schema":"https://github.com/citation-style-language/schema/raw/master/csl-citation.json"} </w:instrText>
      </w:r>
      <w:r w:rsidR="009337E9" w:rsidRPr="00D17BA1">
        <w:rPr>
          <w:rFonts w:ascii="Century Schoolbook" w:hAnsi="Century Schoolbook"/>
        </w:rPr>
        <w:fldChar w:fldCharType="separate"/>
      </w:r>
      <w:r w:rsidR="00AC3971" w:rsidRPr="00AC3971">
        <w:rPr>
          <w:rFonts w:ascii="Century Schoolbook" w:hAnsi="Century Schoolbook"/>
        </w:rPr>
        <w:t>[24,25]</w:t>
      </w:r>
      <w:r w:rsidR="009337E9" w:rsidRPr="00D17BA1">
        <w:rPr>
          <w:rFonts w:ascii="Century Schoolbook" w:hAnsi="Century Schoolbook"/>
        </w:rPr>
        <w:fldChar w:fldCharType="end"/>
      </w:r>
      <w:r w:rsidR="009337E9" w:rsidRPr="00D17BA1">
        <w:rPr>
          <w:rFonts w:ascii="Century Schoolbook" w:hAnsi="Century Schoolbook"/>
        </w:rPr>
        <w:t xml:space="preserve"> inconsistent, </w:t>
      </w:r>
      <w:r w:rsidR="009337E9" w:rsidRPr="00D17BA1">
        <w:rPr>
          <w:rFonts w:ascii="Century Schoolbook" w:hAnsi="Century Schoolbook"/>
        </w:rPr>
        <w:fldChar w:fldCharType="begin"/>
      </w:r>
      <w:r w:rsidR="00AC3971">
        <w:rPr>
          <w:rFonts w:ascii="Century Schoolbook" w:hAnsi="Century Schoolbook"/>
        </w:rPr>
        <w:instrText xml:space="preserve"> ADDIN ZOTERO_ITEM CSL_CITATION {"citationID":"Jha46sK5","properties":{"formattedCitation":"[26\\uc0\\u8211{}29]","plainCitation":"[26–29]","noteIndex":0},"citationItems":[{"id":1873,"uris":["http://zotero.org/users/1170976/items/L2KP4TB9"],"uri":["http://zotero.org/users/1170976/items/L2KP4TB9"],"itemData":{"id":1873,"type":"article-journal","container-title":"IRB","ISSN":"0193-7758","issue":"2","journalAbbreviation":"IRB","language":"eng","note":"PMID: 11649537","page":"10-12","source":"PubMed","title":"Inconsistency, idiosyncrasy, and IRBs","volume":"6","author":[{"family":"Caplan","given":"Arthur L."}],"issued":{"date-parts":[["1984",4]]}}},{"id":1872,"uris":["http://zotero.org/users/1170976/items/CYIQJV9E"],"uri":["http://zotero.org/users/1170976/items/CYIQJV9E"],"itemData":{"id":1872,"type":"article-journal","container-title":"Journal of Medical Ethics","DOI":"10.1136/jme.22.5.263","ISSN":"0306-6800","issue":"5","language":"en","page":"263-266","source":"Crossref","title":"Delays and diversity in the practice of local research ethics committees.","volume":"22","author":[{"family":"Ahmed","given":"A H"},{"family":"Nicholson","given":"K G"}],"issued":{"date-parts":[["1996",10,1]]}}},{"id":1871,"uris":["http://zotero.org/users/1170976/items/64BBHKD3"],"uri":["http://zotero.org/users/1170976/items/64BBHKD3"],"itemData":{"id":1871,"type":"article-journal","container-title":"QJM: An International Journal of Medicine","DOI":"10.1093/qjmed/hcg042","ISSN":"1460-2393, 1460-2725","issue":"4","language":"en","page":"305-307","source":"Crossref","title":"Variations in experience in obtaining local ethical approval for participation in a multi</w:instrText>
      </w:r>
      <w:r w:rsidR="00AC3971">
        <w:rPr>
          <w:rFonts w:ascii="Times New Roman" w:hAnsi="Times New Roman" w:cs="Times New Roman"/>
        </w:rPr>
        <w:instrText>‐</w:instrText>
      </w:r>
      <w:r w:rsidR="00AC3971">
        <w:rPr>
          <w:rFonts w:ascii="Century Schoolbook" w:hAnsi="Century Schoolbook"/>
        </w:rPr>
        <w:instrText xml:space="preserve">centre study","volume":"96","author":[{"family":"Maskell","given":"N.A."},{"family":"Jones","given":"E.L."},{"family":"Davies,","given":"R.J.O."}],"issued":{"date-parts":[["2003",4]]}}},{"id":1647,"uris":["http://zotero.org/users/1170976/items/YRK6STDT"],"uri":["http://zotero.org/users/1170976/items/YRK6STDT"],"itemData":{"id":1647,"type":"article-journal","container-title":"JAMA: The Journal of the American Medical Association","DOI":"10.1001/jama.1982.03330020041027","ISSN":"0098-7484","issue":"2","language":"en","page":"197","source":"Crossref","title":"Inconsistency and Institutional Review Boards","volume":"248","author":[{"family":"Goldman","given":"Jerry"},{"family":"Katz","given":"MD"}],"issued":{"date-parts":[["1982",7,9]]}}}],"schema":"https://github.com/citation-style-language/schema/raw/master/csl-citation.json"} </w:instrText>
      </w:r>
      <w:r w:rsidR="009337E9" w:rsidRPr="00D17BA1">
        <w:rPr>
          <w:rFonts w:ascii="Century Schoolbook" w:hAnsi="Century Schoolbook"/>
        </w:rPr>
        <w:fldChar w:fldCharType="separate"/>
      </w:r>
      <w:r w:rsidR="00AC3971" w:rsidRPr="00AC3971">
        <w:rPr>
          <w:rFonts w:ascii="Century Schoolbook" w:hAnsi="Century Schoolbook" w:cs="Times New Roman"/>
          <w:szCs w:val="24"/>
        </w:rPr>
        <w:t>[26–29]</w:t>
      </w:r>
      <w:r w:rsidR="009337E9" w:rsidRPr="00D17BA1">
        <w:rPr>
          <w:rFonts w:ascii="Century Schoolbook" w:hAnsi="Century Schoolbook"/>
        </w:rPr>
        <w:fldChar w:fldCharType="end"/>
      </w:r>
      <w:r w:rsidR="009337E9" w:rsidRPr="00D17BA1">
        <w:rPr>
          <w:rFonts w:ascii="Century Schoolbook" w:hAnsi="Century Schoolbook"/>
        </w:rPr>
        <w:t xml:space="preserve"> and slow and unduly burdensome. </w:t>
      </w:r>
      <w:r w:rsidR="009337E9" w:rsidRPr="00D17BA1">
        <w:rPr>
          <w:rFonts w:ascii="Century Schoolbook" w:hAnsi="Century Schoolbook"/>
        </w:rPr>
        <w:fldChar w:fldCharType="begin"/>
      </w:r>
      <w:r w:rsidR="00AC3971">
        <w:rPr>
          <w:rFonts w:ascii="Century Schoolbook" w:hAnsi="Century Schoolbook"/>
        </w:rPr>
        <w:instrText xml:space="preserve"> ADDIN ZOTERO_ITEM CSL_CITATION {"citationID":"F3LZXo7e","properties":{"formattedCitation":"[30\\uc0\\u8211{}32]","plainCitation":"[30–32]","noteIndex":0},"citationItems":[{"id":1877,"uris":["http://zotero.org/users/1170976/items/UGQAA5KG"],"uri":["http://zotero.org/users/1170976/items/UGQAA5KG"],"itemData":{"id":1877,"type":"article-journal","container-title":"BMC Medical Ethics","DOI":"10.1186/s12910-018-0339-5","ISSN":"1472-6939","issue":"1","language":"en","source":"Crossref","title":"Research approvals iceberg: how a ‘low-key’ study in England needed 89 professionals to approve it and how we can do better","title-short":"Research approvals iceberg","URL":"https://bmcmedethics.biomedcentral.com/articles/10.1186/s12910-018-0339-5","volume":"20","author":[{"family":"Petrova","given":"Mila"},{"family":"Barclay","given":"Stephen"}],"accessed":{"date-parts":[["2020",3,13]]},"issued":{"date-parts":[["2019",12]]}}},{"id":1869,"uris":["http://zotero.org/users/1170976/items/7MTPCAIE"],"uri":["http://zotero.org/users/1170976/items/7MTPCAIE"],"itemData":{"id":1869,"type":"article-journal","container-title":"Irish Journal of Medical Science","DOI":"10.1007/BF02914559","ISSN":"0021-1265, 1863-4362","issue":"2","language":"en","page":"72-74","source":"Crossref","title":"Ethical approval for national studies in Ireland: An illustration of current challenges","title-short":"Ethical approval for national studies in Ireland","volume":"173","author":[{"family":"Smith","given":"M"},{"family":"Doyle","given":"F"},{"family":"McGee","given":"Hm"},{"family":"Harpe","given":"D De La"}],"issued":{"date-parts":[["2004",4]]}}},{"id":1868,"uris":["http://zotero.org/users/1170976/items/WBCTZERY"],"uri":["http://zotero.org/users/1170976/items/WBCTZERY"],"itemData":{"id":1868,"type":"article-journal","container-title":"Plastic and Reconstructive Surgery","DOI":"10.1097/01.prs.0000436846.00247.73","ISSN":"0032-1052","issue":"2","language":"en","page":"439-445","source":"Crossref","title":"Institutional Review Boards: What’s Old? What’s New? What Needs to Change?","title-short":"Institutional Review Boards","volume":"133","author":[{"family":"Kotsis","given":"Sandra V."},{"family":"Chung","given":"Kevin C."}],"issued":{"date-parts":[["2014",2]]}}}],"schema":"https://github.com/citation-style-language/schema/raw/master/csl-citation.json"} </w:instrText>
      </w:r>
      <w:r w:rsidR="009337E9" w:rsidRPr="00D17BA1">
        <w:rPr>
          <w:rFonts w:ascii="Century Schoolbook" w:hAnsi="Century Schoolbook"/>
        </w:rPr>
        <w:fldChar w:fldCharType="separate"/>
      </w:r>
      <w:r w:rsidR="00AC3971" w:rsidRPr="00AC3971">
        <w:rPr>
          <w:rFonts w:ascii="Century Schoolbook" w:hAnsi="Century Schoolbook" w:cs="Times New Roman"/>
          <w:szCs w:val="24"/>
        </w:rPr>
        <w:t>[30–32]</w:t>
      </w:r>
      <w:r w:rsidR="009337E9" w:rsidRPr="00D17BA1">
        <w:rPr>
          <w:rFonts w:ascii="Century Schoolbook" w:hAnsi="Century Schoolbook"/>
        </w:rPr>
        <w:fldChar w:fldCharType="end"/>
      </w:r>
      <w:r w:rsidR="009337E9" w:rsidRPr="00D17BA1">
        <w:rPr>
          <w:rFonts w:ascii="Century Schoolbook" w:hAnsi="Century Schoolbook"/>
        </w:rPr>
        <w:t xml:space="preserve">  </w:t>
      </w:r>
      <w:r w:rsidR="00151802" w:rsidRPr="00D17BA1">
        <w:rPr>
          <w:rFonts w:ascii="Century Schoolbook" w:hAnsi="Century Schoolbook"/>
        </w:rPr>
        <w:t>Slow, unpredictable and inconsistent processes can impede valuable science and frustrate researchers.</w:t>
      </w:r>
      <w:r w:rsidR="00B5544E" w:rsidRPr="00D17BA1">
        <w:rPr>
          <w:rFonts w:ascii="Century Schoolbook" w:hAnsi="Century Schoolbook"/>
        </w:rPr>
        <w:fldChar w:fldCharType="begin"/>
      </w:r>
      <w:r w:rsidR="00AC3971">
        <w:rPr>
          <w:rFonts w:ascii="Century Schoolbook" w:hAnsi="Century Schoolbook"/>
        </w:rPr>
        <w:instrText xml:space="preserve"> ADDIN ZOTERO_ITEM CSL_CITATION {"citationID":"3UYTTbEs","properties":{"formattedCitation":"[30,33]","plainCitation":"[30,33]","noteIndex":0},"citationItems":[{"id":1877,"uris":["http://zotero.org/users/1170976/items/UGQAA5KG"],"uri":["http://zotero.org/users/1170976/items/UGQAA5KG"],"itemData":{"id":1877,"type":"article-journal","container-title":"BMC Medical Ethics","DOI":"10.1186/s12910-018-0339-5","ISSN":"1472-6939","issue":"1","language":"en","source":"Crossref","title":"Research approvals iceberg: how a ‘low-key’ study in England needed 89 professionals to approve it and how we can do better","title-short":"Research approvals iceberg","URL":"https://bmcmedethics.biomedcentral.com/articles/10.1186/s12910-018-0339-5","volume":"20","author":[{"family":"Petrova","given":"Mila"},{"family":"Barclay","given":"Stephen"}],"accessed":{"date-parts":[["2020",3,13]]},"issued":{"date-parts":[["2019",12]]}}},{"id":1876,"uris":["http://zotero.org/users/1170976/items/A2INQUKI"],"uri":["http://zotero.org/users/1170976/items/A2INQUKI"],"itemData":{"id":1876,"type":"article-journal","container-title":"Sociology","DOI":"10.1177/0038038507082318","ISSN":"0038-0385, 1469-8684","issue":"6","language":"en","page":"1115-1132","source":"Crossref","title":"Research Ethics in the UK: What Can Sociology Learn from Health?","title-short":"Research Ethics in the UK","volume":"41","author":[{"family":"Richardson","given":"Sue"},{"family":"McMullan","given":"Miriam"}],"issued":{"date-parts":[["2007",12]]}}}],"schema":"https://github.com/citation-style-language/schema/raw/master/csl-citation.json"} </w:instrText>
      </w:r>
      <w:r w:rsidR="00B5544E" w:rsidRPr="00D17BA1">
        <w:rPr>
          <w:rFonts w:ascii="Century Schoolbook" w:hAnsi="Century Schoolbook"/>
        </w:rPr>
        <w:fldChar w:fldCharType="separate"/>
      </w:r>
      <w:r w:rsidR="00AC3971" w:rsidRPr="00AC3971">
        <w:rPr>
          <w:rFonts w:ascii="Century Schoolbook" w:hAnsi="Century Schoolbook"/>
        </w:rPr>
        <w:t>[30,33]</w:t>
      </w:r>
      <w:r w:rsidR="00B5544E" w:rsidRPr="00D17BA1">
        <w:rPr>
          <w:rFonts w:ascii="Century Schoolbook" w:hAnsi="Century Schoolbook"/>
        </w:rPr>
        <w:fldChar w:fldCharType="end"/>
      </w:r>
      <w:r w:rsidR="00151802" w:rsidRPr="00D17BA1">
        <w:rPr>
          <w:rFonts w:ascii="Century Schoolbook" w:hAnsi="Century Schoolbook"/>
        </w:rPr>
        <w:t xml:space="preserve">  It is plausible that the use of inconsistent terminology and a lack definitions within guidelines generates uncertainty within IRBs/RECs and can slow review and increase</w:t>
      </w:r>
      <w:r w:rsidR="009337E9" w:rsidRPr="00D17BA1">
        <w:rPr>
          <w:rFonts w:ascii="Century Schoolbook" w:hAnsi="Century Schoolbook"/>
        </w:rPr>
        <w:t xml:space="preserve"> variable</w:t>
      </w:r>
      <w:r w:rsidR="00151802" w:rsidRPr="00D17BA1">
        <w:rPr>
          <w:rFonts w:ascii="Century Schoolbook" w:hAnsi="Century Schoolbook"/>
        </w:rPr>
        <w:t xml:space="preserve"> interpretations.  </w:t>
      </w:r>
      <w:r w:rsidR="00151802" w:rsidRPr="00D17BA1">
        <w:rPr>
          <w:rFonts w:ascii="Century Schoolbook" w:hAnsi="Century Schoolbook" w:cs="Times New Roman"/>
        </w:rPr>
        <w:t>A systematic review of empirical literature evaluating IRBs found</w:t>
      </w:r>
      <w:r w:rsidR="00151802" w:rsidRPr="00D17BA1">
        <w:rPr>
          <w:rFonts w:ascii="Century Schoolbook" w:hAnsi="Century Schoolbook" w:cs="Times New Roman"/>
          <w:color w:val="000000"/>
          <w:shd w:val="clear" w:color="auto" w:fill="FFFFFF"/>
        </w:rPr>
        <w:t xml:space="preserve"> evidence of variation in multicentr</w:t>
      </w:r>
      <w:r w:rsidR="006520AA" w:rsidRPr="00D17BA1">
        <w:rPr>
          <w:rFonts w:ascii="Century Schoolbook" w:hAnsi="Century Schoolbook" w:cs="Times New Roman"/>
          <w:color w:val="000000"/>
          <w:shd w:val="clear" w:color="auto" w:fill="FFFFFF"/>
        </w:rPr>
        <w:t>e</w:t>
      </w:r>
      <w:r w:rsidR="00151802" w:rsidRPr="00D17BA1">
        <w:rPr>
          <w:rFonts w:ascii="Century Schoolbook" w:hAnsi="Century Schoolbook" w:cs="Times New Roman"/>
          <w:color w:val="000000"/>
          <w:shd w:val="clear" w:color="auto" w:fill="FFFFFF"/>
        </w:rPr>
        <w:t xml:space="preserve"> review</w:t>
      </w:r>
      <w:r w:rsidR="00CB2C31" w:rsidRPr="00D17BA1">
        <w:rPr>
          <w:rFonts w:ascii="Century Schoolbook" w:hAnsi="Century Schoolbook" w:cs="Times New Roman"/>
          <w:color w:val="000000"/>
          <w:shd w:val="clear" w:color="auto" w:fill="FFFFFF"/>
        </w:rPr>
        <w:t xml:space="preserve"> with</w:t>
      </w:r>
      <w:r w:rsidR="00151802" w:rsidRPr="00D17BA1">
        <w:rPr>
          <w:rFonts w:ascii="Century Schoolbook" w:hAnsi="Century Schoolbook" w:cs="Times New Roman"/>
          <w:color w:val="000000"/>
          <w:shd w:val="clear" w:color="auto" w:fill="FFFFFF"/>
        </w:rPr>
        <w:t xml:space="preserve"> inconsistent or ambiguous interpretation of the federal regulations.</w:t>
      </w:r>
      <w:r w:rsidR="00B5544E" w:rsidRPr="00D17BA1">
        <w:rPr>
          <w:rFonts w:ascii="Century Schoolbook" w:hAnsi="Century Schoolbook" w:cs="Times New Roman"/>
          <w:color w:val="000000"/>
          <w:shd w:val="clear" w:color="auto" w:fill="FFFFFF"/>
        </w:rPr>
        <w:t xml:space="preserve"> </w:t>
      </w:r>
      <w:r w:rsidR="00B5544E" w:rsidRPr="00D17BA1">
        <w:rPr>
          <w:rFonts w:ascii="Century Schoolbook" w:hAnsi="Century Schoolbook" w:cs="Times New Roman"/>
          <w:color w:val="000000"/>
          <w:shd w:val="clear" w:color="auto" w:fill="FFFFFF"/>
        </w:rPr>
        <w:fldChar w:fldCharType="begin"/>
      </w:r>
      <w:r w:rsidR="00AC3971">
        <w:rPr>
          <w:rFonts w:ascii="Century Schoolbook" w:hAnsi="Century Schoolbook" w:cs="Times New Roman"/>
          <w:color w:val="000000"/>
          <w:shd w:val="clear" w:color="auto" w:fill="FFFFFF"/>
        </w:rPr>
        <w:instrText xml:space="preserve"> ADDIN ZOTERO_ITEM CSL_CITATION {"citationID":"qHZfWmHx","properties":{"formattedCitation":"[34]","plainCitation":"[34]","noteIndex":0},"citationItems":[{"id":1866,"uris":["http://zotero.org/users/1170976/items/JDT6K2QW"],"uri":["http://zotero.org/users/1170976/items/JDT6K2QW"],"itemData":{"id":1866,"type":"article-journal","container-title":"Journal of Empirical Research on Human Research Ethics","DOI":"10.1525/jer.2011.6.1.3","ISSN":"1556-2646, 1556-2654","issue":"1","language":"en","page":"3-19","source":"Crossref","title":"A Systematic Review of the Empirical Literature Evaluating IRBs: What We Know and What We Still Need to Learn","title-short":"A Systematic Review of the Empirical Literature Evaluating IRBs","volume":"6","author":[{"family":"Abbott","given":"Lura"},{"family":"Grady","given":"Christine"}],"issued":{"date-parts":[["2011",3]]}}}],"schema":"https://github.com/citation-style-language/schema/raw/master/csl-citation.json"} </w:instrText>
      </w:r>
      <w:r w:rsidR="00B5544E" w:rsidRPr="00D17BA1">
        <w:rPr>
          <w:rFonts w:ascii="Century Schoolbook" w:hAnsi="Century Schoolbook" w:cs="Times New Roman"/>
          <w:color w:val="000000"/>
          <w:shd w:val="clear" w:color="auto" w:fill="FFFFFF"/>
        </w:rPr>
        <w:fldChar w:fldCharType="separate"/>
      </w:r>
      <w:r w:rsidR="00AC3971" w:rsidRPr="00AC3971">
        <w:rPr>
          <w:rFonts w:ascii="Century Schoolbook" w:hAnsi="Century Schoolbook"/>
        </w:rPr>
        <w:t>[34]</w:t>
      </w:r>
      <w:r w:rsidR="00B5544E" w:rsidRPr="00D17BA1">
        <w:rPr>
          <w:rFonts w:ascii="Century Schoolbook" w:hAnsi="Century Schoolbook" w:cs="Times New Roman"/>
          <w:color w:val="000000"/>
          <w:shd w:val="clear" w:color="auto" w:fill="FFFFFF"/>
        </w:rPr>
        <w:fldChar w:fldCharType="end"/>
      </w:r>
      <w:r w:rsidR="00151802" w:rsidRPr="00D17BA1">
        <w:rPr>
          <w:rFonts w:ascii="Century Schoolbook" w:hAnsi="Century Schoolbook" w:cs="Times New Roman"/>
          <w:color w:val="000000"/>
          <w:shd w:val="clear" w:color="auto" w:fill="FFFFFF"/>
        </w:rPr>
        <w:t xml:space="preserve">  </w:t>
      </w:r>
      <w:r w:rsidR="00151802" w:rsidRPr="00D17BA1">
        <w:rPr>
          <w:rFonts w:ascii="Century Schoolbook" w:hAnsi="Century Schoolbook" w:cs="Times New Roman"/>
        </w:rPr>
        <w:t>Qualitative research with RECs in New Zealand found that the lack of clarity regarding terms such as public interest in the national regulations was a source of anxiety and stress for committee members</w:t>
      </w:r>
      <w:r w:rsidR="00CB2C31" w:rsidRPr="00D17BA1">
        <w:rPr>
          <w:rFonts w:ascii="Century Schoolbook" w:hAnsi="Century Schoolbook" w:cs="Times New Roman"/>
        </w:rPr>
        <w:t>:</w:t>
      </w:r>
      <w:r w:rsidR="00151802" w:rsidRPr="00D17BA1">
        <w:rPr>
          <w:rFonts w:ascii="Century Schoolbook" w:hAnsi="Century Schoolbook" w:cs="Times New Roman"/>
        </w:rPr>
        <w:t xml:space="preserve"> “We’re sort of operating in a little bit of the void.” Committee members described the process of approving consent waivers for data and tissue research as leaving “a bad taste in your mouth” and causing “my hairs to rise up on end”.</w:t>
      </w:r>
      <w:r w:rsidR="00B5544E" w:rsidRPr="00D17BA1">
        <w:rPr>
          <w:rFonts w:ascii="Century Schoolbook" w:hAnsi="Century Schoolbook" w:cs="Times New Roman"/>
        </w:rPr>
        <w:fldChar w:fldCharType="begin"/>
      </w:r>
      <w:r w:rsidR="00D17BA1" w:rsidRPr="00D17BA1">
        <w:rPr>
          <w:rFonts w:ascii="Century Schoolbook" w:hAnsi="Century Schoolbook" w:cs="Times New Roman"/>
        </w:rPr>
        <w:instrText xml:space="preserve"> ADDIN ZOTERO_ITEM CSL_CITATION {"citationID":"Z8edhcr6","properties":{"formattedCitation":"[13]","plainCitation":"[13]","noteIndex":0},"citationItems":[{"id":1475,"uris":["http://zotero.org/users/1170976/items/MPCJRD29"],"uri":["http://zotero.org/users/1170976/items/MPCJRD29"],"itemData":{"id":1475,"type":"article-journal","container-title":"AJOB Empirical Bioethics","DOI":"10.1080/23294515.2018.1518938","ISSN":"2329-4515, 2329-4523","issue":"3","language":"en","page":"143-153","source":"Crossref","title":"Data and tissue research without patient consent: A qualitative study of the views of research ethics committees in New Zealand","title-short":"Data and tissue research without patient consent","volume":"9","author":[{"family":"Ballantyne","given":"Angela"},{"family":"Moore","given":"Andrew"}],"issued":{"date-parts":[["2018",7,3]]}}}],"schema":"https://github.com/citation-style-language/schema/raw/master/csl-citation.json"} </w:instrText>
      </w:r>
      <w:r w:rsidR="00B5544E" w:rsidRPr="00D17BA1">
        <w:rPr>
          <w:rFonts w:ascii="Century Schoolbook" w:hAnsi="Century Schoolbook" w:cs="Times New Roman"/>
        </w:rPr>
        <w:fldChar w:fldCharType="separate"/>
      </w:r>
      <w:r w:rsidR="00B5544E" w:rsidRPr="00D17BA1">
        <w:rPr>
          <w:rFonts w:ascii="Century Schoolbook" w:hAnsi="Century Schoolbook"/>
        </w:rPr>
        <w:t>[13]</w:t>
      </w:r>
      <w:r w:rsidR="00B5544E" w:rsidRPr="00D17BA1">
        <w:rPr>
          <w:rFonts w:ascii="Century Schoolbook" w:hAnsi="Century Schoolbook" w:cs="Times New Roman"/>
        </w:rPr>
        <w:fldChar w:fldCharType="end"/>
      </w:r>
      <w:r w:rsidR="00151802" w:rsidRPr="00D17BA1">
        <w:rPr>
          <w:rFonts w:ascii="Century Schoolbook" w:hAnsi="Century Schoolbook" w:cs="Times New Roman"/>
        </w:rPr>
        <w:t xml:space="preserve"> Empirical research in the UK found that the introduction of new </w:t>
      </w:r>
      <w:r w:rsidR="00151802" w:rsidRPr="00D17BA1">
        <w:rPr>
          <w:rFonts w:ascii="Century Schoolbook" w:hAnsi="Century Schoolbook" w:cs="Times New Roman"/>
        </w:rPr>
        <w:lastRenderedPageBreak/>
        <w:t>regulation and specific guidance for RECs can provide clarity and authority and may facilitate the process of gaining ethical approval for tissue-based research.</w:t>
      </w:r>
      <w:r w:rsidR="00B5544E" w:rsidRPr="00D17BA1">
        <w:rPr>
          <w:rFonts w:ascii="Century Schoolbook" w:hAnsi="Century Schoolbook" w:cs="Times New Roman"/>
        </w:rPr>
        <w:fldChar w:fldCharType="begin"/>
      </w:r>
      <w:r w:rsidR="00AC3971">
        <w:rPr>
          <w:rFonts w:ascii="Century Schoolbook" w:hAnsi="Century Schoolbook" w:cs="Times New Roman"/>
        </w:rPr>
        <w:instrText xml:space="preserve"> ADDIN ZOTERO_ITEM CSL_CITATION {"citationID":"VUJDc9Co","properties":{"formattedCitation":"[35]","plainCitation":"[35]","noteIndex":0},"citationItems":[{"id":1865,"uris":["http://zotero.org/users/1170976/items/3GVLYFPF"],"uri":["http://zotero.org/users/1170976/items/3GVLYFPF"],"itemData":{"id":1865,"type":"article-journal","container-title":"Journal of Clinical Pathology","DOI":"10.1136/jcp.2008.060699","ISSN":"0021-9746","issue":"9","language":"en","page":"825-829","source":"Crossref","title":"Research involving storage and use of human tissue: how did the Human Tissue Act 2004 affect decisions by research ethics committees?","title-short":"Research involving storage and use of human tissue","volume":"62","author":[{"family":"Angell","given":"E"},{"family":"Tarrant","given":"C"},{"family":"Dixon-Woods","given":"M"}],"issued":{"date-parts":[["2009",9,1]]}}}],"schema":"https://github.com/citation-style-language/schema/raw/master/csl-citation.json"} </w:instrText>
      </w:r>
      <w:r w:rsidR="00B5544E" w:rsidRPr="00D17BA1">
        <w:rPr>
          <w:rFonts w:ascii="Century Schoolbook" w:hAnsi="Century Schoolbook" w:cs="Times New Roman"/>
        </w:rPr>
        <w:fldChar w:fldCharType="separate"/>
      </w:r>
      <w:r w:rsidR="00AC3971" w:rsidRPr="00AC3971">
        <w:rPr>
          <w:rFonts w:ascii="Century Schoolbook" w:hAnsi="Century Schoolbook"/>
        </w:rPr>
        <w:t>[35]</w:t>
      </w:r>
      <w:r w:rsidR="00B5544E" w:rsidRPr="00D17BA1">
        <w:rPr>
          <w:rFonts w:ascii="Century Schoolbook" w:hAnsi="Century Schoolbook" w:cs="Times New Roman"/>
        </w:rPr>
        <w:fldChar w:fldCharType="end"/>
      </w:r>
      <w:r w:rsidR="00151802" w:rsidRPr="00D17BA1">
        <w:rPr>
          <w:rFonts w:ascii="Century Schoolbook" w:hAnsi="Century Schoolbook" w:cs="Times New Roman"/>
        </w:rPr>
        <w:t xml:space="preserve"> This empirical literature suggests that the inconsistent use of terminology is problematic for IRBs/RECs trying to </w:t>
      </w:r>
      <w:r w:rsidR="00151802" w:rsidRPr="00426248">
        <w:rPr>
          <w:rFonts w:ascii="Century Schoolbook" w:hAnsi="Century Schoolbook" w:cs="Times New Roman"/>
        </w:rPr>
        <w:t xml:space="preserve">interpret and implement guidance and is plausibly slowing review and impeding approval of valuable research. </w:t>
      </w:r>
    </w:p>
    <w:p w14:paraId="0365FB86" w14:textId="492FBE66" w:rsidR="008A51A4" w:rsidRPr="008E281B" w:rsidRDefault="008A51A4" w:rsidP="00B324F6">
      <w:pPr>
        <w:spacing w:after="0"/>
        <w:jc w:val="both"/>
        <w:rPr>
          <w:rFonts w:ascii="Century Schoolbook" w:hAnsi="Century Schoolbook"/>
        </w:rPr>
      </w:pPr>
      <w:r w:rsidRPr="00426248">
        <w:rPr>
          <w:rFonts w:ascii="Century Schoolbook" w:hAnsi="Century Schoolbook"/>
        </w:rPr>
        <w:t>Note first that the multitude of different terms simultaneously in use is strikingly unusual.</w:t>
      </w:r>
      <w:r w:rsidRPr="008E281B">
        <w:rPr>
          <w:rFonts w:ascii="Century Schoolbook" w:hAnsi="Century Schoolbook"/>
        </w:rPr>
        <w:t xml:space="preserve"> </w:t>
      </w:r>
      <w:r w:rsidRPr="00426248">
        <w:rPr>
          <w:rFonts w:ascii="Century Schoolbook" w:hAnsi="Century Schoolbook"/>
        </w:rPr>
        <w:t xml:space="preserve"> By comparison, other core concepts in research ethics do not have multiple synonyms. Concept such as </w:t>
      </w:r>
      <w:r w:rsidRPr="00426248">
        <w:rPr>
          <w:rFonts w:ascii="Century Schoolbook" w:hAnsi="Century Schoolbook"/>
          <w:i/>
        </w:rPr>
        <w:t>consent, risk, incidental benefit, autonomy</w:t>
      </w:r>
      <w:r w:rsidRPr="00426248">
        <w:rPr>
          <w:rFonts w:ascii="Century Schoolbook" w:hAnsi="Century Schoolbook"/>
        </w:rPr>
        <w:t xml:space="preserve"> </w:t>
      </w:r>
      <w:proofErr w:type="gramStart"/>
      <w:r w:rsidRPr="00426248">
        <w:rPr>
          <w:rFonts w:ascii="Century Schoolbook" w:hAnsi="Century Schoolbook"/>
        </w:rPr>
        <w:t>are</w:t>
      </w:r>
      <w:proofErr w:type="gramEnd"/>
      <w:r w:rsidRPr="00426248">
        <w:rPr>
          <w:rFonts w:ascii="Century Schoolbook" w:hAnsi="Century Schoolbook"/>
        </w:rPr>
        <w:t xml:space="preserve"> referred to by a single consistent term, even where there is debate about the definition of that term.  The marked plurality of terms referring to public interest in research ethics is perhaps indicative of conceptual confusion and the necessity for further work to unpack the normative role that the public interest criterion plays in justifying consent waivers.  Below we explain the common normative force that underlies these related </w:t>
      </w:r>
      <w:proofErr w:type="gramStart"/>
      <w:r w:rsidRPr="00426248">
        <w:rPr>
          <w:rFonts w:ascii="Century Schoolbook" w:hAnsi="Century Schoolbook"/>
        </w:rPr>
        <w:t>terms, and</w:t>
      </w:r>
      <w:proofErr w:type="gramEnd"/>
      <w:r w:rsidRPr="00426248">
        <w:rPr>
          <w:rFonts w:ascii="Century Schoolbook" w:hAnsi="Century Schoolbook"/>
        </w:rPr>
        <w:t xml:space="preserve"> explain why this normative force can justify data research without consent.</w:t>
      </w:r>
    </w:p>
    <w:p w14:paraId="5FFE5CF9" w14:textId="77777777" w:rsidR="00F95E53" w:rsidRDefault="00F95E53" w:rsidP="00B324F6">
      <w:pPr>
        <w:spacing w:after="0"/>
        <w:jc w:val="both"/>
        <w:rPr>
          <w:rFonts w:ascii="Century Schoolbook" w:hAnsi="Century Schoolbook"/>
        </w:rPr>
      </w:pPr>
    </w:p>
    <w:p w14:paraId="1E05C7ED" w14:textId="5D7DB6DD" w:rsidR="00244608" w:rsidRPr="00B324F6" w:rsidRDefault="008A51A4" w:rsidP="00B324F6">
      <w:pPr>
        <w:spacing w:after="0"/>
        <w:jc w:val="both"/>
        <w:rPr>
          <w:rFonts w:ascii="Century Schoolbook" w:hAnsi="Century Schoolbook"/>
        </w:rPr>
      </w:pPr>
      <w:r w:rsidRPr="00B324F6">
        <w:rPr>
          <w:rFonts w:ascii="Century Schoolbook" w:hAnsi="Century Schoolbook"/>
        </w:rPr>
        <w:t xml:space="preserve">In our view, it is preferable to move towards greater international </w:t>
      </w:r>
      <w:r w:rsidR="00426248">
        <w:rPr>
          <w:rFonts w:ascii="Century Schoolbook" w:hAnsi="Century Schoolbook"/>
        </w:rPr>
        <w:t>harmonisation</w:t>
      </w:r>
      <w:r w:rsidR="00426248" w:rsidRPr="00B324F6">
        <w:rPr>
          <w:rFonts w:ascii="Century Schoolbook" w:hAnsi="Century Schoolbook"/>
        </w:rPr>
        <w:t xml:space="preserve"> </w:t>
      </w:r>
      <w:r w:rsidRPr="00B324F6">
        <w:rPr>
          <w:rFonts w:ascii="Century Schoolbook" w:hAnsi="Century Schoolbook"/>
        </w:rPr>
        <w:t>of data research standards where possible</w:t>
      </w:r>
      <w:r>
        <w:rPr>
          <w:rFonts w:ascii="Century Schoolbook" w:hAnsi="Century Schoolbook"/>
        </w:rPr>
        <w:t>.</w:t>
      </w:r>
      <w:r w:rsidRPr="00151802">
        <w:rPr>
          <w:rFonts w:ascii="Century Schoolbook" w:hAnsi="Century Schoolbook"/>
        </w:rPr>
        <w:t xml:space="preserve"> </w:t>
      </w:r>
      <w:r w:rsidR="00F95E53">
        <w:rPr>
          <w:rFonts w:ascii="Century Schoolbook" w:hAnsi="Century Schoolbook"/>
        </w:rPr>
        <w:t xml:space="preserve">By harmonisation, we do not </w:t>
      </w:r>
      <w:r w:rsidR="000C19BE">
        <w:rPr>
          <w:rFonts w:ascii="Century Schoolbook" w:hAnsi="Century Schoolbook"/>
        </w:rPr>
        <w:t>refer to</w:t>
      </w:r>
      <w:r w:rsidR="00F95E53">
        <w:rPr>
          <w:rFonts w:ascii="Century Schoolbook" w:hAnsi="Century Schoolbook"/>
        </w:rPr>
        <w:t xml:space="preserve"> formal regulatory alignment</w:t>
      </w:r>
      <w:r w:rsidR="00BB2631">
        <w:rPr>
          <w:rFonts w:ascii="Century Schoolbook" w:hAnsi="Century Schoolbook"/>
        </w:rPr>
        <w:t xml:space="preserve"> across</w:t>
      </w:r>
      <w:r w:rsidR="000C19BE">
        <w:rPr>
          <w:rFonts w:ascii="Century Schoolbook" w:hAnsi="Century Schoolbook"/>
        </w:rPr>
        <w:t xml:space="preserve"> jurisdictions. International regulatory harmonisation may be possible in some contexts such as financial markets </w:t>
      </w:r>
      <w:r w:rsidR="000C19BE">
        <w:rPr>
          <w:rFonts w:ascii="Century Schoolbook" w:hAnsi="Century Schoolbook"/>
        </w:rPr>
        <w:fldChar w:fldCharType="begin"/>
      </w:r>
      <w:r w:rsidR="00AC3971">
        <w:rPr>
          <w:rFonts w:ascii="Century Schoolbook" w:hAnsi="Century Schoolbook"/>
        </w:rPr>
        <w:instrText xml:space="preserve"> ADDIN ZOTERO_ITEM CSL_CITATION {"citationID":"ySS9iJdM","properties":{"formattedCitation":"[36]","plainCitation":"[36]","noteIndex":0},"citationItems":[{"id":1863,"uris":["http://zotero.org/users/1170976/items/47MQHPHA"],"uri":["http://zotero.org/users/1170976/items/47MQHPHA"],"itemData":{"id":1863,"type":"article-journal","container-title":"International Organization","DOI":"10.1017/S0020818304583042","ISSN":"0020-8183, 1531-5088","issue":"03","language":"en","source":"Crossref","title":"Capital Rules: The Domestic Politics of International Regulatory Harmonization","title-short":"Capital Rules","URL":"http://www.journals.cambridge.org/abstract_S0020818304583042","volume":"58","author":[{"family":"Singer","given":"David Andrew"}],"accessed":{"date-parts":[["2020",3,13]]},"issued":{"date-parts":[["2004",7]]}}}],"schema":"https://github.com/citation-style-language/schema/raw/master/csl-citation.json"} </w:instrText>
      </w:r>
      <w:r w:rsidR="000C19BE">
        <w:rPr>
          <w:rFonts w:ascii="Century Schoolbook" w:hAnsi="Century Schoolbook"/>
        </w:rPr>
        <w:fldChar w:fldCharType="separate"/>
      </w:r>
      <w:r w:rsidR="00AC3971" w:rsidRPr="00AC3971">
        <w:rPr>
          <w:rFonts w:ascii="Century Schoolbook" w:hAnsi="Century Schoolbook"/>
        </w:rPr>
        <w:t>[36]</w:t>
      </w:r>
      <w:r w:rsidR="000C19BE">
        <w:rPr>
          <w:rFonts w:ascii="Century Schoolbook" w:hAnsi="Century Schoolbook"/>
        </w:rPr>
        <w:fldChar w:fldCharType="end"/>
      </w:r>
      <w:r w:rsidR="000C19BE">
        <w:rPr>
          <w:rFonts w:ascii="Century Schoolbook" w:hAnsi="Century Schoolbook"/>
        </w:rPr>
        <w:t xml:space="preserve"> an trade,</w:t>
      </w:r>
      <w:r w:rsidR="000C19BE">
        <w:rPr>
          <w:rFonts w:ascii="Century Schoolbook" w:hAnsi="Century Schoolbook"/>
        </w:rPr>
        <w:fldChar w:fldCharType="begin"/>
      </w:r>
      <w:r w:rsidR="00AC3971">
        <w:rPr>
          <w:rFonts w:ascii="Century Schoolbook" w:hAnsi="Century Schoolbook"/>
        </w:rPr>
        <w:instrText xml:space="preserve"> ADDIN ZOTERO_ITEM CSL_CITATION {"citationID":"M7Rc4OMR","properties":{"formattedCitation":"[37]","plainCitation":"[37]","noteIndex":0},"citationItems":[{"id":1862,"uris":["http://zotero.org/users/1170976/items/MPUTNZXU"],"uri":["http://zotero.org/users/1170976/items/MPUTNZXU"],"itemData":{"id":1862,"type":"article-journal","container-title":"Journal of International Economic Law","DOI":"10.1093/jiel/2.1.49","ISSN":"1369-3034, 1464-3758","issue":"1","language":"en","page":"49-70","source":"Crossref","title":"The (limited) role of regulatory harmonization in international goods and services markets","volume":"2","author":[{"family":"Sykes","given":"A."}],"issued":{"date-parts":[["1999",3,1]]}}}],"schema":"https://github.com/citation-style-language/schema/raw/master/csl-citation.json"} </w:instrText>
      </w:r>
      <w:r w:rsidR="000C19BE">
        <w:rPr>
          <w:rFonts w:ascii="Century Schoolbook" w:hAnsi="Century Schoolbook"/>
        </w:rPr>
        <w:fldChar w:fldCharType="separate"/>
      </w:r>
      <w:r w:rsidR="00AC3971" w:rsidRPr="00AC3971">
        <w:rPr>
          <w:rFonts w:ascii="Century Schoolbook" w:hAnsi="Century Schoolbook"/>
        </w:rPr>
        <w:t>[37]</w:t>
      </w:r>
      <w:r w:rsidR="000C19BE">
        <w:rPr>
          <w:rFonts w:ascii="Century Schoolbook" w:hAnsi="Century Schoolbook"/>
        </w:rPr>
        <w:fldChar w:fldCharType="end"/>
      </w:r>
      <w:r w:rsidR="000C19BE">
        <w:rPr>
          <w:rFonts w:ascii="Century Schoolbook" w:hAnsi="Century Schoolbook"/>
        </w:rPr>
        <w:t xml:space="preserve"> but it is unlikely to be achievable in the area of research regulation, given the existing international regulatory divergences. </w:t>
      </w:r>
      <w:r w:rsidR="000C19BE">
        <w:rPr>
          <w:rFonts w:ascii="Century Schoolbook" w:hAnsi="Century Schoolbook"/>
        </w:rPr>
        <w:fldChar w:fldCharType="begin"/>
      </w:r>
      <w:r w:rsidR="00AC3971">
        <w:rPr>
          <w:rFonts w:ascii="Century Schoolbook" w:hAnsi="Century Schoolbook"/>
        </w:rPr>
        <w:instrText xml:space="preserve"> ADDIN ZOTERO_ITEM CSL_CITATION {"citationID":"upattVTa","properties":{"formattedCitation":"[38,39]","plainCitation":"[38,39]","noteIndex":0},"citationItems":[{"id":1861,"uris":["http://zotero.org/users/1170976/items/3AWG268C"],"uri":["http://zotero.org/users/1170976/items/3AWG268C"],"itemData":{"id":1861,"type":"article-journal","container-title":"Journal of Medical Ethics","DOI":"10.1136/jme.2009.035097","ISSN":"0306-6800","issue":"12","language":"en","page":"750-753","source":"Crossref","title":"A comparative analysis of biomedical research ethics regulation systems in Europe and Latin America with regard to the protection of human subjects","volume":"36","author":[{"family":"Lamas","given":"E."},{"family":"Ferrer","given":"M."},{"family":"Molina","given":"A."},{"family":"Salinas","given":"R."},{"family":"Hevia","given":"A."},{"family":"Bota","given":"A."},{"family":"Feinholz","given":"D."},{"family":"Fuchs","given":"M."},{"family":"Schramm","given":"R."},{"family":"Tealdi","given":"J.-C."},{"family":"Zorrilla","given":"S."}],"issued":{"date-parts":[["2010",12,1]]}}},{"id":1860,"uris":["http://zotero.org/users/1170976/items/9XW8DBIE"],"uri":["http://zotero.org/users/1170976/items/9XW8DBIE"],"itemData":{"id":1860,"type":"article-journal","container-title":"BMC Medical Ethics","DOI":"10.1186/1472-6939-13-34","ISSN":"1472-6939","issue":"1","language":"en","source":"Crossref","title":"Review of national research ethics regulations and guidelines in Middle Eastern Arab countries","URL":"https://bmcmedethics.biomedcentral.com/articles/10.1186/1472-6939-13-34","volume":"13","author":[{"family":"Alahmad","given":"Ghiath"},{"family":"Al-Jumah","given":"Mohammad"},{"family":"Dierickx","given":"Kris"}],"accessed":{"date-parts":[["2020",3,13]]},"issued":{"date-parts":[["2012",12]]}}}],"schema":"https://github.com/citation-style-language/schema/raw/master/csl-citation.json"} </w:instrText>
      </w:r>
      <w:r w:rsidR="000C19BE">
        <w:rPr>
          <w:rFonts w:ascii="Century Schoolbook" w:hAnsi="Century Schoolbook"/>
        </w:rPr>
        <w:fldChar w:fldCharType="separate"/>
      </w:r>
      <w:r w:rsidR="00AC3971" w:rsidRPr="00AC3971">
        <w:rPr>
          <w:rFonts w:ascii="Century Schoolbook" w:hAnsi="Century Schoolbook"/>
        </w:rPr>
        <w:t>[38,39]</w:t>
      </w:r>
      <w:r w:rsidR="000C19BE">
        <w:rPr>
          <w:rFonts w:ascii="Century Schoolbook" w:hAnsi="Century Schoolbook"/>
        </w:rPr>
        <w:fldChar w:fldCharType="end"/>
      </w:r>
      <w:r w:rsidR="000C19BE">
        <w:rPr>
          <w:rFonts w:ascii="Century Schoolbook" w:hAnsi="Century Schoolbook"/>
        </w:rPr>
        <w:t xml:space="preserve"> Instead, we are proposing a sort of conceptual harmonisation</w:t>
      </w:r>
      <w:r w:rsidR="00BB2631">
        <w:rPr>
          <w:rFonts w:ascii="Century Schoolbook" w:hAnsi="Century Schoolbook"/>
        </w:rPr>
        <w:t>, where the way the relevant concept is deployed in ethical discourse as well as IRB/REC practice is made more consistent and defensible.</w:t>
      </w:r>
      <w:r w:rsidR="00D17BA1" w:rsidRPr="00577B64">
        <w:rPr>
          <w:rStyle w:val="FootnoteReference"/>
        </w:rPr>
        <w:footnoteReference w:id="6"/>
      </w:r>
      <w:r w:rsidR="00BB2631">
        <w:rPr>
          <w:rFonts w:ascii="Century Schoolbook" w:hAnsi="Century Schoolbook"/>
        </w:rPr>
        <w:t xml:space="preserve"> </w:t>
      </w:r>
    </w:p>
    <w:p w14:paraId="7CD1001F" w14:textId="4589F848" w:rsidR="00D652A6" w:rsidRPr="00B324F6" w:rsidRDefault="00D652A6" w:rsidP="00B324F6">
      <w:pPr>
        <w:spacing w:after="0"/>
        <w:jc w:val="both"/>
        <w:rPr>
          <w:rFonts w:ascii="Century Schoolbook" w:hAnsi="Century Schoolbook"/>
        </w:rPr>
      </w:pPr>
    </w:p>
    <w:p w14:paraId="12080873" w14:textId="5D527A76" w:rsidR="00D652A6" w:rsidRPr="00B324F6" w:rsidRDefault="00426248" w:rsidP="00B324F6">
      <w:pPr>
        <w:spacing w:after="0"/>
        <w:jc w:val="both"/>
        <w:rPr>
          <w:rFonts w:ascii="Century Schoolbook" w:hAnsi="Century Schoolbook"/>
          <w:i/>
          <w:iCs/>
        </w:rPr>
      </w:pPr>
      <w:r>
        <w:rPr>
          <w:rFonts w:ascii="Century Schoolbook" w:hAnsi="Century Schoolbook"/>
          <w:i/>
          <w:iCs/>
        </w:rPr>
        <w:t>Conceptual differences between different terms</w:t>
      </w:r>
    </w:p>
    <w:p w14:paraId="3A6DA7F2" w14:textId="72F84336" w:rsidR="00D652A6" w:rsidRPr="00B324F6" w:rsidRDefault="00D652A6" w:rsidP="00B324F6">
      <w:pPr>
        <w:spacing w:after="0"/>
        <w:jc w:val="both"/>
        <w:rPr>
          <w:rFonts w:ascii="Century Schoolbook" w:hAnsi="Century Schoolbook"/>
          <w:lang w:val="en-US"/>
        </w:rPr>
      </w:pPr>
    </w:p>
    <w:p w14:paraId="39376CA6" w14:textId="1BCEAF2B" w:rsidR="00D652A6" w:rsidRPr="00B324F6" w:rsidRDefault="00D652A6" w:rsidP="00B324F6">
      <w:pPr>
        <w:spacing w:after="0"/>
        <w:jc w:val="both"/>
        <w:rPr>
          <w:rFonts w:ascii="Century Schoolbook" w:hAnsi="Century Schoolbook"/>
          <w:lang w:val="en-US"/>
        </w:rPr>
      </w:pPr>
      <w:r w:rsidRPr="00B324F6">
        <w:rPr>
          <w:rFonts w:ascii="Century Schoolbook" w:hAnsi="Century Schoolbook"/>
          <w:lang w:val="en-US"/>
        </w:rPr>
        <w:t xml:space="preserve">To demonstrate the potential </w:t>
      </w:r>
      <w:r w:rsidR="00C96703" w:rsidRPr="00B324F6">
        <w:rPr>
          <w:rFonts w:ascii="Century Schoolbook" w:hAnsi="Century Schoolbook"/>
          <w:lang w:val="en-US"/>
        </w:rPr>
        <w:t>for</w:t>
      </w:r>
      <w:r w:rsidRPr="00B324F6">
        <w:rPr>
          <w:rFonts w:ascii="Century Schoolbook" w:hAnsi="Century Schoolbook"/>
          <w:lang w:val="en-US"/>
        </w:rPr>
        <w:t xml:space="preserve"> confusion and uncertainty </w:t>
      </w:r>
      <w:r w:rsidR="00C96703" w:rsidRPr="00B324F6">
        <w:rPr>
          <w:rFonts w:ascii="Century Schoolbook" w:hAnsi="Century Schoolbook"/>
          <w:lang w:val="en-US"/>
        </w:rPr>
        <w:t>arising from synonymous use of the terms</w:t>
      </w:r>
      <w:r w:rsidR="005C779F" w:rsidRPr="00B324F6">
        <w:rPr>
          <w:rFonts w:ascii="Century Schoolbook" w:hAnsi="Century Schoolbook"/>
          <w:lang w:val="en-US"/>
        </w:rPr>
        <w:t>,</w:t>
      </w:r>
      <w:r w:rsidR="00C96703" w:rsidRPr="00B324F6">
        <w:rPr>
          <w:rFonts w:ascii="Century Schoolbook" w:hAnsi="Century Schoolbook"/>
          <w:lang w:val="en-US"/>
        </w:rPr>
        <w:t xml:space="preserve"> we take</w:t>
      </w:r>
      <w:r w:rsidR="00AA7920" w:rsidRPr="00B324F6">
        <w:rPr>
          <w:rFonts w:ascii="Century Schoolbook" w:hAnsi="Century Schoolbook"/>
          <w:lang w:val="en-US"/>
        </w:rPr>
        <w:t xml:space="preserve"> four</w:t>
      </w:r>
      <w:r w:rsidR="00C96703" w:rsidRPr="00B324F6">
        <w:rPr>
          <w:rFonts w:ascii="Century Schoolbook" w:hAnsi="Century Schoolbook"/>
          <w:lang w:val="en-US"/>
        </w:rPr>
        <w:t xml:space="preserve"> very similar and commonly used terms and explain their different lineages outside of research ethics. This demonstrates the various connotations and implications the different terms carry. </w:t>
      </w:r>
    </w:p>
    <w:p w14:paraId="2F20BF14" w14:textId="7F0F1167" w:rsidR="00D652A6" w:rsidRPr="00B324F6" w:rsidRDefault="00D652A6" w:rsidP="00B324F6">
      <w:pPr>
        <w:spacing w:after="0"/>
        <w:jc w:val="both"/>
        <w:rPr>
          <w:rFonts w:ascii="Century Schoolbook" w:hAnsi="Century Schoolbook"/>
          <w:lang w:val="en-US"/>
        </w:rPr>
      </w:pPr>
    </w:p>
    <w:p w14:paraId="1F9A7C56" w14:textId="4BC1DD59" w:rsidR="00D652A6" w:rsidRPr="00B324F6" w:rsidRDefault="00C96703" w:rsidP="00B324F6">
      <w:pPr>
        <w:spacing w:after="0"/>
        <w:jc w:val="both"/>
        <w:rPr>
          <w:rFonts w:ascii="Century Schoolbook" w:hAnsi="Century Schoolbook"/>
        </w:rPr>
      </w:pPr>
      <w:r w:rsidRPr="00B324F6">
        <w:rPr>
          <w:rFonts w:ascii="Century Schoolbook" w:hAnsi="Century Schoolbook"/>
          <w:b/>
        </w:rPr>
        <w:t>1</w:t>
      </w:r>
      <w:r w:rsidR="00D652A6" w:rsidRPr="00B324F6">
        <w:rPr>
          <w:rFonts w:ascii="Century Schoolbook" w:hAnsi="Century Schoolbook"/>
          <w:b/>
        </w:rPr>
        <w:t>. Public interest</w:t>
      </w:r>
      <w:r w:rsidR="00D652A6" w:rsidRPr="00B324F6">
        <w:rPr>
          <w:rFonts w:ascii="Century Schoolbook" w:hAnsi="Century Schoolbook"/>
        </w:rPr>
        <w:t xml:space="preserve"> Public interest is the broadest of the terms covered here.  Douglass argues that the switch from the language of </w:t>
      </w:r>
      <w:r w:rsidR="002909BA">
        <w:rPr>
          <w:rFonts w:ascii="Century Schoolbook" w:hAnsi="Century Schoolbook"/>
        </w:rPr>
        <w:t>‘</w:t>
      </w:r>
      <w:r w:rsidR="00D652A6" w:rsidRPr="00426248">
        <w:rPr>
          <w:rFonts w:ascii="Century Schoolbook" w:hAnsi="Century Schoolbook"/>
          <w:iCs/>
        </w:rPr>
        <w:t>common good</w:t>
      </w:r>
      <w:r w:rsidR="002909BA" w:rsidRPr="00426248">
        <w:rPr>
          <w:rFonts w:ascii="Century Schoolbook" w:hAnsi="Century Schoolbook"/>
          <w:iCs/>
        </w:rPr>
        <w:t>’</w:t>
      </w:r>
      <w:r w:rsidR="00D652A6" w:rsidRPr="002909BA">
        <w:rPr>
          <w:rFonts w:ascii="Century Schoolbook" w:hAnsi="Century Schoolbook"/>
          <w:iCs/>
        </w:rPr>
        <w:t xml:space="preserve"> to </w:t>
      </w:r>
      <w:r w:rsidR="002909BA" w:rsidRPr="00F95E53">
        <w:rPr>
          <w:rFonts w:ascii="Century Schoolbook" w:hAnsi="Century Schoolbook"/>
          <w:iCs/>
        </w:rPr>
        <w:t>‘</w:t>
      </w:r>
      <w:r w:rsidR="00D652A6" w:rsidRPr="00426248">
        <w:rPr>
          <w:rFonts w:ascii="Century Schoolbook" w:hAnsi="Century Schoolbook"/>
          <w:iCs/>
        </w:rPr>
        <w:t>public interest</w:t>
      </w:r>
      <w:r w:rsidR="002909BA" w:rsidRPr="00426248">
        <w:rPr>
          <w:rFonts w:ascii="Century Schoolbook" w:hAnsi="Century Schoolbook"/>
          <w:iCs/>
        </w:rPr>
        <w:t>’</w:t>
      </w:r>
      <w:r w:rsidR="00D652A6" w:rsidRPr="00B324F6">
        <w:rPr>
          <w:rFonts w:ascii="Century Schoolbook" w:hAnsi="Century Schoolbook"/>
        </w:rPr>
        <w:t xml:space="preserve"> occurred in mid-seventeenth century England as part of a liberal and democratic revolt against the overbearing power and demands of royalty.</w:t>
      </w:r>
      <w:r w:rsidR="00643123" w:rsidRPr="00B324F6">
        <w:rPr>
          <w:rFonts w:ascii="Century Schoolbook" w:hAnsi="Century Schoolbook"/>
        </w:rPr>
        <w:fldChar w:fldCharType="begin"/>
      </w:r>
      <w:r w:rsidR="00AC3971">
        <w:rPr>
          <w:rFonts w:ascii="Century Schoolbook" w:hAnsi="Century Schoolbook"/>
        </w:rPr>
        <w:instrText xml:space="preserve"> ADDIN ZOTERO_ITEM CSL_CITATION {"citationID":"tuhWCr4W","properties":{"formattedCitation":"[42]","plainCitation":"[42]","noteIndex":0},"citationItems":[{"id":1459,"uris":["http://zotero.org/users/1170976/items/XX8JH993"],"uri":["http://zotero.org/users/1170976/items/XX8JH993"],"itemData":{"id":1459,"type":"article-journal","container-title":"Political Theory","DOI":"10.1177/009059178000800108","ISSN":"0090-5917, 1552-7476","issue":"1","language":"en","page":"103-117","source":"Crossref","title":"The Common Good and the Public Interest","volume":"8","author":[{"family":"Douglass","given":"Bruce"}],"issued":{"date-parts":[["1980",2]]}}}],"schema":"https://github.com/citation-style-language/schema/raw/master/csl-citation.json"} </w:instrText>
      </w:r>
      <w:r w:rsidR="00643123" w:rsidRPr="00B324F6">
        <w:rPr>
          <w:rFonts w:ascii="Century Schoolbook" w:hAnsi="Century Schoolbook"/>
        </w:rPr>
        <w:fldChar w:fldCharType="separate"/>
      </w:r>
      <w:r w:rsidR="00AC3971" w:rsidRPr="00AC3971">
        <w:rPr>
          <w:rFonts w:ascii="Calibri" w:hAnsi="Calibri" w:cs="Calibri"/>
        </w:rPr>
        <w:t>[42]</w:t>
      </w:r>
      <w:r w:rsidR="00643123" w:rsidRPr="00B324F6">
        <w:rPr>
          <w:rFonts w:ascii="Century Schoolbook" w:hAnsi="Century Schoolbook"/>
        </w:rPr>
        <w:fldChar w:fldCharType="end"/>
      </w:r>
      <w:r w:rsidR="00D652A6" w:rsidRPr="00B324F6">
        <w:rPr>
          <w:rFonts w:ascii="Century Schoolbook" w:hAnsi="Century Schoolbook"/>
        </w:rPr>
        <w:t xml:space="preserve"> In modern usage, public interest refers to important freedoms and securities often </w:t>
      </w:r>
      <w:r w:rsidR="00832A5C" w:rsidRPr="00B324F6">
        <w:rPr>
          <w:rFonts w:ascii="Century Schoolbook" w:hAnsi="Century Schoolbook"/>
        </w:rPr>
        <w:t xml:space="preserve">called </w:t>
      </w:r>
      <w:r w:rsidR="00D652A6" w:rsidRPr="00B324F6">
        <w:rPr>
          <w:rFonts w:ascii="Century Schoolbook" w:hAnsi="Century Schoolbook"/>
        </w:rPr>
        <w:t xml:space="preserve">common goods: </w:t>
      </w:r>
      <w:r w:rsidR="007F7E83" w:rsidRPr="00B324F6">
        <w:rPr>
          <w:rFonts w:ascii="Century Schoolbook" w:hAnsi="Century Schoolbook"/>
        </w:rPr>
        <w:t xml:space="preserve">civic liberties, </w:t>
      </w:r>
      <w:r w:rsidR="00D652A6" w:rsidRPr="00B324F6">
        <w:rPr>
          <w:rFonts w:ascii="Century Schoolbook" w:hAnsi="Century Schoolbook"/>
        </w:rPr>
        <w:t xml:space="preserve">freedom of expression, privacy, proper administration of government, justice, national security, public health and safety and economic wellbeing. </w:t>
      </w:r>
      <w:r w:rsidR="007F7E83" w:rsidRPr="00B324F6">
        <w:rPr>
          <w:rFonts w:ascii="Century Schoolbook" w:hAnsi="Century Schoolbook"/>
        </w:rPr>
        <w:t xml:space="preserve">Common goods </w:t>
      </w:r>
      <w:r w:rsidR="008F4D13" w:rsidRPr="00B324F6">
        <w:rPr>
          <w:rFonts w:ascii="Century Schoolbook" w:hAnsi="Century Schoolbook"/>
        </w:rPr>
        <w:t>consist in</w:t>
      </w:r>
      <w:r w:rsidR="007F7E83" w:rsidRPr="00B324F6">
        <w:rPr>
          <w:rFonts w:ascii="Century Schoolbook" w:hAnsi="Century Schoolbook"/>
          <w:shd w:val="clear" w:color="auto" w:fill="FFFFFF"/>
        </w:rPr>
        <w:t xml:space="preserve"> </w:t>
      </w:r>
      <w:r w:rsidR="00CA7709" w:rsidRPr="00B324F6">
        <w:rPr>
          <w:rFonts w:ascii="Century Schoolbook" w:hAnsi="Century Schoolbook"/>
          <w:shd w:val="clear" w:color="auto" w:fill="FFFFFF"/>
        </w:rPr>
        <w:t>“</w:t>
      </w:r>
      <w:r w:rsidR="007F7E83" w:rsidRPr="00B324F6">
        <w:rPr>
          <w:rFonts w:ascii="Century Schoolbook" w:hAnsi="Century Schoolbook"/>
          <w:shd w:val="clear" w:color="auto" w:fill="FFFFFF"/>
        </w:rPr>
        <w:t>the interests that are the object of the civic relationship</w:t>
      </w:r>
      <w:r w:rsidR="007F7E83" w:rsidRPr="00B324F6">
        <w:rPr>
          <w:rFonts w:ascii="Century Schoolbook" w:hAnsi="Century Schoolbook"/>
          <w:color w:val="1A1A1A"/>
          <w:shd w:val="clear" w:color="auto" w:fill="FFFFFF"/>
        </w:rPr>
        <w:t>”.</w:t>
      </w:r>
      <w:r w:rsidR="00667907" w:rsidRPr="00B324F6">
        <w:rPr>
          <w:rFonts w:ascii="Century Schoolbook" w:hAnsi="Century Schoolbook"/>
          <w:color w:val="1A1A1A"/>
          <w:shd w:val="clear" w:color="auto" w:fill="FFFFFF"/>
        </w:rPr>
        <w:t xml:space="preserve"> </w:t>
      </w:r>
      <w:r w:rsidR="00667907" w:rsidRPr="00B324F6">
        <w:rPr>
          <w:rFonts w:ascii="Century Schoolbook" w:hAnsi="Century Schoolbook"/>
          <w:color w:val="1A1A1A"/>
          <w:shd w:val="clear" w:color="auto" w:fill="FFFFFF"/>
        </w:rPr>
        <w:fldChar w:fldCharType="begin"/>
      </w:r>
      <w:r w:rsidR="00AC3971">
        <w:rPr>
          <w:rFonts w:ascii="Century Schoolbook" w:hAnsi="Century Schoolbook"/>
          <w:color w:val="1A1A1A"/>
          <w:shd w:val="clear" w:color="auto" w:fill="FFFFFF"/>
        </w:rPr>
        <w:instrText xml:space="preserve"> ADDIN ZOTERO_ITEM CSL_CITATION {"citationID":"3tQWKGG8","properties":{"formattedCitation":"[43]","plainCitation":"[43]","noteIndex":0},"citationItems":[{"id":1821,"uris":["http://zotero.org/users/1170976/items/QZLFH2ZQ"],"uri":["http://zotero.org/users/1170976/items/QZLFH2ZQ"],"itemData":{"id":1821,"type":"chapter","container-title":"The Stanford Encyclopedia of Philosophy","title":"The Common Good","URL":"https://plato.stanford.edu/archives/spr2018/entries/common-good","author":[{"family":"Hussain","given":"Waheed"}],"editor":[{"family":"Zalta","given":"Edward N."}],"issued":{"date-parts":[["2018"]],"season":"Spring"}}}],"schema":"https://github.com/citation-style-language/schema/raw/master/csl-citation.json"} </w:instrText>
      </w:r>
      <w:r w:rsidR="00667907" w:rsidRPr="00B324F6">
        <w:rPr>
          <w:rFonts w:ascii="Century Schoolbook" w:hAnsi="Century Schoolbook"/>
          <w:color w:val="1A1A1A"/>
          <w:shd w:val="clear" w:color="auto" w:fill="FFFFFF"/>
        </w:rPr>
        <w:fldChar w:fldCharType="separate"/>
      </w:r>
      <w:r w:rsidR="00AC3971" w:rsidRPr="00AC3971">
        <w:rPr>
          <w:rFonts w:ascii="Calibri" w:hAnsi="Calibri" w:cs="Calibri"/>
        </w:rPr>
        <w:t>[43]</w:t>
      </w:r>
      <w:r w:rsidR="00667907" w:rsidRPr="00B324F6">
        <w:rPr>
          <w:rFonts w:ascii="Century Schoolbook" w:hAnsi="Century Schoolbook"/>
          <w:color w:val="1A1A1A"/>
          <w:shd w:val="clear" w:color="auto" w:fill="FFFFFF"/>
        </w:rPr>
        <w:fldChar w:fldCharType="end"/>
      </w:r>
      <w:r w:rsidR="007F7E83" w:rsidRPr="00B324F6">
        <w:rPr>
          <w:rFonts w:ascii="Century Schoolbook" w:hAnsi="Century Schoolbook"/>
          <w:color w:val="1A1A1A"/>
          <w:shd w:val="clear" w:color="auto" w:fill="FFFFFF"/>
        </w:rPr>
        <w:t xml:space="preserve"> </w:t>
      </w:r>
      <w:r w:rsidR="00CA7709" w:rsidRPr="00B324F6">
        <w:rPr>
          <w:rFonts w:ascii="Century Schoolbook" w:hAnsi="Century Schoolbook"/>
          <w:color w:val="1A1A1A"/>
          <w:shd w:val="clear" w:color="auto" w:fill="FFFFFF"/>
        </w:rPr>
        <w:t xml:space="preserve"> Determining whether a specific action </w:t>
      </w:r>
      <w:r w:rsidR="00CA7709" w:rsidRPr="00B324F6">
        <w:rPr>
          <w:rFonts w:ascii="Century Schoolbook" w:hAnsi="Century Schoolbook"/>
          <w:color w:val="1A1A1A"/>
          <w:shd w:val="clear" w:color="auto" w:fill="FFFFFF"/>
        </w:rPr>
        <w:lastRenderedPageBreak/>
        <w:t xml:space="preserve">or policy is </w:t>
      </w:r>
      <w:r w:rsidR="002909BA">
        <w:rPr>
          <w:rFonts w:ascii="Century Schoolbook" w:hAnsi="Century Schoolbook"/>
          <w:color w:val="1A1A1A"/>
          <w:shd w:val="clear" w:color="auto" w:fill="FFFFFF"/>
        </w:rPr>
        <w:t>‘</w:t>
      </w:r>
      <w:r w:rsidR="00CA7709" w:rsidRPr="00B324F6">
        <w:rPr>
          <w:rFonts w:ascii="Century Schoolbook" w:hAnsi="Century Schoolbook"/>
          <w:color w:val="1A1A1A"/>
          <w:shd w:val="clear" w:color="auto" w:fill="FFFFFF"/>
        </w:rPr>
        <w:t>in the public interest</w:t>
      </w:r>
      <w:r w:rsidR="002909BA">
        <w:rPr>
          <w:rFonts w:ascii="Century Schoolbook" w:hAnsi="Century Schoolbook"/>
          <w:color w:val="1A1A1A"/>
          <w:shd w:val="clear" w:color="auto" w:fill="FFFFFF"/>
        </w:rPr>
        <w:t>’</w:t>
      </w:r>
      <w:r w:rsidR="00CA7709" w:rsidRPr="00B324F6">
        <w:rPr>
          <w:rFonts w:ascii="Century Schoolbook" w:hAnsi="Century Schoolbook"/>
          <w:color w:val="1A1A1A"/>
          <w:shd w:val="clear" w:color="auto" w:fill="FFFFFF"/>
        </w:rPr>
        <w:t xml:space="preserve"> will require consideration of the trade-offs between competing common goods – for example freedom of speech may threaten national security in some cases.  </w:t>
      </w:r>
      <w:r w:rsidR="00D652A6" w:rsidRPr="00B324F6">
        <w:rPr>
          <w:rFonts w:ascii="Century Schoolbook" w:hAnsi="Century Schoolbook"/>
        </w:rPr>
        <w:t xml:space="preserve">We tend to talk of ‘protecting’ the public interest, indicating that </w:t>
      </w:r>
      <w:r w:rsidR="003C02D8" w:rsidRPr="00B324F6">
        <w:rPr>
          <w:rFonts w:ascii="Century Schoolbook" w:hAnsi="Century Schoolbook"/>
        </w:rPr>
        <w:t xml:space="preserve">many </w:t>
      </w:r>
      <w:r w:rsidR="00832A5C" w:rsidRPr="00B324F6">
        <w:rPr>
          <w:rFonts w:ascii="Century Schoolbook" w:hAnsi="Century Schoolbook"/>
        </w:rPr>
        <w:t>common goods</w:t>
      </w:r>
      <w:r w:rsidR="00D652A6" w:rsidRPr="00B324F6">
        <w:rPr>
          <w:rFonts w:ascii="Century Schoolbook" w:hAnsi="Century Schoolbook"/>
        </w:rPr>
        <w:t xml:space="preserve"> are things that already exist within the community. </w:t>
      </w:r>
    </w:p>
    <w:p w14:paraId="04A0C33E" w14:textId="77777777" w:rsidR="00D652A6" w:rsidRPr="00B324F6" w:rsidRDefault="00D652A6" w:rsidP="00B324F6">
      <w:pPr>
        <w:spacing w:after="0"/>
        <w:jc w:val="both"/>
        <w:rPr>
          <w:rFonts w:ascii="Century Schoolbook" w:hAnsi="Century Schoolbook"/>
        </w:rPr>
      </w:pPr>
    </w:p>
    <w:p w14:paraId="266EC664" w14:textId="21516E61" w:rsidR="00D652A6" w:rsidRPr="00B324F6" w:rsidRDefault="00C96703" w:rsidP="00B324F6">
      <w:pPr>
        <w:spacing w:after="0"/>
        <w:jc w:val="both"/>
        <w:rPr>
          <w:rFonts w:ascii="Century Schoolbook" w:hAnsi="Century Schoolbook"/>
        </w:rPr>
      </w:pPr>
      <w:r w:rsidRPr="00B324F6">
        <w:rPr>
          <w:rFonts w:ascii="Century Schoolbook" w:hAnsi="Century Schoolbook"/>
          <w:b/>
        </w:rPr>
        <w:t>2</w:t>
      </w:r>
      <w:r w:rsidR="00D652A6" w:rsidRPr="00B324F6">
        <w:rPr>
          <w:rFonts w:ascii="Century Schoolbook" w:hAnsi="Century Schoolbook"/>
          <w:b/>
        </w:rPr>
        <w:t>. Public benefit</w:t>
      </w:r>
      <w:r w:rsidR="00D652A6" w:rsidRPr="00B324F6">
        <w:rPr>
          <w:rFonts w:ascii="Century Schoolbook" w:hAnsi="Century Schoolbook"/>
        </w:rPr>
        <w:t xml:space="preserve"> </w:t>
      </w:r>
      <w:proofErr w:type="gramStart"/>
      <w:r w:rsidR="00D652A6" w:rsidRPr="00B324F6">
        <w:rPr>
          <w:rFonts w:ascii="Century Schoolbook" w:hAnsi="Century Schoolbook"/>
        </w:rPr>
        <w:t>By</w:t>
      </w:r>
      <w:proofErr w:type="gramEnd"/>
      <w:r w:rsidR="00D652A6" w:rsidRPr="00B324F6">
        <w:rPr>
          <w:rFonts w:ascii="Century Schoolbook" w:hAnsi="Century Schoolbook"/>
        </w:rPr>
        <w:t xml:space="preserve"> contrast we tend to talk about ‘producing’ public benefit, suggesting that this is the additional benefit produced by research that would enhance the current knowledge or health status of a community.  Public benefit might refer narrowly to health status or to wellbeing more general</w:t>
      </w:r>
      <w:r w:rsidR="00C21218" w:rsidRPr="00B324F6">
        <w:rPr>
          <w:rFonts w:ascii="Century Schoolbook" w:hAnsi="Century Schoolbook"/>
        </w:rPr>
        <w:t>ly</w:t>
      </w:r>
      <w:r w:rsidR="00D652A6" w:rsidRPr="00B324F6">
        <w:rPr>
          <w:rFonts w:ascii="Century Schoolbook" w:hAnsi="Century Schoolbook"/>
        </w:rPr>
        <w:t>. Net public benefit is typically assessed by weighing anticipated research harms against expected benefits. Laurie and Stevens define public benefit as one component of the public interest in data use: “</w:t>
      </w:r>
      <w:r w:rsidR="00D652A6" w:rsidRPr="00B324F6">
        <w:rPr>
          <w:rFonts w:ascii="Century Schoolbook" w:hAnsi="Century Schoolbook"/>
          <w:lang w:val="en-US"/>
        </w:rPr>
        <w:t>the public interest lies in both the robust protection of individual privacy and uses of data that stand to result in wider public benefit.”</w:t>
      </w:r>
      <w:r w:rsidR="00643123" w:rsidRPr="00B324F6">
        <w:rPr>
          <w:rFonts w:ascii="Century Schoolbook" w:hAnsi="Century Schoolbook"/>
          <w:lang w:val="en-US"/>
        </w:rPr>
        <w:fldChar w:fldCharType="begin"/>
      </w:r>
      <w:r w:rsidR="00AC3971">
        <w:rPr>
          <w:rFonts w:ascii="Century Schoolbook" w:hAnsi="Century Schoolbook"/>
          <w:lang w:val="en-US"/>
        </w:rPr>
        <w:instrText xml:space="preserve"> ADDIN ZOTERO_ITEM CSL_CITATION {"citationID":"hAdSQoh1","properties":{"formattedCitation":"[44]","plainCitation":"[44]","noteIndex":0},"citationItems":[{"id":1460,"uris":["http://zotero.org/users/1170976/items/V8FZ4N77"],"uri":["http://zotero.org/users/1170976/items/V8FZ4N77"],"itemData":{"id":1460,"type":"article-journal","container-title":"Journal of Law and Society","DOI":"10.1111/j.1467-6478.2016.00759.x","ISSN":"0263323X","issue":"3","language":"en","page":"360-392","source":"Crossref","title":"Developing a Public Interest Mandate for the Governance and Use of Administrative Data in the United Kingdom","volume":"43","author":[{"family":"Laurie","given":"Graeme"},{"family":"Stevens","given":"Leslie"}],"issued":{"date-parts":[["2016",9]]}}}],"schema":"https://github.com/citation-style-language/schema/raw/master/csl-citation.json"} </w:instrText>
      </w:r>
      <w:r w:rsidR="00643123" w:rsidRPr="00B324F6">
        <w:rPr>
          <w:rFonts w:ascii="Century Schoolbook" w:hAnsi="Century Schoolbook"/>
          <w:lang w:val="en-US"/>
        </w:rPr>
        <w:fldChar w:fldCharType="separate"/>
      </w:r>
      <w:r w:rsidR="00AC3971" w:rsidRPr="00AC3971">
        <w:rPr>
          <w:rFonts w:ascii="Calibri" w:hAnsi="Calibri" w:cs="Calibri"/>
        </w:rPr>
        <w:t>[44]</w:t>
      </w:r>
      <w:r w:rsidR="00643123" w:rsidRPr="00B324F6">
        <w:rPr>
          <w:rFonts w:ascii="Century Schoolbook" w:hAnsi="Century Schoolbook"/>
          <w:lang w:val="en-US"/>
        </w:rPr>
        <w:fldChar w:fldCharType="end"/>
      </w:r>
      <w:r w:rsidR="00D652A6" w:rsidRPr="00B324F6">
        <w:rPr>
          <w:rFonts w:ascii="Century Schoolbook" w:hAnsi="Century Schoolbook"/>
          <w:lang w:val="en-US"/>
        </w:rPr>
        <w:t xml:space="preserve"> </w:t>
      </w:r>
      <w:r w:rsidR="00832A5C" w:rsidRPr="00B324F6">
        <w:rPr>
          <w:rFonts w:ascii="Century Schoolbook" w:hAnsi="Century Schoolbook"/>
          <w:lang w:val="en-US"/>
        </w:rPr>
        <w:t>Public benefit is thus a narrower sub-</w:t>
      </w:r>
      <w:r w:rsidR="000159E7" w:rsidRPr="00B324F6">
        <w:rPr>
          <w:rFonts w:ascii="Century Schoolbook" w:hAnsi="Century Schoolbook"/>
          <w:lang w:val="en-US"/>
        </w:rPr>
        <w:t>component</w:t>
      </w:r>
      <w:r w:rsidR="00832A5C" w:rsidRPr="00B324F6">
        <w:rPr>
          <w:rFonts w:ascii="Century Schoolbook" w:hAnsi="Century Schoolbook"/>
          <w:lang w:val="en-US"/>
        </w:rPr>
        <w:t xml:space="preserve"> of public interest. </w:t>
      </w:r>
    </w:p>
    <w:p w14:paraId="02BDABE5" w14:textId="77777777" w:rsidR="00D652A6" w:rsidRPr="00B324F6" w:rsidRDefault="00D652A6" w:rsidP="00B324F6">
      <w:pPr>
        <w:spacing w:after="0"/>
        <w:jc w:val="both"/>
        <w:rPr>
          <w:rFonts w:ascii="Century Schoolbook" w:hAnsi="Century Schoolbook"/>
        </w:rPr>
      </w:pPr>
    </w:p>
    <w:p w14:paraId="41782132" w14:textId="3D012E64" w:rsidR="00D652A6" w:rsidRPr="00B324F6" w:rsidRDefault="00C96703" w:rsidP="00B324F6">
      <w:pPr>
        <w:spacing w:after="0"/>
        <w:jc w:val="both"/>
        <w:rPr>
          <w:rFonts w:ascii="Century Schoolbook" w:hAnsi="Century Schoolbook"/>
          <w:lang w:val="en-US"/>
        </w:rPr>
      </w:pPr>
      <w:r w:rsidRPr="00B324F6">
        <w:rPr>
          <w:rFonts w:ascii="Century Schoolbook" w:hAnsi="Century Schoolbook"/>
          <w:b/>
        </w:rPr>
        <w:t>3</w:t>
      </w:r>
      <w:r w:rsidR="00D652A6" w:rsidRPr="00B324F6">
        <w:rPr>
          <w:rFonts w:ascii="Century Schoolbook" w:hAnsi="Century Schoolbook"/>
          <w:b/>
        </w:rPr>
        <w:t>. Public good</w:t>
      </w:r>
      <w:r w:rsidR="00D652A6" w:rsidRPr="00B324F6">
        <w:rPr>
          <w:rFonts w:ascii="Century Schoolbook" w:hAnsi="Century Schoolbook"/>
        </w:rPr>
        <w:t xml:space="preserve"> </w:t>
      </w:r>
      <w:proofErr w:type="gramStart"/>
      <w:r w:rsidRPr="00B324F6">
        <w:rPr>
          <w:rFonts w:ascii="Century Schoolbook" w:hAnsi="Century Schoolbook"/>
        </w:rPr>
        <w:t>The</w:t>
      </w:r>
      <w:proofErr w:type="gramEnd"/>
      <w:r w:rsidR="00D652A6" w:rsidRPr="00B324F6">
        <w:rPr>
          <w:rFonts w:ascii="Century Schoolbook" w:hAnsi="Century Schoolbook"/>
        </w:rPr>
        <w:t xml:space="preserve"> term public good may invoke (intentionally or unintentionally) the notion of economic public goods. In economic theory a public good is one that is both </w:t>
      </w:r>
      <w:r w:rsidR="00D652A6" w:rsidRPr="00B324F6">
        <w:rPr>
          <w:rFonts w:ascii="Century Schoolbook" w:hAnsi="Century Schoolbook"/>
          <w:lang w:val="en-US"/>
        </w:rPr>
        <w:t>non-rivalrous (</w:t>
      </w:r>
      <w:r w:rsidR="00D652A6" w:rsidRPr="00B324F6">
        <w:rPr>
          <w:rFonts w:ascii="Century Schoolbook" w:hAnsi="Century Schoolbook"/>
        </w:rPr>
        <w:t>one person’s use of the good does not diminish the amount available for other users)</w:t>
      </w:r>
      <w:r w:rsidR="00D652A6" w:rsidRPr="00B324F6">
        <w:rPr>
          <w:rFonts w:ascii="Century Schoolbook" w:hAnsi="Century Schoolbook"/>
          <w:lang w:val="en-US"/>
        </w:rPr>
        <w:t xml:space="preserve"> and non-excludable (it is </w:t>
      </w:r>
      <w:r w:rsidR="00D652A6" w:rsidRPr="00B324F6">
        <w:rPr>
          <w:rFonts w:ascii="Century Schoolbook" w:hAnsi="Century Schoolbook"/>
        </w:rPr>
        <w:t>impracticable for one user to exclude others from using the good).</w:t>
      </w:r>
      <w:r w:rsidR="00D652A6" w:rsidRPr="00B324F6">
        <w:rPr>
          <w:rFonts w:ascii="Century Schoolbook" w:hAnsi="Century Schoolbook"/>
          <w:lang w:val="en-US"/>
        </w:rPr>
        <w:t xml:space="preserve"> </w:t>
      </w:r>
      <w:r w:rsidR="00832A5C" w:rsidRPr="00B324F6">
        <w:rPr>
          <w:rFonts w:ascii="Century Schoolbook" w:hAnsi="Century Schoolbook"/>
        </w:rPr>
        <w:t xml:space="preserve">A public good is thus one </w:t>
      </w:r>
      <w:r w:rsidR="001C52B0" w:rsidRPr="00B324F6">
        <w:rPr>
          <w:rFonts w:ascii="Century Schoolbook" w:hAnsi="Century Schoolbook"/>
        </w:rPr>
        <w:t xml:space="preserve">specific </w:t>
      </w:r>
      <w:r w:rsidR="00832A5C" w:rsidRPr="00B324F6">
        <w:rPr>
          <w:rFonts w:ascii="Century Schoolbook" w:hAnsi="Century Schoolbook"/>
        </w:rPr>
        <w:t xml:space="preserve">type of common good.  </w:t>
      </w:r>
      <w:r w:rsidR="00C21218" w:rsidRPr="00B324F6">
        <w:rPr>
          <w:rFonts w:ascii="Century Schoolbook" w:hAnsi="Century Schoolbook"/>
        </w:rPr>
        <w:t xml:space="preserve">The </w:t>
      </w:r>
      <w:r w:rsidR="00C21218" w:rsidRPr="00B324F6">
        <w:rPr>
          <w:rFonts w:ascii="Century Schoolbook" w:hAnsi="Century Schoolbook"/>
          <w:lang w:val="en-US"/>
        </w:rPr>
        <w:t>Nuremberg Code (arguably the first global research ethics guideline) argues that research should “yield fruitful results for the good of society”.</w:t>
      </w:r>
      <w:r w:rsidR="00667907" w:rsidRPr="00B324F6">
        <w:rPr>
          <w:rFonts w:ascii="Century Schoolbook" w:hAnsi="Century Schoolbook"/>
          <w:lang w:val="en-US"/>
        </w:rPr>
        <w:t xml:space="preserve"> </w:t>
      </w:r>
      <w:r w:rsidR="00667907" w:rsidRPr="00B324F6">
        <w:rPr>
          <w:rFonts w:ascii="Century Schoolbook" w:hAnsi="Century Schoolbook"/>
          <w:lang w:val="en-US"/>
        </w:rPr>
        <w:fldChar w:fldCharType="begin"/>
      </w:r>
      <w:r w:rsidR="00AC3971">
        <w:rPr>
          <w:rFonts w:ascii="Century Schoolbook" w:hAnsi="Century Schoolbook"/>
          <w:lang w:val="en-US"/>
        </w:rPr>
        <w:instrText xml:space="preserve"> ADDIN ZOTERO_ITEM CSL_CITATION {"citationID":"dLzfbhSe","properties":{"formattedCitation":"[45]","plainCitation":"[45]","noteIndex":0},"citationItems":[{"id":19,"uris":["http://zotero.org/users/1170976/items/2F9AFEHJ"],"uri":["http://zotero.org/users/1170976/items/2F9AFEHJ"],"itemData":{"id":19,"type":"chapter","container-title":"Trials of War Criminals Before the Nuremberg Military Tribunals. Vol. 2","event-place":"Washington, DC","publisher":"US Government Printing Office","publisher-place":"Washington, DC","title":"The Nuremberg Code","URL":"http://ohsr.od.nih.gov/ guidelines/nuremberg.html","issued":{"date-parts":[["1949"]]}}}],"schema":"https://github.com/citation-style-language/schema/raw/master/csl-citation.json"} </w:instrText>
      </w:r>
      <w:r w:rsidR="00667907" w:rsidRPr="00B324F6">
        <w:rPr>
          <w:rFonts w:ascii="Century Schoolbook" w:hAnsi="Century Schoolbook"/>
          <w:lang w:val="en-US"/>
        </w:rPr>
        <w:fldChar w:fldCharType="separate"/>
      </w:r>
      <w:r w:rsidR="00AC3971" w:rsidRPr="00AC3971">
        <w:rPr>
          <w:rFonts w:ascii="Calibri" w:hAnsi="Calibri" w:cs="Calibri"/>
        </w:rPr>
        <w:t>[45]</w:t>
      </w:r>
      <w:r w:rsidR="00667907" w:rsidRPr="00B324F6">
        <w:rPr>
          <w:rFonts w:ascii="Century Schoolbook" w:hAnsi="Century Schoolbook"/>
          <w:lang w:val="en-US"/>
        </w:rPr>
        <w:fldChar w:fldCharType="end"/>
      </w:r>
      <w:r w:rsidR="00C21218" w:rsidRPr="00B324F6">
        <w:rPr>
          <w:rFonts w:ascii="Century Schoolbook" w:hAnsi="Century Schoolbook"/>
          <w:lang w:val="en-US"/>
        </w:rPr>
        <w:t xml:space="preserve">  </w:t>
      </w:r>
      <w:r w:rsidR="00D652A6" w:rsidRPr="00B324F6">
        <w:rPr>
          <w:rFonts w:ascii="Century Schoolbook" w:hAnsi="Century Schoolbook"/>
        </w:rPr>
        <w:t>Legal scholar Jonathon Montgomery as argued that “The human genome can be seen as an example of …a public good.”</w:t>
      </w:r>
      <w:r w:rsidR="00643123" w:rsidRPr="00B324F6">
        <w:rPr>
          <w:rFonts w:ascii="Century Schoolbook" w:hAnsi="Century Schoolbook"/>
        </w:rPr>
        <w:fldChar w:fldCharType="begin"/>
      </w:r>
      <w:r w:rsidR="00AC3971">
        <w:rPr>
          <w:rFonts w:ascii="Century Schoolbook" w:hAnsi="Century Schoolbook"/>
        </w:rPr>
        <w:instrText xml:space="preserve"> ADDIN ZOTERO_ITEM CSL_CITATION {"citationID":"8mdNV721","properties":{"formattedCitation":"[46]","plainCitation":"[46]","noteIndex":0},"citationItems":[{"id":1461,"uris":["http://zotero.org/users/1170976/items/MNX34E69"],"uri":["http://zotero.org/users/1170976/items/MNX34E69"],"itemData":{"id":1461,"type":"article-journal","container-title":"The New Bioethics","DOI":"10.1080/20502877.2017.1314893","ISSN":"2050-2877, 2050-2885","issue":"1","language":"en","page":"81-86","source":"Crossref","title":"Data Sharing and the Idea of Ownership","volume":"23","author":[{"family":"Montgomery","given":"Jonathan"}],"issued":{"date-parts":[["2017",1,2]]}}}],"schema":"https://github.com/citation-style-language/schema/raw/master/csl-citation.json"} </w:instrText>
      </w:r>
      <w:r w:rsidR="00643123" w:rsidRPr="00B324F6">
        <w:rPr>
          <w:rFonts w:ascii="Century Schoolbook" w:hAnsi="Century Schoolbook"/>
        </w:rPr>
        <w:fldChar w:fldCharType="separate"/>
      </w:r>
      <w:r w:rsidR="00AC3971" w:rsidRPr="00AC3971">
        <w:rPr>
          <w:rFonts w:ascii="Calibri" w:hAnsi="Calibri" w:cs="Calibri"/>
        </w:rPr>
        <w:t>[46]</w:t>
      </w:r>
      <w:r w:rsidR="00643123" w:rsidRPr="00B324F6">
        <w:rPr>
          <w:rFonts w:ascii="Century Schoolbook" w:hAnsi="Century Schoolbook"/>
        </w:rPr>
        <w:fldChar w:fldCharType="end"/>
      </w:r>
      <w:r w:rsidR="00832A5C" w:rsidRPr="00B324F6">
        <w:rPr>
          <w:rFonts w:ascii="Century Schoolbook" w:hAnsi="Century Schoolbook"/>
        </w:rPr>
        <w:t xml:space="preserve"> </w:t>
      </w:r>
    </w:p>
    <w:p w14:paraId="38DB4F64" w14:textId="0F430E44" w:rsidR="00735CE8" w:rsidRPr="00B324F6" w:rsidRDefault="00735CE8" w:rsidP="00B324F6">
      <w:pPr>
        <w:spacing w:after="0"/>
        <w:jc w:val="both"/>
        <w:rPr>
          <w:rFonts w:ascii="Century Schoolbook" w:hAnsi="Century Schoolbook"/>
          <w:lang w:val="en-US"/>
        </w:rPr>
      </w:pPr>
    </w:p>
    <w:p w14:paraId="0B7A53D1" w14:textId="0255AB64" w:rsidR="00AA7920" w:rsidRPr="00B324F6" w:rsidRDefault="00441D6F" w:rsidP="00B324F6">
      <w:pPr>
        <w:spacing w:after="0"/>
        <w:jc w:val="both"/>
        <w:rPr>
          <w:rFonts w:ascii="Century Schoolbook" w:hAnsi="Century Schoolbook"/>
          <w:b/>
        </w:rPr>
      </w:pPr>
      <w:r w:rsidRPr="00B324F6">
        <w:rPr>
          <w:rFonts w:ascii="Century Schoolbook" w:hAnsi="Century Schoolbook"/>
          <w:b/>
          <w:lang w:val="en-US"/>
        </w:rPr>
        <w:t xml:space="preserve">4. </w:t>
      </w:r>
      <w:r w:rsidR="00AA7920" w:rsidRPr="00B324F6">
        <w:rPr>
          <w:rFonts w:ascii="Century Schoolbook" w:hAnsi="Century Schoolbook"/>
          <w:b/>
        </w:rPr>
        <w:t xml:space="preserve">Social value </w:t>
      </w:r>
    </w:p>
    <w:p w14:paraId="7821B982" w14:textId="4F7AC85D" w:rsidR="00AA7920" w:rsidRPr="00B324F6" w:rsidRDefault="00AA7920" w:rsidP="00B324F6">
      <w:pPr>
        <w:spacing w:after="0"/>
        <w:jc w:val="both"/>
        <w:rPr>
          <w:rFonts w:ascii="Century Schoolbook" w:hAnsi="Century Schoolbook"/>
        </w:rPr>
      </w:pPr>
      <w:r w:rsidRPr="00B324F6">
        <w:rPr>
          <w:rFonts w:ascii="Century Schoolbook" w:hAnsi="Century Schoolbook"/>
        </w:rPr>
        <w:t xml:space="preserve">The term ‘social value’ has been popular, especially in US bioethics discourse </w:t>
      </w:r>
      <w:r w:rsidRPr="00B324F6">
        <w:rPr>
          <w:rFonts w:ascii="Century Schoolbook" w:hAnsi="Century Schoolbook"/>
        </w:rPr>
        <w:fldChar w:fldCharType="begin"/>
      </w:r>
      <w:r w:rsidR="00AC3971">
        <w:rPr>
          <w:rFonts w:ascii="Century Schoolbook" w:hAnsi="Century Schoolbook"/>
        </w:rPr>
        <w:instrText xml:space="preserve"> ADDIN ZOTERO_ITEM CSL_CITATION {"citationID":"QzX8VF2B","properties":{"formattedCitation":"[47\\uc0\\u8211{}51]","plainCitation":"[47–51]","noteIndex":0},"citationItems":[{"id":1462,"uris":["http://zotero.org/users/1170976/items/9EXWFCJV"],"uri":["http://zotero.org/users/1170976/items/9EXWFCJV"],"itemData":{"id":1462,"type":"article-journal","container-title":"Bioethics","DOI":"10.1111/bioe.12320","ISSN":"02699702","issue":"2","language":"en","page":"105-115","source":"Crossref","title":"The Social Value of Health Research and the Worst Off: The Social Value of Health Research and the Worst Off","title-short":"The Social Value of Health Research and the Worst Off","volume":"31","author":[{"family":"Barsdorf","given":"Nicola"},{"family":"Millum","given":"Joseph"}],"issued":{"date-parts":[["2017",2]]}}},{"id":1463,"uris":["http://zotero.org/users/1170976/items/IPHDKE2D"],"uri":["http://zotero.org/users/1170976/items/IPHDKE2D"],"itemData":{"id":1463,"type":"article-journal","container-title":"Bioethics","DOI":"10.1111/bioe.12316","ISSN":"02699702","issue":"2","language":"en","page":"97-104","source":"Crossref","title":"The Social Value of Knowledge and the Responsiveness Requirement for International Research: The Social Value of Knowledge and Responsiveness","title-short":"The Social Value of Knowledge and the Responsiveness Requirement for International Research","volume":"31","author":[{"family":"Wenner","given":"Danielle M."}],"issued":{"date-parts":[["2017",2]]}}},{"id":1464,"uris":["http://zotero.org/users/1170976/items/7PA9T8FC"],"uri":["http://zotero.org/users/1170976/items/7PA9T8FC"],"itemData":{"id":1464,"type":"article-journal","container-title":"Bioethics","DOI":"10.1111/bioe.12324","ISSN":"02699702","issue":"2","language":"en","page":"87-96","source":"Crossref","title":"Reconfiguring Social Value in Health Research Through the Lens of Liminality: Reconfiguring Social Value in Health Research","title-short":"Reconfiguring Social Value in Health Research Through the Lens of Liminality","volume":"31","author":[{"family":"Ganguli-Mitra","given":"Agomoni"},{"family":"Dove","given":"Edward S."},{"family":"Laurie","given":"Graeme T."},{"family":"Taylor-Alexander","given":"Samuel"}],"issued":{"date-parts":[["2017",2]]}}},{"id":1465,"uris":["http://zotero.org/users/1170976/items/F7KJRNW5"],"uri":["http://zotero.org/users/1170976/items/F7KJRNW5"],"itemData":{"id":1465,"type":"article-journal","container-title":"BMC Medical Ethics","DOI":"10.1186/s12910-017-0217-6","ISSN":"1472-6939","issue":"1","language":"en","source":"Crossref","title":"Collaborative partnership and the social value of clinical research: a qualitative secondary analysis","title-short":"Collaborative partnership and the social value of clinical research","URL":"https://bmcmedethics.biomedcentral.com/articles/10.1186/s12910-017-0217-6","volume":"18","author":[{"family":"Nurmi","given":"Sanna-Maria"},{"family":"Halkoaho","given":"Arja"},{"family":"Kangasniemi","given":"Mari"},{"family":"Pietilä","given":"Anna-Maija"}],"accessed":{"date-parts":[["2019",2,21]]},"issued":{"date-parts":[["2017",12]]}}},{"id":1466,"uris":["http://zotero.org/users/1170976/items/ABPA3679"],"uri":["http://zotero.org/users/1170976/items/ABPA3679"],"itemData":{"id":1466,"type":"article-journal","container-title":"Bioethics","DOI":"10.1111/bioe.12128","ISSN":"02699702","issue":"5","language":"en","page":"301-308","source":"Crossref","title":"The Social Value Requirement Reconsidered: The Social Value Requirement Reconsidered","title-short":"The Social Value Requirement Reconsidered","volume":"29","author":[{"family":"Wertheimer","given":"Alan"}],"issued":{"date-parts":[["2015",6]]}}}],"schema":"https://github.com/citation-style-language/schema/raw/master/csl-citation.json"} </w:instrText>
      </w:r>
      <w:r w:rsidRPr="00B324F6">
        <w:rPr>
          <w:rFonts w:ascii="Century Schoolbook" w:hAnsi="Century Schoolbook"/>
        </w:rPr>
        <w:fldChar w:fldCharType="separate"/>
      </w:r>
      <w:r w:rsidR="00AC3971" w:rsidRPr="00AC3971">
        <w:rPr>
          <w:rFonts w:ascii="Century Schoolbook" w:hAnsi="Century Schoolbook" w:cs="Times New Roman"/>
          <w:szCs w:val="24"/>
        </w:rPr>
        <w:t>[47–51]</w:t>
      </w:r>
      <w:r w:rsidRPr="00B324F6">
        <w:rPr>
          <w:rFonts w:ascii="Century Schoolbook" w:hAnsi="Century Schoolbook"/>
          <w:lang w:val="en-US"/>
        </w:rPr>
        <w:fldChar w:fldCharType="end"/>
      </w:r>
      <w:r w:rsidRPr="00B324F6" w:rsidDel="00E21C89">
        <w:rPr>
          <w:rFonts w:ascii="Century Schoolbook" w:hAnsi="Century Schoolbook"/>
          <w:vertAlign w:val="superscript"/>
        </w:rPr>
        <w:t xml:space="preserve">  </w:t>
      </w:r>
      <w:r w:rsidRPr="00B324F6">
        <w:rPr>
          <w:rFonts w:ascii="Century Schoolbook" w:hAnsi="Century Schoolbook"/>
        </w:rPr>
        <w:t xml:space="preserve"> since it was used in Emanuel et </w:t>
      </w:r>
      <w:proofErr w:type="spellStart"/>
      <w:r w:rsidRPr="00B324F6">
        <w:rPr>
          <w:rFonts w:ascii="Century Schoolbook" w:hAnsi="Century Schoolbook"/>
        </w:rPr>
        <w:t>al’s</w:t>
      </w:r>
      <w:proofErr w:type="spellEnd"/>
      <w:r w:rsidRPr="00B324F6">
        <w:rPr>
          <w:rFonts w:ascii="Century Schoolbook" w:hAnsi="Century Schoolbook"/>
        </w:rPr>
        <w:t xml:space="preserve"> influential 2000 paper on the necessary conditions for ethical research - the first of which was that the research have social and scientific value. </w:t>
      </w:r>
      <w:r w:rsidRPr="00B324F6">
        <w:rPr>
          <w:rFonts w:ascii="Century Schoolbook" w:hAnsi="Century Schoolbook"/>
        </w:rPr>
        <w:fldChar w:fldCharType="begin"/>
      </w:r>
      <w:r w:rsidR="00AC3971">
        <w:rPr>
          <w:rFonts w:ascii="Century Schoolbook" w:hAnsi="Century Schoolbook"/>
        </w:rPr>
        <w:instrText xml:space="preserve"> ADDIN ZOTERO_ITEM CSL_CITATION {"citationID":"5lmYeUCD","properties":{"formattedCitation":"[52]","plainCitation":"[52]","noteIndex":0},"citationItems":[{"id":1357,"uris":["http://zotero.org/users/1170976/items/WHV8JD2S"],"uri":["http://zotero.org/users/1170976/items/WHV8JD2S"],"itemData":{"id":1357,"type":"article-journal","container-title":"JAMA","DOI":"10.1001/jama.283.20.2701","ISSN":"0098-7484","issue":"20","language":"en","page":"2701","source":"CrossRef","title":"What Makes Clinical Research Ethical?","volume":"283","author":[{"family":"Emanuel","given":"Ezekiel J."},{"family":"Wendler","given":"David"},{"family":"Grady","given":"Christine"}],"issued":{"date-parts":[["2000",5,24]]}}}],"schema":"https://github.com/citation-style-language/schema/raw/master/csl-citation.json"} </w:instrText>
      </w:r>
      <w:r w:rsidRPr="00B324F6">
        <w:rPr>
          <w:rFonts w:ascii="Century Schoolbook" w:hAnsi="Century Schoolbook"/>
        </w:rPr>
        <w:fldChar w:fldCharType="separate"/>
      </w:r>
      <w:r w:rsidR="00AC3971" w:rsidRPr="00AC3971">
        <w:rPr>
          <w:rFonts w:ascii="Calibri" w:hAnsi="Calibri" w:cs="Calibri"/>
        </w:rPr>
        <w:t>[52]</w:t>
      </w:r>
      <w:r w:rsidRPr="00B324F6">
        <w:rPr>
          <w:rFonts w:ascii="Century Schoolbook" w:hAnsi="Century Schoolbook"/>
          <w:lang w:val="en-US"/>
        </w:rPr>
        <w:fldChar w:fldCharType="end"/>
      </w:r>
      <w:r w:rsidRPr="00B324F6">
        <w:rPr>
          <w:rFonts w:ascii="Century Schoolbook" w:hAnsi="Century Schoolbook"/>
        </w:rPr>
        <w:t xml:space="preserve"> </w:t>
      </w:r>
      <w:r w:rsidR="00832A5C" w:rsidRPr="00B324F6">
        <w:rPr>
          <w:rFonts w:ascii="Century Schoolbook" w:hAnsi="Century Schoolbook"/>
        </w:rPr>
        <w:t>Council for International Organizations of Medical Sciences’ (CIOMS)</w:t>
      </w:r>
      <w:r w:rsidRPr="00B324F6">
        <w:rPr>
          <w:rFonts w:ascii="Century Schoolbook" w:hAnsi="Century Schoolbook"/>
        </w:rPr>
        <w:t>uses social value as a core principle in their newly revised 2016 Guidelines, establishing this as a key term in international research ethics.  Unlike many other guidelines, CIOMS provides an explicit definition. Social value is “…the importance of the information that a study is</w:t>
      </w:r>
      <w:r w:rsidRPr="00B324F6">
        <w:rPr>
          <w:rFonts w:ascii="Century Schoolbook" w:hAnsi="Century Schoolbook"/>
          <w:b/>
          <w:bCs/>
        </w:rPr>
        <w:t xml:space="preserve"> </w:t>
      </w:r>
      <w:r w:rsidRPr="00B324F6">
        <w:rPr>
          <w:rFonts w:ascii="Century Schoolbook" w:hAnsi="Century Schoolbook"/>
          <w:bCs/>
        </w:rPr>
        <w:t>likely</w:t>
      </w:r>
      <w:r w:rsidRPr="00B324F6">
        <w:rPr>
          <w:rFonts w:ascii="Century Schoolbook" w:hAnsi="Century Schoolbook"/>
          <w:b/>
          <w:bCs/>
        </w:rPr>
        <w:t xml:space="preserve"> </w:t>
      </w:r>
      <w:r w:rsidRPr="00B324F6">
        <w:rPr>
          <w:rFonts w:ascii="Century Schoolbook" w:hAnsi="Century Schoolbook"/>
        </w:rPr>
        <w:t xml:space="preserve">to produce”, which can be determined by evaluating the direct relevance of the research for understanding a significant health problem, and whether the research is likely to promote individual or public health. </w:t>
      </w:r>
      <w:r w:rsidRPr="00B324F6">
        <w:rPr>
          <w:rFonts w:ascii="Century Schoolbook" w:hAnsi="Century Schoolbook"/>
        </w:rPr>
        <w:fldChar w:fldCharType="begin"/>
      </w:r>
      <w:r w:rsidR="00D17BA1">
        <w:rPr>
          <w:rFonts w:ascii="Century Schoolbook" w:hAnsi="Century Schoolbook"/>
        </w:rPr>
        <w:instrText xml:space="preserve"> ADDIN ZOTERO_ITEM CSL_CITATION {"citationID":"gdNTgp6u","properties":{"formattedCitation":"[21]","plainCitation":"[21]","noteIndex":0},"citationItems":[{"id":1275,"uris":["http://zotero.org/users/1170976/items/IDMQMFI7"],"uri":["http://zotero.org/users/1170976/items/IDMQMFI7"],"itemData":{"id":1275,"type":"book","ISBN":"978-92-9036-088-9","language":"English","note":"OCLC: 974025866","source":"Open WorldCat","title":"International ethical guidelines for health-related research involving humans","author":[{"literal":"Council for International Organizations of Medical Sciences"},{"literal":"World Health Organization"}],"issued":{"date-parts":[["2016"]]}},"locator":"1"}],"schema":"https://github.com/citation-style-language/schema/raw/master/csl-citation.json"} </w:instrText>
      </w:r>
      <w:r w:rsidRPr="00B324F6">
        <w:rPr>
          <w:rFonts w:ascii="Century Schoolbook" w:hAnsi="Century Schoolbook"/>
        </w:rPr>
        <w:fldChar w:fldCharType="separate"/>
      </w:r>
      <w:r w:rsidR="007A2000" w:rsidRPr="00340371">
        <w:rPr>
          <w:rFonts w:ascii="Century Schoolbook" w:hAnsi="Century Schoolbook"/>
        </w:rPr>
        <w:t>[21]</w:t>
      </w:r>
      <w:r w:rsidRPr="00B324F6">
        <w:rPr>
          <w:rFonts w:ascii="Century Schoolbook" w:hAnsi="Century Schoolbook"/>
          <w:lang w:val="en-US"/>
        </w:rPr>
        <w:fldChar w:fldCharType="end"/>
      </w:r>
      <w:r w:rsidRPr="00B324F6">
        <w:rPr>
          <w:rFonts w:ascii="Century Schoolbook" w:hAnsi="Century Schoolbook"/>
        </w:rPr>
        <w:t xml:space="preserve"> </w:t>
      </w:r>
    </w:p>
    <w:p w14:paraId="34D2931C" w14:textId="756F6964" w:rsidR="00AA7920" w:rsidRPr="00B324F6" w:rsidRDefault="00AA7920" w:rsidP="00B324F6">
      <w:pPr>
        <w:spacing w:after="0"/>
        <w:jc w:val="both"/>
        <w:rPr>
          <w:rFonts w:ascii="Century Schoolbook" w:hAnsi="Century Schoolbook"/>
        </w:rPr>
      </w:pPr>
    </w:p>
    <w:p w14:paraId="282905EB" w14:textId="3329A143" w:rsidR="00441D6F" w:rsidRPr="00B324F6" w:rsidRDefault="00AA7920" w:rsidP="00B324F6">
      <w:pPr>
        <w:spacing w:after="0"/>
        <w:jc w:val="both"/>
        <w:rPr>
          <w:rFonts w:ascii="Century Schoolbook" w:hAnsi="Century Schoolbook"/>
        </w:rPr>
      </w:pPr>
      <w:r w:rsidRPr="00B324F6">
        <w:rPr>
          <w:rFonts w:ascii="Century Schoolbook" w:hAnsi="Century Schoolbook"/>
        </w:rPr>
        <w:t xml:space="preserve">Social value differs from the prior three terms because it is seen as a necessary basic requirement of all human research. </w:t>
      </w:r>
      <w:r w:rsidR="00832A5C" w:rsidRPr="00B324F6">
        <w:rPr>
          <w:rFonts w:ascii="Century Schoolbook" w:hAnsi="Century Schoolbook"/>
        </w:rPr>
        <w:t>Whereas the terms p</w:t>
      </w:r>
      <w:r w:rsidRPr="00B324F6">
        <w:rPr>
          <w:rFonts w:ascii="Century Schoolbook" w:hAnsi="Century Schoolbook"/>
        </w:rPr>
        <w:t xml:space="preserve">ublic interest, public good and public benefit are used more specifically in relation to justifying consent waivers. CIOMS does however use </w:t>
      </w:r>
      <w:r w:rsidR="00441D6F" w:rsidRPr="00B324F6">
        <w:rPr>
          <w:rFonts w:ascii="Century Schoolbook" w:hAnsi="Century Schoolbook"/>
        </w:rPr>
        <w:t xml:space="preserve">a </w:t>
      </w:r>
      <w:r w:rsidRPr="00B324F6">
        <w:rPr>
          <w:rFonts w:ascii="Century Schoolbook" w:hAnsi="Century Schoolbook"/>
        </w:rPr>
        <w:t xml:space="preserve">subcategory of social value to justify research without consent. </w:t>
      </w:r>
      <w:r w:rsidR="002E5091" w:rsidRPr="00B324F6">
        <w:rPr>
          <w:rFonts w:ascii="Century Schoolbook" w:hAnsi="Century Schoolbook"/>
        </w:rPr>
        <w:t xml:space="preserve">CIOMS applies a threshold concept of social value, where research conducted in the absence of consent must meet the higher threshold of </w:t>
      </w:r>
      <w:r w:rsidR="002E5091" w:rsidRPr="00B324F6">
        <w:rPr>
          <w:rFonts w:ascii="Century Schoolbook" w:hAnsi="Century Schoolbook"/>
          <w:i/>
        </w:rPr>
        <w:t xml:space="preserve">important </w:t>
      </w:r>
      <w:r w:rsidR="002E5091" w:rsidRPr="00B324F6">
        <w:rPr>
          <w:rFonts w:ascii="Century Schoolbook" w:hAnsi="Century Schoolbook"/>
        </w:rPr>
        <w:t>or</w:t>
      </w:r>
      <w:r w:rsidR="002E5091" w:rsidRPr="00B324F6">
        <w:rPr>
          <w:rFonts w:ascii="Century Schoolbook" w:hAnsi="Century Schoolbook"/>
          <w:i/>
        </w:rPr>
        <w:t xml:space="preserve"> compelling </w:t>
      </w:r>
      <w:r w:rsidR="002E5091" w:rsidRPr="00B324F6">
        <w:rPr>
          <w:rFonts w:ascii="Century Schoolbook" w:hAnsi="Century Schoolbook"/>
        </w:rPr>
        <w:t xml:space="preserve">social value. </w:t>
      </w:r>
      <w:r w:rsidRPr="00B324F6">
        <w:rPr>
          <w:rFonts w:ascii="Century Schoolbook" w:hAnsi="Century Schoolbook"/>
        </w:rPr>
        <w:t xml:space="preserve">In relation to </w:t>
      </w:r>
      <w:r w:rsidR="00832A5C" w:rsidRPr="00B324F6">
        <w:rPr>
          <w:rFonts w:ascii="Century Schoolbook" w:hAnsi="Century Schoolbook"/>
        </w:rPr>
        <w:t xml:space="preserve">human subjects </w:t>
      </w:r>
      <w:r w:rsidRPr="00B324F6">
        <w:rPr>
          <w:rFonts w:ascii="Century Schoolbook" w:hAnsi="Century Schoolbook"/>
        </w:rPr>
        <w:t xml:space="preserve">research </w:t>
      </w:r>
      <w:r w:rsidR="00832A5C" w:rsidRPr="00B324F6">
        <w:rPr>
          <w:rFonts w:ascii="Century Schoolbook" w:hAnsi="Century Schoolbook"/>
        </w:rPr>
        <w:t xml:space="preserve">with </w:t>
      </w:r>
      <w:r w:rsidR="002E5091" w:rsidRPr="00B324F6">
        <w:rPr>
          <w:rFonts w:ascii="Century Schoolbook" w:hAnsi="Century Schoolbook"/>
        </w:rPr>
        <w:t>participants who are not capable of giving consent (some adults, and children or adolescents</w:t>
      </w:r>
      <w:r w:rsidR="002E5091" w:rsidRPr="00577B64">
        <w:rPr>
          <w:rStyle w:val="FootnoteReference"/>
        </w:rPr>
        <w:footnoteReference w:id="7"/>
      </w:r>
      <w:r w:rsidR="002E5091" w:rsidRPr="00B324F6">
        <w:rPr>
          <w:rFonts w:ascii="Century Schoolbook" w:hAnsi="Century Schoolbook"/>
        </w:rPr>
        <w:t xml:space="preserve">) research must </w:t>
      </w:r>
      <w:r w:rsidR="00441D6F" w:rsidRPr="00B324F6">
        <w:rPr>
          <w:rFonts w:ascii="Century Schoolbook" w:hAnsi="Century Schoolbook"/>
        </w:rPr>
        <w:t>be</w:t>
      </w:r>
      <w:r w:rsidR="002E5091" w:rsidRPr="00B324F6">
        <w:rPr>
          <w:rFonts w:ascii="Century Schoolbook" w:hAnsi="Century Schoolbook"/>
        </w:rPr>
        <w:t xml:space="preserve"> </w:t>
      </w:r>
      <w:r w:rsidR="00441D6F" w:rsidRPr="00B324F6">
        <w:rPr>
          <w:rFonts w:ascii="Century Schoolbook" w:hAnsi="Century Schoolbook"/>
        </w:rPr>
        <w:t>minimal</w:t>
      </w:r>
      <w:r w:rsidR="002E5091" w:rsidRPr="00B324F6">
        <w:rPr>
          <w:rFonts w:ascii="Century Schoolbook" w:hAnsi="Century Schoolbook"/>
        </w:rPr>
        <w:t xml:space="preserve"> risk, unless </w:t>
      </w:r>
      <w:r w:rsidR="002E5091" w:rsidRPr="00B324F6">
        <w:rPr>
          <w:rFonts w:ascii="Century Schoolbook" w:hAnsi="Century Schoolbook"/>
        </w:rPr>
        <w:lastRenderedPageBreak/>
        <w:t xml:space="preserve">there is </w:t>
      </w:r>
      <w:r w:rsidR="00441D6F" w:rsidRPr="00B324F6">
        <w:rPr>
          <w:rFonts w:ascii="Century Schoolbook" w:hAnsi="Century Schoolbook"/>
          <w:i/>
        </w:rPr>
        <w:t>compelling</w:t>
      </w:r>
      <w:r w:rsidR="002E5091" w:rsidRPr="00B324F6">
        <w:rPr>
          <w:rFonts w:ascii="Century Schoolbook" w:hAnsi="Century Schoolbook"/>
        </w:rPr>
        <w:t xml:space="preserve"> social value</w:t>
      </w:r>
      <w:r w:rsidR="00832A5C" w:rsidRPr="00B324F6">
        <w:rPr>
          <w:rFonts w:ascii="Century Schoolbook" w:hAnsi="Century Schoolbook"/>
        </w:rPr>
        <w:t>,</w:t>
      </w:r>
      <w:r w:rsidR="002E5091" w:rsidRPr="00B324F6">
        <w:rPr>
          <w:rFonts w:ascii="Century Schoolbook" w:hAnsi="Century Schoolbook"/>
        </w:rPr>
        <w:t xml:space="preserve"> </w:t>
      </w:r>
      <w:r w:rsidR="00441D6F" w:rsidRPr="00B324F6">
        <w:rPr>
          <w:rFonts w:ascii="Century Schoolbook" w:hAnsi="Century Schoolbook"/>
        </w:rPr>
        <w:t>in whi</w:t>
      </w:r>
      <w:r w:rsidR="002E5091" w:rsidRPr="00B324F6">
        <w:rPr>
          <w:rFonts w:ascii="Century Schoolbook" w:hAnsi="Century Schoolbook"/>
        </w:rPr>
        <w:t>ch case the IRB/REC can approve a minor increase over minimal risk</w:t>
      </w:r>
      <w:r w:rsidR="00441D6F" w:rsidRPr="00B324F6">
        <w:rPr>
          <w:rFonts w:ascii="Century Schoolbook" w:hAnsi="Century Schoolbook"/>
        </w:rPr>
        <w:t>. In relation to consent waivers</w:t>
      </w:r>
      <w:r w:rsidR="00832A5C" w:rsidRPr="00B324F6">
        <w:rPr>
          <w:rFonts w:ascii="Century Schoolbook" w:hAnsi="Century Schoolbook"/>
        </w:rPr>
        <w:t xml:space="preserve"> for data research</w:t>
      </w:r>
      <w:r w:rsidR="00441D6F" w:rsidRPr="00B324F6">
        <w:rPr>
          <w:rFonts w:ascii="Century Schoolbook" w:hAnsi="Century Schoolbook"/>
        </w:rPr>
        <w:t>, the IRB/REC must determine (amongst other criteria) that the research has</w:t>
      </w:r>
      <w:r w:rsidR="00441D6F" w:rsidRPr="00B324F6">
        <w:rPr>
          <w:rFonts w:ascii="Century Schoolbook" w:hAnsi="Century Schoolbook"/>
          <w:i/>
        </w:rPr>
        <w:t xml:space="preserve"> important</w:t>
      </w:r>
      <w:r w:rsidR="00441D6F" w:rsidRPr="00B324F6">
        <w:rPr>
          <w:rFonts w:ascii="Century Schoolbook" w:hAnsi="Century Schoolbook"/>
        </w:rPr>
        <w:t xml:space="preserve"> social value before granting a consent waiver for the use of stored biological material or clinical data in resea</w:t>
      </w:r>
      <w:r w:rsidR="00667907" w:rsidRPr="00B324F6">
        <w:rPr>
          <w:rFonts w:ascii="Century Schoolbook" w:hAnsi="Century Schoolbook"/>
        </w:rPr>
        <w:t>r</w:t>
      </w:r>
      <w:r w:rsidR="00441D6F" w:rsidRPr="00B324F6">
        <w:rPr>
          <w:rFonts w:ascii="Century Schoolbook" w:hAnsi="Century Schoolbook"/>
        </w:rPr>
        <w:t>ch.</w:t>
      </w:r>
      <w:r w:rsidR="00441D6F" w:rsidRPr="00577B64">
        <w:rPr>
          <w:rStyle w:val="FootnoteReference"/>
        </w:rPr>
        <w:footnoteReference w:id="8"/>
      </w:r>
      <w:r w:rsidR="00441D6F" w:rsidRPr="00B324F6">
        <w:rPr>
          <w:rFonts w:ascii="Century Schoolbook" w:hAnsi="Century Schoolbook"/>
        </w:rPr>
        <w:t xml:space="preserve"> CIOMS does not define the difference between important, compelling and ordinary social value. </w:t>
      </w:r>
    </w:p>
    <w:p w14:paraId="633C06BB" w14:textId="63D85511" w:rsidR="00AA7920" w:rsidRPr="00B324F6" w:rsidRDefault="00AA7920" w:rsidP="00B324F6">
      <w:pPr>
        <w:spacing w:after="0"/>
        <w:jc w:val="both"/>
        <w:rPr>
          <w:rFonts w:ascii="Century Schoolbook" w:hAnsi="Century Schoolbook"/>
        </w:rPr>
      </w:pPr>
    </w:p>
    <w:p w14:paraId="7D446AE7" w14:textId="175473EA" w:rsidR="008E4187" w:rsidRPr="00B324F6" w:rsidRDefault="008E4187" w:rsidP="00B324F6">
      <w:pPr>
        <w:spacing w:after="0"/>
        <w:jc w:val="both"/>
        <w:rPr>
          <w:rFonts w:ascii="Century Schoolbook" w:hAnsi="Century Schoolbook"/>
          <w:i/>
          <w:iCs/>
        </w:rPr>
      </w:pPr>
      <w:r w:rsidRPr="00B324F6">
        <w:rPr>
          <w:rFonts w:ascii="Century Schoolbook" w:hAnsi="Century Schoolbook"/>
          <w:i/>
          <w:iCs/>
        </w:rPr>
        <w:t>‘Public interest’ as the preferred term</w:t>
      </w:r>
    </w:p>
    <w:p w14:paraId="7E9A64B7" w14:textId="77777777" w:rsidR="008E4187" w:rsidRPr="00B324F6" w:rsidRDefault="008E4187" w:rsidP="00B324F6">
      <w:pPr>
        <w:spacing w:after="0"/>
        <w:jc w:val="both"/>
        <w:rPr>
          <w:rFonts w:ascii="Century Schoolbook" w:hAnsi="Century Schoolbook"/>
          <w:i/>
        </w:rPr>
      </w:pPr>
    </w:p>
    <w:p w14:paraId="6FA6606D" w14:textId="67D4796A" w:rsidR="00643123" w:rsidRPr="00B324F6" w:rsidRDefault="00D048B5" w:rsidP="00B324F6">
      <w:pPr>
        <w:spacing w:after="0"/>
        <w:jc w:val="both"/>
        <w:rPr>
          <w:rFonts w:ascii="Century Schoolbook" w:hAnsi="Century Schoolbook"/>
        </w:rPr>
      </w:pPr>
      <w:r w:rsidRPr="00B324F6">
        <w:rPr>
          <w:rFonts w:ascii="Century Schoolbook" w:hAnsi="Century Schoolbook"/>
          <w:iCs/>
          <w:lang w:val="en-US"/>
        </w:rPr>
        <w:t>‘</w:t>
      </w:r>
      <w:r w:rsidR="00AF0E4A" w:rsidRPr="00B324F6">
        <w:rPr>
          <w:rFonts w:ascii="Century Schoolbook" w:hAnsi="Century Schoolbook"/>
          <w:iCs/>
          <w:lang w:val="en-US"/>
        </w:rPr>
        <w:t>Public interest</w:t>
      </w:r>
      <w:r w:rsidRPr="00B324F6">
        <w:rPr>
          <w:rFonts w:ascii="Century Schoolbook" w:hAnsi="Century Schoolbook"/>
          <w:iCs/>
          <w:lang w:val="en-US"/>
        </w:rPr>
        <w:t>’</w:t>
      </w:r>
      <w:r w:rsidR="00AF0E4A" w:rsidRPr="00B324F6">
        <w:rPr>
          <w:rFonts w:ascii="Century Schoolbook" w:hAnsi="Century Schoolbook"/>
          <w:iCs/>
          <w:lang w:val="en-US"/>
        </w:rPr>
        <w:t xml:space="preserve">, </w:t>
      </w:r>
      <w:r w:rsidRPr="00B324F6">
        <w:rPr>
          <w:rFonts w:ascii="Century Schoolbook" w:hAnsi="Century Schoolbook"/>
          <w:iCs/>
          <w:lang w:val="en-US"/>
        </w:rPr>
        <w:t>‘</w:t>
      </w:r>
      <w:r w:rsidR="00AF0E4A" w:rsidRPr="00B324F6">
        <w:rPr>
          <w:rFonts w:ascii="Century Schoolbook" w:hAnsi="Century Schoolbook"/>
          <w:iCs/>
          <w:lang w:val="en-US"/>
        </w:rPr>
        <w:t>public benefit</w:t>
      </w:r>
      <w:r w:rsidRPr="00B324F6">
        <w:rPr>
          <w:rFonts w:ascii="Century Schoolbook" w:hAnsi="Century Schoolbook"/>
          <w:iCs/>
          <w:lang w:val="en-US"/>
        </w:rPr>
        <w:t>’</w:t>
      </w:r>
      <w:r w:rsidR="00AF0E4A" w:rsidRPr="00B324F6">
        <w:rPr>
          <w:rFonts w:ascii="Century Schoolbook" w:hAnsi="Century Schoolbook"/>
          <w:iCs/>
          <w:lang w:val="en-US"/>
        </w:rPr>
        <w:t xml:space="preserve">, </w:t>
      </w:r>
      <w:r w:rsidRPr="00B324F6">
        <w:rPr>
          <w:rFonts w:ascii="Century Schoolbook" w:hAnsi="Century Schoolbook"/>
          <w:iCs/>
          <w:lang w:val="en-US"/>
        </w:rPr>
        <w:t>‘</w:t>
      </w:r>
      <w:r w:rsidR="00AF0E4A" w:rsidRPr="00B324F6">
        <w:rPr>
          <w:rFonts w:ascii="Century Schoolbook" w:hAnsi="Century Schoolbook"/>
          <w:iCs/>
          <w:lang w:val="en-US"/>
        </w:rPr>
        <w:t>public good</w:t>
      </w:r>
      <w:r w:rsidRPr="00B324F6">
        <w:rPr>
          <w:rFonts w:ascii="Century Schoolbook" w:hAnsi="Century Schoolbook"/>
          <w:iCs/>
          <w:lang w:val="en-US"/>
        </w:rPr>
        <w:t>’</w:t>
      </w:r>
      <w:r w:rsidR="00AF0E4A" w:rsidRPr="00B324F6">
        <w:rPr>
          <w:rFonts w:ascii="Century Schoolbook" w:hAnsi="Century Schoolbook"/>
          <w:iCs/>
          <w:lang w:val="en-US"/>
        </w:rPr>
        <w:t xml:space="preserve"> and </w:t>
      </w:r>
      <w:r w:rsidRPr="00B324F6">
        <w:rPr>
          <w:rFonts w:ascii="Century Schoolbook" w:hAnsi="Century Schoolbook"/>
          <w:iCs/>
          <w:lang w:val="en-US"/>
        </w:rPr>
        <w:t>‘</w:t>
      </w:r>
      <w:r w:rsidR="00AF0E4A" w:rsidRPr="00B324F6">
        <w:rPr>
          <w:rFonts w:ascii="Century Schoolbook" w:hAnsi="Century Schoolbook"/>
          <w:iCs/>
          <w:lang w:val="en-US"/>
        </w:rPr>
        <w:t>social value</w:t>
      </w:r>
      <w:r w:rsidRPr="00B324F6">
        <w:rPr>
          <w:rFonts w:ascii="Century Schoolbook" w:hAnsi="Century Schoolbook"/>
          <w:iCs/>
          <w:lang w:val="en-US"/>
        </w:rPr>
        <w:t>’</w:t>
      </w:r>
      <w:r w:rsidR="00AF0E4A" w:rsidRPr="00B324F6">
        <w:rPr>
          <w:rFonts w:ascii="Century Schoolbook" w:hAnsi="Century Schoolbook"/>
          <w:iCs/>
          <w:lang w:val="en-US"/>
        </w:rPr>
        <w:t xml:space="preserve"> </w:t>
      </w:r>
      <w:r w:rsidR="00AF0E4A" w:rsidRPr="00B324F6">
        <w:rPr>
          <w:rFonts w:ascii="Century Schoolbook" w:hAnsi="Century Schoolbook"/>
          <w:lang w:val="en-US"/>
        </w:rPr>
        <w:t>all</w:t>
      </w:r>
      <w:r w:rsidR="00AA7920" w:rsidRPr="00B324F6">
        <w:rPr>
          <w:rFonts w:ascii="Century Schoolbook" w:hAnsi="Century Schoolbook"/>
          <w:lang w:val="en-US"/>
        </w:rPr>
        <w:t xml:space="preserve"> have different meanings, implications and emphasis and should not be used interchangeably.  </w:t>
      </w:r>
      <w:r w:rsidR="00D652A6" w:rsidRPr="00B324F6">
        <w:rPr>
          <w:rFonts w:ascii="Century Schoolbook" w:hAnsi="Century Schoolbook"/>
        </w:rPr>
        <w:t>Ongoing use of multiple terms impedes clarity, transparency and consistency –</w:t>
      </w:r>
      <w:r w:rsidR="00AF0E4A" w:rsidRPr="00B324F6">
        <w:rPr>
          <w:rFonts w:ascii="Century Schoolbook" w:hAnsi="Century Schoolbook"/>
        </w:rPr>
        <w:t xml:space="preserve"> </w:t>
      </w:r>
      <w:r w:rsidR="00D652A6" w:rsidRPr="00B324F6">
        <w:rPr>
          <w:rFonts w:ascii="Century Schoolbook" w:hAnsi="Century Schoolbook"/>
        </w:rPr>
        <w:t>in the administration of</w:t>
      </w:r>
      <w:r w:rsidR="00AF0E4A" w:rsidRPr="00B324F6">
        <w:rPr>
          <w:rFonts w:ascii="Century Schoolbook" w:hAnsi="Century Schoolbook"/>
        </w:rPr>
        <w:t xml:space="preserve"> research ethics</w:t>
      </w:r>
      <w:r w:rsidR="00D652A6" w:rsidRPr="00B324F6">
        <w:rPr>
          <w:rFonts w:ascii="Century Schoolbook" w:hAnsi="Century Schoolbook"/>
        </w:rPr>
        <w:t xml:space="preserve"> guidelines, empirical research with the public and patients, and academic debate about the normative principles of good data sharing.  </w:t>
      </w:r>
      <w:r w:rsidR="00643123" w:rsidRPr="00B324F6">
        <w:rPr>
          <w:rFonts w:ascii="Century Schoolbook" w:hAnsi="Century Schoolbook"/>
        </w:rPr>
        <w:t xml:space="preserve"> </w:t>
      </w:r>
    </w:p>
    <w:p w14:paraId="12B70EFC" w14:textId="282CE722" w:rsidR="00441D6F" w:rsidRPr="00B324F6" w:rsidRDefault="00441D6F" w:rsidP="00B324F6">
      <w:pPr>
        <w:spacing w:after="0"/>
        <w:jc w:val="both"/>
        <w:rPr>
          <w:rFonts w:ascii="Century Schoolbook" w:hAnsi="Century Schoolbook"/>
        </w:rPr>
      </w:pPr>
    </w:p>
    <w:p w14:paraId="5DABCEF4" w14:textId="2B47ECFC" w:rsidR="00643123" w:rsidRPr="00B324F6" w:rsidRDefault="00643123" w:rsidP="00B324F6">
      <w:pPr>
        <w:spacing w:after="0"/>
        <w:jc w:val="both"/>
        <w:rPr>
          <w:rFonts w:ascii="Century Schoolbook" w:hAnsi="Century Schoolbook"/>
        </w:rPr>
      </w:pPr>
      <w:r w:rsidRPr="00B324F6">
        <w:rPr>
          <w:rFonts w:ascii="Century Schoolbook" w:hAnsi="Century Schoolbook"/>
        </w:rPr>
        <w:t xml:space="preserve">Of the above four terms, we propose ‘public interest’ be adopted more uniformly </w:t>
      </w:r>
      <w:r w:rsidR="008F4D13" w:rsidRPr="00B324F6">
        <w:rPr>
          <w:rFonts w:ascii="Century Schoolbook" w:hAnsi="Century Schoolbook"/>
        </w:rPr>
        <w:t>because it better captures the core normative force justifying consent waivers, whilst avoiding the baggage carried by some of the alternate terms</w:t>
      </w:r>
      <w:r w:rsidR="008669EC" w:rsidRPr="00B324F6">
        <w:rPr>
          <w:rFonts w:ascii="Century Schoolbook" w:hAnsi="Century Schoolbook"/>
          <w:lang w:val="en-US"/>
        </w:rPr>
        <w:t>.</w:t>
      </w:r>
      <w:r w:rsidR="008669EC" w:rsidRPr="00B324F6" w:rsidDel="008F4D13">
        <w:rPr>
          <w:rFonts w:ascii="Century Schoolbook" w:hAnsi="Century Schoolbook"/>
          <w:lang w:val="en-US"/>
        </w:rPr>
        <w:t xml:space="preserve"> </w:t>
      </w:r>
      <w:r w:rsidR="008669EC" w:rsidRPr="00B324F6">
        <w:rPr>
          <w:rFonts w:ascii="Century Schoolbook" w:hAnsi="Century Schoolbook"/>
          <w:lang w:val="en-US"/>
        </w:rPr>
        <w:t xml:space="preserve">In the next section, we will elaborate on the role these norms play in justifying research without consent. </w:t>
      </w:r>
      <w:r w:rsidRPr="00B324F6">
        <w:rPr>
          <w:rFonts w:ascii="Century Schoolbook" w:hAnsi="Century Schoolbook"/>
        </w:rPr>
        <w:t>Before turning to that role, we will briefly explain</w:t>
      </w:r>
      <w:r w:rsidR="00FF4355" w:rsidRPr="00B324F6">
        <w:rPr>
          <w:rFonts w:ascii="Century Schoolbook" w:hAnsi="Century Schoolbook"/>
        </w:rPr>
        <w:t xml:space="preserve"> the </w:t>
      </w:r>
      <w:r w:rsidR="008669EC" w:rsidRPr="00B324F6">
        <w:rPr>
          <w:rFonts w:ascii="Century Schoolbook" w:hAnsi="Century Schoolbook"/>
        </w:rPr>
        <w:t xml:space="preserve">relative </w:t>
      </w:r>
      <w:r w:rsidR="00FF4355" w:rsidRPr="00B324F6">
        <w:rPr>
          <w:rFonts w:ascii="Century Schoolbook" w:hAnsi="Century Schoolbook"/>
        </w:rPr>
        <w:t>deficiencies of alternative terms</w:t>
      </w:r>
      <w:r w:rsidRPr="00B324F6">
        <w:rPr>
          <w:rFonts w:ascii="Century Schoolbook" w:hAnsi="Century Schoolbook"/>
        </w:rPr>
        <w:t>.</w:t>
      </w:r>
    </w:p>
    <w:p w14:paraId="5FC84997" w14:textId="21BBFD13" w:rsidR="00643123" w:rsidRPr="00B324F6" w:rsidRDefault="00643123" w:rsidP="00B324F6">
      <w:pPr>
        <w:spacing w:after="0"/>
        <w:jc w:val="both"/>
        <w:rPr>
          <w:rFonts w:ascii="Century Schoolbook" w:hAnsi="Century Schoolbook"/>
        </w:rPr>
      </w:pPr>
    </w:p>
    <w:p w14:paraId="43E885DD" w14:textId="3BE78264" w:rsidR="00643123" w:rsidRPr="00B324F6" w:rsidRDefault="00643123" w:rsidP="00B324F6">
      <w:pPr>
        <w:spacing w:after="0"/>
        <w:jc w:val="both"/>
        <w:rPr>
          <w:rFonts w:ascii="Century Schoolbook" w:hAnsi="Century Schoolbook"/>
          <w:lang w:val="en-US"/>
        </w:rPr>
      </w:pPr>
      <w:r w:rsidRPr="00B324F6">
        <w:rPr>
          <w:rFonts w:ascii="Century Schoolbook" w:hAnsi="Century Schoolbook"/>
        </w:rPr>
        <w:t xml:space="preserve">‘Public Good’, as noted, </w:t>
      </w:r>
      <w:r w:rsidR="00CE0E3C" w:rsidRPr="00B324F6">
        <w:rPr>
          <w:rFonts w:ascii="Century Schoolbook" w:hAnsi="Century Schoolbook"/>
        </w:rPr>
        <w:t>typically refers to</w:t>
      </w:r>
      <w:r w:rsidR="00A16FCF" w:rsidRPr="00B324F6">
        <w:rPr>
          <w:rFonts w:ascii="Century Schoolbook" w:hAnsi="Century Schoolbook"/>
        </w:rPr>
        <w:t xml:space="preserve"> the economic notion of non-rivalry and non-excludability. </w:t>
      </w:r>
      <w:r w:rsidR="00A16FCF" w:rsidRPr="00B324F6">
        <w:rPr>
          <w:rFonts w:ascii="Century Schoolbook" w:hAnsi="Century Schoolbook"/>
          <w:lang w:val="en-US"/>
        </w:rPr>
        <w:t xml:space="preserve">This may be an apt description of fully </w:t>
      </w:r>
      <w:r w:rsidR="00A16FCF" w:rsidRPr="00B324F6">
        <w:rPr>
          <w:rFonts w:ascii="Century Schoolbook" w:hAnsi="Century Schoolbook"/>
          <w:i/>
          <w:lang w:val="en-US"/>
        </w:rPr>
        <w:t>open data</w:t>
      </w:r>
      <w:r w:rsidR="00A16FCF" w:rsidRPr="00B324F6">
        <w:rPr>
          <w:rFonts w:ascii="Century Schoolbook" w:hAnsi="Century Schoolbook"/>
          <w:lang w:val="en-US"/>
        </w:rPr>
        <w:t xml:space="preserve">, where none can be excluded from access and </w:t>
      </w:r>
      <w:r w:rsidR="00CE0E3C" w:rsidRPr="00B324F6">
        <w:rPr>
          <w:rFonts w:ascii="Century Schoolbook" w:hAnsi="Century Schoolbook"/>
          <w:lang w:val="en-US"/>
        </w:rPr>
        <w:t>use of the data by one party does not reduce the available supply for other researchers</w:t>
      </w:r>
      <w:r w:rsidR="00A16FCF" w:rsidRPr="00B324F6">
        <w:rPr>
          <w:rFonts w:ascii="Century Schoolbook" w:hAnsi="Century Schoolbook"/>
          <w:lang w:val="en-US"/>
        </w:rPr>
        <w:t>.  But much health data research is</w:t>
      </w:r>
      <w:r w:rsidR="00CE0E3C" w:rsidRPr="00B324F6">
        <w:rPr>
          <w:rFonts w:ascii="Century Schoolbook" w:hAnsi="Century Schoolbook"/>
          <w:lang w:val="en-US"/>
        </w:rPr>
        <w:t>, for good reason,</w:t>
      </w:r>
      <w:r w:rsidR="00A16FCF" w:rsidRPr="00B324F6">
        <w:rPr>
          <w:rFonts w:ascii="Century Schoolbook" w:hAnsi="Century Schoolbook"/>
          <w:lang w:val="en-US"/>
        </w:rPr>
        <w:t xml:space="preserve"> controlled rather than open, and public good may be an ambiguous term to use in these contexts. </w:t>
      </w:r>
    </w:p>
    <w:p w14:paraId="0241AA4D" w14:textId="2C2F060B" w:rsidR="00A16FCF" w:rsidRPr="00B324F6" w:rsidRDefault="00A16FCF" w:rsidP="00B324F6">
      <w:pPr>
        <w:spacing w:after="0"/>
        <w:jc w:val="both"/>
        <w:rPr>
          <w:rFonts w:ascii="Century Schoolbook" w:hAnsi="Century Schoolbook"/>
          <w:lang w:val="en-US"/>
        </w:rPr>
      </w:pPr>
    </w:p>
    <w:p w14:paraId="2307A513" w14:textId="284CF784" w:rsidR="00A16FCF" w:rsidRPr="00B324F6" w:rsidRDefault="00A16FCF" w:rsidP="00B324F6">
      <w:pPr>
        <w:spacing w:after="0"/>
        <w:jc w:val="both"/>
        <w:rPr>
          <w:rFonts w:ascii="Century Schoolbook" w:hAnsi="Century Schoolbook"/>
        </w:rPr>
      </w:pPr>
      <w:r w:rsidRPr="00B324F6">
        <w:rPr>
          <w:rFonts w:ascii="Century Schoolbook" w:hAnsi="Century Schoolbook"/>
        </w:rPr>
        <w:t xml:space="preserve">‘Social value’ is </w:t>
      </w:r>
      <w:r w:rsidR="00CE0E3C" w:rsidRPr="00B324F6">
        <w:rPr>
          <w:rFonts w:ascii="Century Schoolbook" w:hAnsi="Century Schoolbook"/>
        </w:rPr>
        <w:t xml:space="preserve">a </w:t>
      </w:r>
      <w:r w:rsidRPr="00B324F6">
        <w:rPr>
          <w:rFonts w:ascii="Century Schoolbook" w:hAnsi="Century Schoolbook"/>
        </w:rPr>
        <w:t xml:space="preserve">problematic </w:t>
      </w:r>
      <w:r w:rsidR="00CE0E3C" w:rsidRPr="00B324F6">
        <w:rPr>
          <w:rFonts w:ascii="Century Schoolbook" w:hAnsi="Century Schoolbook"/>
        </w:rPr>
        <w:t xml:space="preserve">term for consent waivers </w:t>
      </w:r>
      <w:r w:rsidRPr="00B324F6">
        <w:rPr>
          <w:rFonts w:ascii="Century Schoolbook" w:hAnsi="Century Schoolbook"/>
        </w:rPr>
        <w:t xml:space="preserve">because of its </w:t>
      </w:r>
      <w:r w:rsidR="009F0589" w:rsidRPr="00B324F6">
        <w:rPr>
          <w:rFonts w:ascii="Century Schoolbook" w:hAnsi="Century Schoolbook"/>
        </w:rPr>
        <w:t xml:space="preserve">status </w:t>
      </w:r>
      <w:r w:rsidRPr="00B324F6">
        <w:rPr>
          <w:rFonts w:ascii="Century Schoolbook" w:hAnsi="Century Schoolbook"/>
        </w:rPr>
        <w:t xml:space="preserve">as a necessary basic requirement of all human </w:t>
      </w:r>
      <w:r w:rsidR="00BD481F" w:rsidRPr="00B324F6">
        <w:rPr>
          <w:rFonts w:ascii="Century Schoolbook" w:hAnsi="Century Schoolbook"/>
        </w:rPr>
        <w:t>subjects’</w:t>
      </w:r>
      <w:r w:rsidR="00667907" w:rsidRPr="00B324F6">
        <w:rPr>
          <w:rFonts w:ascii="Century Schoolbook" w:hAnsi="Century Schoolbook"/>
        </w:rPr>
        <w:t xml:space="preserve"> </w:t>
      </w:r>
      <w:r w:rsidRPr="00B324F6">
        <w:rPr>
          <w:rFonts w:ascii="Century Schoolbook" w:hAnsi="Century Schoolbook"/>
        </w:rPr>
        <w:t xml:space="preserve">research. Our present purpose is to explore the concept that </w:t>
      </w:r>
      <w:r w:rsidR="001074E4" w:rsidRPr="00B324F6">
        <w:rPr>
          <w:rFonts w:ascii="Century Schoolbook" w:hAnsi="Century Schoolbook"/>
        </w:rPr>
        <w:t>offers normative justification for</w:t>
      </w:r>
      <w:r w:rsidRPr="00B324F6">
        <w:rPr>
          <w:rFonts w:ascii="Century Schoolbook" w:hAnsi="Century Schoolbook"/>
        </w:rPr>
        <w:t xml:space="preserve"> consent </w:t>
      </w:r>
      <w:proofErr w:type="gramStart"/>
      <w:r w:rsidRPr="00B324F6">
        <w:rPr>
          <w:rFonts w:ascii="Century Schoolbook" w:hAnsi="Century Schoolbook"/>
        </w:rPr>
        <w:t>waivers in particular</w:t>
      </w:r>
      <w:proofErr w:type="gramEnd"/>
      <w:r w:rsidRPr="00B324F6">
        <w:rPr>
          <w:rFonts w:ascii="Century Schoolbook" w:hAnsi="Century Schoolbook"/>
        </w:rPr>
        <w:t xml:space="preserve">. </w:t>
      </w:r>
      <w:r w:rsidR="00CE0E3C" w:rsidRPr="00B324F6">
        <w:rPr>
          <w:rFonts w:ascii="Century Schoolbook" w:hAnsi="Century Schoolbook"/>
        </w:rPr>
        <w:t>S</w:t>
      </w:r>
      <w:r w:rsidRPr="00B324F6">
        <w:rPr>
          <w:rFonts w:ascii="Century Schoolbook" w:hAnsi="Century Schoolbook"/>
        </w:rPr>
        <w:t xml:space="preserve">ocial value by contrast is used as a term that underpins *all* research, </w:t>
      </w:r>
      <w:r w:rsidR="00CE0E3C" w:rsidRPr="00B324F6">
        <w:rPr>
          <w:rFonts w:ascii="Century Schoolbook" w:hAnsi="Century Schoolbook"/>
        </w:rPr>
        <w:t xml:space="preserve">therefore </w:t>
      </w:r>
      <w:r w:rsidRPr="00B324F6">
        <w:rPr>
          <w:rFonts w:ascii="Century Schoolbook" w:hAnsi="Century Schoolbook"/>
        </w:rPr>
        <w:t xml:space="preserve">using it in the context of consent waiver may lead to confusion and blurring of the line between general evaluations of a study’s contribution to social value, and the more specific question of whether </w:t>
      </w:r>
      <w:r w:rsidR="00CE0E3C" w:rsidRPr="00B324F6">
        <w:rPr>
          <w:rFonts w:ascii="Century Schoolbook" w:hAnsi="Century Schoolbook"/>
        </w:rPr>
        <w:t>data</w:t>
      </w:r>
      <w:r w:rsidRPr="00B324F6">
        <w:rPr>
          <w:rFonts w:ascii="Century Schoolbook" w:hAnsi="Century Schoolbook"/>
        </w:rPr>
        <w:t xml:space="preserve"> research without consent</w:t>
      </w:r>
      <w:r w:rsidR="00CE0E3C" w:rsidRPr="00B324F6">
        <w:rPr>
          <w:rFonts w:ascii="Century Schoolbook" w:hAnsi="Century Schoolbook"/>
        </w:rPr>
        <w:t xml:space="preserve"> is on balance in the public interest</w:t>
      </w:r>
      <w:r w:rsidRPr="00B324F6">
        <w:rPr>
          <w:rFonts w:ascii="Century Schoolbook" w:hAnsi="Century Schoolbook"/>
        </w:rPr>
        <w:t xml:space="preserve">. </w:t>
      </w:r>
    </w:p>
    <w:p w14:paraId="15C1E2BB" w14:textId="4A23CD91" w:rsidR="001074E4" w:rsidRPr="00B324F6" w:rsidRDefault="001074E4" w:rsidP="00B324F6">
      <w:pPr>
        <w:spacing w:after="0"/>
        <w:jc w:val="both"/>
        <w:rPr>
          <w:rFonts w:ascii="Century Schoolbook" w:hAnsi="Century Schoolbook"/>
        </w:rPr>
      </w:pPr>
    </w:p>
    <w:p w14:paraId="2A5BD5D2" w14:textId="01B1A4FB" w:rsidR="001074E4" w:rsidRPr="00B324F6" w:rsidRDefault="001074E4" w:rsidP="00B324F6">
      <w:pPr>
        <w:spacing w:after="0"/>
        <w:jc w:val="both"/>
        <w:rPr>
          <w:rFonts w:ascii="Century Schoolbook" w:hAnsi="Century Schoolbook"/>
        </w:rPr>
      </w:pPr>
      <w:r w:rsidRPr="00B324F6">
        <w:rPr>
          <w:rFonts w:ascii="Century Schoolbook" w:hAnsi="Century Schoolbook"/>
        </w:rPr>
        <w:t>One might argue that this confusion could be allayed by generating a subclass of ‘social value’ relevant to consent waivers</w:t>
      </w:r>
      <w:r w:rsidR="008E4187" w:rsidRPr="00B324F6">
        <w:rPr>
          <w:rFonts w:ascii="Century Schoolbook" w:hAnsi="Century Schoolbook"/>
        </w:rPr>
        <w:t>, as CIOMS does in explicating the higher ‘important’ social value threshold for consent waivers</w:t>
      </w:r>
      <w:r w:rsidRPr="00B324F6">
        <w:rPr>
          <w:rFonts w:ascii="Century Schoolbook" w:hAnsi="Century Schoolbook"/>
        </w:rPr>
        <w:t>.</w:t>
      </w:r>
      <w:r w:rsidR="008E4187" w:rsidRPr="00B324F6">
        <w:rPr>
          <w:rFonts w:ascii="Century Schoolbook" w:hAnsi="Century Schoolbook"/>
        </w:rPr>
        <w:t xml:space="preserve"> </w:t>
      </w:r>
      <w:r w:rsidR="008E4187" w:rsidRPr="00B324F6">
        <w:rPr>
          <w:rFonts w:ascii="Century Schoolbook" w:hAnsi="Century Schoolbook"/>
        </w:rPr>
        <w:fldChar w:fldCharType="begin"/>
      </w:r>
      <w:r w:rsidR="00D17BA1">
        <w:rPr>
          <w:rFonts w:ascii="Century Schoolbook" w:hAnsi="Century Schoolbook"/>
        </w:rPr>
        <w:instrText xml:space="preserve"> ADDIN ZOTERO_ITEM CSL_CITATION {"citationID":"FZbXaWlI","properties":{"formattedCitation":"[21]","plainCitation":"[21]","noteIndex":0},"citationItems":[{"id":1275,"uris":["http://zotero.org/users/1170976/items/IDMQMFI7"],"uri":["http://zotero.org/users/1170976/items/IDMQMFI7"],"itemData":{"id":1275,"type":"book","ISBN":"978-92-9036-088-9","language":"English","note":"OCLC: 974025866","source":"Open WorldCat","title":"International ethical guidelines for health-related research involving humans","author":[{"literal":"Council for International Organizations of Medical Sciences"},{"literal":"World Health Organization"}],"issued":{"date-parts":[["2016"]]}}}],"schema":"https://github.com/citation-style-language/schema/raw/master/csl-citation.json"} </w:instrText>
      </w:r>
      <w:r w:rsidR="008E4187" w:rsidRPr="00B324F6">
        <w:rPr>
          <w:rFonts w:ascii="Century Schoolbook" w:hAnsi="Century Schoolbook"/>
        </w:rPr>
        <w:fldChar w:fldCharType="separate"/>
      </w:r>
      <w:r w:rsidR="007A2000" w:rsidRPr="00340371">
        <w:rPr>
          <w:rFonts w:ascii="Century Schoolbook" w:hAnsi="Century Schoolbook"/>
        </w:rPr>
        <w:t>[21]</w:t>
      </w:r>
      <w:r w:rsidR="008E4187" w:rsidRPr="00B324F6">
        <w:rPr>
          <w:rFonts w:ascii="Century Schoolbook" w:hAnsi="Century Schoolbook"/>
        </w:rPr>
        <w:fldChar w:fldCharType="end"/>
      </w:r>
      <w:r w:rsidRPr="00B324F6">
        <w:rPr>
          <w:rFonts w:ascii="Century Schoolbook" w:hAnsi="Century Schoolbook"/>
        </w:rPr>
        <w:t xml:space="preserve"> </w:t>
      </w:r>
      <w:r w:rsidR="00CE0E3C" w:rsidRPr="00B324F6">
        <w:rPr>
          <w:rFonts w:ascii="Century Schoolbook" w:hAnsi="Century Schoolbook"/>
        </w:rPr>
        <w:t xml:space="preserve">Given the lack of explanation differentiating ‘important’ from ‘ordinary’ social value, this term carries unnecessary ambiguity in relation to consent waivers. </w:t>
      </w:r>
      <w:r w:rsidR="008F4D13" w:rsidRPr="00B324F6">
        <w:rPr>
          <w:rFonts w:ascii="Century Schoolbook" w:hAnsi="Century Schoolbook"/>
        </w:rPr>
        <w:t>Additionally,</w:t>
      </w:r>
      <w:r w:rsidRPr="00B324F6">
        <w:rPr>
          <w:rFonts w:ascii="Century Schoolbook" w:hAnsi="Century Schoolbook"/>
        </w:rPr>
        <w:t xml:space="preserve"> CIOMS’ explication of social value is problematic because it distinguishes social value from other normative considerations that </w:t>
      </w:r>
      <w:r w:rsidR="003054DF" w:rsidRPr="00B324F6">
        <w:rPr>
          <w:rFonts w:ascii="Century Schoolbook" w:hAnsi="Century Schoolbook"/>
        </w:rPr>
        <w:t xml:space="preserve">should be </w:t>
      </w:r>
      <w:r w:rsidRPr="00B324F6">
        <w:rPr>
          <w:rFonts w:ascii="Century Schoolbook" w:hAnsi="Century Schoolbook"/>
        </w:rPr>
        <w:t xml:space="preserve">relevant when assessing the justification of a consent waiver. </w:t>
      </w:r>
      <w:proofErr w:type="gramStart"/>
      <w:r w:rsidRPr="00B324F6">
        <w:rPr>
          <w:rFonts w:ascii="Century Schoolbook" w:hAnsi="Century Schoolbook"/>
        </w:rPr>
        <w:t xml:space="preserve">In particular, </w:t>
      </w:r>
      <w:r w:rsidR="008669EC" w:rsidRPr="00B324F6">
        <w:rPr>
          <w:rFonts w:ascii="Century Schoolbook" w:hAnsi="Century Schoolbook"/>
        </w:rPr>
        <w:lastRenderedPageBreak/>
        <w:t>in</w:t>
      </w:r>
      <w:proofErr w:type="gramEnd"/>
      <w:r w:rsidR="008669EC" w:rsidRPr="00B324F6">
        <w:rPr>
          <w:rFonts w:ascii="Century Schoolbook" w:hAnsi="Century Schoolbook"/>
        </w:rPr>
        <w:t xml:space="preserve"> Guideline 1 CIOMS explicitly differentiates </w:t>
      </w:r>
      <w:r w:rsidRPr="00B324F6">
        <w:rPr>
          <w:rFonts w:ascii="Century Schoolbook" w:hAnsi="Century Schoolbook"/>
        </w:rPr>
        <w:t xml:space="preserve">promoting social value from protecting subjects’ rights. This </w:t>
      </w:r>
      <w:r w:rsidR="008669EC" w:rsidRPr="00B324F6">
        <w:rPr>
          <w:rFonts w:ascii="Century Schoolbook" w:hAnsi="Century Schoolbook"/>
        </w:rPr>
        <w:t xml:space="preserve">distinction </w:t>
      </w:r>
      <w:r w:rsidRPr="00B324F6">
        <w:rPr>
          <w:rFonts w:ascii="Century Schoolbook" w:hAnsi="Century Schoolbook"/>
        </w:rPr>
        <w:t xml:space="preserve">implies social value is relatively narrow in </w:t>
      </w:r>
      <w:r w:rsidR="008E118C">
        <w:rPr>
          <w:rFonts w:ascii="Century Schoolbook" w:hAnsi="Century Schoolbook"/>
        </w:rPr>
        <w:t xml:space="preserve">conceptual </w:t>
      </w:r>
      <w:r w:rsidRPr="00B324F6">
        <w:rPr>
          <w:rFonts w:ascii="Century Schoolbook" w:hAnsi="Century Schoolbook"/>
        </w:rPr>
        <w:t xml:space="preserve">scope, not encompassing the </w:t>
      </w:r>
      <w:r w:rsidRPr="00B324F6">
        <w:rPr>
          <w:rFonts w:ascii="Century Schoolbook" w:hAnsi="Century Schoolbook"/>
          <w:i/>
        </w:rPr>
        <w:t>rights</w:t>
      </w:r>
      <w:r w:rsidRPr="00B324F6">
        <w:rPr>
          <w:rFonts w:ascii="Century Schoolbook" w:hAnsi="Century Schoolbook"/>
        </w:rPr>
        <w:t xml:space="preserve"> of individuals. </w:t>
      </w:r>
      <w:r w:rsidR="00E74379" w:rsidRPr="00B324F6">
        <w:rPr>
          <w:rFonts w:ascii="Century Schoolbook" w:hAnsi="Century Schoolbook"/>
        </w:rPr>
        <w:t>As we argue in detail below, consent waivers should take account of a broad range of considerations, including the potential for the research to breach data subjects</w:t>
      </w:r>
      <w:r w:rsidR="003054DF" w:rsidRPr="00B324F6">
        <w:rPr>
          <w:rFonts w:ascii="Century Schoolbook" w:hAnsi="Century Schoolbook"/>
        </w:rPr>
        <w:t>’</w:t>
      </w:r>
      <w:r w:rsidR="00E74379" w:rsidRPr="00B324F6">
        <w:rPr>
          <w:rFonts w:ascii="Century Schoolbook" w:hAnsi="Century Schoolbook"/>
        </w:rPr>
        <w:t xml:space="preserve"> or others</w:t>
      </w:r>
      <w:r w:rsidR="003054DF" w:rsidRPr="00B324F6">
        <w:rPr>
          <w:rFonts w:ascii="Century Schoolbook" w:hAnsi="Century Schoolbook"/>
        </w:rPr>
        <w:t>’</w:t>
      </w:r>
      <w:r w:rsidR="00E74379" w:rsidRPr="00B324F6">
        <w:rPr>
          <w:rFonts w:ascii="Century Schoolbook" w:hAnsi="Century Schoolbook"/>
        </w:rPr>
        <w:t xml:space="preserve"> rights. As rights seem to be excluded from an assessment of social value, this term is too narrow to capture the normative work necessary </w:t>
      </w:r>
      <w:r w:rsidR="003054DF" w:rsidRPr="00B324F6">
        <w:rPr>
          <w:rFonts w:ascii="Century Schoolbook" w:hAnsi="Century Schoolbook"/>
        </w:rPr>
        <w:t xml:space="preserve">to </w:t>
      </w:r>
      <w:r w:rsidR="00E74379" w:rsidRPr="00B324F6">
        <w:rPr>
          <w:rFonts w:ascii="Century Schoolbook" w:hAnsi="Century Schoolbook"/>
        </w:rPr>
        <w:t>justify consent waivers.</w:t>
      </w:r>
      <w:r w:rsidR="008E118C" w:rsidRPr="00577B64">
        <w:rPr>
          <w:rStyle w:val="FootnoteReference"/>
        </w:rPr>
        <w:footnoteReference w:id="9"/>
      </w:r>
      <w:r w:rsidR="00426248">
        <w:rPr>
          <w:rFonts w:ascii="Century Schoolbook" w:hAnsi="Century Schoolbook"/>
        </w:rPr>
        <w:t xml:space="preserve"> Social value is therefore broad in its application across all clinical research; but its conceptual scope is narrower than public interest.</w:t>
      </w:r>
    </w:p>
    <w:p w14:paraId="1E199A3C" w14:textId="573EB388" w:rsidR="001074E4" w:rsidRPr="00B324F6" w:rsidRDefault="001074E4" w:rsidP="00B324F6">
      <w:pPr>
        <w:spacing w:after="0"/>
        <w:jc w:val="both"/>
        <w:rPr>
          <w:rFonts w:ascii="Century Schoolbook" w:hAnsi="Century Schoolbook"/>
        </w:rPr>
      </w:pPr>
    </w:p>
    <w:p w14:paraId="39D3E76A" w14:textId="56E40FA8" w:rsidR="00FF4355" w:rsidRPr="00B324F6" w:rsidRDefault="00FF4355" w:rsidP="00B324F6">
      <w:pPr>
        <w:spacing w:after="0"/>
        <w:jc w:val="both"/>
        <w:rPr>
          <w:rFonts w:ascii="Century Schoolbook" w:hAnsi="Century Schoolbook"/>
        </w:rPr>
      </w:pPr>
      <w:r w:rsidRPr="00B324F6">
        <w:rPr>
          <w:rFonts w:ascii="Century Schoolbook" w:hAnsi="Century Schoolbook"/>
        </w:rPr>
        <w:t xml:space="preserve">Similarly, ‘public benefit’ is problematic in this regard, insofar as it offers a relatively narrow account of what could justify consent waivers. Benefits relate to individuals or groups of individuals becoming better off – it is explicitly </w:t>
      </w:r>
      <w:proofErr w:type="spellStart"/>
      <w:r w:rsidRPr="00B324F6">
        <w:rPr>
          <w:rFonts w:ascii="Century Schoolbook" w:hAnsi="Century Schoolbook"/>
        </w:rPr>
        <w:t>welfarist</w:t>
      </w:r>
      <w:proofErr w:type="spellEnd"/>
      <w:r w:rsidRPr="00B324F6">
        <w:rPr>
          <w:rFonts w:ascii="Century Schoolbook" w:hAnsi="Century Schoolbook"/>
        </w:rPr>
        <w:t xml:space="preserve"> in this regard. Yet other values like distributional justice do not fall neatly into such a benefit rubric. Generating </w:t>
      </w:r>
      <w:r w:rsidR="00E4311B" w:rsidRPr="00B324F6">
        <w:rPr>
          <w:rFonts w:ascii="Century Schoolbook" w:hAnsi="Century Schoolbook"/>
        </w:rPr>
        <w:t xml:space="preserve">new </w:t>
      </w:r>
      <w:r w:rsidRPr="00B324F6">
        <w:rPr>
          <w:rFonts w:ascii="Century Schoolbook" w:hAnsi="Century Schoolbook"/>
        </w:rPr>
        <w:t xml:space="preserve">knowledge that </w:t>
      </w:r>
      <w:r w:rsidR="00E4311B" w:rsidRPr="00B324F6">
        <w:rPr>
          <w:rFonts w:ascii="Century Schoolbook" w:hAnsi="Century Schoolbook"/>
        </w:rPr>
        <w:t xml:space="preserve">helps address health inequity </w:t>
      </w:r>
      <w:r w:rsidRPr="00B324F6">
        <w:rPr>
          <w:rFonts w:ascii="Century Schoolbook" w:hAnsi="Century Schoolbook"/>
        </w:rPr>
        <w:t xml:space="preserve">without improving overall population-level benefit, </w:t>
      </w:r>
      <w:r w:rsidR="00E4311B" w:rsidRPr="00B324F6">
        <w:rPr>
          <w:rFonts w:ascii="Century Schoolbook" w:hAnsi="Century Schoolbook"/>
        </w:rPr>
        <w:t>sh</w:t>
      </w:r>
      <w:r w:rsidRPr="00B324F6">
        <w:rPr>
          <w:rFonts w:ascii="Century Schoolbook" w:hAnsi="Century Schoolbook"/>
        </w:rPr>
        <w:t>ould</w:t>
      </w:r>
      <w:r w:rsidR="00E4311B" w:rsidRPr="00B324F6">
        <w:rPr>
          <w:rFonts w:ascii="Century Schoolbook" w:hAnsi="Century Schoolbook"/>
        </w:rPr>
        <w:t xml:space="preserve"> be reasonable grounds for a consent waiver. </w:t>
      </w:r>
      <w:r w:rsidR="00E74379" w:rsidRPr="00B324F6">
        <w:rPr>
          <w:rFonts w:ascii="Century Schoolbook" w:hAnsi="Century Schoolbook"/>
        </w:rPr>
        <w:t>Justice and distributive concerns seem to fall outside the scope of ‘pubic benefit’ and this term is therefore too restrictive to reflect the full range of ethical considerations relevant to consent waivers.</w:t>
      </w:r>
    </w:p>
    <w:p w14:paraId="0D1144DA" w14:textId="705E1BA5" w:rsidR="00FF4355" w:rsidRPr="00B324F6" w:rsidRDefault="00FF4355" w:rsidP="00B324F6">
      <w:pPr>
        <w:spacing w:after="0"/>
        <w:jc w:val="both"/>
        <w:rPr>
          <w:rFonts w:ascii="Century Schoolbook" w:hAnsi="Century Schoolbook"/>
          <w:lang w:val="en-US"/>
        </w:rPr>
      </w:pPr>
    </w:p>
    <w:p w14:paraId="1A870A84" w14:textId="77777777" w:rsidR="00D652A6" w:rsidRPr="00B324F6" w:rsidRDefault="00D652A6" w:rsidP="00B324F6">
      <w:pPr>
        <w:spacing w:after="0"/>
        <w:jc w:val="both"/>
        <w:rPr>
          <w:rFonts w:ascii="Century Schoolbook" w:hAnsi="Century Schoolbook"/>
        </w:rPr>
      </w:pPr>
    </w:p>
    <w:p w14:paraId="3407ED67" w14:textId="2F3E9CC3" w:rsidR="00BB3AD1" w:rsidRPr="00B324F6" w:rsidRDefault="00BB3AD1" w:rsidP="00B324F6">
      <w:pPr>
        <w:spacing w:after="0"/>
        <w:jc w:val="both"/>
        <w:rPr>
          <w:rFonts w:ascii="Century Schoolbook" w:hAnsi="Century Schoolbook"/>
          <w:b/>
          <w:bCs/>
        </w:rPr>
      </w:pPr>
      <w:r w:rsidRPr="00B324F6">
        <w:rPr>
          <w:rFonts w:ascii="Century Schoolbook" w:hAnsi="Century Schoolbook"/>
          <w:b/>
          <w:bCs/>
        </w:rPr>
        <w:t xml:space="preserve">The </w:t>
      </w:r>
      <w:r w:rsidR="00067BAE" w:rsidRPr="00B324F6">
        <w:rPr>
          <w:rFonts w:ascii="Century Schoolbook" w:hAnsi="Century Schoolbook"/>
          <w:b/>
          <w:bCs/>
        </w:rPr>
        <w:t xml:space="preserve">role of the </w:t>
      </w:r>
      <w:r w:rsidR="003557E4" w:rsidRPr="00B324F6">
        <w:rPr>
          <w:rFonts w:ascii="Century Schoolbook" w:hAnsi="Century Schoolbook"/>
          <w:b/>
          <w:bCs/>
        </w:rPr>
        <w:t xml:space="preserve">public interest </w:t>
      </w:r>
      <w:r w:rsidR="00067BAE" w:rsidRPr="00B324F6">
        <w:rPr>
          <w:rFonts w:ascii="Century Schoolbook" w:hAnsi="Century Schoolbook"/>
          <w:b/>
          <w:bCs/>
        </w:rPr>
        <w:t>criterion</w:t>
      </w:r>
    </w:p>
    <w:p w14:paraId="6D113910" w14:textId="48C70343" w:rsidR="00BB3AD1" w:rsidRPr="00B324F6" w:rsidRDefault="00BB3AD1" w:rsidP="00B324F6">
      <w:pPr>
        <w:spacing w:after="0"/>
        <w:jc w:val="both"/>
        <w:rPr>
          <w:rFonts w:ascii="Century Schoolbook" w:hAnsi="Century Schoolbook"/>
        </w:rPr>
      </w:pPr>
    </w:p>
    <w:p w14:paraId="15D50346" w14:textId="711CB52E" w:rsidR="00BB3AD1" w:rsidRPr="00B324F6" w:rsidRDefault="008669EC" w:rsidP="00B324F6">
      <w:pPr>
        <w:spacing w:after="0"/>
        <w:jc w:val="both"/>
        <w:rPr>
          <w:rFonts w:ascii="Century Schoolbook" w:hAnsi="Century Schoolbook"/>
        </w:rPr>
      </w:pPr>
      <w:r w:rsidRPr="00B324F6">
        <w:rPr>
          <w:rFonts w:ascii="Century Schoolbook" w:hAnsi="Century Schoolbook"/>
        </w:rPr>
        <w:t xml:space="preserve">Our view is that the public interest criterion </w:t>
      </w:r>
      <w:r w:rsidR="00E74379" w:rsidRPr="00B324F6">
        <w:rPr>
          <w:rFonts w:ascii="Century Schoolbook" w:hAnsi="Century Schoolbook"/>
        </w:rPr>
        <w:t>best captures the</w:t>
      </w:r>
      <w:r w:rsidRPr="00B324F6">
        <w:rPr>
          <w:rFonts w:ascii="Century Schoolbook" w:hAnsi="Century Schoolbook"/>
        </w:rPr>
        <w:t xml:space="preserve"> primary normative justificatory force for granting consent waivers. </w:t>
      </w:r>
      <w:r w:rsidR="00BB3AD1" w:rsidRPr="00B324F6">
        <w:rPr>
          <w:rFonts w:ascii="Century Schoolbook" w:hAnsi="Century Schoolbook"/>
        </w:rPr>
        <w:t xml:space="preserve">In order to </w:t>
      </w:r>
      <w:r w:rsidR="003557E4" w:rsidRPr="00B324F6">
        <w:rPr>
          <w:rFonts w:ascii="Century Schoolbook" w:hAnsi="Century Schoolbook"/>
        </w:rPr>
        <w:t>better explicate the public interest criterion</w:t>
      </w:r>
      <w:r w:rsidR="00E263B8" w:rsidRPr="00B324F6">
        <w:rPr>
          <w:rFonts w:ascii="Century Schoolbook" w:hAnsi="Century Schoolbook"/>
        </w:rPr>
        <w:t xml:space="preserve">, we need to understand the purpose and function of the criterion in the context of waivers of consent. </w:t>
      </w:r>
    </w:p>
    <w:p w14:paraId="6C6058A3" w14:textId="47355BC0" w:rsidR="00E263B8" w:rsidRPr="00B324F6" w:rsidRDefault="00E263B8" w:rsidP="00B324F6">
      <w:pPr>
        <w:spacing w:after="0"/>
        <w:jc w:val="both"/>
        <w:rPr>
          <w:rFonts w:ascii="Century Schoolbook" w:hAnsi="Century Schoolbook"/>
        </w:rPr>
      </w:pPr>
    </w:p>
    <w:p w14:paraId="18CAD977" w14:textId="5FE3A098" w:rsidR="00CA7709" w:rsidRPr="00B324F6" w:rsidRDefault="00CA7709" w:rsidP="00B324F6">
      <w:pPr>
        <w:spacing w:after="0"/>
        <w:jc w:val="both"/>
        <w:rPr>
          <w:rFonts w:ascii="Century Schoolbook" w:hAnsi="Century Schoolbook"/>
        </w:rPr>
      </w:pPr>
      <w:r w:rsidRPr="00B324F6">
        <w:rPr>
          <w:rFonts w:ascii="Century Schoolbook" w:hAnsi="Century Schoolbook"/>
        </w:rPr>
        <w:t xml:space="preserve">Data research without consent needs some positive justification for the overriding of individuals’ privacy. By granting a waiver of consent to data access, there is an intrinsic privacy violation – sensitive information about individuals’ health is accessed or shared without their knowledge or permission. This poses some material risk to individuals, by increasing the possibility of a data breach due to dissemination of information beyond its original confines. But more importantly, it limits individuals’ autonomy by taking away their ability to control who has access to their health information. Because sharing identifiable data without consent carries some individual risk and impedes the rights of patients it must be justified. </w:t>
      </w:r>
    </w:p>
    <w:p w14:paraId="3A94BE5C" w14:textId="2E3674B6" w:rsidR="004C1C03" w:rsidRPr="00B324F6" w:rsidRDefault="004C1C03" w:rsidP="00B324F6">
      <w:pPr>
        <w:spacing w:after="0"/>
        <w:jc w:val="both"/>
        <w:rPr>
          <w:rFonts w:ascii="Century Schoolbook" w:hAnsi="Century Schoolbook"/>
        </w:rPr>
      </w:pPr>
    </w:p>
    <w:p w14:paraId="7A282CCD" w14:textId="4CEBF3F6" w:rsidR="004C1C03" w:rsidRPr="00B324F6" w:rsidRDefault="004C1C03" w:rsidP="00B324F6">
      <w:pPr>
        <w:spacing w:after="0"/>
        <w:jc w:val="both"/>
        <w:rPr>
          <w:rFonts w:ascii="Century Schoolbook" w:hAnsi="Century Schoolbook"/>
        </w:rPr>
      </w:pPr>
      <w:r w:rsidRPr="00B324F6">
        <w:rPr>
          <w:rFonts w:ascii="Century Schoolbook" w:hAnsi="Century Schoolbook"/>
        </w:rPr>
        <w:t>Gelinas, Wertheimer and Miller</w:t>
      </w:r>
      <w:r w:rsidR="00D35889" w:rsidRPr="00B324F6">
        <w:rPr>
          <w:rFonts w:ascii="Century Schoolbook" w:hAnsi="Century Schoolbook"/>
        </w:rPr>
        <w:t xml:space="preserve"> argue that not all research without consent impedes individuals’ rights. In contexts where there are no rights violations, there would be no need for a public interest criterion to be used. </w:t>
      </w:r>
      <w:proofErr w:type="gramStart"/>
      <w:r w:rsidR="00D35889" w:rsidRPr="00B324F6">
        <w:rPr>
          <w:rFonts w:ascii="Century Schoolbook" w:hAnsi="Century Schoolbook"/>
        </w:rPr>
        <w:t>That is to say, there</w:t>
      </w:r>
      <w:proofErr w:type="gramEnd"/>
      <w:r w:rsidR="00D35889" w:rsidRPr="00B324F6">
        <w:rPr>
          <w:rFonts w:ascii="Century Schoolbook" w:hAnsi="Century Schoolbook"/>
        </w:rPr>
        <w:t xml:space="preserve"> would be no autonomy limitation in need of justification. One example they give is for quality improvement </w:t>
      </w:r>
      <w:r w:rsidR="00D35889" w:rsidRPr="00B324F6">
        <w:rPr>
          <w:rFonts w:ascii="Century Schoolbook" w:hAnsi="Century Schoolbook"/>
        </w:rPr>
        <w:lastRenderedPageBreak/>
        <w:t xml:space="preserve">research, where institutions – not patients –presumably have a right of control. </w:t>
      </w:r>
      <w:r w:rsidR="00D35889" w:rsidRPr="00B324F6">
        <w:rPr>
          <w:rFonts w:ascii="Century Schoolbook" w:hAnsi="Century Schoolbook"/>
        </w:rPr>
        <w:fldChar w:fldCharType="begin"/>
      </w:r>
      <w:r w:rsidR="00D17BA1">
        <w:rPr>
          <w:rFonts w:ascii="Century Schoolbook" w:hAnsi="Century Schoolbook"/>
        </w:rPr>
        <w:instrText xml:space="preserve"> ADDIN ZOTERO_ITEM CSL_CITATION {"citationID":"8ti8Te6Z","properties":{"formattedCitation":"[12]","plainCitation":"[12]","noteIndex":0},"citationItems":[{"id":1822,"uris":["http://zotero.org/users/1170976/items/3NFF8KF5"],"uri":["http://zotero.org/users/1170976/items/3NFF8KF5"],"itemData":{"id":1822,"type":"article-journal","container-title":"Hastings Center Report","DOI":"10.1002/hast.548","ISSN":"00930334","issue":"2","language":"en","page":"35-43","source":"Crossref","title":"When and Why Is Research without Consent Permissible?","volume":"46","author":[{"family":"Gelinas","given":"Luke"},{"family":"Wertheimer","given":"Alan"},{"family":"Miller","given":"Franklin G."}],"issued":{"date-parts":[["2016",3]]}}}],"schema":"https://github.com/citation-style-language/schema/raw/master/csl-citation.json"} </w:instrText>
      </w:r>
      <w:r w:rsidR="00D35889" w:rsidRPr="00B324F6">
        <w:rPr>
          <w:rFonts w:ascii="Century Schoolbook" w:hAnsi="Century Schoolbook"/>
        </w:rPr>
        <w:fldChar w:fldCharType="separate"/>
      </w:r>
      <w:r w:rsidR="00877007" w:rsidRPr="00B324F6">
        <w:rPr>
          <w:rFonts w:ascii="Century Schoolbook" w:hAnsi="Century Schoolbook" w:cs="Calibri"/>
        </w:rPr>
        <w:t>[12]</w:t>
      </w:r>
      <w:r w:rsidR="00D35889" w:rsidRPr="00B324F6">
        <w:rPr>
          <w:rFonts w:ascii="Century Schoolbook" w:hAnsi="Century Schoolbook"/>
        </w:rPr>
        <w:fldChar w:fldCharType="end"/>
      </w:r>
      <w:r w:rsidR="00D35889" w:rsidRPr="00B324F6">
        <w:rPr>
          <w:rFonts w:ascii="Century Schoolbook" w:hAnsi="Century Schoolbook"/>
        </w:rPr>
        <w:t xml:space="preserve"> One difficulty with this analysis is that </w:t>
      </w:r>
      <w:r w:rsidR="00E35F7A" w:rsidRPr="00B324F6">
        <w:rPr>
          <w:rFonts w:ascii="Century Schoolbook" w:hAnsi="Century Schoolbook"/>
        </w:rPr>
        <w:t>it implies control</w:t>
      </w:r>
      <w:r w:rsidR="00D35889" w:rsidRPr="00B324F6">
        <w:rPr>
          <w:rFonts w:ascii="Century Schoolbook" w:hAnsi="Century Schoolbook"/>
        </w:rPr>
        <w:t xml:space="preserve"> </w:t>
      </w:r>
      <w:r w:rsidR="00E35F7A" w:rsidRPr="00B324F6">
        <w:rPr>
          <w:rFonts w:ascii="Century Schoolbook" w:hAnsi="Century Schoolbook"/>
        </w:rPr>
        <w:t>is</w:t>
      </w:r>
      <w:r w:rsidR="00D35889" w:rsidRPr="00B324F6">
        <w:rPr>
          <w:rFonts w:ascii="Century Schoolbook" w:hAnsi="Century Schoolbook"/>
        </w:rPr>
        <w:t xml:space="preserve"> mutually exclusive</w:t>
      </w:r>
      <w:r w:rsidR="00E35F7A" w:rsidRPr="00B324F6">
        <w:rPr>
          <w:rFonts w:ascii="Century Schoolbook" w:hAnsi="Century Schoolbook"/>
        </w:rPr>
        <w:t>, and if institutions maintain control</w:t>
      </w:r>
      <w:r w:rsidR="00E74379" w:rsidRPr="00B324F6">
        <w:rPr>
          <w:rFonts w:ascii="Century Schoolbook" w:hAnsi="Century Schoolbook"/>
        </w:rPr>
        <w:t xml:space="preserve"> of data patients are deemed to have no relevant interests or rights to control data. </w:t>
      </w:r>
      <w:r w:rsidR="00E35F7A" w:rsidRPr="00B324F6">
        <w:rPr>
          <w:rFonts w:ascii="Century Schoolbook" w:hAnsi="Century Schoolbook"/>
        </w:rPr>
        <w:t xml:space="preserve">Yet </w:t>
      </w:r>
      <w:r w:rsidR="00D35889" w:rsidRPr="00B324F6">
        <w:rPr>
          <w:rFonts w:ascii="Century Schoolbook" w:hAnsi="Century Schoolbook"/>
        </w:rPr>
        <w:t>insofar as patient</w:t>
      </w:r>
      <w:r w:rsidR="00E35F7A" w:rsidRPr="00B324F6">
        <w:rPr>
          <w:rFonts w:ascii="Century Schoolbook" w:hAnsi="Century Schoolbook"/>
        </w:rPr>
        <w:t xml:space="preserve"> health</w:t>
      </w:r>
      <w:r w:rsidR="00D35889" w:rsidRPr="00B324F6">
        <w:rPr>
          <w:rFonts w:ascii="Century Schoolbook" w:hAnsi="Century Schoolbook"/>
        </w:rPr>
        <w:t xml:space="preserve"> data is co-created by patients and institutions, both patients and institutions retain an interest in the </w:t>
      </w:r>
      <w:r w:rsidR="00E35F7A" w:rsidRPr="00B324F6">
        <w:rPr>
          <w:rFonts w:ascii="Century Schoolbook" w:hAnsi="Century Schoolbook"/>
        </w:rPr>
        <w:t>collective governance</w:t>
      </w:r>
      <w:r w:rsidR="00D35889" w:rsidRPr="00B324F6">
        <w:rPr>
          <w:rFonts w:ascii="Century Schoolbook" w:hAnsi="Century Schoolbook"/>
        </w:rPr>
        <w:t xml:space="preserve"> of that data. </w:t>
      </w:r>
      <w:r w:rsidR="00E35F7A" w:rsidRPr="00B324F6">
        <w:rPr>
          <w:rFonts w:ascii="Century Schoolbook" w:hAnsi="Century Schoolbook"/>
        </w:rPr>
        <w:fldChar w:fldCharType="begin"/>
      </w:r>
      <w:r w:rsidR="00AC3971">
        <w:rPr>
          <w:rFonts w:ascii="Century Schoolbook" w:hAnsi="Century Schoolbook"/>
        </w:rPr>
        <w:instrText xml:space="preserve"> ADDIN ZOTERO_ITEM CSL_CITATION {"citationID":"4OMdKqA3","properties":{"formattedCitation":"[53]","plainCitation":"[53]","noteIndex":0},"citationItems":[{"id":1820,"uris":["http://zotero.org/users/1170976/items/B9CZISGX"],"uri":["http://zotero.org/users/1170976/items/B9CZISGX"],"itemData":{"id":1820,"type":"article-journal","container-title":"Journal of Medical Ethics","DOI":"10.1136/medethics-2018-105340","ISSN":"0306-6800, 1473-4257","language":"en","page":"medethics-2018-105340","source":"Crossref","title":"How should we think about clinical data ownership?","author":[{"family":"Ballantyne","given":"Angela"}],"issued":{"date-parts":[["2020",1,7]]}}}],"schema":"https://github.com/citation-style-language/schema/raw/master/csl-citation.json"} </w:instrText>
      </w:r>
      <w:r w:rsidR="00E35F7A" w:rsidRPr="00B324F6">
        <w:rPr>
          <w:rFonts w:ascii="Century Schoolbook" w:hAnsi="Century Schoolbook"/>
        </w:rPr>
        <w:fldChar w:fldCharType="separate"/>
      </w:r>
      <w:r w:rsidR="00AC3971" w:rsidRPr="00AC3971">
        <w:rPr>
          <w:rFonts w:ascii="Calibri" w:hAnsi="Calibri" w:cs="Calibri"/>
        </w:rPr>
        <w:t>[53]</w:t>
      </w:r>
      <w:r w:rsidR="00E35F7A" w:rsidRPr="00B324F6">
        <w:rPr>
          <w:rFonts w:ascii="Century Schoolbook" w:hAnsi="Century Schoolbook"/>
        </w:rPr>
        <w:fldChar w:fldCharType="end"/>
      </w:r>
      <w:r w:rsidR="00E35F7A" w:rsidRPr="00B324F6">
        <w:rPr>
          <w:rFonts w:ascii="Century Schoolbook" w:hAnsi="Century Schoolbook"/>
        </w:rPr>
        <w:t xml:space="preserve"> Additionally, even quality improvement studies using health data will generally require a certain form of justification with reference the interests of patients served by the institution. For research studies that aim to benefit a much wider array of the public by generating generalisable knowledge, there will need to be a commensurate</w:t>
      </w:r>
      <w:r w:rsidR="003D018D" w:rsidRPr="00B324F6">
        <w:rPr>
          <w:rFonts w:ascii="Century Schoolbook" w:hAnsi="Century Schoolbook"/>
        </w:rPr>
        <w:t>ly broad</w:t>
      </w:r>
      <w:r w:rsidR="00E35F7A" w:rsidRPr="00B324F6">
        <w:rPr>
          <w:rFonts w:ascii="Century Schoolbook" w:hAnsi="Century Schoolbook"/>
        </w:rPr>
        <w:t xml:space="preserve"> justification that appeals to </w:t>
      </w:r>
      <w:r w:rsidR="003D018D" w:rsidRPr="00B324F6">
        <w:rPr>
          <w:rFonts w:ascii="Century Schoolbook" w:hAnsi="Century Schoolbook"/>
        </w:rPr>
        <w:t xml:space="preserve">the </w:t>
      </w:r>
      <w:r w:rsidR="00E35F7A" w:rsidRPr="00B324F6">
        <w:rPr>
          <w:rFonts w:ascii="Century Schoolbook" w:hAnsi="Century Schoolbook"/>
        </w:rPr>
        <w:t>public interest.</w:t>
      </w:r>
    </w:p>
    <w:p w14:paraId="080A0E19" w14:textId="77777777" w:rsidR="00CA7709" w:rsidRPr="00B324F6" w:rsidRDefault="00CA7709" w:rsidP="00B324F6">
      <w:pPr>
        <w:spacing w:after="0"/>
        <w:jc w:val="both"/>
        <w:rPr>
          <w:rFonts w:ascii="Century Schoolbook" w:hAnsi="Century Schoolbook"/>
        </w:rPr>
      </w:pPr>
    </w:p>
    <w:p w14:paraId="2D2FEBF7" w14:textId="12D4BE20" w:rsidR="00D652A6" w:rsidRPr="00B324F6" w:rsidRDefault="00E263B8" w:rsidP="00B324F6">
      <w:pPr>
        <w:spacing w:after="0"/>
        <w:jc w:val="both"/>
        <w:rPr>
          <w:rFonts w:ascii="Century Schoolbook" w:hAnsi="Century Schoolbook"/>
        </w:rPr>
      </w:pPr>
      <w:r w:rsidRPr="00B324F6">
        <w:rPr>
          <w:rFonts w:ascii="Century Schoolbook" w:hAnsi="Century Schoolbook"/>
        </w:rPr>
        <w:t>Importantly,</w:t>
      </w:r>
      <w:r w:rsidR="002C6FB9" w:rsidRPr="00B324F6">
        <w:rPr>
          <w:rFonts w:ascii="Century Schoolbook" w:hAnsi="Century Schoolbook"/>
        </w:rPr>
        <w:t xml:space="preserve"> public interest is only one of several </w:t>
      </w:r>
      <w:r w:rsidRPr="00B324F6">
        <w:rPr>
          <w:rFonts w:ascii="Century Schoolbook" w:hAnsi="Century Schoolbook"/>
        </w:rPr>
        <w:t>criteri</w:t>
      </w:r>
      <w:r w:rsidR="008E4187" w:rsidRPr="00B324F6">
        <w:rPr>
          <w:rFonts w:ascii="Century Schoolbook" w:hAnsi="Century Schoolbook"/>
        </w:rPr>
        <w:t>a</w:t>
      </w:r>
      <w:r w:rsidRPr="00B324F6">
        <w:rPr>
          <w:rFonts w:ascii="Century Schoolbook" w:hAnsi="Century Schoolbook"/>
        </w:rPr>
        <w:t xml:space="preserve"> </w:t>
      </w:r>
      <w:r w:rsidR="006A22FD" w:rsidRPr="00B324F6">
        <w:rPr>
          <w:rFonts w:ascii="Century Schoolbook" w:hAnsi="Century Schoolbook"/>
        </w:rPr>
        <w:t xml:space="preserve">that must </w:t>
      </w:r>
      <w:r w:rsidR="00CB2C31">
        <w:rPr>
          <w:rFonts w:ascii="Century Schoolbook" w:hAnsi="Century Schoolbook"/>
        </w:rPr>
        <w:t>typically</w:t>
      </w:r>
      <w:r w:rsidR="006520AA">
        <w:rPr>
          <w:rFonts w:ascii="Century Schoolbook" w:hAnsi="Century Schoolbook"/>
        </w:rPr>
        <w:t xml:space="preserve"> </w:t>
      </w:r>
      <w:r w:rsidR="006A22FD" w:rsidRPr="00B324F6">
        <w:rPr>
          <w:rFonts w:ascii="Century Schoolbook" w:hAnsi="Century Schoolbook"/>
        </w:rPr>
        <w:t xml:space="preserve">be met in the granting of </w:t>
      </w:r>
      <w:r w:rsidRPr="00B324F6">
        <w:rPr>
          <w:rFonts w:ascii="Century Schoolbook" w:hAnsi="Century Schoolbook"/>
        </w:rPr>
        <w:t>consent waivers</w:t>
      </w:r>
      <w:r w:rsidR="006A22FD" w:rsidRPr="00B324F6">
        <w:rPr>
          <w:rFonts w:ascii="Century Schoolbook" w:hAnsi="Century Schoolbook"/>
        </w:rPr>
        <w:t xml:space="preserve"> for data research. </w:t>
      </w:r>
      <w:proofErr w:type="gramStart"/>
      <w:r w:rsidR="006520AA">
        <w:rPr>
          <w:rFonts w:ascii="Century Schoolbook" w:hAnsi="Century Schoolbook"/>
        </w:rPr>
        <w:t>That is to say, p</w:t>
      </w:r>
      <w:r w:rsidR="0044488C">
        <w:rPr>
          <w:rFonts w:ascii="Century Schoolbook" w:hAnsi="Century Schoolbook"/>
        </w:rPr>
        <w:t>ublic</w:t>
      </w:r>
      <w:proofErr w:type="gramEnd"/>
      <w:r w:rsidR="0044488C">
        <w:rPr>
          <w:rFonts w:ascii="Century Schoolbook" w:hAnsi="Century Schoolbook"/>
        </w:rPr>
        <w:t xml:space="preserve"> interest </w:t>
      </w:r>
      <w:r w:rsidR="006520AA">
        <w:rPr>
          <w:rFonts w:ascii="Century Schoolbook" w:hAnsi="Century Schoolbook"/>
        </w:rPr>
        <w:t>is</w:t>
      </w:r>
      <w:r w:rsidR="008E118C">
        <w:rPr>
          <w:rFonts w:ascii="Century Schoolbook" w:hAnsi="Century Schoolbook"/>
        </w:rPr>
        <w:t xml:space="preserve"> </w:t>
      </w:r>
      <w:r w:rsidR="0044488C">
        <w:rPr>
          <w:rFonts w:ascii="Century Schoolbook" w:hAnsi="Century Schoolbook"/>
        </w:rPr>
        <w:t>a necessary</w:t>
      </w:r>
      <w:r w:rsidR="008E118C">
        <w:rPr>
          <w:rFonts w:ascii="Century Schoolbook" w:hAnsi="Century Schoolbook"/>
        </w:rPr>
        <w:t xml:space="preserve"> but not sufficient condition for </w:t>
      </w:r>
      <w:r w:rsidR="006520AA">
        <w:rPr>
          <w:rFonts w:ascii="Century Schoolbook" w:hAnsi="Century Schoolbook"/>
        </w:rPr>
        <w:t xml:space="preserve">granting </w:t>
      </w:r>
      <w:r w:rsidR="008E118C">
        <w:rPr>
          <w:rFonts w:ascii="Century Schoolbook" w:hAnsi="Century Schoolbook"/>
        </w:rPr>
        <w:t xml:space="preserve">consent waivers. </w:t>
      </w:r>
      <w:r w:rsidR="008E118C" w:rsidRPr="00B324F6">
        <w:rPr>
          <w:rFonts w:ascii="Century Schoolbook" w:hAnsi="Century Schoolbook"/>
        </w:rPr>
        <w:t xml:space="preserve">Other criteria will be familiar across many jurisdictions, particularly: 1) the research must be minimal risk; 2) obtaining consent is impracticable; and 3) identifiable data is needed to meet the study aims. </w:t>
      </w:r>
      <w:r w:rsidR="008E118C">
        <w:rPr>
          <w:rFonts w:ascii="Century Schoolbook" w:hAnsi="Century Schoolbook"/>
        </w:rPr>
        <w:t xml:space="preserve">But none of these criteria </w:t>
      </w:r>
      <w:r w:rsidR="00F4288A">
        <w:rPr>
          <w:rFonts w:ascii="Century Schoolbook" w:hAnsi="Century Schoolbook"/>
        </w:rPr>
        <w:t>provide a positive reason for the research</w:t>
      </w:r>
      <w:r w:rsidR="008E118C">
        <w:rPr>
          <w:rFonts w:ascii="Century Schoolbook" w:hAnsi="Century Schoolbook"/>
        </w:rPr>
        <w:t xml:space="preserve"> or allow for an assessment of the importance of the research relative to the risks. By contrast, t</w:t>
      </w:r>
      <w:r w:rsidR="00CA7709" w:rsidRPr="00B324F6">
        <w:rPr>
          <w:rFonts w:ascii="Century Schoolbook" w:hAnsi="Century Schoolbook"/>
        </w:rPr>
        <w:t xml:space="preserve">he public interest criterion does the normative work of positively justifying the consent waiver. </w:t>
      </w:r>
      <w:r w:rsidR="00067BAE" w:rsidRPr="00B324F6">
        <w:rPr>
          <w:rFonts w:ascii="Century Schoolbook" w:hAnsi="Century Schoolbook"/>
        </w:rPr>
        <w:t xml:space="preserve">By formally requiring studies to meet this criterion, IRBs/RECs can better ensure that data research without consent is ethically justifiable.  </w:t>
      </w:r>
    </w:p>
    <w:p w14:paraId="10FB1044" w14:textId="0AABC21E" w:rsidR="00067BAE" w:rsidRPr="00B324F6" w:rsidRDefault="00067BAE" w:rsidP="00B324F6">
      <w:pPr>
        <w:spacing w:after="0"/>
        <w:jc w:val="both"/>
        <w:rPr>
          <w:rFonts w:ascii="Century Schoolbook" w:hAnsi="Century Schoolbook"/>
        </w:rPr>
      </w:pPr>
    </w:p>
    <w:p w14:paraId="7A42C253" w14:textId="46D7001D" w:rsidR="00067BAE" w:rsidRPr="00B324F6" w:rsidRDefault="00735CE8" w:rsidP="00B324F6">
      <w:pPr>
        <w:spacing w:after="0"/>
        <w:jc w:val="both"/>
        <w:rPr>
          <w:rFonts w:ascii="Century Schoolbook" w:hAnsi="Century Schoolbook"/>
          <w:b/>
          <w:bCs/>
        </w:rPr>
      </w:pPr>
      <w:r w:rsidRPr="00B324F6">
        <w:rPr>
          <w:rFonts w:ascii="Century Schoolbook" w:hAnsi="Century Schoolbook"/>
          <w:b/>
          <w:bCs/>
        </w:rPr>
        <w:t>Scope of the public interest criterion</w:t>
      </w:r>
    </w:p>
    <w:p w14:paraId="50802E41" w14:textId="607B4AE7" w:rsidR="00067BAE" w:rsidRPr="00B324F6" w:rsidRDefault="00067BAE" w:rsidP="00B324F6">
      <w:pPr>
        <w:spacing w:after="0"/>
        <w:jc w:val="both"/>
        <w:rPr>
          <w:rFonts w:ascii="Century Schoolbook" w:hAnsi="Century Schoolbook"/>
        </w:rPr>
      </w:pPr>
    </w:p>
    <w:p w14:paraId="004F3D97" w14:textId="081E33C3" w:rsidR="003D3BD1" w:rsidRPr="00B324F6" w:rsidRDefault="00BD481F" w:rsidP="00B324F6">
      <w:pPr>
        <w:spacing w:after="0"/>
        <w:jc w:val="both"/>
        <w:rPr>
          <w:rFonts w:ascii="Century Schoolbook" w:hAnsi="Century Schoolbook"/>
        </w:rPr>
      </w:pPr>
      <w:r w:rsidRPr="00B324F6">
        <w:rPr>
          <w:rFonts w:ascii="Century Schoolbook" w:hAnsi="Century Schoolbook"/>
        </w:rPr>
        <w:t>W</w:t>
      </w:r>
      <w:r w:rsidR="00735CE8" w:rsidRPr="00B324F6">
        <w:rPr>
          <w:rFonts w:ascii="Century Schoolbook" w:hAnsi="Century Schoolbook"/>
        </w:rPr>
        <w:t xml:space="preserve">e should conceptualize the criterion in </w:t>
      </w:r>
      <w:r w:rsidR="00235199" w:rsidRPr="00B324F6">
        <w:rPr>
          <w:rFonts w:ascii="Century Schoolbook" w:hAnsi="Century Schoolbook"/>
        </w:rPr>
        <w:t>a wide, rather than narrow manner, both in terms of its normative content as well as the sorts of populations it covers.</w:t>
      </w:r>
      <w:r w:rsidR="003D3BD1" w:rsidRPr="00B324F6">
        <w:rPr>
          <w:rFonts w:ascii="Century Schoolbook" w:hAnsi="Century Schoolbook"/>
        </w:rPr>
        <w:t xml:space="preserve"> ‘Public interest’ is broader than public goods, public benefits or social value. </w:t>
      </w:r>
    </w:p>
    <w:p w14:paraId="5A72E3A8" w14:textId="77777777" w:rsidR="003D3BD1" w:rsidRPr="00B324F6" w:rsidRDefault="003D3BD1" w:rsidP="00B324F6">
      <w:pPr>
        <w:spacing w:after="0"/>
        <w:jc w:val="both"/>
        <w:rPr>
          <w:rFonts w:ascii="Century Schoolbook" w:hAnsi="Century Schoolbook"/>
        </w:rPr>
      </w:pPr>
    </w:p>
    <w:p w14:paraId="7CECC47D" w14:textId="188DB1B2" w:rsidR="007F6FA6" w:rsidRDefault="003D3BD1" w:rsidP="00B324F6">
      <w:pPr>
        <w:spacing w:after="0"/>
        <w:jc w:val="both"/>
        <w:rPr>
          <w:rFonts w:ascii="Century Schoolbook" w:hAnsi="Century Schoolbook"/>
        </w:rPr>
      </w:pPr>
      <w:r w:rsidRPr="00B324F6">
        <w:rPr>
          <w:rFonts w:ascii="Century Schoolbook" w:hAnsi="Century Schoolbook"/>
        </w:rPr>
        <w:t xml:space="preserve">Jurisdictions that have introduced a public interest criterion for consent waivers seek to ensure that IRBs/RECs consider the broad implications of allowing or preventing the research, both on the individual data subjects involved and the </w:t>
      </w:r>
      <w:r w:rsidR="00052D50" w:rsidRPr="00B324F6">
        <w:rPr>
          <w:rFonts w:ascii="Century Schoolbook" w:hAnsi="Century Schoolbook"/>
        </w:rPr>
        <w:t xml:space="preserve">wider </w:t>
      </w:r>
      <w:r w:rsidRPr="00B324F6">
        <w:rPr>
          <w:rFonts w:ascii="Century Schoolbook" w:hAnsi="Century Schoolbook"/>
        </w:rPr>
        <w:t xml:space="preserve">community.  A broad focus is particularly important in relation to consent waivers because IRBs/RECs are assessing the acceptability and importance of the research on behalf of the public. When participants have the option to consent for themselves, they </w:t>
      </w:r>
      <w:proofErr w:type="gramStart"/>
      <w:r w:rsidRPr="00B324F6">
        <w:rPr>
          <w:rFonts w:ascii="Century Schoolbook" w:hAnsi="Century Schoolbook"/>
        </w:rPr>
        <w:t>are able to</w:t>
      </w:r>
      <w:proofErr w:type="gramEnd"/>
      <w:r w:rsidRPr="00B324F6">
        <w:rPr>
          <w:rFonts w:ascii="Century Schoolbook" w:hAnsi="Century Schoolbook"/>
        </w:rPr>
        <w:t xml:space="preserve"> make a judgment about whether the risks and benefits of the research are acceptable to them. </w:t>
      </w:r>
      <w:r w:rsidR="007F6FA6">
        <w:rPr>
          <w:rFonts w:ascii="Century Schoolbook" w:hAnsi="Century Schoolbook"/>
        </w:rPr>
        <w:t xml:space="preserve">This judgment is morally transformative, in that it makes permissible (in conjunction with other necessary criteria) what would otherwise be impermissible through the exercise of the participant’s agency. </w:t>
      </w:r>
      <w:r w:rsidR="007F6FA6">
        <w:rPr>
          <w:rFonts w:ascii="Century Schoolbook" w:hAnsi="Century Schoolbook"/>
        </w:rPr>
        <w:fldChar w:fldCharType="begin"/>
      </w:r>
      <w:r w:rsidR="00AC3971">
        <w:rPr>
          <w:rFonts w:ascii="Century Schoolbook" w:hAnsi="Century Schoolbook"/>
        </w:rPr>
        <w:instrText xml:space="preserve"> ADDIN ZOTERO_ITEM CSL_CITATION {"citationID":"KNFlkrqa","properties":{"formattedCitation":"[54]","plainCitation":"[54]","noteIndex":0},"citationItems":[{"id":1858,"uris":["http://zotero.org/users/1170976/items/6DYUDWB7"],"uri":["http://zotero.org/users/1170976/items/6DYUDWB7"],"itemData":{"id":1858,"type":"article-journal","container-title":"Legal Theory","DOI":"10.1017/S1352325200000434","ISSN":"1352-3252, 1469-8048","issue":"2","language":"en","page":"121-146","source":"Crossref","title":"The Moral Magic of Consent","volume":"2","author":[{"family":"Hurd","given":"Heidi M."}],"issued":{"date-parts":[["1996",6]]}}}],"schema":"https://github.com/citation-style-language/schema/raw/master/csl-citation.json"} </w:instrText>
      </w:r>
      <w:r w:rsidR="007F6FA6">
        <w:rPr>
          <w:rFonts w:ascii="Century Schoolbook" w:hAnsi="Century Schoolbook"/>
        </w:rPr>
        <w:fldChar w:fldCharType="separate"/>
      </w:r>
      <w:r w:rsidR="00AC3971" w:rsidRPr="00AC3971">
        <w:rPr>
          <w:rFonts w:ascii="Calibri" w:hAnsi="Calibri" w:cs="Calibri"/>
        </w:rPr>
        <w:t>[54]</w:t>
      </w:r>
      <w:r w:rsidR="007F6FA6">
        <w:rPr>
          <w:rFonts w:ascii="Century Schoolbook" w:hAnsi="Century Schoolbook"/>
        </w:rPr>
        <w:fldChar w:fldCharType="end"/>
      </w:r>
    </w:p>
    <w:p w14:paraId="4746EB8B" w14:textId="77777777" w:rsidR="007F6FA6" w:rsidRDefault="007F6FA6" w:rsidP="00B324F6">
      <w:pPr>
        <w:spacing w:after="0"/>
        <w:jc w:val="both"/>
        <w:rPr>
          <w:rFonts w:ascii="Century Schoolbook" w:hAnsi="Century Schoolbook"/>
        </w:rPr>
      </w:pPr>
    </w:p>
    <w:p w14:paraId="760A3BD2" w14:textId="5524BCA8" w:rsidR="00067BAE" w:rsidRDefault="003D3BD1" w:rsidP="00B324F6">
      <w:pPr>
        <w:spacing w:after="0"/>
        <w:jc w:val="both"/>
        <w:rPr>
          <w:rFonts w:ascii="Century Schoolbook" w:hAnsi="Century Schoolbook"/>
        </w:rPr>
      </w:pPr>
      <w:r w:rsidRPr="00B324F6">
        <w:rPr>
          <w:rFonts w:ascii="Century Schoolbook" w:hAnsi="Century Schoolbook"/>
        </w:rPr>
        <w:t xml:space="preserve">However, where consent is not sought, </w:t>
      </w:r>
      <w:r w:rsidR="007F6FA6">
        <w:rPr>
          <w:rFonts w:ascii="Century Schoolbook" w:hAnsi="Century Schoolbook"/>
        </w:rPr>
        <w:t>moral trans</w:t>
      </w:r>
      <w:r w:rsidR="005205D5">
        <w:rPr>
          <w:rFonts w:ascii="Century Schoolbook" w:hAnsi="Century Schoolbook"/>
        </w:rPr>
        <w:t>formation</w:t>
      </w:r>
      <w:r w:rsidRPr="00B324F6">
        <w:rPr>
          <w:rFonts w:ascii="Century Schoolbook" w:hAnsi="Century Schoolbook"/>
        </w:rPr>
        <w:t xml:space="preserve"> falls exclusively on the shoulders of the IRB/REC</w:t>
      </w:r>
      <w:r w:rsidR="007F6FA6">
        <w:rPr>
          <w:rFonts w:ascii="Century Schoolbook" w:hAnsi="Century Schoolbook"/>
        </w:rPr>
        <w:t>.</w:t>
      </w:r>
      <w:r w:rsidRPr="00B324F6">
        <w:rPr>
          <w:rFonts w:ascii="Century Schoolbook" w:hAnsi="Century Schoolbook"/>
        </w:rPr>
        <w:t xml:space="preserve"> </w:t>
      </w:r>
      <w:r w:rsidR="007F6FA6" w:rsidRPr="00B324F6">
        <w:rPr>
          <w:rFonts w:ascii="Century Schoolbook" w:hAnsi="Century Schoolbook"/>
        </w:rPr>
        <w:t xml:space="preserve"> </w:t>
      </w:r>
      <w:r w:rsidR="005205D5">
        <w:rPr>
          <w:rFonts w:ascii="Century Schoolbook" w:hAnsi="Century Schoolbook"/>
        </w:rPr>
        <w:t xml:space="preserve">The transformation is no longer a reflection of the agency of the data or tissue subject, but instead </w:t>
      </w:r>
      <w:r w:rsidR="00CB2C31">
        <w:rPr>
          <w:rFonts w:ascii="Century Schoolbook" w:hAnsi="Century Schoolbook"/>
        </w:rPr>
        <w:t xml:space="preserve">reflects the </w:t>
      </w:r>
      <w:r w:rsidR="005205D5">
        <w:rPr>
          <w:rFonts w:ascii="Century Schoolbook" w:hAnsi="Century Schoolbook"/>
        </w:rPr>
        <w:t>judgments of a duly appointed body tasked with evaluating the public interest of a study</w:t>
      </w:r>
      <w:r w:rsidR="00CB2C31">
        <w:rPr>
          <w:rFonts w:ascii="Century Schoolbook" w:hAnsi="Century Schoolbook"/>
        </w:rPr>
        <w:t xml:space="preserve"> (</w:t>
      </w:r>
      <w:r w:rsidR="005205D5">
        <w:rPr>
          <w:rFonts w:ascii="Century Schoolbook" w:hAnsi="Century Schoolbook"/>
        </w:rPr>
        <w:t>among other things</w:t>
      </w:r>
      <w:r w:rsidR="00CB2C31">
        <w:rPr>
          <w:rFonts w:ascii="Century Schoolbook" w:hAnsi="Century Schoolbook"/>
        </w:rPr>
        <w:t>)</w:t>
      </w:r>
      <w:r w:rsidR="005205D5">
        <w:rPr>
          <w:rFonts w:ascii="Century Schoolbook" w:hAnsi="Century Schoolbook"/>
        </w:rPr>
        <w:t xml:space="preserve">. </w:t>
      </w:r>
      <w:r w:rsidR="007F6FA6">
        <w:rPr>
          <w:rFonts w:ascii="Century Schoolbook" w:hAnsi="Century Schoolbook"/>
        </w:rPr>
        <w:t xml:space="preserve">As such, </w:t>
      </w:r>
      <w:r w:rsidRPr="00B324F6">
        <w:rPr>
          <w:rFonts w:ascii="Century Schoolbook" w:hAnsi="Century Schoolbook"/>
        </w:rPr>
        <w:t>their assessment of the interests, rights, risks and benefits involved must be broader and more substantial</w:t>
      </w:r>
      <w:r w:rsidR="007F6FA6">
        <w:rPr>
          <w:rFonts w:ascii="Century Schoolbook" w:hAnsi="Century Schoolbook"/>
        </w:rPr>
        <w:t xml:space="preserve"> than what an individual participant might consider</w:t>
      </w:r>
      <w:r w:rsidRPr="00B324F6">
        <w:rPr>
          <w:rFonts w:ascii="Century Schoolbook" w:hAnsi="Century Schoolbook"/>
        </w:rPr>
        <w:t>.</w:t>
      </w:r>
    </w:p>
    <w:p w14:paraId="7CE53C2B" w14:textId="4C68E761" w:rsidR="007329B4" w:rsidRDefault="007329B4" w:rsidP="00B324F6">
      <w:pPr>
        <w:spacing w:after="0"/>
        <w:jc w:val="both"/>
        <w:rPr>
          <w:rFonts w:ascii="Century Schoolbook" w:hAnsi="Century Schoolbook"/>
        </w:rPr>
      </w:pPr>
    </w:p>
    <w:p w14:paraId="6F815DE2" w14:textId="79BF2376" w:rsidR="007329B4" w:rsidRPr="00B324F6" w:rsidRDefault="007F6FA6" w:rsidP="00F4288A">
      <w:pPr>
        <w:spacing w:after="0"/>
        <w:jc w:val="both"/>
        <w:rPr>
          <w:rFonts w:ascii="Century Schoolbook" w:hAnsi="Century Schoolbook"/>
        </w:rPr>
      </w:pPr>
      <w:r>
        <w:rPr>
          <w:rFonts w:ascii="Century Schoolbook" w:hAnsi="Century Schoolbook"/>
        </w:rPr>
        <w:t>So, while consent and the public interest criterion</w:t>
      </w:r>
      <w:r w:rsidR="007329B4">
        <w:rPr>
          <w:rFonts w:ascii="Century Schoolbook" w:hAnsi="Century Schoolbook"/>
        </w:rPr>
        <w:t xml:space="preserve"> </w:t>
      </w:r>
      <w:r w:rsidR="00F4288A">
        <w:rPr>
          <w:rFonts w:ascii="Century Schoolbook" w:hAnsi="Century Schoolbook"/>
        </w:rPr>
        <w:t xml:space="preserve">may </w:t>
      </w:r>
      <w:r w:rsidR="007329B4">
        <w:rPr>
          <w:rFonts w:ascii="Century Schoolbook" w:hAnsi="Century Schoolbook"/>
        </w:rPr>
        <w:t xml:space="preserve">perform </w:t>
      </w:r>
      <w:r w:rsidR="00F4288A">
        <w:rPr>
          <w:rFonts w:ascii="Century Schoolbook" w:hAnsi="Century Schoolbook"/>
        </w:rPr>
        <w:t>overlapping</w:t>
      </w:r>
      <w:r w:rsidR="007329B4">
        <w:rPr>
          <w:rFonts w:ascii="Century Schoolbook" w:hAnsi="Century Schoolbook"/>
        </w:rPr>
        <w:t xml:space="preserve"> ethical functions</w:t>
      </w:r>
      <w:r>
        <w:rPr>
          <w:rFonts w:ascii="Century Schoolbook" w:hAnsi="Century Schoolbook"/>
        </w:rPr>
        <w:t xml:space="preserve"> </w:t>
      </w:r>
      <w:r w:rsidR="005205D5">
        <w:rPr>
          <w:rFonts w:ascii="Century Schoolbook" w:hAnsi="Century Schoolbook"/>
        </w:rPr>
        <w:t>of moral transformation</w:t>
      </w:r>
      <w:r w:rsidR="00F4288A">
        <w:rPr>
          <w:rFonts w:ascii="Century Schoolbook" w:hAnsi="Century Schoolbook"/>
        </w:rPr>
        <w:t>,</w:t>
      </w:r>
      <w:r w:rsidR="007329B4">
        <w:rPr>
          <w:rFonts w:ascii="Century Schoolbook" w:hAnsi="Century Schoolbook"/>
        </w:rPr>
        <w:t xml:space="preserve"> they are different tests. When </w:t>
      </w:r>
      <w:r>
        <w:rPr>
          <w:rFonts w:ascii="Century Schoolbook" w:hAnsi="Century Schoolbook"/>
        </w:rPr>
        <w:t>deciding whether to provide consent,</w:t>
      </w:r>
      <w:r w:rsidR="007329B4">
        <w:rPr>
          <w:rFonts w:ascii="Century Schoolbook" w:hAnsi="Century Schoolbook"/>
        </w:rPr>
        <w:t xml:space="preserve"> the participant may </w:t>
      </w:r>
      <w:r>
        <w:rPr>
          <w:rFonts w:ascii="Century Schoolbook" w:hAnsi="Century Schoolbook"/>
        </w:rPr>
        <w:t>dismiss claims of social benefit</w:t>
      </w:r>
      <w:r w:rsidR="007329B4">
        <w:rPr>
          <w:rFonts w:ascii="Century Schoolbook" w:hAnsi="Century Schoolbook"/>
        </w:rPr>
        <w:t>, reject</w:t>
      </w:r>
      <w:r>
        <w:rPr>
          <w:rFonts w:ascii="Century Schoolbook" w:hAnsi="Century Schoolbook"/>
        </w:rPr>
        <w:t xml:space="preserve"> without explanation</w:t>
      </w:r>
      <w:r w:rsidR="007329B4">
        <w:rPr>
          <w:rFonts w:ascii="Century Schoolbook" w:hAnsi="Century Schoolbook"/>
        </w:rPr>
        <w:t xml:space="preserve"> certain considerations as relevant and give </w:t>
      </w:r>
      <w:r w:rsidR="005205D5">
        <w:rPr>
          <w:rFonts w:ascii="Century Schoolbook" w:hAnsi="Century Schoolbook"/>
        </w:rPr>
        <w:t>idiosyncratic</w:t>
      </w:r>
      <w:r>
        <w:rPr>
          <w:rFonts w:ascii="Century Schoolbook" w:hAnsi="Century Schoolbook"/>
        </w:rPr>
        <w:t xml:space="preserve"> </w:t>
      </w:r>
      <w:r w:rsidR="007329B4">
        <w:rPr>
          <w:rFonts w:ascii="Century Schoolbook" w:hAnsi="Century Schoolbook"/>
        </w:rPr>
        <w:t>weight</w:t>
      </w:r>
      <w:r w:rsidR="005205D5">
        <w:rPr>
          <w:rFonts w:ascii="Century Schoolbook" w:hAnsi="Century Schoolbook"/>
        </w:rPr>
        <w:t>age</w:t>
      </w:r>
      <w:r w:rsidR="007329B4">
        <w:rPr>
          <w:rFonts w:ascii="Century Schoolbook" w:hAnsi="Century Schoolbook"/>
        </w:rPr>
        <w:t xml:space="preserve"> to specific considerations (for example, </w:t>
      </w:r>
      <w:r w:rsidR="00F4288A">
        <w:rPr>
          <w:rFonts w:ascii="Century Schoolbook" w:hAnsi="Century Schoolbook"/>
        </w:rPr>
        <w:t>whether</w:t>
      </w:r>
      <w:r w:rsidR="007329B4">
        <w:rPr>
          <w:rFonts w:ascii="Century Schoolbook" w:hAnsi="Century Schoolbook"/>
        </w:rPr>
        <w:t xml:space="preserve"> needles involved).  The public interest test by comparison </w:t>
      </w:r>
      <w:r w:rsidR="00F4288A">
        <w:rPr>
          <w:rFonts w:ascii="Century Schoolbook" w:hAnsi="Century Schoolbook"/>
        </w:rPr>
        <w:t>requires</w:t>
      </w:r>
      <w:r w:rsidR="007329B4">
        <w:rPr>
          <w:rFonts w:ascii="Century Schoolbook" w:hAnsi="Century Schoolbook"/>
        </w:rPr>
        <w:t xml:space="preserve"> consider</w:t>
      </w:r>
      <w:r w:rsidR="00F4288A">
        <w:rPr>
          <w:rFonts w:ascii="Century Schoolbook" w:hAnsi="Century Schoolbook"/>
        </w:rPr>
        <w:t>ation of</w:t>
      </w:r>
      <w:r w:rsidR="007329B4">
        <w:rPr>
          <w:rFonts w:ascii="Century Schoolbook" w:hAnsi="Century Schoolbook"/>
        </w:rPr>
        <w:t xml:space="preserve"> </w:t>
      </w:r>
      <w:r w:rsidR="00F4288A">
        <w:rPr>
          <w:rFonts w:ascii="Century Schoolbook" w:hAnsi="Century Schoolbook"/>
        </w:rPr>
        <w:t>more general interests. Because it takes into consideration the interests of a range of affected individuals and groups with diverse values, commitments and circumstances, evaluation of the public interest</w:t>
      </w:r>
      <w:r w:rsidR="007329B4">
        <w:rPr>
          <w:rFonts w:ascii="Century Schoolbook" w:hAnsi="Century Schoolbook"/>
        </w:rPr>
        <w:t xml:space="preserve"> </w:t>
      </w:r>
      <w:r w:rsidR="00F4288A">
        <w:rPr>
          <w:rFonts w:ascii="Century Schoolbook" w:hAnsi="Century Schoolbook"/>
        </w:rPr>
        <w:t>must abide by procedural norms of publicity such as</w:t>
      </w:r>
      <w:r w:rsidR="007329B4">
        <w:rPr>
          <w:rFonts w:ascii="Century Schoolbook" w:hAnsi="Century Schoolbook"/>
        </w:rPr>
        <w:t xml:space="preserve"> reasonableness and transparency. </w:t>
      </w:r>
      <w:r w:rsidR="008E281B">
        <w:rPr>
          <w:rFonts w:ascii="Century Schoolbook" w:hAnsi="Century Schoolbook"/>
        </w:rPr>
        <w:fldChar w:fldCharType="begin"/>
      </w:r>
      <w:r w:rsidR="00AC3971">
        <w:rPr>
          <w:rFonts w:ascii="Century Schoolbook" w:hAnsi="Century Schoolbook"/>
        </w:rPr>
        <w:instrText xml:space="preserve"> ADDIN ZOTERO_ITEM CSL_CITATION {"citationID":"zs3erN4d","properties":{"formattedCitation":"[55]","plainCitation":"[55]","noteIndex":0},"citationItems":[{"id":1610,"uris":["http://zotero.org/users/1170976/items/THSNAS98"],"uri":["http://zotero.org/users/1170976/items/THSNAS98"],"itemData":{"id":1610,"type":"article-journal","container-title":"BMJ","DOI":"10.1136/bmj.321.7272.1300","ISSN":"0959-8138, 1468-5833","issue":"7272","language":"en","page":"1300-1301","source":"Crossref","title":"Accountability for reasonableness","volume":"321","author":[{"family":"Daniels","given":"N."}],"issued":{"date-parts":[["2000",11,25]]}}}],"schema":"https://github.com/citation-style-language/schema/raw/master/csl-citation.json"} </w:instrText>
      </w:r>
      <w:r w:rsidR="008E281B">
        <w:rPr>
          <w:rFonts w:ascii="Century Schoolbook" w:hAnsi="Century Schoolbook"/>
        </w:rPr>
        <w:fldChar w:fldCharType="separate"/>
      </w:r>
      <w:r w:rsidR="00AC3971" w:rsidRPr="00AC3971">
        <w:rPr>
          <w:rFonts w:ascii="Century Schoolbook" w:hAnsi="Century Schoolbook"/>
        </w:rPr>
        <w:t>[55]</w:t>
      </w:r>
      <w:r w:rsidR="008E281B">
        <w:rPr>
          <w:rFonts w:ascii="Century Schoolbook" w:hAnsi="Century Schoolbook"/>
        </w:rPr>
        <w:fldChar w:fldCharType="end"/>
      </w:r>
    </w:p>
    <w:p w14:paraId="654139C1" w14:textId="77777777" w:rsidR="00454F2F" w:rsidRPr="00B324F6" w:rsidRDefault="00454F2F" w:rsidP="00B324F6">
      <w:pPr>
        <w:spacing w:after="0"/>
        <w:jc w:val="both"/>
        <w:rPr>
          <w:rFonts w:ascii="Century Schoolbook" w:hAnsi="Century Schoolbook"/>
        </w:rPr>
      </w:pPr>
    </w:p>
    <w:p w14:paraId="22C87228" w14:textId="1FB3A562" w:rsidR="00454F2F" w:rsidRPr="00B324F6" w:rsidRDefault="00454F2F" w:rsidP="00B324F6">
      <w:pPr>
        <w:spacing w:after="0"/>
        <w:jc w:val="both"/>
        <w:rPr>
          <w:rFonts w:ascii="Century Schoolbook" w:hAnsi="Century Schoolbook"/>
          <w:i/>
          <w:iCs/>
        </w:rPr>
      </w:pPr>
      <w:r w:rsidRPr="00B324F6">
        <w:rPr>
          <w:rFonts w:ascii="Century Schoolbook" w:hAnsi="Century Schoolbook"/>
          <w:i/>
          <w:iCs/>
        </w:rPr>
        <w:t>Wide normative scope</w:t>
      </w:r>
    </w:p>
    <w:p w14:paraId="49DC6516" w14:textId="12519E06" w:rsidR="00454F2F" w:rsidRPr="00B324F6" w:rsidRDefault="00454F2F" w:rsidP="00B324F6">
      <w:pPr>
        <w:spacing w:after="0"/>
        <w:jc w:val="both"/>
        <w:rPr>
          <w:rFonts w:ascii="Century Schoolbook" w:hAnsi="Century Schoolbook"/>
        </w:rPr>
      </w:pPr>
    </w:p>
    <w:p w14:paraId="6027F7C9" w14:textId="2EA47C14" w:rsidR="00454F2F" w:rsidRPr="00B324F6" w:rsidRDefault="00454F2F" w:rsidP="00B324F6">
      <w:pPr>
        <w:spacing w:after="0"/>
        <w:jc w:val="both"/>
        <w:rPr>
          <w:rFonts w:ascii="Century Schoolbook" w:hAnsi="Century Schoolbook"/>
        </w:rPr>
      </w:pPr>
      <w:r w:rsidRPr="00B324F6">
        <w:rPr>
          <w:rFonts w:ascii="Century Schoolbook" w:hAnsi="Century Schoolbook"/>
        </w:rPr>
        <w:t xml:space="preserve">Ethical justifications may appeal to a wide variety of normative factors, such as welfare, distribution, human rights, respect, and so forth. Most </w:t>
      </w:r>
      <w:r w:rsidR="00C9666E" w:rsidRPr="00B324F6">
        <w:rPr>
          <w:rFonts w:ascii="Century Schoolbook" w:hAnsi="Century Schoolbook"/>
        </w:rPr>
        <w:t>health</w:t>
      </w:r>
      <w:r w:rsidRPr="00B324F6">
        <w:rPr>
          <w:rFonts w:ascii="Century Schoolbook" w:hAnsi="Century Schoolbook"/>
        </w:rPr>
        <w:t xml:space="preserve"> research, insofar as it aims to generate knowledge that may be used to improve health, will at least be seeking to advance well-being. But it may also attempt to alleviate unjust distributions by addressing neglected diseases</w:t>
      </w:r>
      <w:r w:rsidR="00052D50" w:rsidRPr="00B324F6">
        <w:rPr>
          <w:rFonts w:ascii="Century Schoolbook" w:hAnsi="Century Schoolbook"/>
        </w:rPr>
        <w:t xml:space="preserve">, </w:t>
      </w:r>
      <w:r w:rsidRPr="00B324F6">
        <w:rPr>
          <w:rFonts w:ascii="Century Schoolbook" w:hAnsi="Century Schoolbook"/>
        </w:rPr>
        <w:t xml:space="preserve">underserved </w:t>
      </w:r>
      <w:r w:rsidR="00052D50" w:rsidRPr="00B324F6">
        <w:rPr>
          <w:rFonts w:ascii="Century Schoolbook" w:hAnsi="Century Schoolbook"/>
        </w:rPr>
        <w:t xml:space="preserve">or marginalised </w:t>
      </w:r>
      <w:r w:rsidRPr="00B324F6">
        <w:rPr>
          <w:rFonts w:ascii="Century Schoolbook" w:hAnsi="Century Schoolbook"/>
        </w:rPr>
        <w:t>populations</w:t>
      </w:r>
      <w:r w:rsidR="00BD481F" w:rsidRPr="00B324F6">
        <w:rPr>
          <w:rFonts w:ascii="Century Schoolbook" w:hAnsi="Century Schoolbook"/>
        </w:rPr>
        <w:t>;</w:t>
      </w:r>
      <w:r w:rsidRPr="00B324F6">
        <w:rPr>
          <w:rFonts w:ascii="Century Schoolbook" w:hAnsi="Century Schoolbook"/>
        </w:rPr>
        <w:t xml:space="preserve"> or advance </w:t>
      </w:r>
      <w:r w:rsidR="00C9666E" w:rsidRPr="00B324F6">
        <w:rPr>
          <w:rFonts w:ascii="Century Schoolbook" w:hAnsi="Century Schoolbook"/>
        </w:rPr>
        <w:t xml:space="preserve">human </w:t>
      </w:r>
      <w:r w:rsidRPr="00B324F6">
        <w:rPr>
          <w:rFonts w:ascii="Century Schoolbook" w:hAnsi="Century Schoolbook"/>
        </w:rPr>
        <w:t xml:space="preserve">rights by uncovering </w:t>
      </w:r>
      <w:r w:rsidR="00C9666E" w:rsidRPr="00B324F6">
        <w:rPr>
          <w:rFonts w:ascii="Century Schoolbook" w:hAnsi="Century Schoolbook"/>
        </w:rPr>
        <w:t>failures of states to live up to their obligations.</w:t>
      </w:r>
      <w:r w:rsidR="008E4187" w:rsidRPr="00B324F6">
        <w:rPr>
          <w:rFonts w:ascii="Century Schoolbook" w:hAnsi="Century Schoolbook"/>
        </w:rPr>
        <w:t xml:space="preserve"> </w:t>
      </w:r>
      <w:r w:rsidR="003054DF" w:rsidRPr="00B324F6" w:rsidDel="008F4D13">
        <w:rPr>
          <w:rFonts w:ascii="Century Schoolbook" w:hAnsi="Century Schoolbook"/>
          <w:lang w:val="en-US"/>
        </w:rPr>
        <w:t xml:space="preserve">Indeed, ‘public interest’ may be particularly consonant with the human rights considerations, given prominent accounts of human rights are grounded in our interests. </w:t>
      </w:r>
      <w:r w:rsidR="003054DF" w:rsidRPr="00B324F6" w:rsidDel="008F4D13">
        <w:rPr>
          <w:rFonts w:ascii="Century Schoolbook" w:hAnsi="Century Schoolbook"/>
          <w:lang w:val="en-US"/>
        </w:rPr>
        <w:fldChar w:fldCharType="begin"/>
      </w:r>
      <w:r w:rsidR="00AC3971">
        <w:rPr>
          <w:rFonts w:ascii="Century Schoolbook" w:hAnsi="Century Schoolbook"/>
          <w:lang w:val="en-US"/>
        </w:rPr>
        <w:instrText xml:space="preserve"> ADDIN ZOTERO_ITEM CSL_CITATION {"citationID":"FDEQ7ezH","properties":{"formattedCitation":"[56]","plainCitation":"[56]","noteIndex":0},"citationItems":[{"id":1206,"uris":["http://zotero.org/users/1170976/items/V9R7K6WA"],"uri":["http://zotero.org/users/1170976/items/V9R7K6WA"],"itemData":{"id":1206,"type":"book","call-number":"K460 .F57 2011","collection-title":"Clarendon law series","edition":"2nd ed","event-place":"Oxford ; New York","ISBN":"978-0-19-959913-4","number-of-pages":"494","publisher":"Oxford University Press","publisher-place":"Oxford ; New York","source":"Library of Congress ISBN","title":"Natural law and natural rights","author":[{"family":"Finnis","given":"John"}],"issued":{"date-parts":[["2011"]]}}}],"schema":"https://github.com/citation-style-language/schema/raw/master/csl-citation.json"} </w:instrText>
      </w:r>
      <w:r w:rsidR="003054DF" w:rsidRPr="00B324F6" w:rsidDel="008F4D13">
        <w:rPr>
          <w:rFonts w:ascii="Century Schoolbook" w:hAnsi="Century Schoolbook"/>
          <w:lang w:val="en-US"/>
        </w:rPr>
        <w:fldChar w:fldCharType="separate"/>
      </w:r>
      <w:r w:rsidR="00AC3971" w:rsidRPr="00AC3971">
        <w:rPr>
          <w:rFonts w:ascii="Calibri" w:hAnsi="Calibri" w:cs="Calibri"/>
        </w:rPr>
        <w:t>[56]</w:t>
      </w:r>
      <w:r w:rsidR="003054DF" w:rsidRPr="00B324F6" w:rsidDel="008F4D13">
        <w:rPr>
          <w:rFonts w:ascii="Century Schoolbook" w:hAnsi="Century Schoolbook"/>
        </w:rPr>
        <w:fldChar w:fldCharType="end"/>
      </w:r>
      <w:r w:rsidR="003054DF" w:rsidRPr="00B324F6">
        <w:rPr>
          <w:rFonts w:ascii="Century Schoolbook" w:hAnsi="Century Schoolbook"/>
        </w:rPr>
        <w:t xml:space="preserve"> </w:t>
      </w:r>
      <w:r w:rsidR="008E4187" w:rsidRPr="00B324F6">
        <w:rPr>
          <w:rFonts w:ascii="Century Schoolbook" w:hAnsi="Century Schoolbook"/>
        </w:rPr>
        <w:t xml:space="preserve">For example, </w:t>
      </w:r>
      <w:r w:rsidR="009D09FB" w:rsidRPr="00B324F6">
        <w:rPr>
          <w:rFonts w:ascii="Century Schoolbook" w:hAnsi="Century Schoolbook"/>
        </w:rPr>
        <w:t xml:space="preserve">analysis of health records </w:t>
      </w:r>
      <w:r w:rsidR="00052D50" w:rsidRPr="00B324F6">
        <w:rPr>
          <w:rFonts w:ascii="Century Schoolbook" w:hAnsi="Century Schoolbook"/>
        </w:rPr>
        <w:t xml:space="preserve">has </w:t>
      </w:r>
      <w:r w:rsidR="009D09FB" w:rsidRPr="00B324F6">
        <w:rPr>
          <w:rFonts w:ascii="Century Schoolbook" w:hAnsi="Century Schoolbook"/>
        </w:rPr>
        <w:t>uncover</w:t>
      </w:r>
      <w:r w:rsidR="00052D50" w:rsidRPr="00B324F6">
        <w:rPr>
          <w:rFonts w:ascii="Century Schoolbook" w:hAnsi="Century Schoolbook"/>
        </w:rPr>
        <w:t>ed</w:t>
      </w:r>
      <w:r w:rsidR="009D09FB" w:rsidRPr="00B324F6">
        <w:rPr>
          <w:rFonts w:ascii="Century Schoolbook" w:hAnsi="Century Schoolbook"/>
        </w:rPr>
        <w:t xml:space="preserve"> disparities in treatment </w:t>
      </w:r>
      <w:r w:rsidR="00052D50" w:rsidRPr="00B324F6">
        <w:rPr>
          <w:rFonts w:ascii="Century Schoolbook" w:hAnsi="Century Schoolbook"/>
        </w:rPr>
        <w:t>according to race, ethnicity or gender</w:t>
      </w:r>
      <w:r w:rsidR="009D09FB" w:rsidRPr="00B324F6">
        <w:rPr>
          <w:rFonts w:ascii="Century Schoolbook" w:hAnsi="Century Schoolbook"/>
        </w:rPr>
        <w:t xml:space="preserve">. </w:t>
      </w:r>
      <w:r w:rsidR="009D09FB" w:rsidRPr="00B324F6">
        <w:rPr>
          <w:rFonts w:ascii="Century Schoolbook" w:hAnsi="Century Schoolbook"/>
        </w:rPr>
        <w:fldChar w:fldCharType="begin"/>
      </w:r>
      <w:r w:rsidR="00AC3971">
        <w:rPr>
          <w:rFonts w:ascii="Century Schoolbook" w:hAnsi="Century Schoolbook"/>
        </w:rPr>
        <w:instrText xml:space="preserve"> ADDIN ZOTERO_ITEM CSL_CITATION {"citationID":"RnlIVa2s","properties":{"formattedCitation":"[57\\uc0\\u8211{}60]","plainCitation":"[57–60]","noteIndex":0},"citationItems":[{"id":1818,"uris":["http://zotero.org/users/1170976/items/55H9M5JB"],"uri":["http://zotero.org/users/1170976/items/55H9M5JB"],"itemData":{"id":1818,"type":"article-journal","container-title":"JAMA","DOI":"10.1001/jama.294.14.1765","ISSN":"0098-7484","issue":"14","language":"en","page":"1765","source":"Crossref","title":"Comorbidity and Survival Disparities Among Black and White Patients With Breast Cancer","volume":"294","author":[{"family":"Tammemagi","given":"C. Martin"}],"issued":{"date-parts":[["2005",10,12]]}}},{"id":1811,"uris":["http://zotero.org/users/1170976/items/JC76795B"],"uri":["http://zotero.org/users/1170976/items/JC76795B"],"itemData":{"id":1811,"type":"article-journal","container-title":"Journal of General Internal Medicine","DOI":"10.1007/s11606-011-1728-3","ISSN":"0884-8734, 1525-1497","issue":"10","language":"en","page":"1112-1116","source":"Crossref","title":"Disparities in Enrollment and Use of an Electronic Patient Portal","volume":"26","author":[{"family":"Goel","given":"Mita Sanghavi"},{"family":"Brown","given":"Tiffany L."},{"family":"Williams","given":"Adam"},{"family":"Hasnain-Wynia","given":"Romana"},{"family":"Thompson","given":"Jason A."},{"family":"Baker","given":"David W."}],"issued":{"date-parts":[["2011",10]]}}},{"id":1810,"uris":["http://zotero.org/users/1170976/items/2BB3STRX"],"uri":["http://zotero.org/users/1170976/items/2BB3STRX"],"itemData":{"id":1810,"type":"article-journal","container-title":"Urology","DOI":"10.1016/j.urology.2008.01.086","ISSN":"00904295","issue":"3","language":"en","page":"498-502","source":"Crossref","title":"Patterns of Hematuria Referral to Urologists: Does a Gender Disparity Exist?","title-short":"Patterns of Hematuria Referral to Urologists","volume":"72","author":[{"family":"Johnson","given":"Emilie K."},{"family":"Daignault","given":"Stephanie"},{"family":"Zhang","given":"Yingxi"},{"family":"Lee","given":"Cheryl T."}],"issued":{"date-parts":[["2008",9]]}}},{"id":1809,"uris":["http://zotero.org/users/1170976/items/TKPLZ7FK"],"uri":["http://zotero.org/users/1170976/items/TKPLZ7FK"],"itemData":{"id":1809,"type":"article-journal","container-title":"Journal of Asthma","DOI":"10.1080/02770900802395504","ISSN":"0277-0903, 1532-4303","issue":"10","language":"en","page":"931-935","source":"Crossref","title":"The Gender Disparity in Adult Asthma Hospitalizations Dynamically Relates to Age","volume":"45","author":[{"family":"Lin","given":"Robert Y."},{"family":"Lee","given":"Gerald B."}],"issued":{"date-parts":[["2008",1]]}}}],"schema":"https://github.com/citation-style-language/schema/raw/master/csl-citation.json"} </w:instrText>
      </w:r>
      <w:r w:rsidR="009D09FB" w:rsidRPr="00B324F6">
        <w:rPr>
          <w:rFonts w:ascii="Century Schoolbook" w:hAnsi="Century Schoolbook"/>
        </w:rPr>
        <w:fldChar w:fldCharType="separate"/>
      </w:r>
      <w:r w:rsidR="00AC3971" w:rsidRPr="00AC3971">
        <w:rPr>
          <w:rFonts w:ascii="Century Schoolbook" w:hAnsi="Century Schoolbook" w:cs="Times New Roman"/>
          <w:szCs w:val="24"/>
        </w:rPr>
        <w:t>[57–60]</w:t>
      </w:r>
      <w:r w:rsidR="009D09FB" w:rsidRPr="00B324F6">
        <w:rPr>
          <w:rFonts w:ascii="Century Schoolbook" w:hAnsi="Century Schoolbook"/>
        </w:rPr>
        <w:fldChar w:fldCharType="end"/>
      </w:r>
      <w:r w:rsidR="009D09FB" w:rsidRPr="00B324F6">
        <w:rPr>
          <w:rFonts w:ascii="Century Schoolbook" w:hAnsi="Century Schoolbook"/>
        </w:rPr>
        <w:t xml:space="preserve"> This is not merely a problem in terms of maintaining the overall health of the population, but potentially an instance of unjust distribution of healthcare resources and/or unequal regard for patients on the part of practitioners. </w:t>
      </w:r>
    </w:p>
    <w:p w14:paraId="375830CA" w14:textId="5E14D47F" w:rsidR="00C9666E" w:rsidRPr="00B324F6" w:rsidRDefault="00C9666E" w:rsidP="00B324F6">
      <w:pPr>
        <w:spacing w:after="0"/>
        <w:jc w:val="both"/>
        <w:rPr>
          <w:rFonts w:ascii="Century Schoolbook" w:hAnsi="Century Schoolbook"/>
        </w:rPr>
      </w:pPr>
    </w:p>
    <w:p w14:paraId="6028F423" w14:textId="3B5B4A24" w:rsidR="00C9666E" w:rsidRPr="00B324F6" w:rsidRDefault="00C9666E" w:rsidP="00B324F6">
      <w:pPr>
        <w:spacing w:after="0"/>
        <w:jc w:val="both"/>
        <w:rPr>
          <w:rFonts w:ascii="Century Schoolbook" w:hAnsi="Century Schoolbook"/>
        </w:rPr>
      </w:pPr>
      <w:r w:rsidRPr="00B324F6">
        <w:rPr>
          <w:rFonts w:ascii="Century Schoolbook" w:hAnsi="Century Schoolbook"/>
        </w:rPr>
        <w:t xml:space="preserve">The justificatory criterion </w:t>
      </w:r>
      <w:r w:rsidR="006F1811" w:rsidRPr="00B324F6">
        <w:rPr>
          <w:rFonts w:ascii="Century Schoolbook" w:hAnsi="Century Schoolbook"/>
        </w:rPr>
        <w:t xml:space="preserve">for consent waivers </w:t>
      </w:r>
      <w:r w:rsidRPr="00B324F6">
        <w:rPr>
          <w:rFonts w:ascii="Century Schoolbook" w:hAnsi="Century Schoolbook"/>
        </w:rPr>
        <w:t>should capture a wide range of these ethical considerations</w:t>
      </w:r>
      <w:r w:rsidR="006F1811" w:rsidRPr="00B324F6">
        <w:rPr>
          <w:rFonts w:ascii="Century Schoolbook" w:hAnsi="Century Schoolbook"/>
        </w:rPr>
        <w:t xml:space="preserve">. </w:t>
      </w:r>
      <w:r w:rsidRPr="00B324F6">
        <w:rPr>
          <w:rFonts w:ascii="Century Schoolbook" w:hAnsi="Century Schoolbook"/>
        </w:rPr>
        <w:t xml:space="preserve">Perhaps the information from a </w:t>
      </w:r>
      <w:proofErr w:type="gramStart"/>
      <w:r w:rsidRPr="00B324F6">
        <w:rPr>
          <w:rFonts w:ascii="Century Schoolbook" w:hAnsi="Century Schoolbook"/>
        </w:rPr>
        <w:t>particular study</w:t>
      </w:r>
      <w:proofErr w:type="gramEnd"/>
      <w:r w:rsidRPr="00B324F6">
        <w:rPr>
          <w:rFonts w:ascii="Century Schoolbook" w:hAnsi="Century Schoolbook"/>
        </w:rPr>
        <w:t xml:space="preserve"> would only marginally improve a population’s overall longevity, but substantially reduce longevity disparities within that population. The consideration of </w:t>
      </w:r>
      <w:proofErr w:type="gramStart"/>
      <w:r w:rsidRPr="00B324F6">
        <w:rPr>
          <w:rFonts w:ascii="Century Schoolbook" w:hAnsi="Century Schoolbook"/>
        </w:rPr>
        <w:t>particular values</w:t>
      </w:r>
      <w:proofErr w:type="gramEnd"/>
      <w:r w:rsidRPr="00B324F6">
        <w:rPr>
          <w:rFonts w:ascii="Century Schoolbook" w:hAnsi="Century Schoolbook"/>
        </w:rPr>
        <w:t xml:space="preserve"> such as distribution should not be ruled out ex ante by a concept that </w:t>
      </w:r>
      <w:r w:rsidR="00BD481F" w:rsidRPr="00B324F6">
        <w:rPr>
          <w:rFonts w:ascii="Century Schoolbook" w:hAnsi="Century Schoolbook"/>
        </w:rPr>
        <w:t xml:space="preserve">focuses </w:t>
      </w:r>
      <w:r w:rsidR="006F1811" w:rsidRPr="00B324F6">
        <w:rPr>
          <w:rFonts w:ascii="Century Schoolbook" w:hAnsi="Century Schoolbook"/>
        </w:rPr>
        <w:t>too</w:t>
      </w:r>
      <w:r w:rsidRPr="00B324F6">
        <w:rPr>
          <w:rFonts w:ascii="Century Schoolbook" w:hAnsi="Century Schoolbook"/>
        </w:rPr>
        <w:t xml:space="preserve"> narrowly on another value such as welfare</w:t>
      </w:r>
      <w:r w:rsidR="00BD481F" w:rsidRPr="00B324F6">
        <w:rPr>
          <w:rFonts w:ascii="Century Schoolbook" w:hAnsi="Century Schoolbook"/>
        </w:rPr>
        <w:t>.</w:t>
      </w:r>
      <w:r w:rsidR="003D3BD1" w:rsidRPr="00B324F6">
        <w:rPr>
          <w:rFonts w:ascii="Century Schoolbook" w:hAnsi="Century Schoolbook"/>
          <w:shd w:val="clear" w:color="auto" w:fill="FFFF00"/>
        </w:rPr>
        <w:t xml:space="preserve"> </w:t>
      </w:r>
    </w:p>
    <w:p w14:paraId="400CC302" w14:textId="44A1ED75" w:rsidR="00794A76" w:rsidRPr="00B324F6" w:rsidRDefault="00794A76" w:rsidP="00B324F6">
      <w:pPr>
        <w:spacing w:after="0"/>
        <w:jc w:val="both"/>
        <w:rPr>
          <w:rFonts w:ascii="Century Schoolbook" w:hAnsi="Century Schoolbook"/>
        </w:rPr>
      </w:pPr>
    </w:p>
    <w:p w14:paraId="131F7128" w14:textId="424E9FE9" w:rsidR="00794A76" w:rsidRPr="00B324F6" w:rsidRDefault="003D3BD1" w:rsidP="00B324F6">
      <w:pPr>
        <w:spacing w:after="0"/>
        <w:jc w:val="both"/>
        <w:rPr>
          <w:rFonts w:ascii="Century Schoolbook" w:hAnsi="Century Schoolbook"/>
        </w:rPr>
      </w:pPr>
      <w:r w:rsidRPr="00B324F6">
        <w:rPr>
          <w:rFonts w:ascii="Century Schoolbook" w:hAnsi="Century Schoolbook"/>
        </w:rPr>
        <w:t>The concept of public interest is</w:t>
      </w:r>
      <w:r w:rsidR="00EA5734" w:rsidRPr="00B324F6">
        <w:rPr>
          <w:rFonts w:ascii="Century Schoolbook" w:hAnsi="Century Schoolbook"/>
        </w:rPr>
        <w:t xml:space="preserve"> also</w:t>
      </w:r>
      <w:r w:rsidRPr="00B324F6">
        <w:rPr>
          <w:rFonts w:ascii="Century Schoolbook" w:hAnsi="Century Schoolbook"/>
        </w:rPr>
        <w:t xml:space="preserve"> broad enough to include consideration of the positive and negative elements of a </w:t>
      </w:r>
      <w:r w:rsidR="00DE144C" w:rsidRPr="00B324F6">
        <w:rPr>
          <w:rFonts w:ascii="Century Schoolbook" w:hAnsi="Century Schoolbook"/>
        </w:rPr>
        <w:t>study.</w:t>
      </w:r>
      <w:r w:rsidR="00D048B5" w:rsidRPr="00B324F6">
        <w:rPr>
          <w:rFonts w:ascii="Century Schoolbook" w:hAnsi="Century Schoolbook"/>
        </w:rPr>
        <w:t xml:space="preserve"> </w:t>
      </w:r>
      <w:proofErr w:type="gramStart"/>
      <w:r w:rsidR="00D048B5" w:rsidRPr="00B324F6">
        <w:rPr>
          <w:rFonts w:ascii="Century Schoolbook" w:hAnsi="Century Schoolbook"/>
        </w:rPr>
        <w:t>In particular, any</w:t>
      </w:r>
      <w:proofErr w:type="gramEnd"/>
      <w:r w:rsidR="00D048B5" w:rsidRPr="00B324F6">
        <w:rPr>
          <w:rFonts w:ascii="Century Schoolbook" w:hAnsi="Century Schoolbook"/>
        </w:rPr>
        <w:t xml:space="preserve"> consent waiver will involve a prima facie setback to public interest, insofar as there is a public interest in respecting individuals’ autonomy by seeking their consent when identifiable data about them is used.  As Laurie et al argue “the protection of privacy is itself in the public interest”.</w:t>
      </w:r>
      <w:r w:rsidR="000E0D09" w:rsidRPr="00B324F6">
        <w:rPr>
          <w:rFonts w:ascii="Century Schoolbook" w:hAnsi="Century Schoolbook"/>
        </w:rPr>
        <w:fldChar w:fldCharType="begin"/>
      </w:r>
      <w:r w:rsidR="00AC3971">
        <w:rPr>
          <w:rFonts w:ascii="Century Schoolbook" w:hAnsi="Century Schoolbook"/>
        </w:rPr>
        <w:instrText xml:space="preserve"> ADDIN ZOTERO_ITEM CSL_CITATION {"citationID":"RQPm15Ag","properties":{"formattedCitation":"[61]","plainCitation":"[61]","noteIndex":0},"citationItems":[{"id":1808,"uris":["http://zotero.org/users/1170976/items/ZFVSEC9S"],"uri":["http://zotero.org/users/1170976/items/ZFVSEC9S"],"itemData":{"id":1808,"type":"article-journal","container-title":"Medical Law International","DOI":"10.1177/096853321001000404","ISSN":"0968-5332, 2047-9441","issue":"4","language":"en","page":"315-337","source":"Crossref","title":"Managing Access to Biobanks: How Can We Reconcile Individual Privacy and Public Interests in Genetic Research?","title-short":"Managing Access to Biobanks","volume":"10","author":[{"family":"Laurie","given":"Graeme"},{"family":"Mallia","given":"Pierre"},{"family":"Frenkel","given":"David A."},{"family":"Krajewska","given":"Atina"},{"family":"Moniz","given":"Helena"},{"family":"Nordal","given":"Salvor"},{"family":"Pitz","given":"Claudia"},{"family":"Sandor","given":"Judit"}],"issued":{"date-parts":[["2010",9]]}},"locator":"321"}],"schema":"https://github.com/citation-style-language/schema/raw/master/csl-citation.json"} </w:instrText>
      </w:r>
      <w:r w:rsidR="000E0D09" w:rsidRPr="00B324F6">
        <w:rPr>
          <w:rFonts w:ascii="Century Schoolbook" w:hAnsi="Century Schoolbook"/>
        </w:rPr>
        <w:fldChar w:fldCharType="separate"/>
      </w:r>
      <w:r w:rsidR="00AC3971" w:rsidRPr="00AC3971">
        <w:rPr>
          <w:rFonts w:ascii="Calibri" w:hAnsi="Calibri" w:cs="Calibri"/>
        </w:rPr>
        <w:t>[61]</w:t>
      </w:r>
      <w:r w:rsidR="000E0D09" w:rsidRPr="00B324F6">
        <w:rPr>
          <w:rFonts w:ascii="Century Schoolbook" w:hAnsi="Century Schoolbook"/>
        </w:rPr>
        <w:fldChar w:fldCharType="end"/>
      </w:r>
      <w:r w:rsidR="00D048B5" w:rsidRPr="00B324F6">
        <w:rPr>
          <w:rFonts w:ascii="Century Schoolbook" w:hAnsi="Century Schoolbook"/>
        </w:rPr>
        <w:t xml:space="preserve"> </w:t>
      </w:r>
      <w:r w:rsidR="00AE1614" w:rsidRPr="00B324F6">
        <w:rPr>
          <w:rFonts w:ascii="Century Schoolbook" w:hAnsi="Century Schoolbook"/>
        </w:rPr>
        <w:t>The public interest criterion is met when the positive elements</w:t>
      </w:r>
      <w:r w:rsidR="00BD481F" w:rsidRPr="00B324F6">
        <w:rPr>
          <w:rFonts w:ascii="Century Schoolbook" w:hAnsi="Century Schoolbook"/>
        </w:rPr>
        <w:t xml:space="preserve"> of the research</w:t>
      </w:r>
      <w:r w:rsidR="00AE1614" w:rsidRPr="00B324F6">
        <w:rPr>
          <w:rFonts w:ascii="Century Schoolbook" w:hAnsi="Century Schoolbook"/>
        </w:rPr>
        <w:t>, such as contributing to the prevention or treatment of disease, are sufficient to justify the negative elements.</w:t>
      </w:r>
      <w:r w:rsidR="00794A76" w:rsidRPr="00B324F6">
        <w:rPr>
          <w:rFonts w:ascii="Century Schoolbook" w:hAnsi="Century Schoolbook"/>
        </w:rPr>
        <w:t xml:space="preserve"> </w:t>
      </w:r>
      <w:r w:rsidR="00DE144C" w:rsidRPr="00B324F6">
        <w:rPr>
          <w:rFonts w:ascii="Century Schoolbook" w:hAnsi="Century Schoolbook"/>
        </w:rPr>
        <w:t>Public interest is therefore a fundamentally different type of assessment than public benefit, social value or public good. Public interest requires not just a tally of the positive aspects or research, but a weighing of the trade-offs between different elements of the common good.</w:t>
      </w:r>
      <w:r w:rsidR="00DE144C" w:rsidRPr="00B324F6">
        <w:rPr>
          <w:rFonts w:ascii="Century Schoolbook" w:hAnsi="Century Schoolbook"/>
          <w:shd w:val="clear" w:color="auto" w:fill="FFFF00"/>
        </w:rPr>
        <w:t xml:space="preserve"> </w:t>
      </w:r>
    </w:p>
    <w:p w14:paraId="365736E3" w14:textId="7D7C7D53" w:rsidR="00235199" w:rsidRPr="00B324F6" w:rsidRDefault="00235199" w:rsidP="00B324F6">
      <w:pPr>
        <w:spacing w:after="0"/>
        <w:jc w:val="both"/>
        <w:rPr>
          <w:rFonts w:ascii="Century Schoolbook" w:hAnsi="Century Schoolbook"/>
        </w:rPr>
      </w:pPr>
    </w:p>
    <w:p w14:paraId="65EC1FE1" w14:textId="498EB141" w:rsidR="00FF4355" w:rsidRPr="00B324F6" w:rsidRDefault="00AE1614" w:rsidP="00B324F6">
      <w:pPr>
        <w:spacing w:after="0"/>
        <w:jc w:val="both"/>
        <w:rPr>
          <w:rFonts w:ascii="Century Schoolbook" w:hAnsi="Century Schoolbook"/>
        </w:rPr>
      </w:pPr>
      <w:r w:rsidRPr="00B324F6">
        <w:rPr>
          <w:rFonts w:ascii="Century Schoolbook" w:hAnsi="Century Schoolbook"/>
        </w:rPr>
        <w:lastRenderedPageBreak/>
        <w:t xml:space="preserve">This dual aspect of public interest is reflected in the language of the relevant New Zealand and Irish documents cited in Table 1. Both refer to ensuring that the public interest in a study (presumably, relating to the interests advanced by the knowledge generated such as improving healthcare) outweighs the public interest in keeping identifiable health data private.  </w:t>
      </w:r>
    </w:p>
    <w:p w14:paraId="6D3D5B80" w14:textId="77777777" w:rsidR="00FF4355" w:rsidRPr="00B324F6" w:rsidRDefault="00FF4355" w:rsidP="00B324F6">
      <w:pPr>
        <w:spacing w:after="0"/>
        <w:jc w:val="both"/>
        <w:rPr>
          <w:rFonts w:ascii="Century Schoolbook" w:hAnsi="Century Schoolbook"/>
        </w:rPr>
      </w:pPr>
    </w:p>
    <w:p w14:paraId="48E5FCF0" w14:textId="69E6D3E5" w:rsidR="00235199" w:rsidRPr="00B324F6" w:rsidRDefault="00235199" w:rsidP="00B324F6">
      <w:pPr>
        <w:spacing w:after="0"/>
        <w:jc w:val="both"/>
        <w:rPr>
          <w:rFonts w:ascii="Century Schoolbook" w:hAnsi="Century Schoolbook"/>
          <w:lang w:val="en-US"/>
        </w:rPr>
      </w:pPr>
    </w:p>
    <w:p w14:paraId="45DB116F" w14:textId="0038A63F" w:rsidR="00C9666E" w:rsidRPr="00B324F6" w:rsidRDefault="00C9666E" w:rsidP="00B324F6">
      <w:pPr>
        <w:spacing w:after="0"/>
        <w:jc w:val="both"/>
        <w:rPr>
          <w:rFonts w:ascii="Century Schoolbook" w:hAnsi="Century Schoolbook"/>
        </w:rPr>
      </w:pPr>
    </w:p>
    <w:p w14:paraId="184E66FA" w14:textId="0882A06E" w:rsidR="00C9666E" w:rsidRPr="00B324F6" w:rsidRDefault="00C9666E" w:rsidP="00B324F6">
      <w:pPr>
        <w:spacing w:after="0"/>
        <w:jc w:val="both"/>
        <w:rPr>
          <w:rFonts w:ascii="Century Schoolbook" w:hAnsi="Century Schoolbook"/>
          <w:i/>
          <w:iCs/>
        </w:rPr>
      </w:pPr>
      <w:r w:rsidRPr="00B324F6">
        <w:rPr>
          <w:rFonts w:ascii="Century Schoolbook" w:hAnsi="Century Schoolbook"/>
          <w:i/>
          <w:iCs/>
        </w:rPr>
        <w:t>Wide population scope</w:t>
      </w:r>
    </w:p>
    <w:p w14:paraId="1C01605E" w14:textId="77777777" w:rsidR="008E23B7" w:rsidRPr="00B324F6" w:rsidRDefault="008E23B7" w:rsidP="00B324F6">
      <w:pPr>
        <w:spacing w:after="0"/>
        <w:jc w:val="both"/>
        <w:rPr>
          <w:rFonts w:ascii="Century Schoolbook" w:hAnsi="Century Schoolbook"/>
        </w:rPr>
      </w:pPr>
    </w:p>
    <w:p w14:paraId="4234E987" w14:textId="4983393E" w:rsidR="002F177A" w:rsidRPr="00B324F6" w:rsidRDefault="00C9666E" w:rsidP="00B324F6">
      <w:pPr>
        <w:spacing w:after="0"/>
        <w:jc w:val="both"/>
        <w:rPr>
          <w:rFonts w:ascii="Century Schoolbook" w:hAnsi="Century Schoolbook"/>
        </w:rPr>
      </w:pPr>
      <w:r w:rsidRPr="00B324F6">
        <w:rPr>
          <w:rFonts w:ascii="Century Schoolbook" w:hAnsi="Century Schoolbook"/>
        </w:rPr>
        <w:t xml:space="preserve">A narrow population scope might </w:t>
      </w:r>
      <w:r w:rsidR="00176B9F" w:rsidRPr="00B324F6">
        <w:rPr>
          <w:rFonts w:ascii="Century Schoolbook" w:hAnsi="Century Schoolbook"/>
        </w:rPr>
        <w:t xml:space="preserve">only </w:t>
      </w:r>
      <w:proofErr w:type="gramStart"/>
      <w:r w:rsidR="00176B9F" w:rsidRPr="00B324F6">
        <w:rPr>
          <w:rFonts w:ascii="Century Schoolbook" w:hAnsi="Century Schoolbook"/>
        </w:rPr>
        <w:t>take into account</w:t>
      </w:r>
      <w:proofErr w:type="gramEnd"/>
      <w:r w:rsidRPr="00B324F6">
        <w:rPr>
          <w:rFonts w:ascii="Century Schoolbook" w:hAnsi="Century Schoolbook"/>
        </w:rPr>
        <w:t xml:space="preserve"> the interests of members of a </w:t>
      </w:r>
      <w:r w:rsidR="00590EF9" w:rsidRPr="00B324F6">
        <w:rPr>
          <w:rFonts w:ascii="Century Schoolbook" w:hAnsi="Century Schoolbook"/>
        </w:rPr>
        <w:t xml:space="preserve">particular </w:t>
      </w:r>
      <w:r w:rsidRPr="00B324F6">
        <w:rPr>
          <w:rFonts w:ascii="Century Schoolbook" w:hAnsi="Century Schoolbook"/>
        </w:rPr>
        <w:t>group</w:t>
      </w:r>
      <w:r w:rsidR="00590EF9" w:rsidRPr="00B324F6">
        <w:rPr>
          <w:rFonts w:ascii="Century Schoolbook" w:hAnsi="Century Schoolbook"/>
        </w:rPr>
        <w:t xml:space="preserve">, such as </w:t>
      </w:r>
      <w:r w:rsidR="00176B9F" w:rsidRPr="00B324F6">
        <w:rPr>
          <w:rFonts w:ascii="Century Schoolbook" w:hAnsi="Century Schoolbook"/>
        </w:rPr>
        <w:t>those with a disease</w:t>
      </w:r>
      <w:r w:rsidR="00590EF9" w:rsidRPr="00B324F6">
        <w:rPr>
          <w:rFonts w:ascii="Century Schoolbook" w:hAnsi="Century Schoolbook"/>
        </w:rPr>
        <w:t xml:space="preserve"> </w:t>
      </w:r>
      <w:r w:rsidR="002F177A" w:rsidRPr="00B324F6">
        <w:rPr>
          <w:rFonts w:ascii="Century Schoolbook" w:hAnsi="Century Schoolbook"/>
        </w:rPr>
        <w:t xml:space="preserve">being studied or residents of a particular country where a study occurs. This might be justified by appeal to values like group solidarity.  However, this narrow scope is inadequate because advancing the interest of anyone, no matter their group membership or characteristics, could potentially justify </w:t>
      </w:r>
      <w:r w:rsidR="00EC22BB" w:rsidRPr="00B324F6">
        <w:rPr>
          <w:rFonts w:ascii="Century Schoolbook" w:hAnsi="Century Schoolbook"/>
        </w:rPr>
        <w:t xml:space="preserve">or prohibit </w:t>
      </w:r>
      <w:r w:rsidR="002F177A" w:rsidRPr="00B324F6">
        <w:rPr>
          <w:rFonts w:ascii="Century Schoolbook" w:hAnsi="Century Schoolbook"/>
        </w:rPr>
        <w:t>a consent waiver. We should then adopt a wide population scope interpretation of public interest, such that the interests of humanity at large rather than particular subgroups can potentially be considered in weighing up whether a</w:t>
      </w:r>
      <w:r w:rsidR="002909BA">
        <w:rPr>
          <w:rFonts w:ascii="Century Schoolbook" w:hAnsi="Century Schoolbook"/>
        </w:rPr>
        <w:t xml:space="preserve"> study</w:t>
      </w:r>
      <w:r w:rsidR="002F177A" w:rsidRPr="00B324F6">
        <w:rPr>
          <w:rFonts w:ascii="Century Schoolbook" w:hAnsi="Century Schoolbook"/>
        </w:rPr>
        <w:t xml:space="preserve"> sufficiently advances the public interest.</w:t>
      </w:r>
      <w:r w:rsidR="00176B9F" w:rsidRPr="00B324F6">
        <w:rPr>
          <w:rStyle w:val="FootnoteReference"/>
          <w:rFonts w:ascii="Century Schoolbook" w:hAnsi="Century Schoolbook"/>
        </w:rPr>
        <w:t xml:space="preserve"> </w:t>
      </w:r>
      <w:r w:rsidR="00176B9F" w:rsidRPr="00577B64">
        <w:rPr>
          <w:rStyle w:val="FootnoteReference"/>
        </w:rPr>
        <w:footnoteReference w:id="10"/>
      </w:r>
      <w:r w:rsidR="00EC22BB" w:rsidRPr="00B324F6">
        <w:rPr>
          <w:rFonts w:ascii="Century Schoolbook" w:hAnsi="Century Schoolbook"/>
        </w:rPr>
        <w:t xml:space="preserve"> It is important to make this point explicitly because IRBs/RECs are used to assessing the potential harm to a specific </w:t>
      </w:r>
      <w:r w:rsidR="003B7111" w:rsidRPr="00B324F6">
        <w:rPr>
          <w:rFonts w:ascii="Century Schoolbook" w:hAnsi="Century Schoolbook"/>
        </w:rPr>
        <w:t xml:space="preserve">group </w:t>
      </w:r>
      <w:r w:rsidR="00EC22BB" w:rsidRPr="00B324F6">
        <w:rPr>
          <w:rFonts w:ascii="Century Schoolbook" w:hAnsi="Century Schoolbook"/>
        </w:rPr>
        <w:t xml:space="preserve">of research </w:t>
      </w:r>
      <w:r w:rsidR="003B7111" w:rsidRPr="00B324F6">
        <w:rPr>
          <w:rFonts w:ascii="Century Schoolbook" w:hAnsi="Century Schoolbook"/>
        </w:rPr>
        <w:t>subjects</w:t>
      </w:r>
      <w:r w:rsidR="00EC22BB" w:rsidRPr="00B324F6">
        <w:rPr>
          <w:rFonts w:ascii="Century Schoolbook" w:hAnsi="Century Schoolbook"/>
        </w:rPr>
        <w:t>. Data research by contras</w:t>
      </w:r>
      <w:r w:rsidR="003B7111" w:rsidRPr="00B324F6">
        <w:rPr>
          <w:rFonts w:ascii="Century Schoolbook" w:hAnsi="Century Schoolbook"/>
        </w:rPr>
        <w:t xml:space="preserve">t characterises groups of patients according to </w:t>
      </w:r>
      <w:r w:rsidR="00EA45FB" w:rsidRPr="00B324F6">
        <w:rPr>
          <w:rFonts w:ascii="Century Schoolbook" w:hAnsi="Century Schoolbook"/>
        </w:rPr>
        <w:t xml:space="preserve">shared </w:t>
      </w:r>
      <w:r w:rsidR="003B7111" w:rsidRPr="00B324F6">
        <w:rPr>
          <w:rFonts w:ascii="Century Schoolbook" w:hAnsi="Century Schoolbook"/>
        </w:rPr>
        <w:t xml:space="preserve">criteria (for example, disease status, age, smoking history, and genotype) and group harms resulting from the research may extend well beyond the specific data subjects. Stigma and discrimination in insurance, employment or access to health programs will affect future patients who share the relevant criteria, regardless of whether their personal data was used in the original research. </w:t>
      </w:r>
    </w:p>
    <w:p w14:paraId="3F0623F1" w14:textId="492B996A" w:rsidR="002F177A" w:rsidRDefault="002F177A" w:rsidP="00B324F6">
      <w:pPr>
        <w:spacing w:after="0"/>
        <w:jc w:val="both"/>
        <w:rPr>
          <w:rFonts w:ascii="Century Schoolbook" w:hAnsi="Century Schoolbook"/>
        </w:rPr>
      </w:pPr>
    </w:p>
    <w:p w14:paraId="28A961D5" w14:textId="41FCA549" w:rsidR="002909BA" w:rsidRPr="00B324F6" w:rsidRDefault="002909BA" w:rsidP="00B324F6">
      <w:pPr>
        <w:spacing w:after="0"/>
        <w:jc w:val="both"/>
        <w:rPr>
          <w:rFonts w:ascii="Century Schoolbook" w:hAnsi="Century Schoolbook"/>
        </w:rPr>
      </w:pPr>
      <w:r w:rsidRPr="00A42603">
        <w:rPr>
          <w:rFonts w:ascii="Century Schoolbook" w:hAnsi="Century Schoolbook"/>
        </w:rPr>
        <w:t xml:space="preserve">Though we should consider public interest wide in scope at the conceptual level, practical factors about individual studies may justify narrowing the scope </w:t>
      </w:r>
      <w:proofErr w:type="gramStart"/>
      <w:r w:rsidRPr="00A42603">
        <w:rPr>
          <w:rFonts w:ascii="Century Schoolbook" w:hAnsi="Century Schoolbook"/>
        </w:rPr>
        <w:t>in particular contexts</w:t>
      </w:r>
      <w:proofErr w:type="gramEnd"/>
      <w:r w:rsidRPr="00A42603">
        <w:rPr>
          <w:rFonts w:ascii="Century Schoolbook" w:hAnsi="Century Schoolbook"/>
        </w:rPr>
        <w:t xml:space="preserve">. For example, the knowledge generated by a study on the impact of a particular country’s medical financing system may not be have implications beyond the country’s boarders, because its system is unique and insights relating to its implications cannot be generalized to other countries. Conversely, other studies will have more global relevance or impact, necessitating a more global approach to the public interest criterion. For instance, studies on health records relating to the </w:t>
      </w:r>
      <w:r>
        <w:rPr>
          <w:rFonts w:ascii="Century Schoolbook" w:hAnsi="Century Schoolbook"/>
        </w:rPr>
        <w:t>2015-16 Zika</w:t>
      </w:r>
      <w:r w:rsidRPr="00A42603">
        <w:rPr>
          <w:rFonts w:ascii="Century Schoolbook" w:hAnsi="Century Schoolbook"/>
        </w:rPr>
        <w:t xml:space="preserve"> outbreak</w:t>
      </w:r>
      <w:r>
        <w:rPr>
          <w:rFonts w:ascii="Century Schoolbook" w:hAnsi="Century Schoolbook"/>
        </w:rPr>
        <w:t xml:space="preserve"> in countries like Brazil where it was endemic</w:t>
      </w:r>
      <w:r w:rsidRPr="00A42603">
        <w:rPr>
          <w:rFonts w:ascii="Century Schoolbook" w:hAnsi="Century Schoolbook"/>
        </w:rPr>
        <w:t xml:space="preserve"> </w:t>
      </w:r>
      <w:r>
        <w:rPr>
          <w:rFonts w:ascii="Century Schoolbook" w:hAnsi="Century Schoolbook"/>
        </w:rPr>
        <w:t>might</w:t>
      </w:r>
      <w:r w:rsidRPr="00A42603">
        <w:rPr>
          <w:rFonts w:ascii="Century Schoolbook" w:hAnsi="Century Schoolbook"/>
        </w:rPr>
        <w:t xml:space="preserve"> have direct and pertinent relevance globally as the rest of the world </w:t>
      </w:r>
      <w:r>
        <w:rPr>
          <w:rFonts w:ascii="Century Schoolbook" w:hAnsi="Century Schoolbook"/>
        </w:rPr>
        <w:t>seeks to understand</w:t>
      </w:r>
      <w:r w:rsidRPr="00A42603">
        <w:rPr>
          <w:rFonts w:ascii="Century Schoolbook" w:hAnsi="Century Schoolbook"/>
        </w:rPr>
        <w:t xml:space="preserve"> </w:t>
      </w:r>
      <w:r>
        <w:rPr>
          <w:rFonts w:ascii="Century Schoolbook" w:hAnsi="Century Schoolbook"/>
        </w:rPr>
        <w:t>the disease and mitigate potential future outbreaks.</w:t>
      </w:r>
      <w:r>
        <w:rPr>
          <w:rFonts w:ascii="Century Schoolbook" w:hAnsi="Century Schoolbook"/>
        </w:rPr>
        <w:fldChar w:fldCharType="begin"/>
      </w:r>
      <w:r w:rsidR="00AC3971">
        <w:rPr>
          <w:rFonts w:ascii="Century Schoolbook" w:hAnsi="Century Schoolbook"/>
        </w:rPr>
        <w:instrText xml:space="preserve"> ADDIN ZOTERO_ITEM CSL_CITATION {"citationID":"WJILOG6i","properties":{"formattedCitation":"[63]","plainCitation":"[63]","noteIndex":0},"citationItems":[{"id":1864,"uris":["http://zotero.org/users/1170976/items/7FWBKE4P"],"uri":["http://zotero.org/users/1170976/items/7FWBKE4P"],"itemData":{"id":1864,"type":"article-journal","container-title":"BMC Pediatrics","DOI":"10.1186/s12887-019-1762-6","ISSN":"1471-2431","issue":"1","language":"en","source":"Crossref","title":"Clinical findings in congenital infection by Zika virus: a retrospective study in a reference hospital in Central-West Brazil","title-short":"Clinical findings in congenital infection by Zika virus","URL":"https://bmcpediatr.biomedcentral.com/articles/10.1186/s12887-019-1762-6","volume":"19","author":[{"family":"Paula Guimarães","given":"Cláudia","non-dropping-particle":"de"},{"family":"Macedo","given":"Myrella Silveira"},{"family":"Barbosa","given":"Maria Alves"},{"family":"Marques","given":"Solomar Martins"},{"family":"Costa","given":"Paulo Sucasas"},{"family":"Oliveira","given":"Ênio Chaves","non-dropping-particle":"de"}],"accessed":{"date-parts":[["2020",3,13]]},"issued":{"date-parts":[["2019",12]]}}}],"schema":"https://github.com/citation-style-language/schema/raw/master/csl-citation.json"} </w:instrText>
      </w:r>
      <w:r>
        <w:rPr>
          <w:rFonts w:ascii="Century Schoolbook" w:hAnsi="Century Schoolbook"/>
        </w:rPr>
        <w:fldChar w:fldCharType="separate"/>
      </w:r>
      <w:r w:rsidR="00AC3971" w:rsidRPr="00AC3971">
        <w:rPr>
          <w:rFonts w:ascii="Calibri" w:hAnsi="Calibri" w:cs="Calibri"/>
        </w:rPr>
        <w:t>[63]</w:t>
      </w:r>
      <w:r>
        <w:rPr>
          <w:rFonts w:ascii="Century Schoolbook" w:hAnsi="Century Schoolbook"/>
        </w:rPr>
        <w:fldChar w:fldCharType="end"/>
      </w:r>
      <w:r w:rsidRPr="00A42603">
        <w:rPr>
          <w:rFonts w:ascii="Century Schoolbook" w:hAnsi="Century Schoolbook"/>
        </w:rPr>
        <w:t xml:space="preserve"> IRB/RECs considering whether consent waivers for such studies are justified would do well to take such global interests into account.</w:t>
      </w:r>
    </w:p>
    <w:p w14:paraId="4618589A" w14:textId="2F0BD633" w:rsidR="00235199" w:rsidRPr="00B324F6" w:rsidRDefault="00235199" w:rsidP="00B324F6">
      <w:pPr>
        <w:spacing w:after="0"/>
        <w:jc w:val="both"/>
        <w:rPr>
          <w:rFonts w:ascii="Century Schoolbook" w:hAnsi="Century Schoolbook"/>
        </w:rPr>
      </w:pPr>
    </w:p>
    <w:p w14:paraId="255BD248" w14:textId="0D0C3856" w:rsidR="00F86EB4" w:rsidRPr="00B324F6" w:rsidRDefault="00235199" w:rsidP="00B324F6">
      <w:pPr>
        <w:spacing w:after="0"/>
        <w:jc w:val="both"/>
        <w:rPr>
          <w:rFonts w:ascii="Century Schoolbook" w:hAnsi="Century Schoolbook"/>
        </w:rPr>
      </w:pPr>
      <w:r w:rsidRPr="00B324F6">
        <w:rPr>
          <w:rFonts w:ascii="Century Schoolbook" w:hAnsi="Century Schoolbook"/>
        </w:rPr>
        <w:lastRenderedPageBreak/>
        <w:t xml:space="preserve">The scope should also </w:t>
      </w:r>
      <w:r w:rsidR="00492EC3" w:rsidRPr="00B324F6">
        <w:rPr>
          <w:rFonts w:ascii="Century Schoolbook" w:hAnsi="Century Schoolbook"/>
        </w:rPr>
        <w:t xml:space="preserve">be ‘existential’ (relating to interests held by </w:t>
      </w:r>
      <w:r w:rsidR="00492EC3" w:rsidRPr="00B324F6">
        <w:rPr>
          <w:rFonts w:ascii="Century Schoolbook" w:hAnsi="Century Schoolbook"/>
          <w:i/>
          <w:iCs/>
        </w:rPr>
        <w:t>anyone</w:t>
      </w:r>
      <w:r w:rsidR="00492EC3" w:rsidRPr="00B324F6">
        <w:rPr>
          <w:rFonts w:ascii="Century Schoolbook" w:hAnsi="Century Schoolbook"/>
        </w:rPr>
        <w:t xml:space="preserve">) rather than ‘universal’ (relating to interests held by </w:t>
      </w:r>
      <w:r w:rsidR="00492EC3" w:rsidRPr="00B324F6">
        <w:rPr>
          <w:rFonts w:ascii="Century Schoolbook" w:hAnsi="Century Schoolbook"/>
          <w:i/>
          <w:iCs/>
        </w:rPr>
        <w:t>everyone</w:t>
      </w:r>
      <w:r w:rsidR="00492EC3" w:rsidRPr="00B324F6">
        <w:rPr>
          <w:rFonts w:ascii="Century Schoolbook" w:hAnsi="Century Schoolbook"/>
        </w:rPr>
        <w:t xml:space="preserve">). </w:t>
      </w:r>
      <w:r w:rsidR="00F86EB4" w:rsidRPr="00B324F6">
        <w:rPr>
          <w:rFonts w:ascii="Century Schoolbook" w:hAnsi="Century Schoolbook"/>
        </w:rPr>
        <w:t xml:space="preserve">A universal quantification of ‘public’ would focus </w:t>
      </w:r>
      <w:r w:rsidR="00492EC3" w:rsidRPr="00B324F6">
        <w:rPr>
          <w:rFonts w:ascii="Century Schoolbook" w:hAnsi="Century Schoolbook"/>
        </w:rPr>
        <w:t>the criterion</w:t>
      </w:r>
      <w:r w:rsidR="00F86EB4" w:rsidRPr="00B324F6">
        <w:rPr>
          <w:rFonts w:ascii="Century Schoolbook" w:hAnsi="Century Schoolbook"/>
        </w:rPr>
        <w:t xml:space="preserve"> on those interests that all members of the public share</w:t>
      </w:r>
      <w:r w:rsidR="00492EC3" w:rsidRPr="00B324F6">
        <w:rPr>
          <w:rFonts w:ascii="Century Schoolbook" w:hAnsi="Century Schoolbook"/>
        </w:rPr>
        <w:t>, such as in the prevention of infectious disease</w:t>
      </w:r>
      <w:r w:rsidR="00F86EB4" w:rsidRPr="00B324F6">
        <w:rPr>
          <w:rFonts w:ascii="Century Schoolbook" w:hAnsi="Century Schoolbook"/>
        </w:rPr>
        <w:t>. However, some relevant interests strong enough to justify a consent waiver might only be held by a subgroup of society</w:t>
      </w:r>
      <w:r w:rsidR="002F2ED6" w:rsidRPr="00B324F6">
        <w:rPr>
          <w:rFonts w:ascii="Century Schoolbook" w:hAnsi="Century Schoolbook"/>
        </w:rPr>
        <w:t>, better captured by existential quantification than universal quantification</w:t>
      </w:r>
      <w:r w:rsidR="00F86EB4" w:rsidRPr="00B324F6">
        <w:rPr>
          <w:rFonts w:ascii="Century Schoolbook" w:hAnsi="Century Schoolbook"/>
        </w:rPr>
        <w:t xml:space="preserve">. </w:t>
      </w:r>
      <w:r w:rsidR="006A15B0" w:rsidRPr="00B324F6">
        <w:rPr>
          <w:rFonts w:ascii="Century Schoolbook" w:hAnsi="Century Schoolbook"/>
        </w:rPr>
        <w:t xml:space="preserve"> </w:t>
      </w:r>
      <w:r w:rsidR="00EE72A0" w:rsidRPr="00B324F6">
        <w:rPr>
          <w:rFonts w:ascii="Century Schoolbook" w:hAnsi="Century Schoolbook"/>
        </w:rPr>
        <w:t>It is not, therefore, only population-level studies that could potentially advance the public interest sufficiently to justify a consent waiver. For example, a health records study on rare disease might require a reference dataset from the healthy population. The study would primarily be designed to advance the interests of individuals with rare diseases, rather than society as a whole, and the advancement of those subgroup interests could</w:t>
      </w:r>
      <w:r w:rsidR="002F2ED6" w:rsidRPr="00B324F6">
        <w:rPr>
          <w:rFonts w:ascii="Century Schoolbook" w:hAnsi="Century Schoolbook"/>
        </w:rPr>
        <w:t xml:space="preserve"> potentially</w:t>
      </w:r>
      <w:r w:rsidR="00EE72A0" w:rsidRPr="00B324F6">
        <w:rPr>
          <w:rFonts w:ascii="Century Schoolbook" w:hAnsi="Century Schoolbook"/>
        </w:rPr>
        <w:t xml:space="preserve"> be powerful enough to justify a consent waiver – something only captured by an existentially quantified version of public interest. This leaves open the question of whether the interests of such a small subgroup will in fact outweigh the interests in privacy of the larger group. But this is something to be settled by IRB/REC evaluation of </w:t>
      </w:r>
      <w:proofErr w:type="gramStart"/>
      <w:r w:rsidR="00EE72A0" w:rsidRPr="00B324F6">
        <w:rPr>
          <w:rFonts w:ascii="Century Schoolbook" w:hAnsi="Century Schoolbook"/>
        </w:rPr>
        <w:t>particular studies</w:t>
      </w:r>
      <w:proofErr w:type="gramEnd"/>
      <w:r w:rsidR="00EE72A0" w:rsidRPr="00B324F6">
        <w:rPr>
          <w:rFonts w:ascii="Century Schoolbook" w:hAnsi="Century Schoolbook"/>
        </w:rPr>
        <w:t>, and not ruled out at the conceptual level.</w:t>
      </w:r>
    </w:p>
    <w:p w14:paraId="7ACCFC75" w14:textId="77777777" w:rsidR="0093545E" w:rsidRPr="00B324F6" w:rsidRDefault="0093545E" w:rsidP="00B324F6">
      <w:pPr>
        <w:spacing w:after="0"/>
        <w:jc w:val="both"/>
        <w:rPr>
          <w:rFonts w:ascii="Century Schoolbook" w:hAnsi="Century Schoolbook"/>
        </w:rPr>
      </w:pPr>
    </w:p>
    <w:p w14:paraId="7246CC61" w14:textId="211B896B" w:rsidR="000B61AD" w:rsidRPr="00B324F6" w:rsidRDefault="000B61AD" w:rsidP="00B324F6">
      <w:pPr>
        <w:spacing w:after="0"/>
        <w:jc w:val="both"/>
        <w:rPr>
          <w:rFonts w:ascii="Century Schoolbook" w:hAnsi="Century Schoolbook"/>
        </w:rPr>
      </w:pPr>
    </w:p>
    <w:p w14:paraId="504203C5" w14:textId="190384E1" w:rsidR="00756AA6" w:rsidRPr="00B324F6" w:rsidRDefault="00255BDA" w:rsidP="00B324F6">
      <w:pPr>
        <w:jc w:val="both"/>
        <w:rPr>
          <w:rFonts w:ascii="Century Schoolbook" w:hAnsi="Century Schoolbook" w:cs="Arial"/>
          <w:b/>
          <w:bCs/>
          <w:color w:val="000000"/>
          <w:shd w:val="clear" w:color="auto" w:fill="FFFFFF"/>
        </w:rPr>
      </w:pPr>
      <w:r w:rsidRPr="00B324F6">
        <w:rPr>
          <w:rFonts w:ascii="Century Schoolbook" w:hAnsi="Century Schoolbook" w:cs="Arial"/>
          <w:b/>
          <w:bCs/>
          <w:color w:val="000000"/>
          <w:shd w:val="clear" w:color="auto" w:fill="FFFFFF"/>
        </w:rPr>
        <w:t>Implications</w:t>
      </w:r>
    </w:p>
    <w:p w14:paraId="0D747AFC" w14:textId="38026391" w:rsidR="00146588" w:rsidRPr="00B324F6" w:rsidRDefault="007D3887" w:rsidP="00B324F6">
      <w:pPr>
        <w:jc w:val="both"/>
        <w:rPr>
          <w:rFonts w:ascii="Century Schoolbook" w:hAnsi="Century Schoolbook" w:cs="Arial"/>
          <w:color w:val="000000"/>
          <w:shd w:val="clear" w:color="auto" w:fill="FFFFFF"/>
        </w:rPr>
      </w:pPr>
      <w:r w:rsidRPr="00B324F6">
        <w:rPr>
          <w:rFonts w:ascii="Century Schoolbook" w:hAnsi="Century Schoolbook" w:cs="Arial"/>
          <w:color w:val="000000"/>
          <w:shd w:val="clear" w:color="auto" w:fill="FFFFFF"/>
        </w:rPr>
        <w:t xml:space="preserve">We have argued that the justificatory role of the “public interest” criterion in relation to consent waivers is to provide the positive normative force for granting consent waivers for data use.  </w:t>
      </w:r>
      <w:r w:rsidR="00146588" w:rsidRPr="00B324F6">
        <w:rPr>
          <w:rFonts w:ascii="Century Schoolbook" w:hAnsi="Century Schoolbook" w:cs="Arial"/>
          <w:color w:val="000000"/>
          <w:shd w:val="clear" w:color="auto" w:fill="FFFFFF"/>
        </w:rPr>
        <w:t>We have advocated for public interest as the preferable term</w:t>
      </w:r>
      <w:r w:rsidRPr="00B324F6">
        <w:rPr>
          <w:rFonts w:ascii="Century Schoolbook" w:hAnsi="Century Schoolbook" w:cs="Arial"/>
          <w:color w:val="000000"/>
          <w:shd w:val="clear" w:color="auto" w:fill="FFFFFF"/>
        </w:rPr>
        <w:t xml:space="preserve"> and concept</w:t>
      </w:r>
      <w:r w:rsidR="00146588" w:rsidRPr="00B324F6">
        <w:rPr>
          <w:rFonts w:ascii="Century Schoolbook" w:hAnsi="Century Schoolbook" w:cs="Arial"/>
          <w:color w:val="000000"/>
          <w:shd w:val="clear" w:color="auto" w:fill="FFFFFF"/>
        </w:rPr>
        <w:t xml:space="preserve">, ahead of public good, public benefit or social value. </w:t>
      </w:r>
      <w:r w:rsidRPr="00B324F6">
        <w:rPr>
          <w:rFonts w:ascii="Century Schoolbook" w:hAnsi="Century Schoolbook" w:cs="Arial"/>
          <w:color w:val="000000"/>
          <w:shd w:val="clear" w:color="auto" w:fill="FFFFFF"/>
        </w:rPr>
        <w:t xml:space="preserve">Public interest is broader than these other terms in two regards. First it does not focus simply or even primarily on health. Public interest refers the overall assessment of the potential impact of the research of common goods such as privacy, trust, justice in addition to population health. Second, public interest considers both the negative and positive impacts of the </w:t>
      </w:r>
      <w:proofErr w:type="gramStart"/>
      <w:r w:rsidRPr="00B324F6">
        <w:rPr>
          <w:rFonts w:ascii="Century Schoolbook" w:hAnsi="Century Schoolbook" w:cs="Arial"/>
          <w:color w:val="000000"/>
          <w:shd w:val="clear" w:color="auto" w:fill="FFFFFF"/>
        </w:rPr>
        <w:t>research;</w:t>
      </w:r>
      <w:proofErr w:type="gramEnd"/>
      <w:r w:rsidRPr="00B324F6">
        <w:rPr>
          <w:rFonts w:ascii="Century Schoolbook" w:hAnsi="Century Schoolbook" w:cs="Arial"/>
          <w:color w:val="000000"/>
          <w:shd w:val="clear" w:color="auto" w:fill="FFFFFF"/>
        </w:rPr>
        <w:t xml:space="preserve"> whereas social value, public benefit and public good aim only to quantify the positive aspects of the study. We have argued that public interest is the right test for consent waivers because sharing health data without consent has broad implications beyond the data subjects. </w:t>
      </w:r>
    </w:p>
    <w:p w14:paraId="7DDE7FBD" w14:textId="389986AB" w:rsidR="007D3887" w:rsidRPr="00B324F6" w:rsidRDefault="007D3887" w:rsidP="00B324F6">
      <w:pPr>
        <w:jc w:val="both"/>
        <w:rPr>
          <w:rFonts w:ascii="Century Schoolbook" w:hAnsi="Century Schoolbook" w:cs="Arial"/>
          <w:color w:val="000000"/>
          <w:shd w:val="clear" w:color="auto" w:fill="FFFFFF"/>
        </w:rPr>
      </w:pPr>
      <w:proofErr w:type="gramStart"/>
      <w:r w:rsidRPr="00B324F6">
        <w:rPr>
          <w:rFonts w:ascii="Century Schoolbook" w:hAnsi="Century Schoolbook" w:cs="Arial"/>
          <w:color w:val="000000"/>
          <w:shd w:val="clear" w:color="auto" w:fill="FFFFFF"/>
        </w:rPr>
        <w:t>However</w:t>
      </w:r>
      <w:proofErr w:type="gramEnd"/>
      <w:r w:rsidRPr="00B324F6">
        <w:rPr>
          <w:rFonts w:ascii="Century Schoolbook" w:hAnsi="Century Schoolbook" w:cs="Arial"/>
          <w:color w:val="000000"/>
          <w:shd w:val="clear" w:color="auto" w:fill="FFFFFF"/>
        </w:rPr>
        <w:t xml:space="preserve"> there is a potential limitation of th</w:t>
      </w:r>
      <w:r w:rsidR="00EC0F17" w:rsidRPr="00B324F6">
        <w:rPr>
          <w:rFonts w:ascii="Century Schoolbook" w:hAnsi="Century Schoolbook" w:cs="Arial"/>
          <w:color w:val="000000"/>
          <w:shd w:val="clear" w:color="auto" w:fill="FFFFFF"/>
        </w:rPr>
        <w:t xml:space="preserve">e </w:t>
      </w:r>
      <w:r w:rsidR="00F11A52" w:rsidRPr="00B324F6">
        <w:rPr>
          <w:rFonts w:ascii="Century Schoolbook" w:hAnsi="Century Schoolbook" w:cs="Arial"/>
          <w:color w:val="000000"/>
          <w:shd w:val="clear" w:color="auto" w:fill="FFFFFF"/>
        </w:rPr>
        <w:t xml:space="preserve">broad </w:t>
      </w:r>
      <w:r w:rsidRPr="00B324F6">
        <w:rPr>
          <w:rFonts w:ascii="Century Schoolbook" w:hAnsi="Century Schoolbook" w:cs="Arial"/>
          <w:color w:val="000000"/>
          <w:shd w:val="clear" w:color="auto" w:fill="FFFFFF"/>
        </w:rPr>
        <w:t>approach. The arguments presented her</w:t>
      </w:r>
      <w:r w:rsidR="00CC4EA8" w:rsidRPr="00B324F6">
        <w:rPr>
          <w:rFonts w:ascii="Century Schoolbook" w:hAnsi="Century Schoolbook" w:cs="Arial"/>
          <w:color w:val="000000"/>
          <w:shd w:val="clear" w:color="auto" w:fill="FFFFFF"/>
        </w:rPr>
        <w:t>e</w:t>
      </w:r>
      <w:r w:rsidRPr="00B324F6">
        <w:rPr>
          <w:rFonts w:ascii="Century Schoolbook" w:hAnsi="Century Schoolbook" w:cs="Arial"/>
          <w:color w:val="000000"/>
          <w:shd w:val="clear" w:color="auto" w:fill="FFFFFF"/>
        </w:rPr>
        <w:t xml:space="preserve"> demonstrate the complex and </w:t>
      </w:r>
      <w:r w:rsidR="000C2C5A" w:rsidRPr="00B324F6">
        <w:rPr>
          <w:rFonts w:ascii="Century Schoolbook" w:hAnsi="Century Schoolbook" w:cs="Arial"/>
          <w:color w:val="000000"/>
          <w:shd w:val="clear" w:color="auto" w:fill="FFFFFF"/>
        </w:rPr>
        <w:t>demanding</w:t>
      </w:r>
      <w:r w:rsidRPr="00B324F6">
        <w:rPr>
          <w:rFonts w:ascii="Century Schoolbook" w:hAnsi="Century Schoolbook" w:cs="Arial"/>
          <w:color w:val="000000"/>
          <w:shd w:val="clear" w:color="auto" w:fill="FFFFFF"/>
        </w:rPr>
        <w:t xml:space="preserve"> job that IRBs/RECs are</w:t>
      </w:r>
      <w:r w:rsidR="00CC4EA8" w:rsidRPr="00B324F6">
        <w:rPr>
          <w:rFonts w:ascii="Century Schoolbook" w:hAnsi="Century Schoolbook" w:cs="Arial"/>
          <w:color w:val="000000"/>
          <w:shd w:val="clear" w:color="auto" w:fill="FFFFFF"/>
        </w:rPr>
        <w:t xml:space="preserve"> asked to perform when assessing requests for consent</w:t>
      </w:r>
      <w:r w:rsidRPr="00B324F6">
        <w:rPr>
          <w:rFonts w:ascii="Century Schoolbook" w:hAnsi="Century Schoolbook" w:cs="Arial"/>
          <w:color w:val="000000"/>
          <w:shd w:val="clear" w:color="auto" w:fill="FFFFFF"/>
        </w:rPr>
        <w:t xml:space="preserve"> waivers. Members of IRBs/RECs are unlikely to have expertise or specific training to </w:t>
      </w:r>
      <w:r w:rsidR="00CC4EA8" w:rsidRPr="00B324F6">
        <w:rPr>
          <w:rFonts w:ascii="Century Schoolbook" w:hAnsi="Century Schoolbook" w:cs="Arial"/>
          <w:color w:val="000000"/>
          <w:shd w:val="clear" w:color="auto" w:fill="FFFFFF"/>
        </w:rPr>
        <w:t>ga</w:t>
      </w:r>
      <w:r w:rsidR="008E281B">
        <w:rPr>
          <w:rFonts w:ascii="Century Schoolbook" w:hAnsi="Century Schoolbook" w:cs="Arial"/>
          <w:color w:val="000000"/>
          <w:shd w:val="clear" w:color="auto" w:fill="FFFFFF"/>
        </w:rPr>
        <w:t>u</w:t>
      </w:r>
      <w:r w:rsidR="00CC4EA8" w:rsidRPr="00B324F6">
        <w:rPr>
          <w:rFonts w:ascii="Century Schoolbook" w:hAnsi="Century Schoolbook" w:cs="Arial"/>
          <w:color w:val="000000"/>
          <w:shd w:val="clear" w:color="auto" w:fill="FFFFFF"/>
        </w:rPr>
        <w:t xml:space="preserve">ge </w:t>
      </w:r>
      <w:r w:rsidR="00EC0F17" w:rsidRPr="00B324F6">
        <w:rPr>
          <w:rFonts w:ascii="Century Schoolbook" w:hAnsi="Century Schoolbook" w:cs="Arial"/>
          <w:color w:val="000000"/>
          <w:shd w:val="clear" w:color="auto" w:fill="FFFFFF"/>
        </w:rPr>
        <w:t xml:space="preserve">many elements of the common good, for example </w:t>
      </w:r>
      <w:r w:rsidR="00CC4EA8" w:rsidRPr="00B324F6">
        <w:rPr>
          <w:rFonts w:ascii="Century Schoolbook" w:hAnsi="Century Schoolbook" w:cs="Arial"/>
          <w:color w:val="000000"/>
          <w:shd w:val="clear" w:color="auto" w:fill="FFFFFF"/>
        </w:rPr>
        <w:t xml:space="preserve">the privacy impact or future economic benefit of research. </w:t>
      </w:r>
      <w:r w:rsidR="00BC0894">
        <w:rPr>
          <w:rFonts w:ascii="Century Schoolbook" w:hAnsi="Century Schoolbook" w:cs="Arial"/>
          <w:color w:val="000000"/>
          <w:shd w:val="clear" w:color="auto" w:fill="FFFFFF"/>
        </w:rPr>
        <w:t>A broader concept will be more challenging to apply in practice and IRBs</w:t>
      </w:r>
      <w:r w:rsidR="008E281B">
        <w:rPr>
          <w:rFonts w:ascii="Century Schoolbook" w:hAnsi="Century Schoolbook" w:cs="Arial"/>
          <w:color w:val="000000"/>
          <w:shd w:val="clear" w:color="auto" w:fill="FFFFFF"/>
        </w:rPr>
        <w:t>/RECs</w:t>
      </w:r>
      <w:r w:rsidR="00BC0894">
        <w:rPr>
          <w:rFonts w:ascii="Century Schoolbook" w:hAnsi="Century Schoolbook" w:cs="Arial"/>
          <w:color w:val="000000"/>
          <w:shd w:val="clear" w:color="auto" w:fill="FFFFFF"/>
        </w:rPr>
        <w:t xml:space="preserve"> will need specific </w:t>
      </w:r>
      <w:r w:rsidR="008E281B">
        <w:rPr>
          <w:rFonts w:ascii="Century Schoolbook" w:hAnsi="Century Schoolbook" w:cs="Arial"/>
          <w:color w:val="000000"/>
          <w:shd w:val="clear" w:color="auto" w:fill="FFFFFF"/>
        </w:rPr>
        <w:t>tools</w:t>
      </w:r>
      <w:r w:rsidR="00BC0894">
        <w:rPr>
          <w:rFonts w:ascii="Century Schoolbook" w:hAnsi="Century Schoolbook" w:cs="Arial"/>
          <w:color w:val="000000"/>
          <w:shd w:val="clear" w:color="auto" w:fill="FFFFFF"/>
        </w:rPr>
        <w:t xml:space="preserve"> to help them assess public interest. </w:t>
      </w:r>
      <w:r w:rsidR="00AC3971">
        <w:rPr>
          <w:rFonts w:ascii="Century Schoolbook" w:hAnsi="Century Schoolbook" w:cs="Arial"/>
          <w:color w:val="000000"/>
          <w:shd w:val="clear" w:color="auto" w:fill="FFFFFF"/>
        </w:rPr>
        <w:fldChar w:fldCharType="begin"/>
      </w:r>
      <w:r w:rsidR="00AC3971">
        <w:rPr>
          <w:rFonts w:ascii="Century Schoolbook" w:hAnsi="Century Schoolbook" w:cs="Arial"/>
          <w:color w:val="000000"/>
          <w:shd w:val="clear" w:color="auto" w:fill="FFFFFF"/>
        </w:rPr>
        <w:instrText xml:space="preserve"> ADDIN ZOTERO_ITEM CSL_CITATION {"citationID":"t2x7mYxT","properties":{"formattedCitation":"[64]","plainCitation":"[64]","noteIndex":0},"citationItems":[{"id":1934,"uris":["http://zotero.org/users/1170976/items/7IJ9EZ46"],"uri":["http://zotero.org/users/1170976/items/7IJ9EZ46"],"itemData":{"id":1934,"type":"article-journal","container-title":"BMC Medical Ethics","DOI":"10.1186/s12910-020-00467-5","ISSN":"1472-6939","issue":"1","journalAbbreviation":"BMC Med Ethics","language":"en","page":"23","source":"DOI.org (Crossref)","title":"Clarifying how to deploy the public interest criterion in consent waivers for health data and tissue research","volume":"21","author":[{"family":"Schaefer","given":"G. Owen"},{"family":"Laurie","given":"Graeme"},{"family":"Menon","given":"Sumytra"},{"family":"Campbell","given":"Alastair V."},{"family":"Voo","given":"Teck Chuan"}],"issued":{"date-parts":[["2020",12]]}}}],"schema":"https://github.com/citation-style-language/schema/raw/master/csl-citation.json"} </w:instrText>
      </w:r>
      <w:r w:rsidR="00AC3971">
        <w:rPr>
          <w:rFonts w:ascii="Century Schoolbook" w:hAnsi="Century Schoolbook" w:cs="Arial"/>
          <w:color w:val="000000"/>
          <w:shd w:val="clear" w:color="auto" w:fill="FFFFFF"/>
        </w:rPr>
        <w:fldChar w:fldCharType="separate"/>
      </w:r>
      <w:r w:rsidR="00AC3971" w:rsidRPr="00AC3971">
        <w:rPr>
          <w:rFonts w:ascii="Century Schoolbook" w:hAnsi="Century Schoolbook"/>
        </w:rPr>
        <w:t>[64]</w:t>
      </w:r>
      <w:r w:rsidR="00AC3971">
        <w:rPr>
          <w:rFonts w:ascii="Century Schoolbook" w:hAnsi="Century Schoolbook" w:cs="Arial"/>
          <w:color w:val="000000"/>
          <w:shd w:val="clear" w:color="auto" w:fill="FFFFFF"/>
        </w:rPr>
        <w:fldChar w:fldCharType="end"/>
      </w:r>
    </w:p>
    <w:p w14:paraId="4E5E9A1E" w14:textId="3013B2E1" w:rsidR="007D3887" w:rsidRPr="00B324F6" w:rsidRDefault="007D3887" w:rsidP="00B324F6">
      <w:pPr>
        <w:jc w:val="both"/>
        <w:rPr>
          <w:rFonts w:ascii="Century Schoolbook" w:hAnsi="Century Schoolbook" w:cs="Arial"/>
          <w:color w:val="000000"/>
          <w:shd w:val="clear" w:color="auto" w:fill="FFFFFF"/>
        </w:rPr>
      </w:pPr>
      <w:r w:rsidRPr="00B324F6">
        <w:rPr>
          <w:rFonts w:ascii="Century Schoolbook" w:hAnsi="Century Schoolbook" w:cs="Arial"/>
          <w:color w:val="000000"/>
          <w:shd w:val="clear" w:color="auto" w:fill="FFFFFF"/>
        </w:rPr>
        <w:t xml:space="preserve">An advantage of our approach is that we make explicit the work required of IRBs/RECs </w:t>
      </w:r>
      <w:r w:rsidR="00CC4EA8" w:rsidRPr="00B324F6">
        <w:rPr>
          <w:rFonts w:ascii="Century Schoolbook" w:hAnsi="Century Schoolbook" w:cs="Arial"/>
          <w:color w:val="000000"/>
          <w:shd w:val="clear" w:color="auto" w:fill="FFFFFF"/>
        </w:rPr>
        <w:t xml:space="preserve">in granting consent waivers and the critical role they are </w:t>
      </w:r>
      <w:r w:rsidR="00EC0F17" w:rsidRPr="00B324F6">
        <w:rPr>
          <w:rFonts w:ascii="Century Schoolbook" w:hAnsi="Century Schoolbook" w:cs="Arial"/>
          <w:color w:val="000000"/>
          <w:shd w:val="clear" w:color="auto" w:fill="FFFFFF"/>
        </w:rPr>
        <w:t>now playing</w:t>
      </w:r>
      <w:r w:rsidR="00CC4EA8" w:rsidRPr="00B324F6">
        <w:rPr>
          <w:rFonts w:ascii="Century Schoolbook" w:hAnsi="Century Schoolbook" w:cs="Arial"/>
          <w:color w:val="000000"/>
          <w:shd w:val="clear" w:color="auto" w:fill="FFFFFF"/>
        </w:rPr>
        <w:t xml:space="preserve"> in the new </w:t>
      </w:r>
      <w:r w:rsidR="00EC0F17" w:rsidRPr="00B324F6">
        <w:rPr>
          <w:rFonts w:ascii="Century Schoolbook" w:hAnsi="Century Schoolbook" w:cs="Arial"/>
          <w:color w:val="000000"/>
          <w:shd w:val="clear" w:color="auto" w:fill="FFFFFF"/>
        </w:rPr>
        <w:t xml:space="preserve">health </w:t>
      </w:r>
      <w:r w:rsidR="00CC4EA8" w:rsidRPr="00B324F6">
        <w:rPr>
          <w:rFonts w:ascii="Century Schoolbook" w:hAnsi="Century Schoolbook" w:cs="Arial"/>
          <w:color w:val="000000"/>
          <w:shd w:val="clear" w:color="auto" w:fill="FFFFFF"/>
        </w:rPr>
        <w:t>data ecosystem. This can highlight the</w:t>
      </w:r>
      <w:r w:rsidRPr="00B324F6">
        <w:rPr>
          <w:rFonts w:ascii="Century Schoolbook" w:hAnsi="Century Schoolbook" w:cs="Arial"/>
          <w:color w:val="000000"/>
          <w:shd w:val="clear" w:color="auto" w:fill="FFFFFF"/>
        </w:rPr>
        <w:t xml:space="preserve"> evidence </w:t>
      </w:r>
      <w:r w:rsidR="00CC4EA8" w:rsidRPr="00B324F6">
        <w:rPr>
          <w:rFonts w:ascii="Century Schoolbook" w:hAnsi="Century Schoolbook" w:cs="Arial"/>
          <w:color w:val="000000"/>
          <w:shd w:val="clear" w:color="auto" w:fill="FFFFFF"/>
        </w:rPr>
        <w:t>committees</w:t>
      </w:r>
      <w:r w:rsidRPr="00B324F6">
        <w:rPr>
          <w:rFonts w:ascii="Century Schoolbook" w:hAnsi="Century Schoolbook" w:cs="Arial"/>
          <w:color w:val="000000"/>
          <w:shd w:val="clear" w:color="auto" w:fill="FFFFFF"/>
        </w:rPr>
        <w:t xml:space="preserve"> may legitimately require </w:t>
      </w:r>
      <w:proofErr w:type="gramStart"/>
      <w:r w:rsidRPr="00B324F6">
        <w:rPr>
          <w:rFonts w:ascii="Century Schoolbook" w:hAnsi="Century Schoolbook" w:cs="Arial"/>
          <w:color w:val="000000"/>
          <w:shd w:val="clear" w:color="auto" w:fill="FFFFFF"/>
        </w:rPr>
        <w:t>to make</w:t>
      </w:r>
      <w:proofErr w:type="gramEnd"/>
      <w:r w:rsidRPr="00B324F6">
        <w:rPr>
          <w:rFonts w:ascii="Century Schoolbook" w:hAnsi="Century Schoolbook" w:cs="Arial"/>
          <w:color w:val="000000"/>
          <w:shd w:val="clear" w:color="auto" w:fill="FFFFFF"/>
        </w:rPr>
        <w:t xml:space="preserve"> th</w:t>
      </w:r>
      <w:r w:rsidR="00CC4EA8" w:rsidRPr="00B324F6">
        <w:rPr>
          <w:rFonts w:ascii="Century Schoolbook" w:hAnsi="Century Schoolbook" w:cs="Arial"/>
          <w:color w:val="000000"/>
          <w:shd w:val="clear" w:color="auto" w:fill="FFFFFF"/>
        </w:rPr>
        <w:t>eir</w:t>
      </w:r>
      <w:r w:rsidRPr="00B324F6">
        <w:rPr>
          <w:rFonts w:ascii="Century Schoolbook" w:hAnsi="Century Schoolbook" w:cs="Arial"/>
          <w:color w:val="000000"/>
          <w:shd w:val="clear" w:color="auto" w:fill="FFFFFF"/>
        </w:rPr>
        <w:t xml:space="preserve"> assessment. IRBs/RECs may ask researchers to commission a privacy impact assessment for their protocol; require researchers to further </w:t>
      </w:r>
      <w:r w:rsidR="00CC4EA8" w:rsidRPr="00B324F6">
        <w:rPr>
          <w:rFonts w:ascii="Century Schoolbook" w:hAnsi="Century Schoolbook" w:cs="Arial"/>
          <w:color w:val="000000"/>
          <w:shd w:val="clear" w:color="auto" w:fill="FFFFFF"/>
        </w:rPr>
        <w:t xml:space="preserve">engage </w:t>
      </w:r>
      <w:r w:rsidRPr="00B324F6">
        <w:rPr>
          <w:rFonts w:ascii="Century Schoolbook" w:hAnsi="Century Schoolbook" w:cs="Arial"/>
          <w:color w:val="000000"/>
          <w:shd w:val="clear" w:color="auto" w:fill="FFFFFF"/>
        </w:rPr>
        <w:t>stakeholder</w:t>
      </w:r>
      <w:r w:rsidR="00CC4EA8" w:rsidRPr="00B324F6">
        <w:rPr>
          <w:rFonts w:ascii="Century Schoolbook" w:hAnsi="Century Schoolbook" w:cs="Arial"/>
          <w:color w:val="000000"/>
          <w:shd w:val="clear" w:color="auto" w:fill="FFFFFF"/>
        </w:rPr>
        <w:t>s</w:t>
      </w:r>
      <w:r w:rsidRPr="00B324F6">
        <w:rPr>
          <w:rFonts w:ascii="Century Schoolbook" w:hAnsi="Century Schoolbook" w:cs="Arial"/>
          <w:color w:val="000000"/>
          <w:shd w:val="clear" w:color="auto" w:fill="FFFFFF"/>
        </w:rPr>
        <w:t xml:space="preserve"> </w:t>
      </w:r>
      <w:r w:rsidR="00CC4EA8" w:rsidRPr="00B324F6">
        <w:rPr>
          <w:rFonts w:ascii="Century Schoolbook" w:hAnsi="Century Schoolbook" w:cs="Arial"/>
          <w:color w:val="000000"/>
          <w:shd w:val="clear" w:color="auto" w:fill="FFFFFF"/>
        </w:rPr>
        <w:t xml:space="preserve">to assess perceptions of value and risk; require greater patient and public involvement in the design or oversight of some research; or require a commitment to specific benefit sharing </w:t>
      </w:r>
      <w:r w:rsidR="00CC4EA8" w:rsidRPr="00B324F6">
        <w:rPr>
          <w:rFonts w:ascii="Century Schoolbook" w:hAnsi="Century Schoolbook" w:cs="Arial"/>
          <w:color w:val="000000"/>
          <w:shd w:val="clear" w:color="auto" w:fill="FFFFFF"/>
        </w:rPr>
        <w:lastRenderedPageBreak/>
        <w:t xml:space="preserve">arrangements. Because of the breadth and complexity of the assessment required, IRBs/RECs may need to allocate more time to consider consent waivers. </w:t>
      </w:r>
    </w:p>
    <w:p w14:paraId="022CB03B" w14:textId="163D643D" w:rsidR="0045572C" w:rsidRPr="00B324F6" w:rsidRDefault="0045572C" w:rsidP="00B324F6">
      <w:pPr>
        <w:jc w:val="both"/>
        <w:rPr>
          <w:rFonts w:ascii="Century Schoolbook" w:hAnsi="Century Schoolbook"/>
        </w:rPr>
      </w:pPr>
      <w:r w:rsidRPr="00B324F6">
        <w:rPr>
          <w:rFonts w:ascii="Century Schoolbook" w:hAnsi="Century Schoolbook"/>
        </w:rPr>
        <w:t xml:space="preserve">A major challenge for governments, clinicians and the research community </w:t>
      </w:r>
      <w:proofErr w:type="gramStart"/>
      <w:r w:rsidRPr="00B324F6">
        <w:rPr>
          <w:rFonts w:ascii="Century Schoolbook" w:hAnsi="Century Schoolbook"/>
        </w:rPr>
        <w:t>is</w:t>
      </w:r>
      <w:proofErr w:type="gramEnd"/>
      <w:r w:rsidRPr="00B324F6">
        <w:rPr>
          <w:rFonts w:ascii="Century Schoolbook" w:hAnsi="Century Schoolbook"/>
        </w:rPr>
        <w:t xml:space="preserve"> how to demonstrate responsible stewardship of health and other personal data. IRBs and RECs sit at heart of this process. Future work must focus </w:t>
      </w:r>
      <w:r w:rsidR="00EC22BB" w:rsidRPr="00E33CE5">
        <w:rPr>
          <w:rFonts w:ascii="Century Schoolbook" w:hAnsi="Century Schoolbook"/>
        </w:rPr>
        <w:t xml:space="preserve">on </w:t>
      </w:r>
      <w:r w:rsidR="00E33CE5" w:rsidRPr="00340371">
        <w:rPr>
          <w:rFonts w:ascii="Century Schoolbook" w:hAnsi="Century Schoolbook"/>
        </w:rPr>
        <w:t xml:space="preserve">aligning </w:t>
      </w:r>
      <w:r w:rsidRPr="00340371">
        <w:rPr>
          <w:rFonts w:ascii="Century Schoolbook" w:hAnsi="Century Schoolbook"/>
        </w:rPr>
        <w:t>terminology</w:t>
      </w:r>
      <w:r w:rsidRPr="00B324F6">
        <w:rPr>
          <w:rFonts w:ascii="Century Schoolbook" w:hAnsi="Century Schoolbook"/>
        </w:rPr>
        <w:t xml:space="preserve"> </w:t>
      </w:r>
      <w:r w:rsidR="00771FC3" w:rsidRPr="00B324F6">
        <w:rPr>
          <w:rFonts w:ascii="Century Schoolbook" w:hAnsi="Century Schoolbook"/>
        </w:rPr>
        <w:t xml:space="preserve">and </w:t>
      </w:r>
      <w:r w:rsidR="00771FC3">
        <w:rPr>
          <w:rFonts w:ascii="Century Schoolbook" w:hAnsi="Century Schoolbook"/>
        </w:rPr>
        <w:t xml:space="preserve">conceptual </w:t>
      </w:r>
      <w:r w:rsidR="008E281B">
        <w:rPr>
          <w:rFonts w:ascii="Century Schoolbook" w:hAnsi="Century Schoolbook"/>
        </w:rPr>
        <w:t xml:space="preserve">as well as normative </w:t>
      </w:r>
      <w:r w:rsidRPr="00B324F6">
        <w:rPr>
          <w:rFonts w:ascii="Century Schoolbook" w:hAnsi="Century Schoolbook"/>
        </w:rPr>
        <w:t xml:space="preserve">standards for data sharing to ensure clarity, transparency and consistency. An important next step is to operationalise the concept of public interest and develop a workable framework for IRBs/RECs and other decisions making bodies to use when identifying, measuring and weighing different elements of the public interest. </w:t>
      </w:r>
    </w:p>
    <w:bookmarkEnd w:id="1"/>
    <w:p w14:paraId="37208D54" w14:textId="729CA45A" w:rsidR="00FB414C" w:rsidRPr="00B324F6" w:rsidRDefault="00FB414C" w:rsidP="00B324F6">
      <w:pPr>
        <w:spacing w:after="0"/>
        <w:jc w:val="both"/>
        <w:rPr>
          <w:rFonts w:ascii="Century Schoolbook" w:hAnsi="Century Schoolbook"/>
        </w:rPr>
      </w:pPr>
    </w:p>
    <w:p w14:paraId="20BB9B58" w14:textId="7AAA5278" w:rsidR="00357915" w:rsidRPr="00B324F6" w:rsidRDefault="00166116" w:rsidP="00B324F6">
      <w:pPr>
        <w:jc w:val="both"/>
        <w:rPr>
          <w:rFonts w:ascii="Century Schoolbook" w:hAnsi="Century Schoolbook"/>
        </w:rPr>
      </w:pPr>
      <w:r w:rsidRPr="00B324F6">
        <w:rPr>
          <w:rFonts w:ascii="Century Schoolbook" w:hAnsi="Century Schoolbook"/>
        </w:rPr>
        <w:br w:type="page"/>
      </w:r>
    </w:p>
    <w:p w14:paraId="275D1548" w14:textId="6E305513" w:rsidR="00357915" w:rsidRPr="00B324F6" w:rsidRDefault="00357915" w:rsidP="00B324F6">
      <w:pPr>
        <w:spacing w:after="0"/>
        <w:jc w:val="both"/>
        <w:rPr>
          <w:rFonts w:ascii="Century Schoolbook" w:hAnsi="Century Schoolbook"/>
          <w:b/>
          <w:bCs/>
        </w:rPr>
      </w:pPr>
      <w:r w:rsidRPr="00B324F6">
        <w:rPr>
          <w:rFonts w:ascii="Century Schoolbook" w:hAnsi="Century Schoolbook"/>
          <w:b/>
          <w:bCs/>
        </w:rPr>
        <w:lastRenderedPageBreak/>
        <w:t>Works cited:</w:t>
      </w:r>
    </w:p>
    <w:p w14:paraId="4F3CAEF1" w14:textId="77777777" w:rsidR="00357915" w:rsidRPr="00B324F6" w:rsidRDefault="00357915" w:rsidP="00B324F6">
      <w:pPr>
        <w:spacing w:after="0"/>
        <w:jc w:val="both"/>
        <w:rPr>
          <w:rFonts w:ascii="Century Schoolbook" w:hAnsi="Century Schoolbook"/>
        </w:rPr>
      </w:pPr>
    </w:p>
    <w:p w14:paraId="17E5CDA6" w14:textId="77777777" w:rsidR="00AC3971" w:rsidRDefault="00877007" w:rsidP="00AC3971">
      <w:pPr>
        <w:pStyle w:val="Bibliography"/>
      </w:pPr>
      <w:r w:rsidRPr="00B324F6">
        <w:t xml:space="preserve">  </w:t>
      </w:r>
      <w:r w:rsidR="009A7DE9" w:rsidRPr="00B324F6">
        <w:fldChar w:fldCharType="begin"/>
      </w:r>
      <w:r w:rsidR="00D17BA1">
        <w:instrText xml:space="preserve"> ADDIN ZOTERO_BIBL {"uncited":[],"omitted":[],"custom":[]} CSL_BIBLIOGRAPHY </w:instrText>
      </w:r>
      <w:r w:rsidR="009A7DE9" w:rsidRPr="00B324F6">
        <w:fldChar w:fldCharType="separate"/>
      </w:r>
      <w:r w:rsidR="00AC3971">
        <w:t xml:space="preserve">1 </w:t>
      </w:r>
      <w:r w:rsidR="00AC3971">
        <w:tab/>
        <w:t xml:space="preserve">Kaye J. The Tension Between Data Sharing and the Protection of Privacy in Genomics Research. </w:t>
      </w:r>
      <w:r w:rsidR="00AC3971">
        <w:rPr>
          <w:i/>
          <w:iCs/>
        </w:rPr>
        <w:t>Annu Rev Genomics Hum Genet</w:t>
      </w:r>
      <w:r w:rsidR="00AC3971">
        <w:t xml:space="preserve"> 2012;</w:t>
      </w:r>
      <w:r w:rsidR="00AC3971">
        <w:rPr>
          <w:b/>
          <w:bCs/>
        </w:rPr>
        <w:t>13</w:t>
      </w:r>
      <w:r w:rsidR="00AC3971">
        <w:t>:415–31. doi:10.1146/annurev-genom-082410-101454</w:t>
      </w:r>
    </w:p>
    <w:p w14:paraId="660F17CC" w14:textId="77777777" w:rsidR="00AC3971" w:rsidRDefault="00AC3971" w:rsidP="00AC3971">
      <w:pPr>
        <w:pStyle w:val="Bibliography"/>
      </w:pPr>
      <w:r>
        <w:t xml:space="preserve">2 </w:t>
      </w:r>
      <w:r>
        <w:tab/>
        <w:t xml:space="preserve">Tucker K, Branson J, Dilleen M, </w:t>
      </w:r>
      <w:r>
        <w:rPr>
          <w:i/>
          <w:iCs/>
        </w:rPr>
        <w:t>et al.</w:t>
      </w:r>
      <w:r>
        <w:t xml:space="preserve"> Protecting patient privacy when sharing patient-level data from clinical trials. </w:t>
      </w:r>
      <w:r>
        <w:rPr>
          <w:i/>
          <w:iCs/>
        </w:rPr>
        <w:t>BMC Med Res Methodol</w:t>
      </w:r>
      <w:r>
        <w:t xml:space="preserve"> 2016;</w:t>
      </w:r>
      <w:r>
        <w:rPr>
          <w:b/>
          <w:bCs/>
        </w:rPr>
        <w:t>16</w:t>
      </w:r>
      <w:r>
        <w:t>. doi:10.1186/s12874-016-0169-4</w:t>
      </w:r>
    </w:p>
    <w:p w14:paraId="6C10CA51" w14:textId="77777777" w:rsidR="00AC3971" w:rsidRDefault="00AC3971" w:rsidP="00AC3971">
      <w:pPr>
        <w:pStyle w:val="Bibliography"/>
      </w:pPr>
      <w:r>
        <w:t xml:space="preserve">3 </w:t>
      </w:r>
      <w:r>
        <w:tab/>
        <w:t xml:space="preserve">Black N. Secondary use of personal data for health and health services research: why identifiable data are essential. </w:t>
      </w:r>
      <w:r>
        <w:rPr>
          <w:i/>
          <w:iCs/>
        </w:rPr>
        <w:t>J Health Serv Res Policy</w:t>
      </w:r>
      <w:r>
        <w:t xml:space="preserve"> 2003;</w:t>
      </w:r>
      <w:r>
        <w:rPr>
          <w:b/>
          <w:bCs/>
        </w:rPr>
        <w:t>8</w:t>
      </w:r>
      <w:r>
        <w:t>:36–40. doi:10.1258/135581903766468873</w:t>
      </w:r>
    </w:p>
    <w:p w14:paraId="5B2E8421" w14:textId="77777777" w:rsidR="00AC3971" w:rsidRDefault="00AC3971" w:rsidP="00AC3971">
      <w:pPr>
        <w:pStyle w:val="Bibliography"/>
      </w:pPr>
      <w:r>
        <w:t xml:space="preserve">4 </w:t>
      </w:r>
      <w:r>
        <w:tab/>
        <w:t xml:space="preserve">Faden R, Kass N, Whicher D, </w:t>
      </w:r>
      <w:r>
        <w:rPr>
          <w:i/>
          <w:iCs/>
        </w:rPr>
        <w:t>et al.</w:t>
      </w:r>
      <w:r>
        <w:t xml:space="preserve"> Ethics and Informed Consent for Comparative Effectiveness Research With Prospective Electronic Clinical Data: </w:t>
      </w:r>
      <w:r>
        <w:rPr>
          <w:i/>
          <w:iCs/>
        </w:rPr>
        <w:t>Med Care</w:t>
      </w:r>
      <w:r>
        <w:t xml:space="preserve"> 2013;</w:t>
      </w:r>
      <w:r>
        <w:rPr>
          <w:b/>
          <w:bCs/>
        </w:rPr>
        <w:t>51</w:t>
      </w:r>
      <w:r>
        <w:t>:S53–7. doi:10.1097/MLR.0b013e31829b1e4b</w:t>
      </w:r>
    </w:p>
    <w:p w14:paraId="228FC5D3" w14:textId="77777777" w:rsidR="00AC3971" w:rsidRDefault="00AC3971" w:rsidP="00AC3971">
      <w:pPr>
        <w:pStyle w:val="Bibliography"/>
      </w:pPr>
      <w:r>
        <w:t xml:space="preserve">5 </w:t>
      </w:r>
      <w:r>
        <w:tab/>
        <w:t xml:space="preserve">Federer LM, Lu Y-L, Joubert DJ, </w:t>
      </w:r>
      <w:r>
        <w:rPr>
          <w:i/>
          <w:iCs/>
        </w:rPr>
        <w:t>et al.</w:t>
      </w:r>
      <w:r>
        <w:t xml:space="preserve"> Biomedical Data Sharing and Reuse: Attitudes and Practices of Clinical and Scientific Research Staff. </w:t>
      </w:r>
      <w:r>
        <w:rPr>
          <w:i/>
          <w:iCs/>
        </w:rPr>
        <w:t>PLOS ONE</w:t>
      </w:r>
      <w:r>
        <w:t xml:space="preserve"> 2015;</w:t>
      </w:r>
      <w:r>
        <w:rPr>
          <w:b/>
          <w:bCs/>
        </w:rPr>
        <w:t>10</w:t>
      </w:r>
      <w:r>
        <w:t>:e0129506. doi:10.1371/journal.pone.0129506</w:t>
      </w:r>
    </w:p>
    <w:p w14:paraId="00A4EF58" w14:textId="77777777" w:rsidR="00AC3971" w:rsidRDefault="00AC3971" w:rsidP="00AC3971">
      <w:pPr>
        <w:pStyle w:val="Bibliography"/>
      </w:pPr>
      <w:r>
        <w:t xml:space="preserve">6 </w:t>
      </w:r>
      <w:r>
        <w:tab/>
        <w:t xml:space="preserve">Frizzo-Barker J, Chow-White PA, Charters A, </w:t>
      </w:r>
      <w:r>
        <w:rPr>
          <w:i/>
          <w:iCs/>
        </w:rPr>
        <w:t>et al.</w:t>
      </w:r>
      <w:r>
        <w:t xml:space="preserve"> Genomic Big Data and Privacy: Challenges and Opportunities for Precision Medicine. </w:t>
      </w:r>
      <w:r>
        <w:rPr>
          <w:i/>
          <w:iCs/>
        </w:rPr>
        <w:t>Comput Support Coop Work CSCW</w:t>
      </w:r>
      <w:r>
        <w:t xml:space="preserve"> 2016;</w:t>
      </w:r>
      <w:r>
        <w:rPr>
          <w:b/>
          <w:bCs/>
        </w:rPr>
        <w:t>25</w:t>
      </w:r>
      <w:r>
        <w:t>:115–36. doi:10.1007/s10606-016-9248-7</w:t>
      </w:r>
    </w:p>
    <w:p w14:paraId="527EC594" w14:textId="77777777" w:rsidR="00AC3971" w:rsidRDefault="00AC3971" w:rsidP="00AC3971">
      <w:pPr>
        <w:pStyle w:val="Bibliography"/>
      </w:pPr>
      <w:r>
        <w:t xml:space="preserve">7 </w:t>
      </w:r>
      <w:r>
        <w:tab/>
        <w:t xml:space="preserve">Ploug T, Holm S. Meta Consent - A Flexible Solution to the Problem of Secondary Use of Health Data: Meta Consent. </w:t>
      </w:r>
      <w:r>
        <w:rPr>
          <w:i/>
          <w:iCs/>
        </w:rPr>
        <w:t>Bioethics</w:t>
      </w:r>
      <w:r>
        <w:t xml:space="preserve"> 2016;</w:t>
      </w:r>
      <w:r>
        <w:rPr>
          <w:b/>
          <w:bCs/>
        </w:rPr>
        <w:t>30</w:t>
      </w:r>
      <w:r>
        <w:t>:721–32. doi:10.1111/bioe.12286</w:t>
      </w:r>
    </w:p>
    <w:p w14:paraId="646EAAF6" w14:textId="77777777" w:rsidR="00AC3971" w:rsidRDefault="00AC3971" w:rsidP="00AC3971">
      <w:pPr>
        <w:pStyle w:val="Bibliography"/>
      </w:pPr>
      <w:r>
        <w:t xml:space="preserve">8 </w:t>
      </w:r>
      <w:r>
        <w:tab/>
        <w:t xml:space="preserve">Budin-Ljøsne I, Teare HJA, Kaye J, </w:t>
      </w:r>
      <w:r>
        <w:rPr>
          <w:i/>
          <w:iCs/>
        </w:rPr>
        <w:t>et al.</w:t>
      </w:r>
      <w:r>
        <w:t xml:space="preserve"> Dynamic Consent: a potential solution to some of the challenges of modern biomedical research. </w:t>
      </w:r>
      <w:r>
        <w:rPr>
          <w:i/>
          <w:iCs/>
        </w:rPr>
        <w:t>BMC Med Ethics</w:t>
      </w:r>
      <w:r>
        <w:t xml:space="preserve"> 2017;</w:t>
      </w:r>
      <w:r>
        <w:rPr>
          <w:b/>
          <w:bCs/>
        </w:rPr>
        <w:t>18</w:t>
      </w:r>
      <w:r>
        <w:t>. doi:10.1186/s12910-016-0162-9</w:t>
      </w:r>
    </w:p>
    <w:p w14:paraId="04A18FC3" w14:textId="77777777" w:rsidR="00AC3971" w:rsidRDefault="00AC3971" w:rsidP="00AC3971">
      <w:pPr>
        <w:pStyle w:val="Bibliography"/>
      </w:pPr>
      <w:r>
        <w:t xml:space="preserve">9 </w:t>
      </w:r>
      <w:r>
        <w:tab/>
        <w:t>Royal Statistical Society. New RSS research finds ‘data trust deficit’, with lessons for policymakers. 2014.https://www.statslife.org.uk/news/1672-new-rss-research-finds-data-trust-deficit-with-lessons-for-policymakers</w:t>
      </w:r>
    </w:p>
    <w:p w14:paraId="4514F100" w14:textId="77777777" w:rsidR="00AC3971" w:rsidRDefault="00AC3971" w:rsidP="00AC3971">
      <w:pPr>
        <w:pStyle w:val="Bibliography"/>
      </w:pPr>
      <w:r>
        <w:t xml:space="preserve">10 </w:t>
      </w:r>
      <w:r>
        <w:tab/>
        <w:t xml:space="preserve">Trinidad SB, Fullerton SM, Bares JM, </w:t>
      </w:r>
      <w:r>
        <w:rPr>
          <w:i/>
          <w:iCs/>
        </w:rPr>
        <w:t>et al.</w:t>
      </w:r>
      <w:r>
        <w:t xml:space="preserve"> Informed Consent in Genome-Scale Research: What Do Prospective Participants Think? </w:t>
      </w:r>
      <w:r>
        <w:rPr>
          <w:i/>
          <w:iCs/>
        </w:rPr>
        <w:t>AJOB Prim Res</w:t>
      </w:r>
      <w:r>
        <w:t xml:space="preserve"> 2012;</w:t>
      </w:r>
      <w:r>
        <w:rPr>
          <w:b/>
          <w:bCs/>
        </w:rPr>
        <w:t>3</w:t>
      </w:r>
      <w:r>
        <w:t>:3–11. doi:10.1080/21507716.2012.662575</w:t>
      </w:r>
    </w:p>
    <w:p w14:paraId="4F6E5993" w14:textId="77777777" w:rsidR="00AC3971" w:rsidRDefault="00AC3971" w:rsidP="00AC3971">
      <w:pPr>
        <w:pStyle w:val="Bibliography"/>
      </w:pPr>
      <w:r>
        <w:t xml:space="preserve">11 </w:t>
      </w:r>
      <w:r>
        <w:tab/>
        <w:t xml:space="preserve">Miller FG. Research on Medical Records without Informed Consent. </w:t>
      </w:r>
      <w:r>
        <w:rPr>
          <w:i/>
          <w:iCs/>
        </w:rPr>
        <w:t>J Law Med Ethics</w:t>
      </w:r>
      <w:r>
        <w:t xml:space="preserve"> 2008;</w:t>
      </w:r>
      <w:r>
        <w:rPr>
          <w:b/>
          <w:bCs/>
        </w:rPr>
        <w:t>36</w:t>
      </w:r>
      <w:r>
        <w:t>:560–6. doi:10.1111/j.1748-720X.2008.304.x</w:t>
      </w:r>
    </w:p>
    <w:p w14:paraId="576F4EAB" w14:textId="77777777" w:rsidR="00AC3971" w:rsidRDefault="00AC3971" w:rsidP="00AC3971">
      <w:pPr>
        <w:pStyle w:val="Bibliography"/>
      </w:pPr>
      <w:r>
        <w:t xml:space="preserve">12 </w:t>
      </w:r>
      <w:r>
        <w:tab/>
        <w:t xml:space="preserve">Gelinas L, Wertheimer A, Miller FG. When and Why Is Research without Consent Permissible? </w:t>
      </w:r>
      <w:r>
        <w:rPr>
          <w:i/>
          <w:iCs/>
        </w:rPr>
        <w:t>Hastings Cent Rep</w:t>
      </w:r>
      <w:r>
        <w:t xml:space="preserve"> 2016;</w:t>
      </w:r>
      <w:r>
        <w:rPr>
          <w:b/>
          <w:bCs/>
        </w:rPr>
        <w:t>46</w:t>
      </w:r>
      <w:r>
        <w:t>:35–43. doi:10.1002/hast.548</w:t>
      </w:r>
    </w:p>
    <w:p w14:paraId="6429D008" w14:textId="77777777" w:rsidR="00AC3971" w:rsidRDefault="00AC3971" w:rsidP="00AC3971">
      <w:pPr>
        <w:pStyle w:val="Bibliography"/>
      </w:pPr>
      <w:r>
        <w:t xml:space="preserve">13 </w:t>
      </w:r>
      <w:r>
        <w:tab/>
        <w:t xml:space="preserve">Ballantyne A, Moore A. Data and tissue research without patient consent: A qualitative study of the views of research ethics committees in New Zealand. </w:t>
      </w:r>
      <w:r>
        <w:rPr>
          <w:i/>
          <w:iCs/>
        </w:rPr>
        <w:t>AJOB Empir Bioeth</w:t>
      </w:r>
      <w:r>
        <w:t xml:space="preserve"> 2018;</w:t>
      </w:r>
      <w:r>
        <w:rPr>
          <w:b/>
          <w:bCs/>
        </w:rPr>
        <w:t>9</w:t>
      </w:r>
      <w:r>
        <w:t>:143–53. doi:10.1080/23294515.2018.1518938</w:t>
      </w:r>
    </w:p>
    <w:p w14:paraId="331EC1E9" w14:textId="77777777" w:rsidR="00AC3971" w:rsidRDefault="00AC3971" w:rsidP="00AC3971">
      <w:pPr>
        <w:pStyle w:val="Bibliography"/>
      </w:pPr>
      <w:r>
        <w:t xml:space="preserve">14 </w:t>
      </w:r>
      <w:r>
        <w:tab/>
        <w:t xml:space="preserve">Dove ES, Chen J. Should consent for data processing be privileged in health research? A comparative legal analysis. </w:t>
      </w:r>
      <w:r>
        <w:rPr>
          <w:i/>
          <w:iCs/>
        </w:rPr>
        <w:t>Int Data Priv Law</w:t>
      </w:r>
      <w:r>
        <w:t xml:space="preserve"> Published Online First: 25 February 2020. doi:10.1093/idpl/ipz023</w:t>
      </w:r>
    </w:p>
    <w:p w14:paraId="3E01DCEA" w14:textId="77777777" w:rsidR="00AC3971" w:rsidRDefault="00AC3971" w:rsidP="00AC3971">
      <w:pPr>
        <w:pStyle w:val="Bibliography"/>
      </w:pPr>
      <w:r>
        <w:lastRenderedPageBreak/>
        <w:t xml:space="preserve">15 </w:t>
      </w:r>
      <w:r>
        <w:tab/>
        <w:t>UNESCO International Bioethics Committee. Report of the IBC on Big Data and Health. Paris, France: 2017. https://unesdoc.unesco.org/ark:/48223/pf0000248724</w:t>
      </w:r>
    </w:p>
    <w:p w14:paraId="6884CB9B" w14:textId="77777777" w:rsidR="00AC3971" w:rsidRDefault="00AC3971" w:rsidP="00AC3971">
      <w:pPr>
        <w:pStyle w:val="Bibliography"/>
      </w:pPr>
      <w:r>
        <w:t xml:space="preserve">16 </w:t>
      </w:r>
      <w:r>
        <w:tab/>
        <w:t>Data Protection Act 2018 (Section 36(2)) (Health Research) Regulations 2018. 2018. http://www.irishstatutebook.ie/eli/2018/si/314/made/en/pdf</w:t>
      </w:r>
    </w:p>
    <w:p w14:paraId="4983E7E7" w14:textId="77777777" w:rsidR="00AC3971" w:rsidRDefault="00AC3971" w:rsidP="00AC3971">
      <w:pPr>
        <w:pStyle w:val="Bibliography"/>
      </w:pPr>
      <w:r>
        <w:t xml:space="preserve">17 </w:t>
      </w:r>
      <w:r>
        <w:tab/>
        <w:t xml:space="preserve">National Health and Medical Research Council (Australia), Australian Research Council, Australian Vice-Chancellors’ Committee. </w:t>
      </w:r>
      <w:r>
        <w:rPr>
          <w:i/>
          <w:iCs/>
        </w:rPr>
        <w:t>National statement on ethical conduct in human research</w:t>
      </w:r>
      <w:r>
        <w:t xml:space="preserve">. Canberra: : National Health and Medical Research Council 2007. </w:t>
      </w:r>
    </w:p>
    <w:p w14:paraId="646466A7" w14:textId="77777777" w:rsidR="00AC3971" w:rsidRDefault="00AC3971" w:rsidP="00AC3971">
      <w:pPr>
        <w:pStyle w:val="Bibliography"/>
      </w:pPr>
      <w:r>
        <w:t xml:space="preserve">18 </w:t>
      </w:r>
      <w:r>
        <w:tab/>
        <w:t xml:space="preserve">National Ethics Advisory Committee. </w:t>
      </w:r>
      <w:r>
        <w:rPr>
          <w:i/>
          <w:iCs/>
        </w:rPr>
        <w:t>Ethical Guidelines for Observational Studies: Observational research, audits and related activities</w:t>
      </w:r>
      <w:r>
        <w:t xml:space="preserve">. Wellington: : Ministry of Health 2012. </w:t>
      </w:r>
    </w:p>
    <w:p w14:paraId="7AC2F76C" w14:textId="77777777" w:rsidR="00AC3971" w:rsidRDefault="00AC3971" w:rsidP="00AC3971">
      <w:pPr>
        <w:pStyle w:val="Bibliography"/>
      </w:pPr>
      <w:r>
        <w:t xml:space="preserve">19 </w:t>
      </w:r>
      <w:r>
        <w:tab/>
        <w:t xml:space="preserve">Human Biomedical Research Act. 2015. </w:t>
      </w:r>
    </w:p>
    <w:p w14:paraId="249AD383" w14:textId="77777777" w:rsidR="00AC3971" w:rsidRDefault="00AC3971" w:rsidP="00AC3971">
      <w:pPr>
        <w:pStyle w:val="Bibliography"/>
      </w:pPr>
      <w:r>
        <w:t xml:space="preserve">20 </w:t>
      </w:r>
      <w:r>
        <w:tab/>
        <w:t>Indian Council of Medical Research. National Ethical Guidelines for Biomedical and Health Research Involving Human Participants. Bengaluru, India: 2017. https://www.icmr.nic.in/sites/default/files/guidelines/ICMR_Ethical_Guidelines_2017.pdf</w:t>
      </w:r>
    </w:p>
    <w:p w14:paraId="62B10402" w14:textId="77777777" w:rsidR="00AC3971" w:rsidRDefault="00AC3971" w:rsidP="00AC3971">
      <w:pPr>
        <w:pStyle w:val="Bibliography"/>
      </w:pPr>
      <w:r>
        <w:t xml:space="preserve">21 </w:t>
      </w:r>
      <w:r>
        <w:tab/>
        <w:t xml:space="preserve">Council for International Organizations of Medical Sciences, World Health Organization. </w:t>
      </w:r>
      <w:r>
        <w:rPr>
          <w:i/>
          <w:iCs/>
        </w:rPr>
        <w:t>International ethical guidelines for health-related research involving humans</w:t>
      </w:r>
      <w:r>
        <w:t xml:space="preserve">. 2016. </w:t>
      </w:r>
    </w:p>
    <w:p w14:paraId="3BF39C24" w14:textId="77777777" w:rsidR="00AC3971" w:rsidRDefault="00AC3971" w:rsidP="00AC3971">
      <w:pPr>
        <w:pStyle w:val="Bibliography"/>
      </w:pPr>
      <w:r>
        <w:t xml:space="preserve">22 </w:t>
      </w:r>
      <w:r>
        <w:tab/>
        <w:t xml:space="preserve">IOM (Institute of Medicine). </w:t>
      </w:r>
      <w:r>
        <w:rPr>
          <w:i/>
          <w:iCs/>
        </w:rPr>
        <w:t>Clinical data as the basic staple of health learning: Creating and protecting a public good: Workshop Summary</w:t>
      </w:r>
      <w:r>
        <w:t xml:space="preserve">. Washington, DC: : The National Academies Press 2010. </w:t>
      </w:r>
    </w:p>
    <w:p w14:paraId="0BB9DBA3" w14:textId="77777777" w:rsidR="00AC3971" w:rsidRDefault="00AC3971" w:rsidP="00AC3971">
      <w:pPr>
        <w:pStyle w:val="Bibliography"/>
      </w:pPr>
      <w:r>
        <w:t xml:space="preserve">23 </w:t>
      </w:r>
      <w:r>
        <w:tab/>
        <w:t xml:space="preserve">Ballantyne A, Schaefer GO. Consent and the ethical duty to participate in health data research. </w:t>
      </w:r>
      <w:r>
        <w:rPr>
          <w:i/>
          <w:iCs/>
        </w:rPr>
        <w:t>J Med Ethics</w:t>
      </w:r>
      <w:r>
        <w:t xml:space="preserve"> 2018;</w:t>
      </w:r>
      <w:r>
        <w:rPr>
          <w:b/>
          <w:bCs/>
        </w:rPr>
        <w:t>44</w:t>
      </w:r>
      <w:r>
        <w:t>:392–6. doi:10.1136/medethics-2017-104550</w:t>
      </w:r>
    </w:p>
    <w:p w14:paraId="742BA56C" w14:textId="77777777" w:rsidR="00AC3971" w:rsidRDefault="00AC3971" w:rsidP="00AC3971">
      <w:pPr>
        <w:pStyle w:val="Bibliography"/>
      </w:pPr>
      <w:r>
        <w:t xml:space="preserve">24 </w:t>
      </w:r>
      <w:r>
        <w:tab/>
        <w:t xml:space="preserve">Borgerson K. Redundant, Secretive, and Isolated: When Are Clinical Trials Scientifically Valid? </w:t>
      </w:r>
      <w:r>
        <w:rPr>
          <w:i/>
          <w:iCs/>
        </w:rPr>
        <w:t>Kennedy Inst Ethics J</w:t>
      </w:r>
      <w:r>
        <w:t xml:space="preserve"> 2014;</w:t>
      </w:r>
      <w:r>
        <w:rPr>
          <w:b/>
          <w:bCs/>
        </w:rPr>
        <w:t>24</w:t>
      </w:r>
      <w:r>
        <w:t>:385–411. doi:10.1353/ken.2014.0029</w:t>
      </w:r>
    </w:p>
    <w:p w14:paraId="49761CB1" w14:textId="77777777" w:rsidR="00AC3971" w:rsidRDefault="00AC3971" w:rsidP="00AC3971">
      <w:pPr>
        <w:pStyle w:val="Bibliography"/>
      </w:pPr>
      <w:r>
        <w:t xml:space="preserve">25 </w:t>
      </w:r>
      <w:r>
        <w:tab/>
        <w:t xml:space="preserve">Hammersley M. Creeping Ethical Regulation and the Strangling of Research. </w:t>
      </w:r>
      <w:r>
        <w:rPr>
          <w:i/>
          <w:iCs/>
        </w:rPr>
        <w:t>Sociol Res Online</w:t>
      </w:r>
      <w:r>
        <w:t xml:space="preserve"> 2010;</w:t>
      </w:r>
      <w:r>
        <w:rPr>
          <w:b/>
          <w:bCs/>
        </w:rPr>
        <w:t>15</w:t>
      </w:r>
      <w:r>
        <w:t>:123–5. doi:10.5153/sro.2255</w:t>
      </w:r>
    </w:p>
    <w:p w14:paraId="533780E6" w14:textId="77777777" w:rsidR="00AC3971" w:rsidRDefault="00AC3971" w:rsidP="00AC3971">
      <w:pPr>
        <w:pStyle w:val="Bibliography"/>
      </w:pPr>
      <w:r>
        <w:t xml:space="preserve">26 </w:t>
      </w:r>
      <w:r>
        <w:tab/>
        <w:t xml:space="preserve">Caplan AL. Inconsistency, idiosyncrasy, and IRBs. </w:t>
      </w:r>
      <w:r>
        <w:rPr>
          <w:i/>
          <w:iCs/>
        </w:rPr>
        <w:t>IRB</w:t>
      </w:r>
      <w:r>
        <w:t xml:space="preserve"> 1984;</w:t>
      </w:r>
      <w:r>
        <w:rPr>
          <w:b/>
          <w:bCs/>
        </w:rPr>
        <w:t>6</w:t>
      </w:r>
      <w:r>
        <w:t>:10–2.</w:t>
      </w:r>
    </w:p>
    <w:p w14:paraId="1358E627" w14:textId="77777777" w:rsidR="00AC3971" w:rsidRDefault="00AC3971" w:rsidP="00AC3971">
      <w:pPr>
        <w:pStyle w:val="Bibliography"/>
      </w:pPr>
      <w:r>
        <w:t xml:space="preserve">27 </w:t>
      </w:r>
      <w:r>
        <w:tab/>
        <w:t xml:space="preserve">Ahmed AH, Nicholson KG. Delays and diversity in the practice of local research ethics committees. </w:t>
      </w:r>
      <w:r>
        <w:rPr>
          <w:i/>
          <w:iCs/>
        </w:rPr>
        <w:t>J Med Ethics</w:t>
      </w:r>
      <w:r>
        <w:t xml:space="preserve"> 1996;</w:t>
      </w:r>
      <w:r>
        <w:rPr>
          <w:b/>
          <w:bCs/>
        </w:rPr>
        <w:t>22</w:t>
      </w:r>
      <w:r>
        <w:t>:263–6. doi:10.1136/jme.22.5.263</w:t>
      </w:r>
    </w:p>
    <w:p w14:paraId="54821D8A" w14:textId="77777777" w:rsidR="00AC3971" w:rsidRDefault="00AC3971" w:rsidP="00AC3971">
      <w:pPr>
        <w:pStyle w:val="Bibliography"/>
      </w:pPr>
      <w:r>
        <w:t xml:space="preserve">28 </w:t>
      </w:r>
      <w:r>
        <w:tab/>
        <w:t xml:space="preserve">Maskell NA, Jones EL, Davies, RJO. Variations in experience in obtaining local ethical approval for participation in a multi‐centre study. </w:t>
      </w:r>
      <w:r>
        <w:rPr>
          <w:i/>
          <w:iCs/>
        </w:rPr>
        <w:t>QJM Int J Med</w:t>
      </w:r>
      <w:r>
        <w:t xml:space="preserve"> 2003;</w:t>
      </w:r>
      <w:r>
        <w:rPr>
          <w:b/>
          <w:bCs/>
        </w:rPr>
        <w:t>96</w:t>
      </w:r>
      <w:r>
        <w:t>:305–7. doi:10.1093/qjmed/hcg042</w:t>
      </w:r>
    </w:p>
    <w:p w14:paraId="1EB419E4" w14:textId="77777777" w:rsidR="00AC3971" w:rsidRDefault="00AC3971" w:rsidP="00AC3971">
      <w:pPr>
        <w:pStyle w:val="Bibliography"/>
      </w:pPr>
      <w:r>
        <w:t xml:space="preserve">29 </w:t>
      </w:r>
      <w:r>
        <w:tab/>
        <w:t xml:space="preserve">Goldman J, Katz M. Inconsistency and Institutional Review Boards. </w:t>
      </w:r>
      <w:r>
        <w:rPr>
          <w:i/>
          <w:iCs/>
        </w:rPr>
        <w:t>JAMA J Am Med Assoc</w:t>
      </w:r>
      <w:r>
        <w:t xml:space="preserve"> 1982;</w:t>
      </w:r>
      <w:r>
        <w:rPr>
          <w:b/>
          <w:bCs/>
        </w:rPr>
        <w:t>248</w:t>
      </w:r>
      <w:r>
        <w:t>:197. doi:10.1001/jama.1982.03330020041027</w:t>
      </w:r>
    </w:p>
    <w:p w14:paraId="7E5202BC" w14:textId="77777777" w:rsidR="00AC3971" w:rsidRDefault="00AC3971" w:rsidP="00AC3971">
      <w:pPr>
        <w:pStyle w:val="Bibliography"/>
      </w:pPr>
      <w:r>
        <w:t xml:space="preserve">30 </w:t>
      </w:r>
      <w:r>
        <w:tab/>
        <w:t xml:space="preserve">Petrova M, Barclay S. Research approvals iceberg: how a ‘low-key’ study in England needed 89 professionals to approve it and how we can do better. </w:t>
      </w:r>
      <w:r>
        <w:rPr>
          <w:i/>
          <w:iCs/>
        </w:rPr>
        <w:t>BMC Med Ethics</w:t>
      </w:r>
      <w:r>
        <w:t xml:space="preserve"> 2019;</w:t>
      </w:r>
      <w:r>
        <w:rPr>
          <w:b/>
          <w:bCs/>
        </w:rPr>
        <w:t>20</w:t>
      </w:r>
      <w:r>
        <w:t>. doi:10.1186/s12910-018-0339-5</w:t>
      </w:r>
    </w:p>
    <w:p w14:paraId="2B3FEE5E" w14:textId="77777777" w:rsidR="00AC3971" w:rsidRDefault="00AC3971" w:rsidP="00AC3971">
      <w:pPr>
        <w:pStyle w:val="Bibliography"/>
      </w:pPr>
      <w:r>
        <w:t xml:space="preserve">31 </w:t>
      </w:r>
      <w:r>
        <w:tab/>
        <w:t xml:space="preserve">Smith M, Doyle F, McGee H, </w:t>
      </w:r>
      <w:r>
        <w:rPr>
          <w:i/>
          <w:iCs/>
        </w:rPr>
        <w:t>et al.</w:t>
      </w:r>
      <w:r>
        <w:t xml:space="preserve"> Ethical approval for national studies in Ireland: An illustration of current challenges. </w:t>
      </w:r>
      <w:r>
        <w:rPr>
          <w:i/>
          <w:iCs/>
        </w:rPr>
        <w:t>Ir J Med Sci</w:t>
      </w:r>
      <w:r>
        <w:t xml:space="preserve"> 2004;</w:t>
      </w:r>
      <w:r>
        <w:rPr>
          <w:b/>
          <w:bCs/>
        </w:rPr>
        <w:t>173</w:t>
      </w:r>
      <w:r>
        <w:t>:72–4. doi:10.1007/BF02914559</w:t>
      </w:r>
    </w:p>
    <w:p w14:paraId="4EA86098" w14:textId="77777777" w:rsidR="00AC3971" w:rsidRDefault="00AC3971" w:rsidP="00AC3971">
      <w:pPr>
        <w:pStyle w:val="Bibliography"/>
      </w:pPr>
      <w:r>
        <w:lastRenderedPageBreak/>
        <w:t xml:space="preserve">32 </w:t>
      </w:r>
      <w:r>
        <w:tab/>
        <w:t xml:space="preserve">Kotsis SV, Chung KC. Institutional Review Boards: What’s Old? What’s New? What Needs to Change? </w:t>
      </w:r>
      <w:r>
        <w:rPr>
          <w:i/>
          <w:iCs/>
        </w:rPr>
        <w:t>Plast Reconstr Surg</w:t>
      </w:r>
      <w:r>
        <w:t xml:space="preserve"> 2014;</w:t>
      </w:r>
      <w:r>
        <w:rPr>
          <w:b/>
          <w:bCs/>
        </w:rPr>
        <w:t>133</w:t>
      </w:r>
      <w:r>
        <w:t>:439–45. doi:10.1097/01.prs.0000436846.00247.73</w:t>
      </w:r>
    </w:p>
    <w:p w14:paraId="2C8E75E5" w14:textId="77777777" w:rsidR="00AC3971" w:rsidRDefault="00AC3971" w:rsidP="00AC3971">
      <w:pPr>
        <w:pStyle w:val="Bibliography"/>
      </w:pPr>
      <w:r>
        <w:t xml:space="preserve">33 </w:t>
      </w:r>
      <w:r>
        <w:tab/>
        <w:t xml:space="preserve">Richardson S, McMullan M. Research Ethics in the UK: What Can Sociology Learn from Health? </w:t>
      </w:r>
      <w:r>
        <w:rPr>
          <w:i/>
          <w:iCs/>
        </w:rPr>
        <w:t>Sociology</w:t>
      </w:r>
      <w:r>
        <w:t xml:space="preserve"> 2007;</w:t>
      </w:r>
      <w:r>
        <w:rPr>
          <w:b/>
          <w:bCs/>
        </w:rPr>
        <w:t>41</w:t>
      </w:r>
      <w:r>
        <w:t>:1115–32. doi:10.1177/0038038507082318</w:t>
      </w:r>
    </w:p>
    <w:p w14:paraId="704DA163" w14:textId="77777777" w:rsidR="00AC3971" w:rsidRDefault="00AC3971" w:rsidP="00AC3971">
      <w:pPr>
        <w:pStyle w:val="Bibliography"/>
      </w:pPr>
      <w:r>
        <w:t xml:space="preserve">34 </w:t>
      </w:r>
      <w:r>
        <w:tab/>
        <w:t xml:space="preserve">Abbott L, Grady C. A Systematic Review of the Empirical Literature Evaluating IRBs: What We Know and What We Still Need to Learn. </w:t>
      </w:r>
      <w:r>
        <w:rPr>
          <w:i/>
          <w:iCs/>
        </w:rPr>
        <w:t>J Empir Res Hum Res Ethics</w:t>
      </w:r>
      <w:r>
        <w:t xml:space="preserve"> 2011;</w:t>
      </w:r>
      <w:r>
        <w:rPr>
          <w:b/>
          <w:bCs/>
        </w:rPr>
        <w:t>6</w:t>
      </w:r>
      <w:r>
        <w:t>:3–19. doi:10.1525/jer.2011.6.1.3</w:t>
      </w:r>
    </w:p>
    <w:p w14:paraId="6D3552F1" w14:textId="77777777" w:rsidR="00AC3971" w:rsidRDefault="00AC3971" w:rsidP="00AC3971">
      <w:pPr>
        <w:pStyle w:val="Bibliography"/>
      </w:pPr>
      <w:r>
        <w:t xml:space="preserve">35 </w:t>
      </w:r>
      <w:r>
        <w:tab/>
        <w:t xml:space="preserve">Angell E, Tarrant C, Dixon-Woods M. Research involving storage and use of human tissue: how did the Human Tissue Act 2004 affect decisions by research ethics committees? </w:t>
      </w:r>
      <w:r>
        <w:rPr>
          <w:i/>
          <w:iCs/>
        </w:rPr>
        <w:t>J Clin Pathol</w:t>
      </w:r>
      <w:r>
        <w:t xml:space="preserve"> 2009;</w:t>
      </w:r>
      <w:r>
        <w:rPr>
          <w:b/>
          <w:bCs/>
        </w:rPr>
        <w:t>62</w:t>
      </w:r>
      <w:r>
        <w:t>:825–9. doi:10.1136/jcp.2008.060699</w:t>
      </w:r>
    </w:p>
    <w:p w14:paraId="31BBCAAF" w14:textId="77777777" w:rsidR="00AC3971" w:rsidRDefault="00AC3971" w:rsidP="00AC3971">
      <w:pPr>
        <w:pStyle w:val="Bibliography"/>
      </w:pPr>
      <w:r>
        <w:t xml:space="preserve">36 </w:t>
      </w:r>
      <w:r>
        <w:tab/>
        <w:t xml:space="preserve">Singer DA. Capital Rules: The Domestic Politics of International Regulatory Harmonization. </w:t>
      </w:r>
      <w:r>
        <w:rPr>
          <w:i/>
          <w:iCs/>
        </w:rPr>
        <w:t>Int Organ</w:t>
      </w:r>
      <w:r>
        <w:t xml:space="preserve"> 2004;</w:t>
      </w:r>
      <w:r>
        <w:rPr>
          <w:b/>
          <w:bCs/>
        </w:rPr>
        <w:t>58</w:t>
      </w:r>
      <w:r>
        <w:t>. doi:10.1017/S0020818304583042</w:t>
      </w:r>
    </w:p>
    <w:p w14:paraId="0C5B5B0B" w14:textId="77777777" w:rsidR="00AC3971" w:rsidRDefault="00AC3971" w:rsidP="00AC3971">
      <w:pPr>
        <w:pStyle w:val="Bibliography"/>
      </w:pPr>
      <w:r>
        <w:t xml:space="preserve">37 </w:t>
      </w:r>
      <w:r>
        <w:tab/>
        <w:t xml:space="preserve">Sykes A. The (limited) role of regulatory harmonization in international goods and services markets. </w:t>
      </w:r>
      <w:r>
        <w:rPr>
          <w:i/>
          <w:iCs/>
        </w:rPr>
        <w:t>J Int Econ Law</w:t>
      </w:r>
      <w:r>
        <w:t xml:space="preserve"> 1999;</w:t>
      </w:r>
      <w:r>
        <w:rPr>
          <w:b/>
          <w:bCs/>
        </w:rPr>
        <w:t>2</w:t>
      </w:r>
      <w:r>
        <w:t>:49–70. doi:10.1093/jiel/2.1.49</w:t>
      </w:r>
    </w:p>
    <w:p w14:paraId="27C062B4" w14:textId="77777777" w:rsidR="00AC3971" w:rsidRDefault="00AC3971" w:rsidP="00AC3971">
      <w:pPr>
        <w:pStyle w:val="Bibliography"/>
      </w:pPr>
      <w:r>
        <w:t xml:space="preserve">38 </w:t>
      </w:r>
      <w:r>
        <w:tab/>
        <w:t xml:space="preserve">Lamas E, Ferrer M, Molina A, </w:t>
      </w:r>
      <w:r>
        <w:rPr>
          <w:i/>
          <w:iCs/>
        </w:rPr>
        <w:t>et al.</w:t>
      </w:r>
      <w:r>
        <w:t xml:space="preserve"> A comparative analysis of biomedical research ethics regulation systems in Europe and Latin America with regard to the protection of human subjects. </w:t>
      </w:r>
      <w:r>
        <w:rPr>
          <w:i/>
          <w:iCs/>
        </w:rPr>
        <w:t>J Med Ethics</w:t>
      </w:r>
      <w:r>
        <w:t xml:space="preserve"> 2010;</w:t>
      </w:r>
      <w:r>
        <w:rPr>
          <w:b/>
          <w:bCs/>
        </w:rPr>
        <w:t>36</w:t>
      </w:r>
      <w:r>
        <w:t>:750–3. doi:10.1136/jme.2009.035097</w:t>
      </w:r>
    </w:p>
    <w:p w14:paraId="1A976597" w14:textId="77777777" w:rsidR="00AC3971" w:rsidRDefault="00AC3971" w:rsidP="00AC3971">
      <w:pPr>
        <w:pStyle w:val="Bibliography"/>
      </w:pPr>
      <w:r>
        <w:t xml:space="preserve">39 </w:t>
      </w:r>
      <w:r>
        <w:tab/>
        <w:t xml:space="preserve">Alahmad G, Al-Jumah M, Dierickx K. Review of national research ethics regulations and guidelines in Middle Eastern Arab countries. </w:t>
      </w:r>
      <w:r>
        <w:rPr>
          <w:i/>
          <w:iCs/>
        </w:rPr>
        <w:t>BMC Med Ethics</w:t>
      </w:r>
      <w:r>
        <w:t xml:space="preserve"> 2012;</w:t>
      </w:r>
      <w:r>
        <w:rPr>
          <w:b/>
          <w:bCs/>
        </w:rPr>
        <w:t>13</w:t>
      </w:r>
      <w:r>
        <w:t>. doi:10.1186/1472-6939-13-34</w:t>
      </w:r>
    </w:p>
    <w:p w14:paraId="3D210F4C" w14:textId="77777777" w:rsidR="00AC3971" w:rsidRDefault="00AC3971" w:rsidP="00AC3971">
      <w:pPr>
        <w:pStyle w:val="Bibliography"/>
      </w:pPr>
      <w:r>
        <w:t xml:space="preserve">40 </w:t>
      </w:r>
      <w:r>
        <w:tab/>
        <w:t xml:space="preserve">Beauchamp TL, Childress JF. </w:t>
      </w:r>
      <w:r>
        <w:rPr>
          <w:i/>
          <w:iCs/>
        </w:rPr>
        <w:t>Principles of biomedical ethics</w:t>
      </w:r>
      <w:r>
        <w:t xml:space="preserve">. 7th ed. New York: : Oxford University Press 2013. </w:t>
      </w:r>
    </w:p>
    <w:p w14:paraId="3854AE5A" w14:textId="77777777" w:rsidR="00AC3971" w:rsidRDefault="00AC3971" w:rsidP="00AC3971">
      <w:pPr>
        <w:pStyle w:val="Bibliography"/>
      </w:pPr>
      <w:r>
        <w:t xml:space="preserve">41 </w:t>
      </w:r>
      <w:r>
        <w:tab/>
        <w:t xml:space="preserve">Evans JH. A Sociological Account of the Growth of Principlism. </w:t>
      </w:r>
      <w:r>
        <w:rPr>
          <w:i/>
          <w:iCs/>
        </w:rPr>
        <w:t>Hastings Cent Rep</w:t>
      </w:r>
      <w:r>
        <w:t xml:space="preserve"> 2000;</w:t>
      </w:r>
      <w:r>
        <w:rPr>
          <w:b/>
          <w:bCs/>
        </w:rPr>
        <w:t>30</w:t>
      </w:r>
      <w:r>
        <w:t>:31. doi:10.2307/3527886</w:t>
      </w:r>
    </w:p>
    <w:p w14:paraId="23B18113" w14:textId="77777777" w:rsidR="00AC3971" w:rsidRDefault="00AC3971" w:rsidP="00AC3971">
      <w:pPr>
        <w:pStyle w:val="Bibliography"/>
      </w:pPr>
      <w:r>
        <w:t xml:space="preserve">42 </w:t>
      </w:r>
      <w:r>
        <w:tab/>
        <w:t xml:space="preserve">Douglass B. The Common Good and the Public Interest. </w:t>
      </w:r>
      <w:r>
        <w:rPr>
          <w:i/>
          <w:iCs/>
        </w:rPr>
        <w:t>Polit Theory</w:t>
      </w:r>
      <w:r>
        <w:t xml:space="preserve"> 1980;</w:t>
      </w:r>
      <w:r>
        <w:rPr>
          <w:b/>
          <w:bCs/>
        </w:rPr>
        <w:t>8</w:t>
      </w:r>
      <w:r>
        <w:t>:103–17. doi:10.1177/009059178000800108</w:t>
      </w:r>
    </w:p>
    <w:p w14:paraId="6BB1693A" w14:textId="77777777" w:rsidR="00AC3971" w:rsidRDefault="00AC3971" w:rsidP="00AC3971">
      <w:pPr>
        <w:pStyle w:val="Bibliography"/>
      </w:pPr>
      <w:r>
        <w:t xml:space="preserve">43 </w:t>
      </w:r>
      <w:r>
        <w:tab/>
        <w:t xml:space="preserve">Hussain W. The Common Good. In: Zalta EN, ed. </w:t>
      </w:r>
      <w:r>
        <w:rPr>
          <w:i/>
          <w:iCs/>
        </w:rPr>
        <w:t>The Stanford Encyclopedia of Philosophy</w:t>
      </w:r>
      <w:r>
        <w:t>. 2018. https://plato.stanford.edu/archives/spr2018/entries/common-good</w:t>
      </w:r>
    </w:p>
    <w:p w14:paraId="101EC02C" w14:textId="77777777" w:rsidR="00AC3971" w:rsidRDefault="00AC3971" w:rsidP="00AC3971">
      <w:pPr>
        <w:pStyle w:val="Bibliography"/>
      </w:pPr>
      <w:r>
        <w:t xml:space="preserve">44 </w:t>
      </w:r>
      <w:r>
        <w:tab/>
        <w:t xml:space="preserve">Laurie G, Stevens L. Developing a Public Interest Mandate for the Governance and Use of Administrative Data in the United Kingdom. </w:t>
      </w:r>
      <w:r>
        <w:rPr>
          <w:i/>
          <w:iCs/>
        </w:rPr>
        <w:t>J Law Soc</w:t>
      </w:r>
      <w:r>
        <w:t xml:space="preserve"> 2016;</w:t>
      </w:r>
      <w:r>
        <w:rPr>
          <w:b/>
          <w:bCs/>
        </w:rPr>
        <w:t>43</w:t>
      </w:r>
      <w:r>
        <w:t>:360–92. doi:10.1111/j.1467-6478.2016.00759.x</w:t>
      </w:r>
    </w:p>
    <w:p w14:paraId="06BF1342" w14:textId="77777777" w:rsidR="00AC3971" w:rsidRDefault="00AC3971" w:rsidP="00AC3971">
      <w:pPr>
        <w:pStyle w:val="Bibliography"/>
      </w:pPr>
      <w:r>
        <w:t xml:space="preserve">45 </w:t>
      </w:r>
      <w:r>
        <w:tab/>
        <w:t xml:space="preserve">The Nuremberg Code. In: </w:t>
      </w:r>
      <w:r>
        <w:rPr>
          <w:i/>
          <w:iCs/>
        </w:rPr>
        <w:t>Trials of War Criminals Before the Nuremberg Military Tribunals. Vol. 2</w:t>
      </w:r>
      <w:r>
        <w:t>. Washington, DC: : US Government Printing Office 1949. http://ohsr.od.nih.gov/ guidelines/nuremberg.html</w:t>
      </w:r>
    </w:p>
    <w:p w14:paraId="6B527216" w14:textId="77777777" w:rsidR="00AC3971" w:rsidRDefault="00AC3971" w:rsidP="00AC3971">
      <w:pPr>
        <w:pStyle w:val="Bibliography"/>
      </w:pPr>
      <w:r>
        <w:t xml:space="preserve">46 </w:t>
      </w:r>
      <w:r>
        <w:tab/>
        <w:t xml:space="preserve">Montgomery J. Data Sharing and the Idea of Ownership. </w:t>
      </w:r>
      <w:r>
        <w:rPr>
          <w:i/>
          <w:iCs/>
        </w:rPr>
        <w:t>New Bioeth</w:t>
      </w:r>
      <w:r>
        <w:t xml:space="preserve"> 2017;</w:t>
      </w:r>
      <w:r>
        <w:rPr>
          <w:b/>
          <w:bCs/>
        </w:rPr>
        <w:t>23</w:t>
      </w:r>
      <w:r>
        <w:t>:81–6. doi:10.1080/20502877.2017.1314893</w:t>
      </w:r>
    </w:p>
    <w:p w14:paraId="54EFAF26" w14:textId="77777777" w:rsidR="00AC3971" w:rsidRDefault="00AC3971" w:rsidP="00AC3971">
      <w:pPr>
        <w:pStyle w:val="Bibliography"/>
      </w:pPr>
      <w:r>
        <w:t xml:space="preserve">47 </w:t>
      </w:r>
      <w:r>
        <w:tab/>
        <w:t xml:space="preserve">Barsdorf N, Millum J. The Social Value of Health Research and the Worst Off: The Social Value of Health Research and the Worst Off. </w:t>
      </w:r>
      <w:r>
        <w:rPr>
          <w:i/>
          <w:iCs/>
        </w:rPr>
        <w:t>Bioethics</w:t>
      </w:r>
      <w:r>
        <w:t xml:space="preserve"> 2017;</w:t>
      </w:r>
      <w:r>
        <w:rPr>
          <w:b/>
          <w:bCs/>
        </w:rPr>
        <w:t>31</w:t>
      </w:r>
      <w:r>
        <w:t>:105–15. doi:10.1111/bioe.12320</w:t>
      </w:r>
    </w:p>
    <w:p w14:paraId="0A1F3A12" w14:textId="77777777" w:rsidR="00AC3971" w:rsidRDefault="00AC3971" w:rsidP="00AC3971">
      <w:pPr>
        <w:pStyle w:val="Bibliography"/>
      </w:pPr>
      <w:r>
        <w:lastRenderedPageBreak/>
        <w:t xml:space="preserve">48 </w:t>
      </w:r>
      <w:r>
        <w:tab/>
        <w:t xml:space="preserve">Wenner DM. The Social Value of Knowledge and the Responsiveness Requirement for International Research: The Social Value of Knowledge and Responsiveness. </w:t>
      </w:r>
      <w:r>
        <w:rPr>
          <w:i/>
          <w:iCs/>
        </w:rPr>
        <w:t>Bioethics</w:t>
      </w:r>
      <w:r>
        <w:t xml:space="preserve"> 2017;</w:t>
      </w:r>
      <w:r>
        <w:rPr>
          <w:b/>
          <w:bCs/>
        </w:rPr>
        <w:t>31</w:t>
      </w:r>
      <w:r>
        <w:t>:97–104. doi:10.1111/bioe.12316</w:t>
      </w:r>
    </w:p>
    <w:p w14:paraId="6B038247" w14:textId="77777777" w:rsidR="00AC3971" w:rsidRDefault="00AC3971" w:rsidP="00AC3971">
      <w:pPr>
        <w:pStyle w:val="Bibliography"/>
      </w:pPr>
      <w:r>
        <w:t xml:space="preserve">49 </w:t>
      </w:r>
      <w:r>
        <w:tab/>
        <w:t xml:space="preserve">Ganguli-Mitra A, Dove ES, Laurie GT, </w:t>
      </w:r>
      <w:r>
        <w:rPr>
          <w:i/>
          <w:iCs/>
        </w:rPr>
        <w:t>et al.</w:t>
      </w:r>
      <w:r>
        <w:t xml:space="preserve"> Reconfiguring Social Value in Health Research Through the Lens of Liminality: Reconfiguring Social Value in Health Research. </w:t>
      </w:r>
      <w:r>
        <w:rPr>
          <w:i/>
          <w:iCs/>
        </w:rPr>
        <w:t>Bioethics</w:t>
      </w:r>
      <w:r>
        <w:t xml:space="preserve"> 2017;</w:t>
      </w:r>
      <w:r>
        <w:rPr>
          <w:b/>
          <w:bCs/>
        </w:rPr>
        <w:t>31</w:t>
      </w:r>
      <w:r>
        <w:t>:87–96. doi:10.1111/bioe.12324</w:t>
      </w:r>
    </w:p>
    <w:p w14:paraId="00A9D169" w14:textId="77777777" w:rsidR="00AC3971" w:rsidRDefault="00AC3971" w:rsidP="00AC3971">
      <w:pPr>
        <w:pStyle w:val="Bibliography"/>
      </w:pPr>
      <w:r>
        <w:t xml:space="preserve">50 </w:t>
      </w:r>
      <w:r>
        <w:tab/>
        <w:t xml:space="preserve">Nurmi S-M, Halkoaho A, Kangasniemi M, </w:t>
      </w:r>
      <w:r>
        <w:rPr>
          <w:i/>
          <w:iCs/>
        </w:rPr>
        <w:t>et al.</w:t>
      </w:r>
      <w:r>
        <w:t xml:space="preserve"> Collaborative partnership and the social value of clinical research: a qualitative secondary analysis. </w:t>
      </w:r>
      <w:r>
        <w:rPr>
          <w:i/>
          <w:iCs/>
        </w:rPr>
        <w:t>BMC Med Ethics</w:t>
      </w:r>
      <w:r>
        <w:t xml:space="preserve"> 2017;</w:t>
      </w:r>
      <w:r>
        <w:rPr>
          <w:b/>
          <w:bCs/>
        </w:rPr>
        <w:t>18</w:t>
      </w:r>
      <w:r>
        <w:t>. doi:10.1186/s12910-017-0217-6</w:t>
      </w:r>
    </w:p>
    <w:p w14:paraId="0DD3671D" w14:textId="77777777" w:rsidR="00AC3971" w:rsidRDefault="00AC3971" w:rsidP="00AC3971">
      <w:pPr>
        <w:pStyle w:val="Bibliography"/>
      </w:pPr>
      <w:r>
        <w:t xml:space="preserve">51 </w:t>
      </w:r>
      <w:r>
        <w:tab/>
        <w:t xml:space="preserve">Wertheimer A. The Social Value Requirement Reconsidered: The Social Value Requirement Reconsidered. </w:t>
      </w:r>
      <w:r>
        <w:rPr>
          <w:i/>
          <w:iCs/>
        </w:rPr>
        <w:t>Bioethics</w:t>
      </w:r>
      <w:r>
        <w:t xml:space="preserve"> 2015;</w:t>
      </w:r>
      <w:r>
        <w:rPr>
          <w:b/>
          <w:bCs/>
        </w:rPr>
        <w:t>29</w:t>
      </w:r>
      <w:r>
        <w:t>:301–8. doi:10.1111/bioe.12128</w:t>
      </w:r>
    </w:p>
    <w:p w14:paraId="02277F55" w14:textId="77777777" w:rsidR="00AC3971" w:rsidRDefault="00AC3971" w:rsidP="00AC3971">
      <w:pPr>
        <w:pStyle w:val="Bibliography"/>
      </w:pPr>
      <w:r>
        <w:t xml:space="preserve">52 </w:t>
      </w:r>
      <w:r>
        <w:tab/>
        <w:t xml:space="preserve">Emanuel EJ, Wendler D, Grady C. What Makes Clinical Research Ethical? </w:t>
      </w:r>
      <w:r>
        <w:rPr>
          <w:i/>
          <w:iCs/>
        </w:rPr>
        <w:t>JAMA</w:t>
      </w:r>
      <w:r>
        <w:t xml:space="preserve"> 2000;</w:t>
      </w:r>
      <w:r>
        <w:rPr>
          <w:b/>
          <w:bCs/>
        </w:rPr>
        <w:t>283</w:t>
      </w:r>
      <w:r>
        <w:t>:2701. doi:10.1001/jama.283.20.2701</w:t>
      </w:r>
    </w:p>
    <w:p w14:paraId="404C9CE9" w14:textId="77777777" w:rsidR="00AC3971" w:rsidRDefault="00AC3971" w:rsidP="00AC3971">
      <w:pPr>
        <w:pStyle w:val="Bibliography"/>
      </w:pPr>
      <w:r>
        <w:t xml:space="preserve">53 </w:t>
      </w:r>
      <w:r>
        <w:tab/>
        <w:t xml:space="preserve">Ballantyne A. How should we think about clinical data ownership? </w:t>
      </w:r>
      <w:r>
        <w:rPr>
          <w:i/>
          <w:iCs/>
        </w:rPr>
        <w:t>J Med Ethics</w:t>
      </w:r>
      <w:r>
        <w:t xml:space="preserve"> 2020;:medethics-2018-105340. doi:10.1136/medethics-2018-105340</w:t>
      </w:r>
    </w:p>
    <w:p w14:paraId="562C5B3E" w14:textId="77777777" w:rsidR="00AC3971" w:rsidRDefault="00AC3971" w:rsidP="00AC3971">
      <w:pPr>
        <w:pStyle w:val="Bibliography"/>
      </w:pPr>
      <w:r>
        <w:t xml:space="preserve">54 </w:t>
      </w:r>
      <w:r>
        <w:tab/>
        <w:t xml:space="preserve">Hurd HM. The Moral Magic of Consent. </w:t>
      </w:r>
      <w:r>
        <w:rPr>
          <w:i/>
          <w:iCs/>
        </w:rPr>
        <w:t>Leg Theory</w:t>
      </w:r>
      <w:r>
        <w:t xml:space="preserve"> 1996;</w:t>
      </w:r>
      <w:r>
        <w:rPr>
          <w:b/>
          <w:bCs/>
        </w:rPr>
        <w:t>2</w:t>
      </w:r>
      <w:r>
        <w:t>:121–46. doi:10.1017/S1352325200000434</w:t>
      </w:r>
    </w:p>
    <w:p w14:paraId="7EB54258" w14:textId="77777777" w:rsidR="00AC3971" w:rsidRDefault="00AC3971" w:rsidP="00AC3971">
      <w:pPr>
        <w:pStyle w:val="Bibliography"/>
      </w:pPr>
      <w:r>
        <w:t xml:space="preserve">55 </w:t>
      </w:r>
      <w:r>
        <w:tab/>
        <w:t xml:space="preserve">Daniels N. Accountability for reasonableness. </w:t>
      </w:r>
      <w:r>
        <w:rPr>
          <w:i/>
          <w:iCs/>
        </w:rPr>
        <w:t>BMJ</w:t>
      </w:r>
      <w:r>
        <w:t xml:space="preserve"> 2000;</w:t>
      </w:r>
      <w:r>
        <w:rPr>
          <w:b/>
          <w:bCs/>
        </w:rPr>
        <w:t>321</w:t>
      </w:r>
      <w:r>
        <w:t>:1300–1. doi:10.1136/bmj.321.7272.1300</w:t>
      </w:r>
    </w:p>
    <w:p w14:paraId="0ABF2E98" w14:textId="77777777" w:rsidR="00AC3971" w:rsidRDefault="00AC3971" w:rsidP="00AC3971">
      <w:pPr>
        <w:pStyle w:val="Bibliography"/>
      </w:pPr>
      <w:r>
        <w:t xml:space="preserve">56 </w:t>
      </w:r>
      <w:r>
        <w:tab/>
        <w:t xml:space="preserve">Finnis J. </w:t>
      </w:r>
      <w:r>
        <w:rPr>
          <w:i/>
          <w:iCs/>
        </w:rPr>
        <w:t>Natural law and natural rights</w:t>
      </w:r>
      <w:r>
        <w:t xml:space="preserve">. 2nd ed. Oxford ; New York: : Oxford University Press 2011. </w:t>
      </w:r>
    </w:p>
    <w:p w14:paraId="636B442D" w14:textId="77777777" w:rsidR="00AC3971" w:rsidRDefault="00AC3971" w:rsidP="00AC3971">
      <w:pPr>
        <w:pStyle w:val="Bibliography"/>
      </w:pPr>
      <w:r>
        <w:t xml:space="preserve">57 </w:t>
      </w:r>
      <w:r>
        <w:tab/>
        <w:t xml:space="preserve">Tammemagi CM. Comorbidity and Survival Disparities Among Black and White Patients With Breast Cancer. </w:t>
      </w:r>
      <w:r>
        <w:rPr>
          <w:i/>
          <w:iCs/>
        </w:rPr>
        <w:t>JAMA</w:t>
      </w:r>
      <w:r>
        <w:t xml:space="preserve"> 2005;</w:t>
      </w:r>
      <w:r>
        <w:rPr>
          <w:b/>
          <w:bCs/>
        </w:rPr>
        <w:t>294</w:t>
      </w:r>
      <w:r>
        <w:t>:1765. doi:10.1001/jama.294.14.1765</w:t>
      </w:r>
    </w:p>
    <w:p w14:paraId="25234CB7" w14:textId="77777777" w:rsidR="00AC3971" w:rsidRDefault="00AC3971" w:rsidP="00AC3971">
      <w:pPr>
        <w:pStyle w:val="Bibliography"/>
      </w:pPr>
      <w:r>
        <w:t xml:space="preserve">58 </w:t>
      </w:r>
      <w:r>
        <w:tab/>
        <w:t xml:space="preserve">Goel MS, Brown TL, Williams A, </w:t>
      </w:r>
      <w:r>
        <w:rPr>
          <w:i/>
          <w:iCs/>
        </w:rPr>
        <w:t>et al.</w:t>
      </w:r>
      <w:r>
        <w:t xml:space="preserve"> Disparities in Enrollment and Use of an Electronic Patient Portal. </w:t>
      </w:r>
      <w:r>
        <w:rPr>
          <w:i/>
          <w:iCs/>
        </w:rPr>
        <w:t>J Gen Intern Med</w:t>
      </w:r>
      <w:r>
        <w:t xml:space="preserve"> 2011;</w:t>
      </w:r>
      <w:r>
        <w:rPr>
          <w:b/>
          <w:bCs/>
        </w:rPr>
        <w:t>26</w:t>
      </w:r>
      <w:r>
        <w:t>:1112–6. doi:10.1007/s11606-011-1728-3</w:t>
      </w:r>
    </w:p>
    <w:p w14:paraId="5642BE34" w14:textId="77777777" w:rsidR="00AC3971" w:rsidRDefault="00AC3971" w:rsidP="00AC3971">
      <w:pPr>
        <w:pStyle w:val="Bibliography"/>
      </w:pPr>
      <w:r>
        <w:t xml:space="preserve">59 </w:t>
      </w:r>
      <w:r>
        <w:tab/>
        <w:t xml:space="preserve">Johnson EK, Daignault S, Zhang Y, </w:t>
      </w:r>
      <w:r>
        <w:rPr>
          <w:i/>
          <w:iCs/>
        </w:rPr>
        <w:t>et al.</w:t>
      </w:r>
      <w:r>
        <w:t xml:space="preserve"> Patterns of Hematuria Referral to Urologists: Does a Gender Disparity Exist? </w:t>
      </w:r>
      <w:r>
        <w:rPr>
          <w:i/>
          <w:iCs/>
        </w:rPr>
        <w:t>Urology</w:t>
      </w:r>
      <w:r>
        <w:t xml:space="preserve"> 2008;</w:t>
      </w:r>
      <w:r>
        <w:rPr>
          <w:b/>
          <w:bCs/>
        </w:rPr>
        <w:t>72</w:t>
      </w:r>
      <w:r>
        <w:t>:498–502. doi:10.1016/j.urology.2008.01.086</w:t>
      </w:r>
    </w:p>
    <w:p w14:paraId="5987B3CB" w14:textId="77777777" w:rsidR="00AC3971" w:rsidRDefault="00AC3971" w:rsidP="00AC3971">
      <w:pPr>
        <w:pStyle w:val="Bibliography"/>
      </w:pPr>
      <w:r>
        <w:t xml:space="preserve">60 </w:t>
      </w:r>
      <w:r>
        <w:tab/>
        <w:t xml:space="preserve">Lin RY, Lee GB. The Gender Disparity in Adult Asthma Hospitalizations Dynamically Relates to Age. </w:t>
      </w:r>
      <w:r>
        <w:rPr>
          <w:i/>
          <w:iCs/>
        </w:rPr>
        <w:t>J Asthma</w:t>
      </w:r>
      <w:r>
        <w:t xml:space="preserve"> 2008;</w:t>
      </w:r>
      <w:r>
        <w:rPr>
          <w:b/>
          <w:bCs/>
        </w:rPr>
        <w:t>45</w:t>
      </w:r>
      <w:r>
        <w:t>:931–5. doi:10.1080/02770900802395504</w:t>
      </w:r>
    </w:p>
    <w:p w14:paraId="460969F5" w14:textId="77777777" w:rsidR="00AC3971" w:rsidRDefault="00AC3971" w:rsidP="00AC3971">
      <w:pPr>
        <w:pStyle w:val="Bibliography"/>
      </w:pPr>
      <w:r>
        <w:t xml:space="preserve">61 </w:t>
      </w:r>
      <w:r>
        <w:tab/>
        <w:t xml:space="preserve">Laurie G, Mallia P, Frenkel DA, </w:t>
      </w:r>
      <w:r>
        <w:rPr>
          <w:i/>
          <w:iCs/>
        </w:rPr>
        <w:t>et al.</w:t>
      </w:r>
      <w:r>
        <w:t xml:space="preserve"> Managing Access to Biobanks: How Can We Reconcile Individual Privacy and Public Interests in Genetic Research? </w:t>
      </w:r>
      <w:r>
        <w:rPr>
          <w:i/>
          <w:iCs/>
        </w:rPr>
        <w:t>Med Law Int</w:t>
      </w:r>
      <w:r>
        <w:t xml:space="preserve"> 2010;</w:t>
      </w:r>
      <w:r>
        <w:rPr>
          <w:b/>
          <w:bCs/>
        </w:rPr>
        <w:t>10</w:t>
      </w:r>
      <w:r>
        <w:t>:315–37. doi:10.1177/096853321001000404</w:t>
      </w:r>
    </w:p>
    <w:p w14:paraId="7232B577" w14:textId="77777777" w:rsidR="00AC3971" w:rsidRDefault="00AC3971" w:rsidP="00AC3971">
      <w:pPr>
        <w:pStyle w:val="Bibliography"/>
      </w:pPr>
      <w:r>
        <w:t xml:space="preserve">62 </w:t>
      </w:r>
      <w:r>
        <w:tab/>
        <w:t xml:space="preserve">Lederman Z, Capps B. Expanding a Shared Benefit Approach in One Health Research. </w:t>
      </w:r>
      <w:r>
        <w:rPr>
          <w:i/>
          <w:iCs/>
        </w:rPr>
        <w:t>Am J Bioeth</w:t>
      </w:r>
      <w:r>
        <w:t xml:space="preserve"> 2018;</w:t>
      </w:r>
      <w:r>
        <w:rPr>
          <w:b/>
          <w:bCs/>
        </w:rPr>
        <w:t>18</w:t>
      </w:r>
      <w:r>
        <w:t>:47–9. doi:10.1080/15265161.2018.1513604</w:t>
      </w:r>
    </w:p>
    <w:p w14:paraId="1E6891CA" w14:textId="77777777" w:rsidR="00AC3971" w:rsidRDefault="00AC3971" w:rsidP="00AC3971">
      <w:pPr>
        <w:pStyle w:val="Bibliography"/>
      </w:pPr>
      <w:r>
        <w:t xml:space="preserve">63 </w:t>
      </w:r>
      <w:r>
        <w:tab/>
        <w:t xml:space="preserve">de Paula Guimarães C, Macedo MS, Barbosa MA, </w:t>
      </w:r>
      <w:r>
        <w:rPr>
          <w:i/>
          <w:iCs/>
        </w:rPr>
        <w:t>et al.</w:t>
      </w:r>
      <w:r>
        <w:t xml:space="preserve"> Clinical findings in congenital infection by Zika virus: a retrospective study in a reference hospital in Central-West Brazil. </w:t>
      </w:r>
      <w:r>
        <w:rPr>
          <w:i/>
          <w:iCs/>
        </w:rPr>
        <w:t>BMC Pediatr</w:t>
      </w:r>
      <w:r>
        <w:t xml:space="preserve"> 2019;</w:t>
      </w:r>
      <w:r>
        <w:rPr>
          <w:b/>
          <w:bCs/>
        </w:rPr>
        <w:t>19</w:t>
      </w:r>
      <w:r>
        <w:t>. doi:10.1186/s12887-019-1762-6</w:t>
      </w:r>
    </w:p>
    <w:p w14:paraId="2CADBA17" w14:textId="77777777" w:rsidR="00AC3971" w:rsidRDefault="00AC3971" w:rsidP="00AC3971">
      <w:pPr>
        <w:pStyle w:val="Bibliography"/>
      </w:pPr>
      <w:r>
        <w:lastRenderedPageBreak/>
        <w:t xml:space="preserve">64 </w:t>
      </w:r>
      <w:r>
        <w:tab/>
        <w:t xml:space="preserve">Schaefer GO, Laurie G, Menon S, </w:t>
      </w:r>
      <w:r>
        <w:rPr>
          <w:i/>
          <w:iCs/>
        </w:rPr>
        <w:t>et al.</w:t>
      </w:r>
      <w:r>
        <w:t xml:space="preserve"> Clarifying how to deploy the public interest criterion in consent waivers for health data and tissue research. </w:t>
      </w:r>
      <w:r>
        <w:rPr>
          <w:i/>
          <w:iCs/>
        </w:rPr>
        <w:t>BMC Med Ethics</w:t>
      </w:r>
      <w:r>
        <w:t xml:space="preserve"> 2020;</w:t>
      </w:r>
      <w:r>
        <w:rPr>
          <w:b/>
          <w:bCs/>
        </w:rPr>
        <w:t>21</w:t>
      </w:r>
      <w:r>
        <w:t>:23. doi:10.1186/s12910-020-00467-5</w:t>
      </w:r>
    </w:p>
    <w:p w14:paraId="4649FCDA" w14:textId="5DF5EFA4" w:rsidR="00357915" w:rsidRPr="00B324F6" w:rsidRDefault="009A7DE9" w:rsidP="00B324F6">
      <w:pPr>
        <w:spacing w:after="0"/>
        <w:jc w:val="both"/>
        <w:rPr>
          <w:rFonts w:ascii="Century Schoolbook" w:hAnsi="Century Schoolbook"/>
        </w:rPr>
      </w:pPr>
      <w:r w:rsidRPr="00B324F6">
        <w:rPr>
          <w:rFonts w:ascii="Century Schoolbook" w:hAnsi="Century Schoolbook" w:cs="Times New Roman"/>
          <w:sz w:val="24"/>
          <w:szCs w:val="24"/>
        </w:rPr>
        <w:fldChar w:fldCharType="end"/>
      </w:r>
    </w:p>
    <w:p w14:paraId="4A6148D9" w14:textId="77777777" w:rsidR="00895652" w:rsidRPr="00B324F6" w:rsidRDefault="00895652" w:rsidP="00B324F6">
      <w:pPr>
        <w:spacing w:after="0"/>
        <w:jc w:val="both"/>
        <w:rPr>
          <w:rFonts w:ascii="Century Schoolbook" w:hAnsi="Century Schoolbook"/>
        </w:rPr>
      </w:pPr>
    </w:p>
    <w:p w14:paraId="11349BE1" w14:textId="77777777" w:rsidR="009D5E39" w:rsidRPr="00B324F6" w:rsidRDefault="009D5E39" w:rsidP="00B324F6">
      <w:pPr>
        <w:spacing w:after="0"/>
        <w:jc w:val="both"/>
        <w:rPr>
          <w:rFonts w:ascii="Century Schoolbook" w:hAnsi="Century Schoolbook"/>
        </w:rPr>
      </w:pPr>
    </w:p>
    <w:p w14:paraId="2A4CC18F" w14:textId="63387882" w:rsidR="009D5E39" w:rsidRPr="00B324F6" w:rsidRDefault="009D5E39" w:rsidP="00B324F6">
      <w:pPr>
        <w:spacing w:after="0"/>
        <w:jc w:val="both"/>
        <w:rPr>
          <w:rFonts w:ascii="Century Schoolbook" w:hAnsi="Century Schoolbook"/>
        </w:rPr>
      </w:pPr>
    </w:p>
    <w:sectPr w:rsidR="009D5E39" w:rsidRPr="00B324F6" w:rsidSect="00323C1F">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A865" w14:textId="77777777" w:rsidR="0078215E" w:rsidRDefault="0078215E" w:rsidP="00E30CA8">
      <w:pPr>
        <w:spacing w:after="0" w:line="240" w:lineRule="auto"/>
      </w:pPr>
      <w:r>
        <w:separator/>
      </w:r>
    </w:p>
  </w:endnote>
  <w:endnote w:type="continuationSeparator" w:id="0">
    <w:p w14:paraId="4B2A2BBC" w14:textId="77777777" w:rsidR="0078215E" w:rsidRDefault="0078215E" w:rsidP="00E3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693666"/>
      <w:docPartObj>
        <w:docPartGallery w:val="Page Numbers (Bottom of Page)"/>
        <w:docPartUnique/>
      </w:docPartObj>
    </w:sdtPr>
    <w:sdtEndPr>
      <w:rPr>
        <w:noProof/>
      </w:rPr>
    </w:sdtEndPr>
    <w:sdtContent>
      <w:p w14:paraId="32438A98" w14:textId="5015A8DC" w:rsidR="00D17BA1" w:rsidRDefault="00D17BA1">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428A589" w14:textId="77777777" w:rsidR="00D17BA1" w:rsidRDefault="00D1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728A" w14:textId="77777777" w:rsidR="0078215E" w:rsidRDefault="0078215E" w:rsidP="00E30CA8">
      <w:pPr>
        <w:spacing w:after="0" w:line="240" w:lineRule="auto"/>
      </w:pPr>
      <w:r>
        <w:separator/>
      </w:r>
    </w:p>
  </w:footnote>
  <w:footnote w:type="continuationSeparator" w:id="0">
    <w:p w14:paraId="714ED25C" w14:textId="77777777" w:rsidR="0078215E" w:rsidRDefault="0078215E" w:rsidP="00E30CA8">
      <w:pPr>
        <w:spacing w:after="0" w:line="240" w:lineRule="auto"/>
      </w:pPr>
      <w:r>
        <w:continuationSeparator/>
      </w:r>
    </w:p>
  </w:footnote>
  <w:footnote w:id="1">
    <w:p w14:paraId="07CDBC03" w14:textId="299BD081" w:rsidR="00981723" w:rsidRPr="00981723" w:rsidRDefault="00981723">
      <w:pPr>
        <w:pStyle w:val="FootnoteText"/>
        <w:rPr>
          <w:lang w:val="en-US"/>
        </w:rPr>
      </w:pPr>
      <w:r>
        <w:rPr>
          <w:rStyle w:val="FootnoteReference"/>
        </w:rPr>
        <w:footnoteRef/>
      </w:r>
      <w:r>
        <w:t xml:space="preserve"> </w:t>
      </w:r>
      <w:r>
        <w:rPr>
          <w:lang w:val="en-US"/>
        </w:rPr>
        <w:t>Centre for Biomedical Ethics, Yong Loo Lin School of Medicine, National University of Singapore</w:t>
      </w:r>
    </w:p>
  </w:footnote>
  <w:footnote w:id="2">
    <w:p w14:paraId="09465302" w14:textId="77777777" w:rsidR="00D17BA1" w:rsidRPr="006A22DA" w:rsidRDefault="00D17BA1" w:rsidP="0068361F">
      <w:pPr>
        <w:pStyle w:val="FootnoteText"/>
        <w:rPr>
          <w:rFonts w:ascii="Century Schoolbook" w:hAnsi="Century Schoolbook"/>
          <w:sz w:val="20"/>
          <w:lang w:val="en-NZ"/>
        </w:rPr>
      </w:pPr>
      <w:r w:rsidRPr="00577B64">
        <w:rPr>
          <w:rStyle w:val="FootnoteReference"/>
        </w:rPr>
        <w:footnoteRef/>
      </w:r>
      <w:r w:rsidRPr="006A22DA">
        <w:rPr>
          <w:rFonts w:ascii="Century Schoolbook" w:hAnsi="Century Schoolbook"/>
          <w:sz w:val="20"/>
        </w:rPr>
        <w:t xml:space="preserve"> For this paper ‘he</w:t>
      </w:r>
      <w:proofErr w:type="spellStart"/>
      <w:r w:rsidRPr="006A22DA">
        <w:rPr>
          <w:rFonts w:ascii="Century Schoolbook" w:hAnsi="Century Schoolbook"/>
          <w:sz w:val="20"/>
          <w:lang w:val="en-SG"/>
        </w:rPr>
        <w:t>alth</w:t>
      </w:r>
      <w:proofErr w:type="spellEnd"/>
      <w:r w:rsidRPr="006A22DA">
        <w:rPr>
          <w:rFonts w:ascii="Century Schoolbook" w:hAnsi="Century Schoolbook"/>
          <w:sz w:val="20"/>
          <w:lang w:val="en-SG"/>
        </w:rPr>
        <w:t xml:space="preserve">’ includes interventions and systems designed to maintain or restore health including clinical medicine, </w:t>
      </w:r>
      <w:proofErr w:type="gramStart"/>
      <w:r w:rsidRPr="006A22DA">
        <w:rPr>
          <w:rFonts w:ascii="Century Schoolbook" w:hAnsi="Century Schoolbook"/>
          <w:sz w:val="20"/>
          <w:lang w:val="en-SG"/>
        </w:rPr>
        <w:t>epidemiology</w:t>
      </w:r>
      <w:proofErr w:type="gramEnd"/>
      <w:r w:rsidRPr="006A22DA">
        <w:rPr>
          <w:rFonts w:ascii="Century Schoolbook" w:hAnsi="Century Schoolbook"/>
          <w:sz w:val="20"/>
          <w:lang w:val="en-SG"/>
        </w:rPr>
        <w:t xml:space="preserve"> and public health.</w:t>
      </w:r>
    </w:p>
  </w:footnote>
  <w:footnote w:id="3">
    <w:p w14:paraId="6F2587DA" w14:textId="6436A104" w:rsidR="00D17BA1" w:rsidRPr="006A22DA" w:rsidRDefault="00D17BA1" w:rsidP="0068361F">
      <w:pPr>
        <w:pStyle w:val="FootnoteText"/>
        <w:rPr>
          <w:rFonts w:ascii="Century Schoolbook" w:hAnsi="Century Schoolbook"/>
          <w:sz w:val="20"/>
        </w:rPr>
      </w:pPr>
      <w:r w:rsidRPr="00577B64">
        <w:rPr>
          <w:rStyle w:val="FootnoteReference"/>
        </w:rPr>
        <w:footnoteRef/>
      </w:r>
      <w:r w:rsidRPr="006A22DA">
        <w:rPr>
          <w:rFonts w:ascii="Century Schoolbook" w:hAnsi="Century Schoolbook"/>
          <w:sz w:val="20"/>
        </w:rPr>
        <w:t xml:space="preserve"> This is true for much research, even given innovative models of consent recently proposed such as broad -, meta- or dynamic- consent.</w:t>
      </w:r>
      <w:r w:rsidRPr="006A22DA">
        <w:rPr>
          <w:rFonts w:ascii="Century Schoolbook" w:hAnsi="Century Schoolbook"/>
          <w:sz w:val="20"/>
        </w:rPr>
        <w:fldChar w:fldCharType="begin"/>
      </w:r>
      <w:r w:rsidRPr="006A22DA">
        <w:rPr>
          <w:rFonts w:ascii="Century Schoolbook" w:hAnsi="Century Schoolbook"/>
          <w:sz w:val="20"/>
        </w:rPr>
        <w:instrText xml:space="preserve"> ADDIN ZOTERO_ITEM CSL_CITATION {"citationID":"bcBx8fIC","properties":{"formattedCitation":"[7,8]","plainCitation":"[7,8]","noteIndex":2},"citationItems":[{"id":1453,"uris":["http://zotero.org/users/1170976/items/MTMAXWTP"],"uri":["http://zotero.org/users/1170976/items/MTMAXWTP"],"itemData":{"id":1453,"type":"article-journal","container-title":"Bioethics","DOI":"10.1111/bioe.12286","ISSN":"02699702","issue":"9","language":"en","page":"721-732","source":"Crossref","title":"Meta Consent - A Flexible Solution to the Problem of Secondary Use of Health Data: Meta Consent","title-short":"Meta Consent - A Flexible Solution to the Problem of Secondary Use of Health Data","volume":"30","author":[{"family":"Ploug","given":"Thomas"},{"family":"Holm","given":"Søren"}],"issued":{"date-parts":[["2016",11]]}}},{"id":1454,"uris":["http://zotero.org/users/1170976/items/3G9HPD85"],"uri":["http://zotero.org/users/1170976/items/3G9HPD85"],"itemData":{"id":1454,"type":"article-journal","container-title":"BMC Medical Ethics","DOI":"10.1186/s12910-016-0162-9","ISSN":"1472-6939","issue":"1","language":"en","source":"Crossref","title":"Dynamic Consent: a potential solution to some of the challenges of modern biomedical research","title-short":"Dynamic Consent","URL":"http://bmcmedethics.biomedcentral.com/articles/10.1186/s12910-016-0162-9","volume":"18","author":[{"family":"Budin-Ljøsne","given":"Isabelle"},{"family":"Teare","given":"Harriet J. A."},{"family":"Kaye","given":"Jane"},{"family":"Beck","given":"Stephan"},{"family":"Bentzen","given":"Heidi Beate"},{"family":"Caenazzo","given":"Luciana"},{"family":"Collett","given":"Clive"},{"family":"D’Abramo","given":"Flavio"},{"family":"Felzmann","given":"Heike"},{"family":"Finlay","given":"Teresa"},{"family":"Javaid","given":"Muhammad Kassim"},{"family":"Jones","given":"Erica"},{"family":"Katić","given":"Višnja"},{"family":"Simpson","given":"Amy"},{"family":"Mascalzoni","given":"Deborah"}],"accessed":{"date-parts":[["2019",2,21]]},"issued":{"date-parts":[["2017",12]]}}}],"schema":"https://github.com/citation-style-language/schema/raw/master/csl-citation.json"} </w:instrText>
      </w:r>
      <w:r w:rsidRPr="006A22DA">
        <w:rPr>
          <w:rFonts w:ascii="Century Schoolbook" w:hAnsi="Century Schoolbook"/>
          <w:sz w:val="20"/>
        </w:rPr>
        <w:fldChar w:fldCharType="separate"/>
      </w:r>
      <w:r w:rsidRPr="006A22DA">
        <w:rPr>
          <w:rFonts w:ascii="Century Schoolbook" w:hAnsi="Century Schoolbook" w:cs="Calibri"/>
          <w:sz w:val="20"/>
        </w:rPr>
        <w:t>[7,8]</w:t>
      </w:r>
      <w:r w:rsidRPr="006A22DA">
        <w:rPr>
          <w:rFonts w:ascii="Century Schoolbook" w:hAnsi="Century Schoolbook"/>
          <w:sz w:val="20"/>
        </w:rPr>
        <w:fldChar w:fldCharType="end"/>
      </w:r>
      <w:r w:rsidRPr="006A22DA">
        <w:rPr>
          <w:rFonts w:ascii="Century Schoolbook" w:hAnsi="Century Schoolbook"/>
          <w:sz w:val="20"/>
        </w:rPr>
        <w:t xml:space="preserve"> </w:t>
      </w:r>
    </w:p>
  </w:footnote>
  <w:footnote w:id="4">
    <w:p w14:paraId="435E917C" w14:textId="77777777" w:rsidR="00D17BA1" w:rsidRPr="006A22DA" w:rsidRDefault="00D17BA1" w:rsidP="00056FE7">
      <w:pPr>
        <w:pStyle w:val="FootnoteText"/>
        <w:rPr>
          <w:rFonts w:ascii="Century Schoolbook" w:hAnsi="Century Schoolbook"/>
          <w:sz w:val="20"/>
          <w:lang w:val="en-NZ"/>
        </w:rPr>
      </w:pPr>
      <w:r w:rsidRPr="00577B64">
        <w:rPr>
          <w:rStyle w:val="FootnoteReference"/>
        </w:rPr>
        <w:footnoteRef/>
      </w:r>
      <w:r w:rsidRPr="006A22DA">
        <w:rPr>
          <w:rFonts w:ascii="Century Schoolbook" w:hAnsi="Century Schoolbook"/>
          <w:sz w:val="20"/>
        </w:rPr>
        <w:t xml:space="preserve"> </w:t>
      </w:r>
      <w:r w:rsidRPr="006A22DA">
        <w:rPr>
          <w:rFonts w:ascii="Century Schoolbook" w:hAnsi="Century Schoolbook" w:cstheme="minorHAnsi"/>
          <w:sz w:val="20"/>
        </w:rPr>
        <w:t>Notably, however, the latest version of the Common Rule, regulating federally-funded research in the US, does not include a public benefit test (instead it requires that use of health information not infringe participants’ rights and that research be minimal risk).</w:t>
      </w:r>
      <w:r w:rsidRPr="006A22DA">
        <w:rPr>
          <w:rFonts w:ascii="Century Schoolbook" w:hAnsi="Century Schoolbook"/>
          <w:sz w:val="20"/>
        </w:rPr>
        <w:t xml:space="preserve"> (45 CFR 46.116(f)(3))</w:t>
      </w:r>
    </w:p>
  </w:footnote>
  <w:footnote w:id="5">
    <w:p w14:paraId="40F45142" w14:textId="7E1F42AB" w:rsidR="00D17BA1" w:rsidRPr="006A22DA" w:rsidRDefault="00D17BA1">
      <w:pPr>
        <w:pStyle w:val="FootnoteText"/>
        <w:rPr>
          <w:rFonts w:ascii="Century Schoolbook" w:hAnsi="Century Schoolbook"/>
          <w:sz w:val="20"/>
          <w:lang w:val="en-SG"/>
        </w:rPr>
      </w:pPr>
      <w:r w:rsidRPr="00577B64">
        <w:rPr>
          <w:rStyle w:val="FootnoteReference"/>
        </w:rPr>
        <w:footnoteRef/>
      </w:r>
      <w:r w:rsidRPr="006A22DA">
        <w:rPr>
          <w:rFonts w:ascii="Century Schoolbook" w:hAnsi="Century Schoolbook"/>
          <w:sz w:val="20"/>
        </w:rPr>
        <w:t xml:space="preserve"> For reference, </w:t>
      </w:r>
      <w:r w:rsidRPr="006A22DA">
        <w:rPr>
          <w:rFonts w:ascii="Century Schoolbook" w:hAnsi="Century Schoolbook"/>
          <w:sz w:val="20"/>
          <w:lang w:val="en-SG"/>
        </w:rPr>
        <w:t xml:space="preserve">the UK and South Africa also have public interest criterion for research consent waivers in respective data privacy laws. However, in those contexts, the assessment of public interest falls on the data controller rather than on an IRB/REC or equivalent as is the case for all the documents listed here. </w:t>
      </w:r>
      <w:r w:rsidRPr="006A22DA">
        <w:rPr>
          <w:rFonts w:ascii="Century Schoolbook" w:hAnsi="Century Schoolbook"/>
          <w:sz w:val="20"/>
          <w:lang w:val="en-SG"/>
        </w:rPr>
        <w:fldChar w:fldCharType="begin"/>
      </w:r>
      <w:r w:rsidRPr="006A22DA">
        <w:rPr>
          <w:rFonts w:ascii="Century Schoolbook" w:hAnsi="Century Schoolbook"/>
          <w:sz w:val="20"/>
          <w:lang w:val="en-SG"/>
        </w:rPr>
        <w:instrText xml:space="preserve"> ADDIN ZOTERO_ITEM CSL_CITATION {"citationID":"uRuFPxa8","properties":{"formattedCitation":"[14]","plainCitation":"[14]","noteIndex":4},"citationItems":[{"id":1857,"uris":["http://zotero.org/users/1170976/items/UETYH4EQ"],"uri":["http://zotero.org/users/1170976/items/UETYH4EQ"],"itemData":{"id":1857,"type":"article-journal","container-title":"International Data Privacy Law","DOI":"10.1093/idpl/ipz023","ISSN":"2044-3994, 2044-4001","language":"en","source":"Crossref","title":"Should consent for data processing be privileged in health research? A comparative legal analysis","title-short":"Should consent for data processing be privileged in health research?","URL":"https://academic.oup.com/idpl/advance-article/doi/10.1093/idpl/ipz023/5757981","author":[{"family":"Dove","given":"Edward S"},{"family":"Chen","given":"Jiahong"}],"accessed":{"date-parts":[["2020",3,13]]},"issued":{"date-parts":[["2020",2,25]]}}}],"schema":"https://github.com/citation-style-language/schema/raw/master/csl-citation.json"} </w:instrText>
      </w:r>
      <w:r w:rsidRPr="006A22DA">
        <w:rPr>
          <w:rFonts w:ascii="Century Schoolbook" w:hAnsi="Century Schoolbook"/>
          <w:sz w:val="20"/>
          <w:lang w:val="en-SG"/>
        </w:rPr>
        <w:fldChar w:fldCharType="separate"/>
      </w:r>
      <w:r w:rsidRPr="006A22DA">
        <w:rPr>
          <w:rFonts w:ascii="Century Schoolbook" w:hAnsi="Century Schoolbook"/>
          <w:sz w:val="20"/>
        </w:rPr>
        <w:t>[14]</w:t>
      </w:r>
      <w:r w:rsidRPr="006A22DA">
        <w:rPr>
          <w:rFonts w:ascii="Century Schoolbook" w:hAnsi="Century Schoolbook"/>
          <w:sz w:val="20"/>
          <w:lang w:val="en-SG"/>
        </w:rPr>
        <w:fldChar w:fldCharType="end"/>
      </w:r>
      <w:r w:rsidRPr="006A22DA">
        <w:rPr>
          <w:rFonts w:ascii="Century Schoolbook" w:hAnsi="Century Schoolbook"/>
          <w:sz w:val="20"/>
          <w:lang w:val="en-SG"/>
        </w:rPr>
        <w:t xml:space="preserve"> Since we are focused primarily on the concepts as they may be deployed in the ethics review process, we set aside the UK and South </w:t>
      </w:r>
      <w:proofErr w:type="gramStart"/>
      <w:r w:rsidRPr="006A22DA">
        <w:rPr>
          <w:rFonts w:ascii="Century Schoolbook" w:hAnsi="Century Schoolbook"/>
          <w:sz w:val="20"/>
          <w:lang w:val="en-SG"/>
        </w:rPr>
        <w:t>African  regulations</w:t>
      </w:r>
      <w:proofErr w:type="gramEnd"/>
      <w:r w:rsidRPr="006A22DA">
        <w:rPr>
          <w:rFonts w:ascii="Century Schoolbook" w:hAnsi="Century Schoolbook"/>
          <w:sz w:val="20"/>
          <w:lang w:val="en-SG"/>
        </w:rPr>
        <w:t>. It is, though, notable that both used the term ‘public interest’, which as we argue below is the most preferable terminology.</w:t>
      </w:r>
    </w:p>
  </w:footnote>
  <w:footnote w:id="6">
    <w:p w14:paraId="41D5ABD5" w14:textId="28FF127D" w:rsidR="00D17BA1" w:rsidRPr="006A22DA" w:rsidRDefault="00D17BA1" w:rsidP="00D17BA1">
      <w:pPr>
        <w:spacing w:after="0"/>
        <w:jc w:val="both"/>
        <w:rPr>
          <w:rFonts w:ascii="Century Schoolbook" w:hAnsi="Century Schoolbook"/>
          <w:sz w:val="20"/>
          <w:szCs w:val="20"/>
        </w:rPr>
      </w:pPr>
      <w:r w:rsidRPr="00577B64">
        <w:rPr>
          <w:rStyle w:val="FootnoteReference"/>
        </w:rPr>
        <w:footnoteRef/>
      </w:r>
      <w:r w:rsidRPr="006A22DA">
        <w:rPr>
          <w:rFonts w:ascii="Century Schoolbook" w:hAnsi="Century Schoolbook"/>
          <w:sz w:val="20"/>
          <w:szCs w:val="20"/>
        </w:rPr>
        <w:t xml:space="preserve"> A much more ambitious historical example of such conceptual harmonisation would be the generation and promulgation of the four principles of biomedical ethics. </w:t>
      </w:r>
      <w:r w:rsidRPr="006A22DA">
        <w:rPr>
          <w:rFonts w:ascii="Century Schoolbook" w:hAnsi="Century Schoolbook"/>
          <w:sz w:val="20"/>
          <w:szCs w:val="20"/>
        </w:rPr>
        <w:fldChar w:fldCharType="begin"/>
      </w:r>
      <w:r w:rsidR="00AC3971">
        <w:rPr>
          <w:rFonts w:ascii="Century Schoolbook" w:hAnsi="Century Schoolbook"/>
          <w:sz w:val="20"/>
          <w:szCs w:val="20"/>
        </w:rPr>
        <w:instrText xml:space="preserve"> ADDIN ZOTERO_ITEM CSL_CITATION {"citationID":"fylZsTRb","properties":{"formattedCitation":"[40]","plainCitation":"[40]","noteIndex":5},"citationItems":[{"id":511,"uris":["http://zotero.org/users/1170976/items/NUI7QEHM"],"uri":["http://zotero.org/users/1170976/items/NUI7QEHM"],"itemData":{"id":511,"type":"book","call-number":"R724 .B36 2013","edition":"7th ed","event-place":"New York","ISBN":"978-0-19-992458-5","number-of-pages":"459","publisher":"Oxford University Press","publisher-place":"New York","source":"Library of Congress ISBN","title":"Principles of biomedical ethics","author":[{"family":"Beauchamp","given":"Tom L."},{"family":"Childress","given":"James F."}],"issued":{"date-parts":[["2013"]]}}}],"schema":"https://github.com/citation-style-language/schema/raw/master/csl-citation.json"} </w:instrText>
      </w:r>
      <w:r w:rsidRPr="006A22DA">
        <w:rPr>
          <w:rFonts w:ascii="Century Schoolbook" w:hAnsi="Century Schoolbook"/>
          <w:sz w:val="20"/>
          <w:szCs w:val="20"/>
        </w:rPr>
        <w:fldChar w:fldCharType="separate"/>
      </w:r>
      <w:r w:rsidR="00AC3971" w:rsidRPr="00AC3971">
        <w:rPr>
          <w:rFonts w:ascii="Century Schoolbook" w:hAnsi="Century Schoolbook"/>
          <w:sz w:val="20"/>
        </w:rPr>
        <w:t>[40]</w:t>
      </w:r>
      <w:r w:rsidRPr="006A22DA">
        <w:rPr>
          <w:rFonts w:ascii="Century Schoolbook" w:hAnsi="Century Schoolbook"/>
          <w:sz w:val="20"/>
          <w:szCs w:val="20"/>
        </w:rPr>
        <w:fldChar w:fldCharType="end"/>
      </w:r>
      <w:r w:rsidRPr="006A22DA">
        <w:rPr>
          <w:rFonts w:ascii="Century Schoolbook" w:hAnsi="Century Schoolbook"/>
          <w:sz w:val="20"/>
          <w:szCs w:val="20"/>
        </w:rPr>
        <w:t xml:space="preserve"> While </w:t>
      </w:r>
      <w:proofErr w:type="spellStart"/>
      <w:r w:rsidRPr="006A22DA">
        <w:rPr>
          <w:rFonts w:ascii="Century Schoolbook" w:hAnsi="Century Schoolbook"/>
          <w:sz w:val="20"/>
          <w:szCs w:val="20"/>
        </w:rPr>
        <w:t>principlism</w:t>
      </w:r>
      <w:proofErr w:type="spellEnd"/>
      <w:r w:rsidRPr="006A22DA">
        <w:rPr>
          <w:rFonts w:ascii="Century Schoolbook" w:hAnsi="Century Schoolbook"/>
          <w:sz w:val="20"/>
          <w:szCs w:val="20"/>
        </w:rPr>
        <w:t xml:space="preserve"> has attracted considerable criticism, it has become a standard framework and </w:t>
      </w:r>
      <w:r w:rsidRPr="006A22DA">
        <w:rPr>
          <w:rFonts w:ascii="Century Schoolbook" w:hAnsi="Century Schoolbook"/>
          <w:i/>
          <w:iCs/>
          <w:sz w:val="20"/>
          <w:szCs w:val="20"/>
        </w:rPr>
        <w:t>lingua franca</w:t>
      </w:r>
      <w:r w:rsidRPr="006A22DA">
        <w:rPr>
          <w:rFonts w:ascii="Century Schoolbook" w:hAnsi="Century Schoolbook"/>
          <w:sz w:val="20"/>
          <w:szCs w:val="20"/>
        </w:rPr>
        <w:t xml:space="preserve"> for conceptualising biomedical ethics issues. </w:t>
      </w:r>
      <w:r w:rsidRPr="006A22DA">
        <w:rPr>
          <w:rFonts w:ascii="Century Schoolbook" w:hAnsi="Century Schoolbook"/>
          <w:sz w:val="20"/>
          <w:szCs w:val="20"/>
        </w:rPr>
        <w:fldChar w:fldCharType="begin"/>
      </w:r>
      <w:r w:rsidR="00AC3971">
        <w:rPr>
          <w:rFonts w:ascii="Century Schoolbook" w:hAnsi="Century Schoolbook"/>
          <w:sz w:val="20"/>
          <w:szCs w:val="20"/>
        </w:rPr>
        <w:instrText xml:space="preserve"> ADDIN ZOTERO_ITEM CSL_CITATION {"citationID":"OVCAnjZc","properties":{"formattedCitation":"[41]","plainCitation":"[41]","noteIndex":5},"citationItems":[{"id":1859,"uris":["http://zotero.org/users/1170976/items/9HBVSVV7"],"uri":["http://zotero.org/users/1170976/items/9HBVSVV7"],"itemData":{"id":1859,"type":"article-journal","container-title":"The Hastings Center Report","DOI":"10.2307/3527886","ISSN":"00930334","issue":"5","page":"31","source":"Crossref","title":"A Sociological Account of the Growth of Principlism","volume":"30","author":[{"family":"Evans","given":"John H."}],"issued":{"date-parts":[["2000",9]]}}}],"schema":"https://github.com/citation-style-language/schema/raw/master/csl-citation.json"} </w:instrText>
      </w:r>
      <w:r w:rsidRPr="006A22DA">
        <w:rPr>
          <w:rFonts w:ascii="Century Schoolbook" w:hAnsi="Century Schoolbook"/>
          <w:sz w:val="20"/>
          <w:szCs w:val="20"/>
        </w:rPr>
        <w:fldChar w:fldCharType="separate"/>
      </w:r>
      <w:r w:rsidR="00AC3971" w:rsidRPr="00AC3971">
        <w:rPr>
          <w:rFonts w:ascii="Century Schoolbook" w:hAnsi="Century Schoolbook"/>
          <w:sz w:val="20"/>
        </w:rPr>
        <w:t>[41]</w:t>
      </w:r>
      <w:r w:rsidRPr="006A22DA">
        <w:rPr>
          <w:rFonts w:ascii="Century Schoolbook" w:hAnsi="Century Schoolbook"/>
          <w:sz w:val="20"/>
          <w:szCs w:val="20"/>
        </w:rPr>
        <w:fldChar w:fldCharType="end"/>
      </w:r>
    </w:p>
    <w:p w14:paraId="3A0E2895" w14:textId="3D2DE57E" w:rsidR="00D17BA1" w:rsidRPr="006A22DA" w:rsidRDefault="00D17BA1">
      <w:pPr>
        <w:pStyle w:val="FootnoteText"/>
        <w:rPr>
          <w:rFonts w:ascii="Century Schoolbook" w:hAnsi="Century Schoolbook"/>
          <w:sz w:val="20"/>
          <w:lang w:val="en-US"/>
        </w:rPr>
      </w:pPr>
    </w:p>
  </w:footnote>
  <w:footnote w:id="7">
    <w:p w14:paraId="7A313FBC" w14:textId="77777777" w:rsidR="00D17BA1" w:rsidRPr="006A22DA" w:rsidRDefault="00D17BA1" w:rsidP="002E5091">
      <w:pPr>
        <w:pStyle w:val="FootnoteText"/>
        <w:rPr>
          <w:rFonts w:ascii="Century Schoolbook" w:hAnsi="Century Schoolbook"/>
          <w:sz w:val="20"/>
          <w:lang w:val="en-SG"/>
        </w:rPr>
      </w:pPr>
      <w:r w:rsidRPr="00577B64">
        <w:rPr>
          <w:rStyle w:val="FootnoteReference"/>
        </w:rPr>
        <w:footnoteRef/>
      </w:r>
      <w:r w:rsidRPr="006A22DA">
        <w:rPr>
          <w:rFonts w:ascii="Century Schoolbook" w:hAnsi="Century Schoolbook"/>
          <w:sz w:val="20"/>
        </w:rPr>
        <w:t xml:space="preserve"> </w:t>
      </w:r>
      <w:r w:rsidRPr="006A22DA">
        <w:rPr>
          <w:rFonts w:ascii="Century Schoolbook" w:hAnsi="Century Schoolbook"/>
          <w:sz w:val="20"/>
          <w:lang w:val="en-NZ"/>
        </w:rPr>
        <w:t>Guideline 16 – Research involving adults incapable of giving informed consent, and Guideline 17 – Research involving children and adolescents</w:t>
      </w:r>
    </w:p>
  </w:footnote>
  <w:footnote w:id="8">
    <w:p w14:paraId="5EF3F70F" w14:textId="4B71DE35" w:rsidR="00D17BA1" w:rsidRPr="006A22DA" w:rsidRDefault="00D17BA1">
      <w:pPr>
        <w:pStyle w:val="FootnoteText"/>
        <w:rPr>
          <w:rFonts w:ascii="Century Schoolbook" w:hAnsi="Century Schoolbook"/>
          <w:sz w:val="20"/>
          <w:lang w:val="en-SG"/>
        </w:rPr>
      </w:pPr>
      <w:r w:rsidRPr="00577B64">
        <w:rPr>
          <w:rStyle w:val="FootnoteReference"/>
        </w:rPr>
        <w:footnoteRef/>
      </w:r>
      <w:r w:rsidRPr="006A22DA">
        <w:rPr>
          <w:rFonts w:ascii="Century Schoolbook" w:hAnsi="Century Schoolbook"/>
          <w:sz w:val="20"/>
        </w:rPr>
        <w:t xml:space="preserve"> Guideline 10 - Modifications and waivers of informed consent; Guideline 11: collection, storage and use of biological materials and related data; </w:t>
      </w:r>
      <w:r w:rsidRPr="006A22DA">
        <w:rPr>
          <w:rFonts w:ascii="Century Schoolbook" w:hAnsi="Century Schoolbook"/>
          <w:sz w:val="20"/>
          <w:lang w:val="en-NZ"/>
        </w:rPr>
        <w:t>Guideline 12: collection, storage and use of data in health-related research</w:t>
      </w:r>
    </w:p>
  </w:footnote>
  <w:footnote w:id="9">
    <w:p w14:paraId="4BC812B7" w14:textId="333CE03A" w:rsidR="00D17BA1" w:rsidRPr="006A22DA" w:rsidRDefault="00D17BA1">
      <w:pPr>
        <w:pStyle w:val="FootnoteText"/>
        <w:rPr>
          <w:rFonts w:ascii="Century Schoolbook" w:hAnsi="Century Schoolbook"/>
          <w:sz w:val="20"/>
        </w:rPr>
      </w:pPr>
      <w:r w:rsidRPr="00577B64">
        <w:rPr>
          <w:rStyle w:val="FootnoteReference"/>
        </w:rPr>
        <w:footnoteRef/>
      </w:r>
      <w:r w:rsidRPr="006A22DA">
        <w:rPr>
          <w:rFonts w:ascii="Century Schoolbook" w:hAnsi="Century Schoolbook"/>
          <w:sz w:val="20"/>
        </w:rPr>
        <w:t xml:space="preserve"> This is not a criticism of social value and role the term currently plays in ensuring that all clinical research addresses questions are non-trivial, non-redundant and relevant to the health of local populations. However, the conceptual narrowness of social value means it is not well suited to performing the normative work of justifying consent waivers. </w:t>
      </w:r>
    </w:p>
  </w:footnote>
  <w:footnote w:id="10">
    <w:p w14:paraId="3053D66D" w14:textId="35906646" w:rsidR="00D17BA1" w:rsidRPr="006A22DA" w:rsidRDefault="00D17BA1" w:rsidP="00176B9F">
      <w:pPr>
        <w:pStyle w:val="FootnoteText"/>
        <w:rPr>
          <w:rFonts w:ascii="Century Schoolbook" w:hAnsi="Century Schoolbook"/>
          <w:sz w:val="20"/>
          <w:lang w:val="en-SG"/>
        </w:rPr>
      </w:pPr>
      <w:r w:rsidRPr="00577B64">
        <w:rPr>
          <w:rStyle w:val="FootnoteReference"/>
        </w:rPr>
        <w:footnoteRef/>
      </w:r>
      <w:r w:rsidRPr="006A22DA">
        <w:rPr>
          <w:rFonts w:ascii="Century Schoolbook" w:hAnsi="Century Schoolbook"/>
          <w:sz w:val="20"/>
        </w:rPr>
        <w:t xml:space="preserve"> </w:t>
      </w:r>
      <w:r w:rsidRPr="006A22DA">
        <w:rPr>
          <w:rFonts w:ascii="Century Schoolbook" w:hAnsi="Century Schoolbook"/>
          <w:sz w:val="20"/>
          <w:lang w:val="en-SG"/>
        </w:rPr>
        <w:t xml:space="preserve">We may further ask whether the scope of the public interest criterion would reasonably be restricted to human interests. Such a restriction could be justified based on the explicit focus of human </w:t>
      </w:r>
      <w:proofErr w:type="gramStart"/>
      <w:r w:rsidRPr="006A22DA">
        <w:rPr>
          <w:rFonts w:ascii="Century Schoolbook" w:hAnsi="Century Schoolbook"/>
          <w:sz w:val="20"/>
          <w:lang w:val="en-SG"/>
        </w:rPr>
        <w:t>subjects</w:t>
      </w:r>
      <w:proofErr w:type="gramEnd"/>
      <w:r w:rsidRPr="006A22DA">
        <w:rPr>
          <w:rFonts w:ascii="Century Schoolbook" w:hAnsi="Century Schoolbook"/>
          <w:sz w:val="20"/>
          <w:lang w:val="en-SG"/>
        </w:rPr>
        <w:t xml:space="preserve"> research. However, </w:t>
      </w:r>
      <w:r w:rsidRPr="006A22DA">
        <w:rPr>
          <w:rFonts w:ascii="Century Schoolbook" w:hAnsi="Century Schoolbook"/>
          <w:sz w:val="20"/>
        </w:rPr>
        <w:t xml:space="preserve">an equivalent criterion might be defensible for research projects in other domains, particularly in the area of One Health where the interests of non-humans and environment are explicitly taken into account. </w:t>
      </w:r>
      <w:r w:rsidRPr="006A22DA">
        <w:rPr>
          <w:rFonts w:ascii="Century Schoolbook" w:hAnsi="Century Schoolbook"/>
          <w:sz w:val="20"/>
        </w:rPr>
        <w:fldChar w:fldCharType="begin"/>
      </w:r>
      <w:r w:rsidR="00AC3971">
        <w:rPr>
          <w:rFonts w:ascii="Century Schoolbook" w:hAnsi="Century Schoolbook"/>
          <w:sz w:val="20"/>
        </w:rPr>
        <w:instrText xml:space="preserve"> ADDIN ZOTERO_ITEM CSL_CITATION {"citationID":"bh0ixu9T","properties":{"formattedCitation":"[62]","plainCitation":"[62]","noteIndex":9},"citationItems":[{"id":1825,"uris":["http://zotero.org/users/1170976/items/9W6L4AXW"],"uri":["http://zotero.org/users/1170976/items/9W6L4AXW"],"itemData":{"id":1825,"type":"article-journal","container-title":"The American Journal of Bioethics","DOI":"10.1080/15265161.2018.1513604","ISSN":"1526-5161, 1536-0075","issue":"10","language":"en","page":"47-49","source":"Crossref","title":"Expanding a Shared Benefit Approach in One Health Research","volume":"18","author":[{"family":"Lederman","given":"Zohar"},{"family":"Capps","given":"Benjamin"}],"issued":{"date-parts":[["2018",10,3]]}}}],"schema":"https://github.com/citation-style-language/schema/raw/master/csl-citation.json"} </w:instrText>
      </w:r>
      <w:r w:rsidRPr="006A22DA">
        <w:rPr>
          <w:rFonts w:ascii="Century Schoolbook" w:hAnsi="Century Schoolbook"/>
          <w:sz w:val="20"/>
        </w:rPr>
        <w:fldChar w:fldCharType="separate"/>
      </w:r>
      <w:r w:rsidR="00AC3971" w:rsidRPr="00AC3971">
        <w:rPr>
          <w:rFonts w:ascii="Century Schoolbook" w:hAnsi="Century Schoolbook"/>
          <w:sz w:val="20"/>
        </w:rPr>
        <w:t>[62]</w:t>
      </w:r>
      <w:r w:rsidRPr="006A22DA">
        <w:rPr>
          <w:rFonts w:ascii="Century Schoolbook" w:hAnsi="Century Schoolbook"/>
          <w:sz w:val="20"/>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A7465"/>
    <w:multiLevelType w:val="hybridMultilevel"/>
    <w:tmpl w:val="3C3651E4"/>
    <w:lvl w:ilvl="0" w:tplc="5A4A39B2">
      <w:start w:val="1"/>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F1BD3"/>
    <w:multiLevelType w:val="hybridMultilevel"/>
    <w:tmpl w:val="2AD6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0328CC"/>
    <w:multiLevelType w:val="hybridMultilevel"/>
    <w:tmpl w:val="67E07AD8"/>
    <w:lvl w:ilvl="0" w:tplc="B316F4E6">
      <w:start w:val="1"/>
      <w:numFmt w:val="bullet"/>
      <w:lvlText w:val="‣"/>
      <w:lvlJc w:val="left"/>
      <w:pPr>
        <w:tabs>
          <w:tab w:val="num" w:pos="720"/>
        </w:tabs>
        <w:ind w:left="720" w:hanging="360"/>
      </w:pPr>
      <w:rPr>
        <w:rFonts w:ascii="Arial Unicode MS" w:hAnsi="Arial Unicode MS" w:hint="default"/>
      </w:rPr>
    </w:lvl>
    <w:lvl w:ilvl="1" w:tplc="A298268C">
      <w:start w:val="1764"/>
      <w:numFmt w:val="bullet"/>
      <w:lvlText w:val="–"/>
      <w:lvlJc w:val="left"/>
      <w:pPr>
        <w:tabs>
          <w:tab w:val="num" w:pos="1440"/>
        </w:tabs>
        <w:ind w:left="1440" w:hanging="360"/>
      </w:pPr>
      <w:rPr>
        <w:rFonts w:ascii="Times New Roman" w:hAnsi="Times New Roman" w:hint="default"/>
      </w:rPr>
    </w:lvl>
    <w:lvl w:ilvl="2" w:tplc="1D326C62">
      <w:start w:val="1764"/>
      <w:numFmt w:val="bullet"/>
      <w:lvlText w:val="•"/>
      <w:lvlJc w:val="left"/>
      <w:pPr>
        <w:tabs>
          <w:tab w:val="num" w:pos="2160"/>
        </w:tabs>
        <w:ind w:left="2160" w:hanging="360"/>
      </w:pPr>
      <w:rPr>
        <w:rFonts w:ascii="Times New Roman" w:hAnsi="Times New Roman" w:hint="default"/>
      </w:rPr>
    </w:lvl>
    <w:lvl w:ilvl="3" w:tplc="4DE49E48" w:tentative="1">
      <w:start w:val="1"/>
      <w:numFmt w:val="bullet"/>
      <w:lvlText w:val="‣"/>
      <w:lvlJc w:val="left"/>
      <w:pPr>
        <w:tabs>
          <w:tab w:val="num" w:pos="2880"/>
        </w:tabs>
        <w:ind w:left="2880" w:hanging="360"/>
      </w:pPr>
      <w:rPr>
        <w:rFonts w:ascii="Arial Unicode MS" w:hAnsi="Arial Unicode MS" w:hint="default"/>
      </w:rPr>
    </w:lvl>
    <w:lvl w:ilvl="4" w:tplc="C3E6E654" w:tentative="1">
      <w:start w:val="1"/>
      <w:numFmt w:val="bullet"/>
      <w:lvlText w:val="‣"/>
      <w:lvlJc w:val="left"/>
      <w:pPr>
        <w:tabs>
          <w:tab w:val="num" w:pos="3600"/>
        </w:tabs>
        <w:ind w:left="3600" w:hanging="360"/>
      </w:pPr>
      <w:rPr>
        <w:rFonts w:ascii="Arial Unicode MS" w:hAnsi="Arial Unicode MS" w:hint="default"/>
      </w:rPr>
    </w:lvl>
    <w:lvl w:ilvl="5" w:tplc="E1B0C0CE" w:tentative="1">
      <w:start w:val="1"/>
      <w:numFmt w:val="bullet"/>
      <w:lvlText w:val="‣"/>
      <w:lvlJc w:val="left"/>
      <w:pPr>
        <w:tabs>
          <w:tab w:val="num" w:pos="4320"/>
        </w:tabs>
        <w:ind w:left="4320" w:hanging="360"/>
      </w:pPr>
      <w:rPr>
        <w:rFonts w:ascii="Arial Unicode MS" w:hAnsi="Arial Unicode MS" w:hint="default"/>
      </w:rPr>
    </w:lvl>
    <w:lvl w:ilvl="6" w:tplc="378ED1B6" w:tentative="1">
      <w:start w:val="1"/>
      <w:numFmt w:val="bullet"/>
      <w:lvlText w:val="‣"/>
      <w:lvlJc w:val="left"/>
      <w:pPr>
        <w:tabs>
          <w:tab w:val="num" w:pos="5040"/>
        </w:tabs>
        <w:ind w:left="5040" w:hanging="360"/>
      </w:pPr>
      <w:rPr>
        <w:rFonts w:ascii="Arial Unicode MS" w:hAnsi="Arial Unicode MS" w:hint="default"/>
      </w:rPr>
    </w:lvl>
    <w:lvl w:ilvl="7" w:tplc="AC0E3F9E" w:tentative="1">
      <w:start w:val="1"/>
      <w:numFmt w:val="bullet"/>
      <w:lvlText w:val="‣"/>
      <w:lvlJc w:val="left"/>
      <w:pPr>
        <w:tabs>
          <w:tab w:val="num" w:pos="5760"/>
        </w:tabs>
        <w:ind w:left="5760" w:hanging="360"/>
      </w:pPr>
      <w:rPr>
        <w:rFonts w:ascii="Arial Unicode MS" w:hAnsi="Arial Unicode MS" w:hint="default"/>
      </w:rPr>
    </w:lvl>
    <w:lvl w:ilvl="8" w:tplc="E1A2A2FE" w:tentative="1">
      <w:start w:val="1"/>
      <w:numFmt w:val="bullet"/>
      <w:lvlText w:val="‣"/>
      <w:lvlJc w:val="left"/>
      <w:pPr>
        <w:tabs>
          <w:tab w:val="num" w:pos="6480"/>
        </w:tabs>
        <w:ind w:left="6480" w:hanging="360"/>
      </w:pPr>
      <w:rPr>
        <w:rFonts w:ascii="Arial Unicode MS" w:hAnsi="Arial Unicode MS" w:hint="default"/>
      </w:rPr>
    </w:lvl>
  </w:abstractNum>
  <w:abstractNum w:abstractNumId="3" w15:restartNumberingAfterBreak="0">
    <w:nsid w:val="256D7B1D"/>
    <w:multiLevelType w:val="multilevel"/>
    <w:tmpl w:val="AC887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34A07"/>
    <w:multiLevelType w:val="hybridMultilevel"/>
    <w:tmpl w:val="7BB2E0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DE86B8F"/>
    <w:multiLevelType w:val="hybridMultilevel"/>
    <w:tmpl w:val="4D74DB20"/>
    <w:lvl w:ilvl="0" w:tplc="D72A25B8">
      <w:start w:val="1"/>
      <w:numFmt w:val="bullet"/>
      <w:lvlText w:val="‣"/>
      <w:lvlJc w:val="left"/>
      <w:pPr>
        <w:tabs>
          <w:tab w:val="num" w:pos="720"/>
        </w:tabs>
        <w:ind w:left="720" w:hanging="360"/>
      </w:pPr>
      <w:rPr>
        <w:rFonts w:ascii="Arial Unicode MS" w:hAnsi="Arial Unicode MS" w:hint="default"/>
      </w:rPr>
    </w:lvl>
    <w:lvl w:ilvl="1" w:tplc="8C586D04" w:tentative="1">
      <w:start w:val="1"/>
      <w:numFmt w:val="bullet"/>
      <w:lvlText w:val="‣"/>
      <w:lvlJc w:val="left"/>
      <w:pPr>
        <w:tabs>
          <w:tab w:val="num" w:pos="1440"/>
        </w:tabs>
        <w:ind w:left="1440" w:hanging="360"/>
      </w:pPr>
      <w:rPr>
        <w:rFonts w:ascii="Arial Unicode MS" w:hAnsi="Arial Unicode MS" w:hint="default"/>
      </w:rPr>
    </w:lvl>
    <w:lvl w:ilvl="2" w:tplc="CE2269FE" w:tentative="1">
      <w:start w:val="1"/>
      <w:numFmt w:val="bullet"/>
      <w:lvlText w:val="‣"/>
      <w:lvlJc w:val="left"/>
      <w:pPr>
        <w:tabs>
          <w:tab w:val="num" w:pos="2160"/>
        </w:tabs>
        <w:ind w:left="2160" w:hanging="360"/>
      </w:pPr>
      <w:rPr>
        <w:rFonts w:ascii="Arial Unicode MS" w:hAnsi="Arial Unicode MS" w:hint="default"/>
      </w:rPr>
    </w:lvl>
    <w:lvl w:ilvl="3" w:tplc="C428E7B0" w:tentative="1">
      <w:start w:val="1"/>
      <w:numFmt w:val="bullet"/>
      <w:lvlText w:val="‣"/>
      <w:lvlJc w:val="left"/>
      <w:pPr>
        <w:tabs>
          <w:tab w:val="num" w:pos="2880"/>
        </w:tabs>
        <w:ind w:left="2880" w:hanging="360"/>
      </w:pPr>
      <w:rPr>
        <w:rFonts w:ascii="Arial Unicode MS" w:hAnsi="Arial Unicode MS" w:hint="default"/>
      </w:rPr>
    </w:lvl>
    <w:lvl w:ilvl="4" w:tplc="0AA82DD0" w:tentative="1">
      <w:start w:val="1"/>
      <w:numFmt w:val="bullet"/>
      <w:lvlText w:val="‣"/>
      <w:lvlJc w:val="left"/>
      <w:pPr>
        <w:tabs>
          <w:tab w:val="num" w:pos="3600"/>
        </w:tabs>
        <w:ind w:left="3600" w:hanging="360"/>
      </w:pPr>
      <w:rPr>
        <w:rFonts w:ascii="Arial Unicode MS" w:hAnsi="Arial Unicode MS" w:hint="default"/>
      </w:rPr>
    </w:lvl>
    <w:lvl w:ilvl="5" w:tplc="D0F271E2" w:tentative="1">
      <w:start w:val="1"/>
      <w:numFmt w:val="bullet"/>
      <w:lvlText w:val="‣"/>
      <w:lvlJc w:val="left"/>
      <w:pPr>
        <w:tabs>
          <w:tab w:val="num" w:pos="4320"/>
        </w:tabs>
        <w:ind w:left="4320" w:hanging="360"/>
      </w:pPr>
      <w:rPr>
        <w:rFonts w:ascii="Arial Unicode MS" w:hAnsi="Arial Unicode MS" w:hint="default"/>
      </w:rPr>
    </w:lvl>
    <w:lvl w:ilvl="6" w:tplc="6360F122" w:tentative="1">
      <w:start w:val="1"/>
      <w:numFmt w:val="bullet"/>
      <w:lvlText w:val="‣"/>
      <w:lvlJc w:val="left"/>
      <w:pPr>
        <w:tabs>
          <w:tab w:val="num" w:pos="5040"/>
        </w:tabs>
        <w:ind w:left="5040" w:hanging="360"/>
      </w:pPr>
      <w:rPr>
        <w:rFonts w:ascii="Arial Unicode MS" w:hAnsi="Arial Unicode MS" w:hint="default"/>
      </w:rPr>
    </w:lvl>
    <w:lvl w:ilvl="7" w:tplc="3186270A" w:tentative="1">
      <w:start w:val="1"/>
      <w:numFmt w:val="bullet"/>
      <w:lvlText w:val="‣"/>
      <w:lvlJc w:val="left"/>
      <w:pPr>
        <w:tabs>
          <w:tab w:val="num" w:pos="5760"/>
        </w:tabs>
        <w:ind w:left="5760" w:hanging="360"/>
      </w:pPr>
      <w:rPr>
        <w:rFonts w:ascii="Arial Unicode MS" w:hAnsi="Arial Unicode MS" w:hint="default"/>
      </w:rPr>
    </w:lvl>
    <w:lvl w:ilvl="8" w:tplc="0F1617B6" w:tentative="1">
      <w:start w:val="1"/>
      <w:numFmt w:val="bullet"/>
      <w:lvlText w:val="‣"/>
      <w:lvlJc w:val="left"/>
      <w:pPr>
        <w:tabs>
          <w:tab w:val="num" w:pos="6480"/>
        </w:tabs>
        <w:ind w:left="6480" w:hanging="360"/>
      </w:pPr>
      <w:rPr>
        <w:rFonts w:ascii="Arial Unicode MS" w:hAnsi="Arial Unicode MS" w:hint="default"/>
      </w:rPr>
    </w:lvl>
  </w:abstractNum>
  <w:abstractNum w:abstractNumId="6" w15:restartNumberingAfterBreak="0">
    <w:nsid w:val="2EB47B65"/>
    <w:multiLevelType w:val="hybridMultilevel"/>
    <w:tmpl w:val="0E0C349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F0E57FA"/>
    <w:multiLevelType w:val="hybridMultilevel"/>
    <w:tmpl w:val="ADA0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0353E8"/>
    <w:multiLevelType w:val="hybridMultilevel"/>
    <w:tmpl w:val="6412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122E1"/>
    <w:multiLevelType w:val="hybridMultilevel"/>
    <w:tmpl w:val="AD78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C2225"/>
    <w:multiLevelType w:val="hybridMultilevel"/>
    <w:tmpl w:val="55F04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252D1F"/>
    <w:multiLevelType w:val="hybridMultilevel"/>
    <w:tmpl w:val="77E8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92616"/>
    <w:multiLevelType w:val="hybridMultilevel"/>
    <w:tmpl w:val="B4A237F8"/>
    <w:lvl w:ilvl="0" w:tplc="AE4664E4">
      <w:start w:val="1"/>
      <w:numFmt w:val="bullet"/>
      <w:lvlText w:val=""/>
      <w:lvlJc w:val="left"/>
      <w:pPr>
        <w:tabs>
          <w:tab w:val="num" w:pos="720"/>
        </w:tabs>
        <w:ind w:left="720" w:hanging="360"/>
      </w:pPr>
      <w:rPr>
        <w:rFonts w:ascii="Wingdings" w:hAnsi="Wingdings" w:hint="default"/>
      </w:rPr>
    </w:lvl>
    <w:lvl w:ilvl="1" w:tplc="132E3D64" w:tentative="1">
      <w:start w:val="1"/>
      <w:numFmt w:val="bullet"/>
      <w:lvlText w:val=""/>
      <w:lvlJc w:val="left"/>
      <w:pPr>
        <w:tabs>
          <w:tab w:val="num" w:pos="1440"/>
        </w:tabs>
        <w:ind w:left="1440" w:hanging="360"/>
      </w:pPr>
      <w:rPr>
        <w:rFonts w:ascii="Wingdings" w:hAnsi="Wingdings" w:hint="default"/>
      </w:rPr>
    </w:lvl>
    <w:lvl w:ilvl="2" w:tplc="6DD88E18" w:tentative="1">
      <w:start w:val="1"/>
      <w:numFmt w:val="bullet"/>
      <w:lvlText w:val=""/>
      <w:lvlJc w:val="left"/>
      <w:pPr>
        <w:tabs>
          <w:tab w:val="num" w:pos="2160"/>
        </w:tabs>
        <w:ind w:left="2160" w:hanging="360"/>
      </w:pPr>
      <w:rPr>
        <w:rFonts w:ascii="Wingdings" w:hAnsi="Wingdings" w:hint="default"/>
      </w:rPr>
    </w:lvl>
    <w:lvl w:ilvl="3" w:tplc="CFDE3680" w:tentative="1">
      <w:start w:val="1"/>
      <w:numFmt w:val="bullet"/>
      <w:lvlText w:val=""/>
      <w:lvlJc w:val="left"/>
      <w:pPr>
        <w:tabs>
          <w:tab w:val="num" w:pos="2880"/>
        </w:tabs>
        <w:ind w:left="2880" w:hanging="360"/>
      </w:pPr>
      <w:rPr>
        <w:rFonts w:ascii="Wingdings" w:hAnsi="Wingdings" w:hint="default"/>
      </w:rPr>
    </w:lvl>
    <w:lvl w:ilvl="4" w:tplc="41CC8188" w:tentative="1">
      <w:start w:val="1"/>
      <w:numFmt w:val="bullet"/>
      <w:lvlText w:val=""/>
      <w:lvlJc w:val="left"/>
      <w:pPr>
        <w:tabs>
          <w:tab w:val="num" w:pos="3600"/>
        </w:tabs>
        <w:ind w:left="3600" w:hanging="360"/>
      </w:pPr>
      <w:rPr>
        <w:rFonts w:ascii="Wingdings" w:hAnsi="Wingdings" w:hint="default"/>
      </w:rPr>
    </w:lvl>
    <w:lvl w:ilvl="5" w:tplc="C31C815E" w:tentative="1">
      <w:start w:val="1"/>
      <w:numFmt w:val="bullet"/>
      <w:lvlText w:val=""/>
      <w:lvlJc w:val="left"/>
      <w:pPr>
        <w:tabs>
          <w:tab w:val="num" w:pos="4320"/>
        </w:tabs>
        <w:ind w:left="4320" w:hanging="360"/>
      </w:pPr>
      <w:rPr>
        <w:rFonts w:ascii="Wingdings" w:hAnsi="Wingdings" w:hint="default"/>
      </w:rPr>
    </w:lvl>
    <w:lvl w:ilvl="6" w:tplc="8A125876" w:tentative="1">
      <w:start w:val="1"/>
      <w:numFmt w:val="bullet"/>
      <w:lvlText w:val=""/>
      <w:lvlJc w:val="left"/>
      <w:pPr>
        <w:tabs>
          <w:tab w:val="num" w:pos="5040"/>
        </w:tabs>
        <w:ind w:left="5040" w:hanging="360"/>
      </w:pPr>
      <w:rPr>
        <w:rFonts w:ascii="Wingdings" w:hAnsi="Wingdings" w:hint="default"/>
      </w:rPr>
    </w:lvl>
    <w:lvl w:ilvl="7" w:tplc="14C2D6DE" w:tentative="1">
      <w:start w:val="1"/>
      <w:numFmt w:val="bullet"/>
      <w:lvlText w:val=""/>
      <w:lvlJc w:val="left"/>
      <w:pPr>
        <w:tabs>
          <w:tab w:val="num" w:pos="5760"/>
        </w:tabs>
        <w:ind w:left="5760" w:hanging="360"/>
      </w:pPr>
      <w:rPr>
        <w:rFonts w:ascii="Wingdings" w:hAnsi="Wingdings" w:hint="default"/>
      </w:rPr>
    </w:lvl>
    <w:lvl w:ilvl="8" w:tplc="AA9837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73243"/>
    <w:multiLevelType w:val="hybridMultilevel"/>
    <w:tmpl w:val="E3D85244"/>
    <w:lvl w:ilvl="0" w:tplc="5A4A39B2">
      <w:start w:val="1"/>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1F09D8"/>
    <w:multiLevelType w:val="hybridMultilevel"/>
    <w:tmpl w:val="931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70AC4"/>
    <w:multiLevelType w:val="hybridMultilevel"/>
    <w:tmpl w:val="3FF05954"/>
    <w:lvl w:ilvl="0" w:tplc="6870220A">
      <w:start w:val="1"/>
      <w:numFmt w:val="bullet"/>
      <w:lvlText w:val="‣"/>
      <w:lvlJc w:val="left"/>
      <w:pPr>
        <w:tabs>
          <w:tab w:val="num" w:pos="720"/>
        </w:tabs>
        <w:ind w:left="720" w:hanging="360"/>
      </w:pPr>
      <w:rPr>
        <w:rFonts w:ascii="Arial Unicode MS" w:hAnsi="Arial Unicode MS" w:hint="default"/>
      </w:rPr>
    </w:lvl>
    <w:lvl w:ilvl="1" w:tplc="38FA1CB0" w:tentative="1">
      <w:start w:val="1"/>
      <w:numFmt w:val="bullet"/>
      <w:lvlText w:val="‣"/>
      <w:lvlJc w:val="left"/>
      <w:pPr>
        <w:tabs>
          <w:tab w:val="num" w:pos="1440"/>
        </w:tabs>
        <w:ind w:left="1440" w:hanging="360"/>
      </w:pPr>
      <w:rPr>
        <w:rFonts w:ascii="Arial Unicode MS" w:hAnsi="Arial Unicode MS" w:hint="default"/>
      </w:rPr>
    </w:lvl>
    <w:lvl w:ilvl="2" w:tplc="E28E035E" w:tentative="1">
      <w:start w:val="1"/>
      <w:numFmt w:val="bullet"/>
      <w:lvlText w:val="‣"/>
      <w:lvlJc w:val="left"/>
      <w:pPr>
        <w:tabs>
          <w:tab w:val="num" w:pos="2160"/>
        </w:tabs>
        <w:ind w:left="2160" w:hanging="360"/>
      </w:pPr>
      <w:rPr>
        <w:rFonts w:ascii="Arial Unicode MS" w:hAnsi="Arial Unicode MS" w:hint="default"/>
      </w:rPr>
    </w:lvl>
    <w:lvl w:ilvl="3" w:tplc="745C5062" w:tentative="1">
      <w:start w:val="1"/>
      <w:numFmt w:val="bullet"/>
      <w:lvlText w:val="‣"/>
      <w:lvlJc w:val="left"/>
      <w:pPr>
        <w:tabs>
          <w:tab w:val="num" w:pos="2880"/>
        </w:tabs>
        <w:ind w:left="2880" w:hanging="360"/>
      </w:pPr>
      <w:rPr>
        <w:rFonts w:ascii="Arial Unicode MS" w:hAnsi="Arial Unicode MS" w:hint="default"/>
      </w:rPr>
    </w:lvl>
    <w:lvl w:ilvl="4" w:tplc="3C9694FE" w:tentative="1">
      <w:start w:val="1"/>
      <w:numFmt w:val="bullet"/>
      <w:lvlText w:val="‣"/>
      <w:lvlJc w:val="left"/>
      <w:pPr>
        <w:tabs>
          <w:tab w:val="num" w:pos="3600"/>
        </w:tabs>
        <w:ind w:left="3600" w:hanging="360"/>
      </w:pPr>
      <w:rPr>
        <w:rFonts w:ascii="Arial Unicode MS" w:hAnsi="Arial Unicode MS" w:hint="default"/>
      </w:rPr>
    </w:lvl>
    <w:lvl w:ilvl="5" w:tplc="42A4021A" w:tentative="1">
      <w:start w:val="1"/>
      <w:numFmt w:val="bullet"/>
      <w:lvlText w:val="‣"/>
      <w:lvlJc w:val="left"/>
      <w:pPr>
        <w:tabs>
          <w:tab w:val="num" w:pos="4320"/>
        </w:tabs>
        <w:ind w:left="4320" w:hanging="360"/>
      </w:pPr>
      <w:rPr>
        <w:rFonts w:ascii="Arial Unicode MS" w:hAnsi="Arial Unicode MS" w:hint="default"/>
      </w:rPr>
    </w:lvl>
    <w:lvl w:ilvl="6" w:tplc="1F9AC624" w:tentative="1">
      <w:start w:val="1"/>
      <w:numFmt w:val="bullet"/>
      <w:lvlText w:val="‣"/>
      <w:lvlJc w:val="left"/>
      <w:pPr>
        <w:tabs>
          <w:tab w:val="num" w:pos="5040"/>
        </w:tabs>
        <w:ind w:left="5040" w:hanging="360"/>
      </w:pPr>
      <w:rPr>
        <w:rFonts w:ascii="Arial Unicode MS" w:hAnsi="Arial Unicode MS" w:hint="default"/>
      </w:rPr>
    </w:lvl>
    <w:lvl w:ilvl="7" w:tplc="0EF6425E" w:tentative="1">
      <w:start w:val="1"/>
      <w:numFmt w:val="bullet"/>
      <w:lvlText w:val="‣"/>
      <w:lvlJc w:val="left"/>
      <w:pPr>
        <w:tabs>
          <w:tab w:val="num" w:pos="5760"/>
        </w:tabs>
        <w:ind w:left="5760" w:hanging="360"/>
      </w:pPr>
      <w:rPr>
        <w:rFonts w:ascii="Arial Unicode MS" w:hAnsi="Arial Unicode MS" w:hint="default"/>
      </w:rPr>
    </w:lvl>
    <w:lvl w:ilvl="8" w:tplc="5D00409C" w:tentative="1">
      <w:start w:val="1"/>
      <w:numFmt w:val="bullet"/>
      <w:lvlText w:val="‣"/>
      <w:lvlJc w:val="left"/>
      <w:pPr>
        <w:tabs>
          <w:tab w:val="num" w:pos="6480"/>
        </w:tabs>
        <w:ind w:left="6480" w:hanging="360"/>
      </w:pPr>
      <w:rPr>
        <w:rFonts w:ascii="Arial Unicode MS" w:hAnsi="Arial Unicode MS" w:hint="default"/>
      </w:rPr>
    </w:lvl>
  </w:abstractNum>
  <w:abstractNum w:abstractNumId="16" w15:restartNumberingAfterBreak="0">
    <w:nsid w:val="4014071D"/>
    <w:multiLevelType w:val="hybridMultilevel"/>
    <w:tmpl w:val="2278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15072"/>
    <w:multiLevelType w:val="hybridMultilevel"/>
    <w:tmpl w:val="B45A67F4"/>
    <w:lvl w:ilvl="0" w:tplc="5A4A39B2">
      <w:start w:val="1"/>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F5348"/>
    <w:multiLevelType w:val="hybridMultilevel"/>
    <w:tmpl w:val="534CE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21359C"/>
    <w:multiLevelType w:val="hybridMultilevel"/>
    <w:tmpl w:val="BC7ECFB6"/>
    <w:lvl w:ilvl="0" w:tplc="3144526A">
      <w:start w:val="1"/>
      <w:numFmt w:val="bullet"/>
      <w:lvlText w:val="–"/>
      <w:lvlJc w:val="left"/>
      <w:pPr>
        <w:tabs>
          <w:tab w:val="num" w:pos="720"/>
        </w:tabs>
        <w:ind w:left="720" w:hanging="360"/>
      </w:pPr>
      <w:rPr>
        <w:rFonts w:ascii="Times New Roman" w:hAnsi="Times New Roman" w:hint="default"/>
      </w:rPr>
    </w:lvl>
    <w:lvl w:ilvl="1" w:tplc="1CA06E1C">
      <w:start w:val="1"/>
      <w:numFmt w:val="bullet"/>
      <w:lvlText w:val="–"/>
      <w:lvlJc w:val="left"/>
      <w:pPr>
        <w:tabs>
          <w:tab w:val="num" w:pos="1440"/>
        </w:tabs>
        <w:ind w:left="1440" w:hanging="360"/>
      </w:pPr>
      <w:rPr>
        <w:rFonts w:ascii="Times New Roman" w:hAnsi="Times New Roman" w:hint="default"/>
      </w:rPr>
    </w:lvl>
    <w:lvl w:ilvl="2" w:tplc="824643D0">
      <w:start w:val="1747"/>
      <w:numFmt w:val="bullet"/>
      <w:lvlText w:val="•"/>
      <w:lvlJc w:val="left"/>
      <w:pPr>
        <w:tabs>
          <w:tab w:val="num" w:pos="2160"/>
        </w:tabs>
        <w:ind w:left="2160" w:hanging="360"/>
      </w:pPr>
      <w:rPr>
        <w:rFonts w:ascii="Times New Roman" w:hAnsi="Times New Roman" w:hint="default"/>
      </w:rPr>
    </w:lvl>
    <w:lvl w:ilvl="3" w:tplc="E1BC9FA2" w:tentative="1">
      <w:start w:val="1"/>
      <w:numFmt w:val="bullet"/>
      <w:lvlText w:val="–"/>
      <w:lvlJc w:val="left"/>
      <w:pPr>
        <w:tabs>
          <w:tab w:val="num" w:pos="2880"/>
        </w:tabs>
        <w:ind w:left="2880" w:hanging="360"/>
      </w:pPr>
      <w:rPr>
        <w:rFonts w:ascii="Times New Roman" w:hAnsi="Times New Roman" w:hint="default"/>
      </w:rPr>
    </w:lvl>
    <w:lvl w:ilvl="4" w:tplc="99C46254" w:tentative="1">
      <w:start w:val="1"/>
      <w:numFmt w:val="bullet"/>
      <w:lvlText w:val="–"/>
      <w:lvlJc w:val="left"/>
      <w:pPr>
        <w:tabs>
          <w:tab w:val="num" w:pos="3600"/>
        </w:tabs>
        <w:ind w:left="3600" w:hanging="360"/>
      </w:pPr>
      <w:rPr>
        <w:rFonts w:ascii="Times New Roman" w:hAnsi="Times New Roman" w:hint="default"/>
      </w:rPr>
    </w:lvl>
    <w:lvl w:ilvl="5" w:tplc="B7F6DEAC" w:tentative="1">
      <w:start w:val="1"/>
      <w:numFmt w:val="bullet"/>
      <w:lvlText w:val="–"/>
      <w:lvlJc w:val="left"/>
      <w:pPr>
        <w:tabs>
          <w:tab w:val="num" w:pos="4320"/>
        </w:tabs>
        <w:ind w:left="4320" w:hanging="360"/>
      </w:pPr>
      <w:rPr>
        <w:rFonts w:ascii="Times New Roman" w:hAnsi="Times New Roman" w:hint="default"/>
      </w:rPr>
    </w:lvl>
    <w:lvl w:ilvl="6" w:tplc="0220E3AA" w:tentative="1">
      <w:start w:val="1"/>
      <w:numFmt w:val="bullet"/>
      <w:lvlText w:val="–"/>
      <w:lvlJc w:val="left"/>
      <w:pPr>
        <w:tabs>
          <w:tab w:val="num" w:pos="5040"/>
        </w:tabs>
        <w:ind w:left="5040" w:hanging="360"/>
      </w:pPr>
      <w:rPr>
        <w:rFonts w:ascii="Times New Roman" w:hAnsi="Times New Roman" w:hint="default"/>
      </w:rPr>
    </w:lvl>
    <w:lvl w:ilvl="7" w:tplc="AE7C4FB0" w:tentative="1">
      <w:start w:val="1"/>
      <w:numFmt w:val="bullet"/>
      <w:lvlText w:val="–"/>
      <w:lvlJc w:val="left"/>
      <w:pPr>
        <w:tabs>
          <w:tab w:val="num" w:pos="5760"/>
        </w:tabs>
        <w:ind w:left="5760" w:hanging="360"/>
      </w:pPr>
      <w:rPr>
        <w:rFonts w:ascii="Times New Roman" w:hAnsi="Times New Roman" w:hint="default"/>
      </w:rPr>
    </w:lvl>
    <w:lvl w:ilvl="8" w:tplc="94CA77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C118CF"/>
    <w:multiLevelType w:val="multilevel"/>
    <w:tmpl w:val="E130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51CD3"/>
    <w:multiLevelType w:val="hybridMultilevel"/>
    <w:tmpl w:val="7B866514"/>
    <w:lvl w:ilvl="0" w:tplc="A4E8FC6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E485840"/>
    <w:multiLevelType w:val="hybridMultilevel"/>
    <w:tmpl w:val="8B2A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C4E9D"/>
    <w:multiLevelType w:val="hybridMultilevel"/>
    <w:tmpl w:val="45AC4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9E2DDF"/>
    <w:multiLevelType w:val="hybridMultilevel"/>
    <w:tmpl w:val="FA8EB7B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5" w15:restartNumberingAfterBreak="0">
    <w:nsid w:val="5B342F29"/>
    <w:multiLevelType w:val="hybridMultilevel"/>
    <w:tmpl w:val="C888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C70D0"/>
    <w:multiLevelType w:val="hybridMultilevel"/>
    <w:tmpl w:val="47F29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237761"/>
    <w:multiLevelType w:val="hybridMultilevel"/>
    <w:tmpl w:val="24F0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E4DC2"/>
    <w:multiLevelType w:val="hybridMultilevel"/>
    <w:tmpl w:val="C1BA8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25460C"/>
    <w:multiLevelType w:val="hybridMultilevel"/>
    <w:tmpl w:val="EC8421B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B50209E"/>
    <w:multiLevelType w:val="hybridMultilevel"/>
    <w:tmpl w:val="542A68B4"/>
    <w:lvl w:ilvl="0" w:tplc="7B6C4C26">
      <w:start w:val="1"/>
      <w:numFmt w:val="bullet"/>
      <w:lvlText w:val="‣"/>
      <w:lvlJc w:val="left"/>
      <w:pPr>
        <w:tabs>
          <w:tab w:val="num" w:pos="720"/>
        </w:tabs>
        <w:ind w:left="720" w:hanging="360"/>
      </w:pPr>
      <w:rPr>
        <w:rFonts w:ascii="Arial Unicode MS" w:hAnsi="Arial Unicode MS" w:hint="default"/>
      </w:rPr>
    </w:lvl>
    <w:lvl w:ilvl="1" w:tplc="E1C867B0">
      <w:start w:val="1110"/>
      <w:numFmt w:val="bullet"/>
      <w:lvlText w:val="–"/>
      <w:lvlJc w:val="left"/>
      <w:pPr>
        <w:tabs>
          <w:tab w:val="num" w:pos="1440"/>
        </w:tabs>
        <w:ind w:left="1440" w:hanging="360"/>
      </w:pPr>
      <w:rPr>
        <w:rFonts w:ascii="Times New Roman" w:hAnsi="Times New Roman" w:hint="default"/>
      </w:rPr>
    </w:lvl>
    <w:lvl w:ilvl="2" w:tplc="4EEC2512" w:tentative="1">
      <w:start w:val="1"/>
      <w:numFmt w:val="bullet"/>
      <w:lvlText w:val="‣"/>
      <w:lvlJc w:val="left"/>
      <w:pPr>
        <w:tabs>
          <w:tab w:val="num" w:pos="2160"/>
        </w:tabs>
        <w:ind w:left="2160" w:hanging="360"/>
      </w:pPr>
      <w:rPr>
        <w:rFonts w:ascii="Arial Unicode MS" w:hAnsi="Arial Unicode MS" w:hint="default"/>
      </w:rPr>
    </w:lvl>
    <w:lvl w:ilvl="3" w:tplc="733061AE" w:tentative="1">
      <w:start w:val="1"/>
      <w:numFmt w:val="bullet"/>
      <w:lvlText w:val="‣"/>
      <w:lvlJc w:val="left"/>
      <w:pPr>
        <w:tabs>
          <w:tab w:val="num" w:pos="2880"/>
        </w:tabs>
        <w:ind w:left="2880" w:hanging="360"/>
      </w:pPr>
      <w:rPr>
        <w:rFonts w:ascii="Arial Unicode MS" w:hAnsi="Arial Unicode MS" w:hint="default"/>
      </w:rPr>
    </w:lvl>
    <w:lvl w:ilvl="4" w:tplc="BC9ADB2E" w:tentative="1">
      <w:start w:val="1"/>
      <w:numFmt w:val="bullet"/>
      <w:lvlText w:val="‣"/>
      <w:lvlJc w:val="left"/>
      <w:pPr>
        <w:tabs>
          <w:tab w:val="num" w:pos="3600"/>
        </w:tabs>
        <w:ind w:left="3600" w:hanging="360"/>
      </w:pPr>
      <w:rPr>
        <w:rFonts w:ascii="Arial Unicode MS" w:hAnsi="Arial Unicode MS" w:hint="default"/>
      </w:rPr>
    </w:lvl>
    <w:lvl w:ilvl="5" w:tplc="FF6EECE4" w:tentative="1">
      <w:start w:val="1"/>
      <w:numFmt w:val="bullet"/>
      <w:lvlText w:val="‣"/>
      <w:lvlJc w:val="left"/>
      <w:pPr>
        <w:tabs>
          <w:tab w:val="num" w:pos="4320"/>
        </w:tabs>
        <w:ind w:left="4320" w:hanging="360"/>
      </w:pPr>
      <w:rPr>
        <w:rFonts w:ascii="Arial Unicode MS" w:hAnsi="Arial Unicode MS" w:hint="default"/>
      </w:rPr>
    </w:lvl>
    <w:lvl w:ilvl="6" w:tplc="A4549FDA" w:tentative="1">
      <w:start w:val="1"/>
      <w:numFmt w:val="bullet"/>
      <w:lvlText w:val="‣"/>
      <w:lvlJc w:val="left"/>
      <w:pPr>
        <w:tabs>
          <w:tab w:val="num" w:pos="5040"/>
        </w:tabs>
        <w:ind w:left="5040" w:hanging="360"/>
      </w:pPr>
      <w:rPr>
        <w:rFonts w:ascii="Arial Unicode MS" w:hAnsi="Arial Unicode MS" w:hint="default"/>
      </w:rPr>
    </w:lvl>
    <w:lvl w:ilvl="7" w:tplc="DB34FD0A" w:tentative="1">
      <w:start w:val="1"/>
      <w:numFmt w:val="bullet"/>
      <w:lvlText w:val="‣"/>
      <w:lvlJc w:val="left"/>
      <w:pPr>
        <w:tabs>
          <w:tab w:val="num" w:pos="5760"/>
        </w:tabs>
        <w:ind w:left="5760" w:hanging="360"/>
      </w:pPr>
      <w:rPr>
        <w:rFonts w:ascii="Arial Unicode MS" w:hAnsi="Arial Unicode MS" w:hint="default"/>
      </w:rPr>
    </w:lvl>
    <w:lvl w:ilvl="8" w:tplc="2432D52A" w:tentative="1">
      <w:start w:val="1"/>
      <w:numFmt w:val="bullet"/>
      <w:lvlText w:val="‣"/>
      <w:lvlJc w:val="left"/>
      <w:pPr>
        <w:tabs>
          <w:tab w:val="num" w:pos="6480"/>
        </w:tabs>
        <w:ind w:left="6480" w:hanging="360"/>
      </w:pPr>
      <w:rPr>
        <w:rFonts w:ascii="Arial Unicode MS" w:hAnsi="Arial Unicode MS" w:hint="default"/>
      </w:rPr>
    </w:lvl>
  </w:abstractNum>
  <w:abstractNum w:abstractNumId="31" w15:restartNumberingAfterBreak="0">
    <w:nsid w:val="6C2F0489"/>
    <w:multiLevelType w:val="hybridMultilevel"/>
    <w:tmpl w:val="50B220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F6334"/>
    <w:multiLevelType w:val="hybridMultilevel"/>
    <w:tmpl w:val="34E487AC"/>
    <w:lvl w:ilvl="0" w:tplc="32F2BDAC">
      <w:start w:val="1"/>
      <w:numFmt w:val="bullet"/>
      <w:lvlText w:val="‣"/>
      <w:lvlJc w:val="left"/>
      <w:pPr>
        <w:tabs>
          <w:tab w:val="num" w:pos="720"/>
        </w:tabs>
        <w:ind w:left="720" w:hanging="360"/>
      </w:pPr>
      <w:rPr>
        <w:rFonts w:ascii="Arial Unicode MS" w:hAnsi="Arial Unicode MS" w:hint="default"/>
      </w:rPr>
    </w:lvl>
    <w:lvl w:ilvl="1" w:tplc="E0026974" w:tentative="1">
      <w:start w:val="1"/>
      <w:numFmt w:val="bullet"/>
      <w:lvlText w:val="‣"/>
      <w:lvlJc w:val="left"/>
      <w:pPr>
        <w:tabs>
          <w:tab w:val="num" w:pos="1440"/>
        </w:tabs>
        <w:ind w:left="1440" w:hanging="360"/>
      </w:pPr>
      <w:rPr>
        <w:rFonts w:ascii="Arial Unicode MS" w:hAnsi="Arial Unicode MS" w:hint="default"/>
      </w:rPr>
    </w:lvl>
    <w:lvl w:ilvl="2" w:tplc="24261494" w:tentative="1">
      <w:start w:val="1"/>
      <w:numFmt w:val="bullet"/>
      <w:lvlText w:val="‣"/>
      <w:lvlJc w:val="left"/>
      <w:pPr>
        <w:tabs>
          <w:tab w:val="num" w:pos="2160"/>
        </w:tabs>
        <w:ind w:left="2160" w:hanging="360"/>
      </w:pPr>
      <w:rPr>
        <w:rFonts w:ascii="Arial Unicode MS" w:hAnsi="Arial Unicode MS" w:hint="default"/>
      </w:rPr>
    </w:lvl>
    <w:lvl w:ilvl="3" w:tplc="E134449C" w:tentative="1">
      <w:start w:val="1"/>
      <w:numFmt w:val="bullet"/>
      <w:lvlText w:val="‣"/>
      <w:lvlJc w:val="left"/>
      <w:pPr>
        <w:tabs>
          <w:tab w:val="num" w:pos="2880"/>
        </w:tabs>
        <w:ind w:left="2880" w:hanging="360"/>
      </w:pPr>
      <w:rPr>
        <w:rFonts w:ascii="Arial Unicode MS" w:hAnsi="Arial Unicode MS" w:hint="default"/>
      </w:rPr>
    </w:lvl>
    <w:lvl w:ilvl="4" w:tplc="84B0B4FA" w:tentative="1">
      <w:start w:val="1"/>
      <w:numFmt w:val="bullet"/>
      <w:lvlText w:val="‣"/>
      <w:lvlJc w:val="left"/>
      <w:pPr>
        <w:tabs>
          <w:tab w:val="num" w:pos="3600"/>
        </w:tabs>
        <w:ind w:left="3600" w:hanging="360"/>
      </w:pPr>
      <w:rPr>
        <w:rFonts w:ascii="Arial Unicode MS" w:hAnsi="Arial Unicode MS" w:hint="default"/>
      </w:rPr>
    </w:lvl>
    <w:lvl w:ilvl="5" w:tplc="51A46D46" w:tentative="1">
      <w:start w:val="1"/>
      <w:numFmt w:val="bullet"/>
      <w:lvlText w:val="‣"/>
      <w:lvlJc w:val="left"/>
      <w:pPr>
        <w:tabs>
          <w:tab w:val="num" w:pos="4320"/>
        </w:tabs>
        <w:ind w:left="4320" w:hanging="360"/>
      </w:pPr>
      <w:rPr>
        <w:rFonts w:ascii="Arial Unicode MS" w:hAnsi="Arial Unicode MS" w:hint="default"/>
      </w:rPr>
    </w:lvl>
    <w:lvl w:ilvl="6" w:tplc="9870856C" w:tentative="1">
      <w:start w:val="1"/>
      <w:numFmt w:val="bullet"/>
      <w:lvlText w:val="‣"/>
      <w:lvlJc w:val="left"/>
      <w:pPr>
        <w:tabs>
          <w:tab w:val="num" w:pos="5040"/>
        </w:tabs>
        <w:ind w:left="5040" w:hanging="360"/>
      </w:pPr>
      <w:rPr>
        <w:rFonts w:ascii="Arial Unicode MS" w:hAnsi="Arial Unicode MS" w:hint="default"/>
      </w:rPr>
    </w:lvl>
    <w:lvl w:ilvl="7" w:tplc="E252150E" w:tentative="1">
      <w:start w:val="1"/>
      <w:numFmt w:val="bullet"/>
      <w:lvlText w:val="‣"/>
      <w:lvlJc w:val="left"/>
      <w:pPr>
        <w:tabs>
          <w:tab w:val="num" w:pos="5760"/>
        </w:tabs>
        <w:ind w:left="5760" w:hanging="360"/>
      </w:pPr>
      <w:rPr>
        <w:rFonts w:ascii="Arial Unicode MS" w:hAnsi="Arial Unicode MS" w:hint="default"/>
      </w:rPr>
    </w:lvl>
    <w:lvl w:ilvl="8" w:tplc="28D86164" w:tentative="1">
      <w:start w:val="1"/>
      <w:numFmt w:val="bullet"/>
      <w:lvlText w:val="‣"/>
      <w:lvlJc w:val="left"/>
      <w:pPr>
        <w:tabs>
          <w:tab w:val="num" w:pos="6480"/>
        </w:tabs>
        <w:ind w:left="6480" w:hanging="360"/>
      </w:pPr>
      <w:rPr>
        <w:rFonts w:ascii="Arial Unicode MS" w:hAnsi="Arial Unicode MS" w:hint="default"/>
      </w:rPr>
    </w:lvl>
  </w:abstractNum>
  <w:abstractNum w:abstractNumId="33" w15:restartNumberingAfterBreak="0">
    <w:nsid w:val="7C452D77"/>
    <w:multiLevelType w:val="hybridMultilevel"/>
    <w:tmpl w:val="B95E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0"/>
  </w:num>
  <w:num w:numId="4">
    <w:abstractNumId w:val="32"/>
  </w:num>
  <w:num w:numId="5">
    <w:abstractNumId w:val="19"/>
  </w:num>
  <w:num w:numId="6">
    <w:abstractNumId w:val="5"/>
  </w:num>
  <w:num w:numId="7">
    <w:abstractNumId w:val="18"/>
  </w:num>
  <w:num w:numId="8">
    <w:abstractNumId w:val="18"/>
  </w:num>
  <w:num w:numId="9">
    <w:abstractNumId w:val="8"/>
  </w:num>
  <w:num w:numId="10">
    <w:abstractNumId w:val="22"/>
  </w:num>
  <w:num w:numId="11">
    <w:abstractNumId w:val="10"/>
  </w:num>
  <w:num w:numId="12">
    <w:abstractNumId w:val="33"/>
  </w:num>
  <w:num w:numId="13">
    <w:abstractNumId w:val="20"/>
  </w:num>
  <w:num w:numId="14">
    <w:abstractNumId w:val="3"/>
  </w:num>
  <w:num w:numId="15">
    <w:abstractNumId w:val="14"/>
  </w:num>
  <w:num w:numId="16">
    <w:abstractNumId w:val="11"/>
  </w:num>
  <w:num w:numId="17">
    <w:abstractNumId w:val="9"/>
  </w:num>
  <w:num w:numId="18">
    <w:abstractNumId w:val="16"/>
  </w:num>
  <w:num w:numId="19">
    <w:abstractNumId w:val="2"/>
  </w:num>
  <w:num w:numId="20">
    <w:abstractNumId w:val="12"/>
  </w:num>
  <w:num w:numId="21">
    <w:abstractNumId w:val="25"/>
  </w:num>
  <w:num w:numId="22">
    <w:abstractNumId w:val="21"/>
  </w:num>
  <w:num w:numId="23">
    <w:abstractNumId w:val="29"/>
  </w:num>
  <w:num w:numId="24">
    <w:abstractNumId w:val="31"/>
  </w:num>
  <w:num w:numId="25">
    <w:abstractNumId w:val="13"/>
  </w:num>
  <w:num w:numId="26">
    <w:abstractNumId w:val="17"/>
  </w:num>
  <w:num w:numId="27">
    <w:abstractNumId w:val="0"/>
  </w:num>
  <w:num w:numId="28">
    <w:abstractNumId w:val="1"/>
  </w:num>
  <w:num w:numId="29">
    <w:abstractNumId w:val="28"/>
  </w:num>
  <w:num w:numId="30">
    <w:abstractNumId w:val="26"/>
  </w:num>
  <w:num w:numId="31">
    <w:abstractNumId w:val="4"/>
  </w:num>
  <w:num w:numId="32">
    <w:abstractNumId w:val="24"/>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0"/>
  </w:num>
  <w:num w:numId="35">
    <w:abstractNumId w:val="17"/>
  </w:num>
  <w:num w:numId="36">
    <w:abstractNumId w:val="13"/>
  </w:num>
  <w:num w:numId="37">
    <w:abstractNumId w:val="7"/>
  </w:num>
  <w:num w:numId="38">
    <w:abstractNumId w:val="2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5A"/>
    <w:rsid w:val="00000A98"/>
    <w:rsid w:val="00004545"/>
    <w:rsid w:val="0000692F"/>
    <w:rsid w:val="00011D50"/>
    <w:rsid w:val="00014E7D"/>
    <w:rsid w:val="000159E7"/>
    <w:rsid w:val="00020F35"/>
    <w:rsid w:val="00021842"/>
    <w:rsid w:val="00023F7C"/>
    <w:rsid w:val="000257FE"/>
    <w:rsid w:val="00030CB2"/>
    <w:rsid w:val="00032665"/>
    <w:rsid w:val="00034F0D"/>
    <w:rsid w:val="0003728A"/>
    <w:rsid w:val="00052D50"/>
    <w:rsid w:val="000546FE"/>
    <w:rsid w:val="00054E66"/>
    <w:rsid w:val="00056FE7"/>
    <w:rsid w:val="000601F0"/>
    <w:rsid w:val="00060756"/>
    <w:rsid w:val="00062F80"/>
    <w:rsid w:val="0006644C"/>
    <w:rsid w:val="00067BAE"/>
    <w:rsid w:val="00071CE8"/>
    <w:rsid w:val="00072EF4"/>
    <w:rsid w:val="000745BC"/>
    <w:rsid w:val="000828B5"/>
    <w:rsid w:val="00083087"/>
    <w:rsid w:val="00094E10"/>
    <w:rsid w:val="00095715"/>
    <w:rsid w:val="0009616C"/>
    <w:rsid w:val="00096BAC"/>
    <w:rsid w:val="000A62D6"/>
    <w:rsid w:val="000A6C26"/>
    <w:rsid w:val="000B0FFA"/>
    <w:rsid w:val="000B3E67"/>
    <w:rsid w:val="000B41EA"/>
    <w:rsid w:val="000B4361"/>
    <w:rsid w:val="000B46B6"/>
    <w:rsid w:val="000B5029"/>
    <w:rsid w:val="000B61AD"/>
    <w:rsid w:val="000C19BE"/>
    <w:rsid w:val="000C2C5A"/>
    <w:rsid w:val="000C50B8"/>
    <w:rsid w:val="000C520F"/>
    <w:rsid w:val="000C5DDC"/>
    <w:rsid w:val="000C68D0"/>
    <w:rsid w:val="000C7D46"/>
    <w:rsid w:val="000D5E01"/>
    <w:rsid w:val="000E0D09"/>
    <w:rsid w:val="000E2C9D"/>
    <w:rsid w:val="000E3263"/>
    <w:rsid w:val="000E4121"/>
    <w:rsid w:val="000E4420"/>
    <w:rsid w:val="000E6E8A"/>
    <w:rsid w:val="000E7607"/>
    <w:rsid w:val="000F00D6"/>
    <w:rsid w:val="000F0B53"/>
    <w:rsid w:val="00101D3E"/>
    <w:rsid w:val="001037DC"/>
    <w:rsid w:val="0010492F"/>
    <w:rsid w:val="00105654"/>
    <w:rsid w:val="001074E4"/>
    <w:rsid w:val="00111404"/>
    <w:rsid w:val="00113ADE"/>
    <w:rsid w:val="00115AA1"/>
    <w:rsid w:val="0011680F"/>
    <w:rsid w:val="001218CD"/>
    <w:rsid w:val="001219B3"/>
    <w:rsid w:val="00122A48"/>
    <w:rsid w:val="0012335B"/>
    <w:rsid w:val="00124D45"/>
    <w:rsid w:val="0012597E"/>
    <w:rsid w:val="00130433"/>
    <w:rsid w:val="00130B66"/>
    <w:rsid w:val="00141A61"/>
    <w:rsid w:val="00146588"/>
    <w:rsid w:val="00151802"/>
    <w:rsid w:val="001522D2"/>
    <w:rsid w:val="00153495"/>
    <w:rsid w:val="001556B9"/>
    <w:rsid w:val="00157186"/>
    <w:rsid w:val="0016341C"/>
    <w:rsid w:val="00165B40"/>
    <w:rsid w:val="00166116"/>
    <w:rsid w:val="00170C25"/>
    <w:rsid w:val="00174A60"/>
    <w:rsid w:val="00176232"/>
    <w:rsid w:val="00176B9F"/>
    <w:rsid w:val="00183500"/>
    <w:rsid w:val="00186AAA"/>
    <w:rsid w:val="001878FC"/>
    <w:rsid w:val="001A29BF"/>
    <w:rsid w:val="001B03B6"/>
    <w:rsid w:val="001B0FEA"/>
    <w:rsid w:val="001B1B9A"/>
    <w:rsid w:val="001B75FD"/>
    <w:rsid w:val="001C0210"/>
    <w:rsid w:val="001C2927"/>
    <w:rsid w:val="001C51FB"/>
    <w:rsid w:val="001C52B0"/>
    <w:rsid w:val="001D1BDA"/>
    <w:rsid w:val="001D6E87"/>
    <w:rsid w:val="001E3978"/>
    <w:rsid w:val="001F1567"/>
    <w:rsid w:val="001F3179"/>
    <w:rsid w:val="001F5DF2"/>
    <w:rsid w:val="00200734"/>
    <w:rsid w:val="002024A7"/>
    <w:rsid w:val="002038D1"/>
    <w:rsid w:val="00203C33"/>
    <w:rsid w:val="002058FB"/>
    <w:rsid w:val="00212B01"/>
    <w:rsid w:val="0022384C"/>
    <w:rsid w:val="0023285B"/>
    <w:rsid w:val="00235199"/>
    <w:rsid w:val="00244608"/>
    <w:rsid w:val="00251F46"/>
    <w:rsid w:val="002539ED"/>
    <w:rsid w:val="00255BDA"/>
    <w:rsid w:val="00257005"/>
    <w:rsid w:val="0026520B"/>
    <w:rsid w:val="002705D9"/>
    <w:rsid w:val="00272C87"/>
    <w:rsid w:val="0027766D"/>
    <w:rsid w:val="0028044F"/>
    <w:rsid w:val="002805B4"/>
    <w:rsid w:val="00283647"/>
    <w:rsid w:val="002836EF"/>
    <w:rsid w:val="00286541"/>
    <w:rsid w:val="0028729C"/>
    <w:rsid w:val="00287E8E"/>
    <w:rsid w:val="002909BA"/>
    <w:rsid w:val="00294956"/>
    <w:rsid w:val="002A157D"/>
    <w:rsid w:val="002A2906"/>
    <w:rsid w:val="002A4716"/>
    <w:rsid w:val="002A5AB4"/>
    <w:rsid w:val="002B40FB"/>
    <w:rsid w:val="002C446D"/>
    <w:rsid w:val="002C6FB9"/>
    <w:rsid w:val="002C760E"/>
    <w:rsid w:val="002D2021"/>
    <w:rsid w:val="002D2FAC"/>
    <w:rsid w:val="002D58BE"/>
    <w:rsid w:val="002E5091"/>
    <w:rsid w:val="002F1219"/>
    <w:rsid w:val="002F177A"/>
    <w:rsid w:val="002F2ED6"/>
    <w:rsid w:val="00301395"/>
    <w:rsid w:val="00301D88"/>
    <w:rsid w:val="00302610"/>
    <w:rsid w:val="00303059"/>
    <w:rsid w:val="003046F2"/>
    <w:rsid w:val="003054DF"/>
    <w:rsid w:val="00316880"/>
    <w:rsid w:val="00316A93"/>
    <w:rsid w:val="00317C71"/>
    <w:rsid w:val="00323C1F"/>
    <w:rsid w:val="00325007"/>
    <w:rsid w:val="00325CD8"/>
    <w:rsid w:val="003370C7"/>
    <w:rsid w:val="0033797E"/>
    <w:rsid w:val="00340371"/>
    <w:rsid w:val="00341537"/>
    <w:rsid w:val="0034153D"/>
    <w:rsid w:val="00342684"/>
    <w:rsid w:val="00353EC2"/>
    <w:rsid w:val="003557E4"/>
    <w:rsid w:val="00357915"/>
    <w:rsid w:val="0036363A"/>
    <w:rsid w:val="00365DED"/>
    <w:rsid w:val="003746D4"/>
    <w:rsid w:val="003814DF"/>
    <w:rsid w:val="00383A0D"/>
    <w:rsid w:val="003917F0"/>
    <w:rsid w:val="00392C00"/>
    <w:rsid w:val="00393199"/>
    <w:rsid w:val="00393537"/>
    <w:rsid w:val="003B7111"/>
    <w:rsid w:val="003C02D8"/>
    <w:rsid w:val="003D018D"/>
    <w:rsid w:val="003D3BD1"/>
    <w:rsid w:val="003E3E79"/>
    <w:rsid w:val="003F1E95"/>
    <w:rsid w:val="003F5B57"/>
    <w:rsid w:val="004069BC"/>
    <w:rsid w:val="00406A14"/>
    <w:rsid w:val="00407ECD"/>
    <w:rsid w:val="00414926"/>
    <w:rsid w:val="00414A27"/>
    <w:rsid w:val="00416DEB"/>
    <w:rsid w:val="00416EAC"/>
    <w:rsid w:val="00423333"/>
    <w:rsid w:val="00425C6E"/>
    <w:rsid w:val="00426248"/>
    <w:rsid w:val="00426543"/>
    <w:rsid w:val="00426C55"/>
    <w:rsid w:val="00441D6F"/>
    <w:rsid w:val="0044488C"/>
    <w:rsid w:val="00450ABC"/>
    <w:rsid w:val="00454F2F"/>
    <w:rsid w:val="004555EF"/>
    <w:rsid w:val="0045572C"/>
    <w:rsid w:val="00471482"/>
    <w:rsid w:val="00476B5D"/>
    <w:rsid w:val="004801A0"/>
    <w:rsid w:val="00481F86"/>
    <w:rsid w:val="004820A0"/>
    <w:rsid w:val="004839CE"/>
    <w:rsid w:val="00484DA1"/>
    <w:rsid w:val="00492EC3"/>
    <w:rsid w:val="00492FE9"/>
    <w:rsid w:val="004A04D9"/>
    <w:rsid w:val="004A2BDB"/>
    <w:rsid w:val="004A3B76"/>
    <w:rsid w:val="004A5C0B"/>
    <w:rsid w:val="004C0446"/>
    <w:rsid w:val="004C045E"/>
    <w:rsid w:val="004C1C03"/>
    <w:rsid w:val="004C58A9"/>
    <w:rsid w:val="004D157E"/>
    <w:rsid w:val="004E01B3"/>
    <w:rsid w:val="004E41F5"/>
    <w:rsid w:val="004E67E7"/>
    <w:rsid w:val="004E68F9"/>
    <w:rsid w:val="004F75C4"/>
    <w:rsid w:val="005056FA"/>
    <w:rsid w:val="00505DDB"/>
    <w:rsid w:val="00507307"/>
    <w:rsid w:val="0051360A"/>
    <w:rsid w:val="005137D3"/>
    <w:rsid w:val="0051394C"/>
    <w:rsid w:val="00520220"/>
    <w:rsid w:val="005205D5"/>
    <w:rsid w:val="005229D6"/>
    <w:rsid w:val="00522A0E"/>
    <w:rsid w:val="00522F95"/>
    <w:rsid w:val="00524E09"/>
    <w:rsid w:val="0052509C"/>
    <w:rsid w:val="005326F7"/>
    <w:rsid w:val="00536FF0"/>
    <w:rsid w:val="00537D17"/>
    <w:rsid w:val="00543B21"/>
    <w:rsid w:val="005467B6"/>
    <w:rsid w:val="00546E41"/>
    <w:rsid w:val="0054709C"/>
    <w:rsid w:val="005540D7"/>
    <w:rsid w:val="00554417"/>
    <w:rsid w:val="0056106A"/>
    <w:rsid w:val="00562900"/>
    <w:rsid w:val="00564ADB"/>
    <w:rsid w:val="0056520C"/>
    <w:rsid w:val="00567637"/>
    <w:rsid w:val="00577B64"/>
    <w:rsid w:val="00584751"/>
    <w:rsid w:val="0058633F"/>
    <w:rsid w:val="00590EF9"/>
    <w:rsid w:val="005A0E8F"/>
    <w:rsid w:val="005A1863"/>
    <w:rsid w:val="005A5000"/>
    <w:rsid w:val="005B451A"/>
    <w:rsid w:val="005C329F"/>
    <w:rsid w:val="005C3D3B"/>
    <w:rsid w:val="005C3FDB"/>
    <w:rsid w:val="005C57B5"/>
    <w:rsid w:val="005C779F"/>
    <w:rsid w:val="005D0762"/>
    <w:rsid w:val="005D08B4"/>
    <w:rsid w:val="005E173C"/>
    <w:rsid w:val="005E33A8"/>
    <w:rsid w:val="005E5B3C"/>
    <w:rsid w:val="005E6E75"/>
    <w:rsid w:val="005E727C"/>
    <w:rsid w:val="005F304A"/>
    <w:rsid w:val="005F4571"/>
    <w:rsid w:val="00603BA1"/>
    <w:rsid w:val="00607FB5"/>
    <w:rsid w:val="006122A3"/>
    <w:rsid w:val="006231DD"/>
    <w:rsid w:val="0062479A"/>
    <w:rsid w:val="00625FDF"/>
    <w:rsid w:val="00641AA4"/>
    <w:rsid w:val="00643123"/>
    <w:rsid w:val="0064394A"/>
    <w:rsid w:val="0064735F"/>
    <w:rsid w:val="006520AA"/>
    <w:rsid w:val="006561B8"/>
    <w:rsid w:val="00656B54"/>
    <w:rsid w:val="0066156E"/>
    <w:rsid w:val="00665D1B"/>
    <w:rsid w:val="00667907"/>
    <w:rsid w:val="00672767"/>
    <w:rsid w:val="0067288B"/>
    <w:rsid w:val="00673CD8"/>
    <w:rsid w:val="00675307"/>
    <w:rsid w:val="0068361F"/>
    <w:rsid w:val="0068607E"/>
    <w:rsid w:val="0068726B"/>
    <w:rsid w:val="0069418C"/>
    <w:rsid w:val="00696496"/>
    <w:rsid w:val="00696FA8"/>
    <w:rsid w:val="006A15B0"/>
    <w:rsid w:val="006A22DA"/>
    <w:rsid w:val="006A22FD"/>
    <w:rsid w:val="006B1F29"/>
    <w:rsid w:val="006B68DF"/>
    <w:rsid w:val="006C00A2"/>
    <w:rsid w:val="006C17B6"/>
    <w:rsid w:val="006C2189"/>
    <w:rsid w:val="006C6102"/>
    <w:rsid w:val="006D23AC"/>
    <w:rsid w:val="006D7851"/>
    <w:rsid w:val="006E47B2"/>
    <w:rsid w:val="006E666A"/>
    <w:rsid w:val="006F1811"/>
    <w:rsid w:val="006F33A6"/>
    <w:rsid w:val="006F422E"/>
    <w:rsid w:val="006F4E87"/>
    <w:rsid w:val="007006E1"/>
    <w:rsid w:val="00704C59"/>
    <w:rsid w:val="0070525F"/>
    <w:rsid w:val="007072AD"/>
    <w:rsid w:val="00713F32"/>
    <w:rsid w:val="00725A66"/>
    <w:rsid w:val="00726DA2"/>
    <w:rsid w:val="00730E84"/>
    <w:rsid w:val="007329B4"/>
    <w:rsid w:val="00733461"/>
    <w:rsid w:val="00735CE8"/>
    <w:rsid w:val="00744A96"/>
    <w:rsid w:val="00744E5A"/>
    <w:rsid w:val="00745870"/>
    <w:rsid w:val="007531EF"/>
    <w:rsid w:val="00756AA6"/>
    <w:rsid w:val="00767643"/>
    <w:rsid w:val="00767D8D"/>
    <w:rsid w:val="00771FC3"/>
    <w:rsid w:val="00775478"/>
    <w:rsid w:val="0077565C"/>
    <w:rsid w:val="0078063C"/>
    <w:rsid w:val="00780E8C"/>
    <w:rsid w:val="0078215E"/>
    <w:rsid w:val="007823A6"/>
    <w:rsid w:val="00786A12"/>
    <w:rsid w:val="007913A2"/>
    <w:rsid w:val="00792DED"/>
    <w:rsid w:val="007948C7"/>
    <w:rsid w:val="00794A76"/>
    <w:rsid w:val="007950A2"/>
    <w:rsid w:val="007A2000"/>
    <w:rsid w:val="007A4B6F"/>
    <w:rsid w:val="007B3D32"/>
    <w:rsid w:val="007C40EB"/>
    <w:rsid w:val="007C460E"/>
    <w:rsid w:val="007D3887"/>
    <w:rsid w:val="007D4E5A"/>
    <w:rsid w:val="007D5A64"/>
    <w:rsid w:val="007E46E0"/>
    <w:rsid w:val="007E6F6A"/>
    <w:rsid w:val="007F05AB"/>
    <w:rsid w:val="007F1ABE"/>
    <w:rsid w:val="007F52FA"/>
    <w:rsid w:val="007F5C79"/>
    <w:rsid w:val="007F5CBC"/>
    <w:rsid w:val="007F6CFB"/>
    <w:rsid w:val="007F6FA6"/>
    <w:rsid w:val="007F732E"/>
    <w:rsid w:val="007F7E83"/>
    <w:rsid w:val="008063E2"/>
    <w:rsid w:val="008125FB"/>
    <w:rsid w:val="0081583B"/>
    <w:rsid w:val="00816B8C"/>
    <w:rsid w:val="00816DCA"/>
    <w:rsid w:val="00824526"/>
    <w:rsid w:val="008258D3"/>
    <w:rsid w:val="0083085D"/>
    <w:rsid w:val="00832A5C"/>
    <w:rsid w:val="00832BCD"/>
    <w:rsid w:val="00834F03"/>
    <w:rsid w:val="008408B2"/>
    <w:rsid w:val="00840A5E"/>
    <w:rsid w:val="00842962"/>
    <w:rsid w:val="008438C4"/>
    <w:rsid w:val="00846EA6"/>
    <w:rsid w:val="00857007"/>
    <w:rsid w:val="0086501E"/>
    <w:rsid w:val="008669EC"/>
    <w:rsid w:val="00871F06"/>
    <w:rsid w:val="00877007"/>
    <w:rsid w:val="008938B5"/>
    <w:rsid w:val="00895652"/>
    <w:rsid w:val="00895A94"/>
    <w:rsid w:val="008A3FD5"/>
    <w:rsid w:val="008A51A4"/>
    <w:rsid w:val="008A6C11"/>
    <w:rsid w:val="008B31CC"/>
    <w:rsid w:val="008B5263"/>
    <w:rsid w:val="008B5A36"/>
    <w:rsid w:val="008C53A8"/>
    <w:rsid w:val="008C593F"/>
    <w:rsid w:val="008D2DB0"/>
    <w:rsid w:val="008D695A"/>
    <w:rsid w:val="008E118C"/>
    <w:rsid w:val="008E23B7"/>
    <w:rsid w:val="008E281B"/>
    <w:rsid w:val="008E4187"/>
    <w:rsid w:val="008F4D13"/>
    <w:rsid w:val="00900B3B"/>
    <w:rsid w:val="00900F54"/>
    <w:rsid w:val="00901F86"/>
    <w:rsid w:val="009020B5"/>
    <w:rsid w:val="009063A6"/>
    <w:rsid w:val="00906DE9"/>
    <w:rsid w:val="009177AE"/>
    <w:rsid w:val="00920ACC"/>
    <w:rsid w:val="009337E9"/>
    <w:rsid w:val="0093545E"/>
    <w:rsid w:val="00937E8B"/>
    <w:rsid w:val="00943C86"/>
    <w:rsid w:val="00944BF3"/>
    <w:rsid w:val="00952A2F"/>
    <w:rsid w:val="009647E8"/>
    <w:rsid w:val="00973D53"/>
    <w:rsid w:val="009758D2"/>
    <w:rsid w:val="00976CF1"/>
    <w:rsid w:val="00981723"/>
    <w:rsid w:val="0098565F"/>
    <w:rsid w:val="00990D7D"/>
    <w:rsid w:val="009A238A"/>
    <w:rsid w:val="009A7DE9"/>
    <w:rsid w:val="009B2197"/>
    <w:rsid w:val="009B5B92"/>
    <w:rsid w:val="009C1FB3"/>
    <w:rsid w:val="009C27A7"/>
    <w:rsid w:val="009C4096"/>
    <w:rsid w:val="009D09FB"/>
    <w:rsid w:val="009D20D2"/>
    <w:rsid w:val="009D5976"/>
    <w:rsid w:val="009D5E39"/>
    <w:rsid w:val="009D7542"/>
    <w:rsid w:val="009E61F0"/>
    <w:rsid w:val="009E7917"/>
    <w:rsid w:val="009F0589"/>
    <w:rsid w:val="009F73C9"/>
    <w:rsid w:val="00A00676"/>
    <w:rsid w:val="00A01877"/>
    <w:rsid w:val="00A1036F"/>
    <w:rsid w:val="00A13CD0"/>
    <w:rsid w:val="00A16FCF"/>
    <w:rsid w:val="00A31E47"/>
    <w:rsid w:val="00A34379"/>
    <w:rsid w:val="00A35CAD"/>
    <w:rsid w:val="00A36F03"/>
    <w:rsid w:val="00A371DE"/>
    <w:rsid w:val="00A40033"/>
    <w:rsid w:val="00A40E17"/>
    <w:rsid w:val="00A434D2"/>
    <w:rsid w:val="00A44862"/>
    <w:rsid w:val="00A57635"/>
    <w:rsid w:val="00A60D93"/>
    <w:rsid w:val="00A60FFC"/>
    <w:rsid w:val="00A64079"/>
    <w:rsid w:val="00A66BC3"/>
    <w:rsid w:val="00A67713"/>
    <w:rsid w:val="00A70955"/>
    <w:rsid w:val="00A7436F"/>
    <w:rsid w:val="00A850FB"/>
    <w:rsid w:val="00A91FB4"/>
    <w:rsid w:val="00A93926"/>
    <w:rsid w:val="00A96A8A"/>
    <w:rsid w:val="00AA134C"/>
    <w:rsid w:val="00AA2610"/>
    <w:rsid w:val="00AA7920"/>
    <w:rsid w:val="00AB4641"/>
    <w:rsid w:val="00AC3971"/>
    <w:rsid w:val="00AC5936"/>
    <w:rsid w:val="00AD2B42"/>
    <w:rsid w:val="00AD307B"/>
    <w:rsid w:val="00AD43F0"/>
    <w:rsid w:val="00AD6F4E"/>
    <w:rsid w:val="00AD714B"/>
    <w:rsid w:val="00AD7242"/>
    <w:rsid w:val="00AD7DA6"/>
    <w:rsid w:val="00AE120B"/>
    <w:rsid w:val="00AE1614"/>
    <w:rsid w:val="00AE301A"/>
    <w:rsid w:val="00AE4A27"/>
    <w:rsid w:val="00AF0E4A"/>
    <w:rsid w:val="00AF18FC"/>
    <w:rsid w:val="00AF2512"/>
    <w:rsid w:val="00B01309"/>
    <w:rsid w:val="00B02979"/>
    <w:rsid w:val="00B02B8E"/>
    <w:rsid w:val="00B07B35"/>
    <w:rsid w:val="00B240B6"/>
    <w:rsid w:val="00B324F6"/>
    <w:rsid w:val="00B4089D"/>
    <w:rsid w:val="00B41540"/>
    <w:rsid w:val="00B47B81"/>
    <w:rsid w:val="00B507A4"/>
    <w:rsid w:val="00B51FBC"/>
    <w:rsid w:val="00B5544E"/>
    <w:rsid w:val="00B56A65"/>
    <w:rsid w:val="00B66BD8"/>
    <w:rsid w:val="00B75381"/>
    <w:rsid w:val="00B817C6"/>
    <w:rsid w:val="00B81D00"/>
    <w:rsid w:val="00B87C9C"/>
    <w:rsid w:val="00B90A15"/>
    <w:rsid w:val="00B95C1F"/>
    <w:rsid w:val="00B9647D"/>
    <w:rsid w:val="00BA6189"/>
    <w:rsid w:val="00BA7008"/>
    <w:rsid w:val="00BA7D34"/>
    <w:rsid w:val="00BB18EC"/>
    <w:rsid w:val="00BB2073"/>
    <w:rsid w:val="00BB2631"/>
    <w:rsid w:val="00BB2FBB"/>
    <w:rsid w:val="00BB3AD1"/>
    <w:rsid w:val="00BB4A6F"/>
    <w:rsid w:val="00BC0894"/>
    <w:rsid w:val="00BD177E"/>
    <w:rsid w:val="00BD25E8"/>
    <w:rsid w:val="00BD481F"/>
    <w:rsid w:val="00BD5FED"/>
    <w:rsid w:val="00BE246F"/>
    <w:rsid w:val="00BE32FE"/>
    <w:rsid w:val="00BE3EAD"/>
    <w:rsid w:val="00BF2DAA"/>
    <w:rsid w:val="00BF5EFD"/>
    <w:rsid w:val="00C041BB"/>
    <w:rsid w:val="00C074E9"/>
    <w:rsid w:val="00C114FA"/>
    <w:rsid w:val="00C15643"/>
    <w:rsid w:val="00C1695B"/>
    <w:rsid w:val="00C21014"/>
    <w:rsid w:val="00C21218"/>
    <w:rsid w:val="00C25E20"/>
    <w:rsid w:val="00C27496"/>
    <w:rsid w:val="00C3137F"/>
    <w:rsid w:val="00C34951"/>
    <w:rsid w:val="00C3500E"/>
    <w:rsid w:val="00C434A9"/>
    <w:rsid w:val="00C4364E"/>
    <w:rsid w:val="00C441B1"/>
    <w:rsid w:val="00C46672"/>
    <w:rsid w:val="00C54C47"/>
    <w:rsid w:val="00C64D3B"/>
    <w:rsid w:val="00C67BCD"/>
    <w:rsid w:val="00C7041D"/>
    <w:rsid w:val="00C72683"/>
    <w:rsid w:val="00C73A42"/>
    <w:rsid w:val="00C80CC0"/>
    <w:rsid w:val="00C83767"/>
    <w:rsid w:val="00C850CD"/>
    <w:rsid w:val="00C87395"/>
    <w:rsid w:val="00C9385E"/>
    <w:rsid w:val="00C951A9"/>
    <w:rsid w:val="00C9666E"/>
    <w:rsid w:val="00C96703"/>
    <w:rsid w:val="00CA4156"/>
    <w:rsid w:val="00CA7709"/>
    <w:rsid w:val="00CB2714"/>
    <w:rsid w:val="00CB2C31"/>
    <w:rsid w:val="00CB7F5F"/>
    <w:rsid w:val="00CC12A4"/>
    <w:rsid w:val="00CC4EA8"/>
    <w:rsid w:val="00CC7506"/>
    <w:rsid w:val="00CD0257"/>
    <w:rsid w:val="00CD0B2A"/>
    <w:rsid w:val="00CD4FA0"/>
    <w:rsid w:val="00CE0E3C"/>
    <w:rsid w:val="00CF3BED"/>
    <w:rsid w:val="00CF3DAA"/>
    <w:rsid w:val="00D017D5"/>
    <w:rsid w:val="00D03B7B"/>
    <w:rsid w:val="00D048B5"/>
    <w:rsid w:val="00D04911"/>
    <w:rsid w:val="00D05873"/>
    <w:rsid w:val="00D120CC"/>
    <w:rsid w:val="00D12F1A"/>
    <w:rsid w:val="00D15972"/>
    <w:rsid w:val="00D161EB"/>
    <w:rsid w:val="00D17BA1"/>
    <w:rsid w:val="00D221BD"/>
    <w:rsid w:val="00D25453"/>
    <w:rsid w:val="00D300FD"/>
    <w:rsid w:val="00D35889"/>
    <w:rsid w:val="00D519FB"/>
    <w:rsid w:val="00D51A65"/>
    <w:rsid w:val="00D5449A"/>
    <w:rsid w:val="00D563CC"/>
    <w:rsid w:val="00D6529D"/>
    <w:rsid w:val="00D652A6"/>
    <w:rsid w:val="00D741C4"/>
    <w:rsid w:val="00D7683B"/>
    <w:rsid w:val="00D82FB0"/>
    <w:rsid w:val="00D93267"/>
    <w:rsid w:val="00DA054E"/>
    <w:rsid w:val="00DA44D2"/>
    <w:rsid w:val="00DA4E4E"/>
    <w:rsid w:val="00DC394E"/>
    <w:rsid w:val="00DC547E"/>
    <w:rsid w:val="00DC79DF"/>
    <w:rsid w:val="00DD109E"/>
    <w:rsid w:val="00DD6998"/>
    <w:rsid w:val="00DE11E2"/>
    <w:rsid w:val="00DE144C"/>
    <w:rsid w:val="00DE3A77"/>
    <w:rsid w:val="00DE5B93"/>
    <w:rsid w:val="00DF1876"/>
    <w:rsid w:val="00E02609"/>
    <w:rsid w:val="00E02814"/>
    <w:rsid w:val="00E06CD4"/>
    <w:rsid w:val="00E11115"/>
    <w:rsid w:val="00E118D7"/>
    <w:rsid w:val="00E124AA"/>
    <w:rsid w:val="00E1477E"/>
    <w:rsid w:val="00E16DFA"/>
    <w:rsid w:val="00E21B40"/>
    <w:rsid w:val="00E21C89"/>
    <w:rsid w:val="00E22457"/>
    <w:rsid w:val="00E25FBC"/>
    <w:rsid w:val="00E263B8"/>
    <w:rsid w:val="00E3058F"/>
    <w:rsid w:val="00E30CA8"/>
    <w:rsid w:val="00E33CE5"/>
    <w:rsid w:val="00E346BD"/>
    <w:rsid w:val="00E35993"/>
    <w:rsid w:val="00E35F7A"/>
    <w:rsid w:val="00E41B4C"/>
    <w:rsid w:val="00E4311B"/>
    <w:rsid w:val="00E43DC9"/>
    <w:rsid w:val="00E447C1"/>
    <w:rsid w:val="00E451C1"/>
    <w:rsid w:val="00E50FD0"/>
    <w:rsid w:val="00E54C1C"/>
    <w:rsid w:val="00E56D85"/>
    <w:rsid w:val="00E6298D"/>
    <w:rsid w:val="00E63D79"/>
    <w:rsid w:val="00E642CF"/>
    <w:rsid w:val="00E67FC7"/>
    <w:rsid w:val="00E709CE"/>
    <w:rsid w:val="00E7213F"/>
    <w:rsid w:val="00E74379"/>
    <w:rsid w:val="00E74781"/>
    <w:rsid w:val="00E84E55"/>
    <w:rsid w:val="00E85658"/>
    <w:rsid w:val="00E90190"/>
    <w:rsid w:val="00E91CE7"/>
    <w:rsid w:val="00E9775E"/>
    <w:rsid w:val="00EA45FB"/>
    <w:rsid w:val="00EA5734"/>
    <w:rsid w:val="00EB2072"/>
    <w:rsid w:val="00EB3AE6"/>
    <w:rsid w:val="00EC0F17"/>
    <w:rsid w:val="00EC22BB"/>
    <w:rsid w:val="00EC2560"/>
    <w:rsid w:val="00EC35C5"/>
    <w:rsid w:val="00EC4339"/>
    <w:rsid w:val="00EE72A0"/>
    <w:rsid w:val="00EF55EB"/>
    <w:rsid w:val="00EF7D6F"/>
    <w:rsid w:val="00F00DCB"/>
    <w:rsid w:val="00F048C4"/>
    <w:rsid w:val="00F108C2"/>
    <w:rsid w:val="00F11A52"/>
    <w:rsid w:val="00F11E96"/>
    <w:rsid w:val="00F148C6"/>
    <w:rsid w:val="00F24975"/>
    <w:rsid w:val="00F274DD"/>
    <w:rsid w:val="00F36349"/>
    <w:rsid w:val="00F36BFD"/>
    <w:rsid w:val="00F371FA"/>
    <w:rsid w:val="00F4245D"/>
    <w:rsid w:val="00F4288A"/>
    <w:rsid w:val="00F43C94"/>
    <w:rsid w:val="00F54A50"/>
    <w:rsid w:val="00F60FAE"/>
    <w:rsid w:val="00F64266"/>
    <w:rsid w:val="00F70A5C"/>
    <w:rsid w:val="00F70BF4"/>
    <w:rsid w:val="00F71668"/>
    <w:rsid w:val="00F75254"/>
    <w:rsid w:val="00F81FE6"/>
    <w:rsid w:val="00F86EB4"/>
    <w:rsid w:val="00F93A73"/>
    <w:rsid w:val="00F93EAD"/>
    <w:rsid w:val="00F95E53"/>
    <w:rsid w:val="00F96FB2"/>
    <w:rsid w:val="00F97882"/>
    <w:rsid w:val="00FA28F0"/>
    <w:rsid w:val="00FA3183"/>
    <w:rsid w:val="00FB089B"/>
    <w:rsid w:val="00FB414C"/>
    <w:rsid w:val="00FC1691"/>
    <w:rsid w:val="00FC1A08"/>
    <w:rsid w:val="00FC44CB"/>
    <w:rsid w:val="00FD091E"/>
    <w:rsid w:val="00FD374D"/>
    <w:rsid w:val="00FD526E"/>
    <w:rsid w:val="00FE02A4"/>
    <w:rsid w:val="00FE2DF7"/>
    <w:rsid w:val="00FE7DFE"/>
    <w:rsid w:val="00FF0DE0"/>
    <w:rsid w:val="00FF4355"/>
    <w:rsid w:val="00FF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2ADCC"/>
  <w15:docId w15:val="{B61BE6A3-7060-45DD-9BBA-FD528B28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E70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36F"/>
    <w:pPr>
      <w:ind w:left="720"/>
      <w:contextualSpacing/>
    </w:pPr>
  </w:style>
  <w:style w:type="paragraph" w:styleId="FootnoteText">
    <w:name w:val="footnote text"/>
    <w:aliases w:val="Footnote Text Char2 Char,Footnote Text Char Char Char,Footnote Text Char1 Char Char Char,Footnote Text Char Char Char Char Char,Footnote Text Char1 Char Char Char Char Char,Footnote Text Char1,Footnote Text Char Char"/>
    <w:basedOn w:val="Normal"/>
    <w:link w:val="FootnoteTextChar2"/>
    <w:uiPriority w:val="99"/>
    <w:rsid w:val="00E30CA8"/>
    <w:pPr>
      <w:spacing w:after="0" w:line="240" w:lineRule="auto"/>
    </w:pPr>
    <w:rPr>
      <w:rFonts w:ascii="Times New Roman" w:eastAsia="Times New Roman" w:hAnsi="Times New Roman" w:cs="Times New Roman"/>
      <w:szCs w:val="20"/>
      <w:lang w:val="en-GB" w:eastAsia="en-AU"/>
    </w:rPr>
  </w:style>
  <w:style w:type="character" w:customStyle="1" w:styleId="FootnoteTextChar">
    <w:name w:val="Footnote Text Char"/>
    <w:basedOn w:val="DefaultParagraphFont"/>
    <w:uiPriority w:val="99"/>
    <w:rsid w:val="00E30CA8"/>
    <w:rPr>
      <w:sz w:val="20"/>
      <w:szCs w:val="20"/>
      <w:lang w:val="en-NZ"/>
    </w:rPr>
  </w:style>
  <w:style w:type="character" w:customStyle="1" w:styleId="FootnoteTextChar2">
    <w:name w:val="Footnote Text Char2"/>
    <w:aliases w:val="Footnote Text Char2 Char Char,Footnote Text Char Char Char Char,Footnote Text Char1 Char Char Char Char,Footnote Text Char Char Char Char Char Char,Footnote Text Char1 Char Char Char Char Char Char,Footnote Text Char1 Char"/>
    <w:basedOn w:val="DefaultParagraphFont"/>
    <w:link w:val="FootnoteText"/>
    <w:semiHidden/>
    <w:rsid w:val="00E30CA8"/>
    <w:rPr>
      <w:rFonts w:ascii="Times New Roman" w:eastAsia="Times New Roman" w:hAnsi="Times New Roman" w:cs="Times New Roman"/>
      <w:szCs w:val="20"/>
      <w:lang w:val="en-GB" w:eastAsia="en-AU"/>
    </w:rPr>
  </w:style>
  <w:style w:type="character" w:styleId="FootnoteReference">
    <w:name w:val="footnote reference"/>
    <w:basedOn w:val="DefaultParagraphFont"/>
    <w:uiPriority w:val="99"/>
    <w:semiHidden/>
    <w:rsid w:val="00E30CA8"/>
    <w:rPr>
      <w:vertAlign w:val="superscript"/>
    </w:rPr>
  </w:style>
  <w:style w:type="character" w:styleId="CommentReference">
    <w:name w:val="annotation reference"/>
    <w:basedOn w:val="DefaultParagraphFont"/>
    <w:uiPriority w:val="99"/>
    <w:semiHidden/>
    <w:unhideWhenUsed/>
    <w:rsid w:val="00A60FFC"/>
    <w:rPr>
      <w:sz w:val="16"/>
      <w:szCs w:val="16"/>
    </w:rPr>
  </w:style>
  <w:style w:type="paragraph" w:styleId="CommentText">
    <w:name w:val="annotation text"/>
    <w:basedOn w:val="Normal"/>
    <w:link w:val="CommentTextChar"/>
    <w:uiPriority w:val="99"/>
    <w:semiHidden/>
    <w:unhideWhenUsed/>
    <w:rsid w:val="00A60FFC"/>
    <w:pPr>
      <w:spacing w:line="240" w:lineRule="auto"/>
    </w:pPr>
    <w:rPr>
      <w:sz w:val="20"/>
      <w:szCs w:val="20"/>
    </w:rPr>
  </w:style>
  <w:style w:type="character" w:customStyle="1" w:styleId="CommentTextChar">
    <w:name w:val="Comment Text Char"/>
    <w:basedOn w:val="DefaultParagraphFont"/>
    <w:link w:val="CommentText"/>
    <w:uiPriority w:val="99"/>
    <w:semiHidden/>
    <w:rsid w:val="00A60FFC"/>
    <w:rPr>
      <w:sz w:val="20"/>
      <w:szCs w:val="20"/>
      <w:lang w:val="en-NZ"/>
    </w:rPr>
  </w:style>
  <w:style w:type="paragraph" w:styleId="CommentSubject">
    <w:name w:val="annotation subject"/>
    <w:basedOn w:val="CommentText"/>
    <w:next w:val="CommentText"/>
    <w:link w:val="CommentSubjectChar"/>
    <w:uiPriority w:val="99"/>
    <w:semiHidden/>
    <w:unhideWhenUsed/>
    <w:rsid w:val="00A60FFC"/>
    <w:rPr>
      <w:b/>
      <w:bCs/>
    </w:rPr>
  </w:style>
  <w:style w:type="character" w:customStyle="1" w:styleId="CommentSubjectChar">
    <w:name w:val="Comment Subject Char"/>
    <w:basedOn w:val="CommentTextChar"/>
    <w:link w:val="CommentSubject"/>
    <w:uiPriority w:val="99"/>
    <w:semiHidden/>
    <w:rsid w:val="00A60FFC"/>
    <w:rPr>
      <w:b/>
      <w:bCs/>
      <w:sz w:val="20"/>
      <w:szCs w:val="20"/>
      <w:lang w:val="en-NZ"/>
    </w:rPr>
  </w:style>
  <w:style w:type="paragraph" w:styleId="BalloonText">
    <w:name w:val="Balloon Text"/>
    <w:basedOn w:val="Normal"/>
    <w:link w:val="BalloonTextChar"/>
    <w:uiPriority w:val="99"/>
    <w:semiHidden/>
    <w:unhideWhenUsed/>
    <w:rsid w:val="00A6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FC"/>
    <w:rPr>
      <w:rFonts w:ascii="Tahoma" w:hAnsi="Tahoma" w:cs="Tahoma"/>
      <w:sz w:val="16"/>
      <w:szCs w:val="16"/>
      <w:lang w:val="en-NZ"/>
    </w:rPr>
  </w:style>
  <w:style w:type="character" w:styleId="Hyperlink">
    <w:name w:val="Hyperlink"/>
    <w:basedOn w:val="DefaultParagraphFont"/>
    <w:uiPriority w:val="99"/>
    <w:unhideWhenUsed/>
    <w:rsid w:val="00AD307B"/>
    <w:rPr>
      <w:color w:val="0000FF"/>
      <w:u w:val="single"/>
    </w:rPr>
  </w:style>
  <w:style w:type="paragraph" w:styleId="Revision">
    <w:name w:val="Revision"/>
    <w:hidden/>
    <w:uiPriority w:val="99"/>
    <w:semiHidden/>
    <w:rsid w:val="0064394A"/>
    <w:pPr>
      <w:spacing w:after="0" w:line="240" w:lineRule="auto"/>
    </w:pPr>
    <w:rPr>
      <w:lang w:val="en-NZ"/>
    </w:rPr>
  </w:style>
  <w:style w:type="table" w:styleId="TableGrid">
    <w:name w:val="Table Grid"/>
    <w:basedOn w:val="TableNormal"/>
    <w:uiPriority w:val="59"/>
    <w:rsid w:val="00E4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34F03"/>
  </w:style>
  <w:style w:type="paragraph" w:customStyle="1" w:styleId="p">
    <w:name w:val="p"/>
    <w:basedOn w:val="Normal"/>
    <w:rsid w:val="00C25E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ipmark">
    <w:name w:val="fip_mark"/>
    <w:basedOn w:val="DefaultParagraphFont"/>
    <w:rsid w:val="00C25E20"/>
  </w:style>
  <w:style w:type="paragraph" w:styleId="NormalWeb">
    <w:name w:val="Normal (Web)"/>
    <w:basedOn w:val="Normal"/>
    <w:uiPriority w:val="99"/>
    <w:unhideWhenUsed/>
    <w:rsid w:val="00C25E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709CE"/>
    <w:rPr>
      <w:rFonts w:asciiTheme="majorHAnsi" w:eastAsiaTheme="majorEastAsia" w:hAnsiTheme="majorHAnsi" w:cstheme="majorBidi"/>
      <w:b/>
      <w:bCs/>
      <w:color w:val="365F91" w:themeColor="accent1" w:themeShade="BF"/>
      <w:sz w:val="28"/>
      <w:szCs w:val="28"/>
      <w:lang w:val="en-NZ"/>
    </w:rPr>
  </w:style>
  <w:style w:type="paragraph" w:customStyle="1" w:styleId="Default">
    <w:name w:val="Default"/>
    <w:rsid w:val="004A2BDB"/>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4A2BDB"/>
    <w:rPr>
      <w:color w:val="800080" w:themeColor="followedHyperlink"/>
      <w:u w:val="single"/>
    </w:rPr>
  </w:style>
  <w:style w:type="paragraph" w:styleId="Header">
    <w:name w:val="header"/>
    <w:basedOn w:val="Normal"/>
    <w:link w:val="HeaderChar"/>
    <w:uiPriority w:val="99"/>
    <w:unhideWhenUsed/>
    <w:rsid w:val="00B0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09"/>
    <w:rPr>
      <w:lang w:val="en-NZ"/>
    </w:rPr>
  </w:style>
  <w:style w:type="paragraph" w:styleId="Footer">
    <w:name w:val="footer"/>
    <w:basedOn w:val="Normal"/>
    <w:link w:val="FooterChar"/>
    <w:uiPriority w:val="99"/>
    <w:unhideWhenUsed/>
    <w:rsid w:val="00B0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09"/>
    <w:rPr>
      <w:lang w:val="en-NZ"/>
    </w:rPr>
  </w:style>
  <w:style w:type="character" w:customStyle="1" w:styleId="current-selection">
    <w:name w:val="current-selection"/>
    <w:basedOn w:val="DefaultParagraphFont"/>
    <w:rsid w:val="00A64079"/>
  </w:style>
  <w:style w:type="character" w:customStyle="1" w:styleId="ls0">
    <w:name w:val="ls0"/>
    <w:basedOn w:val="DefaultParagraphFont"/>
    <w:rsid w:val="00A64079"/>
  </w:style>
  <w:style w:type="character" w:customStyle="1" w:styleId="ff4">
    <w:name w:val="ff4"/>
    <w:basedOn w:val="DefaultParagraphFont"/>
    <w:rsid w:val="00A64079"/>
  </w:style>
  <w:style w:type="character" w:customStyle="1" w:styleId="a">
    <w:name w:val="_"/>
    <w:basedOn w:val="DefaultParagraphFont"/>
    <w:rsid w:val="00023F7C"/>
  </w:style>
  <w:style w:type="paragraph" w:styleId="Bibliography">
    <w:name w:val="Bibliography"/>
    <w:basedOn w:val="Normal"/>
    <w:next w:val="Normal"/>
    <w:uiPriority w:val="37"/>
    <w:unhideWhenUsed/>
    <w:rsid w:val="0011680F"/>
    <w:pPr>
      <w:tabs>
        <w:tab w:val="left" w:pos="384"/>
      </w:tabs>
      <w:spacing w:after="240" w:line="240" w:lineRule="auto"/>
      <w:ind w:left="384" w:hanging="384"/>
    </w:pPr>
  </w:style>
  <w:style w:type="character" w:customStyle="1" w:styleId="UnresolvedMention1">
    <w:name w:val="Unresolved Mention1"/>
    <w:basedOn w:val="DefaultParagraphFont"/>
    <w:uiPriority w:val="99"/>
    <w:semiHidden/>
    <w:unhideWhenUsed/>
    <w:rsid w:val="00B41540"/>
    <w:rPr>
      <w:color w:val="605E5C"/>
      <w:shd w:val="clear" w:color="auto" w:fill="E1DFDD"/>
    </w:rPr>
  </w:style>
  <w:style w:type="character" w:styleId="Strong">
    <w:name w:val="Strong"/>
    <w:basedOn w:val="DefaultParagraphFont"/>
    <w:uiPriority w:val="22"/>
    <w:qFormat/>
    <w:rsid w:val="004A04D9"/>
    <w:rPr>
      <w:b/>
      <w:bCs/>
    </w:rPr>
  </w:style>
  <w:style w:type="character" w:customStyle="1" w:styleId="element-citation">
    <w:name w:val="element-citation"/>
    <w:basedOn w:val="DefaultParagraphFont"/>
    <w:rsid w:val="00B75381"/>
  </w:style>
  <w:style w:type="character" w:customStyle="1" w:styleId="ref-journal">
    <w:name w:val="ref-journal"/>
    <w:basedOn w:val="DefaultParagraphFont"/>
    <w:rsid w:val="00B75381"/>
  </w:style>
  <w:style w:type="character" w:customStyle="1" w:styleId="ref-vol">
    <w:name w:val="ref-vol"/>
    <w:basedOn w:val="DefaultParagraphFont"/>
    <w:rsid w:val="00B75381"/>
  </w:style>
  <w:style w:type="character" w:styleId="EndnoteReference">
    <w:name w:val="endnote reference"/>
    <w:basedOn w:val="DefaultParagraphFont"/>
    <w:uiPriority w:val="99"/>
    <w:semiHidden/>
    <w:unhideWhenUsed/>
    <w:rsid w:val="00025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0803">
      <w:bodyDiv w:val="1"/>
      <w:marLeft w:val="0"/>
      <w:marRight w:val="0"/>
      <w:marTop w:val="0"/>
      <w:marBottom w:val="0"/>
      <w:divBdr>
        <w:top w:val="none" w:sz="0" w:space="0" w:color="auto"/>
        <w:left w:val="none" w:sz="0" w:space="0" w:color="auto"/>
        <w:bottom w:val="none" w:sz="0" w:space="0" w:color="auto"/>
        <w:right w:val="none" w:sz="0" w:space="0" w:color="auto"/>
      </w:divBdr>
      <w:divsChild>
        <w:div w:id="1544439109">
          <w:marLeft w:val="0"/>
          <w:marRight w:val="0"/>
          <w:marTop w:val="0"/>
          <w:marBottom w:val="0"/>
          <w:divBdr>
            <w:top w:val="none" w:sz="0" w:space="0" w:color="auto"/>
            <w:left w:val="none" w:sz="0" w:space="0" w:color="auto"/>
            <w:bottom w:val="none" w:sz="0" w:space="0" w:color="auto"/>
            <w:right w:val="none" w:sz="0" w:space="0" w:color="auto"/>
          </w:divBdr>
        </w:div>
        <w:div w:id="1853690607">
          <w:marLeft w:val="0"/>
          <w:marRight w:val="0"/>
          <w:marTop w:val="0"/>
          <w:marBottom w:val="0"/>
          <w:divBdr>
            <w:top w:val="none" w:sz="0" w:space="0" w:color="auto"/>
            <w:left w:val="none" w:sz="0" w:space="0" w:color="auto"/>
            <w:bottom w:val="none" w:sz="0" w:space="0" w:color="auto"/>
            <w:right w:val="none" w:sz="0" w:space="0" w:color="auto"/>
          </w:divBdr>
        </w:div>
        <w:div w:id="1919512814">
          <w:marLeft w:val="0"/>
          <w:marRight w:val="0"/>
          <w:marTop w:val="0"/>
          <w:marBottom w:val="0"/>
          <w:divBdr>
            <w:top w:val="none" w:sz="0" w:space="0" w:color="auto"/>
            <w:left w:val="none" w:sz="0" w:space="0" w:color="auto"/>
            <w:bottom w:val="none" w:sz="0" w:space="0" w:color="auto"/>
            <w:right w:val="none" w:sz="0" w:space="0" w:color="auto"/>
          </w:divBdr>
        </w:div>
        <w:div w:id="2052532567">
          <w:marLeft w:val="0"/>
          <w:marRight w:val="0"/>
          <w:marTop w:val="0"/>
          <w:marBottom w:val="0"/>
          <w:divBdr>
            <w:top w:val="none" w:sz="0" w:space="0" w:color="auto"/>
            <w:left w:val="none" w:sz="0" w:space="0" w:color="auto"/>
            <w:bottom w:val="none" w:sz="0" w:space="0" w:color="auto"/>
            <w:right w:val="none" w:sz="0" w:space="0" w:color="auto"/>
          </w:divBdr>
        </w:div>
      </w:divsChild>
    </w:div>
    <w:div w:id="65688166">
      <w:bodyDiv w:val="1"/>
      <w:marLeft w:val="0"/>
      <w:marRight w:val="0"/>
      <w:marTop w:val="0"/>
      <w:marBottom w:val="0"/>
      <w:divBdr>
        <w:top w:val="none" w:sz="0" w:space="0" w:color="auto"/>
        <w:left w:val="none" w:sz="0" w:space="0" w:color="auto"/>
        <w:bottom w:val="none" w:sz="0" w:space="0" w:color="auto"/>
        <w:right w:val="none" w:sz="0" w:space="0" w:color="auto"/>
      </w:divBdr>
    </w:div>
    <w:div w:id="96797090">
      <w:bodyDiv w:val="1"/>
      <w:marLeft w:val="0"/>
      <w:marRight w:val="0"/>
      <w:marTop w:val="0"/>
      <w:marBottom w:val="0"/>
      <w:divBdr>
        <w:top w:val="none" w:sz="0" w:space="0" w:color="auto"/>
        <w:left w:val="none" w:sz="0" w:space="0" w:color="auto"/>
        <w:bottom w:val="none" w:sz="0" w:space="0" w:color="auto"/>
        <w:right w:val="none" w:sz="0" w:space="0" w:color="auto"/>
      </w:divBdr>
    </w:div>
    <w:div w:id="137459147">
      <w:bodyDiv w:val="1"/>
      <w:marLeft w:val="0"/>
      <w:marRight w:val="0"/>
      <w:marTop w:val="0"/>
      <w:marBottom w:val="0"/>
      <w:divBdr>
        <w:top w:val="none" w:sz="0" w:space="0" w:color="auto"/>
        <w:left w:val="none" w:sz="0" w:space="0" w:color="auto"/>
        <w:bottom w:val="none" w:sz="0" w:space="0" w:color="auto"/>
        <w:right w:val="none" w:sz="0" w:space="0" w:color="auto"/>
      </w:divBdr>
      <w:divsChild>
        <w:div w:id="212040909">
          <w:marLeft w:val="0"/>
          <w:marRight w:val="0"/>
          <w:marTop w:val="0"/>
          <w:marBottom w:val="0"/>
          <w:divBdr>
            <w:top w:val="none" w:sz="0" w:space="0" w:color="auto"/>
            <w:left w:val="none" w:sz="0" w:space="0" w:color="auto"/>
            <w:bottom w:val="none" w:sz="0" w:space="0" w:color="auto"/>
            <w:right w:val="none" w:sz="0" w:space="0" w:color="auto"/>
          </w:divBdr>
        </w:div>
        <w:div w:id="1448891975">
          <w:marLeft w:val="0"/>
          <w:marRight w:val="0"/>
          <w:marTop w:val="0"/>
          <w:marBottom w:val="0"/>
          <w:divBdr>
            <w:top w:val="none" w:sz="0" w:space="0" w:color="auto"/>
            <w:left w:val="none" w:sz="0" w:space="0" w:color="auto"/>
            <w:bottom w:val="none" w:sz="0" w:space="0" w:color="auto"/>
            <w:right w:val="none" w:sz="0" w:space="0" w:color="auto"/>
          </w:divBdr>
        </w:div>
        <w:div w:id="1671323437">
          <w:marLeft w:val="0"/>
          <w:marRight w:val="0"/>
          <w:marTop w:val="0"/>
          <w:marBottom w:val="0"/>
          <w:divBdr>
            <w:top w:val="none" w:sz="0" w:space="0" w:color="auto"/>
            <w:left w:val="none" w:sz="0" w:space="0" w:color="auto"/>
            <w:bottom w:val="none" w:sz="0" w:space="0" w:color="auto"/>
            <w:right w:val="none" w:sz="0" w:space="0" w:color="auto"/>
          </w:divBdr>
        </w:div>
        <w:div w:id="1949309143">
          <w:marLeft w:val="0"/>
          <w:marRight w:val="0"/>
          <w:marTop w:val="0"/>
          <w:marBottom w:val="0"/>
          <w:divBdr>
            <w:top w:val="none" w:sz="0" w:space="0" w:color="auto"/>
            <w:left w:val="none" w:sz="0" w:space="0" w:color="auto"/>
            <w:bottom w:val="none" w:sz="0" w:space="0" w:color="auto"/>
            <w:right w:val="none" w:sz="0" w:space="0" w:color="auto"/>
          </w:divBdr>
        </w:div>
      </w:divsChild>
    </w:div>
    <w:div w:id="144392247">
      <w:bodyDiv w:val="1"/>
      <w:marLeft w:val="0"/>
      <w:marRight w:val="0"/>
      <w:marTop w:val="0"/>
      <w:marBottom w:val="0"/>
      <w:divBdr>
        <w:top w:val="none" w:sz="0" w:space="0" w:color="auto"/>
        <w:left w:val="none" w:sz="0" w:space="0" w:color="auto"/>
        <w:bottom w:val="none" w:sz="0" w:space="0" w:color="auto"/>
        <w:right w:val="none" w:sz="0" w:space="0" w:color="auto"/>
      </w:divBdr>
    </w:div>
    <w:div w:id="195970192">
      <w:bodyDiv w:val="1"/>
      <w:marLeft w:val="0"/>
      <w:marRight w:val="0"/>
      <w:marTop w:val="0"/>
      <w:marBottom w:val="0"/>
      <w:divBdr>
        <w:top w:val="none" w:sz="0" w:space="0" w:color="auto"/>
        <w:left w:val="none" w:sz="0" w:space="0" w:color="auto"/>
        <w:bottom w:val="none" w:sz="0" w:space="0" w:color="auto"/>
        <w:right w:val="none" w:sz="0" w:space="0" w:color="auto"/>
      </w:divBdr>
      <w:divsChild>
        <w:div w:id="506864387">
          <w:marLeft w:val="1166"/>
          <w:marRight w:val="0"/>
          <w:marTop w:val="96"/>
          <w:marBottom w:val="0"/>
          <w:divBdr>
            <w:top w:val="none" w:sz="0" w:space="0" w:color="auto"/>
            <w:left w:val="none" w:sz="0" w:space="0" w:color="auto"/>
            <w:bottom w:val="none" w:sz="0" w:space="0" w:color="auto"/>
            <w:right w:val="none" w:sz="0" w:space="0" w:color="auto"/>
          </w:divBdr>
        </w:div>
        <w:div w:id="680813372">
          <w:marLeft w:val="1166"/>
          <w:marRight w:val="0"/>
          <w:marTop w:val="96"/>
          <w:marBottom w:val="0"/>
          <w:divBdr>
            <w:top w:val="none" w:sz="0" w:space="0" w:color="auto"/>
            <w:left w:val="none" w:sz="0" w:space="0" w:color="auto"/>
            <w:bottom w:val="none" w:sz="0" w:space="0" w:color="auto"/>
            <w:right w:val="none" w:sz="0" w:space="0" w:color="auto"/>
          </w:divBdr>
        </w:div>
        <w:div w:id="1364670436">
          <w:marLeft w:val="547"/>
          <w:marRight w:val="0"/>
          <w:marTop w:val="96"/>
          <w:marBottom w:val="0"/>
          <w:divBdr>
            <w:top w:val="none" w:sz="0" w:space="0" w:color="auto"/>
            <w:left w:val="none" w:sz="0" w:space="0" w:color="auto"/>
            <w:bottom w:val="none" w:sz="0" w:space="0" w:color="auto"/>
            <w:right w:val="none" w:sz="0" w:space="0" w:color="auto"/>
          </w:divBdr>
        </w:div>
        <w:div w:id="1415736729">
          <w:marLeft w:val="1166"/>
          <w:marRight w:val="0"/>
          <w:marTop w:val="96"/>
          <w:marBottom w:val="0"/>
          <w:divBdr>
            <w:top w:val="none" w:sz="0" w:space="0" w:color="auto"/>
            <w:left w:val="none" w:sz="0" w:space="0" w:color="auto"/>
            <w:bottom w:val="none" w:sz="0" w:space="0" w:color="auto"/>
            <w:right w:val="none" w:sz="0" w:space="0" w:color="auto"/>
          </w:divBdr>
        </w:div>
        <w:div w:id="1662463523">
          <w:marLeft w:val="547"/>
          <w:marRight w:val="0"/>
          <w:marTop w:val="96"/>
          <w:marBottom w:val="0"/>
          <w:divBdr>
            <w:top w:val="none" w:sz="0" w:space="0" w:color="auto"/>
            <w:left w:val="none" w:sz="0" w:space="0" w:color="auto"/>
            <w:bottom w:val="none" w:sz="0" w:space="0" w:color="auto"/>
            <w:right w:val="none" w:sz="0" w:space="0" w:color="auto"/>
          </w:divBdr>
        </w:div>
        <w:div w:id="1813985510">
          <w:marLeft w:val="1166"/>
          <w:marRight w:val="0"/>
          <w:marTop w:val="96"/>
          <w:marBottom w:val="0"/>
          <w:divBdr>
            <w:top w:val="none" w:sz="0" w:space="0" w:color="auto"/>
            <w:left w:val="none" w:sz="0" w:space="0" w:color="auto"/>
            <w:bottom w:val="none" w:sz="0" w:space="0" w:color="auto"/>
            <w:right w:val="none" w:sz="0" w:space="0" w:color="auto"/>
          </w:divBdr>
        </w:div>
      </w:divsChild>
    </w:div>
    <w:div w:id="211309283">
      <w:bodyDiv w:val="1"/>
      <w:marLeft w:val="0"/>
      <w:marRight w:val="0"/>
      <w:marTop w:val="0"/>
      <w:marBottom w:val="0"/>
      <w:divBdr>
        <w:top w:val="none" w:sz="0" w:space="0" w:color="auto"/>
        <w:left w:val="none" w:sz="0" w:space="0" w:color="auto"/>
        <w:bottom w:val="none" w:sz="0" w:space="0" w:color="auto"/>
        <w:right w:val="none" w:sz="0" w:space="0" w:color="auto"/>
      </w:divBdr>
      <w:divsChild>
        <w:div w:id="84500003">
          <w:marLeft w:val="547"/>
          <w:marRight w:val="0"/>
          <w:marTop w:val="96"/>
          <w:marBottom w:val="0"/>
          <w:divBdr>
            <w:top w:val="none" w:sz="0" w:space="0" w:color="auto"/>
            <w:left w:val="none" w:sz="0" w:space="0" w:color="auto"/>
            <w:bottom w:val="none" w:sz="0" w:space="0" w:color="auto"/>
            <w:right w:val="none" w:sz="0" w:space="0" w:color="auto"/>
          </w:divBdr>
        </w:div>
        <w:div w:id="965619275">
          <w:marLeft w:val="547"/>
          <w:marRight w:val="0"/>
          <w:marTop w:val="96"/>
          <w:marBottom w:val="0"/>
          <w:divBdr>
            <w:top w:val="none" w:sz="0" w:space="0" w:color="auto"/>
            <w:left w:val="none" w:sz="0" w:space="0" w:color="auto"/>
            <w:bottom w:val="none" w:sz="0" w:space="0" w:color="auto"/>
            <w:right w:val="none" w:sz="0" w:space="0" w:color="auto"/>
          </w:divBdr>
        </w:div>
        <w:div w:id="1223558423">
          <w:marLeft w:val="547"/>
          <w:marRight w:val="0"/>
          <w:marTop w:val="96"/>
          <w:marBottom w:val="0"/>
          <w:divBdr>
            <w:top w:val="none" w:sz="0" w:space="0" w:color="auto"/>
            <w:left w:val="none" w:sz="0" w:space="0" w:color="auto"/>
            <w:bottom w:val="none" w:sz="0" w:space="0" w:color="auto"/>
            <w:right w:val="none" w:sz="0" w:space="0" w:color="auto"/>
          </w:divBdr>
        </w:div>
        <w:div w:id="1536574644">
          <w:marLeft w:val="547"/>
          <w:marRight w:val="0"/>
          <w:marTop w:val="96"/>
          <w:marBottom w:val="0"/>
          <w:divBdr>
            <w:top w:val="none" w:sz="0" w:space="0" w:color="auto"/>
            <w:left w:val="none" w:sz="0" w:space="0" w:color="auto"/>
            <w:bottom w:val="none" w:sz="0" w:space="0" w:color="auto"/>
            <w:right w:val="none" w:sz="0" w:space="0" w:color="auto"/>
          </w:divBdr>
        </w:div>
        <w:div w:id="2000695275">
          <w:marLeft w:val="547"/>
          <w:marRight w:val="0"/>
          <w:marTop w:val="96"/>
          <w:marBottom w:val="0"/>
          <w:divBdr>
            <w:top w:val="none" w:sz="0" w:space="0" w:color="auto"/>
            <w:left w:val="none" w:sz="0" w:space="0" w:color="auto"/>
            <w:bottom w:val="none" w:sz="0" w:space="0" w:color="auto"/>
            <w:right w:val="none" w:sz="0" w:space="0" w:color="auto"/>
          </w:divBdr>
        </w:div>
      </w:divsChild>
    </w:div>
    <w:div w:id="213664886">
      <w:bodyDiv w:val="1"/>
      <w:marLeft w:val="0"/>
      <w:marRight w:val="0"/>
      <w:marTop w:val="0"/>
      <w:marBottom w:val="0"/>
      <w:divBdr>
        <w:top w:val="none" w:sz="0" w:space="0" w:color="auto"/>
        <w:left w:val="none" w:sz="0" w:space="0" w:color="auto"/>
        <w:bottom w:val="none" w:sz="0" w:space="0" w:color="auto"/>
        <w:right w:val="none" w:sz="0" w:space="0" w:color="auto"/>
      </w:divBdr>
      <w:divsChild>
        <w:div w:id="1515608741">
          <w:marLeft w:val="0"/>
          <w:marRight w:val="0"/>
          <w:marTop w:val="34"/>
          <w:marBottom w:val="34"/>
          <w:divBdr>
            <w:top w:val="none" w:sz="0" w:space="0" w:color="auto"/>
            <w:left w:val="none" w:sz="0" w:space="0" w:color="auto"/>
            <w:bottom w:val="none" w:sz="0" w:space="0" w:color="auto"/>
            <w:right w:val="none" w:sz="0" w:space="0" w:color="auto"/>
          </w:divBdr>
        </w:div>
      </w:divsChild>
    </w:div>
    <w:div w:id="240261567">
      <w:bodyDiv w:val="1"/>
      <w:marLeft w:val="0"/>
      <w:marRight w:val="0"/>
      <w:marTop w:val="0"/>
      <w:marBottom w:val="0"/>
      <w:divBdr>
        <w:top w:val="none" w:sz="0" w:space="0" w:color="auto"/>
        <w:left w:val="none" w:sz="0" w:space="0" w:color="auto"/>
        <w:bottom w:val="none" w:sz="0" w:space="0" w:color="auto"/>
        <w:right w:val="none" w:sz="0" w:space="0" w:color="auto"/>
      </w:divBdr>
      <w:divsChild>
        <w:div w:id="246578705">
          <w:marLeft w:val="0"/>
          <w:marRight w:val="0"/>
          <w:marTop w:val="105"/>
          <w:marBottom w:val="0"/>
          <w:divBdr>
            <w:top w:val="none" w:sz="0" w:space="0" w:color="auto"/>
            <w:left w:val="none" w:sz="0" w:space="0" w:color="auto"/>
            <w:bottom w:val="none" w:sz="0" w:space="0" w:color="auto"/>
            <w:right w:val="none" w:sz="0" w:space="0" w:color="auto"/>
          </w:divBdr>
        </w:div>
        <w:div w:id="1523664931">
          <w:marLeft w:val="0"/>
          <w:marRight w:val="0"/>
          <w:marTop w:val="0"/>
          <w:marBottom w:val="0"/>
          <w:divBdr>
            <w:top w:val="none" w:sz="0" w:space="0" w:color="auto"/>
            <w:left w:val="none" w:sz="0" w:space="0" w:color="auto"/>
            <w:bottom w:val="none" w:sz="0" w:space="0" w:color="auto"/>
            <w:right w:val="none" w:sz="0" w:space="0" w:color="auto"/>
          </w:divBdr>
          <w:divsChild>
            <w:div w:id="1852794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2031668">
      <w:bodyDiv w:val="1"/>
      <w:marLeft w:val="0"/>
      <w:marRight w:val="0"/>
      <w:marTop w:val="0"/>
      <w:marBottom w:val="0"/>
      <w:divBdr>
        <w:top w:val="none" w:sz="0" w:space="0" w:color="auto"/>
        <w:left w:val="none" w:sz="0" w:space="0" w:color="auto"/>
        <w:bottom w:val="none" w:sz="0" w:space="0" w:color="auto"/>
        <w:right w:val="none" w:sz="0" w:space="0" w:color="auto"/>
      </w:divBdr>
    </w:div>
    <w:div w:id="379673946">
      <w:bodyDiv w:val="1"/>
      <w:marLeft w:val="0"/>
      <w:marRight w:val="0"/>
      <w:marTop w:val="0"/>
      <w:marBottom w:val="0"/>
      <w:divBdr>
        <w:top w:val="none" w:sz="0" w:space="0" w:color="auto"/>
        <w:left w:val="none" w:sz="0" w:space="0" w:color="auto"/>
        <w:bottom w:val="none" w:sz="0" w:space="0" w:color="auto"/>
        <w:right w:val="none" w:sz="0" w:space="0" w:color="auto"/>
      </w:divBdr>
      <w:divsChild>
        <w:div w:id="103427183">
          <w:marLeft w:val="0"/>
          <w:marRight w:val="0"/>
          <w:marTop w:val="0"/>
          <w:marBottom w:val="0"/>
          <w:divBdr>
            <w:top w:val="none" w:sz="0" w:space="0" w:color="auto"/>
            <w:left w:val="none" w:sz="0" w:space="0" w:color="auto"/>
            <w:bottom w:val="none" w:sz="0" w:space="0" w:color="auto"/>
            <w:right w:val="none" w:sz="0" w:space="0" w:color="auto"/>
          </w:divBdr>
        </w:div>
        <w:div w:id="616177423">
          <w:marLeft w:val="0"/>
          <w:marRight w:val="0"/>
          <w:marTop w:val="0"/>
          <w:marBottom w:val="0"/>
          <w:divBdr>
            <w:top w:val="none" w:sz="0" w:space="0" w:color="auto"/>
            <w:left w:val="none" w:sz="0" w:space="0" w:color="auto"/>
            <w:bottom w:val="none" w:sz="0" w:space="0" w:color="auto"/>
            <w:right w:val="none" w:sz="0" w:space="0" w:color="auto"/>
          </w:divBdr>
        </w:div>
        <w:div w:id="1009797126">
          <w:marLeft w:val="0"/>
          <w:marRight w:val="0"/>
          <w:marTop w:val="0"/>
          <w:marBottom w:val="0"/>
          <w:divBdr>
            <w:top w:val="none" w:sz="0" w:space="0" w:color="auto"/>
            <w:left w:val="none" w:sz="0" w:space="0" w:color="auto"/>
            <w:bottom w:val="none" w:sz="0" w:space="0" w:color="auto"/>
            <w:right w:val="none" w:sz="0" w:space="0" w:color="auto"/>
          </w:divBdr>
        </w:div>
      </w:divsChild>
    </w:div>
    <w:div w:id="386145352">
      <w:bodyDiv w:val="1"/>
      <w:marLeft w:val="0"/>
      <w:marRight w:val="0"/>
      <w:marTop w:val="0"/>
      <w:marBottom w:val="0"/>
      <w:divBdr>
        <w:top w:val="none" w:sz="0" w:space="0" w:color="auto"/>
        <w:left w:val="none" w:sz="0" w:space="0" w:color="auto"/>
        <w:bottom w:val="none" w:sz="0" w:space="0" w:color="auto"/>
        <w:right w:val="none" w:sz="0" w:space="0" w:color="auto"/>
      </w:divBdr>
    </w:div>
    <w:div w:id="415170644">
      <w:bodyDiv w:val="1"/>
      <w:marLeft w:val="0"/>
      <w:marRight w:val="0"/>
      <w:marTop w:val="0"/>
      <w:marBottom w:val="0"/>
      <w:divBdr>
        <w:top w:val="none" w:sz="0" w:space="0" w:color="auto"/>
        <w:left w:val="none" w:sz="0" w:space="0" w:color="auto"/>
        <w:bottom w:val="none" w:sz="0" w:space="0" w:color="auto"/>
        <w:right w:val="none" w:sz="0" w:space="0" w:color="auto"/>
      </w:divBdr>
    </w:div>
    <w:div w:id="426004484">
      <w:bodyDiv w:val="1"/>
      <w:marLeft w:val="0"/>
      <w:marRight w:val="0"/>
      <w:marTop w:val="0"/>
      <w:marBottom w:val="0"/>
      <w:divBdr>
        <w:top w:val="none" w:sz="0" w:space="0" w:color="auto"/>
        <w:left w:val="none" w:sz="0" w:space="0" w:color="auto"/>
        <w:bottom w:val="none" w:sz="0" w:space="0" w:color="auto"/>
        <w:right w:val="none" w:sz="0" w:space="0" w:color="auto"/>
      </w:divBdr>
    </w:div>
    <w:div w:id="463161094">
      <w:bodyDiv w:val="1"/>
      <w:marLeft w:val="0"/>
      <w:marRight w:val="0"/>
      <w:marTop w:val="0"/>
      <w:marBottom w:val="0"/>
      <w:divBdr>
        <w:top w:val="none" w:sz="0" w:space="0" w:color="auto"/>
        <w:left w:val="none" w:sz="0" w:space="0" w:color="auto"/>
        <w:bottom w:val="none" w:sz="0" w:space="0" w:color="auto"/>
        <w:right w:val="none" w:sz="0" w:space="0" w:color="auto"/>
      </w:divBdr>
    </w:div>
    <w:div w:id="499394875">
      <w:bodyDiv w:val="1"/>
      <w:marLeft w:val="0"/>
      <w:marRight w:val="0"/>
      <w:marTop w:val="0"/>
      <w:marBottom w:val="0"/>
      <w:divBdr>
        <w:top w:val="none" w:sz="0" w:space="0" w:color="auto"/>
        <w:left w:val="none" w:sz="0" w:space="0" w:color="auto"/>
        <w:bottom w:val="none" w:sz="0" w:space="0" w:color="auto"/>
        <w:right w:val="none" w:sz="0" w:space="0" w:color="auto"/>
      </w:divBdr>
    </w:div>
    <w:div w:id="571700352">
      <w:bodyDiv w:val="1"/>
      <w:marLeft w:val="0"/>
      <w:marRight w:val="0"/>
      <w:marTop w:val="0"/>
      <w:marBottom w:val="0"/>
      <w:divBdr>
        <w:top w:val="none" w:sz="0" w:space="0" w:color="auto"/>
        <w:left w:val="none" w:sz="0" w:space="0" w:color="auto"/>
        <w:bottom w:val="none" w:sz="0" w:space="0" w:color="auto"/>
        <w:right w:val="none" w:sz="0" w:space="0" w:color="auto"/>
      </w:divBdr>
    </w:div>
    <w:div w:id="583538710">
      <w:bodyDiv w:val="1"/>
      <w:marLeft w:val="0"/>
      <w:marRight w:val="0"/>
      <w:marTop w:val="0"/>
      <w:marBottom w:val="0"/>
      <w:divBdr>
        <w:top w:val="none" w:sz="0" w:space="0" w:color="auto"/>
        <w:left w:val="none" w:sz="0" w:space="0" w:color="auto"/>
        <w:bottom w:val="none" w:sz="0" w:space="0" w:color="auto"/>
        <w:right w:val="none" w:sz="0" w:space="0" w:color="auto"/>
      </w:divBdr>
    </w:div>
    <w:div w:id="593393206">
      <w:bodyDiv w:val="1"/>
      <w:marLeft w:val="0"/>
      <w:marRight w:val="0"/>
      <w:marTop w:val="0"/>
      <w:marBottom w:val="0"/>
      <w:divBdr>
        <w:top w:val="none" w:sz="0" w:space="0" w:color="auto"/>
        <w:left w:val="none" w:sz="0" w:space="0" w:color="auto"/>
        <w:bottom w:val="none" w:sz="0" w:space="0" w:color="auto"/>
        <w:right w:val="none" w:sz="0" w:space="0" w:color="auto"/>
      </w:divBdr>
      <w:divsChild>
        <w:div w:id="778572866">
          <w:marLeft w:val="1800"/>
          <w:marRight w:val="0"/>
          <w:marTop w:val="86"/>
          <w:marBottom w:val="0"/>
          <w:divBdr>
            <w:top w:val="none" w:sz="0" w:space="0" w:color="auto"/>
            <w:left w:val="none" w:sz="0" w:space="0" w:color="auto"/>
            <w:bottom w:val="none" w:sz="0" w:space="0" w:color="auto"/>
            <w:right w:val="none" w:sz="0" w:space="0" w:color="auto"/>
          </w:divBdr>
        </w:div>
        <w:div w:id="1101071727">
          <w:marLeft w:val="1166"/>
          <w:marRight w:val="0"/>
          <w:marTop w:val="96"/>
          <w:marBottom w:val="0"/>
          <w:divBdr>
            <w:top w:val="none" w:sz="0" w:space="0" w:color="auto"/>
            <w:left w:val="none" w:sz="0" w:space="0" w:color="auto"/>
            <w:bottom w:val="none" w:sz="0" w:space="0" w:color="auto"/>
            <w:right w:val="none" w:sz="0" w:space="0" w:color="auto"/>
          </w:divBdr>
        </w:div>
        <w:div w:id="1122532746">
          <w:marLeft w:val="1800"/>
          <w:marRight w:val="0"/>
          <w:marTop w:val="86"/>
          <w:marBottom w:val="0"/>
          <w:divBdr>
            <w:top w:val="none" w:sz="0" w:space="0" w:color="auto"/>
            <w:left w:val="none" w:sz="0" w:space="0" w:color="auto"/>
            <w:bottom w:val="none" w:sz="0" w:space="0" w:color="auto"/>
            <w:right w:val="none" w:sz="0" w:space="0" w:color="auto"/>
          </w:divBdr>
        </w:div>
        <w:div w:id="1635789097">
          <w:marLeft w:val="1800"/>
          <w:marRight w:val="0"/>
          <w:marTop w:val="86"/>
          <w:marBottom w:val="0"/>
          <w:divBdr>
            <w:top w:val="none" w:sz="0" w:space="0" w:color="auto"/>
            <w:left w:val="none" w:sz="0" w:space="0" w:color="auto"/>
            <w:bottom w:val="none" w:sz="0" w:space="0" w:color="auto"/>
            <w:right w:val="none" w:sz="0" w:space="0" w:color="auto"/>
          </w:divBdr>
        </w:div>
      </w:divsChild>
    </w:div>
    <w:div w:id="647823749">
      <w:bodyDiv w:val="1"/>
      <w:marLeft w:val="0"/>
      <w:marRight w:val="0"/>
      <w:marTop w:val="0"/>
      <w:marBottom w:val="0"/>
      <w:divBdr>
        <w:top w:val="none" w:sz="0" w:space="0" w:color="auto"/>
        <w:left w:val="none" w:sz="0" w:space="0" w:color="auto"/>
        <w:bottom w:val="none" w:sz="0" w:space="0" w:color="auto"/>
        <w:right w:val="none" w:sz="0" w:space="0" w:color="auto"/>
      </w:divBdr>
      <w:divsChild>
        <w:div w:id="277640651">
          <w:marLeft w:val="0"/>
          <w:marRight w:val="0"/>
          <w:marTop w:val="75"/>
          <w:marBottom w:val="0"/>
          <w:divBdr>
            <w:top w:val="none" w:sz="0" w:space="0" w:color="auto"/>
            <w:left w:val="none" w:sz="0" w:space="0" w:color="auto"/>
            <w:bottom w:val="none" w:sz="0" w:space="0" w:color="auto"/>
            <w:right w:val="none" w:sz="0" w:space="0" w:color="auto"/>
          </w:divBdr>
        </w:div>
      </w:divsChild>
    </w:div>
    <w:div w:id="669986626">
      <w:bodyDiv w:val="1"/>
      <w:marLeft w:val="0"/>
      <w:marRight w:val="0"/>
      <w:marTop w:val="0"/>
      <w:marBottom w:val="0"/>
      <w:divBdr>
        <w:top w:val="none" w:sz="0" w:space="0" w:color="auto"/>
        <w:left w:val="none" w:sz="0" w:space="0" w:color="auto"/>
        <w:bottom w:val="none" w:sz="0" w:space="0" w:color="auto"/>
        <w:right w:val="none" w:sz="0" w:space="0" w:color="auto"/>
      </w:divBdr>
    </w:div>
    <w:div w:id="771052827">
      <w:bodyDiv w:val="1"/>
      <w:marLeft w:val="0"/>
      <w:marRight w:val="0"/>
      <w:marTop w:val="0"/>
      <w:marBottom w:val="0"/>
      <w:divBdr>
        <w:top w:val="none" w:sz="0" w:space="0" w:color="auto"/>
        <w:left w:val="none" w:sz="0" w:space="0" w:color="auto"/>
        <w:bottom w:val="none" w:sz="0" w:space="0" w:color="auto"/>
        <w:right w:val="none" w:sz="0" w:space="0" w:color="auto"/>
      </w:divBdr>
      <w:divsChild>
        <w:div w:id="93743900">
          <w:marLeft w:val="0"/>
          <w:marRight w:val="0"/>
          <w:marTop w:val="225"/>
          <w:marBottom w:val="0"/>
          <w:divBdr>
            <w:top w:val="none" w:sz="0" w:space="0" w:color="auto"/>
            <w:left w:val="none" w:sz="0" w:space="0" w:color="auto"/>
            <w:bottom w:val="none" w:sz="0" w:space="0" w:color="auto"/>
            <w:right w:val="none" w:sz="0" w:space="0" w:color="auto"/>
          </w:divBdr>
        </w:div>
        <w:div w:id="713387079">
          <w:marLeft w:val="0"/>
          <w:marRight w:val="0"/>
          <w:marTop w:val="0"/>
          <w:marBottom w:val="0"/>
          <w:divBdr>
            <w:top w:val="none" w:sz="0" w:space="0" w:color="auto"/>
            <w:left w:val="none" w:sz="0" w:space="0" w:color="auto"/>
            <w:bottom w:val="none" w:sz="0" w:space="0" w:color="auto"/>
            <w:right w:val="none" w:sz="0" w:space="0" w:color="auto"/>
          </w:divBdr>
          <w:divsChild>
            <w:div w:id="1386249019">
              <w:marLeft w:val="0"/>
              <w:marRight w:val="0"/>
              <w:marTop w:val="0"/>
              <w:marBottom w:val="0"/>
              <w:divBdr>
                <w:top w:val="none" w:sz="0" w:space="0" w:color="auto"/>
                <w:left w:val="none" w:sz="0" w:space="0" w:color="auto"/>
                <w:bottom w:val="none" w:sz="0" w:space="0" w:color="auto"/>
                <w:right w:val="none" w:sz="0" w:space="0" w:color="auto"/>
              </w:divBdr>
              <w:divsChild>
                <w:div w:id="1050376226">
                  <w:marLeft w:val="0"/>
                  <w:marRight w:val="0"/>
                  <w:marTop w:val="0"/>
                  <w:marBottom w:val="0"/>
                  <w:divBdr>
                    <w:top w:val="none" w:sz="0" w:space="0" w:color="auto"/>
                    <w:left w:val="none" w:sz="0" w:space="0" w:color="auto"/>
                    <w:bottom w:val="none" w:sz="0" w:space="0" w:color="auto"/>
                    <w:right w:val="none" w:sz="0" w:space="0" w:color="auto"/>
                  </w:divBdr>
                  <w:divsChild>
                    <w:div w:id="860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3853">
          <w:marLeft w:val="0"/>
          <w:marRight w:val="0"/>
          <w:marTop w:val="0"/>
          <w:marBottom w:val="0"/>
          <w:divBdr>
            <w:top w:val="none" w:sz="0" w:space="0" w:color="auto"/>
            <w:left w:val="none" w:sz="0" w:space="0" w:color="auto"/>
            <w:bottom w:val="none" w:sz="0" w:space="0" w:color="auto"/>
            <w:right w:val="none" w:sz="0" w:space="0" w:color="auto"/>
          </w:divBdr>
        </w:div>
      </w:divsChild>
    </w:div>
    <w:div w:id="806120341">
      <w:bodyDiv w:val="1"/>
      <w:marLeft w:val="0"/>
      <w:marRight w:val="0"/>
      <w:marTop w:val="0"/>
      <w:marBottom w:val="0"/>
      <w:divBdr>
        <w:top w:val="none" w:sz="0" w:space="0" w:color="auto"/>
        <w:left w:val="none" w:sz="0" w:space="0" w:color="auto"/>
        <w:bottom w:val="none" w:sz="0" w:space="0" w:color="auto"/>
        <w:right w:val="none" w:sz="0" w:space="0" w:color="auto"/>
      </w:divBdr>
      <w:divsChild>
        <w:div w:id="149710993">
          <w:marLeft w:val="907"/>
          <w:marRight w:val="0"/>
          <w:marTop w:val="0"/>
          <w:marBottom w:val="0"/>
          <w:divBdr>
            <w:top w:val="none" w:sz="0" w:space="0" w:color="auto"/>
            <w:left w:val="none" w:sz="0" w:space="0" w:color="auto"/>
            <w:bottom w:val="none" w:sz="0" w:space="0" w:color="auto"/>
            <w:right w:val="none" w:sz="0" w:space="0" w:color="auto"/>
          </w:divBdr>
        </w:div>
      </w:divsChild>
    </w:div>
    <w:div w:id="851646559">
      <w:bodyDiv w:val="1"/>
      <w:marLeft w:val="0"/>
      <w:marRight w:val="0"/>
      <w:marTop w:val="0"/>
      <w:marBottom w:val="0"/>
      <w:divBdr>
        <w:top w:val="none" w:sz="0" w:space="0" w:color="auto"/>
        <w:left w:val="none" w:sz="0" w:space="0" w:color="auto"/>
        <w:bottom w:val="none" w:sz="0" w:space="0" w:color="auto"/>
        <w:right w:val="none" w:sz="0" w:space="0" w:color="auto"/>
      </w:divBdr>
      <w:divsChild>
        <w:div w:id="608394790">
          <w:marLeft w:val="547"/>
          <w:marRight w:val="0"/>
          <w:marTop w:val="96"/>
          <w:marBottom w:val="0"/>
          <w:divBdr>
            <w:top w:val="none" w:sz="0" w:space="0" w:color="auto"/>
            <w:left w:val="none" w:sz="0" w:space="0" w:color="auto"/>
            <w:bottom w:val="none" w:sz="0" w:space="0" w:color="auto"/>
            <w:right w:val="none" w:sz="0" w:space="0" w:color="auto"/>
          </w:divBdr>
        </w:div>
        <w:div w:id="933130587">
          <w:marLeft w:val="547"/>
          <w:marRight w:val="0"/>
          <w:marTop w:val="96"/>
          <w:marBottom w:val="0"/>
          <w:divBdr>
            <w:top w:val="none" w:sz="0" w:space="0" w:color="auto"/>
            <w:left w:val="none" w:sz="0" w:space="0" w:color="auto"/>
            <w:bottom w:val="none" w:sz="0" w:space="0" w:color="auto"/>
            <w:right w:val="none" w:sz="0" w:space="0" w:color="auto"/>
          </w:divBdr>
        </w:div>
        <w:div w:id="1068964280">
          <w:marLeft w:val="547"/>
          <w:marRight w:val="0"/>
          <w:marTop w:val="96"/>
          <w:marBottom w:val="0"/>
          <w:divBdr>
            <w:top w:val="none" w:sz="0" w:space="0" w:color="auto"/>
            <w:left w:val="none" w:sz="0" w:space="0" w:color="auto"/>
            <w:bottom w:val="none" w:sz="0" w:space="0" w:color="auto"/>
            <w:right w:val="none" w:sz="0" w:space="0" w:color="auto"/>
          </w:divBdr>
        </w:div>
      </w:divsChild>
    </w:div>
    <w:div w:id="869345737">
      <w:bodyDiv w:val="1"/>
      <w:marLeft w:val="0"/>
      <w:marRight w:val="0"/>
      <w:marTop w:val="0"/>
      <w:marBottom w:val="0"/>
      <w:divBdr>
        <w:top w:val="none" w:sz="0" w:space="0" w:color="auto"/>
        <w:left w:val="none" w:sz="0" w:space="0" w:color="auto"/>
        <w:bottom w:val="none" w:sz="0" w:space="0" w:color="auto"/>
        <w:right w:val="none" w:sz="0" w:space="0" w:color="auto"/>
      </w:divBdr>
      <w:divsChild>
        <w:div w:id="541982982">
          <w:marLeft w:val="0"/>
          <w:marRight w:val="0"/>
          <w:marTop w:val="0"/>
          <w:marBottom w:val="0"/>
          <w:divBdr>
            <w:top w:val="none" w:sz="0" w:space="0" w:color="auto"/>
            <w:left w:val="none" w:sz="0" w:space="0" w:color="auto"/>
            <w:bottom w:val="none" w:sz="0" w:space="0" w:color="auto"/>
            <w:right w:val="none" w:sz="0" w:space="0" w:color="auto"/>
          </w:divBdr>
        </w:div>
        <w:div w:id="753211368">
          <w:marLeft w:val="0"/>
          <w:marRight w:val="0"/>
          <w:marTop w:val="0"/>
          <w:marBottom w:val="0"/>
          <w:divBdr>
            <w:top w:val="none" w:sz="0" w:space="0" w:color="auto"/>
            <w:left w:val="none" w:sz="0" w:space="0" w:color="auto"/>
            <w:bottom w:val="none" w:sz="0" w:space="0" w:color="auto"/>
            <w:right w:val="none" w:sz="0" w:space="0" w:color="auto"/>
          </w:divBdr>
        </w:div>
        <w:div w:id="1224490116">
          <w:marLeft w:val="0"/>
          <w:marRight w:val="0"/>
          <w:marTop w:val="0"/>
          <w:marBottom w:val="0"/>
          <w:divBdr>
            <w:top w:val="none" w:sz="0" w:space="0" w:color="auto"/>
            <w:left w:val="none" w:sz="0" w:space="0" w:color="auto"/>
            <w:bottom w:val="none" w:sz="0" w:space="0" w:color="auto"/>
            <w:right w:val="none" w:sz="0" w:space="0" w:color="auto"/>
          </w:divBdr>
        </w:div>
      </w:divsChild>
    </w:div>
    <w:div w:id="880752492">
      <w:bodyDiv w:val="1"/>
      <w:marLeft w:val="0"/>
      <w:marRight w:val="0"/>
      <w:marTop w:val="0"/>
      <w:marBottom w:val="0"/>
      <w:divBdr>
        <w:top w:val="none" w:sz="0" w:space="0" w:color="auto"/>
        <w:left w:val="none" w:sz="0" w:space="0" w:color="auto"/>
        <w:bottom w:val="none" w:sz="0" w:space="0" w:color="auto"/>
        <w:right w:val="none" w:sz="0" w:space="0" w:color="auto"/>
      </w:divBdr>
    </w:div>
    <w:div w:id="929117365">
      <w:bodyDiv w:val="1"/>
      <w:marLeft w:val="0"/>
      <w:marRight w:val="0"/>
      <w:marTop w:val="0"/>
      <w:marBottom w:val="0"/>
      <w:divBdr>
        <w:top w:val="none" w:sz="0" w:space="0" w:color="auto"/>
        <w:left w:val="none" w:sz="0" w:space="0" w:color="auto"/>
        <w:bottom w:val="none" w:sz="0" w:space="0" w:color="auto"/>
        <w:right w:val="none" w:sz="0" w:space="0" w:color="auto"/>
      </w:divBdr>
    </w:div>
    <w:div w:id="983124118">
      <w:bodyDiv w:val="1"/>
      <w:marLeft w:val="0"/>
      <w:marRight w:val="0"/>
      <w:marTop w:val="0"/>
      <w:marBottom w:val="0"/>
      <w:divBdr>
        <w:top w:val="none" w:sz="0" w:space="0" w:color="auto"/>
        <w:left w:val="none" w:sz="0" w:space="0" w:color="auto"/>
        <w:bottom w:val="none" w:sz="0" w:space="0" w:color="auto"/>
        <w:right w:val="none" w:sz="0" w:space="0" w:color="auto"/>
      </w:divBdr>
      <w:divsChild>
        <w:div w:id="1855993631">
          <w:marLeft w:val="0"/>
          <w:marRight w:val="0"/>
          <w:marTop w:val="0"/>
          <w:marBottom w:val="0"/>
          <w:divBdr>
            <w:top w:val="none" w:sz="0" w:space="0" w:color="auto"/>
            <w:left w:val="none" w:sz="0" w:space="0" w:color="auto"/>
            <w:bottom w:val="none" w:sz="0" w:space="0" w:color="auto"/>
            <w:right w:val="none" w:sz="0" w:space="0" w:color="auto"/>
          </w:divBdr>
        </w:div>
      </w:divsChild>
    </w:div>
    <w:div w:id="1034767281">
      <w:bodyDiv w:val="1"/>
      <w:marLeft w:val="0"/>
      <w:marRight w:val="0"/>
      <w:marTop w:val="0"/>
      <w:marBottom w:val="0"/>
      <w:divBdr>
        <w:top w:val="none" w:sz="0" w:space="0" w:color="auto"/>
        <w:left w:val="none" w:sz="0" w:space="0" w:color="auto"/>
        <w:bottom w:val="none" w:sz="0" w:space="0" w:color="auto"/>
        <w:right w:val="none" w:sz="0" w:space="0" w:color="auto"/>
      </w:divBdr>
    </w:div>
    <w:div w:id="1051268745">
      <w:bodyDiv w:val="1"/>
      <w:marLeft w:val="0"/>
      <w:marRight w:val="0"/>
      <w:marTop w:val="0"/>
      <w:marBottom w:val="0"/>
      <w:divBdr>
        <w:top w:val="none" w:sz="0" w:space="0" w:color="auto"/>
        <w:left w:val="none" w:sz="0" w:space="0" w:color="auto"/>
        <w:bottom w:val="none" w:sz="0" w:space="0" w:color="auto"/>
        <w:right w:val="none" w:sz="0" w:space="0" w:color="auto"/>
      </w:divBdr>
    </w:div>
    <w:div w:id="1072237141">
      <w:bodyDiv w:val="1"/>
      <w:marLeft w:val="0"/>
      <w:marRight w:val="0"/>
      <w:marTop w:val="0"/>
      <w:marBottom w:val="0"/>
      <w:divBdr>
        <w:top w:val="none" w:sz="0" w:space="0" w:color="auto"/>
        <w:left w:val="none" w:sz="0" w:space="0" w:color="auto"/>
        <w:bottom w:val="none" w:sz="0" w:space="0" w:color="auto"/>
        <w:right w:val="none" w:sz="0" w:space="0" w:color="auto"/>
      </w:divBdr>
    </w:div>
    <w:div w:id="1168014113">
      <w:bodyDiv w:val="1"/>
      <w:marLeft w:val="0"/>
      <w:marRight w:val="0"/>
      <w:marTop w:val="0"/>
      <w:marBottom w:val="0"/>
      <w:divBdr>
        <w:top w:val="none" w:sz="0" w:space="0" w:color="auto"/>
        <w:left w:val="none" w:sz="0" w:space="0" w:color="auto"/>
        <w:bottom w:val="none" w:sz="0" w:space="0" w:color="auto"/>
        <w:right w:val="none" w:sz="0" w:space="0" w:color="auto"/>
      </w:divBdr>
    </w:div>
    <w:div w:id="1169443932">
      <w:bodyDiv w:val="1"/>
      <w:marLeft w:val="0"/>
      <w:marRight w:val="0"/>
      <w:marTop w:val="0"/>
      <w:marBottom w:val="0"/>
      <w:divBdr>
        <w:top w:val="none" w:sz="0" w:space="0" w:color="auto"/>
        <w:left w:val="none" w:sz="0" w:space="0" w:color="auto"/>
        <w:bottom w:val="none" w:sz="0" w:space="0" w:color="auto"/>
        <w:right w:val="none" w:sz="0" w:space="0" w:color="auto"/>
      </w:divBdr>
      <w:divsChild>
        <w:div w:id="92945477">
          <w:marLeft w:val="1166"/>
          <w:marRight w:val="0"/>
          <w:marTop w:val="96"/>
          <w:marBottom w:val="0"/>
          <w:divBdr>
            <w:top w:val="none" w:sz="0" w:space="0" w:color="auto"/>
            <w:left w:val="none" w:sz="0" w:space="0" w:color="auto"/>
            <w:bottom w:val="none" w:sz="0" w:space="0" w:color="auto"/>
            <w:right w:val="none" w:sz="0" w:space="0" w:color="auto"/>
          </w:divBdr>
        </w:div>
        <w:div w:id="140971201">
          <w:marLeft w:val="1166"/>
          <w:marRight w:val="0"/>
          <w:marTop w:val="96"/>
          <w:marBottom w:val="0"/>
          <w:divBdr>
            <w:top w:val="none" w:sz="0" w:space="0" w:color="auto"/>
            <w:left w:val="none" w:sz="0" w:space="0" w:color="auto"/>
            <w:bottom w:val="none" w:sz="0" w:space="0" w:color="auto"/>
            <w:right w:val="none" w:sz="0" w:space="0" w:color="auto"/>
          </w:divBdr>
        </w:div>
        <w:div w:id="502013702">
          <w:marLeft w:val="1166"/>
          <w:marRight w:val="0"/>
          <w:marTop w:val="96"/>
          <w:marBottom w:val="0"/>
          <w:divBdr>
            <w:top w:val="none" w:sz="0" w:space="0" w:color="auto"/>
            <w:left w:val="none" w:sz="0" w:space="0" w:color="auto"/>
            <w:bottom w:val="none" w:sz="0" w:space="0" w:color="auto"/>
            <w:right w:val="none" w:sz="0" w:space="0" w:color="auto"/>
          </w:divBdr>
        </w:div>
        <w:div w:id="652948806">
          <w:marLeft w:val="1166"/>
          <w:marRight w:val="0"/>
          <w:marTop w:val="96"/>
          <w:marBottom w:val="0"/>
          <w:divBdr>
            <w:top w:val="none" w:sz="0" w:space="0" w:color="auto"/>
            <w:left w:val="none" w:sz="0" w:space="0" w:color="auto"/>
            <w:bottom w:val="none" w:sz="0" w:space="0" w:color="auto"/>
            <w:right w:val="none" w:sz="0" w:space="0" w:color="auto"/>
          </w:divBdr>
        </w:div>
        <w:div w:id="760952363">
          <w:marLeft w:val="547"/>
          <w:marRight w:val="0"/>
          <w:marTop w:val="96"/>
          <w:marBottom w:val="0"/>
          <w:divBdr>
            <w:top w:val="none" w:sz="0" w:space="0" w:color="auto"/>
            <w:left w:val="none" w:sz="0" w:space="0" w:color="auto"/>
            <w:bottom w:val="none" w:sz="0" w:space="0" w:color="auto"/>
            <w:right w:val="none" w:sz="0" w:space="0" w:color="auto"/>
          </w:divBdr>
        </w:div>
        <w:div w:id="924218075">
          <w:marLeft w:val="1166"/>
          <w:marRight w:val="0"/>
          <w:marTop w:val="96"/>
          <w:marBottom w:val="0"/>
          <w:divBdr>
            <w:top w:val="none" w:sz="0" w:space="0" w:color="auto"/>
            <w:left w:val="none" w:sz="0" w:space="0" w:color="auto"/>
            <w:bottom w:val="none" w:sz="0" w:space="0" w:color="auto"/>
            <w:right w:val="none" w:sz="0" w:space="0" w:color="auto"/>
          </w:divBdr>
        </w:div>
        <w:div w:id="962074407">
          <w:marLeft w:val="1800"/>
          <w:marRight w:val="0"/>
          <w:marTop w:val="86"/>
          <w:marBottom w:val="0"/>
          <w:divBdr>
            <w:top w:val="none" w:sz="0" w:space="0" w:color="auto"/>
            <w:left w:val="none" w:sz="0" w:space="0" w:color="auto"/>
            <w:bottom w:val="none" w:sz="0" w:space="0" w:color="auto"/>
            <w:right w:val="none" w:sz="0" w:space="0" w:color="auto"/>
          </w:divBdr>
        </w:div>
        <w:div w:id="1661543235">
          <w:marLeft w:val="634"/>
          <w:marRight w:val="0"/>
          <w:marTop w:val="96"/>
          <w:marBottom w:val="0"/>
          <w:divBdr>
            <w:top w:val="none" w:sz="0" w:space="0" w:color="auto"/>
            <w:left w:val="none" w:sz="0" w:space="0" w:color="auto"/>
            <w:bottom w:val="none" w:sz="0" w:space="0" w:color="auto"/>
            <w:right w:val="none" w:sz="0" w:space="0" w:color="auto"/>
          </w:divBdr>
        </w:div>
        <w:div w:id="1985968496">
          <w:marLeft w:val="1166"/>
          <w:marRight w:val="0"/>
          <w:marTop w:val="96"/>
          <w:marBottom w:val="0"/>
          <w:divBdr>
            <w:top w:val="none" w:sz="0" w:space="0" w:color="auto"/>
            <w:left w:val="none" w:sz="0" w:space="0" w:color="auto"/>
            <w:bottom w:val="none" w:sz="0" w:space="0" w:color="auto"/>
            <w:right w:val="none" w:sz="0" w:space="0" w:color="auto"/>
          </w:divBdr>
        </w:div>
        <w:div w:id="2042195880">
          <w:marLeft w:val="1800"/>
          <w:marRight w:val="0"/>
          <w:marTop w:val="86"/>
          <w:marBottom w:val="0"/>
          <w:divBdr>
            <w:top w:val="none" w:sz="0" w:space="0" w:color="auto"/>
            <w:left w:val="none" w:sz="0" w:space="0" w:color="auto"/>
            <w:bottom w:val="none" w:sz="0" w:space="0" w:color="auto"/>
            <w:right w:val="none" w:sz="0" w:space="0" w:color="auto"/>
          </w:divBdr>
        </w:div>
      </w:divsChild>
    </w:div>
    <w:div w:id="1202009757">
      <w:bodyDiv w:val="1"/>
      <w:marLeft w:val="0"/>
      <w:marRight w:val="0"/>
      <w:marTop w:val="0"/>
      <w:marBottom w:val="0"/>
      <w:divBdr>
        <w:top w:val="none" w:sz="0" w:space="0" w:color="auto"/>
        <w:left w:val="none" w:sz="0" w:space="0" w:color="auto"/>
        <w:bottom w:val="none" w:sz="0" w:space="0" w:color="auto"/>
        <w:right w:val="none" w:sz="0" w:space="0" w:color="auto"/>
      </w:divBdr>
    </w:div>
    <w:div w:id="1206142784">
      <w:bodyDiv w:val="1"/>
      <w:marLeft w:val="0"/>
      <w:marRight w:val="0"/>
      <w:marTop w:val="0"/>
      <w:marBottom w:val="0"/>
      <w:divBdr>
        <w:top w:val="none" w:sz="0" w:space="0" w:color="auto"/>
        <w:left w:val="none" w:sz="0" w:space="0" w:color="auto"/>
        <w:bottom w:val="none" w:sz="0" w:space="0" w:color="auto"/>
        <w:right w:val="none" w:sz="0" w:space="0" w:color="auto"/>
      </w:divBdr>
      <w:divsChild>
        <w:div w:id="182214147">
          <w:marLeft w:val="0"/>
          <w:marRight w:val="0"/>
          <w:marTop w:val="34"/>
          <w:marBottom w:val="34"/>
          <w:divBdr>
            <w:top w:val="none" w:sz="0" w:space="0" w:color="auto"/>
            <w:left w:val="none" w:sz="0" w:space="0" w:color="auto"/>
            <w:bottom w:val="none" w:sz="0" w:space="0" w:color="auto"/>
            <w:right w:val="none" w:sz="0" w:space="0" w:color="auto"/>
          </w:divBdr>
        </w:div>
      </w:divsChild>
    </w:div>
    <w:div w:id="1208375462">
      <w:bodyDiv w:val="1"/>
      <w:marLeft w:val="0"/>
      <w:marRight w:val="0"/>
      <w:marTop w:val="0"/>
      <w:marBottom w:val="0"/>
      <w:divBdr>
        <w:top w:val="none" w:sz="0" w:space="0" w:color="auto"/>
        <w:left w:val="none" w:sz="0" w:space="0" w:color="auto"/>
        <w:bottom w:val="none" w:sz="0" w:space="0" w:color="auto"/>
        <w:right w:val="none" w:sz="0" w:space="0" w:color="auto"/>
      </w:divBdr>
      <w:divsChild>
        <w:div w:id="1136484799">
          <w:marLeft w:val="0"/>
          <w:marRight w:val="0"/>
          <w:marTop w:val="0"/>
          <w:marBottom w:val="0"/>
          <w:divBdr>
            <w:top w:val="none" w:sz="0" w:space="0" w:color="auto"/>
            <w:left w:val="none" w:sz="0" w:space="0" w:color="auto"/>
            <w:bottom w:val="none" w:sz="0" w:space="0" w:color="auto"/>
            <w:right w:val="none" w:sz="0" w:space="0" w:color="auto"/>
          </w:divBdr>
        </w:div>
        <w:div w:id="1285379614">
          <w:marLeft w:val="0"/>
          <w:marRight w:val="0"/>
          <w:marTop w:val="0"/>
          <w:marBottom w:val="0"/>
          <w:divBdr>
            <w:top w:val="none" w:sz="0" w:space="0" w:color="auto"/>
            <w:left w:val="none" w:sz="0" w:space="0" w:color="auto"/>
            <w:bottom w:val="none" w:sz="0" w:space="0" w:color="auto"/>
            <w:right w:val="none" w:sz="0" w:space="0" w:color="auto"/>
          </w:divBdr>
        </w:div>
        <w:div w:id="1502282327">
          <w:marLeft w:val="0"/>
          <w:marRight w:val="0"/>
          <w:marTop w:val="0"/>
          <w:marBottom w:val="0"/>
          <w:divBdr>
            <w:top w:val="none" w:sz="0" w:space="0" w:color="auto"/>
            <w:left w:val="none" w:sz="0" w:space="0" w:color="auto"/>
            <w:bottom w:val="none" w:sz="0" w:space="0" w:color="auto"/>
            <w:right w:val="none" w:sz="0" w:space="0" w:color="auto"/>
          </w:divBdr>
        </w:div>
        <w:div w:id="1746800510">
          <w:marLeft w:val="0"/>
          <w:marRight w:val="0"/>
          <w:marTop w:val="0"/>
          <w:marBottom w:val="0"/>
          <w:divBdr>
            <w:top w:val="none" w:sz="0" w:space="0" w:color="auto"/>
            <w:left w:val="none" w:sz="0" w:space="0" w:color="auto"/>
            <w:bottom w:val="none" w:sz="0" w:space="0" w:color="auto"/>
            <w:right w:val="none" w:sz="0" w:space="0" w:color="auto"/>
          </w:divBdr>
        </w:div>
        <w:div w:id="1980837753">
          <w:marLeft w:val="0"/>
          <w:marRight w:val="0"/>
          <w:marTop w:val="0"/>
          <w:marBottom w:val="0"/>
          <w:divBdr>
            <w:top w:val="none" w:sz="0" w:space="0" w:color="auto"/>
            <w:left w:val="none" w:sz="0" w:space="0" w:color="auto"/>
            <w:bottom w:val="none" w:sz="0" w:space="0" w:color="auto"/>
            <w:right w:val="none" w:sz="0" w:space="0" w:color="auto"/>
          </w:divBdr>
        </w:div>
      </w:divsChild>
    </w:div>
    <w:div w:id="1225144068">
      <w:bodyDiv w:val="1"/>
      <w:marLeft w:val="0"/>
      <w:marRight w:val="0"/>
      <w:marTop w:val="0"/>
      <w:marBottom w:val="0"/>
      <w:divBdr>
        <w:top w:val="none" w:sz="0" w:space="0" w:color="auto"/>
        <w:left w:val="none" w:sz="0" w:space="0" w:color="auto"/>
        <w:bottom w:val="none" w:sz="0" w:space="0" w:color="auto"/>
        <w:right w:val="none" w:sz="0" w:space="0" w:color="auto"/>
      </w:divBdr>
      <w:divsChild>
        <w:div w:id="87047447">
          <w:marLeft w:val="0"/>
          <w:marRight w:val="0"/>
          <w:marTop w:val="0"/>
          <w:marBottom w:val="0"/>
          <w:divBdr>
            <w:top w:val="none" w:sz="0" w:space="0" w:color="auto"/>
            <w:left w:val="none" w:sz="0" w:space="0" w:color="auto"/>
            <w:bottom w:val="none" w:sz="0" w:space="0" w:color="auto"/>
            <w:right w:val="none" w:sz="0" w:space="0" w:color="auto"/>
          </w:divBdr>
        </w:div>
        <w:div w:id="630330486">
          <w:marLeft w:val="0"/>
          <w:marRight w:val="0"/>
          <w:marTop w:val="0"/>
          <w:marBottom w:val="0"/>
          <w:divBdr>
            <w:top w:val="none" w:sz="0" w:space="0" w:color="auto"/>
            <w:left w:val="none" w:sz="0" w:space="0" w:color="auto"/>
            <w:bottom w:val="none" w:sz="0" w:space="0" w:color="auto"/>
            <w:right w:val="none" w:sz="0" w:space="0" w:color="auto"/>
          </w:divBdr>
        </w:div>
        <w:div w:id="938876472">
          <w:marLeft w:val="0"/>
          <w:marRight w:val="0"/>
          <w:marTop w:val="0"/>
          <w:marBottom w:val="0"/>
          <w:divBdr>
            <w:top w:val="none" w:sz="0" w:space="0" w:color="auto"/>
            <w:left w:val="none" w:sz="0" w:space="0" w:color="auto"/>
            <w:bottom w:val="none" w:sz="0" w:space="0" w:color="auto"/>
            <w:right w:val="none" w:sz="0" w:space="0" w:color="auto"/>
          </w:divBdr>
        </w:div>
        <w:div w:id="1534492035">
          <w:marLeft w:val="0"/>
          <w:marRight w:val="0"/>
          <w:marTop w:val="0"/>
          <w:marBottom w:val="0"/>
          <w:divBdr>
            <w:top w:val="none" w:sz="0" w:space="0" w:color="auto"/>
            <w:left w:val="none" w:sz="0" w:space="0" w:color="auto"/>
            <w:bottom w:val="none" w:sz="0" w:space="0" w:color="auto"/>
            <w:right w:val="none" w:sz="0" w:space="0" w:color="auto"/>
          </w:divBdr>
        </w:div>
      </w:divsChild>
    </w:div>
    <w:div w:id="1350134073">
      <w:bodyDiv w:val="1"/>
      <w:marLeft w:val="0"/>
      <w:marRight w:val="0"/>
      <w:marTop w:val="0"/>
      <w:marBottom w:val="0"/>
      <w:divBdr>
        <w:top w:val="none" w:sz="0" w:space="0" w:color="auto"/>
        <w:left w:val="none" w:sz="0" w:space="0" w:color="auto"/>
        <w:bottom w:val="none" w:sz="0" w:space="0" w:color="auto"/>
        <w:right w:val="none" w:sz="0" w:space="0" w:color="auto"/>
      </w:divBdr>
    </w:div>
    <w:div w:id="1379206680">
      <w:bodyDiv w:val="1"/>
      <w:marLeft w:val="0"/>
      <w:marRight w:val="0"/>
      <w:marTop w:val="0"/>
      <w:marBottom w:val="0"/>
      <w:divBdr>
        <w:top w:val="none" w:sz="0" w:space="0" w:color="auto"/>
        <w:left w:val="none" w:sz="0" w:space="0" w:color="auto"/>
        <w:bottom w:val="none" w:sz="0" w:space="0" w:color="auto"/>
        <w:right w:val="none" w:sz="0" w:space="0" w:color="auto"/>
      </w:divBdr>
      <w:divsChild>
        <w:div w:id="130173219">
          <w:marLeft w:val="0"/>
          <w:marRight w:val="0"/>
          <w:marTop w:val="34"/>
          <w:marBottom w:val="34"/>
          <w:divBdr>
            <w:top w:val="none" w:sz="0" w:space="0" w:color="auto"/>
            <w:left w:val="none" w:sz="0" w:space="0" w:color="auto"/>
            <w:bottom w:val="none" w:sz="0" w:space="0" w:color="auto"/>
            <w:right w:val="none" w:sz="0" w:space="0" w:color="auto"/>
          </w:divBdr>
        </w:div>
      </w:divsChild>
    </w:div>
    <w:div w:id="1408765797">
      <w:bodyDiv w:val="1"/>
      <w:marLeft w:val="0"/>
      <w:marRight w:val="0"/>
      <w:marTop w:val="0"/>
      <w:marBottom w:val="0"/>
      <w:divBdr>
        <w:top w:val="none" w:sz="0" w:space="0" w:color="auto"/>
        <w:left w:val="none" w:sz="0" w:space="0" w:color="auto"/>
        <w:bottom w:val="none" w:sz="0" w:space="0" w:color="auto"/>
        <w:right w:val="none" w:sz="0" w:space="0" w:color="auto"/>
      </w:divBdr>
    </w:div>
    <w:div w:id="1444885486">
      <w:bodyDiv w:val="1"/>
      <w:marLeft w:val="0"/>
      <w:marRight w:val="0"/>
      <w:marTop w:val="0"/>
      <w:marBottom w:val="0"/>
      <w:divBdr>
        <w:top w:val="none" w:sz="0" w:space="0" w:color="auto"/>
        <w:left w:val="none" w:sz="0" w:space="0" w:color="auto"/>
        <w:bottom w:val="none" w:sz="0" w:space="0" w:color="auto"/>
        <w:right w:val="none" w:sz="0" w:space="0" w:color="auto"/>
      </w:divBdr>
    </w:div>
    <w:div w:id="1463885398">
      <w:bodyDiv w:val="1"/>
      <w:marLeft w:val="0"/>
      <w:marRight w:val="0"/>
      <w:marTop w:val="0"/>
      <w:marBottom w:val="0"/>
      <w:divBdr>
        <w:top w:val="none" w:sz="0" w:space="0" w:color="auto"/>
        <w:left w:val="none" w:sz="0" w:space="0" w:color="auto"/>
        <w:bottom w:val="none" w:sz="0" w:space="0" w:color="auto"/>
        <w:right w:val="none" w:sz="0" w:space="0" w:color="auto"/>
      </w:divBdr>
    </w:div>
    <w:div w:id="1508639292">
      <w:bodyDiv w:val="1"/>
      <w:marLeft w:val="0"/>
      <w:marRight w:val="0"/>
      <w:marTop w:val="0"/>
      <w:marBottom w:val="0"/>
      <w:divBdr>
        <w:top w:val="none" w:sz="0" w:space="0" w:color="auto"/>
        <w:left w:val="none" w:sz="0" w:space="0" w:color="auto"/>
        <w:bottom w:val="none" w:sz="0" w:space="0" w:color="auto"/>
        <w:right w:val="none" w:sz="0" w:space="0" w:color="auto"/>
      </w:divBdr>
      <w:divsChild>
        <w:div w:id="1441799409">
          <w:marLeft w:val="0"/>
          <w:marRight w:val="0"/>
          <w:marTop w:val="34"/>
          <w:marBottom w:val="34"/>
          <w:divBdr>
            <w:top w:val="none" w:sz="0" w:space="0" w:color="auto"/>
            <w:left w:val="none" w:sz="0" w:space="0" w:color="auto"/>
            <w:bottom w:val="none" w:sz="0" w:space="0" w:color="auto"/>
            <w:right w:val="none" w:sz="0" w:space="0" w:color="auto"/>
          </w:divBdr>
        </w:div>
      </w:divsChild>
    </w:div>
    <w:div w:id="1560172456">
      <w:bodyDiv w:val="1"/>
      <w:marLeft w:val="0"/>
      <w:marRight w:val="0"/>
      <w:marTop w:val="0"/>
      <w:marBottom w:val="0"/>
      <w:divBdr>
        <w:top w:val="none" w:sz="0" w:space="0" w:color="auto"/>
        <w:left w:val="none" w:sz="0" w:space="0" w:color="auto"/>
        <w:bottom w:val="none" w:sz="0" w:space="0" w:color="auto"/>
        <w:right w:val="none" w:sz="0" w:space="0" w:color="auto"/>
      </w:divBdr>
      <w:divsChild>
        <w:div w:id="254871078">
          <w:marLeft w:val="0"/>
          <w:marRight w:val="0"/>
          <w:marTop w:val="0"/>
          <w:marBottom w:val="0"/>
          <w:divBdr>
            <w:top w:val="none" w:sz="0" w:space="0" w:color="auto"/>
            <w:left w:val="none" w:sz="0" w:space="0" w:color="auto"/>
            <w:bottom w:val="none" w:sz="0" w:space="0" w:color="auto"/>
            <w:right w:val="none" w:sz="0" w:space="0" w:color="auto"/>
          </w:divBdr>
        </w:div>
        <w:div w:id="362943650">
          <w:marLeft w:val="0"/>
          <w:marRight w:val="0"/>
          <w:marTop w:val="0"/>
          <w:marBottom w:val="0"/>
          <w:divBdr>
            <w:top w:val="none" w:sz="0" w:space="0" w:color="auto"/>
            <w:left w:val="none" w:sz="0" w:space="0" w:color="auto"/>
            <w:bottom w:val="none" w:sz="0" w:space="0" w:color="auto"/>
            <w:right w:val="none" w:sz="0" w:space="0" w:color="auto"/>
          </w:divBdr>
        </w:div>
        <w:div w:id="1485051996">
          <w:marLeft w:val="0"/>
          <w:marRight w:val="0"/>
          <w:marTop w:val="0"/>
          <w:marBottom w:val="0"/>
          <w:divBdr>
            <w:top w:val="none" w:sz="0" w:space="0" w:color="auto"/>
            <w:left w:val="none" w:sz="0" w:space="0" w:color="auto"/>
            <w:bottom w:val="none" w:sz="0" w:space="0" w:color="auto"/>
            <w:right w:val="none" w:sz="0" w:space="0" w:color="auto"/>
          </w:divBdr>
        </w:div>
        <w:div w:id="1529682975">
          <w:marLeft w:val="0"/>
          <w:marRight w:val="0"/>
          <w:marTop w:val="0"/>
          <w:marBottom w:val="0"/>
          <w:divBdr>
            <w:top w:val="none" w:sz="0" w:space="0" w:color="auto"/>
            <w:left w:val="none" w:sz="0" w:space="0" w:color="auto"/>
            <w:bottom w:val="none" w:sz="0" w:space="0" w:color="auto"/>
            <w:right w:val="none" w:sz="0" w:space="0" w:color="auto"/>
          </w:divBdr>
        </w:div>
      </w:divsChild>
    </w:div>
    <w:div w:id="1565071028">
      <w:bodyDiv w:val="1"/>
      <w:marLeft w:val="0"/>
      <w:marRight w:val="0"/>
      <w:marTop w:val="0"/>
      <w:marBottom w:val="0"/>
      <w:divBdr>
        <w:top w:val="none" w:sz="0" w:space="0" w:color="auto"/>
        <w:left w:val="none" w:sz="0" w:space="0" w:color="auto"/>
        <w:bottom w:val="none" w:sz="0" w:space="0" w:color="auto"/>
        <w:right w:val="none" w:sz="0" w:space="0" w:color="auto"/>
      </w:divBdr>
    </w:div>
    <w:div w:id="1599872527">
      <w:bodyDiv w:val="1"/>
      <w:marLeft w:val="0"/>
      <w:marRight w:val="0"/>
      <w:marTop w:val="0"/>
      <w:marBottom w:val="0"/>
      <w:divBdr>
        <w:top w:val="none" w:sz="0" w:space="0" w:color="auto"/>
        <w:left w:val="none" w:sz="0" w:space="0" w:color="auto"/>
        <w:bottom w:val="none" w:sz="0" w:space="0" w:color="auto"/>
        <w:right w:val="none" w:sz="0" w:space="0" w:color="auto"/>
      </w:divBdr>
      <w:divsChild>
        <w:div w:id="1270354888">
          <w:marLeft w:val="0"/>
          <w:marRight w:val="0"/>
          <w:marTop w:val="0"/>
          <w:marBottom w:val="0"/>
          <w:divBdr>
            <w:top w:val="none" w:sz="0" w:space="0" w:color="auto"/>
            <w:left w:val="none" w:sz="0" w:space="0" w:color="auto"/>
            <w:bottom w:val="none" w:sz="0" w:space="0" w:color="auto"/>
            <w:right w:val="none" w:sz="0" w:space="0" w:color="auto"/>
          </w:divBdr>
          <w:divsChild>
            <w:div w:id="1119370336">
              <w:marLeft w:val="0"/>
              <w:marRight w:val="0"/>
              <w:marTop w:val="150"/>
              <w:marBottom w:val="0"/>
              <w:divBdr>
                <w:top w:val="none" w:sz="0" w:space="0" w:color="auto"/>
                <w:left w:val="none" w:sz="0" w:space="0" w:color="auto"/>
                <w:bottom w:val="none" w:sz="0" w:space="0" w:color="auto"/>
                <w:right w:val="none" w:sz="0" w:space="0" w:color="auto"/>
              </w:divBdr>
            </w:div>
          </w:divsChild>
        </w:div>
        <w:div w:id="1821462206">
          <w:marLeft w:val="0"/>
          <w:marRight w:val="0"/>
          <w:marTop w:val="105"/>
          <w:marBottom w:val="0"/>
          <w:divBdr>
            <w:top w:val="none" w:sz="0" w:space="0" w:color="auto"/>
            <w:left w:val="none" w:sz="0" w:space="0" w:color="auto"/>
            <w:bottom w:val="none" w:sz="0" w:space="0" w:color="auto"/>
            <w:right w:val="none" w:sz="0" w:space="0" w:color="auto"/>
          </w:divBdr>
        </w:div>
      </w:divsChild>
    </w:div>
    <w:div w:id="1628119456">
      <w:bodyDiv w:val="1"/>
      <w:marLeft w:val="0"/>
      <w:marRight w:val="0"/>
      <w:marTop w:val="0"/>
      <w:marBottom w:val="0"/>
      <w:divBdr>
        <w:top w:val="none" w:sz="0" w:space="0" w:color="auto"/>
        <w:left w:val="none" w:sz="0" w:space="0" w:color="auto"/>
        <w:bottom w:val="none" w:sz="0" w:space="0" w:color="auto"/>
        <w:right w:val="none" w:sz="0" w:space="0" w:color="auto"/>
      </w:divBdr>
      <w:divsChild>
        <w:div w:id="53360309">
          <w:marLeft w:val="1800"/>
          <w:marRight w:val="0"/>
          <w:marTop w:val="86"/>
          <w:marBottom w:val="0"/>
          <w:divBdr>
            <w:top w:val="none" w:sz="0" w:space="0" w:color="auto"/>
            <w:left w:val="none" w:sz="0" w:space="0" w:color="auto"/>
            <w:bottom w:val="none" w:sz="0" w:space="0" w:color="auto"/>
            <w:right w:val="none" w:sz="0" w:space="0" w:color="auto"/>
          </w:divBdr>
        </w:div>
        <w:div w:id="651101096">
          <w:marLeft w:val="1166"/>
          <w:marRight w:val="0"/>
          <w:marTop w:val="96"/>
          <w:marBottom w:val="0"/>
          <w:divBdr>
            <w:top w:val="none" w:sz="0" w:space="0" w:color="auto"/>
            <w:left w:val="none" w:sz="0" w:space="0" w:color="auto"/>
            <w:bottom w:val="none" w:sz="0" w:space="0" w:color="auto"/>
            <w:right w:val="none" w:sz="0" w:space="0" w:color="auto"/>
          </w:divBdr>
        </w:div>
        <w:div w:id="953168536">
          <w:marLeft w:val="547"/>
          <w:marRight w:val="0"/>
          <w:marTop w:val="96"/>
          <w:marBottom w:val="0"/>
          <w:divBdr>
            <w:top w:val="none" w:sz="0" w:space="0" w:color="auto"/>
            <w:left w:val="none" w:sz="0" w:space="0" w:color="auto"/>
            <w:bottom w:val="none" w:sz="0" w:space="0" w:color="auto"/>
            <w:right w:val="none" w:sz="0" w:space="0" w:color="auto"/>
          </w:divBdr>
        </w:div>
        <w:div w:id="1027679091">
          <w:marLeft w:val="547"/>
          <w:marRight w:val="0"/>
          <w:marTop w:val="96"/>
          <w:marBottom w:val="0"/>
          <w:divBdr>
            <w:top w:val="none" w:sz="0" w:space="0" w:color="auto"/>
            <w:left w:val="none" w:sz="0" w:space="0" w:color="auto"/>
            <w:bottom w:val="none" w:sz="0" w:space="0" w:color="auto"/>
            <w:right w:val="none" w:sz="0" w:space="0" w:color="auto"/>
          </w:divBdr>
        </w:div>
        <w:div w:id="1187328206">
          <w:marLeft w:val="1800"/>
          <w:marRight w:val="0"/>
          <w:marTop w:val="86"/>
          <w:marBottom w:val="0"/>
          <w:divBdr>
            <w:top w:val="none" w:sz="0" w:space="0" w:color="auto"/>
            <w:left w:val="none" w:sz="0" w:space="0" w:color="auto"/>
            <w:bottom w:val="none" w:sz="0" w:space="0" w:color="auto"/>
            <w:right w:val="none" w:sz="0" w:space="0" w:color="auto"/>
          </w:divBdr>
        </w:div>
        <w:div w:id="1271164972">
          <w:marLeft w:val="1166"/>
          <w:marRight w:val="0"/>
          <w:marTop w:val="96"/>
          <w:marBottom w:val="0"/>
          <w:divBdr>
            <w:top w:val="none" w:sz="0" w:space="0" w:color="auto"/>
            <w:left w:val="none" w:sz="0" w:space="0" w:color="auto"/>
            <w:bottom w:val="none" w:sz="0" w:space="0" w:color="auto"/>
            <w:right w:val="none" w:sz="0" w:space="0" w:color="auto"/>
          </w:divBdr>
        </w:div>
        <w:div w:id="1680038938">
          <w:marLeft w:val="547"/>
          <w:marRight w:val="0"/>
          <w:marTop w:val="96"/>
          <w:marBottom w:val="0"/>
          <w:divBdr>
            <w:top w:val="none" w:sz="0" w:space="0" w:color="auto"/>
            <w:left w:val="none" w:sz="0" w:space="0" w:color="auto"/>
            <w:bottom w:val="none" w:sz="0" w:space="0" w:color="auto"/>
            <w:right w:val="none" w:sz="0" w:space="0" w:color="auto"/>
          </w:divBdr>
        </w:div>
        <w:div w:id="1683703493">
          <w:marLeft w:val="547"/>
          <w:marRight w:val="0"/>
          <w:marTop w:val="96"/>
          <w:marBottom w:val="0"/>
          <w:divBdr>
            <w:top w:val="none" w:sz="0" w:space="0" w:color="auto"/>
            <w:left w:val="none" w:sz="0" w:space="0" w:color="auto"/>
            <w:bottom w:val="none" w:sz="0" w:space="0" w:color="auto"/>
            <w:right w:val="none" w:sz="0" w:space="0" w:color="auto"/>
          </w:divBdr>
        </w:div>
        <w:div w:id="2130582000">
          <w:marLeft w:val="1800"/>
          <w:marRight w:val="0"/>
          <w:marTop w:val="86"/>
          <w:marBottom w:val="0"/>
          <w:divBdr>
            <w:top w:val="none" w:sz="0" w:space="0" w:color="auto"/>
            <w:left w:val="none" w:sz="0" w:space="0" w:color="auto"/>
            <w:bottom w:val="none" w:sz="0" w:space="0" w:color="auto"/>
            <w:right w:val="none" w:sz="0" w:space="0" w:color="auto"/>
          </w:divBdr>
        </w:div>
      </w:divsChild>
    </w:div>
    <w:div w:id="1642807494">
      <w:bodyDiv w:val="1"/>
      <w:marLeft w:val="0"/>
      <w:marRight w:val="0"/>
      <w:marTop w:val="0"/>
      <w:marBottom w:val="0"/>
      <w:divBdr>
        <w:top w:val="none" w:sz="0" w:space="0" w:color="auto"/>
        <w:left w:val="none" w:sz="0" w:space="0" w:color="auto"/>
        <w:bottom w:val="none" w:sz="0" w:space="0" w:color="auto"/>
        <w:right w:val="none" w:sz="0" w:space="0" w:color="auto"/>
      </w:divBdr>
    </w:div>
    <w:div w:id="1667633403">
      <w:bodyDiv w:val="1"/>
      <w:marLeft w:val="0"/>
      <w:marRight w:val="0"/>
      <w:marTop w:val="0"/>
      <w:marBottom w:val="0"/>
      <w:divBdr>
        <w:top w:val="none" w:sz="0" w:space="0" w:color="auto"/>
        <w:left w:val="none" w:sz="0" w:space="0" w:color="auto"/>
        <w:bottom w:val="none" w:sz="0" w:space="0" w:color="auto"/>
        <w:right w:val="none" w:sz="0" w:space="0" w:color="auto"/>
      </w:divBdr>
    </w:div>
    <w:div w:id="1689091570">
      <w:bodyDiv w:val="1"/>
      <w:marLeft w:val="0"/>
      <w:marRight w:val="0"/>
      <w:marTop w:val="0"/>
      <w:marBottom w:val="0"/>
      <w:divBdr>
        <w:top w:val="none" w:sz="0" w:space="0" w:color="auto"/>
        <w:left w:val="none" w:sz="0" w:space="0" w:color="auto"/>
        <w:bottom w:val="none" w:sz="0" w:space="0" w:color="auto"/>
        <w:right w:val="none" w:sz="0" w:space="0" w:color="auto"/>
      </w:divBdr>
      <w:divsChild>
        <w:div w:id="1516994558">
          <w:blockQuote w:val="1"/>
          <w:marLeft w:val="240"/>
          <w:marRight w:val="240"/>
          <w:marTop w:val="210"/>
          <w:marBottom w:val="210"/>
          <w:divBdr>
            <w:top w:val="none" w:sz="0" w:space="0" w:color="auto"/>
            <w:left w:val="none" w:sz="0" w:space="0" w:color="auto"/>
            <w:bottom w:val="none" w:sz="0" w:space="0" w:color="auto"/>
            <w:right w:val="none" w:sz="0" w:space="0" w:color="auto"/>
          </w:divBdr>
        </w:div>
      </w:divsChild>
    </w:div>
    <w:div w:id="1698920397">
      <w:bodyDiv w:val="1"/>
      <w:marLeft w:val="0"/>
      <w:marRight w:val="0"/>
      <w:marTop w:val="0"/>
      <w:marBottom w:val="0"/>
      <w:divBdr>
        <w:top w:val="none" w:sz="0" w:space="0" w:color="auto"/>
        <w:left w:val="none" w:sz="0" w:space="0" w:color="auto"/>
        <w:bottom w:val="none" w:sz="0" w:space="0" w:color="auto"/>
        <w:right w:val="none" w:sz="0" w:space="0" w:color="auto"/>
      </w:divBdr>
      <w:divsChild>
        <w:div w:id="1859545215">
          <w:marLeft w:val="0"/>
          <w:marRight w:val="0"/>
          <w:marTop w:val="0"/>
          <w:marBottom w:val="0"/>
          <w:divBdr>
            <w:top w:val="none" w:sz="0" w:space="0" w:color="auto"/>
            <w:left w:val="none" w:sz="0" w:space="0" w:color="auto"/>
            <w:bottom w:val="none" w:sz="0" w:space="0" w:color="auto"/>
            <w:right w:val="none" w:sz="0" w:space="0" w:color="auto"/>
          </w:divBdr>
        </w:div>
        <w:div w:id="1878663860">
          <w:marLeft w:val="0"/>
          <w:marRight w:val="0"/>
          <w:marTop w:val="0"/>
          <w:marBottom w:val="0"/>
          <w:divBdr>
            <w:top w:val="none" w:sz="0" w:space="0" w:color="auto"/>
            <w:left w:val="none" w:sz="0" w:space="0" w:color="auto"/>
            <w:bottom w:val="none" w:sz="0" w:space="0" w:color="auto"/>
            <w:right w:val="none" w:sz="0" w:space="0" w:color="auto"/>
          </w:divBdr>
        </w:div>
      </w:divsChild>
    </w:div>
    <w:div w:id="1937131171">
      <w:bodyDiv w:val="1"/>
      <w:marLeft w:val="0"/>
      <w:marRight w:val="0"/>
      <w:marTop w:val="0"/>
      <w:marBottom w:val="0"/>
      <w:divBdr>
        <w:top w:val="none" w:sz="0" w:space="0" w:color="auto"/>
        <w:left w:val="none" w:sz="0" w:space="0" w:color="auto"/>
        <w:bottom w:val="none" w:sz="0" w:space="0" w:color="auto"/>
        <w:right w:val="none" w:sz="0" w:space="0" w:color="auto"/>
      </w:divBdr>
    </w:div>
    <w:div w:id="1972175257">
      <w:bodyDiv w:val="1"/>
      <w:marLeft w:val="0"/>
      <w:marRight w:val="0"/>
      <w:marTop w:val="0"/>
      <w:marBottom w:val="0"/>
      <w:divBdr>
        <w:top w:val="none" w:sz="0" w:space="0" w:color="auto"/>
        <w:left w:val="none" w:sz="0" w:space="0" w:color="auto"/>
        <w:bottom w:val="none" w:sz="0" w:space="0" w:color="auto"/>
        <w:right w:val="none" w:sz="0" w:space="0" w:color="auto"/>
      </w:divBdr>
    </w:div>
    <w:div w:id="2005205993">
      <w:bodyDiv w:val="1"/>
      <w:marLeft w:val="0"/>
      <w:marRight w:val="0"/>
      <w:marTop w:val="0"/>
      <w:marBottom w:val="0"/>
      <w:divBdr>
        <w:top w:val="none" w:sz="0" w:space="0" w:color="auto"/>
        <w:left w:val="none" w:sz="0" w:space="0" w:color="auto"/>
        <w:bottom w:val="none" w:sz="0" w:space="0" w:color="auto"/>
        <w:right w:val="none" w:sz="0" w:space="0" w:color="auto"/>
      </w:divBdr>
    </w:div>
    <w:div w:id="2033534178">
      <w:bodyDiv w:val="1"/>
      <w:marLeft w:val="0"/>
      <w:marRight w:val="0"/>
      <w:marTop w:val="0"/>
      <w:marBottom w:val="0"/>
      <w:divBdr>
        <w:top w:val="none" w:sz="0" w:space="0" w:color="auto"/>
        <w:left w:val="none" w:sz="0" w:space="0" w:color="auto"/>
        <w:bottom w:val="none" w:sz="0" w:space="0" w:color="auto"/>
        <w:right w:val="none" w:sz="0" w:space="0" w:color="auto"/>
      </w:divBdr>
      <w:divsChild>
        <w:div w:id="738674553">
          <w:marLeft w:val="0"/>
          <w:marRight w:val="0"/>
          <w:marTop w:val="0"/>
          <w:marBottom w:val="0"/>
          <w:divBdr>
            <w:top w:val="none" w:sz="0" w:space="0" w:color="auto"/>
            <w:left w:val="none" w:sz="0" w:space="0" w:color="auto"/>
            <w:bottom w:val="none" w:sz="0" w:space="0" w:color="auto"/>
            <w:right w:val="none" w:sz="0" w:space="0" w:color="auto"/>
          </w:divBdr>
        </w:div>
        <w:div w:id="1305545838">
          <w:marLeft w:val="0"/>
          <w:marRight w:val="0"/>
          <w:marTop w:val="0"/>
          <w:marBottom w:val="0"/>
          <w:divBdr>
            <w:top w:val="none" w:sz="0" w:space="0" w:color="auto"/>
            <w:left w:val="none" w:sz="0" w:space="0" w:color="auto"/>
            <w:bottom w:val="none" w:sz="0" w:space="0" w:color="auto"/>
            <w:right w:val="none" w:sz="0" w:space="0" w:color="auto"/>
          </w:divBdr>
        </w:div>
        <w:div w:id="1379430487">
          <w:marLeft w:val="0"/>
          <w:marRight w:val="0"/>
          <w:marTop w:val="0"/>
          <w:marBottom w:val="0"/>
          <w:divBdr>
            <w:top w:val="none" w:sz="0" w:space="0" w:color="auto"/>
            <w:left w:val="none" w:sz="0" w:space="0" w:color="auto"/>
            <w:bottom w:val="none" w:sz="0" w:space="0" w:color="auto"/>
            <w:right w:val="none" w:sz="0" w:space="0" w:color="auto"/>
          </w:divBdr>
        </w:div>
        <w:div w:id="1639917171">
          <w:marLeft w:val="0"/>
          <w:marRight w:val="0"/>
          <w:marTop w:val="0"/>
          <w:marBottom w:val="0"/>
          <w:divBdr>
            <w:top w:val="none" w:sz="0" w:space="0" w:color="auto"/>
            <w:left w:val="none" w:sz="0" w:space="0" w:color="auto"/>
            <w:bottom w:val="none" w:sz="0" w:space="0" w:color="auto"/>
            <w:right w:val="none" w:sz="0" w:space="0" w:color="auto"/>
          </w:divBdr>
        </w:div>
      </w:divsChild>
    </w:div>
    <w:div w:id="2058778468">
      <w:bodyDiv w:val="1"/>
      <w:marLeft w:val="0"/>
      <w:marRight w:val="0"/>
      <w:marTop w:val="0"/>
      <w:marBottom w:val="0"/>
      <w:divBdr>
        <w:top w:val="none" w:sz="0" w:space="0" w:color="auto"/>
        <w:left w:val="none" w:sz="0" w:space="0" w:color="auto"/>
        <w:bottom w:val="none" w:sz="0" w:space="0" w:color="auto"/>
        <w:right w:val="none" w:sz="0" w:space="0" w:color="auto"/>
      </w:divBdr>
      <w:divsChild>
        <w:div w:id="20395046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e.bmj.com/content/early/2020/05/06/medethics-2020-1061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EECC-4C7F-4166-B0AA-B97D79A7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15143</Words>
  <Characters>86316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101257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Ballantyne</dc:creator>
  <cp:keywords/>
  <dc:description/>
  <cp:lastModifiedBy>Owen Schaefer</cp:lastModifiedBy>
  <cp:revision>3</cp:revision>
  <cp:lastPrinted>2020-01-22T07:55:00Z</cp:lastPrinted>
  <dcterms:created xsi:type="dcterms:W3CDTF">2020-05-07T08:19:00Z</dcterms:created>
  <dcterms:modified xsi:type="dcterms:W3CDTF">2020-05-07T08:28:00Z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09883f95-2fe7-3569-8a26-39fa11db0141</vt:lpwstr>
  </property>
  <property fmtid="{D5CDD505-2E9C-101B-9397-08002B2CF9AE}" pid="4" name="ZOTERO_PREF_1">
    <vt:lpwstr>&lt;data data-version="3" zotero-version="5.0.85"&gt;&lt;session id="TOoHaIQB"/&gt;&lt;style id="http://www.zotero.org/styles/journal-of-medical-ethics" hasBibliography="1" bibliographyStyleHasBeenSet="1"/&gt;&lt;prefs&gt;&lt;pref name="fieldType" value="Field"/&gt;&lt;pref name="storeRe</vt:lpwstr>
  </property>
  <property fmtid="{D5CDD505-2E9C-101B-9397-08002B2CF9AE}" pid="5" name="ZOTERO_PREF_2">
    <vt:lpwstr>ferences" value="true"/&gt;&lt;pref name="automaticJournalAbbreviations" value="true"/&gt;&lt;/prefs&gt;&lt;/data&gt;</vt:lpwstr>
  </property>
</Properties>
</file>