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2BB9" w14:textId="77777777" w:rsidR="00E67034" w:rsidRDefault="005969B0" w:rsidP="006907DA">
      <w:pPr>
        <w:pStyle w:val="Title"/>
        <w:spacing w:line="240" w:lineRule="auto"/>
        <w:jc w:val="center"/>
        <w:rPr>
          <w:u w:val="none"/>
        </w:rPr>
      </w:pPr>
      <w:r w:rsidRPr="009A59ED">
        <w:rPr>
          <w:u w:val="none"/>
        </w:rPr>
        <w:t xml:space="preserve">How </w:t>
      </w:r>
      <w:r w:rsidR="00E67034" w:rsidRPr="009A59ED">
        <w:rPr>
          <w:u w:val="none"/>
        </w:rPr>
        <w:t>Close</w:t>
      </w:r>
      <w:r w:rsidRPr="009A59ED">
        <w:rPr>
          <w:u w:val="none"/>
        </w:rPr>
        <w:t xml:space="preserve"> Are Impossible Worlds?</w:t>
      </w:r>
    </w:p>
    <w:p w14:paraId="457C8C55" w14:textId="3313FB6C" w:rsidR="00FA4718" w:rsidRPr="000614F4" w:rsidRDefault="00FA4718" w:rsidP="00FA4718">
      <w:pPr>
        <w:jc w:val="center"/>
        <w:rPr>
          <w:b/>
          <w:bCs/>
        </w:rPr>
      </w:pPr>
      <w:r w:rsidRPr="000614F4">
        <w:rPr>
          <w:b/>
          <w:bCs/>
        </w:rPr>
        <w:t>A Critique of Brogaard and Salerno’s Account of Counterpossibles</w:t>
      </w:r>
    </w:p>
    <w:p w14:paraId="6AA64DF8" w14:textId="77777777" w:rsidR="00EE5217" w:rsidRPr="00EE5217" w:rsidRDefault="00EE5217" w:rsidP="00EE5217"/>
    <w:p w14:paraId="5EAB89C3" w14:textId="75252C57" w:rsidR="004464C2" w:rsidRDefault="00791493" w:rsidP="00227F51">
      <w:r>
        <w:rPr>
          <w:b/>
          <w:bCs/>
        </w:rPr>
        <w:t xml:space="preserve">Abstract: </w:t>
      </w:r>
      <w:r w:rsidR="005D6728">
        <w:t xml:space="preserve">Several theorists have been attracted to the idea that in order to account for counterpossibles, i.e. counterfactuals with impossible antecedents, we must appeal to impossible worlds. However, few have attempted to provide a detailed impossible worlds account of counterpossibles. Berit Brogaard and Joe Salerno’s ‘Remarks on Counterpossibles’ is one of the few attempts to fill in this theoretical gap. In this article, I critically examine their account. </w:t>
      </w:r>
      <w:r w:rsidR="00327A19">
        <w:t xml:space="preserve">I </w:t>
      </w:r>
      <w:r w:rsidR="00227F51">
        <w:t>prove</w:t>
      </w:r>
      <w:r w:rsidR="00327A19">
        <w:t xml:space="preserve"> a number of </w:t>
      </w:r>
      <w:r w:rsidR="008B1F9A">
        <w:t xml:space="preserve">unanticipated </w:t>
      </w:r>
      <w:r w:rsidR="00327A19">
        <w:t>implications of their account that end up implying a counterintuitive result. I then examine a sugg</w:t>
      </w:r>
      <w:r w:rsidR="008B1F9A">
        <w:t xml:space="preserve">ested revision and point out a surprising </w:t>
      </w:r>
      <w:r w:rsidR="00327A19">
        <w:t xml:space="preserve">implication of the revision. </w:t>
      </w:r>
    </w:p>
    <w:p w14:paraId="1FC2EEB1" w14:textId="77777777" w:rsidR="002E2CFD" w:rsidRDefault="002E2CFD" w:rsidP="005D6728"/>
    <w:p w14:paraId="632FE0D8" w14:textId="77777777" w:rsidR="00791493" w:rsidRDefault="001C3EC1" w:rsidP="00791493">
      <w:r w:rsidRPr="001C3EC1">
        <w:rPr>
          <w:b/>
          <w:bCs/>
        </w:rPr>
        <w:t>Keywords</w:t>
      </w:r>
      <w:r>
        <w:t>: Counterpossibles; Impossible Worlds; Subjunctives; Vacuism; Brogaard and Salerno; Lewis</w:t>
      </w:r>
    </w:p>
    <w:p w14:paraId="75D0DE1F" w14:textId="5A731787" w:rsidR="00DB6F14" w:rsidRDefault="00DB6F14">
      <w:pPr>
        <w:spacing w:line="276" w:lineRule="auto"/>
      </w:pPr>
    </w:p>
    <w:p w14:paraId="2A9A48D2" w14:textId="68E5EFE6" w:rsidR="00CC4AA7" w:rsidRDefault="00390275" w:rsidP="00CC4AA7">
      <w:pPr>
        <w:pStyle w:val="Heading1"/>
      </w:pPr>
      <w:r>
        <w:t xml:space="preserve">Introduction: </w:t>
      </w:r>
      <w:r w:rsidR="00CC4AA7">
        <w:t>Impossible Worlds Semantics for Counterpossibles</w:t>
      </w:r>
    </w:p>
    <w:p w14:paraId="6F913FCE" w14:textId="0CAF67F2" w:rsidR="00EB4A11" w:rsidRDefault="00542EC4" w:rsidP="00D45B1C">
      <w:r w:rsidRPr="00542EC4">
        <w:t xml:space="preserve">Counterpossibles are </w:t>
      </w:r>
      <w:r w:rsidR="00F5581E">
        <w:t>counterfactuals</w:t>
      </w:r>
      <w:r w:rsidRPr="00542EC4">
        <w:t xml:space="preserve"> with </w:t>
      </w:r>
      <w:r w:rsidR="00D0345D">
        <w:t xml:space="preserve">metaphysically </w:t>
      </w:r>
      <w:r w:rsidRPr="00542EC4">
        <w:t>impossible antecedents.</w:t>
      </w:r>
      <w:r w:rsidR="00EB4A11" w:rsidRPr="005D0315">
        <w:rPr>
          <w:rStyle w:val="FootnoteReference"/>
        </w:rPr>
        <w:footnoteReference w:id="1"/>
      </w:r>
      <w:r w:rsidR="00EB4A11" w:rsidRPr="00542EC4">
        <w:t xml:space="preserve"> It is well known that Lewis-Stalnaker semantics of </w:t>
      </w:r>
      <w:r w:rsidR="00EB4A11">
        <w:t>conditionals</w:t>
      </w:r>
      <w:r w:rsidR="00EB4A11" w:rsidRPr="00542EC4">
        <w:t xml:space="preserve"> have an issue with counterpossibles. </w:t>
      </w:r>
      <w:r w:rsidR="00EB4A11">
        <w:lastRenderedPageBreak/>
        <w:t>Roughly</w:t>
      </w:r>
      <w:r w:rsidR="00EB4A11" w:rsidRPr="00542EC4">
        <w:t xml:space="preserve"> speaking, </w:t>
      </w:r>
      <w:r w:rsidR="00EB4A11">
        <w:t>according to</w:t>
      </w:r>
      <w:r w:rsidR="00EB4A11" w:rsidRPr="00542EC4">
        <w:t xml:space="preserve"> Lewis-Stalnaker</w:t>
      </w:r>
      <w:r w:rsidR="00EB4A11">
        <w:t xml:space="preserve"> semantics, </w:t>
      </w:r>
      <w:r w:rsidR="00EB4A11" w:rsidRPr="00542EC4">
        <w:t>‘</w:t>
      </w:r>
      <w:r w:rsidR="00EB4A11">
        <w:t xml:space="preserve">if it were the case that p, it would be the case that </w:t>
      </w:r>
      <w:r w:rsidR="00EB4A11" w:rsidRPr="00542EC4">
        <w:t>q’</w:t>
      </w:r>
      <w:r w:rsidR="00EB4A11">
        <w:t xml:space="preserve"> (p &gt; q)</w:t>
      </w:r>
      <w:r w:rsidR="00EB4A11" w:rsidRPr="00542EC4">
        <w:t xml:space="preserve"> is true if</w:t>
      </w:r>
      <w:r w:rsidR="00EB4A11">
        <w:t>f</w:t>
      </w:r>
      <w:r w:rsidR="00EB4A11" w:rsidRPr="00542EC4">
        <w:t xml:space="preserve"> the nearest p worlds are </w:t>
      </w:r>
      <w:r w:rsidR="00EB4A11">
        <w:t xml:space="preserve">also </w:t>
      </w:r>
      <w:r w:rsidR="00EB4A11" w:rsidRPr="00542EC4">
        <w:t xml:space="preserve">q worlds. But what happens when there are no </w:t>
      </w:r>
      <w:r w:rsidR="00EB4A11">
        <w:t xml:space="preserve">possible </w:t>
      </w:r>
      <w:r w:rsidR="00EB4A11" w:rsidRPr="00542EC4">
        <w:t>p</w:t>
      </w:r>
      <w:r w:rsidR="00EB4A11">
        <w:t xml:space="preserve"> worlds? According to Lewis’s favored</w:t>
      </w:r>
      <w:r w:rsidR="00EB4A11" w:rsidRPr="00542EC4">
        <w:t xml:space="preserve"> </w:t>
      </w:r>
      <w:r w:rsidR="00EB4A11">
        <w:t xml:space="preserve">account, </w:t>
      </w:r>
      <w:r w:rsidR="00EB4A11" w:rsidRPr="00542EC4">
        <w:t>counterpossibles are vacuously true</w:t>
      </w:r>
      <w:r w:rsidR="00EB4A11">
        <w:t>,</w:t>
      </w:r>
      <w:r w:rsidR="00EB4A11" w:rsidRPr="00542EC4">
        <w:t xml:space="preserve"> meaning that </w:t>
      </w:r>
      <w:r w:rsidR="00EB4A11">
        <w:t>regardless of the contents of the specific conditional, they will always come out true</w:t>
      </w:r>
      <w:r w:rsidR="00EB4A11" w:rsidRPr="00542EC4">
        <w:t xml:space="preserve">. </w:t>
      </w:r>
      <w:r w:rsidR="00EB4A11">
        <w:t>I will call this view Positive Vacuism.</w:t>
      </w:r>
      <w:r w:rsidR="00EB4A11" w:rsidRPr="000F5818">
        <w:rPr>
          <w:rStyle w:val="FootnoteReference"/>
        </w:rPr>
        <w:t xml:space="preserve"> </w:t>
      </w:r>
      <w:r w:rsidR="00EB4A11" w:rsidRPr="005D0315">
        <w:rPr>
          <w:rStyle w:val="FootnoteReference"/>
        </w:rPr>
        <w:footnoteReference w:id="2"/>
      </w:r>
      <w:r w:rsidR="00EB4A11">
        <w:t xml:space="preserve"> </w:t>
      </w:r>
      <w:r w:rsidR="00EB4A11" w:rsidRPr="00542EC4">
        <w:t xml:space="preserve">To many this seems like a counterintuitive result of Lewis-Stalnaker semantics. </w:t>
      </w:r>
    </w:p>
    <w:p w14:paraId="50A62266" w14:textId="1E9705EB" w:rsidR="00EB4A11" w:rsidRDefault="00EB4A11" w:rsidP="00137B7D">
      <w:r>
        <w:t>Here are two examples of counterpossibles that strike some authors as counterexamples to Vacuism:</w:t>
      </w:r>
    </w:p>
    <w:p w14:paraId="10828810" w14:textId="4837325E" w:rsidR="00EB4A11" w:rsidRPr="008851F5" w:rsidRDefault="00EB4A11" w:rsidP="00137B7D">
      <w:pPr>
        <w:pStyle w:val="Quote"/>
        <w:numPr>
          <w:ilvl w:val="0"/>
          <w:numId w:val="12"/>
        </w:numPr>
      </w:pPr>
      <w:r w:rsidRPr="008851F5">
        <w:t xml:space="preserve">If Hobbes had squared the circle, sick children in the mountains of South America at the time would not have cared. </w:t>
      </w:r>
      <w:r w:rsidRPr="008851F5">
        <w:fldChar w:fldCharType="begin" w:fldLock="1"/>
      </w:r>
      <w:r w:rsidR="00A00F06">
        <w:instrText>ADDIN CSL_CITATION {"citationItems":[{"id":"ITEM-1","itemData":{"DOI":"10.1305/ndjfl/1039540769","abstract":"Reasoning about situations we take to be impossible is useful for a variety of theoretical purposes. Furthermore, using a device of impossible worlds when reasoning about the impossible is useful in the same sorts of ways that the device of possible worlds is useful when reasoning about the possible. This paper discusses some of the uses of impossible worlds and argues that commitment to them can and should be had without great metaphysical or logical cost. The paper then provides an account of reasoning with impossible worlds, by treating such reasoning as reasoning employing counterpossible conditionals, and provides a semantics for the proposed treatment.","author":[{"dropping-particle":"","family":"Nolan","given":"Daniel P.","non-dropping-particle":"","parse-names":false,"suffix":""}],"container-title":"Notre Dame Journal of Formal Logic","id":"ITEM-1","issued":{"date-parts":[["1997"]]},"page":"535-572","title":"Impossible Worlds: A Modest Approach","type":"article-journal","volume":"38"},"locator":"544","uris":["http://www.mendeley.com/documents/?uuid=43185845-c349-4554-9460-63088719636b"]}],"mendeley":{"formattedCitation":"(Nolan, 1997, p. 544)","plainTextFormattedCitation":"(Nolan, 1997, p. 544)","previouslyFormattedCitation":"(Nolan, 1997, p. 544)"},"properties":{"noteIndex":0},"schema":"https://github.com/citation-style-language/schema/raw/master/csl-citation.json"}</w:instrText>
      </w:r>
      <w:r w:rsidRPr="008851F5">
        <w:fldChar w:fldCharType="separate"/>
      </w:r>
      <w:r w:rsidR="00A00F06" w:rsidRPr="00A00F06">
        <w:rPr>
          <w:noProof/>
        </w:rPr>
        <w:t>(Nolan, 1997, p. 544)</w:t>
      </w:r>
      <w:r w:rsidRPr="008851F5">
        <w:fldChar w:fldCharType="end"/>
      </w:r>
    </w:p>
    <w:p w14:paraId="7AAA7B97" w14:textId="5BEB5E73" w:rsidR="00EB4A11" w:rsidRDefault="00EB4A11" w:rsidP="00137B7D">
      <w:pPr>
        <w:pStyle w:val="Quote"/>
        <w:numPr>
          <w:ilvl w:val="0"/>
          <w:numId w:val="12"/>
        </w:numPr>
      </w:pPr>
      <w:r w:rsidRPr="008851F5">
        <w:t xml:space="preserve">If intuitionistic logic were the correct logic, then the law of excluded middle would still be unrestrictedly valid. </w:t>
      </w:r>
      <w:r w:rsidRPr="008851F5">
        <w:fldChar w:fldCharType="begin" w:fldLock="1"/>
      </w:r>
      <w:r w:rsidR="00A00F06">
        <w:instrText>ADDIN CSL_CITATION {"citationItems":[{"id":"ITEM-1","itemData":{"DOI":"10.1007/s11229-012-0196-6","ISSN":"0039-7857","author":[{"dropping-particle":"","family":"Brogaard","given":"Berit","non-dropping-particle":"","parse-names":false,"suffix":""},{"dropping-particle":"","family":"Salerno","given":"Joe","non-dropping-particle":"","parse-names":false,"suffix":""}],"container-title":"Synthese","id":"ITEM-1","issue":"4","issued":{"date-parts":[["2013","12","21"]]},"page":"639-660","title":"Remarks on Counterpossibles","type":"article-journal","volume":"190"},"locator":"643","uris":["http://www.mendeley.com/documents/?uuid=8ca0c1ce-72cd-4b89-bd79-3fa6989cc1b1"]}],"mendeley":{"formattedCitation":"(Brogaard and Salerno, 2013, p. 643)","plainTextFormattedCitation":"(Brogaard and Salerno, 2013, p. 643)","previouslyFormattedCitation":"(Brogaard and Salerno, 2013, p. 643)"},"properties":{"noteIndex":0},"schema":"https://github.com/citation-style-language/schema/raw/master/csl-citation.json"}</w:instrText>
      </w:r>
      <w:r w:rsidRPr="008851F5">
        <w:fldChar w:fldCharType="separate"/>
      </w:r>
      <w:r w:rsidR="00A00F06" w:rsidRPr="00A00F06">
        <w:rPr>
          <w:noProof/>
        </w:rPr>
        <w:t>(Brogaard and Salerno, 2013, p. 643)</w:t>
      </w:r>
      <w:r w:rsidRPr="008851F5">
        <w:fldChar w:fldCharType="end"/>
      </w:r>
    </w:p>
    <w:p w14:paraId="79544F61" w14:textId="2B049379" w:rsidR="00EB4A11" w:rsidRPr="00221732" w:rsidRDefault="00EB4A11" w:rsidP="0029073A">
      <w:r>
        <w:lastRenderedPageBreak/>
        <w:t>The first sentence seems intuitively true, but not trivially so. Change the consequent to ‘mathematicians at the time would not have cared’ and the counterfactual becomes intuitively false. The second sentence seems false, and again, non-vacuously. Replace the consequent with its negation and intuitively you get a true sentence. Perhaps most of us couldn’t care less what the imaginary world in which Hobbes had squared the circle would have been like. But sometimes, knowing whether a counterpossible is true or false can be important, as in the second example. When evaluating competing logics, we need a way to assess claims like (2). More generally, whenever we wish to evaluate claims in domains in which all true claims are necessary claims, like logic, mathematics, metaphysics and perhaps basic normative claims, we will likely need a way to evaluate counterpossible claims.</w:t>
      </w:r>
      <w:r w:rsidRPr="005D0315">
        <w:rPr>
          <w:rStyle w:val="FootnoteReference"/>
        </w:rPr>
        <w:footnoteReference w:id="3"/>
      </w:r>
    </w:p>
    <w:p w14:paraId="2768F014" w14:textId="02B40C54" w:rsidR="00EB4A11" w:rsidRDefault="00EB4A11" w:rsidP="00B93FDF">
      <w:r w:rsidRPr="00542EC4">
        <w:t>An attractive alternative, suggested already by Lewis</w:t>
      </w:r>
      <w:r>
        <w:t xml:space="preserve"> </w:t>
      </w:r>
      <w:r w:rsidRPr="00542EC4">
        <w:t>himself</w:t>
      </w:r>
      <w:r>
        <w:t xml:space="preserve"> </w:t>
      </w:r>
      <w:r w:rsidRPr="002D080F">
        <w:fldChar w:fldCharType="begin" w:fldLock="1"/>
      </w:r>
      <w:r w:rsidR="00A00F06">
        <w:instrText>ADDIN CSL_CITATION {"citationItems":[{"id":"ITEM-1","itemData":{"author":[{"dropping-particle":"","family":"Lewis","given":"David","non-dropping-particle":"","parse-names":false,"suffix":""}],"id":"ITEM-1","issued":{"date-parts":[["1973"]]},"publisher":"Blackwell Publishers","publisher-place":"Oxford","title":"Counterfactuals","type":"book"},"locator":"24","suppress-author":1,"uris":["http://www.mendeley.com/documents/?uuid=23027df0-0d45-41e6-9d1d-042e2f1a1b31"]}],"mendeley":{"formattedCitation":"(1973, p. 24)","plainTextFormattedCitation":"(1973, p. 24)","previouslyFormattedCitation":"(1973, p. 24)"},"properties":{"noteIndex":0},"schema":"https://github.com/citation-style-language/schema/raw/master/csl-citation.json"}</w:instrText>
      </w:r>
      <w:r w:rsidRPr="002D080F">
        <w:fldChar w:fldCharType="separate"/>
      </w:r>
      <w:r w:rsidR="00A00F06" w:rsidRPr="00A00F06">
        <w:rPr>
          <w:noProof/>
        </w:rPr>
        <w:t>(1973, p. 24)</w:t>
      </w:r>
      <w:r w:rsidRPr="002D080F">
        <w:fldChar w:fldCharType="end"/>
      </w:r>
      <w:r w:rsidRPr="00542EC4">
        <w:t xml:space="preserve">, is to </w:t>
      </w:r>
      <w:r>
        <w:t xml:space="preserve">posit </w:t>
      </w:r>
      <w:r w:rsidRPr="00542EC4">
        <w:t>impossible worlds</w:t>
      </w:r>
      <w:r>
        <w:t xml:space="preserve"> in addition to the familiar possible worlds</w:t>
      </w:r>
      <w:r w:rsidRPr="00542EC4">
        <w:t>.</w:t>
      </w:r>
      <w:r w:rsidRPr="005D0315">
        <w:rPr>
          <w:rStyle w:val="FootnoteReference"/>
        </w:rPr>
        <w:footnoteReference w:id="4"/>
      </w:r>
      <w:r w:rsidRPr="00542EC4">
        <w:t xml:space="preserve"> </w:t>
      </w:r>
      <w:r>
        <w:t>A</w:t>
      </w:r>
      <w:r w:rsidRPr="00542EC4">
        <w:t>n impossible worlds account of counterp</w:t>
      </w:r>
      <w:r>
        <w:t xml:space="preserve">ossibles makes a counterpossible </w:t>
      </w:r>
      <w:r w:rsidRPr="00542EC4">
        <w:t>p</w:t>
      </w:r>
      <w:r>
        <w:t xml:space="preserve"> &gt; </w:t>
      </w:r>
      <w:r w:rsidRPr="00542EC4">
        <w:t xml:space="preserve">q true iff the </w:t>
      </w:r>
      <w:r>
        <w:t>closest</w:t>
      </w:r>
      <w:r w:rsidRPr="00542EC4">
        <w:t xml:space="preserve"> impossible p worlds are also q worlds. A good impossible worlds account of counterpossibles must explain what impossible worlds are, and how the ‘closeness’ relation operates on such worlds. Brogaard and Salerno’s (hence forth – B&amp;S) ‘Remarks on Counterpossibles’</w:t>
      </w:r>
      <w:r>
        <w:fldChar w:fldCharType="begin" w:fldLock="1"/>
      </w:r>
      <w:r w:rsidR="00307407">
        <w:instrText>ADDIN CSL_CITATION {"citationItems":[{"id":"ITEM-1","itemData":{"DOI":"10.1007/s11229-012-0196-6","ISSN":"0039-7857","author":[{"dropping-particle":"","family":"Brogaard","given":"Berit","non-dropping-particle":"","parse-names":false,"suffix":""},{"dropping-particle":"","family":"Salerno","given":"Joe","non-dropping-particle":"","parse-names":false,"suffix":""}],"container-title":"Synthese","id":"ITEM-1","issue":"4","issued":{"date-parts":[["2013","12","21"]]},"page":"639-660","title":"Remarks on Counterpossibles","type":"article-journal","volume":"190"},"suppress-author":1,"uris":["http://www.mendeley.com/documents/?uuid=8ca0c1ce-72cd-4b89-bd79-3fa6989cc1b1"]}],"mendeley":{"formattedCitation":"(2013)","plainTextFormattedCitation":"(2013)","previouslyFormattedCitation":"(2013)"},"properties":{"noteIndex":0},"schema":"https://github.com/citation-style-language/schema/raw/master/csl-citation.json"}</w:instrText>
      </w:r>
      <w:r>
        <w:fldChar w:fldCharType="separate"/>
      </w:r>
      <w:r w:rsidRPr="00BC4BDE">
        <w:rPr>
          <w:noProof/>
        </w:rPr>
        <w:t>(2013)</w:t>
      </w:r>
      <w:r>
        <w:fldChar w:fldCharType="end"/>
      </w:r>
      <w:r w:rsidRPr="00542EC4">
        <w:t xml:space="preserve"> </w:t>
      </w:r>
      <w:r>
        <w:t xml:space="preserve">seeks to provide these explanations. Since it is one of the only attempts to do so, and as such it is widely cited, I believe it deserves careful consideration. I will argue that their account fails as is. I will then discuss a potential amendment to their account and point out a few surprising and perhaps counterintuitive implications of the amended account. I conclude with some remarks on how B&amp;S’s insights may be incorporated in future attempts to analyze counterpossibles.  </w:t>
      </w:r>
    </w:p>
    <w:p w14:paraId="657C3210" w14:textId="0E3B92A6" w:rsidR="00EB4A11" w:rsidRPr="0026130D" w:rsidRDefault="00EB4A11" w:rsidP="0026130D">
      <w:r w:rsidRPr="0026130D">
        <w:lastRenderedPageBreak/>
        <w:t xml:space="preserve">Here is the plan for the remainder of this paper: In the next section, I present Brogaard and Salerno’s semantics for counterpossibles. The following two sections discuss in turn the two factors that compose their account. The first component is shown to have some unanticipated and potentially problematic consequences. The second component is shown to imply a counterintuitive result, which requires an amendment to the account. The amendment in turn is shown to itself have a surprising implication. I conclude in the final section.   </w:t>
      </w:r>
    </w:p>
    <w:p w14:paraId="1BD44DCA" w14:textId="1D1C65DB" w:rsidR="00EB4A11" w:rsidRPr="002025FF" w:rsidRDefault="00EB4A11" w:rsidP="00CC4AA7">
      <w:pPr>
        <w:pStyle w:val="Heading1"/>
      </w:pPr>
      <w:r>
        <w:t xml:space="preserve">Brogaard and Salerno’s Account </w:t>
      </w:r>
    </w:p>
    <w:p w14:paraId="2827012F" w14:textId="77777777" w:rsidR="00EB4A11" w:rsidRPr="00715DF0" w:rsidRDefault="00EB4A11" w:rsidP="00542EC4">
      <w:r>
        <w:t xml:space="preserve">B&amp;S’s preferred Lewisian account of subjunctive conditionals is the following: </w:t>
      </w:r>
    </w:p>
    <w:p w14:paraId="7B652969" w14:textId="4DC83BA4" w:rsidR="00EB4A11" w:rsidRDefault="00EB4A11" w:rsidP="00C31EA2">
      <w:pPr>
        <w:pStyle w:val="Quote"/>
      </w:pPr>
      <w:r>
        <w:rPr>
          <w:b/>
          <w:bCs/>
        </w:rPr>
        <w:t>Lewisian Account of Subjunctives:</w:t>
      </w:r>
      <w:r>
        <w:t xml:space="preserve"> A subjunctive, ‘if it were the case that p, it would be the case that q’, is true just when every closest p-world is a q-world, where ‘closest’ is read as ‘most relevantly similar’. (p. 641)</w:t>
      </w:r>
      <w:r w:rsidRPr="005D0315">
        <w:rPr>
          <w:rStyle w:val="FootnoteReference"/>
        </w:rPr>
        <w:footnoteReference w:id="5"/>
      </w:r>
    </w:p>
    <w:p w14:paraId="72F289F7" w14:textId="2FEADEE7" w:rsidR="00EB4A11" w:rsidRPr="002D080F" w:rsidRDefault="00EB4A11" w:rsidP="00F468BF">
      <w:r>
        <w:t xml:space="preserve">Lewis himself included only possible worlds in his theory. However, if this sort of Lewisian account is generally a good account for subjunctives, it is tempting to extend it to accommodate counterpossibles by adding impossible worlds to the theory. For example, it is tempting to think that (1) is true because in the closest (impossible) worlds in which Hobbes succeeds in squaring the circle, sick children in the mountains of South America do not care. And it is tempting to think that (2) is false because in the closest (impossible) worlds in which intuitionistic logic is true, the law of excluded middle is not unrestrictedly valid. In </w:t>
      </w:r>
      <w:r>
        <w:lastRenderedPageBreak/>
        <w:t xml:space="preserve">order to make sense of this idea, we need an account of impossible worlds and the closeness relation between impossible worlds and the base world.  </w:t>
      </w:r>
    </w:p>
    <w:p w14:paraId="5DA3CD6D" w14:textId="3998BC24" w:rsidR="00EB4A11" w:rsidRPr="00542EC4" w:rsidRDefault="00EB4A11" w:rsidP="00B96BF8">
      <w:r>
        <w:t>An account of i</w:t>
      </w:r>
      <w:r w:rsidRPr="00542EC4">
        <w:t xml:space="preserve">mpossible worlds </w:t>
      </w:r>
      <w:r>
        <w:t>is supposed to be</w:t>
      </w:r>
      <w:r w:rsidRPr="00542EC4">
        <w:t xml:space="preserve"> a natural extension of</w:t>
      </w:r>
      <w:r>
        <w:t xml:space="preserve"> an account of possible worlds. Therefore, B&amp;S are right to choose an account for worlds that can accommodate both possible and impossible worlds. According to their account, a world is (p. 651-2): </w:t>
      </w:r>
    </w:p>
    <w:p w14:paraId="700CC2CF" w14:textId="77777777" w:rsidR="00EB4A11" w:rsidRPr="00542EC4" w:rsidRDefault="00EB4A11" w:rsidP="002309F6">
      <w:pPr>
        <w:pStyle w:val="Quote"/>
      </w:pPr>
      <w:r w:rsidRPr="00542EC4">
        <w:rPr>
          <w:b/>
          <w:bCs/>
        </w:rPr>
        <w:t>World</w:t>
      </w:r>
      <w:r w:rsidRPr="00542EC4">
        <w:t>: A maximal set of sentences.</w:t>
      </w:r>
      <w:bookmarkStart w:id="0" w:name="_Ref437952765"/>
      <w:r w:rsidRPr="005D0315">
        <w:rPr>
          <w:rStyle w:val="FootnoteReference"/>
        </w:rPr>
        <w:footnoteReference w:id="6"/>
      </w:r>
      <w:bookmarkEnd w:id="0"/>
    </w:p>
    <w:p w14:paraId="349A74D6" w14:textId="77777777" w:rsidR="00EB4A11" w:rsidRPr="00542EC4" w:rsidRDefault="00EB4A11" w:rsidP="00AA2105">
      <w:r w:rsidRPr="00542EC4">
        <w:t xml:space="preserve">Which in turn </w:t>
      </w:r>
      <w:r>
        <w:t>they define as</w:t>
      </w:r>
      <w:r w:rsidRPr="00542EC4">
        <w:t xml:space="preserve">: </w:t>
      </w:r>
    </w:p>
    <w:p w14:paraId="2481167A" w14:textId="1266B0CE" w:rsidR="00EB4A11" w:rsidRDefault="00EB4A11" w:rsidP="00406F78">
      <w:pPr>
        <w:pStyle w:val="Quote"/>
        <w:rPr>
          <w:rtl/>
        </w:rPr>
      </w:pPr>
      <w:r w:rsidRPr="00542EC4">
        <w:rPr>
          <w:b/>
          <w:bCs/>
        </w:rPr>
        <w:t>Maximal Set</w:t>
      </w:r>
      <w:r w:rsidRPr="00542EC4">
        <w:t xml:space="preserve">: A set S is maximal iff for any sentence p, </w:t>
      </w:r>
      <w:r>
        <w:t xml:space="preserve">either </w:t>
      </w:r>
      <w:r w:rsidRPr="00542EC4">
        <w:t xml:space="preserve">p or </w:t>
      </w:r>
      <w:r>
        <w:t>¬</w:t>
      </w:r>
      <w:r w:rsidRPr="00542EC4">
        <w:t>p</w:t>
      </w:r>
      <w:r>
        <w:t xml:space="preserve"> (or both),</w:t>
      </w:r>
      <w:r w:rsidRPr="00542EC4">
        <w:t xml:space="preserve"> is a member of S.</w:t>
      </w:r>
    </w:p>
    <w:p w14:paraId="574C1587" w14:textId="520079B2" w:rsidR="00EB4A11" w:rsidRDefault="00EB4A11" w:rsidP="00C43798">
      <w:r>
        <w:t xml:space="preserve">Both possible and impossible worlds are maximal sets of sentences on this account, with only the following difference between the two: </w:t>
      </w:r>
      <w:r w:rsidRPr="00542EC4">
        <w:t xml:space="preserve">Possible worlds are deductively closed, meaning that for any sentence contained in the world, </w:t>
      </w:r>
      <w:r>
        <w:t xml:space="preserve">the world contains </w:t>
      </w:r>
      <w:r w:rsidRPr="00542EC4">
        <w:t xml:space="preserve">all of its logical consequences as well. </w:t>
      </w:r>
      <w:r>
        <w:t xml:space="preserve">In contrast, </w:t>
      </w:r>
      <w:r w:rsidRPr="00542EC4">
        <w:t xml:space="preserve">impossible worlds </w:t>
      </w:r>
      <w:r>
        <w:t>need not be deductively closed.</w:t>
      </w:r>
      <w:r w:rsidRPr="005D0315">
        <w:rPr>
          <w:rStyle w:val="FootnoteReference"/>
        </w:rPr>
        <w:footnoteReference w:id="7"/>
      </w:r>
      <w:r w:rsidRPr="00542EC4">
        <w:t xml:space="preserve"> </w:t>
      </w:r>
      <w:r>
        <w:t xml:space="preserve">As is </w:t>
      </w:r>
      <w:r>
        <w:lastRenderedPageBreak/>
        <w:t xml:space="preserve">standard, what it means for a sentence to be true in a world is for the sentence to be a member of the set of sentences that composes the given world. </w:t>
      </w:r>
    </w:p>
    <w:p w14:paraId="71E4604A" w14:textId="6076148A" w:rsidR="00EB4A11" w:rsidRPr="00542EC4" w:rsidRDefault="00EB4A11" w:rsidP="00F468BF">
      <w:r>
        <w:t>Since the definition of worlds is rather unrestrictive, i.e. any maximal set of sentences counts as a world no matter how incoherent, the onus remains on the closeness relation to predict which counterpossibles are true and which are false.</w:t>
      </w:r>
      <w:r>
        <w:rPr>
          <w:rStyle w:val="FootnoteReference"/>
        </w:rPr>
        <w:footnoteReference w:id="8"/>
      </w:r>
      <w:r>
        <w:t xml:space="preserve"> It is therefore this part of their theory that I will focus on. </w:t>
      </w:r>
      <w:r w:rsidRPr="008E3C38">
        <w:t>What determines the closeness of impossible worlds</w:t>
      </w:r>
      <w:r w:rsidRPr="00542EC4">
        <w:t xml:space="preserve">? B&amp;S’s proposal involves two factors. </w:t>
      </w:r>
      <w:r w:rsidRPr="008E3C38">
        <w:t xml:space="preserve">They formulate a formal </w:t>
      </w:r>
      <w:r>
        <w:t xml:space="preserve">account of closeness as an account for comparing pairs of worlds to the base world as follows: </w:t>
      </w:r>
    </w:p>
    <w:p w14:paraId="614ED956" w14:textId="77777777" w:rsidR="00EB4A11" w:rsidRPr="00542EC4" w:rsidRDefault="00EB4A11" w:rsidP="00A64917">
      <w:pPr>
        <w:pStyle w:val="Quote"/>
      </w:pPr>
      <w:r w:rsidRPr="00542EC4">
        <w:rPr>
          <w:b/>
          <w:bCs/>
        </w:rPr>
        <w:t>Closeness</w:t>
      </w:r>
      <w:r w:rsidRPr="00542EC4">
        <w:t xml:space="preserve">: For any two </w:t>
      </w:r>
      <w:r>
        <w:t xml:space="preserve">impossible </w:t>
      </w:r>
      <w:r w:rsidRPr="00542EC4">
        <w:t>worlds w</w:t>
      </w:r>
      <w:r w:rsidRPr="008A1BC8">
        <w:rPr>
          <w:vertAlign w:val="subscript"/>
        </w:rPr>
        <w:t>1</w:t>
      </w:r>
      <w:r w:rsidRPr="00542EC4">
        <w:t xml:space="preserve"> and w</w:t>
      </w:r>
      <w:r w:rsidRPr="008A1BC8">
        <w:rPr>
          <w:vertAlign w:val="subscript"/>
        </w:rPr>
        <w:t>2</w:t>
      </w:r>
      <w:r w:rsidRPr="00542EC4">
        <w:t>, w</w:t>
      </w:r>
      <w:r w:rsidRPr="008A1BC8">
        <w:rPr>
          <w:vertAlign w:val="subscript"/>
        </w:rPr>
        <w:t>1</w:t>
      </w:r>
      <w:r w:rsidRPr="00542EC4">
        <w:t xml:space="preserve"> is closer to the base world</w:t>
      </w:r>
      <w:r w:rsidRPr="005D0315">
        <w:rPr>
          <w:rStyle w:val="FootnoteReference"/>
        </w:rPr>
        <w:footnoteReference w:id="9"/>
      </w:r>
      <w:r w:rsidRPr="00542EC4">
        <w:t xml:space="preserve"> than w</w:t>
      </w:r>
      <w:r w:rsidRPr="008A1BC8">
        <w:rPr>
          <w:vertAlign w:val="subscript"/>
        </w:rPr>
        <w:t>2</w:t>
      </w:r>
      <w:r w:rsidRPr="00542EC4">
        <w:t xml:space="preserve"> iff </w:t>
      </w:r>
    </w:p>
    <w:p w14:paraId="28F4AC28" w14:textId="79F14FA6" w:rsidR="00EB4A11" w:rsidRPr="00542EC4" w:rsidRDefault="00EB4A11" w:rsidP="00D8465C">
      <w:pPr>
        <w:pStyle w:val="Quote"/>
        <w:ind w:left="1440"/>
      </w:pPr>
      <w:r>
        <w:rPr>
          <w:b/>
          <w:bCs/>
        </w:rPr>
        <w:t>[</w:t>
      </w:r>
      <w:r w:rsidRPr="00B734A8">
        <w:rPr>
          <w:b/>
          <w:bCs/>
        </w:rPr>
        <w:t>Less Inconsistent:</w:t>
      </w:r>
      <w:r>
        <w:rPr>
          <w:b/>
          <w:bCs/>
        </w:rPr>
        <w:t>]</w:t>
      </w:r>
      <w:r w:rsidRPr="005D0315">
        <w:rPr>
          <w:rStyle w:val="FootnoteReference"/>
        </w:rPr>
        <w:footnoteReference w:id="10"/>
      </w:r>
      <w:r w:rsidRPr="00542EC4">
        <w:t xml:space="preserve"> w</w:t>
      </w:r>
      <w:r w:rsidRPr="008A1BC8">
        <w:rPr>
          <w:vertAlign w:val="subscript"/>
        </w:rPr>
        <w:t>1</w:t>
      </w:r>
      <w:r w:rsidRPr="00542EC4">
        <w:t xml:space="preserve"> does not contain a greater number of sentences formally inconsistent</w:t>
      </w:r>
      <w:r w:rsidR="00FD4325">
        <w:rPr>
          <w:rStyle w:val="FootnoteReference"/>
        </w:rPr>
        <w:footnoteReference w:id="11"/>
      </w:r>
      <w:r w:rsidRPr="00542EC4">
        <w:t xml:space="preserve"> with the relevant background facts</w:t>
      </w:r>
      <w:r>
        <w:t xml:space="preserve"> [true of the base world]</w:t>
      </w:r>
      <w:r w:rsidRPr="00542EC4">
        <w:t xml:space="preserve"> (held fix</w:t>
      </w:r>
      <w:r>
        <w:t>ed in the context) than w</w:t>
      </w:r>
      <w:r w:rsidRPr="008A1BC8">
        <w:rPr>
          <w:vertAlign w:val="subscript"/>
        </w:rPr>
        <w:t>2</w:t>
      </w:r>
      <w:r>
        <w:t xml:space="preserve"> does.</w:t>
      </w:r>
      <w:r w:rsidRPr="00542EC4">
        <w:t xml:space="preserve"> </w:t>
      </w:r>
    </w:p>
    <w:p w14:paraId="4D7D544B" w14:textId="77777777" w:rsidR="00EB4A11" w:rsidRPr="00542EC4" w:rsidRDefault="00EB4A11" w:rsidP="006B0505">
      <w:pPr>
        <w:pStyle w:val="Quote"/>
        <w:ind w:left="1440"/>
      </w:pPr>
      <w:r w:rsidRPr="00542EC4">
        <w:lastRenderedPageBreak/>
        <w:t>And if w</w:t>
      </w:r>
      <w:r w:rsidRPr="008A1BC8">
        <w:rPr>
          <w:vertAlign w:val="subscript"/>
        </w:rPr>
        <w:t>1</w:t>
      </w:r>
      <w:r w:rsidRPr="00542EC4">
        <w:t xml:space="preserve"> and w</w:t>
      </w:r>
      <w:r w:rsidRPr="008A1BC8">
        <w:rPr>
          <w:vertAlign w:val="subscript"/>
        </w:rPr>
        <w:t>2</w:t>
      </w:r>
      <w:r w:rsidRPr="00542EC4">
        <w:t xml:space="preserve"> contain the same number of sentences formally inconsistent with the relevant background facts (held fixed in the context):</w:t>
      </w:r>
    </w:p>
    <w:p w14:paraId="5C17B250" w14:textId="51A351B0" w:rsidR="00EB4A11" w:rsidRDefault="00EB4A11" w:rsidP="002148A2">
      <w:pPr>
        <w:pStyle w:val="Quote"/>
        <w:ind w:left="1440"/>
      </w:pPr>
      <w:r>
        <w:rPr>
          <w:b/>
          <w:bCs/>
        </w:rPr>
        <w:t>[</w:t>
      </w:r>
      <w:r w:rsidRPr="00B734A8">
        <w:rPr>
          <w:b/>
          <w:bCs/>
        </w:rPr>
        <w:t>More Implications</w:t>
      </w:r>
      <w:r>
        <w:t>:]</w:t>
      </w:r>
      <w:r w:rsidRPr="00542EC4">
        <w:t xml:space="preserve"> w</w:t>
      </w:r>
      <w:r w:rsidRPr="008A1BC8">
        <w:rPr>
          <w:vertAlign w:val="subscript"/>
        </w:rPr>
        <w:t>1</w:t>
      </w:r>
      <w:r w:rsidRPr="00542EC4">
        <w:t xml:space="preserve"> preserv</w:t>
      </w:r>
      <w:r>
        <w:t>es a greater number of a priori</w:t>
      </w:r>
      <w:r w:rsidRPr="00542EC4">
        <w:t xml:space="preserve"> implications between sentences than w</w:t>
      </w:r>
      <w:r w:rsidRPr="008A1BC8">
        <w:rPr>
          <w:vertAlign w:val="subscript"/>
        </w:rPr>
        <w:t>2</w:t>
      </w:r>
      <w:r w:rsidRPr="00542EC4">
        <w:t xml:space="preserve"> does.</w:t>
      </w:r>
      <w:r w:rsidRPr="005D0315">
        <w:rPr>
          <w:rStyle w:val="FootnoteReference"/>
        </w:rPr>
        <w:footnoteReference w:id="12"/>
      </w:r>
    </w:p>
    <w:p w14:paraId="19C9BF3B" w14:textId="29E056D9" w:rsidR="00EB4A11" w:rsidRDefault="00EB4A11" w:rsidP="00016485">
      <w:r>
        <w:t xml:space="preserve">On B&amp;S’s account, closeness of impossible worlds is determined by the two factors that I have dubbed ‘Less Inconsistent’ and ‘More Implications’. The first factor tells us that the closest worlds are those in which as much as possible is similar to relevant facts in the base world. This can potentially explain why the closest ‘Hobbes squared the circle’ worlds are those in which sick children in South America at the time care nothing about whether Hobbes succeeded in solving some mathematical puzzle that they do not understand, and that will have no effect on their lives. Therefore (1) is true. The second factor tells us that the closer worlds are those in which more a priori implications are preserved. In the second example, the thought is that it is an a priori implication of intuitionistic logic that the law of excluded middle does not hold. After all, the exclusion of the law of excluded middle is just part of what we mean by ‘intuitionistic logic’, so there is a conceptual a priori implication. This is supposed to explain why the closer ‘intuitionistic logic’ worlds are those in which it is not the case that the law of excluded middle holds and (2) is false. </w:t>
      </w:r>
    </w:p>
    <w:p w14:paraId="3AF52087" w14:textId="6EBB08F1" w:rsidR="00EB4A11" w:rsidRDefault="00EB4A11">
      <w:r>
        <w:t xml:space="preserve">Before analyzing the view in greater detail, let me make two initial observations. </w:t>
      </w:r>
      <w:r w:rsidRPr="004C07E7">
        <w:t>First</w:t>
      </w:r>
      <w:r>
        <w:t xml:space="preserve">, B&amp;S’s account lacks a uniformity that an account of closeness can be expected to have. B&amp;S restrict their account of closeness to impossible worlds whereas we should expect a general (and hopefully unified) account of closeness for both possible and impossible worlds. After </w:t>
      </w:r>
      <w:r>
        <w:lastRenderedPageBreak/>
        <w:t>all, in addition to comparing impossible worlds with each other, we need our theory to tell us how impossible worlds stand in relation to possible worlds. In fact, surprising as it may seem at first, several authors have argued that sometimes impossible worlds can be closer than possible worlds</w:t>
      </w:r>
      <w:r w:rsidRPr="00F376A5">
        <w:t xml:space="preserve"> </w:t>
      </w:r>
      <w:r w:rsidRPr="00F376A5">
        <w:fldChar w:fldCharType="begin" w:fldLock="1"/>
      </w:r>
      <w:r w:rsidR="00A00F06">
        <w:instrText>ADDIN CSL_CITATION {"citationItems":[{"id":"ITEM-1","itemData":{"DOI":"10.1305/ndjfl/1039540769","abstract":"Reasoning about situations we take to be impossible is useful for a variety of theoretical purposes. Furthermore, using a device of impossible worlds when reasoning about the impossible is useful in the same sorts of ways that the device of possible worlds is useful when reasoning about the possible. This paper discusses some of the uses of impossible worlds and argues that commitment to them can and should be had without great metaphysical or logical cost. The paper then provides an account of reasoning with impossible worlds, by treating such reasoning as reasoning employing counterpossible conditionals, and provides a semantics for the proposed treatment.","author":[{"dropping-particle":"","family":"Nolan","given":"Daniel P.","non-dropping-particle":"","parse-names":false,"suffix":""}],"container-title":"Notre Dame Journal of Formal Logic","id":"ITEM-1","issued":{"date-parts":[["1997"]]},"page":"535-572","title":"Impossible Worlds: A Modest Approach","type":"article-journal","volume":"38"},"locator":"550","uris":["http://www.mendeley.com/documents/?uuid=43185845-c349-4554-9460-63088719636b"]},{"id":"ITEM-2","itemData":{"author":[{"dropping-particle":"","family":"Laan","given":"David","non-dropping-particle":"Vander","parse-names":false,"suffix":""}],"chapter-number":"20","container-title":"Lewisian Themes</w:instrText>
      </w:r>
      <w:r w:rsidR="00A00F06">
        <w:rPr>
          <w:rtl/>
        </w:rPr>
        <w:instrText>‏</w:instrText>
      </w:r>
      <w:r w:rsidR="00A00F06">
        <w:instrText>","editor":[{"dropping-particle":"","family":"Jackson","given":"Frank","non-dropping-particle":"","parse-names":false,"suffix":""},{"dropping-particle":"","family":"Priest","given":"Graham","non-dropping-particle":"","parse-names":false,"suffix":""}],"id":"ITEM-2","issued":{"date-parts":[["2004"]]},"note":"As far as I can tell, Vander Laan doesn't provide a detailed account of impossible worlds or of closeness, so he will not be of much help for me.","page":"258-275","publisher":"Oxford University Press","publisher-place":"Oxford","title":"Counterpossibles and similarity</w:instrText>
      </w:r>
      <w:r w:rsidR="00A00F06">
        <w:rPr>
          <w:rtl/>
        </w:rPr>
        <w:instrText>‏</w:instrText>
      </w:r>
      <w:r w:rsidR="00A00F06">
        <w:instrText>","type":"chapter"},"locator":"271","uris":["http://www.mendeley.com/documents/?uuid=f615f53b-a97e-4364-957e-401fa1c9071c"]}],"mendeley":{"formattedCitation":"(Nolan, 1997, p. 550; Vander Laan, 2004, p. 271)","plainTextFormattedCitation":"(Nolan, 1997, p. 550; Vander Laan, 2004, p. 271)","previouslyFormattedCitation":"(Nolan, 1997, p. 550; Vander Laan, 2004, p. 271)"},"properties":{"noteIndex":0},"schema":"https://github.com/citation-style-language/schema/raw/master/csl-citation.json"}</w:instrText>
      </w:r>
      <w:r w:rsidRPr="00F376A5">
        <w:fldChar w:fldCharType="separate"/>
      </w:r>
      <w:r w:rsidR="00A00F06" w:rsidRPr="00A00F06">
        <w:rPr>
          <w:noProof/>
        </w:rPr>
        <w:t>(Nolan, 1997, p. 550; Vander Laan, 2004, p. 271)</w:t>
      </w:r>
      <w:r w:rsidRPr="00F376A5">
        <w:fldChar w:fldCharType="end"/>
      </w:r>
      <w:r>
        <w:t xml:space="preserve">. </w:t>
      </w:r>
    </w:p>
    <w:p w14:paraId="0201217D" w14:textId="31CACB07" w:rsidR="00EB4A11" w:rsidRDefault="00EB4A11" w:rsidP="003405A1">
      <w:r>
        <w:t xml:space="preserve">Second, their method of measuring differences and measuring degrees of a priori implications is by counting sentences. Vander </w:t>
      </w:r>
      <w:proofErr w:type="spellStart"/>
      <w:r>
        <w:t>Laan</w:t>
      </w:r>
      <w:proofErr w:type="spellEnd"/>
      <w:r>
        <w:t xml:space="preserve"> </w:t>
      </w:r>
      <w:r>
        <w:fldChar w:fldCharType="begin" w:fldLock="1"/>
      </w:r>
      <w:r w:rsidR="00A00F06">
        <w:instrText>ADDIN CSL_CITATION {"citationItems":[{"id":"ITEM-1","itemData":{"author":[{"dropping-particle":"","family":"Laan","given":"David","non-dropping-particle":"Vander","parse-names":false,"suffix":""}],"chapter-number":"20","container-title":"Lewisian Themes</w:instrText>
      </w:r>
      <w:r w:rsidR="00A00F06">
        <w:rPr>
          <w:rtl/>
        </w:rPr>
        <w:instrText>‏</w:instrText>
      </w:r>
      <w:r w:rsidR="00A00F06">
        <w:instrText>","editor":[{"dropping-particle":"","family":"Jackson","given":"Frank","non-dropping-particle":"","parse-names":false,"suffix":""},{"dropping-particle":"","family":"Priest","given":"Graham","non-dropping-particle":"","parse-names":false,"suffix":""}],"id":"ITEM-1","issued":{"date-parts":[["2004"]]},"note":"As far as I can tell, Vander Laan doesn't provide a detailed account of impossible worlds or of closeness, so he will not be of much help for me.","page":"258-275","publisher":"Oxford University Press","publisher-place":"Oxford","title":"Counterpossibles and similarity</w:instrText>
      </w:r>
      <w:r w:rsidR="00A00F06">
        <w:rPr>
          <w:rtl/>
        </w:rPr>
        <w:instrText>‏</w:instrText>
      </w:r>
      <w:r w:rsidR="00A00F06">
        <w:instrText>","type":"chapter"},"locator":"272-274","suppress-author":1,"uris":["http://www.mendeley.com/documents/?uuid=f615f53b-a97e-4364-957e-401fa1c9071c"]}],"mendeley":{"formattedCitation":"(2004, pp. 272–274)","plainTextFormattedCitation":"(2004, pp. 272–274)","previouslyFormattedCitation":"(2004, pp. 272–274)"},"properties":{"noteIndex":0},"schema":"https://github.com/citation-style-language/schema/raw/master/csl-citation.json"}</w:instrText>
      </w:r>
      <w:r>
        <w:fldChar w:fldCharType="separate"/>
      </w:r>
      <w:r w:rsidR="00A00F06" w:rsidRPr="00A00F06">
        <w:rPr>
          <w:noProof/>
        </w:rPr>
        <w:t>(2004, pp. 272–274)</w:t>
      </w:r>
      <w:r>
        <w:fldChar w:fldCharType="end"/>
      </w:r>
      <w:r>
        <w:t xml:space="preserve"> has already warned against this sort of method.</w:t>
      </w:r>
      <w:r w:rsidRPr="005D0315">
        <w:rPr>
          <w:rStyle w:val="FootnoteReference"/>
        </w:rPr>
        <w:footnoteReference w:id="13"/>
      </w:r>
      <w:r>
        <w:t xml:space="preserve"> One of the features of this method is that it gives equal weight to all relevant differences. In this respect, their account seems to go against Lewis’s </w:t>
      </w:r>
      <w:r>
        <w:fldChar w:fldCharType="begin" w:fldLock="1"/>
      </w:r>
      <w:r w:rsidR="00A00F06">
        <w:instrText>ADDIN CSL_CITATION {"citationItems":[{"id":"ITEM-1","itemData":{"author":[{"dropping-particle":"","family":"Lewis","given":"David","non-dropping-particle":"","parse-names":false,"suffix":""}],"id":"ITEM-1","issued":{"date-parts":[["1973"]]},"publisher":"Blackwell Publishers","publisher-place":"Oxford","title":"Counterfactuals","type":"book"},"locator":"91-95","suppress-author":1,"uris":["http://www.mendeley.com/documents/?uuid=23027df0-0d45-41e6-9d1d-042e2f1a1b31"]}],"mendeley":{"formattedCitation":"(1973, pp. 91–95)","plainTextFormattedCitation":"(1973, pp. 91–95)","previouslyFormattedCitation":"(1973, pp. 91–95)"},"properties":{"noteIndex":0},"schema":"https://github.com/citation-style-language/schema/raw/master/csl-citation.json"}</w:instrText>
      </w:r>
      <w:r>
        <w:fldChar w:fldCharType="separate"/>
      </w:r>
      <w:r w:rsidR="00A00F06" w:rsidRPr="00A00F06">
        <w:rPr>
          <w:noProof/>
        </w:rPr>
        <w:t>(1973, pp. 91–95)</w:t>
      </w:r>
      <w:r>
        <w:fldChar w:fldCharType="end"/>
      </w:r>
      <w:r>
        <w:t xml:space="preserve"> insight that weights of different standards of comparison can differ depending on context. Surprisingly we will soon learn that their account actually implies that we never need to count, and this is contrary to how B&amp;S themselves present it.  </w:t>
      </w:r>
    </w:p>
    <w:p w14:paraId="34409D25" w14:textId="66FD83E2" w:rsidR="00EB4A11" w:rsidRDefault="00EB4A11">
      <w:r>
        <w:t xml:space="preserve">Now let’s move to a detailed analysis of B&amp;S’s account of closeness. </w:t>
      </w:r>
    </w:p>
    <w:p w14:paraId="6D5791E3" w14:textId="23FDB8E1" w:rsidR="00EB4A11" w:rsidRDefault="00EB4A11" w:rsidP="00CC4AA7">
      <w:pPr>
        <w:pStyle w:val="Heading1"/>
      </w:pPr>
      <w:r>
        <w:t>Minimizing Discrepancies with the Base World</w:t>
      </w:r>
    </w:p>
    <w:p w14:paraId="65242D8B" w14:textId="3506AF5C" w:rsidR="00EB4A11" w:rsidRDefault="00EB4A11">
      <w:r>
        <w:t>In this section, I will discuss a number of implications of the first factor in B&amp;S’s account: Less Inconsistent. A pertinent difficulty in assessing their account is that they do not provide an account for ‘relevant background facts’. This makes their account flexible enough to ad-</w:t>
      </w:r>
      <w:proofErr w:type="spellStart"/>
      <w:r>
        <w:t>hocly</w:t>
      </w:r>
      <w:proofErr w:type="spellEnd"/>
      <w:r>
        <w:t xml:space="preserve"> give the right predictions to many potential counterexamples. Therefore, in this section I will not be able to provide a conclusive counterexample to their theory. However, I will show that in adjusting the set of relevant background facts so that their theory makes the desired predictions, a number of bullets are bitten. </w:t>
      </w:r>
    </w:p>
    <w:p w14:paraId="7C4A21FA" w14:textId="0BBBB642" w:rsidR="00EB4A11" w:rsidRDefault="00EB4A11">
      <w:r>
        <w:lastRenderedPageBreak/>
        <w:t xml:space="preserve">First, I will prove that their account has the following implication: </w:t>
      </w:r>
    </w:p>
    <w:p w14:paraId="66F77A72" w14:textId="7A5B3D31" w:rsidR="00EB4A11" w:rsidRDefault="00EB4A11" w:rsidP="00F468BF">
      <w:pPr>
        <w:pStyle w:val="Quote"/>
      </w:pPr>
      <w:r>
        <w:t xml:space="preserve">(L1) For any counterpossible of the form p&gt;q and any formally consistent base world (such as the actual world) all the nearest p-worlds must be such that, at most, p is </w:t>
      </w:r>
      <w:r w:rsidRPr="008C5996">
        <w:rPr>
          <w:i/>
        </w:rPr>
        <w:t>the only</w:t>
      </w:r>
      <w:r>
        <w:t xml:space="preserve"> sentence formally inconsistent with relevant background facts. </w:t>
      </w:r>
    </w:p>
    <w:p w14:paraId="11C04BE1" w14:textId="2085873D" w:rsidR="00EB4A11" w:rsidRDefault="00EB4A11">
      <w:r>
        <w:t xml:space="preserve">The proof is as follows. For any p and any base world, there is a world identical to the base world, except that it includes p as well. Call this world the </w:t>
      </w:r>
      <w:r w:rsidRPr="008C5996">
        <w:rPr>
          <w:i/>
          <w:iCs/>
        </w:rPr>
        <w:t>constructed world</w:t>
      </w:r>
      <w:r>
        <w:t>. If the base world is formally consistent, then the only sentence in the constructed world that can potentially be formally inconsistent with background facts, i.e. a subset of the base world, is p itself. No p-world can have less sentences formally inconsistent with relevant facts than that. Therefore, because of Less Inconsistent, all the nearest p worlds are such that at most p is the only sentence formally inconsistent with background facts.</w:t>
      </w:r>
      <w:r>
        <w:rPr>
          <w:rFonts w:cstheme="minorBidi"/>
          <w:lang w:bidi="ar-EG"/>
        </w:rPr>
        <w:t xml:space="preserve"> </w:t>
      </w:r>
      <w:r>
        <w:t xml:space="preserve">(Recall that according to B&amp;S's theory, maximizing a priori implications only comes in after we've found the worlds with the least inconsistencies with relevant background facts). </w:t>
      </w:r>
    </w:p>
    <w:p w14:paraId="76F71C00" w14:textId="3DA1E0D7" w:rsidR="00EB4A11" w:rsidRDefault="00EB4A11">
      <w:r>
        <w:t xml:space="preserve">From (L1) we can derive a further implication of their account: </w:t>
      </w:r>
    </w:p>
    <w:p w14:paraId="63BF8E96" w14:textId="063B5BFF" w:rsidR="00EB4A11" w:rsidRDefault="00EB4A11" w:rsidP="008C5996">
      <w:pPr>
        <w:pStyle w:val="Quote"/>
      </w:pPr>
      <w:r>
        <w:t xml:space="preserve">(L2) For any counterpossible of the form p&gt;q and any formally consistent base world, if q, or any other sentence that formally implies q, is a relevant background fact in the context, then p&gt;q is true. </w:t>
      </w:r>
    </w:p>
    <w:p w14:paraId="54518AF1" w14:textId="24977BEB" w:rsidR="00EB4A11" w:rsidRPr="00847338" w:rsidRDefault="00EB4A11">
      <w:r>
        <w:t xml:space="preserve">The proof is as follows. We know already (L1) that if the base world is consistent, then all the nearest p-worlds cannot contain any sentence inconsistent with a relevant background fact other than p. Therefore, if q or any other sentence that formally implies q, is among the relevant background facts, then the nearest p-worlds cannot contain any sentence formally inconsistent with q, including ¬q. Since worlds are maximal, this implies in turn that all the </w:t>
      </w:r>
      <w:r>
        <w:lastRenderedPageBreak/>
        <w:t xml:space="preserve">nearest p-worlds in such a context must include q. Therefore, in such a context, p&gt;q must be true. </w:t>
      </w:r>
    </w:p>
    <w:p w14:paraId="5384920C" w14:textId="3A6DF0BF" w:rsidR="00EB4A11" w:rsidRPr="00D35F60" w:rsidRDefault="00EB4A11">
      <w:r w:rsidRPr="008C5996">
        <w:t xml:space="preserve">L2 creates trouble for two of B&amp;S's own examples, assessed by their own stated intuitions about these examples. </w:t>
      </w:r>
      <w:r w:rsidRPr="00D35F60">
        <w:t xml:space="preserve">Here are the examples: </w:t>
      </w:r>
    </w:p>
    <w:p w14:paraId="1FE3B572" w14:textId="77777777" w:rsidR="00EB4A11" w:rsidRDefault="00EB4A11" w:rsidP="003A6BBA">
      <w:pPr>
        <w:pStyle w:val="ListParagraph"/>
        <w:numPr>
          <w:ilvl w:val="0"/>
          <w:numId w:val="12"/>
        </w:numPr>
      </w:pPr>
      <w:r>
        <w:t xml:space="preserve">If water had not been </w:t>
      </w:r>
      <w:r w:rsidRPr="0006415A">
        <w:t>H</w:t>
      </w:r>
      <w:r w:rsidRPr="0006415A">
        <w:rPr>
          <w:vertAlign w:val="subscript"/>
        </w:rPr>
        <w:t>2</w:t>
      </w:r>
      <w:r w:rsidRPr="0006415A">
        <w:t>O</w:t>
      </w:r>
      <w:r>
        <w:t>, it would not have been XYZ.</w:t>
      </w:r>
    </w:p>
    <w:p w14:paraId="7DB49D25" w14:textId="6435EA1A" w:rsidR="00EB4A11" w:rsidRDefault="00EB4A11" w:rsidP="008D5AFF">
      <w:pPr>
        <w:pStyle w:val="ListParagraph"/>
        <w:numPr>
          <w:ilvl w:val="0"/>
          <w:numId w:val="12"/>
        </w:numPr>
      </w:pPr>
      <w:r w:rsidRPr="00343374">
        <w:t>If paraconsistent logic</w:t>
      </w:r>
      <w:r>
        <w:t xml:space="preserve"> </w:t>
      </w:r>
      <w:r w:rsidRPr="00343374">
        <w:t xml:space="preserve">were correct, then </w:t>
      </w:r>
      <w:r>
        <w:t xml:space="preserve">the principle of explosion </w:t>
      </w:r>
      <w:r w:rsidRPr="00343374">
        <w:t>would still be valid.</w:t>
      </w:r>
      <w:r w:rsidRPr="003A6BBA">
        <w:t xml:space="preserve"> </w:t>
      </w:r>
    </w:p>
    <w:p w14:paraId="766C31E9" w14:textId="19477248" w:rsidR="00EB4A11" w:rsidRDefault="00EB4A11" w:rsidP="00F468BF">
      <w:r>
        <w:t>B&amp;S have the intuition that (3) and (4) are false, and this seems correct.</w:t>
      </w:r>
      <w:r w:rsidRPr="005D0315">
        <w:rPr>
          <w:rStyle w:val="FootnoteReference"/>
        </w:rPr>
        <w:footnoteReference w:id="14"/>
      </w:r>
      <w:r>
        <w:t xml:space="preserve"> However, whether or not their account gives this prediction will depend on which are the relevant background facts. B&amp;S seem to believe that ‘water is not XYZ’ is a relevant background fact in (3) and that ‘the principle of explosion is valid’ is relevant in (4).</w:t>
      </w:r>
      <w:r>
        <w:rPr>
          <w:rStyle w:val="FootnoteReference"/>
        </w:rPr>
        <w:footnoteReference w:id="15"/>
      </w:r>
      <w:r>
        <w:t xml:space="preserve"> However, based on L2 we know that if ‘water is not XYZ’ is a relevant fact to (3), then B&amp;S's theory implies that (3) is true, contrary to their intuition. Similarly, if ‘the principle of explosion is valid’ is a relevant fact to (4), then their theory implies that (4) is true, contrary to their intuition. We can only get the intuitive result if we assume that the aforementioned sentences (and anything that formally implies them) are not among the relevant background facts. </w:t>
      </w:r>
      <w:r w:rsidRPr="008C5996">
        <w:t xml:space="preserve">This is one bullet </w:t>
      </w:r>
      <w:r>
        <w:t>they'll have to bite.</w:t>
      </w:r>
    </w:p>
    <w:p w14:paraId="2C22E630" w14:textId="6CC0B24B" w:rsidR="00EB4A11" w:rsidRPr="00D35F60" w:rsidRDefault="00EB4A11">
      <w:r w:rsidRPr="00D35F60">
        <w:t xml:space="preserve">From L1 we can derive another implication: </w:t>
      </w:r>
    </w:p>
    <w:p w14:paraId="51E58233" w14:textId="5EFDE177" w:rsidR="00EB4A11" w:rsidRPr="00527845" w:rsidRDefault="00EB4A11" w:rsidP="008C5996">
      <w:pPr>
        <w:pStyle w:val="Quote"/>
      </w:pPr>
      <w:r w:rsidRPr="00D35F60">
        <w:rPr>
          <w:color w:val="auto"/>
        </w:rPr>
        <w:lastRenderedPageBreak/>
        <w:t xml:space="preserve">(L3) For any counterpossible p&gt;q and any </w:t>
      </w:r>
      <w:r>
        <w:rPr>
          <w:color w:val="auto"/>
        </w:rPr>
        <w:t xml:space="preserve">formally </w:t>
      </w:r>
      <w:r w:rsidRPr="00D35F60">
        <w:rPr>
          <w:color w:val="auto"/>
        </w:rPr>
        <w:t xml:space="preserve">consistent base world, if </w:t>
      </w:r>
      <w:r>
        <w:rPr>
          <w:color w:val="auto"/>
        </w:rPr>
        <w:t>¬</w:t>
      </w:r>
      <w:r w:rsidRPr="00D35F60">
        <w:rPr>
          <w:color w:val="auto"/>
        </w:rPr>
        <w:t xml:space="preserve">p or any sentence that formally implies </w:t>
      </w:r>
      <w:r>
        <w:rPr>
          <w:color w:val="auto"/>
        </w:rPr>
        <w:t>¬</w:t>
      </w:r>
      <w:r w:rsidRPr="00D35F60">
        <w:rPr>
          <w:color w:val="auto"/>
        </w:rPr>
        <w:t xml:space="preserve">p is among the relevant background facts, then all the nearest p-worlds will contain an infinite number of sentences formally inconsistent with p, such as </w:t>
      </w:r>
      <w:r>
        <w:rPr>
          <w:color w:val="auto"/>
        </w:rPr>
        <w:t>¬¬¬</w:t>
      </w:r>
      <w:r w:rsidRPr="00D35F60">
        <w:rPr>
          <w:color w:val="auto"/>
        </w:rPr>
        <w:t xml:space="preserve">p and </w:t>
      </w:r>
      <w:r>
        <w:rPr>
          <w:color w:val="auto"/>
        </w:rPr>
        <w:t>¬¬¬¬¬</w:t>
      </w:r>
      <w:r w:rsidRPr="00D35F60">
        <w:rPr>
          <w:color w:val="auto"/>
        </w:rPr>
        <w:t xml:space="preserve">p and so on. </w:t>
      </w:r>
    </w:p>
    <w:p w14:paraId="48AF9A3E" w14:textId="0529818A" w:rsidR="00EB4A11" w:rsidRDefault="00EB4A11" w:rsidP="00B93FDF">
      <w:r>
        <w:t xml:space="preserve">Here is the proof. If ¬p (or any sentence that formally implies ¬p) is among the relevant background facts, then p is inconsistent with a relevant background fact. It follows from L1 that in all the nearest p-worlds, p must be the only sentence inconsistent with relevant background facts. Therefore, none of the nearest p-worlds include any other sentence formally inconsistent with ¬p. Hence, they cannot include ¬¬p and ¬¬¬¬p and any other sentence which consists in an even number of negations </w:t>
      </w:r>
      <w:proofErr w:type="spellStart"/>
      <w:r>
        <w:t>to p</w:t>
      </w:r>
      <w:proofErr w:type="spellEnd"/>
      <w:r>
        <w:t xml:space="preserve">. Since worlds are maximal, all the nearest worlds must therefore include the negations of these, e.g. ¬¬¬p and ¬¬¬¬¬p and so on (odd number of negations to p). </w:t>
      </w:r>
    </w:p>
    <w:p w14:paraId="2D5E2D96" w14:textId="6D6CFC2C" w:rsidR="00EB4A11" w:rsidRDefault="00EB4A11">
      <w:pPr>
        <w:rPr>
          <w:rFonts w:cstheme="majorBidi"/>
        </w:rPr>
      </w:pPr>
      <w:r>
        <w:t xml:space="preserve">If ever ¬p or any sentence that formally implies ¬p is among the relevant background facts, we get an extremely counterintuitive result. </w:t>
      </w:r>
      <w:r>
        <w:rPr>
          <w:rFonts w:cstheme="majorBidi"/>
        </w:rPr>
        <w:t xml:space="preserve">An example will help demonstrate the problem. Consider the following counterpossible: </w:t>
      </w:r>
    </w:p>
    <w:p w14:paraId="070919F9" w14:textId="39A04219" w:rsidR="00EB4A11" w:rsidRDefault="00EB4A11" w:rsidP="00E311D4">
      <w:pPr>
        <w:pStyle w:val="ListParagraph"/>
        <w:numPr>
          <w:ilvl w:val="0"/>
          <w:numId w:val="12"/>
        </w:numPr>
      </w:pPr>
      <w:r w:rsidRPr="00343374">
        <w:t>If paraconsistent logic</w:t>
      </w:r>
      <w:r>
        <w:t xml:space="preserve"> </w:t>
      </w:r>
      <w:r w:rsidRPr="00343374">
        <w:t xml:space="preserve">were correct, then </w:t>
      </w:r>
      <w:r>
        <w:t xml:space="preserve">paraconsistent logic would not </w:t>
      </w:r>
      <w:proofErr w:type="spellStart"/>
      <w:r>
        <w:t>not</w:t>
      </w:r>
      <w:proofErr w:type="spellEnd"/>
      <w:r>
        <w:t xml:space="preserve"> </w:t>
      </w:r>
      <w:proofErr w:type="spellStart"/>
      <w:r>
        <w:t>not</w:t>
      </w:r>
      <w:proofErr w:type="spellEnd"/>
      <w:r>
        <w:t xml:space="preserve"> be correct.</w:t>
      </w:r>
    </w:p>
    <w:p w14:paraId="6E91D755" w14:textId="11F7C3D5" w:rsidR="00EB4A11" w:rsidRDefault="00EB4A11" w:rsidP="00F468BF">
      <w:pPr>
        <w:rPr>
          <w:rFonts w:cstheme="majorBidi"/>
        </w:rPr>
      </w:pPr>
      <w:r>
        <w:t>The sentence is odd, as most counterpossibles tend to be. Nevertheless, if we are favorable to non-vacuism, it seems we should think that (5) is false. However, if ‘</w:t>
      </w:r>
      <w:r w:rsidRPr="00343374">
        <w:t>paraconsistent logic</w:t>
      </w:r>
      <w:r>
        <w:t xml:space="preserve"> is</w:t>
      </w:r>
      <w:r w:rsidRPr="00343374">
        <w:t xml:space="preserve"> </w:t>
      </w:r>
      <w:r>
        <w:t xml:space="preserve">not </w:t>
      </w:r>
      <w:r w:rsidRPr="00343374">
        <w:t>correct</w:t>
      </w:r>
      <w:r>
        <w:t xml:space="preserve">’ is a relevant background fact, then B&amp;S’s account predicts counterintuitively that (5) is true. In order to avoid such counterexamples, B&amp;S will have to bite another bullet, </w:t>
      </w:r>
      <w:r>
        <w:lastRenderedPageBreak/>
        <w:t>namely, that ¬p or any sentence that formally implies ¬p can never be among the relevant background facts. And this is contrary to what they sometimes suppose.</w:t>
      </w:r>
      <w:r>
        <w:rPr>
          <w:rStyle w:val="FootnoteReference"/>
        </w:rPr>
        <w:footnoteReference w:id="16"/>
      </w:r>
      <w:r>
        <w:t xml:space="preserve"> </w:t>
      </w:r>
      <w:r>
        <w:rPr>
          <w:rFonts w:cstheme="majorBidi"/>
        </w:rPr>
        <w:t xml:space="preserve"> </w:t>
      </w:r>
    </w:p>
    <w:p w14:paraId="15672DCC" w14:textId="36D00381" w:rsidR="00EB4A11" w:rsidRDefault="00EB4A11" w:rsidP="008C5996">
      <w:pPr>
        <w:rPr>
          <w:rFonts w:cstheme="majorBidi"/>
        </w:rPr>
      </w:pPr>
      <w:r>
        <w:t>You may think that this is a bullet that makes sense to bite.</w:t>
      </w:r>
      <w:r>
        <w:rPr>
          <w:rFonts w:cstheme="majorBidi"/>
        </w:rPr>
        <w:t xml:space="preserve"> After all, in counterfactual contexts we are interested in what things would be like if the antecedent p were true, setting aside the fact that in the actual world the antecedent is false. However, if we accept this restriction on the set of relevant background facts, we get a surprising result. The surprising result derives from the following implication of B&amp;S's theory: </w:t>
      </w:r>
    </w:p>
    <w:p w14:paraId="3359D5EB" w14:textId="65234CC8" w:rsidR="00EB4A11" w:rsidRDefault="00EB4A11" w:rsidP="008C5996">
      <w:pPr>
        <w:pStyle w:val="Quote"/>
      </w:pPr>
      <w:r>
        <w:t xml:space="preserve">(L4) For any counterpossible p&gt;q, and any formally consistent base world, if no sentence that formally implies ¬p is among the relevant background facts, then all the nearest p worlds include no sentence that is formally inconsistent with any of the relevant background facts. </w:t>
      </w:r>
    </w:p>
    <w:p w14:paraId="6FF5EF14" w14:textId="16457FE2" w:rsidR="00EB4A11" w:rsidRDefault="00EB4A11">
      <w:pPr>
        <w:rPr>
          <w:rFonts w:cstheme="majorBidi"/>
        </w:rPr>
      </w:pPr>
      <w:r w:rsidRPr="00C4234C">
        <w:rPr>
          <w:rFonts w:cstheme="majorBidi"/>
        </w:rPr>
        <w:t xml:space="preserve">The proof for L4 is simple. L1 says that in all the nearest p-worlds, p can be the only sentence formally inconsistent with relevant background facts. </w:t>
      </w:r>
      <w:r>
        <w:rPr>
          <w:rFonts w:cstheme="majorBidi"/>
        </w:rPr>
        <w:t>I</w:t>
      </w:r>
      <w:r w:rsidRPr="00C4234C">
        <w:rPr>
          <w:rFonts w:cstheme="majorBidi"/>
        </w:rPr>
        <w:t xml:space="preserve">f </w:t>
      </w:r>
      <w:r>
        <w:rPr>
          <w:rFonts w:cstheme="majorBidi"/>
        </w:rPr>
        <w:t xml:space="preserve">the set of relevant background facts includes no sentence formally inconsistent with p, then p itself is formally consistent with the relevant background facts. Hence, there can be no sentence in the nearest p-worlds that is formally inconsistent with the relevant background facts. </w:t>
      </w:r>
    </w:p>
    <w:p w14:paraId="413F5DC8" w14:textId="06A15880" w:rsidR="00EB4A11" w:rsidRDefault="00EB4A11" w:rsidP="0057649E">
      <w:pPr>
        <w:rPr>
          <w:rFonts w:cstheme="majorBidi"/>
        </w:rPr>
      </w:pPr>
      <w:r>
        <w:rPr>
          <w:rFonts w:cstheme="majorBidi"/>
        </w:rPr>
        <w:t xml:space="preserve">L4 in conjunction with the claim from above that ¬p or anything that formally implies ¬p are never among the relevant background </w:t>
      </w:r>
      <w:proofErr w:type="gramStart"/>
      <w:r>
        <w:rPr>
          <w:rFonts w:cstheme="majorBidi"/>
        </w:rPr>
        <w:t>facts,</w:t>
      </w:r>
      <w:proofErr w:type="gramEnd"/>
      <w:r>
        <w:rPr>
          <w:rFonts w:cstheme="majorBidi"/>
        </w:rPr>
        <w:t xml:space="preserve"> implies that there can never be among the nearest p-worlds any world that includes any sentence that is formally inconsistent with any background relevant fact. Is there a problem with this result, other than the fact that B&amp;S probably did not have it in mind? Without an account of relevant background facts, this result is not in itself enough to construct a conclusive counterexample. </w:t>
      </w:r>
      <w:r w:rsidR="006D2A71">
        <w:rPr>
          <w:rFonts w:cstheme="majorBidi"/>
        </w:rPr>
        <w:t xml:space="preserve">However, it does have the </w:t>
      </w:r>
      <w:r w:rsidR="006D2A71">
        <w:rPr>
          <w:rFonts w:cstheme="majorBidi"/>
        </w:rPr>
        <w:lastRenderedPageBreak/>
        <w:t xml:space="preserve">following two consequences. </w:t>
      </w:r>
      <w:r>
        <w:rPr>
          <w:rFonts w:cstheme="majorBidi"/>
        </w:rPr>
        <w:t xml:space="preserve">Less Inconsistent is misleading as it is formulated. We need not count inconsistencies with relevant background facts because the account is intolerant to any inconsistencies with these facts. </w:t>
      </w:r>
      <w:r>
        <w:t xml:space="preserve">In addition, </w:t>
      </w:r>
      <w:r>
        <w:rPr>
          <w:rFonts w:cstheme="majorBidi"/>
        </w:rPr>
        <w:t xml:space="preserve">once we know that this is what Less Inconsistent implies, we realize how much of the burden of their account falls on defining the relevant set of background facts, which they do not account for, and maximizing a priori implications, to which we now turn.  </w:t>
      </w:r>
    </w:p>
    <w:p w14:paraId="36189995" w14:textId="62B26995" w:rsidR="00EB4A11" w:rsidRDefault="00EB4A11" w:rsidP="00CC4AA7">
      <w:pPr>
        <w:pStyle w:val="Heading1"/>
      </w:pPr>
      <w:r>
        <w:t>Maximizing A Priori Implications</w:t>
      </w:r>
    </w:p>
    <w:p w14:paraId="68C8BB2C" w14:textId="624E0DF7" w:rsidR="00EB4A11" w:rsidRDefault="00EB4A11" w:rsidP="003A6BBA">
      <w:r>
        <w:t>Let us now examine the second part of the account, namely More Implications. To get a feeling of what B&amp;S mean by a priori implications, consider the following two sentences:</w:t>
      </w:r>
    </w:p>
    <w:p w14:paraId="77C18336" w14:textId="77777777" w:rsidR="00EB4A11" w:rsidRDefault="00EB4A11" w:rsidP="00C61725">
      <w:pPr>
        <w:ind w:left="360"/>
      </w:pPr>
      <w:r>
        <w:t xml:space="preserve">(2) </w:t>
      </w:r>
      <w:r w:rsidRPr="00FA48FD">
        <w:t xml:space="preserve">If intuitionistic logic were the correct logic, then the law of excluded middle would still be unrestrictedly valid. </w:t>
      </w:r>
    </w:p>
    <w:p w14:paraId="55D3B4F6" w14:textId="77777777" w:rsidR="00EB4A11" w:rsidRDefault="00EB4A11" w:rsidP="003A6BBA">
      <w:pPr>
        <w:pStyle w:val="ListParagraph"/>
        <w:numPr>
          <w:ilvl w:val="0"/>
          <w:numId w:val="12"/>
        </w:numPr>
      </w:pPr>
      <w:r>
        <w:t xml:space="preserve">If water had not been </w:t>
      </w:r>
      <w:r w:rsidRPr="0006415A">
        <w:t>H</w:t>
      </w:r>
      <w:r w:rsidRPr="0006415A">
        <w:rPr>
          <w:vertAlign w:val="subscript"/>
        </w:rPr>
        <w:t>2</w:t>
      </w:r>
      <w:r w:rsidRPr="0006415A">
        <w:t>O</w:t>
      </w:r>
      <w:r>
        <w:t xml:space="preserve">, it would have been </w:t>
      </w:r>
      <w:r w:rsidRPr="0006415A">
        <w:t>H</w:t>
      </w:r>
      <w:r w:rsidRPr="0006415A">
        <w:rPr>
          <w:vertAlign w:val="subscript"/>
        </w:rPr>
        <w:t>2</w:t>
      </w:r>
      <w:r w:rsidRPr="0006415A">
        <w:t>O</w:t>
      </w:r>
      <w:r>
        <w:t xml:space="preserve"> </w:t>
      </w:r>
    </w:p>
    <w:p w14:paraId="0838E809" w14:textId="172E28F4" w:rsidR="00EB4A11" w:rsidRDefault="00EB4A11">
      <w:r>
        <w:t>Their thought is that (2)</w:t>
      </w:r>
      <w:r w:rsidRPr="00C61725">
        <w:t xml:space="preserve"> </w:t>
      </w:r>
      <w:r>
        <w:t xml:space="preserve">and (6) are false because there is a sense in which ‘water is not </w:t>
      </w:r>
      <w:r w:rsidRPr="0006415A">
        <w:t>H</w:t>
      </w:r>
      <w:r w:rsidRPr="0006415A">
        <w:rPr>
          <w:vertAlign w:val="subscript"/>
        </w:rPr>
        <w:t>2</w:t>
      </w:r>
      <w:r w:rsidRPr="0006415A">
        <w:t>O</w:t>
      </w:r>
      <w:r>
        <w:t xml:space="preserve">’ implies, in some salient sense of ‘implies’, that it is not the case that ‘water is </w:t>
      </w:r>
      <w:r w:rsidRPr="0006415A">
        <w:t>H</w:t>
      </w:r>
      <w:r w:rsidRPr="0006415A">
        <w:rPr>
          <w:vertAlign w:val="subscript"/>
        </w:rPr>
        <w:t>2</w:t>
      </w:r>
      <w:r w:rsidRPr="0006415A">
        <w:t>O</w:t>
      </w:r>
      <w:r>
        <w:t xml:space="preserve">’, and ‘intuitionistic logic is correct’ implies, in some salient sense of ‘implies’, that it is not the case that ‘the law of excluded middle holds’. </w:t>
      </w:r>
    </w:p>
    <w:p w14:paraId="35D2356F" w14:textId="6F71D931" w:rsidR="003D6E26" w:rsidRDefault="00EB4A11" w:rsidP="00F468BF">
      <w:r>
        <w:t>What kind of implication is this? W</w:t>
      </w:r>
      <w:r w:rsidRPr="00F84C35">
        <w:t xml:space="preserve">hether you understand </w:t>
      </w:r>
      <w:r>
        <w:t xml:space="preserve">logical </w:t>
      </w:r>
      <w:r w:rsidRPr="00F84C35">
        <w:t>implication as a matter of neces</w:t>
      </w:r>
      <w:r>
        <w:t xml:space="preserve">sity, meaning that </w:t>
      </w:r>
      <w:r w:rsidRPr="00F84C35">
        <w:t>in any possible world in which the antecedent is true, the consequent is true as well</w:t>
      </w:r>
      <w:r>
        <w:t>, or as a matter of logical</w:t>
      </w:r>
      <w:r w:rsidRPr="00F84C35">
        <w:t xml:space="preserve"> form, </w:t>
      </w:r>
      <w:r>
        <w:t xml:space="preserve">meaning that the antecedent implies the consequent in virtue of logical form alone, </w:t>
      </w:r>
      <w:r w:rsidRPr="00F84C35">
        <w:t>the implication here is not logical implication. It isn't the former,</w:t>
      </w:r>
      <w:r>
        <w:t xml:space="preserve"> </w:t>
      </w:r>
      <w:r w:rsidRPr="00F84C35">
        <w:t>because the antecedent is false in all possible worlds</w:t>
      </w:r>
      <w:r>
        <w:t>.</w:t>
      </w:r>
      <w:r w:rsidRPr="005D0315">
        <w:rPr>
          <w:rStyle w:val="FootnoteReference"/>
        </w:rPr>
        <w:footnoteReference w:id="17"/>
      </w:r>
      <w:r>
        <w:t xml:space="preserve"> </w:t>
      </w:r>
      <w:r w:rsidR="003D6E26" w:rsidRPr="00F84C35">
        <w:t>And it isn't the latter because</w:t>
      </w:r>
      <w:r w:rsidR="003D6E26">
        <w:t>, at least in (2),</w:t>
      </w:r>
      <w:r w:rsidR="003D6E26" w:rsidRPr="00F84C35">
        <w:t xml:space="preserve"> </w:t>
      </w:r>
      <w:r w:rsidR="003D6E26">
        <w:t xml:space="preserve">the logical relation between the antecedent and consequent does not </w:t>
      </w:r>
      <w:r w:rsidR="003D6E26">
        <w:lastRenderedPageBreak/>
        <w:t xml:space="preserve">hold in virtue of logical form. </w:t>
      </w:r>
      <w:r w:rsidR="003D6E26" w:rsidRPr="0086192F">
        <w:t>B&amp;S’s thought is that</w:t>
      </w:r>
      <w:r w:rsidR="003D6E26">
        <w:t>, despite the lack of logical implication,</w:t>
      </w:r>
      <w:r w:rsidR="003D6E26" w:rsidRPr="0086192F">
        <w:t xml:space="preserve"> in both cases there is something we know a priori to follow from the antecedent. We may not know a priori that water is H</w:t>
      </w:r>
      <w:r w:rsidR="003D6E26" w:rsidRPr="0086192F">
        <w:rPr>
          <w:vertAlign w:val="subscript"/>
        </w:rPr>
        <w:t>2</w:t>
      </w:r>
      <w:r w:rsidR="003D6E26" w:rsidRPr="0086192F">
        <w:t>O (even if it is metaphysically necessary), but we know a priori that if it is</w:t>
      </w:r>
      <w:r w:rsidR="00F468BF">
        <w:t xml:space="preserve"> not</w:t>
      </w:r>
      <w:r w:rsidR="003D6E26" w:rsidRPr="0086192F">
        <w:t xml:space="preserve"> H</w:t>
      </w:r>
      <w:r w:rsidR="003D6E26" w:rsidRPr="0086192F">
        <w:rPr>
          <w:vertAlign w:val="subscript"/>
        </w:rPr>
        <w:t>2</w:t>
      </w:r>
      <w:r w:rsidR="003D6E26" w:rsidRPr="0086192F">
        <w:t>O, then it is</w:t>
      </w:r>
      <w:r w:rsidR="00F468BF">
        <w:t xml:space="preserve"> not</w:t>
      </w:r>
      <w:r w:rsidR="003D6E26" w:rsidRPr="0086192F">
        <w:t xml:space="preserve"> H</w:t>
      </w:r>
      <w:r w:rsidR="003D6E26" w:rsidRPr="0086192F">
        <w:rPr>
          <w:vertAlign w:val="subscript"/>
        </w:rPr>
        <w:t>2</w:t>
      </w:r>
      <w:r w:rsidR="003D6E26" w:rsidRPr="0086192F">
        <w:t xml:space="preserve">O. </w:t>
      </w:r>
      <w:r w:rsidR="003D6E26">
        <w:t xml:space="preserve">Similarly we know a priori that if intuitionistic logic is true, then the law of excluded middle is </w:t>
      </w:r>
      <w:r w:rsidR="00F468BF">
        <w:t xml:space="preserve">not </w:t>
      </w:r>
      <w:r w:rsidR="00F468BF" w:rsidRPr="00FA48FD">
        <w:t>unrestrictedly valid</w:t>
      </w:r>
      <w:r w:rsidR="003D6E26">
        <w:t xml:space="preserve">. </w:t>
      </w:r>
    </w:p>
    <w:p w14:paraId="5C58A4A9" w14:textId="77777777" w:rsidR="003D6E26" w:rsidRDefault="003D6E26" w:rsidP="00A50D80">
      <w:r>
        <w:t xml:space="preserve">B&amp;S formulate a priori implications as follows: </w:t>
      </w:r>
    </w:p>
    <w:p w14:paraId="4FB1D038" w14:textId="2D5D76CF" w:rsidR="003D6E26" w:rsidRPr="00FF052E" w:rsidRDefault="003D6E26" w:rsidP="00FF052E">
      <w:pPr>
        <w:pStyle w:val="Quote"/>
      </w:pPr>
      <w:r>
        <w:rPr>
          <w:b/>
          <w:bCs/>
        </w:rPr>
        <w:t>A priori</w:t>
      </w:r>
      <w:r w:rsidRPr="00FF052E">
        <w:rPr>
          <w:b/>
          <w:bCs/>
        </w:rPr>
        <w:t xml:space="preserve"> Implication</w:t>
      </w:r>
      <w:r w:rsidRPr="00FF052E">
        <w:t>: For a speak</w:t>
      </w:r>
      <w:r>
        <w:t>er s in a context c, P a priori</w:t>
      </w:r>
      <w:r w:rsidRPr="00FF052E">
        <w:t xml:space="preserve"> implies Q iff for s in c, Q is a relevant a priori consequence of P.</w:t>
      </w:r>
    </w:p>
    <w:p w14:paraId="738DD29A" w14:textId="4B5DA5AE" w:rsidR="003D6E26" w:rsidRDefault="001A643C" w:rsidP="00712743">
      <w:r>
        <w:t>Even though they are</w:t>
      </w:r>
      <w:r w:rsidR="00712743">
        <w:t xml:space="preserve"> </w:t>
      </w:r>
      <w:r>
        <w:t>n</w:t>
      </w:r>
      <w:r w:rsidR="00712743">
        <w:t>o</w:t>
      </w:r>
      <w:r>
        <w:t>t explicit, i</w:t>
      </w:r>
      <w:r w:rsidR="005A170E">
        <w:t xml:space="preserve">t </w:t>
      </w:r>
      <w:r w:rsidR="00712743">
        <w:t>is</w:t>
      </w:r>
      <w:r w:rsidR="005A170E">
        <w:t xml:space="preserve"> more charitable to their view to suppose that P doesn’t necessarily represent a single sentence, but rather a set of sentences. </w:t>
      </w:r>
      <w:r w:rsidR="004E34D4">
        <w:t>They</w:t>
      </w:r>
      <w:r w:rsidR="003D6E26">
        <w:t xml:space="preserve"> do not say much more about what a priori implications are; they take it as a basic notion that we should grasp by examples of the sort mentioned above. They emphasize that what a proposition implies a priori can be context dependent. The intuitionistic logic example may demonstrate why this is so: There may be contexts in which it is a priori that intuitionistic logic (or some other logic) is false, and then it may not be clear what it implies a priori (everything? nothing?). However, there can be other contexts in which intuitionistic logic is not a priori false, and in such contexts it a priori implies that the law of excluded middle is false. </w:t>
      </w:r>
    </w:p>
    <w:p w14:paraId="53F34483" w14:textId="37C52FFD" w:rsidR="003D6E26" w:rsidRDefault="003D6E26" w:rsidP="00CB63A8">
      <w:r>
        <w:t xml:space="preserve">While it is attractive to think that a priori implications are relevant for the assessment of counterpossibles and the closeness of worlds, B&amp;S’s formalization yields unintuitive results. </w:t>
      </w:r>
      <w:r w:rsidR="00CB63A8">
        <w:t>For instance, t</w:t>
      </w:r>
      <w:r w:rsidR="00353789">
        <w:t>heir account implies that the following counterpossible is true:</w:t>
      </w:r>
    </w:p>
    <w:p w14:paraId="0DD1396D" w14:textId="77777777" w:rsidR="00353789" w:rsidRDefault="00353789" w:rsidP="00CB63A8">
      <w:pPr>
        <w:pStyle w:val="ListParagraph"/>
        <w:numPr>
          <w:ilvl w:val="0"/>
          <w:numId w:val="12"/>
        </w:numPr>
      </w:pPr>
      <w:r>
        <w:t xml:space="preserve">If water had not been </w:t>
      </w:r>
      <w:r w:rsidRPr="00E13C67">
        <w:t>H</w:t>
      </w:r>
      <w:r w:rsidRPr="007B671A">
        <w:rPr>
          <w:vertAlign w:val="subscript"/>
        </w:rPr>
        <w:t>2</w:t>
      </w:r>
      <w:r w:rsidRPr="00E13C67">
        <w:t>O</w:t>
      </w:r>
      <w:r>
        <w:t xml:space="preserve"> then it might have been </w:t>
      </w:r>
      <w:r w:rsidRPr="00E13C67">
        <w:t>H</w:t>
      </w:r>
      <w:r w:rsidRPr="007B671A">
        <w:rPr>
          <w:vertAlign w:val="subscript"/>
        </w:rPr>
        <w:t>2</w:t>
      </w:r>
      <w:r w:rsidRPr="00E13C67">
        <w:t>O</w:t>
      </w:r>
      <w:r>
        <w:t xml:space="preserve">. </w:t>
      </w:r>
    </w:p>
    <w:p w14:paraId="73F8BB3D" w14:textId="43FBF22F" w:rsidR="006F141E" w:rsidRDefault="00CB63A8" w:rsidP="006E635B">
      <w:r>
        <w:t xml:space="preserve">I’ll explain. </w:t>
      </w:r>
      <w:r w:rsidR="006E635B">
        <w:t>B&amp;S’s</w:t>
      </w:r>
      <w:r w:rsidR="006F141E">
        <w:t xml:space="preserve"> theory has the following implication: </w:t>
      </w:r>
    </w:p>
    <w:p w14:paraId="2833FFBC" w14:textId="75AC9AD1" w:rsidR="006F141E" w:rsidRDefault="006F141E" w:rsidP="006E635B">
      <w:pPr>
        <w:pStyle w:val="Quote"/>
      </w:pPr>
      <w:r>
        <w:lastRenderedPageBreak/>
        <w:t>(L5) For any world w</w:t>
      </w:r>
      <w:r w:rsidRPr="004C39AE">
        <w:rPr>
          <w:vertAlign w:val="subscript"/>
        </w:rPr>
        <w:t>1</w:t>
      </w:r>
      <w:r>
        <w:t>, any world w</w:t>
      </w:r>
      <w:r w:rsidRPr="004C39AE">
        <w:rPr>
          <w:vertAlign w:val="subscript"/>
        </w:rPr>
        <w:t>2</w:t>
      </w:r>
      <w:r>
        <w:t xml:space="preserve"> that is the union of w</w:t>
      </w:r>
      <w:r w:rsidRPr="004C39AE">
        <w:rPr>
          <w:vertAlign w:val="subscript"/>
        </w:rPr>
        <w:t>1</w:t>
      </w:r>
      <w:r>
        <w:t xml:space="preserve"> with </w:t>
      </w:r>
      <w:r w:rsidRPr="004C39AE">
        <w:rPr>
          <w:i/>
          <w:iCs w:val="0"/>
        </w:rPr>
        <w:t>any</w:t>
      </w:r>
      <w:r>
        <w:t xml:space="preserve"> set of sentences </w:t>
      </w:r>
      <w:r w:rsidR="006E635B">
        <w:t>that are members of</w:t>
      </w:r>
      <w:r>
        <w:t xml:space="preserve"> the base world, is at least as close as w</w:t>
      </w:r>
      <w:r w:rsidRPr="004C39AE">
        <w:rPr>
          <w:vertAlign w:val="subscript"/>
        </w:rPr>
        <w:t>1</w:t>
      </w:r>
      <w:r>
        <w:t xml:space="preserve"> (in any context).</w:t>
      </w:r>
    </w:p>
    <w:p w14:paraId="6DE68A6A" w14:textId="29AF40D8" w:rsidR="006F141E" w:rsidRDefault="006F141E" w:rsidP="00CE1EE7">
      <w:r>
        <w:t>The proof is simple. Adding to w</w:t>
      </w:r>
      <w:r w:rsidRPr="004C39AE">
        <w:rPr>
          <w:vertAlign w:val="subscript"/>
        </w:rPr>
        <w:t>2</w:t>
      </w:r>
      <w:r>
        <w:t xml:space="preserve"> sentences from the base world cannot add formal inconsistencies with relevant background facts in the base world. Therefore, as far as Less Implications is concerned, any such pair of worlds would be</w:t>
      </w:r>
      <w:r w:rsidR="00F468BF">
        <w:t xml:space="preserve"> tied regardless of the context</w:t>
      </w:r>
      <w:r>
        <w:t xml:space="preserve"> </w:t>
      </w:r>
      <w:r w:rsidR="00F468BF">
        <w:t>(</w:t>
      </w:r>
      <w:r>
        <w:t>which determines the set of relevant background facts</w:t>
      </w:r>
      <w:r w:rsidR="00F468BF">
        <w:t>)</w:t>
      </w:r>
      <w:r>
        <w:t>. Next, as far as More Implications is concerned, w</w:t>
      </w:r>
      <w:r w:rsidRPr="004C39AE">
        <w:rPr>
          <w:vertAlign w:val="subscript"/>
        </w:rPr>
        <w:t>2</w:t>
      </w:r>
      <w:r>
        <w:t xml:space="preserve"> cannot include any less a priori implications in comparison to w</w:t>
      </w:r>
      <w:r w:rsidRPr="004C39AE">
        <w:rPr>
          <w:vertAlign w:val="subscript"/>
        </w:rPr>
        <w:t>1</w:t>
      </w:r>
      <w:r>
        <w:t>. The reason is that an a priori implication is a relation between sentences. Any sentence in w</w:t>
      </w:r>
      <w:r w:rsidRPr="004C39AE">
        <w:rPr>
          <w:vertAlign w:val="subscript"/>
        </w:rPr>
        <w:t>1</w:t>
      </w:r>
      <w:r>
        <w:t xml:space="preserve"> is in w</w:t>
      </w:r>
      <w:r w:rsidRPr="004C39AE">
        <w:rPr>
          <w:vertAlign w:val="subscript"/>
        </w:rPr>
        <w:t>2</w:t>
      </w:r>
      <w:r>
        <w:t xml:space="preserve"> as well. Therefore, any a priori implication in w</w:t>
      </w:r>
      <w:r w:rsidRPr="004C39AE">
        <w:rPr>
          <w:vertAlign w:val="subscript"/>
        </w:rPr>
        <w:t>1</w:t>
      </w:r>
      <w:r>
        <w:t xml:space="preserve"> is included in w</w:t>
      </w:r>
      <w:r w:rsidRPr="004C39AE">
        <w:rPr>
          <w:vertAlign w:val="subscript"/>
        </w:rPr>
        <w:t>2</w:t>
      </w:r>
      <w:r>
        <w:t xml:space="preserve">. </w:t>
      </w:r>
    </w:p>
    <w:p w14:paraId="03804299" w14:textId="6B3634B1" w:rsidR="00CB63A8" w:rsidRPr="00CB63A8" w:rsidRDefault="00CB63A8" w:rsidP="00F468BF">
      <w:r>
        <w:t>From L5 we can derive the further result that among the closest ‘water is not H</w:t>
      </w:r>
      <w:r>
        <w:rPr>
          <w:vertAlign w:val="subscript"/>
        </w:rPr>
        <w:t>2</w:t>
      </w:r>
      <w:r>
        <w:t>O’ worlds, there must be a world that includes ‘water is H</w:t>
      </w:r>
      <w:r>
        <w:rPr>
          <w:vertAlign w:val="subscript"/>
        </w:rPr>
        <w:t>2</w:t>
      </w:r>
      <w:r>
        <w:t>O’. Here’s the proof. Suppose there is a world w</w:t>
      </w:r>
      <w:r w:rsidRPr="00CB63A8">
        <w:rPr>
          <w:vertAlign w:val="subscript"/>
        </w:rPr>
        <w:t>3</w:t>
      </w:r>
      <w:r>
        <w:t xml:space="preserve"> that is among the closest ‘water is not H</w:t>
      </w:r>
      <w:r>
        <w:rPr>
          <w:vertAlign w:val="subscript"/>
        </w:rPr>
        <w:t>2</w:t>
      </w:r>
      <w:r>
        <w:t>O’ worlds. There exists a world, call it w</w:t>
      </w:r>
      <w:r w:rsidRPr="00CB63A8">
        <w:rPr>
          <w:vertAlign w:val="subscript"/>
        </w:rPr>
        <w:t>4</w:t>
      </w:r>
      <w:r>
        <w:t>, that is the union of w</w:t>
      </w:r>
      <w:r w:rsidRPr="00CB63A8">
        <w:rPr>
          <w:vertAlign w:val="subscript"/>
        </w:rPr>
        <w:t>3</w:t>
      </w:r>
      <w:r>
        <w:t xml:space="preserve"> with ‘water is H</w:t>
      </w:r>
      <w:r>
        <w:rPr>
          <w:vertAlign w:val="subscript"/>
        </w:rPr>
        <w:t>2</w:t>
      </w:r>
      <w:r>
        <w:t>O’. L5 implies that w</w:t>
      </w:r>
      <w:r w:rsidRPr="002973D9">
        <w:rPr>
          <w:vertAlign w:val="subscript"/>
        </w:rPr>
        <w:t>4</w:t>
      </w:r>
      <w:r>
        <w:t xml:space="preserve"> is at least as close as w</w:t>
      </w:r>
      <w:r w:rsidRPr="00CB63A8">
        <w:rPr>
          <w:vertAlign w:val="subscript"/>
        </w:rPr>
        <w:t>3</w:t>
      </w:r>
      <w:r>
        <w:t>. Since w</w:t>
      </w:r>
      <w:r w:rsidRPr="00CB63A8">
        <w:rPr>
          <w:vertAlign w:val="subscript"/>
        </w:rPr>
        <w:t>3</w:t>
      </w:r>
      <w:r>
        <w:t xml:space="preserve"> is among the closest worlds, then so is w</w:t>
      </w:r>
      <w:r w:rsidRPr="00CB63A8">
        <w:rPr>
          <w:vertAlign w:val="subscript"/>
        </w:rPr>
        <w:t>4</w:t>
      </w:r>
      <w:r>
        <w:t>. w</w:t>
      </w:r>
      <w:r>
        <w:rPr>
          <w:vertAlign w:val="subscript"/>
        </w:rPr>
        <w:t>4</w:t>
      </w:r>
      <w:r>
        <w:t xml:space="preserve"> includes ‘water is H</w:t>
      </w:r>
      <w:r>
        <w:rPr>
          <w:vertAlign w:val="subscript"/>
        </w:rPr>
        <w:t>2</w:t>
      </w:r>
      <w:r>
        <w:t xml:space="preserve">O’. </w:t>
      </w:r>
      <w:r w:rsidR="00F468BF">
        <w:t>T</w:t>
      </w:r>
      <w:r>
        <w:t xml:space="preserve">herefore, B&amp;S’s account counterintuitively implies that (7) is true. </w:t>
      </w:r>
    </w:p>
    <w:p w14:paraId="1CE3C0D8" w14:textId="517FD55B" w:rsidR="00D35766" w:rsidRDefault="00D715D1" w:rsidP="00CE1EE7">
      <w:r>
        <w:t>There is no getting around this result without revising the account. One salient possibility is to revise</w:t>
      </w:r>
      <w:r w:rsidR="00D35766">
        <w:t xml:space="preserve"> More Implications in the following manner. </w:t>
      </w:r>
      <w:r w:rsidR="00CB63A8">
        <w:t>We want an account that implies that the less coherent a world is, the farther away it is.</w:t>
      </w:r>
      <w:r w:rsidR="00D35766">
        <w:t xml:space="preserve"> </w:t>
      </w:r>
      <w:r w:rsidR="006E635B">
        <w:t>T</w:t>
      </w:r>
      <w:r w:rsidR="00D35766">
        <w:t xml:space="preserve">he way we measure coherence, if we remain in line with B&amp;S’s thinking, will have to do with a priori implications. Therefore, what we </w:t>
      </w:r>
      <w:r w:rsidR="006E635B">
        <w:t xml:space="preserve">can </w:t>
      </w:r>
      <w:r w:rsidR="00D35766">
        <w:t xml:space="preserve">say is that the more a world contains sentences formally inconsistent with a priori implications of other sentences, the farther they are. </w:t>
      </w:r>
      <w:r w:rsidR="006E635B">
        <w:t>In the above example</w:t>
      </w:r>
      <w:r w:rsidR="00D35766">
        <w:t>, w</w:t>
      </w:r>
      <w:r w:rsidR="00D35766" w:rsidRPr="006E635B">
        <w:rPr>
          <w:vertAlign w:val="subscript"/>
        </w:rPr>
        <w:t>4</w:t>
      </w:r>
      <w:r w:rsidR="00D35766">
        <w:t xml:space="preserve"> </w:t>
      </w:r>
      <w:r w:rsidR="002973D9">
        <w:t>might</w:t>
      </w:r>
      <w:r w:rsidR="00CE1EE7">
        <w:rPr>
          <w:rStyle w:val="FootnoteReference"/>
        </w:rPr>
        <w:footnoteReference w:id="18"/>
      </w:r>
      <w:r w:rsidR="006E635B">
        <w:t xml:space="preserve"> now come out</w:t>
      </w:r>
      <w:r w:rsidR="00D35766">
        <w:t xml:space="preserve"> farther than w</w:t>
      </w:r>
      <w:r w:rsidR="00D35766" w:rsidRPr="006E635B">
        <w:rPr>
          <w:vertAlign w:val="subscript"/>
        </w:rPr>
        <w:t>3</w:t>
      </w:r>
      <w:r w:rsidR="00D35766">
        <w:t xml:space="preserve"> because </w:t>
      </w:r>
      <w:r w:rsidR="006E635B">
        <w:t>w</w:t>
      </w:r>
      <w:r w:rsidR="006E635B" w:rsidRPr="006E635B">
        <w:rPr>
          <w:vertAlign w:val="subscript"/>
        </w:rPr>
        <w:t>4</w:t>
      </w:r>
      <w:r w:rsidR="00D35766">
        <w:t xml:space="preserve"> contains the additional sentence ‘water is H</w:t>
      </w:r>
      <w:r w:rsidR="00D35766">
        <w:rPr>
          <w:vertAlign w:val="subscript"/>
        </w:rPr>
        <w:t>2</w:t>
      </w:r>
      <w:r w:rsidR="00D35766">
        <w:t>O’</w:t>
      </w:r>
      <w:r w:rsidR="006E635B">
        <w:t>,</w:t>
      </w:r>
      <w:r w:rsidR="00D35766">
        <w:t xml:space="preserve"> </w:t>
      </w:r>
      <w:r w:rsidR="00D35766">
        <w:lastRenderedPageBreak/>
        <w:t>which is formally inconsistent with ‘water is not H</w:t>
      </w:r>
      <w:r w:rsidR="00D35766">
        <w:rPr>
          <w:vertAlign w:val="subscript"/>
        </w:rPr>
        <w:t>2</w:t>
      </w:r>
      <w:r w:rsidR="00D35766">
        <w:t>O’.</w:t>
      </w:r>
      <w:r w:rsidR="00CE1EE7">
        <w:t xml:space="preserve"> </w:t>
      </w:r>
      <w:r w:rsidR="00D35766">
        <w:t>Let us then see what happens if we replace More Implication</w:t>
      </w:r>
      <w:r w:rsidR="00D213AE">
        <w:rPr>
          <w:rFonts w:cstheme="minorBidi"/>
          <w:lang w:bidi="ar-EG"/>
        </w:rPr>
        <w:t>s as follows</w:t>
      </w:r>
      <w:r w:rsidR="00D35766">
        <w:t xml:space="preserve">: </w:t>
      </w:r>
    </w:p>
    <w:p w14:paraId="58F4DFE2" w14:textId="421A1B62" w:rsidR="00D213AE" w:rsidRPr="00542EC4" w:rsidRDefault="00D213AE" w:rsidP="00D213AE">
      <w:pPr>
        <w:pStyle w:val="Quote"/>
      </w:pPr>
      <w:r w:rsidRPr="00542EC4">
        <w:rPr>
          <w:b/>
          <w:bCs/>
        </w:rPr>
        <w:t>Closeness</w:t>
      </w:r>
      <w:r w:rsidR="00A80A90">
        <w:rPr>
          <w:b/>
          <w:bCs/>
        </w:rPr>
        <w:t>*</w:t>
      </w:r>
      <w:r w:rsidRPr="00542EC4">
        <w:t xml:space="preserve">: For any two </w:t>
      </w:r>
      <w:r>
        <w:t xml:space="preserve">impossible </w:t>
      </w:r>
      <w:r w:rsidRPr="00542EC4">
        <w:t>worlds w</w:t>
      </w:r>
      <w:r w:rsidRPr="008A1BC8">
        <w:rPr>
          <w:vertAlign w:val="subscript"/>
        </w:rPr>
        <w:t>1</w:t>
      </w:r>
      <w:r w:rsidRPr="00542EC4">
        <w:t xml:space="preserve"> and w</w:t>
      </w:r>
      <w:r w:rsidRPr="008A1BC8">
        <w:rPr>
          <w:vertAlign w:val="subscript"/>
        </w:rPr>
        <w:t>2</w:t>
      </w:r>
      <w:r w:rsidRPr="00542EC4">
        <w:t>, w</w:t>
      </w:r>
      <w:r w:rsidRPr="008A1BC8">
        <w:rPr>
          <w:vertAlign w:val="subscript"/>
        </w:rPr>
        <w:t>1</w:t>
      </w:r>
      <w:r w:rsidRPr="00542EC4">
        <w:t xml:space="preserve"> is closer to the base world</w:t>
      </w:r>
      <w:r w:rsidR="00A80A90">
        <w:t xml:space="preserve"> </w:t>
      </w:r>
      <w:r w:rsidRPr="00542EC4">
        <w:t>than w</w:t>
      </w:r>
      <w:r w:rsidRPr="008A1BC8">
        <w:rPr>
          <w:vertAlign w:val="subscript"/>
        </w:rPr>
        <w:t>2</w:t>
      </w:r>
      <w:r w:rsidRPr="00542EC4">
        <w:t xml:space="preserve"> iff </w:t>
      </w:r>
    </w:p>
    <w:p w14:paraId="453DC79A" w14:textId="67448496" w:rsidR="00D213AE" w:rsidRPr="00542EC4" w:rsidRDefault="00D213AE" w:rsidP="00D213AE">
      <w:pPr>
        <w:pStyle w:val="Quote"/>
        <w:ind w:left="1440"/>
      </w:pPr>
      <w:r w:rsidRPr="00B734A8">
        <w:rPr>
          <w:b/>
          <w:bCs/>
        </w:rPr>
        <w:t>Less Inconsistent:</w:t>
      </w:r>
      <w:r w:rsidRPr="00542EC4">
        <w:t xml:space="preserve"> w</w:t>
      </w:r>
      <w:r w:rsidRPr="008A1BC8">
        <w:rPr>
          <w:vertAlign w:val="subscript"/>
        </w:rPr>
        <w:t>1</w:t>
      </w:r>
      <w:r w:rsidRPr="00542EC4">
        <w:t xml:space="preserve"> does not contain a greater number of sentences formally inconsistent with the relevant background facts</w:t>
      </w:r>
      <w:r>
        <w:t xml:space="preserve"> [true of the base world]</w:t>
      </w:r>
      <w:r w:rsidRPr="00542EC4">
        <w:t xml:space="preserve"> (held fix</w:t>
      </w:r>
      <w:r>
        <w:t>ed in the context) than w</w:t>
      </w:r>
      <w:r w:rsidRPr="008A1BC8">
        <w:rPr>
          <w:vertAlign w:val="subscript"/>
        </w:rPr>
        <w:t>2</w:t>
      </w:r>
      <w:r>
        <w:t xml:space="preserve"> does.</w:t>
      </w:r>
      <w:r w:rsidRPr="00542EC4">
        <w:t xml:space="preserve"> </w:t>
      </w:r>
    </w:p>
    <w:p w14:paraId="6E1F4B5D" w14:textId="77777777" w:rsidR="00D213AE" w:rsidRPr="00542EC4" w:rsidRDefault="00D213AE" w:rsidP="00D213AE">
      <w:pPr>
        <w:pStyle w:val="Quote"/>
        <w:ind w:left="1440"/>
      </w:pPr>
      <w:r w:rsidRPr="00542EC4">
        <w:t>And if w</w:t>
      </w:r>
      <w:r w:rsidRPr="008A1BC8">
        <w:rPr>
          <w:vertAlign w:val="subscript"/>
        </w:rPr>
        <w:t>1</w:t>
      </w:r>
      <w:r w:rsidRPr="00542EC4">
        <w:t xml:space="preserve"> and w</w:t>
      </w:r>
      <w:r w:rsidRPr="008A1BC8">
        <w:rPr>
          <w:vertAlign w:val="subscript"/>
        </w:rPr>
        <w:t>2</w:t>
      </w:r>
      <w:r w:rsidRPr="00542EC4">
        <w:t xml:space="preserve"> contain the same number of sentences formally inconsistent with the relevant background facts (held fixed in the context):</w:t>
      </w:r>
    </w:p>
    <w:p w14:paraId="24540A05" w14:textId="2F1BC67A" w:rsidR="003D6E26" w:rsidRDefault="00D35766" w:rsidP="00A80A90">
      <w:pPr>
        <w:pStyle w:val="Quote"/>
        <w:ind w:left="1440"/>
      </w:pPr>
      <w:r w:rsidRPr="00CB63A8">
        <w:rPr>
          <w:b/>
          <w:bCs/>
        </w:rPr>
        <w:t xml:space="preserve">Less </w:t>
      </w:r>
      <w:proofErr w:type="spellStart"/>
      <w:r w:rsidRPr="00CB63A8">
        <w:rPr>
          <w:b/>
          <w:bCs/>
        </w:rPr>
        <w:t>DisImplications</w:t>
      </w:r>
      <w:proofErr w:type="spellEnd"/>
      <w:r>
        <w:t xml:space="preserve">: </w:t>
      </w:r>
      <w:r w:rsidRPr="00542EC4">
        <w:t>w</w:t>
      </w:r>
      <w:r w:rsidRPr="008A1BC8">
        <w:rPr>
          <w:vertAlign w:val="subscript"/>
        </w:rPr>
        <w:t>1</w:t>
      </w:r>
      <w:r w:rsidRPr="00542EC4">
        <w:t xml:space="preserve"> </w:t>
      </w:r>
      <w:r>
        <w:t>includes less sentences formally inconsistent with a priori</w:t>
      </w:r>
      <w:r w:rsidRPr="00542EC4">
        <w:t xml:space="preserve"> implications</w:t>
      </w:r>
      <w:r>
        <w:t xml:space="preserve"> of other sentences, </w:t>
      </w:r>
      <w:r w:rsidRPr="00542EC4">
        <w:t>than w</w:t>
      </w:r>
      <w:r w:rsidRPr="008A1BC8">
        <w:rPr>
          <w:vertAlign w:val="subscript"/>
        </w:rPr>
        <w:t>2</w:t>
      </w:r>
      <w:r w:rsidRPr="00542EC4">
        <w:t xml:space="preserve"> does</w:t>
      </w:r>
      <w:r>
        <w:t>.</w:t>
      </w:r>
    </w:p>
    <w:p w14:paraId="12D3BAAD" w14:textId="3DC248A9" w:rsidR="00945170" w:rsidRDefault="00A767D1" w:rsidP="00A767D1">
      <w:r w:rsidRPr="00A767D1">
        <w:t>As I will now explain, t</w:t>
      </w:r>
      <w:r w:rsidR="00F5046F" w:rsidRPr="00A767D1">
        <w:t xml:space="preserve">his suggestion leads to another surprising result. </w:t>
      </w:r>
      <w:r w:rsidR="00A80A90">
        <w:t>To derive the result, I will need a further assumption that is extremely intuitive:</w:t>
      </w:r>
    </w:p>
    <w:p w14:paraId="56495712" w14:textId="68FC4FF0" w:rsidR="00945170" w:rsidRDefault="00945170" w:rsidP="00CB63A8">
      <w:pPr>
        <w:pStyle w:val="Quote"/>
      </w:pPr>
      <w:r>
        <w:t xml:space="preserve">(L6) Every sentence a priori implies itself. </w:t>
      </w:r>
    </w:p>
    <w:p w14:paraId="37F1C9E0" w14:textId="249E1576" w:rsidR="00945170" w:rsidRDefault="00A80A90" w:rsidP="007871BC">
      <w:r>
        <w:t xml:space="preserve">It is </w:t>
      </w:r>
      <w:r w:rsidR="007871BC">
        <w:t>difficult</w:t>
      </w:r>
      <w:r>
        <w:t xml:space="preserve"> to imagine a context in which some sentence p doesn’t a priori imply p. </w:t>
      </w:r>
      <w:r w:rsidR="0055665A">
        <w:t>T</w:t>
      </w:r>
      <w:r w:rsidR="00945170">
        <w:t>he following is a consequence of L6:</w:t>
      </w:r>
    </w:p>
    <w:p w14:paraId="0C833924" w14:textId="60125ECC" w:rsidR="00945170" w:rsidRDefault="00945170" w:rsidP="00CB63A8">
      <w:pPr>
        <w:pStyle w:val="Quote"/>
      </w:pPr>
      <w:r>
        <w:t>(L7) Any world that contains one sentence formally inconsistent with an a priori implication of another sentence in that world, contains infinite sentences formally inconsistent with a priori implications of other sentences within the world.</w:t>
      </w:r>
    </w:p>
    <w:p w14:paraId="3D564B21" w14:textId="37284629" w:rsidR="00945170" w:rsidRDefault="00945170" w:rsidP="00FE01DA">
      <w:r>
        <w:t>For suppose some world, w, contains one sentence formally inconsistent with an a priori implication of another sentence in that world</w:t>
      </w:r>
      <w:r w:rsidR="00FE01DA">
        <w:t xml:space="preserve"> (hence forth, a </w:t>
      </w:r>
      <w:r w:rsidR="00FE01DA">
        <w:rPr>
          <w:i/>
          <w:iCs/>
        </w:rPr>
        <w:t>disimplication</w:t>
      </w:r>
      <w:r w:rsidR="00FE01DA">
        <w:t>)</w:t>
      </w:r>
      <w:r>
        <w:t xml:space="preserve">. For instance, suppose p implies </w:t>
      </w:r>
      <w:r w:rsidR="00FA4718">
        <w:t>¬</w:t>
      </w:r>
      <w:r>
        <w:t xml:space="preserve">q, and w includes p and q (or any other sentence </w:t>
      </w:r>
      <w:r w:rsidR="0012553F">
        <w:t xml:space="preserve">formally inconsistent </w:t>
      </w:r>
      <w:r w:rsidR="0012553F">
        <w:lastRenderedPageBreak/>
        <w:t xml:space="preserve">with </w:t>
      </w:r>
      <w:r w:rsidR="00FA4718">
        <w:t>¬</w:t>
      </w:r>
      <w:r w:rsidR="0012553F">
        <w:t xml:space="preserve">q). The world also contains q (or some other sentence formally inconsistent with </w:t>
      </w:r>
      <w:r w:rsidR="00FA4718">
        <w:t>¬</w:t>
      </w:r>
      <w:r w:rsidR="0012553F">
        <w:t xml:space="preserve">q) which a priori implies itself. Any sentence which consists of some number of negations of q, must be formally inconsistent with either </w:t>
      </w:r>
      <w:r w:rsidR="00FA4718">
        <w:t>¬</w:t>
      </w:r>
      <w:r w:rsidR="0012553F">
        <w:t xml:space="preserve">q or with q (or with any sentence formally inconsistent with </w:t>
      </w:r>
      <w:r w:rsidR="00FA4718">
        <w:t>¬</w:t>
      </w:r>
      <w:r w:rsidR="0012553F">
        <w:t xml:space="preserve">q). Since worlds are maximal, such a world must contain </w:t>
      </w:r>
      <w:r w:rsidR="00F468BF">
        <w:t xml:space="preserve">infinitely many </w:t>
      </w:r>
      <w:r w:rsidR="00FE01DA">
        <w:t>dis</w:t>
      </w:r>
      <w:r w:rsidR="0012553F">
        <w:t xml:space="preserve">implications. </w:t>
      </w:r>
    </w:p>
    <w:p w14:paraId="628251EF" w14:textId="77777777" w:rsidR="009877E3" w:rsidRDefault="00FE01DA" w:rsidP="00F468BF">
      <w:r>
        <w:t xml:space="preserve">L7 implies that there are only two kinds of worlds, worlds with zero disimplications and worlds with infinite disimplications. </w:t>
      </w:r>
      <w:r w:rsidR="003E51BE">
        <w:t xml:space="preserve">There exists nothing in between the two extremes. From the previous section we know that </w:t>
      </w:r>
      <w:r w:rsidR="00057540">
        <w:t xml:space="preserve">for any sentence p, </w:t>
      </w:r>
      <w:r w:rsidR="003E51BE">
        <w:t>all the nearest p worlds include all of the relevant background facts a</w:t>
      </w:r>
      <w:r w:rsidR="00F468BF">
        <w:t>nd</w:t>
      </w:r>
      <w:r w:rsidR="003E51BE">
        <w:t xml:space="preserve"> any sentence formally implied by them. </w:t>
      </w:r>
      <w:r w:rsidR="00E80BF3">
        <w:t xml:space="preserve">Now either there is a world that contains all of these and has zero disimplications or there is no such world. </w:t>
      </w:r>
      <w:r w:rsidR="009877E3">
        <w:t xml:space="preserve">Let’s consider what must be the case in each possibility. </w:t>
      </w:r>
    </w:p>
    <w:p w14:paraId="076ADEC1" w14:textId="3C8E1EB5" w:rsidR="003E51BE" w:rsidRDefault="00E80BF3" w:rsidP="00F468BF">
      <w:r>
        <w:t>If there is no such world, then Less Disimplications falls out of the picture because all worlds with the least inconsistencies with background facts have an equal number of disimplications, namely infinity.</w:t>
      </w:r>
      <w:r w:rsidR="00057540">
        <w:t xml:space="preserve"> In turn, this implies that every single world that is formally consistent with the relevant background facts and includes p, is among the nearest p worlds. </w:t>
      </w:r>
      <w:r>
        <w:t xml:space="preserve"> </w:t>
      </w:r>
    </w:p>
    <w:p w14:paraId="21891CC9" w14:textId="523897E2" w:rsidR="00457801" w:rsidRDefault="00057540" w:rsidP="00F468BF">
      <w:r>
        <w:t xml:space="preserve">What all this implies is that the revised account, Closeness*, is equivalent to the following: </w:t>
      </w:r>
    </w:p>
    <w:p w14:paraId="4739483A" w14:textId="77777777" w:rsidR="00057540" w:rsidRPr="00057540" w:rsidRDefault="00057540" w:rsidP="00057540">
      <w:pPr>
        <w:pStyle w:val="Quote"/>
        <w:rPr>
          <w:color w:val="auto"/>
        </w:rPr>
      </w:pPr>
      <w:r w:rsidRPr="00057540">
        <w:rPr>
          <w:color w:val="auto"/>
        </w:rPr>
        <w:t xml:space="preserve">A counterpossible p&gt;q is true iff one of the following obtains: </w:t>
      </w:r>
    </w:p>
    <w:p w14:paraId="4A782408" w14:textId="6CC26D8B" w:rsidR="00057540" w:rsidRDefault="00057540" w:rsidP="00057540">
      <w:pPr>
        <w:pStyle w:val="Quote"/>
        <w:numPr>
          <w:ilvl w:val="0"/>
          <w:numId w:val="25"/>
        </w:numPr>
        <w:rPr>
          <w:color w:val="auto"/>
        </w:rPr>
      </w:pPr>
      <w:r>
        <w:rPr>
          <w:color w:val="auto"/>
        </w:rPr>
        <w:t>q is identical to</w:t>
      </w:r>
      <w:r w:rsidR="00FD4325">
        <w:rPr>
          <w:color w:val="auto"/>
        </w:rPr>
        <w:t xml:space="preserve"> p.</w:t>
      </w:r>
    </w:p>
    <w:p w14:paraId="7B94B9A6" w14:textId="322613A2" w:rsidR="00057540" w:rsidRPr="00057540" w:rsidRDefault="00057540" w:rsidP="00057540">
      <w:pPr>
        <w:pStyle w:val="Quote"/>
        <w:numPr>
          <w:ilvl w:val="0"/>
          <w:numId w:val="25"/>
        </w:numPr>
        <w:rPr>
          <w:color w:val="auto"/>
        </w:rPr>
      </w:pPr>
      <w:r>
        <w:rPr>
          <w:color w:val="auto"/>
        </w:rPr>
        <w:t>T</w:t>
      </w:r>
      <w:r w:rsidRPr="00057540">
        <w:rPr>
          <w:color w:val="auto"/>
        </w:rPr>
        <w:t xml:space="preserve">he relevant background facts formally imply q. </w:t>
      </w:r>
    </w:p>
    <w:p w14:paraId="734344F9" w14:textId="52F50F4C" w:rsidR="00057540" w:rsidRDefault="00057540" w:rsidP="00057540">
      <w:pPr>
        <w:pStyle w:val="Quote"/>
        <w:numPr>
          <w:ilvl w:val="0"/>
          <w:numId w:val="25"/>
        </w:numPr>
      </w:pPr>
      <w:r>
        <w:t>There are worlds that contain</w:t>
      </w:r>
      <w:r w:rsidR="009877E3">
        <w:t xml:space="preserve"> p and</w:t>
      </w:r>
      <w:r>
        <w:t xml:space="preserve"> </w:t>
      </w:r>
      <w:r w:rsidRPr="00057540">
        <w:rPr>
          <w:i/>
          <w:iCs w:val="0"/>
        </w:rPr>
        <w:t>all</w:t>
      </w:r>
      <w:r>
        <w:t xml:space="preserve"> of the relevant background facts and </w:t>
      </w:r>
      <w:r w:rsidRPr="00B81CBA">
        <w:rPr>
          <w:i/>
          <w:iCs w:val="0"/>
        </w:rPr>
        <w:t>no</w:t>
      </w:r>
      <w:r>
        <w:t xml:space="preserve"> a priori disimplications between sentences and all such worlds contain q. </w:t>
      </w:r>
    </w:p>
    <w:p w14:paraId="60279DF4" w14:textId="6BCEE9F8" w:rsidR="00057540" w:rsidRPr="0057649E" w:rsidRDefault="005A170E" w:rsidP="0057649E">
      <w:r w:rsidRPr="0057649E">
        <w:lastRenderedPageBreak/>
        <w:t xml:space="preserve">Now focus on (c). </w:t>
      </w:r>
      <w:r w:rsidR="00A87F93" w:rsidRPr="0057649E">
        <w:t xml:space="preserve">Let S represent the set of sentences that is the union of p and all of the relevant background facts. Let </w:t>
      </w:r>
      <w:proofErr w:type="spellStart"/>
      <w:r w:rsidR="00A87F93" w:rsidRPr="0057649E">
        <w:t>W</w:t>
      </w:r>
      <w:r w:rsidR="00A87F93" w:rsidRPr="0057649E">
        <w:rPr>
          <w:vertAlign w:val="subscript"/>
        </w:rPr>
        <w:t>s</w:t>
      </w:r>
      <w:proofErr w:type="spellEnd"/>
      <w:r w:rsidR="00A87F93" w:rsidRPr="0057649E">
        <w:t xml:space="preserve"> represent the set of </w:t>
      </w:r>
      <w:r w:rsidR="00C87527" w:rsidRPr="0057649E">
        <w:t xml:space="preserve">all </w:t>
      </w:r>
      <w:r w:rsidR="00A87F93" w:rsidRPr="0057649E">
        <w:t xml:space="preserve">worlds that include S as a subset and that in addition have no a priori disimplications. What must be the case in order for all of the members of </w:t>
      </w:r>
      <w:proofErr w:type="spellStart"/>
      <w:r w:rsidR="00A87F93" w:rsidRPr="0057649E">
        <w:t>W</w:t>
      </w:r>
      <w:r w:rsidR="00A87F93" w:rsidRPr="0057649E">
        <w:rPr>
          <w:vertAlign w:val="subscript"/>
        </w:rPr>
        <w:t>s</w:t>
      </w:r>
      <w:proofErr w:type="spellEnd"/>
      <w:r w:rsidR="00A87F93" w:rsidRPr="0057649E">
        <w:t xml:space="preserve"> to include q</w:t>
      </w:r>
      <w:r w:rsidR="00C87527" w:rsidRPr="0057649E">
        <w:t xml:space="preserve"> (except for possibilities (a) and (b))</w:t>
      </w:r>
      <w:r w:rsidR="00A87F93" w:rsidRPr="0057649E">
        <w:t xml:space="preserve">? </w:t>
      </w:r>
      <w:r w:rsidR="00C87527" w:rsidRPr="0057649E">
        <w:t xml:space="preserve">It must be the case that </w:t>
      </w:r>
      <w:r w:rsidR="002973D9">
        <w:t>¬</w:t>
      </w:r>
      <w:r w:rsidR="00A87F93" w:rsidRPr="0057649E">
        <w:t xml:space="preserve">q is a disimplication of </w:t>
      </w:r>
      <w:r w:rsidR="00C87527" w:rsidRPr="0057649E">
        <w:t xml:space="preserve">some other sentences in all members of </w:t>
      </w:r>
      <w:proofErr w:type="spellStart"/>
      <w:r w:rsidR="00C87527" w:rsidRPr="0057649E">
        <w:t>W</w:t>
      </w:r>
      <w:r w:rsidR="00C87527" w:rsidRPr="0057649E">
        <w:rPr>
          <w:vertAlign w:val="subscript"/>
        </w:rPr>
        <w:t>s</w:t>
      </w:r>
      <w:proofErr w:type="spellEnd"/>
      <w:r w:rsidR="00C87527" w:rsidRPr="0057649E">
        <w:t xml:space="preserve">. That and only that would force all worlds in </w:t>
      </w:r>
      <w:proofErr w:type="spellStart"/>
      <w:r w:rsidR="00C87527" w:rsidRPr="0057649E">
        <w:t>W</w:t>
      </w:r>
      <w:r w:rsidR="00C87527" w:rsidRPr="0057649E">
        <w:rPr>
          <w:vertAlign w:val="subscript"/>
        </w:rPr>
        <w:t>s</w:t>
      </w:r>
      <w:proofErr w:type="spellEnd"/>
      <w:r w:rsidR="00C87527" w:rsidRPr="0057649E">
        <w:t xml:space="preserve"> not to include </w:t>
      </w:r>
      <w:r w:rsidR="002973D9">
        <w:t>¬</w:t>
      </w:r>
      <w:r w:rsidR="00C87527" w:rsidRPr="0057649E">
        <w:t>q, and therefore to include q because the</w:t>
      </w:r>
      <w:r w:rsidR="00FD4325" w:rsidRPr="0057649E">
        <w:t>y are maximal. This suggests (though</w:t>
      </w:r>
      <w:r w:rsidR="001B707D">
        <w:t>,</w:t>
      </w:r>
      <w:r w:rsidR="00FD4325" w:rsidRPr="0057649E">
        <w:t xml:space="preserve"> lacking a test for a priori implication, I can’t prove</w:t>
      </w:r>
      <w:r w:rsidR="001B707D">
        <w:t xml:space="preserve"> it</w:t>
      </w:r>
      <w:r w:rsidR="00FD4325" w:rsidRPr="0057649E">
        <w:t xml:space="preserve">) that (c) obtains only if S a priori implies q or some proposition that formally entails q. If this is correct, then </w:t>
      </w:r>
      <w:r w:rsidR="0057649E" w:rsidRPr="0057649E">
        <w:t>we get</w:t>
      </w:r>
      <w:r w:rsidR="00FD4325" w:rsidRPr="0057649E">
        <w:t xml:space="preserve"> the following: </w:t>
      </w:r>
    </w:p>
    <w:p w14:paraId="673F966E" w14:textId="77777777" w:rsidR="00FD4325" w:rsidRPr="00057540" w:rsidRDefault="00FD4325" w:rsidP="00FD4325">
      <w:pPr>
        <w:pStyle w:val="Quote"/>
        <w:rPr>
          <w:color w:val="auto"/>
        </w:rPr>
      </w:pPr>
      <w:r w:rsidRPr="00057540">
        <w:rPr>
          <w:color w:val="auto"/>
        </w:rPr>
        <w:t xml:space="preserve">A counterpossible p&gt;q is true iff one of the following obtains: </w:t>
      </w:r>
    </w:p>
    <w:p w14:paraId="0D7AD9DF" w14:textId="2F06EA6B" w:rsidR="00FD4325" w:rsidRDefault="00FD4325" w:rsidP="00FD4325">
      <w:pPr>
        <w:pStyle w:val="Quote"/>
        <w:numPr>
          <w:ilvl w:val="0"/>
          <w:numId w:val="27"/>
        </w:numPr>
        <w:rPr>
          <w:color w:val="auto"/>
        </w:rPr>
      </w:pPr>
      <w:r>
        <w:rPr>
          <w:color w:val="auto"/>
        </w:rPr>
        <w:t>q is identical to</w:t>
      </w:r>
      <w:r w:rsidRPr="00057540">
        <w:rPr>
          <w:color w:val="auto"/>
        </w:rPr>
        <w:t xml:space="preserve"> p</w:t>
      </w:r>
      <w:r>
        <w:rPr>
          <w:color w:val="auto"/>
        </w:rPr>
        <w:t>.</w:t>
      </w:r>
      <w:r w:rsidRPr="00057540">
        <w:rPr>
          <w:color w:val="auto"/>
        </w:rPr>
        <w:t xml:space="preserve"> </w:t>
      </w:r>
    </w:p>
    <w:p w14:paraId="3D0506AB" w14:textId="77777777" w:rsidR="00FD4325" w:rsidRPr="00057540" w:rsidRDefault="00FD4325" w:rsidP="00FD4325">
      <w:pPr>
        <w:pStyle w:val="Quote"/>
        <w:numPr>
          <w:ilvl w:val="0"/>
          <w:numId w:val="27"/>
        </w:numPr>
        <w:rPr>
          <w:color w:val="auto"/>
        </w:rPr>
      </w:pPr>
      <w:r>
        <w:rPr>
          <w:color w:val="auto"/>
        </w:rPr>
        <w:t>T</w:t>
      </w:r>
      <w:r w:rsidRPr="00057540">
        <w:rPr>
          <w:color w:val="auto"/>
        </w:rPr>
        <w:t xml:space="preserve">he relevant background facts formally imply q. </w:t>
      </w:r>
    </w:p>
    <w:p w14:paraId="5F9E58ED" w14:textId="708908AF" w:rsidR="00360E75" w:rsidRDefault="0057649E" w:rsidP="000D600C">
      <w:pPr>
        <w:pStyle w:val="Quote"/>
      </w:pPr>
      <w:r>
        <w:t xml:space="preserve">(c*) </w:t>
      </w:r>
      <w:r w:rsidR="00FD4325">
        <w:t>The union of p and the relevant background facts and all sentences formally implied by the relevant background facts, a priori imply q</w:t>
      </w:r>
      <w:r>
        <w:t xml:space="preserve"> or a proposition that formally entails q, and there is a world that contains all of these sentences and includes no a priori disimplications. </w:t>
      </w:r>
      <w:r w:rsidR="00FD4325">
        <w:t xml:space="preserve"> </w:t>
      </w:r>
      <w:r w:rsidR="00CA23C3">
        <w:t xml:space="preserve"> </w:t>
      </w:r>
    </w:p>
    <w:p w14:paraId="0A31B43C" w14:textId="77777777" w:rsidR="002564A3" w:rsidRDefault="002564A3" w:rsidP="003E51BE">
      <w:pPr>
        <w:pStyle w:val="Heading1"/>
        <w:ind w:left="432" w:hanging="432"/>
      </w:pPr>
      <w:r>
        <w:t>Where Does This Leave Us?</w:t>
      </w:r>
    </w:p>
    <w:p w14:paraId="76B66BD4" w14:textId="55E287B9" w:rsidR="0026130D" w:rsidRDefault="00B81CBA" w:rsidP="007741C4">
      <w:r>
        <w:t xml:space="preserve">Brogaard and Salerno’s account yields an implausible result. </w:t>
      </w:r>
      <w:r w:rsidR="0057649E">
        <w:t>We considered an amendment</w:t>
      </w:r>
      <w:r w:rsidR="007741C4">
        <w:t>,</w:t>
      </w:r>
      <w:r w:rsidR="0057649E">
        <w:t xml:space="preserve"> which replaces More Implications with Less Disimplications. The amended account was shown to e</w:t>
      </w:r>
      <w:r w:rsidR="00B34248">
        <w:t xml:space="preserve">ntail a surprising result, namely that all the closest p-worlds contain </w:t>
      </w:r>
      <w:r w:rsidR="00B34248" w:rsidRPr="00B34248">
        <w:rPr>
          <w:i/>
          <w:iCs/>
        </w:rPr>
        <w:t>all</w:t>
      </w:r>
      <w:r w:rsidR="00B34248">
        <w:t xml:space="preserve"> of the relevant background facts and any sentence formally implied by them, and that a priori implications can only play a role </w:t>
      </w:r>
      <w:r w:rsidR="00B461B3">
        <w:t xml:space="preserve">if </w:t>
      </w:r>
      <w:r w:rsidR="00B34248">
        <w:t>such a world can be constructed with absolutely no a priori disimplications. Among other things, t</w:t>
      </w:r>
      <w:r w:rsidR="00055403">
        <w:t xml:space="preserve">his </w:t>
      </w:r>
      <w:r w:rsidR="00B34248">
        <w:t>means</w:t>
      </w:r>
      <w:r w:rsidR="00055403">
        <w:t xml:space="preserve"> that</w:t>
      </w:r>
      <w:r w:rsidR="00B34248">
        <w:t>, contrary to initial appearances,</w:t>
      </w:r>
      <w:r w:rsidR="00055403">
        <w:t xml:space="preserve"> </w:t>
      </w:r>
      <w:r w:rsidR="00055403">
        <w:lastRenderedPageBreak/>
        <w:t xml:space="preserve">we never </w:t>
      </w:r>
      <w:r w:rsidR="007741C4">
        <w:t>have</w:t>
      </w:r>
      <w:r w:rsidR="00055403">
        <w:t xml:space="preserve"> to count sentences. The closest worlds cannot contain any sentences formally inconsistent with relevant background facts, nor can they contain a finite non-zero number of disimplications.</w:t>
      </w:r>
      <w:r w:rsidR="0026130D">
        <w:t xml:space="preserve"> </w:t>
      </w:r>
    </w:p>
    <w:p w14:paraId="62EABBA6" w14:textId="1F6825FB" w:rsidR="00B461B3" w:rsidRDefault="00457C12" w:rsidP="007741C4">
      <w:r>
        <w:t xml:space="preserve">As it stands, the account is so flexible that it is difficult to falsify. </w:t>
      </w:r>
      <w:r w:rsidR="00B461B3">
        <w:t xml:space="preserve">So long as we lack a method for discerning what the relevant set of background facts is and what the a priori implications are in a given context, it is in principle difficult to construct a counterexample to </w:t>
      </w:r>
      <w:r w:rsidR="007741C4">
        <w:t>the</w:t>
      </w:r>
      <w:r w:rsidR="00B461B3">
        <w:t xml:space="preserve"> amended account. Suppose you have a counterpossible of the form p&gt;q. Suppose the desired prediction is that this counterpossible come out true. If q is also true of the base world, then we can posit that q is a relevant background fact, and the account will give the desired prediction. If q is not true of the base world, then we can just say that it is a priori implied by p, or perhaps by the conjunction of p and some set of sentences that are true of the base world</w:t>
      </w:r>
      <w:r w:rsidR="00703229">
        <w:t xml:space="preserve"> and then we posit that those sentences from the base world are among the set of relevant background facts. </w:t>
      </w:r>
      <w:r w:rsidR="007741C4">
        <w:t xml:space="preserve">Similar moves can be made if the desired result is that p&gt;q is false. </w:t>
      </w:r>
      <w:r w:rsidR="00B461B3">
        <w:t xml:space="preserve">There is nothing in the theory to block such ad hoc maneuvers. </w:t>
      </w:r>
    </w:p>
    <w:p w14:paraId="6C9919DF" w14:textId="01724FA3" w:rsidR="00B81CBA" w:rsidRDefault="00B461B3" w:rsidP="00B461B3">
      <w:r>
        <w:t>To illustrate</w:t>
      </w:r>
      <w:r w:rsidR="0026130D">
        <w:t xml:space="preserve">, here is how </w:t>
      </w:r>
      <w:r>
        <w:t>the amended account</w:t>
      </w:r>
      <w:r w:rsidR="0026130D">
        <w:t xml:space="preserve"> </w:t>
      </w:r>
      <w:r w:rsidR="005409A3">
        <w:t>can</w:t>
      </w:r>
      <w:r w:rsidR="0026130D">
        <w:t xml:space="preserve"> handle the two opening examples. ‘</w:t>
      </w:r>
      <w:r w:rsidR="0026130D" w:rsidRPr="008851F5">
        <w:t>If Hobbes had squared the circle, sick children in the mountains of South America a</w:t>
      </w:r>
      <w:r w:rsidR="0026130D">
        <w:t>t the time would not have cared’ is intuitively true. In order for this to fit their account</w:t>
      </w:r>
      <w:r w:rsidR="007741C4">
        <w:t>,</w:t>
      </w:r>
      <w:r w:rsidR="0026130D">
        <w:t xml:space="preserve"> the most natural explanation is that the consequent ‘sick children in the mountains of South American at the time do not care’ is a relevant background fact in the context. And that’s why all the nearest ‘Hobbes squared the circle’ worlds must contain the consequent. ‘</w:t>
      </w:r>
      <w:r w:rsidR="0026130D" w:rsidRPr="008851F5">
        <w:t>If intuitionistic logic were the correct logic, then the law of excluded middle would still be unrestrictedly valid</w:t>
      </w:r>
      <w:r w:rsidR="0026130D">
        <w:t>’ is false because in the context, ‘the law of excluded middle is unrestrictedly valid’ is formally inconsistent with an a priori implication of the antecedent ‘intuitionistic logic is the correct logic’</w:t>
      </w:r>
      <w:r w:rsidR="0026130D" w:rsidRPr="008851F5">
        <w:t>.</w:t>
      </w:r>
      <w:r w:rsidR="0026130D">
        <w:t xml:space="preserve"> Furthermore, there exist ‘intuitionistic logic is the correct logic’ world</w:t>
      </w:r>
      <w:r w:rsidR="005409A3">
        <w:t>s</w:t>
      </w:r>
      <w:r w:rsidR="0026130D">
        <w:t xml:space="preserve"> such that </w:t>
      </w:r>
      <w:r w:rsidR="005409A3">
        <w:t xml:space="preserve">none of its components </w:t>
      </w:r>
      <w:r w:rsidR="007741C4">
        <w:t xml:space="preserve">formally </w:t>
      </w:r>
      <w:r w:rsidR="005409A3">
        <w:t xml:space="preserve">contradict any relevant background facts, nor does it consist of </w:t>
      </w:r>
      <w:r w:rsidR="005409A3">
        <w:lastRenderedPageBreak/>
        <w:t xml:space="preserve">any a priori disimplications and all such worlds do not include ‘the law of excluded middle is unrestrictedly valid’.  </w:t>
      </w:r>
    </w:p>
    <w:p w14:paraId="4D17B5EC" w14:textId="77777777" w:rsidR="00712743" w:rsidRDefault="00B461B3" w:rsidP="00712743">
      <w:r>
        <w:t xml:space="preserve">Quite generally, my view is that unfalsifiability is a reason to be less impressed by a lack of counterexamples, but it is not a reason to believe that the account is false. </w:t>
      </w:r>
      <w:r w:rsidR="00712743">
        <w:t>This flexibility does imply, however, that the amended account cannot make any substantial predictions. This is one reason to hope</w:t>
      </w:r>
      <w:r w:rsidR="00B34248">
        <w:t xml:space="preserve"> for a better </w:t>
      </w:r>
      <w:r>
        <w:t>non-</w:t>
      </w:r>
      <w:proofErr w:type="spellStart"/>
      <w:r>
        <w:t>vacuist</w:t>
      </w:r>
      <w:proofErr w:type="spellEnd"/>
      <w:r>
        <w:t xml:space="preserve"> </w:t>
      </w:r>
      <w:r w:rsidR="00B34248">
        <w:t>account for counterpossibles</w:t>
      </w:r>
      <w:r w:rsidR="00712743">
        <w:t>. Such an account may still</w:t>
      </w:r>
      <w:r w:rsidR="00B34248">
        <w:t xml:space="preserve"> incorporate</w:t>
      </w:r>
      <w:r w:rsidR="00712743">
        <w:t xml:space="preserve"> some of B&amp;S’s</w:t>
      </w:r>
      <w:r w:rsidR="00B34248">
        <w:t xml:space="preserve"> insights. </w:t>
      </w:r>
    </w:p>
    <w:p w14:paraId="673ADC6B" w14:textId="21AB0B88" w:rsidR="00D3120B" w:rsidRDefault="00712743" w:rsidP="00712743">
      <w:r>
        <w:t>B&amp;S c</w:t>
      </w:r>
      <w:r w:rsidR="001C6F55">
        <w:t xml:space="preserve">all their account </w:t>
      </w:r>
      <w:r w:rsidR="00832167">
        <w:t>an</w:t>
      </w:r>
      <w:r w:rsidR="001C6F55">
        <w:t xml:space="preserve"> ‘epistemic account’ because their main insight </w:t>
      </w:r>
      <w:r w:rsidR="00B34248">
        <w:t>is that the semantics of counterpossibles are partially determined by</w:t>
      </w:r>
      <w:r w:rsidR="001C6F55">
        <w:t xml:space="preserve"> a priori </w:t>
      </w:r>
      <w:r w:rsidR="00055403">
        <w:t>implications</w:t>
      </w:r>
      <w:r w:rsidR="001C6F55">
        <w:t xml:space="preserve">. </w:t>
      </w:r>
      <w:r w:rsidR="00C80C04">
        <w:t>I</w:t>
      </w:r>
      <w:r w:rsidR="000E53AC" w:rsidRPr="000E53AC">
        <w:t>t is interesting that epistemic features rather than metaphysical features should determine the closeness relation between worlds</w:t>
      </w:r>
      <w:r w:rsidR="00FA48FD">
        <w:t xml:space="preserve">. </w:t>
      </w:r>
      <w:r w:rsidR="00DE2963">
        <w:t>Perhaps this is not by chance. One of the reasons we need non trivia</w:t>
      </w:r>
      <w:r w:rsidR="001726AA">
        <w:t>l counterpossibles is to allow u</w:t>
      </w:r>
      <w:r w:rsidR="00DE2963">
        <w:t xml:space="preserve">s to </w:t>
      </w:r>
      <w:r w:rsidR="00FF2B70">
        <w:t>evaluate</w:t>
      </w:r>
      <w:r w:rsidR="00DE2963">
        <w:t xml:space="preserve"> propositions </w:t>
      </w:r>
      <w:r w:rsidR="00884469">
        <w:t>that</w:t>
      </w:r>
      <w:r w:rsidR="00DE2963">
        <w:t xml:space="preserve"> are necessary if true, and impossible if false. For instance, when trying to figure out which is the correct logic, we want to know the implications of suggested logics. At least as </w:t>
      </w:r>
      <w:r w:rsidR="0008525C">
        <w:t xml:space="preserve">far as </w:t>
      </w:r>
      <w:r w:rsidR="00DE2963">
        <w:t>this sort of need for counterpossibles is concerned, it is an epistemic need. If a certain kind of reasoning is invoke</w:t>
      </w:r>
      <w:r w:rsidR="000E53AC">
        <w:t xml:space="preserve">d for epistemic needs, </w:t>
      </w:r>
      <w:r w:rsidR="00FF2B70">
        <w:t xml:space="preserve">it is no surprise that </w:t>
      </w:r>
      <w:r w:rsidR="00DE2963">
        <w:t xml:space="preserve">epistemic factors determine the behavior of the linguistic tools we use to conduct such reasoning. My guess is that </w:t>
      </w:r>
      <w:r w:rsidR="008B1F9A">
        <w:t xml:space="preserve">further </w:t>
      </w:r>
      <w:r w:rsidR="00DE2963">
        <w:t>digging into the epistemic function of counterpos</w:t>
      </w:r>
      <w:bookmarkStart w:id="1" w:name="_GoBack"/>
      <w:bookmarkEnd w:id="1"/>
      <w:r w:rsidR="00DE2963">
        <w:t xml:space="preserve">sibles will advance our understanding of the semantics of counterpossibles. </w:t>
      </w:r>
    </w:p>
    <w:p w14:paraId="681A746D" w14:textId="728461FD" w:rsidR="00D253C3" w:rsidRDefault="0060603F" w:rsidP="0060603F">
      <w:pPr>
        <w:pStyle w:val="Heading1"/>
        <w:numPr>
          <w:ilvl w:val="0"/>
          <w:numId w:val="0"/>
        </w:numPr>
        <w:ind w:left="431" w:hanging="431"/>
      </w:pPr>
      <w:r>
        <w:t>Acknowledgments</w:t>
      </w:r>
    </w:p>
    <w:p w14:paraId="5BB01401" w14:textId="47833186" w:rsidR="0060603F" w:rsidRPr="0060603F" w:rsidRDefault="0060603F" w:rsidP="0060603F">
      <w:pPr>
        <w:rPr>
          <w:color w:val="FF0000"/>
        </w:rPr>
      </w:pPr>
      <w:r w:rsidRPr="0060603F">
        <w:rPr>
          <w:color w:val="FF0000"/>
        </w:rPr>
        <w:t>[omitted for blind review]</w:t>
      </w:r>
    </w:p>
    <w:p w14:paraId="6AC1689E" w14:textId="77777777" w:rsidR="00794C1E" w:rsidRDefault="00794C1E" w:rsidP="00265085">
      <w:pPr>
        <w:pStyle w:val="Heading1"/>
        <w:numPr>
          <w:ilvl w:val="0"/>
          <w:numId w:val="0"/>
        </w:numPr>
        <w:ind w:left="431" w:hanging="431"/>
      </w:pPr>
      <w:r>
        <w:t>References</w:t>
      </w:r>
    </w:p>
    <w:p w14:paraId="676A4694" w14:textId="04779A05" w:rsidR="00A00F06" w:rsidRPr="00A00F06" w:rsidRDefault="00794C1E" w:rsidP="00A00F06">
      <w:pPr>
        <w:widowControl w:val="0"/>
        <w:autoSpaceDE w:val="0"/>
        <w:autoSpaceDN w:val="0"/>
        <w:adjustRightInd w:val="0"/>
        <w:spacing w:before="100" w:after="100" w:line="240" w:lineRule="auto"/>
        <w:rPr>
          <w:rFonts w:ascii="Times New Roman" w:hAnsi="Times New Roman" w:cs="Times New Roman"/>
          <w:noProof/>
          <w:sz w:val="22"/>
          <w:szCs w:val="24"/>
        </w:rPr>
      </w:pPr>
      <w:r>
        <w:fldChar w:fldCharType="begin" w:fldLock="1"/>
      </w:r>
      <w:r>
        <w:instrText xml:space="preserve">ADDIN Mendeley Bibliography CSL_BIBLIOGRAPHY </w:instrText>
      </w:r>
      <w:r>
        <w:fldChar w:fldCharType="separate"/>
      </w:r>
      <w:r w:rsidR="00A00F06" w:rsidRPr="00A00F06">
        <w:rPr>
          <w:rFonts w:ascii="Times New Roman" w:hAnsi="Times New Roman" w:cs="Times New Roman"/>
          <w:noProof/>
          <w:sz w:val="22"/>
          <w:szCs w:val="24"/>
        </w:rPr>
        <w:t xml:space="preserve">Bernstein, S. (2016) ‘Omission impossible’, </w:t>
      </w:r>
      <w:r w:rsidR="00A00F06" w:rsidRPr="00A00F06">
        <w:rPr>
          <w:rFonts w:ascii="Times New Roman" w:hAnsi="Times New Roman" w:cs="Times New Roman"/>
          <w:i/>
          <w:iCs/>
          <w:noProof/>
          <w:sz w:val="22"/>
          <w:szCs w:val="24"/>
        </w:rPr>
        <w:t>Philosophical Studies</w:t>
      </w:r>
      <w:r w:rsidR="00A00F06" w:rsidRPr="00A00F06">
        <w:rPr>
          <w:rFonts w:ascii="Times New Roman" w:hAnsi="Times New Roman" w:cs="Times New Roman"/>
          <w:noProof/>
          <w:sz w:val="22"/>
          <w:szCs w:val="24"/>
        </w:rPr>
        <w:t>, 173(10), pp. 2575–2589. doi: 10.1007/s11098-016-0672-9.</w:t>
      </w:r>
    </w:p>
    <w:p w14:paraId="73227DEB"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lastRenderedPageBreak/>
        <w:t xml:space="preserve">Brogaard, B. and Salerno, J. (2013) ‘Remarks on Counterpossibles’, </w:t>
      </w:r>
      <w:r w:rsidRPr="00A00F06">
        <w:rPr>
          <w:rFonts w:ascii="Times New Roman" w:hAnsi="Times New Roman" w:cs="Times New Roman"/>
          <w:i/>
          <w:iCs/>
          <w:noProof/>
          <w:sz w:val="22"/>
          <w:szCs w:val="24"/>
        </w:rPr>
        <w:t>Synthese</w:t>
      </w:r>
      <w:r w:rsidRPr="00A00F06">
        <w:rPr>
          <w:rFonts w:ascii="Times New Roman" w:hAnsi="Times New Roman" w:cs="Times New Roman"/>
          <w:noProof/>
          <w:sz w:val="22"/>
          <w:szCs w:val="24"/>
        </w:rPr>
        <w:t>, 190(4), pp. 639–660. doi: 10.1007/s11229-012-0196-6.</w:t>
      </w:r>
    </w:p>
    <w:p w14:paraId="0D459EA1"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t xml:space="preserve">Field, H. (1996) ‘The A Prioricity of Logic’, </w:t>
      </w:r>
      <w:r w:rsidRPr="00A00F06">
        <w:rPr>
          <w:rFonts w:ascii="Times New Roman" w:hAnsi="Times New Roman" w:cs="Times New Roman"/>
          <w:i/>
          <w:iCs/>
          <w:noProof/>
          <w:sz w:val="22"/>
          <w:szCs w:val="24"/>
        </w:rPr>
        <w:t>Proceedings of the Aristotelian Society</w:t>
      </w:r>
      <w:r w:rsidRPr="00A00F06">
        <w:rPr>
          <w:rFonts w:ascii="Times New Roman" w:hAnsi="Times New Roman" w:cs="Times New Roman"/>
          <w:noProof/>
          <w:sz w:val="22"/>
          <w:szCs w:val="24"/>
        </w:rPr>
        <w:t>, 96, pp. 359–379.</w:t>
      </w:r>
    </w:p>
    <w:p w14:paraId="42E33C83"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t xml:space="preserve">Von Fintel, K. (2001) ‘Counterfactuals in a dynamic context’, in </w:t>
      </w:r>
      <w:r w:rsidRPr="00A00F06">
        <w:rPr>
          <w:rFonts w:ascii="Times New Roman" w:hAnsi="Times New Roman" w:cs="Times New Roman"/>
          <w:i/>
          <w:iCs/>
          <w:noProof/>
          <w:sz w:val="22"/>
          <w:szCs w:val="24"/>
        </w:rPr>
        <w:t>Current Studies in Linguistics Series</w:t>
      </w:r>
      <w:r w:rsidRPr="00A00F06">
        <w:rPr>
          <w:rFonts w:ascii="Times New Roman" w:hAnsi="Times New Roman" w:cs="Times New Roman"/>
          <w:noProof/>
          <w:sz w:val="22"/>
          <w:szCs w:val="24"/>
        </w:rPr>
        <w:t>, pp. 123–152.</w:t>
      </w:r>
    </w:p>
    <w:p w14:paraId="22954602"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t xml:space="preserve">Jago, M. (2015) ‘Impossible Worlds’, </w:t>
      </w:r>
      <w:r w:rsidRPr="00A00F06">
        <w:rPr>
          <w:rFonts w:ascii="Times New Roman" w:hAnsi="Times New Roman" w:cs="Times New Roman"/>
          <w:i/>
          <w:iCs/>
          <w:noProof/>
          <w:sz w:val="22"/>
          <w:szCs w:val="24"/>
        </w:rPr>
        <w:t>Noûs</w:t>
      </w:r>
      <w:r w:rsidRPr="00A00F06">
        <w:rPr>
          <w:rFonts w:ascii="Times New Roman" w:hAnsi="Times New Roman" w:cs="Times New Roman"/>
          <w:noProof/>
          <w:sz w:val="22"/>
          <w:szCs w:val="24"/>
        </w:rPr>
        <w:t>, 49(4), pp. 713–728. doi: 10.1111/nous.12051.</w:t>
      </w:r>
    </w:p>
    <w:p w14:paraId="53AB7B17"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t xml:space="preserve">Jenny, M. (2018) ‘Counterpossibles in Science: The Case of Relative Computability’, </w:t>
      </w:r>
      <w:r w:rsidRPr="00A00F06">
        <w:rPr>
          <w:rFonts w:ascii="Times New Roman" w:hAnsi="Times New Roman" w:cs="Times New Roman"/>
          <w:i/>
          <w:iCs/>
          <w:noProof/>
          <w:sz w:val="22"/>
          <w:szCs w:val="24"/>
        </w:rPr>
        <w:t>Noûs</w:t>
      </w:r>
      <w:r w:rsidRPr="00A00F06">
        <w:rPr>
          <w:rFonts w:ascii="Times New Roman" w:hAnsi="Times New Roman" w:cs="Times New Roman"/>
          <w:noProof/>
          <w:sz w:val="22"/>
          <w:szCs w:val="24"/>
        </w:rPr>
        <w:t>, 52(3), pp. 530–560. doi: 10.1111/nous.12177.</w:t>
      </w:r>
    </w:p>
    <w:p w14:paraId="749DFC51"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t xml:space="preserve">Kment, B. (2014) </w:t>
      </w:r>
      <w:r w:rsidRPr="00A00F06">
        <w:rPr>
          <w:rFonts w:ascii="Times New Roman" w:hAnsi="Times New Roman" w:cs="Times New Roman"/>
          <w:i/>
          <w:iCs/>
          <w:noProof/>
          <w:sz w:val="22"/>
          <w:szCs w:val="24"/>
        </w:rPr>
        <w:t>Modality and Explanatory Reasoning</w:t>
      </w:r>
      <w:r w:rsidRPr="00A00F06">
        <w:rPr>
          <w:rFonts w:ascii="Times New Roman" w:hAnsi="Times New Roman" w:cs="Times New Roman"/>
          <w:noProof/>
          <w:sz w:val="22"/>
          <w:szCs w:val="24"/>
        </w:rPr>
        <w:t>. Oxford University Press. doi: 10.1093/acprof:oso/9780199604685.001.0001.</w:t>
      </w:r>
    </w:p>
    <w:p w14:paraId="6BE59CE5"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t xml:space="preserve">Krakauer, B. (2012) </w:t>
      </w:r>
      <w:r w:rsidRPr="00A00F06">
        <w:rPr>
          <w:rFonts w:ascii="Times New Roman" w:hAnsi="Times New Roman" w:cs="Times New Roman"/>
          <w:i/>
          <w:iCs/>
          <w:noProof/>
          <w:sz w:val="22"/>
          <w:szCs w:val="24"/>
        </w:rPr>
        <w:t>Counterpossibles</w:t>
      </w:r>
      <w:r w:rsidRPr="00A00F06">
        <w:rPr>
          <w:rFonts w:ascii="Times New Roman" w:hAnsi="Times New Roman" w:cs="Times New Roman"/>
          <w:noProof/>
          <w:sz w:val="22"/>
          <w:szCs w:val="24"/>
        </w:rPr>
        <w:t>. University of Massachusetts - Amherst.</w:t>
      </w:r>
    </w:p>
    <w:p w14:paraId="62C0E591"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t>Vander Laan, D. (2004) ‘Counterpossibles and similarity</w:t>
      </w:r>
      <w:r w:rsidRPr="00A00F06">
        <w:rPr>
          <w:rFonts w:ascii="Times New Roman" w:hAnsi="Times New Roman" w:cs="Times New Roman"/>
          <w:noProof/>
          <w:sz w:val="22"/>
          <w:szCs w:val="24"/>
          <w:rtl/>
        </w:rPr>
        <w:t>‏</w:t>
      </w:r>
      <w:r w:rsidRPr="00A00F06">
        <w:rPr>
          <w:rFonts w:ascii="Times New Roman" w:hAnsi="Times New Roman" w:cs="Times New Roman"/>
          <w:noProof/>
          <w:sz w:val="22"/>
          <w:szCs w:val="24"/>
        </w:rPr>
        <w:t xml:space="preserve">’, in Jackson, F. and Priest, G. (eds) </w:t>
      </w:r>
      <w:r w:rsidRPr="00A00F06">
        <w:rPr>
          <w:rFonts w:ascii="Times New Roman" w:hAnsi="Times New Roman" w:cs="Times New Roman"/>
          <w:i/>
          <w:iCs/>
          <w:noProof/>
          <w:sz w:val="22"/>
          <w:szCs w:val="24"/>
        </w:rPr>
        <w:t>Lewisian Themes</w:t>
      </w:r>
      <w:r w:rsidRPr="00A00F06">
        <w:rPr>
          <w:rFonts w:ascii="Times New Roman" w:hAnsi="Times New Roman" w:cs="Times New Roman"/>
          <w:i/>
          <w:iCs/>
          <w:noProof/>
          <w:sz w:val="22"/>
          <w:szCs w:val="24"/>
          <w:rtl/>
        </w:rPr>
        <w:t>‏</w:t>
      </w:r>
      <w:r w:rsidRPr="00A00F06">
        <w:rPr>
          <w:rFonts w:ascii="Times New Roman" w:hAnsi="Times New Roman" w:cs="Times New Roman"/>
          <w:noProof/>
          <w:sz w:val="22"/>
          <w:szCs w:val="24"/>
        </w:rPr>
        <w:t>. Oxford: Oxford University Press, pp. 258–275.</w:t>
      </w:r>
    </w:p>
    <w:p w14:paraId="1D33C691"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t xml:space="preserve">Lewis, D. (1973) </w:t>
      </w:r>
      <w:r w:rsidRPr="00A00F06">
        <w:rPr>
          <w:rFonts w:ascii="Times New Roman" w:hAnsi="Times New Roman" w:cs="Times New Roman"/>
          <w:i/>
          <w:iCs/>
          <w:noProof/>
          <w:sz w:val="22"/>
          <w:szCs w:val="24"/>
        </w:rPr>
        <w:t>Counterfactuals</w:t>
      </w:r>
      <w:r w:rsidRPr="00A00F06">
        <w:rPr>
          <w:rFonts w:ascii="Times New Roman" w:hAnsi="Times New Roman" w:cs="Times New Roman"/>
          <w:noProof/>
          <w:sz w:val="22"/>
          <w:szCs w:val="24"/>
        </w:rPr>
        <w:t>. Oxford: Blackwell Publishers.</w:t>
      </w:r>
    </w:p>
    <w:p w14:paraId="665568D0"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szCs w:val="24"/>
        </w:rPr>
      </w:pPr>
      <w:r w:rsidRPr="00A00F06">
        <w:rPr>
          <w:rFonts w:ascii="Times New Roman" w:hAnsi="Times New Roman" w:cs="Times New Roman"/>
          <w:noProof/>
          <w:sz w:val="22"/>
          <w:szCs w:val="24"/>
        </w:rPr>
        <w:t xml:space="preserve">Mares, E. D. (1997) ‘Who’s Afraid of Impossible Worlds?’, </w:t>
      </w:r>
      <w:r w:rsidRPr="00A00F06">
        <w:rPr>
          <w:rFonts w:ascii="Times New Roman" w:hAnsi="Times New Roman" w:cs="Times New Roman"/>
          <w:i/>
          <w:iCs/>
          <w:noProof/>
          <w:sz w:val="22"/>
          <w:szCs w:val="24"/>
        </w:rPr>
        <w:t>Notre Dame Journal of Formal Logic</w:t>
      </w:r>
      <w:r w:rsidRPr="00A00F06">
        <w:rPr>
          <w:rFonts w:ascii="Times New Roman" w:hAnsi="Times New Roman" w:cs="Times New Roman"/>
          <w:noProof/>
          <w:sz w:val="22"/>
          <w:szCs w:val="24"/>
        </w:rPr>
        <w:t>, 38, pp. 516–526. doi: 10.1305/ndjfl/1039540767.</w:t>
      </w:r>
    </w:p>
    <w:p w14:paraId="75A2DFFB" w14:textId="77777777" w:rsidR="00A00F06" w:rsidRPr="00A00F06" w:rsidRDefault="00A00F06" w:rsidP="00A00F06">
      <w:pPr>
        <w:widowControl w:val="0"/>
        <w:autoSpaceDE w:val="0"/>
        <w:autoSpaceDN w:val="0"/>
        <w:adjustRightInd w:val="0"/>
        <w:spacing w:before="100" w:after="100" w:line="240" w:lineRule="auto"/>
        <w:rPr>
          <w:rFonts w:ascii="Times New Roman" w:hAnsi="Times New Roman" w:cs="Times New Roman"/>
          <w:noProof/>
          <w:sz w:val="22"/>
        </w:rPr>
      </w:pPr>
      <w:r w:rsidRPr="00A00F06">
        <w:rPr>
          <w:rFonts w:ascii="Times New Roman" w:hAnsi="Times New Roman" w:cs="Times New Roman"/>
          <w:noProof/>
          <w:sz w:val="22"/>
          <w:szCs w:val="24"/>
        </w:rPr>
        <w:t xml:space="preserve">Nolan, D. P. (1997) ‘Impossible Worlds: A Modest Approach’, </w:t>
      </w:r>
      <w:r w:rsidRPr="00A00F06">
        <w:rPr>
          <w:rFonts w:ascii="Times New Roman" w:hAnsi="Times New Roman" w:cs="Times New Roman"/>
          <w:i/>
          <w:iCs/>
          <w:noProof/>
          <w:sz w:val="22"/>
          <w:szCs w:val="24"/>
        </w:rPr>
        <w:t>Notre Dame Journal of Formal Logic</w:t>
      </w:r>
      <w:r w:rsidRPr="00A00F06">
        <w:rPr>
          <w:rFonts w:ascii="Times New Roman" w:hAnsi="Times New Roman" w:cs="Times New Roman"/>
          <w:noProof/>
          <w:sz w:val="22"/>
          <w:szCs w:val="24"/>
        </w:rPr>
        <w:t>, 38, pp. 535–572. doi: 10.1305/ndjfl/1039540769.</w:t>
      </w:r>
    </w:p>
    <w:p w14:paraId="3925E444" w14:textId="4BDB8E01" w:rsidR="00794C1E" w:rsidRPr="00794C1E" w:rsidRDefault="00794C1E" w:rsidP="00A00F06">
      <w:pPr>
        <w:widowControl w:val="0"/>
        <w:autoSpaceDE w:val="0"/>
        <w:autoSpaceDN w:val="0"/>
        <w:adjustRightInd w:val="0"/>
        <w:spacing w:before="100" w:after="100" w:line="240" w:lineRule="auto"/>
      </w:pPr>
      <w:r>
        <w:fldChar w:fldCharType="end"/>
      </w:r>
    </w:p>
    <w:sectPr w:rsidR="00794C1E" w:rsidRPr="00794C1E" w:rsidSect="006138B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5F5E" w14:textId="77777777" w:rsidR="00A504D9" w:rsidRDefault="00A504D9" w:rsidP="00B14FE0">
      <w:pPr>
        <w:spacing w:after="0" w:line="240" w:lineRule="auto"/>
      </w:pPr>
      <w:r>
        <w:separator/>
      </w:r>
    </w:p>
  </w:endnote>
  <w:endnote w:type="continuationSeparator" w:id="0">
    <w:p w14:paraId="256529B9" w14:textId="77777777" w:rsidR="00A504D9" w:rsidRDefault="00A504D9" w:rsidP="00B1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Stam">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E0F94" w14:textId="77777777" w:rsidR="003D6E26" w:rsidRDefault="003D6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52132"/>
      <w:docPartObj>
        <w:docPartGallery w:val="Page Numbers (Bottom of Page)"/>
        <w:docPartUnique/>
      </w:docPartObj>
    </w:sdtPr>
    <w:sdtEndPr>
      <w:rPr>
        <w:noProof/>
      </w:rPr>
    </w:sdtEndPr>
    <w:sdtContent>
      <w:p w14:paraId="2D3D16BD" w14:textId="5A663A72" w:rsidR="003D6E26" w:rsidRDefault="003D6E26">
        <w:pPr>
          <w:pStyle w:val="Footer"/>
          <w:jc w:val="center"/>
        </w:pPr>
        <w:r>
          <w:fldChar w:fldCharType="begin"/>
        </w:r>
        <w:r>
          <w:instrText xml:space="preserve"> PAGE   \* MERGEFORMAT </w:instrText>
        </w:r>
        <w:r>
          <w:fldChar w:fldCharType="separate"/>
        </w:r>
        <w:r w:rsidR="00A00F06">
          <w:rPr>
            <w:noProof/>
          </w:rPr>
          <w:t>19</w:t>
        </w:r>
        <w:r>
          <w:rPr>
            <w:noProof/>
          </w:rPr>
          <w:fldChar w:fldCharType="end"/>
        </w:r>
      </w:p>
    </w:sdtContent>
  </w:sdt>
  <w:p w14:paraId="1B9E2E53" w14:textId="77777777" w:rsidR="003D6E26" w:rsidRDefault="003D6E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A5909" w14:textId="77777777" w:rsidR="003D6E26" w:rsidRDefault="003D6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C97F" w14:textId="77777777" w:rsidR="00A504D9" w:rsidRDefault="00A504D9" w:rsidP="00B14FE0">
      <w:pPr>
        <w:spacing w:after="0" w:line="240" w:lineRule="auto"/>
      </w:pPr>
      <w:r>
        <w:separator/>
      </w:r>
    </w:p>
  </w:footnote>
  <w:footnote w:type="continuationSeparator" w:id="0">
    <w:p w14:paraId="31E19D5D" w14:textId="77777777" w:rsidR="00A504D9" w:rsidRDefault="00A504D9" w:rsidP="00B14FE0">
      <w:pPr>
        <w:spacing w:after="0" w:line="240" w:lineRule="auto"/>
      </w:pPr>
      <w:r>
        <w:continuationSeparator/>
      </w:r>
    </w:p>
  </w:footnote>
  <w:footnote w:id="1">
    <w:p w14:paraId="212C0A72" w14:textId="223D56FE" w:rsidR="00EB4A11" w:rsidRPr="00635340" w:rsidRDefault="00EB4A11" w:rsidP="002E2CFD">
      <w:pPr>
        <w:pStyle w:val="FootnoteText"/>
      </w:pPr>
      <w:r w:rsidRPr="00635340">
        <w:rPr>
          <w:rStyle w:val="FootnoteReference"/>
        </w:rPr>
        <w:footnoteRef/>
      </w:r>
      <w:r w:rsidRPr="00635340">
        <w:t xml:space="preserve"> Following the literature, I am focusing on subjunctives. Brogaard and Salerno note that they believe that their theory applies to indicatives as well but they nevertheless remain focused on subjunctives. </w:t>
      </w:r>
      <w:r w:rsidRPr="00635340">
        <w:rPr>
          <w:color w:val="FF0000"/>
        </w:rPr>
        <w:t>[omitted for blind review]</w:t>
      </w:r>
      <w:r w:rsidRPr="00635340">
        <w:t xml:space="preserve"> has suggested to me that it may be fruitful to think more about indicative conditionals, because indicatives suggest an epistemic modality and the more interesting and non-weird cases of conditionals with metaphysically impossible antecedents are when we are trying to figure out whether the antecedent is true or not, i.e. when there is an epistemic possibility but metaphysical impossibility. </w:t>
      </w:r>
    </w:p>
  </w:footnote>
  <w:footnote w:id="2">
    <w:p w14:paraId="401E2722" w14:textId="2DDA7A91" w:rsidR="00EB4A11" w:rsidRPr="00635340" w:rsidRDefault="00EB4A11" w:rsidP="0072365A">
      <w:pPr>
        <w:pStyle w:val="FootnoteText"/>
      </w:pPr>
      <w:r w:rsidRPr="00635340">
        <w:rPr>
          <w:rStyle w:val="FootnoteReference"/>
        </w:rPr>
        <w:footnoteRef/>
      </w:r>
      <w:r w:rsidRPr="00635340">
        <w:t xml:space="preserve"> Note that Brogaard and Salerno use the term Vacuism to refer specifically to Lewis’s view according to which counterpossibles are vacuously true. I suggest instead that we call this view Positive Vacuism to make room for other types of Vacuism, which describe counterpossibles as vacuously false (Negative Vacuism) or as lacking a truth value (Neutral Vacuism). I mention the latter two possible theories despite their absence in the literature because I believe they can be motivated. There is some intuitive pull to the thought that counterfactuals (p&gt;q) presuppose the existence of worlds in which the antecedent is true (p worlds). (Other philosophers have noted this presupposition in relation to the semantics of counterfactuals.  Kai von Fintel argues that it explains puzzling context shifts in sequences of counterfactuals </w:t>
      </w:r>
      <w:r w:rsidRPr="00635340">
        <w:fldChar w:fldCharType="begin" w:fldLock="1"/>
      </w:r>
      <w:r w:rsidR="00A00F06">
        <w:instrText>ADDIN CSL_CITATION {"citationItems":[{"id":"ITEM-1","itemData":{"author":[{"dropping-particle":"","family":"Fintel","given":"Kai","non-dropping-particle":"Von","parse-names":false,"suffix":""}],"chapter-number":"3","container-title":"Current Studies in Linguistics Series","id":"ITEM-1","issue":"2","issued":{"date-parts":[["2001"]]},"page":"123-152","title":"Counterfactuals in a dynamic context","type":"chapter","volume":"1"},"uris":["http://www.mendeley.com/documents/?uuid=96bd060e-e586-42bb-a676-65198fb726a1"]}],"mendeley":{"formattedCitation":"(Von Fintel, 2001)","plainTextFormattedCitation":"(Von Fintel, 2001)","previouslyFormattedCitation":"(Von Fintel, 2001)"},"properties":{"noteIndex":0},"schema":"https://github.com/citation-style-language/schema/raw/master/csl-citation.json"}</w:instrText>
      </w:r>
      <w:r w:rsidRPr="00635340">
        <w:fldChar w:fldCharType="separate"/>
      </w:r>
      <w:r w:rsidR="00A00F06" w:rsidRPr="00A00F06">
        <w:rPr>
          <w:noProof/>
        </w:rPr>
        <w:t>(Von Fintel, 2001)</w:t>
      </w:r>
      <w:r w:rsidRPr="00635340">
        <w:fldChar w:fldCharType="end"/>
      </w:r>
      <w:r w:rsidRPr="00635340">
        <w:t xml:space="preserve">). If presupposition failures yield truth gaps or make the proposition false, the same should apply to counterpossibles. Boris </w:t>
      </w:r>
      <w:proofErr w:type="spellStart"/>
      <w:r w:rsidRPr="00635340">
        <w:t>Kment</w:t>
      </w:r>
      <w:proofErr w:type="spellEnd"/>
      <w:r w:rsidRPr="00635340">
        <w:t xml:space="preserve"> </w:t>
      </w:r>
      <w:r w:rsidRPr="00635340">
        <w:fldChar w:fldCharType="begin" w:fldLock="1"/>
      </w:r>
      <w:r w:rsidR="00A00F06">
        <w:instrText>ADDIN CSL_CITATION {"citationItems":[{"id":"ITEM-1","itemData":{"DOI":"10.1093/acprof:oso/9780199604685.001.0001","ISBN":"9780199604685","author":[{"dropping-particle":"","family":"Kment","given":"Boris","non-dropping-particle":"","parse-names":false,"suffix":""}],"id":"ITEM-1","issued":{"date-parts":[["2014","9","18"]]},"publisher":"Oxford University Press","title":"Modality and Explanatory Reasoning","type":"book"},"locator":"25; 220","suppress-author":1,"uris":["http://www.mendeley.com/documents/?uuid=8a8c7f3c-3327-444e-a6df-6be0f3e7775e"]}],"mendeley":{"formattedCitation":"(2014, p. 25; 220)","plainTextFormattedCitation":"(2014, p. 25; 220)","previouslyFormattedCitation":"(2014, p. 25; 220)"},"properties":{"noteIndex":0},"schema":"https://github.com/citation-style-language/schema/raw/master/csl-citation.json"}</w:instrText>
      </w:r>
      <w:r w:rsidRPr="00635340">
        <w:fldChar w:fldCharType="separate"/>
      </w:r>
      <w:r w:rsidR="00A00F06" w:rsidRPr="00A00F06">
        <w:rPr>
          <w:noProof/>
        </w:rPr>
        <w:t>(2014, p. 25; 220)</w:t>
      </w:r>
      <w:r w:rsidRPr="00635340">
        <w:fldChar w:fldCharType="end"/>
      </w:r>
      <w:r w:rsidRPr="00635340">
        <w:t xml:space="preserve"> has recently defended a restricted version of Negative Vacuism. According to Kment, all counterfactuals with logically impossible antecedents are false. Note though that Kment believes that there are impossibilities that are not logical impossibilities, and he is not a vacuist with regards to counterpossibles with non-logical impossibilities as antecedent. (See also Field </w:t>
      </w:r>
      <w:r w:rsidRPr="00635340">
        <w:fldChar w:fldCharType="begin" w:fldLock="1"/>
      </w:r>
      <w:r w:rsidR="00A00F06">
        <w:instrText>ADDIN CSL_CITATION {"citationItems":[{"id":"ITEM-1","itemData":{"author":[{"dropping-particle":"","family":"Field","given":"Hartry","non-dropping-particle":"","parse-names":false,"suffix":""}],"container-title":"Proceedings of the Aristotelian Society","id":"ITEM-1","issued":{"date-parts":[["1996"]]},"note":"In section V Field addresses the worry that the benacerraf challenge, as Field understands it, applies to logic just as much as it applies to other a priori domains. His response is that we cannot even think of the counterfactual non-classical world. \nWhat's interesting is that contrary to Lewis, Field does not think that metaphysical counterpossibles are trivially true. He distinguishes between metaphysical necessity and first order logic. A great distinction in my opinion.","page":"359-379","title":"The A Prioricity of Logic","type":"article-journal","volume":"96"},"locator":"375-376","suppress-author":1,"uris":["http://www.mendeley.com/documents/?uuid=d699c295-30d5-4719-b796-e6b1725c7868"]}],"mendeley":{"formattedCitation":"(1996, pp. 375–376)","plainTextFormattedCitation":"(1996, pp. 375–376)","previouslyFormattedCitation":"(1996, pp. 375–376)"},"properties":{"noteIndex":0},"schema":"https://github.com/citation-style-language/schema/raw/master/csl-citation.json"}</w:instrText>
      </w:r>
      <w:r w:rsidRPr="00635340">
        <w:fldChar w:fldCharType="separate"/>
      </w:r>
      <w:r w:rsidR="00A00F06" w:rsidRPr="00A00F06">
        <w:rPr>
          <w:noProof/>
        </w:rPr>
        <w:t>(1996, pp. 375–376)</w:t>
      </w:r>
      <w:r w:rsidRPr="00635340">
        <w:fldChar w:fldCharType="end"/>
      </w:r>
      <w:r w:rsidRPr="00635340">
        <w:t xml:space="preserve">). I thank </w:t>
      </w:r>
      <w:r w:rsidRPr="00635340">
        <w:rPr>
          <w:color w:val="FF0000"/>
        </w:rPr>
        <w:t>[omitted for blind review]</w:t>
      </w:r>
      <w:r w:rsidRPr="00635340">
        <w:t xml:space="preserve"> for the reference to Kment’s theory. </w:t>
      </w:r>
    </w:p>
  </w:footnote>
  <w:footnote w:id="3">
    <w:p w14:paraId="0D17504E" w14:textId="49602E91" w:rsidR="00EB4A11" w:rsidRPr="00635340" w:rsidRDefault="00EB4A11" w:rsidP="004C6221">
      <w:pPr>
        <w:pStyle w:val="FootnoteText"/>
        <w:rPr>
          <w:rtl/>
        </w:rPr>
      </w:pPr>
      <w:r w:rsidRPr="00635340">
        <w:rPr>
          <w:rStyle w:val="FootnoteReference"/>
        </w:rPr>
        <w:footnoteRef/>
      </w:r>
      <w:r w:rsidRPr="00635340">
        <w:t xml:space="preserve"> For an elaborate list of motivations for impossible worlds semantics, see Nolan </w:t>
      </w:r>
      <w:r w:rsidRPr="00635340">
        <w:fldChar w:fldCharType="begin" w:fldLock="1"/>
      </w:r>
      <w:r w:rsidR="00307407">
        <w:instrText>ADDIN CSL_CITATION {"citationItems":[{"id":"ITEM-1","itemData":{"DOI":"10.1305/ndjfl/1039540769","abstract":"Reasoning about situations we take to be impossible is useful for a variety of theoretical purposes. Furthermore, using a device of impossible worlds when reasoning about the impossible is useful in the same sorts of ways that the device of possible worlds is useful when reasoning about the possible. This paper discusses some of the uses of impossible worlds and argues that commitment to them can and should be had without great metaphysical or logical cost. The paper then provides an account of reasoning with impossible worlds, by treating such reasoning as reasoning employing counterpossible conditionals, and provides a semantics for the proposed treatment.","author":[{"dropping-particle":"","family":"Nolan","given":"Daniel P.","non-dropping-particle":"","parse-names":false,"suffix":""}],"container-title":"Notre Dame Journal of Formal Logic","id":"ITEM-1","issued":{"date-parts":[["1997"]]},"page":"535-572","title":"Impossible Worlds: A Modest Approach","type":"article-journal","volume":"38"},"label":"note","suppress-author":1,"uris":["http://www.mendeley.com/documents/?uuid=43185845-c349-4554-9460-63088719636b"]}],"mendeley":{"formattedCitation":"(1997)","plainTextFormattedCitation":"(1997)","previouslyFormattedCitation":"(1997)"},"properties":{"noteIndex":0},"schema":"https://github.com/citation-style-language/schema/raw/master/csl-citation.json"}</w:instrText>
      </w:r>
      <w:r w:rsidRPr="00635340">
        <w:fldChar w:fldCharType="separate"/>
      </w:r>
      <w:r w:rsidRPr="00635340">
        <w:rPr>
          <w:noProof/>
        </w:rPr>
        <w:t>(1997)</w:t>
      </w:r>
      <w:r w:rsidRPr="00635340">
        <w:fldChar w:fldCharType="end"/>
      </w:r>
      <w:r w:rsidRPr="00635340">
        <w:t xml:space="preserve"> and, more recently, Jenny </w:t>
      </w:r>
      <w:r w:rsidRPr="00635340">
        <w:fldChar w:fldCharType="begin" w:fldLock="1"/>
      </w:r>
      <w:r w:rsidR="00A00F06">
        <w:instrText>ADDIN CSL_CITATION {"citationItems":[{"id":"ITEM-1","itemData":{"DOI":"10.1111/nous.12177","ISSN":"00294624","author":[{"dropping-particle":"","family":"Jenny","given":"Matthias","non-dropping-particle":"","parse-names":false,"suffix":""}],"container-title":"Noûs","id":"ITEM-1","issue":"3","issued":{"date-parts":[["2018","9"]]},"page":"530-560","title":"Counterpossibles in Science: The Case of Relative Computability","type":"article-journal","volume":"52"},"suppress-author":1,"uris":["http://www.mendeley.com/documents/?uuid=020303b5-46c1-46e1-8dc0-6abbfff5f6f3"]}],"mendeley":{"formattedCitation":"(2018)","plainTextFormattedCitation":"(2018)","previouslyFormattedCitation":"(2018)"},"properties":{"noteIndex":0},"schema":"https://github.com/citation-style-language/schema/raw/master/csl-citation.json"}</w:instrText>
      </w:r>
      <w:r w:rsidRPr="00635340">
        <w:fldChar w:fldCharType="separate"/>
      </w:r>
      <w:r w:rsidR="00307407" w:rsidRPr="00307407">
        <w:rPr>
          <w:noProof/>
        </w:rPr>
        <w:t>(2018)</w:t>
      </w:r>
      <w:r w:rsidRPr="00635340">
        <w:fldChar w:fldCharType="end"/>
      </w:r>
      <w:r w:rsidRPr="00635340">
        <w:t>.</w:t>
      </w:r>
    </w:p>
  </w:footnote>
  <w:footnote w:id="4">
    <w:p w14:paraId="59F92917" w14:textId="41B13B35" w:rsidR="00EB4A11" w:rsidRPr="004160CF" w:rsidRDefault="00EB4A11" w:rsidP="00F11E35">
      <w:pPr>
        <w:pStyle w:val="FootnoteText"/>
        <w:rPr>
          <w:lang w:val="de-DE"/>
        </w:rPr>
      </w:pPr>
      <w:r w:rsidRPr="00635340">
        <w:rPr>
          <w:rStyle w:val="FootnoteReference"/>
        </w:rPr>
        <w:footnoteRef/>
      </w:r>
      <w:r w:rsidRPr="00635340">
        <w:t xml:space="preserve"> Proponents of impossible worlds semantics for counterpossibles include: Bernstein </w:t>
      </w:r>
      <w:r w:rsidRPr="00635340">
        <w:fldChar w:fldCharType="begin" w:fldLock="1"/>
      </w:r>
      <w:r w:rsidR="00A00F06">
        <w:instrText>ADDIN CSL_CITATION {"citationItems":[{"id":"ITEM-1","itemData":{"DOI":"10.1007/s11098-016-0672-9","ISSN":"0031-8116","abstract":"This paper gives a framework for understanding causal counterpossibles, counterfactuals imbued with causal content whose antecedents appeal to metaphysically impossible worlds. Such statements are generated by omissive causal claims that appeal to metaphysically impossible events. I give an account of impossible omissions, and argue for three claims: (i) impossible omissions are causally relevant to the actual world, (ii) causal counterpossibles have broad applications in philosophy, and (iii) the truth of causal counterpossibles provides evidence for the nonvacuity of counterpossibles more generally. Omission","author":[{"dropping-particle":"","family":"Bernstein","given":"Sara","non-dropping-particle":"","parse-names":false,"suffix":""}],"container-title":"Philosophical Studies","id":"ITEM-1","issue":"10","issued":{"date-parts":[["2016","10","8"]]},"note":"Unhelpful to me. I haven't read the whole thing yet, but I wasn't happy with what I read. More to the point, she does not help me because she does not provide any detailed account for closeness of impossible worlds.","page":"2575-2589","title":"Omission impossible","type":"article-journal","volume":"173"},"label":"note","suppress-author":1,"uris":["http://www.mendeley.com/documents/?uuid=7e59eeea-385e-436d-9a69-5d7dae00dc89"]}],"mendeley":{"formattedCitation":"(2016)","plainTextFormattedCitation":"(2016)","previouslyFormattedCitation":"(2016)"},"properties":{"noteIndex":0},"schema":"https://github.com/citation-style-language/schema/raw/master/csl-citation.json"}</w:instrText>
      </w:r>
      <w:r w:rsidRPr="00635340">
        <w:fldChar w:fldCharType="separate"/>
      </w:r>
      <w:r w:rsidRPr="00635340">
        <w:rPr>
          <w:noProof/>
        </w:rPr>
        <w:t>(2016)</w:t>
      </w:r>
      <w:r w:rsidRPr="00635340">
        <w:fldChar w:fldCharType="end"/>
      </w:r>
      <w:r w:rsidRPr="00635340">
        <w:t xml:space="preserve">, </w:t>
      </w:r>
      <w:proofErr w:type="spellStart"/>
      <w:r w:rsidRPr="00635340">
        <w:t>Jago</w:t>
      </w:r>
      <w:proofErr w:type="spellEnd"/>
      <w:r w:rsidRPr="00635340">
        <w:t xml:space="preserve"> </w:t>
      </w:r>
      <w:r w:rsidRPr="00635340">
        <w:fldChar w:fldCharType="begin" w:fldLock="1"/>
      </w:r>
      <w:r w:rsidR="00307407">
        <w:instrText>ADDIN CSL_CITATION {"citationItems":[{"id":"ITEM-1","itemData":{"DOI":"10.1111/nous.12051","ISSN":"00294624","abstract":"Impossible worlds are representations of impossible things and impossible happen- ings. They earn their keep in a semantic or metaphysical theory if they do the right theoretical work for us.</w:instrText>
      </w:r>
      <w:r w:rsidR="00307407" w:rsidRPr="00A00F06">
        <w:rPr>
          <w:lang w:val="de-DE"/>
        </w:rPr>
        <w:instrText xml:space="preserve"> As it happens, a worlds-based account provides the best philosophical story about semantic content, knowledge and belief states, cog- nitive significance and cognitive information, and informative deductive reasoning. A worlds-based story may also provide the best semantics for counterfactuals. But to function well, all these accounts need use of impossible and as well as possible worlds. So what are impossible worlds? Graham Priest claims that any of the usual stories about possible worlds can be told about impossible worlds, too. But far from it. I’ll argue that impossible worlds cannot be genuine worlds, of the kind proposed by Lewis, McDaniel or Yagisawa. Nor can they be ersatz worlds on the model proposed by Melia or Sider. Constructing impossible worlds, it turns out, requires novel metaphysical resources. 1.","author":[{"dropping-particle":"","family":"Jago","given":"Mark","non-dropping-particle":"","parse-names":false,"suffix":""}],"container-title":"Noûs","id":"ITEM-1","issue":"4","issued":{"date-parts":[["2015","12","11"]]},"page":"713-728","title":"Impossible Worlds","type":"article-journal","volume":"49"},"label":"note","suppress-author":1,"uris":["http://www.mendeley.com/documents/?uuid=96a3be02-87e9-4dc5-9b87-31c65ca37b74"]}],"mendeley":{"formattedCitation":"(2015)","plainTextFormattedCitation":"(2015)","previouslyFormattedCitation":"(2015)"},"properties":{"noteIndex":0},"schema":"https://github.com/citation-style-language/schema/raw/master/csl-citation.json"}</w:instrText>
      </w:r>
      <w:r w:rsidRPr="00635340">
        <w:fldChar w:fldCharType="separate"/>
      </w:r>
      <w:r w:rsidRPr="004160CF">
        <w:rPr>
          <w:noProof/>
          <w:lang w:val="de-DE"/>
        </w:rPr>
        <w:t>(2015)</w:t>
      </w:r>
      <w:r w:rsidRPr="00635340">
        <w:fldChar w:fldCharType="end"/>
      </w:r>
      <w:r w:rsidRPr="004160CF">
        <w:rPr>
          <w:lang w:val="de-DE"/>
        </w:rPr>
        <w:t xml:space="preserve">, Krakauer </w:t>
      </w:r>
      <w:r w:rsidRPr="00635340">
        <w:fldChar w:fldCharType="begin" w:fldLock="1"/>
      </w:r>
      <w:r w:rsidR="00307407">
        <w:rPr>
          <w:lang w:val="de-DE"/>
        </w:rPr>
        <w:instrText>ADDIN CSL_CITATION {"citationItems":[{"id":"ITEM-1","itemData":{"author":[{"dropping-particle":"","family":"Krakauer","given":"Barak","non-dropping-particle":"","parse-names":false,"suffix":""}],"id":"ITEM-1","issued":{"date-parts":[["2012"]]},"note":"Argues for an impossible worlds semantics for counterpossibles.","publisher":"University of Massachusetts - Amherst","title":"Counterpossibles","type":"thesis"},"label":"note","suppress-author":1,"uris":["http://www.mendeley.com/documents/?uuid=7cba4988-4bb3-461d-8d40-35e774cb9516"]}],"mendeley":{"formattedCitation":"(2012)","plainTextFormattedCitation":"(2012)","previouslyFormattedCitation":"(2012)"},"properties":{"noteIndex":0},"schema":"https://github.com/citation-style-language/schema/raw/master/csl-citation.json"}</w:instrText>
      </w:r>
      <w:r w:rsidRPr="00635340">
        <w:fldChar w:fldCharType="separate"/>
      </w:r>
      <w:r w:rsidRPr="004160CF">
        <w:rPr>
          <w:noProof/>
          <w:lang w:val="de-DE"/>
        </w:rPr>
        <w:t>(2012)</w:t>
      </w:r>
      <w:r w:rsidRPr="00635340">
        <w:fldChar w:fldCharType="end"/>
      </w:r>
      <w:r w:rsidRPr="004160CF">
        <w:rPr>
          <w:lang w:val="de-DE"/>
        </w:rPr>
        <w:t xml:space="preserve">, Mares </w:t>
      </w:r>
      <w:r w:rsidRPr="00635340">
        <w:fldChar w:fldCharType="begin" w:fldLock="1"/>
      </w:r>
      <w:r w:rsidR="00307407">
        <w:rPr>
          <w:lang w:val="de-DE"/>
        </w:rPr>
        <w:instrText>ADDIN CSL_CITATION {"citationItems":[{"id":"ITEM-1","itemData":{"DOI":"10.1305/ndjfl/1039540767","abstract":"A theory of ersatz impossible worlds is developed to deal with the problem of counterpossible conditionals. Using only tools standardly in the toolbox of possible worlds theorists, it is shown that we can construct a model for counterpossibles. This model is a natural extension of Lewis's semantics for counterfactuals, but instead of using classical logic as its base, it uses the logic LP.","author":[{"dropping-particle":"","family":"Mares","given":"Edwin D","non-dropping-particle":"","parse-names":false,"suffix":""}],"container-title":"Notre Dame Journal of Formal Logic","id":"ITEM-1","issued":{"date-parts":[["1997"]]},"page":"516-526","title":"Who's Afraid of Impossible Worlds?","type":"article-journal","volume":"38"},"label":"note","suppress-author":1,"uris":["http://www.mendeley.com/documents/?uuid=d5a76cf1-c6f6-4ae8-ac1d-2b5cb77f0b62"]}],"mendeley":{"formattedCitation":"(1997)","plainTextFormattedCitation":"(1997)","previouslyFormattedCitation":"(1997)"},"properties":{"noteIndex":0},"schema":"https://github.com/citation-style-language/schema/raw/master/csl-citation.json"}</w:instrText>
      </w:r>
      <w:r w:rsidRPr="00635340">
        <w:fldChar w:fldCharType="separate"/>
      </w:r>
      <w:r w:rsidRPr="004160CF">
        <w:rPr>
          <w:noProof/>
          <w:lang w:val="de-DE"/>
        </w:rPr>
        <w:t>(1997)</w:t>
      </w:r>
      <w:r w:rsidRPr="00635340">
        <w:fldChar w:fldCharType="end"/>
      </w:r>
      <w:r w:rsidRPr="004160CF">
        <w:rPr>
          <w:lang w:val="de-DE"/>
        </w:rPr>
        <w:t xml:space="preserve">, Nolan </w:t>
      </w:r>
      <w:r w:rsidRPr="00635340">
        <w:fldChar w:fldCharType="begin" w:fldLock="1"/>
      </w:r>
      <w:r w:rsidR="00307407">
        <w:rPr>
          <w:lang w:val="de-DE"/>
        </w:rPr>
        <w:instrText>ADDIN CSL_CITATION {"citationItems":[{"id":"ITEM-1","itemData":{"DOI":"10.1305/ndjfl/1039540769","abstract":"Reasoning about situations we take to be impossible is useful for a variety of theoretical purposes. Furthermore, using a device of impossible worlds when reasoning about the impossible is useful in the same sorts of ways that the device of possible worlds is useful when reasoning about the possible. This paper discusses some of the uses of impossible worlds and argues that commitment to them can and should be had without great metaphysical or logical cost. The paper then provides an account of reasoning with impossible worlds, by treating such reasoning as reasoning employing counterpossible conditionals, and provides a semantics for the proposed treatment.","author":[{"dropping-particle":"","family":"Nolan","given":"Daniel P.","non-dropping-particle":"","parse-names":false,"suffix":""}],"container-title":"Notre Dame Journal of Formal Logic","id":"ITEM-1","issued":{"date-parts":[["1997"]]},"page":"535-572","title":"Impossible Worlds: A Modest Approach","type":"article-journal","volume":"38"},"label":"note","suppress-author":1,"uris":["http://www.mendeley.com/documents/?uuid=43185845-c349-4554-9460-63088719636b"]}],"mendeley":{"formattedCitation":"(1997)","plainTextFormattedCitation":"(1997)","previouslyFormattedCitation":"(1997)"},"properties":{"noteIndex":0},"schema":"https://github.com/citation-style-language/schema/raw/master/csl-citation.json"}</w:instrText>
      </w:r>
      <w:r w:rsidRPr="00635340">
        <w:fldChar w:fldCharType="separate"/>
      </w:r>
      <w:r w:rsidRPr="004160CF">
        <w:rPr>
          <w:noProof/>
          <w:lang w:val="de-DE"/>
        </w:rPr>
        <w:t>(1997)</w:t>
      </w:r>
      <w:r w:rsidRPr="00635340">
        <w:fldChar w:fldCharType="end"/>
      </w:r>
      <w:r w:rsidRPr="004160CF">
        <w:rPr>
          <w:lang w:val="de-DE"/>
        </w:rPr>
        <w:t xml:space="preserve"> and Vander Laan </w:t>
      </w:r>
      <w:r w:rsidRPr="00635340">
        <w:fldChar w:fldCharType="begin" w:fldLock="1"/>
      </w:r>
      <w:r w:rsidR="00307407">
        <w:rPr>
          <w:lang w:val="de-DE"/>
        </w:rPr>
        <w:instrText>ADDIN CSL_CITATION {"citationItems":[{"id":"ITEM-1","itemData":{"author":[{"dropping-particle":"","family":"Laan","given":"David","non-dropping-particle":"Vander","parse-names":false,"suffix":""}],"chapter-number":"20","container-title":"Lewisian Themes</w:instrText>
      </w:r>
      <w:r w:rsidR="00307407">
        <w:rPr>
          <w:rtl/>
          <w:lang w:val="de-DE"/>
        </w:rPr>
        <w:instrText>‏</w:instrText>
      </w:r>
      <w:r w:rsidR="00307407">
        <w:rPr>
          <w:lang w:val="de-DE"/>
        </w:rPr>
        <w:instrText>","editor":[{"dropping-particle":"","family":"Jackson","given":"Frank","non-dropping-particle":"","parse-names":false,"suffix":""},{"dropping-particle":"","family":"Priest","given":"Graham","non-dropping-particle":"","parse-names":false,"suffix":""}],"id":"ITEM-1","issued":{"date-parts":[["2004"]]},"note":"As far as I can tell, Vander Laan doesn't provide a detailed account of impossible worlds or of closeness, so he will not be of much help for me.","page":"258-275","publisher":"Oxford University Press","publisher-place":"Oxford","title":"Counterpossibles and similarity</w:instrText>
      </w:r>
      <w:r w:rsidR="00307407">
        <w:rPr>
          <w:rtl/>
          <w:lang w:val="de-DE"/>
        </w:rPr>
        <w:instrText>‏</w:instrText>
      </w:r>
      <w:r w:rsidR="00307407">
        <w:rPr>
          <w:lang w:val="de-DE"/>
        </w:rPr>
        <w:instrText>","type":"chapter"},"label":"note","suppress-author":1,"uris":["http://www.mendeley.com/documents/?uuid=f615f53b-a97e-4364-957e-401fa1c9071c"]}],"mendeley":{"formattedCitation":"(2004)","plainTextFormattedCitation":"(2004)","previouslyFormattedCitation":"(2004)"},"properties":{"noteIndex":0},"schema":"https://github.com/citation-style-language/schema/raw/master/csl-citation.json"}</w:instrText>
      </w:r>
      <w:r w:rsidRPr="00635340">
        <w:fldChar w:fldCharType="separate"/>
      </w:r>
      <w:r w:rsidRPr="004160CF">
        <w:rPr>
          <w:noProof/>
          <w:lang w:val="de-DE"/>
        </w:rPr>
        <w:t>(2004)</w:t>
      </w:r>
      <w:r w:rsidRPr="00635340">
        <w:fldChar w:fldCharType="end"/>
      </w:r>
      <w:r w:rsidRPr="004160CF">
        <w:rPr>
          <w:lang w:val="de-DE"/>
        </w:rPr>
        <w:t xml:space="preserve">. </w:t>
      </w:r>
    </w:p>
  </w:footnote>
  <w:footnote w:id="5">
    <w:p w14:paraId="12C468B1" w14:textId="0FE4FDAC" w:rsidR="00EB4A11" w:rsidRPr="00635340" w:rsidRDefault="00EB4A11" w:rsidP="0067232F">
      <w:pPr>
        <w:pStyle w:val="FootnoteText"/>
      </w:pPr>
      <w:r w:rsidRPr="00635340">
        <w:rPr>
          <w:rStyle w:val="FootnoteReference"/>
        </w:rPr>
        <w:footnoteRef/>
      </w:r>
      <w:r w:rsidRPr="004160CF">
        <w:rPr>
          <w:lang w:val="de-DE"/>
        </w:rPr>
        <w:t xml:space="preserve"> This formulation implies the controversial limit assumption, that there is at least one closest world. </w:t>
      </w:r>
      <w:r w:rsidRPr="00635340">
        <w:t>But it is clear from what they say earlier that B&amp;S, like Lewis, reject the limit assumption. Since the limit assumption has no bearing on the discussion in this paper I will ignore this issue and follow B&amp;S’s simpler formulation. A more precise formulation that avoids the limit assumption would have been: A subjunctive ‘if it were the case that p, it would be the case that q’ is true iff there is a (p&amp;q) that is relevantly closer than any (p&amp;</w:t>
      </w:r>
      <w:r w:rsidRPr="00635340">
        <w:rPr>
          <w:rFonts w:cstheme="majorBidi"/>
        </w:rPr>
        <w:t>¬</w:t>
      </w:r>
      <w:r w:rsidRPr="00635340">
        <w:t xml:space="preserve">q) world. This is similar to Account 2 in B&amp;S’s paper (p. 640) with the addition of the relevance factor that they want. </w:t>
      </w:r>
    </w:p>
  </w:footnote>
  <w:footnote w:id="6">
    <w:p w14:paraId="6561819A" w14:textId="6D8123B7" w:rsidR="00EB4A11" w:rsidRPr="00635340" w:rsidRDefault="00EB4A11" w:rsidP="00FC3601">
      <w:pPr>
        <w:pStyle w:val="FootnoteText"/>
        <w:rPr>
          <w:color w:val="000000" w:themeColor="text1"/>
        </w:rPr>
      </w:pPr>
      <w:r w:rsidRPr="00635340">
        <w:rPr>
          <w:rStyle w:val="FootnoteReference"/>
        </w:rPr>
        <w:footnoteRef/>
      </w:r>
      <w:r w:rsidRPr="00635340">
        <w:t xml:space="preserve"> B&amp;S don’t specify the sentences’ language. I will assume English, although the arbitrary choice of language adds further complications to their theory.  For one, English, like any other language, may lack the vocabulary to answer all questions about a given world and therefore be insufficient in expressive power for an account of worlds. Another problem is that different languages may require different numbers of sentences to express the same propositions and therefore might give different results in B&amp;S’s account of closeness, making the choice of English in need of justification. </w:t>
      </w:r>
      <w:r w:rsidRPr="00635340">
        <w:rPr>
          <w:color w:val="FF0000"/>
        </w:rPr>
        <w:t xml:space="preserve">I thank [omitted for blind review] for bringing this issue to my attention. </w:t>
      </w:r>
    </w:p>
  </w:footnote>
  <w:footnote w:id="7">
    <w:p w14:paraId="68B5E083" w14:textId="72333A14" w:rsidR="00EB4A11" w:rsidRPr="00635340" w:rsidRDefault="00EB4A11">
      <w:pPr>
        <w:pStyle w:val="FootnoteText"/>
      </w:pPr>
      <w:r w:rsidRPr="00635340">
        <w:rPr>
          <w:rStyle w:val="FootnoteReference"/>
        </w:rPr>
        <w:footnoteRef/>
      </w:r>
      <w:r w:rsidRPr="00635340">
        <w:t xml:space="preserve"> B&amp;S say that the only deductively closed impossible world is the absurd world, which contains all sentences. Presumably this is because classically you can deduce anything from an impossibility and they assume classical logic. However, this line of reasoning is questionable. If there are metaphysical impossibilities that are not logical impossibilities and if only from logical impossibilities you can deduce anything, then there may be metaphysically impossible worlds that are deductively closed. To take B&amp;S’s own example, it is not clear that from ‘water is not H</w:t>
      </w:r>
      <w:r w:rsidRPr="00635340">
        <w:rPr>
          <w:vertAlign w:val="subscript"/>
        </w:rPr>
        <w:t>2</w:t>
      </w:r>
      <w:r w:rsidRPr="00635340">
        <w:t xml:space="preserve">O’, even if it is metaphysically impossible, you can deduce anything even in classical logic. I owe this point to </w:t>
      </w:r>
      <w:r w:rsidRPr="00635340">
        <w:rPr>
          <w:color w:val="FF0000"/>
        </w:rPr>
        <w:t>[omitted for blind review]</w:t>
      </w:r>
      <w:r w:rsidRPr="00635340">
        <w:t xml:space="preserve">.  </w:t>
      </w:r>
    </w:p>
  </w:footnote>
  <w:footnote w:id="8">
    <w:p w14:paraId="43351734" w14:textId="5AD2D416" w:rsidR="00EB4A11" w:rsidRDefault="00EB4A11" w:rsidP="00B64B3D">
      <w:pPr>
        <w:pStyle w:val="FootnoteText"/>
      </w:pPr>
      <w:r>
        <w:rPr>
          <w:rStyle w:val="FootnoteReference"/>
        </w:rPr>
        <w:footnoteRef/>
      </w:r>
      <w:r>
        <w:t xml:space="preserve"> To give a sense of how unrestrictive their account of worlds is, consider: There are worlds that include some sentence p, and the sentence if p then some sentence q, and the sentence </w:t>
      </w:r>
      <w:r w:rsidRPr="00635340">
        <w:rPr>
          <w:rFonts w:cstheme="majorBidi"/>
        </w:rPr>
        <w:t>¬</w:t>
      </w:r>
      <w:r>
        <w:t xml:space="preserve">q, and the sentence ‘classical logic is true of this world’. These are of course very incoherent impossible worlds and precisely for this reason their account for closeness should imply that they are very far from our world. </w:t>
      </w:r>
    </w:p>
  </w:footnote>
  <w:footnote w:id="9">
    <w:p w14:paraId="68021DFB" w14:textId="38CE2588" w:rsidR="00EB4A11" w:rsidRPr="00635340" w:rsidRDefault="00EB4A11" w:rsidP="001D4971">
      <w:pPr>
        <w:pStyle w:val="FootnoteText"/>
      </w:pPr>
      <w:r w:rsidRPr="00635340">
        <w:rPr>
          <w:rStyle w:val="FootnoteReference"/>
        </w:rPr>
        <w:footnoteRef/>
      </w:r>
      <w:r w:rsidRPr="00635340">
        <w:t xml:space="preserve"> Ordinarily, the ‘base world’ will just be the actual world. Sometimes this is not true, as when counterfactuals are imbedded within counterfactuals (p&gt;(q&gt;r)). I thank </w:t>
      </w:r>
      <w:r w:rsidRPr="00635340">
        <w:rPr>
          <w:color w:val="FF0000"/>
        </w:rPr>
        <w:t>[omitted for blind review]</w:t>
      </w:r>
      <w:r w:rsidRPr="00635340">
        <w:t xml:space="preserve"> for correcting me here.  </w:t>
      </w:r>
    </w:p>
  </w:footnote>
  <w:footnote w:id="10">
    <w:p w14:paraId="34451454" w14:textId="77777777" w:rsidR="00EB4A11" w:rsidRPr="00635340" w:rsidRDefault="00EB4A11" w:rsidP="002564A3">
      <w:pPr>
        <w:pStyle w:val="FootnoteText"/>
      </w:pPr>
      <w:r w:rsidRPr="00635340">
        <w:rPr>
          <w:rStyle w:val="FootnoteReference"/>
        </w:rPr>
        <w:footnoteRef/>
      </w:r>
      <w:r w:rsidRPr="00635340">
        <w:t xml:space="preserve"> For convenience, I added in parentheses the names I will use for the two factors which constitute B&amp;S’s account of closeness. </w:t>
      </w:r>
    </w:p>
  </w:footnote>
  <w:footnote w:id="11">
    <w:p w14:paraId="3989918F" w14:textId="4CCD7F4A" w:rsidR="00FD4325" w:rsidRDefault="00FD4325" w:rsidP="006D2A71">
      <w:pPr>
        <w:pStyle w:val="FootnoteText"/>
      </w:pPr>
      <w:r>
        <w:rPr>
          <w:rStyle w:val="FootnoteReference"/>
        </w:rPr>
        <w:footnoteRef/>
      </w:r>
      <w:r>
        <w:t xml:space="preserve"> </w:t>
      </w:r>
      <w:r w:rsidR="006D2A71">
        <w:t xml:space="preserve">By this </w:t>
      </w:r>
      <w:r w:rsidR="00821623">
        <w:t xml:space="preserve">they mean formal inconsistency according to classical logic </w:t>
      </w:r>
      <w:r w:rsidR="009C3A2E">
        <w:t>(p. 651)</w:t>
      </w:r>
      <w:r w:rsidR="00821623">
        <w:t xml:space="preserve">. </w:t>
      </w:r>
    </w:p>
  </w:footnote>
  <w:footnote w:id="12">
    <w:p w14:paraId="5929B4CE" w14:textId="704CE969" w:rsidR="00EB4A11" w:rsidRPr="00635340" w:rsidRDefault="00EB4A11" w:rsidP="002148A2">
      <w:pPr>
        <w:pStyle w:val="FootnoteText"/>
      </w:pPr>
      <w:r w:rsidRPr="00635340">
        <w:rPr>
          <w:rStyle w:val="FootnoteReference"/>
        </w:rPr>
        <w:footnoteRef/>
      </w:r>
      <w:r w:rsidRPr="00635340">
        <w:t xml:space="preserve"> I will discuss their notion of ‘a priori implications’ shortly. They use ‘a priori*’ to mark their relativistic notion of a priority. For simplicity, I will omit the star mark. Nothing will depend on specifics of this notion, and in any case, they don’t provide a detailed account of a priority.</w:t>
      </w:r>
    </w:p>
  </w:footnote>
  <w:footnote w:id="13">
    <w:p w14:paraId="0EC31DAC" w14:textId="32481836" w:rsidR="00EB4A11" w:rsidRPr="00635340" w:rsidRDefault="00EB4A11">
      <w:pPr>
        <w:pStyle w:val="FootnoteText"/>
      </w:pPr>
      <w:r w:rsidRPr="00635340">
        <w:rPr>
          <w:rStyle w:val="FootnoteReference"/>
        </w:rPr>
        <w:footnoteRef/>
      </w:r>
      <w:r w:rsidRPr="00635340">
        <w:t xml:space="preserve"> Vander Laan’s argument doesn’t apply because he considers only a method that counts all discrepancies with the base world, rather than just discrepancies with </w:t>
      </w:r>
      <w:r w:rsidRPr="00635340">
        <w:rPr>
          <w:i/>
          <w:iCs/>
        </w:rPr>
        <w:t>relevant</w:t>
      </w:r>
      <w:r w:rsidRPr="00635340">
        <w:t xml:space="preserve"> facts in the base world, as B&amp;S do. This context dependence complicates matters. I thank </w:t>
      </w:r>
      <w:r w:rsidRPr="00635340">
        <w:rPr>
          <w:color w:val="FF0000"/>
        </w:rPr>
        <w:t xml:space="preserve">[omitted for blind review] </w:t>
      </w:r>
      <w:r w:rsidRPr="00635340">
        <w:t>for referring me to Vander Laan’s argument.</w:t>
      </w:r>
    </w:p>
  </w:footnote>
  <w:footnote w:id="14">
    <w:p w14:paraId="5D33160F" w14:textId="2E70F6AC" w:rsidR="00EB4A11" w:rsidRPr="00635340" w:rsidRDefault="00EB4A11" w:rsidP="004237F0">
      <w:pPr>
        <w:pStyle w:val="FootnoteText"/>
      </w:pPr>
      <w:r w:rsidRPr="00635340">
        <w:rPr>
          <w:rStyle w:val="FootnoteReference"/>
        </w:rPr>
        <w:footnoteRef/>
      </w:r>
      <w:r w:rsidRPr="00635340">
        <w:t xml:space="preserve"> Sentence (4) is discussed explicitly on p. 654. I replaced the Latin with English for the sake of consistency (see note </w:t>
      </w:r>
      <w:r w:rsidRPr="00635340">
        <w:fldChar w:fldCharType="begin"/>
      </w:r>
      <w:r w:rsidRPr="00635340">
        <w:instrText xml:space="preserve"> NOTEREF _Ref437952765 \h </w:instrText>
      </w:r>
      <w:r w:rsidRPr="00635340">
        <w:fldChar w:fldCharType="separate"/>
      </w:r>
      <w:r w:rsidR="00C37155">
        <w:t>6</w:t>
      </w:r>
      <w:r w:rsidRPr="00635340">
        <w:fldChar w:fldCharType="end"/>
      </w:r>
      <w:r w:rsidRPr="00635340">
        <w:t>). Their judgment of (3) is implied in several places, the most explicit is on p. 653 fn. 16 in which they say that ‘if water had not been H</w:t>
      </w:r>
      <w:r w:rsidRPr="00635340">
        <w:rPr>
          <w:vertAlign w:val="subscript"/>
        </w:rPr>
        <w:t>2</w:t>
      </w:r>
      <w:r w:rsidRPr="00635340">
        <w:t xml:space="preserve">O, it might have been XYZ’ is true. </w:t>
      </w:r>
    </w:p>
  </w:footnote>
  <w:footnote w:id="15">
    <w:p w14:paraId="69A1ADDD" w14:textId="34338057" w:rsidR="00EB4A11" w:rsidRPr="00635340" w:rsidRDefault="00EB4A11" w:rsidP="00F468BF">
      <w:pPr>
        <w:pStyle w:val="FootnoteText"/>
      </w:pPr>
      <w:r w:rsidRPr="00635340">
        <w:rPr>
          <w:rStyle w:val="FootnoteReference"/>
        </w:rPr>
        <w:footnoteRef/>
      </w:r>
      <w:r w:rsidRPr="00635340">
        <w:t xml:space="preserve"> </w:t>
      </w:r>
      <w:r>
        <w:t>T</w:t>
      </w:r>
      <w:r w:rsidRPr="00635340">
        <w:t>hey say on p. 653 that ‘w</w:t>
      </w:r>
      <w:r w:rsidRPr="00635340">
        <w:rPr>
          <w:vertAlign w:val="subscript"/>
        </w:rPr>
        <w:t>2</w:t>
      </w:r>
      <w:r w:rsidRPr="00635340">
        <w:t xml:space="preserve"> expresses a greater number of actually true Russelian propositions than w</w:t>
      </w:r>
      <w:r w:rsidRPr="00635340">
        <w:rPr>
          <w:vertAlign w:val="subscript"/>
        </w:rPr>
        <w:t>1</w:t>
      </w:r>
      <w:r>
        <w:t>’.</w:t>
      </w:r>
      <w:r w:rsidRPr="00635340">
        <w:t xml:space="preserve"> </w:t>
      </w:r>
      <w:r>
        <w:t>T</w:t>
      </w:r>
      <w:r w:rsidRPr="00635340">
        <w:t>his can only matter if ‘water is not XYZ’ (or anything that formally implies it) is a relevant fact when assessing ‘water is not H</w:t>
      </w:r>
      <w:r w:rsidRPr="00635340">
        <w:rPr>
          <w:vertAlign w:val="subscript"/>
        </w:rPr>
        <w:t>2</w:t>
      </w:r>
      <w:r w:rsidRPr="00635340">
        <w:t>O’ counterpossibles. Similarly on p. 654 they say that ‘w</w:t>
      </w:r>
      <w:r w:rsidRPr="00635340">
        <w:rPr>
          <w:vertAlign w:val="subscript"/>
        </w:rPr>
        <w:t>1</w:t>
      </w:r>
      <w:r w:rsidRPr="00635340">
        <w:t xml:space="preserve"> contains a greater number of relevant actually true sentences’ because it contains the sentence ‘ex falso quodlibet is valid’. </w:t>
      </w:r>
    </w:p>
  </w:footnote>
  <w:footnote w:id="16">
    <w:p w14:paraId="639ADA8D" w14:textId="1E13004A" w:rsidR="00EB4A11" w:rsidRDefault="00EB4A11" w:rsidP="00B93FDF">
      <w:pPr>
        <w:pStyle w:val="FootnoteText"/>
      </w:pPr>
      <w:r>
        <w:rPr>
          <w:rStyle w:val="FootnoteReference"/>
        </w:rPr>
        <w:footnoteRef/>
      </w:r>
      <w:r>
        <w:t xml:space="preserve"> This conclusion is contrary to B&amp;S’s intuition that ‘water is H</w:t>
      </w:r>
      <w:r w:rsidRPr="00B93FDF">
        <w:rPr>
          <w:vertAlign w:val="subscript"/>
        </w:rPr>
        <w:t>2</w:t>
      </w:r>
      <w:r>
        <w:t>O’ is a relevant background fact when assessing the counterpossible ‘if water had not been H</w:t>
      </w:r>
      <w:r w:rsidRPr="00B93FDF">
        <w:rPr>
          <w:vertAlign w:val="subscript"/>
        </w:rPr>
        <w:t>2</w:t>
      </w:r>
      <w:r>
        <w:t>O then it would have been H</w:t>
      </w:r>
      <w:r w:rsidRPr="00B93FDF">
        <w:rPr>
          <w:vertAlign w:val="subscript"/>
        </w:rPr>
        <w:t>2</w:t>
      </w:r>
      <w:r>
        <w:t>O’ (p. 653).</w:t>
      </w:r>
    </w:p>
  </w:footnote>
  <w:footnote w:id="17">
    <w:p w14:paraId="16790B7A" w14:textId="77777777" w:rsidR="00EB4A11" w:rsidRPr="00635340" w:rsidRDefault="00EB4A11" w:rsidP="00B301B6">
      <w:pPr>
        <w:pStyle w:val="FootnoteText"/>
      </w:pPr>
      <w:r w:rsidRPr="00635340">
        <w:rPr>
          <w:rStyle w:val="FootnoteReference"/>
        </w:rPr>
        <w:footnoteRef/>
      </w:r>
      <w:r w:rsidRPr="00635340">
        <w:t xml:space="preserve"> Assuming logical intuitionism is false. If it is true, we can reconstruct an example using a false logic.</w:t>
      </w:r>
    </w:p>
  </w:footnote>
  <w:footnote w:id="18">
    <w:p w14:paraId="3028D701" w14:textId="7AF2271A" w:rsidR="00CE1EE7" w:rsidRDefault="00CE1EE7" w:rsidP="008537A9">
      <w:pPr>
        <w:pStyle w:val="FootnoteText"/>
      </w:pPr>
      <w:r>
        <w:rPr>
          <w:rStyle w:val="FootnoteReference"/>
        </w:rPr>
        <w:footnoteRef/>
      </w:r>
      <w:r>
        <w:t xml:space="preserve"> I say ‘might’ because if w</w:t>
      </w:r>
      <w:r w:rsidRPr="006E635B">
        <w:rPr>
          <w:vertAlign w:val="subscript"/>
        </w:rPr>
        <w:t>3</w:t>
      </w:r>
      <w:r>
        <w:t xml:space="preserve"> has infinite disimplications, th</w:t>
      </w:r>
      <w:r w:rsidR="008537A9">
        <w:t>e</w:t>
      </w:r>
      <w:r>
        <w:t>n w</w:t>
      </w:r>
      <w:r w:rsidRPr="008537A9">
        <w:rPr>
          <w:vertAlign w:val="subscript"/>
        </w:rPr>
        <w:t>4</w:t>
      </w:r>
      <w:r>
        <w:t xml:space="preserve"> includes no more than w</w:t>
      </w:r>
      <w:r w:rsidRPr="008537A9">
        <w:rPr>
          <w:vertAlign w:val="subscript"/>
        </w:rPr>
        <w:t>3</w:t>
      </w:r>
      <w:r>
        <w:t>. This issue with infinities will be explained shortly.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B74B" w14:textId="77777777" w:rsidR="003D6E26" w:rsidRDefault="003D6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7898" w14:textId="77777777" w:rsidR="003D6E26" w:rsidRDefault="003D6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1DB8" w14:textId="77777777" w:rsidR="003D6E26" w:rsidRDefault="003D6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4DB"/>
    <w:multiLevelType w:val="hybridMultilevel"/>
    <w:tmpl w:val="19900BDC"/>
    <w:lvl w:ilvl="0" w:tplc="02EA1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52233"/>
    <w:multiLevelType w:val="hybridMultilevel"/>
    <w:tmpl w:val="FBC6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A213D"/>
    <w:multiLevelType w:val="hybridMultilevel"/>
    <w:tmpl w:val="AC84C6BC"/>
    <w:lvl w:ilvl="0" w:tplc="9FE6E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178AA"/>
    <w:multiLevelType w:val="hybridMultilevel"/>
    <w:tmpl w:val="68865FD8"/>
    <w:lvl w:ilvl="0" w:tplc="43A6C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17C10"/>
    <w:multiLevelType w:val="hybridMultilevel"/>
    <w:tmpl w:val="67408E52"/>
    <w:lvl w:ilvl="0" w:tplc="06B6E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C4B8D"/>
    <w:multiLevelType w:val="hybridMultilevel"/>
    <w:tmpl w:val="7C822648"/>
    <w:lvl w:ilvl="0" w:tplc="993E8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032CC"/>
    <w:multiLevelType w:val="hybridMultilevel"/>
    <w:tmpl w:val="265E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F73BD"/>
    <w:multiLevelType w:val="hybridMultilevel"/>
    <w:tmpl w:val="F04C46EA"/>
    <w:lvl w:ilvl="0" w:tplc="0409000F">
      <w:start w:val="1"/>
      <w:numFmt w:val="decimal"/>
      <w:lvlText w:val="%1."/>
      <w:lvlJc w:val="left"/>
      <w:pPr>
        <w:ind w:left="720" w:hanging="360"/>
      </w:pPr>
      <w:rPr>
        <w:rFonts w:hint="default"/>
        <w:sz w:val="16"/>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6049A"/>
    <w:multiLevelType w:val="hybridMultilevel"/>
    <w:tmpl w:val="61AC7E8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941AC2"/>
    <w:multiLevelType w:val="hybridMultilevel"/>
    <w:tmpl w:val="46524AA8"/>
    <w:lvl w:ilvl="0" w:tplc="993E8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B5811"/>
    <w:multiLevelType w:val="hybridMultilevel"/>
    <w:tmpl w:val="75D4C5D8"/>
    <w:lvl w:ilvl="0" w:tplc="993E8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22D98"/>
    <w:multiLevelType w:val="hybridMultilevel"/>
    <w:tmpl w:val="F0BCFCD6"/>
    <w:lvl w:ilvl="0" w:tplc="DF88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61184"/>
    <w:multiLevelType w:val="hybridMultilevel"/>
    <w:tmpl w:val="F17CA480"/>
    <w:lvl w:ilvl="0" w:tplc="B8DC6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C617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1643FAC"/>
    <w:multiLevelType w:val="hybridMultilevel"/>
    <w:tmpl w:val="0CCC3DB0"/>
    <w:lvl w:ilvl="0" w:tplc="BF747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12FDC"/>
    <w:multiLevelType w:val="hybridMultilevel"/>
    <w:tmpl w:val="755CDE92"/>
    <w:lvl w:ilvl="0" w:tplc="CC9C16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260DA"/>
    <w:multiLevelType w:val="hybridMultilevel"/>
    <w:tmpl w:val="BFCA2834"/>
    <w:lvl w:ilvl="0" w:tplc="929ABF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6427D"/>
    <w:multiLevelType w:val="hybridMultilevel"/>
    <w:tmpl w:val="460EE096"/>
    <w:lvl w:ilvl="0" w:tplc="30E88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9282D"/>
    <w:multiLevelType w:val="hybridMultilevel"/>
    <w:tmpl w:val="6E90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E1CE3"/>
    <w:multiLevelType w:val="hybridMultilevel"/>
    <w:tmpl w:val="75D4C5D8"/>
    <w:lvl w:ilvl="0" w:tplc="993E8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F03C3"/>
    <w:multiLevelType w:val="hybridMultilevel"/>
    <w:tmpl w:val="3A508FCE"/>
    <w:lvl w:ilvl="0" w:tplc="993E8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04B1D"/>
    <w:multiLevelType w:val="hybridMultilevel"/>
    <w:tmpl w:val="C7C8C9E0"/>
    <w:lvl w:ilvl="0" w:tplc="F35CB1E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C7923"/>
    <w:multiLevelType w:val="hybridMultilevel"/>
    <w:tmpl w:val="FEB059AC"/>
    <w:lvl w:ilvl="0" w:tplc="EFA41E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094028"/>
    <w:multiLevelType w:val="hybridMultilevel"/>
    <w:tmpl w:val="5F606682"/>
    <w:lvl w:ilvl="0" w:tplc="B97A1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C1FF9"/>
    <w:multiLevelType w:val="hybridMultilevel"/>
    <w:tmpl w:val="F17CA480"/>
    <w:lvl w:ilvl="0" w:tplc="B8DC6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2400EA"/>
    <w:multiLevelType w:val="hybridMultilevel"/>
    <w:tmpl w:val="5B1CA854"/>
    <w:lvl w:ilvl="0" w:tplc="0DD6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8630E"/>
    <w:multiLevelType w:val="hybridMultilevel"/>
    <w:tmpl w:val="D4F0A02E"/>
    <w:lvl w:ilvl="0" w:tplc="BC14EC4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17"/>
  </w:num>
  <w:num w:numId="4">
    <w:abstractNumId w:val="4"/>
  </w:num>
  <w:num w:numId="5">
    <w:abstractNumId w:val="3"/>
  </w:num>
  <w:num w:numId="6">
    <w:abstractNumId w:val="14"/>
  </w:num>
  <w:num w:numId="7">
    <w:abstractNumId w:val="11"/>
  </w:num>
  <w:num w:numId="8">
    <w:abstractNumId w:val="15"/>
  </w:num>
  <w:num w:numId="9">
    <w:abstractNumId w:val="25"/>
  </w:num>
  <w:num w:numId="10">
    <w:abstractNumId w:val="23"/>
  </w:num>
  <w:num w:numId="11">
    <w:abstractNumId w:val="0"/>
  </w:num>
  <w:num w:numId="12">
    <w:abstractNumId w:val="19"/>
  </w:num>
  <w:num w:numId="13">
    <w:abstractNumId w:val="2"/>
  </w:num>
  <w:num w:numId="14">
    <w:abstractNumId w:val="22"/>
  </w:num>
  <w:num w:numId="15">
    <w:abstractNumId w:val="7"/>
  </w:num>
  <w:num w:numId="16">
    <w:abstractNumId w:val="1"/>
  </w:num>
  <w:num w:numId="17">
    <w:abstractNumId w:val="26"/>
  </w:num>
  <w:num w:numId="18">
    <w:abstractNumId w:val="20"/>
  </w:num>
  <w:num w:numId="19">
    <w:abstractNumId w:val="5"/>
  </w:num>
  <w:num w:numId="20">
    <w:abstractNumId w:val="13"/>
  </w:num>
  <w:num w:numId="21">
    <w:abstractNumId w:val="21"/>
  </w:num>
  <w:num w:numId="22">
    <w:abstractNumId w:val="9"/>
  </w:num>
  <w:num w:numId="23">
    <w:abstractNumId w:val="10"/>
  </w:num>
  <w:num w:numId="24">
    <w:abstractNumId w:val="16"/>
  </w:num>
  <w:num w:numId="25">
    <w:abstractNumId w:val="12"/>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09"/>
    <w:rsid w:val="00002870"/>
    <w:rsid w:val="00006BA1"/>
    <w:rsid w:val="00010A85"/>
    <w:rsid w:val="000115F5"/>
    <w:rsid w:val="00012302"/>
    <w:rsid w:val="00014507"/>
    <w:rsid w:val="00016485"/>
    <w:rsid w:val="00022ECB"/>
    <w:rsid w:val="00025EB3"/>
    <w:rsid w:val="00026291"/>
    <w:rsid w:val="00034141"/>
    <w:rsid w:val="00034506"/>
    <w:rsid w:val="0003607C"/>
    <w:rsid w:val="00037F84"/>
    <w:rsid w:val="0005278D"/>
    <w:rsid w:val="00055403"/>
    <w:rsid w:val="00057540"/>
    <w:rsid w:val="00060F85"/>
    <w:rsid w:val="000614F4"/>
    <w:rsid w:val="000614FC"/>
    <w:rsid w:val="00061BED"/>
    <w:rsid w:val="00063AF8"/>
    <w:rsid w:val="00064F3F"/>
    <w:rsid w:val="0006637F"/>
    <w:rsid w:val="000803C5"/>
    <w:rsid w:val="0008525C"/>
    <w:rsid w:val="00086A1E"/>
    <w:rsid w:val="00091F61"/>
    <w:rsid w:val="0009444A"/>
    <w:rsid w:val="00094D26"/>
    <w:rsid w:val="00094F65"/>
    <w:rsid w:val="0009532A"/>
    <w:rsid w:val="000A18C8"/>
    <w:rsid w:val="000A1CAC"/>
    <w:rsid w:val="000A41D4"/>
    <w:rsid w:val="000A768D"/>
    <w:rsid w:val="000B6F13"/>
    <w:rsid w:val="000C4A2D"/>
    <w:rsid w:val="000D0B67"/>
    <w:rsid w:val="000D32CC"/>
    <w:rsid w:val="000D35F4"/>
    <w:rsid w:val="000D452C"/>
    <w:rsid w:val="000D600C"/>
    <w:rsid w:val="000E07AE"/>
    <w:rsid w:val="000E53AC"/>
    <w:rsid w:val="000E6BFC"/>
    <w:rsid w:val="000F2FA4"/>
    <w:rsid w:val="000F5818"/>
    <w:rsid w:val="00100F62"/>
    <w:rsid w:val="00102649"/>
    <w:rsid w:val="00103334"/>
    <w:rsid w:val="00113277"/>
    <w:rsid w:val="001132B0"/>
    <w:rsid w:val="00114B5F"/>
    <w:rsid w:val="00116DB5"/>
    <w:rsid w:val="001249B9"/>
    <w:rsid w:val="00124C35"/>
    <w:rsid w:val="001250C7"/>
    <w:rsid w:val="0012553F"/>
    <w:rsid w:val="00130074"/>
    <w:rsid w:val="00130B97"/>
    <w:rsid w:val="00132280"/>
    <w:rsid w:val="00137992"/>
    <w:rsid w:val="00137B7D"/>
    <w:rsid w:val="001446C8"/>
    <w:rsid w:val="00145CA2"/>
    <w:rsid w:val="00157CFE"/>
    <w:rsid w:val="00160C0A"/>
    <w:rsid w:val="00163418"/>
    <w:rsid w:val="0016774F"/>
    <w:rsid w:val="00171C90"/>
    <w:rsid w:val="001726AA"/>
    <w:rsid w:val="00173194"/>
    <w:rsid w:val="001801CE"/>
    <w:rsid w:val="00182769"/>
    <w:rsid w:val="001835AB"/>
    <w:rsid w:val="0018762C"/>
    <w:rsid w:val="0019736E"/>
    <w:rsid w:val="001A5BAA"/>
    <w:rsid w:val="001A5C41"/>
    <w:rsid w:val="001A643C"/>
    <w:rsid w:val="001A6C82"/>
    <w:rsid w:val="001B114B"/>
    <w:rsid w:val="001B6EC5"/>
    <w:rsid w:val="001B707D"/>
    <w:rsid w:val="001C3A2D"/>
    <w:rsid w:val="001C3EC1"/>
    <w:rsid w:val="001C63D5"/>
    <w:rsid w:val="001C690D"/>
    <w:rsid w:val="001C6F55"/>
    <w:rsid w:val="001D008A"/>
    <w:rsid w:val="001D276E"/>
    <w:rsid w:val="001D3C09"/>
    <w:rsid w:val="001D4259"/>
    <w:rsid w:val="001D4971"/>
    <w:rsid w:val="001E0B48"/>
    <w:rsid w:val="001E0ECC"/>
    <w:rsid w:val="001E2128"/>
    <w:rsid w:val="001E2E5D"/>
    <w:rsid w:val="001E3513"/>
    <w:rsid w:val="001E6794"/>
    <w:rsid w:val="001F1268"/>
    <w:rsid w:val="001F18D0"/>
    <w:rsid w:val="001F1A7F"/>
    <w:rsid w:val="001F2527"/>
    <w:rsid w:val="00201176"/>
    <w:rsid w:val="002025FF"/>
    <w:rsid w:val="002074CC"/>
    <w:rsid w:val="00210C55"/>
    <w:rsid w:val="00212D39"/>
    <w:rsid w:val="00213675"/>
    <w:rsid w:val="002148A2"/>
    <w:rsid w:val="0021593D"/>
    <w:rsid w:val="0021749C"/>
    <w:rsid w:val="00221732"/>
    <w:rsid w:val="0022196A"/>
    <w:rsid w:val="00227F51"/>
    <w:rsid w:val="00230878"/>
    <w:rsid w:val="002309F6"/>
    <w:rsid w:val="00232D19"/>
    <w:rsid w:val="00243614"/>
    <w:rsid w:val="00246384"/>
    <w:rsid w:val="002501F0"/>
    <w:rsid w:val="002510DD"/>
    <w:rsid w:val="00252857"/>
    <w:rsid w:val="002564A3"/>
    <w:rsid w:val="0026130D"/>
    <w:rsid w:val="00265085"/>
    <w:rsid w:val="002662CF"/>
    <w:rsid w:val="00270599"/>
    <w:rsid w:val="00271431"/>
    <w:rsid w:val="00274F63"/>
    <w:rsid w:val="00275D2C"/>
    <w:rsid w:val="002764CA"/>
    <w:rsid w:val="0029073A"/>
    <w:rsid w:val="0029137E"/>
    <w:rsid w:val="00291E39"/>
    <w:rsid w:val="002930BE"/>
    <w:rsid w:val="00294A80"/>
    <w:rsid w:val="002973D9"/>
    <w:rsid w:val="002A1B6F"/>
    <w:rsid w:val="002A2ED8"/>
    <w:rsid w:val="002A3571"/>
    <w:rsid w:val="002A4F88"/>
    <w:rsid w:val="002A6761"/>
    <w:rsid w:val="002B3FDE"/>
    <w:rsid w:val="002B46FA"/>
    <w:rsid w:val="002B5A50"/>
    <w:rsid w:val="002C6A64"/>
    <w:rsid w:val="002D080F"/>
    <w:rsid w:val="002D11E0"/>
    <w:rsid w:val="002E2CFD"/>
    <w:rsid w:val="002E5D87"/>
    <w:rsid w:val="002E62E0"/>
    <w:rsid w:val="002E635E"/>
    <w:rsid w:val="002F4178"/>
    <w:rsid w:val="002F5A47"/>
    <w:rsid w:val="002F6822"/>
    <w:rsid w:val="00302C03"/>
    <w:rsid w:val="00304899"/>
    <w:rsid w:val="00304D94"/>
    <w:rsid w:val="003052CA"/>
    <w:rsid w:val="00307407"/>
    <w:rsid w:val="00311E47"/>
    <w:rsid w:val="00312783"/>
    <w:rsid w:val="00317A9F"/>
    <w:rsid w:val="00320B06"/>
    <w:rsid w:val="00322C3F"/>
    <w:rsid w:val="00324F6D"/>
    <w:rsid w:val="00327A19"/>
    <w:rsid w:val="00334259"/>
    <w:rsid w:val="00334EFC"/>
    <w:rsid w:val="003405A1"/>
    <w:rsid w:val="00341243"/>
    <w:rsid w:val="00342917"/>
    <w:rsid w:val="00343374"/>
    <w:rsid w:val="00351383"/>
    <w:rsid w:val="00351F27"/>
    <w:rsid w:val="003524D6"/>
    <w:rsid w:val="0035320F"/>
    <w:rsid w:val="00353789"/>
    <w:rsid w:val="00355CDE"/>
    <w:rsid w:val="00360CF2"/>
    <w:rsid w:val="00360E75"/>
    <w:rsid w:val="003613CC"/>
    <w:rsid w:val="00361EED"/>
    <w:rsid w:val="00363332"/>
    <w:rsid w:val="00363EF2"/>
    <w:rsid w:val="00372891"/>
    <w:rsid w:val="00374024"/>
    <w:rsid w:val="00374725"/>
    <w:rsid w:val="0037622A"/>
    <w:rsid w:val="00377407"/>
    <w:rsid w:val="0038051F"/>
    <w:rsid w:val="003810F6"/>
    <w:rsid w:val="003857EB"/>
    <w:rsid w:val="00387892"/>
    <w:rsid w:val="00390275"/>
    <w:rsid w:val="00391F8B"/>
    <w:rsid w:val="003A1BD7"/>
    <w:rsid w:val="003A528A"/>
    <w:rsid w:val="003A6BBA"/>
    <w:rsid w:val="003B0B69"/>
    <w:rsid w:val="003B18A7"/>
    <w:rsid w:val="003C08F4"/>
    <w:rsid w:val="003C0CCC"/>
    <w:rsid w:val="003C7479"/>
    <w:rsid w:val="003D43F6"/>
    <w:rsid w:val="003D53B3"/>
    <w:rsid w:val="003D6E26"/>
    <w:rsid w:val="003D7EBB"/>
    <w:rsid w:val="003E19C3"/>
    <w:rsid w:val="003E245E"/>
    <w:rsid w:val="003E51BE"/>
    <w:rsid w:val="003E55AC"/>
    <w:rsid w:val="0040238A"/>
    <w:rsid w:val="0040589A"/>
    <w:rsid w:val="00406F78"/>
    <w:rsid w:val="00413DA8"/>
    <w:rsid w:val="004160CF"/>
    <w:rsid w:val="004179CE"/>
    <w:rsid w:val="004237F0"/>
    <w:rsid w:val="0042727E"/>
    <w:rsid w:val="00430D86"/>
    <w:rsid w:val="00433009"/>
    <w:rsid w:val="0043613C"/>
    <w:rsid w:val="0044524A"/>
    <w:rsid w:val="00445A4E"/>
    <w:rsid w:val="00445D7E"/>
    <w:rsid w:val="004464C2"/>
    <w:rsid w:val="004476E8"/>
    <w:rsid w:val="00451AA9"/>
    <w:rsid w:val="00453421"/>
    <w:rsid w:val="00456FFB"/>
    <w:rsid w:val="004577BE"/>
    <w:rsid w:val="00457801"/>
    <w:rsid w:val="00457C12"/>
    <w:rsid w:val="00460C20"/>
    <w:rsid w:val="0046157E"/>
    <w:rsid w:val="00465D5E"/>
    <w:rsid w:val="00470A8B"/>
    <w:rsid w:val="004762E1"/>
    <w:rsid w:val="00477443"/>
    <w:rsid w:val="00480F5D"/>
    <w:rsid w:val="00482BBF"/>
    <w:rsid w:val="00483D00"/>
    <w:rsid w:val="00484FC8"/>
    <w:rsid w:val="00486D17"/>
    <w:rsid w:val="00491D73"/>
    <w:rsid w:val="004924B5"/>
    <w:rsid w:val="004925D4"/>
    <w:rsid w:val="00494A0E"/>
    <w:rsid w:val="004957B3"/>
    <w:rsid w:val="0049715F"/>
    <w:rsid w:val="004A0434"/>
    <w:rsid w:val="004A4474"/>
    <w:rsid w:val="004A5448"/>
    <w:rsid w:val="004A7B8A"/>
    <w:rsid w:val="004B25EE"/>
    <w:rsid w:val="004B62BA"/>
    <w:rsid w:val="004B68EC"/>
    <w:rsid w:val="004B6CE0"/>
    <w:rsid w:val="004C07E7"/>
    <w:rsid w:val="004C0CE2"/>
    <w:rsid w:val="004C4D02"/>
    <w:rsid w:val="004C6221"/>
    <w:rsid w:val="004C7DCA"/>
    <w:rsid w:val="004D7455"/>
    <w:rsid w:val="004E1EBB"/>
    <w:rsid w:val="004E34D4"/>
    <w:rsid w:val="004F5BB2"/>
    <w:rsid w:val="00500957"/>
    <w:rsid w:val="005026EE"/>
    <w:rsid w:val="00504CCA"/>
    <w:rsid w:val="00507465"/>
    <w:rsid w:val="0051091A"/>
    <w:rsid w:val="00515AB4"/>
    <w:rsid w:val="00520D08"/>
    <w:rsid w:val="00523348"/>
    <w:rsid w:val="00525E83"/>
    <w:rsid w:val="00527845"/>
    <w:rsid w:val="00533FF5"/>
    <w:rsid w:val="005409A3"/>
    <w:rsid w:val="005411E5"/>
    <w:rsid w:val="00542EC4"/>
    <w:rsid w:val="005457D5"/>
    <w:rsid w:val="00545966"/>
    <w:rsid w:val="00545CA2"/>
    <w:rsid w:val="0055214B"/>
    <w:rsid w:val="0055337D"/>
    <w:rsid w:val="0055665A"/>
    <w:rsid w:val="00560763"/>
    <w:rsid w:val="0057203C"/>
    <w:rsid w:val="0057649E"/>
    <w:rsid w:val="0058092B"/>
    <w:rsid w:val="00580AA8"/>
    <w:rsid w:val="00584A4B"/>
    <w:rsid w:val="005855B9"/>
    <w:rsid w:val="005935E8"/>
    <w:rsid w:val="005969B0"/>
    <w:rsid w:val="005A170E"/>
    <w:rsid w:val="005A4972"/>
    <w:rsid w:val="005B094C"/>
    <w:rsid w:val="005B214D"/>
    <w:rsid w:val="005B5466"/>
    <w:rsid w:val="005B5C9D"/>
    <w:rsid w:val="005D0315"/>
    <w:rsid w:val="005D2730"/>
    <w:rsid w:val="005D5A4D"/>
    <w:rsid w:val="005D6728"/>
    <w:rsid w:val="005E2672"/>
    <w:rsid w:val="005E3964"/>
    <w:rsid w:val="005E40AC"/>
    <w:rsid w:val="005F0918"/>
    <w:rsid w:val="005F1260"/>
    <w:rsid w:val="005F280F"/>
    <w:rsid w:val="005F6CEE"/>
    <w:rsid w:val="00600A8F"/>
    <w:rsid w:val="00604802"/>
    <w:rsid w:val="0060603F"/>
    <w:rsid w:val="00610F9D"/>
    <w:rsid w:val="006138BF"/>
    <w:rsid w:val="0061469F"/>
    <w:rsid w:val="0061536F"/>
    <w:rsid w:val="0063282B"/>
    <w:rsid w:val="00635340"/>
    <w:rsid w:val="006361B2"/>
    <w:rsid w:val="00636381"/>
    <w:rsid w:val="006369EF"/>
    <w:rsid w:val="0064054B"/>
    <w:rsid w:val="00645A7B"/>
    <w:rsid w:val="00647666"/>
    <w:rsid w:val="006537CF"/>
    <w:rsid w:val="00661A4E"/>
    <w:rsid w:val="00661E4C"/>
    <w:rsid w:val="00661ED0"/>
    <w:rsid w:val="0066503E"/>
    <w:rsid w:val="0067232F"/>
    <w:rsid w:val="00675104"/>
    <w:rsid w:val="00684ED3"/>
    <w:rsid w:val="006907DA"/>
    <w:rsid w:val="006920DB"/>
    <w:rsid w:val="00696485"/>
    <w:rsid w:val="006A1090"/>
    <w:rsid w:val="006A223A"/>
    <w:rsid w:val="006A461A"/>
    <w:rsid w:val="006A4FE5"/>
    <w:rsid w:val="006A602C"/>
    <w:rsid w:val="006B0505"/>
    <w:rsid w:val="006B0B27"/>
    <w:rsid w:val="006B1D92"/>
    <w:rsid w:val="006B2394"/>
    <w:rsid w:val="006B6D8F"/>
    <w:rsid w:val="006B7F88"/>
    <w:rsid w:val="006C3138"/>
    <w:rsid w:val="006C37F9"/>
    <w:rsid w:val="006C6888"/>
    <w:rsid w:val="006C6F25"/>
    <w:rsid w:val="006D1070"/>
    <w:rsid w:val="006D2A71"/>
    <w:rsid w:val="006D551B"/>
    <w:rsid w:val="006D6E0D"/>
    <w:rsid w:val="006E25C6"/>
    <w:rsid w:val="006E26AF"/>
    <w:rsid w:val="006E635B"/>
    <w:rsid w:val="006F141E"/>
    <w:rsid w:val="006F71AD"/>
    <w:rsid w:val="00700870"/>
    <w:rsid w:val="00703229"/>
    <w:rsid w:val="0071038E"/>
    <w:rsid w:val="00712080"/>
    <w:rsid w:val="00712743"/>
    <w:rsid w:val="00712AC0"/>
    <w:rsid w:val="0071388E"/>
    <w:rsid w:val="0072365A"/>
    <w:rsid w:val="00723D85"/>
    <w:rsid w:val="00726153"/>
    <w:rsid w:val="00727CAD"/>
    <w:rsid w:val="007313C4"/>
    <w:rsid w:val="0073307A"/>
    <w:rsid w:val="00735561"/>
    <w:rsid w:val="007419D4"/>
    <w:rsid w:val="00742D48"/>
    <w:rsid w:val="00745682"/>
    <w:rsid w:val="007472BC"/>
    <w:rsid w:val="0075270E"/>
    <w:rsid w:val="00756A6C"/>
    <w:rsid w:val="00756B0D"/>
    <w:rsid w:val="0075789C"/>
    <w:rsid w:val="00760FD1"/>
    <w:rsid w:val="0076220F"/>
    <w:rsid w:val="00763067"/>
    <w:rsid w:val="007635BF"/>
    <w:rsid w:val="00763BB4"/>
    <w:rsid w:val="007669F3"/>
    <w:rsid w:val="00770330"/>
    <w:rsid w:val="00773C56"/>
    <w:rsid w:val="007741C4"/>
    <w:rsid w:val="00774ECE"/>
    <w:rsid w:val="007766E0"/>
    <w:rsid w:val="00781152"/>
    <w:rsid w:val="00783B1D"/>
    <w:rsid w:val="007870AB"/>
    <w:rsid w:val="007871BC"/>
    <w:rsid w:val="00791493"/>
    <w:rsid w:val="00794C1E"/>
    <w:rsid w:val="007956DA"/>
    <w:rsid w:val="00797B67"/>
    <w:rsid w:val="007A00DA"/>
    <w:rsid w:val="007A3DD2"/>
    <w:rsid w:val="007A59B8"/>
    <w:rsid w:val="007B2236"/>
    <w:rsid w:val="007B4617"/>
    <w:rsid w:val="007B53ED"/>
    <w:rsid w:val="007B671A"/>
    <w:rsid w:val="007B77E8"/>
    <w:rsid w:val="007C2F4F"/>
    <w:rsid w:val="007C511A"/>
    <w:rsid w:val="007C64AD"/>
    <w:rsid w:val="007D0097"/>
    <w:rsid w:val="007D08D2"/>
    <w:rsid w:val="007D0E43"/>
    <w:rsid w:val="007D3D0D"/>
    <w:rsid w:val="007E15F8"/>
    <w:rsid w:val="007E3FE1"/>
    <w:rsid w:val="007E515A"/>
    <w:rsid w:val="007E67F9"/>
    <w:rsid w:val="007F3DB3"/>
    <w:rsid w:val="007F6AD4"/>
    <w:rsid w:val="008002F4"/>
    <w:rsid w:val="00800DCC"/>
    <w:rsid w:val="00821623"/>
    <w:rsid w:val="00824F0E"/>
    <w:rsid w:val="0082554B"/>
    <w:rsid w:val="008267F0"/>
    <w:rsid w:val="00827A5E"/>
    <w:rsid w:val="00832167"/>
    <w:rsid w:val="00833A04"/>
    <w:rsid w:val="00836BA6"/>
    <w:rsid w:val="008375D0"/>
    <w:rsid w:val="00837BF7"/>
    <w:rsid w:val="00841252"/>
    <w:rsid w:val="00847338"/>
    <w:rsid w:val="00850F75"/>
    <w:rsid w:val="00852EB6"/>
    <w:rsid w:val="008537A9"/>
    <w:rsid w:val="008558CF"/>
    <w:rsid w:val="0086192F"/>
    <w:rsid w:val="0086297E"/>
    <w:rsid w:val="00884469"/>
    <w:rsid w:val="00887A5C"/>
    <w:rsid w:val="00894209"/>
    <w:rsid w:val="008A1BC8"/>
    <w:rsid w:val="008A2BF2"/>
    <w:rsid w:val="008A3984"/>
    <w:rsid w:val="008A65BA"/>
    <w:rsid w:val="008B1A6C"/>
    <w:rsid w:val="008B1F9A"/>
    <w:rsid w:val="008B41E2"/>
    <w:rsid w:val="008C5996"/>
    <w:rsid w:val="008D4674"/>
    <w:rsid w:val="008D47BF"/>
    <w:rsid w:val="008D4FA7"/>
    <w:rsid w:val="008D5AFF"/>
    <w:rsid w:val="008D5D30"/>
    <w:rsid w:val="008D63A0"/>
    <w:rsid w:val="008E04EE"/>
    <w:rsid w:val="008E3C38"/>
    <w:rsid w:val="008E46F2"/>
    <w:rsid w:val="008E48DB"/>
    <w:rsid w:val="008E6AB3"/>
    <w:rsid w:val="008F158E"/>
    <w:rsid w:val="008F6BC5"/>
    <w:rsid w:val="0090100E"/>
    <w:rsid w:val="009027C3"/>
    <w:rsid w:val="009039CB"/>
    <w:rsid w:val="009058CB"/>
    <w:rsid w:val="009133E3"/>
    <w:rsid w:val="0091376E"/>
    <w:rsid w:val="0092080E"/>
    <w:rsid w:val="00921E74"/>
    <w:rsid w:val="00927660"/>
    <w:rsid w:val="00932D9D"/>
    <w:rsid w:val="00934584"/>
    <w:rsid w:val="009405BC"/>
    <w:rsid w:val="00943DDE"/>
    <w:rsid w:val="00945170"/>
    <w:rsid w:val="00950D55"/>
    <w:rsid w:val="00952469"/>
    <w:rsid w:val="009637E5"/>
    <w:rsid w:val="009646D6"/>
    <w:rsid w:val="0096509A"/>
    <w:rsid w:val="00973E60"/>
    <w:rsid w:val="00975C82"/>
    <w:rsid w:val="00984C93"/>
    <w:rsid w:val="0098562E"/>
    <w:rsid w:val="009877E3"/>
    <w:rsid w:val="00994CA5"/>
    <w:rsid w:val="009A0F34"/>
    <w:rsid w:val="009A0FC1"/>
    <w:rsid w:val="009A1BFE"/>
    <w:rsid w:val="009A59ED"/>
    <w:rsid w:val="009A5CB2"/>
    <w:rsid w:val="009A5E02"/>
    <w:rsid w:val="009A73AB"/>
    <w:rsid w:val="009B284D"/>
    <w:rsid w:val="009B7418"/>
    <w:rsid w:val="009C1079"/>
    <w:rsid w:val="009C3A2E"/>
    <w:rsid w:val="009D05CD"/>
    <w:rsid w:val="009D0616"/>
    <w:rsid w:val="009D0CA3"/>
    <w:rsid w:val="009D1A48"/>
    <w:rsid w:val="009F2993"/>
    <w:rsid w:val="009F73D0"/>
    <w:rsid w:val="00A00F06"/>
    <w:rsid w:val="00A012F4"/>
    <w:rsid w:val="00A115C5"/>
    <w:rsid w:val="00A11DBD"/>
    <w:rsid w:val="00A12946"/>
    <w:rsid w:val="00A13C93"/>
    <w:rsid w:val="00A15BA6"/>
    <w:rsid w:val="00A22574"/>
    <w:rsid w:val="00A22A78"/>
    <w:rsid w:val="00A232B2"/>
    <w:rsid w:val="00A24E81"/>
    <w:rsid w:val="00A250BA"/>
    <w:rsid w:val="00A270AA"/>
    <w:rsid w:val="00A320DE"/>
    <w:rsid w:val="00A344C0"/>
    <w:rsid w:val="00A3600B"/>
    <w:rsid w:val="00A37A65"/>
    <w:rsid w:val="00A504D9"/>
    <w:rsid w:val="00A50D80"/>
    <w:rsid w:val="00A51FDC"/>
    <w:rsid w:val="00A55C56"/>
    <w:rsid w:val="00A5630E"/>
    <w:rsid w:val="00A6009A"/>
    <w:rsid w:val="00A606BE"/>
    <w:rsid w:val="00A610F0"/>
    <w:rsid w:val="00A63778"/>
    <w:rsid w:val="00A646C6"/>
    <w:rsid w:val="00A64917"/>
    <w:rsid w:val="00A66321"/>
    <w:rsid w:val="00A74167"/>
    <w:rsid w:val="00A74544"/>
    <w:rsid w:val="00A767D1"/>
    <w:rsid w:val="00A80A90"/>
    <w:rsid w:val="00A84DB1"/>
    <w:rsid w:val="00A85380"/>
    <w:rsid w:val="00A86D9B"/>
    <w:rsid w:val="00A87F93"/>
    <w:rsid w:val="00A95221"/>
    <w:rsid w:val="00A95C76"/>
    <w:rsid w:val="00A967FD"/>
    <w:rsid w:val="00A97571"/>
    <w:rsid w:val="00AA00B3"/>
    <w:rsid w:val="00AA2105"/>
    <w:rsid w:val="00AA70C9"/>
    <w:rsid w:val="00AB1F45"/>
    <w:rsid w:val="00AB2441"/>
    <w:rsid w:val="00AB2466"/>
    <w:rsid w:val="00AB2C04"/>
    <w:rsid w:val="00AC2259"/>
    <w:rsid w:val="00AC284D"/>
    <w:rsid w:val="00AC7D0D"/>
    <w:rsid w:val="00AD2CA6"/>
    <w:rsid w:val="00AD3F84"/>
    <w:rsid w:val="00AE204D"/>
    <w:rsid w:val="00AE6A5A"/>
    <w:rsid w:val="00AE7403"/>
    <w:rsid w:val="00B03C76"/>
    <w:rsid w:val="00B04CBF"/>
    <w:rsid w:val="00B111DB"/>
    <w:rsid w:val="00B11FE5"/>
    <w:rsid w:val="00B126BF"/>
    <w:rsid w:val="00B14FE0"/>
    <w:rsid w:val="00B16B9C"/>
    <w:rsid w:val="00B20A6F"/>
    <w:rsid w:val="00B213D4"/>
    <w:rsid w:val="00B23317"/>
    <w:rsid w:val="00B27E17"/>
    <w:rsid w:val="00B300A0"/>
    <w:rsid w:val="00B301B6"/>
    <w:rsid w:val="00B34248"/>
    <w:rsid w:val="00B3488D"/>
    <w:rsid w:val="00B34EFE"/>
    <w:rsid w:val="00B36065"/>
    <w:rsid w:val="00B44F63"/>
    <w:rsid w:val="00B461B3"/>
    <w:rsid w:val="00B51364"/>
    <w:rsid w:val="00B52798"/>
    <w:rsid w:val="00B5448C"/>
    <w:rsid w:val="00B546DE"/>
    <w:rsid w:val="00B64B3D"/>
    <w:rsid w:val="00B64B41"/>
    <w:rsid w:val="00B734A8"/>
    <w:rsid w:val="00B736E9"/>
    <w:rsid w:val="00B762D0"/>
    <w:rsid w:val="00B81CBA"/>
    <w:rsid w:val="00B8255E"/>
    <w:rsid w:val="00B91489"/>
    <w:rsid w:val="00B938A4"/>
    <w:rsid w:val="00B93FDF"/>
    <w:rsid w:val="00B95294"/>
    <w:rsid w:val="00B96BF8"/>
    <w:rsid w:val="00BA1292"/>
    <w:rsid w:val="00BA7AA8"/>
    <w:rsid w:val="00BB4AE9"/>
    <w:rsid w:val="00BB5546"/>
    <w:rsid w:val="00BB56DC"/>
    <w:rsid w:val="00BC0CEA"/>
    <w:rsid w:val="00BC18B3"/>
    <w:rsid w:val="00BC38D0"/>
    <w:rsid w:val="00BC4BDE"/>
    <w:rsid w:val="00BC7D6B"/>
    <w:rsid w:val="00BD44E5"/>
    <w:rsid w:val="00BD66BC"/>
    <w:rsid w:val="00BE0CB8"/>
    <w:rsid w:val="00BE14A8"/>
    <w:rsid w:val="00BE1C25"/>
    <w:rsid w:val="00BE3728"/>
    <w:rsid w:val="00BE3778"/>
    <w:rsid w:val="00BE770E"/>
    <w:rsid w:val="00BE781F"/>
    <w:rsid w:val="00BE78C0"/>
    <w:rsid w:val="00BE7FB1"/>
    <w:rsid w:val="00BF2F70"/>
    <w:rsid w:val="00BF7C2A"/>
    <w:rsid w:val="00C011AE"/>
    <w:rsid w:val="00C011B8"/>
    <w:rsid w:val="00C109E1"/>
    <w:rsid w:val="00C10B56"/>
    <w:rsid w:val="00C12109"/>
    <w:rsid w:val="00C24752"/>
    <w:rsid w:val="00C30AA5"/>
    <w:rsid w:val="00C31EA2"/>
    <w:rsid w:val="00C3222E"/>
    <w:rsid w:val="00C327CC"/>
    <w:rsid w:val="00C33D9B"/>
    <w:rsid w:val="00C35B81"/>
    <w:rsid w:val="00C37155"/>
    <w:rsid w:val="00C40AF0"/>
    <w:rsid w:val="00C4234C"/>
    <w:rsid w:val="00C43798"/>
    <w:rsid w:val="00C572F7"/>
    <w:rsid w:val="00C61725"/>
    <w:rsid w:val="00C75097"/>
    <w:rsid w:val="00C80C04"/>
    <w:rsid w:val="00C87527"/>
    <w:rsid w:val="00C90129"/>
    <w:rsid w:val="00C90E31"/>
    <w:rsid w:val="00CA23C3"/>
    <w:rsid w:val="00CB4C83"/>
    <w:rsid w:val="00CB5C43"/>
    <w:rsid w:val="00CB63A8"/>
    <w:rsid w:val="00CC0E60"/>
    <w:rsid w:val="00CC1104"/>
    <w:rsid w:val="00CC4AA7"/>
    <w:rsid w:val="00CD2339"/>
    <w:rsid w:val="00CD616D"/>
    <w:rsid w:val="00CE0772"/>
    <w:rsid w:val="00CE0FC7"/>
    <w:rsid w:val="00CE1EE7"/>
    <w:rsid w:val="00CE20BE"/>
    <w:rsid w:val="00CF3BCB"/>
    <w:rsid w:val="00CF4586"/>
    <w:rsid w:val="00CF5268"/>
    <w:rsid w:val="00CF5482"/>
    <w:rsid w:val="00CF5AA1"/>
    <w:rsid w:val="00D006F9"/>
    <w:rsid w:val="00D0345D"/>
    <w:rsid w:val="00D076BF"/>
    <w:rsid w:val="00D07DB4"/>
    <w:rsid w:val="00D12E39"/>
    <w:rsid w:val="00D130CE"/>
    <w:rsid w:val="00D213AE"/>
    <w:rsid w:val="00D253C3"/>
    <w:rsid w:val="00D26057"/>
    <w:rsid w:val="00D30EE6"/>
    <w:rsid w:val="00D3120B"/>
    <w:rsid w:val="00D35766"/>
    <w:rsid w:val="00D35F60"/>
    <w:rsid w:val="00D37822"/>
    <w:rsid w:val="00D45B1C"/>
    <w:rsid w:val="00D46DC8"/>
    <w:rsid w:val="00D5352F"/>
    <w:rsid w:val="00D61970"/>
    <w:rsid w:val="00D6463B"/>
    <w:rsid w:val="00D715D1"/>
    <w:rsid w:val="00D72241"/>
    <w:rsid w:val="00D83708"/>
    <w:rsid w:val="00D8465C"/>
    <w:rsid w:val="00D9377F"/>
    <w:rsid w:val="00DA0944"/>
    <w:rsid w:val="00DA1F37"/>
    <w:rsid w:val="00DA4CC8"/>
    <w:rsid w:val="00DA79EF"/>
    <w:rsid w:val="00DB4116"/>
    <w:rsid w:val="00DB5461"/>
    <w:rsid w:val="00DB6F14"/>
    <w:rsid w:val="00DC1B28"/>
    <w:rsid w:val="00DC6EAA"/>
    <w:rsid w:val="00DD2750"/>
    <w:rsid w:val="00DD47F4"/>
    <w:rsid w:val="00DE0201"/>
    <w:rsid w:val="00DE2963"/>
    <w:rsid w:val="00DE4EA0"/>
    <w:rsid w:val="00DE5454"/>
    <w:rsid w:val="00DE54CC"/>
    <w:rsid w:val="00DE76FE"/>
    <w:rsid w:val="00DF1857"/>
    <w:rsid w:val="00DF517C"/>
    <w:rsid w:val="00E013B8"/>
    <w:rsid w:val="00E0370E"/>
    <w:rsid w:val="00E05C8D"/>
    <w:rsid w:val="00E0770B"/>
    <w:rsid w:val="00E12037"/>
    <w:rsid w:val="00E13C3C"/>
    <w:rsid w:val="00E17B54"/>
    <w:rsid w:val="00E20165"/>
    <w:rsid w:val="00E311D4"/>
    <w:rsid w:val="00E31D9C"/>
    <w:rsid w:val="00E3314A"/>
    <w:rsid w:val="00E3577C"/>
    <w:rsid w:val="00E44B0B"/>
    <w:rsid w:val="00E47956"/>
    <w:rsid w:val="00E52064"/>
    <w:rsid w:val="00E63F37"/>
    <w:rsid w:val="00E66805"/>
    <w:rsid w:val="00E67034"/>
    <w:rsid w:val="00E70033"/>
    <w:rsid w:val="00E747FD"/>
    <w:rsid w:val="00E757E2"/>
    <w:rsid w:val="00E80BF3"/>
    <w:rsid w:val="00E81E48"/>
    <w:rsid w:val="00E9256F"/>
    <w:rsid w:val="00E93414"/>
    <w:rsid w:val="00EB0749"/>
    <w:rsid w:val="00EB4A11"/>
    <w:rsid w:val="00EB7466"/>
    <w:rsid w:val="00EC2F7D"/>
    <w:rsid w:val="00EC42BC"/>
    <w:rsid w:val="00EC4EC0"/>
    <w:rsid w:val="00EC718A"/>
    <w:rsid w:val="00ED6CE5"/>
    <w:rsid w:val="00EE5217"/>
    <w:rsid w:val="00EF21AE"/>
    <w:rsid w:val="00EF2C9E"/>
    <w:rsid w:val="00EF35B3"/>
    <w:rsid w:val="00EF7868"/>
    <w:rsid w:val="00F0316B"/>
    <w:rsid w:val="00F04B3E"/>
    <w:rsid w:val="00F04BF9"/>
    <w:rsid w:val="00F050C5"/>
    <w:rsid w:val="00F0552F"/>
    <w:rsid w:val="00F106A3"/>
    <w:rsid w:val="00F11E35"/>
    <w:rsid w:val="00F21C97"/>
    <w:rsid w:val="00F24276"/>
    <w:rsid w:val="00F344A0"/>
    <w:rsid w:val="00F35809"/>
    <w:rsid w:val="00F37399"/>
    <w:rsid w:val="00F376A5"/>
    <w:rsid w:val="00F42D20"/>
    <w:rsid w:val="00F4609B"/>
    <w:rsid w:val="00F466DF"/>
    <w:rsid w:val="00F468BF"/>
    <w:rsid w:val="00F5046F"/>
    <w:rsid w:val="00F51276"/>
    <w:rsid w:val="00F52FB9"/>
    <w:rsid w:val="00F5581E"/>
    <w:rsid w:val="00F562B4"/>
    <w:rsid w:val="00F80ACE"/>
    <w:rsid w:val="00F832C5"/>
    <w:rsid w:val="00F83F99"/>
    <w:rsid w:val="00F84C35"/>
    <w:rsid w:val="00F93202"/>
    <w:rsid w:val="00FA4718"/>
    <w:rsid w:val="00FA48FD"/>
    <w:rsid w:val="00FC3601"/>
    <w:rsid w:val="00FD070E"/>
    <w:rsid w:val="00FD4325"/>
    <w:rsid w:val="00FD78E5"/>
    <w:rsid w:val="00FE01DA"/>
    <w:rsid w:val="00FE641C"/>
    <w:rsid w:val="00FE6CBE"/>
    <w:rsid w:val="00FF052E"/>
    <w:rsid w:val="00FF2B70"/>
    <w:rsid w:val="00FF36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5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A"/>
    <w:pPr>
      <w:spacing w:line="480" w:lineRule="auto"/>
    </w:pPr>
    <w:rPr>
      <w:rFonts w:asciiTheme="majorBidi" w:hAnsiTheme="majorBidi" w:cs="David"/>
      <w:sz w:val="24"/>
    </w:rPr>
  </w:style>
  <w:style w:type="paragraph" w:styleId="Heading1">
    <w:name w:val="heading 1"/>
    <w:basedOn w:val="Title"/>
    <w:next w:val="Normal"/>
    <w:link w:val="Heading1Char"/>
    <w:uiPriority w:val="9"/>
    <w:qFormat/>
    <w:rsid w:val="00560763"/>
    <w:pPr>
      <w:keepNext/>
      <w:numPr>
        <w:numId w:val="20"/>
      </w:numPr>
      <w:ind w:left="431" w:hanging="431"/>
      <w:outlineLvl w:val="0"/>
    </w:pPr>
  </w:style>
  <w:style w:type="paragraph" w:styleId="Heading2">
    <w:name w:val="heading 2"/>
    <w:basedOn w:val="Heading1"/>
    <w:next w:val="Normal"/>
    <w:link w:val="Heading2Char"/>
    <w:uiPriority w:val="9"/>
    <w:unhideWhenUsed/>
    <w:qFormat/>
    <w:rsid w:val="0051091A"/>
    <w:pPr>
      <w:numPr>
        <w:ilvl w:val="1"/>
      </w:numPr>
      <w:outlineLvl w:val="1"/>
    </w:pPr>
  </w:style>
  <w:style w:type="paragraph" w:styleId="Heading3">
    <w:name w:val="heading 3"/>
    <w:basedOn w:val="Normal"/>
    <w:next w:val="Normal"/>
    <w:link w:val="Heading3Char"/>
    <w:uiPriority w:val="9"/>
    <w:semiHidden/>
    <w:unhideWhenUsed/>
    <w:qFormat/>
    <w:rsid w:val="0051091A"/>
    <w:pPr>
      <w:keepNext/>
      <w:keepLines/>
      <w:numPr>
        <w:ilvl w:val="2"/>
        <w:numId w:val="20"/>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19D4"/>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4AA7"/>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C4AA7"/>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4AA7"/>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4AA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AA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91A"/>
    <w:rPr>
      <w:b/>
      <w:bCs/>
      <w:u w:val="single"/>
    </w:rPr>
  </w:style>
  <w:style w:type="character" w:customStyle="1" w:styleId="TitleChar">
    <w:name w:val="Title Char"/>
    <w:basedOn w:val="DefaultParagraphFont"/>
    <w:link w:val="Title"/>
    <w:uiPriority w:val="10"/>
    <w:rsid w:val="0051091A"/>
    <w:rPr>
      <w:rFonts w:asciiTheme="majorBidi" w:hAnsiTheme="majorBidi" w:cs="David"/>
      <w:b/>
      <w:bCs/>
      <w:u w:val="single"/>
    </w:rPr>
  </w:style>
  <w:style w:type="paragraph" w:styleId="Header">
    <w:name w:val="header"/>
    <w:basedOn w:val="Normal"/>
    <w:link w:val="HeaderChar"/>
    <w:uiPriority w:val="99"/>
    <w:unhideWhenUsed/>
    <w:rsid w:val="00B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0"/>
    <w:rPr>
      <w:rFonts w:cs="David"/>
    </w:rPr>
  </w:style>
  <w:style w:type="paragraph" w:styleId="Footer">
    <w:name w:val="footer"/>
    <w:basedOn w:val="Normal"/>
    <w:link w:val="FooterChar"/>
    <w:uiPriority w:val="99"/>
    <w:unhideWhenUsed/>
    <w:rsid w:val="00B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0"/>
    <w:rPr>
      <w:rFonts w:cs="David"/>
    </w:rPr>
  </w:style>
  <w:style w:type="character" w:customStyle="1" w:styleId="Heading1Char">
    <w:name w:val="Heading 1 Char"/>
    <w:basedOn w:val="DefaultParagraphFont"/>
    <w:link w:val="Heading1"/>
    <w:uiPriority w:val="9"/>
    <w:rsid w:val="00560763"/>
    <w:rPr>
      <w:rFonts w:asciiTheme="majorBidi" w:hAnsiTheme="majorBidi" w:cs="David"/>
      <w:b/>
      <w:bCs/>
      <w:sz w:val="24"/>
      <w:u w:val="single"/>
    </w:rPr>
  </w:style>
  <w:style w:type="character" w:customStyle="1" w:styleId="Heading2Char">
    <w:name w:val="Heading 2 Char"/>
    <w:basedOn w:val="DefaultParagraphFont"/>
    <w:link w:val="Heading2"/>
    <w:uiPriority w:val="9"/>
    <w:rsid w:val="0051091A"/>
    <w:rPr>
      <w:rFonts w:asciiTheme="majorBidi" w:hAnsiTheme="majorBidi" w:cs="David"/>
      <w:b/>
      <w:bCs/>
    </w:rPr>
  </w:style>
  <w:style w:type="character" w:customStyle="1" w:styleId="a">
    <w:name w:val="פסוק"/>
    <w:basedOn w:val="DefaultParagraphFont"/>
    <w:uiPriority w:val="1"/>
    <w:qFormat/>
    <w:rsid w:val="000A41D4"/>
    <w:rPr>
      <w:rFonts w:cs="Guttman Stam"/>
    </w:rPr>
  </w:style>
  <w:style w:type="paragraph" w:styleId="Quote">
    <w:name w:val="Quote"/>
    <w:basedOn w:val="Normal"/>
    <w:next w:val="Normal"/>
    <w:link w:val="QuoteChar"/>
    <w:uiPriority w:val="29"/>
    <w:qFormat/>
    <w:rsid w:val="00445A4E"/>
    <w:pPr>
      <w:ind w:left="720"/>
    </w:pPr>
    <w:rPr>
      <w:iCs/>
      <w:color w:val="000000" w:themeColor="text1"/>
    </w:rPr>
  </w:style>
  <w:style w:type="character" w:customStyle="1" w:styleId="QuoteChar">
    <w:name w:val="Quote Char"/>
    <w:basedOn w:val="DefaultParagraphFont"/>
    <w:link w:val="Quote"/>
    <w:uiPriority w:val="29"/>
    <w:rsid w:val="00445A4E"/>
    <w:rPr>
      <w:rFonts w:asciiTheme="majorBidi" w:hAnsiTheme="majorBidi" w:cs="David"/>
      <w:iCs/>
      <w:color w:val="000000" w:themeColor="text1"/>
    </w:rPr>
  </w:style>
  <w:style w:type="character" w:customStyle="1" w:styleId="Heading3Char">
    <w:name w:val="Heading 3 Char"/>
    <w:basedOn w:val="DefaultParagraphFont"/>
    <w:link w:val="Heading3"/>
    <w:uiPriority w:val="9"/>
    <w:semiHidden/>
    <w:rsid w:val="0051091A"/>
    <w:rPr>
      <w:rFonts w:asciiTheme="majorHAnsi" w:eastAsiaTheme="majorEastAsia" w:hAnsiTheme="majorHAnsi" w:cstheme="majorBidi"/>
      <w:b/>
      <w:bCs/>
    </w:rPr>
  </w:style>
  <w:style w:type="paragraph" w:styleId="ListParagraph">
    <w:name w:val="List Paragraph"/>
    <w:basedOn w:val="Normal"/>
    <w:uiPriority w:val="34"/>
    <w:qFormat/>
    <w:rsid w:val="00542EC4"/>
    <w:pPr>
      <w:ind w:left="720"/>
      <w:contextualSpacing/>
    </w:pPr>
  </w:style>
  <w:style w:type="paragraph" w:styleId="FootnoteText">
    <w:name w:val="footnote text"/>
    <w:basedOn w:val="Normal"/>
    <w:link w:val="FootnoteTextChar"/>
    <w:uiPriority w:val="99"/>
    <w:unhideWhenUsed/>
    <w:rsid w:val="00374725"/>
    <w:pPr>
      <w:spacing w:after="0"/>
    </w:pPr>
    <w:rPr>
      <w:sz w:val="20"/>
      <w:szCs w:val="20"/>
    </w:rPr>
  </w:style>
  <w:style w:type="character" w:customStyle="1" w:styleId="FootnoteTextChar">
    <w:name w:val="Footnote Text Char"/>
    <w:basedOn w:val="DefaultParagraphFont"/>
    <w:link w:val="FootnoteText"/>
    <w:uiPriority w:val="99"/>
    <w:rsid w:val="00374725"/>
    <w:rPr>
      <w:rFonts w:asciiTheme="majorBidi" w:hAnsiTheme="majorBidi" w:cs="David"/>
      <w:sz w:val="20"/>
      <w:szCs w:val="20"/>
    </w:rPr>
  </w:style>
  <w:style w:type="character" w:styleId="FootnoteReference">
    <w:name w:val="footnote reference"/>
    <w:basedOn w:val="DefaultParagraphFont"/>
    <w:uiPriority w:val="99"/>
    <w:semiHidden/>
    <w:unhideWhenUsed/>
    <w:rsid w:val="00AB2466"/>
    <w:rPr>
      <w:vertAlign w:val="superscript"/>
    </w:rPr>
  </w:style>
  <w:style w:type="table" w:styleId="TableGrid">
    <w:name w:val="Table Grid"/>
    <w:basedOn w:val="TableNormal"/>
    <w:uiPriority w:val="59"/>
    <w:rsid w:val="00CE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4C1E"/>
    <w:pPr>
      <w:spacing w:before="100" w:beforeAutospacing="1" w:after="100" w:afterAutospacing="1" w:line="240" w:lineRule="auto"/>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E20165"/>
    <w:rPr>
      <w:sz w:val="16"/>
      <w:szCs w:val="16"/>
    </w:rPr>
  </w:style>
  <w:style w:type="paragraph" w:styleId="CommentText">
    <w:name w:val="annotation text"/>
    <w:basedOn w:val="Normal"/>
    <w:link w:val="CommentTextChar"/>
    <w:uiPriority w:val="99"/>
    <w:semiHidden/>
    <w:unhideWhenUsed/>
    <w:rsid w:val="00E20165"/>
    <w:pPr>
      <w:spacing w:line="240" w:lineRule="auto"/>
    </w:pPr>
    <w:rPr>
      <w:sz w:val="20"/>
      <w:szCs w:val="20"/>
    </w:rPr>
  </w:style>
  <w:style w:type="character" w:customStyle="1" w:styleId="CommentTextChar">
    <w:name w:val="Comment Text Char"/>
    <w:basedOn w:val="DefaultParagraphFont"/>
    <w:link w:val="CommentText"/>
    <w:uiPriority w:val="99"/>
    <w:semiHidden/>
    <w:rsid w:val="00E20165"/>
    <w:rPr>
      <w:rFonts w:asciiTheme="majorBidi" w:hAnsiTheme="majorBidi" w:cs="David"/>
      <w:sz w:val="20"/>
      <w:szCs w:val="20"/>
    </w:rPr>
  </w:style>
  <w:style w:type="paragraph" w:styleId="CommentSubject">
    <w:name w:val="annotation subject"/>
    <w:basedOn w:val="CommentText"/>
    <w:next w:val="CommentText"/>
    <w:link w:val="CommentSubjectChar"/>
    <w:uiPriority w:val="99"/>
    <w:semiHidden/>
    <w:unhideWhenUsed/>
    <w:rsid w:val="00E20165"/>
    <w:rPr>
      <w:b/>
      <w:bCs/>
    </w:rPr>
  </w:style>
  <w:style w:type="character" w:customStyle="1" w:styleId="CommentSubjectChar">
    <w:name w:val="Comment Subject Char"/>
    <w:basedOn w:val="CommentTextChar"/>
    <w:link w:val="CommentSubject"/>
    <w:uiPriority w:val="99"/>
    <w:semiHidden/>
    <w:rsid w:val="00E20165"/>
    <w:rPr>
      <w:rFonts w:asciiTheme="majorBidi" w:hAnsiTheme="majorBidi" w:cs="David"/>
      <w:b/>
      <w:bCs/>
      <w:sz w:val="20"/>
      <w:szCs w:val="20"/>
    </w:rPr>
  </w:style>
  <w:style w:type="paragraph" w:styleId="BalloonText">
    <w:name w:val="Balloon Text"/>
    <w:basedOn w:val="Normal"/>
    <w:link w:val="BalloonTextChar"/>
    <w:uiPriority w:val="99"/>
    <w:semiHidden/>
    <w:unhideWhenUsed/>
    <w:rsid w:val="00E2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65"/>
    <w:rPr>
      <w:rFonts w:ascii="Tahoma" w:hAnsi="Tahoma" w:cs="Tahoma"/>
      <w:sz w:val="16"/>
      <w:szCs w:val="16"/>
    </w:rPr>
  </w:style>
  <w:style w:type="character" w:customStyle="1" w:styleId="Heading4Char">
    <w:name w:val="Heading 4 Char"/>
    <w:basedOn w:val="DefaultParagraphFont"/>
    <w:link w:val="Heading4"/>
    <w:uiPriority w:val="9"/>
    <w:semiHidden/>
    <w:rsid w:val="007419D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C4AA7"/>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C4AA7"/>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C4AA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C4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4AA7"/>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763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BB4"/>
    <w:rPr>
      <w:rFonts w:asciiTheme="majorBidi" w:hAnsiTheme="majorBidi" w:cs="David"/>
      <w:sz w:val="20"/>
      <w:szCs w:val="20"/>
    </w:rPr>
  </w:style>
  <w:style w:type="character" w:styleId="EndnoteReference">
    <w:name w:val="endnote reference"/>
    <w:basedOn w:val="DefaultParagraphFont"/>
    <w:uiPriority w:val="99"/>
    <w:semiHidden/>
    <w:unhideWhenUsed/>
    <w:rsid w:val="00763B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A"/>
    <w:pPr>
      <w:spacing w:line="480" w:lineRule="auto"/>
    </w:pPr>
    <w:rPr>
      <w:rFonts w:asciiTheme="majorBidi" w:hAnsiTheme="majorBidi" w:cs="David"/>
      <w:sz w:val="24"/>
    </w:rPr>
  </w:style>
  <w:style w:type="paragraph" w:styleId="Heading1">
    <w:name w:val="heading 1"/>
    <w:basedOn w:val="Title"/>
    <w:next w:val="Normal"/>
    <w:link w:val="Heading1Char"/>
    <w:uiPriority w:val="9"/>
    <w:qFormat/>
    <w:rsid w:val="00560763"/>
    <w:pPr>
      <w:keepNext/>
      <w:numPr>
        <w:numId w:val="20"/>
      </w:numPr>
      <w:ind w:left="431" w:hanging="431"/>
      <w:outlineLvl w:val="0"/>
    </w:pPr>
  </w:style>
  <w:style w:type="paragraph" w:styleId="Heading2">
    <w:name w:val="heading 2"/>
    <w:basedOn w:val="Heading1"/>
    <w:next w:val="Normal"/>
    <w:link w:val="Heading2Char"/>
    <w:uiPriority w:val="9"/>
    <w:unhideWhenUsed/>
    <w:qFormat/>
    <w:rsid w:val="0051091A"/>
    <w:pPr>
      <w:numPr>
        <w:ilvl w:val="1"/>
      </w:numPr>
      <w:outlineLvl w:val="1"/>
    </w:pPr>
  </w:style>
  <w:style w:type="paragraph" w:styleId="Heading3">
    <w:name w:val="heading 3"/>
    <w:basedOn w:val="Normal"/>
    <w:next w:val="Normal"/>
    <w:link w:val="Heading3Char"/>
    <w:uiPriority w:val="9"/>
    <w:semiHidden/>
    <w:unhideWhenUsed/>
    <w:qFormat/>
    <w:rsid w:val="0051091A"/>
    <w:pPr>
      <w:keepNext/>
      <w:keepLines/>
      <w:numPr>
        <w:ilvl w:val="2"/>
        <w:numId w:val="20"/>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19D4"/>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4AA7"/>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C4AA7"/>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4AA7"/>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4AA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AA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91A"/>
    <w:rPr>
      <w:b/>
      <w:bCs/>
      <w:u w:val="single"/>
    </w:rPr>
  </w:style>
  <w:style w:type="character" w:customStyle="1" w:styleId="TitleChar">
    <w:name w:val="Title Char"/>
    <w:basedOn w:val="DefaultParagraphFont"/>
    <w:link w:val="Title"/>
    <w:uiPriority w:val="10"/>
    <w:rsid w:val="0051091A"/>
    <w:rPr>
      <w:rFonts w:asciiTheme="majorBidi" w:hAnsiTheme="majorBidi" w:cs="David"/>
      <w:b/>
      <w:bCs/>
      <w:u w:val="single"/>
    </w:rPr>
  </w:style>
  <w:style w:type="paragraph" w:styleId="Header">
    <w:name w:val="header"/>
    <w:basedOn w:val="Normal"/>
    <w:link w:val="HeaderChar"/>
    <w:uiPriority w:val="99"/>
    <w:unhideWhenUsed/>
    <w:rsid w:val="00B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0"/>
    <w:rPr>
      <w:rFonts w:cs="David"/>
    </w:rPr>
  </w:style>
  <w:style w:type="paragraph" w:styleId="Footer">
    <w:name w:val="footer"/>
    <w:basedOn w:val="Normal"/>
    <w:link w:val="FooterChar"/>
    <w:uiPriority w:val="99"/>
    <w:unhideWhenUsed/>
    <w:rsid w:val="00B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0"/>
    <w:rPr>
      <w:rFonts w:cs="David"/>
    </w:rPr>
  </w:style>
  <w:style w:type="character" w:customStyle="1" w:styleId="Heading1Char">
    <w:name w:val="Heading 1 Char"/>
    <w:basedOn w:val="DefaultParagraphFont"/>
    <w:link w:val="Heading1"/>
    <w:uiPriority w:val="9"/>
    <w:rsid w:val="00560763"/>
    <w:rPr>
      <w:rFonts w:asciiTheme="majorBidi" w:hAnsiTheme="majorBidi" w:cs="David"/>
      <w:b/>
      <w:bCs/>
      <w:sz w:val="24"/>
      <w:u w:val="single"/>
    </w:rPr>
  </w:style>
  <w:style w:type="character" w:customStyle="1" w:styleId="Heading2Char">
    <w:name w:val="Heading 2 Char"/>
    <w:basedOn w:val="DefaultParagraphFont"/>
    <w:link w:val="Heading2"/>
    <w:uiPriority w:val="9"/>
    <w:rsid w:val="0051091A"/>
    <w:rPr>
      <w:rFonts w:asciiTheme="majorBidi" w:hAnsiTheme="majorBidi" w:cs="David"/>
      <w:b/>
      <w:bCs/>
    </w:rPr>
  </w:style>
  <w:style w:type="character" w:customStyle="1" w:styleId="a">
    <w:name w:val="פסוק"/>
    <w:basedOn w:val="DefaultParagraphFont"/>
    <w:uiPriority w:val="1"/>
    <w:qFormat/>
    <w:rsid w:val="000A41D4"/>
    <w:rPr>
      <w:rFonts w:cs="Guttman Stam"/>
    </w:rPr>
  </w:style>
  <w:style w:type="paragraph" w:styleId="Quote">
    <w:name w:val="Quote"/>
    <w:basedOn w:val="Normal"/>
    <w:next w:val="Normal"/>
    <w:link w:val="QuoteChar"/>
    <w:uiPriority w:val="29"/>
    <w:qFormat/>
    <w:rsid w:val="00445A4E"/>
    <w:pPr>
      <w:ind w:left="720"/>
    </w:pPr>
    <w:rPr>
      <w:iCs/>
      <w:color w:val="000000" w:themeColor="text1"/>
    </w:rPr>
  </w:style>
  <w:style w:type="character" w:customStyle="1" w:styleId="QuoteChar">
    <w:name w:val="Quote Char"/>
    <w:basedOn w:val="DefaultParagraphFont"/>
    <w:link w:val="Quote"/>
    <w:uiPriority w:val="29"/>
    <w:rsid w:val="00445A4E"/>
    <w:rPr>
      <w:rFonts w:asciiTheme="majorBidi" w:hAnsiTheme="majorBidi" w:cs="David"/>
      <w:iCs/>
      <w:color w:val="000000" w:themeColor="text1"/>
    </w:rPr>
  </w:style>
  <w:style w:type="character" w:customStyle="1" w:styleId="Heading3Char">
    <w:name w:val="Heading 3 Char"/>
    <w:basedOn w:val="DefaultParagraphFont"/>
    <w:link w:val="Heading3"/>
    <w:uiPriority w:val="9"/>
    <w:semiHidden/>
    <w:rsid w:val="0051091A"/>
    <w:rPr>
      <w:rFonts w:asciiTheme="majorHAnsi" w:eastAsiaTheme="majorEastAsia" w:hAnsiTheme="majorHAnsi" w:cstheme="majorBidi"/>
      <w:b/>
      <w:bCs/>
    </w:rPr>
  </w:style>
  <w:style w:type="paragraph" w:styleId="ListParagraph">
    <w:name w:val="List Paragraph"/>
    <w:basedOn w:val="Normal"/>
    <w:uiPriority w:val="34"/>
    <w:qFormat/>
    <w:rsid w:val="00542EC4"/>
    <w:pPr>
      <w:ind w:left="720"/>
      <w:contextualSpacing/>
    </w:pPr>
  </w:style>
  <w:style w:type="paragraph" w:styleId="FootnoteText">
    <w:name w:val="footnote text"/>
    <w:basedOn w:val="Normal"/>
    <w:link w:val="FootnoteTextChar"/>
    <w:uiPriority w:val="99"/>
    <w:unhideWhenUsed/>
    <w:rsid w:val="00374725"/>
    <w:pPr>
      <w:spacing w:after="0"/>
    </w:pPr>
    <w:rPr>
      <w:sz w:val="20"/>
      <w:szCs w:val="20"/>
    </w:rPr>
  </w:style>
  <w:style w:type="character" w:customStyle="1" w:styleId="FootnoteTextChar">
    <w:name w:val="Footnote Text Char"/>
    <w:basedOn w:val="DefaultParagraphFont"/>
    <w:link w:val="FootnoteText"/>
    <w:uiPriority w:val="99"/>
    <w:rsid w:val="00374725"/>
    <w:rPr>
      <w:rFonts w:asciiTheme="majorBidi" w:hAnsiTheme="majorBidi" w:cs="David"/>
      <w:sz w:val="20"/>
      <w:szCs w:val="20"/>
    </w:rPr>
  </w:style>
  <w:style w:type="character" w:styleId="FootnoteReference">
    <w:name w:val="footnote reference"/>
    <w:basedOn w:val="DefaultParagraphFont"/>
    <w:uiPriority w:val="99"/>
    <w:semiHidden/>
    <w:unhideWhenUsed/>
    <w:rsid w:val="00AB2466"/>
    <w:rPr>
      <w:vertAlign w:val="superscript"/>
    </w:rPr>
  </w:style>
  <w:style w:type="table" w:styleId="TableGrid">
    <w:name w:val="Table Grid"/>
    <w:basedOn w:val="TableNormal"/>
    <w:uiPriority w:val="59"/>
    <w:rsid w:val="00CE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4C1E"/>
    <w:pPr>
      <w:spacing w:before="100" w:beforeAutospacing="1" w:after="100" w:afterAutospacing="1" w:line="240" w:lineRule="auto"/>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E20165"/>
    <w:rPr>
      <w:sz w:val="16"/>
      <w:szCs w:val="16"/>
    </w:rPr>
  </w:style>
  <w:style w:type="paragraph" w:styleId="CommentText">
    <w:name w:val="annotation text"/>
    <w:basedOn w:val="Normal"/>
    <w:link w:val="CommentTextChar"/>
    <w:uiPriority w:val="99"/>
    <w:semiHidden/>
    <w:unhideWhenUsed/>
    <w:rsid w:val="00E20165"/>
    <w:pPr>
      <w:spacing w:line="240" w:lineRule="auto"/>
    </w:pPr>
    <w:rPr>
      <w:sz w:val="20"/>
      <w:szCs w:val="20"/>
    </w:rPr>
  </w:style>
  <w:style w:type="character" w:customStyle="1" w:styleId="CommentTextChar">
    <w:name w:val="Comment Text Char"/>
    <w:basedOn w:val="DefaultParagraphFont"/>
    <w:link w:val="CommentText"/>
    <w:uiPriority w:val="99"/>
    <w:semiHidden/>
    <w:rsid w:val="00E20165"/>
    <w:rPr>
      <w:rFonts w:asciiTheme="majorBidi" w:hAnsiTheme="majorBidi" w:cs="David"/>
      <w:sz w:val="20"/>
      <w:szCs w:val="20"/>
    </w:rPr>
  </w:style>
  <w:style w:type="paragraph" w:styleId="CommentSubject">
    <w:name w:val="annotation subject"/>
    <w:basedOn w:val="CommentText"/>
    <w:next w:val="CommentText"/>
    <w:link w:val="CommentSubjectChar"/>
    <w:uiPriority w:val="99"/>
    <w:semiHidden/>
    <w:unhideWhenUsed/>
    <w:rsid w:val="00E20165"/>
    <w:rPr>
      <w:b/>
      <w:bCs/>
    </w:rPr>
  </w:style>
  <w:style w:type="character" w:customStyle="1" w:styleId="CommentSubjectChar">
    <w:name w:val="Comment Subject Char"/>
    <w:basedOn w:val="CommentTextChar"/>
    <w:link w:val="CommentSubject"/>
    <w:uiPriority w:val="99"/>
    <w:semiHidden/>
    <w:rsid w:val="00E20165"/>
    <w:rPr>
      <w:rFonts w:asciiTheme="majorBidi" w:hAnsiTheme="majorBidi" w:cs="David"/>
      <w:b/>
      <w:bCs/>
      <w:sz w:val="20"/>
      <w:szCs w:val="20"/>
    </w:rPr>
  </w:style>
  <w:style w:type="paragraph" w:styleId="BalloonText">
    <w:name w:val="Balloon Text"/>
    <w:basedOn w:val="Normal"/>
    <w:link w:val="BalloonTextChar"/>
    <w:uiPriority w:val="99"/>
    <w:semiHidden/>
    <w:unhideWhenUsed/>
    <w:rsid w:val="00E2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65"/>
    <w:rPr>
      <w:rFonts w:ascii="Tahoma" w:hAnsi="Tahoma" w:cs="Tahoma"/>
      <w:sz w:val="16"/>
      <w:szCs w:val="16"/>
    </w:rPr>
  </w:style>
  <w:style w:type="character" w:customStyle="1" w:styleId="Heading4Char">
    <w:name w:val="Heading 4 Char"/>
    <w:basedOn w:val="DefaultParagraphFont"/>
    <w:link w:val="Heading4"/>
    <w:uiPriority w:val="9"/>
    <w:semiHidden/>
    <w:rsid w:val="007419D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C4AA7"/>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C4AA7"/>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C4AA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C4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4AA7"/>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763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BB4"/>
    <w:rPr>
      <w:rFonts w:asciiTheme="majorBidi" w:hAnsiTheme="majorBidi" w:cs="David"/>
      <w:sz w:val="20"/>
      <w:szCs w:val="20"/>
    </w:rPr>
  </w:style>
  <w:style w:type="character" w:styleId="EndnoteReference">
    <w:name w:val="endnote reference"/>
    <w:basedOn w:val="DefaultParagraphFont"/>
    <w:uiPriority w:val="99"/>
    <w:semiHidden/>
    <w:unhideWhenUsed/>
    <w:rsid w:val="00763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5525">
      <w:bodyDiv w:val="1"/>
      <w:marLeft w:val="0"/>
      <w:marRight w:val="0"/>
      <w:marTop w:val="0"/>
      <w:marBottom w:val="0"/>
      <w:divBdr>
        <w:top w:val="none" w:sz="0" w:space="0" w:color="auto"/>
        <w:left w:val="none" w:sz="0" w:space="0" w:color="auto"/>
        <w:bottom w:val="none" w:sz="0" w:space="0" w:color="auto"/>
        <w:right w:val="none" w:sz="0" w:space="0" w:color="auto"/>
      </w:divBdr>
    </w:div>
    <w:div w:id="1457093794">
      <w:bodyDiv w:val="1"/>
      <w:marLeft w:val="0"/>
      <w:marRight w:val="0"/>
      <w:marTop w:val="0"/>
      <w:marBottom w:val="0"/>
      <w:divBdr>
        <w:top w:val="none" w:sz="0" w:space="0" w:color="auto"/>
        <w:left w:val="none" w:sz="0" w:space="0" w:color="auto"/>
        <w:bottom w:val="none" w:sz="0" w:space="0" w:color="auto"/>
        <w:right w:val="none" w:sz="0" w:space="0" w:color="auto"/>
      </w:divBdr>
    </w:div>
    <w:div w:id="1538853753">
      <w:bodyDiv w:val="1"/>
      <w:marLeft w:val="0"/>
      <w:marRight w:val="0"/>
      <w:marTop w:val="0"/>
      <w:marBottom w:val="0"/>
      <w:divBdr>
        <w:top w:val="none" w:sz="0" w:space="0" w:color="auto"/>
        <w:left w:val="none" w:sz="0" w:space="0" w:color="auto"/>
        <w:bottom w:val="none" w:sz="0" w:space="0" w:color="auto"/>
        <w:right w:val="none" w:sz="0" w:space="0" w:color="auto"/>
      </w:divBdr>
      <w:divsChild>
        <w:div w:id="673726099">
          <w:marLeft w:val="0"/>
          <w:marRight w:val="0"/>
          <w:marTop w:val="0"/>
          <w:marBottom w:val="0"/>
          <w:divBdr>
            <w:top w:val="none" w:sz="0" w:space="0" w:color="auto"/>
            <w:left w:val="none" w:sz="0" w:space="0" w:color="auto"/>
            <w:bottom w:val="none" w:sz="0" w:space="0" w:color="auto"/>
            <w:right w:val="none" w:sz="0" w:space="0" w:color="auto"/>
          </w:divBdr>
          <w:divsChild>
            <w:div w:id="1407416504">
              <w:marLeft w:val="0"/>
              <w:marRight w:val="0"/>
              <w:marTop w:val="0"/>
              <w:marBottom w:val="0"/>
              <w:divBdr>
                <w:top w:val="none" w:sz="0" w:space="0" w:color="auto"/>
                <w:left w:val="none" w:sz="0" w:space="0" w:color="auto"/>
                <w:bottom w:val="none" w:sz="0" w:space="0" w:color="auto"/>
                <w:right w:val="none" w:sz="0" w:space="0" w:color="auto"/>
              </w:divBdr>
              <w:divsChild>
                <w:div w:id="1473450239">
                  <w:marLeft w:val="0"/>
                  <w:marRight w:val="0"/>
                  <w:marTop w:val="0"/>
                  <w:marBottom w:val="0"/>
                  <w:divBdr>
                    <w:top w:val="none" w:sz="0" w:space="0" w:color="auto"/>
                    <w:left w:val="none" w:sz="0" w:space="0" w:color="auto"/>
                    <w:bottom w:val="none" w:sz="0" w:space="0" w:color="auto"/>
                    <w:right w:val="none" w:sz="0" w:space="0" w:color="auto"/>
                  </w:divBdr>
                  <w:divsChild>
                    <w:div w:id="707687496">
                      <w:marLeft w:val="0"/>
                      <w:marRight w:val="0"/>
                      <w:marTop w:val="0"/>
                      <w:marBottom w:val="0"/>
                      <w:divBdr>
                        <w:top w:val="none" w:sz="0" w:space="0" w:color="auto"/>
                        <w:left w:val="none" w:sz="0" w:space="0" w:color="auto"/>
                        <w:bottom w:val="none" w:sz="0" w:space="0" w:color="auto"/>
                        <w:right w:val="none" w:sz="0" w:space="0" w:color="auto"/>
                      </w:divBdr>
                      <w:divsChild>
                        <w:div w:id="2022707666">
                          <w:marLeft w:val="0"/>
                          <w:marRight w:val="0"/>
                          <w:marTop w:val="0"/>
                          <w:marBottom w:val="0"/>
                          <w:divBdr>
                            <w:top w:val="none" w:sz="0" w:space="0" w:color="auto"/>
                            <w:left w:val="none" w:sz="0" w:space="0" w:color="auto"/>
                            <w:bottom w:val="none" w:sz="0" w:space="0" w:color="auto"/>
                            <w:right w:val="none" w:sz="0" w:space="0" w:color="auto"/>
                          </w:divBdr>
                          <w:divsChild>
                            <w:div w:id="1650667961">
                              <w:marLeft w:val="0"/>
                              <w:marRight w:val="0"/>
                              <w:marTop w:val="0"/>
                              <w:marBottom w:val="0"/>
                              <w:divBdr>
                                <w:top w:val="none" w:sz="0" w:space="0" w:color="auto"/>
                                <w:left w:val="none" w:sz="0" w:space="0" w:color="auto"/>
                                <w:bottom w:val="none" w:sz="0" w:space="0" w:color="auto"/>
                                <w:right w:val="none" w:sz="0" w:space="0" w:color="auto"/>
                              </w:divBdr>
                              <w:divsChild>
                                <w:div w:id="203373295">
                                  <w:marLeft w:val="0"/>
                                  <w:marRight w:val="0"/>
                                  <w:marTop w:val="0"/>
                                  <w:marBottom w:val="0"/>
                                  <w:divBdr>
                                    <w:top w:val="none" w:sz="0" w:space="0" w:color="auto"/>
                                    <w:left w:val="none" w:sz="0" w:space="0" w:color="auto"/>
                                    <w:bottom w:val="none" w:sz="0" w:space="0" w:color="auto"/>
                                    <w:right w:val="none" w:sz="0" w:space="0" w:color="auto"/>
                                  </w:divBdr>
                                  <w:divsChild>
                                    <w:div w:id="1696006326">
                                      <w:marLeft w:val="0"/>
                                      <w:marRight w:val="0"/>
                                      <w:marTop w:val="0"/>
                                      <w:marBottom w:val="0"/>
                                      <w:divBdr>
                                        <w:top w:val="none" w:sz="0" w:space="0" w:color="auto"/>
                                        <w:left w:val="none" w:sz="0" w:space="0" w:color="auto"/>
                                        <w:bottom w:val="none" w:sz="0" w:space="0" w:color="auto"/>
                                        <w:right w:val="none" w:sz="0" w:space="0" w:color="auto"/>
                                      </w:divBdr>
                                      <w:divsChild>
                                        <w:div w:id="1238788777">
                                          <w:marLeft w:val="0"/>
                                          <w:marRight w:val="0"/>
                                          <w:marTop w:val="0"/>
                                          <w:marBottom w:val="0"/>
                                          <w:divBdr>
                                            <w:top w:val="none" w:sz="0" w:space="0" w:color="auto"/>
                                            <w:left w:val="none" w:sz="0" w:space="0" w:color="auto"/>
                                            <w:bottom w:val="none" w:sz="0" w:space="0" w:color="auto"/>
                                            <w:right w:val="none" w:sz="0" w:space="0" w:color="auto"/>
                                          </w:divBdr>
                                          <w:divsChild>
                                            <w:div w:id="1123156626">
                                              <w:marLeft w:val="0"/>
                                              <w:marRight w:val="0"/>
                                              <w:marTop w:val="0"/>
                                              <w:marBottom w:val="0"/>
                                              <w:divBdr>
                                                <w:top w:val="none" w:sz="0" w:space="0" w:color="auto"/>
                                                <w:left w:val="none" w:sz="0" w:space="0" w:color="auto"/>
                                                <w:bottom w:val="none" w:sz="0" w:space="0" w:color="auto"/>
                                                <w:right w:val="none" w:sz="0" w:space="0" w:color="auto"/>
                                              </w:divBdr>
                                              <w:divsChild>
                                                <w:div w:id="93982762">
                                                  <w:marLeft w:val="0"/>
                                                  <w:marRight w:val="0"/>
                                                  <w:marTop w:val="0"/>
                                                  <w:marBottom w:val="0"/>
                                                  <w:divBdr>
                                                    <w:top w:val="none" w:sz="0" w:space="0" w:color="auto"/>
                                                    <w:left w:val="none" w:sz="0" w:space="0" w:color="auto"/>
                                                    <w:bottom w:val="none" w:sz="0" w:space="0" w:color="auto"/>
                                                    <w:right w:val="none" w:sz="0" w:space="0" w:color="auto"/>
                                                  </w:divBdr>
                                                  <w:divsChild>
                                                    <w:div w:id="1271622111">
                                                      <w:marLeft w:val="0"/>
                                                      <w:marRight w:val="0"/>
                                                      <w:marTop w:val="0"/>
                                                      <w:marBottom w:val="0"/>
                                                      <w:divBdr>
                                                        <w:top w:val="none" w:sz="0" w:space="0" w:color="auto"/>
                                                        <w:left w:val="none" w:sz="0" w:space="0" w:color="auto"/>
                                                        <w:bottom w:val="none" w:sz="0" w:space="0" w:color="auto"/>
                                                        <w:right w:val="none" w:sz="0" w:space="0" w:color="auto"/>
                                                      </w:divBdr>
                                                      <w:divsChild>
                                                        <w:div w:id="1055856005">
                                                          <w:marLeft w:val="0"/>
                                                          <w:marRight w:val="0"/>
                                                          <w:marTop w:val="0"/>
                                                          <w:marBottom w:val="0"/>
                                                          <w:divBdr>
                                                            <w:top w:val="none" w:sz="0" w:space="0" w:color="auto"/>
                                                            <w:left w:val="none" w:sz="0" w:space="0" w:color="auto"/>
                                                            <w:bottom w:val="none" w:sz="0" w:space="0" w:color="auto"/>
                                                            <w:right w:val="none" w:sz="0" w:space="0" w:color="auto"/>
                                                          </w:divBdr>
                                                          <w:divsChild>
                                                            <w:div w:id="14066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897031">
      <w:bodyDiv w:val="1"/>
      <w:marLeft w:val="0"/>
      <w:marRight w:val="0"/>
      <w:marTop w:val="0"/>
      <w:marBottom w:val="0"/>
      <w:divBdr>
        <w:top w:val="none" w:sz="0" w:space="0" w:color="auto"/>
        <w:left w:val="none" w:sz="0" w:space="0" w:color="auto"/>
        <w:bottom w:val="none" w:sz="0" w:space="0" w:color="auto"/>
        <w:right w:val="none" w:sz="0" w:space="0" w:color="auto"/>
      </w:divBdr>
    </w:div>
    <w:div w:id="17245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630B03-AFA6-47F2-B56C-4F943375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7003</Words>
  <Characters>35020</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2016-11-07T13:36:00Z</dcterms:created>
  <dcterms:modified xsi:type="dcterms:W3CDTF">2019-01-02T12:16:00Z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b02ff84b-8aae-3f49-acf4-67edea28de3b</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http://www.zotero.org/styles/springer-socpsych-author-date</vt:lpwstr>
  </property>
  <property fmtid="{D5CDD505-2E9C-101B-9397-08002B2CF9AE}" pid="24" name="Mendeley Recent Style Name 9_1">
    <vt:lpwstr>Springer - SocPsych (author-date)</vt:lpwstr>
  </property>
</Properties>
</file>