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07C60" w14:textId="63560293" w:rsidR="004040FC" w:rsidRDefault="00BA4D44" w:rsidP="004040FC">
      <w:pPr>
        <w:spacing w:after="0" w:line="240" w:lineRule="auto"/>
        <w:jc w:val="center"/>
        <w:rPr>
          <w:b/>
          <w:bCs/>
        </w:rPr>
      </w:pPr>
      <w:r>
        <w:rPr>
          <w:b/>
          <w:bCs/>
        </w:rPr>
        <w:t>Higher-Order Defeat in Realist Moral Epistemology</w:t>
      </w:r>
      <w:r w:rsidR="002C24ED">
        <w:rPr>
          <w:rStyle w:val="FootnoteReference"/>
          <w:b/>
          <w:bCs/>
        </w:rPr>
        <w:footnoteReference w:id="1"/>
      </w:r>
    </w:p>
    <w:p w14:paraId="0686D48B" w14:textId="77777777" w:rsidR="00C3436F" w:rsidRPr="00C3436F" w:rsidRDefault="00C3436F" w:rsidP="00C3436F">
      <w:pPr>
        <w:spacing w:after="0" w:line="240" w:lineRule="auto"/>
        <w:jc w:val="center"/>
        <w:rPr>
          <w:rFonts w:cstheme="minorHAnsi"/>
        </w:rPr>
      </w:pPr>
    </w:p>
    <w:p w14:paraId="670FBF7D" w14:textId="540CEE44" w:rsidR="004040FC" w:rsidRPr="00C3436F" w:rsidRDefault="004040FC" w:rsidP="00C3436F">
      <w:pPr>
        <w:spacing w:after="0" w:line="240" w:lineRule="auto"/>
        <w:jc w:val="center"/>
        <w:rPr>
          <w:rFonts w:cstheme="minorHAnsi"/>
        </w:rPr>
      </w:pPr>
      <w:r w:rsidRPr="00C3436F">
        <w:rPr>
          <w:rFonts w:cstheme="minorHAnsi"/>
        </w:rPr>
        <w:t>Brian C. Barnett</w:t>
      </w:r>
      <w:r w:rsidR="00C3436F" w:rsidRPr="00C3436F">
        <w:rPr>
          <w:rFonts w:cstheme="minorHAnsi"/>
        </w:rPr>
        <w:t xml:space="preserve"> (S</w:t>
      </w:r>
      <w:r w:rsidR="005C2580">
        <w:rPr>
          <w:rFonts w:cstheme="minorHAnsi"/>
        </w:rPr>
        <w:t>tate University of New York at</w:t>
      </w:r>
      <w:r w:rsidR="00C3436F" w:rsidRPr="00C3436F">
        <w:rPr>
          <w:rFonts w:cstheme="minorHAnsi"/>
        </w:rPr>
        <w:t xml:space="preserve"> Geneseo &amp; St. John Fisher College)</w:t>
      </w:r>
    </w:p>
    <w:p w14:paraId="409B4004" w14:textId="1EF39E17" w:rsidR="00393F15" w:rsidRPr="00C3436F" w:rsidRDefault="00393F15" w:rsidP="00C3436F">
      <w:pPr>
        <w:spacing w:after="0" w:line="240" w:lineRule="auto"/>
        <w:rPr>
          <w:rFonts w:cstheme="minorHAnsi"/>
          <w:b/>
          <w:bCs/>
        </w:rPr>
      </w:pPr>
    </w:p>
    <w:p w14:paraId="1C9C5D1A" w14:textId="0093F7C6" w:rsidR="00C3436F" w:rsidRDefault="00C3436F" w:rsidP="00C3436F">
      <w:pPr>
        <w:spacing w:after="0" w:line="240" w:lineRule="auto"/>
        <w:jc w:val="center"/>
        <w:rPr>
          <w:rFonts w:cstheme="minorHAnsi"/>
          <w:i/>
          <w:iCs/>
        </w:rPr>
      </w:pPr>
      <w:r w:rsidRPr="00C3436F">
        <w:rPr>
          <w:rFonts w:cstheme="minorHAnsi"/>
        </w:rPr>
        <w:t xml:space="preserve">In </w:t>
      </w:r>
      <w:r w:rsidRPr="00C3436F">
        <w:rPr>
          <w:rFonts w:cstheme="minorHAnsi"/>
          <w:i/>
          <w:iCs/>
        </w:rPr>
        <w:t>Higher Order Evidence and Moral Epistemology</w:t>
      </w:r>
    </w:p>
    <w:p w14:paraId="4795116A" w14:textId="77777777" w:rsidR="00C3436F" w:rsidRPr="00C3436F" w:rsidRDefault="00C3436F" w:rsidP="00C3436F">
      <w:pPr>
        <w:spacing w:after="0" w:line="240" w:lineRule="auto"/>
        <w:jc w:val="center"/>
        <w:rPr>
          <w:rFonts w:cstheme="minorHAnsi"/>
          <w:i/>
          <w:iCs/>
        </w:rPr>
      </w:pPr>
    </w:p>
    <w:p w14:paraId="35AC751B" w14:textId="2E1BDE7B" w:rsidR="00C3436F" w:rsidRDefault="00C3436F" w:rsidP="00C3436F">
      <w:pPr>
        <w:spacing w:after="0" w:line="240" w:lineRule="auto"/>
        <w:jc w:val="center"/>
        <w:rPr>
          <w:rFonts w:cstheme="minorHAnsi"/>
        </w:rPr>
      </w:pPr>
      <w:r w:rsidRPr="00C3436F">
        <w:rPr>
          <w:rFonts w:cstheme="minorHAnsi"/>
        </w:rPr>
        <w:t xml:space="preserve">Ed. Michael </w:t>
      </w:r>
      <w:proofErr w:type="spellStart"/>
      <w:r w:rsidRPr="00C3436F">
        <w:rPr>
          <w:rFonts w:cstheme="minorHAnsi"/>
        </w:rPr>
        <w:t>Klenk</w:t>
      </w:r>
      <w:proofErr w:type="spellEnd"/>
      <w:r w:rsidRPr="00C3436F">
        <w:rPr>
          <w:rFonts w:cstheme="minorHAnsi"/>
        </w:rPr>
        <w:t>, Routledge Studies in Epistemology</w:t>
      </w:r>
    </w:p>
    <w:p w14:paraId="7E32DEA2" w14:textId="77777777" w:rsidR="00C3436F" w:rsidRPr="00C3436F" w:rsidRDefault="00C3436F" w:rsidP="00C3436F">
      <w:pPr>
        <w:spacing w:after="0" w:line="240" w:lineRule="auto"/>
        <w:jc w:val="center"/>
        <w:rPr>
          <w:rFonts w:cstheme="minorHAnsi"/>
        </w:rPr>
      </w:pPr>
    </w:p>
    <w:p w14:paraId="34154B4D" w14:textId="77777777" w:rsidR="00C3436F" w:rsidRPr="00C3436F" w:rsidRDefault="00C3436F" w:rsidP="00C3436F">
      <w:pPr>
        <w:spacing w:after="0" w:line="240" w:lineRule="auto"/>
        <w:jc w:val="center"/>
        <w:rPr>
          <w:rFonts w:cstheme="minorHAnsi"/>
        </w:rPr>
      </w:pPr>
      <w:r w:rsidRPr="00C3436F">
        <w:rPr>
          <w:rFonts w:cstheme="minorHAnsi"/>
        </w:rPr>
        <w:t>PENULTIMATE DRAFT—PLEASE CITE PUBLISHED VERSION</w:t>
      </w:r>
    </w:p>
    <w:p w14:paraId="7594C675" w14:textId="7F83D9A0" w:rsidR="00C3436F" w:rsidRPr="00C3436F" w:rsidRDefault="00C3436F" w:rsidP="00C3436F">
      <w:pPr>
        <w:spacing w:after="0" w:line="240" w:lineRule="auto"/>
        <w:rPr>
          <w:rFonts w:eastAsia="Times New Roman" w:cstheme="minorHAnsi"/>
        </w:rPr>
      </w:pPr>
    </w:p>
    <w:p w14:paraId="7226DC4E" w14:textId="5B676662" w:rsidR="00C3436F" w:rsidRDefault="00C3436F" w:rsidP="00C3436F">
      <w:pPr>
        <w:spacing w:after="0" w:line="240" w:lineRule="auto"/>
        <w:rPr>
          <w:rFonts w:cstheme="minorHAnsi"/>
          <w:b/>
          <w:bCs/>
        </w:rPr>
      </w:pPr>
    </w:p>
    <w:p w14:paraId="28CFB21E" w14:textId="77777777" w:rsidR="001B6E8C" w:rsidRPr="00C3436F" w:rsidRDefault="001B6E8C" w:rsidP="00C3436F">
      <w:pPr>
        <w:spacing w:after="0" w:line="240" w:lineRule="auto"/>
        <w:rPr>
          <w:rFonts w:cstheme="minorHAnsi"/>
          <w:b/>
          <w:bCs/>
        </w:rPr>
      </w:pPr>
    </w:p>
    <w:p w14:paraId="10C3BBEB" w14:textId="4EA514CD" w:rsidR="00C3436F" w:rsidRPr="00C3436F" w:rsidRDefault="00C3436F" w:rsidP="00C3436F">
      <w:pPr>
        <w:pStyle w:val="Routledge-Second"/>
        <w:spacing w:before="0" w:after="0" w:line="240" w:lineRule="auto"/>
        <w:ind w:firstLine="0"/>
        <w:rPr>
          <w:rFonts w:asciiTheme="minorHAnsi" w:hAnsiTheme="minorHAnsi" w:cstheme="minorHAnsi"/>
          <w:sz w:val="22"/>
          <w:lang w:val="en-GB"/>
        </w:rPr>
      </w:pPr>
      <w:r w:rsidRPr="00C3436F">
        <w:rPr>
          <w:rFonts w:asciiTheme="minorHAnsi" w:hAnsiTheme="minorHAnsi" w:cstheme="minorHAnsi"/>
          <w:b/>
          <w:bCs/>
          <w:sz w:val="22"/>
        </w:rPr>
        <w:t xml:space="preserve">Author </w:t>
      </w:r>
      <w:r>
        <w:rPr>
          <w:rFonts w:asciiTheme="minorHAnsi" w:hAnsiTheme="minorHAnsi" w:cstheme="minorHAnsi"/>
          <w:b/>
          <w:bCs/>
          <w:sz w:val="22"/>
        </w:rPr>
        <w:t>B</w:t>
      </w:r>
      <w:r w:rsidRPr="00C3436F">
        <w:rPr>
          <w:rFonts w:asciiTheme="minorHAnsi" w:hAnsiTheme="minorHAnsi" w:cstheme="minorHAnsi"/>
          <w:b/>
          <w:bCs/>
          <w:sz w:val="22"/>
        </w:rPr>
        <w:t xml:space="preserve">io: </w:t>
      </w:r>
      <w:r w:rsidRPr="00C3436F">
        <w:rPr>
          <w:rFonts w:asciiTheme="minorHAnsi" w:hAnsiTheme="minorHAnsi" w:cstheme="minorHAnsi"/>
          <w:sz w:val="22"/>
          <w:lang w:val="en-GB"/>
        </w:rPr>
        <w:t xml:space="preserve">Brian C. Barnett is lecturer in philosophy at the State University of New York at Geneseo and St. John Fisher College in Rochester, New York. He received his PhD in Philosophy from the University of Rochester for a thesis on the nature and significance of higher-order evidence. His primary areas of research are epistemology, philosophy of religion, and the philosophy of nonviolence. Additional interests include logic, abstract mathematics, and formal methods in philosophy. Brian is currently at work in his role as editor of the </w:t>
      </w:r>
      <w:r w:rsidRPr="00C3436F">
        <w:rPr>
          <w:rFonts w:asciiTheme="minorHAnsi" w:hAnsiTheme="minorHAnsi" w:cstheme="minorHAnsi"/>
          <w:i/>
          <w:iCs/>
          <w:sz w:val="22"/>
          <w:lang w:val="en-GB"/>
        </w:rPr>
        <w:t>Introduction to Epistemology</w:t>
      </w:r>
      <w:r w:rsidRPr="00C3436F">
        <w:rPr>
          <w:rFonts w:asciiTheme="minorHAnsi" w:hAnsiTheme="minorHAnsi" w:cstheme="minorHAnsi"/>
          <w:sz w:val="22"/>
          <w:lang w:val="en-GB"/>
        </w:rPr>
        <w:t xml:space="preserve"> volume in the </w:t>
      </w:r>
      <w:r w:rsidRPr="00C3436F">
        <w:rPr>
          <w:rFonts w:asciiTheme="minorHAnsi" w:hAnsiTheme="minorHAnsi" w:cstheme="minorHAnsi"/>
          <w:i/>
          <w:iCs/>
          <w:sz w:val="22"/>
          <w:lang w:val="en-GB"/>
        </w:rPr>
        <w:t>Introduction to Philosophy</w:t>
      </w:r>
      <w:r w:rsidRPr="00C3436F">
        <w:rPr>
          <w:rFonts w:asciiTheme="minorHAnsi" w:hAnsiTheme="minorHAnsi" w:cstheme="minorHAnsi"/>
          <w:sz w:val="22"/>
          <w:lang w:val="en-GB"/>
        </w:rPr>
        <w:t xml:space="preserve"> open textbook series (ed. Christina Hendricks). </w:t>
      </w:r>
    </w:p>
    <w:p w14:paraId="4ADFAB0B" w14:textId="77777777" w:rsidR="00C3436F" w:rsidRDefault="00C3436F" w:rsidP="00C3436F">
      <w:pPr>
        <w:spacing w:after="0" w:line="240" w:lineRule="auto"/>
        <w:rPr>
          <w:b/>
          <w:bCs/>
        </w:rPr>
      </w:pPr>
    </w:p>
    <w:p w14:paraId="2D3AB285" w14:textId="4D7B2080" w:rsidR="00393F15" w:rsidRPr="00C3436F" w:rsidRDefault="00393F15" w:rsidP="00393F15">
      <w:pPr>
        <w:spacing w:after="0" w:line="240" w:lineRule="auto"/>
        <w:rPr>
          <w:b/>
          <w:bCs/>
        </w:rPr>
      </w:pPr>
      <w:r>
        <w:rPr>
          <w:b/>
          <w:bCs/>
        </w:rPr>
        <w:t>Abstract</w:t>
      </w:r>
      <w:r w:rsidR="00C3436F">
        <w:rPr>
          <w:b/>
          <w:bCs/>
        </w:rPr>
        <w:t xml:space="preserve">: </w:t>
      </w:r>
      <w:r w:rsidR="0040484F">
        <w:rPr>
          <w:lang w:val="en-GB"/>
        </w:rPr>
        <w:t xml:space="preserve">On an optimistic version of realist moral epistemology, a significant range of ordinary moral beliefs, construed in realist terms, constitute knowledge—or at least some weaker positive epistemic status, such as epistemic justification. The “debunking challenge” to this view grants </w:t>
      </w:r>
      <w:r w:rsidR="0040484F" w:rsidRPr="00343733">
        <w:rPr>
          <w:i/>
          <w:iCs/>
          <w:lang w:val="en-GB"/>
        </w:rPr>
        <w:t>prima facie</w:t>
      </w:r>
      <w:r w:rsidR="0040484F">
        <w:rPr>
          <w:lang w:val="en-GB"/>
        </w:rPr>
        <w:t xml:space="preserve"> justification but claims that it is “debu</w:t>
      </w:r>
      <w:bookmarkStart w:id="0" w:name="_GoBack"/>
      <w:bookmarkEnd w:id="0"/>
      <w:r w:rsidR="0040484F">
        <w:rPr>
          <w:lang w:val="en-GB"/>
        </w:rPr>
        <w:t xml:space="preserve">nked” (i.e., defeated), yielding the final verdict that moral beliefs are </w:t>
      </w:r>
      <w:r w:rsidR="0040484F" w:rsidRPr="000D180F">
        <w:rPr>
          <w:i/>
          <w:iCs/>
          <w:lang w:val="en-GB"/>
        </w:rPr>
        <w:t>ultima facie</w:t>
      </w:r>
      <w:r w:rsidR="0040484F">
        <w:rPr>
          <w:lang w:val="en-GB"/>
        </w:rPr>
        <w:t xml:space="preserve"> unjustified. Notable candidate “debunkers” (i.e., defeaters) include the so-called “evolutionary debunking arguments,” the “Benacerraf-Field Challenge,” and persistent moral disagreement among epistemic peers. Such defeaters are best treated as higher-order evidence—viz., evidence contesting the merits of the first-order evidence on which moral beliefs are based. This chapter first develops a theory of higher-order defeat in general, which it then applies to </w:t>
      </w:r>
      <w:proofErr w:type="gramStart"/>
      <w:r w:rsidR="0040484F">
        <w:rPr>
          <w:lang w:val="en-GB"/>
        </w:rPr>
        <w:t>debunking in particular</w:t>
      </w:r>
      <w:proofErr w:type="gramEnd"/>
      <w:r w:rsidR="0040484F">
        <w:rPr>
          <w:lang w:val="en-GB"/>
        </w:rPr>
        <w:t xml:space="preserve">. The result: the challenge fails entirely on epistemic grounds—regardless of </w:t>
      </w:r>
      <w:proofErr w:type="gramStart"/>
      <w:r w:rsidR="0040484F">
        <w:rPr>
          <w:lang w:val="en-GB"/>
        </w:rPr>
        <w:t>whether or not</w:t>
      </w:r>
      <w:proofErr w:type="gramEnd"/>
      <w:r w:rsidR="0040484F">
        <w:rPr>
          <w:lang w:val="en-GB"/>
        </w:rPr>
        <w:t xml:space="preserve"> its empirical and metaphysical presuppositions are correct. An advantage of this purely epistemic </w:t>
      </w:r>
      <w:proofErr w:type="spellStart"/>
      <w:r w:rsidR="0040484F">
        <w:rPr>
          <w:lang w:val="en-GB"/>
        </w:rPr>
        <w:t>defense</w:t>
      </w:r>
      <w:proofErr w:type="spellEnd"/>
      <w:r w:rsidR="0040484F">
        <w:rPr>
          <w:lang w:val="en-GB"/>
        </w:rPr>
        <w:t xml:space="preserve"> over alternative strategies is that the former extends even to laypersons who themselves lack the expertise necessary to formulate an adequate response. However, this leaves open the prospects for non-epistemological interpretations of debunking (e.g., moral or ontological). The chapter therefore concludes with brief suggestions in that direction.</w:t>
      </w:r>
    </w:p>
    <w:p w14:paraId="08C7A86D" w14:textId="4BD92DF3" w:rsidR="004040FC" w:rsidRDefault="004040FC" w:rsidP="004040FC">
      <w:pPr>
        <w:spacing w:after="0" w:line="240" w:lineRule="auto"/>
        <w:rPr>
          <w:b/>
          <w:bCs/>
        </w:rPr>
      </w:pPr>
    </w:p>
    <w:p w14:paraId="65C49639" w14:textId="41C3E578" w:rsidR="001B6E8C" w:rsidRDefault="001B6E8C" w:rsidP="004040FC">
      <w:pPr>
        <w:spacing w:after="0" w:line="240" w:lineRule="auto"/>
        <w:rPr>
          <w:b/>
          <w:bCs/>
        </w:rPr>
      </w:pPr>
    </w:p>
    <w:p w14:paraId="7202403D" w14:textId="77777777" w:rsidR="001B6E8C" w:rsidRDefault="001B6E8C" w:rsidP="004040FC">
      <w:pPr>
        <w:spacing w:after="0" w:line="240" w:lineRule="auto"/>
        <w:rPr>
          <w:b/>
          <w:bCs/>
        </w:rPr>
      </w:pPr>
    </w:p>
    <w:p w14:paraId="75A372BD" w14:textId="4916A901" w:rsidR="004040FC" w:rsidRPr="0087252F" w:rsidRDefault="00CC5965" w:rsidP="0087252F">
      <w:pPr>
        <w:spacing w:after="0" w:line="240" w:lineRule="auto"/>
        <w:rPr>
          <w:b/>
          <w:bCs/>
        </w:rPr>
      </w:pPr>
      <w:r w:rsidRPr="0087252F">
        <w:rPr>
          <w:b/>
          <w:bCs/>
        </w:rPr>
        <w:t>Introduction</w:t>
      </w:r>
    </w:p>
    <w:p w14:paraId="7A4AD2E0" w14:textId="77777777" w:rsidR="0087252F" w:rsidRDefault="0087252F" w:rsidP="004040FC">
      <w:pPr>
        <w:spacing w:after="0" w:line="240" w:lineRule="auto"/>
      </w:pPr>
    </w:p>
    <w:p w14:paraId="72BA20EA" w14:textId="6ED5BC60" w:rsidR="00C0189A" w:rsidRDefault="00AF087E" w:rsidP="004040FC">
      <w:pPr>
        <w:spacing w:after="0" w:line="240" w:lineRule="auto"/>
      </w:pPr>
      <w:r>
        <w:t xml:space="preserve">According to </w:t>
      </w:r>
      <w:r w:rsidR="00CE5DEB">
        <w:t xml:space="preserve">a </w:t>
      </w:r>
      <w:r w:rsidR="00CE5DEB" w:rsidRPr="009F3474">
        <w:rPr>
          <w:i/>
          <w:iCs/>
        </w:rPr>
        <w:t>realist moral ontology</w:t>
      </w:r>
      <w:r w:rsidR="000A1839">
        <w:t>, moral properties are real features of the objective, mind-independent worl</w:t>
      </w:r>
      <w:r>
        <w:t xml:space="preserve">d. On a </w:t>
      </w:r>
      <w:r w:rsidRPr="009F3474">
        <w:rPr>
          <w:i/>
          <w:iCs/>
        </w:rPr>
        <w:t xml:space="preserve">robust </w:t>
      </w:r>
      <w:r>
        <w:t xml:space="preserve">version of this thesis, these features </w:t>
      </w:r>
      <w:r w:rsidR="00F3343B">
        <w:t xml:space="preserve">occupy an ontological realm of their own: they </w:t>
      </w:r>
      <w:r w:rsidR="000A1839">
        <w:t>are no</w:t>
      </w:r>
      <w:r w:rsidR="00F3343B">
        <w:t xml:space="preserve">t part of the </w:t>
      </w:r>
      <w:r w:rsidR="000A1839">
        <w:t>natural</w:t>
      </w:r>
      <w:r w:rsidR="00F3343B">
        <w:t xml:space="preserve"> world</w:t>
      </w:r>
      <w:r>
        <w:t xml:space="preserve">, and for this reason </w:t>
      </w:r>
      <w:r w:rsidR="00F326E6">
        <w:t xml:space="preserve">are </w:t>
      </w:r>
      <w:r>
        <w:t>often taken to be</w:t>
      </w:r>
      <w:r w:rsidR="000A1839">
        <w:t xml:space="preserve"> causally inefficacious</w:t>
      </w:r>
      <w:r w:rsidR="00F3343B">
        <w:t>.</w:t>
      </w:r>
      <w:r w:rsidR="00F326E6">
        <w:rPr>
          <w:rStyle w:val="FootnoteReference"/>
        </w:rPr>
        <w:footnoteReference w:id="2"/>
      </w:r>
      <w:r w:rsidR="00F3343B">
        <w:t xml:space="preserve"> </w:t>
      </w:r>
      <w:r w:rsidR="001D6D2A">
        <w:t>I</w:t>
      </w:r>
      <w:r w:rsidR="00F3343B">
        <w:t xml:space="preserve">f </w:t>
      </w:r>
      <w:r w:rsidR="00F3343B" w:rsidRPr="009F3474">
        <w:rPr>
          <w:i/>
          <w:iCs/>
        </w:rPr>
        <w:t>cognitivism</w:t>
      </w:r>
      <w:r w:rsidR="00F3343B">
        <w:t xml:space="preserve"> is correct,</w:t>
      </w:r>
      <w:r>
        <w:t xml:space="preserve"> </w:t>
      </w:r>
      <w:r w:rsidR="00A11633">
        <w:t>these non-natural properties</w:t>
      </w:r>
      <w:r w:rsidR="000A1839">
        <w:t xml:space="preserve"> </w:t>
      </w:r>
      <w:r>
        <w:t xml:space="preserve">manage to </w:t>
      </w:r>
      <w:r w:rsidR="000A1839">
        <w:t xml:space="preserve">figure </w:t>
      </w:r>
      <w:r>
        <w:t xml:space="preserve">in </w:t>
      </w:r>
      <w:r w:rsidR="000A1839">
        <w:t xml:space="preserve">propositions </w:t>
      </w:r>
      <w:r>
        <w:lastRenderedPageBreak/>
        <w:t xml:space="preserve">that </w:t>
      </w:r>
      <w:r w:rsidR="00F326E6">
        <w:t>serve as the</w:t>
      </w:r>
      <w:r>
        <w:t xml:space="preserve"> content</w:t>
      </w:r>
      <w:r w:rsidR="00F326E6">
        <w:t>s</w:t>
      </w:r>
      <w:r>
        <w:t xml:space="preserve"> of</w:t>
      </w:r>
      <w:r w:rsidR="00B96B2A">
        <w:t xml:space="preserve"> moral beliefs</w:t>
      </w:r>
      <w:r w:rsidR="00C0189A">
        <w:t>, wh</w:t>
      </w:r>
      <w:r w:rsidR="009F3474">
        <w:t xml:space="preserve">ich are true or false </w:t>
      </w:r>
      <w:r w:rsidR="00C0189A">
        <w:t>in the full-fledged sense of bearing a correspondence to reality</w:t>
      </w:r>
      <w:r w:rsidR="009F3474">
        <w:t xml:space="preserve"> (the </w:t>
      </w:r>
      <w:r w:rsidR="009F3474" w:rsidRPr="009F3474">
        <w:rPr>
          <w:i/>
          <w:iCs/>
        </w:rPr>
        <w:t>correspondence theory of truth</w:t>
      </w:r>
      <w:r w:rsidR="009F3474">
        <w:t>)</w:t>
      </w:r>
      <w:r w:rsidR="00C0189A">
        <w:t xml:space="preserve">. </w:t>
      </w:r>
      <w:r w:rsidR="000F1F02">
        <w:t>Assuming there’</w:t>
      </w:r>
      <w:r w:rsidR="00B72DB8">
        <w:t xml:space="preserve">s no systematic reason </w:t>
      </w:r>
      <w:r w:rsidR="00D62A8B">
        <w:t xml:space="preserve">for </w:t>
      </w:r>
      <w:r w:rsidR="00B72DB8">
        <w:t xml:space="preserve">all such beliefs </w:t>
      </w:r>
      <w:r w:rsidR="00D62A8B">
        <w:t>to be</w:t>
      </w:r>
      <w:r w:rsidR="00B72DB8">
        <w:t xml:space="preserve"> false</w:t>
      </w:r>
      <w:r w:rsidR="000F1F02">
        <w:t xml:space="preserve"> (contra some error theories), a</w:t>
      </w:r>
      <w:r w:rsidR="00B72DB8">
        <w:t xml:space="preserve">t least some of them may </w:t>
      </w:r>
      <w:r w:rsidR="00D62A8B">
        <w:t xml:space="preserve">(are likely to) </w:t>
      </w:r>
      <w:r w:rsidR="00B72DB8">
        <w:t xml:space="preserve">be true </w:t>
      </w:r>
      <w:proofErr w:type="gramStart"/>
      <w:r w:rsidR="000F1F02">
        <w:t>whether or not</w:t>
      </w:r>
      <w:proofErr w:type="gramEnd"/>
      <w:r w:rsidR="00B72DB8">
        <w:t xml:space="preserve"> we cannot tell which. </w:t>
      </w:r>
      <w:r w:rsidR="000F1F02">
        <w:t>To rule out sheer luck in obtaining moral truth, a</w:t>
      </w:r>
      <w:r w:rsidR="00F326E6">
        <w:t xml:space="preserve"> </w:t>
      </w:r>
      <w:r w:rsidR="00F326E6" w:rsidRPr="00F326E6">
        <w:rPr>
          <w:i/>
          <w:iCs/>
        </w:rPr>
        <w:t>maximally</w:t>
      </w:r>
      <w:r w:rsidR="00323735">
        <w:t xml:space="preserve"> </w:t>
      </w:r>
      <w:r w:rsidR="00C0189A" w:rsidRPr="009F3474">
        <w:rPr>
          <w:i/>
          <w:iCs/>
        </w:rPr>
        <w:t>robust moral realist package</w:t>
      </w:r>
      <w:r w:rsidR="00C0189A">
        <w:t xml:space="preserve"> (hereafter “realism”) </w:t>
      </w:r>
      <w:r w:rsidR="001579A9">
        <w:t>combines</w:t>
      </w:r>
      <w:r w:rsidR="00B72DB8">
        <w:t xml:space="preserve"> the </w:t>
      </w:r>
      <w:proofErr w:type="gramStart"/>
      <w:r w:rsidR="00B72DB8">
        <w:t>aforementioned</w:t>
      </w:r>
      <w:r w:rsidR="00172960">
        <w:t xml:space="preserve"> vi</w:t>
      </w:r>
      <w:r w:rsidR="000F1F02">
        <w:t>ews</w:t>
      </w:r>
      <w:proofErr w:type="gramEnd"/>
      <w:r w:rsidR="00323735">
        <w:t xml:space="preserve"> with</w:t>
      </w:r>
      <w:r w:rsidR="00C0189A">
        <w:t xml:space="preserve"> </w:t>
      </w:r>
      <w:r w:rsidR="00323735">
        <w:t xml:space="preserve">an </w:t>
      </w:r>
      <w:r w:rsidR="00323735" w:rsidRPr="009F3474">
        <w:rPr>
          <w:i/>
          <w:iCs/>
        </w:rPr>
        <w:t>optimistic moral epistemology</w:t>
      </w:r>
      <w:r w:rsidR="00C0189A">
        <w:t xml:space="preserve">: many of our ordinary moral beliefs constitute knowledge, </w:t>
      </w:r>
      <w:r w:rsidR="00B96B2A">
        <w:t>or at least some weaker positive epistemic status, such as epistemic justification</w:t>
      </w:r>
      <w:r>
        <w:t>.</w:t>
      </w:r>
      <w:r w:rsidR="00E36443">
        <w:rPr>
          <w:rStyle w:val="FootnoteReference"/>
        </w:rPr>
        <w:footnoteReference w:id="3"/>
      </w:r>
      <w:r>
        <w:t xml:space="preserve"> </w:t>
      </w:r>
    </w:p>
    <w:p w14:paraId="78E0384C" w14:textId="77777777" w:rsidR="00C0189A" w:rsidRDefault="00C0189A" w:rsidP="004040FC">
      <w:pPr>
        <w:spacing w:after="0" w:line="240" w:lineRule="auto"/>
      </w:pPr>
    </w:p>
    <w:p w14:paraId="0B9CA4B5" w14:textId="0A6CE9D4" w:rsidR="00A859AA" w:rsidRDefault="001D6D2A" w:rsidP="004040FC">
      <w:pPr>
        <w:spacing w:after="0" w:line="240" w:lineRule="auto"/>
      </w:pPr>
      <w:r>
        <w:t>Each component of this package</w:t>
      </w:r>
      <w:r w:rsidR="001579A9">
        <w:t xml:space="preserve">—robust moral realism, cognitivism, the correspondence theory of truth, </w:t>
      </w:r>
      <w:r w:rsidR="00CF61D9">
        <w:t>the denial of error theory</w:t>
      </w:r>
      <w:r w:rsidR="001579A9">
        <w:t>, optimistic moral epistemology—</w:t>
      </w:r>
      <w:r>
        <w:t>has been the locus of</w:t>
      </w:r>
      <w:r w:rsidR="000A1839">
        <w:t xml:space="preserve"> attack</w:t>
      </w:r>
      <w:r w:rsidR="00C10D0A">
        <w:t>.</w:t>
      </w:r>
      <w:r w:rsidR="009E4543">
        <w:rPr>
          <w:rStyle w:val="FootnoteReference"/>
        </w:rPr>
        <w:footnoteReference w:id="4"/>
      </w:r>
      <w:r>
        <w:t xml:space="preserve"> But how the package hangs together raises difficulties</w:t>
      </w:r>
      <w:r w:rsidR="00CF61D9">
        <w:t xml:space="preserve"> in its own right</w:t>
      </w:r>
      <w:r>
        <w:t xml:space="preserve">, since some of its components seem unlikely </w:t>
      </w:r>
      <w:r w:rsidR="009E4543">
        <w:t>bedfellows</w:t>
      </w:r>
      <w:r>
        <w:t xml:space="preserve">. </w:t>
      </w:r>
      <w:r w:rsidR="009E4543">
        <w:t>M</w:t>
      </w:r>
      <w:r>
        <w:t>y focus here is w</w:t>
      </w:r>
      <w:r w:rsidR="00CB1D48">
        <w:t>hether optimistic moral epistemology is plausible given the rest of the package</w:t>
      </w:r>
      <w:r>
        <w:t>.</w:t>
      </w:r>
      <w:r w:rsidR="00CB1D48">
        <w:t xml:space="preserve"> </w:t>
      </w:r>
      <w:r w:rsidR="009E4543">
        <w:t>S</w:t>
      </w:r>
      <w:r w:rsidR="00CB1D48">
        <w:t>pecifically, I wi</w:t>
      </w:r>
      <w:r w:rsidR="009E4543">
        <w:t>ll address</w:t>
      </w:r>
      <w:r w:rsidR="00CB1D48">
        <w:t xml:space="preserve"> a generalized</w:t>
      </w:r>
      <w:r w:rsidR="00A859AA">
        <w:t xml:space="preserve"> </w:t>
      </w:r>
      <w:r w:rsidR="00B03435">
        <w:t xml:space="preserve">epistemological </w:t>
      </w:r>
      <w:r w:rsidR="00A859AA">
        <w:t>version of the</w:t>
      </w:r>
      <w:r w:rsidR="00CB1D48">
        <w:t xml:space="preserve"> </w:t>
      </w:r>
      <w:r w:rsidR="00CB1D48" w:rsidRPr="00763173">
        <w:rPr>
          <w:i/>
          <w:iCs/>
        </w:rPr>
        <w:t>debunking challenge</w:t>
      </w:r>
      <w:r w:rsidR="00CB1D48">
        <w:t xml:space="preserve">. </w:t>
      </w:r>
      <w:r w:rsidR="00A859AA">
        <w:t>This challenge grants</w:t>
      </w:r>
      <w:r w:rsidR="00745DA1">
        <w:t xml:space="preserve"> </w:t>
      </w:r>
      <w:r w:rsidR="00B03435">
        <w:t xml:space="preserve">the non-epistemic components of realism, along with </w:t>
      </w:r>
      <w:r w:rsidR="00745DA1">
        <w:t>some</w:t>
      </w:r>
      <w:r w:rsidR="009E4543">
        <w:t xml:space="preserve"> modest</w:t>
      </w:r>
      <w:r w:rsidR="00745DA1">
        <w:t xml:space="preserve"> epistemological footing:</w:t>
      </w:r>
      <w:r w:rsidR="00A859AA">
        <w:t xml:space="preserve"> many of our ordinary moral beliefs are</w:t>
      </w:r>
      <w:r w:rsidR="00745DA1">
        <w:t xml:space="preserve"> </w:t>
      </w:r>
      <w:r w:rsidR="00A859AA" w:rsidRPr="00745DA1">
        <w:rPr>
          <w:i/>
          <w:iCs/>
        </w:rPr>
        <w:t>prima facie</w:t>
      </w:r>
      <w:r w:rsidR="00A859AA">
        <w:t xml:space="preserve"> justified. </w:t>
      </w:r>
      <w:r w:rsidR="00745DA1">
        <w:t xml:space="preserve">However, </w:t>
      </w:r>
      <w:r w:rsidR="00A859AA">
        <w:t xml:space="preserve">the </w:t>
      </w:r>
      <w:r w:rsidR="00745DA1">
        <w:t xml:space="preserve">debunking </w:t>
      </w:r>
      <w:r w:rsidR="00A859AA">
        <w:t xml:space="preserve">challenge </w:t>
      </w:r>
      <w:r w:rsidR="00745DA1">
        <w:t xml:space="preserve">purports to “debunk” this justification by </w:t>
      </w:r>
      <w:r w:rsidR="00A859AA">
        <w:t>establish</w:t>
      </w:r>
      <w:r w:rsidR="00745DA1">
        <w:t xml:space="preserve">ing that realist assumptions yield </w:t>
      </w:r>
      <w:r w:rsidR="00A859AA">
        <w:t>defeaters</w:t>
      </w:r>
      <w:r w:rsidR="00745DA1">
        <w:t xml:space="preserve"> (“debunkers”), so that moral beliefs are not </w:t>
      </w:r>
      <w:r w:rsidR="00745DA1" w:rsidRPr="00745DA1">
        <w:rPr>
          <w:i/>
          <w:iCs/>
        </w:rPr>
        <w:t xml:space="preserve">ultima facie </w:t>
      </w:r>
      <w:r w:rsidR="00745DA1">
        <w:t>justified</w:t>
      </w:r>
      <w:r w:rsidR="00A859AA">
        <w:t xml:space="preserve">. </w:t>
      </w:r>
    </w:p>
    <w:p w14:paraId="03AD748E" w14:textId="10BC67D3" w:rsidR="00A859AA" w:rsidRDefault="00A859AA" w:rsidP="004040FC">
      <w:pPr>
        <w:spacing w:after="0" w:line="240" w:lineRule="auto"/>
      </w:pPr>
    </w:p>
    <w:p w14:paraId="3D61CBBF" w14:textId="560B0811" w:rsidR="00A912FB" w:rsidRDefault="0062475F" w:rsidP="004040FC">
      <w:pPr>
        <w:spacing w:after="0" w:line="240" w:lineRule="auto"/>
      </w:pPr>
      <w:r>
        <w:t>Among the most prominent candidate debunkers are</w:t>
      </w:r>
      <w:r w:rsidR="00763173">
        <w:t xml:space="preserve"> the so-called</w:t>
      </w:r>
      <w:r w:rsidR="00D50A16">
        <w:t xml:space="preserve"> </w:t>
      </w:r>
      <w:r w:rsidR="00D50A16" w:rsidRPr="00C225A0">
        <w:rPr>
          <w:i/>
          <w:iCs/>
        </w:rPr>
        <w:t>evolutionary debunking arguments</w:t>
      </w:r>
      <w:r>
        <w:rPr>
          <w:rStyle w:val="FootnoteReference"/>
        </w:rPr>
        <w:footnoteReference w:id="5"/>
      </w:r>
      <w:r w:rsidR="00C225A0">
        <w:t xml:space="preserve"> (</w:t>
      </w:r>
      <w:r w:rsidR="00C225A0" w:rsidRPr="00C225A0">
        <w:rPr>
          <w:i/>
          <w:iCs/>
        </w:rPr>
        <w:t>EDAs</w:t>
      </w:r>
      <w:r w:rsidR="00C225A0">
        <w:t>),</w:t>
      </w:r>
      <w:r w:rsidR="00D50A16">
        <w:t xml:space="preserve"> </w:t>
      </w:r>
      <w:r w:rsidR="00901AF5">
        <w:t>which begin with the premise that</w:t>
      </w:r>
      <w:r w:rsidR="00D50A16">
        <w:t xml:space="preserve"> </w:t>
      </w:r>
      <w:r w:rsidR="0094638A">
        <w:t xml:space="preserve">our moral beliefs are shaped by </w:t>
      </w:r>
      <w:r w:rsidR="001E0801">
        <w:t>Darwinian</w:t>
      </w:r>
      <w:r w:rsidR="0094638A">
        <w:t xml:space="preserve"> processes </w:t>
      </w:r>
      <w:r w:rsidR="001E0801">
        <w:t>(e.g.,</w:t>
      </w:r>
      <w:r w:rsidR="00367902">
        <w:t xml:space="preserve"> random</w:t>
      </w:r>
      <w:r w:rsidR="0094638A">
        <w:t xml:space="preserve"> gene introduction and mutation</w:t>
      </w:r>
      <w:r w:rsidR="00367902">
        <w:t>, genetic</w:t>
      </w:r>
      <w:r w:rsidR="0094638A">
        <w:t xml:space="preserve"> inheritance</w:t>
      </w:r>
      <w:r w:rsidR="00367902">
        <w:t xml:space="preserve">, </w:t>
      </w:r>
      <w:r w:rsidR="0094638A">
        <w:t xml:space="preserve">and their </w:t>
      </w:r>
      <w:r w:rsidR="00367902">
        <w:t>survival value</w:t>
      </w:r>
      <w:r w:rsidR="001E0801">
        <w:t>)</w:t>
      </w:r>
      <w:r w:rsidR="0094638A">
        <w:t xml:space="preserve">—factors </w:t>
      </w:r>
      <w:r w:rsidR="00367902">
        <w:t xml:space="preserve">that </w:t>
      </w:r>
      <w:r w:rsidR="0094638A">
        <w:t xml:space="preserve">have no connection to </w:t>
      </w:r>
      <w:r w:rsidR="00367902">
        <w:t xml:space="preserve">a </w:t>
      </w:r>
      <w:r w:rsidR="0094638A">
        <w:t xml:space="preserve">non-causal, non-natural moral </w:t>
      </w:r>
      <w:r w:rsidR="00B03435">
        <w:t>domain</w:t>
      </w:r>
      <w:r w:rsidR="00367902">
        <w:t xml:space="preserve">. As such, we </w:t>
      </w:r>
      <w:r w:rsidR="00B03435">
        <w:t>should not</w:t>
      </w:r>
      <w:r w:rsidR="00367902">
        <w:t xml:space="preserve"> expect moral beliefs to track the truth</w:t>
      </w:r>
      <w:r>
        <w:t xml:space="preserve">. They are unreliable, and therefore </w:t>
      </w:r>
      <w:r w:rsidR="00901AF5">
        <w:t>defeated</w:t>
      </w:r>
      <w:r>
        <w:t xml:space="preserve"> (at least upon grasping the relevant facts)</w:t>
      </w:r>
      <w:r w:rsidR="00367902">
        <w:t xml:space="preserve">. </w:t>
      </w:r>
      <w:r w:rsidR="00B03435">
        <w:t>The</w:t>
      </w:r>
      <w:r w:rsidR="00A912FB">
        <w:t xml:space="preserve"> problem</w:t>
      </w:r>
      <w:r w:rsidR="00B03435">
        <w:t xml:space="preserve"> generalizes to</w:t>
      </w:r>
      <w:r w:rsidR="00A912FB">
        <w:t xml:space="preserve"> beliefs about any non-causal, non-natural ontological realm, such as Platonic </w:t>
      </w:r>
      <w:r w:rsidR="00261110">
        <w:t>abstracta</w:t>
      </w:r>
      <w:r w:rsidR="00754E75">
        <w:t>, yielding</w:t>
      </w:r>
      <w:r w:rsidR="00A912FB">
        <w:t xml:space="preserve"> the</w:t>
      </w:r>
      <w:r w:rsidR="005C6C36">
        <w:t xml:space="preserve"> so-called</w:t>
      </w:r>
      <w:r w:rsidR="00A912FB">
        <w:t xml:space="preserve"> </w:t>
      </w:r>
      <w:r w:rsidR="00A912FB" w:rsidRPr="00C225A0">
        <w:rPr>
          <w:i/>
          <w:iCs/>
        </w:rPr>
        <w:t>Benacerraf-Field Challenge</w:t>
      </w:r>
      <w:r w:rsidR="00A912FB">
        <w:t xml:space="preserve"> </w:t>
      </w:r>
      <w:r w:rsidR="00783867">
        <w:t>(</w:t>
      </w:r>
      <w:r w:rsidR="00783867" w:rsidRPr="00783867">
        <w:rPr>
          <w:i/>
          <w:iCs/>
        </w:rPr>
        <w:t>BFC</w:t>
      </w:r>
      <w:r w:rsidR="00783867">
        <w:t>).</w:t>
      </w:r>
      <w:r w:rsidR="00261110">
        <w:rPr>
          <w:rStyle w:val="FootnoteReference"/>
        </w:rPr>
        <w:footnoteReference w:id="6"/>
      </w:r>
    </w:p>
    <w:p w14:paraId="77658189" w14:textId="2E6D8199" w:rsidR="00A912FB" w:rsidRDefault="00A912FB" w:rsidP="004040FC">
      <w:pPr>
        <w:spacing w:after="0" w:line="240" w:lineRule="auto"/>
      </w:pPr>
    </w:p>
    <w:p w14:paraId="6B53899F" w14:textId="2F85F0A1" w:rsidR="002741FC" w:rsidRDefault="002741FC" w:rsidP="004040FC">
      <w:pPr>
        <w:spacing w:after="0" w:line="240" w:lineRule="auto"/>
      </w:pPr>
      <w:r>
        <w:t>Another prominent</w:t>
      </w:r>
      <w:r w:rsidR="000F1913">
        <w:t xml:space="preserve"> candidate debunker arises in the disagreement literature.</w:t>
      </w:r>
      <w:r w:rsidR="00B7624E">
        <w:rPr>
          <w:rStyle w:val="FootnoteReference"/>
        </w:rPr>
        <w:footnoteReference w:id="7"/>
      </w:r>
      <w:r w:rsidR="000F1913">
        <w:t xml:space="preserve"> </w:t>
      </w:r>
      <w:r w:rsidR="00B7624E">
        <w:t xml:space="preserve">Given </w:t>
      </w:r>
      <w:r>
        <w:t>widespread</w:t>
      </w:r>
      <w:r w:rsidR="002579FE">
        <w:t xml:space="preserve"> and persistent</w:t>
      </w:r>
      <w:r>
        <w:t xml:space="preserve"> </w:t>
      </w:r>
      <w:r w:rsidR="00754E75">
        <w:t xml:space="preserve">moral </w:t>
      </w:r>
      <w:r>
        <w:t>disagreement</w:t>
      </w:r>
      <w:r w:rsidR="00B7624E">
        <w:t>, r</w:t>
      </w:r>
      <w:r>
        <w:t xml:space="preserve">ealism implies </w:t>
      </w:r>
      <w:r w:rsidR="00B7624E">
        <w:t>that we</w:t>
      </w:r>
      <w:r>
        <w:t xml:space="preserve"> cannot </w:t>
      </w:r>
      <w:r w:rsidR="00586DEB">
        <w:t xml:space="preserve">consistently maintain our moral beliefs without </w:t>
      </w:r>
      <w:r w:rsidR="00B7624E">
        <w:t>dismissing</w:t>
      </w:r>
      <w:r w:rsidR="00586DEB">
        <w:t xml:space="preserve"> th</w:t>
      </w:r>
      <w:r w:rsidR="00B7624E">
        <w:t>ose</w:t>
      </w:r>
      <w:r w:rsidR="00586DEB">
        <w:t xml:space="preserve"> of others. </w:t>
      </w:r>
      <w:r w:rsidR="00B7624E">
        <w:t>D</w:t>
      </w:r>
      <w:r w:rsidR="00586DEB">
        <w:t>ismiss</w:t>
      </w:r>
      <w:r w:rsidR="00B7624E">
        <w:t>al is</w:t>
      </w:r>
      <w:r w:rsidR="00586DEB">
        <w:t xml:space="preserve"> </w:t>
      </w:r>
      <w:r w:rsidR="00B7624E">
        <w:t xml:space="preserve">epistemically unproblematic in cases in which we can rationally attribute </w:t>
      </w:r>
      <w:r w:rsidR="00586DEB">
        <w:t xml:space="preserve">a greater probability of error to </w:t>
      </w:r>
      <w:r w:rsidR="00AD6353">
        <w:t>interlocuters</w:t>
      </w:r>
      <w:r w:rsidR="00586DEB">
        <w:t xml:space="preserve">. However, </w:t>
      </w:r>
      <w:r w:rsidR="000822D6">
        <w:t>it appears we are</w:t>
      </w:r>
      <w:r w:rsidR="00754E75">
        <w:t xml:space="preserve"> often</w:t>
      </w:r>
      <w:r w:rsidR="000822D6">
        <w:t xml:space="preserve"> confronted with</w:t>
      </w:r>
      <w:r w:rsidR="00586DEB">
        <w:t xml:space="preserve"> </w:t>
      </w:r>
      <w:r w:rsidR="00586DEB" w:rsidRPr="00586DEB">
        <w:rPr>
          <w:i/>
          <w:iCs/>
        </w:rPr>
        <w:t>epistemic peers</w:t>
      </w:r>
      <w:r w:rsidR="00586DEB">
        <w:t>—</w:t>
      </w:r>
      <w:r w:rsidR="000822D6">
        <w:t>those</w:t>
      </w:r>
      <w:r w:rsidR="002F2CBD">
        <w:t xml:space="preserve"> who</w:t>
      </w:r>
      <w:r w:rsidR="00586DEB">
        <w:t xml:space="preserve"> </w:t>
      </w:r>
      <w:r w:rsidR="00BA7649">
        <w:t>share</w:t>
      </w:r>
      <w:r w:rsidR="00586DEB">
        <w:t xml:space="preserve"> the same information, are just as smart, </w:t>
      </w:r>
      <w:r w:rsidR="000D7076">
        <w:t xml:space="preserve">equally </w:t>
      </w:r>
      <w:r w:rsidR="00754E75">
        <w:t>evidentially responsive</w:t>
      </w:r>
      <w:r w:rsidR="000D7076">
        <w:t xml:space="preserve">, </w:t>
      </w:r>
      <w:r w:rsidR="000822D6">
        <w:t>and the like</w:t>
      </w:r>
      <w:r w:rsidR="000D7076">
        <w:t xml:space="preserve">. In short, they are </w:t>
      </w:r>
      <w:r w:rsidR="000822D6">
        <w:t xml:space="preserve">just as </w:t>
      </w:r>
      <w:r w:rsidR="000D7076">
        <w:t>likely</w:t>
      </w:r>
      <w:r w:rsidR="000822D6">
        <w:t xml:space="preserve"> as we are</w:t>
      </w:r>
      <w:r w:rsidR="000D7076">
        <w:t xml:space="preserve"> to </w:t>
      </w:r>
      <w:r w:rsidR="002F2CBD">
        <w:t>be right</w:t>
      </w:r>
      <w:r w:rsidR="000D7076">
        <w:t>.</w:t>
      </w:r>
      <w:r w:rsidR="00754E75">
        <w:rPr>
          <w:rStyle w:val="FootnoteReference"/>
        </w:rPr>
        <w:footnoteReference w:id="8"/>
      </w:r>
      <w:r w:rsidR="000D7076">
        <w:t xml:space="preserve"> </w:t>
      </w:r>
      <w:r w:rsidR="00BA7649">
        <w:t>According to</w:t>
      </w:r>
      <w:r w:rsidR="00A3554A">
        <w:t xml:space="preserve"> </w:t>
      </w:r>
      <w:r w:rsidR="00A3554A" w:rsidRPr="00A3554A">
        <w:rPr>
          <w:i/>
          <w:iCs/>
        </w:rPr>
        <w:t>conciliationis</w:t>
      </w:r>
      <w:r w:rsidR="00BA7649">
        <w:rPr>
          <w:i/>
          <w:iCs/>
        </w:rPr>
        <w:t>m</w:t>
      </w:r>
      <w:r w:rsidR="006B7AF3">
        <w:t xml:space="preserve"> (in its strongest form</w:t>
      </w:r>
      <w:r w:rsidR="006B7AF3">
        <w:rPr>
          <w:rStyle w:val="FootnoteReference"/>
        </w:rPr>
        <w:footnoteReference w:id="9"/>
      </w:r>
      <w:r w:rsidR="006B7AF3">
        <w:t>),</w:t>
      </w:r>
      <w:r w:rsidR="00BA7649">
        <w:t xml:space="preserve"> </w:t>
      </w:r>
      <w:r w:rsidR="00A3554A">
        <w:t xml:space="preserve">the </w:t>
      </w:r>
      <w:r w:rsidR="000822D6">
        <w:t>rational response</w:t>
      </w:r>
      <w:r w:rsidR="000D7076">
        <w:t xml:space="preserve"> is to suspend judgment—i.e., to give up the </w:t>
      </w:r>
      <w:r w:rsidR="00BA7649">
        <w:t>contested beliefs</w:t>
      </w:r>
      <w:r w:rsidR="000D7076">
        <w:t>.</w:t>
      </w:r>
      <w:r w:rsidR="00A3554A">
        <w:rPr>
          <w:rStyle w:val="FootnoteReference"/>
        </w:rPr>
        <w:footnoteReference w:id="10"/>
      </w:r>
      <w:r w:rsidR="000D7076">
        <w:t xml:space="preserve"> </w:t>
      </w:r>
      <w:r w:rsidR="00CF3F74">
        <w:t>If correct</w:t>
      </w:r>
      <w:r w:rsidR="00BC473F">
        <w:t>,</w:t>
      </w:r>
      <w:r w:rsidR="000D7076">
        <w:t xml:space="preserve"> </w:t>
      </w:r>
      <w:r w:rsidR="00585BEB">
        <w:t xml:space="preserve">the ramifications are potentially </w:t>
      </w:r>
      <w:r w:rsidR="000822D6">
        <w:t>quite</w:t>
      </w:r>
      <w:r w:rsidR="00585BEB">
        <w:t xml:space="preserve"> skeptical.</w:t>
      </w:r>
      <w:r w:rsidR="00BD5BC2">
        <w:rPr>
          <w:rStyle w:val="FootnoteReference"/>
        </w:rPr>
        <w:footnoteReference w:id="11"/>
      </w:r>
      <w:r w:rsidR="00585BEB">
        <w:t xml:space="preserve"> After all, you can find a smart philosopher who will disagree</w:t>
      </w:r>
      <w:r w:rsidR="00521759">
        <w:t xml:space="preserve"> about nearly anything</w:t>
      </w:r>
      <w:r w:rsidR="00585BEB">
        <w:t xml:space="preserve">. Perhaps we can salvage at least a small core of moral beliefs that are sufficiently agreed upon that they are not subject to the problem. But </w:t>
      </w:r>
      <w:r w:rsidR="00490449">
        <w:t xml:space="preserve">we must consider whether even those beliefs are indirectly called into question by a conciliationist treatment of wider-ranging </w:t>
      </w:r>
      <w:r w:rsidR="00585BEB">
        <w:t>metaethic</w:t>
      </w:r>
      <w:r w:rsidR="00490449">
        <w:t>al disagreement</w:t>
      </w:r>
      <w:r w:rsidR="00585BEB">
        <w:t xml:space="preserve">. </w:t>
      </w:r>
    </w:p>
    <w:p w14:paraId="2A60E096" w14:textId="6194B23B" w:rsidR="00C87E05" w:rsidRDefault="00C87E05" w:rsidP="004040FC">
      <w:pPr>
        <w:spacing w:after="0" w:line="240" w:lineRule="auto"/>
      </w:pPr>
    </w:p>
    <w:p w14:paraId="2086762D" w14:textId="04FC21B0" w:rsidR="00C87E05" w:rsidRDefault="00B66DD1" w:rsidP="004040FC">
      <w:pPr>
        <w:spacing w:after="0" w:line="240" w:lineRule="auto"/>
      </w:pPr>
      <w:r>
        <w:t>Many</w:t>
      </w:r>
      <w:r w:rsidR="00C87E05">
        <w:t xml:space="preserve"> responses to debunking arguments have questioned the</w:t>
      </w:r>
      <w:r w:rsidR="00491C6D">
        <w:t>ir</w:t>
      </w:r>
      <w:r w:rsidR="00C87E05">
        <w:t xml:space="preserve"> empirical </w:t>
      </w:r>
      <w:r w:rsidR="00582D7F">
        <w:t>details</w:t>
      </w:r>
      <w:r w:rsidR="00C87E05">
        <w:t xml:space="preserve"> and metaphysical presuppositions.</w:t>
      </w:r>
      <w:r w:rsidR="00D40E98">
        <w:rPr>
          <w:rStyle w:val="FootnoteReference"/>
        </w:rPr>
        <w:footnoteReference w:id="12"/>
      </w:r>
      <w:r w:rsidR="00C87E05">
        <w:t xml:space="preserve"> </w:t>
      </w:r>
      <w:r w:rsidR="00582D7F">
        <w:t>Unfortunately, these are shaky grounds on which to rest, even for those who are scientifically informed and well</w:t>
      </w:r>
      <w:r w:rsidR="000A2F2A">
        <w:t xml:space="preserve"> </w:t>
      </w:r>
      <w:r w:rsidR="00582D7F">
        <w:t xml:space="preserve">trained in metaphysical theorizing. </w:t>
      </w:r>
      <w:r w:rsidR="00F108CB">
        <w:t>So much the worse for the</w:t>
      </w:r>
      <w:r w:rsidR="00582D7F">
        <w:t xml:space="preserve"> </w:t>
      </w:r>
      <w:r w:rsidR="000A2F2A">
        <w:t xml:space="preserve">moderately informed layperson: </w:t>
      </w:r>
      <w:r w:rsidR="00F108CB">
        <w:t>an agent</w:t>
      </w:r>
      <w:r w:rsidR="000A2F2A">
        <w:t xml:space="preserve"> </w:t>
      </w:r>
      <w:r w:rsidR="005A1111">
        <w:t xml:space="preserve">who </w:t>
      </w:r>
      <w:r w:rsidR="000A2F2A">
        <w:t>possess the minimal</w:t>
      </w:r>
      <w:r w:rsidR="00F108CB">
        <w:t xml:space="preserve"> </w:t>
      </w:r>
      <w:r w:rsidR="000A2F2A">
        <w:t xml:space="preserve">information about evolution and disagreement </w:t>
      </w:r>
      <w:proofErr w:type="gramStart"/>
      <w:r w:rsidR="007A46B8">
        <w:t>sufficient</w:t>
      </w:r>
      <w:proofErr w:type="gramEnd"/>
      <w:r w:rsidR="007A46B8">
        <w:t xml:space="preserve"> </w:t>
      </w:r>
      <w:r w:rsidR="000A2F2A">
        <w:t xml:space="preserve">to give the debunking threats some foothold, but who nevertheless have no recourse to </w:t>
      </w:r>
      <w:r w:rsidR="00F108CB">
        <w:t>the complex</w:t>
      </w:r>
      <w:r w:rsidR="000A2F2A">
        <w:t xml:space="preserve"> empirical and metaphysical</w:t>
      </w:r>
      <w:r w:rsidR="00F108CB">
        <w:t xml:space="preserve"> challenges needed to dispel such threats</w:t>
      </w:r>
      <w:r w:rsidR="00582D7F">
        <w:t>. Realists presumably prefer a response that protect</w:t>
      </w:r>
      <w:r w:rsidR="00D40E98">
        <w:t>s</w:t>
      </w:r>
      <w:r w:rsidR="00582D7F">
        <w:t xml:space="preserve"> </w:t>
      </w:r>
      <w:r w:rsidR="00D55E26">
        <w:t>a wide range of</w:t>
      </w:r>
      <w:r w:rsidR="00582D7F">
        <w:t xml:space="preserve"> </w:t>
      </w:r>
      <w:r w:rsidR="00EE0223">
        <w:t xml:space="preserve">ordinary </w:t>
      </w:r>
      <w:r w:rsidR="00582D7F">
        <w:t xml:space="preserve">moral beliefs of average folk. And in order to </w:t>
      </w:r>
      <w:r w:rsidR="00D55E26">
        <w:t>achieve this</w:t>
      </w:r>
      <w:r w:rsidR="00582D7F">
        <w:t>, we need our response to go epistem</w:t>
      </w:r>
      <w:r w:rsidR="00EE0223">
        <w:t>ic</w:t>
      </w:r>
      <w:r w:rsidR="00582D7F">
        <w:t>.</w:t>
      </w:r>
      <w:r w:rsidR="007A46B8">
        <w:rPr>
          <w:rStyle w:val="FootnoteReference"/>
        </w:rPr>
        <w:footnoteReference w:id="13"/>
      </w:r>
      <w:r w:rsidR="00582D7F">
        <w:t xml:space="preserve"> </w:t>
      </w:r>
    </w:p>
    <w:p w14:paraId="3CDFF83F" w14:textId="77777777" w:rsidR="00C87E05" w:rsidRDefault="00C87E05" w:rsidP="004040FC">
      <w:pPr>
        <w:spacing w:after="0" w:line="240" w:lineRule="auto"/>
      </w:pPr>
    </w:p>
    <w:p w14:paraId="0E24641A" w14:textId="1853114C" w:rsidR="00CB1D48" w:rsidRDefault="00A859AA" w:rsidP="004040FC">
      <w:pPr>
        <w:spacing w:after="0" w:line="240" w:lineRule="auto"/>
      </w:pPr>
      <w:r>
        <w:t>In my preferred</w:t>
      </w:r>
      <w:r w:rsidR="007D52BF">
        <w:t xml:space="preserve"> epistemological framework—</w:t>
      </w:r>
      <w:r w:rsidRPr="007D52BF">
        <w:t>internalist</w:t>
      </w:r>
      <w:r w:rsidR="007D52BF">
        <w:t xml:space="preserve"> evidentialism—the debunking challenge </w:t>
      </w:r>
      <w:r>
        <w:t>amounts to the claim that there is available evidence</w:t>
      </w:r>
      <w:r w:rsidR="006A564B">
        <w:t xml:space="preserve"> such that those who are </w:t>
      </w:r>
      <w:r w:rsidR="007D52BF">
        <w:t xml:space="preserve">sufficiently aware of the </w:t>
      </w:r>
      <w:r w:rsidR="00E05956">
        <w:t xml:space="preserve">relevant </w:t>
      </w:r>
      <w:r w:rsidR="007D52BF">
        <w:t xml:space="preserve">facts </w:t>
      </w:r>
      <w:r w:rsidR="00BD3B48">
        <w:t xml:space="preserve">(about evolution, disagreement, etc.) </w:t>
      </w:r>
      <w:r w:rsidR="007D52BF">
        <w:t>are no longer justified in their moral belief</w:t>
      </w:r>
      <w:r w:rsidR="00D9396D">
        <w:t>s</w:t>
      </w:r>
      <w:r w:rsidR="00BD3B48">
        <w:t xml:space="preserve"> (</w:t>
      </w:r>
      <w:r w:rsidR="00DD3988">
        <w:t>given</w:t>
      </w:r>
      <w:r w:rsidR="00BD3B48">
        <w:t xml:space="preserve"> the remainder of the realist package)</w:t>
      </w:r>
      <w:r w:rsidR="007D52BF">
        <w:t xml:space="preserve">. </w:t>
      </w:r>
      <w:r w:rsidR="00E05956">
        <w:t>More specifically,</w:t>
      </w:r>
      <w:r w:rsidR="00BD3B48">
        <w:t xml:space="preserve"> candidate debunkers fall under a class of evidence </w:t>
      </w:r>
      <w:r w:rsidR="007A46B8">
        <w:t>of recent interest to</w:t>
      </w:r>
      <w:r w:rsidR="00BD3B48">
        <w:t xml:space="preserve"> epistemologists—</w:t>
      </w:r>
      <w:r w:rsidR="00BD3B48" w:rsidRPr="00BD3B48">
        <w:rPr>
          <w:i/>
          <w:iCs/>
        </w:rPr>
        <w:t>higher-order evidence</w:t>
      </w:r>
      <w:r w:rsidR="00BD3B48">
        <w:t xml:space="preserve">, or evidence </w:t>
      </w:r>
      <w:r w:rsidR="00E05956">
        <w:t>about</w:t>
      </w:r>
      <w:r w:rsidR="00BD3B48">
        <w:t xml:space="preserve"> evidence.</w:t>
      </w:r>
      <w:r w:rsidR="00EB25B1">
        <w:rPr>
          <w:rStyle w:val="FootnoteReference"/>
        </w:rPr>
        <w:footnoteReference w:id="14"/>
      </w:r>
      <w:r w:rsidR="00BD3B48">
        <w:t xml:space="preserve"> Peer disagreement </w:t>
      </w:r>
      <w:r w:rsidR="00E05956">
        <w:t>provides</w:t>
      </w:r>
      <w:r w:rsidR="00BD3B48">
        <w:t xml:space="preserve"> evidence about </w:t>
      </w:r>
      <w:r w:rsidR="00E05956">
        <w:t>how others</w:t>
      </w:r>
      <w:r w:rsidR="00C87E05">
        <w:t xml:space="preserve"> assess </w:t>
      </w:r>
      <w:r w:rsidR="00E05956">
        <w:t>the</w:t>
      </w:r>
      <w:r w:rsidR="00C87E05">
        <w:t xml:space="preserve"> evidence</w:t>
      </w:r>
      <w:r w:rsidR="00BD3B48">
        <w:t xml:space="preserve">, </w:t>
      </w:r>
      <w:r w:rsidR="00E05956">
        <w:t>which in turn yields</w:t>
      </w:r>
      <w:r w:rsidR="00C87E05">
        <w:t xml:space="preserve"> comparative evidence</w:t>
      </w:r>
      <w:r w:rsidR="00BD3B48">
        <w:t xml:space="preserve"> about how well we have assessed ou</w:t>
      </w:r>
      <w:r w:rsidR="00E05956">
        <w:t>rs</w:t>
      </w:r>
      <w:r w:rsidR="00BD3B48">
        <w:t xml:space="preserve">. EDAs and the </w:t>
      </w:r>
      <w:r w:rsidR="00783867">
        <w:t>BFC</w:t>
      </w:r>
      <w:r w:rsidR="00BD3B48">
        <w:t xml:space="preserve"> </w:t>
      </w:r>
      <w:r w:rsidR="00451305">
        <w:t xml:space="preserve">provide evidence that casts </w:t>
      </w:r>
      <w:r w:rsidR="00BD3B48">
        <w:t xml:space="preserve">doubt on </w:t>
      </w:r>
      <w:r w:rsidR="00E05956">
        <w:t>the reliability of</w:t>
      </w:r>
      <w:r w:rsidR="00BD3B48">
        <w:t xml:space="preserve"> </w:t>
      </w:r>
      <w:r w:rsidR="00030B2A">
        <w:t>the</w:t>
      </w:r>
      <w:r w:rsidR="00BD3B48">
        <w:t xml:space="preserve"> evidence for our moral beliefs </w:t>
      </w:r>
      <w:r w:rsidR="00803CC9">
        <w:t>(moral intuition</w:t>
      </w:r>
      <w:r w:rsidR="00030B2A">
        <w:t xml:space="preserve">, reasoning, </w:t>
      </w:r>
      <w:r w:rsidR="0060491A">
        <w:t xml:space="preserve">testimony, </w:t>
      </w:r>
      <w:r w:rsidR="00030B2A">
        <w:t>etc.</w:t>
      </w:r>
      <w:r w:rsidR="00803CC9">
        <w:t>)</w:t>
      </w:r>
      <w:r w:rsidR="00BD3B48">
        <w:t>.</w:t>
      </w:r>
      <w:r w:rsidR="007E535A">
        <w:t xml:space="preserve"> </w:t>
      </w:r>
      <w:r w:rsidR="0060491A">
        <w:t>T</w:t>
      </w:r>
      <w:r w:rsidR="005F561C">
        <w:t>his higher-order evidence</w:t>
      </w:r>
      <w:r w:rsidR="0087079B">
        <w:t xml:space="preserve"> purport</w:t>
      </w:r>
      <w:r w:rsidR="005F561C">
        <w:t>s</w:t>
      </w:r>
      <w:r w:rsidR="0087079B">
        <w:t xml:space="preserve"> to defeat </w:t>
      </w:r>
      <w:r w:rsidR="005F561C">
        <w:t>the first-order evidence for our</w:t>
      </w:r>
      <w:r w:rsidR="0087079B">
        <w:t xml:space="preserve"> moral beliefs. Whether </w:t>
      </w:r>
      <w:r w:rsidR="005F561C">
        <w:t>the debunking challenge</w:t>
      </w:r>
      <w:r w:rsidR="0087079B">
        <w:t xml:space="preserve"> succeed</w:t>
      </w:r>
      <w:r w:rsidR="005F561C">
        <w:t>s</w:t>
      </w:r>
      <w:r w:rsidR="0087079B">
        <w:t xml:space="preserve">, then, is not </w:t>
      </w:r>
      <w:r w:rsidR="005F561C">
        <w:t xml:space="preserve">determined </w:t>
      </w:r>
      <w:r w:rsidR="00046E2E">
        <w:t xml:space="preserve">solely </w:t>
      </w:r>
      <w:r w:rsidR="005F561C">
        <w:t>by the</w:t>
      </w:r>
      <w:r w:rsidR="00046E2E">
        <w:t>ir</w:t>
      </w:r>
      <w:r w:rsidR="005F561C">
        <w:t xml:space="preserve"> </w:t>
      </w:r>
      <w:r w:rsidR="0087079B">
        <w:t>empirical</w:t>
      </w:r>
      <w:r w:rsidR="005F561C">
        <w:t xml:space="preserve"> </w:t>
      </w:r>
      <w:r w:rsidR="00046E2E">
        <w:t>and</w:t>
      </w:r>
      <w:r w:rsidR="0087079B">
        <w:t xml:space="preserve"> metaphysical </w:t>
      </w:r>
      <w:r w:rsidR="00046E2E">
        <w:t>claims,</w:t>
      </w:r>
      <w:r w:rsidR="005F561C">
        <w:t xml:space="preserve"> but also</w:t>
      </w:r>
      <w:r w:rsidR="0087079B">
        <w:t xml:space="preserve"> in part by the nature of higher-order defeat.</w:t>
      </w:r>
    </w:p>
    <w:p w14:paraId="531F69B2" w14:textId="77777777" w:rsidR="00772E3B" w:rsidRDefault="00772E3B" w:rsidP="004040FC">
      <w:pPr>
        <w:spacing w:after="0" w:line="240" w:lineRule="auto"/>
      </w:pPr>
    </w:p>
    <w:p w14:paraId="6F40E81F" w14:textId="77103C64" w:rsidR="000A1839" w:rsidRPr="000A1839" w:rsidRDefault="0087079B" w:rsidP="004040FC">
      <w:pPr>
        <w:spacing w:after="0" w:line="240" w:lineRule="auto"/>
      </w:pPr>
      <w:r>
        <w:t xml:space="preserve">My aim in this paper is </w:t>
      </w:r>
      <w:r w:rsidR="0027207D">
        <w:t>twofold</w:t>
      </w:r>
      <w:r w:rsidR="005C2B8E">
        <w:t>: one primary and one secondary.</w:t>
      </w:r>
      <w:r w:rsidR="0027207D">
        <w:t xml:space="preserve"> </w:t>
      </w:r>
      <w:r w:rsidR="005C2B8E">
        <w:t>My</w:t>
      </w:r>
      <w:r w:rsidR="00451305">
        <w:t xml:space="preserve"> primary aim is to </w:t>
      </w:r>
      <w:r>
        <w:t xml:space="preserve">defend </w:t>
      </w:r>
      <w:r w:rsidR="00FB61C6">
        <w:t xml:space="preserve">an optimistic </w:t>
      </w:r>
      <w:r>
        <w:t>moral epistemolog</w:t>
      </w:r>
      <w:r w:rsidR="00FB61C6">
        <w:t>y</w:t>
      </w:r>
      <w:r>
        <w:t xml:space="preserve"> given </w:t>
      </w:r>
      <w:r w:rsidR="00FB61C6">
        <w:t>the rest of the realist package</w:t>
      </w:r>
      <w:r w:rsidR="003E339A">
        <w:t xml:space="preserve"> </w:t>
      </w:r>
      <w:r>
        <w:t>by appeal to a theory of higher-order defeat</w:t>
      </w:r>
      <w:r w:rsidR="00846242">
        <w:t xml:space="preserve"> in such a way that the defense extends even to laypersons who are not </w:t>
      </w:r>
      <w:r w:rsidR="003E339A">
        <w:t xml:space="preserve">themselves </w:t>
      </w:r>
      <w:r w:rsidR="00846242">
        <w:t>in a position to formulate a response</w:t>
      </w:r>
      <w:r>
        <w:t xml:space="preserve">. </w:t>
      </w:r>
      <w:r w:rsidR="005C2B8E">
        <w:t>My</w:t>
      </w:r>
      <w:r w:rsidR="0027207D">
        <w:t xml:space="preserve"> secondary aim is to introduce a theory of higher-order defeat and demonstrate its u</w:t>
      </w:r>
      <w:r w:rsidR="00451305">
        <w:t>tility</w:t>
      </w:r>
      <w:r w:rsidR="0027207D">
        <w:t xml:space="preserve"> in moral epistemology. </w:t>
      </w:r>
      <w:r w:rsidR="00CE5DEB">
        <w:t>I</w:t>
      </w:r>
      <w:r>
        <w:t xml:space="preserve"> </w:t>
      </w:r>
      <w:r w:rsidR="005C2B8E">
        <w:t>first outline the theory in</w:t>
      </w:r>
      <w:r w:rsidR="0027207D">
        <w:t xml:space="preserve"> the next section</w:t>
      </w:r>
      <w:r w:rsidR="00612FD9">
        <w:t>, which I then apply</w:t>
      </w:r>
      <w:r w:rsidR="00F3003A">
        <w:t xml:space="preserve"> to candidate debunkers</w:t>
      </w:r>
      <w:r w:rsidR="00846242">
        <w:t xml:space="preserve"> in </w:t>
      </w:r>
      <w:r w:rsidR="0027207D">
        <w:t>subsequent sections</w:t>
      </w:r>
      <w:r w:rsidR="00F3003A">
        <w:t xml:space="preserve">. </w:t>
      </w:r>
      <w:r>
        <w:t xml:space="preserve">I will show that </w:t>
      </w:r>
      <w:r w:rsidR="00C87E05">
        <w:t xml:space="preserve">they fail on purely epistemic grounds, even </w:t>
      </w:r>
      <w:r w:rsidR="003E339A">
        <w:t>granting</w:t>
      </w:r>
      <w:r w:rsidR="00C87E05">
        <w:t xml:space="preserve"> their empirical and metaphysical premises</w:t>
      </w:r>
      <w:r w:rsidR="00846242">
        <w:t>.</w:t>
      </w:r>
      <w:r w:rsidR="0027207D">
        <w:t xml:space="preserve"> Despite this failure, </w:t>
      </w:r>
      <w:r w:rsidR="00846242">
        <w:t>I</w:t>
      </w:r>
      <w:r w:rsidR="00582D7F">
        <w:t xml:space="preserve"> </w:t>
      </w:r>
      <w:r w:rsidR="00F3003A">
        <w:t xml:space="preserve">conclude </w:t>
      </w:r>
      <w:r w:rsidR="0027207D">
        <w:t xml:space="preserve">in the final section </w:t>
      </w:r>
      <w:r w:rsidR="00F3003A">
        <w:t>by s</w:t>
      </w:r>
      <w:r w:rsidR="00451305">
        <w:t>uggesting</w:t>
      </w:r>
      <w:r w:rsidR="009A467D">
        <w:t xml:space="preserve"> </w:t>
      </w:r>
      <w:r w:rsidR="005C2B8E">
        <w:t>alternative</w:t>
      </w:r>
      <w:r w:rsidR="009A467D">
        <w:t xml:space="preserve"> role</w:t>
      </w:r>
      <w:r w:rsidR="00451305">
        <w:t>s</w:t>
      </w:r>
      <w:r w:rsidR="009A467D">
        <w:t xml:space="preserve"> </w:t>
      </w:r>
      <w:r w:rsidR="00B3172A">
        <w:t>that</w:t>
      </w:r>
      <w:r w:rsidR="009A467D">
        <w:t xml:space="preserve"> debunking</w:t>
      </w:r>
      <w:r w:rsidR="0027207D">
        <w:t xml:space="preserve"> </w:t>
      </w:r>
      <w:r w:rsidR="00B3172A">
        <w:t>may continue to</w:t>
      </w:r>
      <w:r w:rsidR="0027207D">
        <w:t xml:space="preserve"> play</w:t>
      </w:r>
      <w:r w:rsidR="009A467D">
        <w:t xml:space="preserve"> in moral epistemology</w:t>
      </w:r>
      <w:r w:rsidR="00EE519D">
        <w:t xml:space="preserve">. </w:t>
      </w:r>
      <w:r w:rsidR="00612FD9">
        <w:t xml:space="preserve"> </w:t>
      </w:r>
      <w:r w:rsidR="00CE5DEB">
        <w:t xml:space="preserve"> </w:t>
      </w:r>
    </w:p>
    <w:p w14:paraId="6B8BC840" w14:textId="77777777" w:rsidR="000A1839" w:rsidRDefault="000A1839" w:rsidP="004040FC">
      <w:pPr>
        <w:spacing w:after="0" w:line="240" w:lineRule="auto"/>
        <w:rPr>
          <w:b/>
          <w:bCs/>
        </w:rPr>
      </w:pPr>
    </w:p>
    <w:p w14:paraId="5601A4C8" w14:textId="7E6CDA33" w:rsidR="003A37BA" w:rsidRPr="0087252F" w:rsidRDefault="00E279A5" w:rsidP="0087252F">
      <w:pPr>
        <w:spacing w:after="0" w:line="240" w:lineRule="auto"/>
        <w:rPr>
          <w:b/>
          <w:bCs/>
        </w:rPr>
      </w:pPr>
      <w:r w:rsidRPr="0087252F">
        <w:rPr>
          <w:b/>
          <w:bCs/>
        </w:rPr>
        <w:t xml:space="preserve">Conditions on </w:t>
      </w:r>
      <w:r w:rsidR="00F3003A" w:rsidRPr="0087252F">
        <w:rPr>
          <w:b/>
          <w:bCs/>
        </w:rPr>
        <w:t>Higher-Order Defeat</w:t>
      </w:r>
      <w:r w:rsidR="004D2D82">
        <w:rPr>
          <w:rStyle w:val="FootnoteReference"/>
          <w:b/>
          <w:bCs/>
        </w:rPr>
        <w:footnoteReference w:id="15"/>
      </w:r>
    </w:p>
    <w:p w14:paraId="70123278" w14:textId="2344EAC5" w:rsidR="003A37BA" w:rsidRDefault="003A37BA" w:rsidP="004040FC">
      <w:pPr>
        <w:spacing w:after="0" w:line="240" w:lineRule="auto"/>
        <w:rPr>
          <w:b/>
          <w:bCs/>
        </w:rPr>
      </w:pPr>
    </w:p>
    <w:p w14:paraId="6740543B" w14:textId="628398BF" w:rsidR="0049725C" w:rsidRDefault="0027207D" w:rsidP="004040FC">
      <w:pPr>
        <w:spacing w:after="0" w:line="240" w:lineRule="auto"/>
      </w:pPr>
      <w:r>
        <w:t xml:space="preserve">The proper starting point in a theory of higher-order defeat is the concept of higher-order evidence. </w:t>
      </w:r>
      <w:r w:rsidR="005F2BEC">
        <w:t>Roughly</w:t>
      </w:r>
      <w:r>
        <w:t>, h</w:t>
      </w:r>
      <w:r w:rsidR="00E53E30">
        <w:t>igher-order evidence is</w:t>
      </w:r>
      <w:r>
        <w:t xml:space="preserve"> </w:t>
      </w:r>
      <w:r w:rsidR="00E53E30">
        <w:t>evidence about</w:t>
      </w:r>
      <w:r>
        <w:t xml:space="preserve"> </w:t>
      </w:r>
      <w:r w:rsidR="00E53E30">
        <w:t xml:space="preserve">evidence. </w:t>
      </w:r>
      <w:r w:rsidR="00AE43AD">
        <w:t xml:space="preserve">The evidence it is </w:t>
      </w:r>
      <w:r w:rsidR="00E53E30">
        <w:t xml:space="preserve">about is </w:t>
      </w:r>
      <w:r w:rsidR="00E53E30" w:rsidRPr="004D2D82">
        <w:rPr>
          <w:i/>
          <w:iCs/>
        </w:rPr>
        <w:t>lower-order evidence</w:t>
      </w:r>
      <w:r w:rsidR="00E53E30">
        <w:t xml:space="preserve">, which may in turn be about further evidence. At some point, we reach </w:t>
      </w:r>
      <w:r w:rsidR="00E53E30" w:rsidRPr="004D2D82">
        <w:rPr>
          <w:i/>
          <w:iCs/>
        </w:rPr>
        <w:t>first-order evidence</w:t>
      </w:r>
      <w:r w:rsidR="004D2D82">
        <w:t>:</w:t>
      </w:r>
      <w:r w:rsidR="00E53E30">
        <w:t xml:space="preserve"> </w:t>
      </w:r>
      <w:r w:rsidR="00AE43AD">
        <w:t xml:space="preserve">evidence directly concerning </w:t>
      </w:r>
      <w:r w:rsidR="0049725C">
        <w:t xml:space="preserve">the proposition at the </w:t>
      </w:r>
      <w:r w:rsidR="0049725C" w:rsidRPr="004D2D82">
        <w:rPr>
          <w:i/>
          <w:iCs/>
        </w:rPr>
        <w:t>object level</w:t>
      </w:r>
      <w:r w:rsidR="0049725C">
        <w:t xml:space="preserve"> (</w:t>
      </w:r>
      <w:r w:rsidR="004D2D82">
        <w:t>one</w:t>
      </w:r>
      <w:r w:rsidR="0049725C">
        <w:t xml:space="preserve"> that is not evidence for some further proposition). Suppose, for example, that E2 is evidence about evidence E1, which is evidence </w:t>
      </w:r>
      <w:r w:rsidR="004C247E">
        <w:t>about</w:t>
      </w:r>
      <w:r w:rsidR="0049725C">
        <w:t xml:space="preserve"> proposition P, which is at the bottom of th</w:t>
      </w:r>
      <w:r w:rsidR="00DB35D4">
        <w:t>e</w:t>
      </w:r>
      <w:r w:rsidR="0049725C">
        <w:t xml:space="preserve"> evidential chain. Then E2 is higher</w:t>
      </w:r>
      <w:r w:rsidR="004D2D82">
        <w:t xml:space="preserve"> </w:t>
      </w:r>
      <w:r w:rsidR="0049725C">
        <w:t>order (specifically second order), E1 is lower</w:t>
      </w:r>
      <w:r w:rsidR="004D2D82">
        <w:t xml:space="preserve"> </w:t>
      </w:r>
      <w:r w:rsidR="0049725C">
        <w:t>order (specifically first</w:t>
      </w:r>
      <w:r w:rsidR="004D2D82">
        <w:t xml:space="preserve"> </w:t>
      </w:r>
      <w:r w:rsidR="0049725C">
        <w:t xml:space="preserve">order), and P is </w:t>
      </w:r>
      <w:r w:rsidR="004D2D82">
        <w:t xml:space="preserve">at </w:t>
      </w:r>
      <w:r w:rsidR="0049725C">
        <w:t>the object</w:t>
      </w:r>
      <w:r w:rsidR="004D2D82">
        <w:t xml:space="preserve"> </w:t>
      </w:r>
      <w:r w:rsidR="0049725C">
        <w:t xml:space="preserve">level. </w:t>
      </w:r>
    </w:p>
    <w:p w14:paraId="45A8CE6A" w14:textId="780385AE" w:rsidR="00B95A38" w:rsidRDefault="00B95A38" w:rsidP="004040FC">
      <w:pPr>
        <w:spacing w:after="0" w:line="240" w:lineRule="auto"/>
      </w:pPr>
    </w:p>
    <w:p w14:paraId="3A2C67DC" w14:textId="7A6C9A46" w:rsidR="00B95A38" w:rsidRDefault="002E44F6" w:rsidP="004040FC">
      <w:pPr>
        <w:spacing w:after="0" w:line="240" w:lineRule="auto"/>
      </w:pPr>
      <w:r>
        <w:t xml:space="preserve">If E2’s being about E1 </w:t>
      </w:r>
      <w:r w:rsidR="00C7510D">
        <w:t>suffices to render it</w:t>
      </w:r>
      <w:r w:rsidR="00525F01">
        <w:t xml:space="preserve"> higher order, then when some </w:t>
      </w:r>
      <w:r w:rsidR="00664422">
        <w:t xml:space="preserve">X </w:t>
      </w:r>
      <w:r w:rsidR="00525F01">
        <w:t xml:space="preserve">is added </w:t>
      </w:r>
      <w:r w:rsidR="00266498">
        <w:t xml:space="preserve">to E2, </w:t>
      </w:r>
      <w:r w:rsidR="00664422">
        <w:t>E2+X</w:t>
      </w:r>
      <w:r w:rsidR="00266498">
        <w:t xml:space="preserve"> </w:t>
      </w:r>
      <w:r w:rsidR="00C7510D">
        <w:t>continues to be</w:t>
      </w:r>
      <w:r w:rsidR="00266498">
        <w:t xml:space="preserve"> </w:t>
      </w:r>
      <w:r w:rsidR="00C7510D">
        <w:t xml:space="preserve">about E1 and is likewise </w:t>
      </w:r>
      <w:r w:rsidR="00266498">
        <w:t>higher</w:t>
      </w:r>
      <w:r w:rsidR="00AE075F">
        <w:t xml:space="preserve"> </w:t>
      </w:r>
      <w:r w:rsidR="00266498">
        <w:t>order</w:t>
      </w:r>
      <w:r w:rsidR="00AE075F">
        <w:t xml:space="preserve">, </w:t>
      </w:r>
      <w:r w:rsidR="00266498">
        <w:t xml:space="preserve">even if </w:t>
      </w:r>
      <w:r w:rsidR="00664422">
        <w:t xml:space="preserve">X </w:t>
      </w:r>
      <w:r w:rsidR="00266498">
        <w:t>is first order. A</w:t>
      </w:r>
      <w:r w:rsidR="00664422">
        <w:t>lso notice</w:t>
      </w:r>
      <w:r w:rsidR="00266498">
        <w:t xml:space="preserve"> that E2’s being about E1 in </w:t>
      </w:r>
      <w:r w:rsidR="00C7510D">
        <w:t xml:space="preserve">one </w:t>
      </w:r>
      <w:r w:rsidR="00266498">
        <w:t>way</w:t>
      </w:r>
      <w:r w:rsidR="00C7510D">
        <w:t xml:space="preserve"> </w:t>
      </w:r>
      <w:r w:rsidR="00266498">
        <w:t xml:space="preserve">does not rule out E2 being about E1 </w:t>
      </w:r>
      <w:r w:rsidR="00AE075F">
        <w:t>in additional</w:t>
      </w:r>
      <w:r w:rsidR="00266498">
        <w:t xml:space="preserve"> way</w:t>
      </w:r>
      <w:r w:rsidR="00AE075F">
        <w:t>s</w:t>
      </w:r>
      <w:r w:rsidR="00266498">
        <w:t xml:space="preserve">, nor </w:t>
      </w:r>
      <w:r w:rsidR="00890D25">
        <w:t xml:space="preserve">does it rule out </w:t>
      </w:r>
      <w:r w:rsidR="00266498">
        <w:t xml:space="preserve">E2 being about some </w:t>
      </w:r>
      <w:r w:rsidR="00AE075F">
        <w:t>additional</w:t>
      </w:r>
      <w:r w:rsidR="00266498">
        <w:t xml:space="preserve"> evidence </w:t>
      </w:r>
      <w:r w:rsidR="00890D25">
        <w:t>E1*</w:t>
      </w:r>
      <w:r w:rsidR="00266498">
        <w:t xml:space="preserve">. </w:t>
      </w:r>
      <w:r w:rsidR="00A02224">
        <w:t>I c</w:t>
      </w:r>
      <w:r w:rsidR="00266498">
        <w:t xml:space="preserve">all this </w:t>
      </w:r>
      <w:r w:rsidR="00266498" w:rsidRPr="00A02224">
        <w:rPr>
          <w:i/>
          <w:iCs/>
        </w:rPr>
        <w:t>supportive complexity</w:t>
      </w:r>
      <w:r w:rsidR="00266498">
        <w:t>. We will soon see that such</w:t>
      </w:r>
      <w:r w:rsidR="00890D25">
        <w:t xml:space="preserve"> seemingly trivial</w:t>
      </w:r>
      <w:r w:rsidR="00266498">
        <w:t xml:space="preserve"> details matter. </w:t>
      </w:r>
    </w:p>
    <w:p w14:paraId="79459862" w14:textId="6D87BBCA" w:rsidR="00B41551" w:rsidRDefault="00B41551" w:rsidP="004040FC">
      <w:pPr>
        <w:spacing w:after="0" w:line="240" w:lineRule="auto"/>
      </w:pPr>
    </w:p>
    <w:p w14:paraId="0B3C1D83" w14:textId="14366EFD" w:rsidR="00DB35D4" w:rsidRDefault="00DB35D4" w:rsidP="004040FC">
      <w:pPr>
        <w:spacing w:after="0" w:line="240" w:lineRule="auto"/>
      </w:pPr>
      <w:r>
        <w:t>Higher-order evidence raises two primary questions</w:t>
      </w:r>
      <w:r w:rsidR="00E01A83">
        <w:t xml:space="preserve"> about evidential support</w:t>
      </w:r>
      <w:r>
        <w:t xml:space="preserve">. First, what bearing, if any, does evidence at a higher level have on the object level? Second, the question of </w:t>
      </w:r>
      <w:r w:rsidRPr="00E01A83">
        <w:rPr>
          <w:i/>
          <w:iCs/>
        </w:rPr>
        <w:t>levels interaction</w:t>
      </w:r>
      <w:r>
        <w:t>: how do different evidential levels interact when combined? What, in other words, does the total evidence support?</w:t>
      </w:r>
    </w:p>
    <w:p w14:paraId="18220E32" w14:textId="77777777" w:rsidR="00DB35D4" w:rsidRDefault="00DB35D4" w:rsidP="004040FC">
      <w:pPr>
        <w:spacing w:after="0" w:line="240" w:lineRule="auto"/>
      </w:pPr>
    </w:p>
    <w:p w14:paraId="178880D8" w14:textId="56D74306" w:rsidR="00A02224" w:rsidRDefault="00E01A83" w:rsidP="004040FC">
      <w:pPr>
        <w:spacing w:after="0" w:line="240" w:lineRule="auto"/>
      </w:pPr>
      <w:r>
        <w:t>One promising answer to the first question</w:t>
      </w:r>
      <w:r w:rsidR="00A02224">
        <w:t xml:space="preserve"> is </w:t>
      </w:r>
      <w:r w:rsidR="00D823E7">
        <w:t xml:space="preserve">that evidential support can </w:t>
      </w:r>
      <w:r w:rsidR="005F2BEC">
        <w:t>“</w:t>
      </w:r>
      <w:r w:rsidR="00D823E7">
        <w:t>filter</w:t>
      </w:r>
      <w:r w:rsidR="005F2BEC">
        <w:t>”</w:t>
      </w:r>
      <w:r w:rsidR="00D823E7">
        <w:t xml:space="preserve"> down from higher level</w:t>
      </w:r>
      <w:r>
        <w:t xml:space="preserve">s, </w:t>
      </w:r>
      <w:r w:rsidR="00D823E7">
        <w:t>through lower level</w:t>
      </w:r>
      <w:r w:rsidR="00B86476">
        <w:t>s</w:t>
      </w:r>
      <w:r>
        <w:t>, and</w:t>
      </w:r>
      <w:r w:rsidR="00C7510D">
        <w:t xml:space="preserve"> </w:t>
      </w:r>
      <w:r w:rsidR="00D823E7">
        <w:t>to the object</w:t>
      </w:r>
      <w:r w:rsidR="00B86476">
        <w:t xml:space="preserve"> </w:t>
      </w:r>
      <w:r w:rsidR="00D823E7">
        <w:t xml:space="preserve">level. </w:t>
      </w:r>
      <w:r w:rsidR="00B86476">
        <w:t xml:space="preserve">As Feldman </w:t>
      </w:r>
      <w:r w:rsidR="009909B0">
        <w:t xml:space="preserve">(2006) </w:t>
      </w:r>
      <w:r w:rsidR="00B86476">
        <w:t xml:space="preserve">puts it, “evidence of evidence is evidence.” </w:t>
      </w:r>
      <w:r w:rsidR="005F2BEC">
        <w:t xml:space="preserve">Here’s </w:t>
      </w:r>
      <w:r w:rsidR="00C7510D">
        <w:t>a more careful formulation</w:t>
      </w:r>
      <w:r w:rsidR="00D823E7">
        <w:t>:</w:t>
      </w:r>
    </w:p>
    <w:p w14:paraId="5CDAF076" w14:textId="77777777" w:rsidR="009A05C5" w:rsidRDefault="009A05C5" w:rsidP="004040FC">
      <w:pPr>
        <w:spacing w:after="0" w:line="240" w:lineRule="auto"/>
      </w:pPr>
    </w:p>
    <w:p w14:paraId="61022D04" w14:textId="44C18F00" w:rsidR="00B41551" w:rsidRDefault="00B41551" w:rsidP="00B86476">
      <w:pPr>
        <w:spacing w:after="0" w:line="240" w:lineRule="auto"/>
        <w:ind w:left="360"/>
      </w:pPr>
      <w:r w:rsidRPr="00B86476">
        <w:rPr>
          <w:i/>
          <w:iCs/>
        </w:rPr>
        <w:t>Filtration Principle:</w:t>
      </w:r>
      <w:r w:rsidR="00981FD4">
        <w:t xml:space="preserve"> </w:t>
      </w:r>
      <w:r w:rsidR="00D823E7">
        <w:t>I</w:t>
      </w:r>
      <w:r w:rsidR="00981FD4">
        <w:t xml:space="preserve">f E2 is evidence that </w:t>
      </w:r>
      <w:r w:rsidR="009A05C5">
        <w:t xml:space="preserve">there is evidence E1 </w:t>
      </w:r>
      <w:r w:rsidR="00B86476">
        <w:t>for</w:t>
      </w:r>
      <w:r w:rsidR="009A05C5">
        <w:t xml:space="preserve"> P, then E2 </w:t>
      </w:r>
      <w:r w:rsidR="00B86476">
        <w:t>is evidence for</w:t>
      </w:r>
      <w:r w:rsidR="009A05C5">
        <w:t xml:space="preserve"> P. </w:t>
      </w:r>
    </w:p>
    <w:p w14:paraId="49B25EA2" w14:textId="5AE53B9A" w:rsidR="00D823E7" w:rsidRDefault="00D823E7" w:rsidP="004040FC">
      <w:pPr>
        <w:spacing w:after="0" w:line="240" w:lineRule="auto"/>
      </w:pPr>
    </w:p>
    <w:p w14:paraId="193E6973" w14:textId="217BB2B5" w:rsidR="00D823E7" w:rsidRDefault="009A57B0" w:rsidP="004040FC">
      <w:pPr>
        <w:spacing w:after="0" w:line="240" w:lineRule="auto"/>
      </w:pPr>
      <w:r>
        <w:t>For example, l</w:t>
      </w:r>
      <w:r w:rsidR="005F3172">
        <w:t xml:space="preserve">et E2 be evidence that a reliable mathematician sincerely tells you that there is a sound proof (E1) for theorem P. If all you know is E2, you have enough evidence to believe P. </w:t>
      </w:r>
      <w:r>
        <w:t>So, filtration is intuitively plausible.</w:t>
      </w:r>
      <w:r>
        <w:rPr>
          <w:rStyle w:val="FootnoteReference"/>
        </w:rPr>
        <w:footnoteReference w:id="16"/>
      </w:r>
      <w:r>
        <w:t xml:space="preserve"> </w:t>
      </w:r>
      <w:r w:rsidR="00D823E7">
        <w:t xml:space="preserve">If true, </w:t>
      </w:r>
      <w:r>
        <w:t>this</w:t>
      </w:r>
      <w:r w:rsidR="00D823E7">
        <w:t xml:space="preserve"> has immense epistem</w:t>
      </w:r>
      <w:r w:rsidR="00B86476">
        <w:t>ic</w:t>
      </w:r>
      <w:r w:rsidR="00D823E7">
        <w:t xml:space="preserve"> importance, especially when one </w:t>
      </w:r>
      <w:r w:rsidR="005F2BEC">
        <w:t>possesses</w:t>
      </w:r>
      <w:r w:rsidR="00D823E7">
        <w:t xml:space="preserve"> higher-order evidence but lacks access to the first-order evidence. </w:t>
      </w:r>
      <w:r w:rsidR="00190A52">
        <w:t>It</w:t>
      </w:r>
      <w:r w:rsidR="00D823E7">
        <w:t xml:space="preserve"> </w:t>
      </w:r>
      <w:r w:rsidR="00B86476">
        <w:t>potentially</w:t>
      </w:r>
      <w:r w:rsidR="00D823E7">
        <w:t xml:space="preserve"> explain</w:t>
      </w:r>
      <w:r w:rsidR="00B86476">
        <w:t>s</w:t>
      </w:r>
      <w:r w:rsidR="00D823E7">
        <w:t xml:space="preserve"> </w:t>
      </w:r>
      <w:r>
        <w:t xml:space="preserve">the evidential story </w:t>
      </w:r>
      <w:r w:rsidR="00D823E7">
        <w:t>in many cases of testimony</w:t>
      </w:r>
      <w:r w:rsidR="00B86476">
        <w:t>,</w:t>
      </w:r>
      <w:r w:rsidR="00C7510D">
        <w:rPr>
          <w:rStyle w:val="FootnoteReference"/>
        </w:rPr>
        <w:footnoteReference w:id="17"/>
      </w:r>
      <w:r w:rsidR="00B86476">
        <w:t xml:space="preserve"> a</w:t>
      </w:r>
      <w:r w:rsidR="00D823E7">
        <w:t>nd how we retain justification in cases in which we no longer remember our original evidence but nevertheless remember having once had evidence</w:t>
      </w:r>
      <w:r>
        <w:t xml:space="preserve"> (a solution to the problem of “forgotten evidence”</w:t>
      </w:r>
      <w:r>
        <w:rPr>
          <w:rStyle w:val="FootnoteReference"/>
        </w:rPr>
        <w:footnoteReference w:id="18"/>
      </w:r>
      <w:r>
        <w:t>)</w:t>
      </w:r>
      <w:r w:rsidR="00D823E7">
        <w:t xml:space="preserve">. </w:t>
      </w:r>
    </w:p>
    <w:p w14:paraId="12DFC1AF" w14:textId="5F44F69F" w:rsidR="002E6875" w:rsidRDefault="002E6875" w:rsidP="004040FC">
      <w:pPr>
        <w:spacing w:after="0" w:line="240" w:lineRule="auto"/>
      </w:pPr>
    </w:p>
    <w:p w14:paraId="73B60EBF" w14:textId="6674CA54" w:rsidR="00D630EE" w:rsidRDefault="000B2551" w:rsidP="004040FC">
      <w:pPr>
        <w:spacing w:after="0" w:line="240" w:lineRule="auto"/>
      </w:pPr>
      <w:r>
        <w:t>Despite its plausibility</w:t>
      </w:r>
      <w:r w:rsidR="00C12694">
        <w:t>, filtration has</w:t>
      </w:r>
      <w:r>
        <w:t xml:space="preserve"> at least three</w:t>
      </w:r>
      <w:r w:rsidR="00D630EE">
        <w:t xml:space="preserve"> exceptions.</w:t>
      </w:r>
      <w:r w:rsidR="00134D3A">
        <w:t xml:space="preserve"> </w:t>
      </w:r>
      <w:r w:rsidR="0007542B">
        <w:t xml:space="preserve">First, </w:t>
      </w:r>
      <w:r w:rsidR="00C546FC">
        <w:t xml:space="preserve">Hud </w:t>
      </w:r>
      <w:r w:rsidR="00BD7059">
        <w:t>Hudson</w:t>
      </w:r>
      <w:r w:rsidR="00C546FC">
        <w:t xml:space="preserve"> </w:t>
      </w:r>
      <w:r w:rsidR="002A23AC">
        <w:t>observes</w:t>
      </w:r>
      <w:r w:rsidR="00BD7059">
        <w:t xml:space="preserve"> that one can have a defeater D </w:t>
      </w:r>
      <w:r w:rsidR="002A23AC">
        <w:t>that</w:t>
      </w:r>
      <w:r w:rsidR="00BD7059">
        <w:t xml:space="preserve"> defeats one’s support for P without defeating E2’s support </w:t>
      </w:r>
      <w:r w:rsidR="002A23AC">
        <w:t xml:space="preserve">for the claim </w:t>
      </w:r>
      <w:r w:rsidR="00BD7059">
        <w:t>that E1 supports P.</w:t>
      </w:r>
      <w:r>
        <w:rPr>
          <w:rStyle w:val="FootnoteReference"/>
        </w:rPr>
        <w:footnoteReference w:id="19"/>
      </w:r>
      <w:r w:rsidR="000772FB">
        <w:t xml:space="preserve"> For example, Hud </w:t>
      </w:r>
      <w:r w:rsidR="00094E55">
        <w:t>convincingly lies to</w:t>
      </w:r>
      <w:r w:rsidR="000772FB">
        <w:t xml:space="preserve"> Rich that it’s his birthday, giving Hud evidence </w:t>
      </w:r>
      <w:r w:rsidR="00094E55">
        <w:t xml:space="preserve">E2 </w:t>
      </w:r>
      <w:r w:rsidR="000772FB">
        <w:t xml:space="preserve">that Rich has evidence </w:t>
      </w:r>
      <w:r w:rsidR="00094E55">
        <w:t xml:space="preserve">E1 </w:t>
      </w:r>
      <w:r w:rsidR="000772FB">
        <w:t>that it’s Hud’s birthday</w:t>
      </w:r>
      <w:r w:rsidR="00094E55">
        <w:t xml:space="preserve"> (P)</w:t>
      </w:r>
      <w:r w:rsidR="000772FB">
        <w:t xml:space="preserve">, even though </w:t>
      </w:r>
      <w:r>
        <w:t>Hud knows it’s not his birthday (~P). This is because he possesses prior evidence D against P, which defeats E2 but has no bearing on E1’s support for P</w:t>
      </w:r>
      <w:r w:rsidR="000772FB">
        <w:t>.</w:t>
      </w:r>
      <w:r w:rsidR="00BD7059">
        <w:t xml:space="preserve"> Feldman responds that this does</w:t>
      </w:r>
      <w:r>
        <w:t>n’</w:t>
      </w:r>
      <w:r w:rsidR="00BD7059">
        <w:t xml:space="preserve">t refute filtration, since E2 </w:t>
      </w:r>
      <w:r w:rsidR="002A23AC">
        <w:t>continues to</w:t>
      </w:r>
      <w:r w:rsidR="00BD7059">
        <w:t xml:space="preserve"> support P</w:t>
      </w:r>
      <w:r w:rsidR="002A23AC">
        <w:t>.</w:t>
      </w:r>
      <w:r w:rsidR="00BD7059">
        <w:t xml:space="preserve"> What’s true is that E2&amp;D does not support P. I agree. However, just relocate the defeater and voila: </w:t>
      </w:r>
      <w:r w:rsidR="002A23AC">
        <w:t>i</w:t>
      </w:r>
      <w:r w:rsidR="00BD7059">
        <w:t>f E2* = E2&amp;D, then E2* supports that E1 supports P, even though E2* does not support P, contrary to filtration. So, filtration occurs only when the higher-order evidence does not contain defeaters.</w:t>
      </w:r>
    </w:p>
    <w:p w14:paraId="1016EA1C" w14:textId="77777777" w:rsidR="00BD7059" w:rsidRDefault="00BD7059" w:rsidP="004040FC">
      <w:pPr>
        <w:spacing w:after="0" w:line="240" w:lineRule="auto"/>
      </w:pPr>
    </w:p>
    <w:p w14:paraId="57C7BA32" w14:textId="56A68432" w:rsidR="00D630EE" w:rsidRDefault="0007542B" w:rsidP="004040FC">
      <w:pPr>
        <w:spacing w:after="0" w:line="240" w:lineRule="auto"/>
      </w:pPr>
      <w:r>
        <w:t>A second</w:t>
      </w:r>
      <w:r w:rsidR="004D3477">
        <w:t xml:space="preserve"> exception arises when one</w:t>
      </w:r>
      <w:r w:rsidR="00F7498A">
        <w:t xml:space="preserve"> </w:t>
      </w:r>
      <w:r w:rsidR="004D3477">
        <w:t>doesn’t understand much about what one has evidence for</w:t>
      </w:r>
      <w:r w:rsidR="00F7498A">
        <w:t xml:space="preserve">. </w:t>
      </w:r>
      <w:r w:rsidR="00CD2506">
        <w:t xml:space="preserve">So, suppose that E2 supports that E1 </w:t>
      </w:r>
      <w:r w:rsidR="00BF16BF">
        <w:t>is a sound argument for</w:t>
      </w:r>
      <w:r w:rsidR="00CD2506">
        <w:t xml:space="preserve"> P. If E2 is testimonial evidence </w:t>
      </w:r>
      <w:r w:rsidR="00F30C38">
        <w:t xml:space="preserve">given by me in my logic class to a student who knows the standard definition of </w:t>
      </w:r>
      <w:r w:rsidR="000B2551">
        <w:t xml:space="preserve">deductive </w:t>
      </w:r>
      <w:r w:rsidR="00F30C38">
        <w:t xml:space="preserve">validity but has a confused understanding of </w:t>
      </w:r>
      <w:r w:rsidR="00B37A03">
        <w:t>it</w:t>
      </w:r>
      <w:r w:rsidR="00F30C38">
        <w:t xml:space="preserve">, </w:t>
      </w:r>
      <w:r w:rsidR="00CD2506">
        <w:t xml:space="preserve">then perhaps E2 does not yield evidence for P. E2 needs to contain adequate conceptual information about the propositions it supports in order for filtration to kick in. </w:t>
      </w:r>
    </w:p>
    <w:p w14:paraId="7BCBD028" w14:textId="54FD8A3D" w:rsidR="00297E47" w:rsidRDefault="00297E47" w:rsidP="004040FC">
      <w:pPr>
        <w:spacing w:after="0" w:line="240" w:lineRule="auto"/>
      </w:pPr>
    </w:p>
    <w:p w14:paraId="1DAD1BCE" w14:textId="43A077DC" w:rsidR="00297E47" w:rsidRDefault="0007542B" w:rsidP="004040FC">
      <w:pPr>
        <w:spacing w:after="0" w:line="240" w:lineRule="auto"/>
      </w:pPr>
      <w:r>
        <w:t>For the third exception,</w:t>
      </w:r>
      <w:r w:rsidR="007C1CA6">
        <w:t xml:space="preserve"> </w:t>
      </w:r>
      <w:r>
        <w:t>s</w:t>
      </w:r>
      <w:r w:rsidR="007C1CA6">
        <w:t xml:space="preserve">uppose we do a little reflection in epistemology class and conjure up some intuitive evidence E2, which supports that </w:t>
      </w:r>
      <w:r w:rsidR="00BF16BF">
        <w:t xml:space="preserve">certain </w:t>
      </w:r>
      <w:r w:rsidR="00F21A25">
        <w:t xml:space="preserve">experiences (or propositions) </w:t>
      </w:r>
      <w:r w:rsidR="00BF16BF">
        <w:t>E1</w:t>
      </w:r>
      <w:r w:rsidR="007C1CA6">
        <w:t xml:space="preserve"> are evidence of trees. Contrary to filtration,</w:t>
      </w:r>
      <w:r w:rsidR="00BF16BF">
        <w:t xml:space="preserve"> if </w:t>
      </w:r>
      <w:r w:rsidR="00F21A25">
        <w:t>no one is having those experiences (</w:t>
      </w:r>
      <w:r w:rsidR="00B37A03">
        <w:t>or</w:t>
      </w:r>
      <w:r w:rsidR="00F21A25">
        <w:t xml:space="preserve"> reason to think th</w:t>
      </w:r>
      <w:r w:rsidR="00B37A03">
        <w:t>e</w:t>
      </w:r>
      <w:r w:rsidR="00F21A25">
        <w:t xml:space="preserve"> propositions are true)</w:t>
      </w:r>
      <w:r w:rsidR="00BF16BF">
        <w:t xml:space="preserve">, </w:t>
      </w:r>
      <w:r w:rsidR="00F21A25">
        <w:t xml:space="preserve">then </w:t>
      </w:r>
      <w:r w:rsidR="00BF16BF">
        <w:t>E2 doesn’t give us evidence of trees</w:t>
      </w:r>
      <w:r w:rsidR="007C1CA6">
        <w:t xml:space="preserve">. </w:t>
      </w:r>
      <w:proofErr w:type="gramStart"/>
      <w:r w:rsidR="00F21A25">
        <w:t>I</w:t>
      </w:r>
      <w:r w:rsidR="007C1CA6">
        <w:t>n order for</w:t>
      </w:r>
      <w:proofErr w:type="gramEnd"/>
      <w:r w:rsidR="007C1CA6">
        <w:t xml:space="preserve"> E2 to support </w:t>
      </w:r>
      <w:r w:rsidR="00E03ED2">
        <w:t>P</w:t>
      </w:r>
      <w:r w:rsidR="007C1CA6">
        <w:t xml:space="preserve">, it </w:t>
      </w:r>
      <w:r w:rsidR="00B37A03">
        <w:t>needs</w:t>
      </w:r>
      <w:r w:rsidR="007C1CA6">
        <w:t xml:space="preserve"> to </w:t>
      </w:r>
      <w:r w:rsidR="007C1CA6" w:rsidRPr="0046216C">
        <w:rPr>
          <w:i/>
          <w:iCs/>
        </w:rPr>
        <w:t>ground</w:t>
      </w:r>
      <w:r w:rsidR="007C1CA6">
        <w:t xml:space="preserve"> E1</w:t>
      </w:r>
      <w:r w:rsidR="005866B5">
        <w:t xml:space="preserve"> by supporting that E1 is an </w:t>
      </w:r>
      <w:r w:rsidR="00E03ED2">
        <w:t>occurrent</w:t>
      </w:r>
      <w:r w:rsidR="005866B5">
        <w:t xml:space="preserve"> experience</w:t>
      </w:r>
      <w:r w:rsidR="00B37A03">
        <w:t xml:space="preserve"> or contains true propositions</w:t>
      </w:r>
      <w:r w:rsidR="005866B5">
        <w:t xml:space="preserve">. </w:t>
      </w:r>
    </w:p>
    <w:p w14:paraId="24CE8982" w14:textId="5A6EE30B" w:rsidR="00BD7059" w:rsidRDefault="00BD7059" w:rsidP="004040FC">
      <w:pPr>
        <w:spacing w:after="0" w:line="240" w:lineRule="auto"/>
      </w:pPr>
    </w:p>
    <w:p w14:paraId="6B090A04" w14:textId="7154F082" w:rsidR="00936044" w:rsidRDefault="0007542B" w:rsidP="004040FC">
      <w:pPr>
        <w:spacing w:after="0" w:line="240" w:lineRule="auto"/>
      </w:pPr>
      <w:r>
        <w:t xml:space="preserve">Only in </w:t>
      </w:r>
      <w:r w:rsidR="00936044">
        <w:t xml:space="preserve">some cases </w:t>
      </w:r>
      <w:r>
        <w:t>does filtration require E2 to</w:t>
      </w:r>
      <w:r w:rsidR="00936044">
        <w:t xml:space="preserve"> ground E1</w:t>
      </w:r>
      <w:r>
        <w:t xml:space="preserve"> or contain adequate conceptual information about E1’s relation to P</w:t>
      </w:r>
      <w:r w:rsidR="00936044">
        <w:t>. E2</w:t>
      </w:r>
      <w:r>
        <w:t xml:space="preserve"> needs to</w:t>
      </w:r>
      <w:r w:rsidR="00936044">
        <w:t xml:space="preserve"> meet these conditions in order to support </w:t>
      </w:r>
      <w:r>
        <w:t>P</w:t>
      </w:r>
      <w:r w:rsidR="00936044">
        <w:t xml:space="preserve"> </w:t>
      </w:r>
      <w:r w:rsidR="00936044" w:rsidRPr="0007542B">
        <w:rPr>
          <w:i/>
          <w:iCs/>
        </w:rPr>
        <w:t xml:space="preserve">in virtue of its support for the claim that E1 supports </w:t>
      </w:r>
      <w:r>
        <w:rPr>
          <w:i/>
          <w:iCs/>
        </w:rPr>
        <w:t>P</w:t>
      </w:r>
      <w:r w:rsidR="00936044">
        <w:t xml:space="preserve">. But due to the possibility of supportive complexity, E2 can support </w:t>
      </w:r>
      <w:r>
        <w:t>P</w:t>
      </w:r>
      <w:r w:rsidR="00936044">
        <w:t xml:space="preserve"> in other ways. </w:t>
      </w:r>
      <w:r w:rsidR="00732A37">
        <w:t xml:space="preserve">For example, E2 might also support that E1* supports P. If </w:t>
      </w:r>
      <w:r w:rsidR="00295227">
        <w:t xml:space="preserve">E2 </w:t>
      </w:r>
      <w:r w:rsidR="00732A37">
        <w:t xml:space="preserve">grounds E1*, then </w:t>
      </w:r>
      <w:r w:rsidR="00295227">
        <w:t>it</w:t>
      </w:r>
      <w:r w:rsidR="00732A37">
        <w:t xml:space="preserve"> can support P </w:t>
      </w:r>
      <w:r w:rsidR="00295227">
        <w:t xml:space="preserve">via this route </w:t>
      </w:r>
      <w:r w:rsidR="00732A37">
        <w:t xml:space="preserve">without grounding E1. </w:t>
      </w:r>
      <w:r w:rsidR="00304416">
        <w:t xml:space="preserve"> </w:t>
      </w:r>
    </w:p>
    <w:p w14:paraId="1C2E3D0F" w14:textId="77777777" w:rsidR="00936044" w:rsidRDefault="00936044" w:rsidP="004040FC">
      <w:pPr>
        <w:spacing w:after="0" w:line="240" w:lineRule="auto"/>
      </w:pPr>
    </w:p>
    <w:p w14:paraId="2EF62DF9" w14:textId="39FA0C7E" w:rsidR="003C0451" w:rsidRDefault="005866B5" w:rsidP="004040FC">
      <w:pPr>
        <w:spacing w:after="0" w:line="240" w:lineRule="auto"/>
      </w:pPr>
      <w:r>
        <w:t>So, there are various restrictions</w:t>
      </w:r>
      <w:r w:rsidR="00D13373">
        <w:t xml:space="preserve"> and some of them only apply some of the time.</w:t>
      </w:r>
      <w:r w:rsidR="00C12694">
        <w:t xml:space="preserve"> But </w:t>
      </w:r>
      <w:r w:rsidR="00AB5E1A">
        <w:t>s</w:t>
      </w:r>
      <w:r w:rsidR="00936044">
        <w:t xml:space="preserve">uppose that we have a case in which filtration occurs. </w:t>
      </w:r>
      <w:r w:rsidR="0046216C">
        <w:t>The</w:t>
      </w:r>
      <w:r w:rsidR="00AB5E1A">
        <w:t>n it is crucial to note what I call</w:t>
      </w:r>
      <w:r w:rsidR="00936044">
        <w:t xml:space="preserve"> </w:t>
      </w:r>
      <w:r w:rsidR="0046216C">
        <w:t xml:space="preserve">the </w:t>
      </w:r>
      <w:r w:rsidR="0046216C" w:rsidRPr="0046216C">
        <w:rPr>
          <w:i/>
          <w:iCs/>
        </w:rPr>
        <w:t>dampening effect</w:t>
      </w:r>
      <w:r w:rsidR="0046216C">
        <w:t>. Suppose that E1 supports P to degree N</w:t>
      </w:r>
      <w:r w:rsidR="00E9700D">
        <w:t>1</w:t>
      </w:r>
      <w:r w:rsidR="0046216C">
        <w:t>. And suppose that</w:t>
      </w:r>
      <w:r w:rsidR="003718A4">
        <w:t xml:space="preserve"> </w:t>
      </w:r>
      <w:r w:rsidR="0046216C">
        <w:t>E2 supports</w:t>
      </w:r>
      <w:r w:rsidR="00E9700D">
        <w:t xml:space="preserve"> to degree N2</w:t>
      </w:r>
      <w:r w:rsidR="0046216C">
        <w:t xml:space="preserve"> that E1 supports P. I claim that in general, even when E2 meets the conditions for filtration, E2 supports P to some degree M &lt; N</w:t>
      </w:r>
      <w:r w:rsidR="00E9700D">
        <w:t>1, N2</w:t>
      </w:r>
      <w:r w:rsidR="0046216C">
        <w:t>. This is because the further the evidential distance from a proposition, the greater risk</w:t>
      </w:r>
      <w:r w:rsidR="003E4DF6">
        <w:t xml:space="preserve">, the less likely it is true, the </w:t>
      </w:r>
      <w:r w:rsidR="00F30C38">
        <w:t>weaker</w:t>
      </w:r>
      <w:r w:rsidR="003E4DF6">
        <w:t xml:space="preserve"> the support</w:t>
      </w:r>
      <w:r w:rsidR="00F30C38">
        <w:t>—i.e., the more it has dampened</w:t>
      </w:r>
      <w:r w:rsidR="003E4DF6">
        <w:t xml:space="preserve">. </w:t>
      </w:r>
      <w:r w:rsidR="00E9700D">
        <w:t>To illustrate the simplest case, where N1=N2=N</w:t>
      </w:r>
      <w:r w:rsidR="009E660D">
        <w:t>: you are confiden</w:t>
      </w:r>
      <w:r w:rsidR="00AB5E1A">
        <w:t xml:space="preserve">t </w:t>
      </w:r>
      <w:r w:rsidR="009E660D">
        <w:t xml:space="preserve">to degree N that you have a proof of theorem T vs. you are confident to degree N that you have a proof that there is a proof of theorem T. It seems to me the first </w:t>
      </w:r>
      <w:r w:rsidR="00AB5E1A">
        <w:t>justifies</w:t>
      </w:r>
      <w:r w:rsidR="009E660D">
        <w:t xml:space="preserve"> more confidence in T. </w:t>
      </w:r>
      <w:r w:rsidR="00AB5E1A">
        <w:t>However</w:t>
      </w:r>
      <w:r w:rsidR="009E660D">
        <w:t>, dampening</w:t>
      </w:r>
      <w:r w:rsidR="003E4DF6">
        <w:t xml:space="preserve"> does not </w:t>
      </w:r>
      <w:r w:rsidR="00AB5E1A">
        <w:t>entail</w:t>
      </w:r>
      <w:r w:rsidR="003E4DF6">
        <w:t xml:space="preserve"> that higher-order evidenc</w:t>
      </w:r>
      <w:r w:rsidR="00AB5E1A">
        <w:t>e always</w:t>
      </w:r>
      <w:r w:rsidR="009E660D">
        <w:t xml:space="preserve"> </w:t>
      </w:r>
      <w:r w:rsidR="003E4DF6">
        <w:t>provides weaker support</w:t>
      </w:r>
      <w:r w:rsidR="00AB5E1A">
        <w:t xml:space="preserve"> </w:t>
      </w:r>
      <w:r w:rsidR="008F742E">
        <w:t>at</w:t>
      </w:r>
      <w:r w:rsidR="00AB5E1A">
        <w:t xml:space="preserve"> the object level than does first-order evidence, since for example higher-order evidence can accumulate in the absence of first-order accumulation</w:t>
      </w:r>
      <w:r w:rsidR="009E660D">
        <w:t xml:space="preserve">. </w:t>
      </w:r>
    </w:p>
    <w:p w14:paraId="7A233A5F" w14:textId="77777777" w:rsidR="005866B5" w:rsidRDefault="005866B5" w:rsidP="004040FC">
      <w:pPr>
        <w:spacing w:after="0" w:line="240" w:lineRule="auto"/>
      </w:pPr>
    </w:p>
    <w:p w14:paraId="46B73EEB" w14:textId="4A47E744" w:rsidR="008359A0" w:rsidRDefault="00973DF2" w:rsidP="004040FC">
      <w:pPr>
        <w:spacing w:after="0" w:line="240" w:lineRule="auto"/>
      </w:pPr>
      <w:r>
        <w:t xml:space="preserve">We now </w:t>
      </w:r>
      <w:r w:rsidR="00BD0D8E">
        <w:t>t</w:t>
      </w:r>
      <w:r w:rsidR="005866AD">
        <w:t>urn to cases in which one has both higher-order and lower-order evidence</w:t>
      </w:r>
      <w:r w:rsidR="000C3D9B">
        <w:t xml:space="preserve">, which raises the question: </w:t>
      </w:r>
      <w:r w:rsidR="005866AD">
        <w:t>what does the total evidence</w:t>
      </w:r>
      <w:r>
        <w:t xml:space="preserve"> </w:t>
      </w:r>
      <w:r w:rsidR="00681B52">
        <w:t>E1+E2</w:t>
      </w:r>
      <w:r w:rsidR="005866AD">
        <w:t xml:space="preserve"> support? </w:t>
      </w:r>
      <w:r w:rsidR="009A05C5">
        <w:t>In</w:t>
      </w:r>
      <w:r>
        <w:t xml:space="preserve"> cases in which E2</w:t>
      </w:r>
      <w:r w:rsidR="009A05C5">
        <w:t xml:space="preserve"> </w:t>
      </w:r>
      <w:r>
        <w:t xml:space="preserve">is </w:t>
      </w:r>
      <w:r w:rsidRPr="00973DF2">
        <w:rPr>
          <w:i/>
          <w:iCs/>
        </w:rPr>
        <w:t xml:space="preserve">friendly </w:t>
      </w:r>
      <w:r>
        <w:t xml:space="preserve">to E1 (i.e., E2 supports E1, or agrees with E1 by supporting that it bears the relation to P that E1 </w:t>
      </w:r>
      <w:proofErr w:type="gramStart"/>
      <w:r>
        <w:t>actually does</w:t>
      </w:r>
      <w:proofErr w:type="gramEnd"/>
      <w:r>
        <w:t xml:space="preserve"> bear to P</w:t>
      </w:r>
      <w:r w:rsidR="00CC1FAC">
        <w:t>)</w:t>
      </w:r>
      <w:r w:rsidR="006724BA">
        <w:t xml:space="preserve">, </w:t>
      </w:r>
      <w:r w:rsidR="009A05C5">
        <w:t xml:space="preserve">there is little difficulty deciding </w:t>
      </w:r>
      <w:r>
        <w:t>how the two levels interact</w:t>
      </w:r>
      <w:r w:rsidR="009A05C5">
        <w:t>. Although there may be disputes about whether E1+E2</w:t>
      </w:r>
      <w:r w:rsidR="00F3101A">
        <w:t xml:space="preserve"> </w:t>
      </w:r>
      <w:r w:rsidR="009A05C5">
        <w:t>support</w:t>
      </w:r>
      <w:r w:rsidR="00F3101A">
        <w:t>s</w:t>
      </w:r>
      <w:r w:rsidR="009A05C5">
        <w:t xml:space="preserve"> P more than E1 </w:t>
      </w:r>
      <w:r w:rsidR="00F3101A">
        <w:t>alone</w:t>
      </w:r>
      <w:r w:rsidR="00DF428F">
        <w:t xml:space="preserve">, </w:t>
      </w:r>
      <w:r w:rsidR="009A05C5">
        <w:t xml:space="preserve">there </w:t>
      </w:r>
      <w:r w:rsidR="00CC1FAC">
        <w:t xml:space="preserve">seems to be widespread presupposition </w:t>
      </w:r>
      <w:r w:rsidR="009A05C5">
        <w:t xml:space="preserve">that E1+E2 supports P. </w:t>
      </w:r>
      <w:r w:rsidR="008359A0">
        <w:t xml:space="preserve">In </w:t>
      </w:r>
      <w:r w:rsidR="009A05C5" w:rsidRPr="00CC1FAC">
        <w:rPr>
          <w:i/>
          <w:iCs/>
        </w:rPr>
        <w:t>hostile cases</w:t>
      </w:r>
      <w:r w:rsidR="008359A0">
        <w:t>,</w:t>
      </w:r>
      <w:r w:rsidR="009A05C5">
        <w:t xml:space="preserve"> E2 challenges </w:t>
      </w:r>
      <w:r w:rsidR="00275D43">
        <w:t xml:space="preserve">E1 in some way. </w:t>
      </w:r>
      <w:r w:rsidR="008359A0">
        <w:t xml:space="preserve">There are also </w:t>
      </w:r>
      <w:r w:rsidR="008359A0" w:rsidRPr="008359A0">
        <w:rPr>
          <w:i/>
          <w:iCs/>
        </w:rPr>
        <w:t>inert</w:t>
      </w:r>
      <w:r w:rsidR="008359A0">
        <w:t xml:space="preserve"> cases—cases in which E2 is neither friendly nor hostile.</w:t>
      </w:r>
      <w:r w:rsidR="000C3D9B">
        <w:t xml:space="preserve"> Although this</w:t>
      </w:r>
      <w:r w:rsidR="008359A0">
        <w:t xml:space="preserve"> </w:t>
      </w:r>
      <w:r w:rsidR="00646B2D">
        <w:t xml:space="preserve">last case </w:t>
      </w:r>
      <w:r w:rsidR="000C3D9B">
        <w:t>is not obvious and</w:t>
      </w:r>
      <w:r w:rsidR="008359A0">
        <w:t xml:space="preserve"> </w:t>
      </w:r>
      <w:r w:rsidR="00646B2D">
        <w:t xml:space="preserve">it will play a crucial role in my </w:t>
      </w:r>
      <w:r w:rsidR="000C3D9B">
        <w:t>treatment of</w:t>
      </w:r>
      <w:r w:rsidR="00646B2D">
        <w:t xml:space="preserve"> </w:t>
      </w:r>
      <w:r w:rsidR="000C3D9B">
        <w:t>debunking, w</w:t>
      </w:r>
      <w:r w:rsidR="00646B2D">
        <w:t>e will come back to it later</w:t>
      </w:r>
      <w:r w:rsidR="008359A0">
        <w:t xml:space="preserve">. For now, </w:t>
      </w:r>
      <w:r w:rsidR="000C3D9B">
        <w:t>focus on</w:t>
      </w:r>
      <w:r w:rsidR="008359A0">
        <w:t xml:space="preserve"> hostility.</w:t>
      </w:r>
    </w:p>
    <w:p w14:paraId="2D13172C" w14:textId="77777777" w:rsidR="008359A0" w:rsidRDefault="008359A0" w:rsidP="004040FC">
      <w:pPr>
        <w:spacing w:after="0" w:line="240" w:lineRule="auto"/>
      </w:pPr>
    </w:p>
    <w:p w14:paraId="6420EF53" w14:textId="0996FB5A" w:rsidR="00DE6FDD" w:rsidRDefault="00CC1FAC" w:rsidP="004040FC">
      <w:pPr>
        <w:spacing w:after="0" w:line="240" w:lineRule="auto"/>
      </w:pPr>
      <w:r>
        <w:t>The challenge</w:t>
      </w:r>
      <w:r w:rsidR="008359A0">
        <w:t xml:space="preserve"> to E1 in hostile cases</w:t>
      </w:r>
      <w:r>
        <w:t xml:space="preserve"> can be </w:t>
      </w:r>
      <w:r w:rsidR="00BD0D8E">
        <w:rPr>
          <w:i/>
          <w:iCs/>
        </w:rPr>
        <w:t>tangential</w:t>
      </w:r>
      <w:r w:rsidR="008359A0">
        <w:t xml:space="preserve"> to</w:t>
      </w:r>
      <w:r>
        <w:t xml:space="preserve"> E1:</w:t>
      </w:r>
      <w:r w:rsidR="00275D43">
        <w:t xml:space="preserve"> E2 supports</w:t>
      </w:r>
      <w:r w:rsidR="00942B09">
        <w:t xml:space="preserve"> that </w:t>
      </w:r>
      <w:r w:rsidR="00275D43">
        <w:t xml:space="preserve">some further evidence E1* </w:t>
      </w:r>
      <w:r w:rsidR="00942B09">
        <w:t>is evidence</w:t>
      </w:r>
      <w:r w:rsidR="00275D43">
        <w:t xml:space="preserve"> against </w:t>
      </w:r>
      <w:r w:rsidR="00942B09">
        <w:t>P. Then</w:t>
      </w:r>
      <w:r w:rsidR="00275D43">
        <w:t xml:space="preserve"> via </w:t>
      </w:r>
      <w:r>
        <w:t>filtration</w:t>
      </w:r>
      <w:r w:rsidR="00942B09">
        <w:t xml:space="preserve"> E2 is evidence against</w:t>
      </w:r>
      <w:r w:rsidR="00275D43">
        <w:t xml:space="preserve"> P, thus serving as a </w:t>
      </w:r>
      <w:r w:rsidR="00275D43" w:rsidRPr="00F213BF">
        <w:rPr>
          <w:i/>
          <w:iCs/>
        </w:rPr>
        <w:t>rebutting defeater</w:t>
      </w:r>
      <w:r w:rsidR="00275D43">
        <w:t xml:space="preserve"> for E1. </w:t>
      </w:r>
      <w:r>
        <w:t xml:space="preserve">The challenge </w:t>
      </w:r>
      <w:r w:rsidR="00942B09">
        <w:t>to E1 can also be</w:t>
      </w:r>
      <w:r>
        <w:t xml:space="preserve"> </w:t>
      </w:r>
      <w:r w:rsidRPr="00CC1FAC">
        <w:rPr>
          <w:i/>
          <w:iCs/>
        </w:rPr>
        <w:t>direct</w:t>
      </w:r>
      <w:r>
        <w:t xml:space="preserve">: </w:t>
      </w:r>
      <w:r w:rsidR="00275D43">
        <w:t xml:space="preserve">E2 </w:t>
      </w:r>
      <w:r>
        <w:t xml:space="preserve">might challenge E1’s intrinsic merits (e.g., that it contains false propositions, or that it is </w:t>
      </w:r>
      <w:r w:rsidR="00942B09">
        <w:t>a</w:t>
      </w:r>
      <w:r>
        <w:t xml:space="preserve"> blurry perception)</w:t>
      </w:r>
      <w:r w:rsidR="00942B09">
        <w:t xml:space="preserve"> or</w:t>
      </w:r>
      <w:r w:rsidR="00275D43">
        <w:t xml:space="preserve"> challeng</w:t>
      </w:r>
      <w:r>
        <w:t>e</w:t>
      </w:r>
      <w:r w:rsidR="00275D43">
        <w:t xml:space="preserve"> E1</w:t>
      </w:r>
      <w:r>
        <w:t>’s</w:t>
      </w:r>
      <w:r w:rsidR="00275D43">
        <w:t xml:space="preserve"> </w:t>
      </w:r>
      <w:r w:rsidR="00942B09">
        <w:t>bearing on</w:t>
      </w:r>
      <w:r w:rsidR="00275D43">
        <w:t xml:space="preserve"> </w:t>
      </w:r>
      <w:r w:rsidR="00942B09">
        <w:t>P</w:t>
      </w:r>
      <w:r w:rsidR="00991EC8">
        <w:t>, thereby</w:t>
      </w:r>
      <w:r w:rsidR="00F213BF">
        <w:t xml:space="preserve"> serv</w:t>
      </w:r>
      <w:r w:rsidR="00991EC8">
        <w:t>ing</w:t>
      </w:r>
      <w:r w:rsidR="00F213BF">
        <w:t xml:space="preserve"> as a</w:t>
      </w:r>
      <w:r w:rsidR="00275D43">
        <w:t xml:space="preserve"> potential </w:t>
      </w:r>
      <w:r w:rsidR="00275D43" w:rsidRPr="00F213BF">
        <w:rPr>
          <w:i/>
          <w:iCs/>
        </w:rPr>
        <w:t>undercutt</w:t>
      </w:r>
      <w:r w:rsidR="00F213BF" w:rsidRPr="00F213BF">
        <w:rPr>
          <w:i/>
          <w:iCs/>
        </w:rPr>
        <w:t>ing defeater</w:t>
      </w:r>
      <w:r w:rsidR="00275D43">
        <w:t xml:space="preserve">. </w:t>
      </w:r>
    </w:p>
    <w:p w14:paraId="75E592A8" w14:textId="77777777" w:rsidR="00DE6FDD" w:rsidRDefault="00DE6FDD" w:rsidP="004040FC">
      <w:pPr>
        <w:spacing w:after="0" w:line="240" w:lineRule="auto"/>
      </w:pPr>
    </w:p>
    <w:p w14:paraId="1A70C14D" w14:textId="6AF33BC9" w:rsidR="00275D43" w:rsidRPr="00DE6FDD" w:rsidRDefault="00DE6FDD" w:rsidP="004040FC">
      <w:pPr>
        <w:spacing w:after="0" w:line="240" w:lineRule="auto"/>
        <w:rPr>
          <w:i/>
          <w:iCs/>
        </w:rPr>
      </w:pPr>
      <w:r>
        <w:t xml:space="preserve">Now comes what I call the “latching” problem. </w:t>
      </w:r>
      <w:r w:rsidR="00275D43">
        <w:t xml:space="preserve">Suppose E2 is evidence that some evidence supports ~P, but you don’t know what that evidence is. Unbeknownst to you, </w:t>
      </w:r>
      <w:r w:rsidR="006431ED">
        <w:t>it is the evidence E1</w:t>
      </w:r>
      <w:r w:rsidR="00002732">
        <w:t xml:space="preserve"> that</w:t>
      </w:r>
      <w:r w:rsidR="006431ED">
        <w:t xml:space="preserve"> you are </w:t>
      </w:r>
      <w:r w:rsidR="00002732">
        <w:t xml:space="preserve">already </w:t>
      </w:r>
      <w:r w:rsidR="006431ED">
        <w:t>relying on to support P. It cannot</w:t>
      </w:r>
      <w:r>
        <w:t xml:space="preserve"> </w:t>
      </w:r>
      <w:r w:rsidRPr="00DE6FDD">
        <w:rPr>
          <w:i/>
          <w:iCs/>
        </w:rPr>
        <w:t>latch onto</w:t>
      </w:r>
      <w:r>
        <w:t xml:space="preserve"> </w:t>
      </w:r>
      <w:r w:rsidR="006431ED">
        <w:t>E1, and so cannot serve as an undercutter.</w:t>
      </w:r>
      <w:r w:rsidR="00002732">
        <w:rPr>
          <w:rStyle w:val="FootnoteReference"/>
        </w:rPr>
        <w:footnoteReference w:id="20"/>
      </w:r>
      <w:r w:rsidR="006431ED">
        <w:t xml:space="preserve"> </w:t>
      </w:r>
      <w:r>
        <w:t xml:space="preserve">From your perspective, E2 might as well be about some other evidence of which you know not. Even though it cannot undercut your evidence, </w:t>
      </w:r>
      <w:r w:rsidR="00002732">
        <w:t>E2</w:t>
      </w:r>
      <w:r>
        <w:t xml:space="preserve"> still has the potential to rebut </w:t>
      </w:r>
      <w:r w:rsidR="00002732">
        <w:t>E1</w:t>
      </w:r>
      <w:r>
        <w:t xml:space="preserve"> as evidence against P. But in order to do so, </w:t>
      </w:r>
      <w:r w:rsidR="00002732">
        <w:t>E2</w:t>
      </w:r>
      <w:r>
        <w:t xml:space="preserve"> will have to be evidence against P</w:t>
      </w:r>
      <w:r w:rsidR="00991EC8">
        <w:t xml:space="preserve"> by</w:t>
      </w:r>
      <w:r>
        <w:t xml:space="preserve"> meet</w:t>
      </w:r>
      <w:r w:rsidR="00991EC8">
        <w:t>ing</w:t>
      </w:r>
      <w:r>
        <w:t xml:space="preserve"> the conditions necessary for filtration. </w:t>
      </w:r>
      <w:r w:rsidR="00942B09">
        <w:t>I</w:t>
      </w:r>
      <w:r w:rsidR="006431ED">
        <w:t>n that case</w:t>
      </w:r>
      <w:r w:rsidR="00991EC8">
        <w:t>,</w:t>
      </w:r>
      <w:r w:rsidR="006431ED">
        <w:t xml:space="preserve"> its negative impact is lessened due to dampening</w:t>
      </w:r>
      <w:r>
        <w:t xml:space="preserve">, and can more easily be withstood by </w:t>
      </w:r>
      <w:r w:rsidR="00942B09">
        <w:t>the</w:t>
      </w:r>
      <w:r>
        <w:t xml:space="preserve"> first-order evidence. </w:t>
      </w:r>
    </w:p>
    <w:p w14:paraId="0E96C194" w14:textId="4369C201" w:rsidR="00275D43" w:rsidRDefault="00275D43" w:rsidP="004040FC">
      <w:pPr>
        <w:spacing w:after="0" w:line="240" w:lineRule="auto"/>
      </w:pPr>
    </w:p>
    <w:p w14:paraId="4B447D80" w14:textId="187148AB" w:rsidR="003C0451" w:rsidRDefault="004B5CAB" w:rsidP="004040FC">
      <w:pPr>
        <w:spacing w:after="0" w:line="240" w:lineRule="auto"/>
      </w:pPr>
      <w:r>
        <w:t>A few last notes about levels interaction. First, a</w:t>
      </w:r>
      <w:r w:rsidR="004A7176">
        <w:t xml:space="preserve">s with filtration, the above claims </w:t>
      </w:r>
      <w:r w:rsidR="00C3299F">
        <w:t>won’t</w:t>
      </w:r>
      <w:r>
        <w:t xml:space="preserve"> apply in special cases</w:t>
      </w:r>
      <w:r w:rsidR="00942B09">
        <w:t xml:space="preserve"> due to</w:t>
      </w:r>
      <w:r w:rsidR="004A7176">
        <w:t xml:space="preserve"> conceptual inadequacy </w:t>
      </w:r>
      <w:r w:rsidR="001B62E8">
        <w:t>and</w:t>
      </w:r>
      <w:r w:rsidR="004A7176">
        <w:t xml:space="preserve"> supportive complexity. </w:t>
      </w:r>
      <w:r>
        <w:t>Second</w:t>
      </w:r>
      <w:r w:rsidR="007A5D5A">
        <w:t xml:space="preserve">, </w:t>
      </w:r>
      <w:r w:rsidR="00B73839">
        <w:t>we need a no-defeater clause</w:t>
      </w:r>
      <w:r w:rsidR="004733E1">
        <w:t xml:space="preserve">, since even </w:t>
      </w:r>
      <w:r w:rsidR="00C3299F">
        <w:t>in</w:t>
      </w:r>
      <w:r w:rsidR="004733E1">
        <w:t xml:space="preserve"> a case of higher-order defeat, the defeater can </w:t>
      </w:r>
      <w:r w:rsidR="00C3299F">
        <w:t>itself</w:t>
      </w:r>
      <w:r w:rsidR="004733E1">
        <w:t xml:space="preserve"> be defeated. </w:t>
      </w:r>
      <w:r>
        <w:t>Third</w:t>
      </w:r>
      <w:r w:rsidR="007A5D5A">
        <w:t xml:space="preserve">, defeat can be partial. </w:t>
      </w:r>
      <w:r>
        <w:t xml:space="preserve">When I don’t make that qualification, I mean full defeat, since </w:t>
      </w:r>
      <w:r w:rsidR="005E4703">
        <w:t>that is the primary aim of</w:t>
      </w:r>
      <w:r>
        <w:t xml:space="preserve"> candidate debunkers. So, when hostility leads to </w:t>
      </w:r>
      <w:r w:rsidR="005E4703">
        <w:t>at least partial</w:t>
      </w:r>
      <w:r>
        <w:t xml:space="preserve"> defeat, we need a condition that guarantees it meets some degree threshold </w:t>
      </w:r>
      <w:r w:rsidR="00C3299F">
        <w:t>for full</w:t>
      </w:r>
      <w:r>
        <w:t xml:space="preserve"> defeat. One plausible view is </w:t>
      </w:r>
      <w:r w:rsidRPr="003C3D87">
        <w:rPr>
          <w:i/>
          <w:iCs/>
        </w:rPr>
        <w:t>calibration</w:t>
      </w:r>
      <w:r w:rsidR="00C3299F">
        <w:rPr>
          <w:i/>
          <w:iCs/>
        </w:rPr>
        <w:t>ism</w:t>
      </w:r>
      <w:r>
        <w:t xml:space="preserve">, which is roughly the view that </w:t>
      </w:r>
      <w:r w:rsidR="003C3D87">
        <w:t>the degree to which P is supported should match the degree to which E2 says E1 supports it.</w:t>
      </w:r>
      <w:r w:rsidR="003C3D87">
        <w:rPr>
          <w:rStyle w:val="FootnoteReference"/>
        </w:rPr>
        <w:footnoteReference w:id="21"/>
      </w:r>
      <w:r w:rsidR="003C3D87">
        <w:t xml:space="preserve"> </w:t>
      </w:r>
      <w:r w:rsidR="005E4703">
        <w:t xml:space="preserve">For now, we’ll </w:t>
      </w:r>
      <w:r w:rsidR="003C3D87">
        <w:t xml:space="preserve">just say that the degree has to be </w:t>
      </w:r>
      <w:r w:rsidR="005E4703">
        <w:t>“</w:t>
      </w:r>
      <w:r w:rsidR="003C3D87">
        <w:t>sufficient</w:t>
      </w:r>
      <w:r w:rsidR="005E4703">
        <w:t>”</w:t>
      </w:r>
      <w:r w:rsidR="003C3D87">
        <w:t xml:space="preserve"> as a placeholder, and </w:t>
      </w:r>
      <w:r w:rsidR="005E4703">
        <w:t>leave details to be worked out as the need arises</w:t>
      </w:r>
      <w:r w:rsidR="003C3D87">
        <w:t xml:space="preserve">.   </w:t>
      </w:r>
    </w:p>
    <w:p w14:paraId="59BC0AB2" w14:textId="1DF326A2" w:rsidR="00B73839" w:rsidRDefault="00B73839" w:rsidP="004040FC">
      <w:pPr>
        <w:spacing w:after="0" w:line="240" w:lineRule="auto"/>
      </w:pPr>
    </w:p>
    <w:p w14:paraId="79A0B827" w14:textId="35E5F0DA" w:rsidR="00E54D18" w:rsidRDefault="00B73839" w:rsidP="00E54D18">
      <w:pPr>
        <w:spacing w:after="0" w:line="240" w:lineRule="auto"/>
      </w:pPr>
      <w:r>
        <w:t xml:space="preserve">So, the theory is this: Except in </w:t>
      </w:r>
      <w:r w:rsidR="009128AB">
        <w:t>special</w:t>
      </w:r>
      <w:r>
        <w:t xml:space="preserve"> cases</w:t>
      </w:r>
      <w:r w:rsidR="004733E1">
        <w:t xml:space="preserve"> (due to conceptual inadequacy</w:t>
      </w:r>
      <w:r w:rsidR="003C3D87">
        <w:t xml:space="preserve"> and</w:t>
      </w:r>
      <w:r w:rsidR="004733E1">
        <w:t xml:space="preserve"> supportive complexity)</w:t>
      </w:r>
      <w:r>
        <w:t xml:space="preserve">, higher-order evidence </w:t>
      </w:r>
      <w:r w:rsidR="003C3D87">
        <w:t xml:space="preserve">E2 (fully) </w:t>
      </w:r>
      <w:r>
        <w:t>defeat</w:t>
      </w:r>
      <w:r w:rsidR="00764069">
        <w:t xml:space="preserve">s </w:t>
      </w:r>
      <w:r w:rsidR="00B12E2B">
        <w:t>an agent’s</w:t>
      </w:r>
      <w:r w:rsidR="004733E1">
        <w:t xml:space="preserve"> lower-order evidence </w:t>
      </w:r>
      <w:r w:rsidR="003C3D87">
        <w:t>E1</w:t>
      </w:r>
      <w:r w:rsidR="005E4703">
        <w:t xml:space="preserve"> concerning</w:t>
      </w:r>
      <w:r w:rsidR="003C3D87">
        <w:t xml:space="preserve"> P (i.e., E1 supports P but E1+E2 does not support P) </w:t>
      </w:r>
      <w:r w:rsidR="004733E1">
        <w:t>iff</w:t>
      </w:r>
      <w:r w:rsidR="009D5875">
        <w:t xml:space="preserve"> all o</w:t>
      </w:r>
      <w:r w:rsidR="00B12E2B">
        <w:t>f</w:t>
      </w:r>
      <w:r w:rsidR="009D5875">
        <w:t xml:space="preserve"> the following obtain</w:t>
      </w:r>
      <w:r w:rsidR="004733E1">
        <w:t>:</w:t>
      </w:r>
    </w:p>
    <w:p w14:paraId="30250A47" w14:textId="77777777" w:rsidR="003C3D87" w:rsidRDefault="003C3D87" w:rsidP="00E54D18">
      <w:pPr>
        <w:pStyle w:val="ListParagraph"/>
        <w:numPr>
          <w:ilvl w:val="0"/>
          <w:numId w:val="1"/>
        </w:numPr>
        <w:spacing w:after="0" w:line="240" w:lineRule="auto"/>
      </w:pPr>
      <w:r>
        <w:t>The agent possesses E2;</w:t>
      </w:r>
    </w:p>
    <w:p w14:paraId="78C298C3" w14:textId="036F54C7" w:rsidR="003C3D87" w:rsidRDefault="003C3D87" w:rsidP="00E54D18">
      <w:pPr>
        <w:pStyle w:val="ListParagraph"/>
        <w:numPr>
          <w:ilvl w:val="0"/>
          <w:numId w:val="1"/>
        </w:numPr>
        <w:spacing w:after="0" w:line="240" w:lineRule="auto"/>
      </w:pPr>
      <w:r>
        <w:t xml:space="preserve">The agent does not possess an undefeated defeater for E2; </w:t>
      </w:r>
    </w:p>
    <w:p w14:paraId="65937F76" w14:textId="23F5142C" w:rsidR="00E54D18" w:rsidRDefault="003C3D87" w:rsidP="009D5875">
      <w:pPr>
        <w:pStyle w:val="ListParagraph"/>
        <w:numPr>
          <w:ilvl w:val="0"/>
          <w:numId w:val="1"/>
        </w:numPr>
        <w:spacing w:after="0" w:line="240" w:lineRule="auto"/>
      </w:pPr>
      <w:r>
        <w:t>E2</w:t>
      </w:r>
      <w:r w:rsidR="00764069">
        <w:t xml:space="preserve"> is </w:t>
      </w:r>
      <w:r>
        <w:t xml:space="preserve">directly or </w:t>
      </w:r>
      <w:r w:rsidR="00BD0D8E">
        <w:t>tangential</w:t>
      </w:r>
      <w:r>
        <w:t xml:space="preserve">ly </w:t>
      </w:r>
      <w:r w:rsidR="00764069">
        <w:t>hostile</w:t>
      </w:r>
      <w:r>
        <w:t xml:space="preserve"> to E1;</w:t>
      </w:r>
    </w:p>
    <w:p w14:paraId="449DE8A2" w14:textId="46EA0863" w:rsidR="003A19C7" w:rsidRDefault="009D5875" w:rsidP="007A5D5A">
      <w:pPr>
        <w:pStyle w:val="ListParagraph"/>
        <w:numPr>
          <w:ilvl w:val="0"/>
          <w:numId w:val="1"/>
        </w:numPr>
        <w:spacing w:after="0" w:line="240" w:lineRule="auto"/>
      </w:pPr>
      <w:r>
        <w:t>I</w:t>
      </w:r>
      <w:r w:rsidR="004733E1">
        <w:t xml:space="preserve">f </w:t>
      </w:r>
      <w:r w:rsidR="005E4703">
        <w:t>E2 is tangentially</w:t>
      </w:r>
      <w:r w:rsidR="00CA5F14">
        <w:t xml:space="preserve"> hostil</w:t>
      </w:r>
      <w:r w:rsidR="005E4703">
        <w:t>e and</w:t>
      </w:r>
      <w:r>
        <w:t xml:space="preserve"> has an</w:t>
      </w:r>
      <w:r w:rsidR="004733E1">
        <w:t xml:space="preserve"> object-level bearing in virtue of </w:t>
      </w:r>
      <w:r w:rsidR="007A5D5A">
        <w:t xml:space="preserve">meeting the conditions necessary for </w:t>
      </w:r>
      <w:r w:rsidR="004733E1">
        <w:t>filtration</w:t>
      </w:r>
      <w:r w:rsidR="005E4703">
        <w:t xml:space="preserve">, </w:t>
      </w:r>
      <w:r>
        <w:t xml:space="preserve">it </w:t>
      </w:r>
      <w:r w:rsidR="0000238B">
        <w:t>has at least some rebutting power, albeit dampened</w:t>
      </w:r>
      <w:r>
        <w:t>;</w:t>
      </w:r>
    </w:p>
    <w:p w14:paraId="1A385D8B" w14:textId="7016F296" w:rsidR="009D5875" w:rsidRDefault="009D5875" w:rsidP="009D5875">
      <w:pPr>
        <w:pStyle w:val="ListParagraph"/>
        <w:numPr>
          <w:ilvl w:val="0"/>
          <w:numId w:val="1"/>
        </w:numPr>
        <w:spacing w:after="0" w:line="240" w:lineRule="auto"/>
      </w:pPr>
      <w:r>
        <w:t xml:space="preserve">If </w:t>
      </w:r>
      <w:r w:rsidR="005E4703">
        <w:t>E2 is directly</w:t>
      </w:r>
      <w:r>
        <w:t xml:space="preserve"> hostility</w:t>
      </w:r>
      <w:r w:rsidR="005E4703">
        <w:t xml:space="preserve"> and </w:t>
      </w:r>
      <w:r>
        <w:t>latches onto E1</w:t>
      </w:r>
      <w:r w:rsidR="005E4703">
        <w:t xml:space="preserve">, it </w:t>
      </w:r>
      <w:r w:rsidR="0000238B">
        <w:t>has at least some undercutting power</w:t>
      </w:r>
      <w:r w:rsidR="005E4703">
        <w:t>;</w:t>
      </w:r>
      <w:r w:rsidR="00637E54">
        <w:t xml:space="preserve"> and</w:t>
      </w:r>
    </w:p>
    <w:p w14:paraId="3B7F359B" w14:textId="207FA827" w:rsidR="009D5875" w:rsidRDefault="0000238B" w:rsidP="007A5D5A">
      <w:pPr>
        <w:pStyle w:val="ListParagraph"/>
        <w:numPr>
          <w:ilvl w:val="0"/>
          <w:numId w:val="1"/>
        </w:numPr>
        <w:spacing w:after="0" w:line="240" w:lineRule="auto"/>
      </w:pPr>
      <w:r>
        <w:t>E2’s hostility is sufficiently strong: its rebutting or undercutting power (the greater of the two if E2 has the potential for both) surpasses the minimum threshold</w:t>
      </w:r>
      <w:r w:rsidR="009D5875">
        <w:t>.</w:t>
      </w:r>
    </w:p>
    <w:p w14:paraId="43B4CC12" w14:textId="77777777" w:rsidR="007A0385" w:rsidRDefault="007A0385" w:rsidP="004040FC">
      <w:pPr>
        <w:spacing w:after="0" w:line="240" w:lineRule="auto"/>
        <w:rPr>
          <w:b/>
          <w:bCs/>
        </w:rPr>
      </w:pPr>
    </w:p>
    <w:p w14:paraId="2064E94C" w14:textId="2F3B3CB8" w:rsidR="003A37BA" w:rsidRPr="0087252F" w:rsidRDefault="00F3003A" w:rsidP="0087252F">
      <w:pPr>
        <w:spacing w:after="0" w:line="240" w:lineRule="auto"/>
        <w:rPr>
          <w:b/>
          <w:bCs/>
        </w:rPr>
      </w:pPr>
      <w:r w:rsidRPr="0087252F">
        <w:rPr>
          <w:b/>
          <w:bCs/>
        </w:rPr>
        <w:t>Debunkers as Higher-Order Defeaters</w:t>
      </w:r>
    </w:p>
    <w:p w14:paraId="4F5C4882" w14:textId="06D1645F" w:rsidR="00B27605" w:rsidRDefault="00B27605" w:rsidP="004040FC">
      <w:pPr>
        <w:spacing w:after="0" w:line="240" w:lineRule="auto"/>
        <w:rPr>
          <w:b/>
          <w:bCs/>
        </w:rPr>
      </w:pPr>
    </w:p>
    <w:p w14:paraId="7A302A78" w14:textId="62AE9F3C" w:rsidR="00432017" w:rsidRDefault="00432017" w:rsidP="004040FC">
      <w:pPr>
        <w:spacing w:after="0" w:line="240" w:lineRule="auto"/>
      </w:pPr>
      <w:r>
        <w:t xml:space="preserve">Having outlined the theory of higher-order defeat, we now apply it. In this section, we see how candidate debunkers can be thought of as potential higher-order defeaters, make an initial assessment </w:t>
      </w:r>
      <w:r w:rsidR="007034FE">
        <w:t>of whether they</w:t>
      </w:r>
      <w:r>
        <w:t xml:space="preserve"> meet the conditions </w:t>
      </w:r>
      <w:r w:rsidR="007034FE">
        <w:t xml:space="preserve">of </w:t>
      </w:r>
      <w:r w:rsidR="00393F15">
        <w:t xml:space="preserve">the </w:t>
      </w:r>
      <w:r w:rsidR="007034FE">
        <w:t>theory</w:t>
      </w:r>
      <w:r>
        <w:t xml:space="preserve">, and in the process see why </w:t>
      </w:r>
      <w:r w:rsidR="00CD473E">
        <w:t>existing</w:t>
      </w:r>
      <w:r>
        <w:t xml:space="preserve"> responses</w:t>
      </w:r>
      <w:r w:rsidR="007034FE">
        <w:t xml:space="preserve"> to debunking</w:t>
      </w:r>
      <w:r>
        <w:t xml:space="preserve"> </w:t>
      </w:r>
      <w:r w:rsidR="00CD473E">
        <w:t xml:space="preserve">fall short, thereby motivating </w:t>
      </w:r>
      <w:r w:rsidR="007034FE">
        <w:t>the need for a</w:t>
      </w:r>
      <w:r w:rsidR="00CD473E">
        <w:t xml:space="preserve"> new solution</w:t>
      </w:r>
      <w:r>
        <w:t xml:space="preserve">. </w:t>
      </w:r>
    </w:p>
    <w:p w14:paraId="652AF9B7" w14:textId="77777777" w:rsidR="00432017" w:rsidRDefault="00432017" w:rsidP="004040FC">
      <w:pPr>
        <w:spacing w:after="0" w:line="240" w:lineRule="auto"/>
      </w:pPr>
    </w:p>
    <w:p w14:paraId="6E9D1F4A" w14:textId="44A8E611" w:rsidR="00AD16A9" w:rsidRDefault="00183DE4" w:rsidP="004040FC">
      <w:pPr>
        <w:spacing w:after="0" w:line="240" w:lineRule="auto"/>
      </w:pPr>
      <w:r>
        <w:t>We</w:t>
      </w:r>
      <w:r w:rsidR="007034FE">
        <w:t>’</w:t>
      </w:r>
      <w:r>
        <w:t xml:space="preserve">re granting for the sake of argument that we have evidence for our first-order moral beliefs. </w:t>
      </w:r>
      <w:r w:rsidR="00695CF5">
        <w:t>By definition, c</w:t>
      </w:r>
      <w:r w:rsidR="004E5487">
        <w:t xml:space="preserve">andidate debunkers </w:t>
      </w:r>
      <w:r w:rsidR="00CD473E">
        <w:t>aim</w:t>
      </w:r>
      <w:r w:rsidR="004E5487">
        <w:t xml:space="preserve"> to </w:t>
      </w:r>
      <w:r w:rsidR="00695CF5">
        <w:t>challenge t</w:t>
      </w:r>
      <w:r w:rsidR="00B301B5">
        <w:t>his</w:t>
      </w:r>
      <w:r w:rsidR="00695CF5">
        <w:t xml:space="preserve"> evidence, and so appear to be hostile. Indeed, </w:t>
      </w:r>
      <w:proofErr w:type="gramStart"/>
      <w:r w:rsidR="00695CF5">
        <w:t>by definition</w:t>
      </w:r>
      <w:r w:rsidR="00CD473E">
        <w:t xml:space="preserve"> </w:t>
      </w:r>
      <w:r w:rsidR="00695CF5">
        <w:t>they</w:t>
      </w:r>
      <w:proofErr w:type="gramEnd"/>
      <w:r w:rsidR="00695CF5">
        <w:t xml:space="preserve"> purport to </w:t>
      </w:r>
      <w:r w:rsidR="004E5487">
        <w:t xml:space="preserve">be defeaters. </w:t>
      </w:r>
      <w:r w:rsidR="00695CF5">
        <w:t>However, t</w:t>
      </w:r>
      <w:r w:rsidR="004E5487">
        <w:t xml:space="preserve">hey </w:t>
      </w:r>
      <w:r w:rsidR="00CD473E">
        <w:t>cannot consistently</w:t>
      </w:r>
      <w:r w:rsidR="004E5487">
        <w:t xml:space="preserve"> </w:t>
      </w:r>
      <w:r w:rsidR="00CD473E">
        <w:t>purport</w:t>
      </w:r>
      <w:r w:rsidR="004E5487">
        <w:t xml:space="preserve"> to offer direct evidence against </w:t>
      </w:r>
      <w:r w:rsidR="00695CF5">
        <w:t xml:space="preserve">first-order </w:t>
      </w:r>
      <w:r w:rsidR="004E5487">
        <w:t>moral beliefs</w:t>
      </w:r>
      <w:r w:rsidR="00CD473E">
        <w:t xml:space="preserve">, since </w:t>
      </w:r>
      <w:r w:rsidR="00695CF5">
        <w:t>that would be to put forward exactly what they contest.</w:t>
      </w:r>
      <w:r w:rsidR="00E34C82">
        <w:rPr>
          <w:rStyle w:val="FootnoteReference"/>
        </w:rPr>
        <w:footnoteReference w:id="22"/>
      </w:r>
      <w:r w:rsidR="00695CF5">
        <w:t xml:space="preserve"> </w:t>
      </w:r>
      <w:r w:rsidR="0090735F">
        <w:t>Candidate debunkers</w:t>
      </w:r>
      <w:r w:rsidR="00CD473E">
        <w:t xml:space="preserve"> must</w:t>
      </w:r>
      <w:r w:rsidR="00B301B5">
        <w:t xml:space="preserve"> </w:t>
      </w:r>
      <w:r w:rsidR="00695CF5">
        <w:t>pose</w:t>
      </w:r>
      <w:r w:rsidR="004E5487">
        <w:t xml:space="preserve"> higher-order</w:t>
      </w:r>
      <w:r w:rsidR="00695CF5">
        <w:t xml:space="preserve"> challenges</w:t>
      </w:r>
      <w:r w:rsidR="00AD16A9">
        <w:t xml:space="preserve">, and the </w:t>
      </w:r>
      <w:r w:rsidR="003D51D2">
        <w:t>theory of higher-order defeat</w:t>
      </w:r>
      <w:r w:rsidR="00AD16A9">
        <w:t xml:space="preserve"> therefore appl</w:t>
      </w:r>
      <w:r w:rsidR="003D51D2">
        <w:t>ies</w:t>
      </w:r>
      <w:r w:rsidR="00AD16A9">
        <w:t>.</w:t>
      </w:r>
    </w:p>
    <w:p w14:paraId="7E0F5B91" w14:textId="77777777" w:rsidR="00AD16A9" w:rsidRDefault="00AD16A9" w:rsidP="004040FC">
      <w:pPr>
        <w:spacing w:after="0" w:line="240" w:lineRule="auto"/>
      </w:pPr>
    </w:p>
    <w:p w14:paraId="2F78DE31" w14:textId="76038E30" w:rsidR="000271BB" w:rsidRDefault="003D51D2" w:rsidP="004040FC">
      <w:pPr>
        <w:spacing w:after="0" w:line="240" w:lineRule="auto"/>
      </w:pPr>
      <w:r>
        <w:t>As a pre</w:t>
      </w:r>
      <w:r w:rsidR="00E33A7C">
        <w:t>condition</w:t>
      </w:r>
      <w:r>
        <w:t xml:space="preserve"> </w:t>
      </w:r>
      <w:r w:rsidR="006F2365">
        <w:t>of</w:t>
      </w:r>
      <w:r>
        <w:t xml:space="preserve"> the theory,</w:t>
      </w:r>
      <w:r w:rsidR="00E33A7C">
        <w:t xml:space="preserve"> candidate debunker</w:t>
      </w:r>
      <w:r w:rsidR="006F2365">
        <w:t>s</w:t>
      </w:r>
      <w:r w:rsidR="00E33A7C">
        <w:t xml:space="preserve"> </w:t>
      </w:r>
      <w:r w:rsidR="006F2365">
        <w:t>must</w:t>
      </w:r>
      <w:r w:rsidR="00E33A7C">
        <w:t xml:space="preserve"> be possessed by the agent</w:t>
      </w:r>
      <w:r w:rsidR="0003704E">
        <w:t>s</w:t>
      </w:r>
      <w:r w:rsidR="00E33A7C">
        <w:t xml:space="preserve"> </w:t>
      </w:r>
      <w:r w:rsidR="00B301B5">
        <w:t>in question</w:t>
      </w:r>
      <w:r w:rsidR="00E33A7C">
        <w:t xml:space="preserve">. </w:t>
      </w:r>
      <w:r w:rsidR="006F2365">
        <w:t>T</w:t>
      </w:r>
      <w:r w:rsidR="00A177EB">
        <w:t>hose who</w:t>
      </w:r>
      <w:r w:rsidR="0003704E">
        <w:t>’</w:t>
      </w:r>
      <w:r w:rsidR="00A177EB">
        <w:t>ve never been exposed to the relevant considerations</w:t>
      </w:r>
      <w:r w:rsidR="006F2365">
        <w:t xml:space="preserve"> are not subject to epistemic th</w:t>
      </w:r>
      <w:r w:rsidR="0003704E">
        <w:t>r</w:t>
      </w:r>
      <w:r w:rsidR="006F2365">
        <w:t>eat</w:t>
      </w:r>
      <w:r w:rsidR="00A177EB">
        <w:t xml:space="preserve">. This is not a trivial point. </w:t>
      </w:r>
      <w:r w:rsidR="00E33A7C">
        <w:t>Determining the relevant group of agents</w:t>
      </w:r>
      <w:r w:rsidR="00A177EB">
        <w:t xml:space="preserve"> is more difficult than it might</w:t>
      </w:r>
      <w:r w:rsidR="00E33A7C">
        <w:t xml:space="preserve"> otherwise</w:t>
      </w:r>
      <w:r w:rsidR="00A177EB">
        <w:t xml:space="preserve"> seem. One </w:t>
      </w:r>
      <w:r w:rsidR="006F2365">
        <w:t>extreme</w:t>
      </w:r>
      <w:r w:rsidR="00A177EB">
        <w:t xml:space="preserve"> is to think that only a handful of specialists who have read the literature, or discussed it in a seminar, are sufficiently aware</w:t>
      </w:r>
      <w:r w:rsidR="00E33A7C">
        <w:t xml:space="preserve"> of the relevant considerations</w:t>
      </w:r>
      <w:r w:rsidR="00A177EB">
        <w:t xml:space="preserve">. </w:t>
      </w:r>
      <w:r w:rsidR="008B5E4A">
        <w:t xml:space="preserve">However, one need not </w:t>
      </w:r>
      <w:r w:rsidR="00E33A7C">
        <w:t xml:space="preserve">know </w:t>
      </w:r>
      <w:r w:rsidR="008B5E4A">
        <w:t xml:space="preserve">the details </w:t>
      </w:r>
      <w:r w:rsidR="00E33A7C">
        <w:t xml:space="preserve">provided by such contexts </w:t>
      </w:r>
      <w:r w:rsidR="008B5E4A">
        <w:t xml:space="preserve">for the challenge to kick in. </w:t>
      </w:r>
      <w:r w:rsidR="00A177EB">
        <w:t>It doesn’t take much to realize that there</w:t>
      </w:r>
      <w:r w:rsidR="0003704E">
        <w:t>’</w:t>
      </w:r>
      <w:r w:rsidR="00A177EB">
        <w:t xml:space="preserve">s a lot of </w:t>
      </w:r>
      <w:r w:rsidR="00B301B5">
        <w:t xml:space="preserve">moral disagreement </w:t>
      </w:r>
      <w:r w:rsidR="0003704E">
        <w:t>among</w:t>
      </w:r>
      <w:r w:rsidR="00B301B5">
        <w:t xml:space="preserve"> </w:t>
      </w:r>
      <w:r w:rsidR="00A177EB">
        <w:t xml:space="preserve">smart, informed people. </w:t>
      </w:r>
      <w:r w:rsidR="009E7364">
        <w:t xml:space="preserve">And most adults </w:t>
      </w:r>
      <w:r w:rsidR="0003704E">
        <w:t>nowadays</w:t>
      </w:r>
      <w:r w:rsidR="009E7364">
        <w:t xml:space="preserve"> know about evolution, </w:t>
      </w:r>
      <w:r w:rsidR="0003704E">
        <w:t xml:space="preserve">and </w:t>
      </w:r>
      <w:r w:rsidR="009E7364">
        <w:t xml:space="preserve">at least some of the more reflective of them might have realized that this affects our moral judgments. </w:t>
      </w:r>
      <w:r w:rsidR="00E33A7C">
        <w:t xml:space="preserve">It is plausible that </w:t>
      </w:r>
      <w:r w:rsidR="009E7364">
        <w:t>th</w:t>
      </w:r>
      <w:r w:rsidR="0003704E">
        <w:t>e</w:t>
      </w:r>
      <w:r w:rsidR="009E7364">
        <w:t>se</w:t>
      </w:r>
      <w:r w:rsidR="00E33A7C">
        <w:t xml:space="preserve"> rudimentary</w:t>
      </w:r>
      <w:r w:rsidR="009E7364">
        <w:t xml:space="preserve"> considerations are enough to get the</w:t>
      </w:r>
      <w:r w:rsidR="00E33A7C">
        <w:t xml:space="preserve"> </w:t>
      </w:r>
      <w:r w:rsidR="009E7364">
        <w:t>threat going</w:t>
      </w:r>
      <w:r w:rsidR="00E33A7C">
        <w:t xml:space="preserve">. So, I assume that </w:t>
      </w:r>
      <w:r w:rsidR="00374396">
        <w:t xml:space="preserve">a </w:t>
      </w:r>
      <w:r w:rsidR="0003704E">
        <w:t>significant</w:t>
      </w:r>
      <w:r w:rsidR="00374396">
        <w:t xml:space="preserve"> percentage of average folk </w:t>
      </w:r>
      <w:r w:rsidR="00E33A7C">
        <w:t xml:space="preserve">are in possession of at least one candidate debunker. </w:t>
      </w:r>
      <w:r w:rsidR="006F2365">
        <w:t>Besides</w:t>
      </w:r>
      <w:r w:rsidR="007F3991">
        <w:t xml:space="preserve">, </w:t>
      </w:r>
      <w:r w:rsidR="003653A2">
        <w:t>protection from the threat by appeal to ignorance is unsatisfactory</w:t>
      </w:r>
      <w:r w:rsidR="007F3991">
        <w:t xml:space="preserve">. </w:t>
      </w:r>
      <w:r w:rsidR="000271BB">
        <w:t xml:space="preserve">After all, those of us attempting to respond to the debunking challenge </w:t>
      </w:r>
      <w:r w:rsidR="00E33A7C">
        <w:t xml:space="preserve">are </w:t>
      </w:r>
      <w:r w:rsidR="0003704E">
        <w:t>well</w:t>
      </w:r>
      <w:r w:rsidR="00E33A7C">
        <w:t xml:space="preserve"> informed</w:t>
      </w:r>
      <w:r w:rsidR="000271BB">
        <w:t xml:space="preserve">, and we </w:t>
      </w:r>
      <w:r w:rsidR="003653A2">
        <w:t xml:space="preserve">too </w:t>
      </w:r>
      <w:r w:rsidR="000271BB">
        <w:t xml:space="preserve">want </w:t>
      </w:r>
      <w:r w:rsidR="00E33A7C">
        <w:t>our</w:t>
      </w:r>
      <w:r w:rsidR="000271BB">
        <w:t xml:space="preserve"> moral beliefs to be safe!</w:t>
      </w:r>
      <w:r w:rsidR="00E33A7C">
        <w:t xml:space="preserve"> So, minimizing the </w:t>
      </w:r>
      <w:r>
        <w:t xml:space="preserve">relevant group </w:t>
      </w:r>
      <w:r w:rsidR="0003704E">
        <w:t>doesn’t</w:t>
      </w:r>
      <w:r>
        <w:t xml:space="preserve"> provide a satisfactory response. </w:t>
      </w:r>
    </w:p>
    <w:p w14:paraId="14B2DE92" w14:textId="77777777" w:rsidR="000271BB" w:rsidRDefault="000271BB" w:rsidP="004040FC">
      <w:pPr>
        <w:spacing w:after="0" w:line="240" w:lineRule="auto"/>
      </w:pPr>
    </w:p>
    <w:p w14:paraId="3FD4B486" w14:textId="114DE930" w:rsidR="006B61FA" w:rsidRDefault="003D51D2" w:rsidP="000271BB">
      <w:pPr>
        <w:spacing w:after="0" w:line="240" w:lineRule="auto"/>
      </w:pPr>
      <w:r>
        <w:t>The other precondition to be satisfied is exclusion from special cases</w:t>
      </w:r>
      <w:r w:rsidR="0003704E">
        <w:t>, the first of which is</w:t>
      </w:r>
      <w:r w:rsidR="00374396">
        <w:t xml:space="preserve"> easily dismissed: the group </w:t>
      </w:r>
      <w:r w:rsidR="0003704E">
        <w:t>we have settled on (</w:t>
      </w:r>
      <w:r w:rsidR="00374396">
        <w:t>ranging from most average folk to experts</w:t>
      </w:r>
      <w:r w:rsidR="0003704E">
        <w:t>)</w:t>
      </w:r>
      <w:r w:rsidR="00374396">
        <w:t xml:space="preserve"> presumably ha</w:t>
      </w:r>
      <w:r w:rsidR="0003704E">
        <w:t>s</w:t>
      </w:r>
      <w:r w:rsidR="00374396">
        <w:t xml:space="preserve"> a sufficient handle on the basic concepts, such as evidence and support, and can carry out simple valid deductions.</w:t>
      </w:r>
      <w:r>
        <w:t xml:space="preserve"> </w:t>
      </w:r>
      <w:r w:rsidR="0094080C">
        <w:t>The other special case</w:t>
      </w:r>
      <w:r w:rsidR="00B301B5">
        <w:t xml:space="preserve"> is</w:t>
      </w:r>
      <w:r w:rsidR="004E2B2F">
        <w:t xml:space="preserve"> supportive complexity. </w:t>
      </w:r>
      <w:r w:rsidR="00E252AA">
        <w:t xml:space="preserve">There is </w:t>
      </w:r>
      <w:r w:rsidR="009B3511">
        <w:t>a simple trick for obtaining</w:t>
      </w:r>
      <w:r w:rsidR="00E252AA">
        <w:t xml:space="preserve"> supportive complexity: plug into the theory </w:t>
      </w:r>
      <w:r w:rsidR="009B3511">
        <w:t>one’s</w:t>
      </w:r>
      <w:r w:rsidR="00E252AA">
        <w:t xml:space="preserve"> total body of higher-order evidence</w:t>
      </w:r>
      <w:r w:rsidR="009B3511">
        <w:t>,</w:t>
      </w:r>
      <w:r w:rsidR="00E252AA">
        <w:t xml:space="preserve"> which </w:t>
      </w:r>
      <w:r w:rsidR="009758E4">
        <w:t>contains debunking evidence</w:t>
      </w:r>
      <w:r w:rsidR="00E252AA">
        <w:t xml:space="preserve"> </w:t>
      </w:r>
      <w:r w:rsidR="009B3511">
        <w:t>as a mere proper part</w:t>
      </w:r>
      <w:r w:rsidR="00E252AA">
        <w:t xml:space="preserve">. </w:t>
      </w:r>
      <w:r w:rsidR="009758E4">
        <w:t>I will follow a more</w:t>
      </w:r>
      <w:r w:rsidR="009B3511">
        <w:t xml:space="preserve"> useful approach</w:t>
      </w:r>
      <w:r w:rsidR="009758E4">
        <w:t>:</w:t>
      </w:r>
      <w:r w:rsidR="009B3511">
        <w:t xml:space="preserve"> </w:t>
      </w:r>
      <w:r w:rsidR="009758E4">
        <w:t xml:space="preserve">isolate the debunking evidence, </w:t>
      </w:r>
      <w:r w:rsidR="009B3511">
        <w:t>plug this</w:t>
      </w:r>
      <w:r w:rsidR="009758E4">
        <w:t xml:space="preserve"> alone</w:t>
      </w:r>
      <w:r w:rsidR="009B3511">
        <w:t xml:space="preserve"> into the theory, see what results, then </w:t>
      </w:r>
      <w:r w:rsidR="00FA761D">
        <w:t>separately consider after the fact whether the remaining evidence defeats those results</w:t>
      </w:r>
      <w:r w:rsidR="004E2B2F">
        <w:t xml:space="preserve">. </w:t>
      </w:r>
      <w:r w:rsidR="006B61FA">
        <w:t xml:space="preserve">Since we are limiting consideration to consistent candidate debunkers (ones that do not </w:t>
      </w:r>
      <w:r w:rsidR="00FA761D">
        <w:t>presuppose first-order moral claims</w:t>
      </w:r>
      <w:r w:rsidR="006B61FA">
        <w:t>), there is no reason to think the isolated debunking evidence will enter</w:t>
      </w:r>
      <w:r w:rsidR="00FA761D">
        <w:t xml:space="preserve"> into</w:t>
      </w:r>
      <w:r w:rsidR="006B61FA">
        <w:t xml:space="preserve"> any evidential relations other than </w:t>
      </w:r>
      <w:r w:rsidR="00FA761D">
        <w:t>those which</w:t>
      </w:r>
      <w:r w:rsidR="006B61FA">
        <w:t xml:space="preserve"> it wears on its sleeve: </w:t>
      </w:r>
      <w:r w:rsidR="00FA761D">
        <w:t xml:space="preserve">its negative relations to </w:t>
      </w:r>
      <w:r w:rsidR="006B61FA">
        <w:t>first-order moral evidence. So, with the proper construal of the higher-order evidence</w:t>
      </w:r>
      <w:r w:rsidR="00FA761D">
        <w:t xml:space="preserve"> under consideration</w:t>
      </w:r>
      <w:r w:rsidR="006B61FA">
        <w:t xml:space="preserve">, we can safely set aside supportive complexity.  </w:t>
      </w:r>
    </w:p>
    <w:p w14:paraId="04166F31" w14:textId="6BB44F83" w:rsidR="004E2B2F" w:rsidRDefault="004E2B2F" w:rsidP="000271BB">
      <w:pPr>
        <w:spacing w:after="0" w:line="240" w:lineRule="auto"/>
      </w:pPr>
    </w:p>
    <w:p w14:paraId="499B9137" w14:textId="07E7AF78" w:rsidR="005A6D29" w:rsidRDefault="00C24655" w:rsidP="004040FC">
      <w:pPr>
        <w:spacing w:after="0" w:line="240" w:lineRule="auto"/>
      </w:pPr>
      <w:r>
        <w:t>Having identified a relevant group</w:t>
      </w:r>
      <w:r w:rsidR="00EF0AFC">
        <w:t xml:space="preserve"> of agents</w:t>
      </w:r>
      <w:r>
        <w:t xml:space="preserve"> </w:t>
      </w:r>
      <w:r w:rsidR="00EA356A">
        <w:t>and ruled out</w:t>
      </w:r>
      <w:r>
        <w:t xml:space="preserve"> special cases, t</w:t>
      </w:r>
      <w:r w:rsidR="00771AEE">
        <w:t xml:space="preserve">he </w:t>
      </w:r>
      <w:r>
        <w:t xml:space="preserve">theory of higher-order defeat kicks in and </w:t>
      </w:r>
      <w:r w:rsidR="00B74262">
        <w:t>its</w:t>
      </w:r>
      <w:r>
        <w:t xml:space="preserve"> </w:t>
      </w:r>
      <w:r w:rsidR="00771AEE">
        <w:t xml:space="preserve">conditions </w:t>
      </w:r>
      <w:r>
        <w:t>must be</w:t>
      </w:r>
      <w:r w:rsidR="00771AEE">
        <w:t xml:space="preserve"> appl</w:t>
      </w:r>
      <w:r>
        <w:t>ied</w:t>
      </w:r>
      <w:r w:rsidR="00771AEE">
        <w:t xml:space="preserve">. </w:t>
      </w:r>
      <w:r w:rsidR="00420507">
        <w:t>First, w</w:t>
      </w:r>
      <w:r w:rsidR="00F64494">
        <w:t xml:space="preserve">e </w:t>
      </w:r>
      <w:r w:rsidR="009E6F21">
        <w:t>should</w:t>
      </w:r>
      <w:r w:rsidR="00F64494">
        <w:t xml:space="preserve"> decide whether </w:t>
      </w:r>
      <w:r w:rsidR="00622CC5">
        <w:t xml:space="preserve">direct or </w:t>
      </w:r>
      <w:r w:rsidR="00BD0D8E">
        <w:t xml:space="preserve">tangential </w:t>
      </w:r>
      <w:r w:rsidR="00622CC5">
        <w:t>hostility</w:t>
      </w:r>
      <w:r w:rsidR="00DC1D19">
        <w:t xml:space="preserve"> is at issue</w:t>
      </w:r>
      <w:r w:rsidR="00F64494">
        <w:t xml:space="preserve">. </w:t>
      </w:r>
      <w:r w:rsidR="00D06673">
        <w:t>Some treatments of disagreement</w:t>
      </w:r>
      <w:r w:rsidR="00F64494">
        <w:t xml:space="preserve"> </w:t>
      </w:r>
      <w:r w:rsidR="00D06673">
        <w:t>rely on</w:t>
      </w:r>
      <w:r w:rsidR="00F64494">
        <w:t xml:space="preserve"> the filtration principl</w:t>
      </w:r>
      <w:r w:rsidR="00D06673">
        <w:t>e: finding out that a peer disagrees yields evidence that the</w:t>
      </w:r>
      <w:r w:rsidR="00B301B5">
        <w:t>re is</w:t>
      </w:r>
      <w:r w:rsidR="00D06673">
        <w:t xml:space="preserve"> evidence against o</w:t>
      </w:r>
      <w:r w:rsidR="00DC1D19">
        <w:t>ne’s view</w:t>
      </w:r>
      <w:r w:rsidR="00D06673">
        <w:t xml:space="preserve">, which via filtration is evidence against </w:t>
      </w:r>
      <w:r w:rsidR="0044077A">
        <w:t>th</w:t>
      </w:r>
      <w:r w:rsidR="00DC1D19">
        <w:t>e view</w:t>
      </w:r>
      <w:r w:rsidR="0044077A">
        <w:t xml:space="preserve">, thereby yielding </w:t>
      </w:r>
      <w:r w:rsidR="00BD0D8E">
        <w:t xml:space="preserve">tangential </w:t>
      </w:r>
      <w:r w:rsidR="008D6EF5">
        <w:t>hostility</w:t>
      </w:r>
      <w:r w:rsidR="00F64494">
        <w:t>.</w:t>
      </w:r>
      <w:r w:rsidR="002D72BA">
        <w:rPr>
          <w:rStyle w:val="FootnoteReference"/>
        </w:rPr>
        <w:footnoteReference w:id="23"/>
      </w:r>
      <w:r w:rsidR="00F64494">
        <w:t xml:space="preserve"> This is a mistake</w:t>
      </w:r>
      <w:r w:rsidR="0044077A">
        <w:t xml:space="preserve">, even if </w:t>
      </w:r>
      <w:r w:rsidR="00CF5078">
        <w:t>the</w:t>
      </w:r>
      <w:r w:rsidR="0044077A">
        <w:t xml:space="preserve"> conditions necessary for filtration</w:t>
      </w:r>
      <w:r w:rsidR="00CF5078">
        <w:t xml:space="preserve"> are satisfied</w:t>
      </w:r>
      <w:r w:rsidR="00F64494">
        <w:t xml:space="preserve">. </w:t>
      </w:r>
      <w:r w:rsidR="00650AA8">
        <w:t>The</w:t>
      </w:r>
      <w:r w:rsidR="0044077A">
        <w:t xml:space="preserve"> dampening effect</w:t>
      </w:r>
      <w:r w:rsidR="00650AA8">
        <w:t xml:space="preserve"> weakens the bearing of the evidence from disagreement on our moral beliefs, increasing the ease with which it can be outweighed by the first-order evidence</w:t>
      </w:r>
      <w:r w:rsidR="00F64494">
        <w:t xml:space="preserve">. So, </w:t>
      </w:r>
      <w:r w:rsidR="00650AA8">
        <w:t>if treated as</w:t>
      </w:r>
      <w:r w:rsidR="008D6EF5">
        <w:t xml:space="preserve"> </w:t>
      </w:r>
      <w:r w:rsidR="00BD0D8E">
        <w:t>tangential</w:t>
      </w:r>
      <w:r w:rsidR="008D6EF5">
        <w:t xml:space="preserve"> hostility</w:t>
      </w:r>
      <w:r w:rsidR="00F64494">
        <w:t>,</w:t>
      </w:r>
      <w:r w:rsidR="00650AA8">
        <w:t xml:space="preserve"> the support for moral beliefs can remain </w:t>
      </w:r>
      <w:r w:rsidR="00F64494">
        <w:t>intact</w:t>
      </w:r>
      <w:r w:rsidR="00650AA8">
        <w:t xml:space="preserve"> in the face of disagreement albeit </w:t>
      </w:r>
      <w:r w:rsidR="00CF5078">
        <w:t>to a weakened degree</w:t>
      </w:r>
      <w:r w:rsidR="00F64494">
        <w:t xml:space="preserve">. </w:t>
      </w:r>
      <w:r w:rsidR="000E6804">
        <w:t xml:space="preserve">Of course, </w:t>
      </w:r>
      <w:r w:rsidR="0044077A">
        <w:t xml:space="preserve">conciliationists might observe that </w:t>
      </w:r>
      <w:r w:rsidR="000E6804">
        <w:t xml:space="preserve">we </w:t>
      </w:r>
      <w:r w:rsidR="0044077A">
        <w:t xml:space="preserve">typically </w:t>
      </w:r>
      <w:r w:rsidR="000E6804">
        <w:t xml:space="preserve">know </w:t>
      </w:r>
      <w:r w:rsidR="00650AA8">
        <w:t>numerous</w:t>
      </w:r>
      <w:r w:rsidR="0044077A">
        <w:t xml:space="preserve"> peers</w:t>
      </w:r>
      <w:r w:rsidR="000E6804">
        <w:t xml:space="preserve"> who disagree</w:t>
      </w:r>
      <w:r w:rsidR="0044077A">
        <w:t xml:space="preserve"> on any given topic, and so might make the argument that dampened support </w:t>
      </w:r>
      <w:r w:rsidR="00650AA8">
        <w:t>accumulates</w:t>
      </w:r>
      <w:r w:rsidR="000E6804">
        <w:t>.</w:t>
      </w:r>
      <w:r w:rsidR="0044077A">
        <w:t xml:space="preserve"> However,</w:t>
      </w:r>
      <w:r w:rsidR="000E6804">
        <w:t xml:space="preserve"> </w:t>
      </w:r>
      <w:r w:rsidR="0044077A">
        <w:t xml:space="preserve">as </w:t>
      </w:r>
      <w:r w:rsidR="00650AA8">
        <w:t>frequently</w:t>
      </w:r>
      <w:r w:rsidR="0044077A">
        <w:t xml:space="preserve"> observed, it is dubious that our peers’ beliefs </w:t>
      </w:r>
      <w:r w:rsidR="000E6804">
        <w:t>a</w:t>
      </w:r>
      <w:r w:rsidR="00BA3448">
        <w:t>re</w:t>
      </w:r>
      <w:r w:rsidR="000E6804">
        <w:t xml:space="preserve"> evidentially independent</w:t>
      </w:r>
      <w:r w:rsidR="0044077A">
        <w:t xml:space="preserve"> </w:t>
      </w:r>
      <w:r w:rsidR="00650AA8">
        <w:t>of</w:t>
      </w:r>
      <w:r w:rsidR="0044077A">
        <w:t xml:space="preserve"> </w:t>
      </w:r>
      <w:r w:rsidR="002A3A83">
        <w:t>one an</w:t>
      </w:r>
      <w:r w:rsidR="0044077A">
        <w:t>other</w:t>
      </w:r>
      <w:r w:rsidR="00EA0853">
        <w:t>, and t</w:t>
      </w:r>
      <w:r w:rsidR="0044077A">
        <w:t xml:space="preserve">o </w:t>
      </w:r>
      <w:r w:rsidR="00363EA1">
        <w:t xml:space="preserve">treat them as </w:t>
      </w:r>
      <w:r w:rsidR="00EA0853">
        <w:t>such</w:t>
      </w:r>
      <w:r w:rsidR="0044077A">
        <w:t xml:space="preserve"> would be illegitimate double-counting</w:t>
      </w:r>
      <w:r w:rsidR="00363EA1">
        <w:t xml:space="preserve"> of the available support</w:t>
      </w:r>
      <w:r w:rsidR="0044077A">
        <w:t>.</w:t>
      </w:r>
      <w:r w:rsidR="00CA46D8">
        <w:rPr>
          <w:rStyle w:val="FootnoteReference"/>
        </w:rPr>
        <w:footnoteReference w:id="24"/>
      </w:r>
      <w:r w:rsidR="0044077A">
        <w:t xml:space="preserve"> </w:t>
      </w:r>
      <w:r w:rsidR="00363EA1">
        <w:t>So, it is doubtful that</w:t>
      </w:r>
      <w:r w:rsidR="0044077A">
        <w:t xml:space="preserve"> </w:t>
      </w:r>
      <w:r w:rsidR="0056405F">
        <w:t xml:space="preserve">repeated instances of </w:t>
      </w:r>
      <w:r w:rsidR="0044077A">
        <w:t xml:space="preserve">dampened support </w:t>
      </w:r>
      <w:r w:rsidR="0056405F">
        <w:t>a</w:t>
      </w:r>
      <w:r w:rsidR="002D72BA">
        <w:t>c</w:t>
      </w:r>
      <w:r w:rsidR="0056405F">
        <w:t xml:space="preserve">cumulate. If it does, then presumably not </w:t>
      </w:r>
      <w:r w:rsidR="002D72BA">
        <w:t xml:space="preserve">according to </w:t>
      </w:r>
      <w:r w:rsidR="0056405F">
        <w:t xml:space="preserve">a </w:t>
      </w:r>
      <w:r w:rsidR="002D72BA">
        <w:t>linear</w:t>
      </w:r>
      <w:r w:rsidR="0056405F">
        <w:t xml:space="preserve"> </w:t>
      </w:r>
      <w:r w:rsidR="002D72BA">
        <w:t>measure</w:t>
      </w:r>
      <w:r w:rsidR="0056405F">
        <w:t xml:space="preserve">, </w:t>
      </w:r>
      <w:r w:rsidR="003A724E">
        <w:t>thereby limiting the prospects for any</w:t>
      </w:r>
      <w:r w:rsidR="002D72BA">
        <w:t xml:space="preserve"> cumulative effect </w:t>
      </w:r>
      <w:r w:rsidR="003A724E">
        <w:t xml:space="preserve">to surpass the </w:t>
      </w:r>
      <w:r w:rsidR="002D72BA">
        <w:t xml:space="preserve">threshold </w:t>
      </w:r>
      <w:r w:rsidR="003A724E">
        <w:t xml:space="preserve">necessary </w:t>
      </w:r>
      <w:r w:rsidR="002D72BA">
        <w:t xml:space="preserve">to fully override </w:t>
      </w:r>
      <w:r w:rsidR="00CA50F2">
        <w:t>the competing</w:t>
      </w:r>
      <w:r w:rsidR="002D72BA">
        <w:t xml:space="preserve"> </w:t>
      </w:r>
      <w:r w:rsidR="00CA50F2">
        <w:t>first-order</w:t>
      </w:r>
      <w:r w:rsidR="002D72BA">
        <w:t xml:space="preserve"> evidential support</w:t>
      </w:r>
      <w:r w:rsidR="0056405F">
        <w:t xml:space="preserve">. </w:t>
      </w:r>
    </w:p>
    <w:p w14:paraId="7C760D01" w14:textId="57DDE759" w:rsidR="00F64494" w:rsidRDefault="00F64494" w:rsidP="004040FC">
      <w:pPr>
        <w:spacing w:after="0" w:line="240" w:lineRule="auto"/>
      </w:pPr>
    </w:p>
    <w:p w14:paraId="13CA3C9F" w14:textId="04FA5FC9" w:rsidR="00506E6F" w:rsidRDefault="008E1B36" w:rsidP="004040FC">
      <w:pPr>
        <w:spacing w:after="0" w:line="240" w:lineRule="auto"/>
      </w:pPr>
      <w:r>
        <w:t>There is a more promising treatment of disagreement.</w:t>
      </w:r>
      <w:r w:rsidR="00F64494">
        <w:t xml:space="preserve"> </w:t>
      </w:r>
      <w:r w:rsidR="00DB45ED">
        <w:t xml:space="preserve">Discovering </w:t>
      </w:r>
      <w:r>
        <w:t>that a peer</w:t>
      </w:r>
      <w:r w:rsidR="00314AA7">
        <w:t xml:space="preserve">’s evidential assessment </w:t>
      </w:r>
      <w:r>
        <w:t xml:space="preserve">conflicts with </w:t>
      </w:r>
      <w:r w:rsidR="00DB45ED">
        <w:t>one’s</w:t>
      </w:r>
      <w:r>
        <w:t xml:space="preserve"> </w:t>
      </w:r>
      <w:r w:rsidR="00314AA7">
        <w:t>o</w:t>
      </w:r>
      <w:r w:rsidR="00C00872">
        <w:t>riginal</w:t>
      </w:r>
      <w:r>
        <w:t xml:space="preserve"> assessment</w:t>
      </w:r>
      <w:r w:rsidR="00F64494">
        <w:t xml:space="preserve"> </w:t>
      </w:r>
      <w:r>
        <w:t xml:space="preserve">yields </w:t>
      </w:r>
      <w:r w:rsidR="00F64494">
        <w:t xml:space="preserve">reason to doubt whether </w:t>
      </w:r>
      <w:r w:rsidR="00DB45ED">
        <w:t>the</w:t>
      </w:r>
      <w:r>
        <w:t xml:space="preserve"> </w:t>
      </w:r>
      <w:r w:rsidR="00F64494">
        <w:t xml:space="preserve">evidence really supports what </w:t>
      </w:r>
      <w:r w:rsidR="00DB45ED">
        <w:t>one</w:t>
      </w:r>
      <w:r w:rsidR="00F64494">
        <w:t xml:space="preserve"> </w:t>
      </w:r>
      <w:r>
        <w:t>initially thought</w:t>
      </w:r>
      <w:r w:rsidR="00C00872">
        <w:t xml:space="preserve">—i.e., </w:t>
      </w:r>
      <w:r w:rsidR="00506E6F">
        <w:t>it</w:t>
      </w:r>
      <w:r w:rsidR="00C00872">
        <w:t>’</w:t>
      </w:r>
      <w:r w:rsidR="008D6EF5">
        <w:t>s directly hostile</w:t>
      </w:r>
      <w:r w:rsidR="00F64494">
        <w:t xml:space="preserve">. </w:t>
      </w:r>
      <w:r w:rsidR="00A854B4">
        <w:t xml:space="preserve">The case for </w:t>
      </w:r>
      <w:r w:rsidR="008D6EF5">
        <w:t xml:space="preserve">direct </w:t>
      </w:r>
      <w:r w:rsidR="00C00872">
        <w:t xml:space="preserve">rather than </w:t>
      </w:r>
      <w:r w:rsidR="00BD0D8E">
        <w:t>tangential</w:t>
      </w:r>
      <w:r w:rsidR="008D6EF5">
        <w:t xml:space="preserve"> hostility </w:t>
      </w:r>
      <w:r w:rsidR="00A854B4">
        <w:t xml:space="preserve">is even clearer in the case of </w:t>
      </w:r>
      <w:r w:rsidR="00F64494">
        <w:t>E</w:t>
      </w:r>
      <w:r w:rsidR="00845FA7">
        <w:t>D</w:t>
      </w:r>
      <w:r w:rsidR="00506E6F">
        <w:t xml:space="preserve">As and the </w:t>
      </w:r>
      <w:r w:rsidR="00783867">
        <w:t>BFC</w:t>
      </w:r>
      <w:r w:rsidR="00DB45ED">
        <w:t>,</w:t>
      </w:r>
      <w:r w:rsidR="00506E6F">
        <w:t xml:space="preserve"> since they</w:t>
      </w:r>
      <w:r w:rsidR="00A854B4">
        <w:t xml:space="preserve"> explicitly</w:t>
      </w:r>
      <w:r w:rsidR="00506E6F">
        <w:t xml:space="preserve"> </w:t>
      </w:r>
      <w:r w:rsidR="00A854B4">
        <w:t>attempt to make trouble for our evidential basis</w:t>
      </w:r>
      <w:r w:rsidR="00F64494">
        <w:t xml:space="preserve">. </w:t>
      </w:r>
    </w:p>
    <w:p w14:paraId="01E1F921" w14:textId="77777777" w:rsidR="00506E6F" w:rsidRDefault="00506E6F" w:rsidP="004040FC">
      <w:pPr>
        <w:spacing w:after="0" w:line="240" w:lineRule="auto"/>
      </w:pPr>
    </w:p>
    <w:p w14:paraId="770125F5" w14:textId="1FECE042" w:rsidR="00F64494" w:rsidRDefault="00A854B4" w:rsidP="004040FC">
      <w:pPr>
        <w:spacing w:after="0" w:line="240" w:lineRule="auto"/>
      </w:pPr>
      <w:r>
        <w:t xml:space="preserve">Given that candidate debunkers are best treated as </w:t>
      </w:r>
      <w:r w:rsidR="008D6EF5">
        <w:t>cases of direct hostility</w:t>
      </w:r>
      <w:r>
        <w:t xml:space="preserve">, the next condition to examine is the latching requirement. But </w:t>
      </w:r>
      <w:r w:rsidR="00622CC5">
        <w:t>we can easily see that the</w:t>
      </w:r>
      <w:r w:rsidR="00F64494">
        <w:t xml:space="preserve"> candidate debunkers are about the very evidence </w:t>
      </w:r>
      <w:r w:rsidR="00DB45ED">
        <w:t xml:space="preserve">on which we </w:t>
      </w:r>
      <w:r w:rsidR="00622CC5">
        <w:t>rely.</w:t>
      </w:r>
      <w:r w:rsidR="00D72D59">
        <w:rPr>
          <w:rStyle w:val="FootnoteReference"/>
        </w:rPr>
        <w:footnoteReference w:id="25"/>
      </w:r>
      <w:r w:rsidR="00622CC5">
        <w:t xml:space="preserve"> There’s </w:t>
      </w:r>
      <w:r w:rsidR="00367A36">
        <w:t xml:space="preserve">only a </w:t>
      </w:r>
      <w:r w:rsidR="00622CC5">
        <w:t>little room for disconnect</w:t>
      </w:r>
      <w:r w:rsidR="00367A36">
        <w:t>. M</w:t>
      </w:r>
      <w:r w:rsidR="00622CC5">
        <w:t>ental compartmentalization</w:t>
      </w:r>
      <w:r w:rsidR="00367A36">
        <w:t xml:space="preserve"> might do the trick</w:t>
      </w:r>
      <w:r w:rsidR="00622CC5">
        <w:t>, or</w:t>
      </w:r>
      <w:r w:rsidR="00367A36">
        <w:t xml:space="preserve"> Hume’s</w:t>
      </w:r>
      <w:r w:rsidR="00320DF7">
        <w:t xml:space="preserve"> (in)famous</w:t>
      </w:r>
      <w:r w:rsidR="00367A36">
        <w:t xml:space="preserve"> treatment of skepticism:</w:t>
      </w:r>
      <w:r w:rsidR="00622CC5">
        <w:t xml:space="preserve"> </w:t>
      </w:r>
      <w:r w:rsidR="00367A36">
        <w:t>philosophical reflection giv</w:t>
      </w:r>
      <w:r w:rsidR="00F5019E">
        <w:t>ing</w:t>
      </w:r>
      <w:r w:rsidR="00367A36">
        <w:t xml:space="preserve"> rise to defeaters will inevitably be overturned by </w:t>
      </w:r>
      <w:r w:rsidR="00622CC5">
        <w:t>habit</w:t>
      </w:r>
      <w:r w:rsidR="00367A36">
        <w:t>, at which point we</w:t>
      </w:r>
      <w:r w:rsidR="00EF33CA">
        <w:t>’</w:t>
      </w:r>
      <w:r w:rsidR="00367A36">
        <w:t>ll</w:t>
      </w:r>
      <w:r w:rsidR="00622CC5">
        <w:t xml:space="preserve"> resume normal life and forget about </w:t>
      </w:r>
      <w:r w:rsidR="00EF33CA">
        <w:t xml:space="preserve">the </w:t>
      </w:r>
      <w:r w:rsidR="00367A36">
        <w:t>defeaters</w:t>
      </w:r>
      <w:r w:rsidR="00622CC5">
        <w:t xml:space="preserve">. Perhaps something like this can </w:t>
      </w:r>
      <w:r w:rsidR="00B8799C">
        <w:t>stop</w:t>
      </w:r>
      <w:r w:rsidR="00622CC5">
        <w:t xml:space="preserve"> us from connecting the dots in everyday moral belief formation, preventing latching</w:t>
      </w:r>
      <w:r w:rsidR="00B8799C">
        <w:t>,</w:t>
      </w:r>
      <w:r w:rsidR="00622CC5">
        <w:t xml:space="preserve"> saving us from defeat. But this will depend on how conscious evidence </w:t>
      </w:r>
      <w:r w:rsidR="00EF33CA">
        <w:t xml:space="preserve">and belief </w:t>
      </w:r>
      <w:r w:rsidR="00622CC5">
        <w:t xml:space="preserve">need to be, which is a </w:t>
      </w:r>
      <w:r w:rsidR="00367A36">
        <w:t xml:space="preserve">contentious </w:t>
      </w:r>
      <w:r w:rsidR="00622CC5">
        <w:t>matter.</w:t>
      </w:r>
      <w:r w:rsidR="00F5019E">
        <w:rPr>
          <w:rStyle w:val="FootnoteReference"/>
        </w:rPr>
        <w:footnoteReference w:id="26"/>
      </w:r>
      <w:r w:rsidR="00622CC5">
        <w:t xml:space="preserve"> Moreover, most of us find </w:t>
      </w:r>
      <w:r w:rsidR="00977652">
        <w:t>such solutions</w:t>
      </w:r>
      <w:r w:rsidR="00622CC5">
        <w:t xml:space="preserve"> unsatisfactory</w:t>
      </w:r>
      <w:r w:rsidR="00367A36">
        <w:t>, since</w:t>
      </w:r>
      <w:r w:rsidR="00622CC5">
        <w:t xml:space="preserve"> we</w:t>
      </w:r>
      <w:r w:rsidR="00367A36">
        <w:t xml:space="preserve"> prefer to</w:t>
      </w:r>
      <w:r w:rsidR="00622CC5">
        <w:t xml:space="preserve"> retain justification even in circumstances of full and integrated awareness. </w:t>
      </w:r>
      <w:r w:rsidR="00367A36">
        <w:t>G</w:t>
      </w:r>
      <w:r w:rsidR="00622CC5">
        <w:t>rant</w:t>
      </w:r>
      <w:r w:rsidR="00367A36">
        <w:t>, then,</w:t>
      </w:r>
      <w:r w:rsidR="00622CC5">
        <w:t xml:space="preserve"> that </w:t>
      </w:r>
      <w:r w:rsidR="00F64494">
        <w:t>latch</w:t>
      </w:r>
      <w:r w:rsidR="00622CC5">
        <w:t>ing occurs</w:t>
      </w:r>
      <w:r w:rsidR="00367A36">
        <w:t>, at least in most circumstances</w:t>
      </w:r>
      <w:r w:rsidR="00622CC5">
        <w:t>.</w:t>
      </w:r>
      <w:r w:rsidR="00F64494">
        <w:t xml:space="preserve"> As a result, </w:t>
      </w:r>
      <w:r w:rsidR="00367A36">
        <w:t>there’s no need to</w:t>
      </w:r>
      <w:r w:rsidR="008D6EF5">
        <w:t xml:space="preserve"> </w:t>
      </w:r>
      <w:r w:rsidR="00EF33CA">
        <w:t>resort to the weaker tangential treatment with the dampening effect of</w:t>
      </w:r>
      <w:r w:rsidR="008D6EF5">
        <w:t xml:space="preserve"> </w:t>
      </w:r>
      <w:r w:rsidR="00F64494">
        <w:t xml:space="preserve">filtration. </w:t>
      </w:r>
    </w:p>
    <w:p w14:paraId="489AE031" w14:textId="7897899F" w:rsidR="001B7145" w:rsidRDefault="001B7145" w:rsidP="004040FC">
      <w:pPr>
        <w:spacing w:after="0" w:line="240" w:lineRule="auto"/>
      </w:pPr>
    </w:p>
    <w:p w14:paraId="68878016" w14:textId="69B95C51" w:rsidR="001B7145" w:rsidRDefault="00111129" w:rsidP="004040FC">
      <w:pPr>
        <w:spacing w:after="0" w:line="240" w:lineRule="auto"/>
      </w:pPr>
      <w:r>
        <w:t xml:space="preserve">Given the above, </w:t>
      </w:r>
      <w:r w:rsidR="00473E3F">
        <w:t>ther</w:t>
      </w:r>
      <w:r w:rsidR="00192CB1">
        <w:t>e’s</w:t>
      </w:r>
      <w:r w:rsidR="00473E3F">
        <w:t xml:space="preserve"> at least some degree of defeat unless the defeaters</w:t>
      </w:r>
      <w:r w:rsidR="00192CB1">
        <w:t xml:space="preserve"> are defeated</w:t>
      </w:r>
      <w:r w:rsidR="00473E3F">
        <w:t xml:space="preserve">. Now </w:t>
      </w:r>
      <w:r w:rsidR="003F4EAC">
        <w:t>we must come to questions</w:t>
      </w:r>
      <w:r w:rsidR="00473E3F">
        <w:t xml:space="preserve"> of degree</w:t>
      </w:r>
      <w:r w:rsidR="003F4EAC">
        <w:t xml:space="preserve">. On a weak </w:t>
      </w:r>
      <w:r w:rsidR="00192CB1">
        <w:t>interpretation</w:t>
      </w:r>
      <w:r w:rsidR="003F4EAC">
        <w:t xml:space="preserve">, candidate debunkers </w:t>
      </w:r>
      <w:r w:rsidR="00192CB1">
        <w:t xml:space="preserve">aim </w:t>
      </w:r>
      <w:r w:rsidR="003F4EAC">
        <w:t>merely</w:t>
      </w:r>
      <w:r w:rsidR="00465635">
        <w:t xml:space="preserve"> </w:t>
      </w:r>
      <w:r w:rsidR="00192CB1">
        <w:t>to show that</w:t>
      </w:r>
      <w:r w:rsidR="00465635">
        <w:t xml:space="preserve"> </w:t>
      </w:r>
      <w:r w:rsidR="00473E3F">
        <w:t xml:space="preserve">our evidence </w:t>
      </w:r>
      <w:r w:rsidR="00192CB1">
        <w:t xml:space="preserve">is </w:t>
      </w:r>
      <w:r w:rsidR="00465635">
        <w:t>less reliable than initially thought</w:t>
      </w:r>
      <w:r w:rsidR="00473E3F">
        <w:t xml:space="preserve">. </w:t>
      </w:r>
      <w:r w:rsidR="003F4EAC">
        <w:t xml:space="preserve">Although I will </w:t>
      </w:r>
      <w:r w:rsidR="00DB45ED">
        <w:t xml:space="preserve">later </w:t>
      </w:r>
      <w:r w:rsidR="003F4EAC">
        <w:t xml:space="preserve">return to this </w:t>
      </w:r>
      <w:r w:rsidR="00DB45ED">
        <w:t>possibility</w:t>
      </w:r>
      <w:r w:rsidR="003F4EAC">
        <w:t xml:space="preserve">, </w:t>
      </w:r>
      <w:r w:rsidR="00192CB1">
        <w:t>I</w:t>
      </w:r>
      <w:r w:rsidR="003F4EAC">
        <w:t xml:space="preserve"> set it aside for now, since </w:t>
      </w:r>
      <w:r w:rsidR="00192CB1">
        <w:t>something</w:t>
      </w:r>
      <w:r w:rsidR="003F4EAC">
        <w:t xml:space="preserve"> stronger is normally intended: candidate debunkers </w:t>
      </w:r>
      <w:r w:rsidR="00192CB1">
        <w:t>aim</w:t>
      </w:r>
      <w:r w:rsidR="003F4EAC">
        <w:t xml:space="preserve"> to </w:t>
      </w:r>
      <w:r w:rsidR="00192CB1">
        <w:t>show that</w:t>
      </w:r>
      <w:r w:rsidR="00756675">
        <w:t xml:space="preserve"> </w:t>
      </w:r>
      <w:r w:rsidR="003F4EAC">
        <w:t>our moral evidence</w:t>
      </w:r>
      <w:r w:rsidR="00756675">
        <w:t xml:space="preserve"> should no</w:t>
      </w:r>
      <w:r w:rsidR="003F4EAC">
        <w:t>t</w:t>
      </w:r>
      <w:r w:rsidR="00756675">
        <w:t xml:space="preserve"> be</w:t>
      </w:r>
      <w:r w:rsidR="00473E3F">
        <w:t xml:space="preserve"> relied upon at all. </w:t>
      </w:r>
      <w:r w:rsidR="00192CB1">
        <w:t xml:space="preserve">On this stronger interpretation, since all the </w:t>
      </w:r>
      <w:r w:rsidR="00CD1E2C">
        <w:t xml:space="preserve">previous </w:t>
      </w:r>
      <w:r w:rsidR="00192CB1">
        <w:t>conditions</w:t>
      </w:r>
      <w:r w:rsidR="00CD1E2C">
        <w:t xml:space="preserve"> </w:t>
      </w:r>
      <w:r w:rsidR="00192CB1">
        <w:t xml:space="preserve">are met, it follows from calibrationism </w:t>
      </w:r>
      <w:r>
        <w:t xml:space="preserve">that </w:t>
      </w:r>
      <w:r w:rsidR="00192CB1">
        <w:t>there is</w:t>
      </w:r>
      <w:r w:rsidR="00473E3F">
        <w:t xml:space="preserve"> full defeat</w:t>
      </w:r>
      <w:r w:rsidR="00192CB1">
        <w:t>—unless the defeater is defeated</w:t>
      </w:r>
      <w:r>
        <w:t xml:space="preserve">. </w:t>
      </w:r>
      <w:r w:rsidR="00473E3F">
        <w:t xml:space="preserve"> </w:t>
      </w:r>
    </w:p>
    <w:p w14:paraId="738594F7" w14:textId="77777777" w:rsidR="00F255B0" w:rsidRDefault="00F255B0" w:rsidP="004040FC">
      <w:pPr>
        <w:spacing w:after="0" w:line="240" w:lineRule="auto"/>
      </w:pPr>
    </w:p>
    <w:p w14:paraId="27345C48" w14:textId="29EFD40B" w:rsidR="00852791" w:rsidRDefault="00473E3F" w:rsidP="00710885">
      <w:pPr>
        <w:spacing w:after="0" w:line="240" w:lineRule="auto"/>
      </w:pPr>
      <w:r>
        <w:t xml:space="preserve">This leads us to </w:t>
      </w:r>
      <w:r w:rsidR="0097175C">
        <w:t xml:space="preserve">the dominant strategy </w:t>
      </w:r>
      <w:r>
        <w:t xml:space="preserve">in the current literature: </w:t>
      </w:r>
      <w:r w:rsidR="00CD1E2C">
        <w:t>defeat the defeater by providing</w:t>
      </w:r>
      <w:r w:rsidR="00F264BF">
        <w:t xml:space="preserve"> direct evidence against the </w:t>
      </w:r>
      <w:r w:rsidR="00CD1E2C">
        <w:t xml:space="preserve">debunking </w:t>
      </w:r>
      <w:r w:rsidR="00F264BF">
        <w:t>premises.</w:t>
      </w:r>
      <w:r w:rsidR="00710885">
        <w:t xml:space="preserve"> </w:t>
      </w:r>
      <w:r w:rsidR="00D515DA">
        <w:t xml:space="preserve">Rather than review the vast literature in </w:t>
      </w:r>
      <w:r w:rsidR="00720FCC">
        <w:t>the</w:t>
      </w:r>
      <w:r w:rsidR="00D515DA">
        <w:t xml:space="preserve"> limited space here, it suffices to note that t</w:t>
      </w:r>
      <w:r w:rsidR="00710885">
        <w:t>here are many versions of this strategy in the literature, each with its counterarguments</w:t>
      </w:r>
      <w:r w:rsidR="00D515DA">
        <w:t>, both sides appealing to subtle and complex empirical and metaphysical claims</w:t>
      </w:r>
      <w:r w:rsidR="00710885">
        <w:t xml:space="preserve">. This is not to </w:t>
      </w:r>
      <w:r w:rsidR="00720FCC">
        <w:t>deny that there is a more plausible side</w:t>
      </w:r>
      <w:r w:rsidR="00710885">
        <w:t>. But</w:t>
      </w:r>
      <w:r w:rsidR="00D515DA">
        <w:t xml:space="preserve"> the level of dialectic and requisite</w:t>
      </w:r>
      <w:r w:rsidR="00710885">
        <w:t xml:space="preserve"> </w:t>
      </w:r>
      <w:r w:rsidR="00D515DA">
        <w:t xml:space="preserve">background knowledge are largely inaccessible to non-experts. </w:t>
      </w:r>
      <w:r w:rsidR="00720FCC">
        <w:t>The weakness in this approach is that</w:t>
      </w:r>
      <w:r w:rsidR="00BB2110">
        <w:t xml:space="preserve"> l</w:t>
      </w:r>
      <w:r w:rsidR="00D515DA">
        <w:t xml:space="preserve">aypersons lack the defeater-defeaters. </w:t>
      </w:r>
      <w:r w:rsidR="00710885">
        <w:t xml:space="preserve"> </w:t>
      </w:r>
    </w:p>
    <w:p w14:paraId="0551C5DC" w14:textId="77777777" w:rsidR="00852791" w:rsidRDefault="00852791" w:rsidP="004040FC">
      <w:pPr>
        <w:spacing w:after="0" w:line="240" w:lineRule="auto"/>
      </w:pPr>
    </w:p>
    <w:p w14:paraId="7E9E7329" w14:textId="23BD19F0" w:rsidR="006A2A30" w:rsidRDefault="0058519E" w:rsidP="004040FC">
      <w:pPr>
        <w:spacing w:after="0" w:line="240" w:lineRule="auto"/>
      </w:pPr>
      <w:r>
        <w:t>It seems, then, that c</w:t>
      </w:r>
      <w:r w:rsidR="008843A6">
        <w:t>andidate debunkers</w:t>
      </w:r>
      <w:r w:rsidR="00FA08D6">
        <w:t xml:space="preserve"> </w:t>
      </w:r>
      <w:r w:rsidR="008843A6">
        <w:t xml:space="preserve">satisfy </w:t>
      </w:r>
      <w:proofErr w:type="gramStart"/>
      <w:r w:rsidR="008843A6">
        <w:t>all of</w:t>
      </w:r>
      <w:proofErr w:type="gramEnd"/>
      <w:r w:rsidR="008843A6">
        <w:t xml:space="preserve"> the conditions on higher-order defeat, for at least a relatively large group of</w:t>
      </w:r>
      <w:r w:rsidR="00D90C2C">
        <w:t xml:space="preserve"> average</w:t>
      </w:r>
      <w:r w:rsidR="008843A6">
        <w:t xml:space="preserve"> people</w:t>
      </w:r>
      <w:r>
        <w:t>—despite the usual strategies for rebuttal. If so, debunking succeeds for the relevant group. I</w:t>
      </w:r>
      <w:r w:rsidR="00720FCC">
        <w:t>s there a way out?</w:t>
      </w:r>
    </w:p>
    <w:p w14:paraId="690C0933" w14:textId="77777777" w:rsidR="00B27605" w:rsidRDefault="00B27605" w:rsidP="004040FC">
      <w:pPr>
        <w:spacing w:after="0" w:line="240" w:lineRule="auto"/>
        <w:rPr>
          <w:b/>
          <w:bCs/>
        </w:rPr>
      </w:pPr>
    </w:p>
    <w:p w14:paraId="761E5FCB" w14:textId="5C5FAFDE" w:rsidR="00C618BA" w:rsidRPr="0087252F" w:rsidRDefault="00E30926" w:rsidP="0087252F">
      <w:pPr>
        <w:spacing w:after="0" w:line="240" w:lineRule="auto"/>
        <w:rPr>
          <w:b/>
          <w:bCs/>
        </w:rPr>
      </w:pPr>
      <w:r w:rsidRPr="0087252F">
        <w:rPr>
          <w:b/>
          <w:bCs/>
        </w:rPr>
        <w:t>The Inertness Thesis</w:t>
      </w:r>
    </w:p>
    <w:p w14:paraId="4CE368A3" w14:textId="19AAF96B" w:rsidR="00A75237" w:rsidRDefault="00A75237" w:rsidP="004040FC">
      <w:pPr>
        <w:spacing w:after="0" w:line="240" w:lineRule="auto"/>
      </w:pPr>
      <w:r>
        <w:br/>
      </w:r>
      <w:r w:rsidR="00184BBC">
        <w:t xml:space="preserve">There is one detail we have missed. </w:t>
      </w:r>
      <w:r w:rsidR="00DF0CEB">
        <w:t xml:space="preserve">I have glossed over whether </w:t>
      </w:r>
      <w:r w:rsidR="004F1349">
        <w:t>candidate debunkers are hostile</w:t>
      </w:r>
      <w:r w:rsidR="00DF0CEB">
        <w:t xml:space="preserve">. They purport to be, and upon first inspection, it seems obvious that they are. Certainly, they aren’t friendly. </w:t>
      </w:r>
      <w:r w:rsidR="00035966">
        <w:t xml:space="preserve">I claim that they are inert </w:t>
      </w:r>
      <w:r w:rsidR="0020590F">
        <w:t>(neither friendly nor hostile)</w:t>
      </w:r>
      <w:r w:rsidR="00DF0CEB">
        <w:t xml:space="preserve">, and </w:t>
      </w:r>
      <w:r w:rsidR="003A7359">
        <w:t>that</w:t>
      </w:r>
      <w:r w:rsidR="00DF0CEB">
        <w:t xml:space="preserve"> this is the key to answering the debunking challenge. </w:t>
      </w:r>
      <w:r w:rsidR="003A7359">
        <w:t>Seeing this requires a careful</w:t>
      </w:r>
      <w:r w:rsidR="00641875">
        <w:t xml:space="preserve"> examin</w:t>
      </w:r>
      <w:r w:rsidR="003A7359">
        <w:t>ation of</w:t>
      </w:r>
      <w:r w:rsidR="00641875">
        <w:t xml:space="preserve"> the conditions under which non-friendly cases are hostile (hence have defeating power) or inert (thereby lack </w:t>
      </w:r>
      <w:r w:rsidR="003A7359">
        <w:t>such</w:t>
      </w:r>
      <w:r w:rsidR="00641875">
        <w:t xml:space="preserve"> power).</w:t>
      </w:r>
    </w:p>
    <w:p w14:paraId="5D020087" w14:textId="77777777" w:rsidR="00A75237" w:rsidRDefault="00A75237" w:rsidP="004040FC">
      <w:pPr>
        <w:spacing w:after="0" w:line="240" w:lineRule="auto"/>
      </w:pPr>
    </w:p>
    <w:p w14:paraId="10CC665E" w14:textId="350BD33E" w:rsidR="005F212D" w:rsidRDefault="00CA63E3" w:rsidP="004040FC">
      <w:pPr>
        <w:spacing w:after="0" w:line="240" w:lineRule="auto"/>
      </w:pPr>
      <w:r>
        <w:t>First, distinguish</w:t>
      </w:r>
      <w:r w:rsidR="003A7359">
        <w:t xml:space="preserve"> </w:t>
      </w:r>
      <w:r w:rsidRPr="003A7359">
        <w:rPr>
          <w:i/>
          <w:iCs/>
        </w:rPr>
        <w:t xml:space="preserve">evidential </w:t>
      </w:r>
      <w:r w:rsidR="003A7359" w:rsidRPr="003A7359">
        <w:rPr>
          <w:i/>
          <w:iCs/>
        </w:rPr>
        <w:t>relations</w:t>
      </w:r>
      <w:r>
        <w:t xml:space="preserve"> </w:t>
      </w:r>
      <w:r w:rsidR="003A7359">
        <w:t>from</w:t>
      </w:r>
      <w:r w:rsidR="00867AE4">
        <w:t xml:space="preserve"> what I call</w:t>
      </w:r>
      <w:r>
        <w:t xml:space="preserve"> </w:t>
      </w:r>
      <w:r w:rsidR="003A7359" w:rsidRPr="003A7359">
        <w:rPr>
          <w:i/>
          <w:iCs/>
        </w:rPr>
        <w:t>external</w:t>
      </w:r>
      <w:r w:rsidRPr="003A7359">
        <w:rPr>
          <w:i/>
          <w:iCs/>
        </w:rPr>
        <w:t xml:space="preserve"> </w:t>
      </w:r>
      <w:r w:rsidR="00867AE4">
        <w:rPr>
          <w:i/>
          <w:iCs/>
        </w:rPr>
        <w:t>measures of evidence</w:t>
      </w:r>
      <w:r>
        <w:t xml:space="preserve">. The former is </w:t>
      </w:r>
      <w:r w:rsidR="004F2E30">
        <w:t>any</w:t>
      </w:r>
      <w:r>
        <w:t xml:space="preserve"> relation </w:t>
      </w:r>
      <w:r w:rsidR="003A7359">
        <w:t xml:space="preserve">in virtue of which something </w:t>
      </w:r>
      <w:r w:rsidR="004F2E30">
        <w:t>qualifies as</w:t>
      </w:r>
      <w:r w:rsidR="003A7359">
        <w:t xml:space="preserve"> evidence concerning </w:t>
      </w:r>
      <w:r>
        <w:t xml:space="preserve">a proposition. The latter </w:t>
      </w:r>
      <w:r w:rsidR="008A5373">
        <w:t xml:space="preserve">is any </w:t>
      </w:r>
      <w:r w:rsidR="004F2E30">
        <w:t xml:space="preserve">other </w:t>
      </w:r>
      <w:r w:rsidR="00425D1D">
        <w:t>evaluation</w:t>
      </w:r>
      <w:r w:rsidR="00AE31E7">
        <w:t xml:space="preserve"> of</w:t>
      </w:r>
      <w:r w:rsidR="004F2E30">
        <w:t xml:space="preserve"> the evidenc</w:t>
      </w:r>
      <w:r w:rsidR="00425D1D">
        <w:t>e</w:t>
      </w:r>
      <w:r w:rsidR="004F2E30">
        <w:t xml:space="preserve">. </w:t>
      </w:r>
      <w:r w:rsidR="00035966">
        <w:t>External measures capture how well evidence</w:t>
      </w:r>
      <w:r w:rsidR="005753ED">
        <w:t xml:space="preserve"> objectively</w:t>
      </w:r>
      <w:r w:rsidR="00253C0E">
        <w:t xml:space="preserve"> matches</w:t>
      </w:r>
      <w:r w:rsidR="00035966">
        <w:t xml:space="preserve"> </w:t>
      </w:r>
      <w:r w:rsidR="00253C0E">
        <w:t>realit</w:t>
      </w:r>
      <w:r w:rsidR="004531EE">
        <w:t xml:space="preserve">y. </w:t>
      </w:r>
      <w:r w:rsidR="005F212D">
        <w:t>For example,</w:t>
      </w:r>
      <w:r w:rsidR="00A958E3">
        <w:t xml:space="preserve"> consider </w:t>
      </w:r>
      <w:r>
        <w:t xml:space="preserve">a visual </w:t>
      </w:r>
      <w:r w:rsidR="00914BA9">
        <w:t>impression</w:t>
      </w:r>
      <w:r>
        <w:t xml:space="preserve"> of a tree</w:t>
      </w:r>
      <w:r w:rsidR="00A958E3">
        <w:t>, which (</w:t>
      </w:r>
      <w:r w:rsidR="00914BA9">
        <w:t>along with conceptual information about treehood</w:t>
      </w:r>
      <w:r w:rsidR="00211DC7">
        <w:t>)</w:t>
      </w:r>
      <w:r>
        <w:t xml:space="preserve"> is evidence </w:t>
      </w:r>
      <w:r w:rsidR="00914BA9">
        <w:t>that there is a</w:t>
      </w:r>
      <w:r>
        <w:t xml:space="preserve"> tree. Th</w:t>
      </w:r>
      <w:r w:rsidR="00914BA9">
        <w:t>e relationship between the visual impression and the proposition is a</w:t>
      </w:r>
      <w:r w:rsidR="00A958E3">
        <w:t>n</w:t>
      </w:r>
      <w:r>
        <w:t xml:space="preserve"> evidential relation.</w:t>
      </w:r>
      <w:r w:rsidR="00170F2D">
        <w:t xml:space="preserve"> </w:t>
      </w:r>
      <w:r w:rsidR="005F212D">
        <w:t xml:space="preserve">Whether there really is a tree (whether the evidence is veridical or misleading) is an external measure. </w:t>
      </w:r>
      <w:r w:rsidR="00E95EC5">
        <w:t>Likewise, t</w:t>
      </w:r>
      <w:r w:rsidR="00914BA9">
        <w:t>he objective probability</w:t>
      </w:r>
      <w:r w:rsidR="005F212D">
        <w:t xml:space="preserve"> </w:t>
      </w:r>
      <w:r w:rsidR="00914BA9">
        <w:t xml:space="preserve">that there is a tree </w:t>
      </w:r>
      <w:r w:rsidR="00D17ECA">
        <w:t>(</w:t>
      </w:r>
      <w:r w:rsidR="00914BA9">
        <w:t>given the</w:t>
      </w:r>
      <w:r w:rsidR="00170F2D">
        <w:t xml:space="preserve"> visual experience</w:t>
      </w:r>
      <w:r w:rsidR="00D17ECA">
        <w:t>)</w:t>
      </w:r>
      <w:r w:rsidR="00170F2D">
        <w:t xml:space="preserve"> is an </w:t>
      </w:r>
      <w:r w:rsidR="00914BA9">
        <w:t xml:space="preserve">external </w:t>
      </w:r>
      <w:r w:rsidR="00A958E3">
        <w:t>measure</w:t>
      </w:r>
      <w:r w:rsidR="00170F2D">
        <w:t>.</w:t>
      </w:r>
      <w:r w:rsidR="00E95EC5">
        <w:t xml:space="preserve"> </w:t>
      </w:r>
      <w:r w:rsidR="006A03AD">
        <w:t>If you prefer,</w:t>
      </w:r>
      <w:r w:rsidR="005F212D">
        <w:t xml:space="preserve"> feel free to </w:t>
      </w:r>
      <w:r w:rsidR="00687F75">
        <w:t xml:space="preserve">think </w:t>
      </w:r>
      <w:r w:rsidR="006A03AD">
        <w:t xml:space="preserve">of external measures </w:t>
      </w:r>
      <w:r w:rsidR="00687F75">
        <w:t>in terms of</w:t>
      </w:r>
      <w:r w:rsidR="005F212D">
        <w:t xml:space="preserve"> reliability, safety, tracking, etc.</w:t>
      </w:r>
      <w:r w:rsidR="006A03AD">
        <w:t>, though I will use these terms interchangeability, since the details won’t matter.</w:t>
      </w:r>
      <w:r w:rsidR="00D16451">
        <w:rPr>
          <w:rStyle w:val="FootnoteReference"/>
        </w:rPr>
        <w:footnoteReference w:id="27"/>
      </w:r>
      <w:r w:rsidR="006A03AD">
        <w:t xml:space="preserve"> </w:t>
      </w:r>
    </w:p>
    <w:p w14:paraId="225FC5B1" w14:textId="77777777" w:rsidR="005F212D" w:rsidRDefault="005F212D" w:rsidP="004040FC">
      <w:pPr>
        <w:spacing w:after="0" w:line="240" w:lineRule="auto"/>
      </w:pPr>
    </w:p>
    <w:p w14:paraId="65EE2306" w14:textId="6A4BD27A" w:rsidR="00CA63E3" w:rsidRDefault="00B20336" w:rsidP="004040FC">
      <w:pPr>
        <w:spacing w:after="0" w:line="240" w:lineRule="auto"/>
      </w:pPr>
      <w:r>
        <w:t>Now s</w:t>
      </w:r>
      <w:r w:rsidR="00EA2395">
        <w:t xml:space="preserve">uppose </w:t>
      </w:r>
      <w:r w:rsidR="00211DC7">
        <w:t xml:space="preserve">your tree impression </w:t>
      </w:r>
      <w:r w:rsidR="00D17ECA">
        <w:t>is</w:t>
      </w:r>
      <w:r w:rsidR="00211DC7">
        <w:t xml:space="preserve"> hallucinatory</w:t>
      </w:r>
      <w:r w:rsidR="00932FC9">
        <w:t xml:space="preserve"> (or that you</w:t>
      </w:r>
      <w:r w:rsidR="00E35E8F">
        <w:t>r</w:t>
      </w:r>
      <w:r w:rsidR="00932FC9">
        <w:t xml:space="preserve"> environment makes this objectively probable)</w:t>
      </w:r>
      <w:r w:rsidR="00A958E3">
        <w:t>, b</w:t>
      </w:r>
      <w:r w:rsidR="00211DC7">
        <w:t xml:space="preserve">ut you have no indication </w:t>
      </w:r>
      <w:r w:rsidR="00A958E3">
        <w:t>that this is so.</w:t>
      </w:r>
      <w:r w:rsidR="00211DC7">
        <w:t xml:space="preserve"> Your tree impression continues to be evidence for the tree </w:t>
      </w:r>
      <w:r w:rsidR="00552C3F">
        <w:t>p</w:t>
      </w:r>
      <w:r w:rsidR="00211DC7">
        <w:t xml:space="preserve">roposition despite </w:t>
      </w:r>
      <w:r w:rsidR="00A958E3">
        <w:t>its</w:t>
      </w:r>
      <w:r w:rsidR="00211DC7">
        <w:t xml:space="preserve"> objective unreliability. The latter does not negate the former. In general, external </w:t>
      </w:r>
      <w:r w:rsidR="00A958E3">
        <w:t>measures</w:t>
      </w:r>
      <w:r w:rsidR="00211DC7">
        <w:t xml:space="preserve"> </w:t>
      </w:r>
      <w:r w:rsidR="00552C3F">
        <w:t xml:space="preserve">on evidence </w:t>
      </w:r>
      <w:r w:rsidR="002C6D4C">
        <w:t>do not alter the</w:t>
      </w:r>
      <w:r w:rsidR="00211DC7">
        <w:t xml:space="preserve"> evidential relations</w:t>
      </w:r>
      <w:r w:rsidR="002C6D4C">
        <w:t xml:space="preserve"> themselves</w:t>
      </w:r>
      <w:r w:rsidR="00211DC7">
        <w:t>.</w:t>
      </w:r>
      <w:r w:rsidR="00D16451">
        <w:rPr>
          <w:rStyle w:val="FootnoteReference"/>
        </w:rPr>
        <w:footnoteReference w:id="28"/>
      </w:r>
      <w:r w:rsidR="00BF5199">
        <w:t xml:space="preserve"> Of course, i</w:t>
      </w:r>
      <w:r w:rsidR="00CA63E3">
        <w:t xml:space="preserve">f </w:t>
      </w:r>
      <w:r w:rsidR="00211DC7">
        <w:t>you</w:t>
      </w:r>
      <w:r w:rsidR="00CA63E3">
        <w:t xml:space="preserve"> find out about </w:t>
      </w:r>
      <w:r w:rsidR="00BF5199">
        <w:t xml:space="preserve">an </w:t>
      </w:r>
      <w:r w:rsidR="00211DC7">
        <w:t>external</w:t>
      </w:r>
      <w:r w:rsidR="00CA63E3">
        <w:t xml:space="preserve"> </w:t>
      </w:r>
      <w:r w:rsidR="00A958E3">
        <w:t>measure</w:t>
      </w:r>
      <w:r w:rsidR="009B7DCF">
        <w:t xml:space="preserve"> (</w:t>
      </w:r>
      <w:r w:rsidR="000E3213">
        <w:t xml:space="preserve">regardless of whether </w:t>
      </w:r>
      <w:r w:rsidR="009B7DCF">
        <w:t>your information about it is correct or misleading)</w:t>
      </w:r>
      <w:r w:rsidR="00CA63E3">
        <w:t xml:space="preserve">, this awareness </w:t>
      </w:r>
      <w:r w:rsidR="00211DC7">
        <w:t>is</w:t>
      </w:r>
      <w:r w:rsidR="00CA63E3">
        <w:t xml:space="preserve"> </w:t>
      </w:r>
      <w:r w:rsidR="00867AE4">
        <w:t xml:space="preserve">new </w:t>
      </w:r>
      <w:r w:rsidR="00CA63E3">
        <w:t>evidence</w:t>
      </w:r>
      <w:r w:rsidR="00211DC7">
        <w:t>. If</w:t>
      </w:r>
      <w:r w:rsidR="00867AE4">
        <w:t xml:space="preserve"> hostile</w:t>
      </w:r>
      <w:r w:rsidR="002F4BCA">
        <w:t xml:space="preserve">, </w:t>
      </w:r>
      <w:r w:rsidR="00867AE4">
        <w:t>this new evidence</w:t>
      </w:r>
      <w:r w:rsidR="002F4BCA">
        <w:t xml:space="preserve"> undercuts the initial evidence</w:t>
      </w:r>
      <w:r w:rsidR="00CA63E3">
        <w:t xml:space="preserve">. </w:t>
      </w:r>
      <w:r w:rsidR="00867AE4">
        <w:t>Still, the initial evidential relation holds. What fails to hold is a positive evidential relation between the new total body of evidence (the perception plus awareness of unreliability) and</w:t>
      </w:r>
      <w:r w:rsidR="00CA63E3">
        <w:t xml:space="preserve"> the proposition that there is a tree. </w:t>
      </w:r>
      <w:r w:rsidR="00BF5199">
        <w:t xml:space="preserve">In other words, defeat works not by nullifying </w:t>
      </w:r>
      <w:r w:rsidR="00D17ECA">
        <w:t>an</w:t>
      </w:r>
      <w:r w:rsidR="00BF5199">
        <w:t xml:space="preserve"> evidential relation that </w:t>
      </w:r>
      <w:r w:rsidR="00D17ECA">
        <w:t>is</w:t>
      </w:r>
      <w:r w:rsidR="00BF5199">
        <w:t xml:space="preserve"> defeated but by expanding the body of evidence </w:t>
      </w:r>
      <w:r w:rsidR="009B7DCF">
        <w:t>to one that does not bear th</w:t>
      </w:r>
      <w:r w:rsidR="00D17ECA">
        <w:t>at</w:t>
      </w:r>
      <w:r w:rsidR="009B7DCF">
        <w:t xml:space="preserve"> evidential</w:t>
      </w:r>
      <w:r w:rsidR="00BF5199">
        <w:t xml:space="preserve"> relation. </w:t>
      </w:r>
    </w:p>
    <w:p w14:paraId="658963B8" w14:textId="77777777" w:rsidR="009B7DCF" w:rsidRDefault="009B7DCF" w:rsidP="004040FC">
      <w:pPr>
        <w:spacing w:after="0" w:line="240" w:lineRule="auto"/>
      </w:pPr>
    </w:p>
    <w:p w14:paraId="39F2BC40" w14:textId="2F1F925B" w:rsidR="00170F2D" w:rsidRDefault="00867AE4" w:rsidP="004040FC">
      <w:pPr>
        <w:spacing w:after="0" w:line="240" w:lineRule="auto"/>
      </w:pPr>
      <w:r>
        <w:t xml:space="preserve">So, while external </w:t>
      </w:r>
      <w:r w:rsidR="00C23A72">
        <w:t>measures</w:t>
      </w:r>
      <w:r>
        <w:t xml:space="preserve"> </w:t>
      </w:r>
      <w:r w:rsidR="0020590F">
        <w:t xml:space="preserve">on one’s evidence </w:t>
      </w:r>
      <w:r w:rsidR="00C23A72">
        <w:t>are</w:t>
      </w:r>
      <w:r>
        <w:t xml:space="preserve"> inert, awareness of </w:t>
      </w:r>
      <w:r w:rsidR="00C23A72">
        <w:t>positive external measures</w:t>
      </w:r>
      <w:r w:rsidR="000D4C58">
        <w:t xml:space="preserve"> (more objectively probable than not)</w:t>
      </w:r>
      <w:r w:rsidR="00C23A72">
        <w:t xml:space="preserve"> are friendly, and the awareness of negative external measures </w:t>
      </w:r>
      <w:r w:rsidR="000D4C58">
        <w:t xml:space="preserve">(less objectively probable than not) </w:t>
      </w:r>
      <w:r w:rsidR="00C23A72">
        <w:t>are hostile</w:t>
      </w:r>
      <w:r>
        <w:t xml:space="preserve">. </w:t>
      </w:r>
      <w:r w:rsidR="00D14D95">
        <w:t xml:space="preserve">This </w:t>
      </w:r>
      <w:r w:rsidR="00F96F13">
        <w:t>does not depend on whether the awareness is veridical</w:t>
      </w:r>
      <w:r w:rsidR="00D14D95">
        <w:t xml:space="preserve">. </w:t>
      </w:r>
      <w:r w:rsidR="00F96F13">
        <w:t>It can be misleading</w:t>
      </w:r>
      <w:r w:rsidR="00D14D95">
        <w:t xml:space="preserve"> about the external measures on one’s first-order evidence</w:t>
      </w:r>
      <w:r w:rsidR="00F96F13">
        <w:t xml:space="preserve">. Whether misleading or veridical, it makes the same </w:t>
      </w:r>
      <w:r w:rsidR="002C27CF">
        <w:t xml:space="preserve">contribution to </w:t>
      </w:r>
      <w:r w:rsidR="00F96F13">
        <w:t>evidential support.</w:t>
      </w:r>
      <w:r w:rsidR="00D14D95">
        <w:t xml:space="preserve"> Moreover, awareness </w:t>
      </w:r>
      <w:r w:rsidR="002C27CF">
        <w:t>of</w:t>
      </w:r>
      <w:r w:rsidR="00D14D95">
        <w:t xml:space="preserve"> external measures is not required for evidential support. In other words, t</w:t>
      </w:r>
      <w:r w:rsidR="002F4BCA">
        <w:t>he</w:t>
      </w:r>
      <w:r w:rsidR="005B33FC">
        <w:t xml:space="preserve"> absence of </w:t>
      </w:r>
      <w:r w:rsidR="00D14D95">
        <w:t>such higher-order evidence is</w:t>
      </w:r>
      <w:r w:rsidR="002F4BCA">
        <w:t xml:space="preserve"> inert</w:t>
      </w:r>
      <w:r w:rsidR="005B33FC">
        <w:t xml:space="preserve">. </w:t>
      </w:r>
      <w:r w:rsidR="004826D7">
        <w:t xml:space="preserve">Think, for example, of a small child, who can </w:t>
      </w:r>
      <w:r w:rsidR="002C27CF">
        <w:t>have</w:t>
      </w:r>
      <w:r w:rsidR="004826D7">
        <w:t xml:space="preserve"> justified </w:t>
      </w:r>
      <w:r w:rsidR="002C27CF">
        <w:t xml:space="preserve">beliefs </w:t>
      </w:r>
      <w:r w:rsidR="004826D7">
        <w:t>based on perceptual evidence without yet having a clue about external measures. In fact, it would lead to a vicious infinite regress to require that evidential support</w:t>
      </w:r>
      <w:r w:rsidR="000E3213">
        <w:t xml:space="preserve"> always</w:t>
      </w:r>
      <w:r w:rsidR="004826D7">
        <w:t xml:space="preserve"> requires additional evidence about external measures to confirm it. </w:t>
      </w:r>
    </w:p>
    <w:p w14:paraId="6FFD2694" w14:textId="5DBDFEAA" w:rsidR="007E4C8B" w:rsidRDefault="007E4C8B" w:rsidP="004040FC">
      <w:pPr>
        <w:spacing w:after="0" w:line="240" w:lineRule="auto"/>
      </w:pPr>
    </w:p>
    <w:p w14:paraId="5CDFA62F" w14:textId="51FDE233" w:rsidR="007E4C8B" w:rsidRDefault="004826D7" w:rsidP="00EA27F5">
      <w:pPr>
        <w:spacing w:after="0" w:line="240" w:lineRule="auto"/>
      </w:pPr>
      <w:r>
        <w:t xml:space="preserve">Not only is the absence of any information about external measures inert. But awareness of one’s ignorance of </w:t>
      </w:r>
      <w:r w:rsidR="000E3213">
        <w:t>such information</w:t>
      </w:r>
      <w:r>
        <w:t xml:space="preserve"> is inert. Having just observed in the last paragraph that necessarily </w:t>
      </w:r>
      <w:r w:rsidR="00F96F13">
        <w:t>we</w:t>
      </w:r>
      <w:r>
        <w:t xml:space="preserve"> have good evidence without other evidence about </w:t>
      </w:r>
      <w:r w:rsidR="000E3213">
        <w:t>any</w:t>
      </w:r>
      <w:r>
        <w:t xml:space="preserve"> external measures </w:t>
      </w:r>
      <w:r w:rsidR="007F46CF">
        <w:t>to</w:t>
      </w:r>
      <w:r>
        <w:t xml:space="preserve"> support it, </w:t>
      </w:r>
      <w:r w:rsidR="00F96F13">
        <w:t>you and I</w:t>
      </w:r>
      <w:r>
        <w:t xml:space="preserve"> are aware </w:t>
      </w:r>
      <w:r w:rsidR="00F96F13">
        <w:t xml:space="preserve">in this moment </w:t>
      </w:r>
      <w:r>
        <w:t xml:space="preserve">that we are ignorant </w:t>
      </w:r>
      <w:r w:rsidR="000E3213">
        <w:t>in this respect</w:t>
      </w:r>
      <w:r>
        <w:t xml:space="preserve">, and surely this </w:t>
      </w:r>
      <w:r w:rsidR="00EA27F5">
        <w:t>does not defeat our justification. Another example: consider a</w:t>
      </w:r>
      <w:r w:rsidR="007E4C8B">
        <w:t xml:space="preserve">dults unindoctrinated into the world of epistemology. </w:t>
      </w:r>
      <w:r w:rsidR="00510838">
        <w:t xml:space="preserve">When asked why they think what they think, they </w:t>
      </w:r>
      <w:r w:rsidR="00EA27F5">
        <w:t>may be able to identify their evidence and cite it (or maybe not), b</w:t>
      </w:r>
      <w:r w:rsidR="00657CA5">
        <w:t>ut w</w:t>
      </w:r>
      <w:r w:rsidR="007E4C8B">
        <w:t>hen challenged with questions about the objective likelihood that their evidence actually fits the external world</w:t>
      </w:r>
      <w:r w:rsidR="00EA27F5">
        <w:t xml:space="preserve"> (especially in light of skeptical scenarios)</w:t>
      </w:r>
      <w:r w:rsidR="000E3213">
        <w:t xml:space="preserve"> and</w:t>
      </w:r>
      <w:r w:rsidR="00EA27F5">
        <w:t xml:space="preserve"> asked </w:t>
      </w:r>
      <w:r w:rsidR="007E4C8B">
        <w:t xml:space="preserve">how </w:t>
      </w:r>
      <w:r w:rsidR="00EA27F5">
        <w:t>to</w:t>
      </w:r>
      <w:r w:rsidR="007E4C8B">
        <w:t xml:space="preserve"> noncircularly</w:t>
      </w:r>
      <w:r w:rsidR="00EA27F5">
        <w:t xml:space="preserve"> confirm reliability</w:t>
      </w:r>
      <w:r w:rsidR="007E4C8B">
        <w:t>, they</w:t>
      </w:r>
      <w:r w:rsidR="00EA27F5">
        <w:t xml:space="preserve"> probably</w:t>
      </w:r>
      <w:r w:rsidR="007E4C8B">
        <w:t xml:space="preserve"> cannot give answers no matter how hard they try. </w:t>
      </w:r>
      <w:r w:rsidR="00EA27F5">
        <w:t>After all, i</w:t>
      </w:r>
      <w:r w:rsidR="00657CA5">
        <w:t>t</w:t>
      </w:r>
      <w:r w:rsidR="007F46CF">
        <w:t>’</w:t>
      </w:r>
      <w:r w:rsidR="00657CA5">
        <w:t>s controversial whether</w:t>
      </w:r>
      <w:r w:rsidR="00EA27F5">
        <w:t xml:space="preserve"> any expert</w:t>
      </w:r>
      <w:r w:rsidR="00657CA5">
        <w:t xml:space="preserve"> epistemologists </w:t>
      </w:r>
      <w:r w:rsidR="00EA27F5">
        <w:t>are up to the task</w:t>
      </w:r>
      <w:r w:rsidR="00657CA5">
        <w:t>.</w:t>
      </w:r>
      <w:r w:rsidR="003653B7">
        <w:rPr>
          <w:rStyle w:val="FootnoteReference"/>
        </w:rPr>
        <w:footnoteReference w:id="29"/>
      </w:r>
      <w:r w:rsidR="00657CA5">
        <w:t xml:space="preserve"> Bu</w:t>
      </w:r>
      <w:r w:rsidR="00EA27F5">
        <w:t>t this failure should not mean that our evidence is defeated, on pain of an extreme justificatory skepticism.</w:t>
      </w:r>
      <w:r w:rsidR="00525921">
        <w:rPr>
          <w:rStyle w:val="FootnoteReference"/>
        </w:rPr>
        <w:footnoteReference w:id="30"/>
      </w:r>
    </w:p>
    <w:p w14:paraId="39956821" w14:textId="55CB774C" w:rsidR="0008079A" w:rsidRDefault="0008079A" w:rsidP="004040FC">
      <w:pPr>
        <w:spacing w:after="0" w:line="240" w:lineRule="auto"/>
      </w:pPr>
    </w:p>
    <w:p w14:paraId="0AD18519" w14:textId="124185A8" w:rsidR="00280065" w:rsidRDefault="0008079A" w:rsidP="004040FC">
      <w:pPr>
        <w:spacing w:after="0" w:line="240" w:lineRule="auto"/>
      </w:pPr>
      <w:r>
        <w:t xml:space="preserve">On the other hand, suppose </w:t>
      </w:r>
      <w:r w:rsidR="00BD1987">
        <w:t>you</w:t>
      </w:r>
      <w:r>
        <w:t xml:space="preserve"> </w:t>
      </w:r>
      <w:r w:rsidR="00D64301">
        <w:t>learn that</w:t>
      </w:r>
      <w:r>
        <w:t xml:space="preserve"> </w:t>
      </w:r>
      <w:r w:rsidR="00BD1987">
        <w:t>you’ve</w:t>
      </w:r>
      <w:r>
        <w:t xml:space="preserve"> been drugged</w:t>
      </w:r>
      <w:r w:rsidR="00B267EE">
        <w:t xml:space="preserve">. </w:t>
      </w:r>
      <w:r w:rsidR="007F7965">
        <w:t>There’s</w:t>
      </w:r>
      <w:r>
        <w:t xml:space="preserve"> a 50/50 chan</w:t>
      </w:r>
      <w:r w:rsidR="00E94F01">
        <w:t>c</w:t>
      </w:r>
      <w:r>
        <w:t>e of hallucination</w:t>
      </w:r>
      <w:r w:rsidR="00B267EE">
        <w:t>, which</w:t>
      </w:r>
      <w:r>
        <w:t xml:space="preserve"> does seem to defeat. </w:t>
      </w:r>
      <w:r w:rsidR="007F7965">
        <w:t>W</w:t>
      </w:r>
      <w:r w:rsidR="00BD1987">
        <w:t xml:space="preserve">e </w:t>
      </w:r>
      <w:r w:rsidR="00346AB1">
        <w:t xml:space="preserve">now </w:t>
      </w:r>
      <w:r w:rsidR="00BD1987">
        <w:t xml:space="preserve">have a </w:t>
      </w:r>
      <w:r w:rsidR="00A27B68">
        <w:t>hostile</w:t>
      </w:r>
      <w:r w:rsidR="00BD1987">
        <w:t xml:space="preserve"> situation</w:t>
      </w:r>
      <w:r w:rsidR="00A27B68">
        <w:t>.</w:t>
      </w:r>
      <w:r w:rsidR="00BD1987">
        <w:t xml:space="preserve"> </w:t>
      </w:r>
      <w:r w:rsidR="00B267EE">
        <w:t>In contrast,</w:t>
      </w:r>
      <w:r w:rsidR="00E05DEC">
        <w:t xml:space="preserve"> the </w:t>
      </w:r>
      <w:r w:rsidR="00B267EE">
        <w:t xml:space="preserve">preceding </w:t>
      </w:r>
      <w:r w:rsidR="00E05DEC">
        <w:t xml:space="preserve">observations </w:t>
      </w:r>
      <w:r w:rsidR="00B267EE">
        <w:t>make</w:t>
      </w:r>
      <w:r w:rsidR="00E05DEC">
        <w:t xml:space="preserve"> clear that being aware that one is ignorant of objective probability</w:t>
      </w:r>
      <w:r w:rsidR="00BD1987">
        <w:t xml:space="preserve"> is inert.</w:t>
      </w:r>
      <w:r w:rsidR="00A27B68">
        <w:t xml:space="preserve"> </w:t>
      </w:r>
      <w:r>
        <w:t xml:space="preserve">What’s the difference? </w:t>
      </w:r>
      <w:r w:rsidR="00C517E0">
        <w:t xml:space="preserve">In the </w:t>
      </w:r>
      <w:r w:rsidR="004705F5">
        <w:t>hostile case</w:t>
      </w:r>
      <w:r w:rsidR="00C517E0">
        <w:t xml:space="preserve">, </w:t>
      </w:r>
      <w:r w:rsidR="004705F5">
        <w:t>you</w:t>
      </w:r>
      <w:r w:rsidR="00C517E0">
        <w:t xml:space="preserve"> have</w:t>
      </w:r>
      <w:r w:rsidR="00D06F12">
        <w:t xml:space="preserve"> </w:t>
      </w:r>
      <w:r w:rsidR="00C517E0">
        <w:t xml:space="preserve">reason to think that the objective relation between </w:t>
      </w:r>
      <w:r w:rsidR="004705F5">
        <w:t>your</w:t>
      </w:r>
      <w:r w:rsidR="00C517E0">
        <w:t xml:space="preserve"> evidence and the proposition </w:t>
      </w:r>
      <w:r w:rsidR="00365F85">
        <w:t>confers</w:t>
      </w:r>
      <w:r w:rsidR="00C517E0">
        <w:t xml:space="preserve"> a 50/50 probability</w:t>
      </w:r>
      <w:r w:rsidR="00365F85">
        <w:t xml:space="preserve"> (i.e.</w:t>
      </w:r>
      <w:r w:rsidR="00E05DEC">
        <w:t>, the evidence</w:t>
      </w:r>
      <w:r w:rsidR="00365F85">
        <w:t xml:space="preserve"> confers</w:t>
      </w:r>
      <w:r w:rsidR="004705F5">
        <w:t xml:space="preserve"> what I call</w:t>
      </w:r>
      <w:r w:rsidR="00365F85" w:rsidRPr="00365F85">
        <w:rPr>
          <w:i/>
          <w:iCs/>
        </w:rPr>
        <w:t xml:space="preserve"> neutral </w:t>
      </w:r>
      <w:r w:rsidR="00E05DEC">
        <w:rPr>
          <w:i/>
          <w:iCs/>
        </w:rPr>
        <w:t>support</w:t>
      </w:r>
      <w:r w:rsidR="00365F85">
        <w:t>)</w:t>
      </w:r>
      <w:r w:rsidR="00C517E0">
        <w:t xml:space="preserve">. In the </w:t>
      </w:r>
      <w:r w:rsidR="004705F5">
        <w:t>inert case</w:t>
      </w:r>
      <w:r w:rsidR="00C517E0">
        <w:t xml:space="preserve">, </w:t>
      </w:r>
      <w:r w:rsidR="004705F5">
        <w:t>there</w:t>
      </w:r>
      <w:r w:rsidR="00D06F12">
        <w:t>’</w:t>
      </w:r>
      <w:r w:rsidR="004705F5">
        <w:t xml:space="preserve">s </w:t>
      </w:r>
      <w:r w:rsidR="007F4A55">
        <w:t>an absence of support altogether</w:t>
      </w:r>
      <w:r w:rsidR="00E05DEC">
        <w:t xml:space="preserve"> (</w:t>
      </w:r>
      <w:r w:rsidR="007F4A55">
        <w:t>neither positive, negative, nor neutral</w:t>
      </w:r>
      <w:r w:rsidR="00E05DEC">
        <w:t>)</w:t>
      </w:r>
      <w:r w:rsidR="00FD7CF6">
        <w:t>.</w:t>
      </w:r>
      <w:r w:rsidR="00C517E0">
        <w:t xml:space="preserve"> </w:t>
      </w:r>
      <w:r w:rsidR="007F4A55">
        <w:t>T</w:t>
      </w:r>
      <w:r w:rsidR="00E05DEC">
        <w:t>he evidence</w:t>
      </w:r>
      <w:r w:rsidR="007F4A55">
        <w:t xml:space="preserve"> simply</w:t>
      </w:r>
      <w:r w:rsidR="00E05DEC">
        <w:t xml:space="preserve"> </w:t>
      </w:r>
      <w:r w:rsidR="007F4A55">
        <w:t xml:space="preserve">fails to </w:t>
      </w:r>
      <w:r w:rsidR="00E05DEC">
        <w:t xml:space="preserve">yield a verdict </w:t>
      </w:r>
      <w:r w:rsidR="00D06F12">
        <w:t>about</w:t>
      </w:r>
      <w:r w:rsidR="00E05DEC">
        <w:t xml:space="preserve"> what the probability is</w:t>
      </w:r>
      <w:r w:rsidR="00525921">
        <w:t xml:space="preserve"> (no</w:t>
      </w:r>
      <w:r w:rsidR="00D06F12">
        <w:t>t</w:t>
      </w:r>
      <w:r w:rsidR="00525921">
        <w:t xml:space="preserve"> </w:t>
      </w:r>
      <w:r w:rsidR="00D06F12">
        <w:t>even that</w:t>
      </w:r>
      <w:r w:rsidR="00525921">
        <w:t xml:space="preserve"> it lies </w:t>
      </w:r>
      <w:r w:rsidR="007F4A55">
        <w:t>within a relevant ballpark</w:t>
      </w:r>
      <w:r w:rsidR="00525921">
        <w:t>)</w:t>
      </w:r>
      <w:r w:rsidR="00E05DEC">
        <w:t>. I</w:t>
      </w:r>
      <w:r w:rsidR="00525921">
        <w:t>n other words, it</w:t>
      </w:r>
      <w:r w:rsidR="00E05DEC">
        <w:t xml:space="preserve"> </w:t>
      </w:r>
      <w:r w:rsidR="00C517E0">
        <w:t>is</w:t>
      </w:r>
      <w:r w:rsidR="007F4A55">
        <w:t xml:space="preserve"> entirely</w:t>
      </w:r>
      <w:r w:rsidR="00C517E0">
        <w:t xml:space="preserve"> </w:t>
      </w:r>
      <w:r w:rsidR="00C517E0" w:rsidRPr="00365F85">
        <w:rPr>
          <w:i/>
          <w:iCs/>
        </w:rPr>
        <w:t>i</w:t>
      </w:r>
      <w:r w:rsidRPr="00365F85">
        <w:rPr>
          <w:i/>
          <w:iCs/>
        </w:rPr>
        <w:t>nscrutab</w:t>
      </w:r>
      <w:r w:rsidR="00C517E0" w:rsidRPr="00365F85">
        <w:rPr>
          <w:i/>
          <w:iCs/>
        </w:rPr>
        <w:t>le</w:t>
      </w:r>
      <w:r>
        <w:t>.</w:t>
      </w:r>
      <w:r w:rsidR="00D64301">
        <w:t xml:space="preserve"> </w:t>
      </w:r>
    </w:p>
    <w:p w14:paraId="4A13329D" w14:textId="77777777" w:rsidR="00280065" w:rsidRDefault="00280065" w:rsidP="004040FC">
      <w:pPr>
        <w:spacing w:after="0" w:line="240" w:lineRule="auto"/>
      </w:pPr>
    </w:p>
    <w:p w14:paraId="4A160BF6" w14:textId="2C9622CB" w:rsidR="00280065" w:rsidRDefault="00D64301" w:rsidP="004040FC">
      <w:pPr>
        <w:spacing w:after="0" w:line="240" w:lineRule="auto"/>
      </w:pPr>
      <w:r>
        <w:t>Neutr</w:t>
      </w:r>
      <w:r w:rsidR="00733950">
        <w:t>al probability is crucially different from inscrutability.</w:t>
      </w:r>
      <w:r w:rsidR="00035572">
        <w:rPr>
          <w:rStyle w:val="FootnoteReference"/>
        </w:rPr>
        <w:footnoteReference w:id="31"/>
      </w:r>
      <w:r w:rsidR="00733950">
        <w:t xml:space="preserve"> </w:t>
      </w:r>
      <w:r w:rsidR="002B3AE2">
        <w:t xml:space="preserve">To further illustrate the difference, suppose a quantum mechanical calculation yields a 50/50 probability that an electron will be spin up. </w:t>
      </w:r>
      <w:r w:rsidR="00174B86">
        <w:t>C</w:t>
      </w:r>
      <w:r w:rsidR="002B3AE2">
        <w:t>onsider a layperson who is given the mathematical apparatus</w:t>
      </w:r>
      <w:r w:rsidR="00174B86">
        <w:t xml:space="preserve"> and</w:t>
      </w:r>
      <w:r w:rsidR="002B3AE2">
        <w:t xml:space="preserve"> told what it allows </w:t>
      </w:r>
      <w:r w:rsidR="00FD7CF6">
        <w:t>one</w:t>
      </w:r>
      <w:r w:rsidR="002B3AE2">
        <w:t xml:space="preserve"> to calculate but </w:t>
      </w:r>
      <w:r w:rsidR="00174B86">
        <w:t xml:space="preserve">unable </w:t>
      </w:r>
      <w:r w:rsidR="002B3AE2">
        <w:t>to</w:t>
      </w:r>
      <w:r w:rsidR="00FD7CF6">
        <w:t xml:space="preserve"> perform the calculation</w:t>
      </w:r>
      <w:r w:rsidR="002B3AE2">
        <w:t xml:space="preserve">. When asked what the probability is, </w:t>
      </w:r>
      <w:r w:rsidR="00174B86">
        <w:t>her</w:t>
      </w:r>
      <w:r w:rsidR="002B3AE2">
        <w:t xml:space="preserve"> answer should be that </w:t>
      </w:r>
      <w:r w:rsidR="00174B86">
        <w:t>she</w:t>
      </w:r>
      <w:r w:rsidR="002B3AE2">
        <w:t xml:space="preserve"> do</w:t>
      </w:r>
      <w:r w:rsidR="00174B86">
        <w:t>esn’t</w:t>
      </w:r>
      <w:r w:rsidR="002B3AE2">
        <w:t xml:space="preserve"> know, not that the probability is 50/50. The probability is inscrutable to </w:t>
      </w:r>
      <w:r w:rsidR="00174B86">
        <w:t>her</w:t>
      </w:r>
      <w:r w:rsidR="002B3AE2">
        <w:t xml:space="preserve">, not neutral. </w:t>
      </w:r>
      <w:r w:rsidR="00C517E0">
        <w:t>This difference between a 50/50 probability and inscrutable probability</w:t>
      </w:r>
      <w:r w:rsidR="002E7858">
        <w:t xml:space="preserve"> corresponds to a distinction in the philosophy of probability. </w:t>
      </w:r>
      <w:r w:rsidR="00FD7CF6">
        <w:t xml:space="preserve">According to the infamous </w:t>
      </w:r>
      <w:r w:rsidR="00174B86">
        <w:rPr>
          <w:i/>
          <w:iCs/>
        </w:rPr>
        <w:t>i</w:t>
      </w:r>
      <w:r w:rsidR="00FD7CF6" w:rsidRPr="00FD7CF6">
        <w:rPr>
          <w:i/>
          <w:iCs/>
        </w:rPr>
        <w:t xml:space="preserve">ndifference </w:t>
      </w:r>
      <w:r w:rsidR="00174B86">
        <w:rPr>
          <w:i/>
          <w:iCs/>
        </w:rPr>
        <w:t>p</w:t>
      </w:r>
      <w:r w:rsidR="00FD7CF6" w:rsidRPr="00FD7CF6">
        <w:rPr>
          <w:i/>
          <w:iCs/>
        </w:rPr>
        <w:t>rinciple</w:t>
      </w:r>
      <w:r w:rsidR="00FD7CF6">
        <w:t xml:space="preserve"> (or </w:t>
      </w:r>
      <w:r w:rsidR="00174B86">
        <w:rPr>
          <w:i/>
          <w:iCs/>
        </w:rPr>
        <w:t>p</w:t>
      </w:r>
      <w:r w:rsidR="00FD7CF6" w:rsidRPr="00FD7CF6">
        <w:rPr>
          <w:i/>
          <w:iCs/>
        </w:rPr>
        <w:t xml:space="preserve">rinciple of </w:t>
      </w:r>
      <w:r w:rsidR="00174B86">
        <w:rPr>
          <w:i/>
          <w:iCs/>
        </w:rPr>
        <w:t>i</w:t>
      </w:r>
      <w:r w:rsidR="00FD7CF6" w:rsidRPr="00FD7CF6">
        <w:rPr>
          <w:i/>
          <w:iCs/>
        </w:rPr>
        <w:t xml:space="preserve">nsufficient </w:t>
      </w:r>
      <w:r w:rsidR="00174B86">
        <w:rPr>
          <w:i/>
          <w:iCs/>
        </w:rPr>
        <w:t>r</w:t>
      </w:r>
      <w:r w:rsidR="00FD7CF6" w:rsidRPr="00FD7CF6">
        <w:rPr>
          <w:i/>
          <w:iCs/>
        </w:rPr>
        <w:t>eason</w:t>
      </w:r>
      <w:r w:rsidR="00FD7CF6">
        <w:t>),</w:t>
      </w:r>
      <w:r w:rsidR="002E7858">
        <w:t xml:space="preserve"> when there</w:t>
      </w:r>
      <w:r w:rsidR="00174B86">
        <w:t>’</w:t>
      </w:r>
      <w:r w:rsidR="002E7858">
        <w:t xml:space="preserve">s no reason to prefer one proposition </w:t>
      </w:r>
      <w:r w:rsidR="00174B86">
        <w:t>over</w:t>
      </w:r>
      <w:r w:rsidR="002E7858">
        <w:t xml:space="preserve"> another, </w:t>
      </w:r>
      <w:r w:rsidR="00FD7CF6">
        <w:t xml:space="preserve">they </w:t>
      </w:r>
      <w:r w:rsidR="002E7858">
        <w:t xml:space="preserve">automatically receive equal probability. </w:t>
      </w:r>
      <w:r w:rsidR="00FD7CF6">
        <w:t>This is now in wide disrepute. I</w:t>
      </w:r>
      <w:r w:rsidR="000C62C9">
        <w:t xml:space="preserve">n addition to not making sense of the </w:t>
      </w:r>
      <w:r w:rsidR="00174B86">
        <w:t>quantum mechanics example</w:t>
      </w:r>
      <w:r w:rsidR="000C62C9">
        <w:t xml:space="preserve">, </w:t>
      </w:r>
      <w:r w:rsidR="00FD7CF6">
        <w:t xml:space="preserve">it is a well-known result that </w:t>
      </w:r>
      <w:r w:rsidR="000C62C9">
        <w:t>the principle</w:t>
      </w:r>
      <w:r w:rsidR="002E7858">
        <w:t xml:space="preserve"> yield</w:t>
      </w:r>
      <w:r w:rsidR="00FD7CF6">
        <w:t>s</w:t>
      </w:r>
      <w:r w:rsidR="002E7858">
        <w:t xml:space="preserve"> incoherent probability assignments.</w:t>
      </w:r>
      <w:r w:rsidR="00FD7CF6">
        <w:rPr>
          <w:rStyle w:val="FootnoteReference"/>
        </w:rPr>
        <w:footnoteReference w:id="32"/>
      </w:r>
      <w:r w:rsidR="0008079A">
        <w:t xml:space="preserve"> </w:t>
      </w:r>
    </w:p>
    <w:p w14:paraId="0365A4CF" w14:textId="77777777" w:rsidR="00280065" w:rsidRDefault="00280065" w:rsidP="004040FC">
      <w:pPr>
        <w:spacing w:after="0" w:line="240" w:lineRule="auto"/>
      </w:pPr>
    </w:p>
    <w:p w14:paraId="2CD472A0" w14:textId="2829CC25" w:rsidR="00593223" w:rsidRDefault="00DA48E7" w:rsidP="004040FC">
      <w:pPr>
        <w:spacing w:after="0" w:line="240" w:lineRule="auto"/>
      </w:pPr>
      <w:r>
        <w:t>Let’s sum up</w:t>
      </w:r>
      <w:r w:rsidR="009B6AEB">
        <w:t>. First,</w:t>
      </w:r>
      <w:r w:rsidR="00523305">
        <w:t xml:space="preserve"> </w:t>
      </w:r>
      <w:r w:rsidR="00E71BC1">
        <w:t>w</w:t>
      </w:r>
      <w:r w:rsidR="004F1349">
        <w:t>e are concerned</w:t>
      </w:r>
      <w:r w:rsidR="00E71BC1">
        <w:t xml:space="preserve"> here only</w:t>
      </w:r>
      <w:r w:rsidR="004F1349">
        <w:t xml:space="preserve"> with unfriendly cases that are directly about one’s first-order evidence, since candidate debunkers are not best treated as </w:t>
      </w:r>
      <w:r w:rsidR="00BD0D8E">
        <w:t>tangential</w:t>
      </w:r>
      <w:r w:rsidR="004F1349">
        <w:t xml:space="preserve">. </w:t>
      </w:r>
      <w:r w:rsidR="000100DE">
        <w:t xml:space="preserve">We need to divide </w:t>
      </w:r>
      <w:r w:rsidR="004F1349">
        <w:t xml:space="preserve">the direct unfriendly cases into the hostile and inert categories. </w:t>
      </w:r>
      <w:r w:rsidR="00DB319D">
        <w:t xml:space="preserve">The direct unfriendly cases </w:t>
      </w:r>
      <w:r w:rsidR="00713E5A">
        <w:t>we have determined to be</w:t>
      </w:r>
      <w:r w:rsidR="00DB319D">
        <w:t xml:space="preserve"> inert are (i)</w:t>
      </w:r>
      <w:r w:rsidR="00405606">
        <w:t xml:space="preserve"> </w:t>
      </w:r>
      <w:r w:rsidR="009B6AEB">
        <w:t xml:space="preserve">external measures on our evidence, (ii) lack of </w:t>
      </w:r>
      <w:r w:rsidR="008F3ED6">
        <w:t xml:space="preserve">awareness of </w:t>
      </w:r>
      <w:r w:rsidR="009B6AEB">
        <w:t xml:space="preserve">such external measures, (iii) awareness of our ignorance of external measures, </w:t>
      </w:r>
      <w:r w:rsidR="008F3ED6">
        <w:t xml:space="preserve">and </w:t>
      </w:r>
      <w:r w:rsidR="00DB319D">
        <w:t>(i</w:t>
      </w:r>
      <w:r w:rsidR="009B6AEB">
        <w:t>v</w:t>
      </w:r>
      <w:r w:rsidR="00DB319D">
        <w:t xml:space="preserve">) </w:t>
      </w:r>
      <w:r w:rsidR="00F97C8F">
        <w:t>evidence of</w:t>
      </w:r>
      <w:r w:rsidR="008F3ED6">
        <w:t xml:space="preserve"> the</w:t>
      </w:r>
      <w:r w:rsidR="009B6AEB">
        <w:t>ir</w:t>
      </w:r>
      <w:r w:rsidR="00F97C8F">
        <w:t xml:space="preserve"> inscrutab</w:t>
      </w:r>
      <w:r w:rsidR="008F3ED6">
        <w:t>ility</w:t>
      </w:r>
      <w:r w:rsidR="00F97C8F">
        <w:t xml:space="preserve">. </w:t>
      </w:r>
      <w:r w:rsidR="00DB319D">
        <w:t>The direct unfriendly cases that are hostile are</w:t>
      </w:r>
      <w:r w:rsidR="00CA0E68">
        <w:t xml:space="preserve"> (v)</w:t>
      </w:r>
      <w:r w:rsidR="004F1349">
        <w:t xml:space="preserve"> </w:t>
      </w:r>
      <w:r w:rsidR="00DB319D">
        <w:t>evidence of negative</w:t>
      </w:r>
      <w:r w:rsidR="00245AB6">
        <w:t>/</w:t>
      </w:r>
      <w:r w:rsidR="00DB319D">
        <w:t>neutral</w:t>
      </w:r>
      <w:r w:rsidR="008F3ED6">
        <w:t xml:space="preserve"> evidential </w:t>
      </w:r>
      <w:r w:rsidR="00CA0E68">
        <w:t xml:space="preserve">relations </w:t>
      </w:r>
      <w:r w:rsidR="00732E1A">
        <w:t>and</w:t>
      </w:r>
      <w:r w:rsidR="00F97C8F">
        <w:t xml:space="preserve"> </w:t>
      </w:r>
      <w:r w:rsidR="00CA0E68">
        <w:t>(vi) evidence of negative</w:t>
      </w:r>
      <w:r w:rsidR="00245AB6">
        <w:t>/</w:t>
      </w:r>
      <w:r w:rsidR="00CA0E68">
        <w:t>neutral external measures</w:t>
      </w:r>
      <w:r w:rsidR="00F97C8F">
        <w:t xml:space="preserve">. </w:t>
      </w:r>
    </w:p>
    <w:p w14:paraId="7C911E63" w14:textId="77777777" w:rsidR="00795839" w:rsidRDefault="00795839" w:rsidP="004040FC">
      <w:pPr>
        <w:spacing w:after="0" w:line="240" w:lineRule="auto"/>
      </w:pPr>
    </w:p>
    <w:p w14:paraId="46D83D3B" w14:textId="52F1E6FB" w:rsidR="00795839" w:rsidRDefault="000125D1" w:rsidP="004040FC">
      <w:pPr>
        <w:spacing w:after="0" w:line="240" w:lineRule="auto"/>
      </w:pPr>
      <w:r>
        <w:t>To determine whether</w:t>
      </w:r>
      <w:r w:rsidR="002750FE">
        <w:t xml:space="preserve"> candidate debunkers</w:t>
      </w:r>
      <w:r>
        <w:t xml:space="preserve"> are hostile or inert, we need to </w:t>
      </w:r>
      <w:r w:rsidR="000B27DA">
        <w:t>determine</w:t>
      </w:r>
      <w:r>
        <w:t xml:space="preserve"> which of these categories they fall under</w:t>
      </w:r>
      <w:r w:rsidR="002750FE">
        <w:t>.</w:t>
      </w:r>
      <w:r w:rsidR="00795839">
        <w:t xml:space="preserve"> </w:t>
      </w:r>
      <w:r w:rsidR="00E71BC1">
        <w:t>First consider</w:t>
      </w:r>
      <w:r w:rsidR="00795839">
        <w:t xml:space="preserve"> peer disagreement. </w:t>
      </w:r>
      <w:proofErr w:type="gramStart"/>
      <w:r w:rsidR="00795839">
        <w:t>By definition, if</w:t>
      </w:r>
      <w:proofErr w:type="gramEnd"/>
      <w:r w:rsidR="00795839">
        <w:t xml:space="preserve"> a person </w:t>
      </w:r>
      <w:r w:rsidR="000B27DA">
        <w:t xml:space="preserve">S1 </w:t>
      </w:r>
      <w:r w:rsidR="00795839">
        <w:t>has good reason to believe that another</w:t>
      </w:r>
      <w:r w:rsidR="000B27DA">
        <w:t xml:space="preserve"> S2</w:t>
      </w:r>
      <w:r w:rsidR="00795839">
        <w:t xml:space="preserve"> is an epistemic peer</w:t>
      </w:r>
      <w:r w:rsidR="004F4E9E">
        <w:t xml:space="preserve">, </w:t>
      </w:r>
      <w:r w:rsidR="00795839">
        <w:t>this is evidence</w:t>
      </w:r>
      <w:r w:rsidR="004F4E9E">
        <w:t xml:space="preserve"> </w:t>
      </w:r>
      <w:r w:rsidR="000B27DA">
        <w:t xml:space="preserve">for S1 </w:t>
      </w:r>
      <w:r w:rsidR="00795839">
        <w:t xml:space="preserve">that </w:t>
      </w:r>
      <w:r w:rsidR="000B27DA">
        <w:t>S2</w:t>
      </w:r>
      <w:r w:rsidR="004F4E9E">
        <w:t xml:space="preserve"> </w:t>
      </w:r>
      <w:r w:rsidR="000B27DA">
        <w:t>is as</w:t>
      </w:r>
      <w:r w:rsidR="004F4E9E">
        <w:t xml:space="preserve"> likely to be right</w:t>
      </w:r>
      <w:r w:rsidR="00795839">
        <w:t xml:space="preserve">. When </w:t>
      </w:r>
      <w:r w:rsidR="000B27DA">
        <w:t>S1</w:t>
      </w:r>
      <w:r w:rsidR="00795839">
        <w:t xml:space="preserve"> also finds out that </w:t>
      </w:r>
      <w:r w:rsidR="000B27DA">
        <w:t>S2</w:t>
      </w:r>
      <w:r w:rsidR="00795839">
        <w:t xml:space="preserve"> disagrees, </w:t>
      </w:r>
      <w:r w:rsidR="000B27DA">
        <w:t>S1’s</w:t>
      </w:r>
      <w:r w:rsidR="00795839">
        <w:t xml:space="preserve"> total evidence yields a</w:t>
      </w:r>
      <w:r w:rsidR="004F4E9E">
        <w:t xml:space="preserve"> 50/50 shot</w:t>
      </w:r>
      <w:r w:rsidR="00795839">
        <w:t xml:space="preserve"> </w:t>
      </w:r>
      <w:r w:rsidR="000B27DA">
        <w:t>that S1 is right</w:t>
      </w:r>
      <w:r w:rsidR="00795839">
        <w:t>. So, peer disagreement yields neutral</w:t>
      </w:r>
      <w:r w:rsidR="00523305">
        <w:t>,</w:t>
      </w:r>
      <w:r w:rsidR="00795839">
        <w:t xml:space="preserve"> hostile</w:t>
      </w:r>
      <w:r w:rsidR="00523305">
        <w:t xml:space="preserve"> support</w:t>
      </w:r>
      <w:r w:rsidR="00E71BC1">
        <w:t>.</w:t>
      </w:r>
      <w:r w:rsidR="00795839">
        <w:t xml:space="preserve"> </w:t>
      </w:r>
      <w:r w:rsidR="000B27DA">
        <w:t>After all, it is isomorphic to the above drug case, which is well accepted as a case of defeat.</w:t>
      </w:r>
      <w:r w:rsidR="003D0361">
        <w:rPr>
          <w:rStyle w:val="FootnoteReference"/>
        </w:rPr>
        <w:footnoteReference w:id="33"/>
      </w:r>
      <w:r w:rsidR="000B27DA">
        <w:t xml:space="preserve"> As this result shows, the theory of higher-order defeat entails conciliationism about peer disagreement </w:t>
      </w:r>
      <w:r w:rsidR="00960DCE">
        <w:t>(</w:t>
      </w:r>
      <w:r w:rsidR="00767ACD">
        <w:t>at least given peerhood as here conceived</w:t>
      </w:r>
      <w:r w:rsidR="00960DCE">
        <w:t>)</w:t>
      </w:r>
      <w:r w:rsidR="000B27DA">
        <w:t xml:space="preserve">. </w:t>
      </w:r>
    </w:p>
    <w:p w14:paraId="717CE7B2" w14:textId="77777777" w:rsidR="00795839" w:rsidRDefault="00795839" w:rsidP="004040FC">
      <w:pPr>
        <w:spacing w:after="0" w:line="240" w:lineRule="auto"/>
      </w:pPr>
    </w:p>
    <w:p w14:paraId="15105D4E" w14:textId="4FCC0CD6" w:rsidR="00877D9C" w:rsidRDefault="00C400DB" w:rsidP="00877D9C">
      <w:pPr>
        <w:spacing w:after="0" w:line="240" w:lineRule="auto"/>
      </w:pPr>
      <w:r>
        <w:t>But</w:t>
      </w:r>
      <w:r w:rsidR="004F4E9E">
        <w:t xml:space="preserve"> </w:t>
      </w:r>
      <w:r w:rsidR="00795839">
        <w:t xml:space="preserve">how often </w:t>
      </w:r>
      <w:r w:rsidR="00F20023">
        <w:t>is there</w:t>
      </w:r>
      <w:r w:rsidR="004F4E9E">
        <w:t xml:space="preserve"> good reason to </w:t>
      </w:r>
      <w:r w:rsidR="00E71BC1">
        <w:t>accept peerhood</w:t>
      </w:r>
      <w:r w:rsidR="004F4E9E">
        <w:t xml:space="preserve">? </w:t>
      </w:r>
      <w:r w:rsidR="00F20023">
        <w:t>Although it</w:t>
      </w:r>
      <w:r w:rsidR="00795839">
        <w:t xml:space="preserve"> is</w:t>
      </w:r>
      <w:r w:rsidR="004F4E9E">
        <w:t xml:space="preserve"> </w:t>
      </w:r>
      <w:r w:rsidR="00795839">
        <w:t xml:space="preserve">often </w:t>
      </w:r>
      <w:r w:rsidR="004F4E9E">
        <w:t xml:space="preserve">irrational to deny </w:t>
      </w:r>
      <w:r w:rsidR="00F20023">
        <w:t xml:space="preserve">peerhood, </w:t>
      </w:r>
      <w:r w:rsidR="00795839">
        <w:t xml:space="preserve">let’s be careful what we infer from this. </w:t>
      </w:r>
      <w:r w:rsidR="00AE60D6">
        <w:t>We often</w:t>
      </w:r>
      <w:r w:rsidR="002E5AA6">
        <w:t xml:space="preserve"> </w:t>
      </w:r>
      <w:r w:rsidR="00A910B7">
        <w:t>think</w:t>
      </w:r>
      <w:r w:rsidR="004F4E9E">
        <w:t xml:space="preserve"> new thoughts that </w:t>
      </w:r>
      <w:r w:rsidR="002E5AA6">
        <w:t>we</w:t>
      </w:r>
      <w:r w:rsidR="004F4E9E">
        <w:t xml:space="preserve"> </w:t>
      </w:r>
      <w:r w:rsidR="002E5AA6">
        <w:t>think ha</w:t>
      </w:r>
      <w:r w:rsidR="00AE60D6">
        <w:t>ve</w:t>
      </w:r>
      <w:r w:rsidR="00F20023">
        <w:t>n’</w:t>
      </w:r>
      <w:r w:rsidR="002E5AA6">
        <w:t xml:space="preserve">t yet occurred to others. Moreover, </w:t>
      </w:r>
      <w:r w:rsidR="004F4E9E">
        <w:t xml:space="preserve">people </w:t>
      </w:r>
      <w:r w:rsidR="002E5AA6">
        <w:t xml:space="preserve">frequently </w:t>
      </w:r>
      <w:r w:rsidR="004F4E9E">
        <w:t xml:space="preserve">change their minds </w:t>
      </w:r>
      <w:r w:rsidR="002E5AA6">
        <w:t xml:space="preserve">when </w:t>
      </w:r>
      <w:r w:rsidR="00F20023">
        <w:t>given</w:t>
      </w:r>
      <w:r w:rsidR="002E5AA6">
        <w:t xml:space="preserve"> new thoughts. So, </w:t>
      </w:r>
      <w:r w:rsidR="00DA48E7">
        <w:t>we</w:t>
      </w:r>
      <w:r w:rsidR="002E5AA6">
        <w:t xml:space="preserve"> should recognize that we</w:t>
      </w:r>
      <w:r w:rsidR="004F4E9E">
        <w:t xml:space="preserve"> </w:t>
      </w:r>
      <w:r w:rsidR="00DA48E7">
        <w:t>sometimes</w:t>
      </w:r>
      <w:r w:rsidR="004F4E9E">
        <w:t xml:space="preserve"> have</w:t>
      </w:r>
      <w:r w:rsidR="002E5AA6">
        <w:t xml:space="preserve"> evidence others lack</w:t>
      </w:r>
      <w:r w:rsidR="00DA48E7">
        <w:t xml:space="preserve"> which </w:t>
      </w:r>
      <w:r w:rsidR="00A910B7">
        <w:t>might</w:t>
      </w:r>
      <w:r w:rsidR="00DA48E7">
        <w:t xml:space="preserve"> change their minds</w:t>
      </w:r>
      <w:r w:rsidR="00E71BC1">
        <w:t xml:space="preserve">—not </w:t>
      </w:r>
      <w:r w:rsidR="002E5AA6">
        <w:t xml:space="preserve">because </w:t>
      </w:r>
      <w:r w:rsidR="00F20023">
        <w:t>we are</w:t>
      </w:r>
      <w:r w:rsidR="002E5AA6">
        <w:t xml:space="preserve"> smarter but for practical reasons. </w:t>
      </w:r>
      <w:r w:rsidR="00DA48E7">
        <w:t>Of course</w:t>
      </w:r>
      <w:r w:rsidR="002E5AA6">
        <w:t xml:space="preserve">, </w:t>
      </w:r>
      <w:r w:rsidR="00DA48E7">
        <w:t>we</w:t>
      </w:r>
      <w:r w:rsidR="002E5AA6">
        <w:t xml:space="preserve"> should </w:t>
      </w:r>
      <w:r w:rsidR="00DA48E7">
        <w:t xml:space="preserve">also </w:t>
      </w:r>
      <w:r w:rsidR="002E5AA6">
        <w:t xml:space="preserve">recognize that </w:t>
      </w:r>
      <w:r w:rsidR="002E5AA6" w:rsidRPr="00E71BC1">
        <w:rPr>
          <w:i/>
          <w:iCs/>
        </w:rPr>
        <w:t>others</w:t>
      </w:r>
      <w:r w:rsidR="004F4E9E">
        <w:t xml:space="preserve"> </w:t>
      </w:r>
      <w:r w:rsidR="00DA48E7">
        <w:t xml:space="preserve">sometimes </w:t>
      </w:r>
      <w:r w:rsidR="004F4E9E">
        <w:t>have</w:t>
      </w:r>
      <w:r w:rsidR="002E5AA6">
        <w:t xml:space="preserve"> evidence </w:t>
      </w:r>
      <w:r w:rsidR="002E5AA6" w:rsidRPr="00E71BC1">
        <w:rPr>
          <w:i/>
          <w:iCs/>
        </w:rPr>
        <w:t>we</w:t>
      </w:r>
      <w:r w:rsidR="002E5AA6">
        <w:t xml:space="preserve"> lack</w:t>
      </w:r>
      <w:r w:rsidR="00DA48E7">
        <w:t xml:space="preserve"> which </w:t>
      </w:r>
      <w:r w:rsidR="00A910B7">
        <w:t>might</w:t>
      </w:r>
      <w:r w:rsidR="00DA48E7">
        <w:t xml:space="preserve"> change </w:t>
      </w:r>
      <w:r w:rsidR="00DA48E7" w:rsidRPr="00F20023">
        <w:rPr>
          <w:i/>
          <w:iCs/>
        </w:rPr>
        <w:t>our</w:t>
      </w:r>
      <w:r w:rsidR="00DA48E7">
        <w:t xml:space="preserve"> minds</w:t>
      </w:r>
      <w:r w:rsidR="004F4E9E">
        <w:t xml:space="preserve">. </w:t>
      </w:r>
      <w:r w:rsidR="002E5AA6">
        <w:t xml:space="preserve">And since thinking </w:t>
      </w:r>
      <w:r w:rsidR="00AE60D6">
        <w:t xml:space="preserve">happens </w:t>
      </w:r>
      <w:r w:rsidR="00F20023">
        <w:t>continually</w:t>
      </w:r>
      <w:r w:rsidR="002E5AA6">
        <w:t xml:space="preserve">, our evidential situations are </w:t>
      </w:r>
      <w:r w:rsidR="00E5341D">
        <w:t>ever in</w:t>
      </w:r>
      <w:r w:rsidR="002E5AA6">
        <w:t xml:space="preserve"> flux. </w:t>
      </w:r>
      <w:r w:rsidR="00877D9C">
        <w:t>As a result, in many cases of disagreement with at least near-peers (that much is easily discerned), it</w:t>
      </w:r>
      <w:r w:rsidR="00E5341D">
        <w:t>’</w:t>
      </w:r>
      <w:r w:rsidR="00877D9C">
        <w:t>s an open question whether I’m currently in a better position to judge, they’re in a better position to judge, or we’re equally well positioned. So, I might be more likely to be right, they might be more likely, or we might be equally likely.</w:t>
      </w:r>
      <w:r w:rsidR="00877D9C">
        <w:rPr>
          <w:rStyle w:val="FootnoteReference"/>
        </w:rPr>
        <w:footnoteReference w:id="34"/>
      </w:r>
      <w:r w:rsidR="00877D9C">
        <w:t xml:space="preserve"> The best description of this situation is that the probability </w:t>
      </w:r>
      <w:r w:rsidR="00E5341D">
        <w:t>is</w:t>
      </w:r>
      <w:r w:rsidR="00877D9C">
        <w:t xml:space="preserve"> inscrutable, not 50/50. But peerhood is the minimal comparative evidential status which when combined with disagreement yields (full) defeat. Given this, along with peerhood inscrutability, the inertness thesis yields the conclusion that the total evidence in many ordinary cases of peer disagreement is inert rather than hostile despite being unfriendly. </w:t>
      </w:r>
    </w:p>
    <w:p w14:paraId="4684D859" w14:textId="716C96DC" w:rsidR="00626EB1" w:rsidRDefault="00626EB1" w:rsidP="004040FC">
      <w:pPr>
        <w:spacing w:after="0" w:line="240" w:lineRule="auto"/>
      </w:pPr>
    </w:p>
    <w:p w14:paraId="73135526" w14:textId="15F9205C" w:rsidR="000125D1" w:rsidRDefault="00626EB1" w:rsidP="004040FC">
      <w:pPr>
        <w:spacing w:after="0" w:line="240" w:lineRule="auto"/>
      </w:pPr>
      <w:r>
        <w:t xml:space="preserve">Two qualifications are in order. First, </w:t>
      </w:r>
      <w:r w:rsidR="004F4E9E">
        <w:t>it</w:t>
      </w:r>
      <w:r w:rsidR="00842C45">
        <w:t>’</w:t>
      </w:r>
      <w:r w:rsidR="004F4E9E">
        <w:t xml:space="preserve">s not always like this. </w:t>
      </w:r>
      <w:r w:rsidR="009F2755">
        <w:t xml:space="preserve">Sometimes we so thoroughly discuss </w:t>
      </w:r>
      <w:r w:rsidR="00C400DB">
        <w:t>an issue</w:t>
      </w:r>
      <w:r w:rsidR="009F2755">
        <w:t xml:space="preserve"> </w:t>
      </w:r>
      <w:r>
        <w:t xml:space="preserve">with another </w:t>
      </w:r>
      <w:r w:rsidR="00842C45">
        <w:t xml:space="preserve">to the point </w:t>
      </w:r>
      <w:r w:rsidR="009F2755">
        <w:t>that it seem</w:t>
      </w:r>
      <w:r w:rsidR="00842C45">
        <w:t>s</w:t>
      </w:r>
      <w:r w:rsidR="00C400DB">
        <w:t xml:space="preserve"> </w:t>
      </w:r>
      <w:r w:rsidR="009F2755">
        <w:t xml:space="preserve">nothing further could be </w:t>
      </w:r>
      <w:r w:rsidR="00877D9C">
        <w:t>added</w:t>
      </w:r>
      <w:r w:rsidR="009F2755">
        <w:t xml:space="preserve"> </w:t>
      </w:r>
      <w:r w:rsidR="00842C45">
        <w:t>to tip the scales</w:t>
      </w:r>
      <w:r w:rsidR="009F2755">
        <w:t>,</w:t>
      </w:r>
      <w:r w:rsidR="00C400DB">
        <w:t xml:space="preserve"> in which case it </w:t>
      </w:r>
      <w:r w:rsidR="009F2755">
        <w:t>seem</w:t>
      </w:r>
      <w:r w:rsidR="00346AB1">
        <w:t>s</w:t>
      </w:r>
      <w:r w:rsidR="009F2755">
        <w:t xml:space="preserve"> </w:t>
      </w:r>
      <w:r w:rsidR="009C01BA">
        <w:t>clear that we</w:t>
      </w:r>
      <w:r w:rsidR="00877D9C">
        <w:t>’</w:t>
      </w:r>
      <w:r w:rsidR="009C01BA">
        <w:t xml:space="preserve">re on equal footing, yielding a 50/50 </w:t>
      </w:r>
      <w:r w:rsidR="00C400DB">
        <w:t>chance of being on the right side of the dispute</w:t>
      </w:r>
      <w:r w:rsidR="009F2755">
        <w:t xml:space="preserve">. </w:t>
      </w:r>
      <w:r w:rsidR="009C01BA">
        <w:t xml:space="preserve">Such cases yield </w:t>
      </w:r>
      <w:r w:rsidR="00C400DB">
        <w:t xml:space="preserve">neutral support, which is hostile and therefore </w:t>
      </w:r>
      <w:r w:rsidR="009C01BA">
        <w:t>defeats.</w:t>
      </w:r>
      <w:r w:rsidR="00C400DB">
        <w:t xml:space="preserve"> Plausibly,</w:t>
      </w:r>
      <w:r w:rsidR="009F2755">
        <w:t xml:space="preserve"> </w:t>
      </w:r>
      <w:r>
        <w:t xml:space="preserve">however, </w:t>
      </w:r>
      <w:r w:rsidR="009F2755">
        <w:t xml:space="preserve">these are </w:t>
      </w:r>
      <w:r w:rsidR="00346AB1">
        <w:t>un</w:t>
      </w:r>
      <w:r w:rsidR="009F2755">
        <w:t>common in</w:t>
      </w:r>
      <w:r w:rsidR="009C01BA">
        <w:t xml:space="preserve"> </w:t>
      </w:r>
      <w:r w:rsidR="009F2755">
        <w:t>moral dispute</w:t>
      </w:r>
      <w:r w:rsidR="007C515E">
        <w:t>s</w:t>
      </w:r>
      <w:r w:rsidR="009F2755">
        <w:t>.</w:t>
      </w:r>
      <w:r w:rsidR="009C01BA">
        <w:t xml:space="preserve"> </w:t>
      </w:r>
      <w:r w:rsidR="00DA48E7">
        <w:t xml:space="preserve">Even </w:t>
      </w:r>
      <w:r w:rsidR="00AC2152">
        <w:t>for moral beliefs nearing universal acceptance</w:t>
      </w:r>
      <w:r w:rsidR="009C01BA">
        <w:t xml:space="preserve">, </w:t>
      </w:r>
      <w:r w:rsidR="00AC2152">
        <w:t>there are dissenters motivated by metaethical concerns</w:t>
      </w:r>
      <w:r w:rsidR="009C01BA">
        <w:t xml:space="preserve">, </w:t>
      </w:r>
      <w:r w:rsidR="00AC2152">
        <w:t xml:space="preserve">the disputes over which reintroduce </w:t>
      </w:r>
      <w:r w:rsidR="00434F60">
        <w:t>peerhood inscrutability</w:t>
      </w:r>
      <w:r w:rsidR="009C01BA">
        <w:t xml:space="preserve">. </w:t>
      </w:r>
      <w:r w:rsidR="00434F60">
        <w:t>If so</w:t>
      </w:r>
      <w:r w:rsidR="009C01BA">
        <w:t xml:space="preserve">, many </w:t>
      </w:r>
      <w:r w:rsidR="00832182">
        <w:t xml:space="preserve">moral </w:t>
      </w:r>
      <w:r w:rsidR="009C01BA">
        <w:t xml:space="preserve">disagreements </w:t>
      </w:r>
      <w:r w:rsidR="00AE60D6">
        <w:t>are</w:t>
      </w:r>
      <w:r w:rsidR="009C01BA">
        <w:t xml:space="preserve"> only of the inert sort.</w:t>
      </w:r>
      <w:r w:rsidR="009F2755">
        <w:t xml:space="preserve">  </w:t>
      </w:r>
    </w:p>
    <w:p w14:paraId="2FED92E4" w14:textId="4828FE2F" w:rsidR="005B15D0" w:rsidRDefault="005B15D0" w:rsidP="004040FC">
      <w:pPr>
        <w:spacing w:after="0" w:line="240" w:lineRule="auto"/>
      </w:pPr>
    </w:p>
    <w:p w14:paraId="67AC243E" w14:textId="4D3274FF" w:rsidR="005B15D0" w:rsidRDefault="005B15D0" w:rsidP="004040FC">
      <w:pPr>
        <w:spacing w:after="0" w:line="240" w:lineRule="auto"/>
      </w:pPr>
      <w:r>
        <w:t xml:space="preserve">Second, </w:t>
      </w:r>
      <w:r w:rsidR="00F3072D">
        <w:t>up to this point</w:t>
      </w:r>
      <w:r>
        <w:t xml:space="preserve"> we</w:t>
      </w:r>
      <w:r w:rsidR="00AE60D6">
        <w:t>’</w:t>
      </w:r>
      <w:r>
        <w:t xml:space="preserve">ve </w:t>
      </w:r>
      <w:r w:rsidR="00E52A59">
        <w:t>considered only</w:t>
      </w:r>
      <w:r>
        <w:t xml:space="preserve"> full defeat. Partial defeat I happily concede</w:t>
      </w:r>
      <w:r w:rsidR="00CF474A">
        <w:t xml:space="preserve"> in</w:t>
      </w:r>
      <w:r w:rsidR="001F604B">
        <w:t xml:space="preserve"> a wide range of cases</w:t>
      </w:r>
      <w:r>
        <w:t xml:space="preserve">. Even if </w:t>
      </w:r>
      <w:r w:rsidR="001F604B">
        <w:t xml:space="preserve">peerhood is inscrutable, </w:t>
      </w:r>
      <w:r w:rsidR="002E17B1">
        <w:t xml:space="preserve">near-peerhood </w:t>
      </w:r>
      <w:r w:rsidR="00E52A59">
        <w:t>(</w:t>
      </w:r>
      <w:r w:rsidR="002E17B1">
        <w:t xml:space="preserve">or some weaker </w:t>
      </w:r>
      <w:r w:rsidR="00946793">
        <w:t xml:space="preserve">positive </w:t>
      </w:r>
      <w:r w:rsidR="002E17B1">
        <w:t>status</w:t>
      </w:r>
      <w:r w:rsidR="00E52A59">
        <w:t>)</w:t>
      </w:r>
      <w:r w:rsidR="001F604B">
        <w:t xml:space="preserve"> is </w:t>
      </w:r>
      <w:r w:rsidR="00944E16">
        <w:t>more easily discernible. Suppose you receive testimony</w:t>
      </w:r>
      <w:r w:rsidR="00CF474A">
        <w:t xml:space="preserve"> </w:t>
      </w:r>
      <w:r w:rsidR="00346AB1">
        <w:t>against</w:t>
      </w:r>
      <w:r w:rsidR="00CF474A">
        <w:t xml:space="preserve"> your belief</w:t>
      </w:r>
      <w:r w:rsidR="00944E16">
        <w:t>, and your evidence</w:t>
      </w:r>
      <w:r w:rsidR="00877D9C">
        <w:t xml:space="preserve"> a</w:t>
      </w:r>
      <w:r w:rsidR="00E52A59">
        <w:t>ffords</w:t>
      </w:r>
      <w:r w:rsidR="00877D9C">
        <w:t xml:space="preserve"> the</w:t>
      </w:r>
      <w:r w:rsidR="00CF474A">
        <w:t xml:space="preserve"> testifier</w:t>
      </w:r>
      <w:r w:rsidR="00944E16">
        <w:t xml:space="preserve"> </w:t>
      </w:r>
      <w:r w:rsidR="00E52A59">
        <w:t>some</w:t>
      </w:r>
      <w:r w:rsidR="00944E16">
        <w:t xml:space="preserve"> minimal positive evidential status. </w:t>
      </w:r>
      <w:r w:rsidR="00F3072D">
        <w:t>That there is some contest to your belief is not inscrutable</w:t>
      </w:r>
      <w:r w:rsidR="00877D9C">
        <w:t xml:space="preserve">, yet </w:t>
      </w:r>
      <w:r w:rsidR="00E52A59">
        <w:t>it is</w:t>
      </w:r>
      <w:r w:rsidR="00F3072D">
        <w:t xml:space="preserve"> </w:t>
      </w:r>
      <w:r w:rsidR="00E52A59">
        <w:t>in</w:t>
      </w:r>
      <w:r w:rsidR="00AE60D6">
        <w:t xml:space="preserve">sufficiently </w:t>
      </w:r>
      <w:r w:rsidR="00F3072D">
        <w:t>hostile for full defeat. It</w:t>
      </w:r>
      <w:r w:rsidR="00E52A59">
        <w:t xml:space="preserve">s hostility is </w:t>
      </w:r>
      <w:proofErr w:type="gramStart"/>
      <w:r w:rsidR="00F3072D">
        <w:t>sufficient</w:t>
      </w:r>
      <w:proofErr w:type="gramEnd"/>
      <w:r w:rsidR="00F3072D">
        <w:t xml:space="preserve"> for </w:t>
      </w:r>
      <w:r w:rsidR="00E52A59">
        <w:t xml:space="preserve">mere </w:t>
      </w:r>
      <w:r w:rsidR="00F3072D">
        <w:t xml:space="preserve">partial defeat. </w:t>
      </w:r>
      <w:r w:rsidR="00832182">
        <w:t>Given partial defeat</w:t>
      </w:r>
      <w:r w:rsidR="00F3072D">
        <w:t xml:space="preserve">, </w:t>
      </w:r>
      <w:r w:rsidR="00572DA9">
        <w:t>you should maintain your</w:t>
      </w:r>
      <w:r w:rsidR="00F3072D">
        <w:t xml:space="preserve"> </w:t>
      </w:r>
      <w:r w:rsidR="00572DA9">
        <w:t xml:space="preserve">doxastic stance with </w:t>
      </w:r>
      <w:r w:rsidR="00832182">
        <w:t>decreased</w:t>
      </w:r>
      <w:r w:rsidR="00572DA9">
        <w:t xml:space="preserve"> confidence. Inscrutability does</w:t>
      </w:r>
      <w:r w:rsidR="004A3987">
        <w:t>n’</w:t>
      </w:r>
      <w:r w:rsidR="00572DA9">
        <w:t xml:space="preserve">t save </w:t>
      </w:r>
      <w:r w:rsidR="00346AB1">
        <w:t>you</w:t>
      </w:r>
      <w:r w:rsidR="00572DA9">
        <w:t xml:space="preserve"> from this result; </w:t>
      </w:r>
      <w:r w:rsidR="00832182">
        <w:t xml:space="preserve">it </w:t>
      </w:r>
      <w:r w:rsidR="00572DA9">
        <w:t xml:space="preserve">at best </w:t>
      </w:r>
      <w:r w:rsidR="00F079BE">
        <w:t>offers</w:t>
      </w:r>
      <w:r w:rsidR="00572DA9">
        <w:t xml:space="preserve"> protection from full defeat. </w:t>
      </w:r>
    </w:p>
    <w:p w14:paraId="78B5208A" w14:textId="77777777" w:rsidR="007E10DA" w:rsidRDefault="007E10DA" w:rsidP="004040FC">
      <w:pPr>
        <w:spacing w:after="0" w:line="240" w:lineRule="auto"/>
      </w:pPr>
    </w:p>
    <w:p w14:paraId="56208EEA" w14:textId="77D10B3C" w:rsidR="004D1D0A" w:rsidRDefault="007C515E" w:rsidP="00B357D0">
      <w:pPr>
        <w:spacing w:after="0" w:line="240" w:lineRule="auto"/>
      </w:pPr>
      <w:r>
        <w:t>Turn now to EDAs</w:t>
      </w:r>
      <w:r w:rsidR="00AE60D6">
        <w:t xml:space="preserve">, which </w:t>
      </w:r>
      <w:r w:rsidR="004F392C">
        <w:t>are spelled out in various ways</w:t>
      </w:r>
      <w:r>
        <w:t xml:space="preserve">, sometimes without much </w:t>
      </w:r>
      <w:r w:rsidR="0057443E">
        <w:t>to do with</w:t>
      </w:r>
      <w:r>
        <w:t xml:space="preserve"> evolution. </w:t>
      </w:r>
      <w:r w:rsidR="00346AB1">
        <w:t>S</w:t>
      </w:r>
      <w:r>
        <w:t>ome ar</w:t>
      </w:r>
      <w:r w:rsidR="0057443E">
        <w:t>e</w:t>
      </w:r>
      <w:r>
        <w:t xml:space="preserve"> purely probabilistic</w:t>
      </w:r>
      <w:r w:rsidR="008876B1">
        <w:t>:</w:t>
      </w:r>
      <w:r>
        <w:t xml:space="preserve"> </w:t>
      </w:r>
      <w:r w:rsidR="008876B1">
        <w:t>o</w:t>
      </w:r>
      <w:r w:rsidR="00F24DF7">
        <w:t>ne might suggest</w:t>
      </w:r>
      <w:r>
        <w:t xml:space="preserve"> that any given moral belief</w:t>
      </w:r>
      <w:r w:rsidR="00EB01D2">
        <w:t xml:space="preserve">, being only one of many competing beliefs, </w:t>
      </w:r>
      <w:r>
        <w:t>has a low probability</w:t>
      </w:r>
      <w:r w:rsidR="00EB01D2">
        <w:t xml:space="preserve"> due to this proportion</w:t>
      </w:r>
      <w:r>
        <w:t>.</w:t>
      </w:r>
      <w:r w:rsidR="008876B1">
        <w:rPr>
          <w:rStyle w:val="FootnoteReference"/>
        </w:rPr>
        <w:footnoteReference w:id="35"/>
      </w:r>
      <w:r>
        <w:t xml:space="preserve"> </w:t>
      </w:r>
      <w:r w:rsidR="00F24DF7">
        <w:t>But t</w:t>
      </w:r>
      <w:r>
        <w:t xml:space="preserve">his cannot be right, since </w:t>
      </w:r>
      <w:r w:rsidR="00F24DF7">
        <w:t>it would yield</w:t>
      </w:r>
      <w:r>
        <w:t xml:space="preserve"> reason to think </w:t>
      </w:r>
      <w:r w:rsidR="00F24DF7">
        <w:t>the belief is</w:t>
      </w:r>
      <w:r>
        <w:t xml:space="preserve"> probably false, </w:t>
      </w:r>
      <w:r w:rsidR="00F24DF7">
        <w:t xml:space="preserve">from which </w:t>
      </w:r>
      <w:r w:rsidR="00497A7C">
        <w:t>one</w:t>
      </w:r>
      <w:r>
        <w:t xml:space="preserve"> should infer its negation, </w:t>
      </w:r>
      <w:r w:rsidR="00497A7C">
        <w:t xml:space="preserve">yielding </w:t>
      </w:r>
      <w:r>
        <w:t xml:space="preserve">justification for a different moral proposition instead. </w:t>
      </w:r>
      <w:r w:rsidR="00497A7C">
        <w:t xml:space="preserve">This </w:t>
      </w:r>
      <w:r>
        <w:t>shifts</w:t>
      </w:r>
      <w:r w:rsidR="00497A7C">
        <w:t xml:space="preserve"> justification rather than removes</w:t>
      </w:r>
      <w:r>
        <w:t xml:space="preserve"> it. Better would be </w:t>
      </w:r>
      <w:r w:rsidR="00497A7C">
        <w:t>an argument establishing neutral probability</w:t>
      </w:r>
      <w:r>
        <w:t xml:space="preserve">. Such an argument cannot be </w:t>
      </w:r>
      <w:r w:rsidR="00346AB1">
        <w:t>made purely by appeal to the fact that</w:t>
      </w:r>
      <w:r>
        <w:t xml:space="preserve"> </w:t>
      </w:r>
      <w:r w:rsidR="00492440">
        <w:t>my belief i</w:t>
      </w:r>
      <w:r w:rsidR="00F24DF7">
        <w:t>n P is</w:t>
      </w:r>
      <w:r w:rsidR="00492440">
        <w:t xml:space="preserve"> only one option of two, the other being </w:t>
      </w:r>
      <w:r w:rsidR="00F24DF7">
        <w:t>~P</w:t>
      </w:r>
      <w:r w:rsidR="00346AB1">
        <w:t>. This would</w:t>
      </w:r>
      <w:r w:rsidR="00492440">
        <w:t xml:space="preserve"> presuppose </w:t>
      </w:r>
      <w:r w:rsidR="00534F3C">
        <w:t xml:space="preserve">equal probabilities, which I have no reason to suspect given </w:t>
      </w:r>
      <w:r w:rsidR="00EB01D2">
        <w:t>our assumption</w:t>
      </w:r>
      <w:r w:rsidR="00497A7C">
        <w:t xml:space="preserve"> that I</w:t>
      </w:r>
      <w:r w:rsidR="00534F3C">
        <w:t xml:space="preserve"> already have </w:t>
      </w:r>
      <w:r w:rsidR="00497A7C">
        <w:t xml:space="preserve">first-order </w:t>
      </w:r>
      <w:r w:rsidR="00534F3C">
        <w:t>evidence that seems to point</w:t>
      </w:r>
      <w:r w:rsidR="00EB01D2">
        <w:t xml:space="preserve"> in one </w:t>
      </w:r>
      <w:r w:rsidR="00534F3C">
        <w:t xml:space="preserve">direction over the other. </w:t>
      </w:r>
      <w:r w:rsidR="00497A7C">
        <w:t>N</w:t>
      </w:r>
      <w:r w:rsidR="008647FC">
        <w:t xml:space="preserve">o appeal to a lack of evidence about my evidence will </w:t>
      </w:r>
      <w:r w:rsidR="00497A7C">
        <w:t>yield</w:t>
      </w:r>
      <w:r w:rsidR="008647FC">
        <w:t xml:space="preserve"> a </w:t>
      </w:r>
      <w:r w:rsidR="00497A7C">
        <w:t xml:space="preserve">neutral </w:t>
      </w:r>
      <w:r w:rsidR="008647FC">
        <w:t>probability</w:t>
      </w:r>
      <w:r w:rsidR="00497A7C">
        <w:t xml:space="preserve">, for that is to assume the </w:t>
      </w:r>
      <w:r w:rsidR="008876B1">
        <w:t>i</w:t>
      </w:r>
      <w:r w:rsidR="00497A7C">
        <w:t xml:space="preserve">ndifference </w:t>
      </w:r>
      <w:r w:rsidR="008876B1">
        <w:t>p</w:t>
      </w:r>
      <w:r w:rsidR="00497A7C">
        <w:t>rinciple</w:t>
      </w:r>
      <w:r w:rsidR="008876B1">
        <w:t>,</w:t>
      </w:r>
      <w:r w:rsidR="00497A7C">
        <w:t xml:space="preserve"> </w:t>
      </w:r>
      <w:r w:rsidR="008876B1">
        <w:t>ignoring</w:t>
      </w:r>
      <w:r w:rsidR="00497A7C">
        <w:t xml:space="preserve"> the possibility of inscrutability</w:t>
      </w:r>
      <w:r w:rsidR="008647FC">
        <w:t xml:space="preserve">. </w:t>
      </w:r>
      <w:r w:rsidR="007C0F44">
        <w:t xml:space="preserve">To establish neutral probability, </w:t>
      </w:r>
      <w:r w:rsidR="00AE60D6">
        <w:t xml:space="preserve">I must be given </w:t>
      </w:r>
      <w:r w:rsidR="00560B52">
        <w:t xml:space="preserve">some evidence that my evidence is as </w:t>
      </w:r>
      <w:r w:rsidR="008876B1">
        <w:t>likely reliable as not</w:t>
      </w:r>
      <w:r w:rsidR="008647FC">
        <w:t xml:space="preserve">. Perhaps evolution </w:t>
      </w:r>
      <w:r w:rsidR="008876B1">
        <w:t>gives me this evidence</w:t>
      </w:r>
      <w:r w:rsidR="004D35C6">
        <w:t xml:space="preserve"> by explaining moral beliefs in a way that does not link them up to the moral properties they are about. But the adequacy of such an explanation does not </w:t>
      </w:r>
      <w:r w:rsidR="00713E5A">
        <w:t>rule out</w:t>
      </w:r>
      <w:r w:rsidR="004D35C6">
        <w:t xml:space="preserve"> there </w:t>
      </w:r>
      <w:r w:rsidR="004D35C6" w:rsidRPr="008876B1">
        <w:rPr>
          <w:i/>
          <w:iCs/>
        </w:rPr>
        <w:t>also</w:t>
      </w:r>
      <w:r w:rsidR="004D35C6">
        <w:t xml:space="preserve"> being</w:t>
      </w:r>
      <w:r w:rsidR="00713E5A">
        <w:t xml:space="preserve"> a </w:t>
      </w:r>
      <w:r w:rsidR="008876B1">
        <w:t>“</w:t>
      </w:r>
      <w:r w:rsidR="00713E5A">
        <w:t>bridge</w:t>
      </w:r>
      <w:r w:rsidR="008876B1">
        <w:t>”</w:t>
      </w:r>
      <w:r w:rsidR="00713E5A">
        <w:t xml:space="preserve"> between </w:t>
      </w:r>
      <w:r w:rsidR="00F24DF7">
        <w:t>th</w:t>
      </w:r>
      <w:r w:rsidR="008876B1">
        <w:t>ose</w:t>
      </w:r>
      <w:r w:rsidR="00713E5A">
        <w:t xml:space="preserve"> beliefs and </w:t>
      </w:r>
      <w:r w:rsidR="008876B1">
        <w:t xml:space="preserve">the </w:t>
      </w:r>
      <w:r w:rsidR="00713E5A">
        <w:t>moral properties</w:t>
      </w:r>
      <w:r w:rsidR="008876B1">
        <w:t xml:space="preserve"> they are about</w:t>
      </w:r>
      <w:r w:rsidR="00F24DF7">
        <w:t>, a bridge which</w:t>
      </w:r>
      <w:r w:rsidR="00713E5A">
        <w:t xml:space="preserve"> grounds reliability. </w:t>
      </w:r>
      <w:r w:rsidR="004D35C6">
        <w:t xml:space="preserve">One option is to appeal to the fact that </w:t>
      </w:r>
      <w:r w:rsidR="00713E5A">
        <w:t xml:space="preserve">moral properties are non-causal and mind-independent, </w:t>
      </w:r>
      <w:r w:rsidR="008876B1">
        <w:t xml:space="preserve">making </w:t>
      </w:r>
      <w:r w:rsidR="004D35C6">
        <w:t xml:space="preserve">it difficult to </w:t>
      </w:r>
      <w:r w:rsidR="008876B1">
        <w:t>imagine such a bridge</w:t>
      </w:r>
      <w:r w:rsidR="004D35C6">
        <w:t xml:space="preserve">. </w:t>
      </w:r>
    </w:p>
    <w:p w14:paraId="333847B0" w14:textId="77777777" w:rsidR="004D1D0A" w:rsidRDefault="004D1D0A" w:rsidP="00B357D0">
      <w:pPr>
        <w:spacing w:after="0" w:line="240" w:lineRule="auto"/>
      </w:pPr>
    </w:p>
    <w:p w14:paraId="1F8D5C5B" w14:textId="0C76AD6E" w:rsidR="00F62725" w:rsidRDefault="004D35C6" w:rsidP="00B357D0">
      <w:pPr>
        <w:spacing w:after="0" w:line="240" w:lineRule="auto"/>
      </w:pPr>
      <w:r>
        <w:t>This takes us to</w:t>
      </w:r>
      <w:r w:rsidR="008647FC">
        <w:t xml:space="preserve"> the </w:t>
      </w:r>
      <w:r w:rsidR="008F0744">
        <w:t>BFC</w:t>
      </w:r>
      <w:r w:rsidR="00344E80">
        <w:t>, which denies the existence of a bridge</w:t>
      </w:r>
      <w:r w:rsidR="001A4931">
        <w:t xml:space="preserve"> on those grounds</w:t>
      </w:r>
      <w:r w:rsidR="00344E80">
        <w:t>. But if we are to</w:t>
      </w:r>
      <w:r w:rsidR="001A4931">
        <w:t xml:space="preserve"> avoid</w:t>
      </w:r>
      <w:r w:rsidR="00344E80">
        <w:t xml:space="preserve"> laps</w:t>
      </w:r>
      <w:r w:rsidR="001A4931">
        <w:t>ing</w:t>
      </w:r>
      <w:r w:rsidR="00344E80">
        <w:t xml:space="preserve"> back into any of the above strategies, we need to be given evidence that renders the probability of the bridge less than or equal to 50%. </w:t>
      </w:r>
      <w:r w:rsidR="001A4931">
        <w:t>An</w:t>
      </w:r>
      <w:r w:rsidR="006D33B5">
        <w:t xml:space="preserve"> appeal to naturalism i</w:t>
      </w:r>
      <w:r w:rsidR="001A4931">
        <w:t>s question-begging in</w:t>
      </w:r>
      <w:r w:rsidR="006D33B5">
        <w:t xml:space="preserve"> this context. </w:t>
      </w:r>
      <w:r w:rsidR="001A4931">
        <w:t>Nor should it</w:t>
      </w:r>
      <w:r w:rsidR="006D33B5">
        <w:t xml:space="preserve"> be argued that a bridge is impossible on other grounds, since we can </w:t>
      </w:r>
      <w:r w:rsidR="001A4931">
        <w:t>conceive</w:t>
      </w:r>
      <w:r w:rsidR="006D33B5">
        <w:t xml:space="preserve"> of options (a special faculty of rational intuition, a constitutive relation between moral beliefs and properties, or divine revelation).</w:t>
      </w:r>
      <w:r w:rsidR="0075499A">
        <w:rPr>
          <w:rStyle w:val="FootnoteReference"/>
        </w:rPr>
        <w:footnoteReference w:id="36"/>
      </w:r>
      <w:r w:rsidR="006D33B5">
        <w:t xml:space="preserve"> The best bet is Ockham’s Razor: we already have an evolutionary explanation for moral beliefs, so no need to posit anything </w:t>
      </w:r>
      <w:r w:rsidR="00D01DB1">
        <w:t>further</w:t>
      </w:r>
      <w:r w:rsidR="006D33B5">
        <w:t xml:space="preserve">, and the fewer entities, the simpler the theory, the more probable. </w:t>
      </w:r>
    </w:p>
    <w:p w14:paraId="246567AD" w14:textId="77777777" w:rsidR="00F62725" w:rsidRDefault="00F62725" w:rsidP="00B357D0">
      <w:pPr>
        <w:spacing w:after="0" w:line="240" w:lineRule="auto"/>
      </w:pPr>
    </w:p>
    <w:p w14:paraId="5C8C2C47" w14:textId="393169B5" w:rsidR="004D325C" w:rsidRDefault="006D33B5" w:rsidP="00B357D0">
      <w:pPr>
        <w:spacing w:after="0" w:line="240" w:lineRule="auto"/>
      </w:pPr>
      <w:r>
        <w:t>But it</w:t>
      </w:r>
      <w:r w:rsidR="00F62725">
        <w:t>’</w:t>
      </w:r>
      <w:r>
        <w:t>s far from clear that this argument is legitimate in this context. First, we are already assuming there are non-natural moral properties. So, we should grant that they cannot be ruled out on explanatory grounds. And if such grounds don’t rule out such things, explanatory argument</w:t>
      </w:r>
      <w:r w:rsidR="00B73C64">
        <w:t>s</w:t>
      </w:r>
      <w:r>
        <w:t xml:space="preserve"> against non-natural entities do</w:t>
      </w:r>
      <w:r w:rsidR="00F62725">
        <w:t>n’</w:t>
      </w:r>
      <w:r>
        <w:t xml:space="preserve">t </w:t>
      </w:r>
      <w:r w:rsidR="00B73C64">
        <w:t xml:space="preserve">generally </w:t>
      </w:r>
      <w:r>
        <w:t xml:space="preserve">work. </w:t>
      </w:r>
      <w:r w:rsidR="00B73C64">
        <w:t>I</w:t>
      </w:r>
      <w:r>
        <w:t>t</w:t>
      </w:r>
      <w:r w:rsidR="00B73C64">
        <w:t xml:space="preserve">’s difficult to see </w:t>
      </w:r>
      <w:r>
        <w:t xml:space="preserve">why there would be a special explanatory reason that would rule out </w:t>
      </w:r>
      <w:proofErr w:type="gramStart"/>
      <w:r>
        <w:t>bridges</w:t>
      </w:r>
      <w:r w:rsidR="00B73C64">
        <w:t xml:space="preserve"> in particular</w:t>
      </w:r>
      <w:proofErr w:type="gramEnd"/>
      <w:r>
        <w:t xml:space="preserve">. </w:t>
      </w:r>
      <w:proofErr w:type="gramStart"/>
      <w:r>
        <w:t>Actually, on</w:t>
      </w:r>
      <w:proofErr w:type="gramEnd"/>
      <w:r>
        <w:t xml:space="preserve"> explanatory grounds, we might have reason to posit bridges. Perhaps cognitivism, which we are granting, is best explained by positing a connection between beliefs and the </w:t>
      </w:r>
      <w:r w:rsidR="00B73C64">
        <w:t xml:space="preserve">corresponding </w:t>
      </w:r>
      <w:r>
        <w:t xml:space="preserve">non-natural moral properties, a connection in virtue of which beliefs can be about them. Such a connection need not track the truth, of course, so </w:t>
      </w:r>
      <w:r w:rsidR="00B73C64">
        <w:t>this leaves open the</w:t>
      </w:r>
      <w:r>
        <w:t xml:space="preserve"> epistemological question. But once we have </w:t>
      </w:r>
      <w:r w:rsidR="00B73C64">
        <w:t>some</w:t>
      </w:r>
      <w:r>
        <w:t xml:space="preserve"> connection, it isn’t clear that </w:t>
      </w:r>
      <w:r w:rsidR="00B73C64">
        <w:t>explanatory considerations</w:t>
      </w:r>
      <w:r>
        <w:t xml:space="preserve"> </w:t>
      </w:r>
      <w:r w:rsidR="00B73C64">
        <w:t>disfavor</w:t>
      </w:r>
      <w:r>
        <w:t xml:space="preserve"> truth tracking. Perhaps granting cognitivism was unwise. If debunkers wish to drop it, fine. But then it’s no longer a question about moral epistemology but about the nature of mental content an</w:t>
      </w:r>
      <w:r w:rsidR="00F62725">
        <w:t>d</w:t>
      </w:r>
      <w:r>
        <w:t xml:space="preserve"> language.</w:t>
      </w:r>
      <w:r w:rsidR="003255B4">
        <w:t xml:space="preserve"> Here</w:t>
      </w:r>
      <w:r>
        <w:t xml:space="preserve"> I am only concerned with epistemology. Assuming cognitivism is necessary to isolate this concern. So</w:t>
      </w:r>
      <w:r w:rsidR="00AC19F2">
        <w:t>, it seems</w:t>
      </w:r>
      <w:r>
        <w:t xml:space="preserve">, </w:t>
      </w:r>
      <w:r w:rsidR="00F62725">
        <w:t>there</w:t>
      </w:r>
      <w:r w:rsidR="00AC19F2">
        <w:t>’</w:t>
      </w:r>
      <w:r w:rsidR="00F62725">
        <w:t>s</w:t>
      </w:r>
      <w:r>
        <w:t xml:space="preserve"> no basis on which </w:t>
      </w:r>
      <w:r w:rsidR="00F62725">
        <w:t>even experts can</w:t>
      </w:r>
      <w:r>
        <w:t xml:space="preserve"> </w:t>
      </w:r>
      <w:r w:rsidR="00AC19F2">
        <w:t>rule out</w:t>
      </w:r>
      <w:r>
        <w:t xml:space="preserve"> a bridge in the current context</w:t>
      </w:r>
      <w:r w:rsidR="00F62725">
        <w:t xml:space="preserve">. </w:t>
      </w:r>
      <w:r w:rsidR="00AC19F2">
        <w:t>Inscrutability is the closest they can get—</w:t>
      </w:r>
      <w:r w:rsidR="00AC19F2" w:rsidRPr="00AC19F2">
        <w:rPr>
          <w:i/>
          <w:iCs/>
        </w:rPr>
        <w:t>a</w:t>
      </w:r>
      <w:r w:rsidR="00F62725" w:rsidRPr="00AC19F2">
        <w:rPr>
          <w:i/>
          <w:iCs/>
        </w:rPr>
        <w:t xml:space="preserve"> fortiori</w:t>
      </w:r>
      <w:r w:rsidR="00F62725">
        <w:t xml:space="preserve"> for laypersons.</w:t>
      </w:r>
      <w:r>
        <w:t xml:space="preserve"> </w:t>
      </w:r>
      <w:r w:rsidR="00F62725">
        <w:t>Given inscrutability, EDAs and the BFC are</w:t>
      </w:r>
      <w:r w:rsidR="00825B56">
        <w:t xml:space="preserve"> inert,</w:t>
      </w:r>
      <w:r w:rsidR="00F62725">
        <w:t xml:space="preserve"> </w:t>
      </w:r>
      <w:r w:rsidR="00AC19F2">
        <w:t>hence</w:t>
      </w:r>
      <w:r w:rsidR="00825B56">
        <w:t xml:space="preserve"> </w:t>
      </w:r>
      <w:r w:rsidR="001C6282">
        <w:t>incapable of full defeat. But, as with disagreement, it is not inscrutable that there</w:t>
      </w:r>
      <w:r w:rsidR="00AC19F2">
        <w:t>’</w:t>
      </w:r>
      <w:r w:rsidR="001C6282">
        <w:t xml:space="preserve">s at least some chance that EDAs and the BFC are correct. As such, partial defeat remains feasible. </w:t>
      </w:r>
    </w:p>
    <w:p w14:paraId="2FDB5821" w14:textId="77777777" w:rsidR="00296C7B" w:rsidRDefault="00296C7B" w:rsidP="004040FC">
      <w:pPr>
        <w:spacing w:after="0" w:line="240" w:lineRule="auto"/>
        <w:rPr>
          <w:b/>
          <w:bCs/>
        </w:rPr>
      </w:pPr>
    </w:p>
    <w:p w14:paraId="112D3E34" w14:textId="62C06702" w:rsidR="004040FC" w:rsidRPr="0087252F" w:rsidRDefault="00617566" w:rsidP="0087252F">
      <w:pPr>
        <w:tabs>
          <w:tab w:val="left" w:pos="810"/>
        </w:tabs>
        <w:spacing w:after="0" w:line="240" w:lineRule="auto"/>
        <w:rPr>
          <w:b/>
          <w:bCs/>
        </w:rPr>
      </w:pPr>
      <w:r>
        <w:rPr>
          <w:b/>
          <w:bCs/>
        </w:rPr>
        <w:t>Debunking</w:t>
      </w:r>
      <w:r w:rsidR="00CB36F9">
        <w:rPr>
          <w:b/>
          <w:bCs/>
        </w:rPr>
        <w:t xml:space="preserve"> Reconstrued</w:t>
      </w:r>
    </w:p>
    <w:p w14:paraId="236F4618" w14:textId="7E58CE05" w:rsidR="004040FC" w:rsidRDefault="004040FC" w:rsidP="004040FC">
      <w:pPr>
        <w:spacing w:after="0" w:line="240" w:lineRule="auto"/>
        <w:rPr>
          <w:b/>
          <w:bCs/>
        </w:rPr>
      </w:pPr>
    </w:p>
    <w:p w14:paraId="2A27ACA2" w14:textId="25A03711" w:rsidR="007E63FD" w:rsidRDefault="00003DBE" w:rsidP="004040FC">
      <w:pPr>
        <w:spacing w:after="0" w:line="240" w:lineRule="auto"/>
      </w:pPr>
      <w:r>
        <w:t>I</w:t>
      </w:r>
      <w:r w:rsidR="008C427E">
        <w:t>’ve argued in this chapter</w:t>
      </w:r>
      <w:r w:rsidR="007837EE">
        <w:t xml:space="preserve"> that</w:t>
      </w:r>
      <w:r w:rsidR="007E63FD">
        <w:t xml:space="preserve"> </w:t>
      </w:r>
      <w:r>
        <w:t>the debunking challenge is</w:t>
      </w:r>
      <w:r w:rsidR="007E63FD">
        <w:t xml:space="preserve"> best understood in terms of higher-order defeat</w:t>
      </w:r>
      <w:r w:rsidR="007837EE">
        <w:t xml:space="preserve">. I also outlined a </w:t>
      </w:r>
      <w:r w:rsidR="007E63FD">
        <w:t xml:space="preserve">theory of </w:t>
      </w:r>
      <w:r>
        <w:t xml:space="preserve">such </w:t>
      </w:r>
      <w:r w:rsidR="007E63FD">
        <w:t>defeat</w:t>
      </w:r>
      <w:r w:rsidR="00205423">
        <w:t>, which allowed us to</w:t>
      </w:r>
      <w:r w:rsidR="007E2644">
        <w:t xml:space="preserve"> systematically</w:t>
      </w:r>
      <w:r w:rsidR="00345DA6">
        <w:t xml:space="preserve"> eliminate subpar responses</w:t>
      </w:r>
      <w:r>
        <w:t xml:space="preserve"> to the debunking challenge</w:t>
      </w:r>
      <w:r w:rsidR="00B632D6">
        <w:t xml:space="preserve">, ultimately </w:t>
      </w:r>
      <w:r w:rsidR="009F7318">
        <w:t>r</w:t>
      </w:r>
      <w:r w:rsidR="00205423">
        <w:t>evealing a small window through which to escape</w:t>
      </w:r>
      <w:r w:rsidR="00B632D6">
        <w:t xml:space="preserve">. </w:t>
      </w:r>
    </w:p>
    <w:p w14:paraId="2D3BF560" w14:textId="77777777" w:rsidR="007E63FD" w:rsidRDefault="007E63FD" w:rsidP="004040FC">
      <w:pPr>
        <w:spacing w:after="0" w:line="240" w:lineRule="auto"/>
      </w:pPr>
    </w:p>
    <w:p w14:paraId="0A0DA535" w14:textId="2A4F6D02" w:rsidR="00231099" w:rsidRDefault="00B632D6" w:rsidP="004040FC">
      <w:pPr>
        <w:spacing w:after="0" w:line="240" w:lineRule="auto"/>
      </w:pPr>
      <w:r>
        <w:t xml:space="preserve">The result </w:t>
      </w:r>
      <w:r w:rsidR="00345DA6">
        <w:t>is</w:t>
      </w:r>
      <w:r w:rsidR="0048479E">
        <w:t xml:space="preserve"> that </w:t>
      </w:r>
      <w:r w:rsidR="0050215E">
        <w:t>a significant range of</w:t>
      </w:r>
      <w:r w:rsidR="006F34A9">
        <w:t xml:space="preserve"> ordinary</w:t>
      </w:r>
      <w:r w:rsidR="0048479E">
        <w:t xml:space="preserve"> first-order moral beliefs</w:t>
      </w:r>
      <w:r w:rsidR="006F34A9">
        <w:t xml:space="preserve">—of laypersons and experts alike—are </w:t>
      </w:r>
      <w:r w:rsidR="0048479E">
        <w:t>safe from full defeat</w:t>
      </w:r>
      <w:r w:rsidR="009B486F">
        <w:t>, even on the assumption of a maximally robust moral realist package</w:t>
      </w:r>
      <w:r w:rsidR="0048479E">
        <w:t xml:space="preserve">. I </w:t>
      </w:r>
      <w:r w:rsidR="007F677E">
        <w:t>have conceded</w:t>
      </w:r>
      <w:r w:rsidR="0048479E">
        <w:t xml:space="preserve"> that </w:t>
      </w:r>
      <w:r w:rsidR="00C70F9C">
        <w:t>many such beliefs</w:t>
      </w:r>
      <w:r w:rsidR="0048479E">
        <w:t xml:space="preserve"> are </w:t>
      </w:r>
      <w:r w:rsidR="00C70F9C">
        <w:t>nevertheless</w:t>
      </w:r>
      <w:r w:rsidR="0050215E">
        <w:t xml:space="preserve"> </w:t>
      </w:r>
      <w:r w:rsidR="0048479E">
        <w:t xml:space="preserve">partially defeated. </w:t>
      </w:r>
      <w:r w:rsidR="00BD14F4">
        <w:t xml:space="preserve">Moreover, </w:t>
      </w:r>
      <w:r w:rsidR="007F677E">
        <w:t>I concede</w:t>
      </w:r>
      <w:r w:rsidR="00BD14F4">
        <w:t>d</w:t>
      </w:r>
      <w:r w:rsidR="007F677E">
        <w:t xml:space="preserve"> this “happily.” The reason for this attitude</w:t>
      </w:r>
      <w:r w:rsidR="00CA632B">
        <w:t xml:space="preserve"> </w:t>
      </w:r>
      <w:r w:rsidR="007F677E">
        <w:t>is that it seems to promote the virtue</w:t>
      </w:r>
      <w:r w:rsidR="00714B68">
        <w:t>s</w:t>
      </w:r>
      <w:r w:rsidR="007F677E">
        <w:t xml:space="preserve"> of epistemic humility </w:t>
      </w:r>
      <w:r w:rsidR="00714B68">
        <w:t xml:space="preserve">and open-mindedness </w:t>
      </w:r>
      <w:r w:rsidR="007F677E">
        <w:t>without relinquishing our moral positions altogether. Insofar as th</w:t>
      </w:r>
      <w:r w:rsidR="00714B68">
        <w:t>ese</w:t>
      </w:r>
      <w:r w:rsidR="007F677E">
        <w:t xml:space="preserve"> </w:t>
      </w:r>
      <w:r w:rsidR="00C33BCE">
        <w:t xml:space="preserve">intellectual </w:t>
      </w:r>
      <w:r w:rsidR="007F677E">
        <w:t>virtue</w:t>
      </w:r>
      <w:r w:rsidR="00714B68">
        <w:t>s</w:t>
      </w:r>
      <w:r w:rsidR="007F677E">
        <w:t xml:space="preserve"> </w:t>
      </w:r>
      <w:r w:rsidR="00714B68">
        <w:t>are conducive to</w:t>
      </w:r>
      <w:r w:rsidR="007F677E">
        <w:t xml:space="preserve"> moral</w:t>
      </w:r>
      <w:r w:rsidR="00714B68">
        <w:t xml:space="preserve"> virtue</w:t>
      </w:r>
      <w:r w:rsidR="007F677E">
        <w:t xml:space="preserve">, debunking </w:t>
      </w:r>
      <w:r w:rsidR="00CB36F9">
        <w:t>may have</w:t>
      </w:r>
      <w:r w:rsidR="007F677E">
        <w:t xml:space="preserve"> the ironic result of moral improvement</w:t>
      </w:r>
      <w:r w:rsidR="00CB36F9">
        <w:t xml:space="preserve">, especially in </w:t>
      </w:r>
      <w:r w:rsidR="00C33BCE">
        <w:t>our</w:t>
      </w:r>
      <w:r w:rsidR="00CB36F9">
        <w:t xml:space="preserve"> approach</w:t>
      </w:r>
      <w:r w:rsidR="00C33BCE">
        <w:t xml:space="preserve"> to</w:t>
      </w:r>
      <w:r w:rsidR="00CB36F9">
        <w:t xml:space="preserve"> moral disputes</w:t>
      </w:r>
      <w:r w:rsidR="007F677E">
        <w:t xml:space="preserve">.  </w:t>
      </w:r>
    </w:p>
    <w:p w14:paraId="2CD1C900" w14:textId="77777777" w:rsidR="006F34A9" w:rsidRDefault="006F34A9" w:rsidP="004040FC">
      <w:pPr>
        <w:spacing w:after="0" w:line="240" w:lineRule="auto"/>
      </w:pPr>
    </w:p>
    <w:p w14:paraId="5D5D5120" w14:textId="385B21B1" w:rsidR="00A638AD" w:rsidRPr="007E459D" w:rsidRDefault="00C33BCE" w:rsidP="004040FC">
      <w:pPr>
        <w:spacing w:after="0" w:line="240" w:lineRule="auto"/>
      </w:pPr>
      <w:r>
        <w:t>On a final note</w:t>
      </w:r>
      <w:r w:rsidR="006F34A9">
        <w:t xml:space="preserve">, </w:t>
      </w:r>
      <w:r w:rsidR="00BD14F4">
        <w:t>suppose we grant</w:t>
      </w:r>
      <w:r w:rsidR="006F34A9">
        <w:t xml:space="preserve"> </w:t>
      </w:r>
      <w:r w:rsidR="00617566">
        <w:t xml:space="preserve">that our moral beliefs are </w:t>
      </w:r>
      <w:r w:rsidR="00B632D6">
        <w:t xml:space="preserve">fully </w:t>
      </w:r>
      <w:r w:rsidR="00617566">
        <w:t>defeated</w:t>
      </w:r>
      <w:r w:rsidR="00622F0E">
        <w:t xml:space="preserve"> given realism</w:t>
      </w:r>
      <w:r w:rsidR="00617566">
        <w:t>. Still, it does</w:t>
      </w:r>
      <w:r w:rsidR="00CA632B">
        <w:t>n’</w:t>
      </w:r>
      <w:r w:rsidR="00617566">
        <w:t xml:space="preserve">t </w:t>
      </w:r>
      <w:r w:rsidR="006F34A9">
        <w:t xml:space="preserve">obviously </w:t>
      </w:r>
      <w:r w:rsidR="00617566">
        <w:t>follow that our moral beliefs are defeated</w:t>
      </w:r>
      <w:r w:rsidR="00BD14F4">
        <w:t>—if</w:t>
      </w:r>
      <w:r w:rsidR="000E2202">
        <w:t xml:space="preserve"> we abandon </w:t>
      </w:r>
      <w:r w:rsidR="00BD14F4">
        <w:t>realism</w:t>
      </w:r>
      <w:r w:rsidR="00617566">
        <w:t xml:space="preserve">. </w:t>
      </w:r>
      <w:r w:rsidR="00397151">
        <w:t>P</w:t>
      </w:r>
      <w:r w:rsidR="00CA632B">
        <w:t>erhaps there’s</w:t>
      </w:r>
      <w:r w:rsidR="00617566">
        <w:t xml:space="preserve"> a</w:t>
      </w:r>
      <w:r w:rsidR="000E2202">
        <w:t xml:space="preserve"> third</w:t>
      </w:r>
      <w:r w:rsidR="00617566">
        <w:t xml:space="preserve"> wa</w:t>
      </w:r>
      <w:r w:rsidR="000E2202">
        <w:t>y</w:t>
      </w:r>
      <w:r w:rsidR="00617566">
        <w:t xml:space="preserve">: keep the moral beliefs but </w:t>
      </w:r>
      <w:r w:rsidR="00CA632B">
        <w:t>abandon</w:t>
      </w:r>
      <w:r w:rsidR="00617566">
        <w:t xml:space="preserve"> realis</w:t>
      </w:r>
      <w:r>
        <w:t>m</w:t>
      </w:r>
      <w:r w:rsidR="00617566">
        <w:t>.</w:t>
      </w:r>
      <w:r w:rsidR="00345DA6">
        <w:rPr>
          <w:rStyle w:val="FootnoteReference"/>
        </w:rPr>
        <w:footnoteReference w:id="37"/>
      </w:r>
      <w:r w:rsidR="00617566">
        <w:t xml:space="preserve"> </w:t>
      </w:r>
      <w:r>
        <w:t>Realism might</w:t>
      </w:r>
      <w:r w:rsidR="00617566">
        <w:t xml:space="preserve"> still</w:t>
      </w:r>
      <w:r w:rsidR="006F34A9">
        <w:t xml:space="preserve"> happen to</w:t>
      </w:r>
      <w:r w:rsidR="00617566">
        <w:t xml:space="preserve"> be true, and our moral beliefs </w:t>
      </w:r>
      <w:r>
        <w:t>will be</w:t>
      </w:r>
      <w:r w:rsidR="00617566">
        <w:t xml:space="preserve"> safe from defeat. In this way too, candidate debunkers can be inert at the object level, depending on what other views one wishes to retain alongside ordinary moral judgments. </w:t>
      </w:r>
      <w:r w:rsidR="00CA632B">
        <w:t>If</w:t>
      </w:r>
      <w:r w:rsidR="00617566">
        <w:t xml:space="preserve"> debunk</w:t>
      </w:r>
      <w:r w:rsidR="00622F0E">
        <w:t>ers</w:t>
      </w:r>
      <w:r w:rsidR="00617566">
        <w:t xml:space="preserve"> are </w:t>
      </w:r>
      <w:r w:rsidR="00622F0E">
        <w:t>directed</w:t>
      </w:r>
      <w:r w:rsidR="00617566">
        <w:t xml:space="preserve"> against realis</w:t>
      </w:r>
      <w:r>
        <w:t>t metaethics</w:t>
      </w:r>
      <w:r w:rsidR="00617566">
        <w:t xml:space="preserve"> </w:t>
      </w:r>
      <w:r>
        <w:t>rather than</w:t>
      </w:r>
      <w:r w:rsidR="00CA632B">
        <w:t xml:space="preserve"> </w:t>
      </w:r>
      <w:r w:rsidR="00617566">
        <w:t>normative beliefs</w:t>
      </w:r>
      <w:r w:rsidR="00CA632B">
        <w:t xml:space="preserve">, they may </w:t>
      </w:r>
      <w:r>
        <w:t>circumvent the objection just suggested</w:t>
      </w:r>
      <w:r w:rsidR="00CA632B">
        <w:t xml:space="preserve"> as well as my </w:t>
      </w:r>
      <w:r>
        <w:t>contentions in this chapter</w:t>
      </w:r>
      <w:r w:rsidR="00983328">
        <w:t xml:space="preserve">. My </w:t>
      </w:r>
      <w:r w:rsidR="007F65CE">
        <w:t xml:space="preserve">defense of </w:t>
      </w:r>
      <w:r w:rsidR="00983328">
        <w:t xml:space="preserve">optimistic moral epistemology from debunking </w:t>
      </w:r>
      <w:r w:rsidR="007F65CE">
        <w:t>thus has the potential advantage of</w:t>
      </w:r>
      <w:r w:rsidR="00983328">
        <w:t xml:space="preserve"> </w:t>
      </w:r>
      <w:r w:rsidR="00CD529D">
        <w:t>accommodat</w:t>
      </w:r>
      <w:r w:rsidR="007F65CE">
        <w:t>ing</w:t>
      </w:r>
      <w:r w:rsidR="00CD529D">
        <w:t xml:space="preserve"> other role</w:t>
      </w:r>
      <w:r w:rsidR="00CB36F9">
        <w:t>s</w:t>
      </w:r>
      <w:r w:rsidR="00CD529D">
        <w:t xml:space="preserve"> for debunkers.</w:t>
      </w:r>
    </w:p>
    <w:p w14:paraId="235DFF92" w14:textId="42F0EDAF" w:rsidR="00A638AD" w:rsidRDefault="00A638AD" w:rsidP="00A638AD">
      <w:pPr>
        <w:spacing w:after="0" w:line="240" w:lineRule="auto"/>
        <w:rPr>
          <w:b/>
          <w:bCs/>
        </w:rPr>
      </w:pPr>
    </w:p>
    <w:p w14:paraId="2FDB22AD" w14:textId="04CE00FF" w:rsidR="001B6E8C" w:rsidRDefault="001B6E8C" w:rsidP="00A638AD">
      <w:pPr>
        <w:spacing w:after="0" w:line="240" w:lineRule="auto"/>
        <w:rPr>
          <w:b/>
          <w:bCs/>
        </w:rPr>
      </w:pPr>
    </w:p>
    <w:p w14:paraId="6E08E850" w14:textId="66C52F4F" w:rsidR="001B6E8C" w:rsidRDefault="001B6E8C" w:rsidP="00A638AD">
      <w:pPr>
        <w:spacing w:after="0" w:line="240" w:lineRule="auto"/>
        <w:rPr>
          <w:b/>
          <w:bCs/>
        </w:rPr>
      </w:pPr>
    </w:p>
    <w:p w14:paraId="35B4D96B" w14:textId="7605B10A" w:rsidR="001B6E8C" w:rsidRDefault="001B6E8C" w:rsidP="00A638AD">
      <w:pPr>
        <w:spacing w:after="0" w:line="240" w:lineRule="auto"/>
        <w:rPr>
          <w:b/>
          <w:bCs/>
        </w:rPr>
      </w:pPr>
    </w:p>
    <w:p w14:paraId="5365BE4C" w14:textId="01425895" w:rsidR="001B6E8C" w:rsidRDefault="001B6E8C" w:rsidP="00A638AD">
      <w:pPr>
        <w:spacing w:after="0" w:line="240" w:lineRule="auto"/>
        <w:rPr>
          <w:b/>
          <w:bCs/>
        </w:rPr>
      </w:pPr>
    </w:p>
    <w:p w14:paraId="694CFFFA" w14:textId="4A050E56" w:rsidR="001B6E8C" w:rsidRDefault="001B6E8C" w:rsidP="00A638AD">
      <w:pPr>
        <w:spacing w:after="0" w:line="240" w:lineRule="auto"/>
        <w:rPr>
          <w:b/>
          <w:bCs/>
        </w:rPr>
      </w:pPr>
    </w:p>
    <w:p w14:paraId="3F03C97E" w14:textId="0F55AEDC" w:rsidR="001B6E8C" w:rsidRDefault="001B6E8C" w:rsidP="00A638AD">
      <w:pPr>
        <w:spacing w:after="0" w:line="240" w:lineRule="auto"/>
        <w:rPr>
          <w:b/>
          <w:bCs/>
        </w:rPr>
      </w:pPr>
    </w:p>
    <w:p w14:paraId="6521D75B" w14:textId="5E4FA90E" w:rsidR="001B6E8C" w:rsidRDefault="001B6E8C" w:rsidP="00A638AD">
      <w:pPr>
        <w:spacing w:after="0" w:line="240" w:lineRule="auto"/>
        <w:rPr>
          <w:b/>
          <w:bCs/>
        </w:rPr>
      </w:pPr>
    </w:p>
    <w:p w14:paraId="3115669D" w14:textId="1D0E576D" w:rsidR="001B6E8C" w:rsidRDefault="001B6E8C" w:rsidP="00A638AD">
      <w:pPr>
        <w:spacing w:after="0" w:line="240" w:lineRule="auto"/>
        <w:rPr>
          <w:b/>
          <w:bCs/>
        </w:rPr>
      </w:pPr>
    </w:p>
    <w:p w14:paraId="4A3CA187" w14:textId="130D82F9" w:rsidR="001B6E8C" w:rsidRDefault="001B6E8C" w:rsidP="00A638AD">
      <w:pPr>
        <w:spacing w:after="0" w:line="240" w:lineRule="auto"/>
        <w:rPr>
          <w:b/>
          <w:bCs/>
        </w:rPr>
      </w:pPr>
    </w:p>
    <w:p w14:paraId="08665683" w14:textId="5911A113" w:rsidR="001B6E8C" w:rsidRDefault="001B6E8C" w:rsidP="00A638AD">
      <w:pPr>
        <w:spacing w:after="0" w:line="240" w:lineRule="auto"/>
        <w:rPr>
          <w:b/>
          <w:bCs/>
        </w:rPr>
      </w:pPr>
    </w:p>
    <w:p w14:paraId="145D4CAB" w14:textId="5A52EBC6" w:rsidR="001B6E8C" w:rsidRDefault="001B6E8C" w:rsidP="00A638AD">
      <w:pPr>
        <w:spacing w:after="0" w:line="240" w:lineRule="auto"/>
        <w:rPr>
          <w:b/>
          <w:bCs/>
        </w:rPr>
      </w:pPr>
    </w:p>
    <w:p w14:paraId="3A2BF8DA" w14:textId="43F68894" w:rsidR="001B6E8C" w:rsidRDefault="001B6E8C" w:rsidP="00A638AD">
      <w:pPr>
        <w:spacing w:after="0" w:line="240" w:lineRule="auto"/>
        <w:rPr>
          <w:b/>
          <w:bCs/>
        </w:rPr>
      </w:pPr>
    </w:p>
    <w:p w14:paraId="63E2773F" w14:textId="020591CB" w:rsidR="001B6E8C" w:rsidRDefault="001B6E8C" w:rsidP="00A638AD">
      <w:pPr>
        <w:spacing w:after="0" w:line="240" w:lineRule="auto"/>
        <w:rPr>
          <w:b/>
          <w:bCs/>
        </w:rPr>
      </w:pPr>
    </w:p>
    <w:p w14:paraId="2AB6CD6C" w14:textId="41F37650" w:rsidR="001B6E8C" w:rsidRDefault="001B6E8C" w:rsidP="00A638AD">
      <w:pPr>
        <w:spacing w:after="0" w:line="240" w:lineRule="auto"/>
        <w:rPr>
          <w:b/>
          <w:bCs/>
        </w:rPr>
      </w:pPr>
    </w:p>
    <w:p w14:paraId="340EAFE2" w14:textId="327E3C41" w:rsidR="001B6E8C" w:rsidRDefault="001B6E8C" w:rsidP="00A638AD">
      <w:pPr>
        <w:spacing w:after="0" w:line="240" w:lineRule="auto"/>
        <w:rPr>
          <w:b/>
          <w:bCs/>
        </w:rPr>
      </w:pPr>
    </w:p>
    <w:p w14:paraId="2FDA6A92" w14:textId="69373E86" w:rsidR="001B6E8C" w:rsidRDefault="001B6E8C" w:rsidP="00A638AD">
      <w:pPr>
        <w:spacing w:after="0" w:line="240" w:lineRule="auto"/>
        <w:rPr>
          <w:b/>
          <w:bCs/>
        </w:rPr>
      </w:pPr>
    </w:p>
    <w:p w14:paraId="07669292" w14:textId="05119022" w:rsidR="001B6E8C" w:rsidRDefault="001B6E8C" w:rsidP="00A638AD">
      <w:pPr>
        <w:spacing w:after="0" w:line="240" w:lineRule="auto"/>
        <w:rPr>
          <w:b/>
          <w:bCs/>
        </w:rPr>
      </w:pPr>
    </w:p>
    <w:p w14:paraId="0DD31875" w14:textId="765E0B81" w:rsidR="001B6E8C" w:rsidRDefault="001B6E8C" w:rsidP="00A638AD">
      <w:pPr>
        <w:spacing w:after="0" w:line="240" w:lineRule="auto"/>
        <w:rPr>
          <w:b/>
          <w:bCs/>
        </w:rPr>
      </w:pPr>
    </w:p>
    <w:p w14:paraId="10EC4D40" w14:textId="545C4D9E" w:rsidR="001B6E8C" w:rsidRDefault="001B6E8C" w:rsidP="00A638AD">
      <w:pPr>
        <w:spacing w:after="0" w:line="240" w:lineRule="auto"/>
        <w:rPr>
          <w:b/>
          <w:bCs/>
        </w:rPr>
      </w:pPr>
    </w:p>
    <w:p w14:paraId="741A772B" w14:textId="365AA57B" w:rsidR="001B6E8C" w:rsidRDefault="001B6E8C" w:rsidP="00A638AD">
      <w:pPr>
        <w:spacing w:after="0" w:line="240" w:lineRule="auto"/>
        <w:rPr>
          <w:b/>
          <w:bCs/>
        </w:rPr>
      </w:pPr>
    </w:p>
    <w:p w14:paraId="4E8B3913" w14:textId="4E195C20" w:rsidR="001B6E8C" w:rsidRDefault="001B6E8C" w:rsidP="00A638AD">
      <w:pPr>
        <w:spacing w:after="0" w:line="240" w:lineRule="auto"/>
        <w:rPr>
          <w:b/>
          <w:bCs/>
        </w:rPr>
      </w:pPr>
    </w:p>
    <w:p w14:paraId="3DF029BE" w14:textId="417E2A00" w:rsidR="001B6E8C" w:rsidRDefault="001B6E8C" w:rsidP="00A638AD">
      <w:pPr>
        <w:spacing w:after="0" w:line="240" w:lineRule="auto"/>
        <w:rPr>
          <w:b/>
          <w:bCs/>
        </w:rPr>
      </w:pPr>
    </w:p>
    <w:p w14:paraId="201E22E2" w14:textId="3F2D0C9F" w:rsidR="001B6E8C" w:rsidRDefault="001B6E8C" w:rsidP="00A638AD">
      <w:pPr>
        <w:spacing w:after="0" w:line="240" w:lineRule="auto"/>
        <w:rPr>
          <w:b/>
          <w:bCs/>
        </w:rPr>
      </w:pPr>
    </w:p>
    <w:p w14:paraId="3E4A0568" w14:textId="38BE31DC" w:rsidR="001B6E8C" w:rsidRDefault="001B6E8C" w:rsidP="00A638AD">
      <w:pPr>
        <w:spacing w:after="0" w:line="240" w:lineRule="auto"/>
        <w:rPr>
          <w:b/>
          <w:bCs/>
        </w:rPr>
      </w:pPr>
    </w:p>
    <w:p w14:paraId="738B9EE8" w14:textId="77777777" w:rsidR="001B6E8C" w:rsidRDefault="001B6E8C" w:rsidP="00A638AD">
      <w:pPr>
        <w:spacing w:after="0" w:line="240" w:lineRule="auto"/>
        <w:rPr>
          <w:b/>
          <w:bCs/>
        </w:rPr>
      </w:pPr>
    </w:p>
    <w:p w14:paraId="2EFCF31C" w14:textId="437D6E8C" w:rsidR="004040FC" w:rsidRDefault="004040FC" w:rsidP="004040FC">
      <w:pPr>
        <w:spacing w:after="0" w:line="240" w:lineRule="auto"/>
        <w:jc w:val="center"/>
        <w:rPr>
          <w:b/>
          <w:bCs/>
        </w:rPr>
      </w:pPr>
      <w:r>
        <w:rPr>
          <w:b/>
          <w:bCs/>
        </w:rPr>
        <w:t>References</w:t>
      </w:r>
    </w:p>
    <w:p w14:paraId="3E06D4D0" w14:textId="271F153E" w:rsidR="004040FC" w:rsidRDefault="004040FC" w:rsidP="004040FC">
      <w:pPr>
        <w:spacing w:after="0" w:line="240" w:lineRule="auto"/>
        <w:rPr>
          <w:b/>
          <w:bCs/>
        </w:rPr>
      </w:pPr>
    </w:p>
    <w:p w14:paraId="02813D8A" w14:textId="5805DC59" w:rsidR="00525921" w:rsidRDefault="00525921" w:rsidP="00F46E0F">
      <w:pPr>
        <w:spacing w:after="0" w:line="240" w:lineRule="auto"/>
        <w:ind w:left="360" w:hanging="360"/>
      </w:pPr>
      <w:r>
        <w:t>Alexander, D</w:t>
      </w:r>
      <w:r w:rsidR="005E7479">
        <w:t>.</w:t>
      </w:r>
      <w:r w:rsidR="00C05366">
        <w:t>J</w:t>
      </w:r>
      <w:r>
        <w:t>.</w:t>
      </w:r>
      <w:r w:rsidR="00C05366">
        <w:t xml:space="preserve"> </w:t>
      </w:r>
      <w:r w:rsidR="00881638">
        <w:t>(</w:t>
      </w:r>
      <w:r w:rsidR="00C05366">
        <w:t>2013</w:t>
      </w:r>
      <w:r w:rsidR="00881638">
        <w:t>)</w:t>
      </w:r>
      <w:r w:rsidR="00C05366">
        <w:t xml:space="preserve">. “The Problem of Respecting Higher-Order Doubt.” </w:t>
      </w:r>
      <w:r w:rsidR="00C05366" w:rsidRPr="00C05366">
        <w:rPr>
          <w:i/>
          <w:iCs/>
        </w:rPr>
        <w:t>Philosophers’ Imprint</w:t>
      </w:r>
      <w:r w:rsidR="00C05366">
        <w:t xml:space="preserve"> 13(18).</w:t>
      </w:r>
      <w:r>
        <w:t xml:space="preserve"> </w:t>
      </w:r>
    </w:p>
    <w:p w14:paraId="4ECA98BE" w14:textId="77777777" w:rsidR="00525921" w:rsidRDefault="00525921" w:rsidP="00F46E0F">
      <w:pPr>
        <w:spacing w:after="0" w:line="240" w:lineRule="auto"/>
        <w:ind w:left="360" w:hanging="360"/>
      </w:pPr>
    </w:p>
    <w:p w14:paraId="3C0F5CCA" w14:textId="2AA50D12" w:rsidR="0060630F" w:rsidRDefault="0060630F" w:rsidP="00F46E0F">
      <w:pPr>
        <w:spacing w:after="0" w:line="240" w:lineRule="auto"/>
        <w:ind w:left="360" w:hanging="360"/>
      </w:pPr>
      <w:r>
        <w:t>Barnett, B</w:t>
      </w:r>
      <w:r w:rsidR="005E7479">
        <w:t>.</w:t>
      </w:r>
      <w:r>
        <w:t xml:space="preserve">C. </w:t>
      </w:r>
      <w:r w:rsidR="00881638">
        <w:t>(2</w:t>
      </w:r>
      <w:r>
        <w:t>016</w:t>
      </w:r>
      <w:r w:rsidR="00881638">
        <w:t>)</w:t>
      </w:r>
      <w:r>
        <w:t xml:space="preserve">. </w:t>
      </w:r>
      <w:r w:rsidRPr="00C107E3">
        <w:rPr>
          <w:i/>
          <w:iCs/>
        </w:rPr>
        <w:t>Higher-Order Evidence: Its Nature and Epistemic Significance</w:t>
      </w:r>
      <w:r>
        <w:t>.</w:t>
      </w:r>
      <w:r w:rsidR="004803DC">
        <w:t xml:space="preserve"> </w:t>
      </w:r>
      <w:r w:rsidR="00881638">
        <w:t xml:space="preserve">Ph.D. dissertation, </w:t>
      </w:r>
      <w:r w:rsidR="004803DC">
        <w:t xml:space="preserve">University of Rochester. </w:t>
      </w:r>
      <w:r w:rsidR="004803DC" w:rsidRPr="004803DC">
        <w:rPr>
          <w:i/>
          <w:iCs/>
        </w:rPr>
        <w:t>ProQuest</w:t>
      </w:r>
      <w:r w:rsidR="004803DC">
        <w:t>.</w:t>
      </w:r>
    </w:p>
    <w:p w14:paraId="34678B4C" w14:textId="77777777" w:rsidR="0060630F" w:rsidRDefault="0060630F" w:rsidP="00F46E0F">
      <w:pPr>
        <w:spacing w:after="0" w:line="240" w:lineRule="auto"/>
        <w:ind w:left="360" w:hanging="360"/>
      </w:pPr>
    </w:p>
    <w:p w14:paraId="0357BB41" w14:textId="4682F9E1" w:rsidR="0060630F" w:rsidRDefault="0060630F" w:rsidP="00F46E0F">
      <w:pPr>
        <w:spacing w:after="0" w:line="240" w:lineRule="auto"/>
        <w:ind w:left="360" w:hanging="360"/>
      </w:pPr>
      <w:r>
        <w:t>Benacerraf, P</w:t>
      </w:r>
      <w:r w:rsidR="005E7479">
        <w:t>.</w:t>
      </w:r>
      <w:r>
        <w:t xml:space="preserve"> </w:t>
      </w:r>
      <w:r w:rsidR="00881638">
        <w:t>(</w:t>
      </w:r>
      <w:r>
        <w:t>1973</w:t>
      </w:r>
      <w:r w:rsidR="00881638">
        <w:t>)</w:t>
      </w:r>
      <w:r>
        <w:t xml:space="preserve">. “Mathematical Truth.” </w:t>
      </w:r>
      <w:r w:rsidRPr="00BD1BD2">
        <w:rPr>
          <w:i/>
          <w:iCs/>
        </w:rPr>
        <w:t>Journal of Philosophy</w:t>
      </w:r>
      <w:r>
        <w:t xml:space="preserve"> 70(19)</w:t>
      </w:r>
      <w:r w:rsidR="007755AB">
        <w:t>: 661.</w:t>
      </w:r>
    </w:p>
    <w:p w14:paraId="04F3301E" w14:textId="0089950B" w:rsidR="00495237" w:rsidRDefault="00495237" w:rsidP="00F46E0F">
      <w:pPr>
        <w:spacing w:after="0" w:line="240" w:lineRule="auto"/>
        <w:ind w:left="360" w:hanging="360"/>
      </w:pPr>
    </w:p>
    <w:p w14:paraId="305D78C8" w14:textId="39163FB6" w:rsidR="00525921" w:rsidRDefault="00525921" w:rsidP="00F46E0F">
      <w:pPr>
        <w:spacing w:after="0" w:line="240" w:lineRule="auto"/>
        <w:ind w:left="360" w:hanging="360"/>
      </w:pPr>
      <w:r>
        <w:t>Bergmann, M</w:t>
      </w:r>
      <w:r w:rsidR="005E7479">
        <w:t>.</w:t>
      </w:r>
      <w:r>
        <w:t xml:space="preserve"> (2005). “Defeaters and Higher-Level Requirements.” </w:t>
      </w:r>
      <w:r w:rsidRPr="00C05366">
        <w:rPr>
          <w:i/>
          <w:iCs/>
        </w:rPr>
        <w:t>The Philosophical Quarterly</w:t>
      </w:r>
      <w:r>
        <w:t xml:space="preserve"> 55(220): 419-436.</w:t>
      </w:r>
    </w:p>
    <w:p w14:paraId="56DB470F" w14:textId="77777777" w:rsidR="00525921" w:rsidRDefault="00525921" w:rsidP="00F46E0F">
      <w:pPr>
        <w:spacing w:after="0" w:line="240" w:lineRule="auto"/>
        <w:ind w:left="360" w:hanging="360"/>
      </w:pPr>
    </w:p>
    <w:p w14:paraId="39276591" w14:textId="6742E1E1" w:rsidR="00495237" w:rsidRDefault="005E7479" w:rsidP="00F46E0F">
      <w:pPr>
        <w:spacing w:after="0" w:line="240" w:lineRule="auto"/>
        <w:ind w:left="360" w:hanging="360"/>
      </w:pPr>
      <w:r>
        <w:t>---</w:t>
      </w:r>
      <w:r w:rsidR="00495237">
        <w:t xml:space="preserve"> (2006). </w:t>
      </w:r>
      <w:r w:rsidR="00495237" w:rsidRPr="00495237">
        <w:rPr>
          <w:i/>
          <w:iCs/>
        </w:rPr>
        <w:t>Justification without Awareness: A Defense of Epistemic Externalism</w:t>
      </w:r>
      <w:r w:rsidR="00495237">
        <w:t>. Oxford: Clarendon Press.</w:t>
      </w:r>
    </w:p>
    <w:p w14:paraId="57B75B84" w14:textId="77777777" w:rsidR="0060630F" w:rsidRDefault="0060630F" w:rsidP="00F46E0F">
      <w:pPr>
        <w:spacing w:after="0" w:line="240" w:lineRule="auto"/>
        <w:ind w:left="360" w:hanging="360"/>
      </w:pPr>
    </w:p>
    <w:p w14:paraId="0C145B48" w14:textId="14F88349" w:rsidR="0060630F" w:rsidRDefault="0060630F" w:rsidP="00F46E0F">
      <w:pPr>
        <w:spacing w:after="0" w:line="240" w:lineRule="auto"/>
        <w:ind w:left="360" w:hanging="360"/>
      </w:pPr>
      <w:r>
        <w:t>Campbell, R</w:t>
      </w:r>
      <w:r w:rsidR="005E7479">
        <w:t>.</w:t>
      </w:r>
      <w:r>
        <w:t xml:space="preserve"> (2015). “Moral Epistemology.” </w:t>
      </w:r>
      <w:r w:rsidRPr="00C96715">
        <w:rPr>
          <w:i/>
          <w:iCs/>
        </w:rPr>
        <w:t>Stanford Encyclopedia of Philosophy</w:t>
      </w:r>
      <w:r>
        <w:t xml:space="preserve">. </w:t>
      </w:r>
    </w:p>
    <w:p w14:paraId="669C6126" w14:textId="77777777" w:rsidR="004A5944" w:rsidRDefault="004A5944" w:rsidP="004A5944">
      <w:pPr>
        <w:spacing w:after="0" w:line="240" w:lineRule="auto"/>
      </w:pPr>
    </w:p>
    <w:p w14:paraId="229A1FB6" w14:textId="1AD39A7D" w:rsidR="000E2202" w:rsidRDefault="000E2202" w:rsidP="00F46E0F">
      <w:pPr>
        <w:spacing w:after="0" w:line="240" w:lineRule="auto"/>
        <w:ind w:left="360" w:hanging="360"/>
      </w:pPr>
      <w:r>
        <w:t>Carter, J.A. (201</w:t>
      </w:r>
      <w:r w:rsidR="00993DDE">
        <w:t>8</w:t>
      </w:r>
      <w:r>
        <w:t xml:space="preserve">). “Meta-Epistemic Defeat.” </w:t>
      </w:r>
      <w:r w:rsidRPr="000E2202">
        <w:rPr>
          <w:i/>
          <w:iCs/>
        </w:rPr>
        <w:t>Synthese</w:t>
      </w:r>
      <w:r w:rsidR="00993DDE">
        <w:t xml:space="preserve"> 195(7): 2877-2896.</w:t>
      </w:r>
      <w:r>
        <w:t xml:space="preserve"> </w:t>
      </w:r>
    </w:p>
    <w:p w14:paraId="7219EADE" w14:textId="77777777" w:rsidR="000E2202" w:rsidRPr="0060630F" w:rsidRDefault="000E2202" w:rsidP="00F46E0F">
      <w:pPr>
        <w:spacing w:after="0" w:line="240" w:lineRule="auto"/>
        <w:ind w:left="360" w:hanging="360"/>
      </w:pPr>
    </w:p>
    <w:p w14:paraId="03FE8930" w14:textId="3BFD23BC" w:rsidR="0060630F" w:rsidRPr="002803ED" w:rsidRDefault="0060630F" w:rsidP="00F46E0F">
      <w:pPr>
        <w:spacing w:after="240" w:line="240" w:lineRule="auto"/>
        <w:ind w:left="360" w:hanging="360"/>
        <w:rPr>
          <w:szCs w:val="24"/>
        </w:rPr>
      </w:pPr>
      <w:r>
        <w:rPr>
          <w:szCs w:val="24"/>
        </w:rPr>
        <w:t xml:space="preserve">Christensen, D. </w:t>
      </w:r>
      <w:r w:rsidR="005E7479">
        <w:rPr>
          <w:szCs w:val="24"/>
        </w:rPr>
        <w:t>(</w:t>
      </w:r>
      <w:r>
        <w:rPr>
          <w:szCs w:val="24"/>
        </w:rPr>
        <w:t>2007</w:t>
      </w:r>
      <w:r w:rsidR="005E7479">
        <w:rPr>
          <w:szCs w:val="24"/>
        </w:rPr>
        <w:t>)</w:t>
      </w:r>
      <w:r>
        <w:rPr>
          <w:szCs w:val="24"/>
        </w:rPr>
        <w:t xml:space="preserve">. “Epistemology of Disagreement: The Good News.” </w:t>
      </w:r>
      <w:r>
        <w:rPr>
          <w:i/>
          <w:szCs w:val="24"/>
        </w:rPr>
        <w:t xml:space="preserve">Philosophical Review </w:t>
      </w:r>
      <w:r>
        <w:rPr>
          <w:szCs w:val="24"/>
        </w:rPr>
        <w:t>116(2): 187</w:t>
      </w:r>
      <w:r w:rsidRPr="00A7598F">
        <w:rPr>
          <w:szCs w:val="24"/>
        </w:rPr>
        <w:t>–</w:t>
      </w:r>
      <w:r>
        <w:rPr>
          <w:szCs w:val="24"/>
        </w:rPr>
        <w:t xml:space="preserve">217. </w:t>
      </w:r>
    </w:p>
    <w:p w14:paraId="0992F3ED" w14:textId="0FFDE260" w:rsidR="0060630F" w:rsidRPr="0060630F" w:rsidRDefault="005E7479" w:rsidP="00F46E0F">
      <w:pPr>
        <w:spacing w:after="240" w:line="240" w:lineRule="auto"/>
        <w:ind w:left="360" w:hanging="360"/>
        <w:rPr>
          <w:szCs w:val="24"/>
        </w:rPr>
      </w:pPr>
      <w:r>
        <w:rPr>
          <w:szCs w:val="24"/>
        </w:rPr>
        <w:t>---</w:t>
      </w:r>
      <w:r w:rsidR="0060630F">
        <w:rPr>
          <w:szCs w:val="24"/>
        </w:rPr>
        <w:t xml:space="preserve"> </w:t>
      </w:r>
      <w:r>
        <w:rPr>
          <w:szCs w:val="24"/>
        </w:rPr>
        <w:t>(</w:t>
      </w:r>
      <w:r w:rsidR="0060630F">
        <w:rPr>
          <w:szCs w:val="24"/>
        </w:rPr>
        <w:t>2009</w:t>
      </w:r>
      <w:r>
        <w:rPr>
          <w:szCs w:val="24"/>
        </w:rPr>
        <w:t>)</w:t>
      </w:r>
      <w:r w:rsidR="0060630F">
        <w:rPr>
          <w:szCs w:val="24"/>
        </w:rPr>
        <w:t xml:space="preserve">. “Disagreement as Evidence.” </w:t>
      </w:r>
      <w:r w:rsidR="0060630F">
        <w:rPr>
          <w:i/>
          <w:szCs w:val="24"/>
        </w:rPr>
        <w:t>Philosophy Compass</w:t>
      </w:r>
      <w:r w:rsidR="0060630F">
        <w:rPr>
          <w:szCs w:val="24"/>
        </w:rPr>
        <w:t xml:space="preserve"> 4(5): 756</w:t>
      </w:r>
      <w:r w:rsidR="0060630F" w:rsidRPr="00A7598F">
        <w:rPr>
          <w:szCs w:val="24"/>
        </w:rPr>
        <w:t>–</w:t>
      </w:r>
      <w:r w:rsidR="0060630F">
        <w:rPr>
          <w:szCs w:val="24"/>
        </w:rPr>
        <w:t xml:space="preserve">67. </w:t>
      </w:r>
    </w:p>
    <w:p w14:paraId="3EFF9F39" w14:textId="1819661F" w:rsidR="0060630F" w:rsidRDefault="005E7479" w:rsidP="00F46E0F">
      <w:pPr>
        <w:spacing w:after="240" w:line="240" w:lineRule="auto"/>
        <w:ind w:left="360" w:hanging="360"/>
        <w:rPr>
          <w:noProof/>
          <w:szCs w:val="24"/>
        </w:rPr>
      </w:pPr>
      <w:bookmarkStart w:id="1" w:name="_ENREF_1"/>
      <w:r>
        <w:rPr>
          <w:noProof/>
          <w:szCs w:val="24"/>
        </w:rPr>
        <w:t>---</w:t>
      </w:r>
      <w:r w:rsidR="0060630F">
        <w:rPr>
          <w:noProof/>
          <w:szCs w:val="24"/>
        </w:rPr>
        <w:t xml:space="preserve"> </w:t>
      </w:r>
      <w:r>
        <w:rPr>
          <w:noProof/>
          <w:szCs w:val="24"/>
        </w:rPr>
        <w:t>(</w:t>
      </w:r>
      <w:r w:rsidR="0060630F">
        <w:rPr>
          <w:noProof/>
          <w:szCs w:val="24"/>
        </w:rPr>
        <w:t>2010</w:t>
      </w:r>
      <w:r>
        <w:rPr>
          <w:noProof/>
          <w:szCs w:val="24"/>
        </w:rPr>
        <w:t>)</w:t>
      </w:r>
      <w:r w:rsidR="0060630F">
        <w:rPr>
          <w:noProof/>
          <w:szCs w:val="24"/>
        </w:rPr>
        <w:t xml:space="preserve">. "Higher-Order Evidence." </w:t>
      </w:r>
      <w:r w:rsidR="0060630F" w:rsidRPr="00255CB7">
        <w:rPr>
          <w:i/>
          <w:noProof/>
          <w:szCs w:val="24"/>
        </w:rPr>
        <w:t>Philosophy and Phenomenological Research</w:t>
      </w:r>
      <w:r w:rsidR="0060630F">
        <w:rPr>
          <w:noProof/>
          <w:szCs w:val="24"/>
        </w:rPr>
        <w:t xml:space="preserve"> 81(1): 185</w:t>
      </w:r>
      <w:r w:rsidR="0060630F" w:rsidRPr="00A7598F">
        <w:rPr>
          <w:noProof/>
          <w:szCs w:val="24"/>
        </w:rPr>
        <w:t>–</w:t>
      </w:r>
      <w:r w:rsidR="0060630F">
        <w:rPr>
          <w:noProof/>
          <w:szCs w:val="24"/>
        </w:rPr>
        <w:t>215.</w:t>
      </w:r>
      <w:bookmarkEnd w:id="1"/>
    </w:p>
    <w:p w14:paraId="43BB46C1" w14:textId="69A63733" w:rsidR="00AA67DE" w:rsidRDefault="002E49D1" w:rsidP="00F46E0F">
      <w:pPr>
        <w:spacing w:after="0" w:line="240" w:lineRule="auto"/>
        <w:ind w:left="360" w:hanging="360"/>
      </w:pPr>
      <w:r>
        <w:t xml:space="preserve">Clarke-Doane, J. (2017). “What Is the Benacerraf Problem? In </w:t>
      </w:r>
      <w:r w:rsidRPr="002E49D1">
        <w:rPr>
          <w:i/>
          <w:iCs/>
        </w:rPr>
        <w:t>Truth, Objects, Infinity: New Perspectives on the Philosophy of Paul Benacerraf</w:t>
      </w:r>
      <w:r w:rsidR="002E12B8">
        <w:t xml:space="preserve">, ed. F. Patuat. </w:t>
      </w:r>
      <w:r>
        <w:t>Verlag</w:t>
      </w:r>
      <w:r w:rsidR="009F5B4F">
        <w:t>: Springer</w:t>
      </w:r>
      <w:r>
        <w:t xml:space="preserve">, 17-43. </w:t>
      </w:r>
    </w:p>
    <w:p w14:paraId="1349AF5E" w14:textId="0AD5CD59" w:rsidR="00AA67DE" w:rsidRDefault="00AA67DE" w:rsidP="00F46E0F">
      <w:pPr>
        <w:spacing w:after="0" w:line="240" w:lineRule="auto"/>
        <w:ind w:left="360" w:hanging="360"/>
      </w:pPr>
    </w:p>
    <w:p w14:paraId="473377A5" w14:textId="33D79F33" w:rsidR="00604E5A" w:rsidRDefault="00604E5A" w:rsidP="00F46E0F">
      <w:pPr>
        <w:spacing w:after="0" w:line="240" w:lineRule="auto"/>
        <w:ind w:left="360" w:hanging="360"/>
      </w:pPr>
      <w:r>
        <w:t xml:space="preserve">Conee, E., and </w:t>
      </w:r>
      <w:r w:rsidR="009F5B4F">
        <w:t xml:space="preserve">R. </w:t>
      </w:r>
      <w:r>
        <w:t xml:space="preserve">Feldman. (2001). “Internalism Defended.” In </w:t>
      </w:r>
      <w:r w:rsidRPr="00604E5A">
        <w:rPr>
          <w:i/>
          <w:iCs/>
        </w:rPr>
        <w:t>Epistemology: Internalism and Externalism</w:t>
      </w:r>
      <w:r>
        <w:t>, ed. H. Kornblith. Oxford: Blackwell, 231-260.</w:t>
      </w:r>
    </w:p>
    <w:p w14:paraId="422C5042" w14:textId="390FC221" w:rsidR="00D16451" w:rsidRDefault="00D16451" w:rsidP="00F46E0F">
      <w:pPr>
        <w:spacing w:after="0" w:line="240" w:lineRule="auto"/>
        <w:ind w:left="360" w:hanging="360"/>
      </w:pPr>
    </w:p>
    <w:p w14:paraId="2C9730C6" w14:textId="2626F60C" w:rsidR="00D16451" w:rsidRDefault="00D16451" w:rsidP="00D16451">
      <w:pPr>
        <w:spacing w:after="0" w:line="240" w:lineRule="auto"/>
      </w:pPr>
      <w:r>
        <w:t xml:space="preserve">--- (2008). “Evidence.” In </w:t>
      </w:r>
      <w:r w:rsidRPr="00D16451">
        <w:rPr>
          <w:i/>
          <w:iCs/>
        </w:rPr>
        <w:t>Epistemology: New Essays</w:t>
      </w:r>
      <w:r>
        <w:t>, ed. Q. Smith. New York: Oxford UP: 83-104.</w:t>
      </w:r>
    </w:p>
    <w:p w14:paraId="394E72B1" w14:textId="77777777" w:rsidR="00604E5A" w:rsidRPr="00AA67DE" w:rsidRDefault="00604E5A" w:rsidP="00F46E0F">
      <w:pPr>
        <w:spacing w:after="0" w:line="240" w:lineRule="auto"/>
        <w:ind w:left="360" w:hanging="360"/>
      </w:pPr>
    </w:p>
    <w:p w14:paraId="5007736C" w14:textId="6798A06E" w:rsidR="004803DC" w:rsidRDefault="001D49DF" w:rsidP="00F46E0F">
      <w:pPr>
        <w:spacing w:after="0" w:line="240" w:lineRule="auto"/>
        <w:ind w:left="360" w:hanging="360"/>
      </w:pPr>
      <w:r>
        <w:t>Copp, D.</w:t>
      </w:r>
      <w:r w:rsidR="0035632C">
        <w:t xml:space="preserve"> (20</w:t>
      </w:r>
      <w:r w:rsidR="00393F15">
        <w:t>0</w:t>
      </w:r>
      <w:r w:rsidR="0035632C">
        <w:t>8).</w:t>
      </w:r>
      <w:r>
        <w:t xml:space="preserve"> “Darwinian Skepticism about Moral Realism.” </w:t>
      </w:r>
      <w:r w:rsidRPr="00C107E3">
        <w:rPr>
          <w:i/>
          <w:iCs/>
        </w:rPr>
        <w:t>Philosophical Issues</w:t>
      </w:r>
      <w:r>
        <w:t xml:space="preserve"> 18: 186-206. </w:t>
      </w:r>
      <w:bookmarkStart w:id="2" w:name="_ENREF_6"/>
    </w:p>
    <w:p w14:paraId="5DB58312" w14:textId="77777777" w:rsidR="00565CA0" w:rsidRPr="00565CA0" w:rsidRDefault="00565CA0" w:rsidP="00F46E0F">
      <w:pPr>
        <w:spacing w:after="0" w:line="240" w:lineRule="auto"/>
        <w:ind w:left="360" w:hanging="360"/>
      </w:pPr>
    </w:p>
    <w:p w14:paraId="22C04193" w14:textId="08E194FC" w:rsidR="001D49DF" w:rsidRDefault="001D49DF" w:rsidP="00F46E0F">
      <w:pPr>
        <w:spacing w:after="240" w:line="240" w:lineRule="auto"/>
        <w:ind w:left="360" w:hanging="360"/>
        <w:rPr>
          <w:noProof/>
          <w:szCs w:val="24"/>
        </w:rPr>
      </w:pPr>
      <w:r>
        <w:rPr>
          <w:noProof/>
          <w:szCs w:val="24"/>
        </w:rPr>
        <w:t xml:space="preserve">Elga, A. </w:t>
      </w:r>
      <w:r w:rsidR="005E7479">
        <w:rPr>
          <w:noProof/>
          <w:szCs w:val="24"/>
        </w:rPr>
        <w:t>(</w:t>
      </w:r>
      <w:r>
        <w:rPr>
          <w:noProof/>
          <w:szCs w:val="24"/>
        </w:rPr>
        <w:t>2010</w:t>
      </w:r>
      <w:r w:rsidR="005E7479">
        <w:rPr>
          <w:noProof/>
          <w:szCs w:val="24"/>
        </w:rPr>
        <w:t>)</w:t>
      </w:r>
      <w:r>
        <w:rPr>
          <w:noProof/>
          <w:szCs w:val="24"/>
        </w:rPr>
        <w:t xml:space="preserve">. "How to Disagree about How to Disagree." In </w:t>
      </w:r>
      <w:r w:rsidRPr="00255CB7">
        <w:rPr>
          <w:i/>
          <w:noProof/>
          <w:szCs w:val="24"/>
        </w:rPr>
        <w:t>Disagreement</w:t>
      </w:r>
      <w:r>
        <w:rPr>
          <w:noProof/>
          <w:szCs w:val="24"/>
        </w:rPr>
        <w:t xml:space="preserve">, </w:t>
      </w:r>
      <w:r w:rsidR="002E12B8">
        <w:rPr>
          <w:noProof/>
          <w:szCs w:val="24"/>
        </w:rPr>
        <w:t>eds.</w:t>
      </w:r>
      <w:r>
        <w:rPr>
          <w:noProof/>
          <w:szCs w:val="24"/>
        </w:rPr>
        <w:t xml:space="preserve"> R. Feldman and T.A. Warfield. New York: Oxford </w:t>
      </w:r>
      <w:r w:rsidR="005166D3">
        <w:rPr>
          <w:noProof/>
          <w:szCs w:val="24"/>
        </w:rPr>
        <w:t>UP</w:t>
      </w:r>
      <w:r>
        <w:rPr>
          <w:noProof/>
          <w:szCs w:val="24"/>
        </w:rPr>
        <w:t>, 175</w:t>
      </w:r>
      <w:r w:rsidRPr="00A7598F">
        <w:rPr>
          <w:noProof/>
          <w:szCs w:val="24"/>
        </w:rPr>
        <w:t>–</w:t>
      </w:r>
      <w:r w:rsidR="009F5B4F">
        <w:rPr>
          <w:noProof/>
          <w:szCs w:val="24"/>
        </w:rPr>
        <w:t>1</w:t>
      </w:r>
      <w:r>
        <w:rPr>
          <w:noProof/>
          <w:szCs w:val="24"/>
        </w:rPr>
        <w:t>86.</w:t>
      </w:r>
    </w:p>
    <w:p w14:paraId="7026F1F1" w14:textId="77777777" w:rsidR="001D49DF" w:rsidRDefault="001D49DF" w:rsidP="00F46E0F">
      <w:pPr>
        <w:spacing w:after="0" w:line="240" w:lineRule="auto"/>
        <w:ind w:left="360" w:hanging="360"/>
      </w:pPr>
      <w:r>
        <w:t xml:space="preserve">Enoch, D. (2010). “The Epistemological Challenge to Metanormative Realism: How Best to Understand it, and How to Cope with It.” </w:t>
      </w:r>
      <w:r w:rsidRPr="00C107E3">
        <w:rPr>
          <w:i/>
          <w:iCs/>
        </w:rPr>
        <w:t>Philosophical studies</w:t>
      </w:r>
      <w:r>
        <w:t xml:space="preserve"> 148(3): 413-438. </w:t>
      </w:r>
    </w:p>
    <w:p w14:paraId="211C9E04" w14:textId="77777777" w:rsidR="001D49DF" w:rsidRDefault="001D49DF" w:rsidP="00F46E0F">
      <w:pPr>
        <w:spacing w:after="0" w:line="240" w:lineRule="auto"/>
        <w:ind w:left="360" w:hanging="360"/>
      </w:pPr>
    </w:p>
    <w:p w14:paraId="0884F7E6" w14:textId="3FF80C2B" w:rsidR="001D49DF" w:rsidRDefault="005E7479" w:rsidP="00F46E0F">
      <w:pPr>
        <w:spacing w:after="0" w:line="240" w:lineRule="auto"/>
        <w:ind w:left="360" w:hanging="360"/>
      </w:pPr>
      <w:r>
        <w:t>---</w:t>
      </w:r>
      <w:r w:rsidR="001D49DF">
        <w:t xml:space="preserve"> (2011). </w:t>
      </w:r>
      <w:r w:rsidR="001D49DF" w:rsidRPr="00C107E3">
        <w:rPr>
          <w:i/>
          <w:iCs/>
        </w:rPr>
        <w:t>Taking Morality Seriously: A Defense of Robust Realism.</w:t>
      </w:r>
      <w:r w:rsidR="001D49DF">
        <w:t xml:space="preserve"> Oxford: Oxford </w:t>
      </w:r>
      <w:r w:rsidR="005166D3">
        <w:t>UP</w:t>
      </w:r>
      <w:r w:rsidR="001D49DF">
        <w:t>.</w:t>
      </w:r>
    </w:p>
    <w:p w14:paraId="2F8697A2" w14:textId="77777777" w:rsidR="001D49DF" w:rsidRPr="001D49DF" w:rsidRDefault="001D49DF" w:rsidP="00F46E0F">
      <w:pPr>
        <w:spacing w:after="0" w:line="240" w:lineRule="auto"/>
        <w:ind w:left="360" w:hanging="360"/>
      </w:pPr>
    </w:p>
    <w:p w14:paraId="227DF42B" w14:textId="4397F3EF" w:rsidR="00F5019E" w:rsidRDefault="00F5019E" w:rsidP="00F46E0F">
      <w:pPr>
        <w:spacing w:after="240" w:line="240" w:lineRule="auto"/>
        <w:ind w:left="360" w:hanging="360"/>
        <w:rPr>
          <w:noProof/>
          <w:szCs w:val="24"/>
        </w:rPr>
      </w:pPr>
      <w:r>
        <w:rPr>
          <w:noProof/>
          <w:szCs w:val="24"/>
        </w:rPr>
        <w:t xml:space="preserve">Feldman, R. (1988). “Having Evidence.” In </w:t>
      </w:r>
      <w:r w:rsidRPr="00F5019E">
        <w:rPr>
          <w:i/>
          <w:iCs/>
          <w:noProof/>
          <w:szCs w:val="24"/>
        </w:rPr>
        <w:t>Philosophical Analysis</w:t>
      </w:r>
      <w:r>
        <w:rPr>
          <w:noProof/>
          <w:szCs w:val="24"/>
        </w:rPr>
        <w:t>, ed. D. Austin. Dordrecht: Kluwer</w:t>
      </w:r>
      <w:r w:rsidR="009F5B4F">
        <w:rPr>
          <w:noProof/>
          <w:szCs w:val="24"/>
        </w:rPr>
        <w:t xml:space="preserve">, </w:t>
      </w:r>
      <w:r>
        <w:rPr>
          <w:noProof/>
          <w:szCs w:val="24"/>
        </w:rPr>
        <w:t>83-104.</w:t>
      </w:r>
    </w:p>
    <w:p w14:paraId="2429DEA9" w14:textId="7C778B09" w:rsidR="001D49DF" w:rsidRDefault="00F5019E" w:rsidP="00F46E0F">
      <w:pPr>
        <w:spacing w:after="240" w:line="240" w:lineRule="auto"/>
        <w:ind w:left="360" w:hanging="360"/>
        <w:rPr>
          <w:noProof/>
          <w:szCs w:val="24"/>
        </w:rPr>
      </w:pPr>
      <w:r>
        <w:rPr>
          <w:noProof/>
          <w:szCs w:val="24"/>
        </w:rPr>
        <w:t>---</w:t>
      </w:r>
      <w:r w:rsidR="005E7479">
        <w:rPr>
          <w:noProof/>
          <w:szCs w:val="24"/>
        </w:rPr>
        <w:t>(</w:t>
      </w:r>
      <w:r w:rsidR="001D49DF">
        <w:rPr>
          <w:noProof/>
          <w:szCs w:val="24"/>
        </w:rPr>
        <w:t>2005</w:t>
      </w:r>
      <w:r w:rsidR="005E7479">
        <w:rPr>
          <w:noProof/>
          <w:szCs w:val="24"/>
        </w:rPr>
        <w:t>)</w:t>
      </w:r>
      <w:r w:rsidR="001D49DF">
        <w:rPr>
          <w:noProof/>
          <w:szCs w:val="24"/>
        </w:rPr>
        <w:t xml:space="preserve">. "Respecting the Evidence." </w:t>
      </w:r>
      <w:r w:rsidR="001D49DF">
        <w:rPr>
          <w:i/>
          <w:noProof/>
          <w:szCs w:val="24"/>
        </w:rPr>
        <w:t xml:space="preserve">Philosophical Perspectives </w:t>
      </w:r>
      <w:r w:rsidR="001D49DF">
        <w:rPr>
          <w:noProof/>
          <w:szCs w:val="24"/>
        </w:rPr>
        <w:t>19(1): 95</w:t>
      </w:r>
      <w:r w:rsidR="001D49DF" w:rsidRPr="00A7598F">
        <w:rPr>
          <w:noProof/>
          <w:szCs w:val="24"/>
        </w:rPr>
        <w:t>–</w:t>
      </w:r>
      <w:r w:rsidR="001D49DF">
        <w:rPr>
          <w:noProof/>
          <w:szCs w:val="24"/>
        </w:rPr>
        <w:t>119.</w:t>
      </w:r>
    </w:p>
    <w:p w14:paraId="28FF4824" w14:textId="3775F4D0" w:rsidR="00C96715" w:rsidRPr="001D49DF" w:rsidRDefault="005E7479" w:rsidP="00F46E0F">
      <w:pPr>
        <w:spacing w:after="240" w:line="240" w:lineRule="auto"/>
        <w:ind w:left="360" w:hanging="360"/>
        <w:rPr>
          <w:noProof/>
          <w:szCs w:val="24"/>
        </w:rPr>
      </w:pPr>
      <w:r>
        <w:rPr>
          <w:noProof/>
          <w:szCs w:val="24"/>
        </w:rPr>
        <w:t>---</w:t>
      </w:r>
      <w:r w:rsidR="001D49DF">
        <w:rPr>
          <w:noProof/>
          <w:szCs w:val="24"/>
        </w:rPr>
        <w:t xml:space="preserve"> </w:t>
      </w:r>
      <w:r>
        <w:rPr>
          <w:noProof/>
          <w:szCs w:val="24"/>
        </w:rPr>
        <w:t>(</w:t>
      </w:r>
      <w:r w:rsidR="001D49DF">
        <w:rPr>
          <w:noProof/>
          <w:szCs w:val="24"/>
        </w:rPr>
        <w:t>2006</w:t>
      </w:r>
      <w:r>
        <w:rPr>
          <w:noProof/>
          <w:szCs w:val="24"/>
        </w:rPr>
        <w:t>)</w:t>
      </w:r>
      <w:r w:rsidR="001D49DF">
        <w:rPr>
          <w:noProof/>
          <w:szCs w:val="24"/>
        </w:rPr>
        <w:t xml:space="preserve">. "Epistemological Puzzles about Disagreement." In </w:t>
      </w:r>
      <w:r w:rsidR="001D49DF" w:rsidRPr="00255CB7">
        <w:rPr>
          <w:i/>
          <w:noProof/>
          <w:szCs w:val="24"/>
        </w:rPr>
        <w:t>Epistemology Futures</w:t>
      </w:r>
      <w:r w:rsidR="001D49DF">
        <w:rPr>
          <w:noProof/>
          <w:szCs w:val="24"/>
        </w:rPr>
        <w:t xml:space="preserve">, </w:t>
      </w:r>
      <w:r w:rsidR="002E12B8">
        <w:rPr>
          <w:noProof/>
          <w:szCs w:val="24"/>
        </w:rPr>
        <w:t>ed.</w:t>
      </w:r>
      <w:r w:rsidR="001D49DF">
        <w:rPr>
          <w:noProof/>
          <w:szCs w:val="24"/>
        </w:rPr>
        <w:t xml:space="preserve"> S. Hetherington. New York: Oxford </w:t>
      </w:r>
      <w:r w:rsidR="005166D3">
        <w:rPr>
          <w:noProof/>
          <w:szCs w:val="24"/>
        </w:rPr>
        <w:t>UP</w:t>
      </w:r>
      <w:r w:rsidR="001D49DF">
        <w:rPr>
          <w:noProof/>
          <w:szCs w:val="24"/>
        </w:rPr>
        <w:t>, 216</w:t>
      </w:r>
      <w:r w:rsidR="001D49DF" w:rsidRPr="00A7598F">
        <w:rPr>
          <w:noProof/>
          <w:szCs w:val="24"/>
        </w:rPr>
        <w:t>–</w:t>
      </w:r>
      <w:r w:rsidR="009F5B4F">
        <w:rPr>
          <w:noProof/>
          <w:szCs w:val="24"/>
        </w:rPr>
        <w:t>2</w:t>
      </w:r>
      <w:r w:rsidR="001D49DF">
        <w:rPr>
          <w:noProof/>
          <w:szCs w:val="24"/>
        </w:rPr>
        <w:t>36.</w:t>
      </w:r>
      <w:bookmarkEnd w:id="2"/>
    </w:p>
    <w:p w14:paraId="6A162A46" w14:textId="1F588176" w:rsidR="006A41F7" w:rsidRPr="00E20FBE" w:rsidRDefault="005E7479" w:rsidP="00F46E0F">
      <w:pPr>
        <w:spacing w:after="240" w:line="240" w:lineRule="auto"/>
        <w:ind w:left="360" w:hanging="360"/>
        <w:rPr>
          <w:noProof/>
          <w:szCs w:val="24"/>
        </w:rPr>
      </w:pPr>
      <w:bookmarkStart w:id="3" w:name="_ENREF_7"/>
      <w:r>
        <w:rPr>
          <w:noProof/>
          <w:szCs w:val="24"/>
        </w:rPr>
        <w:t>---</w:t>
      </w:r>
      <w:r w:rsidR="006A41F7">
        <w:rPr>
          <w:noProof/>
          <w:szCs w:val="24"/>
        </w:rPr>
        <w:t xml:space="preserve"> </w:t>
      </w:r>
      <w:r>
        <w:rPr>
          <w:noProof/>
          <w:szCs w:val="24"/>
        </w:rPr>
        <w:t>(</w:t>
      </w:r>
      <w:r w:rsidR="006A41F7">
        <w:rPr>
          <w:noProof/>
          <w:szCs w:val="24"/>
        </w:rPr>
        <w:t>2007</w:t>
      </w:r>
      <w:r>
        <w:rPr>
          <w:noProof/>
          <w:szCs w:val="24"/>
        </w:rPr>
        <w:t>)</w:t>
      </w:r>
      <w:r w:rsidR="006A41F7">
        <w:rPr>
          <w:noProof/>
          <w:szCs w:val="24"/>
        </w:rPr>
        <w:t xml:space="preserve">. "Reasonable Religious Disagreements." In </w:t>
      </w:r>
      <w:r w:rsidR="006A41F7" w:rsidRPr="00255CB7">
        <w:rPr>
          <w:i/>
          <w:noProof/>
          <w:szCs w:val="24"/>
        </w:rPr>
        <w:t>Philosophers Without Gods: Meditations on Atheism and the Secular Life</w:t>
      </w:r>
      <w:r w:rsidR="006A41F7">
        <w:rPr>
          <w:noProof/>
          <w:szCs w:val="24"/>
        </w:rPr>
        <w:t xml:space="preserve">, </w:t>
      </w:r>
      <w:r w:rsidR="002E12B8">
        <w:rPr>
          <w:noProof/>
          <w:szCs w:val="24"/>
        </w:rPr>
        <w:t>ed.</w:t>
      </w:r>
      <w:r w:rsidR="006A41F7">
        <w:rPr>
          <w:noProof/>
          <w:szCs w:val="24"/>
        </w:rPr>
        <w:t xml:space="preserve"> L.M. Antony. New York: Oxford </w:t>
      </w:r>
      <w:r w:rsidR="005166D3">
        <w:rPr>
          <w:noProof/>
          <w:szCs w:val="24"/>
        </w:rPr>
        <w:t>UP</w:t>
      </w:r>
      <w:r w:rsidR="006A41F7">
        <w:rPr>
          <w:noProof/>
          <w:szCs w:val="24"/>
        </w:rPr>
        <w:t>, 194</w:t>
      </w:r>
      <w:r w:rsidR="006A41F7" w:rsidRPr="00A7598F">
        <w:rPr>
          <w:noProof/>
          <w:szCs w:val="24"/>
        </w:rPr>
        <w:t>–</w:t>
      </w:r>
      <w:r w:rsidR="006A41F7">
        <w:rPr>
          <w:noProof/>
          <w:szCs w:val="24"/>
        </w:rPr>
        <w:t>214.</w:t>
      </w:r>
      <w:bookmarkEnd w:id="3"/>
    </w:p>
    <w:p w14:paraId="6F60A122" w14:textId="203EC44B" w:rsidR="006A41F7" w:rsidRDefault="005E7479" w:rsidP="00F46E0F">
      <w:pPr>
        <w:spacing w:after="240" w:line="240" w:lineRule="auto"/>
        <w:ind w:left="360" w:hanging="360"/>
        <w:rPr>
          <w:noProof/>
          <w:szCs w:val="24"/>
        </w:rPr>
      </w:pPr>
      <w:bookmarkStart w:id="4" w:name="_ENREF_8"/>
      <w:r>
        <w:rPr>
          <w:noProof/>
          <w:szCs w:val="24"/>
        </w:rPr>
        <w:t>---</w:t>
      </w:r>
      <w:r w:rsidR="006A41F7">
        <w:rPr>
          <w:noProof/>
          <w:szCs w:val="24"/>
        </w:rPr>
        <w:t xml:space="preserve"> </w:t>
      </w:r>
      <w:r>
        <w:rPr>
          <w:noProof/>
          <w:szCs w:val="24"/>
        </w:rPr>
        <w:t>(</w:t>
      </w:r>
      <w:r w:rsidR="006A41F7">
        <w:rPr>
          <w:noProof/>
          <w:szCs w:val="24"/>
        </w:rPr>
        <w:t>2009</w:t>
      </w:r>
      <w:r>
        <w:rPr>
          <w:noProof/>
          <w:szCs w:val="24"/>
        </w:rPr>
        <w:t>)</w:t>
      </w:r>
      <w:r w:rsidR="006A41F7">
        <w:rPr>
          <w:noProof/>
          <w:szCs w:val="24"/>
        </w:rPr>
        <w:t xml:space="preserve">. "Evidentialism, Higher-Order Evidence, and Disagreement." </w:t>
      </w:r>
      <w:r w:rsidR="006A41F7" w:rsidRPr="00255CB7">
        <w:rPr>
          <w:i/>
          <w:noProof/>
          <w:szCs w:val="24"/>
        </w:rPr>
        <w:t>Episteme</w:t>
      </w:r>
      <w:r w:rsidR="006A41F7">
        <w:rPr>
          <w:noProof/>
          <w:szCs w:val="24"/>
        </w:rPr>
        <w:t xml:space="preserve"> 6: 294</w:t>
      </w:r>
      <w:r w:rsidR="006A41F7" w:rsidRPr="00A7598F">
        <w:rPr>
          <w:noProof/>
          <w:szCs w:val="24"/>
        </w:rPr>
        <w:t>–</w:t>
      </w:r>
      <w:r w:rsidR="006A41F7">
        <w:rPr>
          <w:noProof/>
          <w:szCs w:val="24"/>
        </w:rPr>
        <w:t>312.</w:t>
      </w:r>
      <w:bookmarkEnd w:id="4"/>
    </w:p>
    <w:p w14:paraId="336698E8" w14:textId="7441E095" w:rsidR="00BD1BD2" w:rsidRDefault="00BD1BD2" w:rsidP="00F46E0F">
      <w:pPr>
        <w:spacing w:after="0" w:line="240" w:lineRule="auto"/>
        <w:ind w:left="360" w:hanging="360"/>
      </w:pPr>
      <w:r>
        <w:t>Field, H</w:t>
      </w:r>
      <w:r w:rsidR="005E7479">
        <w:t>.</w:t>
      </w:r>
      <w:r>
        <w:t xml:space="preserve"> (1989). </w:t>
      </w:r>
      <w:r w:rsidRPr="00BD1BD2">
        <w:rPr>
          <w:i/>
          <w:iCs/>
        </w:rPr>
        <w:t>Realism, Mathematics, and Modality</w:t>
      </w:r>
      <w:r>
        <w:t>. New York</w:t>
      </w:r>
      <w:r w:rsidR="00EA6C7C">
        <w:t>: Blackwell.</w:t>
      </w:r>
    </w:p>
    <w:p w14:paraId="2F8BD306" w14:textId="222B5676" w:rsidR="009F7627" w:rsidRDefault="009F7627" w:rsidP="00F46E0F">
      <w:pPr>
        <w:spacing w:after="0" w:line="240" w:lineRule="auto"/>
        <w:ind w:left="360" w:hanging="360"/>
      </w:pPr>
    </w:p>
    <w:p w14:paraId="280FD0A7" w14:textId="65E9963F" w:rsidR="00EA6C7C" w:rsidRPr="00EA6C7C" w:rsidRDefault="00EA6C7C" w:rsidP="00EA6C7C">
      <w:pPr>
        <w:spacing w:after="240" w:line="240" w:lineRule="auto"/>
        <w:ind w:left="360" w:hanging="360"/>
        <w:rPr>
          <w:noProof/>
          <w:szCs w:val="24"/>
        </w:rPr>
      </w:pPr>
      <w:bookmarkStart w:id="5" w:name="_ENREF_9"/>
      <w:r>
        <w:rPr>
          <w:noProof/>
          <w:szCs w:val="24"/>
        </w:rPr>
        <w:t xml:space="preserve">Fitelson, B. (2012). "Evidence of Evidence Is Not (Necessarily) Evidence." </w:t>
      </w:r>
      <w:r w:rsidRPr="00255CB7">
        <w:rPr>
          <w:i/>
          <w:noProof/>
          <w:szCs w:val="24"/>
        </w:rPr>
        <w:t>Analysis</w:t>
      </w:r>
      <w:r>
        <w:rPr>
          <w:noProof/>
          <w:szCs w:val="24"/>
        </w:rPr>
        <w:t xml:space="preserve"> 72(1): 85</w:t>
      </w:r>
      <w:r w:rsidRPr="00A7598F">
        <w:rPr>
          <w:noProof/>
          <w:szCs w:val="24"/>
        </w:rPr>
        <w:t>–</w:t>
      </w:r>
      <w:r>
        <w:rPr>
          <w:noProof/>
          <w:szCs w:val="24"/>
        </w:rPr>
        <w:t>88.</w:t>
      </w:r>
      <w:bookmarkEnd w:id="5"/>
    </w:p>
    <w:p w14:paraId="73A0B911" w14:textId="6C76E3D8" w:rsidR="009F7627" w:rsidRDefault="006E5185" w:rsidP="00F46E0F">
      <w:pPr>
        <w:spacing w:after="0" w:line="240" w:lineRule="auto"/>
        <w:ind w:left="360" w:hanging="360"/>
      </w:pPr>
      <w:r>
        <w:t>FitzPatrick, W.</w:t>
      </w:r>
      <w:r w:rsidR="005E7479">
        <w:t xml:space="preserve"> </w:t>
      </w:r>
      <w:r w:rsidR="009F7627">
        <w:t xml:space="preserve">(2015). “Debunking Evolutionary Debunking of Ethical Realism.” </w:t>
      </w:r>
      <w:r w:rsidR="009F7627" w:rsidRPr="009F7627">
        <w:rPr>
          <w:i/>
          <w:iCs/>
        </w:rPr>
        <w:t>Philosophical Studies</w:t>
      </w:r>
      <w:r w:rsidR="009F7627">
        <w:t xml:space="preserve"> 172(4): 883-904. </w:t>
      </w:r>
    </w:p>
    <w:p w14:paraId="228B944B" w14:textId="31EC8A09" w:rsidR="008C7ED3" w:rsidRDefault="008C7ED3" w:rsidP="00F46E0F">
      <w:pPr>
        <w:spacing w:after="0" w:line="240" w:lineRule="auto"/>
        <w:ind w:left="360" w:hanging="360"/>
      </w:pPr>
    </w:p>
    <w:p w14:paraId="5A78399C" w14:textId="31DC88D1" w:rsidR="00C05366" w:rsidRDefault="00C05366" w:rsidP="00F46E0F">
      <w:pPr>
        <w:spacing w:after="0" w:line="240" w:lineRule="auto"/>
        <w:ind w:left="360" w:hanging="360"/>
      </w:pPr>
      <w:r>
        <w:t>Goldman, A</w:t>
      </w:r>
      <w:r w:rsidR="005E7479">
        <w:t>.</w:t>
      </w:r>
      <w:r>
        <w:t xml:space="preserve">I. (2001). “Experts: Which Ones Should You Trust?” </w:t>
      </w:r>
      <w:r w:rsidRPr="00C05366">
        <w:rPr>
          <w:i/>
          <w:iCs/>
        </w:rPr>
        <w:t>Philosophy and Phenomenological Research</w:t>
      </w:r>
      <w:r>
        <w:t xml:space="preserve"> 63(1): 85-110.</w:t>
      </w:r>
    </w:p>
    <w:p w14:paraId="74799051" w14:textId="76A25DD2" w:rsidR="007C6210" w:rsidRDefault="007C6210" w:rsidP="00F46E0F">
      <w:pPr>
        <w:spacing w:after="0" w:line="240" w:lineRule="auto"/>
        <w:ind w:left="360" w:hanging="360"/>
      </w:pPr>
    </w:p>
    <w:p w14:paraId="4DF63ECB" w14:textId="0C867D64" w:rsidR="007C6210" w:rsidRDefault="007C6210" w:rsidP="00F46E0F">
      <w:pPr>
        <w:spacing w:after="0" w:line="240" w:lineRule="auto"/>
        <w:ind w:left="360" w:hanging="360"/>
      </w:pPr>
      <w:r>
        <w:t xml:space="preserve">Gutting, G. (1982). </w:t>
      </w:r>
      <w:r w:rsidRPr="007C6210">
        <w:rPr>
          <w:i/>
          <w:iCs/>
        </w:rPr>
        <w:t>Religious Belief and Religious Skepticism</w:t>
      </w:r>
      <w:r>
        <w:t>. Notre Dame, IN: University of Notre Dame Press.</w:t>
      </w:r>
    </w:p>
    <w:p w14:paraId="2A173DFD" w14:textId="77777777" w:rsidR="00C05366" w:rsidRDefault="00C05366" w:rsidP="00F46E0F">
      <w:pPr>
        <w:spacing w:after="0" w:line="240" w:lineRule="auto"/>
        <w:ind w:left="360" w:hanging="360"/>
      </w:pPr>
    </w:p>
    <w:p w14:paraId="2A4A400E" w14:textId="651871BD" w:rsidR="00990B8B" w:rsidRDefault="00990B8B" w:rsidP="00F46E0F">
      <w:pPr>
        <w:spacing w:after="0" w:line="240" w:lineRule="auto"/>
        <w:ind w:left="360" w:hanging="360"/>
      </w:pPr>
      <w:r>
        <w:t>Huemer</w:t>
      </w:r>
      <w:r w:rsidR="00F85257">
        <w:t>, M</w:t>
      </w:r>
      <w:r w:rsidR="005E7479">
        <w:t>.</w:t>
      </w:r>
      <w:r w:rsidR="00F85257">
        <w:t xml:space="preserve"> (2016). “A Liberal Realist Answer to Debunking Skeptics: The Empirical Case for Realism.” </w:t>
      </w:r>
      <w:r w:rsidR="00F85257" w:rsidRPr="00F85257">
        <w:rPr>
          <w:i/>
          <w:iCs/>
        </w:rPr>
        <w:t>Philoso</w:t>
      </w:r>
      <w:r w:rsidR="00F85257">
        <w:rPr>
          <w:i/>
          <w:iCs/>
        </w:rPr>
        <w:t>p</w:t>
      </w:r>
      <w:r w:rsidR="00F85257" w:rsidRPr="00F85257">
        <w:rPr>
          <w:i/>
          <w:iCs/>
        </w:rPr>
        <w:t xml:space="preserve">hical </w:t>
      </w:r>
      <w:r w:rsidR="00F85257">
        <w:rPr>
          <w:i/>
          <w:iCs/>
        </w:rPr>
        <w:t>S</w:t>
      </w:r>
      <w:r w:rsidR="00F85257" w:rsidRPr="00F85257">
        <w:rPr>
          <w:i/>
          <w:iCs/>
        </w:rPr>
        <w:t>tudies</w:t>
      </w:r>
      <w:r w:rsidR="00F85257">
        <w:t xml:space="preserve"> 173(7): 1983-2010. </w:t>
      </w:r>
      <w:r>
        <w:t xml:space="preserve"> </w:t>
      </w:r>
    </w:p>
    <w:p w14:paraId="6870754F" w14:textId="77777777" w:rsidR="00990B8B" w:rsidRDefault="00990B8B" w:rsidP="00F46E0F">
      <w:pPr>
        <w:spacing w:after="0" w:line="240" w:lineRule="auto"/>
        <w:ind w:left="360" w:hanging="360"/>
      </w:pPr>
    </w:p>
    <w:p w14:paraId="02D89B5B" w14:textId="65F5D79F" w:rsidR="00BD1BD2" w:rsidRDefault="00BD1BD2" w:rsidP="00F46E0F">
      <w:pPr>
        <w:spacing w:after="0" w:line="240" w:lineRule="auto"/>
        <w:ind w:left="360" w:hanging="360"/>
      </w:pPr>
      <w:r>
        <w:t>Joyce, R</w:t>
      </w:r>
      <w:r w:rsidR="005E7479">
        <w:t>.</w:t>
      </w:r>
      <w:r>
        <w:t xml:space="preserve"> (2006). </w:t>
      </w:r>
      <w:r w:rsidRPr="00BD1BD2">
        <w:rPr>
          <w:i/>
          <w:iCs/>
        </w:rPr>
        <w:t>The Evo</w:t>
      </w:r>
      <w:r>
        <w:rPr>
          <w:i/>
          <w:iCs/>
        </w:rPr>
        <w:t>l</w:t>
      </w:r>
      <w:r w:rsidRPr="00BD1BD2">
        <w:rPr>
          <w:i/>
          <w:iCs/>
        </w:rPr>
        <w:t>ution of Morality (Life and Mind)</w:t>
      </w:r>
      <w:r>
        <w:t>. Cambridge: MIT Press.</w:t>
      </w:r>
    </w:p>
    <w:p w14:paraId="52383CDA" w14:textId="52836078" w:rsidR="00B71D31" w:rsidRDefault="00B71D31" w:rsidP="00F46E0F">
      <w:pPr>
        <w:spacing w:after="0" w:line="240" w:lineRule="auto"/>
        <w:ind w:left="360" w:hanging="360"/>
      </w:pPr>
    </w:p>
    <w:p w14:paraId="7123076A" w14:textId="63AB4690" w:rsidR="00B71D31" w:rsidRDefault="00B71D31" w:rsidP="00F46E0F">
      <w:pPr>
        <w:spacing w:after="240" w:line="240" w:lineRule="auto"/>
        <w:ind w:left="360" w:hanging="360"/>
        <w:rPr>
          <w:noProof/>
          <w:szCs w:val="24"/>
        </w:rPr>
      </w:pPr>
      <w:r>
        <w:rPr>
          <w:noProof/>
          <w:szCs w:val="24"/>
        </w:rPr>
        <w:t xml:space="preserve">Kelly, T. 2005. "The Epistemic Significance of Disagreement." In </w:t>
      </w:r>
      <w:r w:rsidRPr="00255CB7">
        <w:rPr>
          <w:i/>
          <w:noProof/>
          <w:szCs w:val="24"/>
        </w:rPr>
        <w:t>Oxford Studies in Epistemology</w:t>
      </w:r>
      <w:r>
        <w:rPr>
          <w:noProof/>
          <w:szCs w:val="24"/>
        </w:rPr>
        <w:t>, vol. 1, ed</w:t>
      </w:r>
      <w:r w:rsidR="002E12B8">
        <w:rPr>
          <w:noProof/>
          <w:szCs w:val="24"/>
        </w:rPr>
        <w:t>s.</w:t>
      </w:r>
      <w:r>
        <w:rPr>
          <w:noProof/>
          <w:szCs w:val="24"/>
        </w:rPr>
        <w:t xml:space="preserve"> J. Hawthorne and T.S. Gendler. New York: Oxford </w:t>
      </w:r>
      <w:r w:rsidR="005166D3">
        <w:rPr>
          <w:noProof/>
          <w:szCs w:val="24"/>
        </w:rPr>
        <w:t>UP</w:t>
      </w:r>
      <w:r>
        <w:rPr>
          <w:noProof/>
          <w:szCs w:val="24"/>
        </w:rPr>
        <w:t>, 167</w:t>
      </w:r>
      <w:r w:rsidRPr="00A7598F">
        <w:rPr>
          <w:noProof/>
          <w:szCs w:val="24"/>
        </w:rPr>
        <w:t>–</w:t>
      </w:r>
      <w:r w:rsidR="00EA6C7C">
        <w:rPr>
          <w:noProof/>
          <w:szCs w:val="24"/>
        </w:rPr>
        <w:t>1</w:t>
      </w:r>
      <w:r>
        <w:rPr>
          <w:noProof/>
          <w:szCs w:val="24"/>
        </w:rPr>
        <w:t>96.</w:t>
      </w:r>
    </w:p>
    <w:p w14:paraId="67E0628B" w14:textId="3776CD35" w:rsidR="00B71D31" w:rsidRDefault="005E7479" w:rsidP="00F46E0F">
      <w:pPr>
        <w:spacing w:after="240" w:line="240" w:lineRule="auto"/>
        <w:ind w:left="360" w:hanging="360"/>
        <w:rPr>
          <w:noProof/>
          <w:szCs w:val="24"/>
        </w:rPr>
      </w:pPr>
      <w:bookmarkStart w:id="6" w:name="_ENREF_13"/>
      <w:r>
        <w:rPr>
          <w:noProof/>
          <w:szCs w:val="24"/>
        </w:rPr>
        <w:t>---</w:t>
      </w:r>
      <w:r w:rsidR="00B71D31">
        <w:rPr>
          <w:noProof/>
          <w:szCs w:val="24"/>
        </w:rPr>
        <w:t xml:space="preserve"> 2010. "Peer Disagreement and Higher-Order Evidence." In </w:t>
      </w:r>
      <w:r w:rsidR="00B71D31" w:rsidRPr="00255CB7">
        <w:rPr>
          <w:i/>
          <w:noProof/>
          <w:szCs w:val="24"/>
        </w:rPr>
        <w:t>Disagreement</w:t>
      </w:r>
      <w:r w:rsidR="00B71D31">
        <w:rPr>
          <w:noProof/>
          <w:szCs w:val="24"/>
        </w:rPr>
        <w:t>, ed</w:t>
      </w:r>
      <w:r w:rsidR="00EA6C7C">
        <w:rPr>
          <w:noProof/>
          <w:szCs w:val="24"/>
        </w:rPr>
        <w:t>s</w:t>
      </w:r>
      <w:r w:rsidR="002E12B8">
        <w:rPr>
          <w:noProof/>
          <w:szCs w:val="24"/>
        </w:rPr>
        <w:t>.</w:t>
      </w:r>
      <w:r w:rsidR="00B71D31">
        <w:rPr>
          <w:noProof/>
          <w:szCs w:val="24"/>
        </w:rPr>
        <w:t xml:space="preserve"> R. Feldman and T.A. Warfield. New York: Oxford </w:t>
      </w:r>
      <w:r w:rsidR="005166D3">
        <w:rPr>
          <w:noProof/>
          <w:szCs w:val="24"/>
        </w:rPr>
        <w:t>UP</w:t>
      </w:r>
      <w:r w:rsidR="00B71D31">
        <w:rPr>
          <w:noProof/>
          <w:szCs w:val="24"/>
        </w:rPr>
        <w:t>, 111</w:t>
      </w:r>
      <w:r w:rsidR="00B71D31" w:rsidRPr="00A7598F">
        <w:rPr>
          <w:noProof/>
          <w:szCs w:val="24"/>
        </w:rPr>
        <w:t>–</w:t>
      </w:r>
      <w:r w:rsidR="00EA6C7C">
        <w:rPr>
          <w:noProof/>
          <w:szCs w:val="24"/>
        </w:rPr>
        <w:t>1</w:t>
      </w:r>
      <w:r w:rsidR="00B71D31">
        <w:rPr>
          <w:noProof/>
          <w:szCs w:val="24"/>
        </w:rPr>
        <w:t>74.</w:t>
      </w:r>
      <w:bookmarkEnd w:id="6"/>
    </w:p>
    <w:p w14:paraId="57364B05" w14:textId="4E2C5E93" w:rsidR="00523305" w:rsidRPr="00B71D31" w:rsidRDefault="00523305" w:rsidP="00F46E0F">
      <w:pPr>
        <w:spacing w:after="240" w:line="240" w:lineRule="auto"/>
        <w:ind w:left="360" w:hanging="360"/>
        <w:rPr>
          <w:noProof/>
          <w:szCs w:val="24"/>
        </w:rPr>
      </w:pPr>
      <w:r>
        <w:rPr>
          <w:noProof/>
          <w:szCs w:val="24"/>
        </w:rPr>
        <w:t xml:space="preserve">King, N.L. (2012). “Disagreement: What’s the Problem? or A Good Peer Is Hard to Find.” </w:t>
      </w:r>
      <w:r w:rsidRPr="00523305">
        <w:rPr>
          <w:i/>
          <w:iCs/>
          <w:noProof/>
          <w:szCs w:val="24"/>
        </w:rPr>
        <w:t>Philosophy and Phenomenological Research</w:t>
      </w:r>
      <w:r>
        <w:rPr>
          <w:noProof/>
          <w:szCs w:val="24"/>
        </w:rPr>
        <w:t xml:space="preserve"> 85(2): 249-272. </w:t>
      </w:r>
    </w:p>
    <w:p w14:paraId="42B9AEC7" w14:textId="398C15AA" w:rsidR="00CB7212" w:rsidRDefault="00D662C8" w:rsidP="00F46E0F">
      <w:pPr>
        <w:spacing w:after="0" w:line="240" w:lineRule="auto"/>
        <w:ind w:left="360" w:hanging="360"/>
      </w:pPr>
      <w:r>
        <w:t>Klenk, M</w:t>
      </w:r>
      <w:r w:rsidR="005E7479">
        <w:t>.</w:t>
      </w:r>
      <w:r w:rsidR="001C2311">
        <w:t xml:space="preserve"> (2017</w:t>
      </w:r>
      <w:r w:rsidR="00DB72D2">
        <w:t>a</w:t>
      </w:r>
      <w:r w:rsidR="001C2311">
        <w:t>)</w:t>
      </w:r>
      <w:r>
        <w:t xml:space="preserve">. “Old Wine in New Bottles: Evolutionary Debunking Arguments and the Benacerraf-Field Challenge.” </w:t>
      </w:r>
      <w:r w:rsidRPr="00D662C8">
        <w:rPr>
          <w:i/>
          <w:iCs/>
        </w:rPr>
        <w:t>Ethical Theory and Moral Practice</w:t>
      </w:r>
      <w:r>
        <w:t xml:space="preserve"> </w:t>
      </w:r>
      <w:r w:rsidR="001C2311">
        <w:t>20</w:t>
      </w:r>
      <w:r w:rsidR="002E49D1">
        <w:t>(4)</w:t>
      </w:r>
      <w:r>
        <w:t xml:space="preserve">: 781-795. </w:t>
      </w:r>
    </w:p>
    <w:p w14:paraId="6F0D18ED" w14:textId="64823182" w:rsidR="00D662C8" w:rsidRDefault="00D662C8" w:rsidP="00F46E0F">
      <w:pPr>
        <w:spacing w:after="0" w:line="240" w:lineRule="auto"/>
        <w:ind w:left="360" w:hanging="360"/>
      </w:pPr>
    </w:p>
    <w:p w14:paraId="71B23A57" w14:textId="568676EC" w:rsidR="00D662C8" w:rsidRDefault="005E7479" w:rsidP="00F46E0F">
      <w:pPr>
        <w:spacing w:after="0" w:line="240" w:lineRule="auto"/>
        <w:ind w:left="360" w:hanging="360"/>
      </w:pPr>
      <w:r>
        <w:t>---</w:t>
      </w:r>
      <w:r w:rsidR="00DB72D2">
        <w:t xml:space="preserve"> (2017b)</w:t>
      </w:r>
      <w:r w:rsidR="00D662C8">
        <w:t xml:space="preserve">. “Third Factor Explanations and Disagreement in Metaethics.” </w:t>
      </w:r>
      <w:r w:rsidR="00DB72D2" w:rsidRPr="00DB72D2">
        <w:rPr>
          <w:i/>
          <w:iCs/>
        </w:rPr>
        <w:t>Synthese</w:t>
      </w:r>
      <w:r w:rsidR="00EA6C7C">
        <w:t>: 1-20.</w:t>
      </w:r>
    </w:p>
    <w:p w14:paraId="4EC93197" w14:textId="5CC82306" w:rsidR="002E12B8" w:rsidRDefault="002E12B8" w:rsidP="00F46E0F">
      <w:pPr>
        <w:spacing w:after="0" w:line="240" w:lineRule="auto"/>
        <w:ind w:left="360" w:hanging="360"/>
      </w:pPr>
    </w:p>
    <w:p w14:paraId="04F477D9" w14:textId="37FA6D63" w:rsidR="001C6542" w:rsidRDefault="005E7479" w:rsidP="00F46E0F">
      <w:pPr>
        <w:spacing w:after="0" w:line="240" w:lineRule="auto"/>
        <w:ind w:left="360" w:hanging="360"/>
      </w:pPr>
      <w:r>
        <w:t>---</w:t>
      </w:r>
      <w:r w:rsidR="001C6542">
        <w:t xml:space="preserve"> (2019</w:t>
      </w:r>
      <w:r w:rsidR="00672561">
        <w:t>a</w:t>
      </w:r>
      <w:r w:rsidR="001C6542">
        <w:t xml:space="preserve">). “Objectivist Conditions for Defeat and Evolutionary Debunking Arguments.” </w:t>
      </w:r>
      <w:r w:rsidR="001C6542" w:rsidRPr="00672561">
        <w:rPr>
          <w:i/>
          <w:iCs/>
        </w:rPr>
        <w:t>Ratio</w:t>
      </w:r>
      <w:r w:rsidR="00672561">
        <w:t xml:space="preserve"> &lt;</w:t>
      </w:r>
      <w:hyperlink r:id="rId8" w:history="1">
        <w:r w:rsidR="00672561" w:rsidRPr="003054AA">
          <w:rPr>
            <w:rStyle w:val="Hyperlink"/>
          </w:rPr>
          <w:t>https://doi.org/10.1111/rati.12230</w:t>
        </w:r>
      </w:hyperlink>
      <w:r w:rsidR="00672561">
        <w:t xml:space="preserve">&gt;. </w:t>
      </w:r>
    </w:p>
    <w:p w14:paraId="58663D99" w14:textId="56BDF816" w:rsidR="001C6542" w:rsidRDefault="001C6542" w:rsidP="00F46E0F">
      <w:pPr>
        <w:spacing w:after="0" w:line="240" w:lineRule="auto"/>
        <w:ind w:left="360" w:hanging="360"/>
      </w:pPr>
    </w:p>
    <w:p w14:paraId="50E34912" w14:textId="25E2FD14" w:rsidR="00672561" w:rsidRDefault="005E7479" w:rsidP="00F46E0F">
      <w:pPr>
        <w:spacing w:after="0" w:line="240" w:lineRule="auto"/>
        <w:ind w:left="360" w:hanging="360"/>
      </w:pPr>
      <w:r>
        <w:t>---</w:t>
      </w:r>
      <w:r w:rsidR="00672561">
        <w:t xml:space="preserve"> (2019b). “Hanno, Sauer, </w:t>
      </w:r>
      <w:r w:rsidR="00672561" w:rsidRPr="001C6542">
        <w:rPr>
          <w:i/>
          <w:iCs/>
        </w:rPr>
        <w:t>Debunking Arguments in Ethics</w:t>
      </w:r>
      <w:r w:rsidR="00672561">
        <w:t xml:space="preserve">.” </w:t>
      </w:r>
      <w:r w:rsidR="00672561" w:rsidRPr="001C6542">
        <w:rPr>
          <w:i/>
          <w:iCs/>
        </w:rPr>
        <w:t>Utilitas</w:t>
      </w:r>
      <w:r w:rsidR="00672561">
        <w:t xml:space="preserve"> 8: 1-5.</w:t>
      </w:r>
    </w:p>
    <w:p w14:paraId="1CE0C6ED" w14:textId="71F5E420" w:rsidR="00CB7212" w:rsidRDefault="00CB7212" w:rsidP="00756495">
      <w:pPr>
        <w:spacing w:after="0" w:line="240" w:lineRule="auto"/>
      </w:pPr>
    </w:p>
    <w:p w14:paraId="50CC2777" w14:textId="3E92F2E1" w:rsidR="004A5944" w:rsidRDefault="004A5944" w:rsidP="004A5944">
      <w:pPr>
        <w:spacing w:after="0" w:line="240" w:lineRule="auto"/>
        <w:ind w:left="360" w:hanging="360"/>
      </w:pPr>
      <w:r>
        <w:t xml:space="preserve">Machuca, D. (2013). </w:t>
      </w:r>
      <w:r w:rsidRPr="004A5944">
        <w:rPr>
          <w:i/>
          <w:iCs/>
        </w:rPr>
        <w:t>Disagreement and Skepticism</w:t>
      </w:r>
      <w:r>
        <w:t>. New York: Routledge.</w:t>
      </w:r>
    </w:p>
    <w:p w14:paraId="27A3E979" w14:textId="77777777" w:rsidR="004A5944" w:rsidRPr="004A5944" w:rsidRDefault="004A5944" w:rsidP="004A5944">
      <w:pPr>
        <w:spacing w:after="0" w:line="240" w:lineRule="auto"/>
        <w:ind w:left="360" w:hanging="360"/>
      </w:pPr>
    </w:p>
    <w:p w14:paraId="52901EFB" w14:textId="0781082D" w:rsidR="00E90205" w:rsidRPr="00617566" w:rsidRDefault="00E90205" w:rsidP="00F46E0F">
      <w:pPr>
        <w:spacing w:after="240" w:line="240" w:lineRule="auto"/>
        <w:ind w:left="360" w:hanging="360"/>
        <w:rPr>
          <w:noProof/>
          <w:szCs w:val="24"/>
        </w:rPr>
      </w:pPr>
      <w:r>
        <w:rPr>
          <w:noProof/>
          <w:szCs w:val="24"/>
        </w:rPr>
        <w:t xml:space="preserve">Matheson, J. </w:t>
      </w:r>
      <w:r w:rsidR="00EA6C7C">
        <w:rPr>
          <w:noProof/>
          <w:szCs w:val="24"/>
        </w:rPr>
        <w:t>(</w:t>
      </w:r>
      <w:r>
        <w:rPr>
          <w:noProof/>
          <w:szCs w:val="24"/>
        </w:rPr>
        <w:t>2009</w:t>
      </w:r>
      <w:r w:rsidR="00EA6C7C">
        <w:rPr>
          <w:noProof/>
          <w:szCs w:val="24"/>
        </w:rPr>
        <w:t>)</w:t>
      </w:r>
      <w:r>
        <w:rPr>
          <w:noProof/>
          <w:szCs w:val="24"/>
        </w:rPr>
        <w:t xml:space="preserve">. "Conciliatory Views of Disagreement and Higher-Order Evidence." </w:t>
      </w:r>
      <w:r w:rsidRPr="00255CB7">
        <w:rPr>
          <w:i/>
          <w:noProof/>
          <w:szCs w:val="24"/>
        </w:rPr>
        <w:t>Episteme: A Journal of Social Epistemology</w:t>
      </w:r>
      <w:r>
        <w:rPr>
          <w:noProof/>
          <w:szCs w:val="24"/>
        </w:rPr>
        <w:t xml:space="preserve"> 6(3): 269</w:t>
      </w:r>
      <w:r w:rsidRPr="00A7598F">
        <w:rPr>
          <w:noProof/>
          <w:szCs w:val="24"/>
        </w:rPr>
        <w:t>–</w:t>
      </w:r>
      <w:r>
        <w:rPr>
          <w:noProof/>
          <w:szCs w:val="24"/>
        </w:rPr>
        <w:t>79.</w:t>
      </w:r>
    </w:p>
    <w:p w14:paraId="763BAC08" w14:textId="267C88C4" w:rsidR="001C2311" w:rsidRPr="00E90205" w:rsidRDefault="00E90205" w:rsidP="00F46E0F">
      <w:pPr>
        <w:spacing w:after="240" w:line="240" w:lineRule="auto"/>
        <w:ind w:left="360" w:hanging="360"/>
        <w:rPr>
          <w:noProof/>
          <w:szCs w:val="24"/>
        </w:rPr>
      </w:pPr>
      <w:r>
        <w:rPr>
          <w:noProof/>
          <w:szCs w:val="24"/>
        </w:rPr>
        <w:t xml:space="preserve">Mellor, D.H. 2005. </w:t>
      </w:r>
      <w:r>
        <w:rPr>
          <w:i/>
          <w:noProof/>
          <w:szCs w:val="24"/>
        </w:rPr>
        <w:t>Probability: A Philosophical Introduction</w:t>
      </w:r>
      <w:r>
        <w:rPr>
          <w:noProof/>
          <w:szCs w:val="24"/>
        </w:rPr>
        <w:t>. New York: Routledge.</w:t>
      </w:r>
    </w:p>
    <w:p w14:paraId="4AB893C9" w14:textId="590032E1" w:rsidR="00E90205" w:rsidRDefault="00E90205" w:rsidP="00F46E0F">
      <w:pPr>
        <w:spacing w:after="240" w:line="240" w:lineRule="auto"/>
        <w:ind w:left="360" w:hanging="360"/>
        <w:rPr>
          <w:noProof/>
          <w:szCs w:val="24"/>
        </w:rPr>
      </w:pPr>
      <w:r>
        <w:rPr>
          <w:noProof/>
          <w:szCs w:val="24"/>
        </w:rPr>
        <w:t xml:space="preserve">Plantinga, A. 1993. </w:t>
      </w:r>
      <w:r>
        <w:rPr>
          <w:i/>
          <w:noProof/>
          <w:szCs w:val="24"/>
        </w:rPr>
        <w:t>Warrant and Proper Function</w:t>
      </w:r>
      <w:r>
        <w:rPr>
          <w:noProof/>
          <w:szCs w:val="24"/>
        </w:rPr>
        <w:t>. New York: Oxford U</w:t>
      </w:r>
      <w:r w:rsidR="00E36443">
        <w:rPr>
          <w:noProof/>
          <w:szCs w:val="24"/>
        </w:rPr>
        <w:t>P</w:t>
      </w:r>
      <w:r>
        <w:rPr>
          <w:noProof/>
          <w:szCs w:val="24"/>
        </w:rPr>
        <w:t>.</w:t>
      </w:r>
    </w:p>
    <w:p w14:paraId="060C6F0F" w14:textId="6627D8E8" w:rsidR="0054480B" w:rsidRPr="00BC3774" w:rsidRDefault="0054480B" w:rsidP="00F46E0F">
      <w:pPr>
        <w:spacing w:after="240" w:line="240" w:lineRule="auto"/>
        <w:ind w:left="360" w:hanging="360"/>
        <w:rPr>
          <w:noProof/>
          <w:szCs w:val="24"/>
        </w:rPr>
      </w:pPr>
      <w:r>
        <w:rPr>
          <w:noProof/>
          <w:szCs w:val="24"/>
        </w:rPr>
        <w:t>Rini, R.A. (2016). “Debunking Debunking: A Regress Challenge for Psychological Threats to Moral Judgment</w:t>
      </w:r>
      <w:r w:rsidR="00903EA7">
        <w:rPr>
          <w:noProof/>
          <w:szCs w:val="24"/>
        </w:rPr>
        <w:t xml:space="preserve">.” </w:t>
      </w:r>
      <w:r w:rsidR="00903EA7" w:rsidRPr="00903EA7">
        <w:rPr>
          <w:i/>
          <w:iCs/>
          <w:noProof/>
          <w:szCs w:val="24"/>
        </w:rPr>
        <w:t>Philosophical Studies</w:t>
      </w:r>
      <w:r w:rsidR="00903EA7">
        <w:rPr>
          <w:noProof/>
          <w:szCs w:val="24"/>
        </w:rPr>
        <w:t xml:space="preserve"> 173(3): 675-607.</w:t>
      </w:r>
    </w:p>
    <w:p w14:paraId="44393602" w14:textId="646A31AA" w:rsidR="001C6542" w:rsidRDefault="001C6542" w:rsidP="00F46E0F">
      <w:pPr>
        <w:spacing w:after="0" w:line="240" w:lineRule="auto"/>
        <w:ind w:left="360" w:hanging="360"/>
      </w:pPr>
      <w:r>
        <w:t>Sauer, H</w:t>
      </w:r>
      <w:r w:rsidR="005E7479">
        <w:t>.</w:t>
      </w:r>
      <w:r>
        <w:t xml:space="preserve"> (2018). </w:t>
      </w:r>
      <w:r w:rsidRPr="001C6542">
        <w:rPr>
          <w:i/>
          <w:iCs/>
        </w:rPr>
        <w:t>Debunking Arguments in Ethics</w:t>
      </w:r>
      <w:r>
        <w:t>. New York: Cambridge UP</w:t>
      </w:r>
      <w:r w:rsidR="00672561">
        <w:t>.</w:t>
      </w:r>
    </w:p>
    <w:p w14:paraId="7A903DC2" w14:textId="77777777" w:rsidR="001C6542" w:rsidRDefault="001C6542" w:rsidP="00F46E0F">
      <w:pPr>
        <w:spacing w:after="0" w:line="240" w:lineRule="auto"/>
        <w:ind w:left="360" w:hanging="360"/>
      </w:pPr>
    </w:p>
    <w:p w14:paraId="3D4ACF62" w14:textId="40DABFFE" w:rsidR="00E36443" w:rsidRDefault="00E36443" w:rsidP="00F46E0F">
      <w:pPr>
        <w:spacing w:after="0" w:line="240" w:lineRule="auto"/>
        <w:ind w:left="360" w:hanging="360"/>
      </w:pPr>
      <w:r>
        <w:t xml:space="preserve">Shafer-Landau, R. (2003). </w:t>
      </w:r>
      <w:r w:rsidRPr="00E36443">
        <w:rPr>
          <w:i/>
          <w:iCs/>
        </w:rPr>
        <w:t>Moral Realism: A Defence</w:t>
      </w:r>
      <w:r>
        <w:t>. New York: Oxford UP</w:t>
      </w:r>
      <w:r w:rsidR="00C307FE">
        <w:t>.</w:t>
      </w:r>
    </w:p>
    <w:p w14:paraId="21324287" w14:textId="202EF290" w:rsidR="00C307FE" w:rsidRDefault="00C307FE" w:rsidP="00F46E0F">
      <w:pPr>
        <w:spacing w:after="0" w:line="240" w:lineRule="auto"/>
        <w:ind w:left="360" w:hanging="360"/>
      </w:pPr>
    </w:p>
    <w:p w14:paraId="441C36A9" w14:textId="1E5296C3" w:rsidR="00C307FE" w:rsidRDefault="005E7479" w:rsidP="00F46E0F">
      <w:pPr>
        <w:spacing w:after="0" w:line="240" w:lineRule="auto"/>
        <w:ind w:left="360" w:hanging="360"/>
      </w:pPr>
      <w:r>
        <w:t>---</w:t>
      </w:r>
      <w:r w:rsidR="00C307FE">
        <w:t xml:space="preserve"> </w:t>
      </w:r>
      <w:r w:rsidR="00F73F1F">
        <w:t xml:space="preserve">(2012). “Evolutionary Debunking, Moral Realism and Moral Knowledge.” </w:t>
      </w:r>
      <w:r w:rsidR="00F73F1F" w:rsidRPr="00F73F1F">
        <w:rPr>
          <w:i/>
          <w:iCs/>
        </w:rPr>
        <w:t xml:space="preserve">Journal of Ethics and Social Philosophy </w:t>
      </w:r>
      <w:r w:rsidR="00F73F1F">
        <w:t>7(1): 1-37.</w:t>
      </w:r>
    </w:p>
    <w:p w14:paraId="03D1EC81" w14:textId="77777777" w:rsidR="00DB72D2" w:rsidRDefault="00DB72D2" w:rsidP="00F46E0F">
      <w:pPr>
        <w:spacing w:after="0" w:line="240" w:lineRule="auto"/>
        <w:ind w:left="360" w:hanging="360"/>
      </w:pPr>
    </w:p>
    <w:p w14:paraId="401D884E" w14:textId="2F98825E" w:rsidR="001C2311" w:rsidRDefault="001C2311" w:rsidP="00F46E0F">
      <w:pPr>
        <w:spacing w:after="0" w:line="240" w:lineRule="auto"/>
        <w:ind w:left="360" w:hanging="360"/>
      </w:pPr>
      <w:r>
        <w:t>Sliwa, P</w:t>
      </w:r>
      <w:r w:rsidR="005E7479">
        <w:t>.</w:t>
      </w:r>
      <w:r>
        <w:t>, and S</w:t>
      </w:r>
      <w:r w:rsidR="005E7479">
        <w:t>.</w:t>
      </w:r>
      <w:r>
        <w:t xml:space="preserve"> Horowitz (2015). “Respecting </w:t>
      </w:r>
      <w:r w:rsidRPr="001C2311">
        <w:rPr>
          <w:i/>
          <w:iCs/>
        </w:rPr>
        <w:t>All</w:t>
      </w:r>
      <w:r>
        <w:t xml:space="preserve"> the Evidence.” </w:t>
      </w:r>
      <w:r w:rsidRPr="001C2311">
        <w:rPr>
          <w:i/>
          <w:iCs/>
        </w:rPr>
        <w:t>Philosophical Studies</w:t>
      </w:r>
      <w:r>
        <w:t xml:space="preserve"> 172: 2835-2858.</w:t>
      </w:r>
    </w:p>
    <w:p w14:paraId="0CF71861" w14:textId="7E6EF1F1" w:rsidR="001F6A67" w:rsidRDefault="001F6A67" w:rsidP="00F46E0F">
      <w:pPr>
        <w:spacing w:after="0" w:line="240" w:lineRule="auto"/>
        <w:ind w:left="360" w:hanging="360"/>
      </w:pPr>
    </w:p>
    <w:p w14:paraId="2EB33717" w14:textId="3A48BB85" w:rsidR="00DB72D2" w:rsidRDefault="00DB72D2" w:rsidP="00F46E0F">
      <w:pPr>
        <w:spacing w:after="0" w:line="240" w:lineRule="auto"/>
        <w:ind w:left="360" w:hanging="360"/>
      </w:pPr>
      <w:r>
        <w:t>Street, S</w:t>
      </w:r>
      <w:r w:rsidR="005E7479">
        <w:t>.</w:t>
      </w:r>
      <w:r>
        <w:t xml:space="preserve"> (2006). “A Darwinian Dilemma for Realist Theories of Value.” </w:t>
      </w:r>
      <w:r w:rsidRPr="00DB72D2">
        <w:rPr>
          <w:i/>
          <w:iCs/>
        </w:rPr>
        <w:t>Philosophical Studies</w:t>
      </w:r>
      <w:r>
        <w:t xml:space="preserve"> 127(1): 109-166. </w:t>
      </w:r>
    </w:p>
    <w:p w14:paraId="4906C6EA" w14:textId="77777777" w:rsidR="005E7479" w:rsidRDefault="005E7479" w:rsidP="00F46E0F">
      <w:pPr>
        <w:spacing w:after="0" w:line="240" w:lineRule="auto"/>
        <w:ind w:left="360" w:hanging="360"/>
      </w:pPr>
    </w:p>
    <w:p w14:paraId="188869D6" w14:textId="339E220B" w:rsidR="00672561" w:rsidRDefault="00672561" w:rsidP="00F46E0F">
      <w:pPr>
        <w:spacing w:after="0" w:line="240" w:lineRule="auto"/>
        <w:ind w:left="360" w:hanging="360"/>
      </w:pPr>
      <w:r>
        <w:t>Sturgeo</w:t>
      </w:r>
      <w:r w:rsidR="005E7479">
        <w:t>n, S.</w:t>
      </w:r>
      <w:r>
        <w:t xml:space="preserve"> (2014). “Pollock on Defeasible Reasons” </w:t>
      </w:r>
      <w:r w:rsidRPr="00672561">
        <w:rPr>
          <w:i/>
          <w:iCs/>
        </w:rPr>
        <w:t>Philosophical Studies</w:t>
      </w:r>
      <w:r>
        <w:t xml:space="preserve"> 169: 105-118.</w:t>
      </w:r>
    </w:p>
    <w:p w14:paraId="534CEB08" w14:textId="48E1691F" w:rsidR="00EE5B6A" w:rsidRDefault="00EE5B6A" w:rsidP="00F46E0F">
      <w:pPr>
        <w:spacing w:after="0" w:line="240" w:lineRule="auto"/>
        <w:ind w:left="360" w:hanging="360"/>
      </w:pPr>
    </w:p>
    <w:p w14:paraId="0A8AB497" w14:textId="532BB06C" w:rsidR="00EE5B6A" w:rsidRDefault="00EE5B6A" w:rsidP="00F46E0F">
      <w:pPr>
        <w:spacing w:after="0" w:line="240" w:lineRule="auto"/>
        <w:ind w:left="360" w:hanging="360"/>
      </w:pPr>
      <w:r>
        <w:t xml:space="preserve">Tersman, F. (2017). “Debunking and Disagreement.” </w:t>
      </w:r>
      <w:r w:rsidRPr="00EE5B6A">
        <w:rPr>
          <w:i/>
          <w:iCs/>
        </w:rPr>
        <w:t>Nous</w:t>
      </w:r>
      <w:r>
        <w:t xml:space="preserve"> 51(4): 754-774. </w:t>
      </w:r>
    </w:p>
    <w:p w14:paraId="7DDF0930" w14:textId="70707AAF" w:rsidR="00E521DD" w:rsidRDefault="00E521DD" w:rsidP="00F46E0F">
      <w:pPr>
        <w:spacing w:after="0" w:line="240" w:lineRule="auto"/>
        <w:ind w:left="360" w:hanging="360"/>
      </w:pPr>
    </w:p>
    <w:p w14:paraId="261F7C58" w14:textId="570B9663" w:rsidR="00E521DD" w:rsidRDefault="00E521DD" w:rsidP="00F46E0F">
      <w:pPr>
        <w:spacing w:after="0" w:line="240" w:lineRule="auto"/>
        <w:ind w:left="360" w:hanging="360"/>
      </w:pPr>
      <w:r>
        <w:t xml:space="preserve">Vavoka, K. (2015). “Evolutionary Debunking of Moral Realism.” </w:t>
      </w:r>
      <w:r>
        <w:rPr>
          <w:i/>
          <w:iCs/>
        </w:rPr>
        <w:t>Philosophy Compass</w:t>
      </w:r>
      <w:r>
        <w:t xml:space="preserve"> 10(2): 104-116. </w:t>
      </w:r>
    </w:p>
    <w:p w14:paraId="65393E71" w14:textId="77777777" w:rsidR="00E90205" w:rsidRDefault="00E90205" w:rsidP="00F46E0F">
      <w:pPr>
        <w:spacing w:after="0" w:line="240" w:lineRule="auto"/>
        <w:ind w:left="360" w:hanging="360"/>
      </w:pPr>
    </w:p>
    <w:p w14:paraId="710C601C" w14:textId="129797AE" w:rsidR="00ED2B1B" w:rsidRPr="00BC3774" w:rsidRDefault="00C96715" w:rsidP="00F46E0F">
      <w:pPr>
        <w:spacing w:after="240" w:line="240" w:lineRule="auto"/>
        <w:ind w:left="360" w:hanging="360"/>
        <w:rPr>
          <w:noProof/>
          <w:szCs w:val="24"/>
        </w:rPr>
      </w:pPr>
      <w:r>
        <w:t>Wedgwood</w:t>
      </w:r>
      <w:r w:rsidR="00642451">
        <w:t>, R</w:t>
      </w:r>
      <w:r w:rsidR="005E7479">
        <w:t>.</w:t>
      </w:r>
      <w:r w:rsidR="00642451">
        <w:t xml:space="preserve"> (2010). “The Moral Evil Demons.” </w:t>
      </w:r>
      <w:r w:rsidR="00642451">
        <w:rPr>
          <w:noProof/>
          <w:szCs w:val="24"/>
        </w:rPr>
        <w:t xml:space="preserve">In </w:t>
      </w:r>
      <w:r w:rsidR="00642451" w:rsidRPr="00255CB7">
        <w:rPr>
          <w:i/>
          <w:noProof/>
          <w:szCs w:val="24"/>
        </w:rPr>
        <w:t>Disagreement</w:t>
      </w:r>
      <w:r w:rsidR="00642451">
        <w:rPr>
          <w:noProof/>
          <w:szCs w:val="24"/>
        </w:rPr>
        <w:t xml:space="preserve">, </w:t>
      </w:r>
      <w:r w:rsidR="002E12B8">
        <w:rPr>
          <w:noProof/>
          <w:szCs w:val="24"/>
        </w:rPr>
        <w:t>eds.</w:t>
      </w:r>
      <w:r w:rsidR="00642451">
        <w:rPr>
          <w:noProof/>
          <w:szCs w:val="24"/>
        </w:rPr>
        <w:t xml:space="preserve"> R. Feldman and T.A. Warfield. New York: Oxford </w:t>
      </w:r>
      <w:r w:rsidR="005166D3">
        <w:rPr>
          <w:noProof/>
          <w:szCs w:val="24"/>
        </w:rPr>
        <w:t>UP</w:t>
      </w:r>
      <w:r w:rsidR="00642451">
        <w:rPr>
          <w:noProof/>
          <w:szCs w:val="24"/>
        </w:rPr>
        <w:t>, 216-246.</w:t>
      </w:r>
    </w:p>
    <w:sectPr w:rsidR="00ED2B1B" w:rsidRPr="00BC3774" w:rsidSect="004040F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74DAF" w14:textId="77777777" w:rsidR="009758E4" w:rsidRDefault="009758E4" w:rsidP="004040FC">
      <w:pPr>
        <w:spacing w:after="0" w:line="240" w:lineRule="auto"/>
      </w:pPr>
      <w:r>
        <w:separator/>
      </w:r>
    </w:p>
  </w:endnote>
  <w:endnote w:type="continuationSeparator" w:id="0">
    <w:p w14:paraId="2A796B57" w14:textId="77777777" w:rsidR="009758E4" w:rsidRDefault="009758E4" w:rsidP="00404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7399085"/>
      <w:docPartObj>
        <w:docPartGallery w:val="Page Numbers (Bottom of Page)"/>
        <w:docPartUnique/>
      </w:docPartObj>
    </w:sdtPr>
    <w:sdtEndPr>
      <w:rPr>
        <w:noProof/>
      </w:rPr>
    </w:sdtEndPr>
    <w:sdtContent>
      <w:p w14:paraId="62B43563" w14:textId="292B79F8" w:rsidR="009758E4" w:rsidRDefault="009758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43C7AC" w14:textId="77777777" w:rsidR="009758E4" w:rsidRDefault="00975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7E0C6" w14:textId="77777777" w:rsidR="009758E4" w:rsidRDefault="009758E4" w:rsidP="004040FC">
      <w:pPr>
        <w:spacing w:after="0" w:line="240" w:lineRule="auto"/>
      </w:pPr>
      <w:r>
        <w:separator/>
      </w:r>
    </w:p>
  </w:footnote>
  <w:footnote w:type="continuationSeparator" w:id="0">
    <w:p w14:paraId="3D7E9170" w14:textId="77777777" w:rsidR="009758E4" w:rsidRDefault="009758E4" w:rsidP="004040FC">
      <w:pPr>
        <w:spacing w:after="0" w:line="240" w:lineRule="auto"/>
      </w:pPr>
      <w:r>
        <w:continuationSeparator/>
      </w:r>
    </w:p>
  </w:footnote>
  <w:footnote w:id="1">
    <w:p w14:paraId="75ADA042" w14:textId="26696115" w:rsidR="009758E4" w:rsidRDefault="009758E4">
      <w:pPr>
        <w:pStyle w:val="FootnoteText"/>
      </w:pPr>
      <w:r>
        <w:rPr>
          <w:rStyle w:val="FootnoteReference"/>
        </w:rPr>
        <w:footnoteRef/>
      </w:r>
      <w:r>
        <w:t xml:space="preserve"> I am grateful to Michael Klenk, Margaret Greta Turnbull, and Eric Sampson for helpful feedback on an earlier draft.</w:t>
      </w:r>
    </w:p>
  </w:footnote>
  <w:footnote w:id="2">
    <w:p w14:paraId="43769F12" w14:textId="2655A4B8" w:rsidR="009758E4" w:rsidRDefault="009758E4">
      <w:pPr>
        <w:pStyle w:val="FootnoteText"/>
      </w:pPr>
      <w:r>
        <w:rPr>
          <w:rStyle w:val="FootnoteReference"/>
        </w:rPr>
        <w:footnoteRef/>
      </w:r>
      <w:r>
        <w:t xml:space="preserve"> For an exception to the causal claim, see Oddie (2009).</w:t>
      </w:r>
    </w:p>
  </w:footnote>
  <w:footnote w:id="3">
    <w:p w14:paraId="15B534D9" w14:textId="5A7D44ED" w:rsidR="009758E4" w:rsidRDefault="009758E4">
      <w:pPr>
        <w:pStyle w:val="FootnoteText"/>
      </w:pPr>
      <w:r>
        <w:rPr>
          <w:rStyle w:val="FootnoteReference"/>
        </w:rPr>
        <w:footnoteRef/>
      </w:r>
      <w:r>
        <w:t xml:space="preserve"> Enoch (2011) and Shafer-Landau (2003, 2012) defend this sort of package. </w:t>
      </w:r>
    </w:p>
  </w:footnote>
  <w:footnote w:id="4">
    <w:p w14:paraId="22FA5283" w14:textId="1AFDCF28" w:rsidR="009758E4" w:rsidRDefault="009758E4">
      <w:pPr>
        <w:pStyle w:val="FootnoteText"/>
      </w:pPr>
      <w:r>
        <w:rPr>
          <w:rStyle w:val="FootnoteReference"/>
        </w:rPr>
        <w:footnoteRef/>
      </w:r>
      <w:r>
        <w:t xml:space="preserve"> A helpful survey is </w:t>
      </w:r>
      <w:r w:rsidR="00F446D7">
        <w:t>given</w:t>
      </w:r>
      <w:r>
        <w:t xml:space="preserve"> by Campbell (2016).</w:t>
      </w:r>
    </w:p>
  </w:footnote>
  <w:footnote w:id="5">
    <w:p w14:paraId="141AF112" w14:textId="72C1D60B" w:rsidR="009758E4" w:rsidRDefault="009758E4" w:rsidP="0062475F">
      <w:pPr>
        <w:pStyle w:val="FootnoteText"/>
      </w:pPr>
      <w:r>
        <w:rPr>
          <w:rStyle w:val="FootnoteReference"/>
        </w:rPr>
        <w:footnoteRef/>
      </w:r>
      <w:r>
        <w:t xml:space="preserve"> Influential proponents include Joyce (2006) and Street (2006).</w:t>
      </w:r>
    </w:p>
  </w:footnote>
  <w:footnote w:id="6">
    <w:p w14:paraId="3062369D" w14:textId="5B6F3CCE" w:rsidR="009758E4" w:rsidRDefault="009758E4">
      <w:pPr>
        <w:pStyle w:val="FootnoteText"/>
      </w:pPr>
      <w:r>
        <w:rPr>
          <w:rStyle w:val="FootnoteReference"/>
        </w:rPr>
        <w:footnoteRef/>
      </w:r>
      <w:r>
        <w:t xml:space="preserve"> The BFC originates in the work of Benacerraf (1973) and Field (1989). Klenk (2017a) mounts a strong argument that EDAs depend on the BFC.</w:t>
      </w:r>
    </w:p>
  </w:footnote>
  <w:footnote w:id="7">
    <w:p w14:paraId="285BDDFA" w14:textId="50922EA6" w:rsidR="009758E4" w:rsidRDefault="009758E4">
      <w:pPr>
        <w:pStyle w:val="FootnoteText"/>
      </w:pPr>
      <w:r>
        <w:rPr>
          <w:rStyle w:val="FootnoteReference"/>
        </w:rPr>
        <w:footnoteRef/>
      </w:r>
      <w:r>
        <w:t xml:space="preserve"> E.g., Wedgwood (2010)</w:t>
      </w:r>
      <w:r w:rsidR="00F446D7">
        <w:t>.</w:t>
      </w:r>
    </w:p>
  </w:footnote>
  <w:footnote w:id="8">
    <w:p w14:paraId="2C6F5F3D" w14:textId="3A61AF63" w:rsidR="009758E4" w:rsidRDefault="009758E4">
      <w:pPr>
        <w:pStyle w:val="FootnoteText"/>
      </w:pPr>
      <w:r>
        <w:rPr>
          <w:rStyle w:val="FootnoteReference"/>
        </w:rPr>
        <w:footnoteRef/>
      </w:r>
      <w:r>
        <w:t xml:space="preserve"> The notion of epistemic peerhood derives from Gutting (1982). Cf. Turnbull and Sampson’s contribution in this volume for a weaker </w:t>
      </w:r>
      <w:r w:rsidR="00F446D7">
        <w:t>conception</w:t>
      </w:r>
      <w:r>
        <w:t>.</w:t>
      </w:r>
    </w:p>
  </w:footnote>
  <w:footnote w:id="9">
    <w:p w14:paraId="7839E69B" w14:textId="1D4E79E4" w:rsidR="009758E4" w:rsidRDefault="009758E4">
      <w:pPr>
        <w:pStyle w:val="FootnoteText"/>
      </w:pPr>
      <w:r>
        <w:rPr>
          <w:rStyle w:val="FootnoteReference"/>
        </w:rPr>
        <w:footnoteRef/>
      </w:r>
      <w:r>
        <w:t xml:space="preserve"> Sometimes called the “equal weight view” (Kelly 2010), though there are weaker versions that only require decreased confidence in the face of peer disagreement. </w:t>
      </w:r>
    </w:p>
  </w:footnote>
  <w:footnote w:id="10">
    <w:p w14:paraId="5F595292" w14:textId="46E4739F" w:rsidR="009758E4" w:rsidRDefault="009758E4" w:rsidP="00A3554A">
      <w:pPr>
        <w:pStyle w:val="FootnoteText"/>
      </w:pPr>
      <w:r>
        <w:rPr>
          <w:rStyle w:val="FootnoteReference"/>
        </w:rPr>
        <w:footnoteRef/>
      </w:r>
      <w:r>
        <w:t xml:space="preserve"> For defenses of conciliationism, see Christensen (2007, 2009, 2010); </w:t>
      </w:r>
      <w:proofErr w:type="spellStart"/>
      <w:r>
        <w:t>Elga</w:t>
      </w:r>
      <w:proofErr w:type="spellEnd"/>
      <w:r>
        <w:t xml:space="preserve"> (2010); Feldman (2006, 2007, 2009); and Matheson (2009). For non-conciliatory views, see Kelly (2005, 2010) and Wedgwood (2010). See also Turnbull and Sampson’s contribution to this volume, which develops an account of non-conciliationism in terms of rational “level-splitting” beliefs.</w:t>
      </w:r>
    </w:p>
  </w:footnote>
  <w:footnote w:id="11">
    <w:p w14:paraId="63B66CAD" w14:textId="21567FD7" w:rsidR="009758E4" w:rsidRDefault="009758E4">
      <w:pPr>
        <w:pStyle w:val="FootnoteText"/>
      </w:pPr>
      <w:r>
        <w:rPr>
          <w:rStyle w:val="FootnoteReference"/>
        </w:rPr>
        <w:footnoteRef/>
      </w:r>
      <w:r>
        <w:t xml:space="preserve"> See Machuca (2013) on the prospective skeptical implications of disagreement.</w:t>
      </w:r>
    </w:p>
  </w:footnote>
  <w:footnote w:id="12">
    <w:p w14:paraId="1BE280CC" w14:textId="0AF3AC65" w:rsidR="009758E4" w:rsidRDefault="009758E4">
      <w:pPr>
        <w:pStyle w:val="FootnoteText"/>
      </w:pPr>
      <w:r>
        <w:rPr>
          <w:rStyle w:val="FootnoteReference"/>
        </w:rPr>
        <w:footnoteRef/>
      </w:r>
      <w:r>
        <w:t xml:space="preserve"> </w:t>
      </w:r>
      <w:r w:rsidR="00F446D7">
        <w:t>E.g.,</w:t>
      </w:r>
      <w:r>
        <w:t xml:space="preserve"> </w:t>
      </w:r>
      <w:proofErr w:type="spellStart"/>
      <w:r>
        <w:t>Copp</w:t>
      </w:r>
      <w:proofErr w:type="spellEnd"/>
      <w:r>
        <w:t xml:space="preserve"> (20</w:t>
      </w:r>
      <w:r w:rsidR="00393F15">
        <w:t>0</w:t>
      </w:r>
      <w:r>
        <w:t xml:space="preserve">8); </w:t>
      </w:r>
      <w:proofErr w:type="spellStart"/>
      <w:r>
        <w:t>FitzPatrick</w:t>
      </w:r>
      <w:proofErr w:type="spellEnd"/>
      <w:r>
        <w:t xml:space="preserve"> (2015); </w:t>
      </w:r>
      <w:proofErr w:type="spellStart"/>
      <w:r>
        <w:t>Huemer</w:t>
      </w:r>
      <w:proofErr w:type="spellEnd"/>
      <w:r>
        <w:t xml:space="preserve"> (2016); </w:t>
      </w:r>
      <w:proofErr w:type="spellStart"/>
      <w:r>
        <w:t>Klenk</w:t>
      </w:r>
      <w:proofErr w:type="spellEnd"/>
      <w:r>
        <w:t xml:space="preserve"> (2017a, 2017b); and Tersman (2017). </w:t>
      </w:r>
    </w:p>
  </w:footnote>
  <w:footnote w:id="13">
    <w:p w14:paraId="57A50B18" w14:textId="700BF989" w:rsidR="009758E4" w:rsidRDefault="009758E4">
      <w:pPr>
        <w:pStyle w:val="FootnoteText"/>
      </w:pPr>
      <w:r>
        <w:rPr>
          <w:rStyle w:val="FootnoteReference"/>
        </w:rPr>
        <w:footnoteRef/>
      </w:r>
      <w:r>
        <w:t xml:space="preserve"> For existing epistemic responses, see Clarke-Doane (2017), Vavova (2015), and the non-conciliationists referenced above.</w:t>
      </w:r>
    </w:p>
  </w:footnote>
  <w:footnote w:id="14">
    <w:p w14:paraId="004A9543" w14:textId="061F42EE" w:rsidR="009758E4" w:rsidRDefault="009758E4">
      <w:pPr>
        <w:pStyle w:val="FootnoteText"/>
      </w:pPr>
      <w:r>
        <w:rPr>
          <w:rStyle w:val="FootnoteReference"/>
        </w:rPr>
        <w:footnoteRef/>
      </w:r>
      <w:r>
        <w:t xml:space="preserve"> For a sampling of this growing body of literature, see Christensen (200</w:t>
      </w:r>
      <w:r w:rsidR="00393F15">
        <w:t>9</w:t>
      </w:r>
      <w:r>
        <w:t>, 2010); Feldman (2005, 2006, 2007, 2009); Kelly (2005, 2010); Matheson (2009);</w:t>
      </w:r>
      <w:r w:rsidR="00393F15">
        <w:t xml:space="preserve"> and</w:t>
      </w:r>
      <w:r>
        <w:t xml:space="preserve"> </w:t>
      </w:r>
      <w:proofErr w:type="spellStart"/>
      <w:r>
        <w:t>Sliwa</w:t>
      </w:r>
      <w:proofErr w:type="spellEnd"/>
      <w:r>
        <w:t xml:space="preserve"> and Horowitz (2015).</w:t>
      </w:r>
    </w:p>
  </w:footnote>
  <w:footnote w:id="15">
    <w:p w14:paraId="30FBD53B" w14:textId="3658A8B7" w:rsidR="009758E4" w:rsidRDefault="009758E4">
      <w:pPr>
        <w:pStyle w:val="FootnoteText"/>
      </w:pPr>
      <w:r>
        <w:rPr>
          <w:rStyle w:val="FootnoteReference"/>
        </w:rPr>
        <w:footnoteRef/>
      </w:r>
      <w:r>
        <w:t xml:space="preserve"> Barnett (2016) presents a fuller account.</w:t>
      </w:r>
    </w:p>
  </w:footnote>
  <w:footnote w:id="16">
    <w:p w14:paraId="4B3D8131" w14:textId="4CBDE25D" w:rsidR="009758E4" w:rsidRDefault="009758E4" w:rsidP="009A57B0">
      <w:pPr>
        <w:pStyle w:val="FootnoteText"/>
      </w:pPr>
      <w:r>
        <w:rPr>
          <w:rStyle w:val="FootnoteReference"/>
        </w:rPr>
        <w:footnoteRef/>
      </w:r>
      <w:r>
        <w:t xml:space="preserve"> Fitelson (2012) and Kelly (2005, 2010) </w:t>
      </w:r>
      <w:r w:rsidR="00835C95">
        <w:t>raise</w:t>
      </w:r>
      <w:r>
        <w:t xml:space="preserve"> objections</w:t>
      </w:r>
      <w:r w:rsidR="00835C95">
        <w:t xml:space="preserve"> to filtration</w:t>
      </w:r>
      <w:r w:rsidR="00F446D7">
        <w:t xml:space="preserve"> to which</w:t>
      </w:r>
      <w:r>
        <w:t xml:space="preserve"> Barnett (2016), Feldman (2009), and Matheson (200</w:t>
      </w:r>
      <w:r w:rsidR="00393F15">
        <w:t>9</w:t>
      </w:r>
      <w:r>
        <w:t>)</w:t>
      </w:r>
      <w:r w:rsidR="00F446D7">
        <w:t xml:space="preserve"> respond</w:t>
      </w:r>
      <w:r>
        <w:t>.</w:t>
      </w:r>
    </w:p>
  </w:footnote>
  <w:footnote w:id="17">
    <w:p w14:paraId="7A56FF95" w14:textId="56A37B6C" w:rsidR="009758E4" w:rsidRDefault="009758E4">
      <w:pPr>
        <w:pStyle w:val="FootnoteText"/>
      </w:pPr>
      <w:r>
        <w:rPr>
          <w:rStyle w:val="FootnoteReference"/>
        </w:rPr>
        <w:footnoteRef/>
      </w:r>
      <w:r>
        <w:t xml:space="preserve"> </w:t>
      </w:r>
      <w:r w:rsidR="00835C95">
        <w:t>See the c</w:t>
      </w:r>
      <w:r>
        <w:t xml:space="preserve">ontributions by Lee, Robson, and Sinclair </w:t>
      </w:r>
      <w:r w:rsidR="00835C95">
        <w:t>in</w:t>
      </w:r>
      <w:r>
        <w:t xml:space="preserve"> this volume </w:t>
      </w:r>
      <w:r w:rsidR="00835C95">
        <w:t>for higher-order defenses of</w:t>
      </w:r>
      <w:r>
        <w:t xml:space="preserve"> testimony.</w:t>
      </w:r>
    </w:p>
  </w:footnote>
  <w:footnote w:id="18">
    <w:p w14:paraId="21839E33" w14:textId="6079A925" w:rsidR="009758E4" w:rsidRDefault="009758E4">
      <w:pPr>
        <w:pStyle w:val="FootnoteText"/>
      </w:pPr>
      <w:r>
        <w:rPr>
          <w:rStyle w:val="FootnoteReference"/>
        </w:rPr>
        <w:footnoteRef/>
      </w:r>
      <w:r>
        <w:t xml:space="preserve"> </w:t>
      </w:r>
      <w:r w:rsidR="00835C95">
        <w:t xml:space="preserve">For discussion of this problem, see </w:t>
      </w:r>
      <w:r>
        <w:t>Conee and Feldman (2001).</w:t>
      </w:r>
    </w:p>
  </w:footnote>
  <w:footnote w:id="19">
    <w:p w14:paraId="614009B9" w14:textId="77777777" w:rsidR="009758E4" w:rsidRDefault="009758E4" w:rsidP="000B2551">
      <w:pPr>
        <w:pStyle w:val="FootnoteText"/>
      </w:pPr>
      <w:r>
        <w:rPr>
          <w:rStyle w:val="FootnoteReference"/>
        </w:rPr>
        <w:footnoteRef/>
      </w:r>
      <w:r>
        <w:t xml:space="preserve"> In p.c. to Feldman (2009).</w:t>
      </w:r>
    </w:p>
  </w:footnote>
  <w:footnote w:id="20">
    <w:p w14:paraId="60F00E29" w14:textId="53BA733A" w:rsidR="009758E4" w:rsidRDefault="009758E4">
      <w:pPr>
        <w:pStyle w:val="FootnoteText"/>
      </w:pPr>
      <w:r>
        <w:rPr>
          <w:rStyle w:val="FootnoteReference"/>
        </w:rPr>
        <w:footnoteRef/>
      </w:r>
      <w:r>
        <w:t xml:space="preserve"> See Sturgeon (2014) and Klenk (2019a) for the related debate over subjective vs. objective defeat.  </w:t>
      </w:r>
    </w:p>
  </w:footnote>
  <w:footnote w:id="21">
    <w:p w14:paraId="6E6C6570" w14:textId="04D5E87F" w:rsidR="009758E4" w:rsidRDefault="009758E4">
      <w:pPr>
        <w:pStyle w:val="FootnoteText"/>
      </w:pPr>
      <w:r>
        <w:rPr>
          <w:rStyle w:val="FootnoteReference"/>
        </w:rPr>
        <w:footnoteRef/>
      </w:r>
      <w:r>
        <w:t xml:space="preserve"> Silwa and Horowitz (2015) defend a version of this.</w:t>
      </w:r>
    </w:p>
  </w:footnote>
  <w:footnote w:id="22">
    <w:p w14:paraId="626E1B67" w14:textId="61D89E99" w:rsidR="009758E4" w:rsidRDefault="009758E4">
      <w:pPr>
        <w:pStyle w:val="FootnoteText"/>
      </w:pPr>
      <w:r>
        <w:rPr>
          <w:rStyle w:val="FootnoteReference"/>
        </w:rPr>
        <w:footnoteRef/>
      </w:r>
      <w:r>
        <w:t xml:space="preserve"> Thus, candidate debunkers as construed here are not subject to the self-refutation raised by Rini (2016). </w:t>
      </w:r>
    </w:p>
  </w:footnote>
  <w:footnote w:id="23">
    <w:p w14:paraId="23E0E497" w14:textId="5927AF03" w:rsidR="009758E4" w:rsidRDefault="009758E4">
      <w:pPr>
        <w:pStyle w:val="FootnoteText"/>
      </w:pPr>
      <w:r>
        <w:rPr>
          <w:rStyle w:val="FootnoteReference"/>
        </w:rPr>
        <w:footnoteRef/>
      </w:r>
      <w:r>
        <w:t xml:space="preserve"> Feldman (2006, 2007, 2009); Matheson (2009)</w:t>
      </w:r>
    </w:p>
  </w:footnote>
  <w:footnote w:id="24">
    <w:p w14:paraId="5DA3070C" w14:textId="7C0940AA" w:rsidR="009758E4" w:rsidRDefault="009758E4" w:rsidP="00CA46D8">
      <w:pPr>
        <w:pStyle w:val="FootnoteText"/>
      </w:pPr>
      <w:r>
        <w:rPr>
          <w:rStyle w:val="FootnoteReference"/>
        </w:rPr>
        <w:footnoteRef/>
      </w:r>
      <w:r>
        <w:t xml:space="preserve"> Christensen (2007)</w:t>
      </w:r>
      <w:r w:rsidR="00835C95">
        <w:t>,</w:t>
      </w:r>
      <w:r>
        <w:t xml:space="preserve"> </w:t>
      </w:r>
      <w:r w:rsidR="002A3A83">
        <w:t>Elga (2010)</w:t>
      </w:r>
      <w:r w:rsidR="00835C95">
        <w:t>,</w:t>
      </w:r>
      <w:r w:rsidR="002A3A83">
        <w:t xml:space="preserve"> </w:t>
      </w:r>
      <w:r>
        <w:t>Goldman (2001)</w:t>
      </w:r>
      <w:r w:rsidR="00835C95">
        <w:t>,</w:t>
      </w:r>
      <w:r>
        <w:t xml:space="preserve"> and Kelly (2010)</w:t>
      </w:r>
      <w:r w:rsidR="002A3A83">
        <w:t xml:space="preserve"> </w:t>
      </w:r>
      <w:r w:rsidR="00835C95">
        <w:t>propose</w:t>
      </w:r>
      <w:r w:rsidR="002A3A83">
        <w:t xml:space="preserve"> independence condition</w:t>
      </w:r>
      <w:r w:rsidR="00835C95">
        <w:t>s</w:t>
      </w:r>
      <w:r w:rsidR="002A3A83">
        <w:t>.</w:t>
      </w:r>
    </w:p>
  </w:footnote>
  <w:footnote w:id="25">
    <w:p w14:paraId="621DD166" w14:textId="2E1B2148" w:rsidR="009758E4" w:rsidRDefault="009758E4">
      <w:pPr>
        <w:pStyle w:val="FootnoteText"/>
      </w:pPr>
      <w:r>
        <w:rPr>
          <w:rStyle w:val="FootnoteReference"/>
        </w:rPr>
        <w:footnoteRef/>
      </w:r>
      <w:r>
        <w:t xml:space="preserve"> Turnbull and Sampson argue that certain level-splitting beliefs can be rational</w:t>
      </w:r>
      <w:r w:rsidR="00A40FE1">
        <w:t xml:space="preserve">—e.g., </w:t>
      </w:r>
      <w:r>
        <w:t xml:space="preserve">“P, but the evidence as construed by my peer doesn’t support P” (my wording). I can accommodate this with latching. If the evidence as construed by my peer doesn’t support P </w:t>
      </w:r>
      <w:r w:rsidR="00A40FE1">
        <w:t>yet</w:t>
      </w:r>
      <w:r>
        <w:t xml:space="preserve"> I’m justified in maintaining my </w:t>
      </w:r>
      <w:r w:rsidR="00A40FE1">
        <w:t>stance</w:t>
      </w:r>
      <w:r>
        <w:t xml:space="preserve">, I must have reason to expect an evidential difference between us. This can only happen given </w:t>
      </w:r>
      <w:r w:rsidR="00835C95">
        <w:t>the</w:t>
      </w:r>
      <w:r>
        <w:t xml:space="preserve"> weaker notion of peerhood, which doesn’t require sharing the same evidence. As such, what I </w:t>
      </w:r>
      <w:r w:rsidR="00835C95">
        <w:t>know</w:t>
      </w:r>
      <w:r>
        <w:t xml:space="preserve"> about my peer’s evidence doesn’t quite map onto mine, </w:t>
      </w:r>
      <w:r w:rsidR="00835C95">
        <w:t>hence</w:t>
      </w:r>
      <w:r>
        <w:t xml:space="preserve"> does</w:t>
      </w:r>
      <w:r w:rsidR="00A40FE1">
        <w:t>n’</w:t>
      </w:r>
      <w:r>
        <w:t>t latch</w:t>
      </w:r>
      <w:r w:rsidR="00835C95">
        <w:t>, therefore</w:t>
      </w:r>
      <w:r>
        <w:t xml:space="preserve"> does</w:t>
      </w:r>
      <w:r w:rsidR="00A40FE1">
        <w:t>n’</w:t>
      </w:r>
      <w:r>
        <w:t xml:space="preserve">t undercut. I can still account for my peer’s evidence without latching via filtration, but then there’s dampening. Either way, the level-splitting belief remains rational. </w:t>
      </w:r>
      <w:r w:rsidR="00A40FE1">
        <w:t>However,</w:t>
      </w:r>
      <w:r>
        <w:t xml:space="preserve"> once faced with a peer in my stronger sense, this no longer applies.  </w:t>
      </w:r>
    </w:p>
  </w:footnote>
  <w:footnote w:id="26">
    <w:p w14:paraId="4F00BF4D" w14:textId="484D4385" w:rsidR="009758E4" w:rsidRDefault="009758E4">
      <w:pPr>
        <w:pStyle w:val="FootnoteText"/>
      </w:pPr>
      <w:r>
        <w:rPr>
          <w:rStyle w:val="FootnoteReference"/>
        </w:rPr>
        <w:footnoteRef/>
      </w:r>
      <w:r>
        <w:t xml:space="preserve"> See Feldman (1988) for discussion.</w:t>
      </w:r>
    </w:p>
  </w:footnote>
  <w:footnote w:id="27">
    <w:p w14:paraId="21B3BB2E" w14:textId="35BF14A4" w:rsidR="00D16451" w:rsidRDefault="00D16451">
      <w:pPr>
        <w:pStyle w:val="FootnoteText"/>
      </w:pPr>
      <w:r>
        <w:rPr>
          <w:rStyle w:val="FootnoteReference"/>
        </w:rPr>
        <w:footnoteRef/>
      </w:r>
      <w:r>
        <w:t xml:space="preserve"> </w:t>
      </w:r>
      <w:r w:rsidR="00301CC3">
        <w:t>See also</w:t>
      </w:r>
      <w:r>
        <w:t xml:space="preserve"> Conee and Feldman (2008)</w:t>
      </w:r>
      <w:r w:rsidR="00301CC3">
        <w:t xml:space="preserve"> </w:t>
      </w:r>
      <w:r w:rsidR="00835C95">
        <w:t>for this</w:t>
      </w:r>
      <w:r w:rsidR="00301CC3">
        <w:t xml:space="preserve"> distinction</w:t>
      </w:r>
      <w:r>
        <w:t xml:space="preserve">. </w:t>
      </w:r>
    </w:p>
  </w:footnote>
  <w:footnote w:id="28">
    <w:p w14:paraId="70A52564" w14:textId="7DB015BC" w:rsidR="00D16451" w:rsidRDefault="00D16451">
      <w:pPr>
        <w:pStyle w:val="FootnoteText"/>
      </w:pPr>
      <w:r>
        <w:rPr>
          <w:rStyle w:val="FootnoteReference"/>
        </w:rPr>
        <w:footnoteRef/>
      </w:r>
      <w:r>
        <w:t xml:space="preserve"> </w:t>
      </w:r>
      <w:r w:rsidR="002C6D4C">
        <w:t xml:space="preserve">This is part of the reason why, as Feldman (2009: 309-310) puts it, evidential relations are “timeless and eternal and necessary.” For </w:t>
      </w:r>
      <w:r w:rsidR="00835C95">
        <w:t>accounts of such</w:t>
      </w:r>
      <w:r w:rsidR="00157F2F">
        <w:t xml:space="preserve"> relations</w:t>
      </w:r>
      <w:r w:rsidR="002C6D4C">
        <w:t>, see</w:t>
      </w:r>
      <w:r>
        <w:t xml:space="preserve"> Conee and Feldman (2008) and Barnett (2016).   </w:t>
      </w:r>
    </w:p>
  </w:footnote>
  <w:footnote w:id="29">
    <w:p w14:paraId="79C12168" w14:textId="25F5B561" w:rsidR="009758E4" w:rsidRDefault="009758E4">
      <w:pPr>
        <w:pStyle w:val="FootnoteText"/>
      </w:pPr>
      <w:r>
        <w:rPr>
          <w:rStyle w:val="FootnoteReference"/>
        </w:rPr>
        <w:footnoteRef/>
      </w:r>
      <w:r>
        <w:t xml:space="preserve"> Bergmann (2006) provides a survey and worthwhile attempt of his own.</w:t>
      </w:r>
    </w:p>
  </w:footnote>
  <w:footnote w:id="30">
    <w:p w14:paraId="4E658327" w14:textId="548B74E2" w:rsidR="009758E4" w:rsidRDefault="009758E4">
      <w:pPr>
        <w:pStyle w:val="FootnoteText"/>
      </w:pPr>
      <w:r>
        <w:rPr>
          <w:rStyle w:val="FootnoteReference"/>
        </w:rPr>
        <w:footnoteRef/>
      </w:r>
      <w:r>
        <w:t xml:space="preserve"> </w:t>
      </w:r>
      <w:r w:rsidR="00FD3699">
        <w:t>T</w:t>
      </w:r>
      <w:r>
        <w:t xml:space="preserve">he usual responses to skepticism cannot bypass this point. Contextualism </w:t>
      </w:r>
      <w:r w:rsidRPr="002561D4">
        <w:rPr>
          <w:i/>
          <w:iCs/>
        </w:rPr>
        <w:t>concedes</w:t>
      </w:r>
      <w:r>
        <w:t xml:space="preserve"> skepticism in contexts in which skeptical questions are posed. Standard anti-skeptical theories (e.g.</w:t>
      </w:r>
      <w:r w:rsidR="007F46CF">
        <w:t>,</w:t>
      </w:r>
      <w:r>
        <w:t xml:space="preserve"> Mooreanism and explanationism) contend that there exist positive external measures on our evidence (even if we cannot say much about them). However, ordinary folk won’t know these arguments, and often admit they don’t have knowledge of external measures</w:t>
      </w:r>
      <w:r w:rsidR="007F46CF">
        <w:t xml:space="preserve">—yet retain </w:t>
      </w:r>
      <w:r>
        <w:t xml:space="preserve">a strong intuition they do know the first-order claims. This natural response seems rational. The only way to accommodate it is to accept that awareness of ignorance of external measures is inert. Hence, any adequate response to skepticism must supplement this point, not replace it.  </w:t>
      </w:r>
    </w:p>
  </w:footnote>
  <w:footnote w:id="31">
    <w:p w14:paraId="3628E1FB" w14:textId="36BD9295" w:rsidR="009758E4" w:rsidRDefault="009758E4">
      <w:pPr>
        <w:pStyle w:val="FootnoteText"/>
      </w:pPr>
      <w:r>
        <w:rPr>
          <w:rStyle w:val="FootnoteReference"/>
        </w:rPr>
        <w:footnoteRef/>
      </w:r>
      <w:r>
        <w:t xml:space="preserve"> Alexander (2013),</w:t>
      </w:r>
      <w:r w:rsidR="00C14240" w:rsidRPr="00C14240">
        <w:t xml:space="preserve"> </w:t>
      </w:r>
      <w:r w:rsidR="00C14240">
        <w:t>Bergmann (2005), and Plantinga (1993)</w:t>
      </w:r>
      <w:r>
        <w:t xml:space="preserve"> make the related distinction between suspended judgment (corresponding to neutral support) and the absence of a doxastic attitude (corresponding to inscrutable support).</w:t>
      </w:r>
    </w:p>
  </w:footnote>
  <w:footnote w:id="32">
    <w:p w14:paraId="5960EA71" w14:textId="139A4E7B" w:rsidR="009758E4" w:rsidRDefault="009758E4">
      <w:pPr>
        <w:pStyle w:val="FootnoteText"/>
      </w:pPr>
      <w:r>
        <w:rPr>
          <w:rStyle w:val="FootnoteReference"/>
        </w:rPr>
        <w:footnoteRef/>
      </w:r>
      <w:r>
        <w:t xml:space="preserve"> Mellor (2005)</w:t>
      </w:r>
    </w:p>
  </w:footnote>
  <w:footnote w:id="33">
    <w:p w14:paraId="1ED00B3A" w14:textId="43160019" w:rsidR="003D0361" w:rsidRDefault="003D0361">
      <w:pPr>
        <w:pStyle w:val="FootnoteText"/>
      </w:pPr>
      <w:r>
        <w:rPr>
          <w:rStyle w:val="FootnoteReference"/>
        </w:rPr>
        <w:footnoteRef/>
      </w:r>
      <w:r>
        <w:t xml:space="preserve"> Given this isomorphism, and the implausibility of escaping defeat in the drug case by endorsing “epistemic optionalism” (the denial of the Uniqueness Thesis), we should say the same about peer disagreement. </w:t>
      </w:r>
    </w:p>
  </w:footnote>
  <w:footnote w:id="34">
    <w:p w14:paraId="24CF02E6" w14:textId="30D87122" w:rsidR="009758E4" w:rsidRDefault="009758E4">
      <w:pPr>
        <w:pStyle w:val="FootnoteText"/>
      </w:pPr>
      <w:r>
        <w:rPr>
          <w:rStyle w:val="FootnoteReference"/>
        </w:rPr>
        <w:footnoteRef/>
      </w:r>
      <w:r>
        <w:t xml:space="preserve"> In King’s (2012) phrase, “A good peer is hard to find.”</w:t>
      </w:r>
    </w:p>
  </w:footnote>
  <w:footnote w:id="35">
    <w:p w14:paraId="7F1AC86B" w14:textId="77777777" w:rsidR="008876B1" w:rsidRDefault="008876B1" w:rsidP="008876B1">
      <w:pPr>
        <w:pStyle w:val="FootnoteText"/>
      </w:pPr>
      <w:r>
        <w:rPr>
          <w:rStyle w:val="FootnoteReference"/>
        </w:rPr>
        <w:footnoteRef/>
      </w:r>
      <w:r>
        <w:t xml:space="preserve"> Consider Street (2006) and Shafer-Landau’s (2012) interpretation.  </w:t>
      </w:r>
    </w:p>
  </w:footnote>
  <w:footnote w:id="36">
    <w:p w14:paraId="52E5466F" w14:textId="2E4AAE8E" w:rsidR="009758E4" w:rsidRDefault="009758E4" w:rsidP="0075499A">
      <w:pPr>
        <w:pStyle w:val="FootnoteText"/>
      </w:pPr>
      <w:r>
        <w:rPr>
          <w:rStyle w:val="FootnoteReference"/>
        </w:rPr>
        <w:footnoteRef/>
      </w:r>
      <w:r>
        <w:t xml:space="preserve"> Klenk (2018a) </w:t>
      </w:r>
    </w:p>
  </w:footnote>
  <w:footnote w:id="37">
    <w:p w14:paraId="4DDADFF8" w14:textId="48648112" w:rsidR="009758E4" w:rsidRDefault="009758E4">
      <w:pPr>
        <w:pStyle w:val="FootnoteText"/>
      </w:pPr>
      <w:r>
        <w:rPr>
          <w:rStyle w:val="FootnoteReference"/>
        </w:rPr>
        <w:footnoteRef/>
      </w:r>
      <w:r>
        <w:t xml:space="preserve"> See Sauer’s (2018) argument and Klenk’s (2019b) response, along with Carter (2018).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B0D10"/>
    <w:multiLevelType w:val="hybridMultilevel"/>
    <w:tmpl w:val="B6346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8D4718"/>
    <w:multiLevelType w:val="hybridMultilevel"/>
    <w:tmpl w:val="248C560C"/>
    <w:lvl w:ilvl="0" w:tplc="7A34B7A6">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334F17"/>
    <w:multiLevelType w:val="hybridMultilevel"/>
    <w:tmpl w:val="9B049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FC"/>
    <w:rsid w:val="00001222"/>
    <w:rsid w:val="0000238B"/>
    <w:rsid w:val="00002732"/>
    <w:rsid w:val="00003DBE"/>
    <w:rsid w:val="000071D0"/>
    <w:rsid w:val="000100DE"/>
    <w:rsid w:val="000125D1"/>
    <w:rsid w:val="00012E5D"/>
    <w:rsid w:val="000154FF"/>
    <w:rsid w:val="00020A7D"/>
    <w:rsid w:val="0002531D"/>
    <w:rsid w:val="00025BA7"/>
    <w:rsid w:val="000270E8"/>
    <w:rsid w:val="000271BB"/>
    <w:rsid w:val="00030B2A"/>
    <w:rsid w:val="00035572"/>
    <w:rsid w:val="00035966"/>
    <w:rsid w:val="0003704E"/>
    <w:rsid w:val="00040C4A"/>
    <w:rsid w:val="000423D3"/>
    <w:rsid w:val="00046E2E"/>
    <w:rsid w:val="00047A86"/>
    <w:rsid w:val="0005032C"/>
    <w:rsid w:val="00051642"/>
    <w:rsid w:val="000711BF"/>
    <w:rsid w:val="0007542B"/>
    <w:rsid w:val="000772FB"/>
    <w:rsid w:val="0008079A"/>
    <w:rsid w:val="000822D6"/>
    <w:rsid w:val="00091890"/>
    <w:rsid w:val="000928DF"/>
    <w:rsid w:val="00094E55"/>
    <w:rsid w:val="00096924"/>
    <w:rsid w:val="000A1839"/>
    <w:rsid w:val="000A2F2A"/>
    <w:rsid w:val="000A6D42"/>
    <w:rsid w:val="000A7EDC"/>
    <w:rsid w:val="000B2551"/>
    <w:rsid w:val="000B27DA"/>
    <w:rsid w:val="000C08D5"/>
    <w:rsid w:val="000C3D9B"/>
    <w:rsid w:val="000C56E5"/>
    <w:rsid w:val="000C616F"/>
    <w:rsid w:val="000C62C9"/>
    <w:rsid w:val="000D4C58"/>
    <w:rsid w:val="000D4F7B"/>
    <w:rsid w:val="000D580C"/>
    <w:rsid w:val="000D6B47"/>
    <w:rsid w:val="000D7076"/>
    <w:rsid w:val="000E02B8"/>
    <w:rsid w:val="000E03EF"/>
    <w:rsid w:val="000E2202"/>
    <w:rsid w:val="000E3213"/>
    <w:rsid w:val="000E50DC"/>
    <w:rsid w:val="000E6804"/>
    <w:rsid w:val="000F1913"/>
    <w:rsid w:val="000F1F02"/>
    <w:rsid w:val="000F7949"/>
    <w:rsid w:val="001003DD"/>
    <w:rsid w:val="001037E8"/>
    <w:rsid w:val="00105969"/>
    <w:rsid w:val="00106897"/>
    <w:rsid w:val="00111129"/>
    <w:rsid w:val="001131AC"/>
    <w:rsid w:val="001272BE"/>
    <w:rsid w:val="00132E34"/>
    <w:rsid w:val="00134BA8"/>
    <w:rsid w:val="00134D3A"/>
    <w:rsid w:val="00144634"/>
    <w:rsid w:val="00156316"/>
    <w:rsid w:val="001579A9"/>
    <w:rsid w:val="00157A1B"/>
    <w:rsid w:val="00157F2F"/>
    <w:rsid w:val="00170F2D"/>
    <w:rsid w:val="001719A4"/>
    <w:rsid w:val="00172317"/>
    <w:rsid w:val="00172960"/>
    <w:rsid w:val="00172B24"/>
    <w:rsid w:val="00174B86"/>
    <w:rsid w:val="00177E2A"/>
    <w:rsid w:val="00183DE4"/>
    <w:rsid w:val="00184BBC"/>
    <w:rsid w:val="00190A52"/>
    <w:rsid w:val="00192CB1"/>
    <w:rsid w:val="001946BF"/>
    <w:rsid w:val="001A2BF0"/>
    <w:rsid w:val="001A4931"/>
    <w:rsid w:val="001B62E8"/>
    <w:rsid w:val="001B6B46"/>
    <w:rsid w:val="001B6E8C"/>
    <w:rsid w:val="001B7145"/>
    <w:rsid w:val="001C0DA2"/>
    <w:rsid w:val="001C2311"/>
    <w:rsid w:val="001C2F35"/>
    <w:rsid w:val="001C6282"/>
    <w:rsid w:val="001C62D7"/>
    <w:rsid w:val="001C6542"/>
    <w:rsid w:val="001D2C02"/>
    <w:rsid w:val="001D42EA"/>
    <w:rsid w:val="001D49DF"/>
    <w:rsid w:val="001D6D2A"/>
    <w:rsid w:val="001E0801"/>
    <w:rsid w:val="001E1C66"/>
    <w:rsid w:val="001F18BF"/>
    <w:rsid w:val="001F2B23"/>
    <w:rsid w:val="001F604B"/>
    <w:rsid w:val="001F6A67"/>
    <w:rsid w:val="00204B2A"/>
    <w:rsid w:val="00205423"/>
    <w:rsid w:val="0020590F"/>
    <w:rsid w:val="00210CB9"/>
    <w:rsid w:val="00211DC7"/>
    <w:rsid w:val="0021428C"/>
    <w:rsid w:val="0021695A"/>
    <w:rsid w:val="002173B3"/>
    <w:rsid w:val="0022268A"/>
    <w:rsid w:val="00224F6D"/>
    <w:rsid w:val="00231099"/>
    <w:rsid w:val="00241496"/>
    <w:rsid w:val="002458F5"/>
    <w:rsid w:val="00245AB6"/>
    <w:rsid w:val="00253C0E"/>
    <w:rsid w:val="002561D4"/>
    <w:rsid w:val="002579FE"/>
    <w:rsid w:val="00260944"/>
    <w:rsid w:val="00261110"/>
    <w:rsid w:val="00261546"/>
    <w:rsid w:val="00266498"/>
    <w:rsid w:val="00266ED0"/>
    <w:rsid w:val="0027207D"/>
    <w:rsid w:val="00273272"/>
    <w:rsid w:val="002741FC"/>
    <w:rsid w:val="00274829"/>
    <w:rsid w:val="002750FE"/>
    <w:rsid w:val="00275D43"/>
    <w:rsid w:val="00280065"/>
    <w:rsid w:val="00291D41"/>
    <w:rsid w:val="00295227"/>
    <w:rsid w:val="00296C7B"/>
    <w:rsid w:val="00297E47"/>
    <w:rsid w:val="002A0049"/>
    <w:rsid w:val="002A08F6"/>
    <w:rsid w:val="002A23AC"/>
    <w:rsid w:val="002A3A83"/>
    <w:rsid w:val="002A4B67"/>
    <w:rsid w:val="002A4FC5"/>
    <w:rsid w:val="002A6B46"/>
    <w:rsid w:val="002A74B4"/>
    <w:rsid w:val="002B3AE2"/>
    <w:rsid w:val="002B70BC"/>
    <w:rsid w:val="002C24ED"/>
    <w:rsid w:val="002C27CF"/>
    <w:rsid w:val="002C6D4C"/>
    <w:rsid w:val="002D72BA"/>
    <w:rsid w:val="002E12B8"/>
    <w:rsid w:val="002E17B1"/>
    <w:rsid w:val="002E44F6"/>
    <w:rsid w:val="002E49D1"/>
    <w:rsid w:val="002E519F"/>
    <w:rsid w:val="002E5AA6"/>
    <w:rsid w:val="002E6875"/>
    <w:rsid w:val="002E7858"/>
    <w:rsid w:val="002F2268"/>
    <w:rsid w:val="002F2CBD"/>
    <w:rsid w:val="002F48FC"/>
    <w:rsid w:val="002F4BCA"/>
    <w:rsid w:val="00301CC3"/>
    <w:rsid w:val="00302920"/>
    <w:rsid w:val="003042A6"/>
    <w:rsid w:val="00304416"/>
    <w:rsid w:val="00305253"/>
    <w:rsid w:val="00305368"/>
    <w:rsid w:val="00313E03"/>
    <w:rsid w:val="00314262"/>
    <w:rsid w:val="00314AA7"/>
    <w:rsid w:val="00320DF7"/>
    <w:rsid w:val="00323735"/>
    <w:rsid w:val="003237DA"/>
    <w:rsid w:val="003255B4"/>
    <w:rsid w:val="00333988"/>
    <w:rsid w:val="003362F6"/>
    <w:rsid w:val="00336FCB"/>
    <w:rsid w:val="00341437"/>
    <w:rsid w:val="00344E80"/>
    <w:rsid w:val="00345DA6"/>
    <w:rsid w:val="00346AB1"/>
    <w:rsid w:val="0035632C"/>
    <w:rsid w:val="0036026E"/>
    <w:rsid w:val="00363EA1"/>
    <w:rsid w:val="003653A2"/>
    <w:rsid w:val="003653B7"/>
    <w:rsid w:val="00365F85"/>
    <w:rsid w:val="00367902"/>
    <w:rsid w:val="00367A36"/>
    <w:rsid w:val="00367C55"/>
    <w:rsid w:val="003718A4"/>
    <w:rsid w:val="003732A8"/>
    <w:rsid w:val="00374396"/>
    <w:rsid w:val="00393F15"/>
    <w:rsid w:val="00394B8C"/>
    <w:rsid w:val="00397151"/>
    <w:rsid w:val="00397A6E"/>
    <w:rsid w:val="003A19C7"/>
    <w:rsid w:val="003A294F"/>
    <w:rsid w:val="003A37BA"/>
    <w:rsid w:val="003A724E"/>
    <w:rsid w:val="003A7359"/>
    <w:rsid w:val="003B0CD4"/>
    <w:rsid w:val="003C0451"/>
    <w:rsid w:val="003C3D87"/>
    <w:rsid w:val="003C47A9"/>
    <w:rsid w:val="003D01CF"/>
    <w:rsid w:val="003D0361"/>
    <w:rsid w:val="003D1555"/>
    <w:rsid w:val="003D51D2"/>
    <w:rsid w:val="003E339A"/>
    <w:rsid w:val="003E346D"/>
    <w:rsid w:val="003E4906"/>
    <w:rsid w:val="003E4DF6"/>
    <w:rsid w:val="003F48E2"/>
    <w:rsid w:val="003F4EAC"/>
    <w:rsid w:val="003F63AE"/>
    <w:rsid w:val="00403152"/>
    <w:rsid w:val="004040FC"/>
    <w:rsid w:val="0040484F"/>
    <w:rsid w:val="00404FF8"/>
    <w:rsid w:val="00405253"/>
    <w:rsid w:val="00405606"/>
    <w:rsid w:val="00414450"/>
    <w:rsid w:val="00420507"/>
    <w:rsid w:val="00420B92"/>
    <w:rsid w:val="0042517E"/>
    <w:rsid w:val="00425D1D"/>
    <w:rsid w:val="00432017"/>
    <w:rsid w:val="004333AD"/>
    <w:rsid w:val="00434F60"/>
    <w:rsid w:val="0044077A"/>
    <w:rsid w:val="00440DA1"/>
    <w:rsid w:val="004423F8"/>
    <w:rsid w:val="00451305"/>
    <w:rsid w:val="004531EE"/>
    <w:rsid w:val="0046216C"/>
    <w:rsid w:val="00465635"/>
    <w:rsid w:val="004667AD"/>
    <w:rsid w:val="004705F5"/>
    <w:rsid w:val="004733E1"/>
    <w:rsid w:val="00473E3F"/>
    <w:rsid w:val="004803DC"/>
    <w:rsid w:val="004808C4"/>
    <w:rsid w:val="00480A27"/>
    <w:rsid w:val="00481047"/>
    <w:rsid w:val="004826D7"/>
    <w:rsid w:val="00482A8A"/>
    <w:rsid w:val="0048479E"/>
    <w:rsid w:val="00490449"/>
    <w:rsid w:val="00491C6D"/>
    <w:rsid w:val="00492440"/>
    <w:rsid w:val="00495237"/>
    <w:rsid w:val="004954E1"/>
    <w:rsid w:val="0049725C"/>
    <w:rsid w:val="00497A7C"/>
    <w:rsid w:val="004A3987"/>
    <w:rsid w:val="004A5944"/>
    <w:rsid w:val="004A7176"/>
    <w:rsid w:val="004B30F6"/>
    <w:rsid w:val="004B5CAB"/>
    <w:rsid w:val="004C247E"/>
    <w:rsid w:val="004C4725"/>
    <w:rsid w:val="004D1D0A"/>
    <w:rsid w:val="004D2D82"/>
    <w:rsid w:val="004D325C"/>
    <w:rsid w:val="004D3477"/>
    <w:rsid w:val="004D35C6"/>
    <w:rsid w:val="004D438A"/>
    <w:rsid w:val="004D5597"/>
    <w:rsid w:val="004E2B2F"/>
    <w:rsid w:val="004E5487"/>
    <w:rsid w:val="004F1349"/>
    <w:rsid w:val="004F2E30"/>
    <w:rsid w:val="004F392C"/>
    <w:rsid w:val="004F3FD6"/>
    <w:rsid w:val="004F4E9E"/>
    <w:rsid w:val="004F58B5"/>
    <w:rsid w:val="005005A0"/>
    <w:rsid w:val="0050215E"/>
    <w:rsid w:val="00506E6F"/>
    <w:rsid w:val="00510838"/>
    <w:rsid w:val="0051470E"/>
    <w:rsid w:val="00514966"/>
    <w:rsid w:val="005166D3"/>
    <w:rsid w:val="005207BF"/>
    <w:rsid w:val="00521759"/>
    <w:rsid w:val="005218DC"/>
    <w:rsid w:val="00523305"/>
    <w:rsid w:val="00524DB2"/>
    <w:rsid w:val="00525921"/>
    <w:rsid w:val="00525F01"/>
    <w:rsid w:val="005267AB"/>
    <w:rsid w:val="00533185"/>
    <w:rsid w:val="00534F3C"/>
    <w:rsid w:val="005419E4"/>
    <w:rsid w:val="005442F7"/>
    <w:rsid w:val="0054480B"/>
    <w:rsid w:val="00551A20"/>
    <w:rsid w:val="00552C3F"/>
    <w:rsid w:val="00556324"/>
    <w:rsid w:val="00560B52"/>
    <w:rsid w:val="0056405F"/>
    <w:rsid w:val="00565CA0"/>
    <w:rsid w:val="00566A9C"/>
    <w:rsid w:val="00571393"/>
    <w:rsid w:val="00572DA9"/>
    <w:rsid w:val="0057443E"/>
    <w:rsid w:val="005753ED"/>
    <w:rsid w:val="0058154E"/>
    <w:rsid w:val="00582D7F"/>
    <w:rsid w:val="005830E1"/>
    <w:rsid w:val="0058325B"/>
    <w:rsid w:val="0058519E"/>
    <w:rsid w:val="00585BEB"/>
    <w:rsid w:val="005866AD"/>
    <w:rsid w:val="005866B5"/>
    <w:rsid w:val="00586DEB"/>
    <w:rsid w:val="00593223"/>
    <w:rsid w:val="005968BE"/>
    <w:rsid w:val="005A1111"/>
    <w:rsid w:val="005A6D29"/>
    <w:rsid w:val="005B15D0"/>
    <w:rsid w:val="005B33FC"/>
    <w:rsid w:val="005C2580"/>
    <w:rsid w:val="005C2B8E"/>
    <w:rsid w:val="005C449B"/>
    <w:rsid w:val="005C563E"/>
    <w:rsid w:val="005C6C36"/>
    <w:rsid w:val="005E1EF4"/>
    <w:rsid w:val="005E28C2"/>
    <w:rsid w:val="005E4703"/>
    <w:rsid w:val="005E7479"/>
    <w:rsid w:val="005F212D"/>
    <w:rsid w:val="005F2349"/>
    <w:rsid w:val="005F2BEC"/>
    <w:rsid w:val="005F3172"/>
    <w:rsid w:val="005F48C0"/>
    <w:rsid w:val="005F561C"/>
    <w:rsid w:val="0060491A"/>
    <w:rsid w:val="00604E5A"/>
    <w:rsid w:val="0060630F"/>
    <w:rsid w:val="00607436"/>
    <w:rsid w:val="006101C0"/>
    <w:rsid w:val="006109D3"/>
    <w:rsid w:val="006115C6"/>
    <w:rsid w:val="00612FD9"/>
    <w:rsid w:val="00617566"/>
    <w:rsid w:val="00622CC5"/>
    <w:rsid w:val="00622E19"/>
    <w:rsid w:val="00622F0E"/>
    <w:rsid w:val="00623792"/>
    <w:rsid w:val="0062475F"/>
    <w:rsid w:val="006267C7"/>
    <w:rsid w:val="00626EB1"/>
    <w:rsid w:val="006332AF"/>
    <w:rsid w:val="00637E54"/>
    <w:rsid w:val="00641875"/>
    <w:rsid w:val="00641B82"/>
    <w:rsid w:val="00642451"/>
    <w:rsid w:val="006431ED"/>
    <w:rsid w:val="006464B8"/>
    <w:rsid w:val="00646B2D"/>
    <w:rsid w:val="00650AA8"/>
    <w:rsid w:val="00657CA5"/>
    <w:rsid w:val="00664422"/>
    <w:rsid w:val="006724BA"/>
    <w:rsid w:val="00672561"/>
    <w:rsid w:val="00672E9B"/>
    <w:rsid w:val="00681B52"/>
    <w:rsid w:val="00681D0A"/>
    <w:rsid w:val="00687F75"/>
    <w:rsid w:val="00695CF5"/>
    <w:rsid w:val="006A03AD"/>
    <w:rsid w:val="006A2A30"/>
    <w:rsid w:val="006A2F66"/>
    <w:rsid w:val="006A41F7"/>
    <w:rsid w:val="006A564B"/>
    <w:rsid w:val="006B2C94"/>
    <w:rsid w:val="006B61FA"/>
    <w:rsid w:val="006B7AF3"/>
    <w:rsid w:val="006C221F"/>
    <w:rsid w:val="006C6DD7"/>
    <w:rsid w:val="006D33B5"/>
    <w:rsid w:val="006D46BB"/>
    <w:rsid w:val="006E5185"/>
    <w:rsid w:val="006F2365"/>
    <w:rsid w:val="006F34A9"/>
    <w:rsid w:val="00700384"/>
    <w:rsid w:val="007034FE"/>
    <w:rsid w:val="00706B34"/>
    <w:rsid w:val="00710885"/>
    <w:rsid w:val="00712F3C"/>
    <w:rsid w:val="007137AC"/>
    <w:rsid w:val="00713E5A"/>
    <w:rsid w:val="00714B68"/>
    <w:rsid w:val="007169BE"/>
    <w:rsid w:val="00720FCC"/>
    <w:rsid w:val="007274AB"/>
    <w:rsid w:val="0073118C"/>
    <w:rsid w:val="0073168E"/>
    <w:rsid w:val="00732A37"/>
    <w:rsid w:val="00732E1A"/>
    <w:rsid w:val="00733950"/>
    <w:rsid w:val="007439E1"/>
    <w:rsid w:val="00745DA1"/>
    <w:rsid w:val="0075499A"/>
    <w:rsid w:val="00754E75"/>
    <w:rsid w:val="00755AD8"/>
    <w:rsid w:val="00756495"/>
    <w:rsid w:val="00756675"/>
    <w:rsid w:val="00763173"/>
    <w:rsid w:val="00764069"/>
    <w:rsid w:val="00767ACD"/>
    <w:rsid w:val="0077012B"/>
    <w:rsid w:val="007702B0"/>
    <w:rsid w:val="00771AEE"/>
    <w:rsid w:val="00772E3B"/>
    <w:rsid w:val="0077357C"/>
    <w:rsid w:val="007755AB"/>
    <w:rsid w:val="00781B30"/>
    <w:rsid w:val="007837EE"/>
    <w:rsid w:val="00783867"/>
    <w:rsid w:val="00783CC6"/>
    <w:rsid w:val="00793AAF"/>
    <w:rsid w:val="00794C91"/>
    <w:rsid w:val="00794EA6"/>
    <w:rsid w:val="00795839"/>
    <w:rsid w:val="00797655"/>
    <w:rsid w:val="007A0385"/>
    <w:rsid w:val="007A35E2"/>
    <w:rsid w:val="007A46B8"/>
    <w:rsid w:val="007A5D5A"/>
    <w:rsid w:val="007A74B1"/>
    <w:rsid w:val="007C0B47"/>
    <w:rsid w:val="007C0F44"/>
    <w:rsid w:val="007C1CA6"/>
    <w:rsid w:val="007C515E"/>
    <w:rsid w:val="007C545E"/>
    <w:rsid w:val="007C6210"/>
    <w:rsid w:val="007D52BF"/>
    <w:rsid w:val="007E10DA"/>
    <w:rsid w:val="007E2644"/>
    <w:rsid w:val="007E3539"/>
    <w:rsid w:val="007E459D"/>
    <w:rsid w:val="007E4C8B"/>
    <w:rsid w:val="007E535A"/>
    <w:rsid w:val="007E63FD"/>
    <w:rsid w:val="007F3991"/>
    <w:rsid w:val="007F46CF"/>
    <w:rsid w:val="007F4A55"/>
    <w:rsid w:val="007F65CE"/>
    <w:rsid w:val="007F677E"/>
    <w:rsid w:val="007F7965"/>
    <w:rsid w:val="008013B6"/>
    <w:rsid w:val="00803CC9"/>
    <w:rsid w:val="00812EC3"/>
    <w:rsid w:val="00812EF3"/>
    <w:rsid w:val="0081377A"/>
    <w:rsid w:val="00814DF2"/>
    <w:rsid w:val="00822067"/>
    <w:rsid w:val="00825B56"/>
    <w:rsid w:val="00827AF4"/>
    <w:rsid w:val="00832182"/>
    <w:rsid w:val="00834515"/>
    <w:rsid w:val="008359A0"/>
    <w:rsid w:val="00835C95"/>
    <w:rsid w:val="00842C45"/>
    <w:rsid w:val="00845FA7"/>
    <w:rsid w:val="00846242"/>
    <w:rsid w:val="0084762C"/>
    <w:rsid w:val="00851CD2"/>
    <w:rsid w:val="00852791"/>
    <w:rsid w:val="008619EB"/>
    <w:rsid w:val="00863EE5"/>
    <w:rsid w:val="008647FC"/>
    <w:rsid w:val="00867687"/>
    <w:rsid w:val="00867AE4"/>
    <w:rsid w:val="00870713"/>
    <w:rsid w:val="0087079B"/>
    <w:rsid w:val="00871254"/>
    <w:rsid w:val="0087252F"/>
    <w:rsid w:val="00874258"/>
    <w:rsid w:val="008758CB"/>
    <w:rsid w:val="00877B92"/>
    <w:rsid w:val="00877D9C"/>
    <w:rsid w:val="00880124"/>
    <w:rsid w:val="00881638"/>
    <w:rsid w:val="008843A6"/>
    <w:rsid w:val="008876B1"/>
    <w:rsid w:val="00890D25"/>
    <w:rsid w:val="008A10CA"/>
    <w:rsid w:val="008A5373"/>
    <w:rsid w:val="008B5E4A"/>
    <w:rsid w:val="008C0349"/>
    <w:rsid w:val="008C356C"/>
    <w:rsid w:val="008C427E"/>
    <w:rsid w:val="008C5A00"/>
    <w:rsid w:val="008C7ED3"/>
    <w:rsid w:val="008D27D2"/>
    <w:rsid w:val="008D6EF5"/>
    <w:rsid w:val="008E1B36"/>
    <w:rsid w:val="008E58A9"/>
    <w:rsid w:val="008E5CD1"/>
    <w:rsid w:val="008E692D"/>
    <w:rsid w:val="008E7C22"/>
    <w:rsid w:val="008F0744"/>
    <w:rsid w:val="008F39D7"/>
    <w:rsid w:val="008F3ED6"/>
    <w:rsid w:val="008F742E"/>
    <w:rsid w:val="009001E1"/>
    <w:rsid w:val="00901AF5"/>
    <w:rsid w:val="00903EA7"/>
    <w:rsid w:val="00905265"/>
    <w:rsid w:val="00905D4B"/>
    <w:rsid w:val="0090735F"/>
    <w:rsid w:val="009128AB"/>
    <w:rsid w:val="009144CC"/>
    <w:rsid w:val="00914BA9"/>
    <w:rsid w:val="00920CB7"/>
    <w:rsid w:val="00927C2B"/>
    <w:rsid w:val="00932FC9"/>
    <w:rsid w:val="0093544D"/>
    <w:rsid w:val="00936044"/>
    <w:rsid w:val="0094080C"/>
    <w:rsid w:val="00942B09"/>
    <w:rsid w:val="00944E16"/>
    <w:rsid w:val="0094638A"/>
    <w:rsid w:val="00946793"/>
    <w:rsid w:val="00960DCE"/>
    <w:rsid w:val="0097175C"/>
    <w:rsid w:val="00973DF2"/>
    <w:rsid w:val="009758E4"/>
    <w:rsid w:val="00977652"/>
    <w:rsid w:val="00981A2E"/>
    <w:rsid w:val="00981FD4"/>
    <w:rsid w:val="00982373"/>
    <w:rsid w:val="00983328"/>
    <w:rsid w:val="009860F2"/>
    <w:rsid w:val="0098710D"/>
    <w:rsid w:val="009876F4"/>
    <w:rsid w:val="009879D6"/>
    <w:rsid w:val="0099038A"/>
    <w:rsid w:val="009909B0"/>
    <w:rsid w:val="00990B8B"/>
    <w:rsid w:val="00991EC8"/>
    <w:rsid w:val="00993DDE"/>
    <w:rsid w:val="00997D22"/>
    <w:rsid w:val="009A05C5"/>
    <w:rsid w:val="009A1020"/>
    <w:rsid w:val="009A3F4F"/>
    <w:rsid w:val="009A467D"/>
    <w:rsid w:val="009A57B0"/>
    <w:rsid w:val="009A5DA0"/>
    <w:rsid w:val="009B3511"/>
    <w:rsid w:val="009B486F"/>
    <w:rsid w:val="009B4DB3"/>
    <w:rsid w:val="009B6AEB"/>
    <w:rsid w:val="009B7DCF"/>
    <w:rsid w:val="009C01BA"/>
    <w:rsid w:val="009C09FC"/>
    <w:rsid w:val="009D5875"/>
    <w:rsid w:val="009E416F"/>
    <w:rsid w:val="009E4543"/>
    <w:rsid w:val="009E4D98"/>
    <w:rsid w:val="009E58B8"/>
    <w:rsid w:val="009E660D"/>
    <w:rsid w:val="009E6F21"/>
    <w:rsid w:val="009E7364"/>
    <w:rsid w:val="009F023D"/>
    <w:rsid w:val="009F2755"/>
    <w:rsid w:val="009F3474"/>
    <w:rsid w:val="009F5B4F"/>
    <w:rsid w:val="009F7318"/>
    <w:rsid w:val="009F7627"/>
    <w:rsid w:val="00A02224"/>
    <w:rsid w:val="00A02C02"/>
    <w:rsid w:val="00A11633"/>
    <w:rsid w:val="00A14838"/>
    <w:rsid w:val="00A14AAF"/>
    <w:rsid w:val="00A177EB"/>
    <w:rsid w:val="00A203CD"/>
    <w:rsid w:val="00A258FC"/>
    <w:rsid w:val="00A27B68"/>
    <w:rsid w:val="00A340A8"/>
    <w:rsid w:val="00A3554A"/>
    <w:rsid w:val="00A40FE1"/>
    <w:rsid w:val="00A42F0A"/>
    <w:rsid w:val="00A638AD"/>
    <w:rsid w:val="00A75237"/>
    <w:rsid w:val="00A817E5"/>
    <w:rsid w:val="00A854B4"/>
    <w:rsid w:val="00A859AA"/>
    <w:rsid w:val="00A87E26"/>
    <w:rsid w:val="00A90A14"/>
    <w:rsid w:val="00A910B7"/>
    <w:rsid w:val="00A912FB"/>
    <w:rsid w:val="00A958E3"/>
    <w:rsid w:val="00A95E90"/>
    <w:rsid w:val="00AA3794"/>
    <w:rsid w:val="00AA60E4"/>
    <w:rsid w:val="00AA67DE"/>
    <w:rsid w:val="00AB1532"/>
    <w:rsid w:val="00AB245B"/>
    <w:rsid w:val="00AB5D29"/>
    <w:rsid w:val="00AB5E1A"/>
    <w:rsid w:val="00AC0400"/>
    <w:rsid w:val="00AC19F2"/>
    <w:rsid w:val="00AC2152"/>
    <w:rsid w:val="00AC229E"/>
    <w:rsid w:val="00AC22FD"/>
    <w:rsid w:val="00AC4590"/>
    <w:rsid w:val="00AD16A9"/>
    <w:rsid w:val="00AD6353"/>
    <w:rsid w:val="00AD6881"/>
    <w:rsid w:val="00AE075F"/>
    <w:rsid w:val="00AE2142"/>
    <w:rsid w:val="00AE31E7"/>
    <w:rsid w:val="00AE43AD"/>
    <w:rsid w:val="00AE60D6"/>
    <w:rsid w:val="00AE6C6F"/>
    <w:rsid w:val="00AF087E"/>
    <w:rsid w:val="00B00C0C"/>
    <w:rsid w:val="00B0249A"/>
    <w:rsid w:val="00B03435"/>
    <w:rsid w:val="00B07436"/>
    <w:rsid w:val="00B07D90"/>
    <w:rsid w:val="00B12E2B"/>
    <w:rsid w:val="00B12F84"/>
    <w:rsid w:val="00B20336"/>
    <w:rsid w:val="00B267EE"/>
    <w:rsid w:val="00B27605"/>
    <w:rsid w:val="00B27B23"/>
    <w:rsid w:val="00B301B5"/>
    <w:rsid w:val="00B3172A"/>
    <w:rsid w:val="00B330C5"/>
    <w:rsid w:val="00B357D0"/>
    <w:rsid w:val="00B37A03"/>
    <w:rsid w:val="00B41551"/>
    <w:rsid w:val="00B446C7"/>
    <w:rsid w:val="00B52DBE"/>
    <w:rsid w:val="00B53AFE"/>
    <w:rsid w:val="00B623B8"/>
    <w:rsid w:val="00B632D6"/>
    <w:rsid w:val="00B63430"/>
    <w:rsid w:val="00B66DD1"/>
    <w:rsid w:val="00B70648"/>
    <w:rsid w:val="00B71D31"/>
    <w:rsid w:val="00B72DB8"/>
    <w:rsid w:val="00B73839"/>
    <w:rsid w:val="00B73C64"/>
    <w:rsid w:val="00B74262"/>
    <w:rsid w:val="00B7624E"/>
    <w:rsid w:val="00B7631F"/>
    <w:rsid w:val="00B86476"/>
    <w:rsid w:val="00B8799C"/>
    <w:rsid w:val="00B9308E"/>
    <w:rsid w:val="00B95A38"/>
    <w:rsid w:val="00B96B2A"/>
    <w:rsid w:val="00BA07FA"/>
    <w:rsid w:val="00BA3448"/>
    <w:rsid w:val="00BA4D44"/>
    <w:rsid w:val="00BA5F18"/>
    <w:rsid w:val="00BA7649"/>
    <w:rsid w:val="00BB2110"/>
    <w:rsid w:val="00BC0CDD"/>
    <w:rsid w:val="00BC21B3"/>
    <w:rsid w:val="00BC3774"/>
    <w:rsid w:val="00BC473F"/>
    <w:rsid w:val="00BD0D8E"/>
    <w:rsid w:val="00BD14F4"/>
    <w:rsid w:val="00BD1987"/>
    <w:rsid w:val="00BD1BD2"/>
    <w:rsid w:val="00BD1C3E"/>
    <w:rsid w:val="00BD3B48"/>
    <w:rsid w:val="00BD5BC2"/>
    <w:rsid w:val="00BD7059"/>
    <w:rsid w:val="00BE57C3"/>
    <w:rsid w:val="00BE6BD8"/>
    <w:rsid w:val="00BF16BF"/>
    <w:rsid w:val="00BF1B60"/>
    <w:rsid w:val="00BF5199"/>
    <w:rsid w:val="00C00872"/>
    <w:rsid w:val="00C0189A"/>
    <w:rsid w:val="00C0426E"/>
    <w:rsid w:val="00C05366"/>
    <w:rsid w:val="00C107E3"/>
    <w:rsid w:val="00C10D0A"/>
    <w:rsid w:val="00C12694"/>
    <w:rsid w:val="00C14240"/>
    <w:rsid w:val="00C225A0"/>
    <w:rsid w:val="00C23A72"/>
    <w:rsid w:val="00C24655"/>
    <w:rsid w:val="00C25D55"/>
    <w:rsid w:val="00C26FEB"/>
    <w:rsid w:val="00C307FE"/>
    <w:rsid w:val="00C3299F"/>
    <w:rsid w:val="00C33195"/>
    <w:rsid w:val="00C33BCE"/>
    <w:rsid w:val="00C3436F"/>
    <w:rsid w:val="00C400DB"/>
    <w:rsid w:val="00C46529"/>
    <w:rsid w:val="00C47987"/>
    <w:rsid w:val="00C47BDE"/>
    <w:rsid w:val="00C51005"/>
    <w:rsid w:val="00C517E0"/>
    <w:rsid w:val="00C52CC9"/>
    <w:rsid w:val="00C546FC"/>
    <w:rsid w:val="00C55C14"/>
    <w:rsid w:val="00C6092B"/>
    <w:rsid w:val="00C618BA"/>
    <w:rsid w:val="00C6412D"/>
    <w:rsid w:val="00C70F9C"/>
    <w:rsid w:val="00C73074"/>
    <w:rsid w:val="00C74371"/>
    <w:rsid w:val="00C7510D"/>
    <w:rsid w:val="00C876FA"/>
    <w:rsid w:val="00C87993"/>
    <w:rsid w:val="00C87E05"/>
    <w:rsid w:val="00C96715"/>
    <w:rsid w:val="00CA0E68"/>
    <w:rsid w:val="00CA46D8"/>
    <w:rsid w:val="00CA50F2"/>
    <w:rsid w:val="00CA59F1"/>
    <w:rsid w:val="00CA5F14"/>
    <w:rsid w:val="00CA632B"/>
    <w:rsid w:val="00CA63E3"/>
    <w:rsid w:val="00CA7915"/>
    <w:rsid w:val="00CB1D48"/>
    <w:rsid w:val="00CB36F9"/>
    <w:rsid w:val="00CB7212"/>
    <w:rsid w:val="00CC1FAC"/>
    <w:rsid w:val="00CC2E67"/>
    <w:rsid w:val="00CC5965"/>
    <w:rsid w:val="00CC6F4E"/>
    <w:rsid w:val="00CD1907"/>
    <w:rsid w:val="00CD1E2C"/>
    <w:rsid w:val="00CD2506"/>
    <w:rsid w:val="00CD3C34"/>
    <w:rsid w:val="00CD473E"/>
    <w:rsid w:val="00CD529D"/>
    <w:rsid w:val="00CD78E9"/>
    <w:rsid w:val="00CE5A6B"/>
    <w:rsid w:val="00CE5DEB"/>
    <w:rsid w:val="00CF0376"/>
    <w:rsid w:val="00CF0FE6"/>
    <w:rsid w:val="00CF190E"/>
    <w:rsid w:val="00CF3F74"/>
    <w:rsid w:val="00CF474A"/>
    <w:rsid w:val="00CF5078"/>
    <w:rsid w:val="00CF61D9"/>
    <w:rsid w:val="00D01DB1"/>
    <w:rsid w:val="00D02C2F"/>
    <w:rsid w:val="00D06673"/>
    <w:rsid w:val="00D06F12"/>
    <w:rsid w:val="00D13373"/>
    <w:rsid w:val="00D14D95"/>
    <w:rsid w:val="00D16451"/>
    <w:rsid w:val="00D17ECA"/>
    <w:rsid w:val="00D32BD0"/>
    <w:rsid w:val="00D34E08"/>
    <w:rsid w:val="00D34E0B"/>
    <w:rsid w:val="00D40E98"/>
    <w:rsid w:val="00D50A16"/>
    <w:rsid w:val="00D515DA"/>
    <w:rsid w:val="00D55E26"/>
    <w:rsid w:val="00D62A8B"/>
    <w:rsid w:val="00D630EE"/>
    <w:rsid w:val="00D64301"/>
    <w:rsid w:val="00D662C8"/>
    <w:rsid w:val="00D67BFF"/>
    <w:rsid w:val="00D72D59"/>
    <w:rsid w:val="00D80A4E"/>
    <w:rsid w:val="00D81A75"/>
    <w:rsid w:val="00D81F83"/>
    <w:rsid w:val="00D823E7"/>
    <w:rsid w:val="00D82E1B"/>
    <w:rsid w:val="00D83C02"/>
    <w:rsid w:val="00D84195"/>
    <w:rsid w:val="00D86388"/>
    <w:rsid w:val="00D90C2C"/>
    <w:rsid w:val="00D9396D"/>
    <w:rsid w:val="00D954A3"/>
    <w:rsid w:val="00D96140"/>
    <w:rsid w:val="00D97240"/>
    <w:rsid w:val="00DA48E7"/>
    <w:rsid w:val="00DB0AC4"/>
    <w:rsid w:val="00DB319D"/>
    <w:rsid w:val="00DB35D4"/>
    <w:rsid w:val="00DB45ED"/>
    <w:rsid w:val="00DB4ED0"/>
    <w:rsid w:val="00DB72D2"/>
    <w:rsid w:val="00DC1D19"/>
    <w:rsid w:val="00DC745E"/>
    <w:rsid w:val="00DD3988"/>
    <w:rsid w:val="00DE2A1B"/>
    <w:rsid w:val="00DE2DD5"/>
    <w:rsid w:val="00DE6FDD"/>
    <w:rsid w:val="00DF0CEB"/>
    <w:rsid w:val="00DF1EF3"/>
    <w:rsid w:val="00DF2F9A"/>
    <w:rsid w:val="00DF428F"/>
    <w:rsid w:val="00E016D8"/>
    <w:rsid w:val="00E01A83"/>
    <w:rsid w:val="00E03ED2"/>
    <w:rsid w:val="00E04FBE"/>
    <w:rsid w:val="00E05956"/>
    <w:rsid w:val="00E05DEC"/>
    <w:rsid w:val="00E252AA"/>
    <w:rsid w:val="00E279A5"/>
    <w:rsid w:val="00E30926"/>
    <w:rsid w:val="00E33A7C"/>
    <w:rsid w:val="00E345FE"/>
    <w:rsid w:val="00E3484E"/>
    <w:rsid w:val="00E34C82"/>
    <w:rsid w:val="00E35E8F"/>
    <w:rsid w:val="00E36443"/>
    <w:rsid w:val="00E521DD"/>
    <w:rsid w:val="00E52A59"/>
    <w:rsid w:val="00E5341D"/>
    <w:rsid w:val="00E53BF4"/>
    <w:rsid w:val="00E53E30"/>
    <w:rsid w:val="00E54D18"/>
    <w:rsid w:val="00E61D9A"/>
    <w:rsid w:val="00E63059"/>
    <w:rsid w:val="00E67C66"/>
    <w:rsid w:val="00E71BC1"/>
    <w:rsid w:val="00E74B9F"/>
    <w:rsid w:val="00E834FD"/>
    <w:rsid w:val="00E850E6"/>
    <w:rsid w:val="00E85293"/>
    <w:rsid w:val="00E9017D"/>
    <w:rsid w:val="00E90205"/>
    <w:rsid w:val="00E94F01"/>
    <w:rsid w:val="00E95EC5"/>
    <w:rsid w:val="00E9700D"/>
    <w:rsid w:val="00EA0853"/>
    <w:rsid w:val="00EA2395"/>
    <w:rsid w:val="00EA27F5"/>
    <w:rsid w:val="00EA356A"/>
    <w:rsid w:val="00EA5477"/>
    <w:rsid w:val="00EA6C7C"/>
    <w:rsid w:val="00EB01D2"/>
    <w:rsid w:val="00EB25B1"/>
    <w:rsid w:val="00EB71E9"/>
    <w:rsid w:val="00ED2B1B"/>
    <w:rsid w:val="00ED50E0"/>
    <w:rsid w:val="00ED6B02"/>
    <w:rsid w:val="00EE0223"/>
    <w:rsid w:val="00EE519D"/>
    <w:rsid w:val="00EE5B6A"/>
    <w:rsid w:val="00EF0AFC"/>
    <w:rsid w:val="00EF2B5A"/>
    <w:rsid w:val="00EF33CA"/>
    <w:rsid w:val="00EF66BE"/>
    <w:rsid w:val="00F061D1"/>
    <w:rsid w:val="00F079BE"/>
    <w:rsid w:val="00F108CB"/>
    <w:rsid w:val="00F115ED"/>
    <w:rsid w:val="00F20023"/>
    <w:rsid w:val="00F213B7"/>
    <w:rsid w:val="00F213BF"/>
    <w:rsid w:val="00F21A25"/>
    <w:rsid w:val="00F24DF7"/>
    <w:rsid w:val="00F255B0"/>
    <w:rsid w:val="00F264BF"/>
    <w:rsid w:val="00F3003A"/>
    <w:rsid w:val="00F3072D"/>
    <w:rsid w:val="00F30C38"/>
    <w:rsid w:val="00F3101A"/>
    <w:rsid w:val="00F326E6"/>
    <w:rsid w:val="00F3343B"/>
    <w:rsid w:val="00F35352"/>
    <w:rsid w:val="00F41F28"/>
    <w:rsid w:val="00F446D7"/>
    <w:rsid w:val="00F44A1D"/>
    <w:rsid w:val="00F46E0F"/>
    <w:rsid w:val="00F5019E"/>
    <w:rsid w:val="00F56207"/>
    <w:rsid w:val="00F5670C"/>
    <w:rsid w:val="00F61001"/>
    <w:rsid w:val="00F617B4"/>
    <w:rsid w:val="00F62568"/>
    <w:rsid w:val="00F62725"/>
    <w:rsid w:val="00F64494"/>
    <w:rsid w:val="00F664C4"/>
    <w:rsid w:val="00F67C24"/>
    <w:rsid w:val="00F73F1F"/>
    <w:rsid w:val="00F7498A"/>
    <w:rsid w:val="00F83257"/>
    <w:rsid w:val="00F85257"/>
    <w:rsid w:val="00F90965"/>
    <w:rsid w:val="00F90DBD"/>
    <w:rsid w:val="00F94B70"/>
    <w:rsid w:val="00F9594A"/>
    <w:rsid w:val="00F96BB3"/>
    <w:rsid w:val="00F96F13"/>
    <w:rsid w:val="00F97C8F"/>
    <w:rsid w:val="00FA08D6"/>
    <w:rsid w:val="00FA761D"/>
    <w:rsid w:val="00FA7818"/>
    <w:rsid w:val="00FB61C6"/>
    <w:rsid w:val="00FC6BFF"/>
    <w:rsid w:val="00FD2D34"/>
    <w:rsid w:val="00FD3699"/>
    <w:rsid w:val="00FD3829"/>
    <w:rsid w:val="00FD7CF6"/>
    <w:rsid w:val="00FE187B"/>
    <w:rsid w:val="00FF6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B0CF3"/>
  <w15:chartTrackingRefBased/>
  <w15:docId w15:val="{330B09E6-1E0B-4521-8EB3-EC65724BB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424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0FC"/>
  </w:style>
  <w:style w:type="paragraph" w:styleId="Footer">
    <w:name w:val="footer"/>
    <w:basedOn w:val="Normal"/>
    <w:link w:val="FooterChar"/>
    <w:uiPriority w:val="99"/>
    <w:unhideWhenUsed/>
    <w:rsid w:val="00404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0FC"/>
  </w:style>
  <w:style w:type="paragraph" w:styleId="ListParagraph">
    <w:name w:val="List Paragraph"/>
    <w:basedOn w:val="Normal"/>
    <w:uiPriority w:val="34"/>
    <w:qFormat/>
    <w:rsid w:val="009128AB"/>
    <w:pPr>
      <w:ind w:left="720"/>
      <w:contextualSpacing/>
    </w:pPr>
  </w:style>
  <w:style w:type="paragraph" w:styleId="FootnoteText">
    <w:name w:val="footnote text"/>
    <w:basedOn w:val="Normal"/>
    <w:link w:val="FootnoteTextChar"/>
    <w:uiPriority w:val="99"/>
    <w:semiHidden/>
    <w:unhideWhenUsed/>
    <w:rsid w:val="00851C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1CD2"/>
    <w:rPr>
      <w:sz w:val="20"/>
      <w:szCs w:val="20"/>
    </w:rPr>
  </w:style>
  <w:style w:type="character" w:styleId="FootnoteReference">
    <w:name w:val="footnote reference"/>
    <w:basedOn w:val="DefaultParagraphFont"/>
    <w:uiPriority w:val="99"/>
    <w:semiHidden/>
    <w:unhideWhenUsed/>
    <w:rsid w:val="00851CD2"/>
    <w:rPr>
      <w:vertAlign w:val="superscript"/>
    </w:rPr>
  </w:style>
  <w:style w:type="character" w:styleId="Hyperlink">
    <w:name w:val="Hyperlink"/>
    <w:basedOn w:val="DefaultParagraphFont"/>
    <w:uiPriority w:val="99"/>
    <w:unhideWhenUsed/>
    <w:rsid w:val="00672561"/>
    <w:rPr>
      <w:color w:val="0563C1" w:themeColor="hyperlink"/>
      <w:u w:val="single"/>
    </w:rPr>
  </w:style>
  <w:style w:type="character" w:styleId="UnresolvedMention">
    <w:name w:val="Unresolved Mention"/>
    <w:basedOn w:val="DefaultParagraphFont"/>
    <w:uiPriority w:val="99"/>
    <w:semiHidden/>
    <w:unhideWhenUsed/>
    <w:rsid w:val="00672561"/>
    <w:rPr>
      <w:color w:val="605E5C"/>
      <w:shd w:val="clear" w:color="auto" w:fill="E1DFDD"/>
    </w:rPr>
  </w:style>
  <w:style w:type="paragraph" w:customStyle="1" w:styleId="Routledge-Second">
    <w:name w:val="Routledge-Second"/>
    <w:basedOn w:val="Normal"/>
    <w:qFormat/>
    <w:rsid w:val="00C3436F"/>
    <w:pPr>
      <w:spacing w:before="120" w:after="120" w:line="480" w:lineRule="auto"/>
      <w:ind w:firstLine="720"/>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21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rati.1223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6898F-E328-4DC2-BF88-C3DD34232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7303</Words>
  <Characters>41629</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Barnett</dc:creator>
  <cp:keywords/>
  <dc:description/>
  <cp:lastModifiedBy>Owner</cp:lastModifiedBy>
  <cp:revision>2</cp:revision>
  <dcterms:created xsi:type="dcterms:W3CDTF">2019-10-05T15:20:00Z</dcterms:created>
  <dcterms:modified xsi:type="dcterms:W3CDTF">2019-10-05T15:20:00Z</dcterms:modified>
</cp:coreProperties>
</file>