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EFB4" w14:textId="77777777" w:rsidR="00CD2178" w:rsidRPr="009B1F4E" w:rsidRDefault="00CD2178" w:rsidP="00CD2178">
      <w:pPr>
        <w:spacing w:line="360" w:lineRule="auto"/>
        <w:jc w:val="center"/>
        <w:rPr>
          <w:rFonts w:ascii="Garamond" w:hAnsi="Garamond" w:cs="Calibri"/>
          <w:b/>
          <w:bCs/>
          <w:color w:val="000000" w:themeColor="text1"/>
          <w:lang w:val="en-US"/>
        </w:rPr>
      </w:pPr>
      <w:r w:rsidRPr="009B1F4E">
        <w:rPr>
          <w:rFonts w:ascii="Garamond" w:hAnsi="Garamond" w:cs="Calibri"/>
          <w:b/>
          <w:bCs/>
          <w:color w:val="000000" w:themeColor="text1"/>
          <w:lang w:val="en-US"/>
        </w:rPr>
        <w:t>Coordination in Social Learning: Expanding the Narrative on the Evolution of Social Norms</w:t>
      </w:r>
    </w:p>
    <w:p w14:paraId="1EB28C4F" w14:textId="77777777" w:rsidR="00CD2178" w:rsidRPr="009B1F4E" w:rsidRDefault="00CD2178" w:rsidP="00CD2178">
      <w:pPr>
        <w:spacing w:line="360" w:lineRule="auto"/>
        <w:jc w:val="center"/>
        <w:rPr>
          <w:rFonts w:ascii="Garamond" w:hAnsi="Garamond" w:cs="Calibri"/>
          <w:b/>
          <w:bCs/>
          <w:color w:val="000000" w:themeColor="text1"/>
          <w:lang w:val="en-US"/>
        </w:rPr>
      </w:pPr>
    </w:p>
    <w:p w14:paraId="6B074060" w14:textId="762FC28F" w:rsidR="000B5A82" w:rsidRPr="00447855" w:rsidRDefault="000B5A82" w:rsidP="000B5A82">
      <w:pPr>
        <w:spacing w:line="360" w:lineRule="auto"/>
        <w:jc w:val="both"/>
        <w:rPr>
          <w:rFonts w:ascii="Garamond" w:hAnsi="Garamond"/>
          <w:color w:val="000000" w:themeColor="text1"/>
        </w:rPr>
      </w:pPr>
      <w:r w:rsidRPr="00666B1F">
        <w:rPr>
          <w:rFonts w:ascii="Garamond" w:hAnsi="Garamond"/>
          <w:i/>
          <w:iCs/>
          <w:color w:val="000000" w:themeColor="text1"/>
        </w:rPr>
        <w:t xml:space="preserve">This is a preprint of a paper that’s been accepted at </w:t>
      </w:r>
      <w:r>
        <w:rPr>
          <w:rFonts w:ascii="Garamond" w:hAnsi="Garamond"/>
          <w:i/>
          <w:iCs/>
          <w:color w:val="000000" w:themeColor="text1"/>
        </w:rPr>
        <w:t>the European Journal for Philosophy of Science</w:t>
      </w:r>
      <w:r w:rsidRPr="00666B1F">
        <w:rPr>
          <w:rFonts w:ascii="Garamond" w:hAnsi="Garamond"/>
          <w:i/>
          <w:iCs/>
          <w:color w:val="000000" w:themeColor="text1"/>
        </w:rPr>
        <w:t>. Please cite the official version once it’s available.</w:t>
      </w:r>
      <w:r>
        <w:rPr>
          <w:rFonts w:ascii="Garamond" w:hAnsi="Garamond"/>
          <w:color w:val="000000" w:themeColor="text1"/>
        </w:rPr>
        <w:t xml:space="preserve"> Feel free to contact me with any questions at </w:t>
      </w:r>
      <w:hyperlink r:id="rId7" w:history="1">
        <w:r w:rsidRPr="00304415">
          <w:rPr>
            <w:rStyle w:val="Hyperlink"/>
            <w:rFonts w:ascii="Garamond" w:hAnsi="Garamond"/>
          </w:rPr>
          <w:t>basil.mueller@unibe.ch</w:t>
        </w:r>
      </w:hyperlink>
      <w:r>
        <w:rPr>
          <w:rFonts w:ascii="Garamond" w:hAnsi="Garamond"/>
          <w:color w:val="000000" w:themeColor="text1"/>
        </w:rPr>
        <w:t xml:space="preserve">. </w:t>
      </w:r>
    </w:p>
    <w:p w14:paraId="17B6C000" w14:textId="77777777" w:rsidR="00CD2178" w:rsidRPr="000B5A82" w:rsidRDefault="00CD2178" w:rsidP="00CD2178">
      <w:pPr>
        <w:spacing w:line="360" w:lineRule="auto"/>
        <w:jc w:val="both"/>
        <w:rPr>
          <w:rFonts w:ascii="Garamond" w:hAnsi="Garamond" w:cstheme="minorHAnsi"/>
          <w:color w:val="000000" w:themeColor="text1"/>
        </w:rPr>
      </w:pPr>
    </w:p>
    <w:p w14:paraId="58F07E90" w14:textId="77777777" w:rsidR="00CD2178" w:rsidRPr="009B1F4E" w:rsidRDefault="00CD2178" w:rsidP="00CD2178">
      <w:pPr>
        <w:spacing w:line="360" w:lineRule="auto"/>
        <w:ind w:left="567" w:right="708"/>
        <w:jc w:val="center"/>
        <w:rPr>
          <w:rFonts w:ascii="Garamond" w:hAnsi="Garamond"/>
          <w:b/>
          <w:bCs/>
          <w:color w:val="000000" w:themeColor="text1"/>
          <w:lang w:val="en-US"/>
        </w:rPr>
      </w:pPr>
      <w:r w:rsidRPr="009B1F4E">
        <w:rPr>
          <w:rFonts w:ascii="Garamond" w:hAnsi="Garamond"/>
          <w:b/>
          <w:bCs/>
          <w:color w:val="000000" w:themeColor="text1"/>
          <w:lang w:val="en-US"/>
        </w:rPr>
        <w:t>Abstract</w:t>
      </w:r>
    </w:p>
    <w:p w14:paraId="1D344DDB" w14:textId="77777777" w:rsidR="00CD2178" w:rsidRPr="009B1F4E" w:rsidRDefault="00CD2178" w:rsidP="00CD2178">
      <w:pPr>
        <w:spacing w:line="360" w:lineRule="auto"/>
        <w:jc w:val="both"/>
        <w:rPr>
          <w:rFonts w:ascii="Garamond" w:hAnsi="Garamond" w:cs="Calibri"/>
          <w:color w:val="000000" w:themeColor="text1"/>
          <w:lang w:val="en-US"/>
        </w:rPr>
      </w:pPr>
      <w:r w:rsidRPr="009B1F4E">
        <w:rPr>
          <w:rFonts w:ascii="Garamond" w:hAnsi="Garamond" w:cs="Calibri"/>
          <w:color w:val="000000" w:themeColor="text1"/>
          <w:lang w:val="en-US"/>
        </w:rPr>
        <w:t xml:space="preserve">A shared narrative in the literature on the evolution of cooperation maintains that social </w:t>
      </w:r>
      <w:r w:rsidRPr="009B1F4E">
        <w:rPr>
          <w:rFonts w:ascii="Garamond" w:hAnsi="Garamond" w:cs="Calibri"/>
          <w:i/>
          <w:iCs/>
          <w:color w:val="000000" w:themeColor="text1"/>
          <w:lang w:val="en-US"/>
        </w:rPr>
        <w:t>learning</w:t>
      </w:r>
      <w:r w:rsidRPr="009B1F4E">
        <w:rPr>
          <w:rFonts w:ascii="Garamond" w:hAnsi="Garamond" w:cs="Calibri"/>
          <w:color w:val="000000" w:themeColor="text1"/>
          <w:lang w:val="en-US"/>
        </w:rPr>
        <w:t xml:space="preserve"> evolves early to allow for the transmission of cumulative culture. Social </w:t>
      </w:r>
      <w:r w:rsidRPr="009B1F4E">
        <w:rPr>
          <w:rFonts w:ascii="Garamond" w:hAnsi="Garamond" w:cs="Calibri"/>
          <w:i/>
          <w:iCs/>
          <w:color w:val="000000" w:themeColor="text1"/>
          <w:lang w:val="en-US"/>
        </w:rPr>
        <w:t>norms</w:t>
      </w:r>
      <w:r w:rsidRPr="009B1F4E">
        <w:rPr>
          <w:rFonts w:ascii="Garamond" w:hAnsi="Garamond" w:cs="Calibri"/>
          <w:color w:val="000000" w:themeColor="text1"/>
          <w:lang w:val="en-US"/>
        </w:rPr>
        <w:t xml:space="preserve">, whilst present at the outset, only rise to prominence </w:t>
      </w:r>
      <w:proofErr w:type="gramStart"/>
      <w:r w:rsidRPr="009B1F4E">
        <w:rPr>
          <w:rFonts w:ascii="Garamond" w:hAnsi="Garamond" w:cs="Calibri"/>
          <w:color w:val="000000" w:themeColor="text1"/>
          <w:lang w:val="en-US"/>
        </w:rPr>
        <w:t>later on</w:t>
      </w:r>
      <w:proofErr w:type="gramEnd"/>
      <w:r w:rsidRPr="009B1F4E">
        <w:rPr>
          <w:rFonts w:ascii="Garamond" w:hAnsi="Garamond" w:cs="Calibri"/>
          <w:color w:val="000000" w:themeColor="text1"/>
          <w:lang w:val="en-US"/>
        </w:rPr>
        <w:t xml:space="preserve">, mainly to </w:t>
      </w:r>
      <w:proofErr w:type="spellStart"/>
      <w:r w:rsidRPr="009B1F4E">
        <w:rPr>
          <w:rFonts w:ascii="Garamond" w:hAnsi="Garamond" w:cs="Calibri"/>
          <w:color w:val="000000" w:themeColor="text1"/>
          <w:lang w:val="en-US"/>
        </w:rPr>
        <w:t>stabilise</w:t>
      </w:r>
      <w:proofErr w:type="spellEnd"/>
      <w:r w:rsidRPr="009B1F4E">
        <w:rPr>
          <w:rFonts w:ascii="Garamond" w:hAnsi="Garamond" w:cs="Calibri"/>
          <w:color w:val="000000" w:themeColor="text1"/>
          <w:lang w:val="en-US"/>
        </w:rPr>
        <w:t xml:space="preserve"> cooperation against the threat of defection. </w:t>
      </w:r>
    </w:p>
    <w:p w14:paraId="7A9B817A" w14:textId="5EFAA84B" w:rsidR="00CD2178" w:rsidRPr="009B1F4E" w:rsidRDefault="00CD2178" w:rsidP="00CD2178">
      <w:pPr>
        <w:spacing w:line="360" w:lineRule="auto"/>
        <w:jc w:val="both"/>
        <w:rPr>
          <w:rStyle w:val="notion-enable-hover"/>
          <w:rFonts w:ascii="Garamond" w:hAnsi="Garamond" w:cs="Calibri"/>
          <w:color w:val="000000" w:themeColor="text1"/>
          <w:lang w:val="en-US"/>
        </w:rPr>
      </w:pPr>
      <w:r w:rsidRPr="009B1F4E">
        <w:rPr>
          <w:rFonts w:ascii="Garamond" w:hAnsi="Garamond" w:cs="Calibri"/>
          <w:color w:val="000000" w:themeColor="text1"/>
          <w:lang w:val="en-US"/>
        </w:rPr>
        <w:t xml:space="preserve">In contrast, I argue that once we consider insights from social epistemology, an expansion of this narrative presents itself: An interesting kind of social norm — an epistemic coordination norm — was operative in early and important instances of </w:t>
      </w:r>
      <w:proofErr w:type="spellStart"/>
      <w:r w:rsidRPr="009B1F4E">
        <w:rPr>
          <w:rFonts w:ascii="Garamond" w:hAnsi="Garamond" w:cs="Calibri"/>
          <w:color w:val="000000" w:themeColor="text1"/>
          <w:lang w:val="en-US"/>
        </w:rPr>
        <w:t>specialised</w:t>
      </w:r>
      <w:proofErr w:type="spellEnd"/>
      <w:r w:rsidRPr="009B1F4E">
        <w:rPr>
          <w:rFonts w:ascii="Garamond" w:hAnsi="Garamond" w:cs="Calibri"/>
          <w:color w:val="000000" w:themeColor="text1"/>
          <w:lang w:val="en-US"/>
        </w:rPr>
        <w:t xml:space="preserve"> social learning. </w:t>
      </w:r>
      <w:r w:rsidR="00FE4710" w:rsidRPr="009B1F4E">
        <w:rPr>
          <w:rFonts w:ascii="Garamond" w:hAnsi="Garamond" w:cs="Calibri"/>
          <w:color w:val="000000" w:themeColor="text1"/>
        </w:rPr>
        <w:t xml:space="preserve">I show how there’s a need for such norms in two key social learning strategies and explain how this need is constituted. In assessor-teaching </w:t>
      </w:r>
      <w:r w:rsidR="00FE4710" w:rsidRPr="009B1F4E">
        <w:rPr>
          <w:rFonts w:ascii="Garamond" w:hAnsi="Garamond" w:cs="Calibri"/>
          <w:color w:val="000000" w:themeColor="text1"/>
        </w:rPr>
        <w:fldChar w:fldCharType="begin"/>
      </w:r>
      <w:r w:rsidR="00FE4710" w:rsidRPr="009B1F4E">
        <w:rPr>
          <w:rFonts w:ascii="Garamond" w:hAnsi="Garamond" w:cs="Calibri"/>
          <w:color w:val="000000" w:themeColor="text1"/>
        </w:rPr>
        <w:instrText xml:space="preserve"> ADDIN ZOTERO_ITEM CSL_CITATION {"citationID":"8sOUH6VV","properties":{"formattedCitation":"(e.g. Castro et al. 2019; 2021)","plainCitation":"(e.g. Castro et al. 2019; 2021)","noteIndex":0},"citationItems":[{"id":980,"uris":["http://zotero.org/users/local/jz7T3Opo/items/8WST3JQQ"],"itemData":{"id":980,"type":"article-journal","abstract":"According to the dual inheritance theory, cultural learning in our species is a biased and highly efficient process of transmitting cultural traits. Here we define a model of cultural learning where social learning is integrated as a complementary element that facilitates the discovery of a specific behavior by an apprentice, and not as a mechanism that works in opposition to individual learning. In that context, we propose that the emergence of the ability to approve or disapprove of offspring behavior, orienting their learning (a process we call assessor teaching), transformed primate social learning into a cultural transmission system, like that which characterizes our species. Assessor teaching facilitates the replication and/or reconstruction of behaviors that are difficult to imitate and helps to determine which behaviors should be imitated. We also explore the form in which assessor teaching has conditioned the evolution of our abilities to develop cultures in the hominin line, converting us into individuals equipped with what we call a suadens psychology. Our main point is to defend the hypothesis that suadens psychology determines the stability and dynamics that affect the trajectories of many cultural characters. We compare our proposal with other theories about cultural evolution, specifically with dual inheritance theory and cultural attraction theory.","container-title":"Biological Theory","DOI":"10.1007/s13752-018-00314-2","ISSN":"1555-5550","issue":"2","journalAbbreviation":"Biol Theory","language":"en","page":"112-121","source":"Springer Link","title":"The Role of Assessor Teaching in Human Culture","volume":"14","author":[{"family":"Castro","given":"Laureano"},{"family":"Castro-Nogueira","given":"Miguel Ángel"},{"family":"Villarroel","given":"Morris"},{"family":"Toro","given":"Miguel Ángel"}],"issued":{"date-parts":[["2019",6,1]]}},"label":"page","prefix":"e.g."},{"id":978,"uris":["http://zotero.org/users/local/jz7T3Opo/items/39JPDLIV"],"itemData":{"id":978,"type":"article-journal","container-title":"Biological Theory","issue":"1","note":"publisher: Springer","page":"5–15","source":"Google Scholar","title":"Assessor Teaching and the Evolution of Human Morality","volume":"16","author":[{"family":"Castro","given":"Laureano"},{"family":"Castro-Nogueira","given":"Miguel Ángel"},{"family":"Villarroel","given":"Morris"},{"family":"Toro","given":"Miguel Ángel"}],"issued":{"date-parts":[["2021"]]}}}],"schema":"https://github.com/citation-style-language/schema/raw/master/csl-citation.json"} </w:instrText>
      </w:r>
      <w:r w:rsidR="00FE4710" w:rsidRPr="009B1F4E">
        <w:rPr>
          <w:rFonts w:ascii="Garamond" w:hAnsi="Garamond" w:cs="Calibri"/>
          <w:color w:val="000000" w:themeColor="text1"/>
        </w:rPr>
        <w:fldChar w:fldCharType="separate"/>
      </w:r>
      <w:r w:rsidR="00FE4710" w:rsidRPr="009B1F4E">
        <w:rPr>
          <w:rFonts w:ascii="Garamond" w:hAnsi="Garamond" w:cs="Calibri"/>
          <w:noProof/>
          <w:color w:val="000000" w:themeColor="text1"/>
        </w:rPr>
        <w:t>(e.g. Castro et al. 2019; 2021)</w:t>
      </w:r>
      <w:r w:rsidR="00FE4710" w:rsidRPr="009B1F4E">
        <w:rPr>
          <w:rFonts w:ascii="Garamond" w:hAnsi="Garamond" w:cs="Calibri"/>
          <w:color w:val="000000" w:themeColor="text1"/>
        </w:rPr>
        <w:fldChar w:fldCharType="end"/>
      </w:r>
      <w:r w:rsidR="00FE4710" w:rsidRPr="009B1F4E">
        <w:rPr>
          <w:rFonts w:ascii="Garamond" w:hAnsi="Garamond" w:cs="Calibri"/>
          <w:color w:val="000000" w:themeColor="text1"/>
        </w:rPr>
        <w:t xml:space="preserve">, epistemic coordination norms allow agents to coordinate around the </w:t>
      </w:r>
      <w:r w:rsidR="00FE4710" w:rsidRPr="009B1F4E">
        <w:rPr>
          <w:rFonts w:ascii="Garamond" w:hAnsi="Garamond" w:cs="Calibri"/>
          <w:i/>
          <w:iCs/>
          <w:color w:val="000000" w:themeColor="text1"/>
        </w:rPr>
        <w:t>content</w:t>
      </w:r>
      <w:r w:rsidR="00FE4710" w:rsidRPr="009B1F4E">
        <w:rPr>
          <w:rFonts w:ascii="Garamond" w:hAnsi="Garamond" w:cs="Calibri"/>
          <w:color w:val="000000" w:themeColor="text1"/>
        </w:rPr>
        <w:t xml:space="preserve"> of social learning, i.e., what is to be known and how this is to be done. These norms also allow agents to coordinate around the form of cultural learning in what’s sometimes called strategic social learning </w:t>
      </w:r>
      <w:r w:rsidR="00FE4710" w:rsidRPr="009B1F4E">
        <w:rPr>
          <w:rFonts w:ascii="Garamond" w:hAnsi="Garamond" w:cs="Calibri"/>
          <w:color w:val="000000" w:themeColor="text1"/>
        </w:rPr>
        <w:fldChar w:fldCharType="begin"/>
      </w:r>
      <w:r w:rsidR="004C1DC7" w:rsidRPr="009B1F4E">
        <w:rPr>
          <w:rFonts w:ascii="Garamond" w:hAnsi="Garamond" w:cs="Calibri"/>
          <w:color w:val="000000" w:themeColor="text1"/>
        </w:rPr>
        <w:instrText xml:space="preserve"> ADDIN ZOTERO_ITEM CSL_CITATION {"citationID":"qrsw5pXu","properties":{"formattedCitation":"(Laland 2004; Hoppitt and Laland 2013; Heyes 2018, chap. 5)","plainCitation":"(Laland 2004; Hoppitt and Laland 2013; Heyes 2018, chap. 5)","noteIndex":0},"citationItems":[{"id":815,"uris":["http://zotero.org/users/local/jz7T3Opo/items/VWS3ANL5"],"itemData":{"id":815,"type":"article-journal","abstract":"In most studies of social learning in animals, no attempt has been made to examine the nature of the strategy adopted by animals when they copy others. Researchers have expended considerable effort in exploring the psychological processes that underlie social learning and amassed extensive data banks recording purported social learning in the field, but the contexts under which animals copy others remain unexplored. Yet, theoretical models used to investigate the adaptive advantages of social learning lead to the conclusion that social learning cannot be indiscriminate and that individuals should adopt strategies that dictate the circumstances under which they copy others and from whom they learn. In this article, I discuss a number of possible strategies that are predicted by theoretical analyses, includingcopy when uncertain,copy the majority, andcopy if better, and consider the empirical evidence in support of each, drawing from both the animal and human social learning literature. Reliance on social learning strategies may be organized hierarchically, their being employed by animals when unlearned and asocially learned strategies prove ineffective but before animals take recourse in innovation.","container-title":"Animal Learning &amp; Behavior","DOI":"10.3758/BF03196002","ISSN":"1532-5830","issue":"1","journalAbbreviation":"Animal Learning &amp; Behavior","language":"en","page":"4-14","source":"Springer Link","title":"Social learning strategies","volume":"32","author":[{"family":"Laland","given":"Kevin N."}],"issued":{"date-parts":[["2004",2,1]]}}},{"id":989,"uris":["http://zotero.org/users/local/jz7T3Opo/items/2PEGIQIE"],"itemData":{"id":989,"type":"book","abstract":"Many animals, including humans, acquire valuable skills and knowledge by copying others. Scientists refer to this as social learning. It is one of the most exciting and rapidly developing areas of behavioral research and sits at the interface of many academic disciplines, including biology, experimental psychology, economics, and cognitive neuroscience. Social Learning provides a comprehensive, practical guide to the research methods of this important emerging field. William Hoppitt and Kevin Laland define the mechanisms thought to underlie social learning and demonstrate how to distinguish them experimentally in the laboratory. They present techniques for detecting and quantifying social learning in nature, including statistical modeling of the spatial distribution of behavior traits. They also describe the latest theory and empirical findings on social learning strategies, and introduce readers to mathematical methods and models used in the study of cultural evolution. This book is an indispensable tool for researchers and an essential primer for students. Provides a comprehensive, practical guide to social learning research Combines theoretical and empirical approaches Describes techniques for the laboratory and the field Covers social learning mechanisms and strategies, statistical modeling techniques for field data, mathematical modeling of cultural evolution, and more","ISBN":"978-1-4008-4650-4","language":"en","note":"DOI: 10.1515/9781400846504\ncontainer-title: Social Learning","publisher":"Princeton University Press","source":"www.degruyter.com","title":"Social Learning: An Introduction to Mechanisms, Methods, and Models","title-short":"Social Learning","URL":"https://www.degruyter.com/document/doi/10.1515/9781400846504/html?lang=de","author":[{"family":"Hoppitt","given":"William"},{"family":"Laland","given":"Kevin N."}],"accessed":{"date-parts":[["2022",4,25]]},"issued":{"date-parts":[["2013",7,21]]}}},{"id":809,"uris":["http://zotero.org/users/local/jz7T3Opo/items/LD8WZRV6"],"itemData":{"id":809,"type":"book","abstract":"How did human minds become so different from those of other animals? What accounts for our capacity to understand the way the physical world works, to think ourselves into the minds of others, to gossip, read, tell stories about the past, and imagine the future? These questions are not new: they have been debated by philosophers, psychologists, anthropologists, evolutionists, and neurobiologists over the course of centuries. One explanation widely accepted today is that humans have special cognitive instincts. Unlike other living animal species, we are born with complicated mechanisms for reasoning about causation, reading the minds of others, copying behaviors, and using language. Cecilia Heyes agrees that adult humans have impressive pieces of cognitive equipment. In her framing, however, these cognitive gadgets are not instincts programmed in the genes but are constructed in the course of childhood through social interaction. Cognitive gadgets are products of cultural evolution, rather than genetic evolution. At birth, the minds of human babies are only subtly different from the minds of newborn chimpanzees. We are friendlier, our attention is drawn to different things, and we have a capacity to learn and remember that outstrips the abilities of newborn chimpanzees. Yet when these subtle differences are exposed to culture-soaked human environments, they have enormous effects. They enable us to upload distinctively human ways of thinking from the social world around us. As Cognitive Gadgets makes clear, from birth our malleable human minds can learn through culture not only what to think but how to think it.","publisher":"Harvard University Press","source":"www.degruyter.com","title":"Cognitive Gadgets","author":[{"family":"Heyes","given":"Cecilia"}],"issued":{"date-parts":[["2018"]]}},"locator":"5","label":"chapter"}],"schema":"https://github.com/citation-style-language/schema/raw/master/csl-citation.json"} </w:instrText>
      </w:r>
      <w:r w:rsidR="00FE4710" w:rsidRPr="009B1F4E">
        <w:rPr>
          <w:rFonts w:ascii="Garamond" w:hAnsi="Garamond" w:cs="Calibri"/>
          <w:color w:val="000000" w:themeColor="text1"/>
        </w:rPr>
        <w:fldChar w:fldCharType="separate"/>
      </w:r>
      <w:r w:rsidR="00FE4710" w:rsidRPr="009B1F4E">
        <w:rPr>
          <w:rFonts w:ascii="Garamond" w:hAnsi="Garamond" w:cs="Calibri"/>
          <w:noProof/>
          <w:color w:val="000000" w:themeColor="text1"/>
        </w:rPr>
        <w:t>(Laland 2004; Hoppitt and Laland 2013; Heyes 2018, chap. 5)</w:t>
      </w:r>
      <w:r w:rsidR="00FE4710" w:rsidRPr="009B1F4E">
        <w:rPr>
          <w:rFonts w:ascii="Garamond" w:hAnsi="Garamond" w:cs="Calibri"/>
          <w:color w:val="000000" w:themeColor="text1"/>
        </w:rPr>
        <w:fldChar w:fldCharType="end"/>
      </w:r>
      <w:r w:rsidR="00FE4710" w:rsidRPr="009B1F4E">
        <w:rPr>
          <w:rFonts w:ascii="Garamond" w:hAnsi="Garamond" w:cs="Calibri"/>
          <w:color w:val="000000" w:themeColor="text1"/>
        </w:rPr>
        <w:t xml:space="preserve"> and elsewhere. Broadly speaking, this concerns how cultural learning is organised within the social group</w:t>
      </w:r>
      <w:r w:rsidR="008845DE">
        <w:rPr>
          <w:rFonts w:ascii="Garamond" w:hAnsi="Garamond" w:cs="Calibri"/>
          <w:color w:val="000000" w:themeColor="text1"/>
        </w:rPr>
        <w:t>.</w:t>
      </w:r>
      <w:r w:rsidR="00FE4710" w:rsidRPr="009B1F4E">
        <w:rPr>
          <w:rStyle w:val="notion-enable-hover"/>
          <w:rFonts w:ascii="Garamond" w:hAnsi="Garamond" w:cs="Calibri"/>
          <w:color w:val="000000" w:themeColor="text1"/>
          <w:lang w:val="en-US"/>
        </w:rPr>
        <w:t xml:space="preserve"> </w:t>
      </w:r>
      <w:r w:rsidRPr="009B1F4E">
        <w:rPr>
          <w:rStyle w:val="notion-enable-hover"/>
          <w:rFonts w:ascii="Garamond" w:hAnsi="Garamond" w:cs="Calibri"/>
          <w:color w:val="000000" w:themeColor="text1"/>
          <w:lang w:val="en-US"/>
        </w:rPr>
        <w:t>The upshot is that the evolution of social learning and social norms are intertwined in important and underappreciated ways from early on.</w:t>
      </w:r>
    </w:p>
    <w:p w14:paraId="3AC32AFE" w14:textId="697454D1" w:rsidR="00CD2178" w:rsidRPr="009B1F4E" w:rsidRDefault="00CD2178" w:rsidP="00CD2178">
      <w:pPr>
        <w:spacing w:line="360" w:lineRule="auto"/>
        <w:jc w:val="both"/>
        <w:rPr>
          <w:rFonts w:ascii="Garamond" w:hAnsi="Garamond" w:cs="Calibri"/>
          <w:color w:val="000000" w:themeColor="text1"/>
          <w:lang w:val="en-US"/>
        </w:rPr>
      </w:pPr>
      <w:r w:rsidRPr="009B1F4E">
        <w:rPr>
          <w:rStyle w:val="notion-enable-hover"/>
          <w:rFonts w:ascii="Garamond" w:hAnsi="Garamond" w:cs="Calibri"/>
          <w:color w:val="000000" w:themeColor="text1"/>
          <w:lang w:val="en-US"/>
        </w:rPr>
        <w:t xml:space="preserve">The above matters as it informs our views about the evolution of social norms more generally. </w:t>
      </w:r>
      <w:r w:rsidRPr="009B1F4E">
        <w:rPr>
          <w:rFonts w:ascii="Garamond" w:hAnsi="Garamond" w:cs="Calibri"/>
          <w:color w:val="000000" w:themeColor="text1"/>
          <w:lang w:val="en-US"/>
        </w:rPr>
        <w:t xml:space="preserve">Truly </w:t>
      </w:r>
      <w:r w:rsidRPr="009B1F4E">
        <w:rPr>
          <w:rFonts w:ascii="Garamond" w:hAnsi="Garamond" w:cs="Calibri"/>
          <w:i/>
          <w:iCs/>
          <w:color w:val="000000" w:themeColor="text1"/>
          <w:lang w:val="en-US"/>
        </w:rPr>
        <w:t>social</w:t>
      </w:r>
      <w:r w:rsidRPr="009B1F4E">
        <w:rPr>
          <w:rFonts w:ascii="Garamond" w:hAnsi="Garamond" w:cs="Calibri"/>
          <w:color w:val="000000" w:themeColor="text1"/>
          <w:lang w:val="en-US"/>
        </w:rPr>
        <w:t xml:space="preserve"> norms emerged to coordinate a plurality of complex </w:t>
      </w:r>
      <w:proofErr w:type="spellStart"/>
      <w:r w:rsidRPr="009B1F4E">
        <w:rPr>
          <w:rFonts w:ascii="Garamond" w:hAnsi="Garamond" w:cs="Calibri"/>
          <w:color w:val="000000" w:themeColor="text1"/>
          <w:lang w:val="en-US"/>
        </w:rPr>
        <w:t>behaviours</w:t>
      </w:r>
      <w:proofErr w:type="spellEnd"/>
      <w:r w:rsidRPr="009B1F4E">
        <w:rPr>
          <w:rFonts w:ascii="Garamond" w:hAnsi="Garamond" w:cs="Calibri"/>
          <w:color w:val="000000" w:themeColor="text1"/>
          <w:lang w:val="en-US"/>
        </w:rPr>
        <w:t xml:space="preserve"> and interactions, amongst them </w:t>
      </w:r>
      <w:proofErr w:type="spellStart"/>
      <w:r w:rsidRPr="009B1F4E">
        <w:rPr>
          <w:rFonts w:ascii="Garamond" w:hAnsi="Garamond" w:cs="Calibri"/>
          <w:color w:val="000000" w:themeColor="text1"/>
          <w:lang w:val="en-US"/>
        </w:rPr>
        <w:t>speciali</w:t>
      </w:r>
      <w:r w:rsidR="00FE4710" w:rsidRPr="009B1F4E">
        <w:rPr>
          <w:rFonts w:ascii="Garamond" w:hAnsi="Garamond" w:cs="Calibri"/>
          <w:color w:val="000000" w:themeColor="text1"/>
          <w:lang w:val="en-US"/>
        </w:rPr>
        <w:t>s</w:t>
      </w:r>
      <w:r w:rsidRPr="009B1F4E">
        <w:rPr>
          <w:rFonts w:ascii="Garamond" w:hAnsi="Garamond" w:cs="Calibri"/>
          <w:color w:val="000000" w:themeColor="text1"/>
          <w:lang w:val="en-US"/>
        </w:rPr>
        <w:t>ed</w:t>
      </w:r>
      <w:proofErr w:type="spellEnd"/>
      <w:r w:rsidRPr="009B1F4E">
        <w:rPr>
          <w:rFonts w:ascii="Garamond" w:hAnsi="Garamond" w:cs="Calibri"/>
          <w:color w:val="000000" w:themeColor="text1"/>
          <w:lang w:val="en-US"/>
        </w:rPr>
        <w:t xml:space="preserve"> social learning.</w:t>
      </w:r>
      <w:r w:rsidRPr="009B1F4E">
        <w:rPr>
          <w:rStyle w:val="notion-enable-hover"/>
          <w:rFonts w:ascii="Garamond" w:hAnsi="Garamond" w:cs="Calibri"/>
          <w:color w:val="000000" w:themeColor="text1"/>
          <w:lang w:val="en-US"/>
        </w:rPr>
        <w:t xml:space="preserve"> I substantiate this view by contrasting it </w:t>
      </w:r>
      <w:r w:rsidR="00316DCF" w:rsidRPr="009B1F4E">
        <w:rPr>
          <w:rStyle w:val="notion-enable-hover"/>
          <w:rFonts w:ascii="Garamond" w:hAnsi="Garamond" w:cs="Calibri"/>
          <w:color w:val="000000" w:themeColor="text1"/>
          <w:lang w:val="en-US"/>
        </w:rPr>
        <w:t>with</w:t>
      </w:r>
      <w:r w:rsidRPr="009B1F4E">
        <w:rPr>
          <w:rStyle w:val="notion-enable-hover"/>
          <w:rFonts w:ascii="Garamond" w:hAnsi="Garamond" w:cs="Calibri"/>
          <w:color w:val="000000" w:themeColor="text1"/>
          <w:lang w:val="en-US"/>
        </w:rPr>
        <w:t xml:space="preserve"> Jonathan Birch’s views on the evolution of norms. </w:t>
      </w:r>
      <w:r w:rsidRPr="009B1F4E">
        <w:rPr>
          <w:rFonts w:ascii="Garamond" w:hAnsi="Garamond" w:cs="Calibri"/>
          <w:color w:val="000000" w:themeColor="text1"/>
          <w:lang w:val="en-US"/>
        </w:rPr>
        <w:t xml:space="preserve">What results is a general but cohesive narrative on the early evolution of social norms. </w:t>
      </w:r>
    </w:p>
    <w:p w14:paraId="6C552DE9" w14:textId="77777777" w:rsidR="00CD2178" w:rsidRPr="009B1F4E" w:rsidRDefault="00CD2178" w:rsidP="00CD2178">
      <w:pPr>
        <w:spacing w:line="360" w:lineRule="auto"/>
        <w:ind w:right="708"/>
        <w:rPr>
          <w:rFonts w:ascii="Garamond" w:hAnsi="Garamond"/>
          <w:b/>
          <w:bCs/>
          <w:color w:val="000000" w:themeColor="text1"/>
          <w:lang w:val="en-US"/>
        </w:rPr>
      </w:pPr>
    </w:p>
    <w:p w14:paraId="1ACF231B" w14:textId="77777777" w:rsidR="00CD2178" w:rsidRPr="009B1F4E" w:rsidRDefault="00CD2178" w:rsidP="00CD2178">
      <w:pPr>
        <w:spacing w:line="360" w:lineRule="auto"/>
        <w:jc w:val="both"/>
        <w:rPr>
          <w:rFonts w:ascii="Garamond" w:hAnsi="Garamond" w:cs="Calibri"/>
          <w:color w:val="000000" w:themeColor="text1"/>
          <w:lang w:val="en-US"/>
        </w:rPr>
      </w:pPr>
      <w:r w:rsidRPr="009B1F4E">
        <w:rPr>
          <w:rStyle w:val="notion-enable-hover"/>
          <w:rFonts w:ascii="Garamond" w:hAnsi="Garamond" w:cs="Calibri"/>
          <w:b/>
          <w:bCs/>
          <w:color w:val="000000" w:themeColor="text1"/>
          <w:lang w:val="en-US"/>
        </w:rPr>
        <w:t>Keywords</w:t>
      </w:r>
      <w:r w:rsidRPr="009B1F4E">
        <w:rPr>
          <w:rStyle w:val="notion-enable-hover"/>
          <w:rFonts w:ascii="Garamond" w:hAnsi="Garamond" w:cs="Calibri"/>
          <w:color w:val="000000" w:themeColor="text1"/>
          <w:lang w:val="en-US"/>
        </w:rPr>
        <w:t xml:space="preserve">: </w:t>
      </w:r>
      <w:r w:rsidRPr="009B1F4E">
        <w:rPr>
          <w:rStyle w:val="notion-enable-hover"/>
          <w:rFonts w:ascii="Garamond" w:hAnsi="Garamond" w:cs="Calibri"/>
          <w:i/>
          <w:iCs/>
          <w:color w:val="000000" w:themeColor="text1"/>
          <w:lang w:val="en-US"/>
        </w:rPr>
        <w:t>Social Norms, Cooperation, Social Learning, Epistemic Norms, Normative Cognition, Coordination</w:t>
      </w:r>
    </w:p>
    <w:p w14:paraId="17828606" w14:textId="77777777" w:rsidR="00CD2178" w:rsidRPr="009B1F4E" w:rsidRDefault="00CD2178" w:rsidP="00CD2178">
      <w:pPr>
        <w:spacing w:line="360" w:lineRule="auto"/>
        <w:jc w:val="both"/>
        <w:rPr>
          <w:rFonts w:ascii="Garamond" w:hAnsi="Garamond" w:cs="Calibri"/>
          <w:color w:val="000000" w:themeColor="text1"/>
          <w:lang w:val="en-US"/>
        </w:rPr>
      </w:pPr>
    </w:p>
    <w:p w14:paraId="055C4509" w14:textId="77777777" w:rsidR="00CD2178" w:rsidRPr="009B1F4E" w:rsidRDefault="00CD2178" w:rsidP="00CD2178">
      <w:pPr>
        <w:spacing w:line="360" w:lineRule="auto"/>
        <w:jc w:val="both"/>
        <w:rPr>
          <w:rFonts w:ascii="Garamond" w:hAnsi="Garamond"/>
          <w:b/>
          <w:bCs/>
          <w:color w:val="000000" w:themeColor="text1"/>
          <w:lang w:val="en-US"/>
        </w:rPr>
      </w:pPr>
      <w:r w:rsidRPr="009B1F4E">
        <w:rPr>
          <w:rFonts w:ascii="Garamond" w:hAnsi="Garamond"/>
          <w:b/>
          <w:bCs/>
          <w:color w:val="000000" w:themeColor="text1"/>
          <w:lang w:val="en-US"/>
        </w:rPr>
        <w:t>Declarations</w:t>
      </w:r>
    </w:p>
    <w:p w14:paraId="3FD12E3B" w14:textId="77777777" w:rsidR="00CD2178" w:rsidRPr="009B1F4E" w:rsidRDefault="00CD2178" w:rsidP="00CD2178">
      <w:pPr>
        <w:spacing w:line="360" w:lineRule="auto"/>
        <w:jc w:val="both"/>
        <w:rPr>
          <w:rFonts w:ascii="Garamond" w:hAnsi="Garamond"/>
          <w:color w:val="000000" w:themeColor="text1"/>
          <w:lang w:val="en-US"/>
        </w:rPr>
      </w:pPr>
      <w:r w:rsidRPr="009B1F4E">
        <w:rPr>
          <w:rFonts w:ascii="Garamond" w:hAnsi="Garamond" w:cstheme="minorHAnsi"/>
          <w:b/>
          <w:bCs/>
          <w:color w:val="000000" w:themeColor="text1"/>
          <w:lang w:val="en-US"/>
        </w:rPr>
        <w:t xml:space="preserve">Funding: </w:t>
      </w:r>
      <w:r w:rsidRPr="009B1F4E">
        <w:rPr>
          <w:rFonts w:ascii="Garamond" w:hAnsi="Garamond" w:cstheme="minorHAnsi"/>
          <w:color w:val="000000" w:themeColor="text1"/>
          <w:lang w:val="en-US"/>
        </w:rPr>
        <w:t xml:space="preserve">Swiss National Science Foundation, Grant </w:t>
      </w:r>
      <w:r w:rsidRPr="009B1F4E">
        <w:rPr>
          <w:rFonts w:ascii="Garamond" w:hAnsi="Garamond" w:cs="Calibri"/>
          <w:color w:val="000000" w:themeColor="text1"/>
          <w:lang w:val="en-US"/>
        </w:rPr>
        <w:t xml:space="preserve">Number: </w:t>
      </w:r>
      <w:r w:rsidRPr="009B1F4E">
        <w:rPr>
          <w:rFonts w:ascii="Garamond" w:hAnsi="Garamond" w:cs="Calibri"/>
          <w:color w:val="000000" w:themeColor="text1"/>
          <w:shd w:val="clear" w:color="auto" w:fill="FFFFFF"/>
          <w:lang w:val="en-US"/>
        </w:rPr>
        <w:t>PCEFP1_186936</w:t>
      </w:r>
    </w:p>
    <w:p w14:paraId="56E75D9B" w14:textId="77777777" w:rsidR="00CD2178" w:rsidRPr="009B1F4E" w:rsidRDefault="00CD2178" w:rsidP="00CD2178">
      <w:pPr>
        <w:spacing w:line="360" w:lineRule="auto"/>
        <w:jc w:val="both"/>
        <w:rPr>
          <w:rFonts w:ascii="Garamond" w:hAnsi="Garamond" w:cstheme="minorHAnsi"/>
          <w:color w:val="000000" w:themeColor="text1"/>
          <w:lang w:val="en-US"/>
        </w:rPr>
      </w:pPr>
      <w:r w:rsidRPr="009B1F4E">
        <w:rPr>
          <w:rFonts w:ascii="Garamond" w:hAnsi="Garamond" w:cstheme="minorHAnsi"/>
          <w:b/>
          <w:bCs/>
          <w:color w:val="000000" w:themeColor="text1"/>
          <w:lang w:val="en-US"/>
        </w:rPr>
        <w:t xml:space="preserve">Conflicts of interest/Competing Interests: </w:t>
      </w:r>
      <w:r w:rsidRPr="009B1F4E">
        <w:rPr>
          <w:rFonts w:ascii="Garamond" w:hAnsi="Garamond" w:cstheme="minorHAnsi"/>
          <w:color w:val="000000" w:themeColor="text1"/>
          <w:lang w:val="en-US"/>
        </w:rPr>
        <w:t>None</w:t>
      </w:r>
    </w:p>
    <w:p w14:paraId="04FEEACA" w14:textId="46EEF877" w:rsidR="00CD2178" w:rsidRPr="009B1F4E" w:rsidRDefault="00CD2178" w:rsidP="00CD2178">
      <w:pPr>
        <w:spacing w:line="360" w:lineRule="auto"/>
        <w:jc w:val="both"/>
        <w:rPr>
          <w:rFonts w:ascii="Garamond" w:hAnsi="Garamond" w:cstheme="minorHAnsi"/>
          <w:color w:val="000000" w:themeColor="text1"/>
          <w:lang w:val="en-US"/>
        </w:rPr>
      </w:pPr>
      <w:r w:rsidRPr="009B1F4E">
        <w:rPr>
          <w:rFonts w:ascii="Garamond" w:hAnsi="Garamond" w:cstheme="minorHAnsi"/>
          <w:b/>
          <w:bCs/>
          <w:color w:val="000000" w:themeColor="text1"/>
          <w:lang w:val="en-US"/>
        </w:rPr>
        <w:t xml:space="preserve">Acknowledgements: </w:t>
      </w:r>
      <w:r w:rsidRPr="009B1F4E">
        <w:rPr>
          <w:rFonts w:ascii="Garamond" w:hAnsi="Garamond" w:cstheme="minorHAnsi"/>
          <w:color w:val="000000" w:themeColor="text1"/>
          <w:lang w:val="en-US"/>
        </w:rPr>
        <w:t xml:space="preserve">I’d like to thank </w:t>
      </w:r>
      <w:proofErr w:type="spellStart"/>
      <w:r w:rsidRPr="009B1F4E">
        <w:rPr>
          <w:rFonts w:ascii="Garamond" w:hAnsi="Garamond" w:cstheme="minorHAnsi"/>
          <w:color w:val="000000" w:themeColor="text1"/>
          <w:lang w:val="en-US"/>
        </w:rPr>
        <w:t>Rebekka</w:t>
      </w:r>
      <w:proofErr w:type="spellEnd"/>
      <w:r w:rsidRPr="009B1F4E">
        <w:rPr>
          <w:rFonts w:ascii="Garamond" w:hAnsi="Garamond" w:cstheme="minorHAnsi"/>
          <w:color w:val="000000" w:themeColor="text1"/>
          <w:lang w:val="en-US"/>
        </w:rPr>
        <w:t xml:space="preserve"> </w:t>
      </w:r>
      <w:proofErr w:type="spellStart"/>
      <w:r w:rsidRPr="009B1F4E">
        <w:rPr>
          <w:rFonts w:ascii="Garamond" w:hAnsi="Garamond" w:cstheme="minorHAnsi"/>
          <w:color w:val="000000" w:themeColor="text1"/>
          <w:lang w:val="en-US"/>
        </w:rPr>
        <w:t>Hufendiek</w:t>
      </w:r>
      <w:proofErr w:type="spellEnd"/>
      <w:r w:rsidRPr="009B1F4E">
        <w:rPr>
          <w:rFonts w:ascii="Garamond" w:hAnsi="Garamond" w:cstheme="minorHAnsi"/>
          <w:color w:val="000000" w:themeColor="text1"/>
          <w:lang w:val="en-US"/>
        </w:rPr>
        <w:t xml:space="preserve">, Ivan Gonzalez-Cabrera, and Christine Sievers for their helpful feedback and general support in writing this paper. </w:t>
      </w:r>
      <w:r w:rsidR="008A44F5" w:rsidRPr="009B1F4E">
        <w:rPr>
          <w:rFonts w:ascii="Garamond" w:hAnsi="Garamond" w:cstheme="minorHAnsi"/>
          <w:color w:val="000000" w:themeColor="text1"/>
          <w:lang w:val="en-US"/>
        </w:rPr>
        <w:t xml:space="preserve">Additional thanks to </w:t>
      </w:r>
      <w:r w:rsidR="008A44F5" w:rsidRPr="009B1F4E">
        <w:rPr>
          <w:rFonts w:ascii="Garamond" w:hAnsi="Garamond" w:cstheme="minorHAnsi"/>
          <w:color w:val="000000" w:themeColor="text1"/>
          <w:lang w:val="en-US"/>
        </w:rPr>
        <w:lastRenderedPageBreak/>
        <w:t xml:space="preserve">the audiences and </w:t>
      </w:r>
      <w:proofErr w:type="spellStart"/>
      <w:r w:rsidR="008A44F5" w:rsidRPr="009B1F4E">
        <w:rPr>
          <w:rFonts w:ascii="Garamond" w:hAnsi="Garamond" w:cstheme="minorHAnsi"/>
          <w:color w:val="000000" w:themeColor="text1"/>
          <w:lang w:val="en-US"/>
        </w:rPr>
        <w:t>organisers</w:t>
      </w:r>
      <w:proofErr w:type="spellEnd"/>
      <w:r w:rsidR="008A44F5" w:rsidRPr="009B1F4E">
        <w:rPr>
          <w:rFonts w:ascii="Garamond" w:hAnsi="Garamond" w:cstheme="minorHAnsi"/>
          <w:color w:val="000000" w:themeColor="text1"/>
          <w:lang w:val="en-US"/>
        </w:rPr>
        <w:t xml:space="preserve"> of the Workshop associated with Kim </w:t>
      </w:r>
      <w:proofErr w:type="spellStart"/>
      <w:r w:rsidR="008A44F5" w:rsidRPr="009B1F4E">
        <w:rPr>
          <w:rFonts w:ascii="Garamond" w:hAnsi="Garamond" w:cstheme="minorHAnsi"/>
          <w:color w:val="000000" w:themeColor="text1"/>
          <w:lang w:val="en-US"/>
        </w:rPr>
        <w:t>Sterelny’s</w:t>
      </w:r>
      <w:proofErr w:type="spellEnd"/>
      <w:r w:rsidR="008A44F5" w:rsidRPr="009B1F4E">
        <w:rPr>
          <w:rFonts w:ascii="Garamond" w:hAnsi="Garamond" w:cstheme="minorHAnsi"/>
          <w:color w:val="000000" w:themeColor="text1"/>
          <w:lang w:val="en-US"/>
        </w:rPr>
        <w:t xml:space="preserve"> Carnap Lectures at the Ruhr-University of Bochum for their insightful comments and questions.</w:t>
      </w:r>
    </w:p>
    <w:p w14:paraId="1BFE0385" w14:textId="77777777" w:rsidR="00CD2178" w:rsidRPr="009B1F4E" w:rsidRDefault="00CD2178" w:rsidP="00CD2178">
      <w:pPr>
        <w:spacing w:line="360" w:lineRule="auto"/>
        <w:jc w:val="both"/>
        <w:rPr>
          <w:color w:val="000000" w:themeColor="text1"/>
        </w:rPr>
      </w:pPr>
    </w:p>
    <w:p w14:paraId="0F8FBC82" w14:textId="77777777" w:rsidR="00617F6E" w:rsidRPr="009B1F4E" w:rsidRDefault="00617F6E" w:rsidP="00617F6E">
      <w:pPr>
        <w:pStyle w:val="Listenabsatz"/>
        <w:numPr>
          <w:ilvl w:val="0"/>
          <w:numId w:val="1"/>
        </w:numPr>
        <w:spacing w:line="360" w:lineRule="auto"/>
        <w:jc w:val="both"/>
        <w:rPr>
          <w:rFonts w:ascii="Garamond" w:hAnsi="Garamond" w:cs="Calibri"/>
          <w:b/>
          <w:bCs/>
          <w:color w:val="000000" w:themeColor="text1"/>
        </w:rPr>
      </w:pPr>
      <w:r w:rsidRPr="009B1F4E">
        <w:rPr>
          <w:rFonts w:ascii="Garamond" w:hAnsi="Garamond" w:cs="Calibri"/>
          <w:b/>
          <w:bCs/>
          <w:color w:val="000000" w:themeColor="text1"/>
        </w:rPr>
        <w:t>Introduction</w:t>
      </w:r>
    </w:p>
    <w:p w14:paraId="4F62CADF" w14:textId="6179020E" w:rsidR="00687C6E" w:rsidRPr="009B1F4E" w:rsidRDefault="00687C6E" w:rsidP="00687C6E">
      <w:pPr>
        <w:spacing w:line="360" w:lineRule="auto"/>
        <w:jc w:val="both"/>
        <w:rPr>
          <w:rFonts w:ascii="Garamond" w:hAnsi="Garamond" w:cs="Calibri"/>
          <w:noProof/>
          <w:color w:val="000000" w:themeColor="text1"/>
        </w:rPr>
      </w:pPr>
      <w:r w:rsidRPr="009B1F4E">
        <w:rPr>
          <w:rFonts w:ascii="Garamond" w:hAnsi="Garamond" w:cs="Calibri"/>
          <w:color w:val="000000" w:themeColor="text1"/>
        </w:rPr>
        <w:t xml:space="preserve">In the literature on the evolution of cooperation, </w:t>
      </w:r>
      <w:r w:rsidR="00DE5248" w:rsidRPr="009B1F4E">
        <w:rPr>
          <w:rFonts w:ascii="Garamond" w:hAnsi="Garamond" w:cs="Calibri"/>
          <w:color w:val="000000" w:themeColor="text1"/>
        </w:rPr>
        <w:t>a shared narrative</w:t>
      </w:r>
      <w:r w:rsidRPr="009B1F4E">
        <w:rPr>
          <w:rFonts w:ascii="Garamond" w:hAnsi="Garamond" w:cs="Calibri"/>
          <w:color w:val="000000" w:themeColor="text1"/>
        </w:rPr>
        <w:t xml:space="preserve"> connects social learning and social norms. </w:t>
      </w:r>
      <w:r w:rsidR="00563046" w:rsidRPr="009B1F4E">
        <w:rPr>
          <w:rFonts w:ascii="Garamond" w:hAnsi="Garamond" w:cs="Calibri"/>
          <w:color w:val="000000" w:themeColor="text1"/>
        </w:rPr>
        <w:t>I</w:t>
      </w:r>
      <w:r w:rsidR="00D8108F" w:rsidRPr="009B1F4E">
        <w:rPr>
          <w:rFonts w:ascii="Garamond" w:hAnsi="Garamond" w:cs="Calibri"/>
          <w:color w:val="000000" w:themeColor="text1"/>
        </w:rPr>
        <w:t>n</w:t>
      </w:r>
      <w:r w:rsidRPr="009B1F4E">
        <w:rPr>
          <w:rFonts w:ascii="Garamond" w:hAnsi="Garamond" w:cs="Calibri"/>
          <w:color w:val="000000" w:themeColor="text1"/>
        </w:rPr>
        <w:t xml:space="preserve"> a nutshell</w:t>
      </w:r>
      <w:r w:rsidR="00DE5248" w:rsidRPr="009B1F4E">
        <w:rPr>
          <w:rFonts w:ascii="Garamond" w:hAnsi="Garamond" w:cs="Calibri"/>
          <w:color w:val="000000" w:themeColor="text1"/>
        </w:rPr>
        <w:t>,</w:t>
      </w:r>
      <w:r w:rsidRPr="009B1F4E">
        <w:rPr>
          <w:rFonts w:ascii="Garamond" w:hAnsi="Garamond" w:cs="Calibri"/>
          <w:color w:val="000000" w:themeColor="text1"/>
        </w:rPr>
        <w:t xml:space="preserve"> the idea is this: Specialised social </w:t>
      </w:r>
      <w:r w:rsidRPr="009B1F4E">
        <w:rPr>
          <w:rFonts w:ascii="Garamond" w:hAnsi="Garamond" w:cs="Calibri"/>
          <w:i/>
          <w:iCs/>
          <w:color w:val="000000" w:themeColor="text1"/>
        </w:rPr>
        <w:t>learning</w:t>
      </w:r>
      <w:r w:rsidRPr="009B1F4E">
        <w:rPr>
          <w:rFonts w:ascii="Garamond" w:hAnsi="Garamond" w:cs="Calibri"/>
          <w:color w:val="000000" w:themeColor="text1"/>
        </w:rPr>
        <w:t xml:space="preserve"> </w:t>
      </w:r>
      <w:r w:rsidR="0002408A" w:rsidRPr="009B1F4E">
        <w:rPr>
          <w:rFonts w:ascii="Garamond" w:hAnsi="Garamond" w:cs="Calibri"/>
          <w:color w:val="000000" w:themeColor="text1"/>
        </w:rPr>
        <w:t>emerges</w:t>
      </w:r>
      <w:r w:rsidRPr="009B1F4E">
        <w:rPr>
          <w:rFonts w:ascii="Garamond" w:hAnsi="Garamond" w:cs="Calibri"/>
          <w:color w:val="000000" w:themeColor="text1"/>
        </w:rPr>
        <w:t xml:space="preserve"> early to allow for the transmission of cumulative culture. In turn, cumulative culture and different kinds of cooperation interact favourably with each other, </w:t>
      </w:r>
      <w:r w:rsidR="00DE5248" w:rsidRPr="009B1F4E">
        <w:rPr>
          <w:rFonts w:ascii="Garamond" w:hAnsi="Garamond" w:cs="Calibri"/>
          <w:color w:val="000000" w:themeColor="text1"/>
        </w:rPr>
        <w:t>becoming</w:t>
      </w:r>
      <w:r w:rsidRPr="009B1F4E">
        <w:rPr>
          <w:rFonts w:ascii="Garamond" w:hAnsi="Garamond" w:cs="Calibri"/>
          <w:color w:val="000000" w:themeColor="text1"/>
        </w:rPr>
        <w:t xml:space="preserve"> more and more central to our ancestors’ way of life. </w:t>
      </w:r>
      <w:r w:rsidR="004D5966" w:rsidRPr="009B1F4E">
        <w:rPr>
          <w:rFonts w:ascii="Garamond" w:hAnsi="Garamond" w:cs="Calibri"/>
          <w:color w:val="000000" w:themeColor="text1"/>
        </w:rPr>
        <w:t xml:space="preserve">Social norms, in turn, only become truly important </w:t>
      </w:r>
      <w:r w:rsidR="00563046" w:rsidRPr="009B1F4E">
        <w:rPr>
          <w:rFonts w:ascii="Garamond" w:hAnsi="Garamond" w:cs="Calibri"/>
          <w:color w:val="000000" w:themeColor="text1"/>
        </w:rPr>
        <w:t>later on</w:t>
      </w:r>
      <w:r w:rsidR="004D5966" w:rsidRPr="009B1F4E">
        <w:rPr>
          <w:rFonts w:ascii="Garamond" w:hAnsi="Garamond" w:cs="Calibri"/>
          <w:color w:val="000000" w:themeColor="text1"/>
        </w:rPr>
        <w:t xml:space="preserve"> — once cumulative culture and cooperation </w:t>
      </w:r>
      <w:r w:rsidR="00816711" w:rsidRPr="009B1F4E">
        <w:rPr>
          <w:rFonts w:ascii="Garamond" w:hAnsi="Garamond" w:cs="Calibri"/>
          <w:color w:val="000000" w:themeColor="text1"/>
        </w:rPr>
        <w:t xml:space="preserve">are established to a considerable degree and mainly to regulate large-scale collaboration against the threat of defection </w:t>
      </w:r>
      <w:r w:rsidRPr="009B1F4E">
        <w:rPr>
          <w:rFonts w:ascii="Garamond" w:hAnsi="Garamond" w:cs="Calibri"/>
          <w:color w:val="000000" w:themeColor="text1"/>
        </w:rPr>
        <w:fldChar w:fldCharType="begin"/>
      </w:r>
      <w:r w:rsidR="009B1F4E">
        <w:rPr>
          <w:rFonts w:ascii="Garamond" w:hAnsi="Garamond" w:cs="Calibri"/>
          <w:color w:val="000000" w:themeColor="text1"/>
        </w:rPr>
        <w:instrText xml:space="preserve"> ADDIN ZOTERO_ITEM CSL_CITATION {"citationID":"Qd2XsZ8R","properties":{"formattedCitation":"(see, e.g., Sterelny 2021b; Tomasello 2014; Henrich 2015)","plainCitation":"(see, e.g., Sterelny 2021b; Tomasello 2014; Henrich 2015)","noteIndex":0},"citationItems":[{"id":789,"uris":["http://zotero.org/users/local/jz7T3Opo/items/GATH6MTZ"],"itemData":{"id":789,"type":"book","abstract":"Kim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Contract","author":[{"family":"Sterelny","given":"Kim"}],"issued":{"date-parts":[["2021",9,16]]}},"label":"page","prefix":"see, e.g.,"},{"id":810,"uris":["http://zotero.org/users/local/jz7T3Opo/items/GTI7FTAL"],"itemData":{"id":810,"type":"book","abstract":"Tool-making or culture, language or religious belief: ever since Darwin, thinkers have struggled to identify what fundamentally differentiates human beings from other animals. Michael Tomasello weaves his twenty years of comparative studies of humans and great apes into a compelling argument that cooperative social interaction is the key to our cognitive uniqueness. Tomasello maintains that our prehuman ancestors, like today's great apes, were social beings who could solve problems by thinking. But they were almost entirely competitive, aiming only at their individual goals. As ecological changes forced them into more cooperative living arrangements, early humans had to coordinate their actions and communicate their thoughts with collaborative partners. Tomasello's \"shared intentionality hypothesis\" captures how these more socially complex forms of life led to more conceptually complex forms of thinking. In order to survive, humans had to learn to see the world from multiple social perspectives, to draw socially recursive inferences, and to monitor their own thinking via the normative standards of the group. Even language and culture arose from the preexisting need to work together and coordinate thoughts. A Natural History of Human Thinking is the most detailed scientific analysis to date of the connection between human sociality and cognition.","ISBN":"978-0-674-72636-9","language":"en","note":"container-title: A Natural History of Human Thinking","publisher":"Harvard University Press","source":"www.degruyter.com","title":"A Natural History of Human Thinking","URL":"https://www.degruyter.com/document/doi/10.4159/9780674726369/html","author":[{"family":"Tomasello","given":"Michael"}],"accessed":{"date-parts":[["2021",7,29]]},"issued":{"date-parts":[["2014",2,17]]}}},{"id":818,"uris":["http://zotero.org/users/local/jz7T3Opo/items/TWXJMDVG"],"itemData":{"id":818,"type":"book","abstract":"Humans are a puzzling species. On the one hand, we struggle to survive on our own in the wild, often failing to overcome even basic challenges, like obtaining food, building shelters, or avoiding predators. On the other hand, human groups have produced ingenious technologies, sophisticated languages, and complex institutions that have permitted us to successfully expand into a vast range of diverse environments. What has enabled us to dominate the globe, more than any other species, while remaining virtually helpless as lone individuals? This book shows that the secret of our success lies not in our innate intelligence, but in our collective brains—on the ability of human groups to socially interconnect and learn from one another over generations. Drawing insights from lost European explorers, clever chimpanzees, mobile hunter-gatherers, neuroscientific findings, ancient bones, and the human genome, Joseph Henrich demonstrates how our collective brains have propelled our species' genetic evolution and shaped our biology. Our early capacities for learning from others produced many cultural innovations, such as fire, cooking, water containers, plant knowledge, and projectile weapons, which in turn drove the expansion of our brains and altered our physiology, anatomy, and psychology in crucial ways. Later on, some collective brains generated and recombined powerful concepts, such as the lever, wheel, screw, and writing, while also creating the institutions that continue to alter our motivations and perceptions. Henrich shows how our genetics and biology are inextricably interwoven with cultural evolution, and how culture-gene interactions launched our species on an extraordinary evolutionary trajectory. Tracking clues from our ancient past to the present, The Secret of Our Success explores how the evolution of both our cultural and social natures produce a collective intelligence that explains both our species' immense success and the origins of human uniqueness.","publisher":"Princeton University Press","title":"The Secret of Our Success","author":[{"family":"Henrich","given":"Joseph"}],"issued":{"date-parts":[["2015"]]}}}],"schema":"https://github.com/citation-style-language/schema/raw/master/csl-citation.json"} </w:instrText>
      </w:r>
      <w:r w:rsidRPr="009B1F4E">
        <w:rPr>
          <w:rFonts w:ascii="Garamond" w:hAnsi="Garamond" w:cs="Calibri"/>
          <w:color w:val="000000" w:themeColor="text1"/>
        </w:rPr>
        <w:fldChar w:fldCharType="separate"/>
      </w:r>
      <w:r w:rsidR="009B1F4E">
        <w:rPr>
          <w:rFonts w:ascii="Garamond" w:hAnsi="Garamond" w:cs="Calibri"/>
          <w:noProof/>
          <w:color w:val="000000" w:themeColor="text1"/>
        </w:rPr>
        <w:t>(see, e.g., Sterelny 2021b; Tomasello 2014; Henrich 2015)</w:t>
      </w:r>
      <w:r w:rsidRPr="009B1F4E">
        <w:rPr>
          <w:rFonts w:ascii="Garamond" w:hAnsi="Garamond" w:cs="Calibri"/>
          <w:color w:val="000000" w:themeColor="text1"/>
        </w:rPr>
        <w:fldChar w:fldCharType="end"/>
      </w:r>
      <w:r w:rsidRPr="009B1F4E">
        <w:rPr>
          <w:rFonts w:ascii="Garamond" w:hAnsi="Garamond" w:cs="Calibri"/>
          <w:noProof/>
          <w:color w:val="000000" w:themeColor="text1"/>
        </w:rPr>
        <w:t>.</w:t>
      </w:r>
    </w:p>
    <w:p w14:paraId="47BD9DF4" w14:textId="5EEDC28F" w:rsidR="00B93D74" w:rsidRPr="009B1F4E" w:rsidRDefault="00FD1630" w:rsidP="0002408A">
      <w:pPr>
        <w:spacing w:line="360" w:lineRule="auto"/>
        <w:jc w:val="both"/>
        <w:rPr>
          <w:rFonts w:ascii="Garamond" w:hAnsi="Garamond" w:cs="Calibri"/>
          <w:color w:val="000000" w:themeColor="text1"/>
        </w:rPr>
      </w:pPr>
      <w:r w:rsidRPr="009B1F4E">
        <w:rPr>
          <w:rFonts w:ascii="Garamond" w:hAnsi="Garamond" w:cs="Calibri"/>
          <w:color w:val="000000" w:themeColor="text1"/>
        </w:rPr>
        <w:t>The main contribution of this paper (section</w:t>
      </w:r>
      <w:r w:rsidR="00816711" w:rsidRPr="009B1F4E">
        <w:rPr>
          <w:rFonts w:ascii="Garamond" w:hAnsi="Garamond" w:cs="Calibri"/>
          <w:color w:val="000000" w:themeColor="text1"/>
        </w:rPr>
        <w:t>s</w:t>
      </w:r>
      <w:r w:rsidRPr="009B1F4E">
        <w:rPr>
          <w:rFonts w:ascii="Garamond" w:hAnsi="Garamond" w:cs="Calibri"/>
          <w:color w:val="000000" w:themeColor="text1"/>
        </w:rPr>
        <w:t xml:space="preserve"> 2 and 3) is to expand on this narrative. </w:t>
      </w:r>
      <w:r w:rsidRPr="009B1F4E">
        <w:rPr>
          <w:rStyle w:val="notion-enable-hover"/>
          <w:rFonts w:ascii="Garamond" w:hAnsi="Garamond" w:cs="Calibri"/>
          <w:color w:val="000000" w:themeColor="text1"/>
        </w:rPr>
        <w:t xml:space="preserve">The novel claim I make is that the </w:t>
      </w:r>
      <w:r w:rsidR="0002408A" w:rsidRPr="009B1F4E">
        <w:rPr>
          <w:rStyle w:val="notion-enable-hover"/>
          <w:rFonts w:ascii="Garamond" w:hAnsi="Garamond" w:cs="Calibri"/>
          <w:color w:val="000000" w:themeColor="text1"/>
        </w:rPr>
        <w:t xml:space="preserve">ways in which we share and acquire knowledge are and — as I’ll argue — </w:t>
      </w:r>
      <w:r w:rsidR="0002408A" w:rsidRPr="009B1F4E">
        <w:rPr>
          <w:rStyle w:val="notion-enable-hover"/>
          <w:rFonts w:ascii="Garamond" w:hAnsi="Garamond" w:cs="Calibri"/>
          <w:i/>
          <w:iCs/>
          <w:color w:val="000000" w:themeColor="text1"/>
        </w:rPr>
        <w:t>have been</w:t>
      </w:r>
      <w:r w:rsidR="0002408A" w:rsidRPr="009B1F4E">
        <w:rPr>
          <w:rStyle w:val="notion-enable-hover"/>
          <w:rFonts w:ascii="Garamond" w:hAnsi="Garamond" w:cs="Calibri"/>
          <w:color w:val="000000" w:themeColor="text1"/>
        </w:rPr>
        <w:t xml:space="preserve"> deeply normative. Social learning’s evolution is not as neatly separated from social norms as the above narrative suggests but intertwined with it in important ways. </w:t>
      </w:r>
      <w:r w:rsidRPr="009B1F4E">
        <w:rPr>
          <w:rStyle w:val="notion-enable-hover"/>
          <w:rFonts w:ascii="Garamond" w:hAnsi="Garamond" w:cs="Calibri"/>
          <w:color w:val="000000" w:themeColor="text1"/>
        </w:rPr>
        <w:t xml:space="preserve">In particular, the </w:t>
      </w:r>
      <w:r w:rsidR="0002408A" w:rsidRPr="009B1F4E">
        <w:rPr>
          <w:rStyle w:val="notion-enable-hover"/>
          <w:rFonts w:ascii="Garamond" w:hAnsi="Garamond" w:cs="Calibri"/>
          <w:color w:val="000000" w:themeColor="text1"/>
        </w:rPr>
        <w:t>advent of cumulative culture gave rise to coordination</w:t>
      </w:r>
      <w:r w:rsidR="005310DB" w:rsidRPr="009B1F4E">
        <w:rPr>
          <w:rStyle w:val="notion-enable-hover"/>
          <w:rFonts w:ascii="Garamond" w:hAnsi="Garamond" w:cs="Calibri"/>
          <w:color w:val="000000" w:themeColor="text1"/>
        </w:rPr>
        <w:t xml:space="preserve"> </w:t>
      </w:r>
      <w:r w:rsidR="0002408A" w:rsidRPr="009B1F4E">
        <w:rPr>
          <w:rStyle w:val="notion-enable-hover"/>
          <w:rFonts w:ascii="Garamond" w:hAnsi="Garamond" w:cs="Calibri"/>
          <w:color w:val="000000" w:themeColor="text1"/>
        </w:rPr>
        <w:t>problems in social learning that were solved by employing social norms.</w:t>
      </w:r>
      <w:r w:rsidRPr="009B1F4E">
        <w:rPr>
          <w:rFonts w:ascii="Garamond" w:hAnsi="Garamond" w:cs="Calibri"/>
          <w:color w:val="000000" w:themeColor="text1"/>
        </w:rPr>
        <w:t xml:space="preserve"> </w:t>
      </w:r>
      <w:r w:rsidR="0082637F" w:rsidRPr="009B1F4E">
        <w:rPr>
          <w:rStyle w:val="notion-enable-hover"/>
          <w:rFonts w:ascii="Garamond" w:hAnsi="Garamond" w:cs="Calibri"/>
          <w:color w:val="000000" w:themeColor="text1"/>
        </w:rPr>
        <w:t xml:space="preserve">To make this point, I’m drawing from social epistemological theorising on </w:t>
      </w:r>
      <w:r w:rsidR="0002408A" w:rsidRPr="009B1F4E">
        <w:rPr>
          <w:rStyle w:val="notion-enable-hover"/>
          <w:rFonts w:ascii="Garamond" w:hAnsi="Garamond" w:cs="Calibri"/>
          <w:i/>
          <w:iCs/>
          <w:color w:val="000000" w:themeColor="text1"/>
        </w:rPr>
        <w:t>epistemic</w:t>
      </w:r>
      <w:r w:rsidR="0002408A" w:rsidRPr="009B1F4E">
        <w:rPr>
          <w:rStyle w:val="notion-enable-hover"/>
          <w:rFonts w:ascii="Garamond" w:hAnsi="Garamond" w:cs="Calibri"/>
          <w:color w:val="000000" w:themeColor="text1"/>
        </w:rPr>
        <w:t xml:space="preserve"> social norms </w:t>
      </w:r>
      <w:r w:rsidR="0002408A" w:rsidRPr="009B1F4E">
        <w:rPr>
          <w:rFonts w:ascii="Garamond" w:hAnsi="Garamond" w:cs="Calibri"/>
          <w:color w:val="000000" w:themeColor="text1"/>
        </w:rPr>
        <w:fldChar w:fldCharType="begin"/>
      </w:r>
      <w:r w:rsidR="00816711" w:rsidRPr="009B1F4E">
        <w:rPr>
          <w:rFonts w:ascii="Garamond" w:hAnsi="Garamond" w:cs="Calibri"/>
          <w:color w:val="000000" w:themeColor="text1"/>
        </w:rPr>
        <w:instrText xml:space="preserve"> ADDIN ZOTERO_ITEM CSL_CITATION {"citationID":"8DIX77Fw","properties":{"formattedCitation":"(see, e.g., Faulkner 2011; Goldberg 2018; Graham 2015; Greco 2020; Henderson 2020; Henderson and Graham 2017; Simion 2021)","plainCitation":"(see, e.g., Faulkner 2011; Goldberg 2018; Graham 2015; Greco 2020; Henderson 2020; Henderson and Graham 2017; Simion 2021)","noteIndex":0},"citationItems":[{"id":944,"uris":["http://zotero.org/users/local/jz7T3Opo/items/KD5DQ7ZA"],"itemData":{"id":944,"type":"book","abstract":"The book aims to present an epistemological theory of testimony, or a theory that explains how it is that we acquire knowledge and warranted belief from testimony. The key questions are: what makes it reasonable to accept a piece of testimony? And what warrants belief formed on this testimonial basis? Existing theories of testimony largely fail because they do not recognize how issues of practical rationality motivate the first question, and this is what makes testimony distinctive as a source of knowledge. At the heart of the theory this book presents is then the idea that trust can make it reasonable to depend on another's testimony, but what warrants testimonial belief is not trust but the body of evidence the testimony originates from. Testimonial knowledge and testimonially warranted belief are got on trust. And our having a way of life wherein testimony is such a source of knowledge and warrant is our having a society wherein a certain kind of trust is possible.","event-place":"Oxford","ISBN":"978-0-19-958978-4","language":"eng","note":"DOI: 10.1093/acprof:oso/9780199589784.001.0001","number-of-pages":"240","publisher":"Oxford University Press","publisher-place":"Oxford","source":"University Press Scholarship","title":"Knowledge on Trust","URL":"https://oxford.universitypressscholarship.com/10.1093/acprof:oso/9780199589784.001.0001/acprof-9780199589784","author":[{"family":"Faulkner","given":"Paul"}],"accessed":{"date-parts":[["2022",1,11]]},"issued":{"date-parts":[["2011"]]}},"label":"page","prefix":"see, e.g.,"},{"id":283,"uris":["http://zotero.org/users/local/jz7T3Opo/items/DEUUBDJE"],"itemData":{"id":283,"type":"book","call-number":"BD176 .G65 2018","event-place":"Oxford, United Kingdom","ISBN":"978-0-19-879367-0","language":"en","note":"OCLC: ocn994575117","number-of-pages":"277","publisher":"Oxford University Press","publisher-place":"Oxford, United Kingdom","source":"Library of Congress ISBN","title":"To the best of our knowledge: social expectations and epistemic normativity","title-short":"To the best of our knowledge","author":[{"family":"Goldberg","given":"Sanford C."}],"issued":{"date-parts":[["2018"]]}}},{"id":962,"uris":["http://zotero.org/users/local/jz7T3Opo/items/T52MH78Z"],"itemData":{"id":962,"type":"chapter","container-title":"Epistemic Evaluation: Purposeful Epistemology","page":"247-273","publisher":"Oxford University Press","title":"Epistemic Normativity and Social Norms","author":[{"family":"Graham","given":"Peter"}],"editor":[{"family":"Greco","given":"John"},{"family":"Henderson","given":"David"}],"issued":{"date-parts":[["2015"]]}}},{"id":913,"uris":["http://zotero.org/users/local/jz7T3Opo/items/FELGTGYB"],"itemData":{"id":913,"type":"book","publisher":"Cambridge University Press","source":"Google Scholar","title":"The Transmission of knowledge","author":[{"family":"Greco","given":"John"}],"issued":{"date-parts":[["2020"]]}}},{"id":100,"uris":["http://zotero.org/users/local/jz7T3Opo/items/4KN3WW78"],"itemData":{"id":100,"type":"article-journal","container-title":"Episteme","issue":"3","note":"publisher: Cambridge University Press","page":"281–300","source":"Google Scholar","title":"Are Epistemic Norms Fundamentally Social Norms?","volume":"17","author":[{"family":"Henderson","given":"David"}],"issued":{"date-parts":[["2020"]]}}},{"id":770,"uris":["http://zotero.org/users/local/jz7T3Opo/items/E4URLCLX"],"itemData":{"id":770,"type":"article-journal","abstract":"This paper is a beginning--an initial attempt to think of the function and character of epistemic norms as a kind of social norm. We draw on social scientific thinking about social norms and the social games to which they respond. Assume that people individually follow epistemic norms for the sake of acquiring a stock of true beliefs. When they live in groups and share information with each other, they will in turn produce a shared store of true beliefs, an epistemic public good. True beliefs, produced individually or in groups, constitute an epistemic good—one commonly stockpiled and distributed within a community. Epistemic norms can then be understood as a kind of socially developed and transmitted normative sensibility having to do with the production of this individual and public good. Epistemic norms should serve to regulate this practice—coordinating the practice of individuals so as to afford the benefits of life in an interdependent epistemic community—and to manage the risks of being epistemically dependent on others within such a community. Here, we provide some attempts to characterize the central aspects of \"the epistemic game\"—the epistemic choice situation confronted by communities of epistemic agents.","container-title":"American Philosophical Quarterly","ISSN":"0003-0481","issue":"4","note":"publisher: [North American Philosophical Publications, University of Illinois Press]","page":"367-382","source":"JSTOR","title":"Epistemic Norms and the \"Epistemic Game\" they regulate: The Basic Structured Epistemic Costs and Benefits","title-short":"EPISTEMIC NORMS AND THE \"EPISTEMIC GAME\" THEY REGULATE","volume":"54","author":[{"family":"Henderson","given":"David"},{"family":"Graham","given":"Peter"}],"issued":{"date-parts":[["2017"]]}}},{"id":928,"uris":["http://zotero.org/users/local/jz7T3Opo/items/T765ZA9T"],"itemData":{"id":928,"type":"article-journal","abstract":"According to anti-reductionism in the epistemology of testimony, testimonial entitlement is easy to come by: all you need to do is listen to what you are being told. Say you like anti-reductionism; one question that you will need to answer is how come testimonial entitlement comes so cheap; after all, people are free to lie. This paper has two aims: first, it looks at the main anti-reductionist answers to this question and argues that they remain unsatisfactory. Second, it goes on a rescue mission on behalf of anti-reductionism. I put forth a novel, knowledge-first anti-reductionist account, which I dub ‘Testimonial Contractarianism’. According to the view defended here, in virtue of the social contract in play, compliance with the norms governing speech acts is the default position for speakers. Insofar as norm compliance is the default for speakers, I argue, all else equal, entitlement to believe is the default for hearers.","container-title":"Noûs","DOI":"10.1111/nous.12337","ISSN":"1468-0068","issue":"4","language":"en","note":"_eprint: https://onlinelibrary.wiley.com/doi/pdf/10.1111/nous.12337","page":"891-916","source":"Wiley Online Library","title":"Testimonial contractarianism: A knowledge-first social epistemology","title-short":"Testimonial contractarianism","volume":"55","author":[{"family":"Simion","given":"Mona"}],"issued":{"date-parts":[["2021"]]}}}],"schema":"https://github.com/citation-style-language/schema/raw/master/csl-citation.json"} </w:instrText>
      </w:r>
      <w:r w:rsidR="0002408A" w:rsidRPr="009B1F4E">
        <w:rPr>
          <w:rFonts w:ascii="Garamond" w:hAnsi="Garamond" w:cs="Calibri"/>
          <w:color w:val="000000" w:themeColor="text1"/>
        </w:rPr>
        <w:fldChar w:fldCharType="separate"/>
      </w:r>
      <w:r w:rsidR="00816711" w:rsidRPr="009B1F4E">
        <w:rPr>
          <w:rFonts w:ascii="Garamond" w:hAnsi="Garamond" w:cs="Calibri"/>
          <w:noProof/>
          <w:color w:val="000000" w:themeColor="text1"/>
        </w:rPr>
        <w:t>(see, e.g., Faulkner 2011; Goldberg 2018; Graham 2015; Greco 2020; Henderson 2020; Henderson and Graham 2017; Simion 2021)</w:t>
      </w:r>
      <w:r w:rsidR="0002408A" w:rsidRPr="009B1F4E">
        <w:rPr>
          <w:rFonts w:ascii="Garamond" w:hAnsi="Garamond" w:cs="Calibri"/>
          <w:color w:val="000000" w:themeColor="text1"/>
        </w:rPr>
        <w:fldChar w:fldCharType="end"/>
      </w:r>
      <w:r w:rsidR="0002408A" w:rsidRPr="009B1F4E">
        <w:rPr>
          <w:rStyle w:val="notion-enable-hover"/>
          <w:rFonts w:ascii="Garamond" w:hAnsi="Garamond" w:cs="Calibri"/>
          <w:color w:val="000000" w:themeColor="text1"/>
        </w:rPr>
        <w:t>.</w:t>
      </w:r>
      <w:r w:rsidR="0002408A" w:rsidRPr="009B1F4E">
        <w:rPr>
          <w:rFonts w:ascii="Garamond" w:hAnsi="Garamond" w:cs="Calibri"/>
          <w:color w:val="000000" w:themeColor="text1"/>
        </w:rPr>
        <w:t xml:space="preserve"> These </w:t>
      </w:r>
      <w:r w:rsidR="00DE5248" w:rsidRPr="009B1F4E">
        <w:rPr>
          <w:rFonts w:ascii="Garamond" w:hAnsi="Garamond" w:cs="Calibri"/>
          <w:color w:val="000000" w:themeColor="text1"/>
        </w:rPr>
        <w:t>norms</w:t>
      </w:r>
      <w:r w:rsidR="0002408A" w:rsidRPr="009B1F4E">
        <w:rPr>
          <w:rFonts w:ascii="Garamond" w:hAnsi="Garamond" w:cs="Calibri"/>
          <w:color w:val="000000" w:themeColor="text1"/>
        </w:rPr>
        <w:t xml:space="preserve"> guide agents in acquiring practical and propositional knowledge in social learning and elsewhere. </w:t>
      </w:r>
    </w:p>
    <w:p w14:paraId="7C9BEFF3" w14:textId="2D26D30D" w:rsidR="00FD1630" w:rsidRPr="009B1F4E" w:rsidRDefault="0002408A" w:rsidP="0002408A">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I suggest that a sub-kind of such a norm — </w:t>
      </w:r>
      <w:r w:rsidR="00816711" w:rsidRPr="009B1F4E">
        <w:rPr>
          <w:rFonts w:ascii="Garamond" w:hAnsi="Garamond" w:cs="Calibri"/>
          <w:color w:val="000000" w:themeColor="text1"/>
        </w:rPr>
        <w:t>an epistemic coordination-norm (Henderson 2020) — functioned to regulate</w:t>
      </w:r>
      <w:r w:rsidR="00B93D74" w:rsidRPr="009B1F4E">
        <w:rPr>
          <w:rFonts w:ascii="Garamond" w:hAnsi="Garamond"/>
          <w:color w:val="000000" w:themeColor="text1"/>
        </w:rPr>
        <w:t xml:space="preserve"> both what I call the </w:t>
      </w:r>
      <w:r w:rsidR="00B93D74" w:rsidRPr="009B1F4E">
        <w:rPr>
          <w:rFonts w:ascii="Garamond" w:hAnsi="Garamond"/>
          <w:i/>
          <w:iCs/>
          <w:color w:val="000000" w:themeColor="text1"/>
        </w:rPr>
        <w:t>content</w:t>
      </w:r>
      <w:r w:rsidR="00B93D74" w:rsidRPr="009B1F4E">
        <w:rPr>
          <w:rFonts w:ascii="Garamond" w:hAnsi="Garamond"/>
          <w:color w:val="000000" w:themeColor="text1"/>
        </w:rPr>
        <w:t xml:space="preserve"> and the </w:t>
      </w:r>
      <w:r w:rsidR="00B93D74" w:rsidRPr="009B1F4E">
        <w:rPr>
          <w:rFonts w:ascii="Garamond" w:hAnsi="Garamond"/>
          <w:i/>
          <w:iCs/>
          <w:color w:val="000000" w:themeColor="text1"/>
        </w:rPr>
        <w:t>form</w:t>
      </w:r>
      <w:r w:rsidR="00B93D74" w:rsidRPr="009B1F4E">
        <w:rPr>
          <w:rFonts w:ascii="Garamond" w:hAnsi="Garamond"/>
          <w:color w:val="000000" w:themeColor="text1"/>
        </w:rPr>
        <w:t xml:space="preserve"> of cultural learning.</w:t>
      </w:r>
      <w:r w:rsidR="00B93D74" w:rsidRPr="009B1F4E">
        <w:rPr>
          <w:rFonts w:ascii="Garamond" w:hAnsi="Garamond" w:cs="Calibri"/>
          <w:color w:val="000000" w:themeColor="text1"/>
        </w:rPr>
        <w:t xml:space="preserve"> </w:t>
      </w:r>
      <w:r w:rsidR="00563557" w:rsidRPr="009B1F4E">
        <w:rPr>
          <w:rFonts w:ascii="Garamond" w:hAnsi="Garamond" w:cs="Calibri"/>
          <w:color w:val="000000" w:themeColor="text1"/>
        </w:rPr>
        <w:t xml:space="preserve">I show how there’s a need for such norms in two key social learning </w:t>
      </w:r>
      <w:r w:rsidR="00061DCC" w:rsidRPr="009B1F4E">
        <w:rPr>
          <w:rFonts w:ascii="Garamond" w:hAnsi="Garamond" w:cs="Calibri"/>
          <w:color w:val="000000" w:themeColor="text1"/>
        </w:rPr>
        <w:t>strategies and</w:t>
      </w:r>
      <w:r w:rsidR="00563557" w:rsidRPr="009B1F4E">
        <w:rPr>
          <w:rFonts w:ascii="Garamond" w:hAnsi="Garamond" w:cs="Calibri"/>
          <w:color w:val="000000" w:themeColor="text1"/>
        </w:rPr>
        <w:t xml:space="preserve"> explain how this need is constituted. </w:t>
      </w:r>
      <w:r w:rsidRPr="009B1F4E">
        <w:rPr>
          <w:rFonts w:ascii="Garamond" w:hAnsi="Garamond" w:cs="Calibri"/>
          <w:color w:val="000000" w:themeColor="text1"/>
        </w:rPr>
        <w:t xml:space="preserve">In assessor-teaching </w:t>
      </w:r>
      <w:r w:rsidRPr="009B1F4E">
        <w:rPr>
          <w:rFonts w:ascii="Garamond" w:hAnsi="Garamond" w:cs="Calibri"/>
          <w:color w:val="000000" w:themeColor="text1"/>
        </w:rPr>
        <w:fldChar w:fldCharType="begin"/>
      </w:r>
      <w:r w:rsidR="004C1DC7" w:rsidRPr="009B1F4E">
        <w:rPr>
          <w:rFonts w:ascii="Garamond" w:hAnsi="Garamond" w:cs="Calibri"/>
          <w:color w:val="000000" w:themeColor="text1"/>
        </w:rPr>
        <w:instrText xml:space="preserve"> ADDIN ZOTERO_ITEM CSL_CITATION {"citationID":"ptDnGATg","properties":{"formattedCitation":"(e.g. Castro et al. 2019; 2021)","plainCitation":"(e.g. Castro et al. 2019; 2021)","noteIndex":0},"citationItems":[{"id":980,"uris":["http://zotero.org/users/local/jz7T3Opo/items/8WST3JQQ"],"itemData":{"id":980,"type":"article-journal","abstract":"According to the dual inheritance theory, cultural learning in our species is a biased and highly efficient process of transmitting cultural traits. Here we define a model of cultural learning where social learning is integrated as a complementary element that facilitates the discovery of a specific behavior by an apprentice, and not as a mechanism that works in opposition to individual learning. In that context, we propose that the emergence of the ability to approve or disapprove of offspring behavior, orienting their learning (a process we call assessor teaching), transformed primate social learning into a cultural transmission system, like that which characterizes our species. Assessor teaching facilitates the replication and/or reconstruction of behaviors that are difficult to imitate and helps to determine which behaviors should be imitated. We also explore the form in which assessor teaching has conditioned the evolution of our abilities to develop cultures in the hominin line, converting us into individuals equipped with what we call a suadens psychology. Our main point is to defend the hypothesis that suadens psychology determines the stability and dynamics that affect the trajectories of many cultural characters. We compare our proposal with other theories about cultural evolution, specifically with dual inheritance theory and cultural attraction theory.","container-title":"Biological Theory","DOI":"10.1007/s13752-018-00314-2","ISSN":"1555-5550","issue":"2","journalAbbreviation":"Biol Theory","language":"en","page":"112-121","source":"Springer Link","title":"The Role of Assessor Teaching in Human Culture","volume":"14","author":[{"family":"Castro","given":"Laureano"},{"family":"Castro-Nogueira","given":"Miguel Ángel"},{"family":"Villarroel","given":"Morris"},{"family":"Toro","given":"Miguel Ángel"}],"issued":{"date-parts":[["2019",6,1]]}},"label":"page","prefix":"e.g."},{"id":978,"uris":["http://zotero.org/users/local/jz7T3Opo/items/39JPDLIV"],"itemData":{"id":978,"type":"article-journal","container-title":"Biological Theory","issue":"1","note":"publisher: Springer","page":"5–15","source":"Google Scholar","title":"Assessor Teaching and the Evolution of Human Morality","volume":"16","author":[{"family":"Castro","given":"Laureano"},{"family":"Castro-Nogueira","given":"Miguel Ángel"},{"family":"Villarroel","given":"Morris"},{"family":"Toro","given":"Miguel Ángel"}],"issued":{"date-parts":[["2021"]]}}}],"schema":"https://github.com/citation-style-language/schema/raw/master/csl-citation.json"}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(e.g. Castro et al. 2019; 2021)</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w:t>
      </w:r>
      <w:r w:rsidR="00536C62" w:rsidRPr="009B1F4E">
        <w:rPr>
          <w:rFonts w:ascii="Garamond" w:hAnsi="Garamond" w:cs="Calibri"/>
          <w:color w:val="000000" w:themeColor="text1"/>
        </w:rPr>
        <w:t>epistemic coordination</w:t>
      </w:r>
      <w:r w:rsidRPr="009B1F4E">
        <w:rPr>
          <w:rFonts w:ascii="Garamond" w:hAnsi="Garamond" w:cs="Calibri"/>
          <w:color w:val="000000" w:themeColor="text1"/>
        </w:rPr>
        <w:t xml:space="preserve"> norms allow agents to coordinate </w:t>
      </w:r>
      <w:r w:rsidR="002F50E9" w:rsidRPr="009B1F4E">
        <w:rPr>
          <w:rFonts w:ascii="Garamond" w:hAnsi="Garamond" w:cs="Calibri"/>
          <w:color w:val="000000" w:themeColor="text1"/>
        </w:rPr>
        <w:t xml:space="preserve">around the </w:t>
      </w:r>
      <w:r w:rsidR="002F50E9" w:rsidRPr="009B1F4E">
        <w:rPr>
          <w:rFonts w:ascii="Garamond" w:hAnsi="Garamond" w:cs="Calibri"/>
          <w:i/>
          <w:iCs/>
          <w:color w:val="000000" w:themeColor="text1"/>
        </w:rPr>
        <w:t>content</w:t>
      </w:r>
      <w:r w:rsidR="002F50E9" w:rsidRPr="009B1F4E">
        <w:rPr>
          <w:rFonts w:ascii="Garamond" w:hAnsi="Garamond" w:cs="Calibri"/>
          <w:color w:val="000000" w:themeColor="text1"/>
        </w:rPr>
        <w:t xml:space="preserve"> of social learning, i.e.,</w:t>
      </w:r>
      <w:r w:rsidRPr="009B1F4E">
        <w:rPr>
          <w:rFonts w:ascii="Garamond" w:hAnsi="Garamond" w:cs="Calibri"/>
          <w:color w:val="000000" w:themeColor="text1"/>
        </w:rPr>
        <w:t xml:space="preserve"> what is to be known and how this is to be done. </w:t>
      </w:r>
      <w:r w:rsidR="00A13C69" w:rsidRPr="009B1F4E">
        <w:rPr>
          <w:rFonts w:ascii="Garamond" w:hAnsi="Garamond" w:cs="Calibri"/>
          <w:color w:val="000000" w:themeColor="text1"/>
        </w:rPr>
        <w:t>T</w:t>
      </w:r>
      <w:r w:rsidRPr="009B1F4E">
        <w:rPr>
          <w:rFonts w:ascii="Garamond" w:hAnsi="Garamond" w:cs="Calibri"/>
          <w:color w:val="000000" w:themeColor="text1"/>
        </w:rPr>
        <w:t xml:space="preserve">hese norms </w:t>
      </w:r>
      <w:r w:rsidR="00A13C69" w:rsidRPr="009B1F4E">
        <w:rPr>
          <w:rFonts w:ascii="Garamond" w:hAnsi="Garamond" w:cs="Calibri"/>
          <w:color w:val="000000" w:themeColor="text1"/>
        </w:rPr>
        <w:t xml:space="preserve">also </w:t>
      </w:r>
      <w:r w:rsidRPr="009B1F4E">
        <w:rPr>
          <w:rFonts w:ascii="Garamond" w:hAnsi="Garamond" w:cs="Calibri"/>
          <w:color w:val="000000" w:themeColor="text1"/>
        </w:rPr>
        <w:t xml:space="preserve">allow agents to coordinate around </w:t>
      </w:r>
      <w:r w:rsidR="002F50E9" w:rsidRPr="009B1F4E">
        <w:rPr>
          <w:rFonts w:ascii="Garamond" w:hAnsi="Garamond" w:cs="Calibri"/>
          <w:color w:val="000000" w:themeColor="text1"/>
        </w:rPr>
        <w:t xml:space="preserve">the </w:t>
      </w:r>
      <w:r w:rsidR="002F50E9" w:rsidRPr="009B1F4E">
        <w:rPr>
          <w:rFonts w:ascii="Garamond" w:hAnsi="Garamond" w:cs="Calibri"/>
          <w:i/>
          <w:iCs/>
          <w:color w:val="000000" w:themeColor="text1"/>
        </w:rPr>
        <w:t>form</w:t>
      </w:r>
      <w:r w:rsidR="002F50E9" w:rsidRPr="009B1F4E">
        <w:rPr>
          <w:rFonts w:ascii="Garamond" w:hAnsi="Garamond" w:cs="Calibri"/>
          <w:color w:val="000000" w:themeColor="text1"/>
        </w:rPr>
        <w:t xml:space="preserve"> of cultural learning </w:t>
      </w:r>
      <w:r w:rsidR="00A13C69" w:rsidRPr="009B1F4E">
        <w:rPr>
          <w:rFonts w:ascii="Garamond" w:hAnsi="Garamond" w:cs="Calibri"/>
          <w:color w:val="000000" w:themeColor="text1"/>
        </w:rPr>
        <w:t xml:space="preserve">in what’s sometimes called strategic social learning </w:t>
      </w:r>
      <w:r w:rsidR="00A13C69" w:rsidRPr="009B1F4E">
        <w:rPr>
          <w:rFonts w:ascii="Garamond" w:hAnsi="Garamond" w:cs="Calibri"/>
          <w:color w:val="000000" w:themeColor="text1"/>
        </w:rPr>
        <w:fldChar w:fldCharType="begin"/>
      </w:r>
      <w:r w:rsidR="004C1DC7" w:rsidRPr="009B1F4E">
        <w:rPr>
          <w:rFonts w:ascii="Garamond" w:hAnsi="Garamond" w:cs="Calibri"/>
          <w:color w:val="000000" w:themeColor="text1"/>
        </w:rPr>
        <w:instrText xml:space="preserve"> ADDIN ZOTERO_ITEM CSL_CITATION {"citationID":"0iReQFt9","properties":{"formattedCitation":"(Laland 2004; Hoppitt and Laland 2013; Heyes 2018, chap. 5)","plainCitation":"(Laland 2004; Hoppitt and Laland 2013; Heyes 2018, chap. 5)","noteIndex":0},"citationItems":[{"id":815,"uris":["http://zotero.org/users/local/jz7T3Opo/items/VWS3ANL5"],"itemData":{"id":815,"type":"article-journal","abstract":"In most studies of social learning in animals, no attempt has been made to examine the nature of the strategy adopted by animals when they copy others. Researchers have expended considerable effort in exploring the psychological processes that underlie social learning and amassed extensive data banks recording purported social learning in the field, but the contexts under which animals copy others remain unexplored. Yet, theoretical models used to investigate the adaptive advantages of social learning lead to the conclusion that social learning cannot be indiscriminate and that individuals should adopt strategies that dictate the circumstances under which they copy others and from whom they learn. In this article, I discuss a number of possible strategies that are predicted by theoretical analyses, includingcopy when uncertain,copy the majority, andcopy if better, and consider the empirical evidence in support of each, drawing from both the animal and human social learning literature. Reliance on social learning strategies may be organized hierarchically, their being employed by animals when unlearned and asocially learned strategies prove ineffective but before animals take recourse in innovation.","container-title":"Animal Learning &amp; Behavior","DOI":"10.3758/BF03196002","ISSN":"1532-5830","issue":"1","journalAbbreviation":"Animal Learning &amp; Behavior","language":"en","page":"4-14","source":"Springer Link","title":"Social learning strategies","volume":"32","author":[{"family":"Laland","given":"Kevin N."}],"issued":{"date-parts":[["2004",2,1]]}}},{"id":989,"uris":["http://zotero.org/users/local/jz7T3Opo/items/2PEGIQIE"],"itemData":{"id":989,"type":"book","abstract":"Many animals, including humans, acquire valuable skills and knowledge by copying others. Scientists refer to this as social learning. It is one of the most exciting and rapidly developing areas of behavioral research and sits at the interface of many academic disciplines, including biology, experimental psychology, economics, and cognitive neuroscience. Social Learning provides a comprehensive, practical guide to the research methods of this important emerging field. William Hoppitt and Kevin Laland define the mechanisms thought to underlie social learning and demonstrate how to distinguish them experimentally in the laboratory. They present techniques for detecting and quantifying social learning in nature, including statistical modeling of the spatial distribution of behavior traits. They also describe the latest theory and empirical findings on social learning strategies, and introduce readers to mathematical methods and models used in the study of cultural evolution. This book is an indispensable tool for researchers and an essential primer for students. Provides a comprehensive, practical guide to social learning research Combines theoretical and empirical approaches Describes techniques for the laboratory and the field Covers social learning mechanisms and strategies, statistical modeling techniques for field data, mathematical modeling of cultural evolution, and more","ISBN":"978-1-4008-4650-4","language":"en","note":"DOI: 10.1515/9781400846504\ncontainer-title: Social Learning","publisher":"Princeton University Press","source":"www.degruyter.com","title":"Social Learning: An Introduction to Mechanisms, Methods, and Models","title-short":"Social Learning","URL":"https://www.degruyter.com/document/doi/10.1515/9781400846504/html?lang=de","author":[{"family":"Hoppitt","given":"William"},{"family":"Laland","given":"Kevin N."}],"accessed":{"date-parts":[["2022",4,25]]},"issued":{"date-parts":[["2013",7,21]]}}},{"id":809,"uris":["http://zotero.org/users/local/jz7T3Opo/items/LD8WZRV6"],"itemData":{"id":809,"type":"book","abstract":"How did human minds become so different from those of other animals? What accounts for our capacity to understand the way the physical world works, to think ourselves into the minds of others, to gossip, read, tell stories about the past, and imagine the future? These questions are not new: they have been debated by philosophers, psychologists, anthropologists, evolutionists, and neurobiologists over the course of centuries. One explanation widely accepted today is that humans have special cognitive instincts. Unlike other living animal species, we are born with complicated mechanisms for reasoning about causation, reading the minds of others, copying behaviors, and using language. Cecilia Heyes agrees that adult humans have impressive pieces of cognitive equipment. In her framing, however, these cognitive gadgets are not instincts programmed in the genes but are constructed in the course of childhood through social interaction. Cognitive gadgets are products of cultural evolution, rather than genetic evolution. At birth, the minds of human babies are only subtly different from the minds of newborn chimpanzees. We are friendlier, our attention is drawn to different things, and we have a capacity to learn and remember that outstrips the abilities of newborn chimpanzees. Yet when these subtle differences are exposed to culture-soaked human environments, they have enormous effects. They enable us to upload distinctively human ways of thinking from the social world around us. As Cognitive Gadgets makes clear, from birth our malleable human minds can learn through culture not only what to think but how to think it.","publisher":"Harvard University Press","source":"www.degruyter.com","title":"Cognitive Gadgets","author":[{"family":"Heyes","given":"Cecilia"}],"issued":{"date-parts":[["2018"]]}},"locator":"5","label":"chapter"}],"schema":"https://github.com/citation-style-language/schema/raw/master/csl-citation.json"} </w:instrText>
      </w:r>
      <w:r w:rsidR="00A13C69" w:rsidRPr="009B1F4E">
        <w:rPr>
          <w:rFonts w:ascii="Garamond" w:hAnsi="Garamond" w:cs="Calibri"/>
          <w:color w:val="000000" w:themeColor="text1"/>
        </w:rPr>
        <w:fldChar w:fldCharType="separate"/>
      </w:r>
      <w:r w:rsidR="00A13C69" w:rsidRPr="009B1F4E">
        <w:rPr>
          <w:rFonts w:ascii="Garamond" w:hAnsi="Garamond" w:cs="Calibri"/>
          <w:noProof/>
          <w:color w:val="000000" w:themeColor="text1"/>
        </w:rPr>
        <w:t>(Laland 2004; Hoppitt and Laland 2013; Heyes 2018, chap. 5)</w:t>
      </w:r>
      <w:r w:rsidR="00A13C69" w:rsidRPr="009B1F4E">
        <w:rPr>
          <w:rFonts w:ascii="Garamond" w:hAnsi="Garamond" w:cs="Calibri"/>
          <w:color w:val="000000" w:themeColor="text1"/>
        </w:rPr>
        <w:fldChar w:fldCharType="end"/>
      </w:r>
      <w:r w:rsidR="00A13C69" w:rsidRPr="009B1F4E">
        <w:rPr>
          <w:rFonts w:ascii="Garamond" w:hAnsi="Garamond" w:cs="Calibri"/>
          <w:color w:val="000000" w:themeColor="text1"/>
        </w:rPr>
        <w:t xml:space="preserve"> and elsewhere. B</w:t>
      </w:r>
      <w:r w:rsidR="00B93D74" w:rsidRPr="009B1F4E">
        <w:rPr>
          <w:rFonts w:ascii="Garamond" w:hAnsi="Garamond" w:cs="Calibri"/>
          <w:color w:val="000000" w:themeColor="text1"/>
        </w:rPr>
        <w:t>roadly speaking</w:t>
      </w:r>
      <w:r w:rsidR="00A13C69" w:rsidRPr="009B1F4E">
        <w:rPr>
          <w:rFonts w:ascii="Garamond" w:hAnsi="Garamond" w:cs="Calibri"/>
          <w:color w:val="000000" w:themeColor="text1"/>
        </w:rPr>
        <w:t xml:space="preserve">, this concerns </w:t>
      </w:r>
      <w:r w:rsidR="00B93D74" w:rsidRPr="009B1F4E">
        <w:rPr>
          <w:rFonts w:ascii="Garamond" w:hAnsi="Garamond" w:cs="Calibri"/>
          <w:color w:val="000000" w:themeColor="text1"/>
        </w:rPr>
        <w:t>how cultural learning is organised within the social group, i.e. under which conditions agents learn from others, from whom they learn, which strategies or mechanisms they’re incentivised to employ and how their learning environments are structured.</w:t>
      </w:r>
      <w:r w:rsidR="00887F1E" w:rsidRPr="009B1F4E">
        <w:rPr>
          <w:rFonts w:ascii="Garamond" w:hAnsi="Garamond" w:cs="Calibri"/>
          <w:color w:val="000000" w:themeColor="text1"/>
        </w:rPr>
        <w:t xml:space="preserve"> </w:t>
      </w:r>
    </w:p>
    <w:p w14:paraId="1611133D" w14:textId="7A87FF5A" w:rsidR="0002408A" w:rsidRPr="009B1F4E" w:rsidRDefault="0002408A" w:rsidP="0002408A">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Whereas the existing literature on the evolution of epistemic norms has mainly focused on the exchange of reasons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{"citationID":"FXn5O0Kp","properties":{"formattedCitation":"(Tomasello 2020; Norman 2016; Mercier and Sperber 2017)","plainCitation":"(Tomasello 2020; Norman 2016; Mercier and Sperber 2017)","noteIndex":0},"citationItems":[{"id":916,"uris":["http://zotero.org/users/local/jz7T3Opo/items/8WTEMDIH"],"itemData":{"id":916,"type":"article-journal","abstract":"In this paper, I approach epistemic norms from an ontogenetic point of view. I argue and present evidence that to understand epistemic norms – e.g., scientific norms of methodology and the evaluation of evidence – children must first develop through their social interactions with others three key concepts. First is the concept of belief, which provides the most basic distinction on which scientific investigations rest: the distinction between individual subjective perspectives and an objective reality. Second is the concept of reason, which in the context of science obligates practitioners to justify their claims to others with reasons by grounding them in beliefs that are universally shared within the community. Third is the concept of social norm, which is not primarily epistemic, but provides children with an understanding of norms as collective agreements. The theoretical argument is that all three of these concepts emerge not from just any kind of social interaction, but specifically from social interactions structured by the human species’ unique capacities for shared intentionality.","container-title":"Episteme","DOI":"10.1017/epi.2019.50","ISSN":"1742-3600, 1750-0117","issue":"3","language":"en","note":"publisher: Cambridge University Press","page":"301-315","source":"Cambridge University Press","title":"The Ontogenetic Foundations of Epistemic Norms","volume":"17","author":[{"family":"Tomasello","given":"Michael"}],"issued":{"date-parts":[["2020",9]]}}},{"id":820,"uris":["http://zotero.org/users/local/jz7T3Opo/items/6Q3NBTWR"],"itemData":{"id":820,"type":"article-journal","abstract":"Why do humans reason? Many animals draw inferences, but reasoning—the tendency to produce and respond to reason-giving performances—is biologically unusual, and demands evolutionary explanation. Mercier and Sperber (Behav Brain Sci 34:57–111, 2011) advance our understanding of reason’s adaptive function with their argumentative theory of reason (ATR). On this account, the “function of reason is argumentative… to devise and evaluate arguments intended to persuade.” ATR, they argue, helps to explain several well-known cognitive biases. In this paper, I develop a neighboring hypothesis called the intention alignment model (IAM) and contrast it with ATR. I conjecture that reasoning evolved primarily because it helped social hominins more readily and fully align their intentions. We use reasons to advance various proximal ends, but in the main, we do it to overwrite the beliefs and desires of others: to get others to think like us. Reason afforded our ancestors a powerful way to build and maintain the shared outlooks necessary for a highly collaborative existence. Yes, we sometimes argue so as to gain argumentative advantage over others, or otherwise advantage ourselves at the expense of those we argue with, but more often, we reason in ways that are mutually advantageous. In fact, there are excellent reasons for thinking this must be so. IAM, I suggest, neatly explains the available evidence, while also providing a more coherent account of reason’s origins.","container-title":"Biology &amp; Philosophy","DOI":"10.1007/s10539-016-9532-4","ISSN":"1572-8404","issue":"5","journalAbbreviation":"Biol Philos","language":"en","page":"685-704","source":"Springer Link","title":"Why we reason: intention-alignment and the genesis of human rationality","title-short":"Why we reason","volume":"31","author":[{"family":"Norman","given":"Andy"}],"issued":{"date-parts":[["2016",9,1]]}}},{"id":442,"uris":["http://zotero.org/users/local/jz7T3Opo/items/ZB6FIMND"],"itemData":{"id":442,"type":"book","abstract":"Reason, we are told, is what makes us human, the source of our knowledge and wisdom. If reason is so useful, why didn't it also evolve in other animals? If reason is that reliable, why do we produce so much thoroughly reasoned nonsense? In their groundbreaking account of the evolution and workings of reason, Hugo Mercier and Dan Sperber set out to solve this double enigma. Reason, they argue with a compelling mix of real-life and experimental evidence, is not geared to solitary use, to arriving at better beliefs and decisions on our own. What reason does, rather, is help us justify our beliefs and actions to others, convince them through argumentation, and evaluate the justifications and arguments that others address to us. In other words, reason helps humans better exploit their uniquely rich social environment. This interactionist interpretation explains why reason may have evolved and how it fits with other cognitive mechanisms. It makes sense of strengths and weaknesses that have long puzzled philosophers and psychologists--why reason is biased in favor of what we already believe, why it may lead to terrible ideas and yet is indispensable to spreading good ones.--","call-number":"B833 .M47 2017","event-place":"Cambridge, Massachusetts","ISBN":"978-0-674-36830-9","language":"en","number-of-pages":"396","publisher":"Harvard University Press","publisher-place":"Cambridge, Massachusetts","source":"Library of Congress ISBN","title":"The enigma of reason","author":[{"family":"Mercier","given":"Hugo"},{"family":"Sperber","given":"Dan"}],"issued":{"date-parts":[["2017"]]}}}],"schema":"https://github.com/citation-style-language/schema/raw/master/csl-citation.json"}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(Tomasello 2020; Norman 2016; Mercier and Sperber 2017)</w:t>
      </w:r>
      <w:r w:rsidRPr="009B1F4E">
        <w:rPr>
          <w:rFonts w:ascii="Garamond" w:hAnsi="Garamond" w:cs="Calibri"/>
          <w:color w:val="000000" w:themeColor="text1"/>
        </w:rPr>
        <w:fldChar w:fldCharType="end"/>
      </w:r>
      <w:r w:rsidRPr="009B1F4E">
        <w:rPr>
          <w:rFonts w:ascii="Garamond" w:hAnsi="Garamond" w:cs="Calibri"/>
          <w:color w:val="000000" w:themeColor="text1"/>
        </w:rPr>
        <w:t>, the upshot of this section is that social learning has been</w:t>
      </w:r>
      <w:r w:rsidR="00210B06" w:rsidRPr="009B1F4E">
        <w:rPr>
          <w:rFonts w:ascii="Garamond" w:hAnsi="Garamond" w:cs="Calibri"/>
          <w:color w:val="000000" w:themeColor="text1"/>
        </w:rPr>
        <w:t xml:space="preserve"> </w:t>
      </w:r>
      <w:r w:rsidRPr="009B1F4E">
        <w:rPr>
          <w:rFonts w:ascii="Garamond" w:hAnsi="Garamond" w:cs="Calibri"/>
          <w:color w:val="000000" w:themeColor="text1"/>
        </w:rPr>
        <w:t xml:space="preserve">a normative phenomenon for longer than we might </w:t>
      </w:r>
      <w:r w:rsidRPr="009B1F4E">
        <w:rPr>
          <w:rFonts w:ascii="Garamond" w:hAnsi="Garamond" w:cs="Calibri"/>
          <w:color w:val="000000" w:themeColor="text1"/>
        </w:rPr>
        <w:lastRenderedPageBreak/>
        <w:t>have thought</w:t>
      </w:r>
      <w:r w:rsidR="00887F1E" w:rsidRPr="009B1F4E">
        <w:rPr>
          <w:rFonts w:ascii="Garamond" w:hAnsi="Garamond" w:cs="Calibri"/>
          <w:color w:val="000000" w:themeColor="text1"/>
        </w:rPr>
        <w:t xml:space="preserve">. What emerges is thus a new view on the evolution of cumulative culture and social learning. </w:t>
      </w:r>
    </w:p>
    <w:p w14:paraId="53CCDA70" w14:textId="1B6332B7" w:rsidR="0002408A" w:rsidRPr="009B1F4E" w:rsidRDefault="0002408A" w:rsidP="0002408A">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In the second part of the paper (section 4), I </w:t>
      </w:r>
      <w:r w:rsidR="009D457F" w:rsidRPr="009B1F4E">
        <w:rPr>
          <w:rFonts w:ascii="Garamond" w:hAnsi="Garamond" w:cs="Calibri"/>
          <w:color w:val="000000" w:themeColor="text1"/>
        </w:rPr>
        <w:t xml:space="preserve">show why the </w:t>
      </w:r>
      <w:r w:rsidRPr="009B1F4E">
        <w:rPr>
          <w:rFonts w:ascii="Garamond" w:hAnsi="Garamond" w:cs="Calibri"/>
          <w:color w:val="000000" w:themeColor="text1"/>
        </w:rPr>
        <w:t xml:space="preserve">above view </w:t>
      </w:r>
      <w:r w:rsidR="009D457F" w:rsidRPr="009B1F4E">
        <w:rPr>
          <w:rFonts w:ascii="Garamond" w:hAnsi="Garamond" w:cs="Calibri"/>
          <w:color w:val="000000" w:themeColor="text1"/>
        </w:rPr>
        <w:t xml:space="preserve">matters, as it </w:t>
      </w:r>
      <w:r w:rsidRPr="009B1F4E">
        <w:rPr>
          <w:rFonts w:ascii="Garamond" w:hAnsi="Garamond" w:cs="Calibri"/>
          <w:color w:val="000000" w:themeColor="text1"/>
        </w:rPr>
        <w:t>has implications</w:t>
      </w:r>
      <w:r w:rsidR="00AA43AC" w:rsidRPr="009B1F4E">
        <w:rPr>
          <w:rFonts w:ascii="Garamond" w:hAnsi="Garamond" w:cs="Calibri"/>
          <w:color w:val="000000" w:themeColor="text1"/>
        </w:rPr>
        <w:t xml:space="preserve"> not only for </w:t>
      </w:r>
      <w:r w:rsidR="004C1DC7" w:rsidRPr="009B1F4E">
        <w:rPr>
          <w:rFonts w:ascii="Garamond" w:hAnsi="Garamond" w:cs="Calibri"/>
          <w:color w:val="000000" w:themeColor="text1"/>
        </w:rPr>
        <w:t xml:space="preserve">our understanding of </w:t>
      </w:r>
      <w:r w:rsidR="00AA43AC" w:rsidRPr="009B1F4E">
        <w:rPr>
          <w:rFonts w:ascii="Garamond" w:hAnsi="Garamond" w:cs="Calibri"/>
          <w:color w:val="000000" w:themeColor="text1"/>
        </w:rPr>
        <w:t>cumulative culture but also</w:t>
      </w:r>
      <w:r w:rsidRPr="009B1F4E">
        <w:rPr>
          <w:rFonts w:ascii="Garamond" w:hAnsi="Garamond" w:cs="Calibri"/>
          <w:color w:val="000000" w:themeColor="text1"/>
        </w:rPr>
        <w:t xml:space="preserve"> for how we think about the evolution of social norms. </w:t>
      </w:r>
      <w:r w:rsidR="009D457F" w:rsidRPr="009B1F4E">
        <w:rPr>
          <w:rFonts w:ascii="Garamond" w:hAnsi="Garamond" w:cs="Calibri"/>
          <w:color w:val="000000" w:themeColor="text1"/>
        </w:rPr>
        <w:t>I suggest</w:t>
      </w:r>
      <w:r w:rsidRPr="009B1F4E">
        <w:rPr>
          <w:rFonts w:ascii="Garamond" w:hAnsi="Garamond" w:cs="Calibri"/>
          <w:color w:val="000000" w:themeColor="text1"/>
        </w:rPr>
        <w:t xml:space="preserve"> that truly </w:t>
      </w:r>
      <w:r w:rsidRPr="009B1F4E">
        <w:rPr>
          <w:rFonts w:ascii="Garamond" w:hAnsi="Garamond" w:cs="Calibri"/>
          <w:i/>
          <w:iCs/>
          <w:color w:val="000000" w:themeColor="text1"/>
        </w:rPr>
        <w:t>social</w:t>
      </w:r>
      <w:r w:rsidRPr="009B1F4E">
        <w:rPr>
          <w:rFonts w:ascii="Garamond" w:hAnsi="Garamond" w:cs="Calibri"/>
          <w:color w:val="000000" w:themeColor="text1"/>
        </w:rPr>
        <w:t xml:space="preserve"> norms </w:t>
      </w:r>
      <w:r w:rsidR="009D457F" w:rsidRPr="009B1F4E">
        <w:rPr>
          <w:rFonts w:ascii="Garamond" w:hAnsi="Garamond" w:cs="Calibri"/>
          <w:color w:val="000000" w:themeColor="text1"/>
        </w:rPr>
        <w:t>emerged</w:t>
      </w:r>
      <w:r w:rsidRPr="009B1F4E">
        <w:rPr>
          <w:rFonts w:ascii="Garamond" w:hAnsi="Garamond" w:cs="Calibri"/>
          <w:color w:val="000000" w:themeColor="text1"/>
        </w:rPr>
        <w:t xml:space="preserve"> to coordinate </w:t>
      </w:r>
      <w:r w:rsidR="009D457F" w:rsidRPr="009B1F4E">
        <w:rPr>
          <w:rFonts w:ascii="Garamond" w:hAnsi="Garamond" w:cs="Calibri"/>
          <w:color w:val="000000" w:themeColor="text1"/>
        </w:rPr>
        <w:t xml:space="preserve">a plurality of </w:t>
      </w:r>
      <w:r w:rsidRPr="009B1F4E">
        <w:rPr>
          <w:rFonts w:ascii="Garamond" w:hAnsi="Garamond" w:cs="Calibri"/>
          <w:color w:val="000000" w:themeColor="text1"/>
        </w:rPr>
        <w:t xml:space="preserve">complex behaviours and interactions. To substantiate this picture, I discuss </w:t>
      </w:r>
      <w:r w:rsidR="00DE5248" w:rsidRPr="009B1F4E">
        <w:rPr>
          <w:rFonts w:ascii="Garamond" w:hAnsi="Garamond" w:cs="Calibri"/>
          <w:color w:val="000000" w:themeColor="text1"/>
        </w:rPr>
        <w:t>one</w:t>
      </w:r>
      <w:r w:rsidRPr="009B1F4E">
        <w:rPr>
          <w:rFonts w:ascii="Garamond" w:hAnsi="Garamond" w:cs="Calibri"/>
          <w:color w:val="000000" w:themeColor="text1"/>
        </w:rPr>
        <w:t xml:space="preserve"> of the most prominent accounts </w:t>
      </w:r>
      <w:r w:rsidR="00DE5248" w:rsidRPr="009B1F4E">
        <w:rPr>
          <w:rFonts w:ascii="Garamond" w:hAnsi="Garamond" w:cs="Calibri"/>
          <w:color w:val="000000" w:themeColor="text1"/>
        </w:rPr>
        <w:t>of</w:t>
      </w:r>
      <w:r w:rsidRPr="009B1F4E">
        <w:rPr>
          <w:rFonts w:ascii="Garamond" w:hAnsi="Garamond" w:cs="Calibri"/>
          <w:color w:val="000000" w:themeColor="text1"/>
        </w:rPr>
        <w:t xml:space="preserve"> the evolutionary emergence of social norms — Jonathan Birch’s </w:t>
      </w:r>
      <w:r w:rsidRPr="009B1F4E">
        <w:rPr>
          <w:rFonts w:ascii="Garamond" w:hAnsi="Garamond" w:cs="Calibri"/>
          <w:color w:val="000000" w:themeColor="text1"/>
        </w:rPr>
        <w:fldChar w:fldCharType="begin"/>
      </w:r>
      <w:r w:rsidR="004C1DC7" w:rsidRPr="009B1F4E">
        <w:rPr>
          <w:rFonts w:ascii="Garamond" w:hAnsi="Garamond" w:cs="Calibri"/>
          <w:color w:val="000000" w:themeColor="text1"/>
        </w:rPr>
        <w:instrText xml:space="preserve"> ADDIN ZOTERO_ITEM CSL_CITATION {"citationID":"3zvMNeaJ","properties":{"formattedCitation":"(2021a)","plainCitation":"(2021a)","noteIndex":0},"citationItems":[{"id":505,"uris":["http://zotero.org/users/local/jz7T3Opo/items/V2YJ9ATX"],"itemData":{"id":505,"type":"article-journal","abstract":"We are all guided by thousands of norms, but how did our capacity for normative cognition evolve? I propose there is a deep but neglected link between normative cognition and practical skill. In modern humans, complex motor skills and craft skills, such as toolmaking, are guided by internally represented norms of correct performance. Moreover, it is plausible that core components of human normative cognition evolved as a solution to the distinctive problems of transmitting complex motor skills and craft skills, especially skills related to toolmaking, through social learning. If this is correct, the expansion of the normative domain beyond technique to encompass more abstract norms of fairness, reciprocity, ritual and kinship involved the elaboration of a basic platform for the guidance of skilled action by technical norms. This article motivates and defends this “skill hypothesis” for the origin of normative cognition and sets out various ways in which it could be empirically tested.","container-title":"Biology &amp; Philosophy","DOI":"10.1007/s10539-020-09777-9","ISSN":"0169-3867, 1572-8404","issue":"1","journalAbbreviation":"Biol Philos","language":"en","page":"4","source":"DOI.org (Crossref)","title":"Toolmaking and the evolution of normative cognition","volume":"36","author":[{"family":"Birch","given":"Jonathan"}],"issued":{"date-parts":[["2021",2]]}},"label":"page","suppress-author":true}],"schema":"https://github.com/citation-style-language/schema/raw/master/csl-citation.json"} </w:instrText>
      </w:r>
      <w:r w:rsidRPr="009B1F4E">
        <w:rPr>
          <w:rFonts w:ascii="Garamond" w:hAnsi="Garamond" w:cs="Calibri"/>
          <w:color w:val="000000" w:themeColor="text1"/>
        </w:rPr>
        <w:fldChar w:fldCharType="separate"/>
      </w:r>
      <w:r w:rsidR="004C1DC7" w:rsidRPr="009B1F4E">
        <w:rPr>
          <w:rFonts w:ascii="Garamond" w:hAnsi="Garamond" w:cs="Calibri"/>
          <w:noProof/>
          <w:color w:val="000000" w:themeColor="text1"/>
        </w:rPr>
        <w:t>(2021a)</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I point out how assumptions about the nature of (social) norms lead to different views on their evolution: Birch makes use of a more general concept, where a norm is just any standard of correctness, but thereby doesn’t discriminate clearly between </w:t>
      </w:r>
      <w:r w:rsidR="00DE5248" w:rsidRPr="009B1F4E">
        <w:rPr>
          <w:rFonts w:ascii="Garamond" w:hAnsi="Garamond" w:cs="Calibri"/>
          <w:color w:val="000000" w:themeColor="text1"/>
        </w:rPr>
        <w:t>a crucial</w:t>
      </w:r>
      <w:r w:rsidRPr="009B1F4E">
        <w:rPr>
          <w:rFonts w:ascii="Garamond" w:hAnsi="Garamond" w:cs="Calibri"/>
          <w:color w:val="000000" w:themeColor="text1"/>
        </w:rPr>
        <w:t xml:space="preserve"> evolutionary transition — a transition from norms that only serve to guide an individual’s behaviour </w:t>
      </w:r>
      <w:proofErr w:type="gramStart"/>
      <w:r w:rsidRPr="009B1F4E">
        <w:rPr>
          <w:rFonts w:ascii="Garamond" w:hAnsi="Garamond" w:cs="Calibri"/>
          <w:color w:val="000000" w:themeColor="text1"/>
        </w:rPr>
        <w:t>in light of</w:t>
      </w:r>
      <w:proofErr w:type="gramEnd"/>
      <w:r w:rsidRPr="009B1F4E">
        <w:rPr>
          <w:rFonts w:ascii="Garamond" w:hAnsi="Garamond" w:cs="Calibri"/>
          <w:color w:val="000000" w:themeColor="text1"/>
        </w:rPr>
        <w:t xml:space="preserve"> their own private goals to truly social norms. I also offer a more pluralistic take on what might have brought this transition about. Whereas Birch implies that this was due to problems related to toolmaking, I’ll argue that cumulative culture brought with it a variety of coordination</w:t>
      </w:r>
      <w:r w:rsidR="005310DB" w:rsidRPr="009B1F4E">
        <w:rPr>
          <w:rFonts w:ascii="Garamond" w:hAnsi="Garamond" w:cs="Calibri"/>
          <w:color w:val="000000" w:themeColor="text1"/>
        </w:rPr>
        <w:t xml:space="preserve"> </w:t>
      </w:r>
      <w:r w:rsidRPr="009B1F4E">
        <w:rPr>
          <w:rFonts w:ascii="Garamond" w:hAnsi="Garamond" w:cs="Calibri"/>
          <w:color w:val="000000" w:themeColor="text1"/>
        </w:rPr>
        <w:t xml:space="preserve">problems, amongst them those related to toolmaking, social learning, and the exchange of reasons. It’s because of the combination and interplay of these different </w:t>
      </w:r>
      <w:r w:rsidR="00472529" w:rsidRPr="009B1F4E">
        <w:rPr>
          <w:rFonts w:ascii="Garamond" w:hAnsi="Garamond" w:cs="Calibri"/>
          <w:color w:val="000000" w:themeColor="text1"/>
        </w:rPr>
        <w:t>selection pressures</w:t>
      </w:r>
      <w:r w:rsidRPr="009B1F4E">
        <w:rPr>
          <w:rFonts w:ascii="Garamond" w:hAnsi="Garamond" w:cs="Calibri"/>
          <w:color w:val="000000" w:themeColor="text1"/>
        </w:rPr>
        <w:t xml:space="preserve"> that social norms </w:t>
      </w:r>
      <w:r w:rsidR="006D7E17" w:rsidRPr="009B1F4E">
        <w:rPr>
          <w:rFonts w:ascii="Garamond" w:hAnsi="Garamond" w:cs="Calibri"/>
          <w:color w:val="000000" w:themeColor="text1"/>
        </w:rPr>
        <w:t>emerged</w:t>
      </w:r>
      <w:r w:rsidRPr="009B1F4E">
        <w:rPr>
          <w:rFonts w:ascii="Garamond" w:hAnsi="Garamond" w:cs="Calibri"/>
          <w:color w:val="000000" w:themeColor="text1"/>
        </w:rPr>
        <w:t>. The upshot of this section is a general but cohesive narrative on the evolution of social norms.</w:t>
      </w:r>
    </w:p>
    <w:p w14:paraId="648052F4" w14:textId="205CBF7F" w:rsidR="00E41FE8" w:rsidRPr="009B1F4E" w:rsidRDefault="00E41FE8" w:rsidP="0002408A">
      <w:pPr>
        <w:spacing w:line="360" w:lineRule="auto"/>
        <w:jc w:val="both"/>
        <w:rPr>
          <w:rFonts w:ascii="Garamond" w:hAnsi="Garamond"/>
          <w:color w:val="000000" w:themeColor="text1"/>
        </w:rPr>
      </w:pPr>
      <w:r w:rsidRPr="009B1F4E">
        <w:rPr>
          <w:rFonts w:ascii="Garamond" w:hAnsi="Garamond" w:cs="Calibri"/>
          <w:color w:val="000000" w:themeColor="text1"/>
        </w:rPr>
        <w:t xml:space="preserve">Much of this paper is, of course, speculative to some degree. </w:t>
      </w:r>
      <w:r w:rsidRPr="009B1F4E">
        <w:rPr>
          <w:rFonts w:ascii="Garamond" w:hAnsi="Garamond"/>
          <w:color w:val="000000" w:themeColor="text1"/>
        </w:rPr>
        <w:t>However, as I’ll show</w:t>
      </w:r>
      <w:r w:rsidR="00816711" w:rsidRPr="009B1F4E">
        <w:rPr>
          <w:rFonts w:ascii="Garamond" w:hAnsi="Garamond"/>
          <w:color w:val="000000" w:themeColor="text1"/>
        </w:rPr>
        <w:t>, there is some preliminary support, and the view has the potential to unify different accounts</w:t>
      </w:r>
      <w:r w:rsidRPr="009B1F4E">
        <w:rPr>
          <w:rFonts w:ascii="Garamond" w:hAnsi="Garamond"/>
          <w:color w:val="000000" w:themeColor="text1"/>
        </w:rPr>
        <w:t xml:space="preserve"> of the evolution of social </w:t>
      </w:r>
      <w:r w:rsidR="00CA7BE1" w:rsidRPr="009B1F4E">
        <w:rPr>
          <w:rFonts w:ascii="Garamond" w:hAnsi="Garamond"/>
          <w:color w:val="000000" w:themeColor="text1"/>
        </w:rPr>
        <w:t>norms and</w:t>
      </w:r>
      <w:r w:rsidRPr="009B1F4E">
        <w:rPr>
          <w:rFonts w:ascii="Garamond" w:hAnsi="Garamond"/>
          <w:color w:val="000000" w:themeColor="text1"/>
        </w:rPr>
        <w:t xml:space="preserve"> has interesting implications for debates around animal normativity (see the conclusion). </w:t>
      </w:r>
      <w:r w:rsidRPr="009B1F4E">
        <w:rPr>
          <w:rFonts w:ascii="Garamond" w:hAnsi="Garamond" w:cs="Calibri"/>
          <w:color w:val="000000" w:themeColor="text1"/>
        </w:rPr>
        <w:t xml:space="preserve">Overall, </w:t>
      </w:r>
      <w:r w:rsidR="00DB1951" w:rsidRPr="009B1F4E">
        <w:rPr>
          <w:rFonts w:ascii="Garamond" w:hAnsi="Garamond" w:cs="Calibri"/>
          <w:color w:val="000000" w:themeColor="text1"/>
        </w:rPr>
        <w:t>the paper provides an</w:t>
      </w:r>
      <w:r w:rsidRPr="009B1F4E">
        <w:rPr>
          <w:rFonts w:ascii="Garamond" w:hAnsi="Garamond"/>
          <w:color w:val="000000" w:themeColor="text1"/>
        </w:rPr>
        <w:t xml:space="preserve"> alternative view on the evolution of cultural learning and social norms — </w:t>
      </w:r>
      <w:r w:rsidR="00DB1951" w:rsidRPr="009B1F4E">
        <w:rPr>
          <w:rFonts w:ascii="Garamond" w:hAnsi="Garamond"/>
          <w:color w:val="000000" w:themeColor="text1"/>
        </w:rPr>
        <w:t>a view that hopefully inspires and will be substantiated by further research</w:t>
      </w:r>
      <w:r w:rsidRPr="009B1F4E">
        <w:rPr>
          <w:rFonts w:ascii="Garamond" w:hAnsi="Garamond"/>
          <w:color w:val="000000" w:themeColor="text1"/>
        </w:rPr>
        <w:t xml:space="preserve">. </w:t>
      </w:r>
    </w:p>
    <w:p w14:paraId="6A8DA32A" w14:textId="77777777" w:rsidR="00E41FE8" w:rsidRPr="009B1F4E" w:rsidRDefault="00E41FE8" w:rsidP="0002408A">
      <w:pPr>
        <w:spacing w:line="360" w:lineRule="auto"/>
        <w:jc w:val="both"/>
        <w:rPr>
          <w:rFonts w:ascii="Garamond" w:hAnsi="Garamond" w:cs="Calibri"/>
          <w:color w:val="000000" w:themeColor="text1"/>
        </w:rPr>
      </w:pPr>
    </w:p>
    <w:p w14:paraId="52EA46B6" w14:textId="281EA1B5" w:rsidR="00617F6E" w:rsidRPr="009B1F4E" w:rsidRDefault="00617F6E" w:rsidP="00617F6E">
      <w:pPr>
        <w:pStyle w:val="Listenabsatz"/>
        <w:numPr>
          <w:ilvl w:val="0"/>
          <w:numId w:val="1"/>
        </w:numPr>
        <w:spacing w:line="360" w:lineRule="auto"/>
        <w:jc w:val="both"/>
        <w:rPr>
          <w:rFonts w:ascii="Garamond" w:hAnsi="Garamond" w:cs="Calibri"/>
          <w:b/>
          <w:bCs/>
          <w:color w:val="000000" w:themeColor="text1"/>
        </w:rPr>
      </w:pPr>
      <w:r w:rsidRPr="009B1F4E">
        <w:rPr>
          <w:rFonts w:ascii="Garamond" w:hAnsi="Garamond" w:cs="Calibri"/>
          <w:b/>
          <w:bCs/>
          <w:color w:val="000000" w:themeColor="text1"/>
        </w:rPr>
        <w:t>The Evolution of Social Learning and Social Epistemic Norms</w:t>
      </w:r>
    </w:p>
    <w:p w14:paraId="38AA0E68" w14:textId="66AFE3C0" w:rsidR="00617F6E" w:rsidRPr="009B1F4E" w:rsidRDefault="00617F6E" w:rsidP="00617F6E">
      <w:pPr>
        <w:pStyle w:val="Listenabsatz"/>
        <w:numPr>
          <w:ilvl w:val="1"/>
          <w:numId w:val="1"/>
        </w:numPr>
        <w:spacing w:line="360" w:lineRule="auto"/>
        <w:jc w:val="both"/>
        <w:rPr>
          <w:rFonts w:ascii="Garamond" w:hAnsi="Garamond" w:cs="Calibri"/>
          <w:color w:val="000000" w:themeColor="text1"/>
        </w:rPr>
      </w:pPr>
      <w:r w:rsidRPr="009B1F4E">
        <w:rPr>
          <w:rFonts w:ascii="Garamond" w:hAnsi="Garamond" w:cs="Calibri"/>
          <w:color w:val="000000" w:themeColor="text1"/>
        </w:rPr>
        <w:t>Stage setting</w:t>
      </w:r>
    </w:p>
    <w:p w14:paraId="1266326F" w14:textId="68306702" w:rsidR="00617F6E" w:rsidRPr="009B1F4E" w:rsidRDefault="00617F6E" w:rsidP="00617F6E">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Before we get into the evolution of social learning and social norms, let me </w:t>
      </w:r>
      <w:r w:rsidR="00816711" w:rsidRPr="009B1F4E">
        <w:rPr>
          <w:rFonts w:ascii="Garamond" w:hAnsi="Garamond" w:cs="Calibri"/>
          <w:color w:val="000000" w:themeColor="text1"/>
        </w:rPr>
        <w:t>briefly</w:t>
      </w:r>
      <w:r w:rsidRPr="009B1F4E">
        <w:rPr>
          <w:rFonts w:ascii="Garamond" w:hAnsi="Garamond" w:cs="Calibri"/>
          <w:color w:val="000000" w:themeColor="text1"/>
        </w:rPr>
        <w:t xml:space="preserve"> introduce some of the notions </w:t>
      </w:r>
      <w:r w:rsidR="00472529" w:rsidRPr="009B1F4E">
        <w:rPr>
          <w:rFonts w:ascii="Garamond" w:hAnsi="Garamond" w:cs="Calibri"/>
          <w:color w:val="000000" w:themeColor="text1"/>
        </w:rPr>
        <w:t>we</w:t>
      </w:r>
      <w:r w:rsidR="00C6090A">
        <w:rPr>
          <w:rFonts w:ascii="Garamond" w:hAnsi="Garamond" w:cs="Calibri"/>
          <w:color w:val="000000" w:themeColor="text1"/>
        </w:rPr>
        <w:t xml:space="preserve">’ll be </w:t>
      </w:r>
      <w:r w:rsidRPr="009B1F4E">
        <w:rPr>
          <w:rFonts w:ascii="Garamond" w:hAnsi="Garamond" w:cs="Calibri"/>
          <w:color w:val="000000" w:themeColor="text1"/>
        </w:rPr>
        <w:t>work</w:t>
      </w:r>
      <w:r w:rsidR="00C6090A">
        <w:rPr>
          <w:rFonts w:ascii="Garamond" w:hAnsi="Garamond" w:cs="Calibri"/>
          <w:color w:val="000000" w:themeColor="text1"/>
        </w:rPr>
        <w:t>ing</w:t>
      </w:r>
      <w:r w:rsidRPr="009B1F4E">
        <w:rPr>
          <w:rFonts w:ascii="Garamond" w:hAnsi="Garamond" w:cs="Calibri"/>
          <w:color w:val="000000" w:themeColor="text1"/>
        </w:rPr>
        <w:t xml:space="preserve"> with.</w:t>
      </w:r>
    </w:p>
    <w:p w14:paraId="00B518C2" w14:textId="4ADD26A1" w:rsidR="009A4AF5" w:rsidRPr="009B1F4E" w:rsidRDefault="009A4AF5" w:rsidP="009A4AF5">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Social learning is learning that is assisted by observation of or interaction with other agents or </w:t>
      </w:r>
      <w:r w:rsidR="00C6090A">
        <w:rPr>
          <w:rFonts w:ascii="Garamond" w:hAnsi="Garamond" w:cs="Calibri"/>
          <w:color w:val="000000" w:themeColor="text1"/>
        </w:rPr>
        <w:t xml:space="preserve">the outputs of their behaviours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{"citationID":"72Cy565R","properties":{"formattedCitation":"(Heyes 2021; Hoppitt and Laland 2013)","plainCitation":"(Heyes 2021; Hoppitt and Laland 2013)","noteIndex":0},"citationItems":[{"id":1011,"uris":["http://zotero.org/users/local/jz7T3Opo/items/P9W2HAML"],"itemData":{"id":1011,"type":"article-journal","abstract":"What is the relationship between imitation and culture? This article charts how definitions of imitation have changed in the last century, distinguishes three senses of “culture” used by contemporary evolutionists (Culture1–Culture3), and summarises current disagreement about the relationship between imitation and culture. The disagreement arises from ambiguities in the distinction between imitation and emulation, and confusion between two explanatory projects—the anthropocentric project and the cultural selection project. I argue that imitation gives cultural evolution an inheritance mechanism for communicative and gestural skills (but not technological skills), and cultural selection yields the cognitive mechanisms that make imitation possible.","container-title":"Mind &amp; Language","DOI":"10.1111/mila.12388","ISSN":"1468-0017","issue":"n/a","language":"en","note":"_eprint: https://onlinelibrary.wiley.com/doi/pdf/10.1111/mila.12388","source":"Wiley Online Library","title":"Imitation and culture: What gives?","title-short":"Imitation and culture","URL":"https://onlinelibrary.wiley.com/doi/abs/10.1111/mila.12388","volume":"n/a","author":[{"family":"Heyes","given":"Cecilia"}],"accessed":{"date-parts":[["2022",6,1]]},"issued":{"date-parts":[["2021"]]}}},{"id":989,"uris":["http://zotero.org/users/local/jz7T3Opo/items/2PEGIQIE"],"itemData":{"id":989,"type":"book","abstract":"Many animals, including humans, acquire valuable skills and knowledge by copying others. Scientists refer to this as social learning. It is one of the most exciting and rapidly developing areas of behavioral research and sits at the interface of many academic disciplines, including biology, experimental psychology, economics, and cognitive neuroscience. Social Learning provides a comprehensive, practical guide to the research methods of this important emerging field. William Hoppitt and Kevin Laland define the mechanisms thought to underlie social learning and demonstrate how to distinguish them experimentally in the laboratory. They present techniques for detecting and quantifying social learning in nature, including statistical modeling of the spatial distribution of behavior traits. They also describe the latest theory and empirical findings on social learning strategies, and introduce readers to mathematical methods and models used in the study of cultural evolution. This book is an indispensable tool for researchers and an essential primer for students. Provides a comprehensive, practical guide to social learning research Combines theoretical and empirical approaches Describes techniques for the laboratory and the field Covers social learning mechanisms and strategies, statistical modeling techniques for field data, mathematical modeling of cultural evolution, and more","ISBN":"978-1-4008-4650-4","language":"en","note":"DOI: 10.1515/9781400846504\ncontainer-title: Social Learning","publisher":"Princeton University Press","source":"www.degruyter.com","title":"Social Learning: An Introduction to Mechanisms, Methods, and Models","title-short":"Social Learning","URL":"https://www.degruyter.com/document/doi/10.1515/9781400846504/html?lang=de","author":[{"family":"Hoppitt","given":"William"},{"family":"Laland","given":"Kevin N."}],"accessed":{"date-parts":[["2022",4,25]]},"issued":{"date-parts":[["2013",7,21]]}}}],"schema":"https://github.com/citation-style-language/schema/raw/master/csl-citation.json"}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(Heyes 2021; Hoppitt and Laland 2013)</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Nowadays, it’s uncontroversial that many non-human animals learn this way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{"citationID":"9ExLlDww","properties":{"formattedCitation":"(Heyes 2021 section 3 for an overview)","plainCitation":"(Heyes 2021 section 3 for an overview)","noteIndex":0},"citationItems":[{"id":1011,"uris":["http://zotero.org/users/local/jz7T3Opo/items/P9W2HAML"],"itemData":{"id":1011,"type":"article-journal","abstract":"What is the relationship between imitation and culture? This article charts how definitions of imitation have changed in the last century, distinguishes three senses of “culture” used by contemporary evolutionists (Culture1–Culture3), and summarises current disagreement about the relationship between imitation and culture. The disagreement arises from ambiguities in the distinction between imitation and emulation, and confusion between two explanatory projects—the anthropocentric project and the cultural selection project. I argue that imitation gives cultural evolution an inheritance mechanism for communicative and gestural skills (but not technological skills), and cultural selection yields the cognitive mechanisms that make imitation possible.","container-title":"Mind &amp; Language","DOI":"10.1111/mila.12388","ISSN":"1468-0017","issue":"n/a","language":"en","note":"_eprint: https://onlinelibrary.wiley.com/doi/pdf/10.1111/mila.12388","source":"Wiley Online Library","title":"Imitation and culture: What gives?","title-short":"Imitation and culture","URL":"https://onlinelibrary.wiley.com/doi/abs/10.1111/mila.12388","volume":"n/a","author":[{"family":"Heyes","given":"Cecilia"}],"accessed":{"date-parts":[["2022",6,1]]},"issued":{"date-parts":[["2021"]]}},"label":"page","suffix":"section 3 for an overview"}],"schema":"https://github.com/citation-style-language/schema/raw/master/csl-citation.json"}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(Heyes 2021 section 3 for an overview)</w:t>
      </w:r>
      <w:r w:rsidRPr="009B1F4E">
        <w:rPr>
          <w:rFonts w:ascii="Garamond" w:hAnsi="Garamond" w:cs="Calibri"/>
          <w:color w:val="000000" w:themeColor="text1"/>
        </w:rPr>
        <w:fldChar w:fldCharType="end"/>
      </w:r>
      <w:r w:rsidRPr="009B1F4E">
        <w:rPr>
          <w:rFonts w:ascii="Garamond" w:hAnsi="Garamond" w:cs="Calibri"/>
          <w:color w:val="000000" w:themeColor="text1"/>
        </w:rPr>
        <w:t>. Here</w:t>
      </w:r>
      <w:r w:rsidR="00472529" w:rsidRPr="009B1F4E">
        <w:rPr>
          <w:rFonts w:ascii="Garamond" w:hAnsi="Garamond" w:cs="Calibri"/>
          <w:color w:val="000000" w:themeColor="text1"/>
        </w:rPr>
        <w:t>,</w:t>
      </w:r>
      <w:r w:rsidRPr="009B1F4E">
        <w:rPr>
          <w:rFonts w:ascii="Garamond" w:hAnsi="Garamond" w:cs="Calibri"/>
          <w:color w:val="000000" w:themeColor="text1"/>
        </w:rPr>
        <w:t xml:space="preserve"> I focus on an important subset of this sort of social learning — what’s sometimes called cultural learning. Cultural learning describes mechanisms and strategies adapted (culturally or genetically) </w:t>
      </w:r>
      <w:r w:rsidR="00816711" w:rsidRPr="009B1F4E">
        <w:rPr>
          <w:rFonts w:ascii="Garamond" w:hAnsi="Garamond" w:cs="Calibri"/>
          <w:color w:val="000000" w:themeColor="text1"/>
        </w:rPr>
        <w:t xml:space="preserve">to share and acquire cultural </w:t>
      </w:r>
      <w:r w:rsidR="00C6090A">
        <w:rPr>
          <w:rFonts w:ascii="Garamond" w:hAnsi="Garamond" w:cs="Calibri"/>
          <w:color w:val="000000" w:themeColor="text1"/>
        </w:rPr>
        <w:t>traits</w:t>
      </w:r>
      <w:r w:rsidR="00816711" w:rsidRPr="009B1F4E">
        <w:rPr>
          <w:rFonts w:ascii="Garamond" w:hAnsi="Garamond" w:cs="Calibri"/>
          <w:color w:val="000000" w:themeColor="text1"/>
        </w:rPr>
        <w:t xml:space="preserve"> with/from others effectively</w:t>
      </w:r>
      <w:r w:rsidRPr="009B1F4E">
        <w:rPr>
          <w:rFonts w:ascii="Garamond" w:hAnsi="Garamond" w:cs="Calibri"/>
          <w:color w:val="000000" w:themeColor="text1"/>
        </w:rPr>
        <w:t xml:space="preserve">. One might think of these as </w:t>
      </w:r>
      <w:r w:rsidR="00472529" w:rsidRPr="009B1F4E">
        <w:rPr>
          <w:rFonts w:ascii="Garamond" w:hAnsi="Garamond" w:cs="Calibri"/>
          <w:color w:val="000000" w:themeColor="text1"/>
        </w:rPr>
        <w:t>mech</w:t>
      </w:r>
      <w:r w:rsidR="00150E51" w:rsidRPr="009B1F4E">
        <w:rPr>
          <w:rFonts w:ascii="Garamond" w:hAnsi="Garamond" w:cs="Calibri"/>
          <w:color w:val="000000" w:themeColor="text1"/>
        </w:rPr>
        <w:t>anisms specialised</w:t>
      </w:r>
      <w:r w:rsidRPr="009B1F4E">
        <w:rPr>
          <w:rFonts w:ascii="Garamond" w:hAnsi="Garamond" w:cs="Calibri"/>
          <w:color w:val="000000" w:themeColor="text1"/>
        </w:rPr>
        <w:t xml:space="preserve"> </w:t>
      </w:r>
      <w:r w:rsidR="00816711" w:rsidRPr="009B1F4E">
        <w:rPr>
          <w:rFonts w:ascii="Garamond" w:hAnsi="Garamond" w:cs="Calibri"/>
          <w:color w:val="000000" w:themeColor="text1"/>
        </w:rPr>
        <w:t>to learn from others socially</w:t>
      </w:r>
      <w:r w:rsidRPr="009B1F4E">
        <w:rPr>
          <w:rFonts w:ascii="Garamond" w:hAnsi="Garamond" w:cs="Calibri"/>
          <w:color w:val="000000" w:themeColor="text1"/>
        </w:rPr>
        <w:t xml:space="preserve">. </w:t>
      </w:r>
      <w:r w:rsidR="00472529" w:rsidRPr="009B1F4E">
        <w:rPr>
          <w:rFonts w:ascii="Garamond" w:hAnsi="Garamond" w:cs="Calibri"/>
          <w:color w:val="000000" w:themeColor="text1"/>
        </w:rPr>
        <w:t xml:space="preserve">While I remain agnostic on this question, some </w:t>
      </w:r>
      <w:r w:rsidR="00D57599" w:rsidRPr="009B1F4E">
        <w:rPr>
          <w:rFonts w:ascii="Garamond" w:hAnsi="Garamond" w:cs="Calibri"/>
          <w:color w:val="000000" w:themeColor="text1"/>
        </w:rPr>
        <w:t>believe</w:t>
      </w:r>
      <w:r w:rsidR="00472529" w:rsidRPr="009B1F4E">
        <w:rPr>
          <w:rFonts w:ascii="Garamond" w:hAnsi="Garamond" w:cs="Calibri"/>
          <w:color w:val="000000" w:themeColor="text1"/>
        </w:rPr>
        <w:t xml:space="preserve"> </w:t>
      </w:r>
      <w:r w:rsidRPr="009B1F4E">
        <w:rPr>
          <w:rFonts w:ascii="Garamond" w:hAnsi="Garamond" w:cs="Calibri"/>
          <w:color w:val="000000" w:themeColor="text1"/>
        </w:rPr>
        <w:t xml:space="preserve">these mechanisms are specific to humans. </w:t>
      </w:r>
      <w:r w:rsidR="004A136E" w:rsidRPr="009B1F4E">
        <w:rPr>
          <w:rFonts w:ascii="Garamond" w:hAnsi="Garamond" w:cs="Calibri"/>
          <w:color w:val="000000" w:themeColor="text1"/>
        </w:rPr>
        <w:t xml:space="preserve">Cultural learning consists of various mechanisms and </w:t>
      </w:r>
      <w:r w:rsidR="004A136E" w:rsidRPr="009B1F4E">
        <w:rPr>
          <w:rFonts w:ascii="Garamond" w:hAnsi="Garamond" w:cs="Calibri"/>
          <w:color w:val="000000" w:themeColor="text1"/>
        </w:rPr>
        <w:lastRenderedPageBreak/>
        <w:t>strategies</w:t>
      </w:r>
      <w:r w:rsidR="00816711" w:rsidRPr="009B1F4E">
        <w:rPr>
          <w:rFonts w:ascii="Garamond" w:hAnsi="Garamond" w:cs="Calibri"/>
          <w:color w:val="000000" w:themeColor="text1"/>
        </w:rPr>
        <w:t>.</w:t>
      </w:r>
      <w:r w:rsidR="004A136E" w:rsidRPr="009B1F4E">
        <w:rPr>
          <w:rFonts w:ascii="Garamond" w:hAnsi="Garamond" w:cs="Calibri"/>
          <w:color w:val="000000" w:themeColor="text1"/>
        </w:rPr>
        <w:t xml:space="preserve"> </w:t>
      </w:r>
      <w:r w:rsidR="00472529" w:rsidRPr="009B1F4E">
        <w:rPr>
          <w:rFonts w:ascii="Garamond" w:hAnsi="Garamond" w:cs="Calibri"/>
          <w:color w:val="000000" w:themeColor="text1"/>
        </w:rPr>
        <w:t>For</w:t>
      </w:r>
      <w:r w:rsidRPr="009B1F4E">
        <w:rPr>
          <w:rFonts w:ascii="Garamond" w:hAnsi="Garamond" w:cs="Calibri"/>
          <w:color w:val="000000" w:themeColor="text1"/>
        </w:rPr>
        <w:t xml:space="preserve"> example, such cultural learning is often said to include imitation: Humans imitate </w:t>
      </w:r>
      <w:r w:rsidR="00472529" w:rsidRPr="009B1F4E">
        <w:rPr>
          <w:rFonts w:ascii="Garamond" w:hAnsi="Garamond" w:cs="Calibri"/>
          <w:color w:val="000000" w:themeColor="text1"/>
        </w:rPr>
        <w:t>others'</w:t>
      </w:r>
      <w:r w:rsidRPr="009B1F4E">
        <w:rPr>
          <w:rFonts w:ascii="Garamond" w:hAnsi="Garamond" w:cs="Calibri"/>
          <w:color w:val="000000" w:themeColor="text1"/>
        </w:rPr>
        <w:t xml:space="preserve"> behaviour — even to an irrational degree </w:t>
      </w:r>
      <w:r w:rsidRPr="009B1F4E">
        <w:rPr>
          <w:rFonts w:ascii="Garamond" w:hAnsi="Garamond" w:cs="Calibri"/>
          <w:color w:val="000000" w:themeColor="text1"/>
        </w:rPr>
        <w:fldChar w:fldCharType="begin"/>
      </w:r>
      <w:r w:rsidR="004C1DC7" w:rsidRPr="009B1F4E">
        <w:rPr>
          <w:rFonts w:ascii="Garamond" w:hAnsi="Garamond" w:cs="Calibri"/>
          <w:color w:val="000000" w:themeColor="text1"/>
        </w:rPr>
        <w:instrText xml:space="preserve"> ADDIN ZOTERO_ITEM CSL_CITATION {"citationID":"T4v7ksBh","properties":{"formattedCitation":"(Henrich 2015; Nagell, Olguin, and Tomasello 1993)","plainCitation":"(Henrich 2015; Nagell, Olguin, and Tomasello 1993)","noteIndex":0},"citationItems":[{"id":818,"uris":["http://zotero.org/users/local/jz7T3Opo/items/TWXJMDVG"],"itemData":{"id":818,"type":"book","abstract":"Humans are a puzzling species. On the one hand, we struggle to survive on our own in the wild, often failing to overcome even basic challenges, like obtaining food, building shelters, or avoiding predators. On the other hand, human groups have produced ingenious technologies, sophisticated languages, and complex institutions that have permitted us to successfully expand into a vast range of diverse environments. What has enabled us to dominate the globe, more than any other species, while remaining virtually helpless as lone individuals? This book shows that the secret of our success lies not in our innate intelligence, but in our collective brains—on the ability of human groups to socially interconnect and learn from one another over generations. Drawing insights from lost European explorers, clever chimpanzees, mobile hunter-gatherers, neuroscientific findings, ancient bones, and the human genome, Joseph Henrich demonstrates how our collective brains have propelled our species' genetic evolution and shaped our biology. Our early capacities for learning from others produced many cultural innovations, such as fire, cooking, water containers, plant knowledge, and projectile weapons, which in turn drove the expansion of our brains and altered our physiology, anatomy, and psychology in crucial ways. Later on, some collective brains generated and recombined powerful concepts, such as the lever, wheel, screw, and writing, while also creating the institutions that continue to alter our motivations and perceptions. Henrich shows how our genetics and biology are inextricably interwoven with cultural evolution, and how culture-gene interactions launched our species on an extraordinary evolutionary trajectory. Tracking clues from our ancient past to the present, The Secret of Our Success explores how the evolution of both our cultural and social natures produce a collective intelligence that explains both our species' immense success and the origins of human uniqueness.","publisher":"Princeton University Press","title":"The Secret of Our Success","author":[{"family":"Henrich","given":"Joseph"}],"issued":{"date-parts":[["2015"]]}}},{"id":817,"uris":["http://zotero.org/users/local/jz7T3Opo/items/VHIMTRME"],"itemData":{"id":817,"type":"article-journal","abstract":"Common chimpanzees (Pan troglodytes) and 2-yr-old human children (Homo sapiens) were presented with a rakelike tool and a desirable but out-of-reach object. One group of Ss observed a human demonstrator use the tool in one way, and another group observed a demonstrator use the tool in another way. Children in both cases did what the model did. Chimpanzee Ss, however, behaved identically in the 2 model conditions. Both groups performed better than Ss who saw no demonstration. This pattern of results suggests that the chimpanzees were paying attention to the general functional relations in the task and to the results obtained by the demonstrator but not to the actual methods of tool use demonstrated. Human children were focused on the demonstrator's actual methods of tool use (i.e., her behavior). The different social learning processes used by the 2 species have implications for their different forms of social organization. (PsycINFO Database Record (c) 2016 APA, all rights reserved)","container-title":"Journal of Comparative Psychology","DOI":"10.1037/0735-7036.107.2.174","ISSN":"1939-2087(Electronic),0735-7036(Print)","issue":"2","note":"publisher-place: US\npublisher: American Psychological Association","page":"174-186","source":"APA PsycNET","title":"Processes of social learning in the tool use of chimpanzees (Pan troglodytes) and human children (Homo sapiens)","volume":"107","author":[{"family":"Nagell","given":"Katherine"},{"family":"Olguin","given":"Raquel S."},{"family":"Tomasello","given":"Michael"}],"issued":{"date-parts":[["1993"]]}}}],"schema":"https://github.com/citation-style-language/schema/raw/master/csl-citation.json"}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(Henrich 2015; Nagell, Olguin, and Tomasello 1993)</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 to acquire cultural information from them. </w:t>
      </w:r>
      <w:r w:rsidR="00137204" w:rsidRPr="009B1F4E">
        <w:rPr>
          <w:rFonts w:ascii="Garamond" w:hAnsi="Garamond" w:cs="Calibri"/>
          <w:color w:val="000000" w:themeColor="text1"/>
        </w:rPr>
        <w:t xml:space="preserve">Cultural traits are also </w:t>
      </w:r>
      <w:r w:rsidR="005310DB" w:rsidRPr="009B1F4E">
        <w:rPr>
          <w:rFonts w:ascii="Garamond" w:hAnsi="Garamond" w:cs="Calibri"/>
          <w:color w:val="000000" w:themeColor="text1"/>
        </w:rPr>
        <w:t>considered causally opaque, which is why explicit teaching is seen as</w:t>
      </w:r>
      <w:r w:rsidR="00137204" w:rsidRPr="009B1F4E">
        <w:rPr>
          <w:rFonts w:ascii="Garamond" w:hAnsi="Garamond" w:cs="Calibri"/>
          <w:color w:val="000000" w:themeColor="text1"/>
        </w:rPr>
        <w:t xml:space="preserve"> another key mechanism </w:t>
      </w:r>
      <w:r w:rsidR="00137204" w:rsidRPr="009B1F4E">
        <w:rPr>
          <w:rFonts w:ascii="Garamond" w:hAnsi="Garamond" w:cs="Calibri"/>
          <w:color w:val="000000" w:themeColor="text1"/>
        </w:rPr>
        <w:fldChar w:fldCharType="begin"/>
      </w:r>
      <w:r w:rsidR="00137204" w:rsidRPr="009B1F4E">
        <w:rPr>
          <w:rFonts w:ascii="Garamond" w:hAnsi="Garamond" w:cs="Calibri"/>
          <w:color w:val="000000" w:themeColor="text1"/>
        </w:rPr>
        <w:instrText xml:space="preserve"> ADDIN ZOTERO_ITEM CSL_CITATION {"citationID":"dnJsobXH","properties":{"formattedCitation":"(e.g., Csibra and Gergely 2011; 2009)","plainCitation":"(e.g., Csibra and Gergely 2011; 2009)","noteIndex":0},"citationItems":[{"id":1220,"uris":["http://zotero.org/users/local/jz7T3Opo/items/SPPZZPB3"],"itemData":{"id":1220,"type":"article-journal","abstract":"We propose that the cognitive mechanisms that enable the transmission of cultural knowledge by communication between individuals constitute a system of ‘natural pedagogy’ in humans, and represent an evolutionary adaptation along the hominin lineage. We discuss three kinds of arguments that support this hypothesis. First, natural pedagogy is likely to be human-specific: while social learning and communication are both widespread in non-human animals, we know of no example of social learning by communication in any other species apart from humans. Second, natural pedagogy is universal: despite the huge variability in child-rearing practices, all human cultures rely on communication to transmit to novices a variety of different types of cultural knowledge, including information about artefact kinds, conventional behaviours, arbitrary referential symbols, cognitively opaque skills and know-how embedded in means-end actions. Third, the data available on early hominin technological culture are more compatible with the assumption that natural pedagogy was an independently selected adaptive cognitive system than considering it as a by-product of some other human-specific adaptation, such as language. By providing a qualitatively new type of social learning mechanism, natural pedagogy is not only the product but also one of the sources of the rich cultural heritage of our species.","container-title":"Philosophical Transactions of the Royal Society B: Biological Sciences","DOI":"10.1098/rstb.2010.0319","issue":"1567","note":"publisher: Royal Society","page":"1149-1157","source":"royalsocietypublishing.org (Atypon)","title":"Natural pedagogy as evolutionary adaptation","volume":"366","author":[{"family":"Csibra","given":"Gergely"},{"family":"Gergely","given":"György"}],"issued":{"date-parts":[["2011",4,12]]}},"label":"page","prefix":"e.g., "},{"id":1222,"uris":["http://zotero.org/users/local/jz7T3Opo/items/JFDFZGR6"],"itemData":{"id":1222,"type":"article-journal","abstract":"We propose that human communication is specifically adapted to allow the transmission of generic knowledge between individuals. Such a communication system, which we call ‘natural pedagogy’, enables fast and efficient social learning of cognitively opaque cultural knowledge that would be hard to acquire relying on purely observational learning mechanisms alone. We argue that human infants are prepared to be at the receptive side of natural pedagogy (i) by being sensitive to ostensive signals that indicate that they are being addressed by communication, (ii) by developing referential expectations in ostensive contexts and (iii) by being biased to interpret ostensive-referential communication as conveying information that is kind-relevant and generalizable.","container-title":"Trends in Cognitive Sciences","DOI":"10.1016/j.tics.2009.01.005","ISSN":"1364-6613","issue":"4","journalAbbreviation":"Trends in Cognitive Sciences","language":"en","page":"148-153","source":"ScienceDirect","title":"Natural pedagogy","volume":"13","author":[{"family":"Csibra","given":"Gergely"},{"family":"Gergely","given":"György"}],"issued":{"date-parts":[["2009",4,1]]}}}],"schema":"https://github.com/citation-style-language/schema/raw/master/csl-citation.json"} </w:instrText>
      </w:r>
      <w:r w:rsidR="00137204" w:rsidRPr="009B1F4E">
        <w:rPr>
          <w:rFonts w:ascii="Garamond" w:hAnsi="Garamond" w:cs="Calibri"/>
          <w:color w:val="000000" w:themeColor="text1"/>
        </w:rPr>
        <w:fldChar w:fldCharType="separate"/>
      </w:r>
      <w:r w:rsidR="00137204" w:rsidRPr="009B1F4E">
        <w:rPr>
          <w:rFonts w:ascii="Garamond" w:hAnsi="Garamond" w:cs="Calibri"/>
          <w:noProof/>
          <w:color w:val="000000" w:themeColor="text1"/>
        </w:rPr>
        <w:t>(e.g., Csibra and Gergely 2011; 2009)</w:t>
      </w:r>
      <w:r w:rsidR="00137204" w:rsidRPr="009B1F4E">
        <w:rPr>
          <w:rFonts w:ascii="Garamond" w:hAnsi="Garamond" w:cs="Calibri"/>
          <w:color w:val="000000" w:themeColor="text1"/>
        </w:rPr>
        <w:fldChar w:fldCharType="end"/>
      </w:r>
      <w:r w:rsidR="00137204" w:rsidRPr="009B1F4E">
        <w:rPr>
          <w:rFonts w:ascii="Garamond" w:hAnsi="Garamond" w:cs="Calibri"/>
          <w:color w:val="000000" w:themeColor="text1"/>
        </w:rPr>
        <w:t xml:space="preserve">. </w:t>
      </w:r>
      <w:r w:rsidRPr="009B1F4E">
        <w:rPr>
          <w:rFonts w:ascii="Garamond" w:hAnsi="Garamond" w:cs="Calibri"/>
          <w:color w:val="000000" w:themeColor="text1"/>
        </w:rPr>
        <w:t xml:space="preserve">In the following, I’ll use the terms “cultural learning” and “specialised social learning” interchangeably. </w:t>
      </w:r>
    </w:p>
    <w:p w14:paraId="3E836FDE" w14:textId="371730BE" w:rsidR="009A4AF5" w:rsidRPr="009B1F4E" w:rsidRDefault="009A4AF5" w:rsidP="009A4AF5">
      <w:pPr>
        <w:spacing w:line="360" w:lineRule="auto"/>
        <w:jc w:val="both"/>
        <w:rPr>
          <w:rFonts w:ascii="Garamond" w:hAnsi="Garamond" w:cs="Calibri"/>
          <w:color w:val="000000" w:themeColor="text1"/>
        </w:rPr>
      </w:pPr>
      <w:r w:rsidRPr="009B1F4E">
        <w:rPr>
          <w:rFonts w:ascii="Garamond" w:hAnsi="Garamond" w:cs="Calibri"/>
          <w:color w:val="000000" w:themeColor="text1"/>
        </w:rPr>
        <w:t>Cultural learning is so important to humans because we need to acquire a lot of social or cultural information and knowledge</w:t>
      </w:r>
      <w:r w:rsidR="005310DB" w:rsidRPr="009B1F4E">
        <w:rPr>
          <w:rFonts w:ascii="Garamond" w:hAnsi="Garamond" w:cs="Calibri"/>
          <w:color w:val="000000" w:themeColor="text1"/>
        </w:rPr>
        <w:t xml:space="preserve">. We </w:t>
      </w:r>
      <w:r w:rsidRPr="009B1F4E">
        <w:rPr>
          <w:rFonts w:ascii="Garamond" w:hAnsi="Garamond" w:cs="Calibri"/>
          <w:color w:val="000000" w:themeColor="text1"/>
        </w:rPr>
        <w:t>humans are a cultural species</w:t>
      </w:r>
      <w:r w:rsidR="005310DB" w:rsidRPr="009B1F4E">
        <w:rPr>
          <w:rFonts w:ascii="Garamond" w:hAnsi="Garamond" w:cs="Calibri"/>
          <w:color w:val="000000" w:themeColor="text1"/>
        </w:rPr>
        <w:t xml:space="preserve"> and depend</w:t>
      </w:r>
      <w:r w:rsidRPr="009B1F4E">
        <w:rPr>
          <w:rFonts w:ascii="Garamond" w:hAnsi="Garamond" w:cs="Calibri"/>
          <w:color w:val="000000" w:themeColor="text1"/>
        </w:rPr>
        <w:t xml:space="preserve"> on cultural practices, knowledge, and techniques for </w:t>
      </w:r>
      <w:r w:rsidR="005310DB" w:rsidRPr="009B1F4E">
        <w:rPr>
          <w:rFonts w:ascii="Garamond" w:hAnsi="Garamond" w:cs="Calibri"/>
          <w:color w:val="000000" w:themeColor="text1"/>
        </w:rPr>
        <w:t>our</w:t>
      </w:r>
      <w:r w:rsidRPr="009B1F4E">
        <w:rPr>
          <w:rFonts w:ascii="Garamond" w:hAnsi="Garamond" w:cs="Calibri"/>
          <w:color w:val="000000" w:themeColor="text1"/>
        </w:rPr>
        <w:t xml:space="preserve"> survival </w:t>
      </w:r>
      <w:r w:rsidRPr="009B1F4E">
        <w:rPr>
          <w:rFonts w:ascii="Garamond" w:hAnsi="Garamond" w:cs="Calibri"/>
          <w:color w:val="000000" w:themeColor="text1"/>
        </w:rPr>
        <w:fldChar w:fldCharType="begin"/>
      </w:r>
      <w:r w:rsidR="00472529" w:rsidRPr="009B1F4E">
        <w:rPr>
          <w:rFonts w:ascii="Garamond" w:hAnsi="Garamond" w:cs="Calibri"/>
          <w:color w:val="000000" w:themeColor="text1"/>
        </w:rPr>
        <w:instrText xml:space="preserve"> ADDIN ZOTERO_ITEM CSL_CITATION {"citationID":"cuI8YedL","properties":{"formattedCitation":"(see, e.g., Sterelny 2012)","plainCitation":"(see, e.g., Sterelny 2012)","noteIndex":0},"citationItems":[{"id":721,"uris":["http://zotero.org/users/local/jz7T3Opo/items/33E38CEE"],"itemData":{"id":721,"type":"book","publisher":"MIT press","source":"Google Scholar","title":"The evolved apprentice","author":[{"family":"Sterelny","given":"Kim"}],"issued":{"date-parts":[["2012"]]}},"label":"page","prefix":"see, e.g.,"}],"schema":"https://github.com/citation-style-language/schema/raw/master/csl-citation.json"} </w:instrText>
      </w:r>
      <w:r w:rsidRPr="009B1F4E">
        <w:rPr>
          <w:rFonts w:ascii="Garamond" w:hAnsi="Garamond" w:cs="Calibri"/>
          <w:color w:val="000000" w:themeColor="text1"/>
        </w:rPr>
        <w:fldChar w:fldCharType="separate"/>
      </w:r>
      <w:r w:rsidR="00472529" w:rsidRPr="009B1F4E">
        <w:rPr>
          <w:rFonts w:ascii="Garamond" w:hAnsi="Garamond" w:cs="Calibri"/>
          <w:noProof/>
          <w:color w:val="000000" w:themeColor="text1"/>
        </w:rPr>
        <w:t>(see, e.g., Sterelny 2012)</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w:t>
      </w:r>
      <w:r w:rsidR="00C6090A">
        <w:rPr>
          <w:rFonts w:ascii="Garamond" w:hAnsi="Garamond" w:cs="Calibri"/>
          <w:color w:val="000000" w:themeColor="text1"/>
        </w:rPr>
        <w:t>One</w:t>
      </w:r>
      <w:r w:rsidRPr="009B1F4E">
        <w:rPr>
          <w:rFonts w:ascii="Garamond" w:hAnsi="Garamond" w:cs="Calibri"/>
          <w:color w:val="000000" w:themeColor="text1"/>
        </w:rPr>
        <w:t xml:space="preserve"> key notion here is </w:t>
      </w:r>
      <w:r w:rsidR="00C6090A">
        <w:rPr>
          <w:rFonts w:ascii="Garamond" w:hAnsi="Garamond" w:cs="Calibri"/>
          <w:color w:val="000000" w:themeColor="text1"/>
        </w:rPr>
        <w:t>“</w:t>
      </w:r>
      <w:r w:rsidRPr="009B1F4E">
        <w:rPr>
          <w:rFonts w:ascii="Garamond" w:hAnsi="Garamond" w:cs="Calibri"/>
          <w:color w:val="000000" w:themeColor="text1"/>
        </w:rPr>
        <w:t>cumulative culture</w:t>
      </w:r>
      <w:r w:rsidR="00C6090A">
        <w:rPr>
          <w:rFonts w:ascii="Garamond" w:hAnsi="Garamond" w:cs="Calibri"/>
          <w:color w:val="000000" w:themeColor="text1"/>
        </w:rPr>
        <w:t>”</w:t>
      </w:r>
      <w:r w:rsidRPr="009B1F4E">
        <w:rPr>
          <w:rFonts w:ascii="Garamond" w:hAnsi="Garamond" w:cs="Calibri"/>
          <w:color w:val="000000" w:themeColor="text1"/>
        </w:rPr>
        <w:t xml:space="preserve">: Cultural achievements — technologies, social practices, and knowledge — are being refined by each generation. Culture is cumulative in the sense that the refinements of past generations are additive: Modifications of cultural knowledge or techniques add up to cumulative culture </w:t>
      </w:r>
      <w:r w:rsidRPr="009B1F4E">
        <w:rPr>
          <w:rFonts w:ascii="Garamond" w:hAnsi="Garamond" w:cs="Calibri"/>
          <w:color w:val="000000" w:themeColor="text1"/>
        </w:rPr>
        <w:fldChar w:fldCharType="begin"/>
      </w:r>
      <w:r w:rsidR="004C1DC7" w:rsidRPr="009B1F4E">
        <w:rPr>
          <w:rFonts w:ascii="Garamond" w:hAnsi="Garamond" w:cs="Calibri"/>
          <w:color w:val="000000" w:themeColor="text1"/>
        </w:rPr>
        <w:instrText xml:space="preserve"> ADDIN ZOTERO_ITEM CSL_CITATION {"citationID":"AuW6ayxL","properties":{"formattedCitation":"(Henrich 2015; Mesoudi and Thornton, n.d.; Sterelny 2021, chap. 1)","plainCitation":"(Henrich 2015; Mesoudi and Thornton, n.d.; Sterelny 2021, chap. 1)","dontUpdate":true,"noteIndex":0},"citationItems":[{"id":818,"uris":["http://zotero.org/users/local/jz7T3Opo/items/TWXJMDVG"],"itemData":{"id":818,"type":"book","abstract":"Humans are a puzzling species. On the one hand, we struggle to survive on our own in the wild, often failing to overcome even basic challenges, like obtaining food, building shelters, or avoiding predators. On the other hand, human groups have produced ingenious technologies, sophisticated languages, and complex institutions that have permitted us to successfully expand into a vast range of diverse environments. What has enabled us to dominate the globe, more than any other species, while remaining virtually helpless as lone individuals? This book shows that the secret of our success lies not in our innate intelligence, but in our collective brains—on the ability of human groups to socially interconnect and learn from one another over generations. Drawing insights from lost European explorers, clever chimpanzees, mobile hunter-gatherers, neuroscientific findings, ancient bones, and the human genome, Joseph Henrich demonstrates how our collective brains have propelled our species' genetic evolution and shaped our biology. Our early capacities for learning from others produced many cultural innovations, such as fire, cooking, water containers, plant knowledge, and projectile weapons, which in turn drove the expansion of our brains and altered our physiology, anatomy, and psychology in crucial ways. Later on, some collective brains generated and recombined powerful concepts, such as the lever, wheel, screw, and writing, while also creating the institutions that continue to alter our motivations and perceptions. Henrich shows how our genetics and biology are inextricably interwoven with cultural evolution, and how culture-gene interactions launched our species on an extraordinary evolutionary trajectory. Tracking clues from our ancient past to the present, The Secret of Our Success explores how the evolution of both our cultural and social natures produce a collective intelligence that explains both our species' immense success and the origins of human uniqueness.","publisher":"Princeton University Press","title":"The Secret of Our Success","author":[{"family":"Henrich","given":"Joseph"}],"issued":{"date-parts":[["2015"]]}}},{"id":1016,"uris":["http://zotero.org/users/local/jz7T3Opo/items/EAQV9NIJ"],"itemData":{"id":1016,"type":"article-journal","abstract":"In recent years, the phenomenon of cumulative cultural evolution (CCE) has become the focus of major research interest in biology, psychology and anthropology. Some researchers argue that CCE is unique to humans and underlies our extraordinary evolutionary success as a species. Others claim to have found CCE in non-human species. Yet others remain sceptical that CCE is even important for explaining human behavioural diversity and complexity. These debates are hampered by multiple and often ambiguous definitions of CCE. Here, we review how researchers define, use and test CCE. We identify a core set of criteria for CCE which are both necessary and sufficient, and may be found in non-human species. We also identify a set of extended criteria that are observed in human CCE but not, to date, in other species. Different socio-cognitive mechanisms may underlie these different criteria. We reinterpret previous theoretical models and observational and experimental studies of both human and non-human species in light of these more fine-grained criteria. Finally, we discuss key issues surrounding information, fitness and cognition. We recommend that researchers are more explicit about what components of CCE they are testing and claiming to demonstrate.","container-title":"Proceedings of the Royal Society B: Biological Sciences","DOI":"10.1098/rspb.2018.0712","issue":"1880","note":"publisher: Royal Society","page":"20180712","source":"royalsocietypublishing.org (Atypon)","title":"What is cumulative cultural evolution?","volume":"285","author":[{"family":"Mesoudi","given":"Alex"},{"family":"Thornton","given":"Alex"}],"issued":{"date-parts":[["2018"]]}}},{"id":789,"uris":["http://zotero.org/users/local/jz7T3Opo/items/GATH6MTZ"],"itemData":{"id":789,"type":"book","abstract":"Kim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Contract","author":[{"family":"Sterelny","given":"Kim"}],"issued":{"date-parts":[["2021",9,16]]}},"locator":"1","label":"chapter"}],"schema":"https://github.com/citation-style-language/schema/raw/master/csl-citation.json"}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(Henrich 2015; Mesoudi and Thornton 2018; Sterelny 2021, chap. 1)</w:t>
      </w:r>
      <w:r w:rsidRPr="009B1F4E">
        <w:rPr>
          <w:rFonts w:ascii="Garamond" w:hAnsi="Garamond" w:cs="Calibri"/>
          <w:color w:val="000000" w:themeColor="text1"/>
        </w:rPr>
        <w:fldChar w:fldCharType="end"/>
      </w:r>
      <w:r w:rsidRPr="009B1F4E">
        <w:rPr>
          <w:rFonts w:ascii="Garamond" w:hAnsi="Garamond" w:cs="Calibri"/>
          <w:color w:val="000000" w:themeColor="text1"/>
        </w:rPr>
        <w:t>.</w:t>
      </w:r>
    </w:p>
    <w:p w14:paraId="536763A0" w14:textId="716E68F5" w:rsidR="009A4AF5" w:rsidRPr="009B1F4E" w:rsidRDefault="009A4AF5" w:rsidP="009A4AF5">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We can use </w:t>
      </w:r>
      <w:proofErr w:type="spellStart"/>
      <w:r w:rsidRPr="009B1F4E">
        <w:rPr>
          <w:rFonts w:ascii="Garamond" w:hAnsi="Garamond" w:cs="Calibri"/>
          <w:color w:val="000000" w:themeColor="text1"/>
        </w:rPr>
        <w:t>Tennie</w:t>
      </w:r>
      <w:proofErr w:type="spellEnd"/>
      <w:r w:rsidRPr="009B1F4E">
        <w:rPr>
          <w:rFonts w:ascii="Garamond" w:hAnsi="Garamond" w:cs="Calibri"/>
          <w:color w:val="000000" w:themeColor="text1"/>
        </w:rPr>
        <w:t xml:space="preserve"> </w:t>
      </w:r>
      <w:r w:rsidR="00472529" w:rsidRPr="009B1F4E">
        <w:rPr>
          <w:rFonts w:ascii="Garamond" w:hAnsi="Garamond" w:cs="Calibri"/>
          <w:color w:val="000000" w:themeColor="text1"/>
        </w:rPr>
        <w:t>et al.’s</w:t>
      </w:r>
      <w:r w:rsidRPr="009B1F4E">
        <w:rPr>
          <w:rFonts w:ascii="Garamond" w:hAnsi="Garamond" w:cs="Calibri"/>
          <w:color w:val="000000" w:themeColor="text1"/>
        </w:rPr>
        <w:t xml:space="preserve">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{"citationID":"4i7dZQAZ","properties":{"formattedCitation":"(2009; Bandini et al. 2021)","plainCitation":"(2009; Bandini et al. 2021)","noteIndex":0},"citationItems":[{"id":798,"uris":["http://zotero.org/users/local/jz7T3Opo/items/5PNEHUUR"],"itemData":{"id":798,"type":"article-journal","abstract":"Some researchers have claimed that chimpanzee and human culture rest on homologous cognitive and learning mechanisms. While clearly there are some homologous mechanisms, we argue here that there are some different mechanisms at work as well. Chimpanzee cultural traditions represent behavioural biases of different populations, all within the species’ existing cognitive repertoire (what we call the ‘zone of latent solutions’) that are generated by founder effects, individual learning and mostly product-oriented (rather than process-oriented) copying. Human culture, in contrast, has the distinctive characteristic that it accumulates modifications over time (what we call the ‘ratchet effect’). This difference results from the facts that (i) human social learning is more oriented towards process than product and (ii) unique forms of human cooperation lead to active teaching, social motivations for conformity and normative sanctions against non-conformity. Together, these unique processes of social learning and cooperation lead to humans’ unique form of cumulative cultural evolution.","container-title":"Philosophical Transactions of the Royal Society B: Biological Sciences","DOI":"10.1098/rstb.2009.0052","issue":"1528","note":"publisher: Royal Society","page":"2405-2415","source":"royalsocietypublishing.org (Atypon)","title":"Ratcheting up the ratchet: on the evolution of cumulative culture","title-short":"Ratcheting up the ratchet","volume":"364","author":[{"family":"Tennie","given":"Claudio"},{"family":"Call","given":"Josep"},{"family":"Tomasello","given":"Michael"}],"issued":{"date-parts":[["2009",8,27]]}},"suppress-author":true},{"id":1018,"uris":["http://zotero.org/users/local/jz7T3Opo/items/2SICJIJJ"],"itemData":{"id":1018,"type":"article-journal","abstract":"The critical examination of current hypotheses is one of the key ways in which scientific fields develop and grow. Therefore, any critique, including Haidle and Schlaudt’s article, “Where Does Cumulative Culture Begin? A Plea for a Sociologically Informed Perspective,” represents a welcome addition to the literature. However, critiques must also be evaluated. In their article, Haidle and Schlaudt (Biol Theory 15:161–174, 2020. https://doi.org/10.1007/s13752-020-00351-w; henceforth H&amp;S) review some approaches to culture and cumulative culture in both human and nonhuman primates. H&amp;S discuss the “zone of latent solutions” (ZLS) hypothesis as applied to nonhuman primates and stone-toolmaking premodern hominins. Here, we will evaluate whether H&amp;S’s critique addresses its target.","container-title":"Biological Theory","DOI":"10.1007/s13752-021-00374-x","ISSN":"1555-5550","issue":"2","journalAbbreviation":"Biol Theory","language":"en","page":"76-82","source":"Springer Link","title":"Clarifying Misconceptions of the Zone of Latent Solutions Hypothesis: A Response to Haidle and Schlaudt","title-short":"Clarifying Misconceptions of the Zone of Latent Solutions Hypothesis","volume":"16","author":[{"family":"Bandini","given":"Elisa"},{"family":"Reeves","given":"Jonathan Scott"},{"family":"Snyder","given":"William Daniel"},{"family":"Tennie","given":"Claudio"}],"issued":{"date-parts":[["2021",6,1]]}}}],"schema":"https://github.com/citation-style-language/schema/raw/master/csl-citation.json"}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(2009; Bandini et al. 2021)</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notion of a ‘zone of latent solutions’ [ZLS] </w:t>
      </w:r>
      <w:r w:rsidR="00816711" w:rsidRPr="009B1F4E">
        <w:rPr>
          <w:rFonts w:ascii="Garamond" w:hAnsi="Garamond" w:cs="Calibri"/>
          <w:color w:val="000000" w:themeColor="text1"/>
        </w:rPr>
        <w:t>to characterise cumulative culture further</w:t>
      </w:r>
      <w:r w:rsidRPr="009B1F4E">
        <w:rPr>
          <w:rFonts w:ascii="Garamond" w:hAnsi="Garamond" w:cs="Calibri"/>
          <w:color w:val="000000" w:themeColor="text1"/>
        </w:rPr>
        <w:t xml:space="preserve">. An ability or a belief is part of an individual’s ZLS if it could be acquired by individual learning. The kind of knowledge humans need to acquire quickly exceeds their ZLS. </w:t>
      </w:r>
      <w:r w:rsidR="00137204" w:rsidRPr="009B1F4E">
        <w:rPr>
          <w:rFonts w:ascii="Garamond" w:hAnsi="Garamond"/>
          <w:color w:val="000000" w:themeColor="text1"/>
        </w:rPr>
        <w:t xml:space="preserve">This might be because the behaviour in question is too complex for agents to grasp for themselves, because of time or resource constraints, or because the outcomes of the behaviour are causally opaque or ambiguous — i.e., it’s unclear whether and why the behaviour was successful — because trial-and-error learning is costly or because environments are fast-changing </w:t>
      </w:r>
      <w:r w:rsidR="00137204" w:rsidRPr="009B1F4E">
        <w:rPr>
          <w:rFonts w:ascii="Garamond" w:hAnsi="Garamond"/>
          <w:color w:val="000000" w:themeColor="text1"/>
        </w:rPr>
        <w:fldChar w:fldCharType="begin"/>
      </w:r>
      <w:r w:rsidR="009B1F4E">
        <w:rPr>
          <w:rFonts w:ascii="Garamond" w:hAnsi="Garamond"/>
          <w:color w:val="000000" w:themeColor="text1"/>
        </w:rPr>
        <w:instrText xml:space="preserve"> ADDIN ZOTERO_ITEM CSL_CITATION {"citationID":"cT9zayHy","properties":{"formattedCitation":"(see, e.g., Sterelny 2021b, chaps 1 &amp; 2)","plainCitation":"(see, e.g., Sterelny 2021b, chaps 1 &amp; 2)","noteIndex":0},"citationItems":[{"id":789,"uris":["http://zotero.org/users/local/jz7T3Opo/items/GATH6MTZ"],"itemData":{"id":789,"type":"book","abstract":"Kim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Contract","author":[{"family":"Sterelny","given":"Kim"}],"issued":{"date-parts":[["2021",9,16]]}},"locator":"1 &amp;2","label":"chapter","prefix":"see, e.g., "}],"schema":"https://github.com/citation-style-language/schema/raw/master/csl-citation.json"} </w:instrText>
      </w:r>
      <w:r w:rsidR="00137204" w:rsidRPr="009B1F4E">
        <w:rPr>
          <w:rFonts w:ascii="Garamond" w:hAnsi="Garamond"/>
          <w:color w:val="000000" w:themeColor="text1"/>
        </w:rPr>
        <w:fldChar w:fldCharType="separate"/>
      </w:r>
      <w:r w:rsidR="009B1F4E">
        <w:rPr>
          <w:rFonts w:ascii="Garamond" w:hAnsi="Garamond"/>
          <w:noProof/>
          <w:color w:val="000000" w:themeColor="text1"/>
        </w:rPr>
        <w:t>(see, e.g., Sterelny 2021b, chaps 1 &amp; 2)</w:t>
      </w:r>
      <w:r w:rsidR="00137204" w:rsidRPr="009B1F4E">
        <w:rPr>
          <w:rFonts w:ascii="Garamond" w:hAnsi="Garamond"/>
          <w:color w:val="000000" w:themeColor="text1"/>
        </w:rPr>
        <w:fldChar w:fldCharType="end"/>
      </w:r>
      <w:r w:rsidR="00137204" w:rsidRPr="009B1F4E">
        <w:rPr>
          <w:rFonts w:ascii="Garamond" w:hAnsi="Garamond"/>
          <w:color w:val="000000" w:themeColor="text1"/>
        </w:rPr>
        <w:t>.</w:t>
      </w:r>
      <w:r w:rsidR="00C6090A">
        <w:rPr>
          <w:rFonts w:ascii="Garamond" w:hAnsi="Garamond" w:cs="Calibri"/>
          <w:color w:val="000000" w:themeColor="text1"/>
        </w:rPr>
        <w:t xml:space="preserve"> </w:t>
      </w:r>
      <w:r w:rsidRPr="009B1F4E">
        <w:rPr>
          <w:rFonts w:ascii="Garamond" w:hAnsi="Garamond" w:cs="Calibri"/>
          <w:color w:val="000000" w:themeColor="text1"/>
        </w:rPr>
        <w:t xml:space="preserve">Put differently, it’s because of the importance of cumulative culture for our way of life and the fact that we can’t attain it on our own that we depend so heavily on cultural learning </w:t>
      </w:r>
      <w:r w:rsidRPr="009B1F4E">
        <w:rPr>
          <w:rFonts w:ascii="Garamond" w:hAnsi="Garamond" w:cs="Calibri"/>
          <w:color w:val="000000" w:themeColor="text1"/>
        </w:rPr>
        <w:fldChar w:fldCharType="begin"/>
      </w:r>
      <w:r w:rsidR="009B1F4E">
        <w:rPr>
          <w:rFonts w:ascii="Garamond" w:hAnsi="Garamond" w:cs="Calibri"/>
          <w:color w:val="000000" w:themeColor="text1"/>
        </w:rPr>
        <w:instrText xml:space="preserve"> ADDIN ZOTERO_ITEM CSL_CITATION {"citationID":"TVtPiBjo","properties":{"formattedCitation":"(Sterelny 2021b; Henrich 2015; Tennie, Call, and Tomasello 2009)","plainCitation":"(Sterelny 2021b; Henrich 2015; Tennie, Call, and Tomasello 2009)","noteIndex":0},"citationItems":[{"id":789,"uris":["http://zotero.org/users/local/jz7T3Opo/items/GATH6MTZ"],"itemData":{"id":789,"type":"book","abstract":"Kim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Contract","author":[{"family":"Sterelny","given":"Kim"}],"issued":{"date-parts":[["2021",9,16]]}}},{"id":818,"uris":["http://zotero.org/users/local/jz7T3Opo/items/TWXJMDVG"],"itemData":{"id":818,"type":"book","abstract":"Humans are a puzzling species. On the one hand, we struggle to survive on our own in the wild, often failing to overcome even basic challenges, like obtaining food, building shelters, or avoiding predators. On the other hand, human groups have produced ingenious technologies, sophisticated languages, and complex institutions that have permitted us to successfully expand into a vast range of diverse environments. What has enabled us to dominate the globe, more than any other species, while remaining virtually helpless as lone individuals? This book shows that the secret of our success lies not in our innate intelligence, but in our collective brains—on the ability of human groups to socially interconnect and learn from one another over generations. Drawing insights from lost European explorers, clever chimpanzees, mobile hunter-gatherers, neuroscientific findings, ancient bones, and the human genome, Joseph Henrich demonstrates how our collective brains have propelled our species' genetic evolution and shaped our biology. Our early capacities for learning from others produced many cultural innovations, such as fire, cooking, water containers, plant knowledge, and projectile weapons, which in turn drove the expansion of our brains and altered our physiology, anatomy, and psychology in crucial ways. Later on, some collective brains generated and recombined powerful concepts, such as the lever, wheel, screw, and writing, while also creating the institutions that continue to alter our motivations and perceptions. Henrich shows how our genetics and biology are inextricably interwoven with cultural evolution, and how culture-gene interactions launched our species on an extraordinary evolutionary trajectory. Tracking clues from our ancient past to the present, The Secret of Our Success explores how the evolution of both our cultural and social natures produce a collective intelligence that explains both our species' immense success and the origins of human uniqueness.","publisher":"Princeton University Press","title":"The Secret of Our Success","author":[{"family":"Henrich","given":"Joseph"}],"issued":{"date-parts":[["2015"]]}}},{"id":798,"uris":["http://zotero.org/users/local/jz7T3Opo/items/5PNEHUUR"],"itemData":{"id":798,"type":"article-journal","abstract":"Some researchers have claimed that chimpanzee and human culture rest on homologous cognitive and learning mechanisms. While clearly there are some homologous mechanisms, we argue here that there are some different mechanisms at work as well. Chimpanzee cultural traditions represent behavioural biases of different populations, all within the species’ existing cognitive repertoire (what we call the ‘zone of latent solutions’) that are generated by founder effects, individual learning and mostly product-oriented (rather than process-oriented) copying. Human culture, in contrast, has the distinctive characteristic that it accumulates modifications over time (what we call the ‘ratchet effect’). This difference results from the facts that (i) human social learning is more oriented towards process than product and (ii) unique forms of human cooperation lead to active teaching, social motivations for conformity and normative sanctions against non-conformity. Together, these unique processes of social learning and cooperation lead to humans’ unique form of cumulative cultural evolution.","container-title":"Philosophical Transactions of the Royal Society B: Biological Sciences","DOI":"10.1098/rstb.2009.0052","issue":"1528","note":"publisher: Royal Society","page":"2405-2415","source":"royalsocietypublishing.org (Atypon)","title":"Ratcheting up the ratchet: on the evolution of cumulative culture","title-short":"Ratcheting up the ratchet","volume":"364","author":[{"family":"Tennie","given":"Claudio"},{"family":"Call","given":"Josep"},{"family":"Tomasello","given":"Michael"}],"issued":{"date-parts":[["2009",8,27]]}}}],"schema":"https://github.com/citation-style-language/schema/raw/master/csl-citation.json"} </w:instrText>
      </w:r>
      <w:r w:rsidRPr="009B1F4E">
        <w:rPr>
          <w:rFonts w:ascii="Garamond" w:hAnsi="Garamond" w:cs="Calibri"/>
          <w:color w:val="000000" w:themeColor="text1"/>
        </w:rPr>
        <w:fldChar w:fldCharType="separate"/>
      </w:r>
      <w:r w:rsidR="009B1F4E">
        <w:rPr>
          <w:rFonts w:ascii="Garamond" w:hAnsi="Garamond" w:cs="Calibri"/>
          <w:noProof/>
          <w:color w:val="000000" w:themeColor="text1"/>
        </w:rPr>
        <w:t>(Sterelny 2021b; Henrich 2015; Tennie, Call, and Tomasello 2009)</w:t>
      </w:r>
      <w:r w:rsidRPr="009B1F4E">
        <w:rPr>
          <w:rFonts w:ascii="Garamond" w:hAnsi="Garamond" w:cs="Calibri"/>
          <w:color w:val="000000" w:themeColor="text1"/>
        </w:rPr>
        <w:fldChar w:fldCharType="end"/>
      </w:r>
      <w:r w:rsidRPr="009B1F4E">
        <w:rPr>
          <w:rFonts w:ascii="Garamond" w:hAnsi="Garamond" w:cs="Calibri"/>
          <w:color w:val="000000" w:themeColor="text1"/>
        </w:rPr>
        <w:t>.</w:t>
      </w:r>
    </w:p>
    <w:p w14:paraId="580CDE32" w14:textId="77777777" w:rsidR="009A4AF5" w:rsidRPr="009B1F4E" w:rsidRDefault="009A4AF5" w:rsidP="00617F6E">
      <w:pPr>
        <w:spacing w:line="360" w:lineRule="auto"/>
        <w:jc w:val="both"/>
        <w:rPr>
          <w:rFonts w:ascii="Garamond" w:hAnsi="Garamond" w:cs="Calibri"/>
          <w:color w:val="000000" w:themeColor="text1"/>
        </w:rPr>
      </w:pPr>
    </w:p>
    <w:p w14:paraId="2ED5F53D" w14:textId="6E568221" w:rsidR="009A4AF5" w:rsidRPr="009B1F4E" w:rsidRDefault="009A4AF5" w:rsidP="009A4AF5">
      <w:pPr>
        <w:spacing w:line="360" w:lineRule="auto"/>
        <w:jc w:val="both"/>
        <w:rPr>
          <w:rStyle w:val="notion-enable-hover"/>
          <w:rFonts w:ascii="Garamond" w:hAnsi="Garamond" w:cs="Calibri"/>
          <w:color w:val="000000" w:themeColor="text1"/>
        </w:rPr>
      </w:pPr>
      <w:r w:rsidRPr="009B1F4E">
        <w:rPr>
          <w:rFonts w:ascii="Garamond" w:hAnsi="Garamond" w:cs="Calibri"/>
          <w:color w:val="000000" w:themeColor="text1"/>
        </w:rPr>
        <w:t xml:space="preserve">Turning to social norms, as I’ll use the term here, “social norm” is a general term for a variety of socially normative phenomena, such as conventions or what’s sometimes called social norms in the strict sense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{"citationID":"A9zv8qpb","properties":{"formattedCitation":"(Bicchieri 2005)","plainCitation":"(Bicchieri 2005)","noteIndex":0},"citationItems":[{"id":334,"uris":["http://zotero.org/users/local/jz7T3Opo/items/BUBTI4E3"],"itemData":{"id":334,"type":"article-journal","language":"en","page":"278","source":"Zotero","title":"The Grammar of Society: The Nature and Dynamics of Social Norms","author":[{"family":"Bicchieri","given":"Cristina"}],"issued":{"date-parts":[["2005"]]}}}],"schema":"https://github.com/citation-style-language/schema/raw/master/csl-citation.json"}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(Bicchieri 2005)</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w:t>
      </w:r>
      <w:r w:rsidRPr="009B1F4E">
        <w:rPr>
          <w:rStyle w:val="notion-enable-hover"/>
          <w:rFonts w:ascii="Garamond" w:hAnsi="Garamond" w:cs="Calibri"/>
          <w:color w:val="000000" w:themeColor="text1"/>
        </w:rPr>
        <w:t>In general, social norms are rules that guide agents in which behaviours are appropriate, permissible, or obligatory in specific situations and communities — in other words</w:t>
      </w:r>
      <w:r w:rsidR="00816711" w:rsidRPr="009B1F4E">
        <w:rPr>
          <w:rStyle w:val="notion-enable-hover"/>
          <w:rFonts w:ascii="Garamond" w:hAnsi="Garamond" w:cs="Calibri"/>
          <w:color w:val="000000" w:themeColor="text1"/>
        </w:rPr>
        <w:t>,</w:t>
      </w:r>
      <w:r w:rsidR="00D57599" w:rsidRPr="009B1F4E">
        <w:rPr>
          <w:rStyle w:val="notion-enable-hover"/>
          <w:rFonts w:ascii="Garamond" w:hAnsi="Garamond" w:cs="Calibri"/>
          <w:color w:val="000000" w:themeColor="text1"/>
        </w:rPr>
        <w:t xml:space="preserve"> they</w:t>
      </w:r>
      <w:r w:rsidRPr="009B1F4E">
        <w:rPr>
          <w:rStyle w:val="notion-enable-hover"/>
          <w:rFonts w:ascii="Garamond" w:hAnsi="Garamond" w:cs="Calibri"/>
          <w:color w:val="000000" w:themeColor="text1"/>
        </w:rPr>
        <w:t xml:space="preserve"> set standards of correctness for behaviours in specific contexts. </w:t>
      </w:r>
    </w:p>
    <w:p w14:paraId="612DFABA" w14:textId="763C5889" w:rsidR="009A4AF5" w:rsidRPr="009B1F4E" w:rsidRDefault="009A4AF5" w:rsidP="009A4AF5">
      <w:pPr>
        <w:spacing w:line="360" w:lineRule="auto"/>
        <w:jc w:val="both"/>
        <w:rPr>
          <w:rStyle w:val="notion-enable-hover"/>
          <w:rFonts w:ascii="Garamond" w:hAnsi="Garamond" w:cs="Calibri"/>
          <w:color w:val="000000" w:themeColor="text1"/>
        </w:rPr>
      </w:pPr>
      <w:r w:rsidRPr="009B1F4E">
        <w:rPr>
          <w:rStyle w:val="notion-enable-hover"/>
          <w:rFonts w:ascii="Garamond" w:hAnsi="Garamond" w:cs="Calibri"/>
          <w:color w:val="000000" w:themeColor="text1"/>
        </w:rPr>
        <w:t xml:space="preserve">More specifically, the notion of “social norm” used here is inspired by game-theoretic accounts, where social norms are seen to solve collective action problems </w:t>
      </w:r>
      <w:r w:rsidRPr="009B1F4E">
        <w:rPr>
          <w:rStyle w:val="notion-enable-hover"/>
          <w:rFonts w:ascii="Garamond" w:hAnsi="Garamond" w:cs="Calibri"/>
          <w:color w:val="000000" w:themeColor="text1"/>
        </w:rPr>
        <w:fldChar w:fldCharType="begin"/>
      </w:r>
      <w:r w:rsidRPr="009B1F4E">
        <w:rPr>
          <w:rStyle w:val="notion-enable-hover"/>
          <w:rFonts w:ascii="Garamond" w:hAnsi="Garamond" w:cs="Calibri"/>
          <w:color w:val="000000" w:themeColor="text1"/>
        </w:rPr>
        <w:instrText xml:space="preserve"> ADDIN ZOTERO_ITEM CSL_CITATION {"citationID":"KP6m44zp","properties":{"formattedCitation":"(Young 1998; Gintis 2014; Lewis 1969)","plainCitation":"(Young 1998; Gintis 2014; Lewis 1969)","noteIndex":0},"citationItems":[{"id":1062,"uris":["http://zotero.org/users/local/jz7T3Opo/items/3WRRJWVM"],"itemData":{"id":1062,"type":"article-journal","source":"Google Scholar","title":"Individual Strategy and Social Structure: An Evolutionary Theory of Institutions. Princeton: Princeton Univ. Press. 208 p.","title-short":"Individual Strategy and Social Structure","author":[{"family":"Young","given":"H. P."}],"issued":{"date-parts":[["1998"]]}}},{"id":1060,"uris":["http://zotero.org/users/local/jz7T3Opo/items/I4P87R5S"],"itemData":{"id":1060,"type":"book","abstract":"Game theory is central to understanding human behavior and relevant to all of the behavioral sciences—from biology and economics, to anthropology and political science. However, as The Bounds of Reason demonstrates, game theory alone cannot fully explain human behavior and should instead complement other key concepts championed by the behavioral disciplines. Herbert Gintis shows that just as game theory without broader social theory is merely technical bravado, so social theory without game theory is a handicapped enterprise. This edition has been thoroughly revised and updated.Reinvigorating game theory, The Bounds of Reason offers innovative thinking for the behavioral sciences.","ISBN":"978-1-4008-5134-8","language":"en","note":"Google-Books-ID: fFbOAgAAQBAJ","number-of-pages":"284","publisher":"Princeton University Press","source":"Google Books","title":"The Bounds of Reason: Game Theory and the Unification of the Behavioral Sciences - Revised Edition","title-short":"The Bounds of Reason","author":[{"family":"Gintis","given":"Herbert"}],"issued":{"date-parts":[["2014",3,30]]}}},{"id":910,"uris":["http://zotero.org/users/local/jz7T3Opo/items/3RAGAWE4"],"itemData":{"id":910,"type":"book","abstract":"Convention was immediately recognized as a major contribution to the subject and its significance has remained undiminished since its first publication in 1969. Lewis analyzes social conventions as regularities in the resolution of recurring coordination problems-situations characterized by interdependent decision processes in which common interests are at stake. Conventions are contrasted with other kinds of regularity, and conventions governing systems of communication are given special attention.","ISBN":"978-0-470-69296-7","language":"en","note":"Google-Books-ID: GgCkLtTqBsMC","number-of-pages":"229","publisher":"John Wiley &amp; Sons","source":"Google Books","title":"Convention: A Philosophical Study","title-short":"Convention","author":[{"family":"Lewis","given":"David"}],"issued":{"date-parts":[["1969"]]}}}],"schema":"https://github.com/citation-style-language/schema/raw/master/csl-citation.json"} </w:instrText>
      </w:r>
      <w:r w:rsidRPr="009B1F4E">
        <w:rPr>
          <w:rStyle w:val="notion-enable-hover"/>
          <w:rFonts w:ascii="Garamond" w:hAnsi="Garamond" w:cs="Calibri"/>
          <w:color w:val="000000" w:themeColor="text1"/>
        </w:rPr>
        <w:fldChar w:fldCharType="separate"/>
      </w:r>
      <w:r w:rsidRPr="009B1F4E">
        <w:rPr>
          <w:rStyle w:val="notion-enable-hover"/>
          <w:rFonts w:ascii="Garamond" w:hAnsi="Garamond" w:cs="Calibri"/>
          <w:noProof/>
          <w:color w:val="000000" w:themeColor="text1"/>
        </w:rPr>
        <w:t>(Young 1998; Gintis 2014; Lewis 1969)</w:t>
      </w:r>
      <w:r w:rsidRPr="009B1F4E">
        <w:rPr>
          <w:rStyle w:val="notion-enable-hover"/>
          <w:rFonts w:ascii="Garamond" w:hAnsi="Garamond" w:cs="Calibri"/>
          <w:color w:val="000000" w:themeColor="text1"/>
        </w:rPr>
        <w:fldChar w:fldCharType="end"/>
      </w:r>
      <w:r w:rsidRPr="009B1F4E">
        <w:rPr>
          <w:rStyle w:val="notion-enable-hover"/>
          <w:rFonts w:ascii="Garamond" w:hAnsi="Garamond" w:cs="Calibri"/>
          <w:color w:val="000000" w:themeColor="text1"/>
        </w:rPr>
        <w:t xml:space="preserve">. This approach has been hugely influential, both in philosophical </w:t>
      </w:r>
      <w:r w:rsidRPr="009B1F4E">
        <w:rPr>
          <w:rStyle w:val="notion-enable-hover"/>
          <w:rFonts w:ascii="Garamond" w:hAnsi="Garamond" w:cs="Calibri"/>
          <w:color w:val="000000" w:themeColor="text1"/>
        </w:rPr>
        <w:fldChar w:fldCharType="begin"/>
      </w:r>
      <w:r w:rsidRPr="009B1F4E">
        <w:rPr>
          <w:rStyle w:val="notion-enable-hover"/>
          <w:rFonts w:ascii="Garamond" w:hAnsi="Garamond" w:cs="Calibri"/>
          <w:color w:val="000000" w:themeColor="text1"/>
        </w:rPr>
        <w:instrText xml:space="preserve"> ADDIN ZOTERO_ITEM CSL_CITATION {"citationID":"vukXhyDa","properties":{"formattedCitation":"(see e.g. Bicchieri 2005)","plainCitation":"(see e.g. Bicchieri 2005)","noteIndex":0},"citationItems":[{"id":334,"uris":["http://zotero.org/users/local/jz7T3Opo/items/BUBTI4E3"],"itemData":{"id":334,"type":"article-journal","language":"en","page":"278","source":"Zotero","title":"The Grammar of Society: The Nature and Dynamics of Social Norms","author":[{"family":"Bicchieri","given":"Cristina"}],"issued":{"date-parts":[["2005"]]}},"label":"page","prefix":"see e.g."}],"schema":"https://github.com/citation-style-language/schema/raw/master/csl-citation.json"} </w:instrText>
      </w:r>
      <w:r w:rsidRPr="009B1F4E">
        <w:rPr>
          <w:rStyle w:val="notion-enable-hover"/>
          <w:rFonts w:ascii="Garamond" w:hAnsi="Garamond" w:cs="Calibri"/>
          <w:color w:val="000000" w:themeColor="text1"/>
        </w:rPr>
        <w:fldChar w:fldCharType="separate"/>
      </w:r>
      <w:r w:rsidRPr="009B1F4E">
        <w:rPr>
          <w:rStyle w:val="notion-enable-hover"/>
          <w:rFonts w:ascii="Garamond" w:hAnsi="Garamond" w:cs="Calibri"/>
          <w:noProof/>
          <w:color w:val="000000" w:themeColor="text1"/>
        </w:rPr>
        <w:t>(see e.g. Bicchieri 2005)</w:t>
      </w:r>
      <w:r w:rsidRPr="009B1F4E">
        <w:rPr>
          <w:rStyle w:val="notion-enable-hover"/>
          <w:rFonts w:ascii="Garamond" w:hAnsi="Garamond" w:cs="Calibri"/>
          <w:color w:val="000000" w:themeColor="text1"/>
        </w:rPr>
        <w:fldChar w:fldCharType="end"/>
      </w:r>
      <w:r w:rsidRPr="009B1F4E">
        <w:rPr>
          <w:rStyle w:val="notion-enable-hover"/>
          <w:rFonts w:ascii="Garamond" w:hAnsi="Garamond" w:cs="Calibri"/>
          <w:color w:val="000000" w:themeColor="text1"/>
        </w:rPr>
        <w:t xml:space="preserve"> and </w:t>
      </w:r>
      <w:r w:rsidR="00B14DA9" w:rsidRPr="009B1F4E">
        <w:rPr>
          <w:rStyle w:val="notion-enable-hover"/>
          <w:rFonts w:ascii="Garamond" w:hAnsi="Garamond" w:cs="Calibri"/>
          <w:color w:val="000000" w:themeColor="text1"/>
        </w:rPr>
        <w:t>evolutionary</w:t>
      </w:r>
      <w:r w:rsidRPr="009B1F4E">
        <w:rPr>
          <w:rStyle w:val="notion-enable-hover"/>
          <w:rFonts w:ascii="Garamond" w:hAnsi="Garamond" w:cs="Calibri"/>
          <w:color w:val="000000" w:themeColor="text1"/>
        </w:rPr>
        <w:t xml:space="preserve"> </w:t>
      </w:r>
      <w:r w:rsidRPr="009B1F4E">
        <w:rPr>
          <w:rStyle w:val="notion-enable-hover"/>
          <w:rFonts w:ascii="Garamond" w:hAnsi="Garamond" w:cs="Calibri"/>
          <w:color w:val="000000" w:themeColor="text1"/>
        </w:rPr>
        <w:fldChar w:fldCharType="begin"/>
      </w:r>
      <w:r w:rsidR="009B1F4E">
        <w:rPr>
          <w:rStyle w:val="notion-enable-hover"/>
          <w:rFonts w:ascii="Garamond" w:hAnsi="Garamond" w:cs="Calibri"/>
          <w:color w:val="000000" w:themeColor="text1"/>
        </w:rPr>
        <w:instrText xml:space="preserve"> ADDIN ZOTERO_ITEM CSL_CITATION {"citationID":"h6whYhNE","properties":{"formattedCitation":"(see e.g. Henrich and Muthukrishna 2021; Richerson and Boyd 2008; Sterelny 2021b)","plainCitation":"(see e.g. Henrich and Muthukrishna 2021; Richerson and Boyd 2008; Sterelny 2021b)","noteIndex":0},"citationItems":[{"id":416,"uris":["http://zotero.org/users/local/jz7T3Opo/items/BKPDT6KX"],"itemData":{"id":416,"type":"article-journal","abstract":"Illuminating the puzzle of our species’ ultrasociality requires not only explaining the breadth and intensity of human cooperation but also why it varies across societies, over history and among behavioral domains (within societies). To address these patterns, we introduce an evolutionary approach that considers how genetic and cultural evolution, as well as their interaction, may have shaped both the reliably developing features of our minds and the well-documented differences in cultural psychologies around the globe. We review the major evolutionary mechanisms that have been proposed to explain human cooperation, including kinship, reciprocity (partner choice), reputation, signaling and punishment, discuss key culture-gene coevolutionary hypotheses, such as those surrounding self-domestication and norm psychology, and consider the role of religions, rituals and marriage systems. Empirically, we bring together diverse experimental, observational, and anthropological evidence from studies of children and adults from diverse societies as well as from non-human primates.","container-title":"Annual Review of Psychology","DOI":"10.1146/annurev-psych-081920-042106","ISSN":"0066-4308, 1545-2085","issue":"1","journalAbbreviation":"Annu. Rev. Psychol.","language":"en","page":"207-240","source":"DOI.org (Crossref)","title":"The Origins and Psychology of Human Cooperation","volume":"72","author":[{"family":"Henrich","given":"Joseph"},{"family":"Muthukrishna","given":"Michael"}],"issued":{"date-parts":[["2021",1,4]]}},"label":"page","prefix":"see e.g."},{"id":1041,"uris":["http://zotero.org/users/local/jz7T3Opo/items/9A58XXAZ"],"itemData":{"id":1041,"type":"book","abstract":"Humans are a striking anomaly in the natural world. While we are similar to other mammals in many ways, our behavior sets us apart. Our unparalleled ability to adapt has allowed us to occupy virtually every habitat on earth using an incredible variety of tools and subsistence techniques. Our societies are larger, more complex, and more cooperative than any other mammal's. In this stunning exploration of human adaptation, Peter J. Richerson and Robert Boyd argue that only a Darwinian theory of cultural evolution can explain these unique characteristics.  Not by Genes Alone offers a radical interpretation of human evolution, arguing that our ecological dominance and our singular social systems stem from a psychology uniquely adapted to create complex culture. Richerson and Boyd illustrate here that culture is neither superorganic nor the handmaiden of the genes. Rather, it is essential to human adaptation, as much a part of human biology as bipedal locomotion. Drawing on work in the fields of anthropology, political science, sociology, and economics—and building their case with such fascinating examples as kayaks, corporations, clever knots, and yams that require twelve men to carry them—Richerson and Boyd convincingly demonstrate that culture and biology are inextricably linked, and they show us how to think about their interaction in a way that yields a richer understanding of human nature.  In abandoning the nature-versus-nurture debate as fundamentally misconceived, Not by Genes Alone is a truly original and groundbreaking theory of the role of culture in evolution and a book to be reckoned with for generations to come.  “I continue to be surprised by the number of educated people (many of them biologists) who think that offering explanations for human behavior in terms of culture somehow disproves the suggestion that human behavior can be explained in Darwinian evolutionary terms. Fortunately, we now have a book to which they may be directed for enlightenment . . . . It is a book full of good sense and the kinds of intellectual rigor and clarity of writing that we have come to expect from the Boyd/Richerson stable.”—Robin Dunbar, Nature  “Not by Genes Alone is a valuable and very readable synthesis of a still embryonic but very important subject straddling the sciences and humanities.”—E. O. Wilson, Harvard University","ISBN":"978-0-226-71213-0","language":"en","number-of-pages":"343","publisher":"University of Chicago Press","source":"Google Books","title":"Not By Genes Alone: How Culture Transformed Human Evolution","title-short":"Not By Genes Alone","author":[{"family":"Richerson","given":"Peter J."},{"family":"Boyd","given":"Robert"}],"issued":{"date-parts":[["2008",6,20]]}}},{"id":789,"uris":["http://zotero.org/users/local/jz7T3Opo/items/GATH6MTZ"],"itemData":{"id":789,"type":"book","abstract":"Kim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Contract","author":[{"family":"Sterelny","given":"Kim"}],"issued":{"date-parts":[["2021",9,16]]}}}],"schema":"https://github.com/citation-style-language/schema/raw/master/csl-citation.json"} </w:instrText>
      </w:r>
      <w:r w:rsidRPr="009B1F4E">
        <w:rPr>
          <w:rStyle w:val="notion-enable-hover"/>
          <w:rFonts w:ascii="Garamond" w:hAnsi="Garamond" w:cs="Calibri"/>
          <w:color w:val="000000" w:themeColor="text1"/>
        </w:rPr>
        <w:fldChar w:fldCharType="separate"/>
      </w:r>
      <w:r w:rsidR="009B1F4E">
        <w:rPr>
          <w:rStyle w:val="notion-enable-hover"/>
          <w:rFonts w:ascii="Garamond" w:hAnsi="Garamond" w:cs="Calibri"/>
          <w:noProof/>
          <w:color w:val="000000" w:themeColor="text1"/>
        </w:rPr>
        <w:t>(see e.g. Henrich and Muthukrishna 2021; Richerson and Boyd 2008; Sterelny 2021b)</w:t>
      </w:r>
      <w:r w:rsidRPr="009B1F4E">
        <w:rPr>
          <w:rStyle w:val="notion-enable-hover"/>
          <w:rFonts w:ascii="Garamond" w:hAnsi="Garamond" w:cs="Calibri"/>
          <w:color w:val="000000" w:themeColor="text1"/>
        </w:rPr>
        <w:fldChar w:fldCharType="end"/>
      </w:r>
      <w:r w:rsidRPr="009B1F4E">
        <w:rPr>
          <w:rStyle w:val="notion-enable-hover"/>
          <w:rFonts w:ascii="Garamond" w:hAnsi="Garamond" w:cs="Calibri"/>
          <w:color w:val="000000" w:themeColor="text1"/>
        </w:rPr>
        <w:t xml:space="preserve"> literature. On this view, social norms regulate collective action so that public goods and/or shared goals can be attained. On my understanding, this characterisation of social norms is </w:t>
      </w:r>
      <w:r w:rsidRPr="009B1F4E">
        <w:rPr>
          <w:rStyle w:val="notion-enable-hover"/>
          <w:rFonts w:ascii="Garamond" w:hAnsi="Garamond" w:cs="Calibri"/>
          <w:color w:val="000000" w:themeColor="text1"/>
        </w:rPr>
        <w:lastRenderedPageBreak/>
        <w:t xml:space="preserve">functional in nature: It describes what social norms do — they have the function of regulating </w:t>
      </w:r>
      <w:r w:rsidR="009F56D2" w:rsidRPr="009B1F4E">
        <w:rPr>
          <w:rStyle w:val="notion-enable-hover"/>
          <w:rFonts w:ascii="Garamond" w:hAnsi="Garamond" w:cs="Calibri"/>
          <w:color w:val="000000" w:themeColor="text1"/>
        </w:rPr>
        <w:t>complex social interactions</w:t>
      </w:r>
      <w:r w:rsidR="007E698F" w:rsidRPr="009B1F4E">
        <w:rPr>
          <w:rStyle w:val="notion-enable-hover"/>
          <w:rFonts w:ascii="Garamond" w:hAnsi="Garamond" w:cs="Calibri"/>
          <w:color w:val="000000" w:themeColor="text1"/>
        </w:rPr>
        <w:t xml:space="preserve"> (broadly understood)</w:t>
      </w:r>
      <w:r w:rsidR="009F56D2" w:rsidRPr="009B1F4E">
        <w:rPr>
          <w:rStyle w:val="notion-enable-hover"/>
          <w:rFonts w:ascii="Garamond" w:hAnsi="Garamond" w:cs="Calibri"/>
          <w:color w:val="000000" w:themeColor="text1"/>
        </w:rPr>
        <w:t xml:space="preserve">, including </w:t>
      </w:r>
      <w:r w:rsidRPr="009B1F4E">
        <w:rPr>
          <w:rStyle w:val="notion-enable-hover"/>
          <w:rFonts w:ascii="Garamond" w:hAnsi="Garamond" w:cs="Calibri"/>
          <w:color w:val="000000" w:themeColor="text1"/>
        </w:rPr>
        <w:t xml:space="preserve">collective action. </w:t>
      </w:r>
      <w:r w:rsidRPr="009B1F4E">
        <w:rPr>
          <w:rFonts w:ascii="Garamond" w:hAnsi="Garamond" w:cs="Calibri"/>
          <w:color w:val="000000" w:themeColor="text1"/>
        </w:rPr>
        <w:t xml:space="preserve">As we’ll see below, this view allows us to individuate different kinds of social norms based on their role in solving different </w:t>
      </w:r>
      <w:r w:rsidR="00D57599" w:rsidRPr="009B1F4E">
        <w:rPr>
          <w:rFonts w:ascii="Garamond" w:hAnsi="Garamond" w:cs="Calibri"/>
          <w:color w:val="000000" w:themeColor="text1"/>
        </w:rPr>
        <w:t>types</w:t>
      </w:r>
      <w:r w:rsidRPr="009B1F4E">
        <w:rPr>
          <w:rFonts w:ascii="Garamond" w:hAnsi="Garamond" w:cs="Calibri"/>
          <w:color w:val="000000" w:themeColor="text1"/>
        </w:rPr>
        <w:t xml:space="preserve"> of collective </w:t>
      </w:r>
      <w:r w:rsidR="00D57599" w:rsidRPr="009B1F4E">
        <w:rPr>
          <w:rFonts w:ascii="Garamond" w:hAnsi="Garamond" w:cs="Calibri"/>
          <w:color w:val="000000" w:themeColor="text1"/>
        </w:rPr>
        <w:t>action</w:t>
      </w:r>
      <w:r w:rsidRPr="009B1F4E">
        <w:rPr>
          <w:rFonts w:ascii="Garamond" w:hAnsi="Garamond" w:cs="Calibri"/>
          <w:color w:val="000000" w:themeColor="text1"/>
        </w:rPr>
        <w:t xml:space="preserve"> problems. </w:t>
      </w:r>
      <w:r w:rsidRPr="009B1F4E">
        <w:rPr>
          <w:rStyle w:val="notion-enable-hover"/>
          <w:rFonts w:ascii="Garamond" w:hAnsi="Garamond" w:cs="Calibri"/>
          <w:color w:val="000000" w:themeColor="text1"/>
        </w:rPr>
        <w:t xml:space="preserve">Outside of this functional commitment, the view is compatible with different accounts of what social norms are </w:t>
      </w:r>
      <w:r w:rsidRPr="009B1F4E">
        <w:rPr>
          <w:rStyle w:val="notion-enable-hover"/>
          <w:rFonts w:ascii="Garamond" w:hAnsi="Garamond" w:cs="Calibri"/>
          <w:color w:val="000000" w:themeColor="text1"/>
        </w:rPr>
        <w:fldChar w:fldCharType="begin"/>
      </w:r>
      <w:r w:rsidRPr="009B1F4E">
        <w:rPr>
          <w:rStyle w:val="notion-enable-hover"/>
          <w:rFonts w:ascii="Garamond" w:hAnsi="Garamond" w:cs="Calibri"/>
          <w:color w:val="000000" w:themeColor="text1"/>
        </w:rPr>
        <w:instrText xml:space="preserve"> ADDIN ZOTERO_ITEM CSL_CITATION {"citationID":"Wxy74J1C","properties":{"formattedCitation":"(e.g. Bicchieri 2005; Brennan et al. 2013; van Wietmarschen 2021)","plainCitation":"(e.g. Bicchieri 2005; Brennan et al. 2013; van Wietmarschen 2021)","noteIndex":0},"citationItems":[{"id":334,"uris":["http://zotero.org/users/local/jz7T3Opo/items/BUBTI4E3"],"itemData":{"id":334,"type":"article-journal","language":"en","page":"278","source":"Zotero","title":"The Grammar of Society: The Nature and Dynamics of Social Norms","author":[{"family":"Bicchieri","given":"Cristina"}],"issued":{"date-parts":[["2005"]]}},"label":"page","prefix":"e.g."},{"id":13,"uris":["http://zotero.org/users/local/jz7T3Opo/items/XYCQDPRG"],"itemData":{"id":13,"type":"book","publisher":"Oxford University Press","source":"Google Scholar","title":"Explaining norms","author":[{"family":"Brennan","given":"Geoffrey"},{"family":"Eriksson","given":"Lina"},{"family":"Goodin","given":"Robert E."},{"family":"Southwood","given":"Nicholas"}],"issued":{"date-parts":[["2013"]]}}},{"id":896,"uris":["http://zotero.org/users/local/jz7T3Opo/items/LED7AYGN"],"itemData":{"id":896,"type":"article-journal","abstract":"Abstract\n            On Bicchieri's view, social norms most centrally involve a pattern of preferences among the members of a relevant population; according to Brennan, Eriksson, Goodin, and Southwood, social norms most centrally involve patterns of normative attitudes among the members of a given group. This paper argues, first, that social norms can require attitudes as well as behaviour, and, second, that the existence of such attitudinal social norms speaks in favour of the preference-based view and against the normative attitudes-based view.","container-title":"Analysis","DOI":"10.1093/analys/anaa038","ISSN":"0003-2638, 1467-8284","issue":"1","language":"en","page":"71-79","source":"DOI.org (Crossref)","title":"Attitudinal social norms","volume":"81","author":[{"family":"Wietmarschen","given":"Han","non-dropping-particle":"van"}],"issued":{"date-parts":[["2021",5,5]]}}}],"schema":"https://github.com/citation-style-language/schema/raw/master/csl-citation.json"} </w:instrText>
      </w:r>
      <w:r w:rsidRPr="009B1F4E">
        <w:rPr>
          <w:rStyle w:val="notion-enable-hover"/>
          <w:rFonts w:ascii="Garamond" w:hAnsi="Garamond" w:cs="Calibri"/>
          <w:color w:val="000000" w:themeColor="text1"/>
        </w:rPr>
        <w:fldChar w:fldCharType="separate"/>
      </w:r>
      <w:r w:rsidRPr="009B1F4E">
        <w:rPr>
          <w:rStyle w:val="notion-enable-hover"/>
          <w:rFonts w:ascii="Garamond" w:hAnsi="Garamond" w:cs="Calibri"/>
          <w:noProof/>
          <w:color w:val="000000" w:themeColor="text1"/>
        </w:rPr>
        <w:t>(e.g. Bicchieri 2005; Brennan et al. 2013; van Wietmarschen 2021)</w:t>
      </w:r>
      <w:r w:rsidRPr="009B1F4E">
        <w:rPr>
          <w:rStyle w:val="notion-enable-hover"/>
          <w:rFonts w:ascii="Garamond" w:hAnsi="Garamond" w:cs="Calibri"/>
          <w:color w:val="000000" w:themeColor="text1"/>
        </w:rPr>
        <w:fldChar w:fldCharType="end"/>
      </w:r>
      <w:r w:rsidRPr="009B1F4E">
        <w:rPr>
          <w:rStyle w:val="notion-enable-hover"/>
          <w:rFonts w:ascii="Garamond" w:hAnsi="Garamond" w:cs="Calibri"/>
          <w:color w:val="000000" w:themeColor="text1"/>
        </w:rPr>
        <w:t xml:space="preserve"> and what kind of norm</w:t>
      </w:r>
      <w:r w:rsidR="00137204" w:rsidRPr="009B1F4E">
        <w:rPr>
          <w:rStyle w:val="notion-enable-hover"/>
          <w:rFonts w:ascii="Garamond" w:hAnsi="Garamond" w:cs="Calibri"/>
          <w:color w:val="000000" w:themeColor="text1"/>
        </w:rPr>
        <w:t xml:space="preserve"> </w:t>
      </w:r>
      <w:r w:rsidRPr="009B1F4E">
        <w:rPr>
          <w:rStyle w:val="notion-enable-hover"/>
          <w:rFonts w:ascii="Garamond" w:hAnsi="Garamond" w:cs="Calibri"/>
          <w:color w:val="000000" w:themeColor="text1"/>
        </w:rPr>
        <w:t xml:space="preserve">psychology is required to engage with them </w:t>
      </w:r>
      <w:r w:rsidRPr="009B1F4E">
        <w:rPr>
          <w:rStyle w:val="notion-enable-hover"/>
          <w:rFonts w:ascii="Garamond" w:hAnsi="Garamond" w:cs="Calibri"/>
          <w:color w:val="000000" w:themeColor="text1"/>
        </w:rPr>
        <w:fldChar w:fldCharType="begin"/>
      </w:r>
      <w:r w:rsidR="0002408A" w:rsidRPr="009B1F4E">
        <w:rPr>
          <w:rStyle w:val="notion-enable-hover"/>
          <w:rFonts w:ascii="Garamond" w:hAnsi="Garamond" w:cs="Calibri"/>
          <w:color w:val="000000" w:themeColor="text1"/>
        </w:rPr>
        <w:instrText xml:space="preserve"> ADDIN ZOTERO_ITEM CSL_CITATION {"citationID":"7o5Z8D16","properties":{"formattedCitation":"(e.g., Sripada and Stich 2006; Heyes 2022; Westra and Andrews 2021b)","plainCitation":"(e.g., Sripada and Stich 2006; Heyes 2022; Westra and Andrews 2021b)","noteIndex":0},"citationItems":[{"id":1054,"uris":["http://zotero.org/users/local/jz7T3Opo/items/VWHJ7GHV"],"itemData":{"id":1054,"type":"chapter","container-title":"The Innate Mind, Volume 2: Culture and Cognition","page":"280-301","publisher":"Oxford University Press","title":"A Framework for the Psychology of Norms","author":[{"family":"Sripada","given":"Chandra Sekhar"},{"family":"Stich","given":"Stephen"}],"editor":[{"family":"Carruthers","given":"Peter"},{"family":"Laurence","given":"Stephen"},{"family":"Stich","given":"Stephen"}],"issued":{"date-parts":[["2006"]]}},"label":"page","prefix":"e.g.,"},{"id":1063,"uris":["http://zotero.org/users/local/jz7T3Opo/items/DK6S4CSP"],"itemData":{"id":1063,"type":"article-journal","source":"Google Scholar","title":"RETHINKING NORM PSYCHOLOGY","author":[{"family":"Heyes","given":"Cecilia"}],"issued":{"date-parts":[["2022"]]}}},{"id":1064,"uris":["http://zotero.org/users/local/jz7T3Opo/items/6QW95MQB"],"itemData":{"id":1064,"type":"article","abstract":"Social norms are commonly understood as rules that dictate which behaviors are appropriate, permissible, or obligatory in different situations for members of a given community. Many researchers have sought to explain the ubiquity of social norms in human life in terms of the psychological mechanisms underlying their acquisition, conformity, and enforcement. Existing theories of the psychology of social norms appeal to a variety of constructs, from prediction-error minimization, to reinforcement learning, to shared intentionality, to domain-specific adaptations for norm acquisition. In this paper, we propose a novel methodological and conceptual framework for the cognitive science of social norms that we call normative pluralism. We begin with an analysis of the (sometimes mixed) explanatory aims of the cognitive science of social norms. From this analysis, we derive a recommendation for a reformed conception of its explanandum: a minimally psychological construct that we call normative regularities. Our central empirical proposal is that the psychological underpinnings of social norms are most likely realized by a heterogeneous set of cognitive, motivational, and ecological mechanisms that vary between norms and between individuals, rather than by a single type of process or distinctive norm system. This pluralistic approach, we suggest, offers a methodologically sound point of departure for a fruitful and rigorous science of social norms.","DOI":"10.31234/osf.io/aqv8c","language":"en-us","publisher":"PsyArXiv","source":"OSF Preprints","title":"A pluralistic framework for the psychology of norms","URL":"https://psyarxiv.com/aqv8c/","author":[{"family":"Westra","given":"Evan"},{"family":"Andrews","given":"Kristin"}],"accessed":{"date-parts":[["2022",8,4]]},"issued":{"date-parts":[["2021",7,9]]}}}],"schema":"https://github.com/citation-style-language/schema/raw/master/csl-citation.json"} </w:instrText>
      </w:r>
      <w:r w:rsidRPr="009B1F4E">
        <w:rPr>
          <w:rStyle w:val="notion-enable-hover"/>
          <w:rFonts w:ascii="Garamond" w:hAnsi="Garamond" w:cs="Calibri"/>
          <w:color w:val="000000" w:themeColor="text1"/>
        </w:rPr>
        <w:fldChar w:fldCharType="separate"/>
      </w:r>
      <w:r w:rsidR="0002408A" w:rsidRPr="009B1F4E">
        <w:rPr>
          <w:rStyle w:val="notion-enable-hover"/>
          <w:rFonts w:ascii="Garamond" w:hAnsi="Garamond" w:cs="Calibri"/>
          <w:noProof/>
          <w:color w:val="000000" w:themeColor="text1"/>
        </w:rPr>
        <w:t>(e.g., Sripada and Stich 2006; Heyes 2022; Westra and Andrews 2021b)</w:t>
      </w:r>
      <w:r w:rsidRPr="009B1F4E">
        <w:rPr>
          <w:rStyle w:val="notion-enable-hover"/>
          <w:rFonts w:ascii="Garamond" w:hAnsi="Garamond" w:cs="Calibri"/>
          <w:color w:val="000000" w:themeColor="text1"/>
        </w:rPr>
        <w:fldChar w:fldCharType="end"/>
      </w:r>
      <w:r w:rsidRPr="009B1F4E">
        <w:rPr>
          <w:rStyle w:val="notion-enable-hover"/>
          <w:rFonts w:ascii="Garamond" w:hAnsi="Garamond" w:cs="Calibri"/>
          <w:color w:val="000000" w:themeColor="text1"/>
        </w:rPr>
        <w:t>.</w:t>
      </w:r>
      <w:r w:rsidRPr="009B1F4E">
        <w:rPr>
          <w:rStyle w:val="Funotenzeichen"/>
          <w:rFonts w:ascii="Garamond" w:hAnsi="Garamond" w:cs="Calibri"/>
          <w:color w:val="000000" w:themeColor="text1"/>
        </w:rPr>
        <w:footnoteReference w:id="1"/>
      </w:r>
      <w:r w:rsidRPr="009B1F4E">
        <w:rPr>
          <w:rStyle w:val="notion-enable-hover"/>
          <w:rFonts w:ascii="Garamond" w:hAnsi="Garamond" w:cs="Calibri"/>
          <w:color w:val="000000" w:themeColor="text1"/>
          <w:vertAlign w:val="superscript"/>
        </w:rPr>
        <w:t>,</w:t>
      </w:r>
      <w:r w:rsidRPr="009B1F4E">
        <w:rPr>
          <w:rStyle w:val="notion-enable-hover"/>
          <w:rFonts w:ascii="Garamond" w:hAnsi="Garamond" w:cs="Calibri"/>
          <w:color w:val="000000" w:themeColor="text1"/>
        </w:rPr>
        <w:t xml:space="preserve"> </w:t>
      </w:r>
      <w:r w:rsidRPr="009B1F4E">
        <w:rPr>
          <w:rStyle w:val="Funotenzeichen"/>
          <w:rFonts w:ascii="Garamond" w:hAnsi="Garamond" w:cs="Calibri"/>
          <w:color w:val="000000" w:themeColor="text1"/>
        </w:rPr>
        <w:footnoteReference w:id="2"/>
      </w:r>
      <w:r w:rsidRPr="009B1F4E">
        <w:rPr>
          <w:rStyle w:val="notion-enable-hover"/>
          <w:rFonts w:ascii="Garamond" w:hAnsi="Garamond" w:cs="Calibri"/>
          <w:color w:val="000000" w:themeColor="text1"/>
        </w:rPr>
        <w:t xml:space="preserve"> </w:t>
      </w:r>
    </w:p>
    <w:p w14:paraId="67A91CD7" w14:textId="77777777" w:rsidR="00A94956" w:rsidRPr="009B1F4E" w:rsidRDefault="00A94956" w:rsidP="009A4AF5">
      <w:pPr>
        <w:spacing w:line="360" w:lineRule="auto"/>
        <w:jc w:val="both"/>
        <w:rPr>
          <w:rStyle w:val="notion-enable-hover"/>
          <w:rFonts w:ascii="Garamond" w:hAnsi="Garamond" w:cs="Calibri"/>
          <w:color w:val="000000" w:themeColor="text1"/>
        </w:rPr>
      </w:pPr>
    </w:p>
    <w:p w14:paraId="4D07B8E5" w14:textId="1879A4C8" w:rsidR="00A94956" w:rsidRPr="009B1F4E" w:rsidRDefault="00A94956" w:rsidP="00A94956">
      <w:pPr>
        <w:pStyle w:val="Listenabsatz"/>
        <w:numPr>
          <w:ilvl w:val="1"/>
          <w:numId w:val="1"/>
        </w:numPr>
        <w:spacing w:line="360" w:lineRule="auto"/>
        <w:jc w:val="both"/>
        <w:rPr>
          <w:rStyle w:val="notion-enable-hover"/>
          <w:rFonts w:ascii="Garamond" w:hAnsi="Garamond" w:cs="Calibri"/>
          <w:color w:val="000000" w:themeColor="text1"/>
        </w:rPr>
      </w:pPr>
      <w:r w:rsidRPr="009B1F4E">
        <w:rPr>
          <w:rStyle w:val="notion-enable-hover"/>
          <w:rFonts w:ascii="Garamond" w:hAnsi="Garamond" w:cs="Calibri"/>
          <w:color w:val="000000" w:themeColor="text1"/>
        </w:rPr>
        <w:t>A shared narrative</w:t>
      </w:r>
    </w:p>
    <w:p w14:paraId="487A5773" w14:textId="6901EBE3" w:rsidR="00A94956" w:rsidRPr="009B1F4E" w:rsidRDefault="00A94956" w:rsidP="00A94956">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Let’s turn to the </w:t>
      </w:r>
      <w:proofErr w:type="gramStart"/>
      <w:r w:rsidR="001D400C">
        <w:rPr>
          <w:rFonts w:ascii="Garamond" w:hAnsi="Garamond" w:cs="Calibri"/>
          <w:color w:val="000000" w:themeColor="text1"/>
        </w:rPr>
        <w:t xml:space="preserve">aforementioned </w:t>
      </w:r>
      <w:r w:rsidRPr="009B1F4E">
        <w:rPr>
          <w:rFonts w:ascii="Garamond" w:hAnsi="Garamond" w:cs="Calibri"/>
          <w:color w:val="000000" w:themeColor="text1"/>
        </w:rPr>
        <w:t>shared</w:t>
      </w:r>
      <w:proofErr w:type="gramEnd"/>
      <w:r w:rsidRPr="009B1F4E">
        <w:rPr>
          <w:rFonts w:ascii="Garamond" w:hAnsi="Garamond" w:cs="Calibri"/>
          <w:color w:val="000000" w:themeColor="text1"/>
        </w:rPr>
        <w:t xml:space="preserve"> narrative on the evolution of social norms and social learning that we find in the literature on the evolution of cooperation.</w:t>
      </w:r>
    </w:p>
    <w:p w14:paraId="72E2C6C0" w14:textId="78C101D3" w:rsidR="00A94956" w:rsidRPr="009B1F4E" w:rsidRDefault="00A94956" w:rsidP="00A94956">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I subscribe to a broadly </w:t>
      </w:r>
      <w:proofErr w:type="spellStart"/>
      <w:r w:rsidRPr="009B1F4E">
        <w:rPr>
          <w:rFonts w:ascii="Garamond" w:hAnsi="Garamond" w:cs="Calibri"/>
          <w:color w:val="000000" w:themeColor="text1"/>
        </w:rPr>
        <w:t>Sterelnian</w:t>
      </w:r>
      <w:proofErr w:type="spellEnd"/>
      <w:r w:rsidRPr="009B1F4E">
        <w:rPr>
          <w:rFonts w:ascii="Garamond" w:hAnsi="Garamond" w:cs="Calibri"/>
          <w:color w:val="000000" w:themeColor="text1"/>
        </w:rPr>
        <w:t xml:space="preserve"> view of the evolution of social learning</w:t>
      </w:r>
      <w:r w:rsidR="00D57599" w:rsidRPr="009B1F4E">
        <w:rPr>
          <w:rFonts w:ascii="Garamond" w:hAnsi="Garamond" w:cs="Calibri"/>
          <w:color w:val="000000" w:themeColor="text1"/>
        </w:rPr>
        <w:t>,</w:t>
      </w:r>
      <w:r w:rsidRPr="009B1F4E">
        <w:rPr>
          <w:rFonts w:ascii="Garamond" w:hAnsi="Garamond" w:cs="Calibri"/>
          <w:color w:val="000000" w:themeColor="text1"/>
        </w:rPr>
        <w:t xml:space="preserve"> according to which</w:t>
      </w:r>
      <w:r w:rsidR="00D57599" w:rsidRPr="009B1F4E">
        <w:rPr>
          <w:rFonts w:ascii="Garamond" w:hAnsi="Garamond" w:cs="Calibri"/>
          <w:color w:val="000000" w:themeColor="text1"/>
        </w:rPr>
        <w:t>,</w:t>
      </w:r>
      <w:r w:rsidRPr="009B1F4E">
        <w:rPr>
          <w:rFonts w:ascii="Garamond" w:hAnsi="Garamond" w:cs="Calibri"/>
          <w:color w:val="000000" w:themeColor="text1"/>
        </w:rPr>
        <w:t xml:space="preserve"> at the outset</w:t>
      </w:r>
      <w:r w:rsidR="00D57599" w:rsidRPr="009B1F4E">
        <w:rPr>
          <w:rFonts w:ascii="Garamond" w:hAnsi="Garamond" w:cs="Calibri"/>
          <w:color w:val="000000" w:themeColor="text1"/>
        </w:rPr>
        <w:t>,</w:t>
      </w:r>
      <w:r w:rsidRPr="009B1F4E">
        <w:rPr>
          <w:rFonts w:ascii="Garamond" w:hAnsi="Garamond" w:cs="Calibri"/>
          <w:color w:val="000000" w:themeColor="text1"/>
        </w:rPr>
        <w:t xml:space="preserve"> our ancestors didn’t acquire information, beliefs, and knowledge by means of </w:t>
      </w:r>
      <w:r w:rsidR="00D57599" w:rsidRPr="009B1F4E">
        <w:rPr>
          <w:rFonts w:ascii="Garamond" w:hAnsi="Garamond" w:cs="Calibri"/>
          <w:color w:val="000000" w:themeColor="text1"/>
        </w:rPr>
        <w:t>specialised</w:t>
      </w:r>
      <w:r w:rsidRPr="009B1F4E">
        <w:rPr>
          <w:rFonts w:ascii="Garamond" w:hAnsi="Garamond" w:cs="Calibri"/>
          <w:color w:val="000000" w:themeColor="text1"/>
        </w:rPr>
        <w:t xml:space="preserve"> social learning mechanisms </w:t>
      </w:r>
      <w:r w:rsidRPr="009B1F4E">
        <w:rPr>
          <w:rFonts w:ascii="Garamond" w:hAnsi="Garamond" w:cs="Calibri"/>
          <w:color w:val="000000" w:themeColor="text1"/>
        </w:rPr>
        <w:fldChar w:fldCharType="begin"/>
      </w:r>
      <w:r w:rsidR="009B1F4E">
        <w:rPr>
          <w:rFonts w:ascii="Garamond" w:hAnsi="Garamond" w:cs="Calibri"/>
          <w:color w:val="000000" w:themeColor="text1"/>
        </w:rPr>
        <w:instrText xml:space="preserve"> ADDIN ZOTERO_ITEM CSL_CITATION {"citationID":"QnH70ISS","properties":{"formattedCitation":"(Sterelny 2021b, chap. 1; 2012)","plainCitation":"(Sterelny 2021b, chap. 1; 2012)","noteIndex":0},"citationItems":[{"id":789,"uris":["http://zotero.org/users/local/jz7T3Opo/items/GATH6MTZ"],"itemData":{"id":789,"type":"book","abstract":"Kim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Contract","author":[{"family":"Sterelny","given":"Kim"}],"issued":{"date-parts":[["2021",9,16]]}},"locator":"1","label":"chapter"},{"id":721,"uris":["http://zotero.org/users/local/jz7T3Opo/items/33E38CEE"],"itemData":{"id":721,"type":"book","publisher":"MIT press","source":"Google Scholar","title":"The evolved apprentice","author":[{"family":"Sterelny","given":"Kim"}],"issued":{"date-parts":[["2012"]]}}}],"schema":"https://github.com/citation-style-language/schema/raw/master/csl-citation.json"} </w:instrText>
      </w:r>
      <w:r w:rsidRPr="009B1F4E">
        <w:rPr>
          <w:rFonts w:ascii="Garamond" w:hAnsi="Garamond" w:cs="Calibri"/>
          <w:color w:val="000000" w:themeColor="text1"/>
        </w:rPr>
        <w:fldChar w:fldCharType="separate"/>
      </w:r>
      <w:r w:rsidR="009B1F4E">
        <w:rPr>
          <w:rFonts w:ascii="Garamond" w:hAnsi="Garamond" w:cs="Calibri"/>
          <w:noProof/>
          <w:color w:val="000000" w:themeColor="text1"/>
        </w:rPr>
        <w:t>(Sterelny 2021b, chap. 1; 2012)</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w:t>
      </w:r>
      <w:r w:rsidR="00D57599" w:rsidRPr="009B1F4E">
        <w:rPr>
          <w:rFonts w:ascii="Garamond" w:hAnsi="Garamond" w:cs="Calibri"/>
          <w:color w:val="000000" w:themeColor="text1"/>
        </w:rPr>
        <w:t>Instead</w:t>
      </w:r>
      <w:r w:rsidRPr="009B1F4E">
        <w:rPr>
          <w:rFonts w:ascii="Garamond" w:hAnsi="Garamond" w:cs="Calibri"/>
          <w:color w:val="000000" w:themeColor="text1"/>
        </w:rPr>
        <w:t xml:space="preserve">, early humans acquired knowledge </w:t>
      </w:r>
      <w:r w:rsidR="00D57599" w:rsidRPr="009B1F4E">
        <w:rPr>
          <w:rFonts w:ascii="Garamond" w:hAnsi="Garamond" w:cs="Calibri"/>
          <w:color w:val="000000" w:themeColor="text1"/>
        </w:rPr>
        <w:t xml:space="preserve">through being good individual learners and </w:t>
      </w:r>
      <w:r w:rsidRPr="009B1F4E">
        <w:rPr>
          <w:rFonts w:ascii="Garamond" w:hAnsi="Garamond" w:cs="Calibri"/>
          <w:color w:val="000000" w:themeColor="text1"/>
        </w:rPr>
        <w:t xml:space="preserve">hybrid-learning strategies, where juveniles acquired cultural information in scaffolded learning environments, mostly via trial-and-error learning. </w:t>
      </w:r>
    </w:p>
    <w:p w14:paraId="00EFA0B3" w14:textId="3ED36374" w:rsidR="00A94956" w:rsidRPr="009B1F4E" w:rsidRDefault="00D57599" w:rsidP="00A94956">
      <w:pPr>
        <w:spacing w:line="360" w:lineRule="auto"/>
        <w:jc w:val="both"/>
        <w:rPr>
          <w:rFonts w:ascii="Garamond" w:hAnsi="Garamond" w:cs="Calibri"/>
          <w:color w:val="000000" w:themeColor="text1"/>
        </w:rPr>
      </w:pPr>
      <w:r w:rsidRPr="009B1F4E">
        <w:rPr>
          <w:rFonts w:ascii="Garamond" w:hAnsi="Garamond" w:cs="Calibri"/>
          <w:color w:val="000000" w:themeColor="text1"/>
        </w:rPr>
        <w:t>Specialised</w:t>
      </w:r>
      <w:r w:rsidR="00A94956" w:rsidRPr="009B1F4E">
        <w:rPr>
          <w:rFonts w:ascii="Garamond" w:hAnsi="Garamond" w:cs="Calibri"/>
          <w:color w:val="000000" w:themeColor="text1"/>
        </w:rPr>
        <w:t xml:space="preserve"> social learning mechanisms emerged over time because of the increased informational demands of </w:t>
      </w:r>
      <w:r w:rsidRPr="009B1F4E">
        <w:rPr>
          <w:rFonts w:ascii="Garamond" w:hAnsi="Garamond" w:cs="Calibri"/>
          <w:color w:val="000000" w:themeColor="text1"/>
        </w:rPr>
        <w:t>various cooperative endeavours, though foraging is considered</w:t>
      </w:r>
      <w:r w:rsidR="00A94956" w:rsidRPr="009B1F4E">
        <w:rPr>
          <w:rFonts w:ascii="Garamond" w:hAnsi="Garamond" w:cs="Calibri"/>
          <w:color w:val="000000" w:themeColor="text1"/>
        </w:rPr>
        <w:t xml:space="preserve"> key </w:t>
      </w:r>
      <w:r w:rsidR="00A94956" w:rsidRPr="009B1F4E">
        <w:rPr>
          <w:rFonts w:ascii="Garamond" w:hAnsi="Garamond" w:cs="Calibri"/>
          <w:color w:val="000000" w:themeColor="text1"/>
        </w:rPr>
        <w:fldChar w:fldCharType="begin"/>
      </w:r>
      <w:r w:rsidR="00A94956" w:rsidRPr="009B1F4E">
        <w:rPr>
          <w:rFonts w:ascii="Garamond" w:hAnsi="Garamond" w:cs="Calibri"/>
          <w:color w:val="000000" w:themeColor="text1"/>
        </w:rPr>
        <w:instrText xml:space="preserve"> ADDIN ZOTERO_ITEM CSL_CITATION {"citationID":"49ItRsRe","properties":{"formattedCitation":"(Tomasello et al. 2012)","plainCitation":"(Tomasello et al. 2012)","noteIndex":0},"citationItems":[{"id":482,"uris":["http://zotero.org/users/local/jz7T3Opo/items/I4E7ETZ3"],"itemData":{"id":482,"type":"article-journal","container-title":"Current Anthropology","DOI":"10.1086/668207","ISSN":"0011-3204, 1537-5382","issue":"6","journalAbbreviation":"Current Anthropology","language":"en","page":"673-692","source":"DOI.org (Crossref)","title":"Two Key Steps in the Evolution of Human Cooperation: The Interdependence Hypothesis","title-short":"Two Key Steps in the Evolution of Human Cooperation","volume":"53","author":[{"family":"Tomasello","given":"Michael"},{"family":"Melis","given":"Alicia P."},{"family":"Tennie","given":"Claudio"},{"family":"Wyman","given":"Emily"},{"family":"Herrmann","given":"Esther"}],"issued":{"date-parts":[["2012",12]]}}}],"schema":"https://github.com/citation-style-language/schema/raw/master/csl-citation.json"} </w:instrText>
      </w:r>
      <w:r w:rsidR="00A94956" w:rsidRPr="009B1F4E">
        <w:rPr>
          <w:rFonts w:ascii="Garamond" w:hAnsi="Garamond" w:cs="Calibri"/>
          <w:color w:val="000000" w:themeColor="text1"/>
        </w:rPr>
        <w:fldChar w:fldCharType="separate"/>
      </w:r>
      <w:r w:rsidR="00A94956" w:rsidRPr="009B1F4E">
        <w:rPr>
          <w:rFonts w:ascii="Garamond" w:hAnsi="Garamond" w:cs="Calibri"/>
          <w:noProof/>
          <w:color w:val="000000" w:themeColor="text1"/>
        </w:rPr>
        <w:t>(Tomasello et al. 2012)</w:t>
      </w:r>
      <w:r w:rsidR="00A94956" w:rsidRPr="009B1F4E">
        <w:rPr>
          <w:rFonts w:ascii="Garamond" w:hAnsi="Garamond" w:cs="Calibri"/>
          <w:color w:val="000000" w:themeColor="text1"/>
        </w:rPr>
        <w:fldChar w:fldCharType="end"/>
      </w:r>
      <w:r w:rsidR="00A94956" w:rsidRPr="009B1F4E">
        <w:rPr>
          <w:rFonts w:ascii="Garamond" w:hAnsi="Garamond" w:cs="Calibri"/>
          <w:color w:val="000000" w:themeColor="text1"/>
        </w:rPr>
        <w:t xml:space="preserve">. </w:t>
      </w:r>
      <w:r w:rsidR="001D400C">
        <w:rPr>
          <w:rFonts w:ascii="Garamond" w:hAnsi="Garamond" w:cs="Calibri"/>
          <w:color w:val="000000" w:themeColor="text1"/>
        </w:rPr>
        <w:t>In general, h</w:t>
      </w:r>
      <w:r w:rsidR="00A94956" w:rsidRPr="009B1F4E">
        <w:rPr>
          <w:rFonts w:ascii="Garamond" w:hAnsi="Garamond" w:cs="Calibri"/>
          <w:color w:val="000000" w:themeColor="text1"/>
        </w:rPr>
        <w:t xml:space="preserve">uman cooperation </w:t>
      </w:r>
      <w:r w:rsidR="001D400C">
        <w:rPr>
          <w:rFonts w:ascii="Garamond" w:hAnsi="Garamond" w:cs="Calibri"/>
          <w:color w:val="000000" w:themeColor="text1"/>
        </w:rPr>
        <w:t>established itself</w:t>
      </w:r>
      <w:r w:rsidR="00A94956" w:rsidRPr="009B1F4E">
        <w:rPr>
          <w:rFonts w:ascii="Garamond" w:hAnsi="Garamond" w:cs="Calibri"/>
          <w:color w:val="000000" w:themeColor="text1"/>
        </w:rPr>
        <w:t xml:space="preserve"> via a set of positive feedback</w:t>
      </w:r>
      <w:r w:rsidR="005310DB" w:rsidRPr="009B1F4E">
        <w:rPr>
          <w:rFonts w:ascii="Garamond" w:hAnsi="Garamond" w:cs="Calibri"/>
          <w:color w:val="000000" w:themeColor="text1"/>
        </w:rPr>
        <w:t xml:space="preserve"> </w:t>
      </w:r>
      <w:r w:rsidR="00A94956" w:rsidRPr="009B1F4E">
        <w:rPr>
          <w:rFonts w:ascii="Garamond" w:hAnsi="Garamond" w:cs="Calibri"/>
          <w:color w:val="000000" w:themeColor="text1"/>
        </w:rPr>
        <w:t>loops, relating different forms of cooperation</w:t>
      </w:r>
      <w:r w:rsidR="008845DE">
        <w:rPr>
          <w:rFonts w:ascii="Garamond" w:hAnsi="Garamond" w:cs="Calibri"/>
          <w:color w:val="000000" w:themeColor="text1"/>
        </w:rPr>
        <w:t>.</w:t>
      </w:r>
      <w:r w:rsidR="001D400C">
        <w:rPr>
          <w:rFonts w:ascii="Garamond" w:hAnsi="Garamond" w:cs="Calibri"/>
          <w:color w:val="000000" w:themeColor="text1"/>
        </w:rPr>
        <w:t xml:space="preserve"> </w:t>
      </w:r>
      <w:r w:rsidR="00A94956" w:rsidRPr="009B1F4E">
        <w:rPr>
          <w:rFonts w:ascii="Garamond" w:hAnsi="Garamond" w:cs="Calibri"/>
          <w:color w:val="000000" w:themeColor="text1"/>
        </w:rPr>
        <w:t xml:space="preserve">Next to reproductive cooperation, ecological (mainly foraging) and informational cooperation (i.e., social learning) mutually benefit from each </w:t>
      </w:r>
      <w:r w:rsidR="001D400C">
        <w:rPr>
          <w:rFonts w:ascii="Garamond" w:hAnsi="Garamond" w:cs="Calibri"/>
          <w:color w:val="000000" w:themeColor="text1"/>
        </w:rPr>
        <w:t xml:space="preserve">other. </w:t>
      </w:r>
      <w:r w:rsidR="00A94956" w:rsidRPr="009B1F4E">
        <w:rPr>
          <w:rFonts w:ascii="Garamond" w:hAnsi="Garamond" w:cs="Calibri"/>
          <w:color w:val="000000" w:themeColor="text1"/>
        </w:rPr>
        <w:t xml:space="preserve">Consider how many </w:t>
      </w:r>
      <w:r w:rsidRPr="009B1F4E">
        <w:rPr>
          <w:rFonts w:ascii="Garamond" w:hAnsi="Garamond" w:cs="Calibri"/>
          <w:color w:val="000000" w:themeColor="text1"/>
        </w:rPr>
        <w:t xml:space="preserve">kinds of cooperation are informationally very demanding, e.g., successful foraging requires individuals to be well-informed, </w:t>
      </w:r>
      <w:r w:rsidR="00A94956" w:rsidRPr="009B1F4E">
        <w:rPr>
          <w:rFonts w:ascii="Garamond" w:hAnsi="Garamond" w:cs="Calibri"/>
          <w:color w:val="000000" w:themeColor="text1"/>
        </w:rPr>
        <w:t xml:space="preserve">have expertise, and master </w:t>
      </w:r>
      <w:r w:rsidRPr="009B1F4E">
        <w:rPr>
          <w:rFonts w:ascii="Garamond" w:hAnsi="Garamond" w:cs="Calibri"/>
          <w:color w:val="000000" w:themeColor="text1"/>
        </w:rPr>
        <w:t>specific</w:t>
      </w:r>
      <w:r w:rsidR="00A94956" w:rsidRPr="009B1F4E">
        <w:rPr>
          <w:rFonts w:ascii="Garamond" w:hAnsi="Garamond" w:cs="Calibri"/>
          <w:color w:val="000000" w:themeColor="text1"/>
        </w:rPr>
        <w:t xml:space="preserve"> techniques. In turn, it is thought that the spoils of successful cooperation make extensive acquisition and sharing of information, expertise, and techniques possible, </w:t>
      </w:r>
      <w:r w:rsidRPr="009B1F4E">
        <w:rPr>
          <w:rFonts w:ascii="Garamond" w:hAnsi="Garamond" w:cs="Calibri"/>
          <w:color w:val="000000" w:themeColor="text1"/>
        </w:rPr>
        <w:t>partly</w:t>
      </w:r>
      <w:r w:rsidR="00A94956" w:rsidRPr="009B1F4E">
        <w:rPr>
          <w:rFonts w:ascii="Garamond" w:hAnsi="Garamond" w:cs="Calibri"/>
          <w:color w:val="000000" w:themeColor="text1"/>
        </w:rPr>
        <w:t xml:space="preserve"> by prolonging agents’ life</w:t>
      </w:r>
      <w:r w:rsidR="008845DE">
        <w:rPr>
          <w:rFonts w:ascii="Garamond" w:hAnsi="Garamond" w:cs="Calibri"/>
          <w:color w:val="000000" w:themeColor="text1"/>
        </w:rPr>
        <w:t xml:space="preserve"> histories and</w:t>
      </w:r>
      <w:r w:rsidR="001D400C">
        <w:rPr>
          <w:rFonts w:ascii="Garamond" w:hAnsi="Garamond" w:cs="Calibri"/>
          <w:color w:val="000000" w:themeColor="text1"/>
        </w:rPr>
        <w:t xml:space="preserve"> partly by allowing for the development and transmission of cumulative culture</w:t>
      </w:r>
      <w:r w:rsidR="00A94956" w:rsidRPr="009B1F4E">
        <w:rPr>
          <w:rFonts w:ascii="Garamond" w:hAnsi="Garamond" w:cs="Calibri"/>
          <w:color w:val="000000" w:themeColor="text1"/>
        </w:rPr>
        <w:t xml:space="preserve"> </w:t>
      </w:r>
      <w:r w:rsidR="00A94956" w:rsidRPr="009B1F4E">
        <w:rPr>
          <w:rFonts w:ascii="Garamond" w:hAnsi="Garamond" w:cs="Calibri"/>
          <w:color w:val="000000" w:themeColor="text1"/>
        </w:rPr>
        <w:fldChar w:fldCharType="begin"/>
      </w:r>
      <w:r w:rsidR="00A94956" w:rsidRPr="009B1F4E">
        <w:rPr>
          <w:rFonts w:ascii="Garamond" w:hAnsi="Garamond" w:cs="Calibri"/>
          <w:color w:val="000000" w:themeColor="text1"/>
        </w:rPr>
        <w:instrText xml:space="preserve"> ADDIN ZOTERO_ITEM CSL_CITATION {"citationID":"wbOqUREg","properties":{"formattedCitation":"(Sterelny 2012)","plainCitation":"(Sterelny 2012)","noteIndex":0},"citationItems":[{"id":721,"uris":["http://zotero.org/users/local/jz7T3Opo/items/33E38CEE"],"itemData":{"id":721,"type":"book","publisher":"MIT press","source":"Google Scholar","title":"The evolved apprentice","author":[{"family":"Sterelny","given":"Kim"}],"issued":{"date-parts":[["2012"]]}}}],"schema":"https://github.com/citation-style-language/schema/raw/master/csl-citation.json"} </w:instrText>
      </w:r>
      <w:r w:rsidR="00A94956" w:rsidRPr="009B1F4E">
        <w:rPr>
          <w:rFonts w:ascii="Garamond" w:hAnsi="Garamond" w:cs="Calibri"/>
          <w:color w:val="000000" w:themeColor="text1"/>
        </w:rPr>
        <w:fldChar w:fldCharType="separate"/>
      </w:r>
      <w:r w:rsidR="00A94956" w:rsidRPr="009B1F4E">
        <w:rPr>
          <w:rFonts w:ascii="Garamond" w:hAnsi="Garamond" w:cs="Calibri"/>
          <w:noProof/>
          <w:color w:val="000000" w:themeColor="text1"/>
        </w:rPr>
        <w:t>(Sterelny 2012)</w:t>
      </w:r>
      <w:r w:rsidR="00A94956" w:rsidRPr="009B1F4E">
        <w:rPr>
          <w:rFonts w:ascii="Garamond" w:hAnsi="Garamond" w:cs="Calibri"/>
          <w:color w:val="000000" w:themeColor="text1"/>
        </w:rPr>
        <w:fldChar w:fldCharType="end"/>
      </w:r>
      <w:r w:rsidR="00A94956" w:rsidRPr="009B1F4E">
        <w:rPr>
          <w:rFonts w:ascii="Garamond" w:hAnsi="Garamond" w:cs="Calibri"/>
          <w:color w:val="000000" w:themeColor="text1"/>
        </w:rPr>
        <w:t>.</w:t>
      </w:r>
    </w:p>
    <w:p w14:paraId="03F4B618" w14:textId="187421A7" w:rsidR="00A94956" w:rsidRPr="009B1F4E" w:rsidRDefault="00A94956" w:rsidP="00A94956">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Another way to put this is that cultural learning is </w:t>
      </w:r>
      <w:r w:rsidR="00D57599" w:rsidRPr="009B1F4E">
        <w:rPr>
          <w:rFonts w:ascii="Garamond" w:hAnsi="Garamond" w:cs="Calibri"/>
          <w:color w:val="000000" w:themeColor="text1"/>
        </w:rPr>
        <w:t>required</w:t>
      </w:r>
      <w:r w:rsidRPr="009B1F4E">
        <w:rPr>
          <w:rFonts w:ascii="Garamond" w:hAnsi="Garamond" w:cs="Calibri"/>
          <w:color w:val="000000" w:themeColor="text1"/>
        </w:rPr>
        <w:t xml:space="preserve"> for (cumulative) culture. In turn, cumulative culture interacts favourably with different kinds of cooperation as these </w:t>
      </w:r>
      <w:r w:rsidR="00D57599" w:rsidRPr="009B1F4E">
        <w:rPr>
          <w:rFonts w:ascii="Garamond" w:hAnsi="Garamond" w:cs="Calibri"/>
          <w:color w:val="000000" w:themeColor="text1"/>
        </w:rPr>
        <w:t>depend</w:t>
      </w:r>
      <w:r w:rsidRPr="009B1F4E">
        <w:rPr>
          <w:rFonts w:ascii="Garamond" w:hAnsi="Garamond" w:cs="Calibri"/>
          <w:color w:val="000000" w:themeColor="text1"/>
        </w:rPr>
        <w:t xml:space="preserve"> on cultural information.</w:t>
      </w:r>
    </w:p>
    <w:p w14:paraId="0A29C3E5" w14:textId="65D6F31B" w:rsidR="00337641" w:rsidRPr="009B1F4E" w:rsidRDefault="00337641" w:rsidP="00337641">
      <w:pPr>
        <w:spacing w:line="360" w:lineRule="auto"/>
        <w:jc w:val="both"/>
        <w:rPr>
          <w:rFonts w:ascii="Garamond" w:hAnsi="Garamond" w:cs="Calibri"/>
          <w:color w:val="000000" w:themeColor="text1"/>
          <w:lang w:val="en-US"/>
        </w:rPr>
      </w:pPr>
      <w:r w:rsidRPr="009B1F4E">
        <w:rPr>
          <w:rFonts w:ascii="Garamond" w:hAnsi="Garamond" w:cs="Calibri"/>
          <w:color w:val="000000" w:themeColor="text1"/>
        </w:rPr>
        <w:lastRenderedPageBreak/>
        <w:t xml:space="preserve">The kind of social norm that’s mostly under discussion in this narrative </w:t>
      </w:r>
      <w:r w:rsidR="00D57599" w:rsidRPr="009B1F4E">
        <w:rPr>
          <w:rFonts w:ascii="Garamond" w:hAnsi="Garamond" w:cs="Calibri"/>
          <w:color w:val="000000" w:themeColor="text1"/>
        </w:rPr>
        <w:t>emerges</w:t>
      </w:r>
      <w:r w:rsidRPr="009B1F4E">
        <w:rPr>
          <w:rFonts w:ascii="Garamond" w:hAnsi="Garamond" w:cs="Calibri"/>
          <w:color w:val="000000" w:themeColor="text1"/>
        </w:rPr>
        <w:t xml:space="preserve">, at least in part, to </w:t>
      </w:r>
      <w:r w:rsidR="00D57599" w:rsidRPr="009B1F4E">
        <w:rPr>
          <w:rFonts w:ascii="Garamond" w:hAnsi="Garamond" w:cs="Calibri"/>
          <w:color w:val="000000" w:themeColor="text1"/>
        </w:rPr>
        <w:t>stabilise</w:t>
      </w:r>
      <w:r w:rsidRPr="009B1F4E">
        <w:rPr>
          <w:rFonts w:ascii="Garamond" w:hAnsi="Garamond" w:cs="Calibri"/>
          <w:color w:val="000000" w:themeColor="text1"/>
        </w:rPr>
        <w:t xml:space="preserve"> cooperation, often against the threat of defection, cheating, or </w:t>
      </w:r>
      <w:proofErr w:type="gramStart"/>
      <w:r w:rsidRPr="009B1F4E">
        <w:rPr>
          <w:rFonts w:ascii="Garamond" w:hAnsi="Garamond" w:cs="Calibri"/>
          <w:color w:val="000000" w:themeColor="text1"/>
        </w:rPr>
        <w:t>free-riding</w:t>
      </w:r>
      <w:proofErr w:type="gramEnd"/>
      <w:r w:rsidRPr="009B1F4E">
        <w:rPr>
          <w:rFonts w:ascii="Garamond" w:hAnsi="Garamond" w:cs="Calibri"/>
          <w:color w:val="000000" w:themeColor="text1"/>
        </w:rPr>
        <w:t xml:space="preserve">. </w:t>
      </w:r>
      <w:r w:rsidRPr="009B1F4E">
        <w:rPr>
          <w:rFonts w:ascii="Garamond" w:hAnsi="Garamond" w:cs="Calibri"/>
          <w:color w:val="000000" w:themeColor="text1"/>
          <w:lang w:val="en-US"/>
        </w:rPr>
        <w:t>Because</w:t>
      </w:r>
      <w:r w:rsidR="001D400C" w:rsidRPr="009B1F4E">
        <w:rPr>
          <w:rFonts w:ascii="Garamond" w:hAnsi="Garamond" w:cs="Calibri"/>
          <w:color w:val="000000" w:themeColor="text1"/>
          <w:lang w:val="en-US"/>
        </w:rPr>
        <w:t xml:space="preserve">, in the absence of social norms, </w:t>
      </w:r>
      <w:r w:rsidRPr="009B1F4E">
        <w:rPr>
          <w:rFonts w:ascii="Garamond" w:hAnsi="Garamond" w:cs="Calibri"/>
          <w:color w:val="000000" w:themeColor="text1"/>
          <w:lang w:val="en-US"/>
        </w:rPr>
        <w:t xml:space="preserve">agents are </w:t>
      </w:r>
      <w:proofErr w:type="spellStart"/>
      <w:r w:rsidR="00D57599" w:rsidRPr="009B1F4E">
        <w:rPr>
          <w:rFonts w:ascii="Garamond" w:hAnsi="Garamond" w:cs="Calibri"/>
          <w:color w:val="000000" w:themeColor="text1"/>
          <w:lang w:val="en-US"/>
        </w:rPr>
        <w:t>incentivised</w:t>
      </w:r>
      <w:proofErr w:type="spellEnd"/>
      <w:r w:rsidRPr="009B1F4E">
        <w:rPr>
          <w:rFonts w:ascii="Garamond" w:hAnsi="Garamond" w:cs="Calibri"/>
          <w:color w:val="000000" w:themeColor="text1"/>
          <w:lang w:val="en-US"/>
        </w:rPr>
        <w:t xml:space="preserve"> to defect</w:t>
      </w:r>
      <w:r w:rsidR="001D400C">
        <w:rPr>
          <w:rFonts w:ascii="Garamond" w:hAnsi="Garamond" w:cs="Calibri"/>
          <w:color w:val="000000" w:themeColor="text1"/>
          <w:lang w:val="en-US"/>
        </w:rPr>
        <w:t xml:space="preserve">, they’ll </w:t>
      </w:r>
      <w:r w:rsidRPr="009B1F4E">
        <w:rPr>
          <w:rFonts w:ascii="Garamond" w:hAnsi="Garamond" w:cs="Calibri"/>
          <w:color w:val="000000" w:themeColor="text1"/>
          <w:lang w:val="en-US"/>
        </w:rPr>
        <w:t xml:space="preserve">be inclined to not behave in the required ways for cooperation to work out (Fehr, </w:t>
      </w:r>
      <w:proofErr w:type="spellStart"/>
      <w:r w:rsidRPr="009B1F4E">
        <w:rPr>
          <w:rFonts w:ascii="Garamond" w:hAnsi="Garamond" w:cs="Calibri"/>
          <w:color w:val="000000" w:themeColor="text1"/>
          <w:lang w:val="en-US"/>
        </w:rPr>
        <w:t>Fischbacher</w:t>
      </w:r>
      <w:proofErr w:type="spellEnd"/>
      <w:r w:rsidRPr="009B1F4E">
        <w:rPr>
          <w:rFonts w:ascii="Garamond" w:hAnsi="Garamond" w:cs="Calibri"/>
          <w:color w:val="000000" w:themeColor="text1"/>
          <w:lang w:val="en-US"/>
        </w:rPr>
        <w:t xml:space="preserve">, and </w:t>
      </w:r>
      <w:proofErr w:type="spellStart"/>
      <w:r w:rsidRPr="009B1F4E">
        <w:rPr>
          <w:rFonts w:ascii="Garamond" w:hAnsi="Garamond" w:cs="Calibri"/>
          <w:color w:val="000000" w:themeColor="text1"/>
          <w:lang w:val="en-US"/>
        </w:rPr>
        <w:t>Gächter</w:t>
      </w:r>
      <w:proofErr w:type="spellEnd"/>
      <w:r w:rsidRPr="009B1F4E">
        <w:rPr>
          <w:rFonts w:ascii="Garamond" w:hAnsi="Garamond" w:cs="Calibri"/>
          <w:color w:val="000000" w:themeColor="text1"/>
          <w:lang w:val="en-US"/>
        </w:rPr>
        <w:t xml:space="preserve"> 2002; Gintis et al. 2008).</w:t>
      </w:r>
      <w:r w:rsidR="009F56D2" w:rsidRPr="009B1F4E">
        <w:rPr>
          <w:rStyle w:val="Funotenzeichen"/>
          <w:rFonts w:ascii="Garamond" w:hAnsi="Garamond" w:cs="Calibri"/>
          <w:color w:val="000000" w:themeColor="text1"/>
          <w:lang w:val="en-US"/>
        </w:rPr>
        <w:footnoteReference w:id="3"/>
      </w:r>
      <w:r w:rsidRPr="009B1F4E">
        <w:rPr>
          <w:rFonts w:ascii="Garamond" w:hAnsi="Garamond" w:cs="Calibri"/>
          <w:color w:val="000000" w:themeColor="text1"/>
          <w:lang w:val="en-US"/>
        </w:rPr>
        <w:t xml:space="preserve"> This kind of social norm changes the payoff structure of these interactions such that it's more advantageous for individuals to behave in the ways required of them. The relevant mechanisms here are usually seen to be sanctioning, reputation, and </w:t>
      </w:r>
      <w:proofErr w:type="spellStart"/>
      <w:r w:rsidR="00D57599" w:rsidRPr="009B1F4E">
        <w:rPr>
          <w:rFonts w:ascii="Garamond" w:hAnsi="Garamond" w:cs="Calibri"/>
          <w:color w:val="000000" w:themeColor="text1"/>
          <w:lang w:val="en-US"/>
        </w:rPr>
        <w:t>internalisation</w:t>
      </w:r>
      <w:proofErr w:type="spellEnd"/>
      <w:r w:rsidRPr="009B1F4E">
        <w:rPr>
          <w:rFonts w:ascii="Garamond" w:hAnsi="Garamond" w:cs="Calibri"/>
          <w:color w:val="000000" w:themeColor="text1"/>
          <w:lang w:val="en-US"/>
        </w:rPr>
        <w:t xml:space="preserve"> </w:t>
      </w:r>
      <w:r w:rsidRPr="009B1F4E">
        <w:rPr>
          <w:rFonts w:ascii="Garamond" w:hAnsi="Garamond" w:cs="Calibri"/>
          <w:color w:val="000000" w:themeColor="text1"/>
          <w:lang w:val="en-US"/>
        </w:rPr>
        <w:fldChar w:fldCharType="begin"/>
      </w:r>
      <w:r w:rsidR="009B1F4E">
        <w:rPr>
          <w:rFonts w:ascii="Garamond" w:hAnsi="Garamond" w:cs="Calibri"/>
          <w:color w:val="000000" w:themeColor="text1"/>
          <w:lang w:val="en-US"/>
        </w:rPr>
        <w:instrText xml:space="preserve"> ADDIN ZOTERO_ITEM CSL_CITATION {"citationID":"Gnk3A0VZ","properties":{"formattedCitation":"(Henrich and Muthukrishna 2021; Westra and Andrews 2021b; Bicchieri 2005; Sterelny 2021b)","plainCitation":"(Henrich and Muthukrishna 2021; Westra and Andrews 2021b; Bicchieri 2005; Sterelny 2021b)","noteIndex":0},"citationItems":[{"id":416,"uris":["http://zotero.org/users/local/jz7T3Opo/items/BKPDT6KX"],"itemData":{"id":416,"type":"article-journal","abstract":"Illuminating the puzzle of our species’ ultrasociality requires not only explaining the breadth and intensity of human cooperation but also why it varies across societies, over history and among behavioral domains (within societies). To address these patterns, we introduce an evolutionary approach that considers how genetic and cultural evolution, as well as their interaction, may have shaped both the reliably developing features of our minds and the well-documented differences in cultural psychologies around the globe. We review the major evolutionary mechanisms that have been proposed to explain human cooperation, including kinship, reciprocity (partner choice), reputation, signaling and punishment, discuss key culture-gene coevolutionary hypotheses, such as those surrounding self-domestication and norm psychology, and consider the role of religions, rituals and marriage systems. Empirically, we bring together diverse experimental, observational, and anthropological evidence from studies of children and adults from diverse societies as well as from non-human primates.","container-title":"Annual Review of Psychology","DOI":"10.1146/annurev-psych-081920-042106","ISSN":"0066-4308, 1545-2085","issue":"1","journalAbbreviation":"Annu. Rev. Psychol.","language":"en","page":"207-240","source":"DOI.org (Crossref)","title":"The Origins and Psychology of Human Cooperation","volume":"72","author":[{"family":"Henrich","given":"Joseph"},{"family":"Muthukrishna","given":"Michael"}],"issued":{"date-parts":[["2021",1,4]]}}},{"id":1064,"uris":["http://zotero.org/users/local/jz7T3Opo/items/6QW95MQB"],"itemData":{"id":1064,"type":"article","abstract":"Social norms are commonly understood as rules that dictate which behaviors are appropriate, permissible, or obligatory in different situations for members of a given community. Many researchers have sought to explain the ubiquity of social norms in human life in terms of the psychological mechanisms underlying their acquisition, conformity, and enforcement. Existing theories of the psychology of social norms appeal to a variety of constructs, from prediction-error minimization, to reinforcement learning, to shared intentionality, to domain-specific adaptations for norm acquisition. In this paper, we propose a novel methodological and conceptual framework for the cognitive science of social norms that we call normative pluralism. We begin with an analysis of the (sometimes mixed) explanatory aims of the cognitive science of social norms. From this analysis, we derive a recommendation for a reformed conception of its explanandum: a minimally psychological construct that we call normative regularities. Our central empirical proposal is that the psychological underpinnings of social norms are most likely realized by a heterogeneous set of cognitive, motivational, and ecological mechanisms that vary between norms and between individuals, rather than by a single type of process or distinctive norm system. This pluralistic approach, we suggest, offers a methodologically sound point of departure for a fruitful and rigorous science of social norms.","DOI":"10.31234/osf.io/aqv8c","language":"en-us","publisher":"PsyArXiv","source":"OSF Preprints","title":"A pluralistic framework for the psychology of norms","URL":"https://psyarxiv.com/aqv8c/","author":[{"family":"Westra","given":"Evan"},{"family":"Andrews","given":"Kristin"}],"accessed":{"date-parts":[["2022",8,4]]},"issued":{"date-parts":[["2021",7,9]]}}},{"id":334,"uris":["http://zotero.org/users/local/jz7T3Opo/items/BUBTI4E3"],"itemData":{"id":334,"type":"article-journal","language":"en","page":"278","source":"Zotero","title":"The Grammar of Society: The Nature and Dynamics of Social Norms","author":[{"family":"Bicchieri","given":"Cristina"}],"issued":{"date-parts":[["2005"]]}}},{"id":789,"uris":["http://zotero.org/users/local/jz7T3Opo/items/GATH6MTZ"],"itemData":{"id":789,"type":"book","abstract":"Kim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Contract","author":[{"family":"Sterelny","given":"Kim"}],"issued":{"date-parts":[["2021",9,16]]}}}],"schema":"https://github.com/citation-style-language/schema/raw/master/csl-citation.json"} </w:instrText>
      </w:r>
      <w:r w:rsidRPr="009B1F4E">
        <w:rPr>
          <w:rFonts w:ascii="Garamond" w:hAnsi="Garamond" w:cs="Calibri"/>
          <w:color w:val="000000" w:themeColor="text1"/>
          <w:lang w:val="en-US"/>
        </w:rPr>
        <w:fldChar w:fldCharType="separate"/>
      </w:r>
      <w:r w:rsidR="009B1F4E">
        <w:rPr>
          <w:rFonts w:ascii="Garamond" w:hAnsi="Garamond" w:cs="Calibri"/>
          <w:noProof/>
          <w:color w:val="000000" w:themeColor="text1"/>
          <w:lang w:val="en-US"/>
        </w:rPr>
        <w:t>(Henrich and Muthukrishna 2021; Westra and Andrews 2021b; Bicchieri 2005; Sterelny 2021b)</w:t>
      </w:r>
      <w:r w:rsidRPr="009B1F4E">
        <w:rPr>
          <w:rFonts w:ascii="Garamond" w:hAnsi="Garamond" w:cs="Calibri"/>
          <w:color w:val="000000" w:themeColor="text1"/>
          <w:lang w:val="en-US"/>
        </w:rPr>
        <w:fldChar w:fldCharType="end"/>
      </w:r>
      <w:r w:rsidRPr="009B1F4E">
        <w:rPr>
          <w:rFonts w:ascii="Garamond" w:hAnsi="Garamond" w:cs="Calibri"/>
          <w:color w:val="000000" w:themeColor="text1"/>
          <w:lang w:val="en-US"/>
        </w:rPr>
        <w:t xml:space="preserve">. To avoid confusion, I will call these norms [cooperation-norms] since they are seen to </w:t>
      </w:r>
      <w:proofErr w:type="spellStart"/>
      <w:r w:rsidR="00D57599" w:rsidRPr="009B1F4E">
        <w:rPr>
          <w:rFonts w:ascii="Garamond" w:hAnsi="Garamond" w:cs="Calibri"/>
          <w:color w:val="000000" w:themeColor="text1"/>
          <w:lang w:val="en-US"/>
        </w:rPr>
        <w:t>stabilise</w:t>
      </w:r>
      <w:proofErr w:type="spellEnd"/>
      <w:r w:rsidRPr="009B1F4E">
        <w:rPr>
          <w:rFonts w:ascii="Garamond" w:hAnsi="Garamond" w:cs="Calibri"/>
          <w:color w:val="000000" w:themeColor="text1"/>
          <w:lang w:val="en-US"/>
        </w:rPr>
        <w:t xml:space="preserve"> cooperation, mainly against the threat of defection. </w:t>
      </w:r>
    </w:p>
    <w:p w14:paraId="3E3CE05A" w14:textId="7E2716F9" w:rsidR="00137204" w:rsidRPr="009B1F4E" w:rsidRDefault="00137204" w:rsidP="00A94956">
      <w:pPr>
        <w:spacing w:line="360" w:lineRule="auto"/>
        <w:jc w:val="both"/>
        <w:rPr>
          <w:rFonts w:ascii="Garamond" w:hAnsi="Garamond"/>
          <w:color w:val="000000" w:themeColor="text1"/>
        </w:rPr>
      </w:pPr>
      <w:r w:rsidRPr="009B1F4E">
        <w:rPr>
          <w:rFonts w:ascii="Garamond" w:hAnsi="Garamond"/>
          <w:color w:val="000000" w:themeColor="text1"/>
        </w:rPr>
        <w:t xml:space="preserve">Most accounts maintain that the emergence of cooperation-norms is due to coevolutionary processes driven by </w:t>
      </w:r>
      <w:r w:rsidR="004864B2">
        <w:rPr>
          <w:rFonts w:ascii="Garamond" w:hAnsi="Garamond"/>
          <w:color w:val="000000" w:themeColor="text1"/>
        </w:rPr>
        <w:t xml:space="preserve">the kinds of </w:t>
      </w:r>
      <w:r w:rsidRPr="009B1F4E">
        <w:rPr>
          <w:rFonts w:ascii="Garamond" w:hAnsi="Garamond"/>
          <w:color w:val="000000" w:themeColor="text1"/>
        </w:rPr>
        <w:t>feedback loops that connect different kinds of cooperation</w:t>
      </w:r>
      <w:r w:rsidR="004864B2">
        <w:rPr>
          <w:rFonts w:ascii="Garamond" w:hAnsi="Garamond"/>
          <w:color w:val="000000" w:themeColor="text1"/>
        </w:rPr>
        <w:t xml:space="preserve"> described above</w:t>
      </w:r>
      <w:r w:rsidRPr="009B1F4E">
        <w:rPr>
          <w:rFonts w:ascii="Garamond" w:hAnsi="Garamond"/>
          <w:color w:val="000000" w:themeColor="text1"/>
        </w:rPr>
        <w:t xml:space="preserve">. </w:t>
      </w:r>
      <w:r w:rsidR="004864B2">
        <w:rPr>
          <w:rFonts w:ascii="Garamond" w:hAnsi="Garamond"/>
          <w:color w:val="000000" w:themeColor="text1"/>
        </w:rPr>
        <w:t>T</w:t>
      </w:r>
      <w:r w:rsidR="003E5F44" w:rsidRPr="009B1F4E">
        <w:rPr>
          <w:rFonts w:ascii="Garamond" w:hAnsi="Garamond"/>
          <w:color w:val="000000" w:themeColor="text1"/>
        </w:rPr>
        <w:t xml:space="preserve">hese accounts will maintain that cooperation-norms were already present — even if only to a very minor degree, as we’ll see below — </w:t>
      </w:r>
      <w:r w:rsidR="004864B2">
        <w:rPr>
          <w:rFonts w:ascii="Garamond" w:hAnsi="Garamond"/>
          <w:color w:val="000000" w:themeColor="text1"/>
        </w:rPr>
        <w:t xml:space="preserve">at the outset, </w:t>
      </w:r>
      <w:r w:rsidR="003E5F44" w:rsidRPr="009B1F4E">
        <w:rPr>
          <w:rFonts w:ascii="Garamond" w:hAnsi="Garamond"/>
          <w:color w:val="000000" w:themeColor="text1"/>
        </w:rPr>
        <w:t xml:space="preserve">when cultural learning emerged. Then, as these coevolutionary processes accelerate and as culture </w:t>
      </w:r>
      <w:r w:rsidR="00316DCF" w:rsidRPr="009B1F4E">
        <w:rPr>
          <w:rFonts w:ascii="Garamond" w:hAnsi="Garamond"/>
          <w:color w:val="000000" w:themeColor="text1"/>
        </w:rPr>
        <w:t>(</w:t>
      </w:r>
      <w:r w:rsidR="003E5F44" w:rsidRPr="009B1F4E">
        <w:rPr>
          <w:rFonts w:ascii="Garamond" w:hAnsi="Garamond"/>
          <w:color w:val="000000" w:themeColor="text1"/>
        </w:rPr>
        <w:t>and various kinds of cooperation it’s based on</w:t>
      </w:r>
      <w:r w:rsidR="00711B58">
        <w:rPr>
          <w:rFonts w:ascii="Garamond" w:hAnsi="Garamond"/>
          <w:color w:val="000000" w:themeColor="text1"/>
        </w:rPr>
        <w:t>)</w:t>
      </w:r>
      <w:r w:rsidR="003E5F44" w:rsidRPr="009B1F4E">
        <w:rPr>
          <w:rFonts w:ascii="Garamond" w:hAnsi="Garamond"/>
          <w:color w:val="000000" w:themeColor="text1"/>
        </w:rPr>
        <w:t xml:space="preserve"> become more and more central to our way of life, cooperation-norms become increasingly prominent, explicit, and institutionalised. This is mostly seen to be driven by an increase in </w:t>
      </w:r>
      <w:r w:rsidR="003E5F44" w:rsidRPr="009B1F4E">
        <w:rPr>
          <w:rFonts w:ascii="Garamond" w:hAnsi="Garamond" w:cs="Calibri"/>
          <w:color w:val="000000" w:themeColor="text1"/>
        </w:rPr>
        <w:t xml:space="preserve">group size, between-group competition, or indirect reciprocation </w:t>
      </w:r>
      <w:r w:rsidR="003E5F44" w:rsidRPr="009B1F4E">
        <w:rPr>
          <w:rFonts w:ascii="Garamond" w:hAnsi="Garamond" w:cs="Calibri"/>
          <w:color w:val="000000" w:themeColor="text1"/>
        </w:rPr>
        <w:fldChar w:fldCharType="begin"/>
      </w:r>
      <w:r w:rsidR="009B1F4E">
        <w:rPr>
          <w:rFonts w:ascii="Garamond" w:hAnsi="Garamond" w:cs="Calibri"/>
          <w:color w:val="000000" w:themeColor="text1"/>
        </w:rPr>
        <w:instrText xml:space="preserve"> ADDIN ZOTERO_ITEM CSL_CITATION {"citationID":"iPsHFhyR","properties":{"formattedCitation":"(e.g. Richerson and Boyd 2008; Tomasello 2014; Sterelny 2021b)","plainCitation":"(e.g. Richerson and Boyd 2008; Tomasello 2014; Sterelny 2021b)","noteIndex":0},"citationItems":[{"id":1041,"uris":["http://zotero.org/users/local/jz7T3Opo/items/9A58XXAZ"],"itemData":{"id":1041,"type":"book","abstract":"Humans are a striking anomaly in the natural world. While we are similar to other mammals in many ways, our behavior sets us apart. Our unparalleled ability to adapt has allowed us to occupy virtually every habitat on earth using an incredible variety of tools and subsistence techniques. Our societies are larger, more complex, and more cooperative than any other mammal's. In this stunning exploration of human adaptation, Peter J. Richerson and Robert Boyd argue that only a Darwinian theory of cultural evolution can explain these unique characteristics.  Not by Genes Alone offers a radical interpretation of human evolution, arguing that our ecological dominance and our singular social systems stem from a psychology uniquely adapted to create complex culture. Richerson and Boyd illustrate here that culture is neither superorganic nor the handmaiden of the genes. Rather, it is essential to human adaptation, as much a part of human biology as bipedal locomotion. Drawing on work in the fields of anthropology, political science, sociology, and economics—and building their case with such fascinating examples as kayaks, corporations, clever knots, and yams that require twelve men to carry them—Richerson and Boyd convincingly demonstrate that culture and biology are inextricably linked, and they show us how to think about their interaction in a way that yields a richer understanding of human nature.  In abandoning the nature-versus-nurture debate as fundamentally misconceived, Not by Genes Alone is a truly original and groundbreaking theory of the role of culture in evolution and a book to be reckoned with for generations to come.  “I continue to be surprised by the number of educated people (many of them biologists) who think that offering explanations for human behavior in terms of culture somehow disproves the suggestion that human behavior can be explained in Darwinian evolutionary terms. Fortunately, we now have a book to which they may be directed for enlightenment . . . . It is a book full of good sense and the kinds of intellectual rigor and clarity of writing that we have come to expect from the Boyd/Richerson stable.”—Robin Dunbar, Nature  “Not by Genes Alone is a valuable and very readable synthesis of a still embryonic but very important subject straddling the sciences and humanities.”—E. O. Wilson, Harvard University","ISBN":"978-0-226-71213-0","language":"en","number-of-pages":"343","publisher":"University of Chicago Press","source":"Google Books","title":"Not By Genes Alone: How Culture Transformed Human Evolution","title-short":"Not By Genes Alone","author":[{"family":"Richerson","given":"Peter J."},{"family":"Boyd","given":"Robert"}],"issued":{"date-parts":[["2008",6,20]]}},"label":"page","prefix":"e.g."},{"id":810,"uris":["http://zotero.org/users/local/jz7T3Opo/items/GTI7FTAL"],"itemData":{"id":810,"type":"book","abstract":"Tool-making or culture, language or religious belief: ever since Darwin, thinkers have struggled to identify what fundamentally differentiates human beings from other animals. Michael Tomasello weaves his twenty years of comparative studies of humans and great apes into a compelling argument that cooperative social interaction is the key to our cognitive uniqueness. Tomasello maintains that our prehuman ancestors, like today's great apes, were social beings who could solve problems by thinking. But they were almost entirely competitive, aiming only at their individual goals. As ecological changes forced them into more cooperative living arrangements, early humans had to coordinate their actions and communicate their thoughts with collaborative partners. Tomasello's \"shared intentionality hypothesis\" captures how these more socially complex forms of life led to more conceptually complex forms of thinking. In order to survive, humans had to learn to see the world from multiple social perspectives, to draw socially recursive inferences, and to monitor their own thinking via the normative standards of the group. Even language and culture arose from the preexisting need to work together and coordinate thoughts. A Natural History of Human Thinking is the most detailed scientific analysis to date of the connection between human sociality and cognition.","ISBN":"978-0-674-72636-9","language":"en","note":"container-title: A Natural History of Human Thinking","publisher":"Harvard University Press","source":"www.degruyter.com","title":"A Natural History of Human Thinking","URL":"https://www.degruyter.com/document/doi/10.4159/9780674726369/html","author":[{"family":"Tomasello","given":"Michael"}],"accessed":{"date-parts":[["2021",7,29]]},"issued":{"date-parts":[["2014",2,17]]}}},{"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Contract","author":[{"family":"Sterelny","given":"Kim"}],"issued":{"date-parts":[["2021",9,16]]}}}],"schema":"https://github.com/citation-style-language/schema/raw/master/csl-citation.json"} </w:instrText>
      </w:r>
      <w:r w:rsidR="003E5F44" w:rsidRPr="009B1F4E">
        <w:rPr>
          <w:rFonts w:ascii="Garamond" w:hAnsi="Garamond" w:cs="Calibri"/>
          <w:color w:val="000000" w:themeColor="text1"/>
        </w:rPr>
        <w:fldChar w:fldCharType="separate"/>
      </w:r>
      <w:r w:rsidR="009B1F4E">
        <w:rPr>
          <w:rFonts w:ascii="Garamond" w:hAnsi="Garamond" w:cs="Calibri"/>
          <w:noProof/>
          <w:color w:val="000000" w:themeColor="text1"/>
        </w:rPr>
        <w:t>(e.g. Richerson and Boyd 2008; Tomasello 2014; Sterelny 2021b)</w:t>
      </w:r>
      <w:r w:rsidR="003E5F44" w:rsidRPr="009B1F4E">
        <w:rPr>
          <w:rFonts w:ascii="Garamond" w:hAnsi="Garamond" w:cs="Calibri"/>
          <w:color w:val="000000" w:themeColor="text1"/>
        </w:rPr>
        <w:fldChar w:fldCharType="end"/>
      </w:r>
      <w:r w:rsidR="003E5F44" w:rsidRPr="009B1F4E">
        <w:rPr>
          <w:rFonts w:ascii="Garamond" w:hAnsi="Garamond" w:cs="Calibri"/>
          <w:color w:val="000000" w:themeColor="text1"/>
        </w:rPr>
        <w:t>. Because of these factors, agents start to become more (or more frequently) incentivised to cheat or free-ride on others’ efforts, and it’s because of this that there’s a need for cooperation-norms.</w:t>
      </w:r>
      <w:r w:rsidR="003E5F44" w:rsidRPr="009B1F4E">
        <w:rPr>
          <w:rFonts w:ascii="Garamond" w:hAnsi="Garamond"/>
          <w:color w:val="000000" w:themeColor="text1"/>
        </w:rPr>
        <w:t xml:space="preserve"> This is why these theories posit a gradual change in the importance and prominence of cooperation-norms</w:t>
      </w:r>
      <w:r w:rsidR="004864B2">
        <w:rPr>
          <w:rFonts w:ascii="Garamond" w:hAnsi="Garamond"/>
          <w:color w:val="000000" w:themeColor="text1"/>
        </w:rPr>
        <w:t xml:space="preserve">: At the beginning of human cooperation, they were comparatively unimportant but rose to prominence </w:t>
      </w:r>
      <w:proofErr w:type="gramStart"/>
      <w:r w:rsidR="004864B2">
        <w:rPr>
          <w:rFonts w:ascii="Garamond" w:hAnsi="Garamond"/>
          <w:color w:val="000000" w:themeColor="text1"/>
        </w:rPr>
        <w:t>later on</w:t>
      </w:r>
      <w:proofErr w:type="gramEnd"/>
      <w:r w:rsidR="004864B2">
        <w:rPr>
          <w:rFonts w:ascii="Garamond" w:hAnsi="Garamond"/>
          <w:color w:val="000000" w:themeColor="text1"/>
        </w:rPr>
        <w:t xml:space="preserve">. </w:t>
      </w:r>
    </w:p>
    <w:p w14:paraId="21C196E8" w14:textId="4501B918" w:rsidR="0087087F" w:rsidRPr="0087087F" w:rsidRDefault="003E5F44" w:rsidP="00774A91">
      <w:pPr>
        <w:spacing w:line="360" w:lineRule="auto"/>
        <w:jc w:val="both"/>
        <w:rPr>
          <w:rFonts w:ascii="Garamond" w:hAnsi="Garamond" w:cs="Calibri"/>
          <w:color w:val="000000" w:themeColor="text1"/>
        </w:rPr>
      </w:pPr>
      <w:r w:rsidRPr="009B1F4E">
        <w:rPr>
          <w:rFonts w:ascii="Garamond" w:hAnsi="Garamond" w:cs="Calibri"/>
          <w:color w:val="000000" w:themeColor="text1"/>
          <w:lang w:val="en-US"/>
        </w:rPr>
        <w:t xml:space="preserve">What I’d like to highlight here is that — although they are assumed to have been present in some form — </w:t>
      </w:r>
      <w:r w:rsidR="002863C8" w:rsidRPr="009B1F4E">
        <w:rPr>
          <w:rFonts w:ascii="Garamond" w:hAnsi="Garamond" w:cs="Calibri"/>
          <w:color w:val="000000" w:themeColor="text1"/>
          <w:lang w:val="en-US"/>
        </w:rPr>
        <w:t xml:space="preserve">cooperation-norms (and thereby social norms more generally) weren’t thought to play a very prominent role in the early evolution of cultural learning. </w:t>
      </w:r>
      <w:r w:rsidR="003855B9" w:rsidRPr="009B1F4E">
        <w:rPr>
          <w:rFonts w:ascii="Garamond" w:hAnsi="Garamond" w:cs="Calibri"/>
          <w:color w:val="000000" w:themeColor="text1"/>
          <w:lang w:val="en-US"/>
        </w:rPr>
        <w:t>So,</w:t>
      </w:r>
      <w:r w:rsidRPr="009B1F4E">
        <w:rPr>
          <w:rFonts w:ascii="Garamond" w:hAnsi="Garamond" w:cs="Calibri"/>
          <w:color w:val="000000" w:themeColor="text1"/>
          <w:lang w:val="en-US"/>
        </w:rPr>
        <w:t xml:space="preserve"> the shared narrative we find in this literature suggests that </w:t>
      </w:r>
      <w:r w:rsidR="00152B25">
        <w:rPr>
          <w:rFonts w:ascii="Garamond" w:hAnsi="Garamond" w:cs="Calibri"/>
          <w:color w:val="000000" w:themeColor="text1"/>
          <w:lang w:val="en-US"/>
        </w:rPr>
        <w:t>cooperation</w:t>
      </w:r>
      <w:r w:rsidR="008845DE">
        <w:rPr>
          <w:rFonts w:ascii="Garamond" w:hAnsi="Garamond" w:cs="Calibri"/>
          <w:color w:val="000000" w:themeColor="text1"/>
          <w:lang w:val="en-US"/>
        </w:rPr>
        <w:t>, in general, and cultural learning,</w:t>
      </w:r>
      <w:r w:rsidRPr="009B1F4E">
        <w:rPr>
          <w:rFonts w:ascii="Garamond" w:hAnsi="Garamond" w:cs="Calibri"/>
          <w:color w:val="000000" w:themeColor="text1"/>
          <w:lang w:val="en-US"/>
        </w:rPr>
        <w:t xml:space="preserve"> </w:t>
      </w:r>
      <w:r w:rsidR="00152B25">
        <w:rPr>
          <w:rFonts w:ascii="Garamond" w:hAnsi="Garamond" w:cs="Calibri"/>
          <w:color w:val="000000" w:themeColor="text1"/>
          <w:lang w:val="en-US"/>
        </w:rPr>
        <w:t xml:space="preserve">in particular, </w:t>
      </w:r>
      <w:r w:rsidR="005310DB" w:rsidRPr="009B1F4E">
        <w:rPr>
          <w:rFonts w:ascii="Garamond" w:hAnsi="Garamond" w:cs="Calibri"/>
          <w:color w:val="000000" w:themeColor="text1"/>
          <w:lang w:val="en-US"/>
        </w:rPr>
        <w:t>mostly functioned</w:t>
      </w:r>
      <w:r w:rsidRPr="009B1F4E">
        <w:rPr>
          <w:rFonts w:ascii="Garamond" w:hAnsi="Garamond" w:cs="Calibri"/>
          <w:color w:val="000000" w:themeColor="text1"/>
          <w:lang w:val="en-US"/>
        </w:rPr>
        <w:t xml:space="preserve"> without the aid of social norms. </w:t>
      </w:r>
      <w:r w:rsidR="0087087F">
        <w:rPr>
          <w:rFonts w:ascii="Garamond" w:hAnsi="Garamond" w:cs="Calibri"/>
          <w:color w:val="000000" w:themeColor="text1"/>
          <w:lang w:val="en-US"/>
        </w:rPr>
        <w:t xml:space="preserve">For example, </w:t>
      </w:r>
      <w:proofErr w:type="spellStart"/>
      <w:r w:rsidR="0087087F" w:rsidRPr="009B1F4E">
        <w:rPr>
          <w:rFonts w:ascii="Garamond" w:hAnsi="Garamond" w:cs="Calibri"/>
          <w:color w:val="000000" w:themeColor="text1"/>
          <w:lang w:val="en-US"/>
        </w:rPr>
        <w:t>Sterelny</w:t>
      </w:r>
      <w:proofErr w:type="spellEnd"/>
      <w:r w:rsidR="0087087F" w:rsidRPr="009B1F4E">
        <w:rPr>
          <w:rFonts w:ascii="Garamond" w:hAnsi="Garamond" w:cs="Calibri"/>
          <w:color w:val="000000" w:themeColor="text1"/>
          <w:lang w:val="en-US"/>
        </w:rPr>
        <w:t xml:space="preserve"> (and others) also take it that — at least at the outset — cultural learning and informational cooperation</w:t>
      </w:r>
      <w:r w:rsidR="001F184A">
        <w:rPr>
          <w:rFonts w:ascii="Garamond" w:hAnsi="Garamond" w:cs="Calibri"/>
          <w:color w:val="000000" w:themeColor="text1"/>
          <w:lang w:val="en-US"/>
        </w:rPr>
        <w:t xml:space="preserve"> </w:t>
      </w:r>
      <w:r w:rsidR="0087087F" w:rsidRPr="009B1F4E">
        <w:rPr>
          <w:rFonts w:ascii="Garamond" w:hAnsi="Garamond" w:cs="Calibri"/>
          <w:color w:val="000000" w:themeColor="text1"/>
          <w:lang w:val="en-US"/>
        </w:rPr>
        <w:t xml:space="preserve">more generally, were stable without the assistance of cooperation-norms. </w:t>
      </w:r>
      <w:r w:rsidR="0087087F" w:rsidRPr="009B1F4E">
        <w:rPr>
          <w:rFonts w:ascii="Garamond" w:hAnsi="Garamond" w:cs="Calibri"/>
          <w:color w:val="000000" w:themeColor="text1"/>
        </w:rPr>
        <w:t xml:space="preserve">This is due to the relative absence of incentives to defect from informational forms of cooperation </w:t>
      </w:r>
      <w:r w:rsidR="0087087F" w:rsidRPr="009B1F4E">
        <w:rPr>
          <w:rFonts w:ascii="Garamond" w:hAnsi="Garamond" w:cs="Calibri"/>
          <w:color w:val="000000" w:themeColor="text1"/>
        </w:rPr>
        <w:fldChar w:fldCharType="begin"/>
      </w:r>
      <w:r w:rsidR="0087087F" w:rsidRPr="009B1F4E">
        <w:rPr>
          <w:rFonts w:ascii="Garamond" w:hAnsi="Garamond" w:cs="Calibri"/>
          <w:color w:val="000000" w:themeColor="text1"/>
        </w:rPr>
        <w:instrText xml:space="preserve"> ADDIN ZOTERO_ITEM CSL_CITATION {"citationID":"dxila9Q3","properties":{"formattedCitation":"(see Sterelny 2012, 132\\uc0\\u8211{}38)","plainCitation":"(see Sterelny 2012, 132–38)","noteIndex":0},"citationItems":[{"id":721,"uris":["http://zotero.org/users/local/jz7T3Opo/items/33E38CEE"],"itemData":{"id":721,"type":"book","publisher":"MIT press","source":"Google Scholar","title":"The evolved apprentice","author":[{"family":"Sterelny","given":"Kim"}],"issued":{"date-parts":[["2012"]]}},"locator":"132-138","label":"page","prefix":"see"}],"schema":"https://github.com/citation-style-language/schema/raw/master/csl-citation.json"} </w:instrText>
      </w:r>
      <w:r w:rsidR="0087087F" w:rsidRPr="009B1F4E">
        <w:rPr>
          <w:rFonts w:ascii="Garamond" w:hAnsi="Garamond" w:cs="Calibri"/>
          <w:color w:val="000000" w:themeColor="text1"/>
        </w:rPr>
        <w:fldChar w:fldCharType="separate"/>
      </w:r>
      <w:r w:rsidR="0087087F" w:rsidRPr="009B1F4E">
        <w:rPr>
          <w:rFonts w:ascii="Garamond" w:hAnsi="Garamond"/>
          <w:color w:val="000000" w:themeColor="text1"/>
          <w:lang w:val="en-US"/>
        </w:rPr>
        <w:t>(see Sterelny 2012, 132–38)</w:t>
      </w:r>
      <w:r w:rsidR="0087087F" w:rsidRPr="009B1F4E">
        <w:rPr>
          <w:rFonts w:ascii="Garamond" w:hAnsi="Garamond" w:cs="Calibri"/>
          <w:color w:val="000000" w:themeColor="text1"/>
        </w:rPr>
        <w:fldChar w:fldCharType="end"/>
      </w:r>
      <w:r w:rsidR="0087087F" w:rsidRPr="009B1F4E">
        <w:rPr>
          <w:rFonts w:ascii="Garamond" w:hAnsi="Garamond" w:cs="Calibri"/>
          <w:color w:val="000000" w:themeColor="text1"/>
        </w:rPr>
        <w:t>.</w:t>
      </w:r>
    </w:p>
    <w:p w14:paraId="5A8518C2" w14:textId="75E033E8" w:rsidR="00774A91" w:rsidRPr="009B1F4E" w:rsidRDefault="0087087F" w:rsidP="00774A91">
      <w:pPr>
        <w:spacing w:line="360" w:lineRule="auto"/>
        <w:jc w:val="both"/>
        <w:rPr>
          <w:rFonts w:ascii="Garamond" w:hAnsi="Garamond" w:cs="Calibri"/>
          <w:color w:val="000000" w:themeColor="text1"/>
          <w:lang w:val="en-US"/>
        </w:rPr>
      </w:pPr>
      <w:r>
        <w:rPr>
          <w:rFonts w:ascii="Garamond" w:hAnsi="Garamond"/>
          <w:color w:val="000000" w:themeColor="text1"/>
        </w:rPr>
        <w:lastRenderedPageBreak/>
        <w:t>Additionally, several</w:t>
      </w:r>
      <w:r w:rsidR="00D57599" w:rsidRPr="009B1F4E">
        <w:rPr>
          <w:rFonts w:ascii="Garamond" w:hAnsi="Garamond"/>
          <w:color w:val="000000" w:themeColor="text1"/>
        </w:rPr>
        <w:t xml:space="preserve"> passages </w:t>
      </w:r>
      <w:r>
        <w:rPr>
          <w:rFonts w:ascii="Garamond" w:hAnsi="Garamond"/>
          <w:color w:val="000000" w:themeColor="text1"/>
        </w:rPr>
        <w:t xml:space="preserve">of key papers in the literature </w:t>
      </w:r>
      <w:r w:rsidR="00D57599" w:rsidRPr="009B1F4E">
        <w:rPr>
          <w:rFonts w:ascii="Garamond" w:hAnsi="Garamond"/>
          <w:color w:val="000000" w:themeColor="text1"/>
        </w:rPr>
        <w:t>favour</w:t>
      </w:r>
      <w:r w:rsidR="00774A91" w:rsidRPr="009B1F4E">
        <w:rPr>
          <w:rFonts w:ascii="Garamond" w:hAnsi="Garamond"/>
          <w:color w:val="000000" w:themeColor="text1"/>
        </w:rPr>
        <w:t xml:space="preserve"> such an understanding of our shared narrative. Consider, for example, </w:t>
      </w:r>
      <w:proofErr w:type="spellStart"/>
      <w:r w:rsidR="00774A91" w:rsidRPr="009B1F4E">
        <w:rPr>
          <w:rFonts w:ascii="Garamond" w:hAnsi="Garamond"/>
          <w:color w:val="000000" w:themeColor="text1"/>
        </w:rPr>
        <w:t>Muthukrishna’s</w:t>
      </w:r>
      <w:proofErr w:type="spellEnd"/>
      <w:r w:rsidR="00774A91" w:rsidRPr="009B1F4E">
        <w:rPr>
          <w:rFonts w:ascii="Garamond" w:hAnsi="Garamond"/>
          <w:color w:val="000000" w:themeColor="text1"/>
        </w:rPr>
        <w:t xml:space="preserve"> and Henrich’s </w:t>
      </w:r>
      <w:r w:rsidR="00774A91" w:rsidRPr="009B1F4E">
        <w:rPr>
          <w:rFonts w:ascii="Garamond" w:hAnsi="Garamond"/>
          <w:color w:val="000000" w:themeColor="text1"/>
        </w:rPr>
        <w:fldChar w:fldCharType="begin"/>
      </w:r>
      <w:r w:rsidR="00774A91" w:rsidRPr="009B1F4E">
        <w:rPr>
          <w:rFonts w:ascii="Garamond" w:hAnsi="Garamond"/>
          <w:color w:val="000000" w:themeColor="text1"/>
        </w:rPr>
        <w:instrText xml:space="preserve"> ADDIN ZOTERO_ITEM CSL_CITATION {"citationID":"v3ffBi8g","properties":{"formattedCitation":"(2021, 212)","plainCitation":"(2021, 212)","noteIndex":0},"citationItems":[{"id":416,"uris":["http://zotero.org/users/local/jz7T3Opo/items/BKPDT6KX"],"itemData":{"id":416,"type":"article-journal","abstract":"Illuminating the puzzle of our species’ ultrasociality requires not only explaining the breadth and intensity of human cooperation but also why it varies across societies, over history and among behavioral domains (within societies). To address these patterns, we introduce an evolutionary approach that considers how genetic and cultural evolution, as well as their interaction, may have shaped both the reliably developing features of our minds and the well-documented differences in cultural psychologies around the globe. We review the major evolutionary mechanisms that have been proposed to explain human cooperation, including kinship, reciprocity (partner choice), reputation, signaling and punishment, discuss key culture-gene coevolutionary hypotheses, such as those surrounding self-domestication and norm psychology, and consider the role of religions, rituals and marriage systems. Empirically, we bring together diverse experimental, observational, and anthropological evidence from studies of children and adults from diverse societies as well as from non-human primates.","container-title":"Annual Review of Psychology","DOI":"10.1146/annurev-psych-081920-042106","ISSN":"0066-4308, 1545-2085","issue":"1","journalAbbreviation":"Annu. Rev. Psychol.","language":"en","page":"207-240","source":"DOI.org (Crossref)","title":"The Origins and Psychology of Human Cooperation","volume":"72","author":[{"family":"Henrich","given":"Joseph"},{"family":"Muthukrishna","given":"Michael"}],"issued":{"date-parts":[["2021",1,4]]}},"locator":"212","label":"page","suppress-author":true}],"schema":"https://github.com/citation-style-language/schema/raw/master/csl-citation.json"} </w:instrText>
      </w:r>
      <w:r w:rsidR="00774A91" w:rsidRPr="009B1F4E">
        <w:rPr>
          <w:rFonts w:ascii="Garamond" w:hAnsi="Garamond"/>
          <w:color w:val="000000" w:themeColor="text1"/>
        </w:rPr>
        <w:fldChar w:fldCharType="separate"/>
      </w:r>
      <w:r w:rsidR="00774A91" w:rsidRPr="009B1F4E">
        <w:rPr>
          <w:rFonts w:ascii="Garamond" w:hAnsi="Garamond"/>
          <w:noProof/>
          <w:color w:val="000000" w:themeColor="text1"/>
        </w:rPr>
        <w:t>(2021, 212)</w:t>
      </w:r>
      <w:r w:rsidR="00774A91" w:rsidRPr="009B1F4E">
        <w:rPr>
          <w:rFonts w:ascii="Garamond" w:hAnsi="Garamond"/>
          <w:color w:val="000000" w:themeColor="text1"/>
        </w:rPr>
        <w:fldChar w:fldCharType="end"/>
      </w:r>
      <w:r w:rsidR="00774A91" w:rsidRPr="009B1F4E">
        <w:rPr>
          <w:rFonts w:ascii="Garamond" w:hAnsi="Garamond"/>
          <w:color w:val="000000" w:themeColor="text1"/>
        </w:rPr>
        <w:t xml:space="preserve"> discussion of social norms stabilising cooperation in this way </w:t>
      </w:r>
      <w:r w:rsidR="00774A91" w:rsidRPr="009B1F4E">
        <w:rPr>
          <w:rStyle w:val="notion-enable-hover"/>
          <w:rFonts w:ascii="Garamond" w:hAnsi="Garamond"/>
          <w:i/>
          <w:iCs/>
          <w:color w:val="000000" w:themeColor="text1"/>
        </w:rPr>
        <w:t>after</w:t>
      </w:r>
      <w:r w:rsidR="00774A91" w:rsidRPr="009B1F4E">
        <w:rPr>
          <w:rFonts w:ascii="Garamond" w:hAnsi="Garamond"/>
          <w:color w:val="000000" w:themeColor="text1"/>
        </w:rPr>
        <w:t xml:space="preserve"> social learning has been established: </w:t>
      </w:r>
    </w:p>
    <w:p w14:paraId="3F139EB2" w14:textId="77777777" w:rsidR="00774A91" w:rsidRPr="009B1F4E" w:rsidRDefault="00774A91" w:rsidP="00774A91">
      <w:pPr>
        <w:spacing w:line="360" w:lineRule="auto"/>
        <w:ind w:left="567" w:right="708"/>
        <w:jc w:val="both"/>
        <w:rPr>
          <w:rStyle w:val="notion-enable-hover"/>
          <w:rFonts w:ascii="Garamond" w:hAnsi="Garamond"/>
          <w:color w:val="000000" w:themeColor="text1"/>
          <w:sz w:val="20"/>
          <w:szCs w:val="20"/>
        </w:rPr>
      </w:pPr>
      <w:r w:rsidRPr="009B1F4E">
        <w:rPr>
          <w:rFonts w:ascii="Garamond" w:hAnsi="Garamond"/>
          <w:color w:val="000000" w:themeColor="text1"/>
          <w:sz w:val="20"/>
          <w:szCs w:val="20"/>
        </w:rPr>
        <w:t>“</w:t>
      </w:r>
      <w:proofErr w:type="gramStart"/>
      <w:r w:rsidRPr="009B1F4E">
        <w:rPr>
          <w:rStyle w:val="notion-enable-hover"/>
          <w:rFonts w:ascii="Garamond" w:hAnsi="Garamond"/>
          <w:i/>
          <w:iCs/>
          <w:color w:val="000000" w:themeColor="text1"/>
          <w:sz w:val="20"/>
          <w:szCs w:val="20"/>
        </w:rPr>
        <w:t>once</w:t>
      </w:r>
      <w:proofErr w:type="gramEnd"/>
      <w:r w:rsidRPr="009B1F4E">
        <w:rPr>
          <w:rStyle w:val="notion-enable-hover"/>
          <w:rFonts w:ascii="Garamond" w:hAnsi="Garamond"/>
          <w:color w:val="000000" w:themeColor="text1"/>
          <w:sz w:val="20"/>
          <w:szCs w:val="20"/>
        </w:rPr>
        <w:t xml:space="preserve"> individuals possessed sufficiently sophisticated cognitive abilities to reliably culturally learn […] stable patterns of costly </w:t>
      </w:r>
      <w:proofErr w:type="spellStart"/>
      <w:r w:rsidRPr="009B1F4E">
        <w:rPr>
          <w:rStyle w:val="notion-enable-hover"/>
          <w:rFonts w:ascii="Garamond" w:hAnsi="Garamond"/>
          <w:color w:val="000000" w:themeColor="text1"/>
          <w:sz w:val="20"/>
          <w:szCs w:val="20"/>
        </w:rPr>
        <w:t>behavior</w:t>
      </w:r>
      <w:proofErr w:type="spellEnd"/>
      <w:r w:rsidRPr="009B1F4E">
        <w:rPr>
          <w:rStyle w:val="notion-enable-hover"/>
          <w:rFonts w:ascii="Garamond" w:hAnsi="Garamond"/>
          <w:color w:val="000000" w:themeColor="text1"/>
          <w:sz w:val="20"/>
          <w:szCs w:val="20"/>
        </w:rPr>
        <w:t xml:space="preserve"> will emerge and can be sustained for long periods within a community. These patterns are social norms because anyone who deviates […] will be sanctioned.” </w:t>
      </w:r>
    </w:p>
    <w:p w14:paraId="6EBBF2CB" w14:textId="6FD1F86B" w:rsidR="00774A91" w:rsidRPr="009B1F4E" w:rsidRDefault="00774A91" w:rsidP="00774A91">
      <w:pPr>
        <w:spacing w:line="360" w:lineRule="auto"/>
        <w:jc w:val="both"/>
        <w:rPr>
          <w:rFonts w:ascii="Garamond" w:hAnsi="Garamond"/>
          <w:color w:val="000000" w:themeColor="text1"/>
        </w:rPr>
      </w:pPr>
      <w:r w:rsidRPr="009B1F4E">
        <w:rPr>
          <w:rFonts w:ascii="Garamond" w:hAnsi="Garamond"/>
          <w:color w:val="000000" w:themeColor="text1"/>
        </w:rPr>
        <w:t xml:space="preserve">Relatedly, although </w:t>
      </w:r>
      <w:proofErr w:type="spellStart"/>
      <w:r w:rsidRPr="009B1F4E">
        <w:rPr>
          <w:rFonts w:ascii="Garamond" w:hAnsi="Garamond"/>
          <w:color w:val="000000" w:themeColor="text1"/>
        </w:rPr>
        <w:t>Sterelny</w:t>
      </w:r>
      <w:proofErr w:type="spellEnd"/>
      <w:r w:rsidRPr="009B1F4E">
        <w:rPr>
          <w:rFonts w:ascii="Garamond" w:hAnsi="Garamond"/>
          <w:color w:val="000000" w:themeColor="text1"/>
        </w:rPr>
        <w:t xml:space="preserve"> is sceptical of the group-selection framework that Henrich (and others) favour, he too locates the emergence of </w:t>
      </w:r>
      <w:r w:rsidRPr="009B1F4E">
        <w:rPr>
          <w:rStyle w:val="notion-enable-hover"/>
          <w:rFonts w:ascii="Garamond" w:hAnsi="Garamond"/>
          <w:i/>
          <w:iCs/>
          <w:color w:val="000000" w:themeColor="text1"/>
        </w:rPr>
        <w:t>social</w:t>
      </w:r>
      <w:r w:rsidRPr="009B1F4E">
        <w:rPr>
          <w:rFonts w:ascii="Garamond" w:hAnsi="Garamond"/>
          <w:color w:val="000000" w:themeColor="text1"/>
        </w:rPr>
        <w:t xml:space="preserve"> norms in the late Pleistocene and views them as stabili</w:t>
      </w:r>
      <w:r w:rsidR="005310DB" w:rsidRPr="009B1F4E">
        <w:rPr>
          <w:rFonts w:ascii="Garamond" w:hAnsi="Garamond"/>
          <w:color w:val="000000" w:themeColor="text1"/>
        </w:rPr>
        <w:t>s</w:t>
      </w:r>
      <w:r w:rsidRPr="009B1F4E">
        <w:rPr>
          <w:rFonts w:ascii="Garamond" w:hAnsi="Garamond"/>
          <w:color w:val="000000" w:themeColor="text1"/>
        </w:rPr>
        <w:t xml:space="preserve">ing cooperation: </w:t>
      </w:r>
    </w:p>
    <w:p w14:paraId="3B5E57AC" w14:textId="7E77AEA3" w:rsidR="00774A91" w:rsidRPr="009B1F4E" w:rsidRDefault="00774A91" w:rsidP="00774A91">
      <w:pPr>
        <w:spacing w:line="360" w:lineRule="auto"/>
        <w:ind w:left="567" w:right="708"/>
        <w:jc w:val="both"/>
        <w:rPr>
          <w:rFonts w:ascii="Garamond" w:hAnsi="Garamond"/>
          <w:color w:val="000000" w:themeColor="text1"/>
          <w:sz w:val="20"/>
          <w:szCs w:val="20"/>
        </w:rPr>
      </w:pPr>
      <w:r w:rsidRPr="009B1F4E">
        <w:rPr>
          <w:rFonts w:ascii="Garamond" w:hAnsi="Garamond"/>
          <w:color w:val="000000" w:themeColor="text1"/>
          <w:sz w:val="20"/>
          <w:szCs w:val="20"/>
        </w:rPr>
        <w:t xml:space="preserve">“The take-home message of this chapter is that culturally evolved tools—language, myth, ritual, </w:t>
      </w:r>
      <w:r w:rsidRPr="009B1F4E">
        <w:rPr>
          <w:rStyle w:val="notion-enable-hover"/>
          <w:rFonts w:ascii="Garamond" w:hAnsi="Garamond"/>
          <w:i/>
          <w:iCs/>
          <w:color w:val="000000" w:themeColor="text1"/>
          <w:sz w:val="20"/>
          <w:szCs w:val="20"/>
        </w:rPr>
        <w:t>explicit norms</w:t>
      </w:r>
      <w:r w:rsidRPr="009B1F4E">
        <w:rPr>
          <w:rFonts w:ascii="Garamond" w:hAnsi="Garamond"/>
          <w:color w:val="000000" w:themeColor="text1"/>
          <w:sz w:val="20"/>
          <w:szCs w:val="20"/>
        </w:rPr>
        <w:t xml:space="preserve">—play a central role in the stability of cooperation in the late Pleistocene shift in the economic foundations of cooperation” </w:t>
      </w:r>
      <w:r w:rsidRPr="009B1F4E">
        <w:rPr>
          <w:rFonts w:ascii="Garamond" w:hAnsi="Garamond"/>
          <w:color w:val="000000" w:themeColor="text1"/>
          <w:sz w:val="20"/>
          <w:szCs w:val="20"/>
        </w:rPr>
        <w:fldChar w:fldCharType="begin"/>
      </w:r>
      <w:r w:rsidR="009B1F4E">
        <w:rPr>
          <w:rFonts w:ascii="Garamond" w:hAnsi="Garamond"/>
          <w:color w:val="000000" w:themeColor="text1"/>
          <w:sz w:val="20"/>
          <w:szCs w:val="20"/>
        </w:rPr>
        <w:instrText xml:space="preserve"> ADDIN ZOTERO_ITEM CSL_CITATION {"citationID":"UMUVY2Oj","properties":{"formattedCitation":"(2021b, 56)","plainCitation":"(2021b, 56)","noteIndex":0},"citationItems":[{"id":789,"uris":["http://zotero.org/users/local/jz7T3Opo/items/GATH6MTZ"],"itemData":{"id":789,"type":"book","abstract":"Kim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Contract","author":[{"family":"Sterelny","given":"Kim"}],"issued":{"date-parts":[["2021",9,16]]}},"locator":"56","label":"page","suppress-author":true}],"schema":"https://github.com/citation-style-language/schema/raw/master/csl-citation.json"} </w:instrText>
      </w:r>
      <w:r w:rsidRPr="009B1F4E">
        <w:rPr>
          <w:rFonts w:ascii="Garamond" w:hAnsi="Garamond"/>
          <w:color w:val="000000" w:themeColor="text1"/>
          <w:sz w:val="20"/>
          <w:szCs w:val="20"/>
        </w:rPr>
        <w:fldChar w:fldCharType="separate"/>
      </w:r>
      <w:r w:rsidR="009B1F4E">
        <w:rPr>
          <w:rFonts w:ascii="Garamond" w:hAnsi="Garamond"/>
          <w:noProof/>
          <w:color w:val="000000" w:themeColor="text1"/>
          <w:sz w:val="20"/>
          <w:szCs w:val="20"/>
        </w:rPr>
        <w:t>(2021b, 56)</w:t>
      </w:r>
      <w:r w:rsidRPr="009B1F4E">
        <w:rPr>
          <w:rFonts w:ascii="Garamond" w:hAnsi="Garamond"/>
          <w:color w:val="000000" w:themeColor="text1"/>
          <w:sz w:val="20"/>
          <w:szCs w:val="20"/>
        </w:rPr>
        <w:fldChar w:fldCharType="end"/>
      </w:r>
      <w:r w:rsidRPr="009B1F4E">
        <w:rPr>
          <w:rFonts w:ascii="Garamond" w:hAnsi="Garamond"/>
          <w:color w:val="000000" w:themeColor="text1"/>
          <w:sz w:val="20"/>
          <w:szCs w:val="20"/>
        </w:rPr>
        <w:t xml:space="preserve">  </w:t>
      </w:r>
    </w:p>
    <w:p w14:paraId="45B242B9" w14:textId="1A0AF1B7" w:rsidR="0087087F" w:rsidRPr="009B1F4E" w:rsidRDefault="00774A91" w:rsidP="001F184A">
      <w:pPr>
        <w:spacing w:line="360" w:lineRule="auto"/>
        <w:ind w:left="567" w:right="708"/>
        <w:jc w:val="both"/>
        <w:rPr>
          <w:rFonts w:ascii="Garamond" w:hAnsi="Garamond"/>
          <w:color w:val="000000" w:themeColor="text1"/>
          <w:sz w:val="20"/>
          <w:szCs w:val="20"/>
        </w:rPr>
      </w:pPr>
      <w:r w:rsidRPr="009B1F4E">
        <w:rPr>
          <w:rFonts w:ascii="Garamond" w:hAnsi="Garamond"/>
          <w:color w:val="000000" w:themeColor="text1"/>
          <w:sz w:val="20"/>
          <w:szCs w:val="20"/>
        </w:rPr>
        <w:t xml:space="preserve">“By reducing ambiguity, norms of sharing and division make defecting more overt, less deniable. But it is one thing to detect cheating, another to respond to it. [… ]it is likely that internalizing norms, and the outrage that flagrant violations then provoke, are essential in mobilizing third party support to sanction cheating.” </w:t>
      </w:r>
      <w:r w:rsidRPr="009B1F4E">
        <w:rPr>
          <w:rFonts w:ascii="Garamond" w:hAnsi="Garamond"/>
          <w:color w:val="000000" w:themeColor="text1"/>
          <w:sz w:val="20"/>
          <w:szCs w:val="20"/>
        </w:rPr>
        <w:fldChar w:fldCharType="begin"/>
      </w:r>
      <w:r w:rsidR="009B1F4E">
        <w:rPr>
          <w:rFonts w:ascii="Garamond" w:hAnsi="Garamond"/>
          <w:color w:val="000000" w:themeColor="text1"/>
          <w:sz w:val="20"/>
          <w:szCs w:val="20"/>
        </w:rPr>
        <w:instrText xml:space="preserve"> ADDIN ZOTERO_ITEM CSL_CITATION {"citationID":"tBm2E1gH","properties":{"formattedCitation":"(2021b, 82)","plainCitation":"(2021b, 82)","noteIndex":0},"citationItems":[{"id":789,"uris":["http://zotero.org/users/local/jz7T3Opo/items/GATH6MTZ"],"itemData":{"id":789,"type":"book","abstract":"Kim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Contract","author":[{"family":"Sterelny","given":"Kim"}],"issued":{"date-parts":[["2021",9,16]]}},"locator":"82","label":"page","suppress-author":true}],"schema":"https://github.com/citation-style-language/schema/raw/master/csl-citation.json"} </w:instrText>
      </w:r>
      <w:r w:rsidRPr="009B1F4E">
        <w:rPr>
          <w:rFonts w:ascii="Garamond" w:hAnsi="Garamond"/>
          <w:color w:val="000000" w:themeColor="text1"/>
          <w:sz w:val="20"/>
          <w:szCs w:val="20"/>
        </w:rPr>
        <w:fldChar w:fldCharType="separate"/>
      </w:r>
      <w:r w:rsidR="009B1F4E">
        <w:rPr>
          <w:rFonts w:ascii="Garamond" w:hAnsi="Garamond"/>
          <w:noProof/>
          <w:color w:val="000000" w:themeColor="text1"/>
          <w:sz w:val="20"/>
          <w:szCs w:val="20"/>
        </w:rPr>
        <w:t>(2021b, 82)</w:t>
      </w:r>
      <w:r w:rsidRPr="009B1F4E">
        <w:rPr>
          <w:rFonts w:ascii="Garamond" w:hAnsi="Garamond"/>
          <w:color w:val="000000" w:themeColor="text1"/>
          <w:sz w:val="20"/>
          <w:szCs w:val="20"/>
        </w:rPr>
        <w:fldChar w:fldCharType="end"/>
      </w:r>
    </w:p>
    <w:p w14:paraId="084573FA" w14:textId="6CACD268" w:rsidR="00774A91" w:rsidRPr="009B1F4E" w:rsidRDefault="00774A91" w:rsidP="00A94956">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What emerges is a shared narrative as part of which social norms, </w:t>
      </w:r>
      <w:r w:rsidR="00150E51" w:rsidRPr="009B1F4E">
        <w:rPr>
          <w:rFonts w:ascii="Garamond" w:hAnsi="Garamond" w:cs="Calibri"/>
          <w:color w:val="000000" w:themeColor="text1"/>
        </w:rPr>
        <w:t>particularly</w:t>
      </w:r>
      <w:r w:rsidRPr="009B1F4E">
        <w:rPr>
          <w:rFonts w:ascii="Garamond" w:hAnsi="Garamond" w:cs="Calibri"/>
          <w:color w:val="000000" w:themeColor="text1"/>
        </w:rPr>
        <w:t xml:space="preserve"> cooperation-norms, played a minor role in the early evolution of cultural learning and only rose to prominence over time.</w:t>
      </w:r>
    </w:p>
    <w:p w14:paraId="4D8A6A1E" w14:textId="77777777" w:rsidR="00774A91" w:rsidRPr="009B1F4E" w:rsidRDefault="00774A91" w:rsidP="00A94956">
      <w:pPr>
        <w:spacing w:line="360" w:lineRule="auto"/>
        <w:jc w:val="both"/>
        <w:rPr>
          <w:rFonts w:ascii="Garamond" w:hAnsi="Garamond" w:cs="Calibri"/>
          <w:color w:val="000000" w:themeColor="text1"/>
        </w:rPr>
      </w:pPr>
    </w:p>
    <w:p w14:paraId="2C3C1102" w14:textId="150842ED" w:rsidR="006542F6" w:rsidRPr="009B1F4E" w:rsidRDefault="006542F6" w:rsidP="006542F6">
      <w:pPr>
        <w:pStyle w:val="Listenabsatz"/>
        <w:numPr>
          <w:ilvl w:val="0"/>
          <w:numId w:val="1"/>
        </w:numPr>
        <w:spacing w:line="360" w:lineRule="auto"/>
        <w:jc w:val="both"/>
        <w:rPr>
          <w:rFonts w:ascii="Garamond" w:hAnsi="Garamond" w:cs="Calibri"/>
          <w:b/>
          <w:bCs/>
          <w:color w:val="000000" w:themeColor="text1"/>
        </w:rPr>
      </w:pPr>
      <w:r w:rsidRPr="009B1F4E">
        <w:rPr>
          <w:rFonts w:ascii="Garamond" w:hAnsi="Garamond" w:cs="Calibri"/>
          <w:b/>
          <w:bCs/>
          <w:color w:val="000000" w:themeColor="text1"/>
        </w:rPr>
        <w:t>The evolution of social learning and epistemic coordination norms</w:t>
      </w:r>
    </w:p>
    <w:p w14:paraId="658C4D8E" w14:textId="4CF2CCB5" w:rsidR="00FE5DD6" w:rsidRPr="009B1F4E" w:rsidRDefault="00104D28" w:rsidP="00A94956">
      <w:pPr>
        <w:spacing w:line="360" w:lineRule="auto"/>
        <w:jc w:val="both"/>
        <w:rPr>
          <w:rFonts w:ascii="Garamond" w:hAnsi="Garamond"/>
          <w:color w:val="000000" w:themeColor="text1"/>
        </w:rPr>
      </w:pPr>
      <w:r>
        <w:rPr>
          <w:rFonts w:ascii="Garamond" w:hAnsi="Garamond" w:cs="Calibri"/>
          <w:color w:val="000000" w:themeColor="text1"/>
        </w:rPr>
        <w:t>I take it that t</w:t>
      </w:r>
      <w:r w:rsidR="003855B9" w:rsidRPr="009B1F4E">
        <w:rPr>
          <w:rFonts w:ascii="Garamond" w:hAnsi="Garamond" w:cs="Calibri"/>
          <w:color w:val="000000" w:themeColor="text1"/>
        </w:rPr>
        <w:t>his</w:t>
      </w:r>
      <w:r w:rsidR="00FE5DD6" w:rsidRPr="009B1F4E">
        <w:rPr>
          <w:rFonts w:ascii="Garamond" w:hAnsi="Garamond" w:cs="Calibri"/>
          <w:color w:val="000000" w:themeColor="text1"/>
        </w:rPr>
        <w:t xml:space="preserve"> narrative</w:t>
      </w:r>
      <w:r>
        <w:rPr>
          <w:rFonts w:ascii="Garamond" w:hAnsi="Garamond" w:cs="Calibri"/>
          <w:color w:val="000000" w:themeColor="text1"/>
        </w:rPr>
        <w:t>, as it stands,</w:t>
      </w:r>
      <w:r w:rsidR="00FE5DD6" w:rsidRPr="009B1F4E">
        <w:rPr>
          <w:rFonts w:ascii="Garamond" w:hAnsi="Garamond" w:cs="Calibri"/>
          <w:color w:val="000000" w:themeColor="text1"/>
        </w:rPr>
        <w:t xml:space="preserve"> is largely plausible. </w:t>
      </w:r>
      <w:r w:rsidR="00014F02" w:rsidRPr="009B1F4E">
        <w:rPr>
          <w:rFonts w:ascii="Garamond" w:hAnsi="Garamond"/>
          <w:color w:val="000000" w:themeColor="text1"/>
        </w:rPr>
        <w:t>So, w</w:t>
      </w:r>
      <w:r w:rsidR="00FE5DD6" w:rsidRPr="009B1F4E">
        <w:rPr>
          <w:rFonts w:ascii="Garamond" w:hAnsi="Garamond"/>
          <w:color w:val="000000" w:themeColor="text1"/>
        </w:rPr>
        <w:t>hat follows is an expansion of, rather than an objection to</w:t>
      </w:r>
      <w:r w:rsidR="00D57599" w:rsidRPr="009B1F4E">
        <w:rPr>
          <w:rFonts w:ascii="Garamond" w:hAnsi="Garamond"/>
          <w:color w:val="000000" w:themeColor="text1"/>
        </w:rPr>
        <w:t>,</w:t>
      </w:r>
      <w:r w:rsidR="00FE5DD6" w:rsidRPr="009B1F4E">
        <w:rPr>
          <w:rFonts w:ascii="Garamond" w:hAnsi="Garamond"/>
          <w:color w:val="000000" w:themeColor="text1"/>
        </w:rPr>
        <w:t xml:space="preserve"> our shared narrative on the evolution of cultural learning and social norms. As we’ll see, this has interesting implications for the literature on the evolution of social norms more generally.</w:t>
      </w:r>
    </w:p>
    <w:p w14:paraId="36F1EA80" w14:textId="7A5A43AF" w:rsidR="00714E35" w:rsidRPr="009B1F4E" w:rsidRDefault="00FE5DD6" w:rsidP="00A94956">
      <w:pPr>
        <w:spacing w:line="360" w:lineRule="auto"/>
        <w:jc w:val="both"/>
        <w:rPr>
          <w:rFonts w:ascii="Garamond" w:hAnsi="Garamond"/>
          <w:color w:val="000000" w:themeColor="text1"/>
        </w:rPr>
      </w:pPr>
      <w:proofErr w:type="gramStart"/>
      <w:r w:rsidRPr="009B1F4E">
        <w:rPr>
          <w:rFonts w:ascii="Garamond" w:hAnsi="Garamond"/>
          <w:color w:val="000000" w:themeColor="text1"/>
        </w:rPr>
        <w:t>In particular, when</w:t>
      </w:r>
      <w:proofErr w:type="gramEnd"/>
      <w:r w:rsidRPr="009B1F4E">
        <w:rPr>
          <w:rFonts w:ascii="Garamond" w:hAnsi="Garamond"/>
          <w:color w:val="000000" w:themeColor="text1"/>
        </w:rPr>
        <w:t xml:space="preserve"> it comes to the involvement of social norms in the evolution of cultural learning, I’d like to argue for a more differentiated view. Whilst it is plausible that the relative stability of social learning interactions did lead to cooperation-norms </w:t>
      </w:r>
      <w:r w:rsidR="00B2304C" w:rsidRPr="009B1F4E">
        <w:rPr>
          <w:rFonts w:ascii="Garamond" w:hAnsi="Garamond"/>
          <w:color w:val="000000" w:themeColor="text1"/>
        </w:rPr>
        <w:t>being less important</w:t>
      </w:r>
      <w:r w:rsidRPr="009B1F4E">
        <w:rPr>
          <w:rFonts w:ascii="Garamond" w:hAnsi="Garamond"/>
          <w:color w:val="000000" w:themeColor="text1"/>
        </w:rPr>
        <w:t xml:space="preserve"> </w:t>
      </w:r>
      <w:r w:rsidR="00232D48">
        <w:rPr>
          <w:rFonts w:ascii="Garamond" w:hAnsi="Garamond"/>
          <w:color w:val="000000" w:themeColor="text1"/>
        </w:rPr>
        <w:t>at the outset,</w:t>
      </w:r>
      <w:r w:rsidRPr="009B1F4E">
        <w:rPr>
          <w:rFonts w:ascii="Garamond" w:hAnsi="Garamond"/>
          <w:color w:val="000000" w:themeColor="text1"/>
        </w:rPr>
        <w:t xml:space="preserve"> </w:t>
      </w:r>
      <w:r w:rsidR="00834A73" w:rsidRPr="009B1F4E">
        <w:rPr>
          <w:rFonts w:ascii="Garamond" w:hAnsi="Garamond"/>
          <w:color w:val="000000" w:themeColor="text1"/>
        </w:rPr>
        <w:t xml:space="preserve">the novel claim that I’d like to </w:t>
      </w:r>
      <w:r w:rsidR="00104D28">
        <w:rPr>
          <w:rFonts w:ascii="Garamond" w:hAnsi="Garamond"/>
          <w:color w:val="000000" w:themeColor="text1"/>
        </w:rPr>
        <w:t>argue for</w:t>
      </w:r>
      <w:r w:rsidR="00834A73" w:rsidRPr="009B1F4E">
        <w:rPr>
          <w:rFonts w:ascii="Garamond" w:hAnsi="Garamond"/>
          <w:color w:val="000000" w:themeColor="text1"/>
        </w:rPr>
        <w:t xml:space="preserve"> here is that </w:t>
      </w:r>
      <w:r w:rsidRPr="009B1F4E">
        <w:rPr>
          <w:rFonts w:ascii="Garamond" w:hAnsi="Garamond"/>
          <w:color w:val="000000" w:themeColor="text1"/>
        </w:rPr>
        <w:t>another kind of social norm — what I will call an epistemic coordination-norm — was operative in early instances of specialised social learning. Drawing from work in social epistemology</w:t>
      </w:r>
      <w:r w:rsidR="00B2304C" w:rsidRPr="009B1F4E">
        <w:rPr>
          <w:rFonts w:ascii="Garamond" w:hAnsi="Garamond"/>
          <w:color w:val="000000" w:themeColor="text1"/>
        </w:rPr>
        <w:t>,</w:t>
      </w:r>
      <w:r w:rsidRPr="009B1F4E">
        <w:rPr>
          <w:rFonts w:ascii="Garamond" w:hAnsi="Garamond"/>
          <w:color w:val="000000" w:themeColor="text1"/>
        </w:rPr>
        <w:t xml:space="preserve"> I’ll show how successful cultural learning requires coordination on a range of epistemic parameters</w:t>
      </w:r>
      <w:r w:rsidR="00714E35" w:rsidRPr="009B1F4E">
        <w:rPr>
          <w:rFonts w:ascii="Garamond" w:hAnsi="Garamond"/>
          <w:color w:val="000000" w:themeColor="text1"/>
        </w:rPr>
        <w:t xml:space="preserve"> a</w:t>
      </w:r>
      <w:r w:rsidR="00B2304C" w:rsidRPr="009B1F4E">
        <w:rPr>
          <w:rFonts w:ascii="Garamond" w:hAnsi="Garamond"/>
          <w:color w:val="000000" w:themeColor="text1"/>
        </w:rPr>
        <w:t xml:space="preserve">nd how social norms </w:t>
      </w:r>
      <w:r w:rsidR="003855B9" w:rsidRPr="009B1F4E">
        <w:rPr>
          <w:rFonts w:ascii="Garamond" w:hAnsi="Garamond"/>
          <w:color w:val="000000" w:themeColor="text1"/>
        </w:rPr>
        <w:t>provide</w:t>
      </w:r>
      <w:r w:rsidR="00B2304C" w:rsidRPr="009B1F4E">
        <w:rPr>
          <w:rFonts w:ascii="Garamond" w:hAnsi="Garamond"/>
          <w:color w:val="000000" w:themeColor="text1"/>
        </w:rPr>
        <w:t xml:space="preserve"> this kind of coordination</w:t>
      </w:r>
      <w:r w:rsidRPr="009B1F4E">
        <w:rPr>
          <w:rFonts w:ascii="Garamond" w:hAnsi="Garamond"/>
          <w:color w:val="000000" w:themeColor="text1"/>
        </w:rPr>
        <w:t xml:space="preserve">. </w:t>
      </w:r>
      <w:r w:rsidR="00232D48">
        <w:rPr>
          <w:rFonts w:ascii="Garamond" w:hAnsi="Garamond"/>
          <w:color w:val="000000" w:themeColor="text1"/>
        </w:rPr>
        <w:t>It will turn out that s</w:t>
      </w:r>
      <w:r w:rsidRPr="009B1F4E">
        <w:rPr>
          <w:rFonts w:ascii="Garamond" w:hAnsi="Garamond"/>
          <w:color w:val="000000" w:themeColor="text1"/>
        </w:rPr>
        <w:t>ocial learning, especially of the specialised sort, has been a normative phenomenon for longer than we have thought.</w:t>
      </w:r>
      <w:r w:rsidR="00714E35" w:rsidRPr="009B1F4E">
        <w:rPr>
          <w:rFonts w:ascii="Garamond" w:hAnsi="Garamond"/>
          <w:color w:val="000000" w:themeColor="text1"/>
        </w:rPr>
        <w:t xml:space="preserve">  </w:t>
      </w:r>
    </w:p>
    <w:p w14:paraId="61132199" w14:textId="77777777" w:rsidR="00714E35" w:rsidRPr="009B1F4E" w:rsidRDefault="00714E35" w:rsidP="00A94956">
      <w:pPr>
        <w:spacing w:line="360" w:lineRule="auto"/>
        <w:jc w:val="both"/>
        <w:rPr>
          <w:rFonts w:ascii="Garamond" w:hAnsi="Garamond"/>
          <w:color w:val="000000" w:themeColor="text1"/>
        </w:rPr>
      </w:pPr>
    </w:p>
    <w:p w14:paraId="38F492C6" w14:textId="14B48CAA" w:rsidR="00714E35" w:rsidRPr="009B1F4E" w:rsidRDefault="00714E35" w:rsidP="00714E35">
      <w:pPr>
        <w:pStyle w:val="Listenabsatz"/>
        <w:numPr>
          <w:ilvl w:val="1"/>
          <w:numId w:val="1"/>
        </w:numPr>
        <w:spacing w:line="360" w:lineRule="auto"/>
        <w:jc w:val="both"/>
        <w:rPr>
          <w:rFonts w:ascii="Garamond" w:hAnsi="Garamond"/>
          <w:color w:val="000000" w:themeColor="text1"/>
        </w:rPr>
      </w:pPr>
      <w:r w:rsidRPr="009B1F4E">
        <w:rPr>
          <w:rFonts w:ascii="Garamond" w:hAnsi="Garamond"/>
          <w:color w:val="000000" w:themeColor="text1"/>
        </w:rPr>
        <w:t>Social Epistemic Norms and Epistemic Coordination-Norms</w:t>
      </w:r>
    </w:p>
    <w:p w14:paraId="671BE1DF" w14:textId="7BDE42D2" w:rsidR="00FE5DD6" w:rsidRPr="009B1F4E" w:rsidRDefault="00FE5DD6" w:rsidP="00FE5DD6">
      <w:pPr>
        <w:spacing w:line="360" w:lineRule="auto"/>
        <w:jc w:val="both"/>
        <w:rPr>
          <w:rFonts w:ascii="Garamond" w:hAnsi="Garamond" w:cs="Calibri"/>
          <w:color w:val="000000" w:themeColor="text1"/>
          <w:lang w:val="en-US"/>
        </w:rPr>
      </w:pPr>
      <w:r w:rsidRPr="009B1F4E">
        <w:rPr>
          <w:rFonts w:ascii="Garamond" w:hAnsi="Garamond" w:cs="Calibri"/>
          <w:color w:val="000000" w:themeColor="text1"/>
        </w:rPr>
        <w:lastRenderedPageBreak/>
        <w:t xml:space="preserve">Let me </w:t>
      </w:r>
      <w:r w:rsidR="00714E35" w:rsidRPr="009B1F4E">
        <w:rPr>
          <w:rFonts w:ascii="Garamond" w:hAnsi="Garamond" w:cs="Calibri"/>
          <w:color w:val="000000" w:themeColor="text1"/>
        </w:rPr>
        <w:t xml:space="preserve">first </w:t>
      </w:r>
      <w:r w:rsidRPr="009B1F4E">
        <w:rPr>
          <w:rFonts w:ascii="Garamond" w:hAnsi="Garamond" w:cs="Calibri"/>
          <w:color w:val="000000" w:themeColor="text1"/>
        </w:rPr>
        <w:t xml:space="preserve">say a few things about coordination-norms: Being a kind of social norm, coordination-norms </w:t>
      </w:r>
      <w:r w:rsidR="00B2304C" w:rsidRPr="009B1F4E">
        <w:rPr>
          <w:rFonts w:ascii="Garamond" w:hAnsi="Garamond" w:cs="Calibri"/>
          <w:color w:val="000000" w:themeColor="text1"/>
        </w:rPr>
        <w:t>also emerge in collective action contexts</w:t>
      </w:r>
      <w:r w:rsidRPr="009B1F4E">
        <w:rPr>
          <w:rFonts w:ascii="Garamond" w:hAnsi="Garamond" w:cs="Calibri"/>
          <w:color w:val="000000" w:themeColor="text1"/>
        </w:rPr>
        <w:t xml:space="preserve">, where interdependent social groups seek to acquire public goods or promote collective aims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{"citationID":"c9o8s4Fj","properties":{"formattedCitation":"(Bicchieri 2005)","plainCitation":"(Bicchieri 2005)","noteIndex":0},"citationItems":[{"id":334,"uris":["http://zotero.org/users/local/jz7T3Opo/items/BUBTI4E3"],"itemData":{"id":334,"type":"article-journal","language":"en","page":"278","source":"Zotero","title":"The Grammar of Society: The Nature and Dynamics of Social Norms","author":[{"family":"Bicchieri","given":"Cristina"}],"issued":{"date-parts":[["2005"]]}}}],"schema":"https://github.com/citation-style-language/schema/raw/master/csl-citation.json"}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(Bicchieri 2005)</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w:t>
      </w:r>
      <w:r w:rsidRPr="009B1F4E">
        <w:rPr>
          <w:rFonts w:ascii="Garamond" w:hAnsi="Garamond" w:cs="Calibri"/>
          <w:color w:val="000000" w:themeColor="text1"/>
          <w:lang w:val="en-US"/>
        </w:rPr>
        <w:t xml:space="preserve">As the name already implies, coordination-norms help coordinate complex </w:t>
      </w:r>
      <w:proofErr w:type="spellStart"/>
      <w:r w:rsidRPr="009B1F4E">
        <w:rPr>
          <w:rFonts w:ascii="Garamond" w:hAnsi="Garamond" w:cs="Calibri"/>
          <w:color w:val="000000" w:themeColor="text1"/>
          <w:lang w:val="en-US"/>
        </w:rPr>
        <w:t>behaviours</w:t>
      </w:r>
      <w:proofErr w:type="spellEnd"/>
      <w:r w:rsidRPr="009B1F4E">
        <w:rPr>
          <w:rFonts w:ascii="Garamond" w:hAnsi="Garamond" w:cs="Calibri"/>
          <w:color w:val="000000" w:themeColor="text1"/>
          <w:lang w:val="en-US"/>
        </w:rPr>
        <w:t xml:space="preserve"> with multiple agents involved, often in contexts of division of </w:t>
      </w:r>
      <w:proofErr w:type="spellStart"/>
      <w:r w:rsidRPr="009B1F4E">
        <w:rPr>
          <w:rFonts w:ascii="Garamond" w:hAnsi="Garamond" w:cs="Calibri"/>
          <w:color w:val="000000" w:themeColor="text1"/>
          <w:lang w:val="en-US"/>
        </w:rPr>
        <w:t>labour</w:t>
      </w:r>
      <w:proofErr w:type="spellEnd"/>
      <w:r w:rsidRPr="009B1F4E">
        <w:rPr>
          <w:rFonts w:ascii="Garamond" w:hAnsi="Garamond" w:cs="Calibri"/>
          <w:color w:val="000000" w:themeColor="text1"/>
          <w:lang w:val="en-US"/>
        </w:rPr>
        <w:t xml:space="preserve"> and expertise. To attain these goods/goals, individuals need to behave in specific (and often differing) ways. In many instances, however, there are multiple ways in which the good in question could be attained, multiple ways in which single individuals could try to behave to attain the good. For instance, agents might need to coordinate the division of </w:t>
      </w:r>
      <w:proofErr w:type="spellStart"/>
      <w:r w:rsidRPr="009B1F4E">
        <w:rPr>
          <w:rFonts w:ascii="Garamond" w:hAnsi="Garamond" w:cs="Calibri"/>
          <w:color w:val="000000" w:themeColor="text1"/>
          <w:lang w:val="en-US"/>
        </w:rPr>
        <w:t>labour</w:t>
      </w:r>
      <w:proofErr w:type="spellEnd"/>
      <w:r w:rsidRPr="009B1F4E">
        <w:rPr>
          <w:rFonts w:ascii="Garamond" w:hAnsi="Garamond" w:cs="Calibri"/>
          <w:color w:val="000000" w:themeColor="text1"/>
          <w:lang w:val="en-US"/>
        </w:rPr>
        <w:t xml:space="preserve"> and set common, even if context-relative, standards for the </w:t>
      </w:r>
      <w:proofErr w:type="spellStart"/>
      <w:r w:rsidR="00B2304C" w:rsidRPr="009B1F4E">
        <w:rPr>
          <w:rFonts w:ascii="Garamond" w:hAnsi="Garamond" w:cs="Calibri"/>
          <w:color w:val="000000" w:themeColor="text1"/>
          <w:lang w:val="en-US"/>
        </w:rPr>
        <w:t>behaviours</w:t>
      </w:r>
      <w:proofErr w:type="spellEnd"/>
      <w:r w:rsidRPr="009B1F4E">
        <w:rPr>
          <w:rFonts w:ascii="Garamond" w:hAnsi="Garamond" w:cs="Calibri"/>
          <w:color w:val="000000" w:themeColor="text1"/>
          <w:lang w:val="en-US"/>
        </w:rPr>
        <w:t xml:space="preserve"> in question. Coordination-norms specify </w:t>
      </w:r>
      <w:proofErr w:type="gramStart"/>
      <w:r w:rsidR="00B2304C" w:rsidRPr="009B1F4E">
        <w:rPr>
          <w:rFonts w:ascii="Garamond" w:hAnsi="Garamond" w:cs="Calibri"/>
          <w:color w:val="000000" w:themeColor="text1"/>
          <w:lang w:val="en-US"/>
        </w:rPr>
        <w:t>each individual's</w:t>
      </w:r>
      <w:proofErr w:type="gramEnd"/>
      <w:r w:rsidR="00B2304C" w:rsidRPr="009B1F4E">
        <w:rPr>
          <w:rFonts w:ascii="Garamond" w:hAnsi="Garamond" w:cs="Calibri"/>
          <w:color w:val="000000" w:themeColor="text1"/>
          <w:lang w:val="en-US"/>
        </w:rPr>
        <w:t xml:space="preserve"> contribution and provide standards for the respective behaviors so</w:t>
      </w:r>
      <w:r w:rsidRPr="009B1F4E">
        <w:rPr>
          <w:rFonts w:ascii="Garamond" w:hAnsi="Garamond" w:cs="Calibri"/>
          <w:color w:val="000000" w:themeColor="text1"/>
          <w:lang w:val="en-US"/>
        </w:rPr>
        <w:t xml:space="preserve"> that the good can be attained.</w:t>
      </w:r>
      <w:r w:rsidRPr="009B1F4E">
        <w:rPr>
          <w:rStyle w:val="Funotenzeichen"/>
          <w:rFonts w:ascii="Garamond" w:hAnsi="Garamond" w:cs="Calibri"/>
          <w:color w:val="000000" w:themeColor="text1"/>
          <w:lang w:val="en-US"/>
        </w:rPr>
        <w:footnoteReference w:id="4"/>
      </w:r>
    </w:p>
    <w:p w14:paraId="33B5164F" w14:textId="27BC1AAB" w:rsidR="00FE5DD6" w:rsidRPr="009B1F4E" w:rsidRDefault="00FE5DD6" w:rsidP="00FE5DD6">
      <w:pPr>
        <w:spacing w:line="360" w:lineRule="auto"/>
        <w:jc w:val="both"/>
        <w:rPr>
          <w:rFonts w:ascii="Garamond" w:hAnsi="Garamond" w:cs="Calibri"/>
          <w:color w:val="000000" w:themeColor="text1"/>
          <w:lang w:val="en-US"/>
        </w:rPr>
      </w:pPr>
      <w:r w:rsidRPr="009B1F4E">
        <w:rPr>
          <w:rFonts w:ascii="Garamond" w:hAnsi="Garamond" w:cs="Calibri"/>
          <w:color w:val="000000" w:themeColor="text1"/>
          <w:lang w:val="en-US"/>
        </w:rPr>
        <w:t xml:space="preserve">Coordination-norms contrast </w:t>
      </w:r>
      <w:r w:rsidR="00B2304C" w:rsidRPr="009B1F4E">
        <w:rPr>
          <w:rFonts w:ascii="Garamond" w:hAnsi="Garamond" w:cs="Calibri"/>
          <w:color w:val="000000" w:themeColor="text1"/>
          <w:lang w:val="en-US"/>
        </w:rPr>
        <w:t>with</w:t>
      </w:r>
      <w:r w:rsidRPr="009B1F4E">
        <w:rPr>
          <w:rFonts w:ascii="Garamond" w:hAnsi="Garamond" w:cs="Calibri"/>
          <w:color w:val="000000" w:themeColor="text1"/>
          <w:lang w:val="en-US"/>
        </w:rPr>
        <w:t xml:space="preserve"> cooperation-norms in terms of function: Whereas the latter mainly function to </w:t>
      </w:r>
      <w:proofErr w:type="spellStart"/>
      <w:r w:rsidR="00B2304C" w:rsidRPr="009B1F4E">
        <w:rPr>
          <w:rFonts w:ascii="Garamond" w:hAnsi="Garamond" w:cs="Calibri"/>
          <w:color w:val="000000" w:themeColor="text1"/>
          <w:lang w:val="en-US"/>
        </w:rPr>
        <w:t>disincentivise</w:t>
      </w:r>
      <w:proofErr w:type="spellEnd"/>
      <w:r w:rsidRPr="009B1F4E">
        <w:rPr>
          <w:rFonts w:ascii="Garamond" w:hAnsi="Garamond" w:cs="Calibri"/>
          <w:color w:val="000000" w:themeColor="text1"/>
          <w:lang w:val="en-US"/>
        </w:rPr>
        <w:t xml:space="preserve"> agents from defecting from cooperation, for coordination-norms</w:t>
      </w:r>
      <w:r w:rsidR="00B2304C" w:rsidRPr="009B1F4E">
        <w:rPr>
          <w:rFonts w:ascii="Garamond" w:hAnsi="Garamond" w:cs="Calibri"/>
          <w:color w:val="000000" w:themeColor="text1"/>
          <w:lang w:val="en-US"/>
        </w:rPr>
        <w:t>,</w:t>
      </w:r>
      <w:r w:rsidRPr="009B1F4E">
        <w:rPr>
          <w:rFonts w:ascii="Garamond" w:hAnsi="Garamond" w:cs="Calibri"/>
          <w:color w:val="000000" w:themeColor="text1"/>
          <w:lang w:val="en-US"/>
        </w:rPr>
        <w:t xml:space="preserve"> it’s assumed that agents are already </w:t>
      </w:r>
      <w:proofErr w:type="spellStart"/>
      <w:r w:rsidR="00B2304C" w:rsidRPr="009B1F4E">
        <w:rPr>
          <w:rFonts w:ascii="Garamond" w:hAnsi="Garamond" w:cs="Calibri"/>
          <w:color w:val="000000" w:themeColor="text1"/>
          <w:lang w:val="en-US"/>
        </w:rPr>
        <w:t>incentivised</w:t>
      </w:r>
      <w:proofErr w:type="spellEnd"/>
      <w:r w:rsidRPr="009B1F4E">
        <w:rPr>
          <w:rFonts w:ascii="Garamond" w:hAnsi="Garamond" w:cs="Calibri"/>
          <w:color w:val="000000" w:themeColor="text1"/>
          <w:lang w:val="en-US"/>
        </w:rPr>
        <w:t xml:space="preserve"> to behave in ways so that the goal is attained. The problem that coordination-norms solve isn’t one of incentives to cooperate but rather one of how agents should go about doing so. Coordination-norms thus function to prevent coordination-failures. </w:t>
      </w:r>
    </w:p>
    <w:p w14:paraId="45259690" w14:textId="1F8D094F" w:rsidR="00FE5DD6" w:rsidRPr="009B1F4E" w:rsidRDefault="00B2304C" w:rsidP="00FE5DD6">
      <w:pPr>
        <w:spacing w:line="360" w:lineRule="auto"/>
        <w:jc w:val="both"/>
        <w:rPr>
          <w:rStyle w:val="notion-enable-hover"/>
          <w:rFonts w:ascii="Garamond" w:hAnsi="Garamond" w:cs="Calibri"/>
          <w:color w:val="000000" w:themeColor="text1"/>
        </w:rPr>
      </w:pPr>
      <w:r w:rsidRPr="009B1F4E">
        <w:rPr>
          <w:rFonts w:ascii="Garamond" w:hAnsi="Garamond" w:cs="Calibri"/>
          <w:color w:val="000000" w:themeColor="text1"/>
          <w:lang w:val="en-US"/>
        </w:rPr>
        <w:t>The</w:t>
      </w:r>
      <w:r w:rsidR="00FE5DD6" w:rsidRPr="009B1F4E">
        <w:rPr>
          <w:rFonts w:ascii="Garamond" w:hAnsi="Garamond" w:cs="Calibri"/>
          <w:color w:val="000000" w:themeColor="text1"/>
          <w:lang w:val="en-US"/>
        </w:rPr>
        <w:t xml:space="preserve"> coordination-norms operative in early instances of cultural learning were </w:t>
      </w:r>
      <w:r w:rsidR="00FE5DD6" w:rsidRPr="009B1F4E">
        <w:rPr>
          <w:rFonts w:ascii="Garamond" w:hAnsi="Garamond" w:cs="Calibri"/>
          <w:i/>
          <w:iCs/>
          <w:color w:val="000000" w:themeColor="text1"/>
          <w:lang w:val="en-US"/>
        </w:rPr>
        <w:t>epistemic</w:t>
      </w:r>
      <w:r w:rsidR="00FE5DD6" w:rsidRPr="009B1F4E">
        <w:rPr>
          <w:rFonts w:ascii="Garamond" w:hAnsi="Garamond" w:cs="Calibri"/>
          <w:color w:val="000000" w:themeColor="text1"/>
          <w:lang w:val="en-US"/>
        </w:rPr>
        <w:t xml:space="preserve"> coordination-norms </w:t>
      </w:r>
      <w:r w:rsidR="00FE5DD6" w:rsidRPr="009B1F4E">
        <w:rPr>
          <w:rFonts w:ascii="Garamond" w:hAnsi="Garamond" w:cs="Calibri"/>
          <w:color w:val="000000" w:themeColor="text1"/>
          <w:lang w:val="en-US"/>
        </w:rPr>
        <w:fldChar w:fldCharType="begin"/>
      </w:r>
      <w:r w:rsidR="00FE5DD6" w:rsidRPr="009B1F4E">
        <w:rPr>
          <w:rFonts w:ascii="Garamond" w:hAnsi="Garamond" w:cs="Calibri"/>
          <w:color w:val="000000" w:themeColor="text1"/>
          <w:lang w:val="en-US"/>
        </w:rPr>
        <w:instrText xml:space="preserve"> ADDIN ZOTERO_ITEM CSL_CITATION {"citationID":"UZI6HyHI","properties":{"formattedCitation":"(Henderson 2020)","plainCitation":"(Henderson 2020)","noteIndex":0},"citationItems":[{"id":100,"uris":["http://zotero.org/users/local/jz7T3Opo/items/4KN3WW78"],"itemData":{"id":100,"type":"article-journal","container-title":"Episteme","issue":"3","note":"publisher: Cambridge University Press","page":"281–300","source":"Google Scholar","title":"Are Epistemic Norms Fundamentally Social Norms?","volume":"17","author":[{"family":"Henderson","given":"David"}],"issued":{"date-parts":[["2020"]]}}}],"schema":"https://github.com/citation-style-language/schema/raw/master/csl-citation.json"} </w:instrText>
      </w:r>
      <w:r w:rsidR="00FE5DD6" w:rsidRPr="009B1F4E">
        <w:rPr>
          <w:rFonts w:ascii="Garamond" w:hAnsi="Garamond" w:cs="Calibri"/>
          <w:color w:val="000000" w:themeColor="text1"/>
          <w:lang w:val="en-US"/>
        </w:rPr>
        <w:fldChar w:fldCharType="separate"/>
      </w:r>
      <w:r w:rsidR="00FE5DD6" w:rsidRPr="009B1F4E">
        <w:rPr>
          <w:rFonts w:ascii="Garamond" w:hAnsi="Garamond" w:cs="Calibri"/>
          <w:noProof/>
          <w:color w:val="000000" w:themeColor="text1"/>
          <w:lang w:val="en-US"/>
        </w:rPr>
        <w:t>(Henderson 2020)</w:t>
      </w:r>
      <w:r w:rsidR="00FE5DD6" w:rsidRPr="009B1F4E">
        <w:rPr>
          <w:rFonts w:ascii="Garamond" w:hAnsi="Garamond" w:cs="Calibri"/>
          <w:color w:val="000000" w:themeColor="text1"/>
          <w:lang w:val="en-US"/>
        </w:rPr>
        <w:fldChar w:fldCharType="end"/>
      </w:r>
      <w:r w:rsidR="00FE5DD6" w:rsidRPr="009B1F4E">
        <w:rPr>
          <w:rFonts w:ascii="Garamond" w:hAnsi="Garamond" w:cs="Calibri"/>
          <w:color w:val="000000" w:themeColor="text1"/>
          <w:lang w:val="en-US"/>
        </w:rPr>
        <w:t>.</w:t>
      </w:r>
      <w:r w:rsidR="009F56D2" w:rsidRPr="009B1F4E">
        <w:rPr>
          <w:rStyle w:val="Funotenzeichen"/>
          <w:rFonts w:ascii="Garamond" w:hAnsi="Garamond" w:cs="Calibri"/>
          <w:color w:val="000000" w:themeColor="text1"/>
          <w:lang w:val="en-US"/>
        </w:rPr>
        <w:footnoteReference w:id="5"/>
      </w:r>
      <w:r w:rsidR="00FE5DD6" w:rsidRPr="009B1F4E">
        <w:rPr>
          <w:rFonts w:ascii="Garamond" w:hAnsi="Garamond" w:cs="Calibri"/>
          <w:color w:val="000000" w:themeColor="text1"/>
          <w:lang w:val="en-US"/>
        </w:rPr>
        <w:t xml:space="preserve"> To see this, consider that social learning is an epistemic activity: In cultural learning, information and knowledge (both practical and propositional, and mostly of the cumulative cultural kind) are transmitted from at least one agent to another </w:t>
      </w:r>
      <w:r w:rsidR="00FE5DD6" w:rsidRPr="009B1F4E">
        <w:rPr>
          <w:rFonts w:ascii="Garamond" w:hAnsi="Garamond" w:cs="Calibri"/>
          <w:color w:val="000000" w:themeColor="text1"/>
          <w:lang w:val="en-US"/>
        </w:rPr>
        <w:fldChar w:fldCharType="begin"/>
      </w:r>
      <w:r w:rsidR="00FE5DD6" w:rsidRPr="009B1F4E">
        <w:rPr>
          <w:rFonts w:ascii="Garamond" w:hAnsi="Garamond" w:cs="Calibri"/>
          <w:color w:val="000000" w:themeColor="text1"/>
          <w:lang w:val="en-US"/>
        </w:rPr>
        <w:instrText xml:space="preserve"> ADDIN ZOTERO_ITEM CSL_CITATION {"citationID":"V8GrrAGr","properties":{"formattedCitation":"(Levy and Alfano 2020)","plainCitation":"(Levy and Alfano 2020)","noteIndex":0},"citationItems":[{"id":689,"uris":["http://zotero.org/users/local/jz7T3Opo/items/PWL3S52K"],"itemData":{"id":689,"type":"article-journal","abstract":"Abstract\n            In the past two decades, epistemologists have significantly expanded the focus of their field. To the traditional question that has dominated the debate — under what conditions does belief amount to knowledge? — they have added questions about testimony, epistemic virtues and vices, epistemic trust, and more. This broadening of the range of epistemic concern has coincided with an expansion in conceptions of epistemic agency beyond the individualism characteristic of most earlier epistemology. We believe that these developments have not gone far enough. While the weak anti-individualism we see in contemporary epistemology may be adequate for the kinds of cases it tends to focus on, a great deal of human knowledge production and transmission does not conform to these models. Furthermore, the dispositions and norms that are knowledge-conducive in the familiar cases may not be knowledge-conducive generally. In fact, dispositions that, at an individual level, count as epistemic vices may be epistemic virtues in common social contexts. We argue that this overlooked feature of human social life means that epistemology must become more deeply and pervasively social.","container-title":"Mind","DOI":"10.1093/mind/fzz017","ISSN":"0026-4423, 1460-2113","issue":"515","language":"en","page":"887-915","source":"DOI.org (Crossref)","title":"Knowledge From Vice: Deeply Social Epistemology","title-short":"Knowledge From Vice","volume":"129","author":[{"family":"Levy","given":"Neil"},{"family":"Alfano","given":"Mark"}],"issued":{"date-parts":[["2020",7,1]]}}}],"schema":"https://github.com/citation-style-language/schema/raw/master/csl-citation.json"} </w:instrText>
      </w:r>
      <w:r w:rsidR="00FE5DD6" w:rsidRPr="009B1F4E">
        <w:rPr>
          <w:rFonts w:ascii="Garamond" w:hAnsi="Garamond" w:cs="Calibri"/>
          <w:color w:val="000000" w:themeColor="text1"/>
          <w:lang w:val="en-US"/>
        </w:rPr>
        <w:fldChar w:fldCharType="separate"/>
      </w:r>
      <w:r w:rsidR="00FE5DD6" w:rsidRPr="009B1F4E">
        <w:rPr>
          <w:rFonts w:ascii="Garamond" w:hAnsi="Garamond" w:cs="Calibri"/>
          <w:noProof/>
          <w:color w:val="000000" w:themeColor="text1"/>
          <w:lang w:val="en-US"/>
        </w:rPr>
        <w:t>(Levy and Alfano 2020)</w:t>
      </w:r>
      <w:r w:rsidR="00FE5DD6" w:rsidRPr="009B1F4E">
        <w:rPr>
          <w:rFonts w:ascii="Garamond" w:hAnsi="Garamond" w:cs="Calibri"/>
          <w:color w:val="000000" w:themeColor="text1"/>
          <w:lang w:val="en-US"/>
        </w:rPr>
        <w:fldChar w:fldCharType="end"/>
      </w:r>
      <w:r w:rsidR="00FE5DD6" w:rsidRPr="009B1F4E">
        <w:rPr>
          <w:rFonts w:ascii="Garamond" w:hAnsi="Garamond" w:cs="Calibri"/>
          <w:color w:val="000000" w:themeColor="text1"/>
          <w:lang w:val="en-US"/>
        </w:rPr>
        <w:t xml:space="preserve">. Social epistemologists, though they have mostly focused on testimony, have in recent years begun to consider how social epistemic norms regulate how knowledge is being transmitted between agents </w:t>
      </w:r>
      <w:r w:rsidR="00FE5DD6" w:rsidRPr="009B1F4E">
        <w:rPr>
          <w:rFonts w:ascii="Garamond" w:hAnsi="Garamond" w:cs="Calibri"/>
          <w:color w:val="000000" w:themeColor="text1"/>
        </w:rPr>
        <w:fldChar w:fldCharType="begin"/>
      </w:r>
      <w:r w:rsidR="00FE5DD6" w:rsidRPr="009B1F4E">
        <w:rPr>
          <w:rFonts w:ascii="Garamond" w:hAnsi="Garamond" w:cs="Calibri"/>
          <w:color w:val="000000" w:themeColor="text1"/>
        </w:rPr>
        <w:instrText xml:space="preserve"> ADDIN ZOTERO_ITEM CSL_CITATION {"citationID":"fTFxlVie","properties":{"formattedCitation":"(see e.g. Abbate 2021; Faulkner 2011; Goldberg 2018; Graham 2015; Greco 2020; Henderson 2020; Henderson and Graham 2017)","plainCitation":"(see e.g. Abbate 2021; Faulkner 2011; Goldberg 2018; Graham 2015; Greco 2020; Henderson 2020; Henderson and Graham 2017)","noteIndex":0},"citationItems":[{"id":845,"uris":["http://zotero.org/users/local/jz7T3Opo/items/MEA4F3CU"],"itemData":{"id":845,"type":"article-journal","abstract":"The claim that epistemic oughts stem from the “role” of believer is widely discussed in the epistemological discourse. This claim seems to stem from the common view that, in some sense, epistemic norms derive from what it is to be a believer. Against this view, I argue that there is no such thing as a “role” of believer. But there is a role of knower, and this is the role to which some epistemic norms—epistemic role oughts—are attached. Once we conceive of epistemic role oughts as attaching to the role of knower (and not the “role” of believer) we can better understand the nature of epistemic obligation and doxastic control. In advancing a new epistemic role ought approach that recognizes knowers as the subjects of epistemic role oughts, I explain why many epistemic oughts—epistemic role oughts—have normative force and presuppose voluntary control.","container-title":"Synthese","issue":"3","language":"en","page":"9497-9522","source":"Zotero","title":"On the role of knowers and corresponding epistemic role oughts","volume":"199","author":[{"family":"Abbate","given":"Cheryl"}],"issued":{"date-parts":[["2021"]]}},"prefix":"see e.g."},{"id":944,"uris":["http://zotero.org/users/local/jz7T3Opo/items/KD5DQ7ZA"],"itemData":{"id":944,"type":"book","abstract":"The book aims to present an epistemological theory of testimony, or a theory that explains how it is that we acquire knowledge and warranted belief from testimony. The key questions are: what makes it reasonable to accept a piece of testimony? And what warrants belief formed on this testimonial basis? Existing theories of testimony largely fail because they do not recognize how issues of practical rationality motivate the first question, and this is what makes testimony distinctive as a source of knowledge. At the heart of the theory this book presents is then the idea that trust can make it reasonable to depend on another's testimony, but what warrants testimonial belief is not trust but the body of evidence the testimony originates from. Testimonial knowledge and testimonially warranted belief are got on trust. And our having a way of life wherein testimony is such a source of knowledge and warrant is our having a society wherein a certain kind of trust is possible.","event-place":"Oxford","ISBN":"978-0-19-958978-4","language":"eng","note":"DOI: 10.1093/acprof:oso/9780199589784.001.0001","number-of-pages":"240","publisher":"Oxford University Press","publisher-place":"Oxford","source":"University Press Scholarship","title":"Knowledge on Trust","URL":"https://oxford.universitypressscholarship.com/10.1093/acprof:oso/9780199589784.001.0001/acprof-9780199589784","author":[{"family":"Faulkner","given":"Paul"}],"accessed":{"date-parts":[["2022",1,11]]},"issued":{"date-parts":[["2011"]]}}},{"id":283,"uris":["http://zotero.org/users/local/jz7T3Opo/items/DEUUBDJE"],"itemData":{"id":283,"type":"book","call-number":"BD176 .G65 2018","event-place":"Oxford, United Kingdom","ISBN":"978-0-19-879367-0","language":"en","note":"OCLC: ocn994575117","number-of-pages":"277","publisher":"Oxford University Press","publisher-place":"Oxford, United Kingdom","source":"Library of Congress ISBN","title":"To the best of our knowledge: social expectations and epistemic normativity","title-short":"To the best of our knowledge","author":[{"family":"Goldberg","given":"Sanford C."}],"issued":{"date-parts":[["2018"]]}}},{"id":962,"uris":["http://zotero.org/users/local/jz7T3Opo/items/T52MH78Z"],"itemData":{"id":962,"type":"chapter","container-title":"Epistemic Evaluation: Purposeful Epistemology","page":"247-273","publisher":"Oxford University Press","title":"Epistemic Normativity and Social Norms","author":[{"family":"Graham","given":"Peter"}],"editor":[{"family":"Greco","given":"John"},{"family":"Henderson","given":"David"}],"issued":{"date-parts":[["2015"]]}}},{"id":913,"uris":["http://zotero.org/users/local/jz7T3Opo/items/FELGTGYB"],"itemData":{"id":913,"type":"book","publisher":"Cambridge University Press","source":"Google Scholar","title":"The Transmission of knowledge","author":[{"family":"Greco","given":"John"}],"issued":{"date-parts":[["2020"]]}}},{"id":100,"uris":["http://zotero.org/users/local/jz7T3Opo/items/4KN3WW78"],"itemData":{"id":100,"type":"article-journal","container-title":"Episteme","issue":"3","note":"publisher: Cambridge University Press","page":"281–300","source":"Google Scholar","title":"Are Epistemic Norms Fundamentally Social Norms?","volume":"17","author":[{"family":"Henderson","given":"David"}],"issued":{"date-parts":[["2020"]]}}},{"id":770,"uris":["http://zotero.org/users/local/jz7T3Opo/items/E4URLCLX"],"itemData":{"id":770,"type":"article-journal","abstract":"This paper is a beginning--an initial attempt to think of the function and character of epistemic norms as a kind of social norm. We draw on social scientific thinking about social norms and the social games to which they respond. Assume that people individually follow epistemic norms for the sake of acquiring a stock of true beliefs. When they live in groups and share information with each other, they will in turn produce a shared store of true beliefs, an epistemic public good. True beliefs, produced individually or in groups, constitute an epistemic good—one commonly stockpiled and distributed within a community. Epistemic norms can then be understood as a kind of socially developed and transmitted normative sensibility having to do with the production of this individual and public good. Epistemic norms should serve to regulate this practice—coordinating the practice of individuals so as to afford the benefits of life in an interdependent epistemic community—and to manage the risks of being epistemically dependent on others within such a community. Here, we provide some attempts to characterize the central aspects of \"the epistemic game\"—the epistemic choice situation confronted by communities of epistemic agents.","container-title":"American Philosophical Quarterly","ISSN":"0003-0481","issue":"4","note":"publisher: [North American Philosophical Publications, University of Illinois Press]","page":"367-382","source":"JSTOR","title":"Epistemic Norms and the \"Epistemic Game\" they regulate: The Basic Structured Epistemic Costs and Benefits","title-short":"EPISTEMIC NORMS AND THE \"EPISTEMIC GAME\" THEY REGULATE","volume":"54","author":[{"family":"Henderson","given":"David"},{"family":"Graham","given":"Peter"}],"issued":{"date-parts":[["2017"]]}}}],"schema":"https://github.com/citation-style-language/schema/raw/master/csl-citation.json"} </w:instrText>
      </w:r>
      <w:r w:rsidR="00FE5DD6" w:rsidRPr="009B1F4E">
        <w:rPr>
          <w:rFonts w:ascii="Garamond" w:hAnsi="Garamond" w:cs="Calibri"/>
          <w:color w:val="000000" w:themeColor="text1"/>
        </w:rPr>
        <w:fldChar w:fldCharType="separate"/>
      </w:r>
      <w:r w:rsidR="00FE5DD6" w:rsidRPr="009B1F4E">
        <w:rPr>
          <w:rFonts w:ascii="Garamond" w:hAnsi="Garamond" w:cs="Calibri"/>
          <w:noProof/>
          <w:color w:val="000000" w:themeColor="text1"/>
        </w:rPr>
        <w:t>(see e.g. Abbate 2021; Faulkner 2011; Goldberg 2018; Graham 2015; Greco 2020; Henderson 2020; Henderson and Graham 2017)</w:t>
      </w:r>
      <w:r w:rsidR="00FE5DD6" w:rsidRPr="009B1F4E">
        <w:rPr>
          <w:rFonts w:ascii="Garamond" w:hAnsi="Garamond" w:cs="Calibri"/>
          <w:color w:val="000000" w:themeColor="text1"/>
        </w:rPr>
        <w:fldChar w:fldCharType="end"/>
      </w:r>
      <w:r w:rsidR="00FE5DD6" w:rsidRPr="009B1F4E">
        <w:rPr>
          <w:rStyle w:val="notion-enable-hover"/>
          <w:rFonts w:ascii="Garamond" w:hAnsi="Garamond" w:cs="Calibri"/>
          <w:color w:val="000000" w:themeColor="text1"/>
        </w:rPr>
        <w:t xml:space="preserve">. </w:t>
      </w:r>
      <w:r w:rsidRPr="009B1F4E">
        <w:rPr>
          <w:rStyle w:val="notion-enable-hover"/>
          <w:rFonts w:ascii="Garamond" w:hAnsi="Garamond" w:cs="Calibri"/>
          <w:color w:val="000000" w:themeColor="text1"/>
        </w:rPr>
        <w:t>These</w:t>
      </w:r>
      <w:r w:rsidR="00FE5DD6" w:rsidRPr="009B1F4E">
        <w:rPr>
          <w:rFonts w:ascii="Garamond" w:hAnsi="Garamond" w:cs="Calibri"/>
          <w:color w:val="000000" w:themeColor="text1"/>
          <w:lang w:val="en-US"/>
        </w:rPr>
        <w:t xml:space="preserve"> kinds of norms are </w:t>
      </w:r>
      <w:r w:rsidRPr="009B1F4E">
        <w:rPr>
          <w:rFonts w:ascii="Garamond" w:hAnsi="Garamond" w:cs="Calibri"/>
          <w:color w:val="000000" w:themeColor="text1"/>
          <w:lang w:val="en-US"/>
        </w:rPr>
        <w:t>also operative in social learning</w:t>
      </w:r>
      <w:r w:rsidR="00FE5DD6" w:rsidRPr="009B1F4E">
        <w:rPr>
          <w:rFonts w:ascii="Garamond" w:hAnsi="Garamond" w:cs="Calibri"/>
          <w:color w:val="000000" w:themeColor="text1"/>
          <w:lang w:val="en-US"/>
        </w:rPr>
        <w:t xml:space="preserve">. Such social epistemic norms guide agents </w:t>
      </w:r>
      <w:r w:rsidR="00FE5DD6" w:rsidRPr="009B1F4E">
        <w:rPr>
          <w:rStyle w:val="notion-enable-hover"/>
          <w:rFonts w:ascii="Garamond" w:hAnsi="Garamond" w:cs="Calibri"/>
          <w:color w:val="000000" w:themeColor="text1"/>
        </w:rPr>
        <w:t xml:space="preserve">in how they should engage with and share information. As with other social norms, social epistemic norms are in place to promote the acquisition of public goods or shared aims in interdependent social groups. </w:t>
      </w:r>
      <w:r w:rsidRPr="009B1F4E">
        <w:rPr>
          <w:rStyle w:val="notion-enable-hover"/>
          <w:rFonts w:ascii="Garamond" w:hAnsi="Garamond" w:cs="Calibri"/>
          <w:color w:val="000000" w:themeColor="text1"/>
        </w:rPr>
        <w:t>For social epistemic norms,</w:t>
      </w:r>
      <w:r w:rsidR="00FE5DD6" w:rsidRPr="009B1F4E">
        <w:rPr>
          <w:rStyle w:val="notion-enable-hover"/>
          <w:rFonts w:ascii="Garamond" w:hAnsi="Garamond" w:cs="Calibri"/>
          <w:color w:val="000000" w:themeColor="text1"/>
        </w:rPr>
        <w:t xml:space="preserve"> the good in question is both practical and propositional knowledge</w:t>
      </w:r>
      <w:r w:rsidR="00E43D1C">
        <w:rPr>
          <w:rStyle w:val="notion-enable-hover"/>
          <w:rFonts w:ascii="Garamond" w:hAnsi="Garamond" w:cs="Calibri"/>
          <w:color w:val="000000" w:themeColor="text1"/>
        </w:rPr>
        <w:t xml:space="preserve">, and the aims in question have to do with their acquisition and transmission. </w:t>
      </w:r>
    </w:p>
    <w:p w14:paraId="4E0DDF30" w14:textId="25BC83B7" w:rsidR="00FE5DD6" w:rsidRPr="009B1F4E" w:rsidRDefault="00FE5DD6" w:rsidP="00FE5DD6">
      <w:pPr>
        <w:spacing w:line="360" w:lineRule="auto"/>
        <w:jc w:val="both"/>
        <w:rPr>
          <w:rStyle w:val="notion-enable-hover"/>
          <w:rFonts w:ascii="Garamond" w:hAnsi="Garamond" w:cs="Calibri"/>
          <w:color w:val="000000" w:themeColor="text1"/>
        </w:rPr>
      </w:pPr>
      <w:r w:rsidRPr="009B1F4E">
        <w:rPr>
          <w:rStyle w:val="notion-enable-hover"/>
          <w:rFonts w:ascii="Garamond" w:hAnsi="Garamond" w:cs="Calibri"/>
          <w:color w:val="000000" w:themeColor="text1"/>
        </w:rPr>
        <w:lastRenderedPageBreak/>
        <w:t>Social epistemic norms thus conceived include the kinds of norms that social epistemologists m</w:t>
      </w:r>
      <w:r w:rsidR="008845DE">
        <w:rPr>
          <w:rStyle w:val="notion-enable-hover"/>
          <w:rFonts w:ascii="Garamond" w:hAnsi="Garamond" w:cs="Calibri"/>
          <w:color w:val="000000" w:themeColor="text1"/>
        </w:rPr>
        <w:t>ain</w:t>
      </w:r>
      <w:r w:rsidRPr="009B1F4E">
        <w:rPr>
          <w:rStyle w:val="notion-enable-hover"/>
          <w:rFonts w:ascii="Garamond" w:hAnsi="Garamond" w:cs="Calibri"/>
          <w:color w:val="000000" w:themeColor="text1"/>
        </w:rPr>
        <w:t xml:space="preserve">ly focus on — norms that tell us how to form, revise, maintain or suspend our beliefs and how to share them to gain propositional knowledge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{"citationID":"HTi9ANNA","properties":{"formattedCitation":"(see e.g. Abbate 2021; Faulkner 2011; Goldberg 2018; Graham 2015; Greco 2020; Henderson 2020; Henderson and Graham 2017)","plainCitation":"(see e.g. Abbate 2021; Faulkner 2011; Goldberg 2018; Graham 2015; Greco 2020; Henderson 2020; Henderson and Graham 2017)","noteIndex":0},"citationItems":[{"id":845,"uris":["http://zotero.org/users/local/jz7T3Opo/items/MEA4F3CU"],"itemData":{"id":845,"type":"article-journal","abstract":"The claim that epistemic oughts stem from the “role” of believer is widely discussed in the epistemological discourse. This claim seems to stem from the common view that, in some sense, epistemic norms derive from what it is to be a believer. Against this view, I argue that there is no such thing as a “role” of believer. But there is a role of knower, and this is the role to which some epistemic norms—epistemic role oughts—are attached. Once we conceive of epistemic role oughts as attaching to the role of knower (and not the “role” of believer) we can better understand the nature of epistemic obligation and doxastic control. In advancing a new epistemic role ought approach that recognizes knowers as the subjects of epistemic role oughts, I explain why many epistemic oughts—epistemic role oughts—have normative force and presuppose voluntary control.","container-title":"Synthese","issue":"3","language":"en","page":"9497-9522","source":"Zotero","title":"On the role of knowers and corresponding epistemic role oughts","volume":"199","author":[{"family":"Abbate","given":"Cheryl"}],"issued":{"date-parts":[["2021"]]}},"prefix":"see e.g."},{"id":944,"uris":["http://zotero.org/users/local/jz7T3Opo/items/KD5DQ7ZA"],"itemData":{"id":944,"type":"book","abstract":"The book aims to present an epistemological theory of testimony, or a theory that explains how it is that we acquire knowledge and warranted belief from testimony. The key questions are: what makes it reasonable to accept a piece of testimony? And what warrants belief formed on this testimonial basis? Existing theories of testimony largely fail because they do not recognize how issues of practical rationality motivate the first question, and this is what makes testimony distinctive as a source of knowledge. At the heart of the theory this book presents is then the idea that trust can make it reasonable to depend on another's testimony, but what warrants testimonial belief is not trust but the body of evidence the testimony originates from. Testimonial knowledge and testimonially warranted belief are got on trust. And our having a way of life wherein testimony is such a source of knowledge and warrant is our having a society wherein a certain kind of trust is possible.","event-place":"Oxford","ISBN":"978-0-19-958978-4","language":"eng","note":"DOI: 10.1093/acprof:oso/9780199589784.001.0001","number-of-pages":"240","publisher":"Oxford University Press","publisher-place":"Oxford","source":"University Press Scholarship","title":"Knowledge on Trust","URL":"https://oxford.universitypressscholarship.com/10.1093/acprof:oso/9780199589784.001.0001/acprof-9780199589784","author":[{"family":"Faulkner","given":"Paul"}],"accessed":{"date-parts":[["2022",1,11]]},"issued":{"date-parts":[["2011"]]}}},{"id":283,"uris":["http://zotero.org/users/local/jz7T3Opo/items/DEUUBDJE"],"itemData":{"id":283,"type":"book","call-number":"BD176 .G65 2018","event-place":"Oxford, United Kingdom","ISBN":"978-0-19-879367-0","language":"en","note":"OCLC: ocn994575117","number-of-pages":"277","publisher":"Oxford University Press","publisher-place":"Oxford, United Kingdom","source":"Library of Congress ISBN","title":"To the best of our knowledge: social expectations and epistemic normativity","title-short":"To the best of our knowledge","author":[{"family":"Goldberg","given":"Sanford C."}],"issued":{"date-parts":[["2018"]]}}},{"id":962,"uris":["http://zotero.org/users/local/jz7T3Opo/items/T52MH78Z"],"itemData":{"id":962,"type":"chapter","container-title":"Epistemic Evaluation: Purposeful Epistemology","page":"247-273","publisher":"Oxford University Press","title":"Epistemic Normativity and Social Norms","author":[{"family":"Graham","given":"Peter"}],"editor":[{"family":"Greco","given":"John"},{"family":"Henderson","given":"David"}],"issued":{"date-parts":[["2015"]]}}},{"id":913,"uris":["http://zotero.org/users/local/jz7T3Opo/items/FELGTGYB"],"itemData":{"id":913,"type":"book","publisher":"Cambridge University Press","source":"Google Scholar","title":"The Transmission of knowledge","author":[{"family":"Greco","given":"John"}],"issued":{"date-parts":[["2020"]]}}},{"id":100,"uris":["http://zotero.org/users/local/jz7T3Opo/items/4KN3WW78"],"itemData":{"id":100,"type":"article-journal","container-title":"Episteme","issue":"3","note":"publisher: Cambridge University Press","page":"281–300","source":"Google Scholar","title":"Are Epistemic Norms Fundamentally Social Norms?","volume":"17","author":[{"family":"Henderson","given":"David"}],"issued":{"date-parts":[["2020"]]}}},{"id":770,"uris":["http://zotero.org/users/local/jz7T3Opo/items/E4URLCLX"],"itemData":{"id":770,"type":"article-journal","abstract":"This paper is a beginning--an initial attempt to think of the function and character of epistemic norms as a kind of social norm. We draw on social scientific thinking about social norms and the social games to which they respond. Assume that people individually follow epistemic norms for the sake of acquiring a stock of true beliefs. When they live in groups and share information with each other, they will in turn produce a shared store of true beliefs, an epistemic public good. True beliefs, produced individually or in groups, constitute an epistemic good—one commonly stockpiled and distributed within a community. Epistemic norms can then be understood as a kind of socially developed and transmitted normative sensibility having to do with the production of this individual and public good. Epistemic norms should serve to regulate this practice—coordinating the practice of individuals so as to afford the benefits of life in an interdependent epistemic community—and to manage the risks of being epistemically dependent on others within such a community. Here, we provide some attempts to characterize the central aspects of \"the epistemic game\"—the epistemic choice situation confronted by communities of epistemic agents.","container-title":"American Philosophical Quarterly","ISSN":"0003-0481","issue":"4","note":"publisher: [North American Philosophical Publications, University of Illinois Press]","page":"367-382","source":"JSTOR","title":"Epistemic Norms and the \"Epistemic Game\" they regulate: The Basic Structured Epistemic Costs and Benefits","title-short":"EPISTEMIC NORMS AND THE \"EPISTEMIC GAME\" THEY REGULATE","volume":"54","author":[{"family":"Henderson","given":"David"},{"family":"Graham","given":"Peter"}],"issued":{"date-parts":[["2017"]]}}}],"schema":"https://github.com/citation-style-language/schema/raw/master/csl-citation.json"}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(see e.g. Abbate 2021; Faulkner 2011; Goldberg 2018; Graham 2015; Greco 2020; Henderson 2020; Henderson and Graham 2017)</w:t>
      </w:r>
      <w:r w:rsidRPr="009B1F4E">
        <w:rPr>
          <w:rFonts w:ascii="Garamond" w:hAnsi="Garamond" w:cs="Calibri"/>
          <w:color w:val="000000" w:themeColor="text1"/>
        </w:rPr>
        <w:fldChar w:fldCharType="end"/>
      </w:r>
      <w:r w:rsidRPr="009B1F4E">
        <w:rPr>
          <w:rStyle w:val="notion-enable-hover"/>
          <w:rFonts w:ascii="Garamond" w:hAnsi="Garamond" w:cs="Calibri"/>
          <w:color w:val="000000" w:themeColor="text1"/>
        </w:rPr>
        <w:t xml:space="preserve">. </w:t>
      </w:r>
      <w:r w:rsidR="005310DB" w:rsidRPr="009B1F4E">
        <w:rPr>
          <w:rStyle w:val="notion-enable-hover"/>
          <w:rFonts w:ascii="Garamond" w:hAnsi="Garamond" w:cs="Calibri"/>
          <w:color w:val="000000" w:themeColor="text1"/>
        </w:rPr>
        <w:t>However, the</w:t>
      </w:r>
      <w:r w:rsidR="00B2304C" w:rsidRPr="009B1F4E">
        <w:rPr>
          <w:rStyle w:val="notion-enable-hover"/>
          <w:rFonts w:ascii="Garamond" w:hAnsi="Garamond" w:cs="Calibri"/>
          <w:color w:val="000000" w:themeColor="text1"/>
        </w:rPr>
        <w:t>y</w:t>
      </w:r>
      <w:r w:rsidRPr="009B1F4E">
        <w:rPr>
          <w:rStyle w:val="notion-enable-hover"/>
          <w:rFonts w:ascii="Garamond" w:hAnsi="Garamond" w:cs="Calibri"/>
          <w:color w:val="000000" w:themeColor="text1"/>
        </w:rPr>
        <w:t xml:space="preserve"> also include norms that guide agents in acquiring </w:t>
      </w:r>
      <w:r w:rsidRPr="009B1F4E">
        <w:rPr>
          <w:rStyle w:val="notion-enable-hover"/>
          <w:rFonts w:ascii="Garamond" w:hAnsi="Garamond" w:cs="Calibri"/>
          <w:i/>
          <w:iCs/>
          <w:color w:val="000000" w:themeColor="text1"/>
        </w:rPr>
        <w:t>practical</w:t>
      </w:r>
      <w:r w:rsidRPr="009B1F4E">
        <w:rPr>
          <w:rStyle w:val="notion-enable-hover"/>
          <w:rFonts w:ascii="Garamond" w:hAnsi="Garamond" w:cs="Calibri"/>
          <w:color w:val="000000" w:themeColor="text1"/>
        </w:rPr>
        <w:t xml:space="preserve"> knowledge. This is important because social learning isn’t just used to transmit propositional knowledge but also skills, abilities, and techniques — typical examples of practical knowledge. So</w:t>
      </w:r>
      <w:r w:rsidR="00B2304C" w:rsidRPr="009B1F4E">
        <w:rPr>
          <w:rStyle w:val="notion-enable-hover"/>
          <w:rFonts w:ascii="Garamond" w:hAnsi="Garamond" w:cs="Calibri"/>
          <w:color w:val="000000" w:themeColor="text1"/>
        </w:rPr>
        <w:t>,</w:t>
      </w:r>
      <w:r w:rsidRPr="009B1F4E">
        <w:rPr>
          <w:rStyle w:val="notion-enable-hover"/>
          <w:rFonts w:ascii="Garamond" w:hAnsi="Garamond" w:cs="Calibri"/>
          <w:color w:val="000000" w:themeColor="text1"/>
        </w:rPr>
        <w:t xml:space="preserve"> the kinds of norms that I’ll argue structure social learning are broader in scope than what social epistemologists focus on. Seeing as these norms guide agents in acquiring and sharing knowledge — be it of the practical or propositional kind — it nonetheless seems apt to call them social epistemic norms.</w:t>
      </w:r>
      <w:r w:rsidRPr="009B1F4E">
        <w:rPr>
          <w:rStyle w:val="Funotenzeichen"/>
          <w:rFonts w:ascii="Garamond" w:hAnsi="Garamond" w:cs="Calibri"/>
          <w:color w:val="000000" w:themeColor="text1"/>
        </w:rPr>
        <w:footnoteReference w:id="6"/>
      </w:r>
    </w:p>
    <w:p w14:paraId="31780FC8" w14:textId="5D02A5C2" w:rsidR="00714E35" w:rsidRPr="009B1F4E" w:rsidRDefault="00714E35" w:rsidP="00714E35">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We can turn to work in social epistemology to see how </w:t>
      </w:r>
      <w:r w:rsidR="008845DE">
        <w:rPr>
          <w:rFonts w:ascii="Garamond" w:hAnsi="Garamond" w:cs="Calibri"/>
          <w:color w:val="000000" w:themeColor="text1"/>
        </w:rPr>
        <w:t>various epistemic activities</w:t>
      </w:r>
      <w:r w:rsidRPr="009B1F4E">
        <w:rPr>
          <w:rFonts w:ascii="Garamond" w:hAnsi="Garamond" w:cs="Calibri"/>
          <w:color w:val="000000" w:themeColor="text1"/>
        </w:rPr>
        <w:t xml:space="preserve"> require coordination. To see this, consider these parallels in work on the evolution of cooperation and social epistemology: Just as it’s long been maintained in the evolutionary literature that social groups are practically interdependent — they depend on others for the success of their (often collective) actions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{"citationID":"Zc7JjF8E","properties":{"formattedCitation":"(Tomasello et al. 2012)","plainCitation":"(Tomasello et al. 2012)","noteIndex":0},"citationItems":[{"id":482,"uris":["http://zotero.org/users/local/jz7T3Opo/items/I4E7ETZ3"],"itemData":{"id":482,"type":"article-journal","container-title":"Current Anthropology","DOI":"10.1086/668207","ISSN":"0011-3204, 1537-5382","issue":"6","journalAbbreviation":"Current Anthropology","language":"en","page":"673-692","source":"DOI.org (Crossref)","title":"Two Key Steps in the Evolution of Human Cooperation: The Interdependence Hypothesis","title-short":"Two Key Steps in the Evolution of Human Cooperation","volume":"53","author":[{"family":"Tomasello","given":"Michael"},{"family":"Melis","given":"Alicia P."},{"family":"Tennie","given":"Claudio"},{"family":"Wyman","given":"Emily"},{"family":"Herrmann","given":"Esther"}],"issued":{"date-parts":[["2012",12]]}}}],"schema":"https://github.com/citation-style-language/schema/raw/master/csl-citation.json"}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(Tomasello et al. 2012)</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 it’s become standard in present-day social epistemology to consider social groups as epistemically interdependent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{"citationID":"FSuxUZrn","properties":{"formattedCitation":"(Hardwig 1985; Greco forthcoming)","plainCitation":"(Hardwig 1985; Greco forthcoming)","noteIndex":0},"citationItems":[{"id":767,"uris":["http://zotero.org/users/local/jz7T3Opo/items/WUJRM5RC"],"itemData":{"id":767,"type":"article-journal","container-title":"Journal of Philosophy","DOI":"jphil198582747","issue":"7","note":"publisher: Journal of Philosophy Inc","page":"335–349","source":"PhilPapers","title":"Epistemic Dependence","volume":"82","author":[{"family":"Hardwig","given":"John"}],"issued":{"date-parts":[["1985"]]}}},{"id":1037,"uris":["http://zotero.org/users/local/jz7T3Opo/items/84VT28X5"],"itemData":{"id":1037,"type":"article-journal","container-title":"Philosophical Topics","title":"Social Epistemic Dependence","author":[{"family":"Greco","given":"John"}],"issued":{"literal":"forthcoming"}}}],"schema":"https://github.com/citation-style-language/schema/raw/master/csl-citation.json"}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(Hardwig 1985; Greco forthcoming)</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and as displaying division of epistemic labour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{"citationID":"QtplxFzK","properties":{"formattedCitation":"(e.g. Goldberg 2011)","plainCitation":"(e.g. Goldberg 2011)","noteIndex":0},"citationItems":[{"id":252,"uris":["http://zotero.org/users/local/jz7T3Opo/items/IUEMDGGR"],"itemData":{"id":252,"type":"article-journal","abstract":"In this paper I formulate the thesis of the Division of Epistemic Labor as a thesis of epistemic dependence, illustrate several ways in which individual subjects are epistemically dependent on one or more of the members of their community in the process of knowledge acquisition, and draw conclusions about the cognitively distributed nature of some knowledge acquisition.","container-title":"Episteme","DOI":"10.3366/epi.2011.0010","ISSN":"1742-3600, 1750-0117","issue":"1","journalAbbreviation":"Episteme","language":"en","page":"112-125","source":"DOI.org (Crossref)","title":"The Division of Epistemic Labor","volume":"8","author":[{"family":"Goldberg","given":"Sanford C."}],"issued":{"date-parts":[["2011",2]]}},"label":"page","prefix":"e.g. "}],"schema":"https://github.com/citation-style-language/schema/raw/master/csl-citation.json"}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(e.g. Goldberg 2011)</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Social groups divide epistemic labour (who knows about or understands </w:t>
      </w:r>
      <w:proofErr w:type="gramStart"/>
      <w:r w:rsidRPr="009B1F4E">
        <w:rPr>
          <w:rFonts w:ascii="Garamond" w:hAnsi="Garamond" w:cs="Calibri"/>
          <w:color w:val="000000" w:themeColor="text1"/>
        </w:rPr>
        <w:t>p;</w:t>
      </w:r>
      <w:proofErr w:type="gramEnd"/>
      <w:r w:rsidRPr="009B1F4E">
        <w:rPr>
          <w:rFonts w:ascii="Garamond" w:hAnsi="Garamond" w:cs="Calibri"/>
          <w:color w:val="000000" w:themeColor="text1"/>
        </w:rPr>
        <w:t xml:space="preserve"> who comes to find out that p), and agents within these groups depend on each other for this sort of labour. I might ask my football expert friend about who the best English midfielder in the mid-2000s was, and I may depend on their expertise in forming my beliefs. Relatedly, research</w:t>
      </w:r>
      <w:r w:rsidR="005310DB" w:rsidRPr="009B1F4E">
        <w:rPr>
          <w:rFonts w:ascii="Garamond" w:hAnsi="Garamond" w:cs="Calibri"/>
          <w:color w:val="000000" w:themeColor="text1"/>
        </w:rPr>
        <w:t xml:space="preserve"> groups and collaborations divide</w:t>
      </w:r>
      <w:r w:rsidRPr="009B1F4E">
        <w:rPr>
          <w:rFonts w:ascii="Garamond" w:hAnsi="Garamond" w:cs="Calibri"/>
          <w:color w:val="000000" w:themeColor="text1"/>
        </w:rPr>
        <w:t xml:space="preserve"> epistemic labour within or between them and will depend on each other to make progress on their research question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{"citationID":"Ba6NnhBS","properties":{"formattedCitation":"(see, e.g., de Ridder 2014)","plainCitation":"(see, e.g., de Ridder 2014)","noteIndex":0},"citationItems":[{"id":827,"uris":["http://zotero.org/users/local/jz7T3Opo/items/BVADE2FQ"],"itemData":{"id":827,"type":"article-journal","abstract":"I argue that scientiﬁc knowledge is collective knowledge, in a sense to be speciﬁed and defended. I ﬁrst consider some existing proposals for construing collective knowledge and argue that they are unsatisfactory, at least for scientiﬁc knowledge as we encounter it in actual scientiﬁc practice. Then I introduce an alternative conception of collective knowledge, on which knowledge is collective if there is a strong form of mutual epistemic dependence among scientists, which makes it so that satisfaction of the justiﬁcation condition on knowledge ineliminably requires a collective. Next, I show how features of contemporary science support the conclusion that scientiﬁc knowledge is collective knowledge in this sense. Finally, I consider implications of my proposal and defend it against objections.","container-title":"Synthese","DOI":"10.1007/s11229-013-0283-3","ISSN":"0039-7857, 1573-0964","issue":"1","journalAbbreviation":"Synthese","language":"en","page":"37-53","source":"DOI.org (Crossref)","title":"Epistemic dependence and collective scientific knowledge","volume":"191","author":[{"family":"Ridder","given":"Jeroen","non-dropping-particle":"de"}],"issued":{"date-parts":[["2014",1]]}},"label":"page","prefix":"see, e.g., "}],"schema":"https://github.com/citation-style-language/schema/raw/master/csl-citation.json"}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(see, e.g., de Ridder 2014)</w:t>
      </w:r>
      <w:r w:rsidRPr="009B1F4E">
        <w:rPr>
          <w:rFonts w:ascii="Garamond" w:hAnsi="Garamond" w:cs="Calibri"/>
          <w:color w:val="000000" w:themeColor="text1"/>
        </w:rPr>
        <w:fldChar w:fldCharType="end"/>
      </w:r>
      <w:r w:rsidRPr="009B1F4E">
        <w:rPr>
          <w:rFonts w:ascii="Garamond" w:hAnsi="Garamond" w:cs="Calibri"/>
          <w:color w:val="000000" w:themeColor="text1"/>
        </w:rPr>
        <w:t>.</w:t>
      </w:r>
    </w:p>
    <w:p w14:paraId="6602427F" w14:textId="38F8E96D" w:rsidR="00714E35" w:rsidRPr="009B1F4E" w:rsidRDefault="00714E35" w:rsidP="00714E35">
      <w:pPr>
        <w:spacing w:line="360" w:lineRule="auto"/>
        <w:jc w:val="both"/>
        <w:rPr>
          <w:rFonts w:ascii="Garamond" w:hAnsi="Garamond" w:cs="Calibri"/>
          <w:color w:val="000000" w:themeColor="text1"/>
        </w:rPr>
      </w:pPr>
      <w:r w:rsidRPr="009B1F4E">
        <w:rPr>
          <w:rFonts w:ascii="Garamond" w:hAnsi="Garamond" w:cs="Calibri"/>
          <w:color w:val="000000" w:themeColor="text1"/>
        </w:rPr>
        <w:t>Epistemic communities that display such division of epistemic labour must coordinate on various epistemic parameters. For example, they’ll plausibly require different evidential standards for belief. These standards will often be context-</w:t>
      </w:r>
      <w:r w:rsidR="00E43D1C">
        <w:rPr>
          <w:rFonts w:ascii="Garamond" w:hAnsi="Garamond" w:cs="Calibri"/>
          <w:color w:val="000000" w:themeColor="text1"/>
        </w:rPr>
        <w:t>sensitive</w:t>
      </w:r>
      <w:r w:rsidRPr="009B1F4E">
        <w:rPr>
          <w:rFonts w:ascii="Garamond" w:hAnsi="Garamond" w:cs="Calibri"/>
          <w:color w:val="000000" w:themeColor="text1"/>
        </w:rPr>
        <w:t xml:space="preserve"> and change over time, so hard-wired and inflexible solutions will not do. Presumably, seeing as there are different stakes attached, believing that p in scientific contexts requires more evidence than believing that p when it comes to who was England’s best midfielder in the mid-2000s.  Relatedly, agents might need to coordinate on which reasoning</w:t>
      </w:r>
      <w:r w:rsidR="005310DB" w:rsidRPr="009B1F4E">
        <w:rPr>
          <w:rFonts w:ascii="Garamond" w:hAnsi="Garamond" w:cs="Calibri"/>
          <w:color w:val="000000" w:themeColor="text1"/>
        </w:rPr>
        <w:t xml:space="preserve"> </w:t>
      </w:r>
      <w:r w:rsidRPr="009B1F4E">
        <w:rPr>
          <w:rFonts w:ascii="Garamond" w:hAnsi="Garamond" w:cs="Calibri"/>
          <w:color w:val="000000" w:themeColor="text1"/>
        </w:rPr>
        <w:t xml:space="preserve">style they employ or which source they deem trustworthy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{"citationID":"3wp65vK8","properties":{"formattedCitation":"(see, e.g., Dogramaci 2015; Carr 2022)","plainCitation":"(see, e.g., Dogramaci 2015; Carr 2022)","noteIndex":0},"citationItems":[{"id":756,"uris":["http://zotero.org/users/local/jz7T3Opo/items/YJW627UG"],"itemData":{"id":756,"type":"article-journal","container-title":"Noûs","DOI":"10.1111/nous.12025","issue":"4","page":"776–799","source":"PhilPapers","title":"Communist Conventions for Deductive Reasoning","volume":"49","author":[{"family":"Dogramaci","given":"Sinan"}],"issued":{"date-parts":[["2015"]]}},"label":"page","prefix":"see, e.g., "},{"id":1326,"uris":["http://zotero.org/users/local/jz7T3Opo/items/4EWQUKHV"],"itemData":{"id":1326,"type":"article-journal","abstract":"Ideal epistemologists investigate the nature of pure epistemic rationality, abstracting away from human cognitive limitations. Non-ideal epistemologists investigate epistemic norms that are satisfiable by most humans, most of the time. Ideal epistemology faces a number of challenges, aimed at both its substantive commitments and its philosophical worth. This paper explains the relation between ideal and non-ideal epistemology, with the aim of justifying ideal epistemology. Its approach is meta-epistemological, focusing on the meaning and purpose of epistemic evaluations. I provide an account on which the fundamental difference between ideal and non-ideal epistemic evaluations is that only the non-ideal epistemic ‘ought’ implies any substantive ‘can’. I argue that only ideal epistemic evaluations are ‘normatively robust’: they are neither conventional nor seriously context-sensitive. Non-ideal epistemic evaluations are normatively non-robust, exhibiting both conventionality and serious context-sensitivity from an interesting variety of distinct sources. For this reason, non-ideal epistemic evaluations won’t characterize the fundamental nature of epistemic rationality. Non-ideal epistemic rationality depends, not merely on what’s epistemically valuable, but also on modally contingent epistemic conventions and contextually contingent constraints on epistemic options. If we want a normatively robust theory of epistemic rationality, ideal epistemology is the only game in town.","container-title":"Mind","DOI":"10.1093/mind/fzab023","ISSN":"0026-4423","issue":"524","journalAbbreviation":"Mind","page":"1131-1162","source":"Silverchair","title":"Why Ideal Epistemology?","volume":"131","author":[{"family":"Carr","given":"Jennifer Rose"}],"issued":{"date-parts":[["2022",10,1]]}}}],"schema":"https://github.com/citation-style-language/schema/raw/master/csl-citation.json"}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(see, e.g., Dogramaci 2015; Carr 2022)</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for collective inquiry to be successful. If a</w:t>
      </w:r>
      <w:r w:rsidR="005310DB" w:rsidRPr="009B1F4E">
        <w:rPr>
          <w:rFonts w:ascii="Garamond" w:hAnsi="Garamond" w:cs="Calibri"/>
          <w:color w:val="000000" w:themeColor="text1"/>
        </w:rPr>
        <w:t xml:space="preserve">gent A employs a reasoning style F and defers to source Y, but agent B employs a reasoning </w:t>
      </w:r>
      <w:r w:rsidRPr="009B1F4E">
        <w:rPr>
          <w:rFonts w:ascii="Garamond" w:hAnsi="Garamond" w:cs="Calibri"/>
          <w:color w:val="000000" w:themeColor="text1"/>
        </w:rPr>
        <w:t xml:space="preserve">style G and defers to source X, A and B might not </w:t>
      </w:r>
      <w:r w:rsidRPr="009B1F4E">
        <w:rPr>
          <w:rFonts w:ascii="Garamond" w:hAnsi="Garamond" w:cs="Calibri"/>
          <w:color w:val="000000" w:themeColor="text1"/>
        </w:rPr>
        <w:lastRenderedPageBreak/>
        <w:t>successfully collaborate, as they won’t come to understand the others</w:t>
      </w:r>
      <w:r w:rsidR="00316DCF" w:rsidRPr="009B1F4E">
        <w:rPr>
          <w:rFonts w:ascii="Garamond" w:hAnsi="Garamond" w:cs="Calibri"/>
          <w:color w:val="000000" w:themeColor="text1"/>
        </w:rPr>
        <w:t>’</w:t>
      </w:r>
      <w:r w:rsidRPr="009B1F4E">
        <w:rPr>
          <w:rFonts w:ascii="Garamond" w:hAnsi="Garamond" w:cs="Calibri"/>
          <w:color w:val="000000" w:themeColor="text1"/>
        </w:rPr>
        <w:t xml:space="preserve"> reasoning and distrust the other’s sources.  Thus, there’s a need to coordinate around </w:t>
      </w:r>
      <w:r w:rsidR="00E43D1C">
        <w:rPr>
          <w:rFonts w:ascii="Garamond" w:hAnsi="Garamond" w:cs="Calibri"/>
          <w:color w:val="000000" w:themeColor="text1"/>
        </w:rPr>
        <w:t xml:space="preserve">reasoning styles, </w:t>
      </w:r>
      <w:r w:rsidRPr="009B1F4E">
        <w:rPr>
          <w:rFonts w:ascii="Garamond" w:hAnsi="Garamond" w:cs="Calibri"/>
          <w:color w:val="000000" w:themeColor="text1"/>
        </w:rPr>
        <w:t xml:space="preserve">evidential thresholds and other epistemic parameters in various epistemic contexts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{"citationID":"8opJgjV0","properties":{"formattedCitation":"(see Henderson and Graham 2017; Henderson 2020 for more)","plainCitation":"(see Henderson and Graham 2017; Henderson 2020 for more)","noteIndex":0},"citationItems":[{"id":770,"uris":["http://zotero.org/users/local/jz7T3Opo/items/E4URLCLX"],"itemData":{"id":770,"type":"article-journal","abstract":"This paper is a beginning--an initial attempt to think of the function and character of epistemic norms as a kind of social norm. We draw on social scientific thinking about social norms and the social games to which they respond. Assume that people individually follow epistemic norms for the sake of acquiring a stock of true beliefs. When they live in groups and share information with each other, they will in turn produce a shared store of true beliefs, an epistemic public good. True beliefs, produced individually or in groups, constitute an epistemic good—one commonly stockpiled and distributed within a community. Epistemic norms can then be understood as a kind of socially developed and transmitted normative sensibility having to do with the production of this individual and public good. Epistemic norms should serve to regulate this practice—coordinating the practice of individuals so as to afford the benefits of life in an interdependent epistemic community—and to manage the risks of being epistemically dependent on others within such a community. Here, we provide some attempts to characterize the central aspects of \"the epistemic game\"—the epistemic choice situation confronted by communities of epistemic agents.","container-title":"American Philosophical Quarterly","ISSN":"0003-0481","issue":"4","note":"publisher: [North American Philosophical Publications, University of Illinois Press]","page":"367-382","source":"JSTOR","title":"Epistemic Norms and the \"Epistemic Game\" they regulate: The Basic Structured Epistemic Costs and Benefits","title-short":"EPISTEMIC NORMS AND THE \"EPISTEMIC GAME\" THEY REGULATE","volume":"54","author":[{"family":"Henderson","given":"David"},{"family":"Graham","given":"Peter"}],"issued":{"date-parts":[["2017"]]}},"label":"page","prefix":"see"},{"id":100,"uris":["http://zotero.org/users/local/jz7T3Opo/items/4KN3WW78"],"itemData":{"id":100,"type":"article-journal","container-title":"Episteme","issue":"3","note":"publisher: Cambridge University Press","page":"281–300","source":"Google Scholar","title":"Are Epistemic Norms Fundamentally Social Norms?","volume":"17","author":[{"family":"Henderson","given":"David"}],"issued":{"date-parts":[["2020"]]}},"label":"page","suffix":"for more"}],"schema":"https://github.com/citation-style-language/schema/raw/master/csl-citation.json"}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(see Henderson and Graham 2017; Henderson 2020 for more)</w:t>
      </w:r>
      <w:r w:rsidRPr="009B1F4E">
        <w:rPr>
          <w:rFonts w:ascii="Garamond" w:hAnsi="Garamond" w:cs="Calibri"/>
          <w:color w:val="000000" w:themeColor="text1"/>
        </w:rPr>
        <w:fldChar w:fldCharType="end"/>
      </w:r>
      <w:r w:rsidRPr="009B1F4E">
        <w:rPr>
          <w:rFonts w:ascii="Garamond" w:hAnsi="Garamond" w:cs="Calibri"/>
          <w:color w:val="000000" w:themeColor="text1"/>
        </w:rPr>
        <w:t>.</w:t>
      </w:r>
    </w:p>
    <w:p w14:paraId="2A4BBBB4" w14:textId="77777777" w:rsidR="00795539" w:rsidRPr="009B1F4E" w:rsidRDefault="00795539" w:rsidP="00FE5DD6">
      <w:pPr>
        <w:spacing w:line="360" w:lineRule="auto"/>
        <w:jc w:val="both"/>
        <w:rPr>
          <w:rStyle w:val="notion-enable-hover"/>
          <w:rFonts w:ascii="Garamond" w:hAnsi="Garamond" w:cs="Calibri"/>
          <w:color w:val="000000" w:themeColor="text1"/>
        </w:rPr>
      </w:pPr>
    </w:p>
    <w:p w14:paraId="07FE33A2" w14:textId="5A639DAF" w:rsidR="00714E35" w:rsidRPr="009B1F4E" w:rsidRDefault="00714E35" w:rsidP="00714E35">
      <w:pPr>
        <w:pStyle w:val="Listenabsatz"/>
        <w:numPr>
          <w:ilvl w:val="1"/>
          <w:numId w:val="1"/>
        </w:numPr>
        <w:spacing w:line="360" w:lineRule="auto"/>
        <w:jc w:val="both"/>
        <w:rPr>
          <w:rStyle w:val="notion-enable-hover"/>
          <w:rFonts w:ascii="Garamond" w:hAnsi="Garamond" w:cs="Calibri"/>
          <w:color w:val="000000" w:themeColor="text1"/>
        </w:rPr>
      </w:pPr>
      <w:r w:rsidRPr="009B1F4E">
        <w:rPr>
          <w:rStyle w:val="notion-enable-hover"/>
          <w:rFonts w:ascii="Garamond" w:hAnsi="Garamond" w:cs="Calibri"/>
          <w:color w:val="000000" w:themeColor="text1"/>
        </w:rPr>
        <w:t>Epistemic Coordination-Norms in Cultural Learning</w:t>
      </w:r>
    </w:p>
    <w:p w14:paraId="0FF1263D" w14:textId="62A6E84C" w:rsidR="00BD3BD8" w:rsidRPr="009B1F4E" w:rsidRDefault="00714E35" w:rsidP="009F74D0">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I’d like to make plausible the idea that just </w:t>
      </w:r>
      <w:r w:rsidR="00972918" w:rsidRPr="009B1F4E">
        <w:rPr>
          <w:rFonts w:ascii="Garamond" w:hAnsi="Garamond" w:cs="Calibri"/>
          <w:color w:val="000000" w:themeColor="text1"/>
        </w:rPr>
        <w:t xml:space="preserve">as there’s a need to coordinate on </w:t>
      </w:r>
      <w:r w:rsidR="00B2304C" w:rsidRPr="009B1F4E">
        <w:rPr>
          <w:rFonts w:ascii="Garamond" w:hAnsi="Garamond" w:cs="Calibri"/>
          <w:color w:val="000000" w:themeColor="text1"/>
        </w:rPr>
        <w:t>various</w:t>
      </w:r>
      <w:r w:rsidR="00972918" w:rsidRPr="009B1F4E">
        <w:rPr>
          <w:rFonts w:ascii="Garamond" w:hAnsi="Garamond" w:cs="Calibri"/>
          <w:color w:val="000000" w:themeColor="text1"/>
        </w:rPr>
        <w:t xml:space="preserve"> epistemic parameters</w:t>
      </w:r>
      <w:r w:rsidR="005B5F02">
        <w:rPr>
          <w:rFonts w:ascii="Garamond" w:hAnsi="Garamond" w:cs="Calibri"/>
          <w:color w:val="000000" w:themeColor="text1"/>
        </w:rPr>
        <w:t xml:space="preserve"> </w:t>
      </w:r>
      <w:r w:rsidR="00972918" w:rsidRPr="009B1F4E">
        <w:rPr>
          <w:rFonts w:ascii="Garamond" w:hAnsi="Garamond" w:cs="Calibri"/>
          <w:color w:val="000000" w:themeColor="text1"/>
        </w:rPr>
        <w:t>presently</w:t>
      </w:r>
      <w:r w:rsidR="008653BF" w:rsidRPr="009B1F4E">
        <w:rPr>
          <w:rFonts w:ascii="Garamond" w:hAnsi="Garamond" w:cs="Calibri"/>
          <w:color w:val="000000" w:themeColor="text1"/>
        </w:rPr>
        <w:t xml:space="preserve"> addressed by epistemic coordination-norms</w:t>
      </w:r>
      <w:r w:rsidR="00972918" w:rsidRPr="009B1F4E">
        <w:rPr>
          <w:rFonts w:ascii="Garamond" w:hAnsi="Garamond" w:cs="Calibri"/>
          <w:color w:val="000000" w:themeColor="text1"/>
        </w:rPr>
        <w:t xml:space="preserve">, </w:t>
      </w:r>
      <w:r w:rsidR="00CA5AD8" w:rsidRPr="009B1F4E">
        <w:rPr>
          <w:rFonts w:ascii="Garamond" w:hAnsi="Garamond" w:cs="Calibri"/>
          <w:color w:val="000000" w:themeColor="text1"/>
        </w:rPr>
        <w:t xml:space="preserve">the same was the case for the early emergence of cultural learning. </w:t>
      </w:r>
      <w:r w:rsidR="00025E7D" w:rsidRPr="009B1F4E">
        <w:rPr>
          <w:rFonts w:ascii="Garamond" w:hAnsi="Garamond" w:cs="Calibri"/>
          <w:color w:val="000000" w:themeColor="text1"/>
        </w:rPr>
        <w:t xml:space="preserve">Before I go into more detail below, </w:t>
      </w:r>
      <w:r w:rsidR="007B269D" w:rsidRPr="009B1F4E">
        <w:rPr>
          <w:rFonts w:ascii="Garamond" w:hAnsi="Garamond" w:cs="Calibri"/>
          <w:color w:val="000000" w:themeColor="text1"/>
        </w:rPr>
        <w:t xml:space="preserve">here’s the general picture: </w:t>
      </w:r>
      <w:r w:rsidR="00025E7D" w:rsidRPr="009B1F4E">
        <w:rPr>
          <w:rFonts w:ascii="Garamond" w:hAnsi="Garamond" w:cs="Calibri"/>
          <w:color w:val="000000" w:themeColor="text1"/>
        </w:rPr>
        <w:t>C</w:t>
      </w:r>
      <w:r w:rsidR="00CA5AD8" w:rsidRPr="009B1F4E">
        <w:rPr>
          <w:rFonts w:ascii="Garamond" w:hAnsi="Garamond" w:cs="Calibri"/>
          <w:color w:val="000000" w:themeColor="text1"/>
        </w:rPr>
        <w:t xml:space="preserve">ultural learning is a complex collective epistemic undertaking. Not only are learning contents extensive and complex, </w:t>
      </w:r>
      <w:r w:rsidR="009F56D2" w:rsidRPr="009B1F4E">
        <w:rPr>
          <w:rFonts w:ascii="Garamond" w:hAnsi="Garamond" w:cs="Calibri"/>
          <w:color w:val="000000" w:themeColor="text1"/>
        </w:rPr>
        <w:t>but learners</w:t>
      </w:r>
      <w:r w:rsidR="00CA5AD8" w:rsidRPr="009B1F4E">
        <w:rPr>
          <w:rFonts w:ascii="Garamond" w:hAnsi="Garamond" w:cs="Calibri"/>
          <w:color w:val="000000" w:themeColor="text1"/>
        </w:rPr>
        <w:t xml:space="preserve"> also acquire cultural traits (knowledge, abilities, techniques) from several models over a large span of time. Additionally, whom learners are supposed to learn from and when they should do so is subject to contextual factors and potentially fast-changing. </w:t>
      </w:r>
      <w:r w:rsidR="005B5F02">
        <w:rPr>
          <w:rFonts w:ascii="Garamond" w:hAnsi="Garamond" w:cs="Calibri"/>
          <w:color w:val="000000" w:themeColor="text1"/>
        </w:rPr>
        <w:t>T</w:t>
      </w:r>
      <w:r w:rsidR="00025E7D" w:rsidRPr="009B1F4E">
        <w:rPr>
          <w:rFonts w:ascii="Garamond" w:hAnsi="Garamond" w:cs="Calibri"/>
          <w:color w:val="000000" w:themeColor="text1"/>
        </w:rPr>
        <w:t>hese</w:t>
      </w:r>
      <w:r w:rsidR="005B5F02">
        <w:rPr>
          <w:rFonts w:ascii="Garamond" w:hAnsi="Garamond" w:cs="Calibri"/>
          <w:color w:val="000000" w:themeColor="text1"/>
        </w:rPr>
        <w:t xml:space="preserve"> and other</w:t>
      </w:r>
      <w:r w:rsidR="00025E7D" w:rsidRPr="009B1F4E">
        <w:rPr>
          <w:rFonts w:ascii="Garamond" w:hAnsi="Garamond" w:cs="Calibri"/>
          <w:color w:val="000000" w:themeColor="text1"/>
        </w:rPr>
        <w:t xml:space="preserve"> factors make cultural learning vulnerable to coordination</w:t>
      </w:r>
      <w:r w:rsidR="005310DB" w:rsidRPr="009B1F4E">
        <w:rPr>
          <w:rFonts w:ascii="Garamond" w:hAnsi="Garamond" w:cs="Calibri"/>
          <w:color w:val="000000" w:themeColor="text1"/>
        </w:rPr>
        <w:t xml:space="preserve"> failures.</w:t>
      </w:r>
      <w:r w:rsidR="00025E7D" w:rsidRPr="009B1F4E">
        <w:rPr>
          <w:rFonts w:ascii="Garamond" w:hAnsi="Garamond" w:cs="Calibri"/>
          <w:color w:val="000000" w:themeColor="text1"/>
        </w:rPr>
        <w:t xml:space="preserve"> </w:t>
      </w:r>
      <w:r w:rsidR="008757B4" w:rsidRPr="009B1F4E">
        <w:rPr>
          <w:rFonts w:ascii="Garamond" w:hAnsi="Garamond" w:cs="Calibri"/>
          <w:color w:val="000000" w:themeColor="text1"/>
        </w:rPr>
        <w:t>For example, a</w:t>
      </w:r>
      <w:r w:rsidR="00025E7D" w:rsidRPr="009B1F4E">
        <w:rPr>
          <w:rFonts w:ascii="Garamond" w:hAnsi="Garamond" w:cs="Calibri"/>
          <w:color w:val="000000" w:themeColor="text1"/>
        </w:rPr>
        <w:t>gents might</w:t>
      </w:r>
      <w:r w:rsidR="008757B4" w:rsidRPr="009B1F4E">
        <w:rPr>
          <w:rFonts w:ascii="Garamond" w:hAnsi="Garamond" w:cs="Calibri"/>
          <w:color w:val="000000" w:themeColor="text1"/>
        </w:rPr>
        <w:t xml:space="preserve"> acquire the wrong cultural knowledge and abilities for their </w:t>
      </w:r>
      <w:proofErr w:type="gramStart"/>
      <w:r w:rsidR="008757B4" w:rsidRPr="009B1F4E">
        <w:rPr>
          <w:rFonts w:ascii="Garamond" w:hAnsi="Garamond" w:cs="Calibri"/>
          <w:color w:val="000000" w:themeColor="text1"/>
        </w:rPr>
        <w:t>particular context</w:t>
      </w:r>
      <w:proofErr w:type="gramEnd"/>
      <w:r w:rsidR="008845DE">
        <w:rPr>
          <w:rFonts w:ascii="Garamond" w:hAnsi="Garamond" w:cs="Calibri"/>
          <w:color w:val="000000" w:themeColor="text1"/>
        </w:rPr>
        <w:t xml:space="preserve"> or</w:t>
      </w:r>
      <w:r w:rsidR="008757B4" w:rsidRPr="009B1F4E">
        <w:rPr>
          <w:rFonts w:ascii="Garamond" w:hAnsi="Garamond" w:cs="Calibri"/>
          <w:color w:val="000000" w:themeColor="text1"/>
        </w:rPr>
        <w:t xml:space="preserve"> learn from the wrong models at inopportune times. </w:t>
      </w:r>
      <w:r w:rsidR="00025E7D" w:rsidRPr="009B1F4E">
        <w:rPr>
          <w:rFonts w:ascii="Garamond" w:hAnsi="Garamond" w:cs="Calibri"/>
          <w:color w:val="000000" w:themeColor="text1"/>
        </w:rPr>
        <w:t xml:space="preserve"> </w:t>
      </w:r>
      <w:r w:rsidR="008757B4" w:rsidRPr="009B1F4E">
        <w:rPr>
          <w:rFonts w:ascii="Garamond" w:hAnsi="Garamond" w:cs="Calibri"/>
          <w:color w:val="000000" w:themeColor="text1"/>
        </w:rPr>
        <w:t xml:space="preserve">This </w:t>
      </w:r>
      <w:r w:rsidR="008845DE">
        <w:rPr>
          <w:rFonts w:ascii="Garamond" w:hAnsi="Garamond" w:cs="Calibri"/>
          <w:color w:val="000000" w:themeColor="text1"/>
        </w:rPr>
        <w:t>shows</w:t>
      </w:r>
      <w:r w:rsidR="008757B4" w:rsidRPr="009B1F4E">
        <w:rPr>
          <w:rFonts w:ascii="Garamond" w:hAnsi="Garamond" w:cs="Calibri"/>
          <w:color w:val="000000" w:themeColor="text1"/>
        </w:rPr>
        <w:t xml:space="preserve"> that </w:t>
      </w:r>
      <w:r w:rsidR="00CA5AD8" w:rsidRPr="009B1F4E">
        <w:rPr>
          <w:rFonts w:ascii="Garamond" w:hAnsi="Garamond" w:cs="Calibri"/>
          <w:color w:val="000000" w:themeColor="text1"/>
        </w:rPr>
        <w:t>the members of social groups will need to coordinate on the contents and the form of cultural learning — what agents learn about and</w:t>
      </w:r>
      <w:r w:rsidR="00795539" w:rsidRPr="009B1F4E">
        <w:rPr>
          <w:rFonts w:ascii="Garamond" w:hAnsi="Garamond" w:cs="Calibri"/>
          <w:color w:val="000000" w:themeColor="text1"/>
        </w:rPr>
        <w:t xml:space="preserve">, roughly speaking, how they’re supposed to </w:t>
      </w:r>
      <w:r w:rsidR="005310DB" w:rsidRPr="009B1F4E">
        <w:rPr>
          <w:rFonts w:ascii="Garamond" w:hAnsi="Garamond" w:cs="Calibri"/>
          <w:color w:val="000000" w:themeColor="text1"/>
        </w:rPr>
        <w:t xml:space="preserve">do </w:t>
      </w:r>
      <w:r w:rsidR="00795539" w:rsidRPr="009B1F4E">
        <w:rPr>
          <w:rFonts w:ascii="Garamond" w:hAnsi="Garamond" w:cs="Calibri"/>
          <w:color w:val="000000" w:themeColor="text1"/>
        </w:rPr>
        <w:t xml:space="preserve">this </w:t>
      </w:r>
      <w:r w:rsidR="00CA5AD8" w:rsidRPr="009B1F4E">
        <w:rPr>
          <w:rFonts w:ascii="Garamond" w:hAnsi="Garamond" w:cs="Calibri"/>
          <w:color w:val="000000" w:themeColor="text1"/>
        </w:rPr>
        <w:t>— for cultural learning to succeed.</w:t>
      </w:r>
      <w:r w:rsidR="00164BDB" w:rsidRPr="009B1F4E">
        <w:rPr>
          <w:rStyle w:val="Funotenzeichen"/>
          <w:rFonts w:ascii="Garamond" w:hAnsi="Garamond" w:cs="Calibri"/>
          <w:color w:val="000000" w:themeColor="text1"/>
        </w:rPr>
        <w:footnoteReference w:id="7"/>
      </w:r>
      <w:r w:rsidR="009F74D0" w:rsidRPr="009B1F4E">
        <w:rPr>
          <w:rFonts w:ascii="Garamond" w:hAnsi="Garamond" w:cs="Calibri"/>
          <w:color w:val="000000" w:themeColor="text1"/>
        </w:rPr>
        <w:t xml:space="preserve"> </w:t>
      </w:r>
      <w:r w:rsidR="00025E7D" w:rsidRPr="009B1F4E">
        <w:rPr>
          <w:rFonts w:ascii="Garamond" w:hAnsi="Garamond" w:cs="Calibri"/>
          <w:color w:val="000000" w:themeColor="text1"/>
        </w:rPr>
        <w:t>Epistemic coordination-norms function to regulate these complex learning interactions</w:t>
      </w:r>
      <w:r w:rsidR="008757B4" w:rsidRPr="009B1F4E">
        <w:rPr>
          <w:rFonts w:ascii="Garamond" w:hAnsi="Garamond" w:cs="Calibri"/>
          <w:color w:val="000000" w:themeColor="text1"/>
        </w:rPr>
        <w:t xml:space="preserve"> </w:t>
      </w:r>
      <w:r w:rsidR="00025E7D" w:rsidRPr="009B1F4E">
        <w:rPr>
          <w:rFonts w:ascii="Garamond" w:hAnsi="Garamond" w:cs="Calibri"/>
          <w:color w:val="000000" w:themeColor="text1"/>
        </w:rPr>
        <w:t>by providing standards regarding both the content and form of cultural learning.</w:t>
      </w:r>
    </w:p>
    <w:p w14:paraId="28FFCFF1" w14:textId="65E10417" w:rsidR="007B269D" w:rsidRPr="009B1F4E" w:rsidRDefault="007B269D" w:rsidP="009F74D0">
      <w:pPr>
        <w:spacing w:line="360" w:lineRule="auto"/>
        <w:jc w:val="both"/>
        <w:rPr>
          <w:rFonts w:ascii="Garamond" w:hAnsi="Garamond" w:cs="Calibri"/>
          <w:color w:val="000000" w:themeColor="text1"/>
        </w:rPr>
      </w:pPr>
      <w:r w:rsidRPr="009B1F4E">
        <w:rPr>
          <w:rFonts w:ascii="Garamond" w:hAnsi="Garamond" w:cs="Calibri"/>
          <w:color w:val="000000" w:themeColor="text1"/>
        </w:rPr>
        <w:t>By way of a toy example, l</w:t>
      </w:r>
      <w:r w:rsidRPr="009B1F4E">
        <w:rPr>
          <w:rFonts w:ascii="Garamond" w:hAnsi="Garamond"/>
          <w:color w:val="000000" w:themeColor="text1"/>
        </w:rPr>
        <w:t>et’s imagine an early ancestor A of ours. A’s a juvenile looking to acquire the required knowledge and abilities in their respective environment. A won’t know which cultural traits they need to acquire</w:t>
      </w:r>
      <w:r w:rsidR="005310DB" w:rsidRPr="009B1F4E">
        <w:rPr>
          <w:rFonts w:ascii="Garamond" w:hAnsi="Garamond"/>
          <w:color w:val="000000" w:themeColor="text1"/>
        </w:rPr>
        <w:t xml:space="preserve"> by themselves</w:t>
      </w:r>
      <w:r w:rsidRPr="009B1F4E">
        <w:rPr>
          <w:rFonts w:ascii="Garamond" w:hAnsi="Garamond"/>
          <w:color w:val="000000" w:themeColor="text1"/>
        </w:rPr>
        <w:t xml:space="preserve">, as these are outside of their ZLS. A’s cultural learning efforts will be directed by those around them — they might guide A to acquire the skills and knowledge required to make a particular tool. Additionally, those around A would guide </w:t>
      </w:r>
      <w:r w:rsidR="00164BDB" w:rsidRPr="009B1F4E">
        <w:rPr>
          <w:rFonts w:ascii="Garamond" w:hAnsi="Garamond"/>
          <w:color w:val="000000" w:themeColor="text1"/>
        </w:rPr>
        <w:t xml:space="preserve">them to learn </w:t>
      </w:r>
      <w:r w:rsidR="00011CBB" w:rsidRPr="009B1F4E">
        <w:rPr>
          <w:rFonts w:ascii="Garamond" w:hAnsi="Garamond"/>
          <w:color w:val="000000" w:themeColor="text1"/>
        </w:rPr>
        <w:t xml:space="preserve">from those whose in-group status is related to their proficiency in toolmaking and guide agents towards who that might be. </w:t>
      </w:r>
      <w:r w:rsidR="005310DB" w:rsidRPr="009B1F4E">
        <w:rPr>
          <w:rFonts w:ascii="Garamond" w:hAnsi="Garamond" w:cs="Calibri"/>
          <w:color w:val="000000" w:themeColor="text1"/>
        </w:rPr>
        <w:t>T</w:t>
      </w:r>
      <w:r w:rsidR="00164BDB" w:rsidRPr="009B1F4E">
        <w:rPr>
          <w:rFonts w:ascii="Garamond" w:hAnsi="Garamond"/>
          <w:color w:val="000000" w:themeColor="text1"/>
        </w:rPr>
        <w:t xml:space="preserve">hey’d also guide them to figure things out for themselves at certain junctions of the process and defer to others at other times. </w:t>
      </w:r>
      <w:r w:rsidR="004A42AF" w:rsidRPr="009B1F4E">
        <w:rPr>
          <w:rFonts w:ascii="Garamond" w:hAnsi="Garamond"/>
          <w:color w:val="000000" w:themeColor="text1"/>
        </w:rPr>
        <w:t xml:space="preserve">The suggestion here is that what A was </w:t>
      </w:r>
      <w:r w:rsidR="00AA12EB" w:rsidRPr="009B1F4E">
        <w:rPr>
          <w:rFonts w:ascii="Garamond" w:hAnsi="Garamond"/>
          <w:color w:val="000000" w:themeColor="text1"/>
        </w:rPr>
        <w:t>instructed</w:t>
      </w:r>
      <w:r w:rsidR="004A42AF" w:rsidRPr="009B1F4E">
        <w:rPr>
          <w:rFonts w:ascii="Garamond" w:hAnsi="Garamond"/>
          <w:color w:val="000000" w:themeColor="text1"/>
        </w:rPr>
        <w:t xml:space="preserve"> to learn about and how they were to do so was informed by the epistemic coordination-norms of A’s community.</w:t>
      </w:r>
    </w:p>
    <w:p w14:paraId="3F5E6E50" w14:textId="4FD2098D" w:rsidR="00BD3BD8" w:rsidRPr="009B1F4E" w:rsidRDefault="00BD3BD8" w:rsidP="009F74D0">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It's worth highlighting that epistemic coordination-norms </w:t>
      </w:r>
      <w:proofErr w:type="gramStart"/>
      <w:r w:rsidRPr="009B1F4E">
        <w:rPr>
          <w:rFonts w:ascii="Garamond" w:hAnsi="Garamond" w:cs="Calibri"/>
          <w:color w:val="000000" w:themeColor="text1"/>
        </w:rPr>
        <w:t>in particular and</w:t>
      </w:r>
      <w:proofErr w:type="gramEnd"/>
      <w:r w:rsidRPr="009B1F4E">
        <w:rPr>
          <w:rFonts w:ascii="Garamond" w:hAnsi="Garamond" w:cs="Calibri"/>
          <w:color w:val="000000" w:themeColor="text1"/>
        </w:rPr>
        <w:t xml:space="preserve"> social norms more generally are the right kind of solution to the coordination</w:t>
      </w:r>
      <w:r w:rsidR="005310DB" w:rsidRPr="009B1F4E">
        <w:rPr>
          <w:rFonts w:ascii="Garamond" w:hAnsi="Garamond" w:cs="Calibri"/>
          <w:color w:val="000000" w:themeColor="text1"/>
        </w:rPr>
        <w:t xml:space="preserve"> </w:t>
      </w:r>
      <w:r w:rsidRPr="009B1F4E">
        <w:rPr>
          <w:rFonts w:ascii="Garamond" w:hAnsi="Garamond" w:cs="Calibri"/>
          <w:color w:val="000000" w:themeColor="text1"/>
        </w:rPr>
        <w:t xml:space="preserve">problems posed by cultural learning, as </w:t>
      </w:r>
      <w:r w:rsidRPr="009B1F4E">
        <w:rPr>
          <w:rFonts w:ascii="Garamond" w:hAnsi="Garamond" w:cs="Calibri"/>
          <w:color w:val="000000" w:themeColor="text1"/>
        </w:rPr>
        <w:lastRenderedPageBreak/>
        <w:t xml:space="preserve">they’re both specific and flexible. They’re specific in being sensitive to fine-grained differences in contexts — even small changes in context will change whether and which social norm is operative. They’re flexible in that they can quickly adapt to changes in context or social dynamics — what is required of agents can change over a </w:t>
      </w:r>
      <w:r w:rsidR="00181D34">
        <w:rPr>
          <w:rFonts w:ascii="Garamond" w:hAnsi="Garamond" w:cs="Calibri"/>
          <w:color w:val="000000" w:themeColor="text1"/>
        </w:rPr>
        <w:t>relative</w:t>
      </w:r>
      <w:r w:rsidRPr="009B1F4E">
        <w:rPr>
          <w:rFonts w:ascii="Garamond" w:hAnsi="Garamond" w:cs="Calibri"/>
          <w:color w:val="000000" w:themeColor="text1"/>
        </w:rPr>
        <w:t>ly short amount of time. These two properties of social norms are important as what learning contents agents need</w:t>
      </w:r>
      <w:r w:rsidR="00181D34">
        <w:rPr>
          <w:rFonts w:ascii="Garamond" w:hAnsi="Garamond" w:cs="Calibri"/>
          <w:color w:val="000000" w:themeColor="text1"/>
        </w:rPr>
        <w:t xml:space="preserve"> to acquire</w:t>
      </w:r>
      <w:r w:rsidRPr="009B1F4E">
        <w:rPr>
          <w:rFonts w:ascii="Garamond" w:hAnsi="Garamond" w:cs="Calibri"/>
          <w:color w:val="000000" w:themeColor="text1"/>
        </w:rPr>
        <w:t xml:space="preserve"> </w:t>
      </w:r>
      <w:r w:rsidR="00921267">
        <w:rPr>
          <w:rFonts w:ascii="Garamond" w:hAnsi="Garamond" w:cs="Calibri"/>
          <w:color w:val="000000" w:themeColor="text1"/>
        </w:rPr>
        <w:t xml:space="preserve">and what form cultural learning is supposed to take, </w:t>
      </w:r>
      <w:r w:rsidRPr="009B1F4E">
        <w:rPr>
          <w:rFonts w:ascii="Garamond" w:hAnsi="Garamond" w:cs="Calibri"/>
          <w:color w:val="000000" w:themeColor="text1"/>
        </w:rPr>
        <w:t>was</w:t>
      </w:r>
      <w:r w:rsidR="00011CBB" w:rsidRPr="009B1F4E">
        <w:rPr>
          <w:rFonts w:ascii="Garamond" w:hAnsi="Garamond" w:cs="Calibri"/>
          <w:color w:val="000000" w:themeColor="text1"/>
        </w:rPr>
        <w:t xml:space="preserve"> and is</w:t>
      </w:r>
      <w:r w:rsidRPr="009B1F4E">
        <w:rPr>
          <w:rFonts w:ascii="Garamond" w:hAnsi="Garamond" w:cs="Calibri"/>
          <w:color w:val="000000" w:themeColor="text1"/>
        </w:rPr>
        <w:t xml:space="preserve"> subject to contextual factors and </w:t>
      </w:r>
      <w:r w:rsidR="000700ED">
        <w:rPr>
          <w:rFonts w:ascii="Garamond" w:hAnsi="Garamond" w:cs="Calibri"/>
          <w:color w:val="000000" w:themeColor="text1"/>
        </w:rPr>
        <w:t xml:space="preserve">is </w:t>
      </w:r>
      <w:r w:rsidRPr="009B1F4E">
        <w:rPr>
          <w:rFonts w:ascii="Garamond" w:hAnsi="Garamond" w:cs="Calibri"/>
          <w:color w:val="000000" w:themeColor="text1"/>
        </w:rPr>
        <w:t>potentially fast-changing</w:t>
      </w:r>
      <w:r w:rsidR="000700ED">
        <w:rPr>
          <w:rFonts w:ascii="Garamond" w:hAnsi="Garamond" w:cs="Calibri"/>
          <w:color w:val="000000" w:themeColor="text1"/>
        </w:rPr>
        <w:t>.</w:t>
      </w:r>
    </w:p>
    <w:p w14:paraId="0E464E2F" w14:textId="72EAF534" w:rsidR="009F74D0" w:rsidRPr="009B1F4E" w:rsidRDefault="009F74D0" w:rsidP="009F74D0">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I’ll expand on these points below by drawing from work in social epistemology and by discussing two important kinds of cultural learning: assessor-teaching and strategic social learning. I highlight how the need for coordination is constituted within these strategies and how epistemic coordination-norms have plausibly addressed it. Both are considered essential to the evolutionary emergence of cumulative culture and social learning more generally. Showing how there’s a need for coordination norms within these strategies thus supports the expansion of our shared narrative along the lines I propose. </w:t>
      </w:r>
    </w:p>
    <w:p w14:paraId="3E6CC4B5" w14:textId="73846F3B" w:rsidR="00C255A0" w:rsidRDefault="00C255A0" w:rsidP="005B07C6">
      <w:pPr>
        <w:spacing w:line="360" w:lineRule="auto"/>
        <w:jc w:val="both"/>
        <w:rPr>
          <w:rFonts w:ascii="Garamond" w:hAnsi="Garamond"/>
          <w:color w:val="000000" w:themeColor="text1"/>
        </w:rPr>
      </w:pPr>
      <w:r>
        <w:rPr>
          <w:rFonts w:ascii="Garamond" w:hAnsi="Garamond"/>
          <w:color w:val="000000" w:themeColor="text1"/>
        </w:rPr>
        <w:t>Let me again mention</w:t>
      </w:r>
      <w:r w:rsidR="00FE5DD6" w:rsidRPr="009B1F4E">
        <w:rPr>
          <w:rFonts w:ascii="Garamond" w:hAnsi="Garamond"/>
          <w:color w:val="000000" w:themeColor="text1"/>
        </w:rPr>
        <w:t xml:space="preserve"> that </w:t>
      </w:r>
      <w:r w:rsidR="0059225E">
        <w:rPr>
          <w:rFonts w:ascii="Garamond" w:hAnsi="Garamond"/>
          <w:color w:val="000000" w:themeColor="text1"/>
        </w:rPr>
        <w:t>the expansion I propose</w:t>
      </w:r>
      <w:r w:rsidR="00FE5DD6" w:rsidRPr="009B1F4E">
        <w:rPr>
          <w:rFonts w:ascii="Garamond" w:hAnsi="Garamond"/>
          <w:color w:val="000000" w:themeColor="text1"/>
        </w:rPr>
        <w:t xml:space="preserve"> fits well with an idea </w:t>
      </w:r>
      <w:r w:rsidR="00181D34">
        <w:rPr>
          <w:rFonts w:ascii="Garamond" w:hAnsi="Garamond"/>
          <w:color w:val="000000" w:themeColor="text1"/>
        </w:rPr>
        <w:t>central to our shared narrative: That informational cooperation was, at the outset, stable without</w:t>
      </w:r>
      <w:r w:rsidR="00FE5DD6" w:rsidRPr="009B1F4E">
        <w:rPr>
          <w:rFonts w:ascii="Garamond" w:hAnsi="Garamond"/>
          <w:color w:val="000000" w:themeColor="text1"/>
        </w:rPr>
        <w:t xml:space="preserve"> cooperation-norms and thus low on incentives to defect (</w:t>
      </w:r>
      <w:proofErr w:type="spellStart"/>
      <w:r w:rsidR="00FE5DD6" w:rsidRPr="009B1F4E">
        <w:rPr>
          <w:rFonts w:ascii="Garamond" w:hAnsi="Garamond"/>
          <w:color w:val="000000" w:themeColor="text1"/>
        </w:rPr>
        <w:t>Sterelny</w:t>
      </w:r>
      <w:proofErr w:type="spellEnd"/>
      <w:r w:rsidR="00FE5DD6" w:rsidRPr="009B1F4E">
        <w:rPr>
          <w:rFonts w:ascii="Garamond" w:hAnsi="Garamond"/>
          <w:color w:val="000000" w:themeColor="text1"/>
        </w:rPr>
        <w:t xml:space="preserve"> 2012; </w:t>
      </w:r>
      <w:proofErr w:type="spellStart"/>
      <w:r w:rsidR="00FE5DD6" w:rsidRPr="009B1F4E">
        <w:rPr>
          <w:rFonts w:ascii="Garamond" w:hAnsi="Garamond"/>
          <w:color w:val="000000" w:themeColor="text1"/>
        </w:rPr>
        <w:t>Tomasello</w:t>
      </w:r>
      <w:proofErr w:type="spellEnd"/>
      <w:r w:rsidR="00FE5DD6" w:rsidRPr="009B1F4E">
        <w:rPr>
          <w:rFonts w:ascii="Garamond" w:hAnsi="Garamond"/>
          <w:color w:val="000000" w:themeColor="text1"/>
        </w:rPr>
        <w:t xml:space="preserve"> 2014). </w:t>
      </w:r>
      <w:r w:rsidR="0059225E">
        <w:rPr>
          <w:rFonts w:ascii="Garamond" w:hAnsi="Garamond"/>
          <w:color w:val="000000" w:themeColor="text1"/>
        </w:rPr>
        <w:t>However, d</w:t>
      </w:r>
      <w:r>
        <w:rPr>
          <w:rFonts w:ascii="Garamond" w:hAnsi="Garamond"/>
          <w:color w:val="000000" w:themeColor="text1"/>
        </w:rPr>
        <w:t>espite this</w:t>
      </w:r>
      <w:r w:rsidR="0059225E">
        <w:rPr>
          <w:rFonts w:ascii="Garamond" w:hAnsi="Garamond"/>
          <w:color w:val="000000" w:themeColor="text1"/>
        </w:rPr>
        <w:t xml:space="preserve"> stability</w:t>
      </w:r>
      <w:r>
        <w:rPr>
          <w:rFonts w:ascii="Garamond" w:hAnsi="Garamond"/>
          <w:color w:val="000000" w:themeColor="text1"/>
        </w:rPr>
        <w:t xml:space="preserve">, there was a need for </w:t>
      </w:r>
      <w:r w:rsidR="0059225E">
        <w:rPr>
          <w:rFonts w:ascii="Garamond" w:hAnsi="Garamond"/>
          <w:color w:val="000000" w:themeColor="text1"/>
        </w:rPr>
        <w:t>coordination</w:t>
      </w:r>
      <w:r>
        <w:rPr>
          <w:rFonts w:ascii="Garamond" w:hAnsi="Garamond"/>
          <w:color w:val="000000" w:themeColor="text1"/>
        </w:rPr>
        <w:t xml:space="preserve"> that was addressed by epistemic coordination norms. </w:t>
      </w:r>
    </w:p>
    <w:p w14:paraId="5DA3E0FA" w14:textId="2CD4405A" w:rsidR="005B07C6" w:rsidRPr="009B1F4E" w:rsidRDefault="000501D9" w:rsidP="005B07C6">
      <w:pPr>
        <w:spacing w:line="360" w:lineRule="auto"/>
        <w:jc w:val="both"/>
        <w:rPr>
          <w:rFonts w:ascii="Garamond" w:hAnsi="Garamond" w:cs="Calibri"/>
          <w:color w:val="000000" w:themeColor="text1"/>
        </w:rPr>
      </w:pPr>
      <w:r>
        <w:rPr>
          <w:rFonts w:ascii="Garamond" w:hAnsi="Garamond"/>
          <w:color w:val="000000" w:themeColor="text1"/>
        </w:rPr>
        <w:t>As we’ll see</w:t>
      </w:r>
      <w:r w:rsidR="001B2844">
        <w:rPr>
          <w:rFonts w:ascii="Garamond" w:hAnsi="Garamond"/>
          <w:color w:val="000000" w:themeColor="text1"/>
        </w:rPr>
        <w:t xml:space="preserve"> in section 4</w:t>
      </w:r>
      <w:r>
        <w:rPr>
          <w:rFonts w:ascii="Garamond" w:hAnsi="Garamond"/>
          <w:color w:val="000000" w:themeColor="text1"/>
        </w:rPr>
        <w:t>, t</w:t>
      </w:r>
      <w:r w:rsidR="00C255A0">
        <w:rPr>
          <w:rFonts w:ascii="Garamond" w:hAnsi="Garamond"/>
          <w:color w:val="000000" w:themeColor="text1"/>
        </w:rPr>
        <w:t xml:space="preserve">he view I propose also fits well with the generally accepted narrative </w:t>
      </w:r>
      <w:r w:rsidR="00FE5DD6" w:rsidRPr="009B1F4E">
        <w:rPr>
          <w:rFonts w:ascii="Garamond" w:hAnsi="Garamond"/>
          <w:color w:val="000000" w:themeColor="text1"/>
        </w:rPr>
        <w:t xml:space="preserve">since it provides an evolutionary precursor to cooperation-norms (and the respective normative cognition) in the form of coordination-norms. This allows us to see how existing resources were transformed because of </w:t>
      </w:r>
      <w:r w:rsidR="009A1E73" w:rsidRPr="009B1F4E">
        <w:rPr>
          <w:rFonts w:ascii="Garamond" w:hAnsi="Garamond"/>
          <w:color w:val="000000" w:themeColor="text1"/>
        </w:rPr>
        <w:t>increased</w:t>
      </w:r>
      <w:r w:rsidR="00FE5DD6" w:rsidRPr="009B1F4E">
        <w:rPr>
          <w:rFonts w:ascii="Garamond" w:hAnsi="Garamond"/>
          <w:color w:val="000000" w:themeColor="text1"/>
        </w:rPr>
        <w:t xml:space="preserve"> incentives to defect (likely in combination with other factors). Social norms changed from being coordination-norms to (also) being cooperation-norms.</w:t>
      </w:r>
    </w:p>
    <w:p w14:paraId="4C5694B3" w14:textId="77777777" w:rsidR="007E5565" w:rsidRPr="009B1F4E" w:rsidRDefault="007E5565" w:rsidP="005B07C6">
      <w:pPr>
        <w:spacing w:line="360" w:lineRule="auto"/>
        <w:jc w:val="both"/>
        <w:rPr>
          <w:rFonts w:ascii="Garamond" w:hAnsi="Garamond" w:cs="Calibri"/>
          <w:color w:val="000000" w:themeColor="text1"/>
        </w:rPr>
      </w:pPr>
    </w:p>
    <w:p w14:paraId="636F94E1" w14:textId="5EBF8CA3" w:rsidR="005B07C6" w:rsidRPr="009B1F4E" w:rsidRDefault="005B07C6" w:rsidP="005B07C6">
      <w:pPr>
        <w:pStyle w:val="Listenabsatz"/>
        <w:numPr>
          <w:ilvl w:val="1"/>
          <w:numId w:val="1"/>
        </w:numPr>
        <w:spacing w:line="360" w:lineRule="auto"/>
        <w:jc w:val="both"/>
        <w:rPr>
          <w:rFonts w:ascii="Garamond" w:hAnsi="Garamond" w:cs="Calibri"/>
          <w:color w:val="000000" w:themeColor="text1"/>
        </w:rPr>
      </w:pPr>
      <w:r w:rsidRPr="009B1F4E">
        <w:rPr>
          <w:rFonts w:ascii="Garamond" w:hAnsi="Garamond" w:cs="Calibri"/>
          <w:color w:val="000000" w:themeColor="text1"/>
        </w:rPr>
        <w:t>Assessor-teaching and epistemic coordination norms</w:t>
      </w:r>
    </w:p>
    <w:p w14:paraId="67888B7E" w14:textId="0CAAFBC7" w:rsidR="00466314" w:rsidRPr="009B1F4E" w:rsidRDefault="00466314" w:rsidP="00466314">
      <w:pPr>
        <w:spacing w:line="360" w:lineRule="auto"/>
        <w:jc w:val="both"/>
        <w:rPr>
          <w:rFonts w:ascii="Garamond" w:hAnsi="Garamond" w:cs="Calibri"/>
          <w:color w:val="000000" w:themeColor="text1"/>
        </w:rPr>
      </w:pPr>
      <w:r w:rsidRPr="009B1F4E">
        <w:rPr>
          <w:rFonts w:ascii="Garamond" w:hAnsi="Garamond" w:cs="Calibri"/>
          <w:color w:val="000000" w:themeColor="text1"/>
        </w:rPr>
        <w:t>Castro et al</w:t>
      </w:r>
      <w:r w:rsidR="005310DB" w:rsidRPr="009B1F4E">
        <w:rPr>
          <w:rFonts w:ascii="Garamond" w:hAnsi="Garamond" w:cs="Calibri"/>
          <w:color w:val="000000" w:themeColor="text1"/>
        </w:rPr>
        <w:t>.</w:t>
      </w:r>
      <w:r w:rsidRPr="009B1F4E">
        <w:rPr>
          <w:rFonts w:ascii="Garamond" w:hAnsi="Garamond" w:cs="Calibri"/>
          <w:color w:val="000000" w:themeColor="text1"/>
        </w:rPr>
        <w:t xml:space="preserve">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{"citationID":"mhP31bSQ","properties":{"formattedCitation":"(2021, 7)","plainCitation":"(2021, 7)","noteIndex":0},"citationItems":[{"id":978,"uris":["http://zotero.org/users/local/jz7T3Opo/items/39JPDLIV"],"itemData":{"id":978,"type":"article-journal","container-title":"Biological Theory","issue":"1","note":"publisher: Springer","page":"5–15","source":"Google Scholar","title":"Assessor Teaching and the Evolution of Human Morality","volume":"16","author":[{"family":"Castro","given":"Laureano"},{"family":"Castro-Nogueira","given":"Miguel Ángel"},{"family":"Villarroel","given":"Morris"},{"family":"Toro","given":"Miguel Ángel"}],"issued":{"date-parts":[["2021"]]}},"locator":"7","suppress-author":true}],"schema":"https://github.com/citation-style-language/schema/raw/master/csl-citation.json"}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(2021, 7)</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w:t>
      </w:r>
      <w:r w:rsidR="001B2844">
        <w:rPr>
          <w:rFonts w:ascii="Garamond" w:hAnsi="Garamond" w:cs="Calibri"/>
          <w:color w:val="000000" w:themeColor="text1"/>
        </w:rPr>
        <w:t>propose</w:t>
      </w:r>
      <w:r w:rsidRPr="009B1F4E">
        <w:rPr>
          <w:rFonts w:ascii="Garamond" w:hAnsi="Garamond" w:cs="Calibri"/>
          <w:color w:val="000000" w:themeColor="text1"/>
        </w:rPr>
        <w:t xml:space="preserve"> that assessor-teaching, “the ability to orient the learning of offspring using signs of approval/disapproval”</w:t>
      </w:r>
      <w:r w:rsidR="009A1E73" w:rsidRPr="009B1F4E">
        <w:rPr>
          <w:rFonts w:ascii="Garamond" w:hAnsi="Garamond" w:cs="Calibri"/>
          <w:color w:val="000000" w:themeColor="text1"/>
        </w:rPr>
        <w:t>,</w:t>
      </w:r>
      <w:r w:rsidRPr="009B1F4E">
        <w:rPr>
          <w:rFonts w:ascii="Garamond" w:hAnsi="Garamond" w:cs="Calibri"/>
          <w:color w:val="000000" w:themeColor="text1"/>
        </w:rPr>
        <w:t xml:space="preserve"> was important to the evolution of </w:t>
      </w:r>
      <w:r w:rsidR="0007417B">
        <w:rPr>
          <w:rFonts w:ascii="Garamond" w:hAnsi="Garamond" w:cs="Calibri"/>
          <w:color w:val="000000" w:themeColor="text1"/>
        </w:rPr>
        <w:t>cultural</w:t>
      </w:r>
      <w:r w:rsidRPr="009B1F4E">
        <w:rPr>
          <w:rFonts w:ascii="Garamond" w:hAnsi="Garamond" w:cs="Calibri"/>
          <w:color w:val="000000" w:themeColor="text1"/>
        </w:rPr>
        <w:t xml:space="preserve"> learning by making it more high-fidelity, thus allowing for cumulative culture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{"citationID":"D7fUkjzJ","properties":{"formattedCitation":"(see also Castro, Castro-Nogueira, and Toro 2019; Castro et al. 2019)","plainCitation":"(see also Castro, Castro-Nogueira, and Toro 2019; Castro et al. 2019)","noteIndex":0},"citationItems":[{"id":982,"uris":["http://zotero.org/users/local/jz7T3Opo/items/BBCFDMIC"],"itemData":{"id":982,"type":"article-journal","abstract":"Human beings have generated a system of cumulative cultural learning with great adaptive value. The evolution of this system required an increase in the capacity to innovate and to imitate in hominin lineage. However that development is costly and, moreover, imitation may restrain the adaptive advantage of a greater investment on innovation. We suggest that a possible way to overcome this problem in hominin evolution was parental teaching by evaluative feedback - i.e. assessor teaching. To explore this hypothesis we developed a mathematical model of cumulative cultural learning. We consider two cognitive levels, one Basic, with less ability to imitate and innovate, and the other Smart, with more ability of both. We study the transition from Basic to Smart in the absence or in presence of teaching. We also study the transition from no teaching to teaching at each cognitive level. We show that the transition to a Smart is easier in a teaching context than in one of only imitation. We also show that the transition to teaching is easier the greater the cognitive level.","container-title":"Journal of Theoretical Biology","DOI":"10.1016/j.jtbi.2019.04.004","ISSN":"0022-5193","journalAbbreviation":"Journal of Theoretical Biology","language":"en","page":"88-94","source":"ScienceDirect","title":"Assessor teaching and the development of the capacity to innovate and to imitate","volume":"472","author":[{"family":"Castro","given":"Laureano"},{"family":"Castro-Nogueira","given":"Miguel Ángel"},{"family":"Toro","given":"Miguel Ángel"}],"issued":{"date-parts":[["2019",7,7]]}},"prefix":"see also"},{"id":980,"uris":["http://zotero.org/users/local/jz7T3Opo/items/8WST3JQQ"],"itemData":{"id":980,"type":"article-journal","abstract":"According to the dual inheritance theory, cultural learning in our species is a biased and highly efficient process of transmitting cultural traits. Here we define a model of cultural learning where social learning is integrated as a complementary element that facilitates the discovery of a specific behavior by an apprentice, and not as a mechanism that works in opposition to individual learning. In that context, we propose that the emergence of the ability to approve or disapprove of offspring behavior, orienting their learning (a process we call assessor teaching), transformed primate social learning into a cultural transmission system, like that which characterizes our species. Assessor teaching facilitates the replication and/or reconstruction of behaviors that are difficult to imitate and helps to determine which behaviors should be imitated. We also explore the form in which assessor teaching has conditioned the evolution of our abilities to develop cultures in the hominin line, converting us into individuals equipped with what we call a suadens psychology. Our main point is to defend the hypothesis that suadens psychology determines the stability and dynamics that affect the trajectories of many cultural characters. We compare our proposal with other theories about cultural evolution, specifically with dual inheritance theory and cultural attraction theory.","container-title":"Biological Theory","DOI":"10.1007/s13752-018-00314-2","ISSN":"1555-5550","issue":"2","journalAbbreviation":"Biol Theory","language":"en","page":"112-121","source":"Springer Link","title":"The Role of Assessor Teaching in Human Culture","volume":"14","author":[{"family":"Castro","given":"Laureano"},{"family":"Castro-Nogueira","given":"Miguel Ángel"},{"family":"Villarroel","given":"Morris"},{"family":"Toro","given":"Miguel Ángel"}],"issued":{"date-parts":[["2019",6,1]]}}}],"schema":"https://github.com/citation-style-language/schema/raw/master/csl-citation.json"}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(see also Castro, Castro-Nogueira, and Toro 2019; Castro et al. 2019)</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The authors consider how such assessor-teaching “allows parents to transmit to children their accumulated experience”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{"citationID":"Dka1tWXm","properties":{"formattedCitation":"(Castro et al. 2021, 7)","plainCitation":"(Castro et al. 2021, 7)","noteIndex":0},"citationItems":[{"id":978,"uris":["http://zotero.org/users/local/jz7T3Opo/items/39JPDLIV"],"itemData":{"id":978,"type":"article-journal","container-title":"Biological Theory","issue":"1","note":"publisher: Springer","page":"5–15","source":"Google Scholar","title":"Assessor Teaching and the Evolution of Human Morality","volume":"16","author":[{"family":"Castro","given":"Laureano"},{"family":"Castro-Nogueira","given":"Miguel Ángel"},{"family":"Villarroel","given":"Morris"},{"family":"Toro","given":"Miguel Ángel"}],"issued":{"date-parts":[["2021"]]}},"locator":"7"}],"schema":"https://github.com/citation-style-language/schema/raw/master/csl-citation.json"}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(Castro et al. 2021, 7)</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about the behaviour that is being learned.</w:t>
      </w:r>
      <w:r w:rsidRPr="009B1F4E">
        <w:rPr>
          <w:rStyle w:val="Funotenzeichen"/>
          <w:rFonts w:ascii="Garamond" w:hAnsi="Garamond" w:cs="Calibri"/>
          <w:color w:val="000000" w:themeColor="text1"/>
        </w:rPr>
        <w:footnoteReference w:id="8"/>
      </w:r>
      <w:r w:rsidR="003817C9" w:rsidRPr="009B1F4E">
        <w:rPr>
          <w:rFonts w:ascii="Garamond" w:hAnsi="Garamond" w:cs="Calibri"/>
          <w:color w:val="000000" w:themeColor="text1"/>
          <w:vertAlign w:val="superscript"/>
        </w:rPr>
        <w:t xml:space="preserve">, </w:t>
      </w:r>
      <w:r w:rsidR="003817C9" w:rsidRPr="009B1F4E">
        <w:rPr>
          <w:rStyle w:val="Funotenzeichen"/>
          <w:rFonts w:ascii="Garamond" w:hAnsi="Garamond" w:cs="Calibri"/>
          <w:color w:val="000000" w:themeColor="text1"/>
        </w:rPr>
        <w:footnoteReference w:id="9"/>
      </w:r>
      <w:r w:rsidRPr="009B1F4E">
        <w:rPr>
          <w:rFonts w:ascii="Garamond" w:hAnsi="Garamond" w:cs="Calibri"/>
          <w:color w:val="000000" w:themeColor="text1"/>
        </w:rPr>
        <w:t xml:space="preserve"> It's easy to see how parents’ evaluations of their offspring’s behaviours </w:t>
      </w:r>
      <w:r w:rsidR="009A1E73" w:rsidRPr="009B1F4E">
        <w:rPr>
          <w:rFonts w:ascii="Garamond" w:hAnsi="Garamond" w:cs="Calibri"/>
          <w:color w:val="000000" w:themeColor="text1"/>
        </w:rPr>
        <w:lastRenderedPageBreak/>
        <w:t>imply</w:t>
      </w:r>
      <w:r w:rsidRPr="009B1F4E">
        <w:rPr>
          <w:rFonts w:ascii="Garamond" w:hAnsi="Garamond" w:cs="Calibri"/>
          <w:color w:val="000000" w:themeColor="text1"/>
        </w:rPr>
        <w:t xml:space="preserve"> the existence of a norm of some kind. Consider that their evaluations need to stand in relation to </w:t>
      </w:r>
      <w:r w:rsidR="003D10DD">
        <w:rPr>
          <w:rFonts w:ascii="Garamond" w:hAnsi="Garamond" w:cs="Calibri"/>
          <w:color w:val="000000" w:themeColor="text1"/>
        </w:rPr>
        <w:t xml:space="preserve">some </w:t>
      </w:r>
      <w:r w:rsidRPr="009B1F4E">
        <w:rPr>
          <w:rFonts w:ascii="Garamond" w:hAnsi="Garamond" w:cs="Calibri"/>
          <w:color w:val="000000" w:themeColor="text1"/>
        </w:rPr>
        <w:t xml:space="preserve">standard of correctness. Evaluating others’ behaviour implies that there’s a way to tell whether the behaviour is good or bad, to be commended or sanctioned. In turn, this requires </w:t>
      </w:r>
      <w:r w:rsidR="009A1E73" w:rsidRPr="009B1F4E">
        <w:rPr>
          <w:rFonts w:ascii="Garamond" w:hAnsi="Garamond" w:cs="Calibri"/>
          <w:color w:val="000000" w:themeColor="text1"/>
        </w:rPr>
        <w:t xml:space="preserve">a standard against which behaviours can be measured — or, in other words, it requires </w:t>
      </w:r>
      <w:r w:rsidRPr="009B1F4E">
        <w:rPr>
          <w:rFonts w:ascii="Garamond" w:hAnsi="Garamond" w:cs="Calibri"/>
          <w:color w:val="000000" w:themeColor="text1"/>
        </w:rPr>
        <w:t xml:space="preserve">a norm. </w:t>
      </w:r>
    </w:p>
    <w:p w14:paraId="7C5C5369" w14:textId="226FB38B" w:rsidR="00466314" w:rsidRPr="009B1F4E" w:rsidRDefault="00466314" w:rsidP="00466314">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Now, it’s important to note that this norm </w:t>
      </w:r>
      <w:r w:rsidR="005310DB" w:rsidRPr="009B1F4E">
        <w:rPr>
          <w:rFonts w:ascii="Garamond" w:hAnsi="Garamond" w:cs="Calibri"/>
          <w:color w:val="000000" w:themeColor="text1"/>
        </w:rPr>
        <w:t>does not necessarily need to</w:t>
      </w:r>
      <w:r w:rsidRPr="009B1F4E">
        <w:rPr>
          <w:rFonts w:ascii="Garamond" w:hAnsi="Garamond" w:cs="Calibri"/>
          <w:color w:val="000000" w:themeColor="text1"/>
        </w:rPr>
        <w:t xml:space="preserve"> be a </w:t>
      </w:r>
      <w:r w:rsidRPr="009B1F4E">
        <w:rPr>
          <w:rFonts w:ascii="Garamond" w:hAnsi="Garamond" w:cs="Calibri"/>
          <w:i/>
          <w:iCs/>
          <w:color w:val="000000" w:themeColor="text1"/>
        </w:rPr>
        <w:t>social</w:t>
      </w:r>
      <w:r w:rsidRPr="009B1F4E">
        <w:rPr>
          <w:rFonts w:ascii="Garamond" w:hAnsi="Garamond" w:cs="Calibri"/>
          <w:color w:val="000000" w:themeColor="text1"/>
        </w:rPr>
        <w:t xml:space="preserve"> norm in an interesting sense. It’s certainly imaginable that the norm parents apply to their offspring’s behaviour doesn’t function to regulate collective action</w:t>
      </w:r>
      <w:r w:rsidR="003D10DD">
        <w:rPr>
          <w:rFonts w:ascii="Garamond" w:hAnsi="Garamond" w:cs="Calibri"/>
          <w:color w:val="000000" w:themeColor="text1"/>
        </w:rPr>
        <w:t xml:space="preserve"> or complex social interactions</w:t>
      </w:r>
      <w:r w:rsidRPr="009B1F4E">
        <w:rPr>
          <w:rFonts w:ascii="Garamond" w:hAnsi="Garamond" w:cs="Calibri"/>
          <w:color w:val="000000" w:themeColor="text1"/>
        </w:rPr>
        <w:t>.</w:t>
      </w:r>
      <w:r w:rsidR="00BC50CB">
        <w:rPr>
          <w:rFonts w:ascii="Garamond" w:hAnsi="Garamond" w:cs="Calibri"/>
          <w:color w:val="000000" w:themeColor="text1"/>
        </w:rPr>
        <w:t xml:space="preserve"> </w:t>
      </w:r>
      <w:r w:rsidRPr="009B1F4E">
        <w:rPr>
          <w:rFonts w:ascii="Garamond" w:hAnsi="Garamond" w:cs="Calibri"/>
          <w:color w:val="000000" w:themeColor="text1"/>
        </w:rPr>
        <w:t xml:space="preserve">Parents might, for example, have established that norm simply based on their own private experiences over their lifetime. There would thus be a sense in which the norm would be personal. I’ll have more to say on the role of such personal norms </w:t>
      </w:r>
      <w:r w:rsidR="009A1E73" w:rsidRPr="009B1F4E">
        <w:rPr>
          <w:rFonts w:ascii="Garamond" w:hAnsi="Garamond" w:cs="Calibri"/>
          <w:color w:val="000000" w:themeColor="text1"/>
        </w:rPr>
        <w:t>in</w:t>
      </w:r>
      <w:r w:rsidRPr="009B1F4E">
        <w:rPr>
          <w:rFonts w:ascii="Garamond" w:hAnsi="Garamond" w:cs="Calibri"/>
          <w:color w:val="000000" w:themeColor="text1"/>
        </w:rPr>
        <w:t xml:space="preserve"> the evolution of norms in section 4. Here</w:t>
      </w:r>
      <w:r w:rsidR="005310DB" w:rsidRPr="009B1F4E">
        <w:rPr>
          <w:rFonts w:ascii="Garamond" w:hAnsi="Garamond" w:cs="Calibri"/>
          <w:color w:val="000000" w:themeColor="text1"/>
        </w:rPr>
        <w:t>, I’d like to argue that the norms operative in early instances of assessor-teaching were indeed social in an interesting sense — they were epistemic coordination-</w:t>
      </w:r>
      <w:r w:rsidRPr="009B1F4E">
        <w:rPr>
          <w:rFonts w:ascii="Garamond" w:hAnsi="Garamond" w:cs="Calibri"/>
          <w:color w:val="000000" w:themeColor="text1"/>
        </w:rPr>
        <w:t>norms.</w:t>
      </w:r>
    </w:p>
    <w:p w14:paraId="38A57E01" w14:textId="7B677E4D" w:rsidR="00466314" w:rsidRPr="009B1F4E" w:rsidRDefault="00A02845" w:rsidP="00466314">
      <w:pPr>
        <w:spacing w:line="360" w:lineRule="auto"/>
        <w:jc w:val="both"/>
        <w:rPr>
          <w:rFonts w:ascii="Garamond" w:hAnsi="Garamond" w:cs="Calibri"/>
          <w:color w:val="000000" w:themeColor="text1"/>
        </w:rPr>
      </w:pPr>
      <w:r>
        <w:rPr>
          <w:rFonts w:ascii="Garamond" w:hAnsi="Garamond" w:cs="Calibri"/>
          <w:color w:val="000000" w:themeColor="text1"/>
        </w:rPr>
        <w:t>The reason for</w:t>
      </w:r>
      <w:r w:rsidR="00150E51" w:rsidRPr="009B1F4E">
        <w:rPr>
          <w:rFonts w:ascii="Garamond" w:hAnsi="Garamond" w:cs="Calibri"/>
          <w:color w:val="000000" w:themeColor="text1"/>
        </w:rPr>
        <w:t xml:space="preserve"> </w:t>
      </w:r>
      <w:r w:rsidR="00181D34">
        <w:rPr>
          <w:rFonts w:ascii="Garamond" w:hAnsi="Garamond" w:cs="Calibri"/>
          <w:color w:val="000000" w:themeColor="text1"/>
        </w:rPr>
        <w:t>this is that relying solely on one’s</w:t>
      </w:r>
      <w:r w:rsidR="00466314" w:rsidRPr="009B1F4E">
        <w:rPr>
          <w:rFonts w:ascii="Garamond" w:hAnsi="Garamond" w:cs="Calibri"/>
          <w:color w:val="000000" w:themeColor="text1"/>
        </w:rPr>
        <w:t xml:space="preserve"> own</w:t>
      </w:r>
      <w:r w:rsidR="004A3940">
        <w:rPr>
          <w:rFonts w:ascii="Garamond" w:hAnsi="Garamond" w:cs="Calibri"/>
          <w:color w:val="000000" w:themeColor="text1"/>
        </w:rPr>
        <w:t xml:space="preserve"> personal </w:t>
      </w:r>
      <w:r w:rsidR="00466314" w:rsidRPr="009B1F4E">
        <w:rPr>
          <w:rFonts w:ascii="Garamond" w:hAnsi="Garamond" w:cs="Calibri"/>
          <w:color w:val="000000" w:themeColor="text1"/>
        </w:rPr>
        <w:t xml:space="preserve">experience will often not be sufficient to bring about positive learning outcomes. The general point is that the behaviours and knowledge </w:t>
      </w:r>
      <w:r w:rsidR="00150E51" w:rsidRPr="009B1F4E">
        <w:rPr>
          <w:rFonts w:ascii="Garamond" w:hAnsi="Garamond" w:cs="Calibri"/>
          <w:color w:val="000000" w:themeColor="text1"/>
        </w:rPr>
        <w:t>to be acquired must</w:t>
      </w:r>
      <w:r w:rsidR="00466314" w:rsidRPr="009B1F4E">
        <w:rPr>
          <w:rFonts w:ascii="Garamond" w:hAnsi="Garamond" w:cs="Calibri"/>
          <w:color w:val="000000" w:themeColor="text1"/>
        </w:rPr>
        <w:t xml:space="preserve"> be coordinated with the behaviour</w:t>
      </w:r>
      <w:r w:rsidR="00181D34">
        <w:rPr>
          <w:rFonts w:ascii="Garamond" w:hAnsi="Garamond" w:cs="Calibri"/>
          <w:color w:val="000000" w:themeColor="text1"/>
        </w:rPr>
        <w:t>s</w:t>
      </w:r>
      <w:r w:rsidR="00466314" w:rsidRPr="009B1F4E">
        <w:rPr>
          <w:rFonts w:ascii="Garamond" w:hAnsi="Garamond" w:cs="Calibri"/>
          <w:color w:val="000000" w:themeColor="text1"/>
        </w:rPr>
        <w:t xml:space="preserve"> and related knowledge that others acquire.</w:t>
      </w:r>
      <w:r w:rsidR="001C0042" w:rsidRPr="009B1F4E">
        <w:rPr>
          <w:rFonts w:ascii="Garamond" w:hAnsi="Garamond" w:cs="Calibri"/>
          <w:color w:val="000000" w:themeColor="text1"/>
        </w:rPr>
        <w:t xml:space="preserve"> In interdependent social groups, there needs to be a fit between the knowledge and abilities of different agents for collective action to work out.</w:t>
      </w:r>
      <w:r w:rsidR="00466314" w:rsidRPr="009B1F4E">
        <w:rPr>
          <w:rFonts w:ascii="Garamond" w:hAnsi="Garamond" w:cs="Calibri"/>
          <w:color w:val="000000" w:themeColor="text1"/>
        </w:rPr>
        <w:t xml:space="preserve"> </w:t>
      </w:r>
      <w:r w:rsidR="009918E4" w:rsidRPr="009B1F4E">
        <w:rPr>
          <w:rFonts w:ascii="Garamond" w:hAnsi="Garamond" w:cs="Calibri"/>
          <w:color w:val="000000" w:themeColor="text1"/>
        </w:rPr>
        <w:t xml:space="preserve">Social groups </w:t>
      </w:r>
      <w:r w:rsidR="00293722">
        <w:rPr>
          <w:rFonts w:ascii="Garamond" w:hAnsi="Garamond" w:cs="Calibri"/>
          <w:color w:val="000000" w:themeColor="text1"/>
        </w:rPr>
        <w:t xml:space="preserve">thus </w:t>
      </w:r>
      <w:r w:rsidR="009918E4" w:rsidRPr="009B1F4E">
        <w:rPr>
          <w:rFonts w:ascii="Garamond" w:hAnsi="Garamond" w:cs="Calibri"/>
          <w:color w:val="000000" w:themeColor="text1"/>
        </w:rPr>
        <w:t xml:space="preserve">need to coordinate on </w:t>
      </w:r>
      <w:r w:rsidR="00150E51" w:rsidRPr="009B1F4E">
        <w:rPr>
          <w:rFonts w:ascii="Garamond" w:hAnsi="Garamond" w:cs="Calibri"/>
          <w:color w:val="000000" w:themeColor="text1"/>
        </w:rPr>
        <w:t>various</w:t>
      </w:r>
      <w:r w:rsidR="009918E4" w:rsidRPr="009B1F4E">
        <w:rPr>
          <w:rFonts w:ascii="Garamond" w:hAnsi="Garamond" w:cs="Calibri"/>
          <w:color w:val="000000" w:themeColor="text1"/>
        </w:rPr>
        <w:t xml:space="preserve"> epistemic parameters for collective </w:t>
      </w:r>
      <w:r w:rsidR="001C0042" w:rsidRPr="009B1F4E">
        <w:rPr>
          <w:rFonts w:ascii="Garamond" w:hAnsi="Garamond" w:cs="Calibri"/>
          <w:color w:val="000000" w:themeColor="text1"/>
        </w:rPr>
        <w:t xml:space="preserve">epistemic undertakings, such as cultural learning, </w:t>
      </w:r>
      <w:r w:rsidR="009918E4" w:rsidRPr="009B1F4E">
        <w:rPr>
          <w:rFonts w:ascii="Garamond" w:hAnsi="Garamond" w:cs="Calibri"/>
          <w:color w:val="000000" w:themeColor="text1"/>
        </w:rPr>
        <w:t>to be successful.</w:t>
      </w:r>
    </w:p>
    <w:p w14:paraId="09A28BB7" w14:textId="1025AC93" w:rsidR="001F64B7" w:rsidRPr="009B1F4E" w:rsidRDefault="001F64B7" w:rsidP="001F64B7">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More concretely, epistemic norms help to alleviate the following </w:t>
      </w:r>
      <w:r w:rsidRPr="00293722">
        <w:rPr>
          <w:rFonts w:ascii="Garamond" w:hAnsi="Garamond" w:cs="Calibri"/>
          <w:i/>
          <w:iCs/>
          <w:color w:val="000000" w:themeColor="text1"/>
        </w:rPr>
        <w:t>content</w:t>
      </w:r>
      <w:r w:rsidR="00234F2A">
        <w:rPr>
          <w:rFonts w:ascii="Garamond" w:hAnsi="Garamond" w:cs="Calibri"/>
          <w:i/>
          <w:iCs/>
          <w:color w:val="000000" w:themeColor="text1"/>
        </w:rPr>
        <w:t>-</w:t>
      </w:r>
      <w:r w:rsidRPr="00293722">
        <w:rPr>
          <w:rFonts w:ascii="Garamond" w:hAnsi="Garamond" w:cs="Calibri"/>
          <w:i/>
          <w:iCs/>
          <w:color w:val="000000" w:themeColor="text1"/>
        </w:rPr>
        <w:t>related</w:t>
      </w:r>
      <w:r w:rsidRPr="009B1F4E">
        <w:rPr>
          <w:rFonts w:ascii="Garamond" w:hAnsi="Garamond" w:cs="Calibri"/>
          <w:color w:val="000000" w:themeColor="text1"/>
        </w:rPr>
        <w:t xml:space="preserve"> coordination</w:t>
      </w:r>
      <w:r w:rsidR="00234F2A">
        <w:rPr>
          <w:rFonts w:ascii="Garamond" w:hAnsi="Garamond" w:cs="Calibri"/>
          <w:color w:val="000000" w:themeColor="text1"/>
        </w:rPr>
        <w:t xml:space="preserve"> </w:t>
      </w:r>
      <w:r w:rsidRPr="009B1F4E">
        <w:rPr>
          <w:rFonts w:ascii="Garamond" w:hAnsi="Garamond" w:cs="Calibri"/>
          <w:color w:val="000000" w:themeColor="text1"/>
        </w:rPr>
        <w:t xml:space="preserve">problems: </w:t>
      </w:r>
    </w:p>
    <w:p w14:paraId="4A5C1ED1" w14:textId="391BB3E6" w:rsidR="008C484F" w:rsidRPr="009B1F4E" w:rsidRDefault="001F64B7" w:rsidP="008C484F">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First, they help to coordinate around what is to be known or what one might call a community’s </w:t>
      </w:r>
      <w:r w:rsidRPr="009B1F4E">
        <w:rPr>
          <w:rFonts w:ascii="Garamond" w:hAnsi="Garamond" w:cs="Calibri"/>
          <w:i/>
          <w:iCs/>
          <w:color w:val="000000" w:themeColor="text1"/>
        </w:rPr>
        <w:t>range of relevance</w:t>
      </w:r>
      <w:r w:rsidRPr="009B1F4E">
        <w:rPr>
          <w:rFonts w:ascii="Garamond" w:hAnsi="Garamond" w:cs="Calibri"/>
          <w:color w:val="000000" w:themeColor="text1"/>
        </w:rPr>
        <w:t xml:space="preserve">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{"citationID":"Jcwm4pK8","properties":{"formattedCitation":"(Sertler 2022)","plainCitation":"(Sertler 2022)","noteIndex":0},"citationItems":[{"id":788,"uris":["http://zotero.org/users/local/jz7T3Opo/items/SY7YCQFI"],"itemData":{"id":788,"type":"article-journal","abstract":"Abstract\n            \n              Epistemic dependence refers to our social mechanisms of reliance in practices of knowledge production. Epistemic oppression concerns persistent and unwarranted exclusions from those practices. This article examines the relationship between these two frameworks and demonstrates that attending to their relationship is a fruitful practice for applied epistemology. Paying attention to relations of epistemic dependence and how exclusive they are can help us track epistemically oppressive practices. In order to show this, I introduce a taxonomy of epistemic dependence (interpersonal – communal – structural). I argue that this particular taxonomy is useful for tracking epistemically oppressive practices in institutional contexts. This is because, first, the forms of epistemic dependence in this taxonomy yield, what I call,\n              diagnostic questions.\n              These are questions that help us track how relations of epistemic dependence could become exclusive and that thus help reveal epistemic oppression in institutional contexts. Second, the forms of epistemic dependence in the taxonomy are interrelated. Paying attention not just to each of three forms of epistemic dependence but also to the way in which they are interrelated is useful for illuminating epistemically oppressive practices. I conclude by demonstrating how the diagnostic questions can be used in analyses of concrete institutional practices in asylum law and higher education.","container-title":"Episteme","DOI":"10.1017/epi.2020.34","ISSN":"1742-3600, 1750-0117","issue":"3","journalAbbreviation":"Episteme","language":"en","page":"394-408","source":"DOI.org (Crossref)","title":"Epistemic Dependence and Oppression: A Telling Relationship","title-short":"Epistemic Dependence and Oppression","volume":"19","author":[{"family":"Sertler","given":"Ezgi"}],"issued":{"date-parts":[["2022"]]}}}],"schema":"https://github.com/citation-style-language/schema/raw/master/csl-citation.json"}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(Sertler 2022)</w:t>
      </w:r>
      <w:r w:rsidRPr="009B1F4E">
        <w:rPr>
          <w:rFonts w:ascii="Garamond" w:hAnsi="Garamond" w:cs="Calibri"/>
          <w:color w:val="000000" w:themeColor="text1"/>
        </w:rPr>
        <w:fldChar w:fldCharType="end"/>
      </w:r>
      <w:r w:rsidRPr="009B1F4E">
        <w:rPr>
          <w:rFonts w:ascii="Garamond" w:hAnsi="Garamond" w:cs="Calibri"/>
          <w:color w:val="000000" w:themeColor="text1"/>
        </w:rPr>
        <w:t>.</w:t>
      </w:r>
      <w:r w:rsidRPr="009B1F4E">
        <w:rPr>
          <w:rStyle w:val="Funotenzeichen"/>
          <w:rFonts w:ascii="Garamond" w:hAnsi="Garamond" w:cs="Calibri"/>
          <w:color w:val="000000" w:themeColor="text1"/>
          <w:lang w:val="en-US"/>
        </w:rPr>
        <w:footnoteReference w:id="10"/>
      </w:r>
      <w:r w:rsidRPr="009B1F4E">
        <w:rPr>
          <w:rFonts w:ascii="Garamond" w:hAnsi="Garamond" w:cs="Calibri"/>
          <w:color w:val="000000" w:themeColor="text1"/>
          <w:lang w:val="en-US"/>
        </w:rPr>
        <w:t xml:space="preserve"> </w:t>
      </w:r>
      <w:r w:rsidRPr="009B1F4E">
        <w:rPr>
          <w:rFonts w:ascii="Garamond" w:hAnsi="Garamond" w:cs="Calibri"/>
          <w:color w:val="000000" w:themeColor="text1"/>
        </w:rPr>
        <w:t xml:space="preserve">Simply put, a community’s range of relevance describes what is worthy of our attention, what is important to </w:t>
      </w:r>
      <w:r w:rsidR="00150E51" w:rsidRPr="009B1F4E">
        <w:rPr>
          <w:rFonts w:ascii="Garamond" w:hAnsi="Garamond" w:cs="Calibri"/>
          <w:color w:val="000000" w:themeColor="text1"/>
        </w:rPr>
        <w:t>know</w:t>
      </w:r>
      <w:r w:rsidRPr="009B1F4E">
        <w:rPr>
          <w:rFonts w:ascii="Garamond" w:hAnsi="Garamond" w:cs="Calibri"/>
          <w:color w:val="000000" w:themeColor="text1"/>
        </w:rPr>
        <w:t xml:space="preserve"> about, which abilities are truly beneficial, and what we can safely ignore.</w:t>
      </w:r>
      <w:r w:rsidR="008C484F" w:rsidRPr="009B1F4E">
        <w:rPr>
          <w:rFonts w:ascii="Garamond" w:hAnsi="Garamond" w:cs="Calibri"/>
          <w:color w:val="000000" w:themeColor="text1"/>
        </w:rPr>
        <w:t xml:space="preserve"> They reflect a community’s priorities and commitments </w:t>
      </w:r>
      <w:r w:rsidR="00150E51" w:rsidRPr="009B1F4E">
        <w:rPr>
          <w:rFonts w:ascii="Garamond" w:hAnsi="Garamond" w:cs="Calibri"/>
          <w:color w:val="000000" w:themeColor="text1"/>
        </w:rPr>
        <w:t>regarding</w:t>
      </w:r>
      <w:r w:rsidR="008C484F" w:rsidRPr="009B1F4E">
        <w:rPr>
          <w:rFonts w:ascii="Garamond" w:hAnsi="Garamond" w:cs="Calibri"/>
          <w:color w:val="000000" w:themeColor="text1"/>
        </w:rPr>
        <w:t xml:space="preserve"> how they understand </w:t>
      </w:r>
      <w:r w:rsidR="00150E51" w:rsidRPr="009B1F4E">
        <w:rPr>
          <w:rFonts w:ascii="Garamond" w:hAnsi="Garamond" w:cs="Calibri"/>
          <w:color w:val="000000" w:themeColor="text1"/>
        </w:rPr>
        <w:t xml:space="preserve">and interact with </w:t>
      </w:r>
      <w:r w:rsidR="008C484F" w:rsidRPr="009B1F4E">
        <w:rPr>
          <w:rFonts w:ascii="Garamond" w:hAnsi="Garamond" w:cs="Calibri"/>
          <w:color w:val="000000" w:themeColor="text1"/>
        </w:rPr>
        <w:t xml:space="preserve">the world and thereby influence what we do and do not pay attention to </w:t>
      </w:r>
      <w:r w:rsidR="008C484F" w:rsidRPr="009B1F4E">
        <w:rPr>
          <w:rFonts w:ascii="Garamond" w:hAnsi="Garamond" w:cs="Calibri"/>
          <w:color w:val="000000" w:themeColor="text1"/>
        </w:rPr>
        <w:fldChar w:fldCharType="begin"/>
      </w:r>
      <w:r w:rsidR="008C484F" w:rsidRPr="009B1F4E">
        <w:rPr>
          <w:rFonts w:ascii="Garamond" w:hAnsi="Garamond" w:cs="Calibri"/>
          <w:color w:val="000000" w:themeColor="text1"/>
        </w:rPr>
        <w:instrText xml:space="preserve"> ADDIN ZOTERO_ITEM CSL_CITATION {"citationID":"xeCWOsja","properties":{"formattedCitation":"(Grasswick 2004, 104)","plainCitation":"(Grasswick 2004, 104)","noteIndex":0},"citationItems":[{"id":882,"uris":["http://zotero.org/users/local/jz7T3Opo/items/9FRJMPK3"],"itemData":{"id":882,"type":"article-journal","container-title":"Hypatia","DOI":"10.1111/j.1527-2001.2004.tb01303.x","ISSN":"08875367","issue":"3","language":"en","page":"85-120","source":"DOI.org (Crossref)","title":"Individuals-in-Communities: The Search for a Feminist Model of Epistemic Subjects","title-short":"Individuals-in-Communities","volume":"19","author":[{"family":"Grasswick","given":"Heidi E."}],"issued":{"date-parts":[["2004",8]]}},"locator":"104","label":"page"}],"schema":"https://github.com/citation-style-language/schema/raw/master/csl-citation.json"} </w:instrText>
      </w:r>
      <w:r w:rsidR="008C484F" w:rsidRPr="009B1F4E">
        <w:rPr>
          <w:rFonts w:ascii="Garamond" w:hAnsi="Garamond" w:cs="Calibri"/>
          <w:color w:val="000000" w:themeColor="text1"/>
        </w:rPr>
        <w:fldChar w:fldCharType="separate"/>
      </w:r>
      <w:r w:rsidR="008C484F" w:rsidRPr="009B1F4E">
        <w:rPr>
          <w:rFonts w:ascii="Garamond" w:hAnsi="Garamond" w:cs="Calibri"/>
          <w:noProof/>
          <w:color w:val="000000" w:themeColor="text1"/>
        </w:rPr>
        <w:t>(Grasswick 2004, 104)</w:t>
      </w:r>
      <w:r w:rsidR="008C484F" w:rsidRPr="009B1F4E">
        <w:rPr>
          <w:rFonts w:ascii="Garamond" w:hAnsi="Garamond" w:cs="Calibri"/>
          <w:color w:val="000000" w:themeColor="text1"/>
        </w:rPr>
        <w:fldChar w:fldCharType="end"/>
      </w:r>
      <w:r w:rsidR="008C484F" w:rsidRPr="009B1F4E">
        <w:rPr>
          <w:rFonts w:ascii="Garamond" w:hAnsi="Garamond" w:cs="Calibri"/>
          <w:color w:val="000000" w:themeColor="text1"/>
        </w:rPr>
        <w:t xml:space="preserve">. So, </w:t>
      </w:r>
      <w:r w:rsidR="00150E51" w:rsidRPr="009B1F4E">
        <w:rPr>
          <w:rFonts w:ascii="Garamond" w:hAnsi="Garamond" w:cs="Calibri"/>
          <w:color w:val="000000" w:themeColor="text1"/>
        </w:rPr>
        <w:t>concerning</w:t>
      </w:r>
      <w:r w:rsidR="008C484F" w:rsidRPr="009B1F4E">
        <w:rPr>
          <w:rFonts w:ascii="Garamond" w:hAnsi="Garamond" w:cs="Calibri"/>
          <w:color w:val="000000" w:themeColor="text1"/>
        </w:rPr>
        <w:t xml:space="preserve"> assessor-teaching, parents need to guide their children not just to what’s important to them</w:t>
      </w:r>
      <w:r w:rsidR="005310DB" w:rsidRPr="009B1F4E">
        <w:rPr>
          <w:rFonts w:ascii="Garamond" w:hAnsi="Garamond" w:cs="Calibri"/>
          <w:color w:val="000000" w:themeColor="text1"/>
        </w:rPr>
        <w:t xml:space="preserve"> (the parents)</w:t>
      </w:r>
      <w:r w:rsidR="008C484F" w:rsidRPr="009B1F4E">
        <w:rPr>
          <w:rFonts w:ascii="Garamond" w:hAnsi="Garamond" w:cs="Calibri"/>
          <w:color w:val="000000" w:themeColor="text1"/>
        </w:rPr>
        <w:t xml:space="preserve"> but </w:t>
      </w:r>
      <w:r w:rsidR="00181D34">
        <w:rPr>
          <w:rFonts w:ascii="Garamond" w:hAnsi="Garamond" w:cs="Calibri"/>
          <w:color w:val="000000" w:themeColor="text1"/>
        </w:rPr>
        <w:t xml:space="preserve">also to </w:t>
      </w:r>
      <w:r w:rsidR="008C484F" w:rsidRPr="009B1F4E">
        <w:rPr>
          <w:rFonts w:ascii="Garamond" w:hAnsi="Garamond" w:cs="Calibri"/>
          <w:color w:val="000000" w:themeColor="text1"/>
        </w:rPr>
        <w:t>what’s important for them</w:t>
      </w:r>
      <w:r w:rsidR="005310DB" w:rsidRPr="009B1F4E">
        <w:rPr>
          <w:rFonts w:ascii="Garamond" w:hAnsi="Garamond" w:cs="Calibri"/>
          <w:color w:val="000000" w:themeColor="text1"/>
        </w:rPr>
        <w:t xml:space="preserve"> (the children)</w:t>
      </w:r>
      <w:r w:rsidR="008C484F" w:rsidRPr="009B1F4E">
        <w:rPr>
          <w:rFonts w:ascii="Garamond" w:hAnsi="Garamond" w:cs="Calibri"/>
          <w:color w:val="000000" w:themeColor="text1"/>
        </w:rPr>
        <w:t xml:space="preserve"> to know </w:t>
      </w:r>
      <w:proofErr w:type="gramStart"/>
      <w:r w:rsidR="005310DB" w:rsidRPr="009B1F4E">
        <w:rPr>
          <w:rFonts w:ascii="Garamond" w:hAnsi="Garamond" w:cs="Calibri"/>
          <w:color w:val="000000" w:themeColor="text1"/>
        </w:rPr>
        <w:t xml:space="preserve">in order </w:t>
      </w:r>
      <w:r w:rsidR="008C484F" w:rsidRPr="009B1F4E">
        <w:rPr>
          <w:rFonts w:ascii="Garamond" w:hAnsi="Garamond" w:cs="Calibri"/>
          <w:color w:val="000000" w:themeColor="text1"/>
        </w:rPr>
        <w:t>to</w:t>
      </w:r>
      <w:proofErr w:type="gramEnd"/>
      <w:r w:rsidR="008C484F" w:rsidRPr="009B1F4E">
        <w:rPr>
          <w:rFonts w:ascii="Garamond" w:hAnsi="Garamond" w:cs="Calibri"/>
          <w:color w:val="000000" w:themeColor="text1"/>
        </w:rPr>
        <w:t xml:space="preserve"> flourish within their particular or future community. Epistemic norms set a standard for what lies within a community’s range of relevance and outside of it, thereby allowing parents to evaluate their offspring’s activities with this in mind. Parents might, for </w:t>
      </w:r>
      <w:r w:rsidR="008C484F" w:rsidRPr="009B1F4E">
        <w:rPr>
          <w:rFonts w:ascii="Garamond" w:hAnsi="Garamond" w:cs="Calibri"/>
          <w:color w:val="000000" w:themeColor="text1"/>
        </w:rPr>
        <w:lastRenderedPageBreak/>
        <w:t xml:space="preserve">example, need to instruct their children regarding which parts of their surroundings </w:t>
      </w:r>
      <w:r w:rsidR="00150E51" w:rsidRPr="009B1F4E">
        <w:rPr>
          <w:rFonts w:ascii="Garamond" w:hAnsi="Garamond" w:cs="Calibri"/>
          <w:color w:val="000000" w:themeColor="text1"/>
        </w:rPr>
        <w:t>they should</w:t>
      </w:r>
      <w:r w:rsidR="008C484F" w:rsidRPr="009B1F4E">
        <w:rPr>
          <w:rFonts w:ascii="Garamond" w:hAnsi="Garamond" w:cs="Calibri"/>
          <w:color w:val="000000" w:themeColor="text1"/>
        </w:rPr>
        <w:t xml:space="preserve"> learn about — how prey can </w:t>
      </w:r>
      <w:proofErr w:type="gramStart"/>
      <w:r w:rsidR="008C484F" w:rsidRPr="009B1F4E">
        <w:rPr>
          <w:rFonts w:ascii="Garamond" w:hAnsi="Garamond" w:cs="Calibri"/>
          <w:color w:val="000000" w:themeColor="text1"/>
        </w:rPr>
        <w:t>be located in</w:t>
      </w:r>
      <w:proofErr w:type="gramEnd"/>
      <w:r w:rsidR="008C484F" w:rsidRPr="009B1F4E">
        <w:rPr>
          <w:rFonts w:ascii="Garamond" w:hAnsi="Garamond" w:cs="Calibri"/>
          <w:color w:val="000000" w:themeColor="text1"/>
        </w:rPr>
        <w:t xml:space="preserve"> a specific environment — and which parts can be ignored.</w:t>
      </w:r>
    </w:p>
    <w:p w14:paraId="39DBF7A4" w14:textId="24080A69" w:rsidR="0049543B" w:rsidRPr="009B1F4E" w:rsidRDefault="0049543B" w:rsidP="0049543B">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Relatedly, such norms also set ranges of relevance for what particular individuals-in-communities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{"citationID":"8krmSxxE","properties":{"formattedCitation":"(Grasswick 2004)","plainCitation":"(Grasswick 2004)","noteIndex":0},"citationItems":[{"id":882,"uris":["http://zotero.org/users/local/jz7T3Opo/items/9FRJMPK3"],"itemData":{"id":882,"type":"article-journal","container-title":"Hypatia","DOI":"10.1111/j.1527-2001.2004.tb01303.x","ISSN":"08875367","issue":"3","language":"en","page":"85-120","source":"DOI.org (Crossref)","title":"Individuals-in-Communities: The Search for a Feminist Model of Epistemic Subjects","title-short":"Individuals-in-Communities","volume":"19","author":[{"family":"Grasswick","given":"Heidi E."}],"issued":{"date-parts":[["2004",8]]}}}],"schema":"https://github.com/citation-style-language/schema/raw/master/csl-citation.json"}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(Grasswick 2004)</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are supposed to know. This becomes especially pertinent in cases of division of labour, where members of the same social group need to learn different things. Consider, for example, how the production of complex tools (which require division of labour) makes it essential for parents</w:t>
      </w:r>
      <w:r w:rsidR="00FD3DC3" w:rsidRPr="009B1F4E">
        <w:rPr>
          <w:rFonts w:ascii="Garamond" w:hAnsi="Garamond" w:cs="Calibri"/>
          <w:color w:val="000000" w:themeColor="text1"/>
        </w:rPr>
        <w:t xml:space="preserve"> (or other teachers)</w:t>
      </w:r>
      <w:r w:rsidRPr="009B1F4E">
        <w:rPr>
          <w:rFonts w:ascii="Garamond" w:hAnsi="Garamond" w:cs="Calibri"/>
          <w:color w:val="000000" w:themeColor="text1"/>
        </w:rPr>
        <w:t xml:space="preserve"> to </w:t>
      </w:r>
      <w:r w:rsidR="00316DCF" w:rsidRPr="009B1F4E">
        <w:rPr>
          <w:rFonts w:ascii="Garamond" w:hAnsi="Garamond" w:cs="Calibri"/>
          <w:color w:val="000000" w:themeColor="text1"/>
        </w:rPr>
        <w:t xml:space="preserve">teach </w:t>
      </w:r>
      <w:r w:rsidR="001D546F" w:rsidRPr="009B1F4E">
        <w:rPr>
          <w:rFonts w:ascii="Garamond" w:hAnsi="Garamond" w:cs="Calibri"/>
          <w:color w:val="000000" w:themeColor="text1"/>
        </w:rPr>
        <w:t xml:space="preserve">learners </w:t>
      </w:r>
      <w:r w:rsidRPr="009B1F4E">
        <w:rPr>
          <w:rFonts w:ascii="Garamond" w:hAnsi="Garamond" w:cs="Calibri"/>
          <w:color w:val="000000" w:themeColor="text1"/>
        </w:rPr>
        <w:t>in ways that enable them to acquire the skills relevant to one step in the tool-production process but ignore others.</w:t>
      </w:r>
    </w:p>
    <w:p w14:paraId="01B0E7C2" w14:textId="017DC31F" w:rsidR="0049543B" w:rsidRPr="009B1F4E" w:rsidRDefault="0049543B" w:rsidP="0049543B">
      <w:pPr>
        <w:spacing w:line="360" w:lineRule="auto"/>
        <w:jc w:val="both"/>
        <w:rPr>
          <w:rFonts w:ascii="Garamond" w:hAnsi="Garamond" w:cs="Calibri"/>
          <w:color w:val="000000" w:themeColor="text1"/>
        </w:rPr>
      </w:pPr>
      <w:r w:rsidRPr="009B1F4E">
        <w:rPr>
          <w:rFonts w:ascii="Garamond" w:hAnsi="Garamond" w:cs="Calibri"/>
          <w:color w:val="000000" w:themeColor="text1"/>
        </w:rPr>
        <w:t>Epistemic coordination-norms thus specify the content of cultural learning. They specify what all agents need to know (e.g., how prey can be located, how their group hunts), what all can safely ignore, and what specific individuals need to know (e.g., a particular step in the toolmaking process) or can ignore.</w:t>
      </w:r>
    </w:p>
    <w:p w14:paraId="0EF4F290" w14:textId="4384BF3E" w:rsidR="00084766" w:rsidRPr="009B1F4E" w:rsidRDefault="0049543B" w:rsidP="0049543B">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Second, once social groups have coordinated around </w:t>
      </w:r>
      <w:r w:rsidRPr="009B1F4E">
        <w:rPr>
          <w:rFonts w:ascii="Garamond" w:hAnsi="Garamond" w:cs="Calibri"/>
          <w:i/>
          <w:iCs/>
          <w:color w:val="000000" w:themeColor="text1"/>
        </w:rPr>
        <w:t>what</w:t>
      </w:r>
      <w:r w:rsidRPr="009B1F4E">
        <w:rPr>
          <w:rFonts w:ascii="Garamond" w:hAnsi="Garamond" w:cs="Calibri"/>
          <w:color w:val="000000" w:themeColor="text1"/>
        </w:rPr>
        <w:t xml:space="preserve"> learners need to know, there </w:t>
      </w:r>
      <w:r w:rsidR="002836F3" w:rsidRPr="009B1F4E">
        <w:rPr>
          <w:rFonts w:ascii="Garamond" w:hAnsi="Garamond" w:cs="Calibri"/>
          <w:color w:val="000000" w:themeColor="text1"/>
        </w:rPr>
        <w:t>is</w:t>
      </w:r>
      <w:r w:rsidRPr="009B1F4E">
        <w:rPr>
          <w:rFonts w:ascii="Garamond" w:hAnsi="Garamond" w:cs="Calibri"/>
          <w:color w:val="000000" w:themeColor="text1"/>
        </w:rPr>
        <w:t xml:space="preserve"> a</w:t>
      </w:r>
      <w:r w:rsidR="002836F3" w:rsidRPr="009B1F4E">
        <w:rPr>
          <w:rFonts w:ascii="Garamond" w:hAnsi="Garamond" w:cs="Calibri"/>
          <w:color w:val="000000" w:themeColor="text1"/>
        </w:rPr>
        <w:t>dditionally a</w:t>
      </w:r>
      <w:r w:rsidRPr="009B1F4E">
        <w:rPr>
          <w:rFonts w:ascii="Garamond" w:hAnsi="Garamond" w:cs="Calibri"/>
          <w:color w:val="000000" w:themeColor="text1"/>
        </w:rPr>
        <w:t xml:space="preserve"> need to coordinate how learners might do these things correctly. For example, on Jonathan Birch’s </w:t>
      </w:r>
      <w:r w:rsidRPr="009B1F4E">
        <w:rPr>
          <w:rFonts w:ascii="Garamond" w:hAnsi="Garamond" w:cs="Calibri"/>
          <w:color w:val="000000" w:themeColor="text1"/>
        </w:rPr>
        <w:fldChar w:fldCharType="begin"/>
      </w:r>
      <w:r w:rsidR="0002408A" w:rsidRPr="009B1F4E">
        <w:rPr>
          <w:rFonts w:ascii="Garamond" w:hAnsi="Garamond" w:cs="Calibri"/>
          <w:color w:val="000000" w:themeColor="text1"/>
        </w:rPr>
        <w:instrText xml:space="preserve"> ADDIN ZOTERO_ITEM CSL_CITATION {"citationID":"dbPyOV7q","properties":{"formattedCitation":"(2021a)","plainCitation":"(2021a)","noteIndex":0},"citationItems":[{"id":505,"uris":["http://zotero.org/users/local/jz7T3Opo/items/V2YJ9ATX"],"itemData":{"id":505,"type":"article-journal","abstract":"We are all guided by thousands of norms, but how did our capacity for normative cognition evolve? I propose there is a deep but neglected link between normative cognition and practical skill. In modern humans, complex motor skills and craft skills, such as toolmaking, are guided by internally represented norms of correct performance. Moreover, it is plausible that core components of human normative cognition evolved as a solution to the distinctive problems of transmitting complex motor skills and craft skills, especially skills related to toolmaking, through social learning. If this is correct, the expansion of the normative domain beyond technique to encompass more abstract norms of fairness, reciprocity, ritual and kinship involved the elaboration of a basic platform for the guidance of skilled action by technical norms. This article motivates and defends this “skill hypothesis” for the origin of normative cognition and sets out various ways in which it could be empirically tested.","container-title":"Biology &amp; Philosophy","DOI":"10.1007/s10539-020-09777-9","ISSN":"0169-3867, 1572-8404","issue":"1","journalAbbreviation":"Biol Philos","language":"en","page":"4","source":"DOI.org (Crossref)","title":"Toolmaking and the evolution of normative cognition","volume":"36","author":[{"family":"Birch","given":"Jonathan"}],"issued":{"date-parts":[["2021",2]]}},"label":"page","suppress-author":true}],"schema":"https://github.com/citation-style-language/schema/raw/master/csl-citation.json"} </w:instrText>
      </w:r>
      <w:r w:rsidRPr="009B1F4E">
        <w:rPr>
          <w:rFonts w:ascii="Garamond" w:hAnsi="Garamond" w:cs="Calibri"/>
          <w:color w:val="000000" w:themeColor="text1"/>
        </w:rPr>
        <w:fldChar w:fldCharType="separate"/>
      </w:r>
      <w:r w:rsidR="0002408A" w:rsidRPr="009B1F4E">
        <w:rPr>
          <w:rFonts w:ascii="Garamond" w:hAnsi="Garamond" w:cs="Calibri"/>
          <w:noProof/>
          <w:color w:val="000000" w:themeColor="text1"/>
        </w:rPr>
        <w:t>(2021a)</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account </w:t>
      </w:r>
      <w:r w:rsidR="002836F3" w:rsidRPr="009B1F4E">
        <w:rPr>
          <w:rFonts w:ascii="Garamond" w:hAnsi="Garamond" w:cs="Calibri"/>
          <w:color w:val="000000" w:themeColor="text1"/>
        </w:rPr>
        <w:t>of</w:t>
      </w:r>
      <w:r w:rsidRPr="009B1F4E">
        <w:rPr>
          <w:rFonts w:ascii="Garamond" w:hAnsi="Garamond" w:cs="Calibri"/>
          <w:color w:val="000000" w:themeColor="text1"/>
        </w:rPr>
        <w:t xml:space="preserve"> the evolution of norms, hominins needed to coordinate on the standards of toolmaking.</w:t>
      </w:r>
      <w:r w:rsidR="002836F3" w:rsidRPr="009B1F4E">
        <w:rPr>
          <w:rFonts w:ascii="Garamond" w:hAnsi="Garamond" w:cs="Calibri"/>
          <w:color w:val="000000" w:themeColor="text1"/>
        </w:rPr>
        <w:t xml:space="preserve"> They needed to coordinate on what would count as a good tool </w:t>
      </w:r>
      <w:proofErr w:type="gramStart"/>
      <w:r w:rsidR="002836F3" w:rsidRPr="009B1F4E">
        <w:rPr>
          <w:rFonts w:ascii="Garamond" w:hAnsi="Garamond" w:cs="Calibri"/>
          <w:color w:val="000000" w:themeColor="text1"/>
        </w:rPr>
        <w:t>in a given</w:t>
      </w:r>
      <w:proofErr w:type="gramEnd"/>
      <w:r w:rsidR="002836F3" w:rsidRPr="009B1F4E">
        <w:rPr>
          <w:rFonts w:ascii="Garamond" w:hAnsi="Garamond" w:cs="Calibri"/>
          <w:color w:val="000000" w:themeColor="text1"/>
        </w:rPr>
        <w:t xml:space="preserve"> context and how </w:t>
      </w:r>
      <w:r w:rsidR="00D31427">
        <w:rPr>
          <w:rFonts w:ascii="Garamond" w:hAnsi="Garamond" w:cs="Calibri"/>
          <w:color w:val="000000" w:themeColor="text1"/>
        </w:rPr>
        <w:t>such tools</w:t>
      </w:r>
      <w:r w:rsidR="002836F3" w:rsidRPr="009B1F4E">
        <w:rPr>
          <w:rFonts w:ascii="Garamond" w:hAnsi="Garamond" w:cs="Calibri"/>
          <w:color w:val="000000" w:themeColor="text1"/>
        </w:rPr>
        <w:t xml:space="preserve"> could be produced.</w:t>
      </w:r>
      <w:r w:rsidRPr="009B1F4E">
        <w:rPr>
          <w:rFonts w:ascii="Garamond" w:hAnsi="Garamond" w:cs="Calibri"/>
          <w:color w:val="000000" w:themeColor="text1"/>
        </w:rPr>
        <w:t xml:space="preserve"> Hence, cultural learning — e.g., parents’ evaluations of their offspring’s </w:t>
      </w:r>
      <w:proofErr w:type="gramStart"/>
      <w:r w:rsidRPr="009B1F4E">
        <w:rPr>
          <w:rFonts w:ascii="Garamond" w:hAnsi="Garamond" w:cs="Calibri"/>
          <w:color w:val="000000" w:themeColor="text1"/>
        </w:rPr>
        <w:t>attempts</w:t>
      </w:r>
      <w:proofErr w:type="gramEnd"/>
      <w:r w:rsidRPr="009B1F4E">
        <w:rPr>
          <w:rFonts w:ascii="Garamond" w:hAnsi="Garamond" w:cs="Calibri"/>
          <w:color w:val="000000" w:themeColor="text1"/>
        </w:rPr>
        <w:t xml:space="preserve"> in toolmaking — needs to stand in relation to such norms to be successful. </w:t>
      </w:r>
      <w:r w:rsidR="002836F3" w:rsidRPr="009B1F4E">
        <w:rPr>
          <w:rFonts w:ascii="Garamond" w:hAnsi="Garamond" w:cs="Calibri"/>
          <w:color w:val="000000" w:themeColor="text1"/>
        </w:rPr>
        <w:t xml:space="preserve">Parents’ evaluations of their offspring's toolmaking attempts must be guided by the norms regulating what counts as a good tool </w:t>
      </w:r>
      <w:proofErr w:type="gramStart"/>
      <w:r w:rsidR="002836F3" w:rsidRPr="009B1F4E">
        <w:rPr>
          <w:rFonts w:ascii="Garamond" w:hAnsi="Garamond" w:cs="Calibri"/>
          <w:color w:val="000000" w:themeColor="text1"/>
        </w:rPr>
        <w:t>in a given</w:t>
      </w:r>
      <w:proofErr w:type="gramEnd"/>
      <w:r w:rsidR="002836F3" w:rsidRPr="009B1F4E">
        <w:rPr>
          <w:rFonts w:ascii="Garamond" w:hAnsi="Garamond" w:cs="Calibri"/>
          <w:color w:val="000000" w:themeColor="text1"/>
        </w:rPr>
        <w:t xml:space="preserve"> context.</w:t>
      </w:r>
    </w:p>
    <w:p w14:paraId="1C467D58" w14:textId="4225ADB5" w:rsidR="00B525B7" w:rsidRPr="009B1F4E" w:rsidRDefault="00B525B7" w:rsidP="0049543B">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Interestingly, </w:t>
      </w:r>
      <w:r w:rsidRPr="009B1F4E">
        <w:rPr>
          <w:rFonts w:ascii="Garamond" w:hAnsi="Garamond"/>
          <w:color w:val="000000" w:themeColor="text1"/>
        </w:rPr>
        <w:t xml:space="preserve">there’s evidence in favour of </w:t>
      </w:r>
      <w:r w:rsidR="00B422CC" w:rsidRPr="009B1F4E">
        <w:rPr>
          <w:rFonts w:ascii="Garamond" w:hAnsi="Garamond"/>
          <w:color w:val="000000" w:themeColor="text1"/>
        </w:rPr>
        <w:t xml:space="preserve">increased </w:t>
      </w:r>
      <w:r w:rsidRPr="009B1F4E">
        <w:rPr>
          <w:rFonts w:ascii="Garamond" w:hAnsi="Garamond"/>
          <w:color w:val="000000" w:themeColor="text1"/>
        </w:rPr>
        <w:t xml:space="preserve">standardisation in toolmaking in the Acheulean </w:t>
      </w:r>
      <w:r w:rsidRPr="009B1F4E">
        <w:rPr>
          <w:rFonts w:ascii="Garamond" w:hAnsi="Garamond"/>
          <w:color w:val="000000" w:themeColor="text1"/>
        </w:rPr>
        <w:fldChar w:fldCharType="begin"/>
      </w:r>
      <w:r w:rsidR="00205D66" w:rsidRPr="009B1F4E">
        <w:rPr>
          <w:rFonts w:ascii="Garamond" w:hAnsi="Garamond"/>
          <w:color w:val="000000" w:themeColor="text1"/>
        </w:rPr>
        <w:instrText xml:space="preserve"> ADDIN ZOTERO_ITEM CSL_CITATION {"citationID":"BDJNaznh","properties":{"formattedCitation":"(Garc\\uc0\\u237{}a-Medrano et al. 2022)","plainCitation":"(García-Medrano et al. 2022)","noteIndex":0},"citationItems":[{"id":1650,"uris":["http://zotero.org/users/local/jz7T3Opo/items/NZFS9WG4"],"itemData":{"id":1650,"type":"article-journal","abstract":"The appearance of the Acheulean and the production of new bifacial tools marked a revolution in human behavior. The use of longer and complex operative chains, with centripetal and recurrent knapping, adapted to different raw materials, created long useful edges, converging in a functional distal end. How and why these handaxes vary has been the subject of intense debates. Britain provides a clearly defined region at the edge of the hominin occupied world for discussing variation in Acheulean assemblages. The environmental changes from MIS 15 to MIS 11 are significant in understanding population change, with probable breaks in evidence during MIS 14 and MIS 12, followed by several sites during the long stable climate of MIS11c. In this latter period, different Acheulean technological expressions appear to coexist in Britain. This paper draws together different studies, combining technology and geometric morphometrics to analyze handaxes from six British sites: Brandon Fields, Boxgrove (Q1B), High Lodge, Hitchin, Swanscombe (UMG), and Elveden. Compared to the earlier Acheulean of MIS 15, the assemblages of MIS 13 show increased standardization and the use of soft hammer percussion for thinning mid-sections and butts of tools, or sharpening tips through tranchet removals. Although there is regional population discontinuity through MIS12 there is no evidence of a marked change in technology after this glacial period. Rather, there is a development towards more intense shaping with the same underlying techniques, but with flexibility in imposed handaxe form. From MIS11 there appear to be distinctive localized traditions of manufacture, which suggest that a recognition of place and territories had developed by this time. These are expressed over medium time-scales of several thousand years and have significance for how we view cultural expression and transmission.","container-title":"Frontiers in Earth Science","DOI":"10.3389/feart.2022.917207","ISSN":"2296-6463","journalAbbreviation":"Front. Earth Sci.","language":"English","note":"publisher: Frontiers","source":"Frontiers","title":"Acheulean Diversity in Britain (MIS 15-MIS11): From the Standardization to the Regionalization of Technology","title-short":"Acheulean Diversity in Britain (MIS 15-MIS11)","URL":"https://www.frontiersin.org/articles/10.3389/feart.2022.917207","volume":"10","author":[{"family":"García-Medrano","given":"Paula"},{"family":"Shipton","given":"Ceri"},{"family":"White","given":"Mark"},{"family":"Ashton","given":"Nick"}],"accessed":{"date-parts":[["2024",3,11]]},"issued":{"date-parts":[["2022",6,8]]}}}],"schema":"https://github.com/citation-style-language/schema/raw/master/csl-citation.json"} </w:instrText>
      </w:r>
      <w:r w:rsidRPr="009B1F4E">
        <w:rPr>
          <w:rFonts w:ascii="Garamond" w:hAnsi="Garamond"/>
          <w:color w:val="000000" w:themeColor="text1"/>
        </w:rPr>
        <w:fldChar w:fldCharType="separate"/>
      </w:r>
      <w:r w:rsidRPr="009B1F4E">
        <w:rPr>
          <w:rFonts w:ascii="Garamond" w:hAnsi="Garamond"/>
          <w:color w:val="000000" w:themeColor="text1"/>
          <w:lang w:val="en-US"/>
        </w:rPr>
        <w:t>(García-Medrano et al. 2022)</w:t>
      </w:r>
      <w:r w:rsidRPr="009B1F4E">
        <w:rPr>
          <w:rFonts w:ascii="Garamond" w:hAnsi="Garamond"/>
          <w:color w:val="000000" w:themeColor="text1"/>
        </w:rPr>
        <w:fldChar w:fldCharType="end"/>
      </w:r>
      <w:r w:rsidRPr="009B1F4E">
        <w:rPr>
          <w:rFonts w:ascii="Garamond" w:hAnsi="Garamond"/>
          <w:color w:val="000000" w:themeColor="text1"/>
        </w:rPr>
        <w:t>. Importantly, standardisation is often specific to certain sites</w:t>
      </w:r>
      <w:r w:rsidR="00084766" w:rsidRPr="009B1F4E">
        <w:rPr>
          <w:rFonts w:ascii="Garamond" w:hAnsi="Garamond"/>
          <w:color w:val="000000" w:themeColor="text1"/>
        </w:rPr>
        <w:t>,</w:t>
      </w:r>
      <w:r w:rsidRPr="009B1F4E">
        <w:rPr>
          <w:rFonts w:ascii="Garamond" w:hAnsi="Garamond"/>
          <w:color w:val="000000" w:themeColor="text1"/>
        </w:rPr>
        <w:t xml:space="preserve"> and quantitative, i.e. tools at </w:t>
      </w:r>
      <w:proofErr w:type="gramStart"/>
      <w:r w:rsidRPr="009B1F4E">
        <w:rPr>
          <w:rFonts w:ascii="Garamond" w:hAnsi="Garamond"/>
          <w:color w:val="000000" w:themeColor="text1"/>
        </w:rPr>
        <w:t>particular sites</w:t>
      </w:r>
      <w:proofErr w:type="gramEnd"/>
      <w:r w:rsidRPr="009B1F4E">
        <w:rPr>
          <w:rFonts w:ascii="Garamond" w:hAnsi="Garamond"/>
          <w:color w:val="000000" w:themeColor="text1"/>
        </w:rPr>
        <w:t xml:space="preserve"> are more often than not made in a particular fashion. I take it that this </w:t>
      </w:r>
      <w:r w:rsidR="00B422CC" w:rsidRPr="009B1F4E">
        <w:rPr>
          <w:rFonts w:ascii="Garamond" w:hAnsi="Garamond"/>
          <w:color w:val="000000" w:themeColor="text1"/>
        </w:rPr>
        <w:t xml:space="preserve">can be read to </w:t>
      </w:r>
      <w:r w:rsidRPr="009B1F4E">
        <w:rPr>
          <w:rFonts w:ascii="Garamond" w:hAnsi="Garamond"/>
          <w:color w:val="000000" w:themeColor="text1"/>
        </w:rPr>
        <w:t>support my view, as coordination-norms are context-specific: Different sites might have coordinated differently on what counts as a good tool</w:t>
      </w:r>
      <w:r w:rsidR="00084766" w:rsidRPr="009B1F4E">
        <w:rPr>
          <w:rFonts w:ascii="Garamond" w:hAnsi="Garamond"/>
          <w:color w:val="000000" w:themeColor="text1"/>
        </w:rPr>
        <w:t xml:space="preserve"> </w:t>
      </w:r>
      <w:r w:rsidRPr="009B1F4E">
        <w:rPr>
          <w:rFonts w:ascii="Garamond" w:hAnsi="Garamond"/>
          <w:color w:val="000000" w:themeColor="text1"/>
        </w:rPr>
        <w:t>and how that tool is supposed to be produced.</w:t>
      </w:r>
      <w:r w:rsidR="00B422CC" w:rsidRPr="009B1F4E">
        <w:rPr>
          <w:rFonts w:ascii="Garamond" w:hAnsi="Garamond"/>
          <w:color w:val="000000" w:themeColor="text1"/>
        </w:rPr>
        <w:t xml:space="preserve"> </w:t>
      </w:r>
      <w:r w:rsidR="00084766" w:rsidRPr="009B1F4E">
        <w:rPr>
          <w:rFonts w:ascii="Garamond" w:hAnsi="Garamond"/>
          <w:color w:val="000000" w:themeColor="text1"/>
        </w:rPr>
        <w:t>In</w:t>
      </w:r>
      <w:r w:rsidR="00B422CC" w:rsidRPr="009B1F4E">
        <w:rPr>
          <w:rFonts w:ascii="Garamond" w:hAnsi="Garamond"/>
          <w:color w:val="000000" w:themeColor="text1"/>
        </w:rPr>
        <w:t xml:space="preserve"> the beginning, these norms might have been rather vague, thus allowing for differences in toolmaking, but have increased in specificity over time, </w:t>
      </w:r>
      <w:r w:rsidR="00084766" w:rsidRPr="009B1F4E">
        <w:rPr>
          <w:rFonts w:ascii="Garamond" w:hAnsi="Garamond"/>
          <w:color w:val="000000" w:themeColor="text1"/>
        </w:rPr>
        <w:t>hence</w:t>
      </w:r>
      <w:r w:rsidR="00B422CC" w:rsidRPr="009B1F4E">
        <w:rPr>
          <w:rFonts w:ascii="Garamond" w:hAnsi="Garamond"/>
          <w:color w:val="000000" w:themeColor="text1"/>
        </w:rPr>
        <w:t xml:space="preserve"> the increase in standardisation.</w:t>
      </w:r>
      <w:r w:rsidR="00A73F4C" w:rsidRPr="009B1F4E">
        <w:rPr>
          <w:rFonts w:ascii="Garamond" w:hAnsi="Garamond"/>
          <w:color w:val="000000" w:themeColor="text1"/>
        </w:rPr>
        <w:t xml:space="preserve"> These norms might also have allowed for multiple ways of creating these tools </w:t>
      </w:r>
      <w:proofErr w:type="gramStart"/>
      <w:r w:rsidR="00A73F4C" w:rsidRPr="009B1F4E">
        <w:rPr>
          <w:rFonts w:ascii="Garamond" w:hAnsi="Garamond"/>
          <w:color w:val="000000" w:themeColor="text1"/>
        </w:rPr>
        <w:t>as long as</w:t>
      </w:r>
      <w:proofErr w:type="gramEnd"/>
      <w:r w:rsidR="00A73F4C" w:rsidRPr="009B1F4E">
        <w:rPr>
          <w:rFonts w:ascii="Garamond" w:hAnsi="Garamond"/>
          <w:color w:val="000000" w:themeColor="text1"/>
        </w:rPr>
        <w:t xml:space="preserve"> they ultimately possessed certain features.</w:t>
      </w:r>
      <w:r w:rsidRPr="009B1F4E">
        <w:rPr>
          <w:rStyle w:val="Funotenzeichen"/>
          <w:rFonts w:ascii="Garamond" w:hAnsi="Garamond" w:cs="Calibri"/>
          <w:color w:val="000000" w:themeColor="text1"/>
        </w:rPr>
        <w:footnoteReference w:id="11"/>
      </w:r>
      <w:r w:rsidR="002836F3" w:rsidRPr="009B1F4E">
        <w:rPr>
          <w:rFonts w:ascii="Garamond" w:hAnsi="Garamond" w:cs="Calibri"/>
          <w:color w:val="000000" w:themeColor="text1"/>
        </w:rPr>
        <w:t xml:space="preserve"> </w:t>
      </w:r>
    </w:p>
    <w:p w14:paraId="7FE2EA2F" w14:textId="76BCCA99" w:rsidR="0049543B" w:rsidRPr="009B1F4E" w:rsidRDefault="0049543B" w:rsidP="0049543B">
      <w:pPr>
        <w:spacing w:line="360" w:lineRule="auto"/>
        <w:jc w:val="both"/>
        <w:rPr>
          <w:rFonts w:ascii="Garamond" w:hAnsi="Garamond" w:cs="Calibri"/>
          <w:color w:val="000000" w:themeColor="text1"/>
        </w:rPr>
      </w:pPr>
      <w:r w:rsidRPr="009B1F4E">
        <w:rPr>
          <w:rFonts w:ascii="Garamond" w:hAnsi="Garamond" w:cs="Calibri"/>
          <w:color w:val="000000" w:themeColor="text1"/>
        </w:rPr>
        <w:lastRenderedPageBreak/>
        <w:t xml:space="preserve">I’ll discuss Birch’s account in more detail in section 4. For now, it’s important to point out that agents likely also needed to coordinate on how </w:t>
      </w:r>
      <w:r w:rsidR="002836F3" w:rsidRPr="009B1F4E">
        <w:rPr>
          <w:rFonts w:ascii="Garamond" w:hAnsi="Garamond" w:cs="Calibri"/>
          <w:color w:val="000000" w:themeColor="text1"/>
        </w:rPr>
        <w:t xml:space="preserve">they might </w:t>
      </w:r>
      <w:r w:rsidR="00084766" w:rsidRPr="009B1F4E">
        <w:rPr>
          <w:rFonts w:ascii="Garamond" w:hAnsi="Garamond" w:cs="Calibri"/>
          <w:color w:val="000000" w:themeColor="text1"/>
        </w:rPr>
        <w:t xml:space="preserve">correctly employ some of their </w:t>
      </w:r>
      <w:r w:rsidR="00084766" w:rsidRPr="00AC2BA9">
        <w:rPr>
          <w:rFonts w:ascii="Garamond" w:hAnsi="Garamond" w:cs="Calibri"/>
          <w:i/>
          <w:iCs/>
          <w:color w:val="000000" w:themeColor="text1"/>
        </w:rPr>
        <w:t>epistemic</w:t>
      </w:r>
      <w:r w:rsidR="00084766" w:rsidRPr="009B1F4E">
        <w:rPr>
          <w:rFonts w:ascii="Garamond" w:hAnsi="Garamond" w:cs="Calibri"/>
          <w:color w:val="000000" w:themeColor="text1"/>
        </w:rPr>
        <w:t xml:space="preserve"> capacities</w:t>
      </w:r>
      <w:r w:rsidR="002836F3" w:rsidRPr="009B1F4E">
        <w:rPr>
          <w:rFonts w:ascii="Garamond" w:hAnsi="Garamond" w:cs="Calibri"/>
          <w:color w:val="000000" w:themeColor="text1"/>
        </w:rPr>
        <w:t xml:space="preserve">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{"citationID":"QR4yAKiY","properties":{"formattedCitation":"(Sertler 2022; Dotson 2017 sct. 4.1 &amp; 4.3)","plainCitation":"(Sertler 2022; Dotson 2017 sct. 4.1 &amp; 4.3)","noteIndex":0},"citationItems":[{"id":788,"uris":["http://zotero.org/users/local/jz7T3Opo/items/SY7YCQFI"],"itemData":{"id":788,"type":"article-journal","abstract":"Abstract\n            \n              Epistemic dependence refers to our social mechanisms of reliance in practices of knowledge production. Epistemic oppression concerns persistent and unwarranted exclusions from those practices. This article examines the relationship between these two frameworks and demonstrates that attending to their relationship is a fruitful practice for applied epistemology. Paying attention to relations of epistemic dependence and how exclusive they are can help us track epistemically oppressive practices. In order to show this, I introduce a taxonomy of epistemic dependence (interpersonal – communal – structural). I argue that this particular taxonomy is useful for tracking epistemically oppressive practices in institutional contexts. This is because, first, the forms of epistemic dependence in this taxonomy yield, what I call,\n              diagnostic questions.\n              These are questions that help us track how relations of epistemic dependence could become exclusive and that thus help reveal epistemic oppression in institutional contexts. Second, the forms of epistemic dependence in the taxonomy are interrelated. Paying attention not just to each of three forms of epistemic dependence but also to the way in which they are interrelated is useful for illuminating epistemically oppressive practices. I conclude by demonstrating how the diagnostic questions can be used in analyses of concrete institutional practices in asylum law and higher education.","container-title":"Episteme","DOI":"10.1017/epi.2020.34","ISSN":"1742-3600, 1750-0117","issue":"3","journalAbbreviation":"Episteme","language":"en","page":"394-408","source":"DOI.org (Crossref)","title":"Epistemic Dependence and Oppression: A Telling Relationship","title-short":"Epistemic Dependence and Oppression","volume":"19","author":[{"family":"Sertler","given":"Ezgi"}],"issued":{"date-parts":[["2022"]]}}},{"id":985,"uris":["http://zotero.org/users/local/jz7T3Opo/items/HDJKWJGF"],"itemData":{"id":985,"type":"article-journal","abstract":"In this essay, I offer an epistemological accounting of Pauli Murray’s idea of Jane Crow dynamics. Jane Crow, in my estimation, refers to clashing supremacy systems that provide targets for subordination while removing grounds to demand recourse for said subordination. As a description of an oppressive state, it is an idea of subordination with an epistemological engine. Here, I offer an epistemological reading of Jane Crow dynamics by theorizing three imbricated conditions for Jane Crow, i.e. the occupation of negative, socio-epistemic space, reduced epistemic confidence, and heightened epistemic disavowal. To this end, Jane Crow seems to require routine epistemic failings. In the end, I propose that an epistemological narrative of Jane Crow may also shed light on why invisibility frames figure so prominently in US Black feminist thought.","container-title":"Social Epistemology","DOI":"10.1080/02691728.2017.1346721","ISSN":"0269-1728","issue":"5","note":"publisher: Routledge\n_eprint: https://doi.org/10.1080/02691728.2017.1346721","page":"417-430","source":"Taylor and Francis+NEJM","title":"Theorizing Jane Crow, Theorizing Unknowability","volume":"31","author":[{"family":"Dotson","given":"Kristie"}],"issued":{"date-parts":[["2017",9,3]]}},"label":"page","suffix":"sct. 4.1 &amp; 4.3"}],"schema":"https://github.com/citation-style-language/schema/raw/master/csl-citation.json"}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(Sertler 2022; Dotson 2017 sct. 4.1 &amp; 4.3)</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Or, put differently, there’s a need to coordinate the kinds of epistemic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{"citationID":"PqVxi3is","properties":{"formattedCitation":"(Grasswick 2004)","plainCitation":"(Grasswick 2004)","noteIndex":0},"citationItems":[{"id":882,"uris":["http://zotero.org/users/local/jz7T3Opo/items/9FRJMPK3"],"itemData":{"id":882,"type":"article-journal","container-title":"Hypatia","DOI":"10.1111/j.1527-2001.2004.tb01303.x","ISSN":"08875367","issue":"3","language":"en","page":"85-120","source":"DOI.org (Crossref)","title":"Individuals-in-Communities: The Search for a Feminist Model of Epistemic Subjects","title-short":"Individuals-in-Communities","volume":"19","author":[{"family":"Grasswick","given":"Heidi E."}],"issued":{"date-parts":[["2004",8]]}}}],"schema":"https://github.com/citation-style-language/schema/raw/master/csl-citation.json"}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(Grasswick 2004)</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or hermeneutical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{"citationID":"bp6h5g63","properties":{"formattedCitation":"(Fricker 2007)","plainCitation":"(Fricker 2007)","noteIndex":0},"citationItems":[{"id":668,"uris":["http://zotero.org/users/local/jz7T3Opo/items/T7F2U4DT"],"itemData":{"id":668,"type":"book","publisher":"Oxford University Press","source":"Google Scholar","title":"Epistemic injustice: Power and the ethics of knowing","title-short":"Epistemic injustice","author":[{"family":"Fricker","given":"Miranda"}],"issued":{"date-parts":[["2007"]]}}}],"schema":"https://github.com/citation-style-language/schema/raw/master/csl-citation.json"}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(Fricker 2007)</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resources that we employ (and would like to cultivate in others). As </w:t>
      </w:r>
      <w:proofErr w:type="spellStart"/>
      <w:r w:rsidRPr="009B1F4E">
        <w:rPr>
          <w:rFonts w:ascii="Garamond" w:hAnsi="Garamond" w:cs="Calibri"/>
          <w:color w:val="000000" w:themeColor="text1"/>
        </w:rPr>
        <w:t>Grasswick</w:t>
      </w:r>
      <w:proofErr w:type="spellEnd"/>
      <w:r w:rsidRPr="009B1F4E">
        <w:rPr>
          <w:rFonts w:ascii="Garamond" w:hAnsi="Garamond" w:cs="Calibri"/>
          <w:color w:val="000000" w:themeColor="text1"/>
        </w:rPr>
        <w:t xml:space="preserve"> describes, </w:t>
      </w:r>
      <w:r w:rsidRPr="009B1F4E">
        <w:rPr>
          <w:rStyle w:val="notion-enable-hover"/>
          <w:rFonts w:ascii="Garamond" w:hAnsi="Garamond"/>
          <w:color w:val="000000" w:themeColor="text1"/>
        </w:rPr>
        <w:t xml:space="preserve">“we grow up in communities and learn our epistemic skills within communities” (2004: 100). </w:t>
      </w:r>
      <w:r w:rsidR="00084766" w:rsidRPr="009B1F4E">
        <w:rPr>
          <w:rStyle w:val="notion-enable-hover"/>
          <w:rFonts w:ascii="Garamond" w:hAnsi="Garamond"/>
          <w:color w:val="000000" w:themeColor="text1"/>
        </w:rPr>
        <w:t>How</w:t>
      </w:r>
      <w:r w:rsidRPr="009B1F4E">
        <w:rPr>
          <w:rStyle w:val="notion-enable-hover"/>
          <w:rFonts w:ascii="Garamond" w:hAnsi="Garamond"/>
          <w:color w:val="000000" w:themeColor="text1"/>
        </w:rPr>
        <w:t xml:space="preserve"> we, e.g., reason and exchange reasons is shaped by the social practices of our communities. The idea </w:t>
      </w:r>
      <w:r w:rsidR="00084766" w:rsidRPr="009B1F4E">
        <w:rPr>
          <w:rStyle w:val="notion-enable-hover"/>
          <w:rFonts w:ascii="Garamond" w:hAnsi="Garamond"/>
          <w:color w:val="000000" w:themeColor="text1"/>
        </w:rPr>
        <w:t>is that agents culturally acquired their epistemic skills just as with toolmaking</w:t>
      </w:r>
      <w:r w:rsidR="00316DCF" w:rsidRPr="009B1F4E">
        <w:rPr>
          <w:rStyle w:val="notion-enable-hover"/>
          <w:rFonts w:ascii="Garamond" w:hAnsi="Garamond"/>
          <w:color w:val="000000" w:themeColor="text1"/>
        </w:rPr>
        <w:t>. A</w:t>
      </w:r>
      <w:r w:rsidRPr="009B1F4E">
        <w:rPr>
          <w:rStyle w:val="notion-enable-hover"/>
          <w:rFonts w:ascii="Garamond" w:hAnsi="Garamond"/>
          <w:color w:val="000000" w:themeColor="text1"/>
        </w:rPr>
        <w:t>nd just like toolmaking, epistemic skills</w:t>
      </w:r>
      <w:r w:rsidR="002836F3" w:rsidRPr="009B1F4E">
        <w:rPr>
          <w:rStyle w:val="notion-enable-hover"/>
          <w:rFonts w:ascii="Garamond" w:hAnsi="Garamond"/>
          <w:color w:val="000000" w:themeColor="text1"/>
        </w:rPr>
        <w:t>,</w:t>
      </w:r>
      <w:r w:rsidRPr="009B1F4E">
        <w:rPr>
          <w:rStyle w:val="notion-enable-hover"/>
          <w:rFonts w:ascii="Garamond" w:hAnsi="Garamond"/>
          <w:color w:val="000000" w:themeColor="text1"/>
        </w:rPr>
        <w:t xml:space="preserve"> too</w:t>
      </w:r>
      <w:r w:rsidR="00316DCF" w:rsidRPr="009B1F4E">
        <w:rPr>
          <w:rStyle w:val="notion-enable-hover"/>
          <w:rFonts w:ascii="Garamond" w:hAnsi="Garamond"/>
          <w:color w:val="000000" w:themeColor="text1"/>
        </w:rPr>
        <w:t>,</w:t>
      </w:r>
      <w:r w:rsidRPr="009B1F4E">
        <w:rPr>
          <w:rStyle w:val="notion-enable-hover"/>
          <w:rFonts w:ascii="Garamond" w:hAnsi="Garamond"/>
          <w:color w:val="000000" w:themeColor="text1"/>
        </w:rPr>
        <w:t xml:space="preserve"> are subject to epistemic coordination norms. </w:t>
      </w:r>
      <w:r w:rsidR="00833D41" w:rsidRPr="009B1F4E">
        <w:rPr>
          <w:rStyle w:val="notion-enable-hover"/>
          <w:rFonts w:ascii="Garamond" w:hAnsi="Garamond"/>
          <w:color w:val="000000" w:themeColor="text1"/>
        </w:rPr>
        <w:t xml:space="preserve">So, the cultural acquisition of epistemic skills </w:t>
      </w:r>
      <w:r w:rsidR="002836F3" w:rsidRPr="009B1F4E">
        <w:rPr>
          <w:rStyle w:val="notion-enable-hover"/>
          <w:rFonts w:ascii="Garamond" w:hAnsi="Garamond"/>
          <w:color w:val="000000" w:themeColor="text1"/>
        </w:rPr>
        <w:t>also needs to stand in relation to the norms guiding</w:t>
      </w:r>
      <w:r w:rsidR="00833D41" w:rsidRPr="009B1F4E">
        <w:rPr>
          <w:rStyle w:val="notion-enable-hover"/>
          <w:rFonts w:ascii="Garamond" w:hAnsi="Garamond"/>
          <w:color w:val="000000" w:themeColor="text1"/>
        </w:rPr>
        <w:t xml:space="preserve"> epistemic skills. </w:t>
      </w:r>
      <w:r w:rsidRPr="009B1F4E">
        <w:rPr>
          <w:rFonts w:ascii="Garamond" w:hAnsi="Garamond" w:cs="Calibri"/>
          <w:color w:val="000000" w:themeColor="text1"/>
        </w:rPr>
        <w:t>I’ll expand on this point by drawing from the literature on the evolution of reasoning, but of course</w:t>
      </w:r>
      <w:r w:rsidR="002836F3" w:rsidRPr="009B1F4E">
        <w:rPr>
          <w:rFonts w:ascii="Garamond" w:hAnsi="Garamond" w:cs="Calibri"/>
          <w:color w:val="000000" w:themeColor="text1"/>
        </w:rPr>
        <w:t>,</w:t>
      </w:r>
      <w:r w:rsidRPr="009B1F4E">
        <w:rPr>
          <w:rFonts w:ascii="Garamond" w:hAnsi="Garamond" w:cs="Calibri"/>
          <w:color w:val="000000" w:themeColor="text1"/>
        </w:rPr>
        <w:t xml:space="preserve"> other capacities might also be relevant.</w:t>
      </w:r>
    </w:p>
    <w:p w14:paraId="51AF2079" w14:textId="192B7CDE" w:rsidR="0074697B" w:rsidRPr="009B1F4E" w:rsidRDefault="0074697B" w:rsidP="0074697B">
      <w:pPr>
        <w:spacing w:line="360" w:lineRule="auto"/>
        <w:jc w:val="both"/>
        <w:rPr>
          <w:rFonts w:ascii="Garamond" w:hAnsi="Garamond" w:cs="Calibri"/>
          <w:color w:val="000000" w:themeColor="text1"/>
        </w:rPr>
      </w:pPr>
      <w:r w:rsidRPr="009B1F4E">
        <w:rPr>
          <w:rFonts w:ascii="Garamond" w:hAnsi="Garamond" w:cs="Calibri"/>
          <w:color w:val="000000" w:themeColor="text1"/>
        </w:rPr>
        <w:t>There is a growing consensus that</w:t>
      </w:r>
      <w:r w:rsidR="00084766" w:rsidRPr="009B1F4E">
        <w:rPr>
          <w:rFonts w:ascii="Garamond" w:hAnsi="Garamond" w:cs="Calibri"/>
          <w:color w:val="000000" w:themeColor="text1"/>
        </w:rPr>
        <w:t>,</w:t>
      </w:r>
      <w:r w:rsidRPr="009B1F4E">
        <w:rPr>
          <w:rFonts w:ascii="Garamond" w:hAnsi="Garamond" w:cs="Calibri"/>
          <w:color w:val="000000" w:themeColor="text1"/>
        </w:rPr>
        <w:t xml:space="preserve"> evolutionarily speaking, reasoning is not an individual but rather a social affair. Reasons are not produced by and for the very same individual to arrive at better decisions and attain knowledge. </w:t>
      </w:r>
      <w:r w:rsidR="00084766" w:rsidRPr="009B1F4E">
        <w:rPr>
          <w:rFonts w:ascii="Garamond" w:hAnsi="Garamond" w:cs="Calibri"/>
          <w:color w:val="000000" w:themeColor="text1"/>
        </w:rPr>
        <w:t>Instead</w:t>
      </w:r>
      <w:r w:rsidRPr="009B1F4E">
        <w:rPr>
          <w:rFonts w:ascii="Garamond" w:hAnsi="Garamond" w:cs="Calibri"/>
          <w:color w:val="000000" w:themeColor="text1"/>
        </w:rPr>
        <w:t xml:space="preserve">, reasons are exchanged with others to convince them, justify oneself, evaluate others’ reasons and reasoning, or align the intentions of members of a social group. Call this the social view of reasoning since </w:t>
      </w:r>
      <w:r w:rsidR="002836F3" w:rsidRPr="009B1F4E">
        <w:rPr>
          <w:rFonts w:ascii="Garamond" w:hAnsi="Garamond" w:cs="Calibri"/>
          <w:color w:val="000000" w:themeColor="text1"/>
        </w:rPr>
        <w:t>it focuses</w:t>
      </w:r>
      <w:r w:rsidRPr="009B1F4E">
        <w:rPr>
          <w:rFonts w:ascii="Garamond" w:hAnsi="Garamond" w:cs="Calibri"/>
          <w:color w:val="000000" w:themeColor="text1"/>
        </w:rPr>
        <w:t xml:space="preserve"> on the social exchange of reasons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{"citationID":"9AiEh8af","properties":{"formattedCitation":"(Dutilh Novaes 2018; 2020; Mercier and Sperber 2011; 2017; Norman 2016; Seitz 2020; Sterelny 2018; Tomasello 2014; 2020)","plainCitation":"(Dutilh Novaes 2018; 2020; Mercier and Sperber 2011; 2017; Norman 2016; Seitz 2020; Sterelny 2018; Tomasello 2014; 2020)","noteIndex":0},"citationItems":[{"id":444,"uris":["http://zotero.org/users/local/jz7T3Opo/items/8CDBRV9I"],"itemData":{"id":444,"type":"article-journal","container-title":"Mind &amp; Language","DOI":"10.1111/mila.12174","ISSN":"02681064","issue":"5","journalAbbreviation":"Mind Lang","language":"en","page":"513-524","source":"DOI.org (Crossref)","title":"The enduring enigma of reason","volume":"33","author":[{"family":"Dutilh Novaes","given":"Catarina"}],"issued":{"date-parts":[["2018",11]]}}},{"id":805,"uris":["http://zotero.org/users/local/jz7T3Opo/items/ADTRILJQ"],"itemData":{"id":805,"type":"article-journal","abstract":"Since at least the 1980s, the role of adversariality in argumentation has been extensively discussed within different domains. Prima facie, there seem to be two extreme positions on this issue: argumentation should (ideally at least) never be adversarial, as we should always aim for cooperative argumentative engagement; argumentation should be and in fact is always adversarial, given that adversariality (when suitably conceptualized) is an intrinsic property of argumentation. I here defend the view that specific instances of argumentation are (and should be) adversarial or cooperative to different degrees. What determines whether an argumentative situation should be primarily adversarial or primarily cooperative are contextual features and background conditions external to the argumentative situation itself, in particular the extent to which the parties involved have prior conflicting or else convergent interests. To further develop this claim, I consider three teloi that are frequently associated with argumentation: the epistemic telos, the consensus-building telos, and the conflict management telos. I start with a brief discussion of the concepts of adversariality, cooperation, and conflict in general. I then sketch the main lines of the debates in the recent literature on adversariality in argumentation. Next, I discuss the three teloi of argumentation listed above in turn, emphasizing the roles of adversariality and cooperation for each of them.","container-title":"Topoi","DOI":"10.1007/s11245-020-09736-9","ISSN":"1572-8749","journalAbbreviation":"Topoi","language":"en","source":"Springer Link","title":"Who’s Afraid of Adversariality? Conflict and Cooperation in Argumentation","title-short":"Who’s Afraid of Adversariality?","URL":"https://doi.org/10.1007/s11245-020-09736-9","author":[{"family":"Dutilh Novaes","given":"Catarina"}],"accessed":{"date-parts":[["2021",7,23]]},"issued":{"date-parts":[["2020",12,23]]}}},{"id":918,"uris":["http://zotero.org/users/local/jz7T3Opo/items/ZGF4IMAR"],"itemData":{"id":918,"type":"article-journal","abstract":"Reasoning is generally seen as a means to improve knowledge and make better decisions. However, much evidence shows that reasoning often leads to epistemic distortions and poor decisions. This suggests that the function of reasoning should be rethought. Our hypothesis is that the function of reasoning is argumentative. It is to devise and evaluate arguments intended to persuade. Reasoning so conceived is adaptive given the exceptional dependence of humans on communication and their vulnerability to misinformation. A wide range of evidence in the psychology of reasoning and decision making can be reinterpreted and better explained in the light of this hypothesis. Poor performance in standard reasoning tasks is explained by the lack of argumentative context. When the same problems are placed in a proper argumentative setting, people turn out to be skilled arguers. Skilled arguers, however, are not after the truth but after arguments supporting their views. This explains the notorious confirmation bias. This bias is apparent not only when people are actually arguing, but also when they are reasoning proactively from the perspective of having to defend their opinions. Reasoning so motivated can distort evaluations and attitudes and allow erroneous beliefs to persist. Proactively used reasoning also favors decisions that are easy to justify but not necessarily better. In all these instances traditionally described as failures or flaws, reasoning does exactly what can be expected of an argumentative device: Look for arguments that support a given conclusion, and, ceteris paribus, favor conclusions for which arguments can be found.","container-title":"Behavioral and Brain Sciences","DOI":"10.1017/S0140525X10000968","issue":"2","note":"publisher: Cambridge University Press (CUP)","page":"57-74; discussion 74-111","source":"HAL Archives Ouvertes","title":"Why do humans reason? Arguments for an argumentative theory.","title-short":"Why do humans reason?","volume":"34","author":[{"family":"Mercier","given":"Hugo"},{"family":"Sperber","given":"Dan"}],"issued":{"date-parts":[["2011",4]]}}},{"id":442,"uris":["http://zotero.org/users/local/jz7T3Opo/items/ZB6FIMND"],"itemData":{"id":442,"type":"book","abstract":"Reason, we are told, is what makes us human, the source of our knowledge and wisdom. If reason is so useful, why didn't it also evolve in other animals? If reason is that reliable, why do we produce so much thoroughly reasoned nonsense? In their groundbreaking account of the evolution and workings of reason, Hugo Mercier and Dan Sperber set out to solve this double enigma. Reason, they argue with a compelling mix of real-life and experimental evidence, is not geared to solitary use, to arriving at better beliefs and decisions on our own. What reason does, rather, is help us justify our beliefs and actions to others, convince them through argumentation, and evaluate the justifications and arguments that others address to us. In other words, reason helps humans better exploit their uniquely rich social environment. This interactionist interpretation explains why reason may have evolved and how it fits with other cognitive mechanisms. It makes sense of strengths and weaknesses that have long puzzled philosophers and psychologists--why reason is biased in favor of what we already believe, why it may lead to terrible ideas and yet is indispensable to spreading good ones.--","call-number":"B833 .M47 2017","event-place":"Cambridge, Massachusetts","ISBN":"978-0-674-36830-9","language":"en","number-of-pages":"396","publisher":"Harvard University Press","publisher-place":"Cambridge, Massachusetts","source":"Library of Congress ISBN","title":"The enigma of reason","author":[{"family":"Mercier","given":"Hugo"},{"family":"Sperber","given":"Dan"}],"issued":{"date-parts":[["2017"]]}}},{"id":820,"uris":["http://zotero.org/users/local/jz7T3Opo/items/6Q3NBTWR"],"itemData":{"id":820,"type":"article-journal","abstract":"Why do humans reason? Many animals draw inferences, but reasoning—the tendency to produce and respond to reason-giving performances—is biologically unusual, and demands evolutionary explanation. Mercier and Sperber (Behav Brain Sci 34:57–111, 2011) advance our understanding of reason’s adaptive function with their argumentative theory of reason (ATR). On this account, the “function of reason is argumentative… to devise and evaluate arguments intended to persuade.” ATR, they argue, helps to explain several well-known cognitive biases. In this paper, I develop a neighboring hypothesis called the intention alignment model (IAM) and contrast it with ATR. I conjecture that reasoning evolved primarily because it helped social hominins more readily and fully align their intentions. We use reasons to advance various proximal ends, but in the main, we do it to overwrite the beliefs and desires of others: to get others to think like us. Reason afforded our ancestors a powerful way to build and maintain the shared outlooks necessary for a highly collaborative existence. Yes, we sometimes argue so as to gain argumentative advantage over others, or otherwise advantage ourselves at the expense of those we argue with, but more often, we reason in ways that are mutually advantageous. In fact, there are excellent reasons for thinking this must be so. IAM, I suggest, neatly explains the available evidence, while also providing a more coherent account of reason’s origins.","container-title":"Biology &amp; Philosophy","DOI":"10.1007/s10539-016-9532-4","ISSN":"1572-8404","issue":"5","journalAbbreviation":"Biol Philos","language":"en","page":"685-704","source":"Springer Link","title":"Why we reason: intention-alignment and the genesis of human rationality","title-short":"Why we reason","volume":"31","author":[{"family":"Norman","given":"Andy"}],"issued":{"date-parts":[["2016",9,1]]}}},{"id":893,"uris":["http://zotero.org/users/local/jz7T3Opo/items/BPSEWQ6P"],"itemData":{"id":893,"type":"article-journal","abstract":"Rational agency is of central interest to philosophy, with evolutionary accounts of the cognitive underpinnings of rational agency being much debated. Yet one building block—our ability to argue—is less studied, except Mercier and Sperber’s argumentative theory (Mercier and Sperber in Behav Brain Sci 34(02):57–74, https:// doi.org/10.1017/s0140525x10000968, 2011, in The enigma of reason. Harvard University Press, Cambridge, 2017). I discuss their account and argue that it faces a lacuna: It cannot explain the origin of argumentation as a series of small steps that reveal how hominins with baseline abilities of the trait in question could turn into full-blown owners of it. This paper then provides a first sketch of the desired evolutionary trajectory. I argue that reasoning coevolves with the ability to coordinate behavior. After that, I establish a model based on niche construction theory. This model yields a story with following claims. First, argumentation came into being during the Oldowan period as a tool for justifying information ‘out of sight’. Second, argumentation enabled hominins to solve collective action problems with collaborators out of sight, which stabilized argumentative practices eventually. Archeological findings are discussed to substantiate both claims. I conclude with outlining changes resultant from my model for the concept of rational agency.","container-title":"Argumentation","DOI":"10.1007/s10503-020-09510-6","ISSN":"0920-427X, 1572-8374","issue":"2","journalAbbreviation":"Argumentation","language":"en","page":"237-260","source":"DOI.org (Crossref)","title":"Argumentation Evolved: But How? Coevolution of Coordinated Group Behavior and Reasoning","title-short":"Argumentation Evolved","volume":"34","author":[{"family":"Seitz","given":"Fabian"}],"issued":{"date-parts":[["2020",6]]}}},{"id":920,"uris":["http://zotero.org/users/local/jz7T3Opo/items/TYID79CT"],"itemData":{"id":920,"type":"article-journal","abstract":"The standard view of the function of reason is that it emerged to enable individuals to make better judgements and choices. Once individuals could think better, and once we had suitable communicative tools, individual reasoning acquired a public face; we reasoned together as well as privately, in our own mind. Hugo Mercier and Dan Sperber argue that this gets the story the wrong way around: reasoning evolved for public purposes: to persuade, negotiate, assess. Once it was established publically, perhaps it acquired a private function too. With the exception of a few minor complaints, this evolutionary case is well made. However, Mercier and Sperber embed their evolutionary case within a modular view of the mind and suggest a modular view of public reasoning itself. While I find the evolutionary case persuasive, I am sceptical of the cognitive science framework.","container-title":"Mind &amp; Language","DOI":"10.1111/mila.12182","ISSN":"1468-0017","issue":"5","language":"en","note":"_eprint: https://onlinelibrary.wiley.com/doi/pdf/10.1111/mila.12182","page":"502-512","source":"Wiley Online Library","title":"Why reason? Hugo Mercier's and Dan Sperber's The Enigma of Reason: A New Theory of Human Understanding","title-short":"Why reason?","volume":"33","author":[{"family":"Sterelny","given":"Kim"}],"issued":{"date-parts":[["2018"]]}}},{"id":810,"uris":["http://zotero.org/users/local/jz7T3Opo/items/GTI7FTAL"],"itemData":{"id":810,"type":"book","abstract":"Tool-making or culture, language or religious belief: ever since Darwin, thinkers have struggled to identify what fundamentally differentiates human beings from other animals. Michael Tomasello weaves his twenty years of comparative studies of humans and great apes into a compelling argument that cooperative social interaction is the key to our cognitive uniqueness. Tomasello maintains that our prehuman ancestors, like today's great apes, were social beings who could solve problems by thinking. But they were almost entirely competitive, aiming only at their individual goals. As ecological changes forced them into more cooperative living arrangements, early humans had to coordinate their actions and communicate their thoughts with collaborative partners. Tomasello's \"shared intentionality hypothesis\" captures how these more socially complex forms of life led to more conceptually complex forms of thinking. In order to survive, humans had to learn to see the world from multiple social perspectives, to draw socially recursive inferences, and to monitor their own thinking via the normative standards of the group. Even language and culture arose from the preexisting need to work together and coordinate thoughts. A Natural History of Human Thinking is the most detailed scientific analysis to date of the connection between human sociality and cognition.","ISBN":"978-0-674-72636-9","language":"en","note":"container-title: A Natural History of Human Thinking","publisher":"Harvard University Press","source":"www.degruyter.com","title":"A Natural History of Human Thinking","URL":"https://www.degruyter.com/document/doi/10.4159/9780674726369/html","author":[{"family":"Tomasello","given":"Michael"}],"accessed":{"date-parts":[["2021",7,29]]},"issued":{"date-parts":[["2014",2,17]]}}},{"id":916,"uris":["http://zotero.org/users/local/jz7T3Opo/items/8WTEMDIH"],"itemData":{"id":916,"type":"article-journal","abstract":"In this paper, I approach epistemic norms from an ontogenetic point of view. I argue and present evidence that to understand epistemic norms – e.g., scientific norms of methodology and the evaluation of evidence – children must first develop through their social interactions with others three key concepts. First is the concept of belief, which provides the most basic distinction on which scientific investigations rest: the distinction between individual subjective perspectives and an objective reality. Second is the concept of reason, which in the context of science obligates practitioners to justify their claims to others with reasons by grounding them in beliefs that are universally shared within the community. Third is the concept of social norm, which is not primarily epistemic, but provides children with an understanding of norms as collective agreements. The theoretical argument is that all three of these concepts emerge not from just any kind of social interaction, but specifically from social interactions structured by the human species’ unique capacities for shared intentionality.","container-title":"Episteme","DOI":"10.1017/epi.2019.50","ISSN":"1742-3600, 1750-0117","issue":"3","language":"en","note":"publisher: Cambridge University Press","page":"301-315","source":"Cambridge University Press","title":"The Ontogenetic Foundations of Epistemic Norms","volume":"17","author":[{"family":"Tomasello","given":"Michael"}],"issued":{"date-parts":[["2020",9]]}}}],"schema":"https://github.com/citation-style-language/schema/raw/master/csl-citation.json"}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(Dutilh Novaes 2018; 2020; Mercier and Sperber 2011; 2017; Norman 2016; Seitz 2020; Sterelny 2018; Tomasello 2014; 2020)</w:t>
      </w:r>
      <w:r w:rsidRPr="009B1F4E">
        <w:rPr>
          <w:rFonts w:ascii="Garamond" w:hAnsi="Garamond" w:cs="Calibri"/>
          <w:color w:val="000000" w:themeColor="text1"/>
        </w:rPr>
        <w:fldChar w:fldCharType="end"/>
      </w:r>
      <w:r w:rsidRPr="009B1F4E">
        <w:rPr>
          <w:rFonts w:ascii="Garamond" w:hAnsi="Garamond" w:cs="Calibri"/>
          <w:color w:val="000000" w:themeColor="text1"/>
        </w:rPr>
        <w:t>.</w:t>
      </w:r>
    </w:p>
    <w:p w14:paraId="467DAD54" w14:textId="74A4A465" w:rsidR="0074697B" w:rsidRPr="009B1F4E" w:rsidRDefault="0074697B" w:rsidP="0074697B">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We can see that the exchange of reason gives rise to a coordination problem: </w:t>
      </w:r>
      <w:r w:rsidR="00AC2BA9">
        <w:rPr>
          <w:rFonts w:ascii="Garamond" w:hAnsi="Garamond" w:cs="Calibri"/>
          <w:color w:val="000000" w:themeColor="text1"/>
        </w:rPr>
        <w:t>B</w:t>
      </w:r>
      <w:r w:rsidRPr="009B1F4E">
        <w:rPr>
          <w:rFonts w:ascii="Garamond" w:hAnsi="Garamond" w:cs="Calibri"/>
          <w:color w:val="000000" w:themeColor="text1"/>
        </w:rPr>
        <w:t>riefly</w:t>
      </w:r>
      <w:r w:rsidR="00AC2BA9">
        <w:rPr>
          <w:rFonts w:ascii="Garamond" w:hAnsi="Garamond" w:cs="Calibri"/>
          <w:color w:val="000000" w:themeColor="text1"/>
        </w:rPr>
        <w:t xml:space="preserve"> p</w:t>
      </w:r>
      <w:r w:rsidR="00AC2BA9" w:rsidRPr="009B1F4E">
        <w:rPr>
          <w:rFonts w:ascii="Garamond" w:hAnsi="Garamond" w:cs="Calibri"/>
          <w:color w:val="000000" w:themeColor="text1"/>
        </w:rPr>
        <w:t>ut</w:t>
      </w:r>
      <w:r w:rsidRPr="009B1F4E">
        <w:rPr>
          <w:rFonts w:ascii="Garamond" w:hAnsi="Garamond" w:cs="Calibri"/>
          <w:color w:val="000000" w:themeColor="text1"/>
        </w:rPr>
        <w:t xml:space="preserve">, agents need to coordinate around what makes a reason better than another, sufficient for justification, or relevant to </w:t>
      </w:r>
      <w:r w:rsidR="002836F3" w:rsidRPr="009B1F4E">
        <w:rPr>
          <w:rFonts w:ascii="Garamond" w:hAnsi="Garamond" w:cs="Calibri"/>
          <w:color w:val="000000" w:themeColor="text1"/>
        </w:rPr>
        <w:t>evaluating</w:t>
      </w:r>
      <w:r w:rsidRPr="009B1F4E">
        <w:rPr>
          <w:rFonts w:ascii="Garamond" w:hAnsi="Garamond" w:cs="Calibri"/>
          <w:color w:val="000000" w:themeColor="text1"/>
        </w:rPr>
        <w:t xml:space="preserve"> someone’s behaviour so that they can benefit from exchanging reasons. Social epistemic norms solve this problem by providing standards for what constitutes good reasons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{"citationID":"B7KJ0yjb","properties":{"formattedCitation":"(Tomasello 2014; Mercier and Sperber 2017)","plainCitation":"(Tomasello 2014; Mercier and Sperber 2017)","noteIndex":0},"citationItems":[{"id":810,"uris":["http://zotero.org/users/local/jz7T3Opo/items/GTI7FTAL"],"itemData":{"id":810,"type":"book","abstract":"Tool-making or culture, language or religious belief: ever since Darwin, thinkers have struggled to identify what fundamentally differentiates human beings from other animals. Michael Tomasello weaves his twenty years of comparative studies of humans and great apes into a compelling argument that cooperative social interaction is the key to our cognitive uniqueness. Tomasello maintains that our prehuman ancestors, like today's great apes, were social beings who could solve problems by thinking. But they were almost entirely competitive, aiming only at their individual goals. As ecological changes forced them into more cooperative living arrangements, early humans had to coordinate their actions and communicate their thoughts with collaborative partners. Tomasello's \"shared intentionality hypothesis\" captures how these more socially complex forms of life led to more conceptually complex forms of thinking. In order to survive, humans had to learn to see the world from multiple social perspectives, to draw socially recursive inferences, and to monitor their own thinking via the normative standards of the group. Even language and culture arose from the preexisting need to work together and coordinate thoughts. A Natural History of Human Thinking is the most detailed scientific analysis to date of the connection between human sociality and cognition.","ISBN":"978-0-674-72636-9","language":"en","note":"container-title: A Natural History of Human Thinking","publisher":"Harvard University Press","source":"www.degruyter.com","title":"A Natural History of Human Thinking","URL":"https://www.degruyter.com/document/doi/10.4159/9780674726369/html","author":[{"family":"Tomasello","given":"Michael"}],"accessed":{"date-parts":[["2021",7,29]]},"issued":{"date-parts":[["2014",2,17]]}}},{"id":442,"uris":["http://zotero.org/users/local/jz7T3Opo/items/ZB6FIMND"],"itemData":{"id":442,"type":"book","abstract":"Reason, we are told, is what makes us human, the source of our knowledge and wisdom. If reason is so useful, why didn't it also evolve in other animals? If reason is that reliable, why do we produce so much thoroughly reasoned nonsense? In their groundbreaking account of the evolution and workings of reason, Hugo Mercier and Dan Sperber set out to solve this double enigma. Reason, they argue with a compelling mix of real-life and experimental evidence, is not geared to solitary use, to arriving at better beliefs and decisions on our own. What reason does, rather, is help us justify our beliefs and actions to others, convince them through argumentation, and evaluate the justifications and arguments that others address to us. In other words, reason helps humans better exploit their uniquely rich social environment. This interactionist interpretation explains why reason may have evolved and how it fits with other cognitive mechanisms. It makes sense of strengths and weaknesses that have long puzzled philosophers and psychologists--why reason is biased in favor of what we already believe, why it may lead to terrible ideas and yet is indispensable to spreading good ones.--","call-number":"B833 .M47 2017","event-place":"Cambridge, Massachusetts","ISBN":"978-0-674-36830-9","language":"en","number-of-pages":"396","publisher":"Harvard University Press","publisher-place":"Cambridge, Massachusetts","source":"Library of Congress ISBN","title":"The enigma of reason","author":[{"family":"Mercier","given":"Hugo"},{"family":"Sperber","given":"Dan"}],"issued":{"date-parts":[["2017"]]}}}],"schema":"https://github.com/citation-style-language/schema/raw/master/csl-citation.json"}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(Tomasello 2014; Mercier and Sperber 2017)</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It’s important to note that such </w:t>
      </w:r>
      <w:r w:rsidR="009D74F4" w:rsidRPr="009B1F4E">
        <w:rPr>
          <w:rFonts w:ascii="Garamond" w:hAnsi="Garamond" w:cs="Calibri"/>
          <w:color w:val="000000" w:themeColor="text1"/>
        </w:rPr>
        <w:t>reason exchanges</w:t>
      </w:r>
      <w:r w:rsidRPr="009B1F4E">
        <w:rPr>
          <w:rFonts w:ascii="Garamond" w:hAnsi="Garamond" w:cs="Calibri"/>
          <w:color w:val="000000" w:themeColor="text1"/>
        </w:rPr>
        <w:t xml:space="preserve"> do not require language but can also </w:t>
      </w:r>
      <w:r w:rsidR="009D74F4" w:rsidRPr="009B1F4E">
        <w:rPr>
          <w:rFonts w:ascii="Garamond" w:hAnsi="Garamond" w:cs="Calibri"/>
          <w:color w:val="000000" w:themeColor="text1"/>
        </w:rPr>
        <w:t>occur</w:t>
      </w:r>
      <w:r w:rsidRPr="009B1F4E">
        <w:rPr>
          <w:rFonts w:ascii="Garamond" w:hAnsi="Garamond" w:cs="Calibri"/>
          <w:color w:val="000000" w:themeColor="text1"/>
        </w:rPr>
        <w:t xml:space="preserve"> via gestures, pointing, and other proto-language forms of communication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{"citationID":"a2Sa2jZ8","properties":{"formattedCitation":"(Tomasello 2014; Norman 2016)","plainCitation":"(Tomasello 2014; Norman 2016)","noteIndex":0},"citationItems":[{"id":810,"uris":["http://zotero.org/users/local/jz7T3Opo/items/GTI7FTAL"],"itemData":{"id":810,"type":"book","abstract":"Tool-making or culture, language or religious belief: ever since Darwin, thinkers have struggled to identify what fundamentally differentiates human beings from other animals. Michael Tomasello weaves his twenty years of comparative studies of humans and great apes into a compelling argument that cooperative social interaction is the key to our cognitive uniqueness. Tomasello maintains that our prehuman ancestors, like today's great apes, were social beings who could solve problems by thinking. But they were almost entirely competitive, aiming only at their individual goals. As ecological changes forced them into more cooperative living arrangements, early humans had to coordinate their actions and communicate their thoughts with collaborative partners. Tomasello's \"shared intentionality hypothesis\" captures how these more socially complex forms of life led to more conceptually complex forms of thinking. In order to survive, humans had to learn to see the world from multiple social perspectives, to draw socially recursive inferences, and to monitor their own thinking via the normative standards of the group. Even language and culture arose from the preexisting need to work together and coordinate thoughts. A Natural History of Human Thinking is the most detailed scientific analysis to date of the connection between human sociality and cognition.","ISBN":"978-0-674-72636-9","language":"en","note":"container-title: A Natural History of Human Thinking","publisher":"Harvard University Press","source":"www.degruyter.com","title":"A Natural History of Human Thinking","URL":"https://www.degruyter.com/document/doi/10.4159/9780674726369/html","author":[{"family":"Tomasello","given":"Michael"}],"accessed":{"date-parts":[["2021",7,29]]},"issued":{"date-parts":[["2014",2,17]]}}},{"id":820,"uris":["http://zotero.org/users/local/jz7T3Opo/items/6Q3NBTWR"],"itemData":{"id":820,"type":"article-journal","abstract":"Why do humans reason? Many animals draw inferences, but reasoning—the tendency to produce and respond to reason-giving performances—is biologically unusual, and demands evolutionary explanation. Mercier and Sperber (Behav Brain Sci 34:57–111, 2011) advance our understanding of reason’s adaptive function with their argumentative theory of reason (ATR). On this account, the “function of reason is argumentative… to devise and evaluate arguments intended to persuade.” ATR, they argue, helps to explain several well-known cognitive biases. In this paper, I develop a neighboring hypothesis called the intention alignment model (IAM) and contrast it with ATR. I conjecture that reasoning evolved primarily because it helped social hominins more readily and fully align their intentions. We use reasons to advance various proximal ends, but in the main, we do it to overwrite the beliefs and desires of others: to get others to think like us. Reason afforded our ancestors a powerful way to build and maintain the shared outlooks necessary for a highly collaborative existence. Yes, we sometimes argue so as to gain argumentative advantage over others, or otherwise advantage ourselves at the expense of those we argue with, but more often, we reason in ways that are mutually advantageous. In fact, there are excellent reasons for thinking this must be so. IAM, I suggest, neatly explains the available evidence, while also providing a more coherent account of reason’s origins.","container-title":"Biology &amp; Philosophy","DOI":"10.1007/s10539-016-9532-4","ISSN":"1572-8404","issue":"5","journalAbbreviation":"Biol Philos","language":"en","page":"685-704","source":"Springer Link","title":"Why we reason: intention-alignment and the genesis of human rationality","title-short":"Why we reason","volume":"31","author":[{"family":"Norman","given":"Andy"}],"issued":{"date-parts":[["2016",9,1]]}}}],"schema":"https://github.com/citation-style-language/schema/raw/master/csl-citation.json"}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(Tomasello 2014; Norman 2016)</w:t>
      </w:r>
      <w:r w:rsidRPr="009B1F4E">
        <w:rPr>
          <w:rFonts w:ascii="Garamond" w:hAnsi="Garamond" w:cs="Calibri"/>
          <w:color w:val="000000" w:themeColor="text1"/>
        </w:rPr>
        <w:fldChar w:fldCharType="end"/>
      </w:r>
      <w:r w:rsidRPr="009B1F4E">
        <w:rPr>
          <w:rFonts w:ascii="Garamond" w:hAnsi="Garamond" w:cs="Calibri"/>
          <w:color w:val="000000" w:themeColor="text1"/>
        </w:rPr>
        <w:t>.</w:t>
      </w:r>
      <w:r w:rsidR="00A87B83" w:rsidRPr="009B1F4E">
        <w:rPr>
          <w:rStyle w:val="Funotenzeichen"/>
          <w:rFonts w:ascii="Garamond" w:hAnsi="Garamond" w:cs="Calibri"/>
          <w:color w:val="000000" w:themeColor="text1"/>
        </w:rPr>
        <w:footnoteReference w:id="12"/>
      </w:r>
      <w:r w:rsidRPr="009B1F4E">
        <w:rPr>
          <w:rFonts w:ascii="Garamond" w:hAnsi="Garamond" w:cs="Calibri"/>
          <w:color w:val="000000" w:themeColor="text1"/>
        </w:rPr>
        <w:t xml:space="preserve"> </w:t>
      </w:r>
    </w:p>
    <w:p w14:paraId="5E6F5484" w14:textId="0325CAC0" w:rsidR="0074697B" w:rsidRPr="009B1F4E" w:rsidRDefault="0074697B" w:rsidP="0074697B">
      <w:pPr>
        <w:spacing w:line="360" w:lineRule="auto"/>
        <w:jc w:val="both"/>
        <w:rPr>
          <w:rFonts w:ascii="Garamond" w:hAnsi="Garamond" w:cs="Calibri"/>
          <w:color w:val="000000" w:themeColor="text1"/>
        </w:rPr>
      </w:pPr>
      <w:r w:rsidRPr="009B1F4E">
        <w:rPr>
          <w:rFonts w:ascii="Garamond" w:hAnsi="Garamond" w:cs="Calibri"/>
          <w:color w:val="000000" w:themeColor="text1"/>
        </w:rPr>
        <w:t>Consider</w:t>
      </w:r>
      <w:r w:rsidR="009D74F4" w:rsidRPr="009B1F4E">
        <w:rPr>
          <w:rFonts w:ascii="Garamond" w:hAnsi="Garamond" w:cs="Calibri"/>
          <w:color w:val="000000" w:themeColor="text1"/>
        </w:rPr>
        <w:t>,</w:t>
      </w:r>
      <w:r w:rsidRPr="009B1F4E">
        <w:rPr>
          <w:rFonts w:ascii="Garamond" w:hAnsi="Garamond" w:cs="Calibri"/>
          <w:color w:val="000000" w:themeColor="text1"/>
        </w:rPr>
        <w:t xml:space="preserve"> for example</w:t>
      </w:r>
      <w:r w:rsidR="009D74F4" w:rsidRPr="009B1F4E">
        <w:rPr>
          <w:rFonts w:ascii="Garamond" w:hAnsi="Garamond" w:cs="Calibri"/>
          <w:color w:val="000000" w:themeColor="text1"/>
        </w:rPr>
        <w:t>,</w:t>
      </w:r>
      <w:r w:rsidRPr="009B1F4E">
        <w:rPr>
          <w:rFonts w:ascii="Garamond" w:hAnsi="Garamond" w:cs="Calibri"/>
          <w:color w:val="000000" w:themeColor="text1"/>
        </w:rPr>
        <w:t xml:space="preserve"> how the reading of tracks — which is essential to persistence hunting, likely one the oldest hunting strategies employed by our ancestors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{"citationID":"d69YCut1","properties":{"formattedCitation":"(Bramble and Lieberman 2004)","plainCitation":"(Bramble and Lieberman 2004)","noteIndex":0},"citationItems":[{"id":1213,"uris":["http://zotero.org/users/local/jz7T3Opo/items/BH5BZFA2"],"itemData":{"id":1213,"type":"article-journal","container-title":"nature","issue":"7015","note":"publisher: Nature Publishing Group","page":"345–352","source":"Google Scholar","title":"Endurance running and the evolution of Homo","volume":"432","author":[{"family":"Bramble","given":"Dennis M."},{"family":"Lieberman","given":"Daniel E."}],"issued":{"date-parts":[["2004"]]}}}],"schema":"https://github.com/citation-style-language/schema/raw/master/csl-citation.json"}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(Bramble and Lieberman 2004)</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 required that agents could agree on how tracks were to be read and/or who’s reading of the tracks one was supposed to trust. Or consider how Naskapi hunters use a charred/burned shoulder blade of a caribou as a map of sorts to </w:t>
      </w:r>
      <w:r w:rsidR="009D74F4" w:rsidRPr="009B1F4E">
        <w:rPr>
          <w:rFonts w:ascii="Garamond" w:hAnsi="Garamond" w:cs="Calibri"/>
          <w:color w:val="000000" w:themeColor="text1"/>
        </w:rPr>
        <w:t>decide</w:t>
      </w:r>
      <w:r w:rsidRPr="009B1F4E">
        <w:rPr>
          <w:rFonts w:ascii="Garamond" w:hAnsi="Garamond" w:cs="Calibri"/>
          <w:color w:val="000000" w:themeColor="text1"/>
        </w:rPr>
        <w:t xml:space="preserve"> where they ought to hunt </w:t>
      </w:r>
      <w:r w:rsidRPr="009B1F4E">
        <w:rPr>
          <w:rFonts w:ascii="Garamond" w:hAnsi="Garamond" w:cs="Calibri"/>
          <w:color w:val="000000" w:themeColor="text1"/>
        </w:rPr>
        <w:fldChar w:fldCharType="begin"/>
      </w:r>
      <w:r w:rsidR="004C1DC7" w:rsidRPr="009B1F4E">
        <w:rPr>
          <w:rFonts w:ascii="Garamond" w:hAnsi="Garamond" w:cs="Calibri"/>
          <w:color w:val="000000" w:themeColor="text1"/>
        </w:rPr>
        <w:instrText xml:space="preserve"> ADDIN ZOTERO_ITEM CSL_CITATION {"citationID":"fAELeH85","properties":{"formattedCitation":"(Henrich 2015)","plainCitation":"(Henrich 2015)","noteIndex":0},"citationItems":[{"id":818,"uris":["http://zotero.org/users/local/jz7T3Opo/items/TWXJMDVG"],"itemData":{"id":818,"type":"book","abstract":"Humans are a puzzling species. On the one hand, we struggle to survive on our own in the wild, often failing to overcome even basic challenges, like obtaining food, building shelters, or avoiding predators. On the other hand, human groups have produced ingenious technologies, sophisticated languages, and complex institutions that have permitted us to successfully expand into a vast range of diverse environments. What has enabled us to dominate the globe, more than any other species, while remaining virtually helpless as lone individuals? This book shows that the secret of our success lies not in our innate intelligence, but in our collective brains—on the ability of human groups to socially interconnect and learn from one another over generations. Drawing insights from lost European explorers, clever chimpanzees, mobile hunter-gatherers, neuroscientific findings, ancient bones, and the human genome, Joseph Henrich demonstrates how our collective brains have propelled our species' genetic evolution and shaped our biology. Our early capacities for learning from others produced many cultural innovations, such as fire, cooking, water containers, plant knowledge, and projectile weapons, which in turn drove the expansion of our brains and altered our physiology, anatomy, and psychology in crucial ways. Later on, some collective brains generated and recombined powerful concepts, such as the lever, wheel, screw, and writing, while also creating the institutions that continue to alter our motivations and perceptions. Henrich shows how our genetics and biology are inextricably interwoven with cultural evolution, and how culture-gene interactions launched our species on an extraordinary evolutionary trajectory. Tracking clues from our ancient past to the present, The Secret of Our Success explores how the evolution of both our cultural and social natures produce a collective intelligence that explains both our species' immense success and the origins of human uniqueness.","publisher":"Princeton University Press","title":"The Secret of Our Success","author":[{"family":"Henrich","given":"Joseph"}],"issued":{"date-parts":[["2015"]]}}}],"schema":"https://github.com/citation-style-language/schema/raw/master/csl-citation.json"}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(Henrich 2015)</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Presumably, agents might have disagreed on either of these things: There were likely different but sensible ways </w:t>
      </w:r>
      <w:r w:rsidRPr="009B1F4E">
        <w:rPr>
          <w:rFonts w:ascii="Garamond" w:hAnsi="Garamond" w:cs="Calibri"/>
          <w:color w:val="000000" w:themeColor="text1"/>
        </w:rPr>
        <w:lastRenderedPageBreak/>
        <w:t>of reading tracks and deciding where to hunt in particular contexts</w:t>
      </w:r>
      <w:r w:rsidR="009D74F4" w:rsidRPr="009B1F4E">
        <w:rPr>
          <w:rFonts w:ascii="Garamond" w:hAnsi="Garamond" w:cs="Calibri"/>
          <w:color w:val="000000" w:themeColor="text1"/>
        </w:rPr>
        <w:t>,</w:t>
      </w:r>
      <w:r w:rsidRPr="009B1F4E">
        <w:rPr>
          <w:rFonts w:ascii="Garamond" w:hAnsi="Garamond" w:cs="Calibri"/>
          <w:color w:val="000000" w:themeColor="text1"/>
        </w:rPr>
        <w:t xml:space="preserve"> and so agents </w:t>
      </w:r>
      <w:r w:rsidR="009D74F4" w:rsidRPr="009B1F4E">
        <w:rPr>
          <w:rFonts w:ascii="Garamond" w:hAnsi="Garamond" w:cs="Calibri"/>
          <w:color w:val="000000" w:themeColor="text1"/>
        </w:rPr>
        <w:t>would</w:t>
      </w:r>
      <w:r w:rsidRPr="009B1F4E">
        <w:rPr>
          <w:rFonts w:ascii="Garamond" w:hAnsi="Garamond" w:cs="Calibri"/>
          <w:color w:val="000000" w:themeColor="text1"/>
        </w:rPr>
        <w:t xml:space="preserve"> have exchanged </w:t>
      </w:r>
      <w:proofErr w:type="gramStart"/>
      <w:r w:rsidRPr="009B1F4E">
        <w:rPr>
          <w:rFonts w:ascii="Garamond" w:hAnsi="Garamond" w:cs="Calibri"/>
          <w:color w:val="000000" w:themeColor="text1"/>
        </w:rPr>
        <w:t>proto-reasons</w:t>
      </w:r>
      <w:proofErr w:type="gramEnd"/>
      <w:r w:rsidRPr="009B1F4E">
        <w:rPr>
          <w:rFonts w:ascii="Garamond" w:hAnsi="Garamond" w:cs="Calibri"/>
          <w:color w:val="000000" w:themeColor="text1"/>
        </w:rPr>
        <w:t xml:space="preserve"> on how to do so. The need to coordinate on how to read tracks or where to hunt gives rise to a need to coordinate on the reasons for doing so. </w:t>
      </w:r>
      <w:r w:rsidR="009D74F4" w:rsidRPr="009B1F4E">
        <w:rPr>
          <w:rFonts w:ascii="Garamond" w:hAnsi="Garamond" w:cs="Calibri"/>
          <w:color w:val="000000" w:themeColor="text1"/>
        </w:rPr>
        <w:t>Epistemic coordination norms addressed this need,</w:t>
      </w:r>
      <w:r w:rsidRPr="009B1F4E">
        <w:rPr>
          <w:rFonts w:ascii="Garamond" w:hAnsi="Garamond" w:cs="Calibri"/>
          <w:color w:val="000000" w:themeColor="text1"/>
        </w:rPr>
        <w:t xml:space="preserve"> and it’s in relation to these kinds of norms that parents </w:t>
      </w:r>
      <w:r w:rsidR="0084130E">
        <w:rPr>
          <w:rFonts w:ascii="Garamond" w:hAnsi="Garamond" w:cs="Calibri"/>
          <w:color w:val="000000" w:themeColor="text1"/>
        </w:rPr>
        <w:t xml:space="preserve">then </w:t>
      </w:r>
      <w:r w:rsidRPr="009B1F4E">
        <w:rPr>
          <w:rFonts w:ascii="Garamond" w:hAnsi="Garamond" w:cs="Calibri"/>
          <w:color w:val="000000" w:themeColor="text1"/>
        </w:rPr>
        <w:t>evaluated their children’s behaviour</w:t>
      </w:r>
      <w:r w:rsidR="0084130E">
        <w:rPr>
          <w:rFonts w:ascii="Garamond" w:hAnsi="Garamond" w:cs="Calibri"/>
          <w:color w:val="000000" w:themeColor="text1"/>
        </w:rPr>
        <w:t xml:space="preserve"> in assessor-teaching.</w:t>
      </w:r>
    </w:p>
    <w:p w14:paraId="43E63A0A" w14:textId="29EF100D" w:rsidR="001C0042" w:rsidRPr="009B1F4E" w:rsidRDefault="001C0042" w:rsidP="0074697B">
      <w:pPr>
        <w:spacing w:line="360" w:lineRule="auto"/>
        <w:jc w:val="both"/>
        <w:rPr>
          <w:rFonts w:ascii="Garamond" w:hAnsi="Garamond" w:cs="Calibri"/>
          <w:color w:val="000000" w:themeColor="text1"/>
        </w:rPr>
      </w:pPr>
      <w:r w:rsidRPr="009B1F4E">
        <w:rPr>
          <w:rFonts w:ascii="Garamond" w:hAnsi="Garamond" w:cs="Calibri"/>
          <w:color w:val="000000" w:themeColor="text1"/>
        </w:rPr>
        <w:t>In summary</w:t>
      </w:r>
      <w:r w:rsidR="00084766" w:rsidRPr="009B1F4E">
        <w:rPr>
          <w:rFonts w:ascii="Garamond" w:hAnsi="Garamond" w:cs="Calibri"/>
          <w:color w:val="000000" w:themeColor="text1"/>
        </w:rPr>
        <w:t>, epistemic coordination-</w:t>
      </w:r>
      <w:r w:rsidRPr="009B1F4E">
        <w:rPr>
          <w:rFonts w:ascii="Garamond" w:hAnsi="Garamond" w:cs="Calibri"/>
          <w:color w:val="000000" w:themeColor="text1"/>
        </w:rPr>
        <w:t xml:space="preserve">norms regulate cultural learning by specifying relevant learning contents — the communities’ respective range of relevance — and by setting standards of adequate performance for epistemic and non-epistemic abilities and techniques. </w:t>
      </w:r>
    </w:p>
    <w:p w14:paraId="74B1524C" w14:textId="77777777" w:rsidR="0074697B" w:rsidRPr="009B1F4E" w:rsidRDefault="0074697B" w:rsidP="0049543B">
      <w:pPr>
        <w:spacing w:line="360" w:lineRule="auto"/>
        <w:jc w:val="both"/>
        <w:rPr>
          <w:rFonts w:ascii="Garamond" w:hAnsi="Garamond"/>
          <w:color w:val="000000" w:themeColor="text1"/>
        </w:rPr>
      </w:pPr>
    </w:p>
    <w:p w14:paraId="5E0BEE6F" w14:textId="0F67A47B" w:rsidR="0074697B" w:rsidRPr="009B1F4E" w:rsidRDefault="0074697B" w:rsidP="0074697B">
      <w:pPr>
        <w:pStyle w:val="Listenabsatz"/>
        <w:numPr>
          <w:ilvl w:val="1"/>
          <w:numId w:val="1"/>
        </w:numPr>
        <w:spacing w:line="360" w:lineRule="auto"/>
        <w:jc w:val="both"/>
        <w:rPr>
          <w:rFonts w:ascii="Garamond" w:hAnsi="Garamond"/>
          <w:color w:val="000000" w:themeColor="text1"/>
        </w:rPr>
      </w:pPr>
      <w:r w:rsidRPr="009B1F4E">
        <w:rPr>
          <w:rFonts w:ascii="Garamond" w:hAnsi="Garamond"/>
          <w:color w:val="000000" w:themeColor="text1"/>
        </w:rPr>
        <w:t>The form of cultural learning</w:t>
      </w:r>
      <w:r w:rsidR="00740A1F" w:rsidRPr="009B1F4E">
        <w:rPr>
          <w:rFonts w:ascii="Garamond" w:hAnsi="Garamond"/>
          <w:color w:val="000000" w:themeColor="text1"/>
        </w:rPr>
        <w:t xml:space="preserve"> and epistemic coordination-norms</w:t>
      </w:r>
    </w:p>
    <w:p w14:paraId="1CA6E2C4" w14:textId="1ADDA45C" w:rsidR="00F547E0" w:rsidRPr="009B1F4E" w:rsidRDefault="006E0C7E" w:rsidP="0074697B">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Our ancestors didn’t only need to coordinate on the </w:t>
      </w:r>
      <w:r w:rsidRPr="009B1F4E">
        <w:rPr>
          <w:rFonts w:ascii="Garamond" w:hAnsi="Garamond" w:cs="Calibri"/>
          <w:i/>
          <w:iCs/>
          <w:color w:val="000000" w:themeColor="text1"/>
        </w:rPr>
        <w:t>content</w:t>
      </w:r>
      <w:r w:rsidRPr="009B1F4E">
        <w:rPr>
          <w:rFonts w:ascii="Garamond" w:hAnsi="Garamond" w:cs="Calibri"/>
          <w:color w:val="000000" w:themeColor="text1"/>
        </w:rPr>
        <w:t xml:space="preserve"> of cultural learning — what agents should learn and how to employ the learned capacities correctly — they also needed to coordinate on its </w:t>
      </w:r>
      <w:r w:rsidRPr="009B1F4E">
        <w:rPr>
          <w:rFonts w:ascii="Garamond" w:hAnsi="Garamond" w:cs="Calibri"/>
          <w:i/>
          <w:iCs/>
          <w:color w:val="000000" w:themeColor="text1"/>
        </w:rPr>
        <w:t>form</w:t>
      </w:r>
      <w:r w:rsidRPr="009B1F4E">
        <w:rPr>
          <w:rFonts w:ascii="Garamond" w:hAnsi="Garamond" w:cs="Calibri"/>
          <w:color w:val="000000" w:themeColor="text1"/>
        </w:rPr>
        <w:t xml:space="preserve"> — how cultural learning is organised within the social group, i.e.</w:t>
      </w:r>
      <w:r w:rsidR="00E95366" w:rsidRPr="009B1F4E">
        <w:rPr>
          <w:rFonts w:ascii="Garamond" w:hAnsi="Garamond" w:cs="Calibri"/>
          <w:color w:val="000000" w:themeColor="text1"/>
        </w:rPr>
        <w:t>,</w:t>
      </w:r>
      <w:r w:rsidRPr="009B1F4E">
        <w:rPr>
          <w:rFonts w:ascii="Garamond" w:hAnsi="Garamond" w:cs="Calibri"/>
          <w:color w:val="000000" w:themeColor="text1"/>
        </w:rPr>
        <w:t xml:space="preserve"> under which conditions agents learn from others, from whom they learn from, which strategies or mechanisms they’re incentivised to employ</w:t>
      </w:r>
      <w:r w:rsidR="00894D05">
        <w:rPr>
          <w:rFonts w:ascii="Garamond" w:hAnsi="Garamond" w:cs="Calibri"/>
          <w:color w:val="000000" w:themeColor="text1"/>
        </w:rPr>
        <w:t>,</w:t>
      </w:r>
      <w:r w:rsidRPr="009B1F4E">
        <w:rPr>
          <w:rFonts w:ascii="Garamond" w:hAnsi="Garamond" w:cs="Calibri"/>
          <w:color w:val="000000" w:themeColor="text1"/>
        </w:rPr>
        <w:t xml:space="preserve"> and how their learning environments are structured.</w:t>
      </w:r>
    </w:p>
    <w:p w14:paraId="55E559CF" w14:textId="12B99D44" w:rsidR="006E0C7E" w:rsidRPr="009B1F4E" w:rsidRDefault="00894D05" w:rsidP="0074697B">
      <w:pPr>
        <w:spacing w:line="360" w:lineRule="auto"/>
        <w:jc w:val="both"/>
        <w:rPr>
          <w:rFonts w:ascii="Garamond" w:hAnsi="Garamond" w:cs="Calibri"/>
          <w:color w:val="000000" w:themeColor="text1"/>
        </w:rPr>
      </w:pPr>
      <w:r>
        <w:rPr>
          <w:rFonts w:ascii="Garamond" w:hAnsi="Garamond" w:cs="Calibri"/>
          <w:color w:val="000000" w:themeColor="text1"/>
        </w:rPr>
        <w:t>This is the general view I’d like to argue for here:</w:t>
      </w:r>
      <w:r w:rsidR="009645EC" w:rsidRPr="009B1F4E">
        <w:rPr>
          <w:rFonts w:ascii="Garamond" w:hAnsi="Garamond" w:cs="Calibri"/>
          <w:color w:val="000000" w:themeColor="text1"/>
        </w:rPr>
        <w:t xml:space="preserve"> </w:t>
      </w:r>
      <w:r>
        <w:rPr>
          <w:rFonts w:ascii="Garamond" w:hAnsi="Garamond" w:cs="Calibri"/>
          <w:color w:val="000000" w:themeColor="text1"/>
        </w:rPr>
        <w:t>W</w:t>
      </w:r>
      <w:r w:rsidR="009645EC" w:rsidRPr="009B1F4E">
        <w:rPr>
          <w:rFonts w:ascii="Garamond" w:hAnsi="Garamond" w:cs="Calibri"/>
          <w:color w:val="000000" w:themeColor="text1"/>
        </w:rPr>
        <w:t xml:space="preserve">hat form cultural learning takes in social groups is subject to various contingent contextual factors. Because of this, figuring out what form cultural learning is supposed to take </w:t>
      </w:r>
      <w:r w:rsidR="00513504">
        <w:rPr>
          <w:rFonts w:ascii="Garamond" w:hAnsi="Garamond" w:cs="Calibri"/>
          <w:color w:val="000000" w:themeColor="text1"/>
        </w:rPr>
        <w:t xml:space="preserve">in any </w:t>
      </w:r>
      <w:proofErr w:type="gramStart"/>
      <w:r w:rsidR="00513504">
        <w:rPr>
          <w:rFonts w:ascii="Garamond" w:hAnsi="Garamond" w:cs="Calibri"/>
          <w:color w:val="000000" w:themeColor="text1"/>
        </w:rPr>
        <w:t>particular case</w:t>
      </w:r>
      <w:proofErr w:type="gramEnd"/>
      <w:r w:rsidR="00513504">
        <w:rPr>
          <w:rFonts w:ascii="Garamond" w:hAnsi="Garamond" w:cs="Calibri"/>
          <w:color w:val="000000" w:themeColor="text1"/>
        </w:rPr>
        <w:t xml:space="preserve"> </w:t>
      </w:r>
      <w:r w:rsidR="009645EC" w:rsidRPr="009B1F4E">
        <w:rPr>
          <w:rFonts w:ascii="Garamond" w:hAnsi="Garamond" w:cs="Calibri"/>
          <w:color w:val="000000" w:themeColor="text1"/>
        </w:rPr>
        <w:t>is beyond the capacities of individual agents. Additionally</w:t>
      </w:r>
      <w:r w:rsidR="00DB1951" w:rsidRPr="009B1F4E">
        <w:rPr>
          <w:rFonts w:ascii="Garamond" w:hAnsi="Garamond" w:cs="Calibri"/>
          <w:color w:val="000000" w:themeColor="text1"/>
        </w:rPr>
        <w:t>,</w:t>
      </w:r>
      <w:r w:rsidR="009645EC" w:rsidRPr="009B1F4E">
        <w:rPr>
          <w:rFonts w:ascii="Garamond" w:hAnsi="Garamond" w:cs="Calibri"/>
          <w:color w:val="000000" w:themeColor="text1"/>
        </w:rPr>
        <w:t xml:space="preserve"> there’s a need for the form of cultural learning to be coordinated within groups. </w:t>
      </w:r>
      <w:r w:rsidR="00933074" w:rsidRPr="009B1F4E">
        <w:rPr>
          <w:rFonts w:ascii="Garamond" w:hAnsi="Garamond" w:cs="Calibri"/>
          <w:color w:val="000000" w:themeColor="text1"/>
        </w:rPr>
        <w:t>As a result, epistemic coordination norms regulate cultural learning’s form.</w:t>
      </w:r>
    </w:p>
    <w:p w14:paraId="479D6C69" w14:textId="01BE9039" w:rsidR="00933074" w:rsidRPr="009B1F4E" w:rsidRDefault="00933074" w:rsidP="00933074">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Before developing this further, let me briefly note that extant literature on what’s often called selective, strategic, or biased social learning does discuss the idea that the form of cultural learning, especially whom agents learn from and when, is being regulated by social norms. </w:t>
      </w:r>
      <w:r w:rsidRPr="009B1F4E">
        <w:rPr>
          <w:rFonts w:ascii="Garamond" w:hAnsi="Garamond"/>
          <w:color w:val="000000" w:themeColor="text1"/>
        </w:rPr>
        <w:t>Social learning is biased or strategic if “</w:t>
      </w:r>
      <w:r w:rsidRPr="009B1F4E">
        <w:rPr>
          <w:rFonts w:ascii="Garamond" w:hAnsi="Garamond" w:cs="Calibri"/>
          <w:color w:val="000000" w:themeColor="text1"/>
        </w:rPr>
        <w:t xml:space="preserve">the influence of other agents varies with the circumstances of the encounter (“when-selectivity”) or with some feature of the available models (“who-selectivity”).” </w:t>
      </w:r>
      <w:r w:rsidRPr="009B1F4E">
        <w:rPr>
          <w:rFonts w:ascii="Garamond" w:hAnsi="Garamond" w:cs="Calibri"/>
          <w:color w:val="000000" w:themeColor="text1"/>
        </w:rPr>
        <w:fldChar w:fldCharType="begin"/>
      </w:r>
      <w:r w:rsidR="004C1DC7" w:rsidRPr="009B1F4E">
        <w:rPr>
          <w:rFonts w:ascii="Garamond" w:hAnsi="Garamond" w:cs="Calibri"/>
          <w:color w:val="000000" w:themeColor="text1"/>
        </w:rPr>
        <w:instrText xml:space="preserve"> ADDIN ZOTERO_ITEM CSL_CITATION {"citationID":"quP3L6bp","properties":{"formattedCitation":"(Heyes 2018, 91)","plainCitation":"(Heyes 2018, 91)","noteIndex":0},"citationItems":[{"id":809,"uris":["http://zotero.org/users/local/jz7T3Opo/items/LD8WZRV6"],"itemData":{"id":809,"type":"book","abstract":"How did human minds become so different from those of other animals? What accounts for our capacity to understand the way the physical world works, to think ourselves into the minds of others, to gossip, read, tell stories about the past, and imagine the future? These questions are not new: they have been debated by philosophers, psychologists, anthropologists, evolutionists, and neurobiologists over the course of centuries. One explanation widely accepted today is that humans have special cognitive instincts. Unlike other living animal species, we are born with complicated mechanisms for reasoning about causation, reading the minds of others, copying behaviors, and using language. Cecilia Heyes agrees that adult humans have impressive pieces of cognitive equipment. In her framing, however, these cognitive gadgets are not instincts programmed in the genes but are constructed in the course of childhood through social interaction. Cognitive gadgets are products of cultural evolution, rather than genetic evolution. At birth, the minds of human babies are only subtly different from the minds of newborn chimpanzees. We are friendlier, our attention is drawn to different things, and we have a capacity to learn and remember that outstrips the abilities of newborn chimpanzees. Yet when these subtle differences are exposed to culture-soaked human environments, they have enormous effects. They enable us to upload distinctively human ways of thinking from the social world around us. As Cognitive Gadgets makes clear, from birth our malleable human minds can learn through culture not only what to think but how to think it.","publisher":"Harvard University Press","source":"www.degruyter.com","title":"Cognitive Gadgets","author":[{"family":"Heyes","given":"Cecilia"}],"issued":{"date-parts":[["2018"]]}},"locator":"91"}],"schema":"https://github.com/citation-style-language/schema/raw/master/csl-citation.json"}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(Heyes 2018, 91)</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In other words, agents are sensitive to questions of whom they should learn from and when they should do so. </w:t>
      </w:r>
      <w:r w:rsidRPr="009B1F4E">
        <w:rPr>
          <w:rFonts w:ascii="Garamond" w:hAnsi="Garamond"/>
          <w:color w:val="000000" w:themeColor="text1"/>
        </w:rPr>
        <w:t xml:space="preserve">The two main approaches to selective social learning in the literature — what’s sometimes called strategic and attentional approaches </w:t>
      </w:r>
      <w:r w:rsidRPr="009B1F4E">
        <w:rPr>
          <w:rFonts w:ascii="Garamond" w:hAnsi="Garamond"/>
          <w:color w:val="000000" w:themeColor="text1"/>
        </w:rPr>
        <w:fldChar w:fldCharType="begin"/>
      </w:r>
      <w:r w:rsidR="004C1DC7" w:rsidRPr="009B1F4E">
        <w:rPr>
          <w:rFonts w:ascii="Garamond" w:hAnsi="Garamond"/>
          <w:color w:val="000000" w:themeColor="text1"/>
        </w:rPr>
        <w:instrText xml:space="preserve"> ADDIN ZOTERO_ITEM CSL_CITATION {"citationID":"A0Mi5Hwl","properties":{"formattedCitation":"(Heyes 2018; Henrich 2015)","plainCitation":"(Heyes 2018; Henrich 2015)","noteIndex":0},"citationItems":[{"id":809,"uris":["http://zotero.org/users/local/jz7T3Opo/items/LD8WZRV6"],"itemData":{"id":809,"type":"book","abstract":"How did human minds become so different from those of other animals? What accounts for our capacity to understand the way the physical world works, to think ourselves into the minds of others, to gossip, read, tell stories about the past, and imagine the future? These questions are not new: they have been debated by philosophers, psychologists, anthropologists, evolutionists, and neurobiologists over the course of centuries. One explanation widely accepted today is that humans have special cognitive instincts. Unlike other living animal species, we are born with complicated mechanisms for reasoning about causation, reading the minds of others, copying behaviors, and using language. Cecilia Heyes agrees that adult humans have impressive pieces of cognitive equipment. In her framing, however, these cognitive gadgets are not instincts programmed in the genes but are constructed in the course of childhood through social interaction. Cognitive gadgets are products of cultural evolution, rather than genetic evolution. At birth, the minds of human babies are only subtly different from the minds of newborn chimpanzees. We are friendlier, our attention is drawn to different things, and we have a capacity to learn and remember that outstrips the abilities of newborn chimpanzees. Yet when these subtle differences are exposed to culture-soaked human environments, they have enormous effects. They enable us to upload distinctively human ways of thinking from the social world around us. As Cognitive Gadgets makes clear, from birth our malleable human minds can learn through culture not only what to think but how to think it.","publisher":"Harvard University Press","source":"www.degruyter.com","title":"Cognitive Gadgets","author":[{"family":"Heyes","given":"Cecilia"}],"issued":{"date-parts":[["2018"]]}}},{"id":818,"uris":["http://zotero.org/users/local/jz7T3Opo/items/TWXJMDVG"],"itemData":{"id":818,"type":"book","abstract":"Humans are a puzzling species. On the one hand, we struggle to survive on our own in the wild, often failing to overcome even basic challenges, like obtaining food, building shelters, or avoiding predators. On the other hand, human groups have produced ingenious technologies, sophisticated languages, and complex institutions that have permitted us to successfully expand into a vast range of diverse environments. What has enabled us to dominate the globe, more than any other species, while remaining virtually helpless as lone individuals? This book shows that the secret of our success lies not in our innate intelligence, but in our collective brains—on the ability of human groups to socially interconnect and learn from one another over generations. Drawing insights from lost European explorers, clever chimpanzees, mobile hunter-gatherers, neuroscientific findings, ancient bones, and the human genome, Joseph Henrich demonstrates how our collective brains have propelled our species' genetic evolution and shaped our biology. Our early capacities for learning from others produced many cultural innovations, such as fire, cooking, water containers, plant knowledge, and projectile weapons, which in turn drove the expansion of our brains and altered our physiology, anatomy, and psychology in crucial ways. Later on, some collective brains generated and recombined powerful concepts, such as the lever, wheel, screw, and writing, while also creating the institutions that continue to alter our motivations and perceptions. Henrich shows how our genetics and biology are inextricably interwoven with cultural evolution, and how culture-gene interactions launched our species on an extraordinary evolutionary trajectory. Tracking clues from our ancient past to the present, The Secret of Our Success explores how the evolution of both our cultural and social natures produce a collective intelligence that explains both our species' immense success and the origins of human uniqueness.","publisher":"Princeton University Press","title":"The Secret of Our Success","author":[{"family":"Henrich","given":"Joseph"}],"issued":{"date-parts":[["2015"]]}}}],"schema":"https://github.com/citation-style-language/schema/raw/master/csl-citation.json"} </w:instrText>
      </w:r>
      <w:r w:rsidRPr="009B1F4E">
        <w:rPr>
          <w:rFonts w:ascii="Garamond" w:hAnsi="Garamond"/>
          <w:color w:val="000000" w:themeColor="text1"/>
        </w:rPr>
        <w:fldChar w:fldCharType="separate"/>
      </w:r>
      <w:r w:rsidRPr="009B1F4E">
        <w:rPr>
          <w:rFonts w:ascii="Garamond" w:hAnsi="Garamond"/>
          <w:noProof/>
          <w:color w:val="000000" w:themeColor="text1"/>
        </w:rPr>
        <w:t>(Heyes 2018; Henrich 2015)</w:t>
      </w:r>
      <w:r w:rsidRPr="009B1F4E">
        <w:rPr>
          <w:rFonts w:ascii="Garamond" w:hAnsi="Garamond"/>
          <w:color w:val="000000" w:themeColor="text1"/>
        </w:rPr>
        <w:fldChar w:fldCharType="end"/>
      </w:r>
      <w:r w:rsidR="00B43E02" w:rsidRPr="009B1F4E">
        <w:rPr>
          <w:rStyle w:val="Funotenzeichen"/>
          <w:rFonts w:ascii="Garamond" w:hAnsi="Garamond"/>
          <w:color w:val="000000" w:themeColor="text1"/>
        </w:rPr>
        <w:footnoteReference w:id="13"/>
      </w:r>
      <w:r w:rsidR="005855DE" w:rsidRPr="009B1F4E">
        <w:rPr>
          <w:rFonts w:ascii="Garamond" w:hAnsi="Garamond"/>
          <w:color w:val="000000" w:themeColor="text1"/>
        </w:rPr>
        <w:t xml:space="preserve"> </w:t>
      </w:r>
      <w:r w:rsidRPr="009B1F4E">
        <w:rPr>
          <w:rFonts w:ascii="Garamond" w:hAnsi="Garamond"/>
          <w:color w:val="000000" w:themeColor="text1"/>
        </w:rPr>
        <w:t xml:space="preserve">— </w:t>
      </w:r>
      <w:r w:rsidRPr="009B1F4E">
        <w:rPr>
          <w:rFonts w:ascii="Garamond" w:hAnsi="Garamond"/>
          <w:color w:val="000000" w:themeColor="text1"/>
        </w:rPr>
        <w:lastRenderedPageBreak/>
        <w:t>agree that this kind of learning is aided or regulated by norms, wh</w:t>
      </w:r>
      <w:r w:rsidR="00084766" w:rsidRPr="009B1F4E">
        <w:rPr>
          <w:rFonts w:ascii="Garamond" w:hAnsi="Garamond"/>
          <w:color w:val="000000" w:themeColor="text1"/>
        </w:rPr>
        <w:t>ich</w:t>
      </w:r>
      <w:r w:rsidRPr="009B1F4E">
        <w:rPr>
          <w:rFonts w:ascii="Garamond" w:hAnsi="Garamond"/>
          <w:color w:val="000000" w:themeColor="text1"/>
        </w:rPr>
        <w:t xml:space="preserve"> I would say are epistemic coordination norms. </w:t>
      </w:r>
      <w:r w:rsidR="00567CC2">
        <w:rPr>
          <w:rFonts w:ascii="Garamond" w:hAnsi="Garamond" w:cs="Calibri"/>
          <w:color w:val="000000" w:themeColor="text1"/>
        </w:rPr>
        <w:t xml:space="preserve">These norms </w:t>
      </w:r>
      <w:r w:rsidRPr="009B1F4E">
        <w:rPr>
          <w:rFonts w:ascii="Garamond" w:hAnsi="Garamond" w:cs="Calibri"/>
          <w:color w:val="000000" w:themeColor="text1"/>
        </w:rPr>
        <w:t>might</w:t>
      </w:r>
      <w:r w:rsidR="00567CC2">
        <w:rPr>
          <w:rFonts w:ascii="Garamond" w:hAnsi="Garamond" w:cs="Calibri"/>
          <w:color w:val="000000" w:themeColor="text1"/>
        </w:rPr>
        <w:t>, for example,</w:t>
      </w:r>
      <w:r w:rsidRPr="009B1F4E">
        <w:rPr>
          <w:rFonts w:ascii="Garamond" w:hAnsi="Garamond" w:cs="Calibri"/>
          <w:color w:val="000000" w:themeColor="text1"/>
        </w:rPr>
        <w:t xml:space="preserve"> instruct agents to learn from others when they’re sufficiently uncertain (maybe because of a change in environmental conditions)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{"citationID":"MleEuP0W","properties":{"formattedCitation":"(Laland 2004)","plainCitation":"(Laland 2004)","noteIndex":0},"citationItems":[{"id":815,"uris":["http://zotero.org/users/local/jz7T3Opo/items/VWS3ANL5"],"itemData":{"id":815,"type":"article-journal","abstract":"In most studies of social learning in animals, no attempt has been made to examine the nature of the strategy adopted by animals when they copy others. Researchers have expended considerable effort in exploring the psychological processes that underlie social learning and amassed extensive data banks recording purported social learning in the field, but the contexts under which animals copy others remain unexplored. Yet, theoretical models used to investigate the adaptive advantages of social learning lead to the conclusion that social learning cannot be indiscriminate and that individuals should adopt strategies that dictate the circumstances under which they copy others and from whom they learn. In this article, I discuss a number of possible strategies that are predicted by theoretical analyses, includingcopy when uncertain,copy the majority, andcopy if better, and consider the empirical evidence in support of each, drawing from both the animal and human social learning literature. Reliance on social learning strategies may be organized hierarchically, their being employed by animals when unlearned and asocially learned strategies prove ineffective but before animals take recourse in innovation.","container-title":"Animal Learning &amp; Behavior","DOI":"10.3758/BF03196002","ISSN":"1532-5830","issue":"1","journalAbbreviation":"Animal Learning &amp; Behavior","language":"en","page":"4-14","source":"Springer Link","title":"Social learning strategies","volume":"32","author":[{"family":"Laland","given":"Kevin N."}],"issued":{"date-parts":[["2004",2,1]]}}}],"schema":"https://github.com/citation-style-language/schema/raw/master/csl-citation.json"}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(Laland 2004)</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that they should learn from others if the information-donor intends to help them </w:t>
      </w:r>
      <w:r w:rsidRPr="009B1F4E">
        <w:rPr>
          <w:rFonts w:ascii="Garamond" w:hAnsi="Garamond" w:cs="Calibri"/>
          <w:color w:val="000000" w:themeColor="text1"/>
        </w:rPr>
        <w:fldChar w:fldCharType="begin"/>
      </w:r>
      <w:r w:rsidR="004C1DC7" w:rsidRPr="009B1F4E">
        <w:rPr>
          <w:rFonts w:ascii="Garamond" w:hAnsi="Garamond" w:cs="Calibri"/>
          <w:color w:val="000000" w:themeColor="text1"/>
        </w:rPr>
        <w:instrText xml:space="preserve"> ADDIN ZOTERO_ITEM CSL_CITATION {"citationID":"u4HP2hd2","properties":{"formattedCitation":"(Heyes 2018, 107)","plainCitation":"(Heyes 2018, 107)","noteIndex":0},"citationItems":[{"id":809,"uris":["http://zotero.org/users/local/jz7T3Opo/items/LD8WZRV6"],"itemData":{"id":809,"type":"book","abstract":"How did human minds become so different from those of other animals? What accounts for our capacity to understand the way the physical world works, to think ourselves into the minds of others, to gossip, read, tell stories about the past, and imagine the future? These questions are not new: they have been debated by philosophers, psychologists, anthropologists, evolutionists, and neurobiologists over the course of centuries. One explanation widely accepted today is that humans have special cognitive instincts. Unlike other living animal species, we are born with complicated mechanisms for reasoning about causation, reading the minds of others, copying behaviors, and using language. Cecilia Heyes agrees that adult humans have impressive pieces of cognitive equipment. In her framing, however, these cognitive gadgets are not instincts programmed in the genes but are constructed in the course of childhood through social interaction. Cognitive gadgets are products of cultural evolution, rather than genetic evolution. At birth, the minds of human babies are only subtly different from the minds of newborn chimpanzees. We are friendlier, our attention is drawn to different things, and we have a capacity to learn and remember that outstrips the abilities of newborn chimpanzees. Yet when these subtle differences are exposed to culture-soaked human environments, they have enormous effects. They enable us to upload distinctively human ways of thinking from the social world around us. As Cognitive Gadgets makes clear, from birth our malleable human minds can learn through culture not only what to think but how to think it.","publisher":"Harvard University Press","source":"www.degruyter.com","title":"Cognitive Gadgets","author":[{"family":"Heyes","given":"Cecilia"}],"issued":{"date-parts":[["2018"]]}},"locator":"107"}],"schema":"https://github.com/citation-style-language/schema/raw/master/csl-citation.json"}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(Heyes 2018, 107)</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or that they should learn from prestigious individuals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{"citationID":"vOaJZvo7","properties":{"formattedCitation":"(Henrich and Gil-White 2001)","plainCitation":"(Henrich and Gil-White 2001)","noteIndex":0},"citationItems":[{"id":418,"uris":["http://zotero.org/users/local/jz7T3Opo/items/ZP4PBLPP"],"itemData":{"id":418,"type":"article-journal","abstract":"This paper advances an ``information goods'' theory that explains prestige processes as an emergent product of psychological adaptations that evolved to improve the quality of information acquired via cultural transmission. Natural selection favored social learners who could evaluate potential models and copy the most successful among them. In order to improve the fidelity and comprehensiveness of such ranked-biased copying, social learners further evolved dispositions to sycophantically ingratiate themselves with their chosen models, so as to gain close proximity to, and prolonged interaction with, these models. Once common, these dispositions created, at the group level, distributions of deference that new entrants may adaptively exploit to decide who to begin copying. This generated a preference for models who seem generally ``popular.'' Building on social exchange theories, we argue that a wider range of phenomena associated with prestige processes can more plausibly be explained by this simple theory than by others, and we test its predictions with data from throughout the social sciences. In addition, we distinguish carefully between dominance (force or force threat) and prestige (freely conferred deference). D 2001 Elsevier Science Inc. All rights reserved.","container-title":"Evolution and Human Behavior","DOI":"10.1016/S1090-5138(00)00071-4","ISSN":"10905138","issue":"3","journalAbbreviation":"Evolution and Human Behavior","language":"en","page":"165-196","source":"DOI.org (Crossref)","title":"The evolution of prestige: freely conferred deference as a mechanism for enhancing the benefits of cultural transmission","title-short":"The evolution of prestige","volume":"22","author":[{"family":"Henrich","given":"Joseph"},{"family":"Gil-White","given":"Francisco J"}],"issued":{"date-parts":[["2001",5]]}}}],"schema":"https://github.com/citation-style-language/schema/raw/master/csl-citation.json"}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(Henrich and Gil-White 2001)</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These norms might also guide agents to be more curious and playful to encourage innovation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{"citationID":"mCXc6msu","properties":{"formattedCitation":"(Riede et al. 2018)","plainCitation":"(Riede et al. 2018)","noteIndex":0},"citationItems":[{"id":1242,"uris":["http://zotero.org/users/local/jz7T3Opo/items/YAVXMEAL"],"itemData":{"id":1242,"type":"article-journal","abstract":"In this contribution, we address a major puzzle in the evolution of human material culture: If maturing individuals just learn their parental generation's material culture, then what is the origin of key innovations as documented in the archeological record? We approach this question by coupling a life-history model of the costs and benefits of experimentation with a niche-construction perspective. Niche-construction theory suggests that the behavior of organisms and their modification of the world around them have important evolutionary ramifications by altering developmental settings and selection pressures. Part of Homo sapiens' niche is the active provisioning of children with play objects — sometimes functional miniatures of adult tools — and the encouragement of object play, such as playful knapping with stones. Our model suggests that salient material culture innovation may occur or be primed in a late childhood or adolescence sweet spot when cognitive and physical abilities are sufficiently mature but before the full onset of the concerns and costs associated with reproduction. We evaluate the model against a series of archeological cases and make suggestions for future research.","container-title":"Evolutionary Anthropology: Issues, News, and Reviews","DOI":"10.1002/evan.21555","ISSN":"1520-6505","issue":"1","language":"en","note":"_eprint: https://onlinelibrary.wiley.com/doi/pdf/10.1002/evan.21555","page":"46-59","source":"Wiley Online Library","title":"The role of play objects and object play in human cognitive evolution and innovation","volume":"27","author":[{"family":"Riede","given":"Felix"},{"family":"Johannsen","given":"Niels N."},{"family":"Högberg","given":"Anders"},{"family":"Nowell","given":"April"},{"family":"Lombard","given":"Marlize"}],"issued":{"date-parts":[["2018"]]}}}],"schema":"https://github.com/citation-style-language/schema/raw/master/csl-citation.json"}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(Riede et al. 2018)</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or encourage individual refinement of traits after they’ve been socially acquired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{"citationID":"1Nl4FkQA","properties":{"formattedCitation":"(Ehn and Laland 2012)","plainCitation":"(Ehn and Laland 2012)","noteIndex":0},"citationItems":[{"id":1249,"uris":["http://zotero.org/users/local/jz7T3Opo/items/GDRZKUK4"],"itemData":{"id":1249,"type":"article-journal","abstract":"The demographic and ecological success of our species is frequently attributed to our capacity for cumulative culture. However, it is not yet known how humans combine social and asocial learning to generate effective strategies for learning in a cumulative cultural context. Here we explore how cumulative culture influences the relative merits of various pure and conditional learning strategies, including pure asocial and social learning, critical social learning, conditional social learning and individual refiner strategies. We replicate the Rogers' paradox in the cumulative setting. However, our analysis suggests that strategies that resolved Rogers' paradox in a non-cumulative setting may not necessarily evolve in a cumulative setting, thus different strategies will optimize cumulative and non-cumulative cultural learning.","container-title":"Journal of Theoretical Biology","DOI":"10.1016/j.jtbi.2012.02.004","ISSN":"0022-5193","journalAbbreviation":"Journal of Theoretical Biology","language":"en","page":"103-111","source":"ScienceDirect","title":"Adaptive strategies for cumulative cultural learning","volume":"301","author":[{"family":"Ehn","given":"Micael"},{"family":"Laland","given":"Kevin"}],"issued":{"date-parts":[["2012",5,21]]}}}],"schema":"https://github.com/citation-style-language/schema/raw/master/csl-citation.json"}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(Ehn and Laland 2012)</w:t>
      </w:r>
      <w:r w:rsidRPr="009B1F4E">
        <w:rPr>
          <w:rFonts w:ascii="Garamond" w:hAnsi="Garamond" w:cs="Calibri"/>
          <w:color w:val="000000" w:themeColor="text1"/>
        </w:rPr>
        <w:fldChar w:fldCharType="end"/>
      </w:r>
      <w:r w:rsidRPr="009B1F4E">
        <w:rPr>
          <w:rFonts w:ascii="Garamond" w:hAnsi="Garamond" w:cs="Calibri"/>
          <w:color w:val="000000" w:themeColor="text1"/>
        </w:rPr>
        <w:t>.</w:t>
      </w:r>
    </w:p>
    <w:p w14:paraId="0B1DD2F1" w14:textId="2A5A7DB7" w:rsidR="00B43E02" w:rsidRPr="009B1F4E" w:rsidRDefault="00B43E02" w:rsidP="00933074">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Whilst this lends some support to the view I advocate, </w:t>
      </w:r>
      <w:r w:rsidR="00084766" w:rsidRPr="009B1F4E">
        <w:rPr>
          <w:rFonts w:ascii="Garamond" w:hAnsi="Garamond" w:cs="Calibri"/>
          <w:color w:val="000000" w:themeColor="text1"/>
        </w:rPr>
        <w:t xml:space="preserve">perhaps </w:t>
      </w:r>
      <w:proofErr w:type="gramStart"/>
      <w:r w:rsidR="002B675D">
        <w:rPr>
          <w:rFonts w:ascii="Garamond" w:hAnsi="Garamond" w:cs="Calibri"/>
          <w:color w:val="000000" w:themeColor="text1"/>
        </w:rPr>
        <w:t>a for</w:t>
      </w:r>
      <w:proofErr w:type="gramEnd"/>
      <w:r w:rsidR="00084766" w:rsidRPr="009B1F4E">
        <w:rPr>
          <w:rFonts w:ascii="Garamond" w:hAnsi="Garamond" w:cs="Calibri"/>
          <w:color w:val="000000" w:themeColor="text1"/>
        </w:rPr>
        <w:t xml:space="preserve"> </w:t>
      </w:r>
      <w:r w:rsidR="0043377F">
        <w:rPr>
          <w:rFonts w:ascii="Garamond" w:hAnsi="Garamond" w:cs="Calibri"/>
          <w:color w:val="000000" w:themeColor="text1"/>
        </w:rPr>
        <w:t xml:space="preserve">purpose </w:t>
      </w:r>
      <w:r w:rsidRPr="009B1F4E">
        <w:rPr>
          <w:rFonts w:ascii="Garamond" w:hAnsi="Garamond" w:cs="Calibri"/>
          <w:color w:val="000000" w:themeColor="text1"/>
        </w:rPr>
        <w:t xml:space="preserve">more revealing question is </w:t>
      </w:r>
      <w:r w:rsidRPr="009B1F4E">
        <w:rPr>
          <w:rFonts w:ascii="Garamond" w:hAnsi="Garamond" w:cs="Calibri"/>
          <w:i/>
          <w:iCs/>
          <w:color w:val="000000" w:themeColor="text1"/>
        </w:rPr>
        <w:t>why</w:t>
      </w:r>
      <w:r w:rsidRPr="009B1F4E">
        <w:rPr>
          <w:rFonts w:ascii="Garamond" w:hAnsi="Garamond" w:cs="Calibri"/>
          <w:color w:val="000000" w:themeColor="text1"/>
        </w:rPr>
        <w:t xml:space="preserve"> the form of cultural learning, including whom agents learn from and when, is subject to such norms. </w:t>
      </w:r>
    </w:p>
    <w:p w14:paraId="720DEEBF" w14:textId="49622091" w:rsidR="00B43E02" w:rsidRPr="009B1F4E" w:rsidRDefault="00B43E02" w:rsidP="00B43E02">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As a starting point, consider that, per definition, cumulative cultural knowledge and abilities are such that an individual cannot acquire them by themselves but must depend on others to do so. But it’s long been acknowledged that simply learning from anybody at each instance is not a beneficial strategy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{"citationID":"IkXaiCJr","properties":{"formattedCitation":"(Laland 2004)","plainCitation":"(Laland 2004)","noteIndex":0},"citationItems":[{"id":815,"uris":["http://zotero.org/users/local/jz7T3Opo/items/VWS3ANL5"],"itemData":{"id":815,"type":"article-journal","abstract":"In most studies of social learning in animals, no attempt has been made to examine the nature of the strategy adopted by animals when they copy others. Researchers have expended considerable effort in exploring the psychological processes that underlie social learning and amassed extensive data banks recording purported social learning in the field, but the contexts under which animals copy others remain unexplored. Yet, theoretical models used to investigate the adaptive advantages of social learning lead to the conclusion that social learning cannot be indiscriminate and that individuals should adopt strategies that dictate the circumstances under which they copy others and from whom they learn. In this article, I discuss a number of possible strategies that are predicted by theoretical analyses, includingcopy when uncertain,copy the majority, andcopy if better, and consider the empirical evidence in support of each, drawing from both the animal and human social learning literature. Reliance on social learning strategies may be organized hierarchically, their being employed by animals when unlearned and asocially learned strategies prove ineffective but before animals take recourse in innovation.","container-title":"Animal Learning &amp; Behavior","DOI":"10.3758/BF03196002","ISSN":"1532-5830","issue":"1","journalAbbreviation":"Animal Learning &amp; Behavior","language":"en","page":"4-14","source":"Springer Link","title":"Social learning strategies","volume":"32","author":[{"family":"Laland","given":"Kevin N."}],"issued":{"date-parts":[["2004",2,1]]}}}],"schema":"https://github.com/citation-style-language/schema/raw/master/csl-citation.json"}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(Laland 2004)</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The reason for this is simple: There’s a vicious circularity to everyone solely learning from others. Not only does culture stagnate, but what’s being learned from others will likely be decoupled from what’s going on in their environment — and thus not adapted to it — since no new information is </w:t>
      </w:r>
      <w:r w:rsidR="002B675D">
        <w:rPr>
          <w:rFonts w:ascii="Garamond" w:hAnsi="Garamond" w:cs="Calibri"/>
          <w:color w:val="000000" w:themeColor="text1"/>
        </w:rPr>
        <w:t>coming into the group</w:t>
      </w:r>
      <w:r w:rsidRPr="009B1F4E">
        <w:rPr>
          <w:rFonts w:ascii="Garamond" w:hAnsi="Garamond" w:cs="Calibri"/>
          <w:color w:val="000000" w:themeColor="text1"/>
        </w:rPr>
        <w:t xml:space="preserve"> via </w:t>
      </w:r>
      <w:r w:rsidR="002B675D">
        <w:rPr>
          <w:rFonts w:ascii="Garamond" w:hAnsi="Garamond" w:cs="Calibri"/>
          <w:color w:val="000000" w:themeColor="text1"/>
        </w:rPr>
        <w:t>individual</w:t>
      </w:r>
      <w:r w:rsidR="002B675D" w:rsidRPr="009B1F4E">
        <w:rPr>
          <w:rFonts w:ascii="Garamond" w:hAnsi="Garamond" w:cs="Calibri"/>
          <w:color w:val="000000" w:themeColor="text1"/>
        </w:rPr>
        <w:t xml:space="preserve"> </w:t>
      </w:r>
      <w:r w:rsidRPr="009B1F4E">
        <w:rPr>
          <w:rFonts w:ascii="Garamond" w:hAnsi="Garamond" w:cs="Calibri"/>
          <w:color w:val="000000" w:themeColor="text1"/>
        </w:rPr>
        <w:t xml:space="preserve">learning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{"citationID":"FQMv1w2P","properties":{"formattedCitation":"(Boyd and Richerson 1988)","plainCitation":"(Boyd and Richerson 1988)","noteIndex":0},"citationItems":[{"id":1226,"uris":["http://zotero.org/users/local/jz7T3Opo/items/LD9LKPTW"],"itemData":{"id":1226,"type":"book","abstract":"How do biological, psychological, sociological, and cultural factors combine to change societies over the long run? Boyd and Richerson explore how genetic and cultural factors interact, under the influence of evolutionary forces, to produce the diversity we see in human cultures. Using methods developed by population biologists, they propose a theory of cultural evolution that is an original and fair-minded alternative to the sociobiology debate.","ISBN":"978-0-226-06933-3","language":"en","note":"Google-Books-ID: MBg4oBsCKU8C","number-of-pages":"339","publisher":"University of Chicago Press","source":"Google Books","title":"Culture and the Evolutionary Process","author":[{"family":"Boyd","given":"Robert"},{"family":"Richerson","given":"Peter J."}],"issued":{"date-parts":[["1988",6,15]]}}}],"schema":"https://github.com/citation-style-language/schema/raw/master/csl-citation.json"}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(Boyd and Richerson 1988)</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Social groups need to strike a delicate balance regarding the trade-off of acquiring new information via </w:t>
      </w:r>
      <w:r w:rsidR="002B675D">
        <w:rPr>
          <w:rFonts w:ascii="Garamond" w:hAnsi="Garamond" w:cs="Calibri"/>
          <w:color w:val="000000" w:themeColor="text1"/>
        </w:rPr>
        <w:t>individual</w:t>
      </w:r>
      <w:r w:rsidRPr="009B1F4E">
        <w:rPr>
          <w:rFonts w:ascii="Garamond" w:hAnsi="Garamond" w:cs="Calibri"/>
          <w:color w:val="000000" w:themeColor="text1"/>
        </w:rPr>
        <w:t xml:space="preserve"> learning and innovation and allowing agents to gain access to cultural knowledge and abilities via cultural learning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{"citationID":"1juXUJkV","properties":{"formattedCitation":"(Kandler and Laland 2009)","plainCitation":"(Kandler and Laland 2009)","noteIndex":0},"citationItems":[{"id":1248,"uris":["http://zotero.org/users/local/jz7T3Opo/items/J2B3ECGJ"],"itemData":{"id":1248,"type":"article-journal","abstract":"In this paper we apply reaction–diffusion models to explore the relationship between the rate of behavioural innovation and the level of cultural diversity. We investigate how both independent invention and the modification and refinement of established innovations impact on cultural dynamics and diversity. Further, we analyse these relationships in the presence of biases in cultural learning and find that the introduction of new variants typically increases cultural diversity substantially in the short term, but may decrease long-term diversity. Independent invention generally supports higher levels of cultural diversity than refinement. Repeated patterns of innovation through refinement generate characteristic oscillating trends in diversity, with increasing trends towards greater average diversity observed for medium but not low innovation rates. Conformity weakens the relationship between innovation and diversity. The level of cultural diversity, and pattern of temporal dynamics, potentially provide clues as to the underlying process, which can be used to interpret empirical data.","container-title":"Theoretical Population Biology","DOI":"10.1016/j.tpb.2009.04.004","ISSN":"0040-5809","issue":"1","journalAbbreviation":"Theoretical Population Biology","language":"en","page":"59-67","source":"ScienceDirect","title":"An investigation of the relationship between innovation and cultural diversity","volume":"76","author":[{"family":"Kandler","given":"Anne"},{"family":"Laland","given":"Kevin N."}],"issued":{"date-parts":[["2009",8,1]]}}}],"schema":"https://github.com/citation-style-language/schema/raw/master/csl-citation.json"}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(Kandler and Laland 2009)</w:t>
      </w:r>
      <w:r w:rsidRPr="009B1F4E">
        <w:rPr>
          <w:rFonts w:ascii="Garamond" w:hAnsi="Garamond" w:cs="Calibri"/>
          <w:color w:val="000000" w:themeColor="text1"/>
        </w:rPr>
        <w:fldChar w:fldCharType="end"/>
      </w:r>
      <w:r w:rsidRPr="009B1F4E">
        <w:rPr>
          <w:rFonts w:ascii="Garamond" w:hAnsi="Garamond" w:cs="Calibri"/>
          <w:color w:val="000000" w:themeColor="text1"/>
        </w:rPr>
        <w:t>.</w:t>
      </w:r>
    </w:p>
    <w:p w14:paraId="4D6A20C3" w14:textId="2948458B" w:rsidR="002B3562" w:rsidRPr="009B1F4E" w:rsidRDefault="002B3562" w:rsidP="00B43E02">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Insights from social epistemology further complicate this trade-off: Several scholars have recognised that an over-reliance on one’s own reasoning capacities leads to false beliefs in many contexts; this is chiefly due to the scope and complexity of the information that agents would need to have access to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{"citationID":"psMCyCml","properties":{"formattedCitation":"(see, e.g., Grundmann 2021; Buzzell and Rini 2022; Levy 2022)","plainCitation":"(see, e.g., Grundmann 2021; Buzzell and Rini 2022; Levy 2022)","noteIndex":0},"citationItems":[{"id":1287,"uris":["http://zotero.org/users/local/jz7T3Opo/items/SD5PU9XG"],"itemData":{"id":1287,"type":"chapter","container-title":"The Epistemology of Fake News","publisher":"Oxford: Oxford University Press","source":"PhilPapers","title":"Facing Epistemic Authorities: Where Democratic Ideals and Critical Thinking Mislead Cognition","title-short":"Facing Epistemic Authorities","author":[{"family":"Grundmann","given":"Thomas"}],"editor":[{"family":"Bernecker","given":"Sven"},{"family":"Flowerree","given":"Amy K."},{"family":"Grundmann","given":"Thomas"}],"issued":{"date-parts":[["2021"]]}},"label":"page","prefix":"see, e.g., "},{"id":1341,"uris":["http://zotero.org/users/local/jz7T3Opo/items/NKJ8QR5R"],"itemData":{"id":1341,"type":"article-journal","abstract":"The COVID-19 pandemic has been accompanied by an “infodemic” of misinformation and conspiracy theory. This article points to three explanatory factors: the challenge of forming accurate beliefs when overwhelmed with information, an implausibly individualistic conception of epistemic virtue, and an adversarial information environment that suborns epistemic dependence. Normally we cope with the problems of informational excess by relying on other people, including sociotechnical systems that mediate testimony and evidence. But when we attempt to engage in epistemic “superheroics” - withholding trust from others and trying to figure it all out for ourselves – these can malfunction in ways that make us vulnerable to forming irrational beliefs. Some epistemic systems are prone to coalescing audiences around false conspiracy theories. This analysis affords a new perspective on philosophical efforts to understand conspiracy theories and other epistemic projects prone to collective irrationality.","container-title":"Philosophical Psychology","DOI":"10.1080/09515089.2022.2138019","ISSN":"0951-5089","issue":"0","note":"publisher: Routledge\n_eprint: https://doi.org/10.1080/09515089.2022.2138019","page":"1-25","source":"Taylor and Francis+NEJM","title":"Doing your own research and other impossible acts of epistemic superheroism","volume":"0","author":[{"family":"Buzzell","given":"Andrew"},{"family":"Rini","given":"Regina"}],"issued":{"date-parts":[["2022",11,3]]}}},{"id":1381,"uris":["http://zotero.org/users/local/jz7T3Opo/items/SW9WTEDX"],"itemData":{"id":1381,"type":"article-journal","abstract":"Philosophical tradition and conspiracy theorists converge in suggesting that ordinary people ought to do their own research, rather than accept the word of others. In this paper, I argue that it’s no accident that conspiracy theorists value lay research on expert topics: such research is likely to undermine knowledge, via its effects on truth and justification. Accepting expert testimony is a far more reliable route to truth. Nevertheless, lay research has a range of benefits; in particular, it is likely to lead to greater understanding, even when it does not lead to knowledge. I argue that we can reap most of the genuine benefits of lay research while minimizing the risks by engaging in exploratory, rather than truth-directed, inquiry. To engage in exploratory inquiry is to engage dogmatically, expecting to be unable to confirm the expert view or to disconfirm rivals.","container-title":"Synthese","DOI":"10.1007/s11229-022-03793-w","ISSN":"1573-0964","issue":"5","journalAbbreviation":"Synthese","language":"en","page":"356","source":"Springer Link","title":"Do your own research!","volume":"200","author":[{"family":"Levy","given":"Neil"}],"issued":{"date-parts":[["2022",8,20]]}}}],"schema":"https://github.com/citation-style-language/schema/raw/master/csl-citation.json"}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(see, e.g., Grundmann 2021; Buzzell and Rini 2022; Levy 2022)</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Doing your own research — these people think — is often a bad idea. At the same time, however, acquiring knowledge via individual learning could be conducive to building up the relevant epistemic capacities in the long term — even if it is unproductive in the short term. Others argue that individual learning might not be conducive to acquiring knowledge, but it might be useful to acquire other epistemic goods, such as understanding </w:t>
      </w:r>
      <w:r w:rsidRPr="009B1F4E">
        <w:rPr>
          <w:rFonts w:ascii="Garamond" w:hAnsi="Garamond"/>
          <w:color w:val="000000" w:themeColor="text1"/>
        </w:rPr>
        <w:fldChar w:fldCharType="begin"/>
      </w:r>
      <w:r w:rsidRPr="009B1F4E">
        <w:rPr>
          <w:rFonts w:ascii="Garamond" w:hAnsi="Garamond"/>
          <w:color w:val="000000" w:themeColor="text1"/>
        </w:rPr>
        <w:instrText xml:space="preserve"> ADDIN ZOTERO_ITEM CSL_CITATION {"citationID":"nvMSm1HP","properties":{"formattedCitation":"(Levy 2022; Matheson 2022)","plainCitation":"(Levy 2022; Matheson 2022)","noteIndex":0},"citationItems":[{"id":1381,"uris":["http://zotero.org/users/local/jz7T3Opo/items/SW9WTEDX"],"itemData":{"id":1381,"type":"article-journal","abstract":"Philosophical tradition and conspiracy theorists converge in suggesting that ordinary people ought to do their own research, rather than accept the word of others. In this paper, I argue that it’s no accident that conspiracy theorists value lay research on expert topics: such research is likely to undermine knowledge, via its effects on truth and justification. Accepting expert testimony is a far more reliable route to truth. Nevertheless, lay research has a range of benefits; in particular, it is likely to lead to greater understanding, even when it does not lead to knowledge. I argue that we can reap most of the genuine benefits of lay research while minimizing the risks by engaging in exploratory, rather than truth-directed, inquiry. To engage in exploratory inquiry is to engage dogmatically, expecting to be unable to confirm the expert view or to disconfirm rivals.","container-title":"Synthese","DOI":"10.1007/s11229-022-03793-w","ISSN":"1573-0964","issue":"5","journalAbbreviation":"Synthese","language":"en","page":"356","source":"Springer Link","title":"Do your own research!","volume":"200","author":[{"family":"Levy","given":"Neil"}],"issued":{"date-parts":[["2022",8,20]]}}},{"id":1379,"uris":["http://zotero.org/users/local/jz7T3Opo/items/BCRBNBS7"],"itemData":{"id":1379,"type":"article-journal","abstract":"In this paper, I explore an underappreciated tension between two epistemic values: epistemic autonomy and the love of truth. On the one hand, it seems as though any healthy intellectual life includes thinking about a number of issues for oneself. On the other hand, it seems as though taking inquiry seriously requires you to take the best available route to the answer, and typically that is not thinking for yourself. For nearly any question you want to investigate, there is someone who is in a better epistemic position than you are to determine the answer. In what follows, I will first clarify our central question and sharpen this novel puzzle regarding epistemic autonomy. Having done so, I will argue that autonomous deliberation can be epistemically valuable to inquirers both when it is successful, as well as when it is unsuccessful. I conclude by gesturing at how these considerations point us toward an account of epistemic autonomy as an intellectual virtue.","container-title":"Episteme","DOI":"10.1017/epi.2021.49","ISSN":"1742-3600, 1750-0117","language":"en","note":"publisher: Cambridge University Press","page":"1-19","source":"Cambridge University Press","title":"Why Think for Yourself?","author":[{"family":"Matheson","given":"Jonathan"}],"issued":{"date-parts":[["2022",1,31]]}}}],"schema":"https://github.com/citation-style-language/schema/raw/master/csl-citation.json"} </w:instrText>
      </w:r>
      <w:r w:rsidRPr="009B1F4E">
        <w:rPr>
          <w:rFonts w:ascii="Garamond" w:hAnsi="Garamond"/>
          <w:color w:val="000000" w:themeColor="text1"/>
        </w:rPr>
        <w:fldChar w:fldCharType="separate"/>
      </w:r>
      <w:r w:rsidRPr="009B1F4E">
        <w:rPr>
          <w:rFonts w:ascii="Garamond" w:hAnsi="Garamond"/>
          <w:noProof/>
          <w:color w:val="000000" w:themeColor="text1"/>
        </w:rPr>
        <w:t>(Levy 2022; Matheson 2022)</w:t>
      </w:r>
      <w:r w:rsidRPr="009B1F4E">
        <w:rPr>
          <w:rFonts w:ascii="Garamond" w:hAnsi="Garamond"/>
          <w:color w:val="000000" w:themeColor="text1"/>
        </w:rPr>
        <w:fldChar w:fldCharType="end"/>
      </w:r>
      <w:r w:rsidRPr="009B1F4E">
        <w:rPr>
          <w:rFonts w:ascii="Garamond" w:hAnsi="Garamond"/>
          <w:color w:val="000000" w:themeColor="text1"/>
        </w:rPr>
        <w:t xml:space="preserve">. The idea being that simply deferring to what others assert isn’t sufficient to come to understand for oneself: If I defer to my football expert friend with regards to who the best English midfielder of the mid-2000s was </w:t>
      </w:r>
      <w:r w:rsidRPr="009B1F4E">
        <w:rPr>
          <w:rFonts w:ascii="Garamond" w:hAnsi="Garamond"/>
          <w:color w:val="000000" w:themeColor="text1"/>
        </w:rPr>
        <w:lastRenderedPageBreak/>
        <w:t xml:space="preserve">— without thinking things through on my own — I won’t thereby come to understand why this is so. In turn, I might be unable to apply these insights where it matters: I might be unable to come up with a good answer for who the best English </w:t>
      </w:r>
      <w:r w:rsidRPr="009B1F4E">
        <w:rPr>
          <w:rFonts w:ascii="Garamond" w:hAnsi="Garamond"/>
          <w:i/>
          <w:iCs/>
          <w:color w:val="000000" w:themeColor="text1"/>
        </w:rPr>
        <w:t>striker</w:t>
      </w:r>
      <w:r w:rsidRPr="009B1F4E">
        <w:rPr>
          <w:rFonts w:ascii="Garamond" w:hAnsi="Garamond"/>
          <w:color w:val="000000" w:themeColor="text1"/>
        </w:rPr>
        <w:t xml:space="preserve"> of the mid-2000s was. </w:t>
      </w:r>
      <w:r w:rsidRPr="009B1F4E">
        <w:rPr>
          <w:rFonts w:ascii="Garamond" w:hAnsi="Garamond" w:cs="Calibri"/>
          <w:color w:val="000000" w:themeColor="text1"/>
        </w:rPr>
        <w:t>So, depending on the kind of epistemic good that needs to be acquired — understanding or mere knowledge — a different kind of learning strategy is required.</w:t>
      </w:r>
    </w:p>
    <w:p w14:paraId="41D82E85" w14:textId="42F7AADF" w:rsidR="00B224C8" w:rsidRPr="009B1F4E" w:rsidRDefault="008C552D" w:rsidP="00B224C8">
      <w:pPr>
        <w:spacing w:line="360" w:lineRule="auto"/>
        <w:jc w:val="both"/>
        <w:rPr>
          <w:rStyle w:val="notion-enable-hover"/>
          <w:rFonts w:ascii="Garamond" w:hAnsi="Garamond"/>
          <w:color w:val="000000" w:themeColor="text1"/>
        </w:rPr>
      </w:pPr>
      <w:r w:rsidRPr="009B1F4E">
        <w:rPr>
          <w:rFonts w:ascii="Garamond" w:hAnsi="Garamond" w:cs="Calibri"/>
          <w:color w:val="000000" w:themeColor="text1"/>
        </w:rPr>
        <w:t xml:space="preserve">The picture that emerges here is that the form of cultural learning — under which conditions agents learn from others, from whom they learn, which strategies or mechanisms they’re incentivised to employ and how their learning environments are structured — is subject to a host of contextual factors. Not only does it depend on balancing innovation vs. information-transmission and depends on the epistemic good that is to be acquired, </w:t>
      </w:r>
      <w:r w:rsidR="00E95366" w:rsidRPr="009B1F4E">
        <w:rPr>
          <w:rFonts w:ascii="Garamond" w:hAnsi="Garamond" w:cs="Calibri"/>
          <w:color w:val="000000" w:themeColor="text1"/>
        </w:rPr>
        <w:t xml:space="preserve">but </w:t>
      </w:r>
      <w:r w:rsidR="00B224C8" w:rsidRPr="009B1F4E">
        <w:rPr>
          <w:rFonts w:ascii="Garamond" w:hAnsi="Garamond" w:cs="Calibri"/>
          <w:color w:val="000000" w:themeColor="text1"/>
        </w:rPr>
        <w:t>what form cultural learning takes is also impacted by factors such as group</w:t>
      </w:r>
      <w:r w:rsidR="00E95366" w:rsidRPr="009B1F4E">
        <w:rPr>
          <w:rFonts w:ascii="Garamond" w:hAnsi="Garamond" w:cs="Calibri"/>
          <w:color w:val="000000" w:themeColor="text1"/>
        </w:rPr>
        <w:t xml:space="preserve"> </w:t>
      </w:r>
      <w:r w:rsidR="00B224C8" w:rsidRPr="009B1F4E">
        <w:rPr>
          <w:rFonts w:ascii="Garamond" w:hAnsi="Garamond" w:cs="Calibri"/>
          <w:color w:val="000000" w:themeColor="text1"/>
        </w:rPr>
        <w:t xml:space="preserve">size: </w:t>
      </w:r>
      <w:r w:rsidR="00B224C8" w:rsidRPr="009B1F4E">
        <w:rPr>
          <w:rStyle w:val="notion-enable-hover"/>
          <w:rFonts w:ascii="Garamond" w:hAnsi="Garamond"/>
          <w:color w:val="000000" w:themeColor="text1"/>
        </w:rPr>
        <w:t xml:space="preserve">Larger groups can more easily allow for specialisation and the kind of innovation that comes with it </w:t>
      </w:r>
      <w:r w:rsidR="00B224C8" w:rsidRPr="009B1F4E">
        <w:rPr>
          <w:rStyle w:val="notion-enable-hover"/>
          <w:rFonts w:ascii="Garamond" w:hAnsi="Garamond"/>
          <w:color w:val="000000" w:themeColor="text1"/>
        </w:rPr>
        <w:fldChar w:fldCharType="begin"/>
      </w:r>
      <w:r w:rsidR="004C1DC7" w:rsidRPr="009B1F4E">
        <w:rPr>
          <w:rStyle w:val="notion-enable-hover"/>
          <w:rFonts w:ascii="Garamond" w:hAnsi="Garamond"/>
          <w:color w:val="000000" w:themeColor="text1"/>
        </w:rPr>
        <w:instrText xml:space="preserve"> ADDIN ZOTERO_ITEM CSL_CITATION {"citationID":"FflPBnSO","properties":{"formattedCitation":"(Ofek 2004)","plainCitation":"(Ofek 2004)","noteIndex":0},"citationItems":[{"id":800,"uris":["http://zotero.org/users/local/jz7T3Opo/items/RNCP7Z6Y"],"itemData":{"id":800,"type":"book","ISBN":"978-0-511-01798-8","publisher":"Cambridge","source":"Library Genesis","title":"Second Nature - Economic Origins of Human Evolution","author":[{"family":"Ofek","given":"Haim"}],"accessed":{"date-parts":[["2021",7,23]]},"issued":{"date-parts":[["2004"]]}}}],"schema":"https://github.com/citation-style-language/schema/raw/master/csl-citation.json"} </w:instrText>
      </w:r>
      <w:r w:rsidR="00B224C8" w:rsidRPr="009B1F4E">
        <w:rPr>
          <w:rStyle w:val="notion-enable-hover"/>
          <w:rFonts w:ascii="Garamond" w:hAnsi="Garamond"/>
          <w:color w:val="000000" w:themeColor="text1"/>
        </w:rPr>
        <w:fldChar w:fldCharType="separate"/>
      </w:r>
      <w:r w:rsidR="00B224C8" w:rsidRPr="009B1F4E">
        <w:rPr>
          <w:rStyle w:val="notion-enable-hover"/>
          <w:rFonts w:ascii="Garamond" w:hAnsi="Garamond"/>
          <w:noProof/>
          <w:color w:val="000000" w:themeColor="text1"/>
        </w:rPr>
        <w:t>(Ofek 2004)</w:t>
      </w:r>
      <w:r w:rsidR="00B224C8" w:rsidRPr="009B1F4E">
        <w:rPr>
          <w:rStyle w:val="notion-enable-hover"/>
          <w:rFonts w:ascii="Garamond" w:hAnsi="Garamond"/>
          <w:color w:val="000000" w:themeColor="text1"/>
        </w:rPr>
        <w:fldChar w:fldCharType="end"/>
      </w:r>
      <w:r w:rsidR="00B224C8" w:rsidRPr="009B1F4E">
        <w:rPr>
          <w:rStyle w:val="notion-enable-hover"/>
          <w:rFonts w:ascii="Garamond" w:hAnsi="Garamond"/>
          <w:color w:val="000000" w:themeColor="text1"/>
        </w:rPr>
        <w:t>. Notably, the size and connectedness of a group (both internally and between groups) is known to have changed depending on seasons and other external factors. Similarly, a group’s dominance</w:t>
      </w:r>
      <w:r w:rsidR="00084766" w:rsidRPr="009B1F4E">
        <w:rPr>
          <w:rStyle w:val="notion-enable-hover"/>
          <w:rFonts w:ascii="Garamond" w:hAnsi="Garamond"/>
          <w:color w:val="000000" w:themeColor="text1"/>
        </w:rPr>
        <w:t xml:space="preserve"> structure impacts inventiveness; for example, particularly dominant structures have hampering effects </w:t>
      </w:r>
      <w:r w:rsidR="002B675D">
        <w:rPr>
          <w:rStyle w:val="notion-enable-hover"/>
          <w:rFonts w:ascii="Garamond" w:hAnsi="Garamond"/>
          <w:color w:val="000000" w:themeColor="text1"/>
        </w:rPr>
        <w:t xml:space="preserve">on innovation </w:t>
      </w:r>
      <w:r w:rsidR="00084766" w:rsidRPr="009B1F4E">
        <w:rPr>
          <w:rStyle w:val="notion-enable-hover"/>
          <w:rFonts w:ascii="Garamond" w:hAnsi="Garamond"/>
          <w:color w:val="000000" w:themeColor="text1"/>
        </w:rPr>
        <w:t xml:space="preserve">and </w:t>
      </w:r>
      <w:r w:rsidR="002B675D">
        <w:rPr>
          <w:rStyle w:val="notion-enable-hover"/>
          <w:rFonts w:ascii="Garamond" w:hAnsi="Garamond"/>
          <w:color w:val="000000" w:themeColor="text1"/>
        </w:rPr>
        <w:t xml:space="preserve">also change </w:t>
      </w:r>
      <w:r w:rsidR="00B224C8" w:rsidRPr="009B1F4E">
        <w:rPr>
          <w:rStyle w:val="notion-enable-hover"/>
          <w:rFonts w:ascii="Garamond" w:hAnsi="Garamond"/>
          <w:color w:val="000000" w:themeColor="text1"/>
        </w:rPr>
        <w:t xml:space="preserve">seasonally </w:t>
      </w:r>
      <w:r w:rsidR="00B224C8" w:rsidRPr="009B1F4E">
        <w:rPr>
          <w:rStyle w:val="notion-enable-hover"/>
          <w:rFonts w:ascii="Garamond" w:hAnsi="Garamond"/>
          <w:color w:val="000000" w:themeColor="text1"/>
        </w:rPr>
        <w:fldChar w:fldCharType="begin"/>
      </w:r>
      <w:r w:rsidR="009B1F4E">
        <w:rPr>
          <w:rStyle w:val="notion-enable-hover"/>
          <w:rFonts w:ascii="Garamond" w:hAnsi="Garamond"/>
          <w:color w:val="000000" w:themeColor="text1"/>
        </w:rPr>
        <w:instrText xml:space="preserve"> ADDIN ZOTERO_ITEM CSL_CITATION {"citationID":"QgB73aPC","properties":{"formattedCitation":"(see, e.g., Sterelny 2021b, chap. 1; Hill et al. 2011; Pradhan, Tennie, and van Schaik 2012)","plainCitation":"(see, e.g., Sterelny 2021b, chap. 1; Hill et al. 2011; Pradhan, Tennie, and van Schaik 2012)","noteIndex":0},"citationItems":[{"id":789,"uris":["http://zotero.org/users/local/jz7T3Opo/items/GATH6MTZ"],"itemData":{"id":789,"type":"book","abstract":"Kim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Contract","author":[{"family":"Sterelny","given":"Kim"}],"issued":{"date-parts":[["2021",9,16]]}},"locator":"1","label":"chapter","prefix":"see, e.g., "},{"id":1250,"uris":["http://zotero.org/users/local/jz7T3Opo/items/47QAA9A3"],"itemData":{"id":1250,"type":"article-journal","abstract":"Contemporary humans exhibit spectacular biological success derived from cumulative culture and cooperation. The origins of these traits may be related to our ancestral group structure. Because humans lived as foragers for 95% of our species’ history, we analyzed co-residence patterns among 32 present-day foraging societies (total n = 5067 individuals, mean experienced band size = 28.2 adults). We found that hunter-gatherers display a unique social structure where (i) either sex may disperse or remain in their natal group, (ii) adult brothers and sisters often co-reside, and (iii) most individuals in residential groups are genetically unrelated. These patterns produce large interaction networks of unrelated adults and suggest that inclusive fitness cannot explain extensive cooperation in hunter-gatherer bands. However, large social networks may help to explain why humans evolved capacities for social learning that resulted in cumulative culture.","container-title":"Science","DOI":"10.1126/science.1199071","issue":"6022","note":"publisher: American Association for the Advancement of Science","page":"1286-1289","source":"science.org (Atypon)","title":"Co-Residence Patterns in Hunter-Gatherer Societies Show Unique Human Social Structure","volume":"331","author":[{"family":"Hill","given":"Kim R."},{"family":"Walker","given":"Robert S."},{"family":"Božičević","given":"Miran"},{"family":"Eder","given":"James"},{"family":"Headland","given":"Thomas"},{"family":"Hewlett","given":"Barry"},{"family":"Hurtado","given":"A. Magdalena"},{"family":"Marlowe","given":"Frank"},{"family":"Wiessner","given":"Polly"},{"family":"Wood","given":"Brian"}],"issued":{"date-parts":[["2011",3,11]]}}},{"id":1252,"uris":["http://zotero.org/users/local/jz7T3Opo/items/ZJGVIFZC"],"itemData":{"id":1252,"type":"article-journal","abstract":"Culturally supported accumulation (or ratcheting) of technological complexity is widely seen as characterizing hominin technology relative to that of the extant great apes, and thus as representing a threshold in cultural evolution. To explain this divide, we modeled the process of cultural accumulation of technology, which we defined as adding new actions to existing ones to create new functional combinations, based on a model for great ape tool use. The model shows that intraspecific and interspecific variation in the presence of simple and cumulative technology among extant orangutans and chimpanzees is largely due to variation in sociability, and hence opportunities for social learning. The model also suggests that the adoption of extensive allomaternal care (cooperative breeding) in early Pleistocene Homo, which led to an increase in sociability and to teaching, and hence increased efficiency of social learning, was enough to facilitate technological ratcheting. Hence, socioecological changes, rather than advances in cognitive abilities, can account for the cumulative cultural changes seen until the origin of the Acheulean. The consequent increase in the reliance on technology could have served as the pacemaker for increased cognitive abilities. Our results also suggest that a more important watershed in cultural evolution was the rise of donated culture (technology or concepts), in which technology or concepts was transferred to naïve individuals, allowing them to skip many learning steps, and specialization arose, which allowed individuals to learn only a subset of the population's skills.","container-title":"Journal of Human Evolution","DOI":"10.1016/j.jhevol.2012.04.008","ISSN":"0047-2484","issue":"1","journalAbbreviation":"Journal of Human Evolution","language":"en","page":"180-190","source":"ScienceDirect","title":"Social organization and the evolution of cumulative technology in apes and hominins","volume":"63","author":[{"family":"Pradhan","given":"Gauri R."},{"family":"Tennie","given":"Claudio"},{"family":"Schaik","given":"Carel P.","non-dropping-particle":"van"}],"issued":{"date-parts":[["2012",7,1]]}}}],"schema":"https://github.com/citation-style-language/schema/raw/master/csl-citation.json"} </w:instrText>
      </w:r>
      <w:r w:rsidR="00B224C8" w:rsidRPr="009B1F4E">
        <w:rPr>
          <w:rStyle w:val="notion-enable-hover"/>
          <w:rFonts w:ascii="Garamond" w:hAnsi="Garamond"/>
          <w:color w:val="000000" w:themeColor="text1"/>
        </w:rPr>
        <w:fldChar w:fldCharType="separate"/>
      </w:r>
      <w:r w:rsidR="009B1F4E">
        <w:rPr>
          <w:rStyle w:val="notion-enable-hover"/>
          <w:rFonts w:ascii="Garamond" w:hAnsi="Garamond"/>
          <w:noProof/>
          <w:color w:val="000000" w:themeColor="text1"/>
        </w:rPr>
        <w:t>(see, e.g., Sterelny 2021b, chap. 1; Hill et al. 2011; Pradhan, Tennie, and van Schaik 2012)</w:t>
      </w:r>
      <w:r w:rsidR="00B224C8" w:rsidRPr="009B1F4E">
        <w:rPr>
          <w:rStyle w:val="notion-enable-hover"/>
          <w:rFonts w:ascii="Garamond" w:hAnsi="Garamond"/>
          <w:color w:val="000000" w:themeColor="text1"/>
        </w:rPr>
        <w:fldChar w:fldCharType="end"/>
      </w:r>
      <w:r w:rsidR="00B224C8" w:rsidRPr="009B1F4E">
        <w:rPr>
          <w:rStyle w:val="notion-enable-hover"/>
          <w:rFonts w:ascii="Garamond" w:hAnsi="Garamond"/>
          <w:color w:val="000000" w:themeColor="text1"/>
        </w:rPr>
        <w:t xml:space="preserve">. Relatedly, social groups that are economically well-off — say because they live in a friendly habitat during a season with food surplus — can more readily allow for experimentation. </w:t>
      </w:r>
      <w:r w:rsidR="00B224C8" w:rsidRPr="009B1F4E">
        <w:rPr>
          <w:rStyle w:val="notion-enable-hover"/>
          <w:rFonts w:ascii="Garamond" w:hAnsi="Garamond"/>
          <w:i/>
          <w:iCs/>
          <w:color w:val="000000" w:themeColor="text1"/>
        </w:rPr>
        <w:t xml:space="preserve"> </w:t>
      </w:r>
      <w:r w:rsidR="00B224C8" w:rsidRPr="009B1F4E">
        <w:rPr>
          <w:rStyle w:val="notion-enable-hover"/>
          <w:rFonts w:ascii="Garamond" w:hAnsi="Garamond"/>
          <w:color w:val="000000" w:themeColor="text1"/>
        </w:rPr>
        <w:t xml:space="preserve">This balance is also contextual in that it’s specific to </w:t>
      </w:r>
      <w:proofErr w:type="spellStart"/>
      <w:r w:rsidR="00B224C8" w:rsidRPr="009B1F4E">
        <w:rPr>
          <w:rStyle w:val="notion-enable-hover"/>
          <w:rFonts w:ascii="Garamond" w:hAnsi="Garamond"/>
          <w:color w:val="000000" w:themeColor="text1"/>
        </w:rPr>
        <w:t>i</w:t>
      </w:r>
      <w:proofErr w:type="spellEnd"/>
      <w:r w:rsidR="00B224C8" w:rsidRPr="009B1F4E">
        <w:rPr>
          <w:rStyle w:val="notion-enable-hover"/>
          <w:rFonts w:ascii="Garamond" w:hAnsi="Garamond"/>
          <w:color w:val="000000" w:themeColor="text1"/>
        </w:rPr>
        <w:t>) cultural traits: It will likely look different for trait</w:t>
      </w:r>
      <w:r w:rsidR="00B224C8" w:rsidRPr="009B1F4E">
        <w:rPr>
          <w:rStyle w:val="notion-enable-hover"/>
          <w:rFonts w:ascii="Garamond" w:hAnsi="Garamond"/>
          <w:color w:val="000000" w:themeColor="text1"/>
          <w:vertAlign w:val="subscript"/>
        </w:rPr>
        <w:t>1</w:t>
      </w:r>
      <w:r w:rsidR="00B224C8" w:rsidRPr="009B1F4E">
        <w:rPr>
          <w:rStyle w:val="notion-enable-hover"/>
          <w:rFonts w:ascii="Garamond" w:hAnsi="Garamond"/>
          <w:color w:val="000000" w:themeColor="text1"/>
        </w:rPr>
        <w:t xml:space="preserve"> than for cultural trait</w:t>
      </w:r>
      <w:r w:rsidR="00B224C8" w:rsidRPr="009B1F4E">
        <w:rPr>
          <w:rStyle w:val="notion-enable-hover"/>
          <w:rFonts w:ascii="Garamond" w:hAnsi="Garamond"/>
          <w:color w:val="000000" w:themeColor="text1"/>
          <w:vertAlign w:val="subscript"/>
        </w:rPr>
        <w:t>2</w:t>
      </w:r>
      <w:r w:rsidR="00B224C8" w:rsidRPr="009B1F4E">
        <w:rPr>
          <w:rStyle w:val="notion-enable-hover"/>
          <w:rFonts w:ascii="Garamond" w:hAnsi="Garamond"/>
          <w:color w:val="000000" w:themeColor="text1"/>
        </w:rPr>
        <w:t xml:space="preserve">, depending, e.g., on the trait’s complexity or the dangers that come with its acquisition (think those inherent to big game hunting). </w:t>
      </w:r>
      <w:r w:rsidR="00B224C8" w:rsidRPr="009B1F4E">
        <w:rPr>
          <w:rStyle w:val="notion-enable-hover"/>
          <w:rFonts w:ascii="Garamond" w:hAnsi="Garamond" w:cs="Calibri"/>
          <w:color w:val="000000" w:themeColor="text1"/>
        </w:rPr>
        <w:t xml:space="preserve">Additionally, unpredictable pay-offs of modification lead to stronger conformity in </w:t>
      </w:r>
      <w:r w:rsidR="00E95366" w:rsidRPr="009B1F4E">
        <w:rPr>
          <w:rStyle w:val="notion-enable-hover"/>
          <w:rFonts w:ascii="Garamond" w:hAnsi="Garamond" w:cs="Calibri"/>
          <w:color w:val="000000" w:themeColor="text1"/>
        </w:rPr>
        <w:t>transmitting</w:t>
      </w:r>
      <w:r w:rsidR="00B224C8" w:rsidRPr="009B1F4E">
        <w:rPr>
          <w:rStyle w:val="notion-enable-hover"/>
          <w:rFonts w:ascii="Garamond" w:hAnsi="Garamond" w:cs="Calibri"/>
          <w:color w:val="000000" w:themeColor="text1"/>
        </w:rPr>
        <w:t xml:space="preserve"> cultural traits </w:t>
      </w:r>
      <w:r w:rsidR="00B224C8" w:rsidRPr="009B1F4E">
        <w:rPr>
          <w:rStyle w:val="notion-enable-hover"/>
          <w:rFonts w:ascii="Garamond" w:hAnsi="Garamond" w:cs="Calibri"/>
          <w:color w:val="000000" w:themeColor="text1"/>
        </w:rPr>
        <w:fldChar w:fldCharType="begin"/>
      </w:r>
      <w:r w:rsidR="00B224C8" w:rsidRPr="009B1F4E">
        <w:rPr>
          <w:rStyle w:val="notion-enable-hover"/>
          <w:rFonts w:ascii="Garamond" w:hAnsi="Garamond" w:cs="Calibri"/>
          <w:color w:val="000000" w:themeColor="text1"/>
        </w:rPr>
        <w:instrText xml:space="preserve"> ADDIN ZOTERO_ITEM CSL_CITATION {"citationID":"gUKgvFIe","properties":{"formattedCitation":"(Caldwell and Millen 2010)","plainCitation":"(Caldwell and Millen 2010)","noteIndex":0},"citationItems":[{"id":1245,"uris":["http://zotero.org/users/local/jz7T3Opo/items/K7QJH9TS"],"itemData":{"id":1245,"type":"article-journal","abstract":"Theoretical work predicts that individuals should strategically increase their reliance on social learning when individual learning would be costly or risky, or when the payoffs for individually learned behaviors are uncertain. Using a method known to elicit cumulative cultural evolution in the laboratory, we investigated the degree of within-group similarity, and between-group variation, in design choices made by participants under conditions of varying uncertainty about the likely effectiveness of those designs. Participants were required to build a tower from spaghetti and modeling clay, their goal being to build the tower as high as possible. In one condition, towers were measured immediately on completion and, therefore, participants were able to judge the success of their design during building. In the other condition, participants' towers were measured 5 min after completion, following a deliberate attempt to test the tower's stability, making it harder for participants to judge whether an innovative solution was liable to result in a good score on the final measurement. Cultural peculiarity (i.e., the extent to which a design could be identified as belonging to a particular chain) was stronger in the delayed measure condition, indicating that participants were placing greater reliance on social learning. Furthermore, in this condition, there was only very weak evidence of successive improvement in performance over learner generations, whereas in the immediate measure condition there was a clear effect of steadily increasing scores on the goal measurement. Increasing the risk associated with learning for oneself may favor the development of arbitrary traditions.","container-title":"Evolution and Human Behavior","DOI":"10.1016/j.evolhumbehav.2009.08.002","ISSN":"1090-5138","issue":"2","journalAbbreviation":"Evolution and Human Behavior","language":"en","page":"123-130","source":"ScienceDirect","title":"Conservatism in laboratory microsocieties: unpredictable payoffs accentuate group-specific traditions","title-short":"Conservatism in laboratory microsocieties","volume":"31","author":[{"family":"Caldwell","given":"Christine A."},{"family":"Millen","given":"Ailsa E."}],"issued":{"date-parts":[["2010",3,1]]}}}],"schema":"https://github.com/citation-style-language/schema/raw/master/csl-citation.json"} </w:instrText>
      </w:r>
      <w:r w:rsidR="00B224C8" w:rsidRPr="009B1F4E">
        <w:rPr>
          <w:rStyle w:val="notion-enable-hover"/>
          <w:rFonts w:ascii="Garamond" w:hAnsi="Garamond" w:cs="Calibri"/>
          <w:color w:val="000000" w:themeColor="text1"/>
        </w:rPr>
        <w:fldChar w:fldCharType="separate"/>
      </w:r>
      <w:r w:rsidR="00B224C8" w:rsidRPr="009B1F4E">
        <w:rPr>
          <w:rStyle w:val="notion-enable-hover"/>
          <w:rFonts w:ascii="Garamond" w:hAnsi="Garamond" w:cs="Calibri"/>
          <w:noProof/>
          <w:color w:val="000000" w:themeColor="text1"/>
        </w:rPr>
        <w:t>(Caldwell and Millen 2010)</w:t>
      </w:r>
      <w:r w:rsidR="00B224C8" w:rsidRPr="009B1F4E">
        <w:rPr>
          <w:rStyle w:val="notion-enable-hover"/>
          <w:rFonts w:ascii="Garamond" w:hAnsi="Garamond" w:cs="Calibri"/>
          <w:color w:val="000000" w:themeColor="text1"/>
        </w:rPr>
        <w:fldChar w:fldCharType="end"/>
      </w:r>
      <w:r w:rsidR="00B224C8" w:rsidRPr="009B1F4E">
        <w:rPr>
          <w:rStyle w:val="notion-enable-hover"/>
          <w:rFonts w:ascii="Garamond" w:hAnsi="Garamond" w:cs="Calibri"/>
          <w:color w:val="000000" w:themeColor="text1"/>
        </w:rPr>
        <w:t xml:space="preserve">. Such uncertainty can be specific to traits. </w:t>
      </w:r>
      <w:r w:rsidR="002B675D">
        <w:rPr>
          <w:rStyle w:val="notion-enable-hover"/>
          <w:rFonts w:ascii="Garamond" w:hAnsi="Garamond" w:cs="Calibri"/>
          <w:color w:val="000000" w:themeColor="text1"/>
        </w:rPr>
        <w:t xml:space="preserve">The trade-off is </w:t>
      </w:r>
      <w:r w:rsidR="00B224C8" w:rsidRPr="009B1F4E">
        <w:rPr>
          <w:rStyle w:val="notion-enable-hover"/>
          <w:rFonts w:ascii="Garamond" w:hAnsi="Garamond" w:cs="Calibri"/>
          <w:color w:val="000000" w:themeColor="text1"/>
        </w:rPr>
        <w:t>also contextual in being</w:t>
      </w:r>
      <w:r w:rsidR="00B224C8" w:rsidRPr="009B1F4E">
        <w:rPr>
          <w:rStyle w:val="notion-enable-hover"/>
          <w:rFonts w:ascii="Garamond" w:hAnsi="Garamond"/>
          <w:color w:val="000000" w:themeColor="text1"/>
        </w:rPr>
        <w:t xml:space="preserve"> specific to the type of learner and model/teacher: Inexperienced learners have different needs and capacities than more seasoned ones, and different types of teachers might be more suitable to different kinds of learners and/or might more efficiently invest their resources elsewhere.</w:t>
      </w:r>
    </w:p>
    <w:p w14:paraId="0A37877B" w14:textId="7B627A19" w:rsidR="00441209" w:rsidRPr="009B1F4E" w:rsidRDefault="00441209" w:rsidP="00441209">
      <w:pPr>
        <w:spacing w:line="360" w:lineRule="auto"/>
        <w:jc w:val="both"/>
        <w:rPr>
          <w:rFonts w:ascii="Garamond" w:hAnsi="Garamond"/>
          <w:color w:val="000000" w:themeColor="text1"/>
        </w:rPr>
      </w:pPr>
      <w:r w:rsidRPr="009B1F4E">
        <w:rPr>
          <w:rFonts w:ascii="Garamond" w:hAnsi="Garamond"/>
          <w:color w:val="000000" w:themeColor="text1"/>
        </w:rPr>
        <w:t>Why does it matter that the form of cultural learning is subject to these contextual factors</w:t>
      </w:r>
      <w:r w:rsidR="00E95366" w:rsidRPr="009B1F4E">
        <w:rPr>
          <w:rFonts w:ascii="Garamond" w:hAnsi="Garamond"/>
          <w:color w:val="000000" w:themeColor="text1"/>
        </w:rPr>
        <w:t xml:space="preserve"> and </w:t>
      </w:r>
      <w:r w:rsidR="00740A1F" w:rsidRPr="009B1F4E">
        <w:rPr>
          <w:rFonts w:ascii="Garamond" w:hAnsi="Garamond"/>
          <w:color w:val="000000" w:themeColor="text1"/>
        </w:rPr>
        <w:t>that there is this balance that social groups need to strike</w:t>
      </w:r>
      <w:r w:rsidRPr="009B1F4E">
        <w:rPr>
          <w:rFonts w:ascii="Garamond" w:hAnsi="Garamond"/>
          <w:color w:val="000000" w:themeColor="text1"/>
        </w:rPr>
        <w:t xml:space="preserve">? It matters because, as described in section 3.2, contingent contextual factors give rise to coordination failures: Cultural learning won’t be successful if social groups don’t </w:t>
      </w:r>
      <w:r w:rsidR="00E95366" w:rsidRPr="009B1F4E">
        <w:rPr>
          <w:rFonts w:ascii="Garamond" w:hAnsi="Garamond"/>
          <w:color w:val="000000" w:themeColor="text1"/>
        </w:rPr>
        <w:t>coordinate how information is</w:t>
      </w:r>
      <w:r w:rsidRPr="009B1F4E">
        <w:rPr>
          <w:rFonts w:ascii="Garamond" w:hAnsi="Garamond"/>
          <w:color w:val="000000" w:themeColor="text1"/>
        </w:rPr>
        <w:t xml:space="preserve"> transmitted. These contextual factors are obstacles to such coordination</w:t>
      </w:r>
      <w:r w:rsidR="00E95366" w:rsidRPr="009B1F4E">
        <w:rPr>
          <w:rFonts w:ascii="Garamond" w:hAnsi="Garamond"/>
          <w:color w:val="000000" w:themeColor="text1"/>
        </w:rPr>
        <w:t xml:space="preserve">. Because of these factors, how groups are supposed to coordinate </w:t>
      </w:r>
      <w:r w:rsidRPr="009B1F4E">
        <w:rPr>
          <w:rFonts w:ascii="Garamond" w:hAnsi="Garamond"/>
          <w:color w:val="000000" w:themeColor="text1"/>
        </w:rPr>
        <w:t>cultural learning will vary considerably</w:t>
      </w:r>
      <w:r w:rsidR="00E95366" w:rsidRPr="009B1F4E">
        <w:rPr>
          <w:rFonts w:ascii="Garamond" w:hAnsi="Garamond"/>
          <w:color w:val="000000" w:themeColor="text1"/>
        </w:rPr>
        <w:t>.</w:t>
      </w:r>
      <w:r w:rsidR="00740A1F" w:rsidRPr="009B1F4E">
        <w:rPr>
          <w:rFonts w:ascii="Garamond" w:hAnsi="Garamond"/>
          <w:color w:val="000000" w:themeColor="text1"/>
        </w:rPr>
        <w:t xml:space="preserve"> I</w:t>
      </w:r>
      <w:r w:rsidR="00B11513" w:rsidRPr="009B1F4E">
        <w:rPr>
          <w:rFonts w:ascii="Garamond" w:hAnsi="Garamond"/>
          <w:color w:val="000000" w:themeColor="text1"/>
        </w:rPr>
        <w:t>t’s hard to choose the right cultural learning strategy, i.e.</w:t>
      </w:r>
      <w:r w:rsidR="00181D34">
        <w:rPr>
          <w:rFonts w:ascii="Garamond" w:hAnsi="Garamond"/>
          <w:color w:val="000000" w:themeColor="text1"/>
        </w:rPr>
        <w:t>, the one that</w:t>
      </w:r>
      <w:r w:rsidR="00B11513" w:rsidRPr="009B1F4E">
        <w:rPr>
          <w:rFonts w:ascii="Garamond" w:hAnsi="Garamond"/>
          <w:color w:val="000000" w:themeColor="text1"/>
        </w:rPr>
        <w:t xml:space="preserve"> allows information to pass between members of your group, if this is subject to factors that vary between contexts and are hard to ascertain for individual agents. </w:t>
      </w:r>
      <w:r w:rsidR="00E95366" w:rsidRPr="009B1F4E">
        <w:rPr>
          <w:rFonts w:ascii="Garamond" w:hAnsi="Garamond"/>
          <w:color w:val="000000" w:themeColor="text1"/>
        </w:rPr>
        <w:t xml:space="preserve">For example, for every learning episode, agents must evaluate what kind of learner is to acquire which </w:t>
      </w:r>
      <w:r w:rsidR="00E95366" w:rsidRPr="009B1F4E">
        <w:rPr>
          <w:rFonts w:ascii="Garamond" w:hAnsi="Garamond"/>
          <w:color w:val="000000" w:themeColor="text1"/>
        </w:rPr>
        <w:lastRenderedPageBreak/>
        <w:t>kind of skill and under what kind of conditions in which kinds of environments. Pre-coordination</w:t>
      </w:r>
      <w:r w:rsidR="00E55926" w:rsidRPr="009B1F4E">
        <w:rPr>
          <w:rFonts w:ascii="Garamond" w:hAnsi="Garamond"/>
          <w:color w:val="000000" w:themeColor="text1"/>
        </w:rPr>
        <w:t xml:space="preserve"> </w:t>
      </w:r>
      <w:r w:rsidR="004E3AFB">
        <w:rPr>
          <w:rFonts w:ascii="Garamond" w:hAnsi="Garamond"/>
          <w:color w:val="000000" w:themeColor="text1"/>
        </w:rPr>
        <w:t xml:space="preserve">this </w:t>
      </w:r>
      <w:r w:rsidR="00E55926" w:rsidRPr="009B1F4E">
        <w:rPr>
          <w:rFonts w:ascii="Garamond" w:hAnsi="Garamond"/>
          <w:color w:val="000000" w:themeColor="text1"/>
        </w:rPr>
        <w:t>is challenging to estimate correctly</w:t>
      </w:r>
      <w:r w:rsidR="004E3AFB">
        <w:rPr>
          <w:rFonts w:ascii="Garamond" w:hAnsi="Garamond"/>
          <w:color w:val="000000" w:themeColor="text1"/>
        </w:rPr>
        <w:t xml:space="preserve"> — which</w:t>
      </w:r>
      <w:r w:rsidR="00E55926" w:rsidRPr="009B1F4E">
        <w:rPr>
          <w:rFonts w:ascii="Garamond" w:hAnsi="Garamond"/>
          <w:color w:val="000000" w:themeColor="text1"/>
        </w:rPr>
        <w:t xml:space="preserve"> is why cultural learning</w:t>
      </w:r>
      <w:r w:rsidR="004E3AFB">
        <w:rPr>
          <w:rFonts w:ascii="Garamond" w:hAnsi="Garamond"/>
          <w:color w:val="000000" w:themeColor="text1"/>
        </w:rPr>
        <w:t xml:space="preserve"> </w:t>
      </w:r>
      <w:r w:rsidR="00E55926" w:rsidRPr="009B1F4E">
        <w:rPr>
          <w:rFonts w:ascii="Garamond" w:hAnsi="Garamond"/>
          <w:color w:val="000000" w:themeColor="text1"/>
        </w:rPr>
        <w:t xml:space="preserve">is regulated by </w:t>
      </w:r>
      <w:r w:rsidR="004E3AFB">
        <w:rPr>
          <w:rFonts w:ascii="Garamond" w:hAnsi="Garamond"/>
          <w:color w:val="000000" w:themeColor="text1"/>
        </w:rPr>
        <w:t>epistemic coordination-norms</w:t>
      </w:r>
      <w:r w:rsidR="00E55926" w:rsidRPr="009B1F4E">
        <w:rPr>
          <w:rFonts w:ascii="Garamond" w:hAnsi="Garamond"/>
          <w:color w:val="000000" w:themeColor="text1"/>
        </w:rPr>
        <w:t xml:space="preserve">. </w:t>
      </w:r>
      <w:r w:rsidR="004E3AFB">
        <w:rPr>
          <w:rFonts w:ascii="Garamond" w:hAnsi="Garamond"/>
          <w:color w:val="000000" w:themeColor="text1"/>
        </w:rPr>
        <w:t>They’</w:t>
      </w:r>
      <w:r w:rsidRPr="009B1F4E">
        <w:rPr>
          <w:rFonts w:ascii="Garamond" w:hAnsi="Garamond"/>
          <w:color w:val="000000" w:themeColor="text1"/>
        </w:rPr>
        <w:t xml:space="preserve">re the right </w:t>
      </w:r>
      <w:r w:rsidR="00E95366" w:rsidRPr="009B1F4E">
        <w:rPr>
          <w:rFonts w:ascii="Garamond" w:hAnsi="Garamond"/>
          <w:color w:val="000000" w:themeColor="text1"/>
        </w:rPr>
        <w:t xml:space="preserve">solutions to these kinds of problems, as they’re both flexible and specific enough to accommodate </w:t>
      </w:r>
      <w:r w:rsidRPr="009B1F4E">
        <w:rPr>
          <w:rFonts w:ascii="Garamond" w:hAnsi="Garamond"/>
          <w:color w:val="000000" w:themeColor="text1"/>
        </w:rPr>
        <w:t>them.</w:t>
      </w:r>
    </w:p>
    <w:p w14:paraId="6F36D1C0" w14:textId="41133D1C" w:rsidR="008C552D" w:rsidRPr="009B1F4E" w:rsidRDefault="00740A1F" w:rsidP="00B43E02">
      <w:pPr>
        <w:spacing w:line="360" w:lineRule="auto"/>
        <w:jc w:val="both"/>
        <w:rPr>
          <w:rFonts w:ascii="Garamond" w:hAnsi="Garamond" w:cs="Calibri"/>
          <w:color w:val="000000" w:themeColor="text1"/>
        </w:rPr>
      </w:pPr>
      <w:r w:rsidRPr="009B1F4E">
        <w:rPr>
          <w:rFonts w:ascii="Garamond" w:hAnsi="Garamond" w:cs="Calibri"/>
          <w:color w:val="000000" w:themeColor="text1"/>
        </w:rPr>
        <w:t>In the following two subsections</w:t>
      </w:r>
      <w:r w:rsidR="00E95366" w:rsidRPr="009B1F4E">
        <w:rPr>
          <w:rFonts w:ascii="Garamond" w:hAnsi="Garamond" w:cs="Calibri"/>
          <w:color w:val="000000" w:themeColor="text1"/>
        </w:rPr>
        <w:t>, I’ll discuss toolmaking and skill acquisition</w:t>
      </w:r>
      <w:r w:rsidRPr="009B1F4E">
        <w:rPr>
          <w:rFonts w:ascii="Garamond" w:hAnsi="Garamond" w:cs="Calibri"/>
          <w:color w:val="000000" w:themeColor="text1"/>
        </w:rPr>
        <w:t xml:space="preserve"> in extant hunter-gatherers to illustrate and expand on the</w:t>
      </w:r>
      <w:r w:rsidR="00BF4F3C">
        <w:rPr>
          <w:rFonts w:ascii="Garamond" w:hAnsi="Garamond" w:cs="Calibri"/>
          <w:color w:val="000000" w:themeColor="text1"/>
        </w:rPr>
        <w:t xml:space="preserve">se </w:t>
      </w:r>
      <w:r w:rsidRPr="009B1F4E">
        <w:rPr>
          <w:rFonts w:ascii="Garamond" w:hAnsi="Garamond" w:cs="Calibri"/>
          <w:color w:val="000000" w:themeColor="text1"/>
        </w:rPr>
        <w:t>ideas.</w:t>
      </w:r>
    </w:p>
    <w:p w14:paraId="070B8C10" w14:textId="77777777" w:rsidR="00740A1F" w:rsidRPr="009B1F4E" w:rsidRDefault="00740A1F" w:rsidP="00B43E02">
      <w:pPr>
        <w:spacing w:line="360" w:lineRule="auto"/>
        <w:jc w:val="both"/>
        <w:rPr>
          <w:rFonts w:ascii="Garamond" w:hAnsi="Garamond" w:cs="Calibri"/>
          <w:color w:val="000000" w:themeColor="text1"/>
        </w:rPr>
      </w:pPr>
    </w:p>
    <w:p w14:paraId="4FA7E494" w14:textId="1E703877" w:rsidR="00740A1F" w:rsidRPr="009B1F4E" w:rsidRDefault="00740A1F" w:rsidP="00740A1F">
      <w:pPr>
        <w:pStyle w:val="Listenabsatz"/>
        <w:numPr>
          <w:ilvl w:val="2"/>
          <w:numId w:val="1"/>
        </w:numPr>
        <w:spacing w:line="360" w:lineRule="auto"/>
        <w:jc w:val="both"/>
        <w:rPr>
          <w:rFonts w:ascii="Garamond" w:hAnsi="Garamond" w:cs="Calibri"/>
          <w:color w:val="000000" w:themeColor="text1"/>
        </w:rPr>
      </w:pPr>
      <w:r w:rsidRPr="009B1F4E">
        <w:rPr>
          <w:rFonts w:ascii="Garamond" w:hAnsi="Garamond" w:cs="Calibri"/>
          <w:color w:val="000000" w:themeColor="text1"/>
        </w:rPr>
        <w:t>Toolmaking and the form of cultural learning</w:t>
      </w:r>
    </w:p>
    <w:p w14:paraId="6FB39ABB" w14:textId="3D8F887D" w:rsidR="00740A1F" w:rsidRPr="009B1F4E" w:rsidRDefault="00740A1F" w:rsidP="00740A1F">
      <w:pPr>
        <w:spacing w:line="360" w:lineRule="auto"/>
        <w:jc w:val="both"/>
        <w:rPr>
          <w:rFonts w:ascii="Garamond" w:hAnsi="Garamond" w:cs="Calibri"/>
          <w:color w:val="000000" w:themeColor="text1"/>
        </w:rPr>
      </w:pPr>
      <w:r w:rsidRPr="009B1F4E">
        <w:rPr>
          <w:rFonts w:ascii="Garamond" w:hAnsi="Garamond"/>
          <w:color w:val="000000" w:themeColor="text1"/>
        </w:rPr>
        <w:t xml:space="preserve">Toolmaking is an interesting case because, on the one </w:t>
      </w:r>
      <w:r w:rsidR="00E4508F" w:rsidRPr="009B1F4E">
        <w:rPr>
          <w:rFonts w:ascii="Garamond" w:hAnsi="Garamond"/>
          <w:color w:val="000000" w:themeColor="text1"/>
        </w:rPr>
        <w:t>hand, from</w:t>
      </w:r>
      <w:r w:rsidRPr="009B1F4E">
        <w:rPr>
          <w:rFonts w:ascii="Garamond" w:hAnsi="Garamond"/>
          <w:color w:val="000000" w:themeColor="text1"/>
        </w:rPr>
        <w:t xml:space="preserve"> around 2 MYA to 250 KYA, we see a lot of change in several cultural traits (food preparation, foraging, control of fire) (as well as morphological and life-history changes). On the other hand, however, whilst there was some change, relatively speaking, toolmaking stagnates </w:t>
      </w:r>
      <w:r w:rsidRPr="009B1F4E">
        <w:rPr>
          <w:rFonts w:ascii="Garamond" w:hAnsi="Garamond"/>
          <w:color w:val="000000" w:themeColor="text1"/>
        </w:rPr>
        <w:fldChar w:fldCharType="begin"/>
      </w:r>
      <w:r w:rsidRPr="009B1F4E">
        <w:rPr>
          <w:rFonts w:ascii="Garamond" w:hAnsi="Garamond"/>
          <w:color w:val="000000" w:themeColor="text1"/>
        </w:rPr>
        <w:instrText xml:space="preserve"> ADDIN ZOTERO_ITEM CSL_CITATION {"citationID":"HiX5KHG6","properties":{"formattedCitation":"(Sterelny 2014; Finkel and Barkai 2018; Machin 2009; though see also Gallotti and Mussi 2017)","plainCitation":"(Sterelny 2014; Finkel and Barkai 2018; Machin 2009; though see also Gallotti and Mussi 2017)","noteIndex":0},"citationItems":[{"id":1217,"uris":["http://zotero.org/users/local/jz7T3Opo/items/SBJN6NFL"],"itemData":{"id":1217,"type":"article-journal","abstract":"Within paleoanthropology, the origin of behavioral modernity is a famous problem. Very large-brained hominins have lived for around half a million years, yet social lives resembling those known from the ethnographic record appeared perhaps 100,000 years ago. Why did it take 400,000 years for humans to start acting like humans? In this article, I argue that part of the solution is a transition in the economic foundations of cooperation from a relatively undemanding form, to one that imposed much more stress on human motivational and cognitive mechanisms. The rich normative, ceremonial, and ideological lives of humans are a response to this economic revolution in forager lives; from one depending on immediate return mutualism to one depending on delayed and third-party reciprocation.","container-title":"Biological Theory","DOI":"10.1007/s13752-013-0143-x","ISSN":"1555-5550","issue":"1","journalAbbreviation":"Biol Theory","language":"en","page":"65-77","source":"Springer Link","title":"A Paleolithic Reciprocation Crisis: Symbols, Signals, and Norms","title-short":"A Paleolithic Reciprocation Crisis","volume":"9","author":[{"family":"Sterelny","given":"Kim"}],"issued":{"date-parts":[["2014",3,1]]}}},{"id":1228,"uris":["http://zotero.org/users/local/jz7T3Opo/items/FI4RT6ZN"],"itemData":{"id":1228,"type":"article-journal","abstract":"One of the unsolved ‘paradoxes’ in prehistoric archaeology is that of the gap between the considerable advances in human biological and cultural evolution during the Lower Palaeolithic period, and the over one million years of ‘stagnation’ of the Acheulean handaxe. Most of the research on this topic has focused on innovation – why it was delayed or failed to take place – while overlooking the fact that innovation had occurred in many other fields during the same period. We suggest that practical, social, and adaptive mechanisms were in force in certain areas of human behaviour and led to enhanced innovation, while conservatism was preferred in handaxe technology and use. In this study we emphasise the dependency of Acheulean groups on calories obtained from large mammals, and especially megafauna, as well as the central role of handaxes in processing large carcasses. It is our contention that the handaxe’s role in Acheulean adaptation was pivotal and it thus became fixed in human society, probably through the psychological bias towards majority imitation, which subsequently became a social norm or tradition. In brief, we suggest that the technological persistence of the Acheulean handaxe played an adaptive role that was based on a preferred cultural conservatism and led to the successful survival of Lower Palaeolithic populations over hundreds of thousands of years in the Old World., Le hachereau acheuléen persistance technologique: Un cas de préférence du conservatisme culturel? de Meir Finkel et Ran BarkaiL’un des ‘paradoxes‘ non résolus de l’archéologie préhistorique est l’écart entre les considérables avancées dans l’évolution humaine biologique et culturelle au cours de la période du paléolithique inférieur et le million et quelques d’années de ‘stagnation‘ du hachereau herculéen. La plupart des recherches sur ce sujet se sont concentrées sur l’innovation: pourquoi a-t-elle été retardée ou a-t-elle échoué à se mettre en place, tout en négligeant le fait que des innovations avaient eu lieu dans bien d’autres domaines au cours de la même période. Nous proposons que des mécanismes pratiques, sociaux et d’adaptation étaient présents dans certaines secteurs du comportement humain et conduisaient à une innovation rehaussée tandis que le conservatisme avait la faveur en matière de technologie et d’usage du hachereau. Dans cette étude nous insistons sur la dépendance des groupes acheuléens sur les calories provenant des gros mammifères, en particulier de la mégafaune, ainsi que le rôle central des hachereaux dans la transformation des grosses carcasses. C’est notre point de vue que le rôle du hachereau dans l’adaptation acheuléenne était primordial et il s’en est trouvé fixé dans la société humaine probablement à travers un penchant psychologique vers une imitation de la majorité, ce qui est devenu par la suite une norme ou une tradition sociale. En bref, nous proposons que la persistance technologique du hachereau acheuléen a joué un rôle d’adaptation qui reposait sur une préférence pour un conservatisme culturel et a conduit au succès de leur survie les populations du paléolithique inférieur sur des centaines de milliers d’années dans l’Ancien Monde., Die technologische Beständigkeit des Faustkeils des Acheuléen: Ein Fall bevorzugten kulturellen Konservatismus? von Meir Finkel und Ran BarkaiEines der ungelösten „Paradoxe“ der prähistorischen Archäologie ist das der Kluft zwischen den erheblichen Fortschritten der menschlichen biologischen und kulturellen Evolution während des Altpaläolithikums und der mehr als eine Million Jahre dauernden „Stagnation“ des Acheuléen-Faustkeils. Meist fokussierte die Forschung auf die Frage der Innovation – warum sie sich verzögerte oder gar nicht erst stattfand –, während die Tatsache übersehen wurde, dass in der gleichen Epoche in vielen anderen Bereichen Innovationen auftraten. Wir schlussfolgern deshalb, dass praktische, soziale und adaptive Mechanismen in bestimmten Bereichen menschlichen Verhaltens in Kraft waren und zu erhöhter Innovation führten, während in der Faustkeiltechnologie und seiner Nutzung ein Konservatismus bevorzugt wurde. In dieser Untersuchung stellen wir die Abhängigkeit der Menschengruppen des Acheuléen von Kalorien, die sie von Großsäugern erlangten, heraus, insbesondere von Megafauna, sowie die zentrale Rolle von Faustkeilen in der Verarbeitung großer Tierkörper. Es ist unsere Überzeugung, dass die Rolle des Faustkeils für die Adaption während des Acheuléen entscheidend war und er deshalb in der menschlichen Gesellschaft festgeschrieben wurde, möglicherweise durch eine psychologische Neigung zur Majoritäts-Imitation,woraus nach und nach eine soziale Norm oder Tradition wurde. Kurz gesagt gehen wir davon aus, dass die technologische Beständigkeit des Faustkeils des Acheuléen eine adaptive Rolle spielte, die auf einem bevorzugten kulturellen Konservatismus basierte und zum erfolgreichen Überleben altpaläolithischer Gruppen während hunderttausender Jahre in der Alten Welt führte., La persistencia tecnológica de los bifaces achelenses: ¿un caso de conservadurismo cultural? por Meir Finkel y Ran BarkaiUna de las paradojas sin resolver en arqueología prehistórica es el lapso temporal existente entre los considerables avances en evolución biológica y cultural durante el Paleolítico Inferior, y el ‘estancamiento’ durante más de un millón de años de los bifaces achelenses. La mayor parte de la investigación relacionada con este aspecto se ha centrado en la innovación -porqué se retrasó o no se llevó a cabo- mientras se ignora el hecho de que estas innovaciones se produjeron en muchos otros campos durante el mismo período. Nosotros sugerimos que los mecanismos prácticos, sociales y adaptativos estuvieron vigentes en ciertas áreas del comportamiento humano y condujeron a una mayor innovación, mientras que el conservadurismo se impuso en la tecnología y uso de los bifaces. En este estudio destacamos la dependencia de los grupos achelenses de las calorías obtenidas de los grandes mamíferos, especialmente la megafauna, así como el papel central de los bifaces en el procesado de las grandes carcasas. Siguiendo esta línea argumental, el papel del bifaz achelense en los procesos de adaptación fue fundamental y, por tanto, quedó fijado en la sociedad, probablemente en el ámbito psicológico a través de la imitación, llegando posteriormente a convertirse en una norma o tradición social. En resumen, sugerimos que la persistencia tecnológica de las hachas achelenses jugó un rol adaptativo basado en un conservadurismo cultural y condujo a la supervivencia de las poblaciones del Paleolítico Inferior durante cientos de miles de años en el Viejo Mundo.","container-title":"Proceedings of the Prehistoric Society","DOI":"10.1017/ppr.2018.2","ISSN":"0079-497X, 2050-2729","language":"en","note":"publisher: Cambridge University Press","page":"1-19","source":"Cambridge University Press","title":"The Acheulean Handaxe Technological Persistence: A Case of Preferred Cultural Conservatism?","title-short":"The Acheulean Handaxe Technological Persistence","volume":"84","author":[{"family":"Finkel","given":"Meir"},{"family":"Barkai","given":"Ran"}],"issued":{"date-parts":[["2018",12]]}}},{"id":1235,"uris":["http://zotero.org/users/local/jz7T3Opo/items/FNPL92XV"],"itemData":{"id":1235,"type":"article-journal","container-title":"Journal of Social Archaeology","issue":"1","note":"publisher: SAGE Publications Sage UK: London, England","page":"35–58","source":"Google Scholar","title":"The role of the individual agent in Acheulean biface variability: A multi-factorial model","title-short":"The role of the individual agent in Acheulean biface variability","volume":"9","author":[{"family":"Machin","given":"Anna"}],"issued":{"date-parts":[["2009"]]}}},{"id":1240,"uris":["http://zotero.org/users/local/jz7T3Opo/items/S9M72NJ8"],"itemData":{"id":1240,"type":"article-journal","container-title":"Journal of Anthropological Sciences","page":"1–46","source":"Google Scholar","title":"Two Acheuleans, two humankinds: From 1.5 to 0.85 ma at Melka Kunture (upper awash, Ethiopian highlands)","title-short":"Two Acheuleans, two humankinds","volume":"95","author":[{"family":"Gallotti","given":"Rosalia"},{"family":"Mussi","given":"Margherita"}],"issued":{"date-parts":[["2017"]]}},"label":"page","prefix":"though see also"}],"schema":"https://github.com/citation-style-language/schema/raw/master/csl-citation.json"} </w:instrText>
      </w:r>
      <w:r w:rsidRPr="009B1F4E">
        <w:rPr>
          <w:rFonts w:ascii="Garamond" w:hAnsi="Garamond"/>
          <w:color w:val="000000" w:themeColor="text1"/>
        </w:rPr>
        <w:fldChar w:fldCharType="separate"/>
      </w:r>
      <w:r w:rsidRPr="009B1F4E">
        <w:rPr>
          <w:rFonts w:ascii="Garamond" w:hAnsi="Garamond"/>
          <w:noProof/>
          <w:color w:val="000000" w:themeColor="text1"/>
        </w:rPr>
        <w:t>(Sterelny 2014; Finkel and Barkai 2018; Machin 2009; though see also Gallotti and Mussi 2017)</w:t>
      </w:r>
      <w:r w:rsidRPr="009B1F4E">
        <w:rPr>
          <w:rFonts w:ascii="Garamond" w:hAnsi="Garamond"/>
          <w:color w:val="000000" w:themeColor="text1"/>
        </w:rPr>
        <w:fldChar w:fldCharType="end"/>
      </w:r>
      <w:r w:rsidRPr="009B1F4E">
        <w:rPr>
          <w:rFonts w:ascii="Garamond" w:hAnsi="Garamond"/>
          <w:color w:val="000000" w:themeColor="text1"/>
        </w:rPr>
        <w:t>. Such stagnation in the diversity and development of cultural traits and art</w:t>
      </w:r>
      <w:r w:rsidR="00084766" w:rsidRPr="009B1F4E">
        <w:rPr>
          <w:rFonts w:ascii="Garamond" w:hAnsi="Garamond"/>
          <w:color w:val="000000" w:themeColor="text1"/>
        </w:rPr>
        <w:t>e</w:t>
      </w:r>
      <w:r w:rsidRPr="009B1F4E">
        <w:rPr>
          <w:rFonts w:ascii="Garamond" w:hAnsi="Garamond"/>
          <w:color w:val="000000" w:themeColor="text1"/>
        </w:rPr>
        <w:t>facts is often termed cultural conservatism.</w:t>
      </w:r>
      <w:r w:rsidR="000649A3" w:rsidRPr="009B1F4E">
        <w:rPr>
          <w:rStyle w:val="Funotenzeichen"/>
          <w:rFonts w:ascii="Garamond" w:hAnsi="Garamond"/>
          <w:color w:val="000000" w:themeColor="text1"/>
        </w:rPr>
        <w:footnoteReference w:id="14"/>
      </w:r>
      <w:r w:rsidRPr="009B1F4E">
        <w:rPr>
          <w:rFonts w:ascii="Garamond" w:hAnsi="Garamond"/>
          <w:color w:val="000000" w:themeColor="text1"/>
        </w:rPr>
        <w:t xml:space="preserve"> Not only did the development of stone tools stagnate over time, but we can also see that functionally irrelevant features are being preserved over several generations</w:t>
      </w:r>
      <w:r w:rsidR="00347F80">
        <w:rPr>
          <w:rFonts w:ascii="Garamond" w:hAnsi="Garamond"/>
          <w:color w:val="000000" w:themeColor="text1"/>
        </w:rPr>
        <w:t xml:space="preserve"> </w:t>
      </w:r>
      <w:r w:rsidRPr="009B1F4E">
        <w:rPr>
          <w:rFonts w:ascii="Garamond" w:hAnsi="Garamond"/>
          <w:color w:val="000000" w:themeColor="text1"/>
        </w:rPr>
        <w:fldChar w:fldCharType="begin"/>
      </w:r>
      <w:r w:rsidRPr="009B1F4E">
        <w:rPr>
          <w:rFonts w:ascii="Garamond" w:hAnsi="Garamond"/>
          <w:color w:val="000000" w:themeColor="text1"/>
        </w:rPr>
        <w:instrText xml:space="preserve"> ADDIN ZOTERO_ITEM CSL_CITATION {"citationID":"8jDY8CFv","properties":{"formattedCitation":"(Shipton 2019)","plainCitation":"(Shipton 2019)","noteIndex":0},"citationItems":[{"id":1233,"uris":["http://zotero.org/users/local/jz7T3Opo/items/227KEYIF"],"itemData":{"id":1233,"type":"chapter","container-title":"Squeezing Minds From Stones — Cognitive Archaeology and the Evolution of the Human Mind","publisher":"Oxford University Press","title":"The Evolution of Social Transmission in the Acheulean","author":[{"family":"Shipton","given":"Ceri"}],"editor":[{"family":"Overmann","given":"Karenleigh A."},{"family":"Coolidge","given":"Frederick L."}],"issued":{"date-parts":[["2019"]]}}}],"schema":"https://github.com/citation-style-language/schema/raw/master/csl-citation.json"} </w:instrText>
      </w:r>
      <w:r w:rsidRPr="009B1F4E">
        <w:rPr>
          <w:rFonts w:ascii="Garamond" w:hAnsi="Garamond"/>
          <w:color w:val="000000" w:themeColor="text1"/>
        </w:rPr>
        <w:fldChar w:fldCharType="separate"/>
      </w:r>
      <w:r w:rsidRPr="009B1F4E">
        <w:rPr>
          <w:rFonts w:ascii="Garamond" w:hAnsi="Garamond"/>
          <w:noProof/>
          <w:color w:val="000000" w:themeColor="text1"/>
        </w:rPr>
        <w:t>(Shipton 2019)</w:t>
      </w:r>
      <w:r w:rsidRPr="009B1F4E">
        <w:rPr>
          <w:rFonts w:ascii="Garamond" w:hAnsi="Garamond"/>
          <w:color w:val="000000" w:themeColor="text1"/>
        </w:rPr>
        <w:fldChar w:fldCharType="end"/>
      </w:r>
      <w:r w:rsidRPr="009B1F4E">
        <w:rPr>
          <w:rFonts w:ascii="Garamond" w:hAnsi="Garamond"/>
          <w:color w:val="000000" w:themeColor="text1"/>
        </w:rPr>
        <w:t xml:space="preserve">. </w:t>
      </w:r>
    </w:p>
    <w:p w14:paraId="5843EA93" w14:textId="67945D0A" w:rsidR="00740A1F" w:rsidRPr="009B1F4E" w:rsidRDefault="00740A1F" w:rsidP="00740A1F">
      <w:pPr>
        <w:spacing w:line="360" w:lineRule="auto"/>
        <w:jc w:val="both"/>
        <w:rPr>
          <w:rFonts w:ascii="Garamond" w:hAnsi="Garamond"/>
          <w:color w:val="000000" w:themeColor="text1"/>
        </w:rPr>
      </w:pPr>
      <w:r w:rsidRPr="009B1F4E">
        <w:rPr>
          <w:rFonts w:ascii="Garamond" w:hAnsi="Garamond"/>
          <w:color w:val="000000" w:themeColor="text1"/>
        </w:rPr>
        <w:t xml:space="preserve">Why do we see conservatism when it comes to toolmaking? Whilst the often mentioned demographic and economic factors will surely have been relevant </w:t>
      </w:r>
      <w:r w:rsidRPr="009B1F4E">
        <w:rPr>
          <w:rFonts w:ascii="Garamond" w:hAnsi="Garamond"/>
          <w:color w:val="000000" w:themeColor="text1"/>
        </w:rPr>
        <w:fldChar w:fldCharType="begin"/>
      </w:r>
      <w:r w:rsidR="009B1F4E">
        <w:rPr>
          <w:rFonts w:ascii="Garamond" w:hAnsi="Garamond"/>
          <w:color w:val="000000" w:themeColor="text1"/>
        </w:rPr>
        <w:instrText xml:space="preserve"> ADDIN ZOTERO_ITEM CSL_CITATION {"citationID":"FSAhWrTX","properties":{"formattedCitation":"(see Sterelny 2021b for an overview; Steele and Shennan 2009; Ofek 2004)","plainCitation":"(see Sterelny 2021b for an overview; Steele and Shennan 2009; Ofek 2004)","noteIndex":0},"citationItems":[{"id":789,"uris":["http://zotero.org/users/local/jz7T3Opo/items/GATH6MTZ"],"itemData":{"id":789,"type":"book","abstract":"Kim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Contract","author":[{"family":"Sterelny","given":"Kim"}],"issued":{"date-parts":[["2021",9,16]]}},"label":"page","prefix":"see ","suffix":"for an overview"},{"id":1237,"uris":["http://zotero.org/users/local/jz7T3Opo/items/XCP4JJH7"],"itemData":{"id":1237,"type":"article-journal","container-title":"Human Biology","issue":"3","note":"publisher: BioOne","page":"105–119","source":"Google Scholar","title":"Introduction: Demography and cultural macroevolution","title-short":"Introduction","volume":"81","author":[{"family":"Steele","given":"James"},{"family":"Shennan","given":"Stephen"}],"issued":{"date-parts":[["2009"]]}}},{"id":800,"uris":["http://zotero.org/users/local/jz7T3Opo/items/RNCP7Z6Y"],"itemData":{"id":800,"type":"book","ISBN":"978-0-511-01798-8","publisher":"Cambridge","source":"Library Genesis","title":"Second Nature - Economic Origins of Human Evolution","author":[{"family":"Ofek","given":"Haim"}],"accessed":{"date-parts":[["2021",7,23]]},"issued":{"date-parts":[["2004"]]}}}],"schema":"https://github.com/citation-style-language/schema/raw/master/csl-citation.json"} </w:instrText>
      </w:r>
      <w:r w:rsidRPr="009B1F4E">
        <w:rPr>
          <w:rFonts w:ascii="Garamond" w:hAnsi="Garamond"/>
          <w:color w:val="000000" w:themeColor="text1"/>
        </w:rPr>
        <w:fldChar w:fldCharType="separate"/>
      </w:r>
      <w:r w:rsidR="009B1F4E">
        <w:rPr>
          <w:rFonts w:ascii="Garamond" w:hAnsi="Garamond"/>
          <w:noProof/>
          <w:color w:val="000000" w:themeColor="text1"/>
        </w:rPr>
        <w:t>(see Sterelny 2021b for an overview; Steele and Shennan 2009; Ofek 2004)</w:t>
      </w:r>
      <w:r w:rsidRPr="009B1F4E">
        <w:rPr>
          <w:rFonts w:ascii="Garamond" w:hAnsi="Garamond"/>
          <w:color w:val="000000" w:themeColor="text1"/>
        </w:rPr>
        <w:fldChar w:fldCharType="end"/>
      </w:r>
      <w:r w:rsidRPr="009B1F4E">
        <w:rPr>
          <w:rFonts w:ascii="Garamond" w:hAnsi="Garamond"/>
          <w:color w:val="000000" w:themeColor="text1"/>
        </w:rPr>
        <w:t xml:space="preserve">, Finkel and </w:t>
      </w:r>
      <w:proofErr w:type="spellStart"/>
      <w:r w:rsidRPr="009B1F4E">
        <w:rPr>
          <w:rFonts w:ascii="Garamond" w:hAnsi="Garamond"/>
          <w:color w:val="000000" w:themeColor="text1"/>
        </w:rPr>
        <w:t>Barkai</w:t>
      </w:r>
      <w:proofErr w:type="spellEnd"/>
      <w:r w:rsidRPr="009B1F4E">
        <w:rPr>
          <w:rFonts w:ascii="Garamond" w:hAnsi="Garamond"/>
          <w:color w:val="000000" w:themeColor="text1"/>
        </w:rPr>
        <w:t xml:space="preserve"> </w:t>
      </w:r>
      <w:r w:rsidRPr="009B1F4E">
        <w:rPr>
          <w:rFonts w:ascii="Garamond" w:hAnsi="Garamond"/>
          <w:color w:val="000000" w:themeColor="text1"/>
        </w:rPr>
        <w:fldChar w:fldCharType="begin"/>
      </w:r>
      <w:r w:rsidRPr="009B1F4E">
        <w:rPr>
          <w:rFonts w:ascii="Garamond" w:hAnsi="Garamond"/>
          <w:color w:val="000000" w:themeColor="text1"/>
        </w:rPr>
        <w:instrText xml:space="preserve"> ADDIN ZOTERO_ITEM CSL_CITATION {"citationID":"q21r0aQM","properties":{"formattedCitation":"(2018)","plainCitation":"(2018)","noteIndex":0},"citationItems":[{"id":1228,"uris":["http://zotero.org/users/local/jz7T3Opo/items/FI4RT6ZN"],"itemData":{"id":1228,"type":"article-journal","abstract":"One of the unsolved ‘paradoxes’ in prehistoric archaeology is that of the gap between the considerable advances in human biological and cultural evolution during the Lower Palaeolithic period, and the over one million years of ‘stagnation’ of the Acheulean handaxe. Most of the research on this topic has focused on innovation – why it was delayed or failed to take place – while overlooking the fact that innovation had occurred in many other fields during the same period. We suggest that practical, social, and adaptive mechanisms were in force in certain areas of human behaviour and led to enhanced innovation, while conservatism was preferred in handaxe technology and use. In this study we emphasise the dependency of Acheulean groups on calories obtained from large mammals, and especially megafauna, as well as the central role of handaxes in processing large carcasses. It is our contention that the handaxe’s role in Acheulean adaptation was pivotal and it thus became fixed in human society, probably through the psychological bias towards majority imitation, which subsequently became a social norm or tradition. In brief, we suggest that the technological persistence of the Acheulean handaxe played an adaptive role that was based on a preferred cultural conservatism and led to the successful survival of Lower Palaeolithic populations over hundreds of thousands of years in the Old World., Le hachereau acheuléen persistance technologique: Un cas de préférence du conservatisme culturel? de Meir Finkel et Ran BarkaiL’un des ‘paradoxes‘ non résolus de l’archéologie préhistorique est l’écart entre les considérables avancées dans l’évolution humaine biologique et culturelle au cours de la période du paléolithique inférieur et le million et quelques d’années de ‘stagnation‘ du hachereau herculéen. La plupart des recherches sur ce sujet se sont concentrées sur l’innovation: pourquoi a-t-elle été retardée ou a-t-elle échoué à se mettre en place, tout en négligeant le fait que des innovations avaient eu lieu dans bien d’autres domaines au cours de la même période. Nous proposons que des mécanismes pratiques, sociaux et d’adaptation étaient présents dans certaines secteurs du comportement humain et conduisaient à une innovation rehaussée tandis que le conservatisme avait la faveur en matière de technologie et d’usage du hachereau. Dans cette étude nous insistons sur la dépendance des groupes acheuléens sur les calories provenant des gros mammifères, en particulier de la mégafaune, ainsi que le rôle central des hachereaux dans la transformation des grosses carcasses. C’est notre point de vue que le rôle du hachereau dans l’adaptation acheuléenne était primordial et il s’en est trouvé fixé dans la société humaine probablement à travers un penchant psychologique vers une imitation de la majorité, ce qui est devenu par la suite une norme ou une tradition sociale. En bref, nous proposons que la persistance technologique du hachereau acheuléen a joué un rôle d’adaptation qui reposait sur une préférence pour un conservatisme culturel et a conduit au succès de leur survie les populations du paléolithique inférieur sur des centaines de milliers d’années dans l’Ancien Monde., Die technologische Beständigkeit des Faustkeils des Acheuléen: Ein Fall bevorzugten kulturellen Konservatismus? von Meir Finkel und Ran BarkaiEines der ungelösten „Paradoxe“ der prähistorischen Archäologie ist das der Kluft zwischen den erheblichen Fortschritten der menschlichen biologischen und kulturellen Evolution während des Altpaläolithikums und der mehr als eine Million Jahre dauernden „Stagnation“ des Acheuléen-Faustkeils. Meist fokussierte die Forschung auf die Frage der Innovation – warum sie sich verzögerte oder gar nicht erst stattfand –, während die Tatsache übersehen wurde, dass in der gleichen Epoche in vielen anderen Bereichen Innovationen auftraten. Wir schlussfolgern deshalb, dass praktische, soziale und adaptive Mechanismen in bestimmten Bereichen menschlichen Verhaltens in Kraft waren und zu erhöhter Innovation führten, während in der Faustkeiltechnologie und seiner Nutzung ein Konservatismus bevorzugt wurde. In dieser Untersuchung stellen wir die Abhängigkeit der Menschengruppen des Acheuléen von Kalorien, die sie von Großsäugern erlangten, heraus, insbesondere von Megafauna, sowie die zentrale Rolle von Faustkeilen in der Verarbeitung großer Tierkörper. Es ist unsere Überzeugung, dass die Rolle des Faustkeils für die Adaption während des Acheuléen entscheidend war und er deshalb in der menschlichen Gesellschaft festgeschrieben wurde, möglicherweise durch eine psychologische Neigung zur Majoritäts-Imitation,woraus nach und nach eine soziale Norm oder Tradition wurde. Kurz gesagt gehen wir davon aus, dass die technologische Beständigkeit des Faustkeils des Acheuléen eine adaptive Rolle spielte, die auf einem bevorzugten kulturellen Konservatismus basierte und zum erfolgreichen Überleben altpaläolithischer Gruppen während hunderttausender Jahre in der Alten Welt führte., La persistencia tecnológica de los bifaces achelenses: ¿un caso de conservadurismo cultural? por Meir Finkel y Ran BarkaiUna de las paradojas sin resolver en arqueología prehistórica es el lapso temporal existente entre los considerables avances en evolución biológica y cultural durante el Paleolítico Inferior, y el ‘estancamiento’ durante más de un millón de años de los bifaces achelenses. La mayor parte de la investigación relacionada con este aspecto se ha centrado en la innovación -porqué se retrasó o no se llevó a cabo- mientras se ignora el hecho de que estas innovaciones se produjeron en muchos otros campos durante el mismo período. Nosotros sugerimos que los mecanismos prácticos, sociales y adaptativos estuvieron vigentes en ciertas áreas del comportamiento humano y condujeron a una mayor innovación, mientras que el conservadurismo se impuso en la tecnología y uso de los bifaces. En este estudio destacamos la dependencia de los grupos achelenses de las calorías obtenidas de los grandes mamíferos, especialmente la megafauna, así como el papel central de los bifaces en el procesado de las grandes carcasas. Siguiendo esta línea argumental, el papel del bifaz achelense en los procesos de adaptación fue fundamental y, por tanto, quedó fijado en la sociedad, probablemente en el ámbito psicológico a través de la imitación, llegando posteriormente a convertirse en una norma o tradición social. En resumen, sugerimos que la persistencia tecnológica de las hachas achelenses jugó un rol adaptativo basado en un conservadurismo cultural y condujo a la supervivencia de las poblaciones del Paleolítico Inferior durante cientos de miles de años en el Viejo Mundo.","container-title":"Proceedings of the Prehistoric Society","DOI":"10.1017/ppr.2018.2","ISSN":"0079-497X, 2050-2729","language":"en","note":"publisher: Cambridge University Press","page":"1-19","source":"Cambridge University Press","title":"The Acheulean Handaxe Technological Persistence: A Case of Preferred Cultural Conservatism?","title-short":"The Acheulean Handaxe Technological Persistence","volume":"84","author":[{"family":"Finkel","given":"Meir"},{"family":"Barkai","given":"Ran"}],"issued":{"date-parts":[["2018",12]]}},"label":"page","suppress-author":true}],"schema":"https://github.com/citation-style-language/schema/raw/master/csl-citation.json"} </w:instrText>
      </w:r>
      <w:r w:rsidRPr="009B1F4E">
        <w:rPr>
          <w:rFonts w:ascii="Garamond" w:hAnsi="Garamond"/>
          <w:color w:val="000000" w:themeColor="text1"/>
        </w:rPr>
        <w:fldChar w:fldCharType="separate"/>
      </w:r>
      <w:r w:rsidRPr="009B1F4E">
        <w:rPr>
          <w:rFonts w:ascii="Garamond" w:hAnsi="Garamond"/>
          <w:noProof/>
          <w:color w:val="000000" w:themeColor="text1"/>
        </w:rPr>
        <w:t>(2018)</w:t>
      </w:r>
      <w:r w:rsidRPr="009B1F4E">
        <w:rPr>
          <w:rFonts w:ascii="Garamond" w:hAnsi="Garamond"/>
          <w:color w:val="000000" w:themeColor="text1"/>
        </w:rPr>
        <w:fldChar w:fldCharType="end"/>
      </w:r>
      <w:r w:rsidRPr="009B1F4E">
        <w:rPr>
          <w:rFonts w:ascii="Garamond" w:hAnsi="Garamond"/>
          <w:color w:val="000000" w:themeColor="text1"/>
        </w:rPr>
        <w:t xml:space="preserve"> are right to point out that it remains puzzling why we do see rapid change in other cultural traits. After all, demographic and economic factors should also impact the domains where we do see rapid change in cultural traits. They suggest that rather than hominins being </w:t>
      </w:r>
      <w:r w:rsidRPr="009B1F4E">
        <w:rPr>
          <w:rFonts w:ascii="Garamond" w:hAnsi="Garamond"/>
          <w:i/>
          <w:iCs/>
          <w:color w:val="000000" w:themeColor="text1"/>
        </w:rPr>
        <w:t>unable</w:t>
      </w:r>
      <w:r w:rsidRPr="009B1F4E">
        <w:rPr>
          <w:rFonts w:ascii="Garamond" w:hAnsi="Garamond"/>
          <w:color w:val="000000" w:themeColor="text1"/>
        </w:rPr>
        <w:t xml:space="preserve"> to innovate, conservatism might have been an adaptive solution and choice. Not only did the high complexity of tools require high-fidelity learning mechanisms, but in addition, these tools were central to hominins’ way of life. They were essential for food preparation but plausibly served as multi-purpose tools. Producing them might also have brought social benefits. This illustrates how social groups solved the trade-off between innovation and individual learning and conservatism and deference in cultural learning differently for different cultural traits. Whilst for some traits</w:t>
      </w:r>
      <w:r w:rsidR="00181D34">
        <w:rPr>
          <w:rFonts w:ascii="Garamond" w:hAnsi="Garamond"/>
          <w:color w:val="000000" w:themeColor="text1"/>
        </w:rPr>
        <w:t>,</w:t>
      </w:r>
      <w:r w:rsidR="00347F80">
        <w:rPr>
          <w:rFonts w:ascii="Garamond" w:hAnsi="Garamond"/>
          <w:color w:val="000000" w:themeColor="text1"/>
        </w:rPr>
        <w:t xml:space="preserve"> </w:t>
      </w:r>
      <w:r w:rsidR="00084766" w:rsidRPr="009B1F4E">
        <w:rPr>
          <w:rFonts w:ascii="Garamond" w:hAnsi="Garamond"/>
          <w:color w:val="000000" w:themeColor="text1"/>
        </w:rPr>
        <w:t>innovation was encouraged, in toolmaking,</w:t>
      </w:r>
      <w:r w:rsidRPr="009B1F4E">
        <w:rPr>
          <w:rFonts w:ascii="Garamond" w:hAnsi="Garamond"/>
          <w:color w:val="000000" w:themeColor="text1"/>
        </w:rPr>
        <w:t xml:space="preserve"> it wasn’t. Based on this, Finkel and </w:t>
      </w:r>
      <w:proofErr w:type="spellStart"/>
      <w:r w:rsidRPr="009B1F4E">
        <w:rPr>
          <w:rFonts w:ascii="Garamond" w:hAnsi="Garamond"/>
          <w:color w:val="000000" w:themeColor="text1"/>
        </w:rPr>
        <w:t>Barkai</w:t>
      </w:r>
      <w:proofErr w:type="spellEnd"/>
      <w:r w:rsidRPr="009B1F4E">
        <w:rPr>
          <w:rFonts w:ascii="Garamond" w:hAnsi="Garamond"/>
          <w:color w:val="000000" w:themeColor="text1"/>
        </w:rPr>
        <w:t xml:space="preserve"> </w:t>
      </w:r>
      <w:r w:rsidRPr="009B1F4E">
        <w:rPr>
          <w:rFonts w:ascii="Garamond" w:hAnsi="Garamond"/>
          <w:color w:val="000000" w:themeColor="text1"/>
        </w:rPr>
        <w:fldChar w:fldCharType="begin"/>
      </w:r>
      <w:r w:rsidRPr="009B1F4E">
        <w:rPr>
          <w:rFonts w:ascii="Garamond" w:hAnsi="Garamond"/>
          <w:color w:val="000000" w:themeColor="text1"/>
        </w:rPr>
        <w:instrText xml:space="preserve"> ADDIN ZOTERO_ITEM CSL_CITATION {"citationID":"erYx21cg","properties":{"formattedCitation":"(2018, 12)","plainCitation":"(2018, 12)","noteIndex":0},"citationItems":[{"id":1228,"uris":["http://zotero.org/users/local/jz7T3Opo/items/FI4RT6ZN"],"itemData":{"id":1228,"type":"article-journal","abstract":"One of the unsolved ‘paradoxes’ in prehistoric archaeology is that of the gap between the considerable advances in human biological and cultural evolution during the Lower Palaeolithic period, and the over one million years of ‘stagnation’ of the Acheulean handaxe. Most of the research on this topic has focused on innovation – why it was delayed or failed to take place – while overlooking the fact that innovation had occurred in many other fields during the same period. We suggest that practical, social, and adaptive mechanisms were in force in certain areas of human behaviour and led to enhanced innovation, while conservatism was preferred in handaxe technology and use. In this study we emphasise the dependency of Acheulean groups on calories obtained from large mammals, and especially megafauna, as well as the central role of handaxes in processing large carcasses. It is our contention that the handaxe’s role in Acheulean adaptation was pivotal and it thus became fixed in human society, probably through the psychological bias towards majority imitation, which subsequently became a social norm or tradition. In brief, we suggest that the technological persistence of the Acheulean handaxe played an adaptive role that was based on a preferred cultural conservatism and led to the successful survival of Lower Palaeolithic populations over hundreds of thousands of years in the Old World., Le hachereau acheuléen persistance technologique: Un cas de préférence du conservatisme culturel? de Meir Finkel et Ran BarkaiL’un des ‘paradoxes‘ non résolus de l’archéologie préhistorique est l’écart entre les considérables avancées dans l’évolution humaine biologique et culturelle au cours de la période du paléolithique inférieur et le million et quelques d’années de ‘stagnation‘ du hachereau herculéen. La plupart des recherches sur ce sujet se sont concentrées sur l’innovation: pourquoi a-t-elle été retardée ou a-t-elle échoué à se mettre en place, tout en négligeant le fait que des innovations avaient eu lieu dans bien d’autres domaines au cours de la même période. Nous proposons que des mécanismes pratiques, sociaux et d’adaptation étaient présents dans certaines secteurs du comportement humain et conduisaient à une innovation rehaussée tandis que le conservatisme avait la faveur en matière de technologie et d’usage du hachereau. Dans cette étude nous insistons sur la dépendance des groupes acheuléens sur les calories provenant des gros mammifères, en particulier de la mégafaune, ainsi que le rôle central des hachereaux dans la transformation des grosses carcasses. C’est notre point de vue que le rôle du hachereau dans l’adaptation acheuléenne était primordial et il s’en est trouvé fixé dans la société humaine probablement à travers un penchant psychologique vers une imitation de la majorité, ce qui est devenu par la suite une norme ou une tradition sociale. En bref, nous proposons que la persistance technologique du hachereau acheuléen a joué un rôle d’adaptation qui reposait sur une préférence pour un conservatisme culturel et a conduit au succès de leur survie les populations du paléolithique inférieur sur des centaines de milliers d’années dans l’Ancien Monde., Die technologische Beständigkeit des Faustkeils des Acheuléen: Ein Fall bevorzugten kulturellen Konservatismus? von Meir Finkel und Ran BarkaiEines der ungelösten „Paradoxe“ der prähistorischen Archäologie ist das der Kluft zwischen den erheblichen Fortschritten der menschlichen biologischen und kulturellen Evolution während des Altpaläolithikums und der mehr als eine Million Jahre dauernden „Stagnation“ des Acheuléen-Faustkeils. Meist fokussierte die Forschung auf die Frage der Innovation – warum sie sich verzögerte oder gar nicht erst stattfand –, während die Tatsache übersehen wurde, dass in der gleichen Epoche in vielen anderen Bereichen Innovationen auftraten. Wir schlussfolgern deshalb, dass praktische, soziale und adaptive Mechanismen in bestimmten Bereichen menschlichen Verhaltens in Kraft waren und zu erhöhter Innovation führten, während in der Faustkeiltechnologie und seiner Nutzung ein Konservatismus bevorzugt wurde. In dieser Untersuchung stellen wir die Abhängigkeit der Menschengruppen des Acheuléen von Kalorien, die sie von Großsäugern erlangten, heraus, insbesondere von Megafauna, sowie die zentrale Rolle von Faustkeilen in der Verarbeitung großer Tierkörper. Es ist unsere Überzeugung, dass die Rolle des Faustkeils für die Adaption während des Acheuléen entscheidend war und er deshalb in der menschlichen Gesellschaft festgeschrieben wurde, möglicherweise durch eine psychologische Neigung zur Majoritäts-Imitation,woraus nach und nach eine soziale Norm oder Tradition wurde. Kurz gesagt gehen wir davon aus, dass die technologische Beständigkeit des Faustkeils des Acheuléen eine adaptive Rolle spielte, die auf einem bevorzugten kulturellen Konservatismus basierte und zum erfolgreichen Überleben altpaläolithischer Gruppen während hunderttausender Jahre in der Alten Welt führte., La persistencia tecnológica de los bifaces achelenses: ¿un caso de conservadurismo cultural? por Meir Finkel y Ran BarkaiUna de las paradojas sin resolver en arqueología prehistórica es el lapso temporal existente entre los considerables avances en evolución biológica y cultural durante el Paleolítico Inferior, y el ‘estancamiento’ durante más de un millón de años de los bifaces achelenses. La mayor parte de la investigación relacionada con este aspecto se ha centrado en la innovación -porqué se retrasó o no se llevó a cabo- mientras se ignora el hecho de que estas innovaciones se produjeron en muchos otros campos durante el mismo período. Nosotros sugerimos que los mecanismos prácticos, sociales y adaptativos estuvieron vigentes en ciertas áreas del comportamiento humano y condujeron a una mayor innovación, mientras que el conservadurismo se impuso en la tecnología y uso de los bifaces. En este estudio destacamos la dependencia de los grupos achelenses de las calorías obtenidas de los grandes mamíferos, especialmente la megafauna, así como el papel central de los bifaces en el procesado de las grandes carcasas. Siguiendo esta línea argumental, el papel del bifaz achelense en los procesos de adaptación fue fundamental y, por tanto, quedó fijado en la sociedad, probablemente en el ámbito psicológico a través de la imitación, llegando posteriormente a convertirse en una norma o tradición social. En resumen, sugerimos que la persistencia tecnológica de las hachas achelenses jugó un rol adaptativo basado en un conservadurismo cultural y condujo a la supervivencia de las poblaciones del Paleolítico Inferior durante cientos de miles de años en el Viejo Mundo.","container-title":"Proceedings of the Prehistoric Society","DOI":"10.1017/ppr.2018.2","ISSN":"0079-497X, 2050-2729","language":"en","note":"publisher: Cambridge University Press","page":"1-19","source":"Cambridge University Press","title":"The Acheulean Handaxe Technological Persistence: A Case of Preferred Cultural Conservatism?","title-short":"The Acheulean Handaxe Technological Persistence","volume":"84","author":[{"family":"Finkel","given":"Meir"},{"family":"Barkai","given":"Ran"}],"issued":{"date-parts":[["2018",12]]}},"locator":"12","label":"page","suppress-author":true}],"schema":"https://github.com/citation-style-language/schema/raw/master/csl-citation.json"} </w:instrText>
      </w:r>
      <w:r w:rsidRPr="009B1F4E">
        <w:rPr>
          <w:rFonts w:ascii="Garamond" w:hAnsi="Garamond"/>
          <w:color w:val="000000" w:themeColor="text1"/>
        </w:rPr>
        <w:fldChar w:fldCharType="separate"/>
      </w:r>
      <w:r w:rsidRPr="009B1F4E">
        <w:rPr>
          <w:rFonts w:ascii="Garamond" w:hAnsi="Garamond"/>
          <w:noProof/>
          <w:color w:val="000000" w:themeColor="text1"/>
        </w:rPr>
        <w:t>(2018, 12)</w:t>
      </w:r>
      <w:r w:rsidRPr="009B1F4E">
        <w:rPr>
          <w:rFonts w:ascii="Garamond" w:hAnsi="Garamond"/>
          <w:color w:val="000000" w:themeColor="text1"/>
        </w:rPr>
        <w:fldChar w:fldCharType="end"/>
      </w:r>
      <w:r w:rsidRPr="009B1F4E">
        <w:rPr>
          <w:rFonts w:ascii="Garamond" w:hAnsi="Garamond"/>
          <w:color w:val="000000" w:themeColor="text1"/>
        </w:rPr>
        <w:t xml:space="preserve"> propose: “Regarding Acheulean </w:t>
      </w:r>
      <w:proofErr w:type="spellStart"/>
      <w:r w:rsidRPr="009B1F4E">
        <w:rPr>
          <w:rFonts w:ascii="Garamond" w:hAnsi="Garamond"/>
          <w:color w:val="000000" w:themeColor="text1"/>
        </w:rPr>
        <w:t>handaxe</w:t>
      </w:r>
      <w:proofErr w:type="spellEnd"/>
      <w:r w:rsidRPr="009B1F4E">
        <w:rPr>
          <w:rFonts w:ascii="Garamond" w:hAnsi="Garamond"/>
          <w:color w:val="000000" w:themeColor="text1"/>
        </w:rPr>
        <w:t xml:space="preserve"> persistence, we suggest that the bias to imitate majority behaviour that then evolved into social norms may provide a plausible explanation.” The suggestion being that biased social learning </w:t>
      </w:r>
      <w:r w:rsidR="00D04AD2" w:rsidRPr="009B1F4E">
        <w:rPr>
          <w:rFonts w:ascii="Garamond" w:hAnsi="Garamond"/>
          <w:color w:val="000000" w:themeColor="text1"/>
        </w:rPr>
        <w:lastRenderedPageBreak/>
        <w:t>led</w:t>
      </w:r>
      <w:r w:rsidRPr="009B1F4E">
        <w:rPr>
          <w:rFonts w:ascii="Garamond" w:hAnsi="Garamond"/>
          <w:color w:val="000000" w:themeColor="text1"/>
        </w:rPr>
        <w:t xml:space="preserve">, after a certain </w:t>
      </w:r>
      <w:proofErr w:type="gramStart"/>
      <w:r w:rsidRPr="009B1F4E">
        <w:rPr>
          <w:rFonts w:ascii="Garamond" w:hAnsi="Garamond"/>
          <w:color w:val="000000" w:themeColor="text1"/>
        </w:rPr>
        <w:t>period of time</w:t>
      </w:r>
      <w:proofErr w:type="gramEnd"/>
      <w:r w:rsidRPr="009B1F4E">
        <w:rPr>
          <w:rFonts w:ascii="Garamond" w:hAnsi="Garamond"/>
          <w:color w:val="000000" w:themeColor="text1"/>
        </w:rPr>
        <w:t xml:space="preserve">, to toolmaking gaining in social meaning and importance and for social norms to be established in relation to it. </w:t>
      </w:r>
    </w:p>
    <w:p w14:paraId="0499F4D1" w14:textId="77777777" w:rsidR="00347F80" w:rsidRDefault="00740A1F" w:rsidP="00740A1F">
      <w:pPr>
        <w:spacing w:line="360" w:lineRule="auto"/>
        <w:jc w:val="both"/>
        <w:rPr>
          <w:rFonts w:ascii="Garamond" w:hAnsi="Garamond"/>
          <w:color w:val="000000" w:themeColor="text1"/>
        </w:rPr>
      </w:pPr>
      <w:r w:rsidRPr="009B1F4E">
        <w:rPr>
          <w:rFonts w:ascii="Garamond" w:hAnsi="Garamond"/>
          <w:color w:val="000000" w:themeColor="text1"/>
        </w:rPr>
        <w:t xml:space="preserve">I offer a slightly different picture: Rather than a social norm evolving out of agents’ social learning practices, conservatism in toolmaking is already reflective of </w:t>
      </w:r>
      <w:proofErr w:type="spellStart"/>
      <w:r w:rsidRPr="009B1F4E">
        <w:rPr>
          <w:rFonts w:ascii="Garamond" w:hAnsi="Garamond"/>
          <w:color w:val="000000" w:themeColor="text1"/>
        </w:rPr>
        <w:t>there</w:t>
      </w:r>
      <w:proofErr w:type="spellEnd"/>
      <w:r w:rsidRPr="009B1F4E">
        <w:rPr>
          <w:rFonts w:ascii="Garamond" w:hAnsi="Garamond"/>
          <w:color w:val="000000" w:themeColor="text1"/>
        </w:rPr>
        <w:t xml:space="preserve"> having been a norm that coordinated agents’ social learning efforts. Such epistemic coordination-norms would have instructed agents to defer heavily to others when it comes to toolmaking but perhaps be more explorative regarding other cultural traits. Learning how to make tools via individual learning mechanisms will seldom have been successful. </w:t>
      </w:r>
      <w:r w:rsidR="00084766" w:rsidRPr="009B1F4E">
        <w:rPr>
          <w:rFonts w:ascii="Garamond" w:hAnsi="Garamond"/>
          <w:color w:val="000000" w:themeColor="text1"/>
        </w:rPr>
        <w:t>However, employing trial-and-error learning and the right junctions in the learning process might nonetheless have been productive, e.g., in furthering</w:t>
      </w:r>
      <w:r w:rsidRPr="009B1F4E">
        <w:rPr>
          <w:rFonts w:ascii="Garamond" w:hAnsi="Garamond"/>
          <w:color w:val="000000" w:themeColor="text1"/>
        </w:rPr>
        <w:t xml:space="preserve"> an agent’s understanding of the toolmaking process. But it’s because of their importance to hominins' way of life and their technical complexity (and other contextual factors) that, for the most part, little innovation was encouraged </w:t>
      </w:r>
      <w:r w:rsidRPr="009B1F4E">
        <w:rPr>
          <w:rFonts w:ascii="Garamond" w:hAnsi="Garamond"/>
          <w:color w:val="000000" w:themeColor="text1"/>
        </w:rPr>
        <w:fldChar w:fldCharType="begin"/>
      </w:r>
      <w:r w:rsidRPr="009B1F4E">
        <w:rPr>
          <w:rFonts w:ascii="Garamond" w:hAnsi="Garamond"/>
          <w:color w:val="000000" w:themeColor="text1"/>
        </w:rPr>
        <w:instrText xml:space="preserve"> ADDIN ZOTERO_ITEM CSL_CITATION {"citationID":"1NLdshF8","properties":{"formattedCitation":"(see Shipton and White 2020 for another view that locates the emergence of normativity in social learning)","plainCitation":"(see Shipton and White 2020 for another view that locates the emergence of normativity in social learning)","noteIndex":0},"citationItems":[{"id":1214,"uris":["http://zotero.org/users/local/jz7T3Opo/items/2NT7X6LP"],"itemData":{"id":1214,"type":"article-journal","abstract":"The handaxes of north-western Europe are some of the most varied in the Acheulean world, with the meanings of that variation debated since the late nineteenth century. To reassess handaxe form in this region, we performed a 3D morphometric analysis of 150 handaxes from five British Acheulean assemblages: Boxgrove, High Lodge, Hitchin, Swanscombe Middle Gravels, and Broom. Regression analyses indicate the importance of the effects of allometry and the assemblage to which the handaxe belongs on shape variation. Marine Isotope Stage (MIS) 11c assemblages Hitchin and Swanscombe occupy significantly different shape space from both the MIS13 assemblages Boxgrove and High Lodge, and the MIS9 assemblage of Broom. Handaxe types such as ovates, cordates, limandes, triangular, and ficrons occupy unique areas of shape space in plan form. Twisted-profile and plano-convex handaxes are distinctive in their profile forms from handaxes with similar plan forms. We suggest that the distinctive and difficult to produce handaxes types that characterize the British Late Acheulean were reproduced according to normative expectations of what handaxes should look like. Different occupation phases in MIS13, MIS11c, and MIS9 are characterized by different suites of handaxe types, likely as the result of different waves of colonization with different normative social traditions.","container-title":"Journal of Archaeological Science: Reports","DOI":"10.1016/j.jasrep.2020.102352","ISSN":"2352-409X","journalAbbreviation":"Journal of Archaeological Science: Reports","language":"en","page":"102352","source":"ScienceDirect","title":"Handaxe types, colonization waves, and social norms in the British Acheulean","volume":"31","author":[{"family":"Shipton","given":"Ceri"},{"family":"White","given":"Mark"}],"issued":{"date-parts":[["2020",6,1]]}},"label":"page","prefix":"see","suffix":"for another view that locates the emergence of normativity in social learning"}],"schema":"https://github.com/citation-style-language/schema/raw/master/csl-citation.json"} </w:instrText>
      </w:r>
      <w:r w:rsidRPr="009B1F4E">
        <w:rPr>
          <w:rFonts w:ascii="Garamond" w:hAnsi="Garamond"/>
          <w:color w:val="000000" w:themeColor="text1"/>
        </w:rPr>
        <w:fldChar w:fldCharType="separate"/>
      </w:r>
      <w:r w:rsidRPr="009B1F4E">
        <w:rPr>
          <w:rFonts w:ascii="Garamond" w:hAnsi="Garamond"/>
          <w:noProof/>
          <w:color w:val="000000" w:themeColor="text1"/>
        </w:rPr>
        <w:t>(see Shipton and White 2020 for another view that locates the emergence of normativity in social learning)</w:t>
      </w:r>
      <w:r w:rsidRPr="009B1F4E">
        <w:rPr>
          <w:rFonts w:ascii="Garamond" w:hAnsi="Garamond"/>
          <w:color w:val="000000" w:themeColor="text1"/>
        </w:rPr>
        <w:fldChar w:fldCharType="end"/>
      </w:r>
      <w:r w:rsidRPr="009B1F4E">
        <w:rPr>
          <w:rFonts w:ascii="Garamond" w:hAnsi="Garamond"/>
          <w:color w:val="000000" w:themeColor="text1"/>
        </w:rPr>
        <w:t xml:space="preserve">. </w:t>
      </w:r>
    </w:p>
    <w:p w14:paraId="408ADFCC" w14:textId="2ED6E19C" w:rsidR="00740A1F" w:rsidRPr="009B1F4E" w:rsidRDefault="00740A1F" w:rsidP="00740A1F">
      <w:pPr>
        <w:spacing w:line="360" w:lineRule="auto"/>
        <w:jc w:val="both"/>
        <w:rPr>
          <w:rFonts w:ascii="Garamond" w:hAnsi="Garamond"/>
          <w:color w:val="000000" w:themeColor="text1"/>
        </w:rPr>
      </w:pPr>
      <w:r w:rsidRPr="009B1F4E">
        <w:rPr>
          <w:rFonts w:ascii="Garamond" w:hAnsi="Garamond"/>
          <w:color w:val="000000" w:themeColor="text1"/>
        </w:rPr>
        <w:t>Significantly, how this trade-off was managed changed given a change in external conditions — recall, we do see both gradual change in toolmaking during the Ach</w:t>
      </w:r>
      <w:r w:rsidR="008C4626" w:rsidRPr="009B1F4E">
        <w:rPr>
          <w:rFonts w:ascii="Garamond" w:hAnsi="Garamond"/>
          <w:color w:val="000000" w:themeColor="text1"/>
        </w:rPr>
        <w:t>e</w:t>
      </w:r>
      <w:r w:rsidRPr="009B1F4E">
        <w:rPr>
          <w:rFonts w:ascii="Garamond" w:hAnsi="Garamond"/>
          <w:color w:val="000000" w:themeColor="text1"/>
        </w:rPr>
        <w:t xml:space="preserve">ulean and, additionally, flickering if unstable change in cultural traits (including toolmaking) from 800 KYA </w:t>
      </w:r>
      <w:r w:rsidRPr="009B1F4E">
        <w:rPr>
          <w:rFonts w:ascii="Garamond" w:hAnsi="Garamond"/>
          <w:color w:val="000000" w:themeColor="text1"/>
        </w:rPr>
        <w:fldChar w:fldCharType="begin"/>
      </w:r>
      <w:r w:rsidR="009B1F4E">
        <w:rPr>
          <w:rFonts w:ascii="Garamond" w:hAnsi="Garamond"/>
          <w:color w:val="000000" w:themeColor="text1"/>
        </w:rPr>
        <w:instrText xml:space="preserve"> ADDIN ZOTERO_ITEM CSL_CITATION {"citationID":"xhGC2KbW","properties":{"formattedCitation":"(Sterelny 2021b, chap. 1; Gallotti and Mussi 2017)","plainCitation":"(Sterelny 2021b, chap. 1; Gallotti and Mussi 2017)","noteIndex":0},"citationItems":[{"id":789,"uris":["http://zotero.org/users/local/jz7T3Opo/items/GATH6MTZ"],"itemData":{"id":789,"type":"book","abstract":"Kim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locator":"1","label":"chapter"},{"id":1240,"uris":["http://zotero.org/users/local/jz7T3Opo/items/S9M72NJ8"],"itemData":{"id":1240,"type":"article-journal","container-title":"Journal of Anthropological Sciences","page":"1–46","source":"Google Scholar","title":"Two Acheuleans, two humankinds: From 1.5 to 0.85 ma at Melka Kunture (upper awash, Ethiopian highlands)","title-short":"Two Acheuleans, two humankinds","volume":"95","author":[{"family":"Gallotti","given":"Rosalia"},{"family":"Mussi","given":"Margherita"}],"issued":{"date-parts":[["2017"]]}}}],"schema":"https://github.com/citation-style-language/schema/raw/master/csl-citation.json"} </w:instrText>
      </w:r>
      <w:r w:rsidRPr="009B1F4E">
        <w:rPr>
          <w:rFonts w:ascii="Garamond" w:hAnsi="Garamond"/>
          <w:color w:val="000000" w:themeColor="text1"/>
        </w:rPr>
        <w:fldChar w:fldCharType="separate"/>
      </w:r>
      <w:r w:rsidR="009B1F4E">
        <w:rPr>
          <w:rFonts w:ascii="Garamond" w:hAnsi="Garamond"/>
          <w:noProof/>
          <w:color w:val="000000" w:themeColor="text1"/>
        </w:rPr>
        <w:t>(Sterelny 2021b, chap. 1; Gallotti and Mussi 2017)</w:t>
      </w:r>
      <w:r w:rsidRPr="009B1F4E">
        <w:rPr>
          <w:rFonts w:ascii="Garamond" w:hAnsi="Garamond"/>
          <w:color w:val="000000" w:themeColor="text1"/>
        </w:rPr>
        <w:fldChar w:fldCharType="end"/>
      </w:r>
      <w:r w:rsidRPr="009B1F4E">
        <w:rPr>
          <w:rFonts w:ascii="Garamond" w:hAnsi="Garamond"/>
          <w:color w:val="000000" w:themeColor="text1"/>
        </w:rPr>
        <w:t>. This also indicates that the solution to this trade-off was social, as more hard-wired cognitive solutions would lack the required flexibility. So, overall, in the case of toolmaking, the relative absence of innovation in a time of rapid cultural change is evidence of coordination-norms.</w:t>
      </w:r>
    </w:p>
    <w:p w14:paraId="44055FD3" w14:textId="66FBE23D" w:rsidR="00740A1F" w:rsidRPr="009B1F4E" w:rsidRDefault="00740A1F" w:rsidP="00740A1F">
      <w:pPr>
        <w:spacing w:line="360" w:lineRule="auto"/>
        <w:jc w:val="both"/>
        <w:rPr>
          <w:rFonts w:ascii="Garamond" w:hAnsi="Garamond" w:cs="Calibri"/>
          <w:color w:val="000000" w:themeColor="text1"/>
        </w:rPr>
      </w:pPr>
      <w:r w:rsidRPr="009B1F4E">
        <w:rPr>
          <w:rFonts w:ascii="Garamond" w:hAnsi="Garamond"/>
          <w:color w:val="000000" w:themeColor="text1"/>
        </w:rPr>
        <w:t xml:space="preserve">The case of toolmaking thus also provides our view with archaeological evidence — i.e., the mentioned observations about conservatism in toolmaking. As Finkel and </w:t>
      </w:r>
      <w:proofErr w:type="spellStart"/>
      <w:r w:rsidRPr="009B1F4E">
        <w:rPr>
          <w:rFonts w:ascii="Garamond" w:hAnsi="Garamond"/>
          <w:color w:val="000000" w:themeColor="text1"/>
        </w:rPr>
        <w:t>Barkai</w:t>
      </w:r>
      <w:proofErr w:type="spellEnd"/>
      <w:r w:rsidRPr="009B1F4E">
        <w:rPr>
          <w:rFonts w:ascii="Garamond" w:hAnsi="Garamond"/>
          <w:color w:val="000000" w:themeColor="text1"/>
        </w:rPr>
        <w:t xml:space="preserve"> point out, a norm-based view is uniquely placed to account for these findings, as the difference in change in cultural traits isn’t explained by demographic and economic factors. </w:t>
      </w:r>
      <w:r w:rsidR="00347F80">
        <w:rPr>
          <w:rFonts w:ascii="Garamond" w:hAnsi="Garamond"/>
          <w:color w:val="000000" w:themeColor="text1"/>
        </w:rPr>
        <w:t>Here</w:t>
      </w:r>
      <w:r w:rsidR="00181D34">
        <w:rPr>
          <w:rFonts w:ascii="Garamond" w:hAnsi="Garamond"/>
          <w:color w:val="000000" w:themeColor="text1"/>
        </w:rPr>
        <w:t>,</w:t>
      </w:r>
      <w:r w:rsidR="00347F80">
        <w:rPr>
          <w:rFonts w:ascii="Garamond" w:hAnsi="Garamond"/>
          <w:color w:val="000000" w:themeColor="text1"/>
        </w:rPr>
        <w:t xml:space="preserve"> </w:t>
      </w:r>
      <w:r w:rsidRPr="009B1F4E">
        <w:rPr>
          <w:rFonts w:ascii="Garamond" w:hAnsi="Garamond"/>
          <w:color w:val="000000" w:themeColor="text1"/>
        </w:rPr>
        <w:t xml:space="preserve">I’ve added another interpretation to the existing norm-based explanations: Rather than norms emerging from biased cultural learning, cultural learning itself is already reflective of </w:t>
      </w:r>
      <w:proofErr w:type="spellStart"/>
      <w:r w:rsidRPr="009B1F4E">
        <w:rPr>
          <w:rFonts w:ascii="Garamond" w:hAnsi="Garamond"/>
          <w:color w:val="000000" w:themeColor="text1"/>
        </w:rPr>
        <w:t>there</w:t>
      </w:r>
      <w:proofErr w:type="spellEnd"/>
      <w:r w:rsidRPr="009B1F4E">
        <w:rPr>
          <w:rFonts w:ascii="Garamond" w:hAnsi="Garamond"/>
          <w:color w:val="000000" w:themeColor="text1"/>
        </w:rPr>
        <w:t xml:space="preserve"> having been norms at play.</w:t>
      </w:r>
    </w:p>
    <w:p w14:paraId="4AB26983" w14:textId="77777777" w:rsidR="008C552D" w:rsidRPr="009B1F4E" w:rsidRDefault="008C552D" w:rsidP="00B43E02">
      <w:pPr>
        <w:spacing w:line="360" w:lineRule="auto"/>
        <w:jc w:val="both"/>
        <w:rPr>
          <w:rFonts w:ascii="Garamond" w:hAnsi="Garamond" w:cs="Calibri"/>
          <w:color w:val="000000" w:themeColor="text1"/>
        </w:rPr>
      </w:pPr>
    </w:p>
    <w:p w14:paraId="63EEB0F3" w14:textId="6E3EA679" w:rsidR="00F856D4" w:rsidRPr="009B1F4E" w:rsidRDefault="00F856D4" w:rsidP="00F856D4">
      <w:pPr>
        <w:pStyle w:val="Listenabsatz"/>
        <w:numPr>
          <w:ilvl w:val="2"/>
          <w:numId w:val="1"/>
        </w:numPr>
        <w:spacing w:line="360" w:lineRule="auto"/>
        <w:jc w:val="both"/>
        <w:rPr>
          <w:rFonts w:ascii="Garamond" w:hAnsi="Garamond" w:cs="Calibri"/>
          <w:color w:val="000000" w:themeColor="text1"/>
        </w:rPr>
      </w:pPr>
      <w:r w:rsidRPr="009B1F4E">
        <w:rPr>
          <w:rFonts w:ascii="Garamond" w:hAnsi="Garamond" w:cs="Calibri"/>
          <w:color w:val="000000" w:themeColor="text1"/>
        </w:rPr>
        <w:t>Skill</w:t>
      </w:r>
      <w:r w:rsidR="00181D34">
        <w:rPr>
          <w:rFonts w:ascii="Garamond" w:hAnsi="Garamond" w:cs="Calibri"/>
          <w:color w:val="000000" w:themeColor="text1"/>
        </w:rPr>
        <w:t xml:space="preserve"> </w:t>
      </w:r>
      <w:r w:rsidRPr="009B1F4E">
        <w:rPr>
          <w:rFonts w:ascii="Garamond" w:hAnsi="Garamond" w:cs="Calibri"/>
          <w:color w:val="000000" w:themeColor="text1"/>
        </w:rPr>
        <w:t>acquisition and epistemic coordination-norms</w:t>
      </w:r>
    </w:p>
    <w:p w14:paraId="13D7FA44" w14:textId="00D3593C" w:rsidR="00F856D4" w:rsidRPr="009B1F4E" w:rsidRDefault="00F856D4" w:rsidP="00F856D4">
      <w:pPr>
        <w:spacing w:line="360" w:lineRule="auto"/>
        <w:jc w:val="both"/>
        <w:rPr>
          <w:rFonts w:ascii="Garamond" w:hAnsi="Garamond"/>
          <w:color w:val="000000" w:themeColor="text1"/>
        </w:rPr>
      </w:pPr>
      <w:r w:rsidRPr="009B1F4E">
        <w:rPr>
          <w:rFonts w:ascii="Garamond" w:hAnsi="Garamond" w:cs="Calibri"/>
          <w:color w:val="000000" w:themeColor="text1"/>
        </w:rPr>
        <w:t>There exists a fairly large ethnographic literature on skill</w:t>
      </w:r>
      <w:r w:rsidR="00181D34">
        <w:rPr>
          <w:rFonts w:ascii="Garamond" w:hAnsi="Garamond" w:cs="Calibri"/>
          <w:color w:val="000000" w:themeColor="text1"/>
        </w:rPr>
        <w:t xml:space="preserve"> </w:t>
      </w:r>
      <w:r w:rsidRPr="009B1F4E">
        <w:rPr>
          <w:rFonts w:ascii="Garamond" w:hAnsi="Garamond" w:cs="Calibri"/>
          <w:color w:val="000000" w:themeColor="text1"/>
        </w:rPr>
        <w:t xml:space="preserve">acquisition in extant hunter-gatherers that’s — with some reservations — taken to be informative regarding early human evolution </w:t>
      </w:r>
      <w:r w:rsidRPr="009B1F4E">
        <w:rPr>
          <w:rFonts w:ascii="Garamond" w:hAnsi="Garamond" w:cs="Calibri"/>
          <w:color w:val="000000" w:themeColor="text1"/>
        </w:rPr>
        <w:fldChar w:fldCharType="begin"/>
      </w:r>
      <w:r w:rsidR="00892B11" w:rsidRPr="009B1F4E">
        <w:rPr>
          <w:rFonts w:ascii="Garamond" w:hAnsi="Garamond" w:cs="Calibri"/>
          <w:color w:val="000000" w:themeColor="text1"/>
        </w:rPr>
        <w:instrText xml:space="preserve"> ADDIN ZOTERO_ITEM CSL_CITATION {"citationID":"tYHclfAl","properties":{"formattedCitation":"(see, e.g., Lew-Levy et al. 2020; 2017; Hewlett et al. 2011 for overviews)","plainCitation":"(see, e.g., Lew-Levy et al. 2020; 2017; Hewlett et al. 2011 for overviews)","noteIndex":0},"citationItems":[{"id":1643,"uris":["http://zotero.org/users/local/jz7T3Opo/items/PAVEFHQ5"],"itemData":{"id":1643,"type":"article-journal","abstract":"Teaching is cross-culturally widespread but few studies have considered children as teachers as well as learners. This is surprising, since forager children spend much of their time playing and foraging in child-only groups, and thus, have access to many potential child teachers. Using the Social Relations Model, we examined the prevalence of child-to-child teaching using focal follow data from 35 Hadza and 38 BaYaka 3- to 18-year-olds. We investigated the effect of age, sex and kinship on the teaching of subsistence skills. We found that child-to-child teaching was more frequent than adult-child teaching. Additionally, children taught more with age, teaching was more likely to occur within same-sex versus opposite-sex dyads, and close kin were more likely to teach than non-kin. The Hadza and BaYaka also showed distinct learning patterns; teaching was more likely to occur between sibling dyads among the Hadza than among the BaYaka, and a multistage learning model where younger children learn from peers, and older children from adults, was evident for the BaYaka, but not for the Hadza. We attribute these differences to subsistence and settlement patterns. These findings highlight the role of children in the intergenerational transmission of subsistence skills.","container-title":"Evolution and Human Behavior","DOI":"10.1016/j.evolhumbehav.2019.07.003","ISSN":"1090-5138","issue":"1","journalAbbreviation":"Evolution and Human Behavior","page":"12-22","source":"ScienceDirect","title":"Who teaches children to forage? Exploring the primacy of child-to-child teaching among Hadza and BaYaka Hunter-Gatherers of Tanzania and Congo","title-short":"Who teaches children to forage?","volume":"41","author":[{"family":"Lew-Levy","given":"Sheina"},{"family":"Kissler","given":"Stephen M."},{"family":"Boyette","given":"Adam H."},{"family":"Crittenden","given":"Alyssa N."},{"family":"Mabulla","given":"Ibrahim A."},{"family":"Hewlett","given":"Barry S."}],"issued":{"date-parts":[["2020",1,1]]}},"label":"page","prefix":"see, e.g., "},{"id":1645,"uris":["http://zotero.org/users/local/jz7T3Opo/items/ZSYDZ5QV"],"itemData":{"id":1645,"type":"article-journal","abstract":"Hunting and gathering is, evolutionarily, the defining subsistence strategy of our species. Studying how children learn foraging skills can, therefore, provide us with key data to test theories about the evolution of human life history, cognition, and social behavior. Modern foragers, with their vast cultural and environmental diversity, have mostly been studied individually. However, cross-cultural studies allow us to extrapolate forager-wide trends in how, when, and from whom hunter-gatherer children learn their subsistence skills. We perform a meta-ethnography, which allows us to systematically extract, summarize, and compare both quantitative and qualitative literature. We found 58 publications focusing on learning subsistence skills. Learning begins early in infancy, when parents take children on foraging expeditions and give them toy versions of tools. In early and middle childhood, children transition into the multi-age playgroup, where they learn skills through play, observation, and participation. By the end of middle childhood, most children are proficient food collectors. However, it is not until adolescence that adults (not necessarily parents) begin directly teaching children complex skills such as hunting and complex tool manufacture. Adolescents seek to learn innovations from adults, but they themselves do not innovate. These findings support predictive models that find social learning should occur before individual learning. Furthermore, these results show that teaching does indeed exist in hunter-gatherer societies. And, finally, though children are competent foragers by late childhood, learning to extract more complex resources, such as hunting large game, takes a lifetime.","container-title":"Human Nature","DOI":"10.1007/s12110-017-9302-2","ISSN":"1936-4776","issue":"4","journalAbbreviation":"Hum Nat","language":"en","page":"367-394","source":"Springer Link","title":"How Do Hunter-Gatherer Children Learn Subsistence Skills?","volume":"28","author":[{"family":"Lew-Levy","given":"Sheina"},{"family":"Reckin","given":"Rachel"},{"family":"Lavi","given":"Noa"},{"family":"Cristóbal-Azkarate","given":"Jurgi"},{"family":"Ellis-Davies","given":"Kate"}],"issued":{"date-parts":[["2017",12,1]]}}},{"id":1644,"uris":["http://zotero.org/users/local/jz7T3Opo/items/WLAG2PU4"],"itemData":{"id":1644,"type":"article-journal","abstract":"This paper explores childhood social learning among Aka and Bofi hunter–gatherers in Central Africa. Existing literature suggests that hunter–gatherer social learning is primarily vertical (parent-to-child) and that teaching is rare. We use behavioural observations, open-ended and semi-structured interviews, and informal and anecdotal observations to examine the modes (e.g. vertical versus horizontal/oblique) and processes (e.g. teaching versus observation and imitation) of cultural transmission. Cultural and demographic contexts of social learning associated with the modes and processes of cultural transmission are described. Hunter–gatherer social learning occurred early, was relatively rapid, primarily vertical under age 5 and oblique and horizontal between the ages of 6 and 12. Pedagogy and other forms of teaching existed as early as 12 months of age, but were relatively infrequent by comparison to other processes of social learning such as observation and imitation.","container-title":"Philosophical Transactions of the Royal Society B: Biological Sciences","DOI":"10.1098/rstb.2010.0373","issue":"1567","note":"publisher: Royal Society","page":"1168-1178","source":"royalsocietypublishing.org (Atypon)","title":"Social learning among Congo Basin hunter–gatherers","volume":"366","author":[{"family":"Hewlett","given":"Barry S."},{"family":"Fouts","given":"Hillary N."},{"family":"Boyette","given":"Adam H."},{"family":"Hewlett","given":"Bonnie L."}],"issued":{"date-parts":[["2011",4,12]]}},"label":"page","suffix":"for overviews"}],"schema":"https://github.com/citation-style-language/schema/raw/master/csl-citation.json"} </w:instrText>
      </w:r>
      <w:r w:rsidRPr="009B1F4E">
        <w:rPr>
          <w:rFonts w:ascii="Garamond" w:hAnsi="Garamond" w:cs="Calibri"/>
          <w:color w:val="000000" w:themeColor="text1"/>
        </w:rPr>
        <w:fldChar w:fldCharType="separate"/>
      </w:r>
      <w:r w:rsidR="00892B11" w:rsidRPr="009B1F4E">
        <w:rPr>
          <w:rFonts w:ascii="Garamond" w:hAnsi="Garamond" w:cs="Calibri"/>
          <w:noProof/>
          <w:color w:val="000000" w:themeColor="text1"/>
        </w:rPr>
        <w:t>(see, e.g., Lew-Levy et al. 2020; 2017; Hewlett et al. 2011 for overviews)</w:t>
      </w:r>
      <w:r w:rsidRPr="009B1F4E">
        <w:rPr>
          <w:rFonts w:ascii="Garamond" w:hAnsi="Garamond" w:cs="Calibri"/>
          <w:color w:val="000000" w:themeColor="text1"/>
        </w:rPr>
        <w:fldChar w:fldCharType="end"/>
      </w:r>
      <w:r w:rsidR="00892B11" w:rsidRPr="009B1F4E">
        <w:rPr>
          <w:rFonts w:ascii="Garamond" w:hAnsi="Garamond" w:cs="Calibri"/>
          <w:color w:val="000000" w:themeColor="text1"/>
        </w:rPr>
        <w:t xml:space="preserve">. </w:t>
      </w:r>
      <w:r w:rsidR="00644719" w:rsidRPr="009B1F4E">
        <w:rPr>
          <w:rFonts w:ascii="Garamond" w:hAnsi="Garamond" w:cs="Calibri"/>
          <w:color w:val="000000" w:themeColor="text1"/>
        </w:rPr>
        <w:t xml:space="preserve">The general picture we find there is influenced by what’s </w:t>
      </w:r>
      <w:r w:rsidR="00644719" w:rsidRPr="009B1F4E">
        <w:rPr>
          <w:rFonts w:ascii="Garamond" w:hAnsi="Garamond"/>
          <w:color w:val="000000" w:themeColor="text1"/>
        </w:rPr>
        <w:t xml:space="preserve">sometimes called a multistage learning model </w:t>
      </w:r>
      <w:r w:rsidR="00644719" w:rsidRPr="009B1F4E">
        <w:rPr>
          <w:rFonts w:ascii="Garamond" w:hAnsi="Garamond"/>
          <w:color w:val="000000" w:themeColor="text1"/>
        </w:rPr>
        <w:fldChar w:fldCharType="begin"/>
      </w:r>
      <w:r w:rsidR="00644719" w:rsidRPr="009B1F4E">
        <w:rPr>
          <w:rFonts w:ascii="Garamond" w:hAnsi="Garamond"/>
          <w:color w:val="000000" w:themeColor="text1"/>
        </w:rPr>
        <w:instrText xml:space="preserve"> ADDIN ZOTERO_ITEM CSL_CITATION {"citationID":"9AuOUnPv","properties":{"formattedCitation":"(Reyes-Garc\\uc0\\u237{}a, Gallois, and Demps 2016)","plainCitation":"(Reyes-García, Gallois, and Demps 2016)","noteIndex":0},"citationItems":[{"id":1648,"uris":["http://zotero.org/users/local/jz7T3Opo/items/D33XH2EJ"],"itemData":{"id":1648,"type":"chapter","abstract":"Based on generational differences and social relations, researchers have hypothesized that the transmission of cultural knowledge occurs through at least three different, not mutually exclusive, paths: (1) parents (vertical), (2) age peers (horizontal), and (3) elders (oblique). Here we contribute to this body of research by presenting three case studies showing evidence of a multistage model of cultural learning in which vertical transmission in childhood loses preeminence toward horizontal and oblique models as subjects’ age. The first case study documents and analyzes Baka children's daily activities (southeast Cameroon) in an attempt to understand (1) how time investments might affect the acquisition of knowledge and (2) the importance of scaffolding on knowledge acquisition. Building on this idea, the second case study explores the transmission of knowledge through the life cycle, documenting the accumulation of knowledge required for collecting wild honey among children and adults from a Jenu Kuruba tribal community in South India. The last case study uses data from the Tsimane’ (Bolivian Amazon) to analyze the correspondence between levels of adult knowledge and the knowledge of (a) the same-sex parent, (b) age peers, and (c) parental cohort. Results from this study suggest that – at adulthood – cultural knowledge is most likely a mix of information gathered from a variety of sources. Overall, the three case studies give evidence to support the multistage learning model for cultural transmission but also emphasize the importance of social learning during childhood, a period during which individuals acquire the baseline knowledge that allow the latter development of complex skills through scaffolding and the integration of information from multiple models.","collection-title":"Replacement of Neanderthals by Modern Humans Series","container-title":"Social Learning and Innovation in Contemporary Hunter-Gatherers: Evolutionary and Ethnographic Perspectives","event-place":"Tokyo","ISBN":"978-4-431-55997-9","language":"en","note":"DOI: 10.1007/978-4-431-55997-9_4","page":"47-60","publisher":"Springer Japan","publisher-place":"Tokyo","source":"Springer Link","title":"A Multistage Learning Model for Cultural Transmission: Evidence from Three Indigenous Societies","title-short":"A Multistage Learning Model for Cultural Transmission","URL":"https://doi.org/10.1007/978-4-431-55997-9_4","author":[{"family":"Reyes-García","given":"Victoria"},{"family":"Gallois","given":"Sandrine"},{"family":"Demps","given":"Kathryn"}],"editor":[{"family":"Terashima","given":"Hideaki"},{"family":"Hewlett","given":"Barry S."}],"accessed":{"date-parts":[["2024",3,7]]},"issued":{"date-parts":[["2016"]]}}}],"schema":"https://github.com/citation-style-language/schema/raw/master/csl-citation.json"} </w:instrText>
      </w:r>
      <w:r w:rsidR="00644719" w:rsidRPr="009B1F4E">
        <w:rPr>
          <w:rFonts w:ascii="Garamond" w:hAnsi="Garamond"/>
          <w:color w:val="000000" w:themeColor="text1"/>
        </w:rPr>
        <w:fldChar w:fldCharType="separate"/>
      </w:r>
      <w:r w:rsidR="00644719" w:rsidRPr="009B1F4E">
        <w:rPr>
          <w:rFonts w:ascii="Garamond" w:hAnsi="Garamond"/>
          <w:color w:val="000000" w:themeColor="text1"/>
          <w:lang w:val="en-US"/>
        </w:rPr>
        <w:t>(Reyes-García, Gallois, and Demps 2016)</w:t>
      </w:r>
      <w:r w:rsidR="00644719" w:rsidRPr="009B1F4E">
        <w:rPr>
          <w:rFonts w:ascii="Garamond" w:hAnsi="Garamond"/>
          <w:color w:val="000000" w:themeColor="text1"/>
        </w:rPr>
        <w:fldChar w:fldCharType="end"/>
      </w:r>
      <w:r w:rsidR="00644719" w:rsidRPr="009B1F4E">
        <w:rPr>
          <w:rFonts w:ascii="Garamond" w:hAnsi="Garamond"/>
          <w:color w:val="000000" w:themeColor="text1"/>
        </w:rPr>
        <w:t xml:space="preserve">, where the form of cultural learning is specific to </w:t>
      </w:r>
      <w:r w:rsidR="00E55926" w:rsidRPr="009B1F4E">
        <w:rPr>
          <w:rFonts w:ascii="Garamond" w:hAnsi="Garamond"/>
          <w:color w:val="000000" w:themeColor="text1"/>
        </w:rPr>
        <w:t xml:space="preserve">the </w:t>
      </w:r>
      <w:r w:rsidR="00644719" w:rsidRPr="009B1F4E">
        <w:rPr>
          <w:rFonts w:ascii="Garamond" w:hAnsi="Garamond"/>
          <w:color w:val="000000" w:themeColor="text1"/>
        </w:rPr>
        <w:t xml:space="preserve">learner, model, and the skills to be acquired. </w:t>
      </w:r>
      <w:proofErr w:type="gramStart"/>
      <w:r w:rsidR="00644719" w:rsidRPr="009B1F4E">
        <w:rPr>
          <w:rFonts w:ascii="Garamond" w:hAnsi="Garamond"/>
          <w:color w:val="000000" w:themeColor="text1"/>
        </w:rPr>
        <w:t>In particular, how</w:t>
      </w:r>
      <w:proofErr w:type="gramEnd"/>
      <w:r w:rsidR="00644719" w:rsidRPr="009B1F4E">
        <w:rPr>
          <w:rFonts w:ascii="Garamond" w:hAnsi="Garamond"/>
          <w:color w:val="000000" w:themeColor="text1"/>
        </w:rPr>
        <w:t xml:space="preserve"> learners acquire skills depends heavily on their age and the complexity of the skills to be acquired.</w:t>
      </w:r>
    </w:p>
    <w:p w14:paraId="0E90DA64" w14:textId="1D9701A3" w:rsidR="00644719" w:rsidRPr="009B1F4E" w:rsidRDefault="004B77CA" w:rsidP="00F856D4">
      <w:pPr>
        <w:spacing w:line="360" w:lineRule="auto"/>
        <w:jc w:val="both"/>
        <w:rPr>
          <w:rFonts w:ascii="Garamond" w:hAnsi="Garamond"/>
          <w:color w:val="000000" w:themeColor="text1"/>
        </w:rPr>
      </w:pPr>
      <w:r>
        <w:rPr>
          <w:rFonts w:ascii="Garamond" w:hAnsi="Garamond"/>
          <w:color w:val="000000" w:themeColor="text1"/>
        </w:rPr>
        <w:lastRenderedPageBreak/>
        <w:t>The ethnographic literature seems to support this model: C</w:t>
      </w:r>
      <w:r w:rsidR="00644719" w:rsidRPr="009B1F4E">
        <w:rPr>
          <w:rFonts w:ascii="Garamond" w:hAnsi="Garamond"/>
          <w:color w:val="000000" w:themeColor="text1"/>
        </w:rPr>
        <w:t xml:space="preserve">hildren are sometimes taught by others </w:t>
      </w:r>
      <w:r w:rsidR="00E55926" w:rsidRPr="009B1F4E">
        <w:rPr>
          <w:rFonts w:ascii="Garamond" w:hAnsi="Garamond"/>
          <w:color w:val="000000" w:themeColor="text1"/>
        </w:rPr>
        <w:t>who are of a similar</w:t>
      </w:r>
      <w:r w:rsidR="00644719" w:rsidRPr="009B1F4E">
        <w:rPr>
          <w:rFonts w:ascii="Garamond" w:hAnsi="Garamond"/>
          <w:color w:val="000000" w:themeColor="text1"/>
        </w:rPr>
        <w:t xml:space="preserve"> but slightly older age group. The thought here is that </w:t>
      </w:r>
      <w:r w:rsidR="00E55926" w:rsidRPr="009B1F4E">
        <w:rPr>
          <w:rFonts w:ascii="Garamond" w:hAnsi="Garamond"/>
          <w:color w:val="000000" w:themeColor="text1"/>
        </w:rPr>
        <w:t>similarly aged children</w:t>
      </w:r>
      <w:r w:rsidR="00644719" w:rsidRPr="009B1F4E">
        <w:rPr>
          <w:rFonts w:ascii="Garamond" w:hAnsi="Garamond"/>
          <w:color w:val="000000" w:themeColor="text1"/>
        </w:rPr>
        <w:t xml:space="preserve"> will be better able to estimate the </w:t>
      </w:r>
      <w:r w:rsidR="004F4468" w:rsidRPr="009B1F4E">
        <w:rPr>
          <w:rFonts w:ascii="Garamond" w:hAnsi="Garamond"/>
          <w:color w:val="000000" w:themeColor="text1"/>
        </w:rPr>
        <w:t>learners’</w:t>
      </w:r>
      <w:r w:rsidR="00644719" w:rsidRPr="009B1F4E">
        <w:rPr>
          <w:rFonts w:ascii="Garamond" w:hAnsi="Garamond"/>
          <w:color w:val="000000" w:themeColor="text1"/>
        </w:rPr>
        <w:t xml:space="preserve"> capabilities and teach them accordingly. Learning </w:t>
      </w:r>
      <w:r>
        <w:rPr>
          <w:rFonts w:ascii="Garamond" w:hAnsi="Garamond"/>
          <w:color w:val="000000" w:themeColor="text1"/>
        </w:rPr>
        <w:t xml:space="preserve">amongst children </w:t>
      </w:r>
      <w:r w:rsidR="00644719" w:rsidRPr="009B1F4E">
        <w:rPr>
          <w:rFonts w:ascii="Garamond" w:hAnsi="Garamond"/>
          <w:color w:val="000000" w:themeColor="text1"/>
        </w:rPr>
        <w:t xml:space="preserve">is also often collaborative, </w:t>
      </w:r>
      <w:r>
        <w:rPr>
          <w:rFonts w:ascii="Garamond" w:hAnsi="Garamond"/>
          <w:color w:val="000000" w:themeColor="text1"/>
        </w:rPr>
        <w:t>and often takes place</w:t>
      </w:r>
      <w:r w:rsidR="00644719" w:rsidRPr="009B1F4E">
        <w:rPr>
          <w:rFonts w:ascii="Garamond" w:hAnsi="Garamond"/>
          <w:color w:val="000000" w:themeColor="text1"/>
        </w:rPr>
        <w:t xml:space="preserve"> </w:t>
      </w:r>
      <w:r w:rsidR="00E55926" w:rsidRPr="009B1F4E">
        <w:rPr>
          <w:rFonts w:ascii="Garamond" w:hAnsi="Garamond"/>
          <w:color w:val="000000" w:themeColor="text1"/>
        </w:rPr>
        <w:t>playgroups</w:t>
      </w:r>
      <w:r>
        <w:rPr>
          <w:rFonts w:ascii="Garamond" w:hAnsi="Garamond"/>
          <w:color w:val="000000" w:themeColor="text1"/>
        </w:rPr>
        <w:t>. More generally, w</w:t>
      </w:r>
      <w:r w:rsidR="00644719" w:rsidRPr="009B1F4E">
        <w:rPr>
          <w:rFonts w:ascii="Garamond" w:hAnsi="Garamond"/>
          <w:color w:val="000000" w:themeColor="text1"/>
        </w:rPr>
        <w:t>e see a lot of unsupervised and explorative learning centred around play and autonomous exploration.</w:t>
      </w:r>
      <w:r>
        <w:rPr>
          <w:rFonts w:ascii="Garamond" w:hAnsi="Garamond"/>
          <w:color w:val="000000" w:themeColor="text1"/>
        </w:rPr>
        <w:t xml:space="preserve"> Adults</w:t>
      </w:r>
      <w:r w:rsidR="00E55926" w:rsidRPr="009B1F4E">
        <w:rPr>
          <w:rFonts w:ascii="Garamond" w:hAnsi="Garamond"/>
          <w:color w:val="000000" w:themeColor="text1"/>
        </w:rPr>
        <w:t xml:space="preserve"> provide material support</w:t>
      </w:r>
      <w:r w:rsidR="00644719" w:rsidRPr="009B1F4E">
        <w:rPr>
          <w:rFonts w:ascii="Garamond" w:hAnsi="Garamond"/>
          <w:color w:val="000000" w:themeColor="text1"/>
        </w:rPr>
        <w:t xml:space="preserve"> in the form of toys or simply from the output that </w:t>
      </w:r>
      <w:r>
        <w:rPr>
          <w:rFonts w:ascii="Garamond" w:hAnsi="Garamond"/>
          <w:color w:val="000000" w:themeColor="text1"/>
        </w:rPr>
        <w:t>they</w:t>
      </w:r>
      <w:r w:rsidR="00644719" w:rsidRPr="009B1F4E">
        <w:rPr>
          <w:rFonts w:ascii="Garamond" w:hAnsi="Garamond"/>
          <w:color w:val="000000" w:themeColor="text1"/>
        </w:rPr>
        <w:t xml:space="preserve"> generate</w:t>
      </w:r>
      <w:r>
        <w:rPr>
          <w:rFonts w:ascii="Garamond" w:hAnsi="Garamond"/>
          <w:color w:val="000000" w:themeColor="text1"/>
        </w:rPr>
        <w:t xml:space="preserve"> via their day-to-day </w:t>
      </w:r>
      <w:r w:rsidR="0020264E">
        <w:rPr>
          <w:rFonts w:ascii="Garamond" w:hAnsi="Garamond"/>
          <w:color w:val="000000" w:themeColor="text1"/>
        </w:rPr>
        <w:t>activities</w:t>
      </w:r>
      <w:r w:rsidR="00644719" w:rsidRPr="009B1F4E">
        <w:rPr>
          <w:rFonts w:ascii="Garamond" w:hAnsi="Garamond"/>
          <w:color w:val="000000" w:themeColor="text1"/>
        </w:rPr>
        <w:t>, as children often accompany adults and “participate” in their tasks. Children thus often learn via observation, imitation, play, and trial-and-error. The complexity of the acquired skills increases with age and capabilities. For example, big game hunting and complex material culture are explicitly taught once learners reach adolescence</w:t>
      </w:r>
      <w:r w:rsidR="00F12580" w:rsidRPr="009B1F4E">
        <w:rPr>
          <w:rFonts w:ascii="Garamond" w:hAnsi="Garamond"/>
          <w:color w:val="000000" w:themeColor="text1"/>
        </w:rPr>
        <w:t xml:space="preserve">, and </w:t>
      </w:r>
      <w:r w:rsidR="00644719" w:rsidRPr="009B1F4E">
        <w:rPr>
          <w:rFonts w:ascii="Garamond" w:hAnsi="Garamond"/>
          <w:color w:val="000000" w:themeColor="text1"/>
        </w:rPr>
        <w:t xml:space="preserve">these skills are perfected </w:t>
      </w:r>
      <w:r w:rsidR="00F12580" w:rsidRPr="009B1F4E">
        <w:rPr>
          <w:rFonts w:ascii="Garamond" w:hAnsi="Garamond"/>
          <w:color w:val="000000" w:themeColor="text1"/>
        </w:rPr>
        <w:t>only in</w:t>
      </w:r>
      <w:r w:rsidR="00644719" w:rsidRPr="009B1F4E">
        <w:rPr>
          <w:rFonts w:ascii="Garamond" w:hAnsi="Garamond"/>
          <w:color w:val="000000" w:themeColor="text1"/>
        </w:rPr>
        <w:t xml:space="preserve"> adulthood. Innovation</w:t>
      </w:r>
      <w:r w:rsidR="004F4468" w:rsidRPr="009B1F4E">
        <w:rPr>
          <w:rFonts w:ascii="Garamond" w:hAnsi="Garamond"/>
          <w:color w:val="000000" w:themeColor="text1"/>
        </w:rPr>
        <w:t xml:space="preserve"> then</w:t>
      </w:r>
      <w:r w:rsidR="00644719" w:rsidRPr="009B1F4E">
        <w:rPr>
          <w:rFonts w:ascii="Garamond" w:hAnsi="Garamond"/>
          <w:color w:val="000000" w:themeColor="text1"/>
        </w:rPr>
        <w:t xml:space="preserve"> </w:t>
      </w:r>
      <w:r w:rsidR="00F12580" w:rsidRPr="009B1F4E">
        <w:rPr>
          <w:rFonts w:ascii="Garamond" w:hAnsi="Garamond"/>
          <w:color w:val="000000" w:themeColor="text1"/>
        </w:rPr>
        <w:t xml:space="preserve">also </w:t>
      </w:r>
      <w:r w:rsidR="00644719" w:rsidRPr="009B1F4E">
        <w:rPr>
          <w:rFonts w:ascii="Garamond" w:hAnsi="Garamond"/>
          <w:color w:val="000000" w:themeColor="text1"/>
        </w:rPr>
        <w:t>mostly starts in adulthood.</w:t>
      </w:r>
    </w:p>
    <w:p w14:paraId="54CF094E" w14:textId="3C0A006E" w:rsidR="004F4468" w:rsidRPr="009B1F4E" w:rsidRDefault="004F4468" w:rsidP="00F856D4">
      <w:pPr>
        <w:spacing w:line="360" w:lineRule="auto"/>
        <w:jc w:val="both"/>
        <w:rPr>
          <w:rFonts w:ascii="Garamond" w:hAnsi="Garamond"/>
          <w:color w:val="000000" w:themeColor="text1"/>
        </w:rPr>
      </w:pPr>
      <w:r w:rsidRPr="009B1F4E">
        <w:rPr>
          <w:rFonts w:ascii="Garamond" w:hAnsi="Garamond"/>
          <w:color w:val="000000" w:themeColor="text1"/>
        </w:rPr>
        <w:t xml:space="preserve">Now, whilst the thought that social groups would need to coordinate on the form of cultural learning might seem more plausible for the more involved kinds of </w:t>
      </w:r>
      <w:proofErr w:type="gramStart"/>
      <w:r w:rsidRPr="009B1F4E">
        <w:rPr>
          <w:rFonts w:ascii="Garamond" w:hAnsi="Garamond"/>
          <w:color w:val="000000" w:themeColor="text1"/>
        </w:rPr>
        <w:t>teaching</w:t>
      </w:r>
      <w:proofErr w:type="gramEnd"/>
      <w:r w:rsidRPr="009B1F4E">
        <w:rPr>
          <w:rFonts w:ascii="Garamond" w:hAnsi="Garamond"/>
          <w:color w:val="000000" w:themeColor="text1"/>
        </w:rPr>
        <w:t xml:space="preserve"> we see in adolescence and into adulthood, one might be sceptical that there’s much of a need for them with children. After all, children are said to mostly learn via observation, play, trial-and-error, and imitation. </w:t>
      </w:r>
      <w:r w:rsidR="00033BD3" w:rsidRPr="009B1F4E">
        <w:rPr>
          <w:rFonts w:ascii="Garamond" w:hAnsi="Garamond"/>
          <w:color w:val="000000" w:themeColor="text1"/>
        </w:rPr>
        <w:t xml:space="preserve">Additionally, there seem to be cues </w:t>
      </w:r>
      <w:r w:rsidR="003571FD" w:rsidRPr="009B1F4E">
        <w:rPr>
          <w:rFonts w:ascii="Garamond" w:hAnsi="Garamond"/>
          <w:color w:val="000000" w:themeColor="text1"/>
        </w:rPr>
        <w:t>regarding both content and form</w:t>
      </w:r>
      <w:r w:rsidR="00E55926" w:rsidRPr="009B1F4E">
        <w:rPr>
          <w:rFonts w:ascii="Garamond" w:hAnsi="Garamond"/>
          <w:color w:val="000000" w:themeColor="text1"/>
        </w:rPr>
        <w:t>:</w:t>
      </w:r>
      <w:r w:rsidR="003571FD" w:rsidRPr="009B1F4E">
        <w:rPr>
          <w:rFonts w:ascii="Garamond" w:hAnsi="Garamond"/>
          <w:color w:val="000000" w:themeColor="text1"/>
        </w:rPr>
        <w:t xml:space="preserve"> </w:t>
      </w:r>
      <w:r w:rsidR="00E55926" w:rsidRPr="009B1F4E">
        <w:rPr>
          <w:rFonts w:ascii="Garamond" w:hAnsi="Garamond"/>
          <w:color w:val="000000" w:themeColor="text1"/>
        </w:rPr>
        <w:t>C</w:t>
      </w:r>
      <w:r w:rsidR="003571FD" w:rsidRPr="009B1F4E">
        <w:rPr>
          <w:rFonts w:ascii="Garamond" w:hAnsi="Garamond"/>
          <w:color w:val="000000" w:themeColor="text1"/>
        </w:rPr>
        <w:t xml:space="preserve">ues </w:t>
      </w:r>
      <w:r w:rsidR="00033BD3" w:rsidRPr="009B1F4E">
        <w:rPr>
          <w:rFonts w:ascii="Garamond" w:hAnsi="Garamond"/>
          <w:color w:val="000000" w:themeColor="text1"/>
        </w:rPr>
        <w:t>to what learners are supposed to learn, e.g., what adults spend time on and</w:t>
      </w:r>
      <w:r w:rsidR="003571FD" w:rsidRPr="009B1F4E">
        <w:rPr>
          <w:rFonts w:ascii="Garamond" w:hAnsi="Garamond"/>
          <w:color w:val="000000" w:themeColor="text1"/>
        </w:rPr>
        <w:t xml:space="preserve"> </w:t>
      </w:r>
      <w:r w:rsidR="00033BD3" w:rsidRPr="009B1F4E">
        <w:rPr>
          <w:rFonts w:ascii="Garamond" w:hAnsi="Garamond"/>
          <w:color w:val="000000" w:themeColor="text1"/>
        </w:rPr>
        <w:t xml:space="preserve">from whom they should learn, e.g., those that make tools without failures. </w:t>
      </w:r>
      <w:r w:rsidR="003571FD" w:rsidRPr="009B1F4E">
        <w:rPr>
          <w:rFonts w:ascii="Garamond" w:hAnsi="Garamond"/>
          <w:color w:val="000000" w:themeColor="text1"/>
        </w:rPr>
        <w:t>C</w:t>
      </w:r>
      <w:r w:rsidR="00033BD3" w:rsidRPr="009B1F4E">
        <w:rPr>
          <w:rFonts w:ascii="Garamond" w:hAnsi="Garamond"/>
          <w:color w:val="000000" w:themeColor="text1"/>
        </w:rPr>
        <w:t xml:space="preserve">hildren’s learning environments will </w:t>
      </w:r>
      <w:r w:rsidR="003571FD" w:rsidRPr="009B1F4E">
        <w:rPr>
          <w:rFonts w:ascii="Garamond" w:hAnsi="Garamond"/>
          <w:color w:val="000000" w:themeColor="text1"/>
        </w:rPr>
        <w:t xml:space="preserve">also </w:t>
      </w:r>
      <w:r w:rsidR="00033BD3" w:rsidRPr="009B1F4E">
        <w:rPr>
          <w:rFonts w:ascii="Garamond" w:hAnsi="Garamond"/>
          <w:color w:val="000000" w:themeColor="text1"/>
        </w:rPr>
        <w:t>be structured in ways conducive to acquiring knowledge via these mechanisms</w:t>
      </w:r>
      <w:r w:rsidR="00E55926" w:rsidRPr="009B1F4E">
        <w:rPr>
          <w:rFonts w:ascii="Garamond" w:hAnsi="Garamond"/>
          <w:color w:val="000000" w:themeColor="text1"/>
        </w:rPr>
        <w:t xml:space="preserve">, as </w:t>
      </w:r>
      <w:proofErr w:type="spellStart"/>
      <w:r w:rsidR="00E55926" w:rsidRPr="009B1F4E">
        <w:rPr>
          <w:rFonts w:ascii="Garamond" w:hAnsi="Garamond"/>
          <w:color w:val="000000" w:themeColor="text1"/>
        </w:rPr>
        <w:t>they’re</w:t>
      </w:r>
      <w:proofErr w:type="spellEnd"/>
      <w:r w:rsidR="00E55926" w:rsidRPr="009B1F4E">
        <w:rPr>
          <w:rFonts w:ascii="Garamond" w:hAnsi="Garamond"/>
          <w:color w:val="000000" w:themeColor="text1"/>
        </w:rPr>
        <w:t>, e.g., saturated with the outcomes of others’ activities.</w:t>
      </w:r>
      <w:r w:rsidR="00F12580" w:rsidRPr="009B1F4E">
        <w:rPr>
          <w:rFonts w:ascii="Garamond" w:hAnsi="Garamond"/>
          <w:color w:val="000000" w:themeColor="text1"/>
        </w:rPr>
        <w:t xml:space="preserve"> This seems particularly important as </w:t>
      </w:r>
      <w:r w:rsidR="00F12580" w:rsidRPr="009B1F4E">
        <w:rPr>
          <w:rFonts w:ascii="Garamond" w:hAnsi="Garamond"/>
          <w:i/>
          <w:iCs/>
          <w:color w:val="000000" w:themeColor="text1"/>
        </w:rPr>
        <w:t>some</w:t>
      </w:r>
      <w:r w:rsidR="00E02CC4" w:rsidRPr="009B1F4E">
        <w:rPr>
          <w:rStyle w:val="Funotenzeichen"/>
          <w:rFonts w:ascii="Garamond" w:hAnsi="Garamond"/>
          <w:i/>
          <w:iCs/>
          <w:color w:val="000000" w:themeColor="text1"/>
        </w:rPr>
        <w:footnoteReference w:id="15"/>
      </w:r>
      <w:r w:rsidR="00F12580" w:rsidRPr="009B1F4E">
        <w:rPr>
          <w:rFonts w:ascii="Garamond" w:hAnsi="Garamond"/>
          <w:color w:val="000000" w:themeColor="text1"/>
        </w:rPr>
        <w:t xml:space="preserve"> early and relatively simple instances of cumulative culture might have been transmitted precisely in such ways.</w:t>
      </w:r>
      <w:r w:rsidR="00A334FC">
        <w:rPr>
          <w:rFonts w:ascii="Garamond" w:hAnsi="Garamond"/>
          <w:color w:val="000000" w:themeColor="text1"/>
        </w:rPr>
        <w:t xml:space="preserve"> </w:t>
      </w:r>
      <w:r w:rsidR="00A334FC" w:rsidRPr="009B1F4E">
        <w:rPr>
          <w:rFonts w:ascii="Garamond" w:hAnsi="Garamond"/>
          <w:color w:val="000000" w:themeColor="text1"/>
        </w:rPr>
        <w:t>So, where do epistemic coordination-norms come in here?</w:t>
      </w:r>
      <w:r w:rsidR="00A334FC">
        <w:rPr>
          <w:rFonts w:ascii="Garamond" w:hAnsi="Garamond"/>
          <w:color w:val="000000" w:themeColor="text1"/>
        </w:rPr>
        <w:t xml:space="preserve"> </w:t>
      </w:r>
      <w:r w:rsidR="00033BD3" w:rsidRPr="009B1F4E">
        <w:rPr>
          <w:rStyle w:val="Funotenzeichen"/>
          <w:rFonts w:ascii="Garamond" w:hAnsi="Garamond"/>
          <w:color w:val="000000" w:themeColor="text1"/>
        </w:rPr>
        <w:footnoteReference w:id="16"/>
      </w:r>
      <w:r w:rsidR="00DB2CCA" w:rsidRPr="009B1F4E">
        <w:rPr>
          <w:rFonts w:ascii="Garamond" w:hAnsi="Garamond"/>
          <w:color w:val="000000" w:themeColor="text1"/>
        </w:rPr>
        <w:t xml:space="preserve"> </w:t>
      </w:r>
    </w:p>
    <w:p w14:paraId="1477F3C5" w14:textId="77777777" w:rsidR="00A334FC" w:rsidRDefault="004A1153" w:rsidP="00F856D4">
      <w:pPr>
        <w:spacing w:line="360" w:lineRule="auto"/>
        <w:jc w:val="both"/>
        <w:rPr>
          <w:rFonts w:ascii="Garamond" w:hAnsi="Garamond"/>
          <w:color w:val="000000" w:themeColor="text1"/>
        </w:rPr>
      </w:pPr>
      <w:r w:rsidRPr="009B1F4E">
        <w:rPr>
          <w:rFonts w:ascii="Garamond" w:hAnsi="Garamond"/>
          <w:color w:val="000000" w:themeColor="text1"/>
        </w:rPr>
        <w:t>Let me first acknowledge that i</w:t>
      </w:r>
      <w:r w:rsidR="00FD7146" w:rsidRPr="009B1F4E">
        <w:rPr>
          <w:rFonts w:ascii="Garamond" w:hAnsi="Garamond"/>
          <w:color w:val="000000" w:themeColor="text1"/>
        </w:rPr>
        <w:t>t does strike me that this kind of outlook gets something right: There seem to be specific learning episodes, e.g., when a child learns via observing what their parents are doing, where the need for social norms isn’t obvious.</w:t>
      </w:r>
      <w:r w:rsidR="000932DD" w:rsidRPr="009B1F4E">
        <w:rPr>
          <w:rFonts w:ascii="Garamond" w:hAnsi="Garamond"/>
          <w:color w:val="000000" w:themeColor="text1"/>
        </w:rPr>
        <w:t xml:space="preserve"> Here</w:t>
      </w:r>
      <w:r w:rsidR="00084766" w:rsidRPr="009B1F4E">
        <w:rPr>
          <w:rFonts w:ascii="Garamond" w:hAnsi="Garamond"/>
          <w:color w:val="000000" w:themeColor="text1"/>
        </w:rPr>
        <w:t>, it simply seems that the child acquires the trait via observation learning and not through</w:t>
      </w:r>
      <w:r w:rsidR="000932DD" w:rsidRPr="009B1F4E">
        <w:rPr>
          <w:rFonts w:ascii="Garamond" w:hAnsi="Garamond"/>
          <w:color w:val="000000" w:themeColor="text1"/>
        </w:rPr>
        <w:t xml:space="preserve"> a norm-based mechanism.</w:t>
      </w:r>
      <w:r w:rsidR="00FD7146" w:rsidRPr="009B1F4E">
        <w:rPr>
          <w:rFonts w:ascii="Garamond" w:hAnsi="Garamond"/>
          <w:color w:val="000000" w:themeColor="text1"/>
        </w:rPr>
        <w:t xml:space="preserve"> </w:t>
      </w:r>
    </w:p>
    <w:p w14:paraId="6473A1AE" w14:textId="0A8D15F1" w:rsidR="00DB2CCA" w:rsidRPr="009B1F4E" w:rsidRDefault="00BC7711" w:rsidP="00F856D4">
      <w:pPr>
        <w:spacing w:line="360" w:lineRule="auto"/>
        <w:jc w:val="both"/>
        <w:rPr>
          <w:rFonts w:ascii="Garamond" w:hAnsi="Garamond"/>
          <w:color w:val="000000" w:themeColor="text1"/>
        </w:rPr>
      </w:pPr>
      <w:r w:rsidRPr="009B1F4E">
        <w:rPr>
          <w:rFonts w:ascii="Garamond" w:hAnsi="Garamond"/>
          <w:color w:val="000000" w:themeColor="text1"/>
        </w:rPr>
        <w:t xml:space="preserve">Overall, </w:t>
      </w:r>
      <w:r w:rsidR="00FD7146" w:rsidRPr="009B1F4E">
        <w:rPr>
          <w:rFonts w:ascii="Garamond" w:hAnsi="Garamond"/>
          <w:color w:val="000000" w:themeColor="text1"/>
        </w:rPr>
        <w:t>I take it that this isn’t problematic for my view, as I’m not arguing that social norms played a role in each episode of cultural learning</w:t>
      </w:r>
      <w:r w:rsidR="00CC1EBA" w:rsidRPr="009B1F4E">
        <w:rPr>
          <w:rFonts w:ascii="Garamond" w:hAnsi="Garamond"/>
          <w:color w:val="000000" w:themeColor="text1"/>
        </w:rPr>
        <w:t xml:space="preserve"> or that every learning strategy is norm-based (although I do take it that some central ones are). What I’m rather arguing is that epistemic coordination-norms more generally regulated cultural learning’s content and form. </w:t>
      </w:r>
      <w:r w:rsidR="000839F6" w:rsidRPr="009B1F4E">
        <w:rPr>
          <w:rFonts w:ascii="Garamond" w:hAnsi="Garamond"/>
          <w:color w:val="000000" w:themeColor="text1"/>
        </w:rPr>
        <w:t xml:space="preserve">In other words, </w:t>
      </w:r>
      <w:r w:rsidR="004A1153" w:rsidRPr="009B1F4E">
        <w:rPr>
          <w:rFonts w:ascii="Garamond" w:hAnsi="Garamond"/>
          <w:color w:val="000000" w:themeColor="text1"/>
        </w:rPr>
        <w:t xml:space="preserve">I think the </w:t>
      </w:r>
      <w:r w:rsidR="00FD7146" w:rsidRPr="009B1F4E">
        <w:rPr>
          <w:rFonts w:ascii="Garamond" w:hAnsi="Garamond"/>
          <w:color w:val="000000" w:themeColor="text1"/>
        </w:rPr>
        <w:t>focus on specific episodes of cultural learning</w:t>
      </w:r>
      <w:r w:rsidR="00181D34">
        <w:rPr>
          <w:rFonts w:ascii="Garamond" w:hAnsi="Garamond"/>
          <w:color w:val="000000" w:themeColor="text1"/>
        </w:rPr>
        <w:t xml:space="preserve"> and the mechanisms and strategies we find there can obscure </w:t>
      </w:r>
      <w:r w:rsidR="00181D34">
        <w:rPr>
          <w:rFonts w:ascii="Garamond" w:hAnsi="Garamond"/>
          <w:color w:val="000000" w:themeColor="text1"/>
        </w:rPr>
        <w:lastRenderedPageBreak/>
        <w:t>the bigger picture, i.e. that cultural learning is a group-wide social practice</w:t>
      </w:r>
      <w:r w:rsidR="00FD7146" w:rsidRPr="009B1F4E">
        <w:rPr>
          <w:rFonts w:ascii="Garamond" w:hAnsi="Garamond"/>
          <w:color w:val="000000" w:themeColor="text1"/>
        </w:rPr>
        <w:t xml:space="preserve"> upheld by the coordinated behaviour of several agents. And as such, it’s regulated by epistemic coordination</w:t>
      </w:r>
      <w:r w:rsidR="00A334FC">
        <w:rPr>
          <w:rFonts w:ascii="Garamond" w:hAnsi="Garamond"/>
          <w:color w:val="000000" w:themeColor="text1"/>
        </w:rPr>
        <w:t>-</w:t>
      </w:r>
      <w:r w:rsidR="00FD7146" w:rsidRPr="009B1F4E">
        <w:rPr>
          <w:rFonts w:ascii="Garamond" w:hAnsi="Garamond"/>
          <w:color w:val="000000" w:themeColor="text1"/>
        </w:rPr>
        <w:t>norms.</w:t>
      </w:r>
    </w:p>
    <w:p w14:paraId="22C4A6FE" w14:textId="5F856F81" w:rsidR="00E02CC4" w:rsidRPr="009B1F4E" w:rsidRDefault="00FD7146" w:rsidP="00F856D4">
      <w:pPr>
        <w:spacing w:line="360" w:lineRule="auto"/>
        <w:jc w:val="both"/>
        <w:rPr>
          <w:rFonts w:ascii="Garamond" w:hAnsi="Garamond"/>
          <w:color w:val="000000" w:themeColor="text1"/>
        </w:rPr>
      </w:pPr>
      <w:r w:rsidRPr="009B1F4E">
        <w:rPr>
          <w:rFonts w:ascii="Garamond" w:hAnsi="Garamond"/>
          <w:color w:val="000000" w:themeColor="text1"/>
        </w:rPr>
        <w:t xml:space="preserve">To bring this out, let’s change our focus away from single episodes of cultural learning and focus on the more general patterns I described above: </w:t>
      </w:r>
      <w:r w:rsidR="00084766" w:rsidRPr="009B1F4E">
        <w:rPr>
          <w:rFonts w:ascii="Garamond" w:hAnsi="Garamond"/>
          <w:color w:val="000000" w:themeColor="text1"/>
        </w:rPr>
        <w:t>C</w:t>
      </w:r>
      <w:r w:rsidRPr="009B1F4E">
        <w:rPr>
          <w:rFonts w:ascii="Garamond" w:hAnsi="Garamond"/>
          <w:color w:val="000000" w:themeColor="text1"/>
        </w:rPr>
        <w:t>ultural learning is specific to learner</w:t>
      </w:r>
      <w:r w:rsidR="00D04AD2" w:rsidRPr="009B1F4E">
        <w:rPr>
          <w:rFonts w:ascii="Garamond" w:hAnsi="Garamond"/>
          <w:color w:val="000000" w:themeColor="text1"/>
        </w:rPr>
        <w:t>s</w:t>
      </w:r>
      <w:r w:rsidRPr="009B1F4E">
        <w:rPr>
          <w:rFonts w:ascii="Garamond" w:hAnsi="Garamond"/>
          <w:color w:val="000000" w:themeColor="text1"/>
        </w:rPr>
        <w:t>, models, skills to be acquired, and many other contingent and contextual factors. There are group-wide patterns in the form of cultural learning</w:t>
      </w:r>
      <w:r w:rsidR="00084766" w:rsidRPr="009B1F4E">
        <w:rPr>
          <w:rFonts w:ascii="Garamond" w:hAnsi="Garamond"/>
          <w:color w:val="000000" w:themeColor="text1"/>
        </w:rPr>
        <w:t>. For example, children are often encouraged to learn individually and collaboratively in learning environments structured by adults’ activities in hunter-gatherer populations, whilst elsewhere</w:t>
      </w:r>
      <w:r w:rsidR="00181D34">
        <w:rPr>
          <w:rFonts w:ascii="Garamond" w:hAnsi="Garamond"/>
          <w:color w:val="000000" w:themeColor="text1"/>
        </w:rPr>
        <w:t>,</w:t>
      </w:r>
      <w:r w:rsidRPr="009B1F4E">
        <w:rPr>
          <w:rFonts w:ascii="Garamond" w:hAnsi="Garamond"/>
          <w:color w:val="000000" w:themeColor="text1"/>
        </w:rPr>
        <w:t xml:space="preserve"> children are sent to public schools that have clearly specified curricula. </w:t>
      </w:r>
      <w:r w:rsidR="00181D34">
        <w:rPr>
          <w:rFonts w:ascii="Garamond" w:hAnsi="Garamond"/>
          <w:color w:val="000000" w:themeColor="text1"/>
        </w:rPr>
        <w:t>R</w:t>
      </w:r>
      <w:r w:rsidR="004E7804" w:rsidRPr="009B1F4E">
        <w:rPr>
          <w:rFonts w:ascii="Garamond" w:hAnsi="Garamond"/>
          <w:color w:val="000000" w:themeColor="text1"/>
        </w:rPr>
        <w:t xml:space="preserve">egarding content, </w:t>
      </w:r>
      <w:r w:rsidR="00084766" w:rsidRPr="009B1F4E">
        <w:rPr>
          <w:rFonts w:ascii="Garamond" w:hAnsi="Garamond"/>
          <w:color w:val="000000" w:themeColor="text1"/>
        </w:rPr>
        <w:t>we find certain kinds of cultural traits and techniques being passed on</w:t>
      </w:r>
      <w:r w:rsidR="004E7804" w:rsidRPr="009B1F4E">
        <w:rPr>
          <w:rFonts w:ascii="Garamond" w:hAnsi="Garamond"/>
          <w:color w:val="000000" w:themeColor="text1"/>
        </w:rPr>
        <w:t xml:space="preserve"> and others elsewhere. </w:t>
      </w:r>
      <w:r w:rsidRPr="009B1F4E">
        <w:rPr>
          <w:rFonts w:ascii="Garamond" w:hAnsi="Garamond"/>
          <w:color w:val="000000" w:themeColor="text1"/>
        </w:rPr>
        <w:t>These patterns are sensitive to these contextual factors, are often specific to the respective social groups and change over time. For example, in hunter-gatherer populations, children will sometimes be explicitly taught by other children, depending on the skill to be acquired, or they’ll be taught by adults for other skills</w:t>
      </w:r>
      <w:r w:rsidR="00096FC0" w:rsidRPr="009B1F4E">
        <w:rPr>
          <w:rFonts w:ascii="Garamond" w:hAnsi="Garamond"/>
          <w:color w:val="000000" w:themeColor="text1"/>
        </w:rPr>
        <w:t>, perhaps only when they reach a certain age, are especially talented, or if adults aren’t busy otherwise</w:t>
      </w:r>
      <w:r w:rsidR="00E13D7D" w:rsidRPr="009B1F4E">
        <w:rPr>
          <w:rFonts w:ascii="Garamond" w:hAnsi="Garamond"/>
          <w:color w:val="000000" w:themeColor="text1"/>
        </w:rPr>
        <w:t xml:space="preserve"> — say because they’re in a season of economic surplus</w:t>
      </w:r>
      <w:r w:rsidRPr="009B1F4E">
        <w:rPr>
          <w:rFonts w:ascii="Garamond" w:hAnsi="Garamond"/>
          <w:color w:val="000000" w:themeColor="text1"/>
        </w:rPr>
        <w:t>. Relatedly, school curricula and</w:t>
      </w:r>
      <w:r w:rsidR="00084766" w:rsidRPr="009B1F4E">
        <w:rPr>
          <w:rFonts w:ascii="Garamond" w:hAnsi="Garamond"/>
          <w:color w:val="000000" w:themeColor="text1"/>
        </w:rPr>
        <w:t>, more generally, how public schools are structured change</w:t>
      </w:r>
      <w:r w:rsidRPr="009B1F4E">
        <w:rPr>
          <w:rFonts w:ascii="Garamond" w:hAnsi="Garamond"/>
          <w:color w:val="000000" w:themeColor="text1"/>
        </w:rPr>
        <w:t xml:space="preserve"> depending on similar contextual and often group-specific factors.</w:t>
      </w:r>
    </w:p>
    <w:p w14:paraId="09F6B723" w14:textId="77777777" w:rsidR="00A334FC" w:rsidRDefault="00096FC0" w:rsidP="00B5219F">
      <w:pPr>
        <w:spacing w:line="360" w:lineRule="auto"/>
        <w:jc w:val="both"/>
        <w:rPr>
          <w:rFonts w:ascii="Garamond" w:hAnsi="Garamond"/>
          <w:color w:val="000000" w:themeColor="text1"/>
        </w:rPr>
      </w:pPr>
      <w:r w:rsidRPr="009B1F4E">
        <w:rPr>
          <w:rFonts w:ascii="Garamond" w:hAnsi="Garamond"/>
          <w:color w:val="000000" w:themeColor="text1"/>
        </w:rPr>
        <w:t>My suggestion here is that these patterns in the form</w:t>
      </w:r>
      <w:r w:rsidR="006F0A49" w:rsidRPr="009B1F4E">
        <w:rPr>
          <w:rStyle w:val="Funotenzeichen"/>
          <w:rFonts w:ascii="Garamond" w:hAnsi="Garamond"/>
          <w:color w:val="000000" w:themeColor="text1"/>
        </w:rPr>
        <w:footnoteReference w:id="17"/>
      </w:r>
      <w:r w:rsidRPr="009B1F4E">
        <w:rPr>
          <w:rFonts w:ascii="Garamond" w:hAnsi="Garamond"/>
          <w:color w:val="000000" w:themeColor="text1"/>
        </w:rPr>
        <w:t xml:space="preserve"> of cultural learning are at least partially reflective of the ways in which social groups “choose” to organise themselves</w:t>
      </w:r>
      <w:proofErr w:type="gramStart"/>
      <w:r w:rsidR="00F76DC4" w:rsidRPr="009B1F4E">
        <w:rPr>
          <w:rFonts w:ascii="Garamond" w:hAnsi="Garamond"/>
          <w:color w:val="000000" w:themeColor="text1"/>
        </w:rPr>
        <w:t>, in particular</w:t>
      </w:r>
      <w:r w:rsidR="00084766" w:rsidRPr="009B1F4E">
        <w:rPr>
          <w:rFonts w:ascii="Garamond" w:hAnsi="Garamond"/>
          <w:color w:val="000000" w:themeColor="text1"/>
        </w:rPr>
        <w:t>,</w:t>
      </w:r>
      <w:r w:rsidRPr="009B1F4E">
        <w:rPr>
          <w:rFonts w:ascii="Garamond" w:hAnsi="Garamond"/>
          <w:color w:val="000000" w:themeColor="text1"/>
        </w:rPr>
        <w:t xml:space="preserve"> how</w:t>
      </w:r>
      <w:proofErr w:type="gramEnd"/>
      <w:r w:rsidRPr="009B1F4E">
        <w:rPr>
          <w:rFonts w:ascii="Garamond" w:hAnsi="Garamond"/>
          <w:color w:val="000000" w:themeColor="text1"/>
        </w:rPr>
        <w:t xml:space="preserve"> they organise and structure the transmission of information within their group. </w:t>
      </w:r>
      <w:r w:rsidR="00F65633" w:rsidRPr="009B1F4E">
        <w:rPr>
          <w:rFonts w:ascii="Garamond" w:hAnsi="Garamond"/>
          <w:color w:val="000000" w:themeColor="text1"/>
        </w:rPr>
        <w:t>In other words, th</w:t>
      </w:r>
      <w:r w:rsidRPr="009B1F4E">
        <w:rPr>
          <w:rFonts w:ascii="Garamond" w:hAnsi="Garamond"/>
          <w:color w:val="000000" w:themeColor="text1"/>
        </w:rPr>
        <w:t>e</w:t>
      </w:r>
      <w:r w:rsidR="00F65633" w:rsidRPr="009B1F4E">
        <w:rPr>
          <w:rFonts w:ascii="Garamond" w:hAnsi="Garamond"/>
          <w:color w:val="000000" w:themeColor="text1"/>
        </w:rPr>
        <w:t>se</w:t>
      </w:r>
      <w:r w:rsidRPr="009B1F4E">
        <w:rPr>
          <w:rFonts w:ascii="Garamond" w:hAnsi="Garamond"/>
          <w:color w:val="000000" w:themeColor="text1"/>
        </w:rPr>
        <w:t xml:space="preserve"> patterns in the form of cultural learning are reflective of social norms being operative.</w:t>
      </w:r>
      <w:r w:rsidR="00F76DC4" w:rsidRPr="009B1F4E">
        <w:rPr>
          <w:rFonts w:ascii="Garamond" w:hAnsi="Garamond"/>
          <w:color w:val="000000" w:themeColor="text1"/>
        </w:rPr>
        <w:t xml:space="preserve"> The need for epistemic coordination-norms here is due to these contextual and contingent factors heightening the chance of coordination</w:t>
      </w:r>
      <w:r w:rsidR="00084766" w:rsidRPr="009B1F4E">
        <w:rPr>
          <w:rFonts w:ascii="Garamond" w:hAnsi="Garamond"/>
          <w:color w:val="000000" w:themeColor="text1"/>
        </w:rPr>
        <w:t xml:space="preserve"> </w:t>
      </w:r>
      <w:r w:rsidR="00F76DC4" w:rsidRPr="009B1F4E">
        <w:rPr>
          <w:rFonts w:ascii="Garamond" w:hAnsi="Garamond"/>
          <w:color w:val="000000" w:themeColor="text1"/>
        </w:rPr>
        <w:t xml:space="preserve">failures: For any </w:t>
      </w:r>
      <w:proofErr w:type="gramStart"/>
      <w:r w:rsidR="00F76DC4" w:rsidRPr="009B1F4E">
        <w:rPr>
          <w:rFonts w:ascii="Garamond" w:hAnsi="Garamond"/>
          <w:color w:val="000000" w:themeColor="text1"/>
        </w:rPr>
        <w:t>particular individual</w:t>
      </w:r>
      <w:proofErr w:type="gramEnd"/>
      <w:r w:rsidR="00F76DC4" w:rsidRPr="009B1F4E">
        <w:rPr>
          <w:rFonts w:ascii="Garamond" w:hAnsi="Garamond"/>
          <w:color w:val="000000" w:themeColor="text1"/>
        </w:rPr>
        <w:t>, pre</w:t>
      </w:r>
      <w:r w:rsidR="00084766" w:rsidRPr="009B1F4E">
        <w:rPr>
          <w:rFonts w:ascii="Garamond" w:hAnsi="Garamond"/>
          <w:color w:val="000000" w:themeColor="text1"/>
        </w:rPr>
        <w:t>-</w:t>
      </w:r>
      <w:r w:rsidR="00F76DC4" w:rsidRPr="009B1F4E">
        <w:rPr>
          <w:rFonts w:ascii="Garamond" w:hAnsi="Garamond"/>
          <w:color w:val="000000" w:themeColor="text1"/>
        </w:rPr>
        <w:t xml:space="preserve">coordination, it’s incredibly hard to evaluate how they should respond to these contextual factors so that the group-wide transmission of information can be successful, in part because the chosen behaviour needs to match those of others. Under which conditions should you choose to leave your kid to your own devices rather than actively teaching them? </w:t>
      </w:r>
      <w:r w:rsidR="00B5219F" w:rsidRPr="009B1F4E">
        <w:rPr>
          <w:rFonts w:ascii="Garamond" w:hAnsi="Garamond"/>
          <w:color w:val="000000" w:themeColor="text1"/>
        </w:rPr>
        <w:t>If you’re teaching them, what do you teach them about (e.g., this step in the toolmaking process or where to hunt for small game) and when? What kinds of epistemic goods do children need to acquire here — does mere knowledge suffice</w:t>
      </w:r>
      <w:r w:rsidR="00084766" w:rsidRPr="009B1F4E">
        <w:rPr>
          <w:rFonts w:ascii="Garamond" w:hAnsi="Garamond"/>
          <w:color w:val="000000" w:themeColor="text1"/>
        </w:rPr>
        <w:t>,</w:t>
      </w:r>
      <w:r w:rsidR="00B5219F" w:rsidRPr="009B1F4E">
        <w:rPr>
          <w:rFonts w:ascii="Garamond" w:hAnsi="Garamond"/>
          <w:color w:val="000000" w:themeColor="text1"/>
        </w:rPr>
        <w:t xml:space="preserve"> or do they need understanding? Does your learning strategy match up with those of others in a productive way? </w:t>
      </w:r>
    </w:p>
    <w:p w14:paraId="777BAB39" w14:textId="34E32B09" w:rsidR="00B5219F" w:rsidRPr="009B1F4E" w:rsidRDefault="00350A1E" w:rsidP="00B5219F">
      <w:pPr>
        <w:spacing w:line="360" w:lineRule="auto"/>
        <w:jc w:val="both"/>
        <w:rPr>
          <w:rFonts w:ascii="Garamond" w:hAnsi="Garamond"/>
          <w:color w:val="000000" w:themeColor="text1"/>
        </w:rPr>
      </w:pPr>
      <w:r w:rsidRPr="009B1F4E">
        <w:rPr>
          <w:rFonts w:ascii="Garamond" w:hAnsi="Garamond"/>
          <w:color w:val="000000" w:themeColor="text1"/>
        </w:rPr>
        <w:lastRenderedPageBreak/>
        <w:t>The fact that relatively simple learning strategies are successfully applied is, on my picture, a product of social groups having successfully coordinated on when agents are allowed and encouraged to use these kinds of strategies over, e.g., more resource-intensive ones</w:t>
      </w:r>
      <w:r w:rsidR="00F65633" w:rsidRPr="009B1F4E">
        <w:rPr>
          <w:rFonts w:ascii="Garamond" w:hAnsi="Garamond"/>
          <w:color w:val="000000" w:themeColor="text1"/>
        </w:rPr>
        <w:t>, such as explicit teaching</w:t>
      </w:r>
      <w:r w:rsidRPr="009B1F4E">
        <w:rPr>
          <w:rFonts w:ascii="Garamond" w:hAnsi="Garamond"/>
          <w:color w:val="000000" w:themeColor="text1"/>
        </w:rPr>
        <w:t xml:space="preserve">. </w:t>
      </w:r>
      <w:r w:rsidR="000932DD" w:rsidRPr="009B1F4E">
        <w:rPr>
          <w:rFonts w:ascii="Garamond" w:hAnsi="Garamond"/>
          <w:color w:val="000000" w:themeColor="text1"/>
        </w:rPr>
        <w:t xml:space="preserve">In other words, epistemic coordination-norms might not explain every single episode of cultural learning, e.g., that a child learns from their parents via observation. But </w:t>
      </w:r>
      <w:r w:rsidR="002E3CE7" w:rsidRPr="009B1F4E">
        <w:rPr>
          <w:rFonts w:ascii="Garamond" w:hAnsi="Garamond"/>
          <w:color w:val="000000" w:themeColor="text1"/>
        </w:rPr>
        <w:t>they do</w:t>
      </w:r>
      <w:r w:rsidR="000932DD" w:rsidRPr="009B1F4E">
        <w:rPr>
          <w:rFonts w:ascii="Garamond" w:hAnsi="Garamond"/>
          <w:color w:val="000000" w:themeColor="text1"/>
        </w:rPr>
        <w:t xml:space="preserve"> (partially) explain why children, under </w:t>
      </w:r>
      <w:proofErr w:type="gramStart"/>
      <w:r w:rsidR="000932DD" w:rsidRPr="009B1F4E">
        <w:rPr>
          <w:rFonts w:ascii="Garamond" w:hAnsi="Garamond"/>
          <w:color w:val="000000" w:themeColor="text1"/>
        </w:rPr>
        <w:t>particular conditions</w:t>
      </w:r>
      <w:proofErr w:type="gramEnd"/>
      <w:r w:rsidR="000932DD" w:rsidRPr="009B1F4E">
        <w:rPr>
          <w:rFonts w:ascii="Garamond" w:hAnsi="Garamond"/>
          <w:color w:val="000000" w:themeColor="text1"/>
        </w:rPr>
        <w:t>, tend to learn via observation rather than some other available strategy. Epistemic coordination</w:t>
      </w:r>
      <w:r w:rsidR="00084766" w:rsidRPr="009B1F4E">
        <w:rPr>
          <w:rFonts w:ascii="Garamond" w:hAnsi="Garamond"/>
          <w:color w:val="000000" w:themeColor="text1"/>
        </w:rPr>
        <w:t xml:space="preserve"> norms thus explain the patterns we see in the form of cultural learning — patterns that differ between groups, time, and environments</w:t>
      </w:r>
      <w:r w:rsidR="000932DD" w:rsidRPr="009B1F4E">
        <w:rPr>
          <w:rFonts w:ascii="Garamond" w:hAnsi="Garamond"/>
          <w:color w:val="000000" w:themeColor="text1"/>
        </w:rPr>
        <w:t xml:space="preserve"> and </w:t>
      </w:r>
      <w:r w:rsidR="002E3CE7" w:rsidRPr="009B1F4E">
        <w:rPr>
          <w:rFonts w:ascii="Garamond" w:hAnsi="Garamond"/>
          <w:color w:val="000000" w:themeColor="text1"/>
        </w:rPr>
        <w:t>depend on a variety of</w:t>
      </w:r>
      <w:r w:rsidR="000932DD" w:rsidRPr="009B1F4E">
        <w:rPr>
          <w:rFonts w:ascii="Garamond" w:hAnsi="Garamond"/>
          <w:color w:val="000000" w:themeColor="text1"/>
        </w:rPr>
        <w:t xml:space="preserve"> contextual factors.</w:t>
      </w:r>
    </w:p>
    <w:p w14:paraId="79970CCC" w14:textId="77777777" w:rsidR="00A334FC" w:rsidRDefault="00B5219F" w:rsidP="00B5219F">
      <w:pPr>
        <w:spacing w:line="360" w:lineRule="auto"/>
        <w:jc w:val="both"/>
        <w:rPr>
          <w:rFonts w:ascii="Garamond" w:hAnsi="Garamond"/>
          <w:color w:val="000000" w:themeColor="text1"/>
        </w:rPr>
      </w:pPr>
      <w:r w:rsidRPr="009B1F4E">
        <w:rPr>
          <w:rFonts w:ascii="Garamond" w:hAnsi="Garamond"/>
          <w:color w:val="000000" w:themeColor="text1"/>
        </w:rPr>
        <w:t xml:space="preserve">The picture I advocate is thus one where the form of cultural learning doesn’t just emerge </w:t>
      </w:r>
      <w:proofErr w:type="gramStart"/>
      <w:r w:rsidRPr="009B1F4E">
        <w:rPr>
          <w:rFonts w:ascii="Garamond" w:hAnsi="Garamond"/>
          <w:color w:val="000000" w:themeColor="text1"/>
        </w:rPr>
        <w:t>as a result of</w:t>
      </w:r>
      <w:proofErr w:type="gramEnd"/>
      <w:r w:rsidRPr="009B1F4E">
        <w:rPr>
          <w:rFonts w:ascii="Garamond" w:hAnsi="Garamond"/>
          <w:color w:val="000000" w:themeColor="text1"/>
        </w:rPr>
        <w:t xml:space="preserve"> environmental pressures</w:t>
      </w:r>
      <w:r w:rsidR="00F12580" w:rsidRPr="009B1F4E">
        <w:rPr>
          <w:rFonts w:ascii="Garamond" w:hAnsi="Garamond"/>
          <w:color w:val="000000" w:themeColor="text1"/>
        </w:rPr>
        <w:t xml:space="preserve"> or of learners</w:t>
      </w:r>
      <w:r w:rsidR="00350A1E" w:rsidRPr="009B1F4E">
        <w:rPr>
          <w:rFonts w:ascii="Garamond" w:hAnsi="Garamond"/>
          <w:color w:val="000000" w:themeColor="text1"/>
        </w:rPr>
        <w:t xml:space="preserve"> simply spontaneously choosing a strategy. Rather, the form of cultural learning is more of a</w:t>
      </w:r>
      <w:r w:rsidRPr="009B1F4E">
        <w:rPr>
          <w:rFonts w:ascii="Garamond" w:hAnsi="Garamond"/>
          <w:color w:val="000000" w:themeColor="text1"/>
        </w:rPr>
        <w:t xml:space="preserve"> collective response to the challenges that the transmission of information poses. The patterns we see in the form of cultural learning aren’t reflective of agents passively succumbing to the demands of their environments and </w:t>
      </w:r>
      <w:r w:rsidR="008A44F5" w:rsidRPr="009B1F4E">
        <w:rPr>
          <w:rFonts w:ascii="Garamond" w:hAnsi="Garamond"/>
          <w:color w:val="000000" w:themeColor="text1"/>
        </w:rPr>
        <w:t>their</w:t>
      </w:r>
      <w:r w:rsidRPr="009B1F4E">
        <w:rPr>
          <w:rFonts w:ascii="Garamond" w:hAnsi="Garamond"/>
          <w:color w:val="000000" w:themeColor="text1"/>
        </w:rPr>
        <w:t xml:space="preserve"> contextual intricacies</w:t>
      </w:r>
      <w:r w:rsidR="002B0144" w:rsidRPr="009B1F4E">
        <w:rPr>
          <w:rFonts w:ascii="Garamond" w:hAnsi="Garamond"/>
          <w:color w:val="000000" w:themeColor="text1"/>
        </w:rPr>
        <w:t xml:space="preserve"> — they’re reflective of groups actively responding to them by structuring cultural learning in specific ways. </w:t>
      </w:r>
      <w:r w:rsidR="00A5764C" w:rsidRPr="009B1F4E">
        <w:rPr>
          <w:rFonts w:ascii="Garamond" w:hAnsi="Garamond"/>
          <w:color w:val="000000" w:themeColor="text1"/>
        </w:rPr>
        <w:t>The fact that children, in some contexts, tend to learn via observing their parents isn’t an individualistic response to environmental conditions</w:t>
      </w:r>
      <w:r w:rsidR="002E3CE7" w:rsidRPr="009B1F4E">
        <w:rPr>
          <w:rFonts w:ascii="Garamond" w:hAnsi="Garamond"/>
          <w:color w:val="000000" w:themeColor="text1"/>
        </w:rPr>
        <w:t xml:space="preserve"> but reflects how their group chose to organise themselves</w:t>
      </w:r>
      <w:r w:rsidR="00A5764C" w:rsidRPr="009B1F4E">
        <w:rPr>
          <w:rFonts w:ascii="Garamond" w:hAnsi="Garamond"/>
          <w:color w:val="000000" w:themeColor="text1"/>
        </w:rPr>
        <w:t xml:space="preserve"> and their cultural learning. </w:t>
      </w:r>
    </w:p>
    <w:p w14:paraId="5050C6F0" w14:textId="437741DA" w:rsidR="00B5219F" w:rsidRPr="009B1F4E" w:rsidRDefault="002B0144" w:rsidP="00B5219F">
      <w:pPr>
        <w:spacing w:line="360" w:lineRule="auto"/>
        <w:jc w:val="both"/>
        <w:rPr>
          <w:rFonts w:ascii="Garamond" w:hAnsi="Garamond"/>
          <w:color w:val="000000" w:themeColor="text1"/>
        </w:rPr>
      </w:pPr>
      <w:r w:rsidRPr="009B1F4E">
        <w:rPr>
          <w:rFonts w:ascii="Garamond" w:hAnsi="Garamond"/>
          <w:color w:val="000000" w:themeColor="text1"/>
        </w:rPr>
        <w:t xml:space="preserve">My view thus predicts that when we’d ask members of these groups why cultural learning takes the form it does, rather than some other form, they’d minimally tell us that this is how things are done around here. This is the way their social group is organised. More knowledgeable agents might also give us some of the contextual and contingent reasons </w:t>
      </w:r>
      <w:r w:rsidR="002E3CE7" w:rsidRPr="009B1F4E">
        <w:rPr>
          <w:rFonts w:ascii="Garamond" w:hAnsi="Garamond"/>
          <w:color w:val="000000" w:themeColor="text1"/>
        </w:rPr>
        <w:t xml:space="preserve">why cultural learning takes the form </w:t>
      </w:r>
      <w:r w:rsidRPr="009B1F4E">
        <w:rPr>
          <w:rFonts w:ascii="Garamond" w:hAnsi="Garamond"/>
          <w:color w:val="000000" w:themeColor="text1"/>
        </w:rPr>
        <w:t>it currently does.</w:t>
      </w:r>
      <w:r w:rsidR="00A334FC">
        <w:rPr>
          <w:rFonts w:ascii="Garamond" w:hAnsi="Garamond"/>
          <w:color w:val="000000" w:themeColor="text1"/>
        </w:rPr>
        <w:t xml:space="preserve"> Additionally, we’d find relatively stable between-group differences in the form of cultural learning that correspond to the different influences of the kinds of contextual factors I’ve described.</w:t>
      </w:r>
    </w:p>
    <w:p w14:paraId="03B1763B" w14:textId="403B4E92" w:rsidR="00FD7146" w:rsidRPr="009B1F4E" w:rsidRDefault="002B0144" w:rsidP="00F856D4">
      <w:pPr>
        <w:spacing w:line="360" w:lineRule="auto"/>
        <w:jc w:val="both"/>
        <w:rPr>
          <w:rFonts w:ascii="Garamond" w:hAnsi="Garamond"/>
          <w:color w:val="000000" w:themeColor="text1"/>
        </w:rPr>
      </w:pPr>
      <w:r w:rsidRPr="009B1F4E">
        <w:rPr>
          <w:rFonts w:ascii="Garamond" w:hAnsi="Garamond"/>
          <w:color w:val="000000" w:themeColor="text1"/>
        </w:rPr>
        <w:t xml:space="preserve">Of course, more work needs to be done to substantiate these claims. What I’ve hoped to show here is </w:t>
      </w:r>
      <w:r w:rsidR="002E3CE7" w:rsidRPr="009B1F4E">
        <w:rPr>
          <w:rFonts w:ascii="Garamond" w:hAnsi="Garamond"/>
          <w:color w:val="000000" w:themeColor="text1"/>
        </w:rPr>
        <w:t xml:space="preserve">an initially plausible diagnosis of the </w:t>
      </w:r>
      <w:r w:rsidRPr="009B1F4E">
        <w:rPr>
          <w:rFonts w:ascii="Garamond" w:hAnsi="Garamond"/>
          <w:color w:val="000000" w:themeColor="text1"/>
        </w:rPr>
        <w:t xml:space="preserve">patterns we see in cultural learning across and between different social groups. Ethnographic research on hunter-gatherers might </w:t>
      </w:r>
      <w:r w:rsidR="002E3CE7" w:rsidRPr="009B1F4E">
        <w:rPr>
          <w:rFonts w:ascii="Garamond" w:hAnsi="Garamond"/>
          <w:color w:val="000000" w:themeColor="text1"/>
        </w:rPr>
        <w:t xml:space="preserve">also prove valuable here, as empirical means of testing the involvement of social norms in various behaviours exist </w:t>
      </w:r>
      <w:r w:rsidR="002E3CE7" w:rsidRPr="009B1F4E">
        <w:rPr>
          <w:rFonts w:ascii="Garamond" w:hAnsi="Garamond"/>
          <w:color w:val="000000" w:themeColor="text1"/>
        </w:rPr>
        <w:fldChar w:fldCharType="begin"/>
      </w:r>
      <w:r w:rsidR="002E3CE7" w:rsidRPr="009B1F4E">
        <w:rPr>
          <w:rFonts w:ascii="Garamond" w:hAnsi="Garamond"/>
          <w:color w:val="000000" w:themeColor="text1"/>
        </w:rPr>
        <w:instrText xml:space="preserve"> ADDIN ZOTERO_ITEM CSL_CITATION {"citationID":"aAhoTvQP","properties":{"formattedCitation":"(see, e.g., Bicchieri et al. 2023)","plainCitation":"(see, e.g., Bicchieri et al. 2023)","noteIndex":0},"citationItems":[{"id":1415,"uris":["http://zotero.org/users/local/jz7T3Opo/items/FGRIUXFX"],"itemData":{"id":1415,"type":"article-journal","abstract":"Where there is behavior there are social norms. Social norms are a key feature of societies, and their adherence is crucial to sustaining social order. This special issue brings together research at the interdisciplinary research frontier investigating social norms with a focus on behavior change. We categorize research according to different methods (theory, non-experimental, laboratory, extra-laboratory) and discuss their policy implications.","container-title":"Journal of Economic Behavior &amp; Organization","DOI":"10.1016/j.jebo.2022.11.007","ISSN":"0167-2681","journalAbbreviation":"Journal of Economic Behavior &amp; Organization","language":"en","page":"A4-A7","source":"ScienceDirect","title":"Social norms and behavior change: The interdisciplinary research frontier","title-short":"Social norms and behavior change","volume":"205","author":[{"family":"Bicchieri","given":"Cristina"},{"family":"Dimant","given":"Eugen"},{"family":"Gelfand","given":"Michele"},{"family":"Sonderegger","given":"Silvia"}],"issued":{"date-parts":[["2023",1,1]]}},"label":"page","prefix":"see, e.g., "}],"schema":"https://github.com/citation-style-language/schema/raw/master/csl-citation.json"} </w:instrText>
      </w:r>
      <w:r w:rsidR="002E3CE7" w:rsidRPr="009B1F4E">
        <w:rPr>
          <w:rFonts w:ascii="Garamond" w:hAnsi="Garamond"/>
          <w:color w:val="000000" w:themeColor="text1"/>
        </w:rPr>
        <w:fldChar w:fldCharType="separate"/>
      </w:r>
      <w:r w:rsidR="002E3CE7" w:rsidRPr="009B1F4E">
        <w:rPr>
          <w:rFonts w:ascii="Garamond" w:hAnsi="Garamond"/>
          <w:noProof/>
          <w:color w:val="000000" w:themeColor="text1"/>
        </w:rPr>
        <w:t>(see, e.g., Bicchieri et al. 2023)</w:t>
      </w:r>
      <w:r w:rsidR="002E3CE7" w:rsidRPr="009B1F4E">
        <w:rPr>
          <w:rFonts w:ascii="Garamond" w:hAnsi="Garamond"/>
          <w:color w:val="000000" w:themeColor="text1"/>
        </w:rPr>
        <w:fldChar w:fldCharType="end"/>
      </w:r>
      <w:r w:rsidRPr="009B1F4E">
        <w:rPr>
          <w:rFonts w:ascii="Garamond" w:hAnsi="Garamond"/>
          <w:color w:val="000000" w:themeColor="text1"/>
        </w:rPr>
        <w:t xml:space="preserve">. A better understanding of whether and how social norms regulate cultural learning in extant hunter-gatherer populations </w:t>
      </w:r>
      <w:r w:rsidR="002E3CE7" w:rsidRPr="009B1F4E">
        <w:rPr>
          <w:rFonts w:ascii="Garamond" w:hAnsi="Garamond"/>
          <w:color w:val="000000" w:themeColor="text1"/>
        </w:rPr>
        <w:t>is thus</w:t>
      </w:r>
      <w:r w:rsidRPr="009B1F4E">
        <w:rPr>
          <w:rFonts w:ascii="Garamond" w:hAnsi="Garamond"/>
          <w:color w:val="000000" w:themeColor="text1"/>
        </w:rPr>
        <w:t xml:space="preserve"> </w:t>
      </w:r>
      <w:r w:rsidR="002E3CE7" w:rsidRPr="009B1F4E">
        <w:rPr>
          <w:rFonts w:ascii="Garamond" w:hAnsi="Garamond"/>
          <w:color w:val="000000" w:themeColor="text1"/>
        </w:rPr>
        <w:t>attainable</w:t>
      </w:r>
      <w:r w:rsidRPr="009B1F4E">
        <w:rPr>
          <w:rFonts w:ascii="Garamond" w:hAnsi="Garamond"/>
          <w:color w:val="000000" w:themeColor="text1"/>
        </w:rPr>
        <w:t>.</w:t>
      </w:r>
    </w:p>
    <w:p w14:paraId="6AD396D8" w14:textId="77777777" w:rsidR="00786C46" w:rsidRPr="009B1F4E" w:rsidRDefault="00786C46" w:rsidP="00F856D4">
      <w:pPr>
        <w:spacing w:line="360" w:lineRule="auto"/>
        <w:jc w:val="both"/>
        <w:rPr>
          <w:rFonts w:ascii="Garamond" w:hAnsi="Garamond"/>
          <w:color w:val="000000" w:themeColor="text1"/>
        </w:rPr>
      </w:pPr>
    </w:p>
    <w:p w14:paraId="0D5C9CD1" w14:textId="737CE9E5" w:rsidR="00786C46" w:rsidRPr="009B1F4E" w:rsidRDefault="00786C46" w:rsidP="00F856D4">
      <w:pPr>
        <w:spacing w:line="360" w:lineRule="auto"/>
        <w:jc w:val="both"/>
        <w:rPr>
          <w:rFonts w:ascii="Garamond" w:hAnsi="Garamond" w:cs="Calibri"/>
          <w:color w:val="000000" w:themeColor="text1"/>
        </w:rPr>
      </w:pPr>
      <w:r w:rsidRPr="009B1F4E">
        <w:rPr>
          <w:rFonts w:ascii="Garamond" w:hAnsi="Garamond"/>
          <w:color w:val="000000" w:themeColor="text1"/>
        </w:rPr>
        <w:t xml:space="preserve">In summary, I’ve proposed that the form of cultural learning, </w:t>
      </w:r>
      <w:r w:rsidRPr="009B1F4E">
        <w:rPr>
          <w:rFonts w:ascii="Garamond" w:hAnsi="Garamond" w:cs="Calibri"/>
          <w:color w:val="000000" w:themeColor="text1"/>
        </w:rPr>
        <w:t xml:space="preserve">under which conditions agents learn from others, from whom they learn, which strategies or mechanisms they’re incentivised to employ and how their learning environments are structured, is subject to epistemic coordination-norms. </w:t>
      </w:r>
      <w:r w:rsidR="00E17601" w:rsidRPr="009B1F4E">
        <w:rPr>
          <w:rFonts w:ascii="Garamond" w:hAnsi="Garamond" w:cs="Calibri"/>
          <w:color w:val="000000" w:themeColor="text1"/>
        </w:rPr>
        <w:lastRenderedPageBreak/>
        <w:t xml:space="preserve">Sometimes, this will mean that </w:t>
      </w:r>
      <w:proofErr w:type="gramStart"/>
      <w:r w:rsidR="00E17601" w:rsidRPr="009B1F4E">
        <w:rPr>
          <w:rFonts w:ascii="Garamond" w:hAnsi="Garamond" w:cs="Calibri"/>
          <w:color w:val="000000" w:themeColor="text1"/>
        </w:rPr>
        <w:t>particular learning</w:t>
      </w:r>
      <w:proofErr w:type="gramEnd"/>
      <w:r w:rsidR="00E17601" w:rsidRPr="009B1F4E">
        <w:rPr>
          <w:rFonts w:ascii="Garamond" w:hAnsi="Garamond" w:cs="Calibri"/>
          <w:color w:val="000000" w:themeColor="text1"/>
        </w:rPr>
        <w:t xml:space="preserve"> strategies are norm-based, as is plausibly the case in selective social learning. </w:t>
      </w:r>
      <w:r w:rsidR="008A44F5" w:rsidRPr="009B1F4E">
        <w:rPr>
          <w:rFonts w:ascii="Garamond" w:hAnsi="Garamond" w:cs="Calibri"/>
          <w:color w:val="000000" w:themeColor="text1"/>
        </w:rPr>
        <w:t>However,</w:t>
      </w:r>
      <w:r w:rsidR="00E17601" w:rsidRPr="009B1F4E">
        <w:rPr>
          <w:rFonts w:ascii="Garamond" w:hAnsi="Garamond" w:cs="Calibri"/>
          <w:color w:val="000000" w:themeColor="text1"/>
        </w:rPr>
        <w:t xml:space="preserve"> at other times, these </w:t>
      </w:r>
      <w:r w:rsidRPr="009B1F4E">
        <w:rPr>
          <w:rFonts w:ascii="Garamond" w:hAnsi="Garamond" w:cs="Calibri"/>
          <w:color w:val="000000" w:themeColor="text1"/>
        </w:rPr>
        <w:t xml:space="preserve">norms </w:t>
      </w:r>
      <w:r w:rsidR="00E17601" w:rsidRPr="009B1F4E">
        <w:rPr>
          <w:rFonts w:ascii="Garamond" w:hAnsi="Garamond" w:cs="Calibri"/>
          <w:color w:val="000000" w:themeColor="text1"/>
        </w:rPr>
        <w:t xml:space="preserve">more generally </w:t>
      </w:r>
      <w:r w:rsidRPr="009B1F4E">
        <w:rPr>
          <w:rFonts w:ascii="Garamond" w:hAnsi="Garamond" w:cs="Calibri"/>
          <w:color w:val="000000" w:themeColor="text1"/>
        </w:rPr>
        <w:t xml:space="preserve">help social groups </w:t>
      </w:r>
      <w:r w:rsidR="002E3CE7" w:rsidRPr="009B1F4E">
        <w:rPr>
          <w:rFonts w:ascii="Garamond" w:hAnsi="Garamond" w:cs="Calibri"/>
          <w:color w:val="000000" w:themeColor="text1"/>
        </w:rPr>
        <w:t>balance their cultural learning efforts against various</w:t>
      </w:r>
      <w:r w:rsidRPr="009B1F4E">
        <w:rPr>
          <w:rFonts w:ascii="Garamond" w:hAnsi="Garamond" w:cs="Calibri"/>
          <w:color w:val="000000" w:themeColor="text1"/>
        </w:rPr>
        <w:t xml:space="preserve"> contextual factors, as the toolmaking and skill acquisition examples illustrated</w:t>
      </w:r>
      <w:r w:rsidR="00E17601" w:rsidRPr="009B1F4E">
        <w:rPr>
          <w:rFonts w:ascii="Garamond" w:hAnsi="Garamond" w:cs="Calibri"/>
          <w:color w:val="000000" w:themeColor="text1"/>
        </w:rPr>
        <w:t>, resulting in context-specific patterns in cultural learning.  P</w:t>
      </w:r>
      <w:r w:rsidR="0079670B" w:rsidRPr="009B1F4E">
        <w:rPr>
          <w:rFonts w:ascii="Garamond" w:hAnsi="Garamond" w:cs="Calibri"/>
          <w:color w:val="000000" w:themeColor="text1"/>
        </w:rPr>
        <w:t>lausibly</w:t>
      </w:r>
      <w:r w:rsidR="008A44F5" w:rsidRPr="009B1F4E">
        <w:rPr>
          <w:rFonts w:ascii="Garamond" w:hAnsi="Garamond" w:cs="Calibri"/>
          <w:color w:val="000000" w:themeColor="text1"/>
        </w:rPr>
        <w:t>,</w:t>
      </w:r>
      <w:r w:rsidR="0079670B" w:rsidRPr="009B1F4E">
        <w:rPr>
          <w:rFonts w:ascii="Garamond" w:hAnsi="Garamond" w:cs="Calibri"/>
          <w:color w:val="000000" w:themeColor="text1"/>
        </w:rPr>
        <w:t xml:space="preserve"> </w:t>
      </w:r>
      <w:r w:rsidR="00E17601" w:rsidRPr="009B1F4E">
        <w:rPr>
          <w:rFonts w:ascii="Garamond" w:hAnsi="Garamond" w:cs="Calibri"/>
          <w:color w:val="000000" w:themeColor="text1"/>
        </w:rPr>
        <w:t>epistemic coordination-norms have performed this function</w:t>
      </w:r>
      <w:r w:rsidR="0079670B" w:rsidRPr="009B1F4E">
        <w:rPr>
          <w:rFonts w:ascii="Garamond" w:hAnsi="Garamond" w:cs="Calibri"/>
          <w:color w:val="000000" w:themeColor="text1"/>
        </w:rPr>
        <w:t xml:space="preserve"> since the early advent of cumulative culture.</w:t>
      </w:r>
    </w:p>
    <w:p w14:paraId="42099D27" w14:textId="1B8D1B23" w:rsidR="006B3071" w:rsidRPr="009B1F4E" w:rsidRDefault="006B3071" w:rsidP="00933074">
      <w:pPr>
        <w:spacing w:line="360" w:lineRule="auto"/>
        <w:jc w:val="both"/>
        <w:rPr>
          <w:rFonts w:ascii="Garamond" w:hAnsi="Garamond" w:cs="Calibri"/>
          <w:color w:val="000000" w:themeColor="text1"/>
        </w:rPr>
      </w:pPr>
    </w:p>
    <w:p w14:paraId="4F26131A" w14:textId="576364D5" w:rsidR="00AA12EB" w:rsidRPr="009B1F4E" w:rsidRDefault="00092431" w:rsidP="00AA12EB">
      <w:pPr>
        <w:pStyle w:val="Listenabsatz"/>
        <w:numPr>
          <w:ilvl w:val="1"/>
          <w:numId w:val="1"/>
        </w:numPr>
        <w:spacing w:line="360" w:lineRule="auto"/>
        <w:jc w:val="both"/>
        <w:rPr>
          <w:rFonts w:ascii="Garamond" w:hAnsi="Garamond" w:cs="Calibri"/>
          <w:color w:val="000000" w:themeColor="text1"/>
        </w:rPr>
      </w:pPr>
      <w:r w:rsidRPr="009B1F4E">
        <w:rPr>
          <w:rFonts w:ascii="Garamond" w:hAnsi="Garamond" w:cs="Calibri"/>
          <w:color w:val="000000" w:themeColor="text1"/>
        </w:rPr>
        <w:t>A fictionalised example, again</w:t>
      </w:r>
    </w:p>
    <w:p w14:paraId="5292C687" w14:textId="3503B2B3" w:rsidR="003571FD" w:rsidRPr="009B1F4E" w:rsidRDefault="00092431" w:rsidP="00092431">
      <w:pPr>
        <w:spacing w:line="360" w:lineRule="auto"/>
        <w:jc w:val="both"/>
        <w:rPr>
          <w:rFonts w:ascii="Garamond" w:hAnsi="Garamond"/>
          <w:color w:val="000000" w:themeColor="text1"/>
        </w:rPr>
      </w:pPr>
      <w:r w:rsidRPr="009B1F4E">
        <w:rPr>
          <w:rFonts w:ascii="Garamond" w:hAnsi="Garamond"/>
          <w:color w:val="000000" w:themeColor="text1"/>
        </w:rPr>
        <w:t xml:space="preserve">Let’s return to our toy example from section 3.2, where a juvenile early ancestor A is looking to acquire a cultural trait, specifically toolmaking, to summarise our findings. Whilst it’s plausible that the relative importance of epistemic coordination-norms correlates with the degree of specialisation, division of labour, </w:t>
      </w:r>
      <w:r w:rsidR="002E3CE7" w:rsidRPr="009B1F4E">
        <w:rPr>
          <w:rFonts w:ascii="Garamond" w:hAnsi="Garamond"/>
          <w:color w:val="000000" w:themeColor="text1"/>
        </w:rPr>
        <w:t>group size,</w:t>
      </w:r>
      <w:r w:rsidRPr="009B1F4E">
        <w:rPr>
          <w:rFonts w:ascii="Garamond" w:hAnsi="Garamond"/>
          <w:color w:val="000000" w:themeColor="text1"/>
        </w:rPr>
        <w:t xml:space="preserve"> and complexity of traits (and some other factors discussed in section 3.4), </w:t>
      </w:r>
      <w:r w:rsidR="003571FD" w:rsidRPr="009B1F4E">
        <w:rPr>
          <w:rFonts w:ascii="Garamond" w:hAnsi="Garamond"/>
          <w:color w:val="000000" w:themeColor="text1"/>
        </w:rPr>
        <w:t>my suggestion is that these norms structured early instances of cultural learning</w:t>
      </w:r>
      <w:r w:rsidR="00DF4075">
        <w:rPr>
          <w:rFonts w:ascii="Garamond" w:hAnsi="Garamond"/>
          <w:color w:val="000000" w:themeColor="text1"/>
        </w:rPr>
        <w:t xml:space="preserve"> </w:t>
      </w:r>
      <w:r w:rsidR="003571FD" w:rsidRPr="009B1F4E">
        <w:rPr>
          <w:rFonts w:ascii="Garamond" w:hAnsi="Garamond"/>
          <w:color w:val="000000" w:themeColor="text1"/>
        </w:rPr>
        <w:t xml:space="preserve">in the following ways: </w:t>
      </w:r>
    </w:p>
    <w:p w14:paraId="16958C22" w14:textId="59E33761" w:rsidR="003571FD" w:rsidRPr="009B1F4E" w:rsidRDefault="003571FD" w:rsidP="003571FD">
      <w:pPr>
        <w:pStyle w:val="Listenabsatz"/>
        <w:numPr>
          <w:ilvl w:val="0"/>
          <w:numId w:val="7"/>
        </w:numPr>
        <w:spacing w:line="360" w:lineRule="auto"/>
        <w:jc w:val="both"/>
        <w:rPr>
          <w:rFonts w:ascii="Garamond" w:hAnsi="Garamond" w:cs="Calibri"/>
          <w:color w:val="000000" w:themeColor="text1"/>
        </w:rPr>
      </w:pPr>
      <w:r w:rsidRPr="009B1F4E">
        <w:rPr>
          <w:rFonts w:ascii="Garamond" w:hAnsi="Garamond"/>
          <w:color w:val="000000" w:themeColor="text1"/>
        </w:rPr>
        <w:t>First, as discussed in section 3.3, our early ancestor A would be guided and assessed by their parents (and other</w:t>
      </w:r>
      <w:r w:rsidR="006F0A49" w:rsidRPr="009B1F4E">
        <w:rPr>
          <w:rFonts w:ascii="Garamond" w:hAnsi="Garamond"/>
          <w:color w:val="000000" w:themeColor="text1"/>
        </w:rPr>
        <w:t>,</w:t>
      </w:r>
      <w:r w:rsidRPr="009B1F4E">
        <w:rPr>
          <w:rFonts w:ascii="Garamond" w:hAnsi="Garamond"/>
          <w:color w:val="000000" w:themeColor="text1"/>
        </w:rPr>
        <w:t xml:space="preserve"> more experienced agents). </w:t>
      </w:r>
      <w:r w:rsidR="008A44F5" w:rsidRPr="009B1F4E">
        <w:rPr>
          <w:rFonts w:ascii="Garamond" w:hAnsi="Garamond"/>
          <w:color w:val="000000" w:themeColor="text1"/>
        </w:rPr>
        <w:t>I</w:t>
      </w:r>
      <w:r w:rsidRPr="009B1F4E">
        <w:rPr>
          <w:rFonts w:ascii="Garamond" w:hAnsi="Garamond"/>
          <w:color w:val="000000" w:themeColor="text1"/>
        </w:rPr>
        <w:t>n turn, these agents’ guidance and assessments would be influenced by</w:t>
      </w:r>
      <w:r w:rsidR="00BE0FBE" w:rsidRPr="009B1F4E">
        <w:rPr>
          <w:rFonts w:ascii="Garamond" w:hAnsi="Garamond"/>
          <w:color w:val="000000" w:themeColor="text1"/>
        </w:rPr>
        <w:t xml:space="preserve"> and reflective of</w:t>
      </w:r>
      <w:r w:rsidRPr="009B1F4E">
        <w:rPr>
          <w:rFonts w:ascii="Garamond" w:hAnsi="Garamond"/>
          <w:color w:val="000000" w:themeColor="text1"/>
        </w:rPr>
        <w:t xml:space="preserve"> norms that set a range of relevance regarding the contents that are to be acquired by A. Meaning such norms would specify that toolmaking was of central importance for A to acquire, which toolmaking-techniques A needs to master, which materials (and where to get them) A should be familiar with, and what purposes these tools would have once they were produced etc. These norms would also set standards for what counts as a good instance of whatever tool A sought to build.</w:t>
      </w:r>
    </w:p>
    <w:p w14:paraId="111609AF" w14:textId="242CFA6D" w:rsidR="00BE0FBE" w:rsidRPr="009B1F4E" w:rsidRDefault="00BE0FBE" w:rsidP="00BE0FBE">
      <w:pPr>
        <w:pStyle w:val="Listenabsatz"/>
        <w:numPr>
          <w:ilvl w:val="0"/>
          <w:numId w:val="7"/>
        </w:numPr>
        <w:spacing w:line="360" w:lineRule="auto"/>
        <w:jc w:val="both"/>
        <w:rPr>
          <w:rFonts w:ascii="Garamond" w:hAnsi="Garamond" w:cs="Calibri"/>
          <w:color w:val="000000" w:themeColor="text1"/>
        </w:rPr>
      </w:pPr>
      <w:r w:rsidRPr="009B1F4E">
        <w:rPr>
          <w:rFonts w:ascii="Garamond" w:hAnsi="Garamond"/>
          <w:color w:val="000000" w:themeColor="text1"/>
        </w:rPr>
        <w:t xml:space="preserve">Second, as discussed in </w:t>
      </w:r>
      <w:r w:rsidR="002E3CE7" w:rsidRPr="009B1F4E">
        <w:rPr>
          <w:rFonts w:ascii="Garamond" w:hAnsi="Garamond"/>
          <w:color w:val="000000" w:themeColor="text1"/>
        </w:rPr>
        <w:t xml:space="preserve">section 3.4, another kind of epistemic coordination-norm would additionally influence A regarding </w:t>
      </w:r>
      <w:r w:rsidRPr="009B1F4E">
        <w:rPr>
          <w:rFonts w:ascii="Garamond" w:hAnsi="Garamond"/>
          <w:color w:val="000000" w:themeColor="text1"/>
        </w:rPr>
        <w:t xml:space="preserve">whom they should learn, when they should do so, what their learning environment is supposed to look like, and which strategies </w:t>
      </w:r>
      <w:r w:rsidR="002E3CE7" w:rsidRPr="009B1F4E">
        <w:rPr>
          <w:rFonts w:ascii="Garamond" w:hAnsi="Garamond"/>
          <w:color w:val="000000" w:themeColor="text1"/>
        </w:rPr>
        <w:t>they should</w:t>
      </w:r>
      <w:r w:rsidRPr="009B1F4E">
        <w:rPr>
          <w:rFonts w:ascii="Garamond" w:hAnsi="Garamond"/>
          <w:color w:val="000000" w:themeColor="text1"/>
        </w:rPr>
        <w:t xml:space="preserve"> employ. Depending on the context at hand, such norms would also instruct A to defer heavily to others</w:t>
      </w:r>
      <w:r w:rsidR="00F22302" w:rsidRPr="009B1F4E">
        <w:rPr>
          <w:rFonts w:ascii="Garamond" w:hAnsi="Garamond"/>
          <w:color w:val="000000" w:themeColor="text1"/>
        </w:rPr>
        <w:t xml:space="preserve"> and for A to be taught explicitly</w:t>
      </w:r>
      <w:r w:rsidR="00005FA8" w:rsidRPr="009B1F4E">
        <w:rPr>
          <w:rFonts w:ascii="Garamond" w:hAnsi="Garamond"/>
          <w:color w:val="000000" w:themeColor="text1"/>
        </w:rPr>
        <w:t>,</w:t>
      </w:r>
      <w:r w:rsidRPr="009B1F4E">
        <w:rPr>
          <w:rFonts w:ascii="Garamond" w:hAnsi="Garamond"/>
          <w:color w:val="000000" w:themeColor="text1"/>
        </w:rPr>
        <w:t xml:space="preserve"> e.g.</w:t>
      </w:r>
      <w:r w:rsidR="00005FA8" w:rsidRPr="009B1F4E">
        <w:rPr>
          <w:rFonts w:ascii="Garamond" w:hAnsi="Garamond"/>
          <w:color w:val="000000" w:themeColor="text1"/>
        </w:rPr>
        <w:t>,</w:t>
      </w:r>
      <w:r w:rsidRPr="009B1F4E">
        <w:rPr>
          <w:rFonts w:ascii="Garamond" w:hAnsi="Garamond"/>
          <w:color w:val="000000" w:themeColor="text1"/>
        </w:rPr>
        <w:t xml:space="preserve"> if it’s a very complex </w:t>
      </w:r>
      <w:r w:rsidR="00F22302" w:rsidRPr="009B1F4E">
        <w:rPr>
          <w:rFonts w:ascii="Garamond" w:hAnsi="Garamond"/>
          <w:color w:val="000000" w:themeColor="text1"/>
        </w:rPr>
        <w:t xml:space="preserve">or dangerous </w:t>
      </w:r>
      <w:r w:rsidRPr="009B1F4E">
        <w:rPr>
          <w:rFonts w:ascii="Garamond" w:hAnsi="Garamond"/>
          <w:color w:val="000000" w:themeColor="text1"/>
        </w:rPr>
        <w:t>tool</w:t>
      </w:r>
      <w:r w:rsidR="002E3CE7" w:rsidRPr="009B1F4E">
        <w:rPr>
          <w:rFonts w:ascii="Garamond" w:hAnsi="Garamond"/>
          <w:color w:val="000000" w:themeColor="text1"/>
        </w:rPr>
        <w:t>,</w:t>
      </w:r>
      <w:r w:rsidRPr="009B1F4E">
        <w:rPr>
          <w:rFonts w:ascii="Garamond" w:hAnsi="Garamond"/>
          <w:color w:val="000000" w:themeColor="text1"/>
        </w:rPr>
        <w:t xml:space="preserve"> or to learn with other learners via play or collaborative learning</w:t>
      </w:r>
      <w:r w:rsidR="00F22302" w:rsidRPr="009B1F4E">
        <w:rPr>
          <w:rFonts w:ascii="Garamond" w:hAnsi="Garamond"/>
          <w:color w:val="000000" w:themeColor="text1"/>
        </w:rPr>
        <w:t xml:space="preserve">, if the tool’s </w:t>
      </w:r>
      <w:r w:rsidR="002E3CE7" w:rsidRPr="009B1F4E">
        <w:rPr>
          <w:rFonts w:ascii="Garamond" w:hAnsi="Garamond"/>
          <w:color w:val="000000" w:themeColor="text1"/>
        </w:rPr>
        <w:t>relatively</w:t>
      </w:r>
      <w:r w:rsidR="00F22302" w:rsidRPr="009B1F4E">
        <w:rPr>
          <w:rFonts w:ascii="Garamond" w:hAnsi="Garamond"/>
          <w:color w:val="000000" w:themeColor="text1"/>
        </w:rPr>
        <w:t xml:space="preserve"> simple or A’s part of a talented friend-group.</w:t>
      </w:r>
    </w:p>
    <w:p w14:paraId="26CEA307" w14:textId="06ADC965" w:rsidR="00BE0FBE" w:rsidRPr="009B1F4E" w:rsidRDefault="00F22302" w:rsidP="00BE0FBE">
      <w:pPr>
        <w:spacing w:line="360" w:lineRule="auto"/>
        <w:jc w:val="both"/>
        <w:rPr>
          <w:rFonts w:ascii="Garamond" w:hAnsi="Garamond" w:cs="Calibri"/>
          <w:color w:val="000000" w:themeColor="text1"/>
        </w:rPr>
      </w:pPr>
      <w:r w:rsidRPr="009B1F4E">
        <w:rPr>
          <w:rFonts w:ascii="Garamond" w:hAnsi="Garamond" w:cs="Calibri"/>
          <w:color w:val="000000" w:themeColor="text1"/>
        </w:rPr>
        <w:t>In summary</w:t>
      </w:r>
      <w:r w:rsidR="002E3CE7" w:rsidRPr="009B1F4E">
        <w:rPr>
          <w:rFonts w:ascii="Garamond" w:hAnsi="Garamond" w:cs="Calibri"/>
          <w:color w:val="000000" w:themeColor="text1"/>
        </w:rPr>
        <w:t>,</w:t>
      </w:r>
      <w:r w:rsidRPr="009B1F4E">
        <w:rPr>
          <w:rFonts w:ascii="Garamond" w:hAnsi="Garamond" w:cs="Calibri"/>
          <w:color w:val="000000" w:themeColor="text1"/>
        </w:rPr>
        <w:t xml:space="preserve"> then, epistemic coordination norms were plausibly operant in early instances of cultural learning. With their assistance, early humans overcame the difficulties posed by potentially fast-changing, contingent, and heavily contextual influences on cultural learning and </w:t>
      </w:r>
      <w:r w:rsidR="002E3CE7" w:rsidRPr="009B1F4E">
        <w:rPr>
          <w:rFonts w:ascii="Garamond" w:hAnsi="Garamond" w:cs="Calibri"/>
          <w:color w:val="000000" w:themeColor="text1"/>
        </w:rPr>
        <w:t>coordinated</w:t>
      </w:r>
      <w:r w:rsidRPr="009B1F4E">
        <w:rPr>
          <w:rFonts w:ascii="Garamond" w:hAnsi="Garamond" w:cs="Calibri"/>
          <w:color w:val="000000" w:themeColor="text1"/>
        </w:rPr>
        <w:t xml:space="preserve"> on its content and form.</w:t>
      </w:r>
    </w:p>
    <w:p w14:paraId="3A9C8D48" w14:textId="2DA90F73" w:rsidR="00092431" w:rsidRPr="009B1F4E" w:rsidRDefault="00092431" w:rsidP="0074697B">
      <w:pPr>
        <w:spacing w:line="360" w:lineRule="auto"/>
        <w:jc w:val="both"/>
        <w:rPr>
          <w:rFonts w:ascii="Garamond" w:hAnsi="Garamond" w:cs="Calibri"/>
          <w:color w:val="000000" w:themeColor="text1"/>
        </w:rPr>
      </w:pPr>
      <w:r w:rsidRPr="009B1F4E">
        <w:rPr>
          <w:rFonts w:ascii="Garamond" w:hAnsi="Garamond"/>
          <w:color w:val="000000" w:themeColor="text1"/>
        </w:rPr>
        <w:t xml:space="preserve"> </w:t>
      </w:r>
    </w:p>
    <w:p w14:paraId="07DFCF54" w14:textId="2A1CE1E3" w:rsidR="00FF31CA" w:rsidRPr="009B1F4E" w:rsidRDefault="00FF31CA" w:rsidP="0074697B">
      <w:pPr>
        <w:pStyle w:val="Listenabsatz"/>
        <w:numPr>
          <w:ilvl w:val="0"/>
          <w:numId w:val="1"/>
        </w:numPr>
        <w:spacing w:line="360" w:lineRule="auto"/>
        <w:jc w:val="both"/>
        <w:rPr>
          <w:rFonts w:ascii="Garamond" w:hAnsi="Garamond" w:cs="Calibri"/>
          <w:b/>
          <w:bCs/>
          <w:color w:val="000000" w:themeColor="text1"/>
        </w:rPr>
      </w:pPr>
      <w:r w:rsidRPr="009B1F4E">
        <w:rPr>
          <w:rFonts w:ascii="Garamond" w:hAnsi="Garamond" w:cs="Calibri"/>
          <w:b/>
          <w:bCs/>
          <w:color w:val="000000" w:themeColor="text1"/>
        </w:rPr>
        <w:t xml:space="preserve">The Evolution of </w:t>
      </w:r>
      <w:r w:rsidRPr="009B1F4E">
        <w:rPr>
          <w:rFonts w:ascii="Garamond" w:hAnsi="Garamond" w:cs="Calibri"/>
          <w:b/>
          <w:bCs/>
          <w:i/>
          <w:iCs/>
          <w:color w:val="000000" w:themeColor="text1"/>
        </w:rPr>
        <w:t>Social</w:t>
      </w:r>
      <w:r w:rsidRPr="009B1F4E">
        <w:rPr>
          <w:rFonts w:ascii="Garamond" w:hAnsi="Garamond" w:cs="Calibri"/>
          <w:b/>
          <w:bCs/>
          <w:color w:val="000000" w:themeColor="text1"/>
        </w:rPr>
        <w:t xml:space="preserve"> Norms</w:t>
      </w:r>
    </w:p>
    <w:p w14:paraId="29C839B4" w14:textId="186BFBB3" w:rsidR="009115FC" w:rsidRPr="009B1F4E" w:rsidRDefault="00497B29"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lastRenderedPageBreak/>
        <w:t xml:space="preserve">The account presented above is relevant as it not only has implications for cultural learning but also for views on the evolutionary emergence of social norms. </w:t>
      </w:r>
      <w:r w:rsidR="006507E9" w:rsidRPr="009B1F4E">
        <w:rPr>
          <w:rFonts w:ascii="Garamond" w:hAnsi="Garamond" w:cs="Calibri"/>
          <w:color w:val="000000" w:themeColor="text1"/>
        </w:rPr>
        <w:t xml:space="preserve">If what I said above is on track, then coordination in cultural learning was one of the selection pressures that </w:t>
      </w:r>
      <w:r w:rsidR="00DA6234" w:rsidRPr="009B1F4E">
        <w:rPr>
          <w:rFonts w:ascii="Garamond" w:hAnsi="Garamond" w:cs="Calibri"/>
          <w:color w:val="000000" w:themeColor="text1"/>
        </w:rPr>
        <w:t>led to social norms' emergence</w:t>
      </w:r>
      <w:r w:rsidR="006507E9" w:rsidRPr="009B1F4E">
        <w:rPr>
          <w:rFonts w:ascii="Garamond" w:hAnsi="Garamond" w:cs="Calibri"/>
          <w:color w:val="000000" w:themeColor="text1"/>
        </w:rPr>
        <w:t>.</w:t>
      </w:r>
      <w:r w:rsidRPr="009B1F4E">
        <w:rPr>
          <w:rFonts w:ascii="Garamond" w:hAnsi="Garamond" w:cs="Calibri"/>
          <w:color w:val="000000" w:themeColor="text1"/>
        </w:rPr>
        <w:t xml:space="preserve"> </w:t>
      </w:r>
      <w:r w:rsidR="006507E9" w:rsidRPr="009B1F4E">
        <w:rPr>
          <w:rFonts w:ascii="Garamond" w:hAnsi="Garamond" w:cs="Calibri"/>
          <w:color w:val="000000" w:themeColor="text1"/>
        </w:rPr>
        <w:t>To substantiate this, this section aims to position</w:t>
      </w:r>
      <w:r w:rsidR="00DA6234" w:rsidRPr="009B1F4E">
        <w:rPr>
          <w:rFonts w:ascii="Garamond" w:hAnsi="Garamond" w:cs="Calibri"/>
          <w:color w:val="000000" w:themeColor="text1"/>
        </w:rPr>
        <w:t xml:space="preserve"> my view</w:t>
      </w:r>
      <w:r w:rsidR="006507E9" w:rsidRPr="009B1F4E">
        <w:rPr>
          <w:rFonts w:ascii="Garamond" w:hAnsi="Garamond" w:cs="Calibri"/>
          <w:color w:val="000000" w:themeColor="text1"/>
        </w:rPr>
        <w:t xml:space="preserve"> in relation to </w:t>
      </w:r>
      <w:r w:rsidR="00174753" w:rsidRPr="009B1F4E">
        <w:rPr>
          <w:rFonts w:ascii="Garamond" w:hAnsi="Garamond" w:cs="Calibri"/>
          <w:color w:val="000000" w:themeColor="text1"/>
        </w:rPr>
        <w:t>one</w:t>
      </w:r>
      <w:r w:rsidR="006507E9" w:rsidRPr="009B1F4E">
        <w:rPr>
          <w:rFonts w:ascii="Garamond" w:hAnsi="Garamond" w:cs="Calibri"/>
          <w:color w:val="000000" w:themeColor="text1"/>
        </w:rPr>
        <w:t xml:space="preserve"> of the most prominent views on the market —</w:t>
      </w:r>
      <w:r w:rsidR="00174753" w:rsidRPr="009B1F4E">
        <w:rPr>
          <w:rFonts w:ascii="Garamond" w:hAnsi="Garamond" w:cs="Calibri"/>
          <w:color w:val="000000" w:themeColor="text1"/>
        </w:rPr>
        <w:t xml:space="preserve"> </w:t>
      </w:r>
      <w:r w:rsidR="006507E9" w:rsidRPr="009B1F4E">
        <w:rPr>
          <w:rFonts w:ascii="Garamond" w:hAnsi="Garamond" w:cs="Calibri"/>
          <w:color w:val="000000" w:themeColor="text1"/>
        </w:rPr>
        <w:t>Jonathan Birch’s</w:t>
      </w:r>
      <w:r w:rsidR="009115FC" w:rsidRPr="009B1F4E">
        <w:rPr>
          <w:rFonts w:ascii="Garamond" w:hAnsi="Garamond" w:cs="Calibri"/>
          <w:color w:val="000000" w:themeColor="text1"/>
        </w:rPr>
        <w:t xml:space="preserve"> </w:t>
      </w:r>
      <w:r w:rsidR="009115FC" w:rsidRPr="009B1F4E">
        <w:rPr>
          <w:rFonts w:ascii="Garamond" w:hAnsi="Garamond" w:cs="Calibri"/>
          <w:color w:val="000000" w:themeColor="text1"/>
        </w:rPr>
        <w:fldChar w:fldCharType="begin"/>
      </w:r>
      <w:r w:rsidR="00B10307" w:rsidRPr="009B1F4E">
        <w:rPr>
          <w:rFonts w:ascii="Garamond" w:hAnsi="Garamond" w:cs="Calibri"/>
          <w:color w:val="000000" w:themeColor="text1"/>
        </w:rPr>
        <w:instrText xml:space="preserve"> ADDIN ZOTERO_ITEM CSL_CITATION {"citationID":"r1WjkXWn","properties":{"formattedCitation":"(2021a)","plainCitation":"(2021a)","noteIndex":0},"citationItems":[{"id":505,"uris":["http://zotero.org/users/local/jz7T3Opo/items/V2YJ9ATX"],"itemData":{"id":505,"type":"article-journal","abstract":"We are all guided by thousands of norms, but how did our capacity for normative cognition evolve? I propose there is a deep but neglected link between normative cognition and practical skill. In modern humans, complex motor skills and craft skills, such as toolmaking, are guided by internally represented norms of correct performance. Moreover, it is plausible that core components of human normative cognition evolved as a solution to the distinctive problems of transmitting complex motor skills and craft skills, especially skills related to toolmaking, through social learning. If this is correct, the expansion of the normative domain beyond technique to encompass more abstract norms of fairness, reciprocity, ritual and kinship involved the elaboration of a basic platform for the guidance of skilled action by technical norms. This article motivates and defends this “skill hypothesis” for the origin of normative cognition and sets out various ways in which it could be empirically tested.","container-title":"Biology &amp; Philosophy","DOI":"10.1007/s10539-020-09777-9","ISSN":"0169-3867, 1572-8404","issue":"1","journalAbbreviation":"Biol Philos","language":"en","page":"4","source":"DOI.org (Crossref)","title":"Toolmaking and the evolution of normative cognition","volume":"36","author":[{"family":"Birch","given":"Jonathan"}],"issued":{"date-parts":[["2021",2]]}},"label":"page","suppress-author":true}],"schema":"https://github.com/citation-style-language/schema/raw/master/csl-citation.json"} </w:instrText>
      </w:r>
      <w:r w:rsidR="009115FC" w:rsidRPr="009B1F4E">
        <w:rPr>
          <w:rFonts w:ascii="Garamond" w:hAnsi="Garamond" w:cs="Calibri"/>
          <w:color w:val="000000" w:themeColor="text1"/>
        </w:rPr>
        <w:fldChar w:fldCharType="separate"/>
      </w:r>
      <w:r w:rsidR="00B10307" w:rsidRPr="009B1F4E">
        <w:rPr>
          <w:rFonts w:ascii="Garamond" w:hAnsi="Garamond" w:cs="Calibri"/>
          <w:noProof/>
          <w:color w:val="000000" w:themeColor="text1"/>
        </w:rPr>
        <w:t>(2021a)</w:t>
      </w:r>
      <w:r w:rsidR="009115FC" w:rsidRPr="009B1F4E">
        <w:rPr>
          <w:rFonts w:ascii="Garamond" w:hAnsi="Garamond" w:cs="Calibri"/>
          <w:color w:val="000000" w:themeColor="text1"/>
        </w:rPr>
        <w:fldChar w:fldCharType="end"/>
      </w:r>
      <w:r w:rsidR="00DA6234" w:rsidRPr="009B1F4E">
        <w:rPr>
          <w:rFonts w:ascii="Garamond" w:hAnsi="Garamond" w:cs="Calibri"/>
          <w:color w:val="000000" w:themeColor="text1"/>
        </w:rPr>
        <w:t> – and</w:t>
      </w:r>
      <w:r w:rsidR="008A44F5" w:rsidRPr="009B1F4E">
        <w:rPr>
          <w:rFonts w:ascii="Garamond" w:hAnsi="Garamond" w:cs="Calibri"/>
          <w:color w:val="000000" w:themeColor="text1"/>
        </w:rPr>
        <w:t>,</w:t>
      </w:r>
      <w:r w:rsidR="00DA6234" w:rsidRPr="009B1F4E">
        <w:rPr>
          <w:rFonts w:ascii="Garamond" w:hAnsi="Garamond" w:cs="Calibri"/>
          <w:color w:val="000000" w:themeColor="text1"/>
        </w:rPr>
        <w:t xml:space="preserve"> </w:t>
      </w:r>
      <w:r w:rsidR="006507E9" w:rsidRPr="009B1F4E">
        <w:rPr>
          <w:rFonts w:ascii="Garamond" w:hAnsi="Garamond" w:cs="Calibri"/>
          <w:color w:val="000000" w:themeColor="text1"/>
        </w:rPr>
        <w:t xml:space="preserve">in doing so, show how </w:t>
      </w:r>
      <w:r w:rsidR="00DA6234" w:rsidRPr="009B1F4E">
        <w:rPr>
          <w:rFonts w:ascii="Garamond" w:hAnsi="Garamond" w:cs="Calibri"/>
          <w:color w:val="000000" w:themeColor="text1"/>
        </w:rPr>
        <w:t>focusing</w:t>
      </w:r>
      <w:r w:rsidR="006507E9" w:rsidRPr="009B1F4E">
        <w:rPr>
          <w:rFonts w:ascii="Garamond" w:hAnsi="Garamond" w:cs="Calibri"/>
          <w:color w:val="000000" w:themeColor="text1"/>
        </w:rPr>
        <w:t xml:space="preserve"> on </w:t>
      </w:r>
      <w:r w:rsidR="009115FC" w:rsidRPr="009B1F4E">
        <w:rPr>
          <w:rFonts w:ascii="Garamond" w:hAnsi="Garamond" w:cs="Calibri"/>
          <w:i/>
          <w:iCs/>
          <w:color w:val="000000" w:themeColor="text1"/>
        </w:rPr>
        <w:t>epistemic</w:t>
      </w:r>
      <w:r w:rsidR="009115FC" w:rsidRPr="009B1F4E">
        <w:rPr>
          <w:rFonts w:ascii="Garamond" w:hAnsi="Garamond" w:cs="Calibri"/>
          <w:color w:val="000000" w:themeColor="text1"/>
        </w:rPr>
        <w:t xml:space="preserve"> </w:t>
      </w:r>
      <w:r w:rsidR="006507E9" w:rsidRPr="009B1F4E">
        <w:rPr>
          <w:rFonts w:ascii="Garamond" w:hAnsi="Garamond" w:cs="Calibri"/>
          <w:color w:val="000000" w:themeColor="text1"/>
        </w:rPr>
        <w:t>coordination-norms gainfully adds to it. What results is a coherent</w:t>
      </w:r>
      <w:r w:rsidR="00DA6234" w:rsidRPr="009B1F4E">
        <w:rPr>
          <w:rFonts w:ascii="Garamond" w:hAnsi="Garamond" w:cs="Calibri"/>
          <w:color w:val="000000" w:themeColor="text1"/>
        </w:rPr>
        <w:t xml:space="preserve">, </w:t>
      </w:r>
      <w:r w:rsidR="006507E9" w:rsidRPr="009B1F4E">
        <w:rPr>
          <w:rFonts w:ascii="Garamond" w:hAnsi="Garamond" w:cs="Calibri"/>
          <w:color w:val="000000" w:themeColor="text1"/>
        </w:rPr>
        <w:t>albeit rather general</w:t>
      </w:r>
      <w:r w:rsidR="00DA6234" w:rsidRPr="009B1F4E">
        <w:rPr>
          <w:rFonts w:ascii="Garamond" w:hAnsi="Garamond" w:cs="Calibri"/>
          <w:color w:val="000000" w:themeColor="text1"/>
        </w:rPr>
        <w:t xml:space="preserve">, </w:t>
      </w:r>
      <w:r w:rsidR="006507E9" w:rsidRPr="009B1F4E">
        <w:rPr>
          <w:rFonts w:ascii="Garamond" w:hAnsi="Garamond" w:cs="Calibri"/>
          <w:color w:val="000000" w:themeColor="text1"/>
        </w:rPr>
        <w:t xml:space="preserve">account of the early evolution of social norms. </w:t>
      </w:r>
    </w:p>
    <w:p w14:paraId="281B89F3" w14:textId="2B3D7BE9" w:rsidR="00B10307" w:rsidRPr="009B1F4E" w:rsidRDefault="00B10307" w:rsidP="00B10307">
      <w:pPr>
        <w:spacing w:line="360" w:lineRule="auto"/>
        <w:jc w:val="both"/>
        <w:rPr>
          <w:rFonts w:ascii="Garamond" w:hAnsi="Garamond" w:cs="Calibri"/>
          <w:color w:val="000000" w:themeColor="text1"/>
        </w:rPr>
      </w:pPr>
    </w:p>
    <w:p w14:paraId="09183940" w14:textId="204C3F0D" w:rsidR="009115FC" w:rsidRPr="009B1F4E" w:rsidRDefault="00B10307" w:rsidP="009115FC">
      <w:pPr>
        <w:pStyle w:val="Listenabsatz"/>
        <w:numPr>
          <w:ilvl w:val="1"/>
          <w:numId w:val="1"/>
        </w:numPr>
        <w:spacing w:line="360" w:lineRule="auto"/>
        <w:jc w:val="both"/>
        <w:rPr>
          <w:rFonts w:ascii="Garamond" w:hAnsi="Garamond" w:cs="Calibri"/>
          <w:color w:val="000000" w:themeColor="text1"/>
        </w:rPr>
      </w:pPr>
      <w:r w:rsidRPr="009B1F4E">
        <w:rPr>
          <w:rFonts w:ascii="Garamond" w:hAnsi="Garamond" w:cs="Calibri"/>
          <w:color w:val="000000" w:themeColor="text1"/>
        </w:rPr>
        <w:t>Birch’s</w:t>
      </w:r>
      <w:r w:rsidR="009115FC" w:rsidRPr="009B1F4E">
        <w:rPr>
          <w:rFonts w:ascii="Garamond" w:hAnsi="Garamond" w:cs="Calibri"/>
          <w:color w:val="000000" w:themeColor="text1"/>
        </w:rPr>
        <w:t xml:space="preserve"> Skill-Hypothesis</w:t>
      </w:r>
    </w:p>
    <w:p w14:paraId="2BF9CE42" w14:textId="77777777"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Birch advocates for what he calls the Skill-Hypothesis: That there’s both a deep psychological and evolutionary connection between normative cognition/norms and practical skill. On this view, a norm is just any standard of correct or appropriate behaviour, whilst normative cognition is the capacity to notice failures to conform to a norm, to feel affective pressure to secure compliance with a norm, and to know how to do this, e.g., via correcting one’s own or others’ behaviours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{"citationID":"ickT4Q5z","properties":{"formattedCitation":"(Sripada and Stich 2006)","plainCitation":"(Sripada and Stich 2006)","noteIndex":0},"citationItems":[{"id":1054,"uris":["http://zotero.org/users/local/jz7T3Opo/items/VWHJ7GHV"],"itemData":{"id":1054,"type":"chapter","container-title":"The Innate Mind, Volume 2: Culture and Cognition","page":"280-301","publisher":"Oxford University Press","title":"A Framework for the Psychology of Norms","author":[{"family":"Sripada","given":"Chandra Sekhar"},{"family":"Stich","given":"Stephen"}],"editor":[{"family":"Carruthers","given":"Peter"},{"family":"Laurence","given":"Stephen"},{"family":"Stich","given":"Stephen"}],"issued":{"date-parts":[["2006"]]}}}],"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(Sripada and Stich 2006)</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w:t>
      </w:r>
    </w:p>
    <w:p w14:paraId="296A96BD" w14:textId="77777777"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On the psychological side, the connection between normative cognition and skill consists in complex skills being guided by norms of correct performance. The view here is that agents employ a cognitive control model which “represents those aspects of the causal structure of the situation relevant to successful execution of the skill”. Agents will feel affective pressure if they deviate from the model’s representation/prediction of how the skill is to be executed. The model thus “represents a norm of correct performance in the pattern of mismatches that trigger affective pressure to make an adjustment”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{"citationID":"MrjbUfqI","properties":{"formattedCitation":"(Birch 2021a, 8)","plainCitation":"(Birch 2021a, 8)","noteIndex":0},"citationItems":[{"id":505,"uris":["http://zotero.org/users/local/jz7T3Opo/items/V2YJ9ATX"],"itemData":{"id":505,"type":"article-journal","abstract":"We are all guided by thousands of norms, but how did our capacity for normative cognition evolve? I propose there is a deep but neglected link between normative cognition and practical skill. In modern humans, complex motor skills and craft skills, such as toolmaking, are guided by internally represented norms of correct performance. Moreover, it is plausible that core components of human normative cognition evolved as a solution to the distinctive problems of transmitting complex motor skills and craft skills, especially skills related to toolmaking, through social learning. If this is correct, the expansion of the normative domain beyond technique to encompass more abstract norms of fairness, reciprocity, ritual and kinship involved the elaboration of a basic platform for the guidance of skilled action by technical norms. This article motivates and defends this “skill hypothesis” for the origin of normative cognition and sets out various ways in which it could be empirically tested.","container-title":"Biology &amp; Philosophy","DOI":"10.1007/s10539-020-09777-9","ISSN":"0169-3867, 1572-8404","issue":"1","journalAbbreviation":"Biol Philos","language":"en","page":"4","source":"DOI.org (Crossref)","title":"Toolmaking and the evolution of normative cognition","volume":"36","author":[{"family":"Birch","given":"Jonathan"}],"issued":{"date-parts":[["2021",2]]}},"locator":"8","label":"page"}],"schema":"https://github.com/citation-style-language/schema/raw/master/csl-citation.json"}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(Birch 2021a, 8)</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w:t>
      </w:r>
    </w:p>
    <w:p w14:paraId="7925A58D" w14:textId="280CFFDC"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On the evolutionary side, the skill-hypothesis maintains that: “The capacity to internally represent action-guiding norms of correct performance evolved as a solution to the distinctive problems of standardizing, learning and teaching complex motor skills and craft skills, especially skills related to toolmaking.” Birch claims </w:t>
      </w:r>
      <w:r w:rsidR="00DA6234" w:rsidRPr="009B1F4E">
        <w:rPr>
          <w:rFonts w:ascii="Garamond" w:hAnsi="Garamond" w:cs="Calibri"/>
          <w:color w:val="000000" w:themeColor="text1"/>
        </w:rPr>
        <w:t xml:space="preserve">the cognitive control models described above are only found in our lineage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{"citationID":"Q78TF3OM","properties":{"formattedCitation":"(but see Westra and Andrews 2021a; Birch 2021b)","plainCitation":"(but see Westra and Andrews 2021a; Birch 2021b)","noteIndex":0},"citationItems":[{"id":1050,"uris":["http://zotero.org/users/local/jz7T3Opo/items/IKU7HDGN"],"itemData":{"id":1050,"type":"article-journal","abstract":"Birch sketches out an ingenious account of how the psychology of social norms emerged from individual-level norms of skill. We suggest that these individual-level norms of skill are likely to be much more widespread than Birch suggests, extending deeper into the hominid lineage, across modern great ape species, all the way to distantly related creatures like honeybees. This suggests that there would have been multiple opportunities for social norms to emerge from skill norms in human prehistory.","container-title":"Analyse &amp; Kritik","DOI":"10.1515/auk-2021-0011","ISSN":"2365-9858","issue":"1","language":"de","note":"publisher: De Gruyter Oldenbourg","page":"203-218","source":"www.degruyter.com","title":"If Skill is Normative, Then Norms are Everywhere","volume":"43","author":[{"family":"Westra","given":"Evan"},{"family":"Andrews","given":"Kristin"}],"issued":{"date-parts":[["2021",6,1]]}},"label":"page","prefix":"but see"},{"id":1046,"uris":["http://zotero.org/users/local/jz7T3Opo/items/AZKXM8JG"],"itemData":{"id":1046,"type":"article-journal","abstract":"I reflect on the commentaries on my ‘skill hypothesis’ from Andrews/Westra, Tomasello, Sterelny, and Railton. I discuss the difference between normative cognition and the broader category of action-guiding representation, and I reflect on the relationship between joint intentionality and normative cognition. I then consider Sterelny and Railton’s variants on the skill hypothesis, which highlight some important areas where future evidence could help us refine the account: the relative importance of on-the-fly skill execution vs. longer-term strategizing, the relative importance of toolmaking vs. collaborative foraging, and the question of whether norms are encoded in control models themselves or in the goals and ideals that our control models help us pursue.","container-title":"Analyse &amp; Kritik","DOI":"10.1515/auk-2021-0015","ISSN":"2365-9858","issue":"1","language":"de","note":"publisher: De Gruyter Oldenbourg","page":"253-260","source":"www.degruyter.com","title":"Refining the Skill Hypothesis: Replies to Andrews/Westra, Tomasello, Sterelny, and Railton","title-short":"Refining the Skill Hypothesis","volume":"43","author":[{"family":"Birch","given":"Jonathan"}],"issued":{"date-parts":[["2021",6,1]]}},"label":"page"}],"schema":"https://github.com/citation-style-language/schema/raw/master/csl-citation.json"}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(but see Westra and Andrews 2021a; Birch 2021b)</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Within that lineage, H. heidelbergensis is supposed to have evolved such control models, as evidenced by the symmetry and precision of Acheulean bifaces. Birch hypothesises that the affective pressure to conform to the respective norms arose because of selection pressures related to the manufacture of such tools. Producing Acheulean bifaces was a collaborative activity that required division of labour and the </w:t>
      </w:r>
      <w:r w:rsidR="00DA6234" w:rsidRPr="009B1F4E">
        <w:rPr>
          <w:rFonts w:ascii="Garamond" w:hAnsi="Garamond" w:cs="Calibri"/>
          <w:color w:val="000000" w:themeColor="text1"/>
        </w:rPr>
        <w:t>standardisation</w:t>
      </w:r>
      <w:r w:rsidRPr="009B1F4E">
        <w:rPr>
          <w:rFonts w:ascii="Garamond" w:hAnsi="Garamond" w:cs="Calibri"/>
          <w:color w:val="000000" w:themeColor="text1"/>
        </w:rPr>
        <w:t xml:space="preserve"> of technique. The general idea is this: The division of complex labour comes with the coordination problem of making different kinds of labour (and their output) correspond correctly. The </w:t>
      </w:r>
      <w:r w:rsidR="00DA6234" w:rsidRPr="009B1F4E">
        <w:rPr>
          <w:rFonts w:ascii="Garamond" w:hAnsi="Garamond" w:cs="Calibri"/>
          <w:color w:val="000000" w:themeColor="text1"/>
        </w:rPr>
        <w:t>standardisation</w:t>
      </w:r>
      <w:r w:rsidRPr="009B1F4E">
        <w:rPr>
          <w:rFonts w:ascii="Garamond" w:hAnsi="Garamond" w:cs="Calibri"/>
          <w:color w:val="000000" w:themeColor="text1"/>
        </w:rPr>
        <w:t xml:space="preserve"> provided by norms solves this problem. Birch thus suggests that “standardized toolmaking is an archaeological marker of norm-guided skill execution”. </w:t>
      </w:r>
    </w:p>
    <w:p w14:paraId="344D0AB5" w14:textId="77777777"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lastRenderedPageBreak/>
        <w:t xml:space="preserve">What I’d call coordination norms turned into — again, what I’d call — cooperation-norms because of active teaching. Teaching requires that agents compare others’ behaviours to one’s own model and react in ways conducive to bringing others’ behaviour in line with it. The cognitive control models expanded from self- to </w:t>
      </w:r>
      <w:proofErr w:type="gramStart"/>
      <w:r w:rsidRPr="009B1F4E">
        <w:rPr>
          <w:rFonts w:ascii="Garamond" w:hAnsi="Garamond" w:cs="Calibri"/>
          <w:color w:val="000000" w:themeColor="text1"/>
        </w:rPr>
        <w:t>other-regulation</w:t>
      </w:r>
      <w:proofErr w:type="gramEnd"/>
      <w:r w:rsidRPr="009B1F4E">
        <w:rPr>
          <w:rFonts w:ascii="Garamond" w:hAnsi="Garamond" w:cs="Calibri"/>
          <w:color w:val="000000" w:themeColor="text1"/>
        </w:rPr>
        <w:t xml:space="preserve">. </w:t>
      </w:r>
    </w:p>
    <w:p w14:paraId="0AA09E98" w14:textId="4E423C27"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How does this account of the evolution of norms compare to </w:t>
      </w:r>
      <w:r w:rsidR="00497B29" w:rsidRPr="009B1F4E">
        <w:rPr>
          <w:rFonts w:ascii="Garamond" w:hAnsi="Garamond" w:cs="Calibri"/>
          <w:color w:val="000000" w:themeColor="text1"/>
        </w:rPr>
        <w:t xml:space="preserve">what’s been said above? </w:t>
      </w:r>
    </w:p>
    <w:p w14:paraId="63A2E585" w14:textId="77777777" w:rsidR="009115FC" w:rsidRPr="009B1F4E" w:rsidRDefault="009115FC" w:rsidP="009115FC">
      <w:pPr>
        <w:spacing w:line="360" w:lineRule="auto"/>
        <w:jc w:val="both"/>
        <w:rPr>
          <w:rFonts w:ascii="Garamond" w:hAnsi="Garamond" w:cs="Calibri"/>
          <w:color w:val="000000" w:themeColor="text1"/>
        </w:rPr>
      </w:pPr>
    </w:p>
    <w:p w14:paraId="2E476529" w14:textId="4140920C" w:rsidR="009115FC" w:rsidRPr="009B1F4E" w:rsidRDefault="009115FC" w:rsidP="009115FC">
      <w:pPr>
        <w:pStyle w:val="Listenabsatz"/>
        <w:numPr>
          <w:ilvl w:val="1"/>
          <w:numId w:val="1"/>
        </w:num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The Skill-Hypothesis </w:t>
      </w:r>
      <w:proofErr w:type="gramStart"/>
      <w:r w:rsidR="00205D66" w:rsidRPr="009B1F4E">
        <w:rPr>
          <w:rFonts w:ascii="Garamond" w:hAnsi="Garamond" w:cs="Calibri"/>
          <w:color w:val="000000" w:themeColor="text1"/>
        </w:rPr>
        <w:t>compared</w:t>
      </w:r>
      <w:proofErr w:type="gramEnd"/>
    </w:p>
    <w:p w14:paraId="040092D1" w14:textId="214972D4"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Let’s start with a difference between the two views:</w:t>
      </w:r>
      <w:r w:rsidRPr="009B1F4E">
        <w:rPr>
          <w:rStyle w:val="Funotenzeichen"/>
          <w:rFonts w:ascii="Garamond" w:hAnsi="Garamond" w:cs="Calibri"/>
          <w:color w:val="000000" w:themeColor="text1"/>
        </w:rPr>
        <w:footnoteReference w:id="18"/>
      </w:r>
      <w:r w:rsidRPr="009B1F4E">
        <w:rPr>
          <w:rFonts w:ascii="Garamond" w:hAnsi="Garamond" w:cs="Calibri"/>
          <w:color w:val="000000" w:themeColor="text1"/>
        </w:rPr>
        <w:t xml:space="preserve">  Birch’s explanandum slightly differs from mine. Whilst I care about </w:t>
      </w:r>
      <w:r w:rsidRPr="009B1F4E">
        <w:rPr>
          <w:rFonts w:ascii="Garamond" w:hAnsi="Garamond" w:cs="Calibri"/>
          <w:i/>
          <w:iCs/>
          <w:color w:val="000000" w:themeColor="text1"/>
        </w:rPr>
        <w:t>social</w:t>
      </w:r>
      <w:r w:rsidRPr="009B1F4E">
        <w:rPr>
          <w:rFonts w:ascii="Garamond" w:hAnsi="Garamond" w:cs="Calibri"/>
          <w:color w:val="000000" w:themeColor="text1"/>
        </w:rPr>
        <w:t xml:space="preserve"> norms, Birch cares about norms more generally, which are just any standard of correct or appropriate behaviour. This broader notion harbours an ambiguity: To see this, consider that on Birch’s general understanding</w:t>
      </w:r>
      <w:r w:rsidR="00DA6234" w:rsidRPr="009B1F4E">
        <w:rPr>
          <w:rFonts w:ascii="Garamond" w:hAnsi="Garamond" w:cs="Calibri"/>
          <w:color w:val="000000" w:themeColor="text1"/>
        </w:rPr>
        <w:t>,</w:t>
      </w:r>
      <w:r w:rsidRPr="009B1F4E">
        <w:rPr>
          <w:rFonts w:ascii="Garamond" w:hAnsi="Garamond" w:cs="Calibri"/>
          <w:color w:val="000000" w:themeColor="text1"/>
        </w:rPr>
        <w:t xml:space="preserve"> the norms an agent might engage with can be entirely personal. An agent might have sought to promote a personal goal or acquire a personal good via their behaviour. Or they might have learned a skill largely by themselves, such that the norm that the control model encodes is independent of others’ behaviours or expectations. This might, for example, take place via reinforcement learning: An agent’s toolmaking behaviour is enforced if the tool is useable and </w:t>
      </w:r>
      <w:r w:rsidR="00DA6234" w:rsidRPr="009B1F4E">
        <w:rPr>
          <w:rFonts w:ascii="Garamond" w:hAnsi="Garamond" w:cs="Calibri"/>
          <w:color w:val="000000" w:themeColor="text1"/>
        </w:rPr>
        <w:t>disincentivised</w:t>
      </w:r>
      <w:r w:rsidRPr="009B1F4E">
        <w:rPr>
          <w:rFonts w:ascii="Garamond" w:hAnsi="Garamond" w:cs="Calibri"/>
          <w:color w:val="000000" w:themeColor="text1"/>
        </w:rPr>
        <w:t xml:space="preserve"> if it isn’t.</w:t>
      </w:r>
    </w:p>
    <w:p w14:paraId="250D02E4" w14:textId="2D948887" w:rsidR="009115FC" w:rsidRPr="009B1F4E" w:rsidRDefault="00DA6234"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Notably</w:t>
      </w:r>
      <w:r w:rsidR="009115FC" w:rsidRPr="009B1F4E">
        <w:rPr>
          <w:rFonts w:ascii="Garamond" w:hAnsi="Garamond" w:cs="Calibri"/>
          <w:color w:val="000000" w:themeColor="text1"/>
        </w:rPr>
        <w:t xml:space="preserve">, there’s a sense in which there are norms involved here. These might be instrumental norms that guide the agent in how to promote their aims </w:t>
      </w:r>
      <w:r w:rsidR="009115FC" w:rsidRPr="009B1F4E">
        <w:rPr>
          <w:rFonts w:ascii="Garamond" w:hAnsi="Garamond" w:cs="Calibri"/>
          <w:color w:val="000000" w:themeColor="text1"/>
        </w:rPr>
        <w:fldChar w:fldCharType="begin"/>
      </w:r>
      <w:r w:rsidR="00205D66" w:rsidRPr="009B1F4E">
        <w:rPr>
          <w:rFonts w:ascii="Garamond" w:hAnsi="Garamond" w:cs="Calibri"/>
          <w:color w:val="000000" w:themeColor="text1"/>
        </w:rPr>
        <w:instrText xml:space="preserve"> ADDIN ZOTERO_ITEM CSL_CITATION {"citationID":"RYjS90ov","properties":{"formattedCitation":"(Tomasello 2014, chap. 2; Gonzalez-Cabrera 2022)","plainCitation":"(Tomasello 2014, chap. 2; Gonzalez-Cabrera 2022)","noteIndex":0},"citationItems":[{"id":810,"uris":["http://zotero.org/users/local/jz7T3Opo/items/GTI7FTAL"],"itemData":{"id":810,"type":"book","abstract":"Tool-making or culture, language or religious belief: ever since Darwin, thinkers have struggled to identify what fundamentally differentiates human beings from other animals. Michael Tomasello weaves his twenty years of comparative studies of humans and great apes into a compelling argument that cooperative social interaction is the key to our cognitive uniqueness. Tomasello maintains that our prehuman ancestors, like today's great apes, were social beings who could solve problems by thinking. But they were almost entirely competitive, aiming only at their individual goals. As ecological changes forced them into more cooperative living arrangements, early humans had to coordinate their actions and communicate their thoughts with collaborative partners. Tomasello's \"shared intentionality hypothesis\" captures how these more socially complex forms of life led to more conceptually complex forms of thinking. In order to survive, humans had to learn to see the world from multiple social perspectives, to draw socially recursive inferences, and to monitor their own thinking via the normative standards of the group. Even language and culture arose from the preexisting need to work together and coordinate thoughts. A Natural History of Human Thinking is the most detailed scientific analysis to date of the connection between human sociality and cognition.","ISBN":"978-0-674-72636-9","language":"en","note":"container-title: A Natural History of Human Thinking","publisher":"Harvard University Press","source":"www.degruyter.com","title":"A Natural History of Human Thinking","URL":"https://www.degruyter.com/document/doi/10.4159/9780674726369/html","author":[{"family":"Tomasello","given":"Michael"}],"accessed":{"date-parts":[["2021",7,29]]},"issued":{"date-parts":[["2014",2,17]]}},"locator":"2","label":"chapter"},{"id":1652,"uris":["http://zotero.org/users/local/jz7T3Opo/items/CE38A9H7"],"itemData":{"id":1652,"type":"article-journal","abstract":"Abstract\n            This paper aims to contribute to the existing literature on normative cognition by providing a lineage explanation of human social norm psychology. This approach builds upon theories of goal-directed behavioral control in the reinforcement learning and control literature, arguing that this form of control defines an important class of intentional normative mental states that are instrumental in nature. I defend the view that great ape capacities for instrumental reasoning and our capacity (or family of capacities) for shared intentionality coadapted to each other and argue that the evolution of this capacity has allowed the representation of social norms and the emergence of our capacity for normative guidance.","container-title":"Synthese","DOI":"10.1007/s11229-022-03925-2","ISSN":"1573-0964","issue":"6","journalAbbreviation":"Synthese","language":"en","page":"493","source":"DOI.org (Crossref)","title":"A lineage explanation of human normative guidance: the coadaptive model of instrumental rationality and shared intentionality","title-short":"A lineage explanation of human normative guidance","volume":"200","author":[{"family":"Gonzalez-Cabrera","given":"Ivan"}],"issued":{"date-parts":[["2022",11,21]]}}}],"schema":"https://github.com/citation-style-language/schema/raw/master/csl-citation.json"} </w:instrText>
      </w:r>
      <w:r w:rsidR="009115FC" w:rsidRPr="009B1F4E">
        <w:rPr>
          <w:rFonts w:ascii="Garamond" w:hAnsi="Garamond" w:cs="Calibri"/>
          <w:color w:val="000000" w:themeColor="text1"/>
        </w:rPr>
        <w:fldChar w:fldCharType="separate"/>
      </w:r>
      <w:r w:rsidR="00205D66" w:rsidRPr="009B1F4E">
        <w:rPr>
          <w:rFonts w:ascii="Garamond" w:hAnsi="Garamond" w:cs="Calibri"/>
          <w:noProof/>
          <w:color w:val="000000" w:themeColor="text1"/>
        </w:rPr>
        <w:t>(Tomasello 2014, chap. 2; Gonzalez-Cabrera 2022)</w:t>
      </w:r>
      <w:r w:rsidR="009115FC" w:rsidRPr="009B1F4E">
        <w:rPr>
          <w:rFonts w:ascii="Garamond" w:hAnsi="Garamond" w:cs="Calibri"/>
          <w:color w:val="000000" w:themeColor="text1"/>
        </w:rPr>
        <w:fldChar w:fldCharType="end"/>
      </w:r>
      <w:r w:rsidR="009115FC" w:rsidRPr="009B1F4E">
        <w:rPr>
          <w:rFonts w:ascii="Garamond" w:hAnsi="Garamond" w:cs="Calibri"/>
          <w:color w:val="000000" w:themeColor="text1"/>
        </w:rPr>
        <w:t xml:space="preserve">, or they might be technical norms that guide the agent in their skill-execution — over time and by trial-and-error learning, they might come to have their own standard for how to execute the skill in question. Such personal norms are implemented in the agent’s control models and set standards of correctness in relation to how an agent’s goals might be best pursued or how to best execute the skill. Plausibly, agents will feel affective pressure if they deviate from this norm </w:t>
      </w:r>
      <w:r w:rsidRPr="009B1F4E">
        <w:rPr>
          <w:rFonts w:ascii="Garamond" w:hAnsi="Garamond" w:cs="Calibri"/>
          <w:color w:val="000000" w:themeColor="text1"/>
        </w:rPr>
        <w:t>as well here, as</w:t>
      </w:r>
      <w:r w:rsidR="009115FC" w:rsidRPr="009B1F4E">
        <w:rPr>
          <w:rFonts w:ascii="Garamond" w:hAnsi="Garamond" w:cs="Calibri"/>
          <w:color w:val="000000" w:themeColor="text1"/>
        </w:rPr>
        <w:t xml:space="preserve"> they won’t attain their </w:t>
      </w:r>
      <w:r w:rsidRPr="009B1F4E">
        <w:rPr>
          <w:rFonts w:ascii="Garamond" w:hAnsi="Garamond" w:cs="Calibri"/>
          <w:color w:val="000000" w:themeColor="text1"/>
        </w:rPr>
        <w:t>goals,</w:t>
      </w:r>
      <w:r w:rsidR="009115FC" w:rsidRPr="009B1F4E">
        <w:rPr>
          <w:rFonts w:ascii="Garamond" w:hAnsi="Garamond" w:cs="Calibri"/>
          <w:color w:val="000000" w:themeColor="text1"/>
        </w:rPr>
        <w:t xml:space="preserve"> or the resulting tool won’t be useful to them. Plausibly, such personal normative cognition was selected for to allow for the flexible pursuit of goals and/or because of the complexity of skills and general behaviours that agents acquired </w:t>
      </w:r>
      <w:r w:rsidR="009115FC" w:rsidRPr="009B1F4E">
        <w:rPr>
          <w:rFonts w:ascii="Garamond" w:hAnsi="Garamond" w:cs="Calibri"/>
          <w:color w:val="000000" w:themeColor="text1"/>
        </w:rPr>
        <w:fldChar w:fldCharType="begin"/>
      </w:r>
      <w:r w:rsidR="004C1DC7" w:rsidRPr="009B1F4E">
        <w:rPr>
          <w:rFonts w:ascii="Garamond" w:hAnsi="Garamond" w:cs="Calibri"/>
          <w:color w:val="000000" w:themeColor="text1"/>
        </w:rPr>
        <w:instrText xml:space="preserve"> ADDIN ZOTERO_ITEM CSL_CITATION {"citationID":"oDUbBYwl","properties":{"formattedCitation":"(see Gonzalez-Cabrera forthcoming for more on the evolution and computational implementation of such personal norms.)","plainCitation":"(see Gonzalez-Cabrera forthcoming for more on the evolution and computational implementation of such personal norms.)","noteIndex":0},"citationItems":[{"id":"rrWU6bVk/FPQavPO3","uris":["http://zotero.org/users/local/jz7T3Opo/items/AW7BI8UA"],"itemData":{"id":1191,"type":"article-journal","container-title":"Synthese","title":"A Lineage Explanation of human normative guidance: The coadaptive model of instrumental rationality and shared intentionality","author":[{"family":"Gonzalez-Cabrera","given":"Ivan"}],"issued":{"literal":"forthcoming"}},"label":"page","prefix":"see","suffix":"for more on the evolution and computational implementation of such personal norms."}],"schema":"https://github.com/citation-style-language/schema/raw/master/csl-citation.json"} </w:instrText>
      </w:r>
      <w:r w:rsidR="009115FC" w:rsidRPr="009B1F4E">
        <w:rPr>
          <w:rFonts w:ascii="Garamond" w:hAnsi="Garamond" w:cs="Calibri"/>
          <w:color w:val="000000" w:themeColor="text1"/>
        </w:rPr>
        <w:fldChar w:fldCharType="separate"/>
      </w:r>
      <w:r w:rsidR="009115FC" w:rsidRPr="009B1F4E">
        <w:rPr>
          <w:rFonts w:ascii="Garamond" w:hAnsi="Garamond" w:cs="Calibri"/>
          <w:noProof/>
          <w:color w:val="000000" w:themeColor="text1"/>
        </w:rPr>
        <w:t>(see Gonzalez-Cabrera forthcoming for more on the evolution and computational implementation of such personal norms.)</w:t>
      </w:r>
      <w:r w:rsidR="009115FC" w:rsidRPr="009B1F4E">
        <w:rPr>
          <w:rFonts w:ascii="Garamond" w:hAnsi="Garamond" w:cs="Calibri"/>
          <w:color w:val="000000" w:themeColor="text1"/>
        </w:rPr>
        <w:fldChar w:fldCharType="end"/>
      </w:r>
      <w:r w:rsidR="009115FC" w:rsidRPr="009B1F4E">
        <w:rPr>
          <w:rFonts w:ascii="Garamond" w:hAnsi="Garamond" w:cs="Calibri"/>
          <w:color w:val="000000" w:themeColor="text1"/>
        </w:rPr>
        <w:t xml:space="preserve">. We can read Birch as agreeing that there are such personal norms: “For an elite biker, approaching a corner too fast will feel wrong, motivating adjustment; too much pressure on the brake will feel wrong, motivating adjustment; steering that is too tight or too loose will feel wrong, motivating adjustment—and so on. […] This pattern of mismatches implies a standard of </w:t>
      </w:r>
      <w:r w:rsidR="009115FC" w:rsidRPr="009B1F4E">
        <w:rPr>
          <w:rFonts w:ascii="Garamond" w:hAnsi="Garamond" w:cs="Calibri"/>
          <w:color w:val="000000" w:themeColor="text1"/>
        </w:rPr>
        <w:lastRenderedPageBreak/>
        <w:t xml:space="preserve">correct performance </w:t>
      </w:r>
      <w:r w:rsidR="009115FC" w:rsidRPr="009B1F4E">
        <w:rPr>
          <w:rFonts w:ascii="Garamond" w:hAnsi="Garamond" w:cs="Calibri"/>
          <w:i/>
          <w:iCs/>
          <w:color w:val="000000" w:themeColor="text1"/>
        </w:rPr>
        <w:t>by the agent’s lights</w:t>
      </w:r>
      <w:r w:rsidR="009115FC" w:rsidRPr="009B1F4E">
        <w:rPr>
          <w:rFonts w:ascii="Garamond" w:hAnsi="Garamond" w:cs="Calibri"/>
          <w:color w:val="000000" w:themeColor="text1"/>
        </w:rPr>
        <w:t xml:space="preserve">.” </w:t>
      </w:r>
      <w:r w:rsidR="009115FC" w:rsidRPr="009B1F4E">
        <w:rPr>
          <w:rFonts w:ascii="Garamond" w:hAnsi="Garamond" w:cs="Calibri"/>
          <w:color w:val="000000" w:themeColor="text1"/>
        </w:rPr>
        <w:fldChar w:fldCharType="begin"/>
      </w:r>
      <w:r w:rsidR="009115FC" w:rsidRPr="009B1F4E">
        <w:rPr>
          <w:rFonts w:ascii="Garamond" w:hAnsi="Garamond" w:cs="Calibri"/>
          <w:color w:val="000000" w:themeColor="text1"/>
        </w:rPr>
        <w:instrText xml:space="preserve"> ADDIN ZOTERO_ITEM CSL_CITATION {"citationID":"1tcBiin4","properties":{"formattedCitation":"(Birch 2021a, 8, my emphasis)","plainCitation":"(Birch 2021a, 8, my emphasis)","noteIndex":0},"citationItems":[{"id":505,"uris":["http://zotero.org/users/local/jz7T3Opo/items/V2YJ9ATX"],"itemData":{"id":505,"type":"article-journal","abstract":"We are all guided by thousands of norms, but how did our capacity for normative cognition evolve? I propose there is a deep but neglected link between normative cognition and practical skill. In modern humans, complex motor skills and craft skills, such as toolmaking, are guided by internally represented norms of correct performance. Moreover, it is plausible that core components of human normative cognition evolved as a solution to the distinctive problems of transmitting complex motor skills and craft skills, especially skills related to toolmaking, through social learning. If this is correct, the expansion of the normative domain beyond technique to encompass more abstract norms of fairness, reciprocity, ritual and kinship involved the elaboration of a basic platform for the guidance of skilled action by technical norms. This article motivates and defends this “skill hypothesis” for the origin of normative cognition and sets out various ways in which it could be empirically tested.","container-title":"Biology &amp; Philosophy","DOI":"10.1007/s10539-020-09777-9","ISSN":"0169-3867, 1572-8404","issue":"1","journalAbbreviation":"Biol Philos","language":"en","page":"4","source":"DOI.org (Crossref)","title":"Toolmaking and the evolution of normative cognition","volume":"36","author":[{"family":"Birch","given":"Jonathan"}],"issued":{"date-parts":[["2021",2]]}},"locator":"8","label":"page","suffix":", my emphasis"}],"schema":"https://github.com/citation-style-language/schema/raw/master/csl-citation.json"} </w:instrText>
      </w:r>
      <w:r w:rsidR="009115FC" w:rsidRPr="009B1F4E">
        <w:rPr>
          <w:rFonts w:ascii="Garamond" w:hAnsi="Garamond" w:cs="Calibri"/>
          <w:color w:val="000000" w:themeColor="text1"/>
        </w:rPr>
        <w:fldChar w:fldCharType="separate"/>
      </w:r>
      <w:r w:rsidR="009115FC" w:rsidRPr="009B1F4E">
        <w:rPr>
          <w:rFonts w:ascii="Garamond" w:hAnsi="Garamond" w:cs="Calibri"/>
          <w:noProof/>
          <w:color w:val="000000" w:themeColor="text1"/>
        </w:rPr>
        <w:t>(Birch 2021a, 8, my emphasis)</w:t>
      </w:r>
      <w:r w:rsidR="009115FC" w:rsidRPr="009B1F4E">
        <w:rPr>
          <w:rFonts w:ascii="Garamond" w:hAnsi="Garamond" w:cs="Calibri"/>
          <w:color w:val="000000" w:themeColor="text1"/>
        </w:rPr>
        <w:fldChar w:fldCharType="end"/>
      </w:r>
      <w:r w:rsidR="009115FC" w:rsidRPr="009B1F4E">
        <w:rPr>
          <w:rFonts w:ascii="Garamond" w:hAnsi="Garamond" w:cs="Calibri"/>
          <w:color w:val="000000" w:themeColor="text1"/>
        </w:rPr>
        <w:t xml:space="preserve"> But I also take it that it’s independently plausible that such personal norms exist.</w:t>
      </w:r>
    </w:p>
    <w:p w14:paraId="7F34A9AF" w14:textId="376A7FD1"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Importantly, it seems </w:t>
      </w:r>
      <w:r w:rsidRPr="009B1F4E">
        <w:rPr>
          <w:rFonts w:ascii="Garamond" w:hAnsi="Garamond" w:cs="Calibri"/>
          <w:i/>
          <w:iCs/>
          <w:color w:val="000000" w:themeColor="text1"/>
        </w:rPr>
        <w:t>conceptually</w:t>
      </w:r>
      <w:r w:rsidRPr="009B1F4E">
        <w:rPr>
          <w:rFonts w:ascii="Garamond" w:hAnsi="Garamond" w:cs="Calibri"/>
          <w:color w:val="000000" w:themeColor="text1"/>
        </w:rPr>
        <w:t xml:space="preserve"> clear that such personal norms do not qualify as social norms in the sense under discussion here. There are different ways to spell out what would be needed for a norm to count as a social norm rather than the kind of personal norm I outlined above. We might, for example, say that agents need to share the goals they’d like to promote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{"citationID":"SifqkEzR","properties":{"formattedCitation":"(Tomasello 2014, chap. 3; 2016)","plainCitation":"(Tomasello 2014, chap. 3; 2016)","noteIndex":0},"citationItems":[{"id":810,"uris":["http://zotero.org/users/local/jz7T3Opo/items/GTI7FTAL"],"itemData":{"id":810,"type":"book","abstract":"Tool-making or culture, language or religious belief: ever since Darwin, thinkers have struggled to identify what fundamentally differentiates human beings from other animals. Michael Tomasello weaves his twenty years of comparative studies of humans and great apes into a compelling argument that cooperative social interaction is the key to our cognitive uniqueness. Tomasello maintains that our prehuman ancestors, like today's great apes, were social beings who could solve problems by thinking. But they were almost entirely competitive, aiming only at their individual goals. As ecological changes forced them into more cooperative living arrangements, early humans had to coordinate their actions and communicate their thoughts with collaborative partners. Tomasello's \"shared intentionality hypothesis\" captures how these more socially complex forms of life led to more conceptually complex forms of thinking. In order to survive, humans had to learn to see the world from multiple social perspectives, to draw socially recursive inferences, and to monitor their own thinking via the normative standards of the group. Even language and culture arose from the preexisting need to work together and coordinate thoughts. A Natural History of Human Thinking is the most detailed scientific analysis to date of the connection between human sociality and cognition.","ISBN":"978-0-674-72636-9","language":"en","note":"container-title: A Natural History of Human Thinking","publisher":"Harvard University Press","source":"www.degruyter.com","title":"A Natural History of Human Thinking","URL":"https://www.degruyter.com/document/doi/10.4159/9780674726369/html","author":[{"family":"Tomasello","given":"Michael"}],"accessed":{"date-parts":[["2021",7,29]]},"issued":{"date-parts":[["2014",2,17]]}},"locator":"3","label":"chapter"},{"id":1055,"uris":["http://zotero.org/users/local/jz7T3Opo/items/KVEN6DSN"],"itemData":{"id":1055,"type":"book","abstract":"Michael Tomasello offers the most detailed account to date of the evolution of human moral psychology. Based on experimental data comparing great apes and human children, he reconstructs two key evolutionary steps whereby early humans gradually became an ultra-cooperative and, eventually, a moral species capable of acting as a plural agent “we”.","ISBN":"978-0-674-91585-5","language":"en","note":"DOI: 10.4159/9780674915855\ncontainer-title: A Natural History of Human Morality","publisher":"Harvard University Press","source":"www.degruyter.com","title":"A Natural History of Human Morality","URL":"https://www.degruyter.com/document/doi/10.4159/9780674915855/html","author":[{"family":"Tomasello","given":"Michael"}],"accessed":{"date-parts":[["2022",7,29]]},"issued":{"date-parts":[["2016",1,4]]}}}],"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(Tomasello 2014, chap. 3; 2016)</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or that a sufficient subset of agents of a group need to expect from each other that they’ll conform to a norm and that they prefer to conform to that norm because of this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{"citationID":"dnYTZYcS","properties":{"formattedCitation":"(Bicchieri 2005)","plainCitation":"(Bicchieri 2005)","noteIndex":0},"citationItems":[{"id":334,"uris":["http://zotero.org/users/local/jz7T3Opo/items/BUBTI4E3"],"itemData":{"id":334,"type":"article-journal","language":"en","page":"278","source":"Zotero","title":"The Grammar of Society: The Nature and Dynamics of Social Norms","author":[{"family":"Bicchieri","given":"Cristina"}],"issued":{"date-parts":[["2005"]]}}}],"schema":"https://github.com/citation-style-language/schema/raw/master/csl-citation.json"}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(Bicchieri 2005)</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or that subset of the group needs to share the relevant normative attitude and know about this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{"citationID":"KL9JAwrt","properties":{"formattedCitation":"(Brennan et al. 2013)","plainCitation":"(Brennan et al. 2013)","noteIndex":0},"citationItems":[{"id":13,"uris":["http://zotero.org/users/local/jz7T3Opo/items/XYCQDPRG"],"itemData":{"id":13,"type":"book","publisher":"Oxford University Press","source":"Google Scholar","title":"Explaining norms","author":[{"family":"Brennan","given":"Geoffrey"},{"family":"Eriksson","given":"Lina"},{"family":"Goodin","given":"Robert E."},{"family":"Southwood","given":"Nicholas"}],"issued":{"date-parts":[["2013"]]}}}],"schema":"https://github.com/citation-style-language/schema/raw/master/csl-citation.json"}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(Brennan et al. 2013)</w:t>
      </w:r>
      <w:r w:rsidRPr="009B1F4E">
        <w:rPr>
          <w:rFonts w:ascii="Garamond" w:hAnsi="Garamond" w:cs="Calibri"/>
          <w:color w:val="000000" w:themeColor="text1"/>
        </w:rPr>
        <w:fldChar w:fldCharType="end"/>
      </w:r>
      <w:r w:rsidRPr="009B1F4E">
        <w:rPr>
          <w:rFonts w:ascii="Garamond" w:hAnsi="Garamond" w:cs="Calibri"/>
          <w:color w:val="000000" w:themeColor="text1"/>
        </w:rPr>
        <w:t>. Outside of my commitment to social norms function, I don’t seek to commit to any of these accounts. But it seems clear that on all of them the personal norms I’ve discussed above don’t qualify as social norms. Birch’s account — because of its understanding of norms as any standard of correctness whatsoever — doesn’t explicitly make this distinction.</w:t>
      </w:r>
    </w:p>
    <w:p w14:paraId="225E9C02" w14:textId="5955042A"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This distinction is also relevant to the question of whether non-human animals (and our LCA) </w:t>
      </w:r>
      <w:proofErr w:type="gramStart"/>
      <w:r w:rsidRPr="009B1F4E">
        <w:rPr>
          <w:rFonts w:ascii="Garamond" w:hAnsi="Garamond" w:cs="Calibri"/>
          <w:color w:val="000000" w:themeColor="text1"/>
        </w:rPr>
        <w:t>possess</w:t>
      </w:r>
      <w:proofErr w:type="gramEnd"/>
      <w:r w:rsidRPr="009B1F4E">
        <w:rPr>
          <w:rFonts w:ascii="Garamond" w:hAnsi="Garamond" w:cs="Calibri"/>
          <w:color w:val="000000" w:themeColor="text1"/>
        </w:rPr>
        <w:t xml:space="preserve"> normative cognition. Whilst Birch remains sceptical, he also concedes that: “I am happy to see the evolutionary origin date for model-based cognitive control pushed backwards by new evidence. I may have overestimated its recency.”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{"citationID":"CyicLG6T","properties":{"formattedCitation":"(Birch 2021b, 255)","plainCitation":"(Birch 2021b, 255)","noteIndex":0},"citationItems":[{"id":1046,"uris":["http://zotero.org/users/local/jz7T3Opo/items/AZKXM8JG"],"itemData":{"id":1046,"type":"article-journal","abstract":"I reflect on the commentaries on my ‘skill hypothesis’ from Andrews/Westra, Tomasello, Sterelny, and Railton. I discuss the difference between normative cognition and the broader category of action-guiding representation, and I reflect on the relationship between joint intentionality and normative cognition. I then consider Sterelny and Railton’s variants on the skill hypothesis, which highlight some important areas where future evidence could help us refine the account: the relative importance of on-the-fly skill execution vs. longer-term strategizing, the relative importance of toolmaking vs. collaborative foraging, and the question of whether norms are encoded in control models themselves or in the goals and ideals that our control models help us pursue.","container-title":"Analyse &amp; Kritik","DOI":"10.1515/auk-2021-0015","ISSN":"2365-9858","issue":"1","language":"de","note":"publisher: De Gruyter Oldenbourg","page":"253-260","source":"www.degruyter.com","title":"Refining the Skill Hypothesis: Replies to Andrews/Westra, Tomasello, Sterelny, and Railton","title-short":"Refining the Skill Hypothesis","volume":"43","author":[{"family":"Birch","given":"Jonathan"}],"issued":{"date-parts":[["2021",6,1]]}},"locator":"255","label":"page"}],"schema":"https://github.com/citation-style-language/schema/raw/master/csl-citation.json"}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(Birch 2021b, 255)</w:t>
      </w:r>
      <w:r w:rsidRPr="009B1F4E">
        <w:rPr>
          <w:rFonts w:ascii="Garamond" w:hAnsi="Garamond" w:cs="Calibri"/>
          <w:color w:val="000000" w:themeColor="text1"/>
        </w:rPr>
        <w:fldChar w:fldCharType="end"/>
      </w:r>
      <w:r w:rsidRPr="009B1F4E">
        <w:rPr>
          <w:rFonts w:ascii="Garamond" w:hAnsi="Garamond" w:cs="Calibri"/>
          <w:color w:val="000000" w:themeColor="text1"/>
        </w:rPr>
        <w:t>. The distinction highlights that we cannot just ask whether non-human animals and our LCA possess normative cognition simpliciter — and whether we should</w:t>
      </w:r>
      <w:r w:rsidR="008A44F5" w:rsidRPr="009B1F4E">
        <w:rPr>
          <w:rFonts w:ascii="Garamond" w:hAnsi="Garamond" w:cs="Calibri"/>
          <w:color w:val="000000" w:themeColor="text1"/>
        </w:rPr>
        <w:t>,</w:t>
      </w:r>
      <w:r w:rsidRPr="009B1F4E">
        <w:rPr>
          <w:rFonts w:ascii="Garamond" w:hAnsi="Garamond" w:cs="Calibri"/>
          <w:color w:val="000000" w:themeColor="text1"/>
        </w:rPr>
        <w:t xml:space="preserve"> therefor</w:t>
      </w:r>
      <w:r w:rsidR="008A44F5" w:rsidRPr="009B1F4E">
        <w:rPr>
          <w:rFonts w:ascii="Garamond" w:hAnsi="Garamond" w:cs="Calibri"/>
          <w:color w:val="000000" w:themeColor="text1"/>
        </w:rPr>
        <w:t>e,</w:t>
      </w:r>
      <w:r w:rsidRPr="009B1F4E">
        <w:rPr>
          <w:rFonts w:ascii="Garamond" w:hAnsi="Garamond" w:cs="Calibri"/>
          <w:color w:val="000000" w:themeColor="text1"/>
        </w:rPr>
        <w:t xml:space="preserve"> push back the timeline of its emergence — but whether it stands in relation to personal or social norms — and whether there are </w:t>
      </w:r>
      <w:proofErr w:type="spellStart"/>
      <w:r w:rsidRPr="009B1F4E">
        <w:rPr>
          <w:rFonts w:ascii="Garamond" w:hAnsi="Garamond" w:cs="Calibri"/>
          <w:color w:val="000000" w:themeColor="text1"/>
        </w:rPr>
        <w:t>therefor</w:t>
      </w:r>
      <w:proofErr w:type="spellEnd"/>
      <w:r w:rsidRPr="009B1F4E">
        <w:rPr>
          <w:rFonts w:ascii="Garamond" w:hAnsi="Garamond" w:cs="Calibri"/>
          <w:color w:val="000000" w:themeColor="text1"/>
        </w:rPr>
        <w:t xml:space="preserve"> qualitative differences in the evolutionary trajectory of normative cognition that we should account for. I’ll say a bit more on this question in section 5. </w:t>
      </w:r>
    </w:p>
    <w:p w14:paraId="2293AEC1" w14:textId="42FEDC92"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When it comes to the evolutionary trajectory</w:t>
      </w:r>
      <w:r w:rsidR="008A44F5" w:rsidRPr="009B1F4E">
        <w:rPr>
          <w:rFonts w:ascii="Garamond" w:hAnsi="Garamond" w:cs="Calibri"/>
          <w:color w:val="000000" w:themeColor="text1"/>
        </w:rPr>
        <w:t>,</w:t>
      </w:r>
      <w:r w:rsidRPr="009B1F4E">
        <w:rPr>
          <w:rFonts w:ascii="Garamond" w:hAnsi="Garamond" w:cs="Calibri"/>
          <w:color w:val="000000" w:themeColor="text1"/>
        </w:rPr>
        <w:t xml:space="preserve"> the view that suggests itself is the following: Personal norms and the associated cognition were evolutionary precursors to the kinds of social norms I’ve been interested in </w:t>
      </w:r>
      <w:r w:rsidRPr="009B1F4E">
        <w:rPr>
          <w:rFonts w:ascii="Garamond" w:hAnsi="Garamond" w:cs="Calibri"/>
          <w:color w:val="000000" w:themeColor="text1"/>
        </w:rPr>
        <w:fldChar w:fldCharType="begin"/>
      </w:r>
      <w:r w:rsidR="00205D66" w:rsidRPr="009B1F4E">
        <w:rPr>
          <w:rFonts w:ascii="Garamond" w:hAnsi="Garamond" w:cs="Calibri"/>
          <w:color w:val="000000" w:themeColor="text1"/>
        </w:rPr>
        <w:instrText xml:space="preserve"> ADDIN ZOTERO_ITEM CSL_CITATION {"citationID":"6yTmZpCK","properties":{"formattedCitation":"(see Gonzalez-Cabrera 2022 for a similar view)","plainCitation":"(see Gonzalez-Cabrera 2022 for a similar view)","noteIndex":0},"citationItems":[{"id":1652,"uris":["http://zotero.org/users/local/jz7T3Opo/items/CE38A9H7"],"itemData":{"id":1652,"type":"article-journal","abstract":"Abstract\n            This paper aims to contribute to the existing literature on normative cognition by providing a lineage explanation of human social norm psychology. This approach builds upon theories of goal-directed behavioral control in the reinforcement learning and control literature, arguing that this form of control defines an important class of intentional normative mental states that are instrumental in nature. I defend the view that great ape capacities for instrumental reasoning and our capacity (or family of capacities) for shared intentionality coadapted to each other and argue that the evolution of this capacity has allowed the representation of social norms and the emergence of our capacity for normative guidance.","container-title":"Synthese","DOI":"10.1007/s11229-022-03925-2","ISSN":"1573-0964","issue":"6","journalAbbreviation":"Synthese","language":"en","page":"493","source":"DOI.org (Crossref)","title":"A lineage explanation of human normative guidance: the coadaptive model of instrumental rationality and shared intentionality","title-short":"A lineage explanation of human normative guidance","volume":"200","author":[{"family":"Gonzalez-Cabrera","given":"Ivan"}],"issued":{"date-parts":[["2022",11,21]]}},"label":"page","prefix":"see","suffix":"for a similar view"}],"schema":"https://github.com/citation-style-language/schema/raw/master/csl-citation.json"} </w:instrText>
      </w:r>
      <w:r w:rsidRPr="009B1F4E">
        <w:rPr>
          <w:rFonts w:ascii="Garamond" w:hAnsi="Garamond" w:cs="Calibri"/>
          <w:color w:val="000000" w:themeColor="text1"/>
        </w:rPr>
        <w:fldChar w:fldCharType="separate"/>
      </w:r>
      <w:r w:rsidR="00205D66" w:rsidRPr="009B1F4E">
        <w:rPr>
          <w:rFonts w:ascii="Garamond" w:hAnsi="Garamond" w:cs="Calibri"/>
          <w:noProof/>
          <w:color w:val="000000" w:themeColor="text1"/>
        </w:rPr>
        <w:t>(see Gonzalez-Cabrera 2022 for a similar view)</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Agents were first able to conform to personal norms, the social component only came in later. </w:t>
      </w:r>
    </w:p>
    <w:p w14:paraId="260F35FD" w14:textId="57C5740E"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Why did norms turn from being personal to being social? Here</w:t>
      </w:r>
      <w:r w:rsidR="008A44F5" w:rsidRPr="009B1F4E">
        <w:rPr>
          <w:rFonts w:ascii="Garamond" w:hAnsi="Garamond" w:cs="Calibri"/>
          <w:color w:val="000000" w:themeColor="text1"/>
        </w:rPr>
        <w:t>, Birch and I can agree that there’s a sense that</w:t>
      </w:r>
      <w:r w:rsidRPr="009B1F4E">
        <w:rPr>
          <w:rFonts w:ascii="Garamond" w:hAnsi="Garamond" w:cs="Calibri"/>
          <w:color w:val="000000" w:themeColor="text1"/>
        </w:rPr>
        <w:t xml:space="preserve"> this was due to selection pressures stemming from coordination problems. Birch takes it that this was due to the division of labour in the execution and transmission of complex skills — such as toolmaking — which required standardi</w:t>
      </w:r>
      <w:r w:rsidR="008A44F5" w:rsidRPr="009B1F4E">
        <w:rPr>
          <w:rFonts w:ascii="Garamond" w:hAnsi="Garamond" w:cs="Calibri"/>
          <w:color w:val="000000" w:themeColor="text1"/>
        </w:rPr>
        <w:t>s</w:t>
      </w:r>
      <w:r w:rsidRPr="009B1F4E">
        <w:rPr>
          <w:rFonts w:ascii="Garamond" w:hAnsi="Garamond" w:cs="Calibri"/>
          <w:color w:val="000000" w:themeColor="text1"/>
        </w:rPr>
        <w:t>ation that norms provided. As the above details, I agree that the</w:t>
      </w:r>
      <w:r w:rsidR="00F7159B" w:rsidRPr="009B1F4E">
        <w:rPr>
          <w:rFonts w:ascii="Garamond" w:hAnsi="Garamond" w:cs="Calibri"/>
          <w:color w:val="000000" w:themeColor="text1"/>
        </w:rPr>
        <w:t xml:space="preserve"> execution and</w:t>
      </w:r>
      <w:r w:rsidRPr="009B1F4E">
        <w:rPr>
          <w:rFonts w:ascii="Garamond" w:hAnsi="Garamond" w:cs="Calibri"/>
          <w:color w:val="000000" w:themeColor="text1"/>
        </w:rPr>
        <w:t xml:space="preserve"> transmission of skills indeed posed problems solved by coordination-norms.</w:t>
      </w:r>
      <w:r w:rsidR="00ED156D" w:rsidRPr="009B1F4E">
        <w:rPr>
          <w:rFonts w:ascii="Garamond" w:hAnsi="Garamond" w:cs="Calibri"/>
          <w:color w:val="000000" w:themeColor="text1"/>
        </w:rPr>
        <w:t xml:space="preserve"> </w:t>
      </w:r>
      <w:r w:rsidRPr="009B1F4E">
        <w:rPr>
          <w:rFonts w:ascii="Garamond" w:hAnsi="Garamond" w:cs="Calibri"/>
          <w:color w:val="000000" w:themeColor="text1"/>
        </w:rPr>
        <w:t>However, the upshot of the preceding sections is that a more pluralistic picture presents itself. First, early norms didn’t solely arise in relation to coordination</w:t>
      </w:r>
      <w:r w:rsidR="008A44F5" w:rsidRPr="009B1F4E">
        <w:rPr>
          <w:rFonts w:ascii="Garamond" w:hAnsi="Garamond" w:cs="Calibri"/>
          <w:color w:val="000000" w:themeColor="text1"/>
        </w:rPr>
        <w:t xml:space="preserve"> </w:t>
      </w:r>
      <w:r w:rsidRPr="009B1F4E">
        <w:rPr>
          <w:rFonts w:ascii="Garamond" w:hAnsi="Garamond" w:cs="Calibri"/>
          <w:color w:val="000000" w:themeColor="text1"/>
        </w:rPr>
        <w:t xml:space="preserve">problems regarding the execution and transmission of complex </w:t>
      </w:r>
      <w:r w:rsidRPr="009B1F4E">
        <w:rPr>
          <w:rFonts w:ascii="Garamond" w:hAnsi="Garamond" w:cs="Calibri"/>
          <w:i/>
          <w:iCs/>
          <w:color w:val="000000" w:themeColor="text1"/>
        </w:rPr>
        <w:t>skills</w:t>
      </w:r>
      <w:r w:rsidRPr="009B1F4E">
        <w:rPr>
          <w:rFonts w:ascii="Garamond" w:hAnsi="Garamond" w:cs="Calibri"/>
          <w:color w:val="000000" w:themeColor="text1"/>
        </w:rPr>
        <w:t xml:space="preserve"> — knowledge-how — but also concerning knowledge-that. For example, early human</w:t>
      </w:r>
      <w:r w:rsidR="008A44F5" w:rsidRPr="009B1F4E">
        <w:rPr>
          <w:rFonts w:ascii="Garamond" w:hAnsi="Garamond" w:cs="Calibri"/>
          <w:color w:val="000000" w:themeColor="text1"/>
        </w:rPr>
        <w:t>s’</w:t>
      </w:r>
      <w:r w:rsidRPr="009B1F4E">
        <w:rPr>
          <w:rFonts w:ascii="Garamond" w:hAnsi="Garamond" w:cs="Calibri"/>
          <w:color w:val="000000" w:themeColor="text1"/>
        </w:rPr>
        <w:t xml:space="preserve"> natural history knowledge was a necessity </w:t>
      </w:r>
      <w:r w:rsidRPr="009B1F4E">
        <w:rPr>
          <w:rFonts w:ascii="Garamond" w:hAnsi="Garamond" w:cs="Calibri"/>
          <w:color w:val="000000" w:themeColor="text1"/>
        </w:rPr>
        <w:lastRenderedPageBreak/>
        <w:t xml:space="preserve">for successful foraging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{"citationID":"GeoGLUw0","properties":{"formattedCitation":"(see Pickering 2013 for ambush-hunting)","plainCitation":"(see Pickering 2013 for ambush-hunting)","noteIndex":0},"citationItems":[{"id":1254,"uris":["http://zotero.org/users/local/jz7T3Opo/items/LEX5QCGA"],"itemData":{"id":1254,"type":"book","publisher":"Univ of California Press","source":"Google Scholar","title":"Rough and tumble: aggression, hunting, and human evolution","title-short":"Rough and tumble","author":[{"family":"Pickering","given":"Travis Rayne"}],"issued":{"date-parts":[["2013"]]}},"label":"page","prefix":"see","suffix":"for ambush-hunting"}],"schema":"https://github.com/citation-style-language/schema/raw/master/csl-citation.json"}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(see Pickering 2013 for ambush-hunting)</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w:t>
      </w:r>
      <w:r w:rsidR="008A44F5" w:rsidRPr="009B1F4E">
        <w:rPr>
          <w:rFonts w:ascii="Garamond" w:hAnsi="Garamond" w:cs="Calibri"/>
          <w:color w:val="000000" w:themeColor="text1"/>
        </w:rPr>
        <w:t xml:space="preserve">Second and perhaps more importantly, early humans were confronted with coordination </w:t>
      </w:r>
      <w:r w:rsidRPr="009B1F4E">
        <w:rPr>
          <w:rFonts w:ascii="Garamond" w:hAnsi="Garamond" w:cs="Calibri"/>
          <w:color w:val="000000" w:themeColor="text1"/>
        </w:rPr>
        <w:t xml:space="preserve">problems related to different aspects of their lives. Toolmaking was plausibly one of them, </w:t>
      </w:r>
      <w:r w:rsidR="00205D66" w:rsidRPr="009B1F4E">
        <w:rPr>
          <w:rFonts w:ascii="Garamond" w:hAnsi="Garamond" w:cs="Calibri"/>
          <w:color w:val="000000" w:themeColor="text1"/>
        </w:rPr>
        <w:t xml:space="preserve">but the content and form of </w:t>
      </w:r>
      <w:r w:rsidRPr="009B1F4E">
        <w:rPr>
          <w:rFonts w:ascii="Garamond" w:hAnsi="Garamond" w:cs="Calibri"/>
          <w:color w:val="000000" w:themeColor="text1"/>
        </w:rPr>
        <w:t>cultural learning</w:t>
      </w:r>
      <w:r w:rsidR="005E6380" w:rsidRPr="009B1F4E">
        <w:rPr>
          <w:rFonts w:ascii="Garamond" w:hAnsi="Garamond" w:cs="Calibri"/>
          <w:color w:val="000000" w:themeColor="text1"/>
        </w:rPr>
        <w:t>, as described in section</w:t>
      </w:r>
      <w:r w:rsidR="00E13D7D" w:rsidRPr="009B1F4E">
        <w:rPr>
          <w:rFonts w:ascii="Garamond" w:hAnsi="Garamond" w:cs="Calibri"/>
          <w:color w:val="000000" w:themeColor="text1"/>
        </w:rPr>
        <w:t>s</w:t>
      </w:r>
      <w:r w:rsidR="005E6380" w:rsidRPr="009B1F4E">
        <w:rPr>
          <w:rFonts w:ascii="Garamond" w:hAnsi="Garamond" w:cs="Calibri"/>
          <w:color w:val="000000" w:themeColor="text1"/>
        </w:rPr>
        <w:t xml:space="preserve"> 3.3 and 3.4,</w:t>
      </w:r>
      <w:r w:rsidRPr="009B1F4E">
        <w:rPr>
          <w:rFonts w:ascii="Garamond" w:hAnsi="Garamond" w:cs="Calibri"/>
          <w:color w:val="000000" w:themeColor="text1"/>
        </w:rPr>
        <w:t xml:space="preserve"> </w:t>
      </w:r>
      <w:r w:rsidR="00205D66" w:rsidRPr="009B1F4E">
        <w:rPr>
          <w:rFonts w:ascii="Garamond" w:hAnsi="Garamond" w:cs="Calibri"/>
          <w:color w:val="000000" w:themeColor="text1"/>
        </w:rPr>
        <w:t xml:space="preserve">was </w:t>
      </w:r>
      <w:r w:rsidRPr="009B1F4E">
        <w:rPr>
          <w:rFonts w:ascii="Garamond" w:hAnsi="Garamond" w:cs="Calibri"/>
          <w:color w:val="000000" w:themeColor="text1"/>
        </w:rPr>
        <w:t xml:space="preserve">another. </w:t>
      </w:r>
      <w:r w:rsidR="00E13D7D" w:rsidRPr="009B1F4E">
        <w:rPr>
          <w:rFonts w:ascii="Garamond" w:hAnsi="Garamond" w:cs="Calibri"/>
          <w:color w:val="000000" w:themeColor="text1"/>
        </w:rPr>
        <w:t>The combined set of these coordination problems required agents to employ social</w:t>
      </w:r>
      <w:r w:rsidRPr="009B1F4E">
        <w:rPr>
          <w:rFonts w:ascii="Garamond" w:hAnsi="Garamond" w:cs="Calibri"/>
          <w:color w:val="000000" w:themeColor="text1"/>
        </w:rPr>
        <w:t xml:space="preserve"> rather than personal norms</w:t>
      </w:r>
      <w:r w:rsidR="007A4914" w:rsidRPr="009B1F4E">
        <w:rPr>
          <w:rFonts w:ascii="Garamond" w:hAnsi="Garamond" w:cs="Calibri"/>
          <w:color w:val="000000" w:themeColor="text1"/>
        </w:rPr>
        <w:t xml:space="preserve">. Consequently, early social norms were unified in function — they all functioned to coordinate complex social interactions — but pluralistic in content: Some set standards of correctness for toolmaking, </w:t>
      </w:r>
      <w:r w:rsidR="00E13D7D" w:rsidRPr="009B1F4E">
        <w:rPr>
          <w:rFonts w:ascii="Garamond" w:hAnsi="Garamond" w:cs="Calibri"/>
          <w:color w:val="000000" w:themeColor="text1"/>
        </w:rPr>
        <w:t xml:space="preserve">and </w:t>
      </w:r>
      <w:r w:rsidR="007A4914" w:rsidRPr="009B1F4E">
        <w:rPr>
          <w:rFonts w:ascii="Garamond" w:hAnsi="Garamond" w:cs="Calibri"/>
          <w:color w:val="000000" w:themeColor="text1"/>
        </w:rPr>
        <w:t xml:space="preserve">others guided agents in cultural learning. </w:t>
      </w:r>
    </w:p>
    <w:p w14:paraId="3096DF83" w14:textId="4891C2F6"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To see why one might favour such a pluralistic view, consider again the role such coordination-norms played in early reason</w:t>
      </w:r>
      <w:r w:rsidR="00E13D7D" w:rsidRPr="009B1F4E">
        <w:rPr>
          <w:rFonts w:ascii="Garamond" w:hAnsi="Garamond" w:cs="Calibri"/>
          <w:color w:val="000000" w:themeColor="text1"/>
        </w:rPr>
        <w:t xml:space="preserve"> </w:t>
      </w:r>
      <w:r w:rsidRPr="009B1F4E">
        <w:rPr>
          <w:rFonts w:ascii="Garamond" w:hAnsi="Garamond" w:cs="Calibri"/>
          <w:color w:val="000000" w:themeColor="text1"/>
        </w:rPr>
        <w:t>exchanges as described in section 3.</w:t>
      </w:r>
      <w:r w:rsidR="00497B29" w:rsidRPr="009B1F4E">
        <w:rPr>
          <w:rFonts w:ascii="Garamond" w:hAnsi="Garamond" w:cs="Calibri"/>
          <w:color w:val="000000" w:themeColor="text1"/>
        </w:rPr>
        <w:t>3</w:t>
      </w:r>
      <w:r w:rsidRPr="009B1F4E">
        <w:rPr>
          <w:rFonts w:ascii="Garamond" w:hAnsi="Garamond" w:cs="Calibri"/>
          <w:color w:val="000000" w:themeColor="text1"/>
        </w:rPr>
        <w:t xml:space="preserve">. It’s because agents had coordinated on what makes a reason more weightier than another in particular contexts that such reason-exchanges were possible </w:t>
      </w:r>
      <w:r w:rsidRPr="009B1F4E">
        <w:rPr>
          <w:rFonts w:ascii="Garamond" w:hAnsi="Garamond" w:cs="Calibri"/>
          <w:color w:val="000000" w:themeColor="text1"/>
        </w:rPr>
        <w:fldChar w:fldCharType="begin"/>
      </w:r>
      <w:r w:rsidRPr="009B1F4E">
        <w:rPr>
          <w:rFonts w:ascii="Garamond" w:hAnsi="Garamond" w:cs="Calibri"/>
          <w:color w:val="000000" w:themeColor="text1"/>
        </w:rPr>
        <w:instrText xml:space="preserve"> ADDIN ZOTERO_ITEM CSL_CITATION {"citationID":"jqkM2eVZ","properties":{"formattedCitation":"(Tomasello 2014; Mercier and Sperber 2017)","plainCitation":"(Tomasello 2014; Mercier and Sperber 2017)","noteIndex":0},"citationItems":[{"id":810,"uris":["http://zotero.org/users/local/jz7T3Opo/items/GTI7FTAL"],"itemData":{"id":810,"type":"book","abstract":"Tool-making or culture, language or religious belief: ever since Darwin, thinkers have struggled to identify what fundamentally differentiates human beings from other animals. Michael Tomasello weaves his twenty years of comparative studies of humans and great apes into a compelling argument that cooperative social interaction is the key to our cognitive uniqueness. Tomasello maintains that our prehuman ancestors, like today's great apes, were social beings who could solve problems by thinking. But they were almost entirely competitive, aiming only at their individual goals. As ecological changes forced them into more cooperative living arrangements, early humans had to coordinate their actions and communicate their thoughts with collaborative partners. Tomasello's \"shared intentionality hypothesis\" captures how these more socially complex forms of life led to more conceptually complex forms of thinking. In order to survive, humans had to learn to see the world from multiple social perspectives, to draw socially recursive inferences, and to monitor their own thinking via the normative standards of the group. Even language and culture arose from the preexisting need to work together and coordinate thoughts. A Natural History of Human Thinking is the most detailed scientific analysis to date of the connection between human sociality and cognition.","ISBN":"978-0-674-72636-9","language":"en","note":"container-title: A Natural History of Human Thinking","publisher":"Harvard University Press","source":"www.degruyter.com","title":"A Natural History of Human Thinking","URL":"https://www.degruyter.com/document/doi/10.4159/9780674726369/html","author":[{"family":"Tomasello","given":"Michael"}],"accessed":{"date-parts":[["2021",7,29]]},"issued":{"date-parts":[["2014",2,17]]}}},{"id":442,"uris":["http://zotero.org/users/local/jz7T3Opo/items/ZB6FIMND"],"itemData":{"id":442,"type":"book","abstract":"Reason, we are told, is what makes us human, the source of our knowledge and wisdom. If reason is so useful, why didn't it also evolve in other animals? If reason is that reliable, why do we produce so much thoroughly reasoned nonsense? In their groundbreaking account of the evolution and workings of reason, Hugo Mercier and Dan Sperber set out to solve this double enigma. Reason, they argue with a compelling mix of real-life and experimental evidence, is not geared to solitary use, to arriving at better beliefs and decisions on our own. What reason does, rather, is help us justify our beliefs and actions to others, convince them through argumentation, and evaluate the justifications and arguments that others address to us. In other words, reason helps humans better exploit their uniquely rich social environment. This interactionist interpretation explains why reason may have evolved and how it fits with other cognitive mechanisms. It makes sense of strengths and weaknesses that have long puzzled philosophers and psychologists--why reason is biased in favor of what we already believe, why it may lead to terrible ideas and yet is indispensable to spreading good ones.--","call-number":"B833 .M47 2017","event-place":"Cambridge, Massachusetts","ISBN":"978-0-674-36830-9","language":"en","number-of-pages":"396","publisher":"Harvard University Press","publisher-place":"Cambridge, Massachusetts","source":"Library of Congress ISBN","title":"The enigma of reason","author":[{"family":"Mercier","given":"Hugo"},{"family":"Sperber","given":"Dan"}],"issued":{"date-parts":[["2017"]]}}}],"schema":"https://github.com/citation-style-language/schema/raw/master/csl-citation.json"}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(Tomasello 2014; Mercier and Sperber 2017)</w:t>
      </w:r>
      <w:r w:rsidRPr="009B1F4E">
        <w:rPr>
          <w:rFonts w:ascii="Garamond" w:hAnsi="Garamond" w:cs="Calibri"/>
          <w:color w:val="000000" w:themeColor="text1"/>
        </w:rPr>
        <w:fldChar w:fldCharType="end"/>
      </w:r>
      <w:r w:rsidRPr="009B1F4E">
        <w:rPr>
          <w:rFonts w:ascii="Garamond" w:hAnsi="Garamond" w:cs="Calibri"/>
          <w:color w:val="000000" w:themeColor="text1"/>
        </w:rPr>
        <w:t>.  Now, given the available evidence, it seems difficult to ascertain whether the exchange of proto-reasons, specialised social learning, or skilful behaviour was the most relevant pressure for coordination-norms to evolve.</w:t>
      </w:r>
      <w:r w:rsidRPr="009B1F4E">
        <w:rPr>
          <w:rStyle w:val="Funotenzeichen"/>
          <w:rFonts w:ascii="Garamond" w:hAnsi="Garamond" w:cs="Calibri"/>
          <w:color w:val="000000" w:themeColor="text1"/>
        </w:rPr>
        <w:footnoteReference w:id="19"/>
      </w:r>
      <w:r w:rsidRPr="009B1F4E">
        <w:rPr>
          <w:rFonts w:ascii="Garamond" w:hAnsi="Garamond" w:cs="Calibri"/>
          <w:color w:val="000000" w:themeColor="text1"/>
        </w:rPr>
        <w:t xml:space="preserve"> Did our ancestors first make complex tools, exchange (proto-)reasons, or learn from each other? Whilst we might try to make </w:t>
      </w:r>
      <w:r w:rsidR="008A44F5" w:rsidRPr="009B1F4E">
        <w:rPr>
          <w:rFonts w:ascii="Garamond" w:hAnsi="Garamond" w:cs="Calibri"/>
          <w:color w:val="000000" w:themeColor="text1"/>
        </w:rPr>
        <w:t xml:space="preserve">a case for each one of these to somehow be more important than another, what is more </w:t>
      </w:r>
      <w:r w:rsidRPr="009B1F4E">
        <w:rPr>
          <w:rFonts w:ascii="Garamond" w:hAnsi="Garamond" w:cs="Calibri"/>
          <w:color w:val="000000" w:themeColor="text1"/>
        </w:rPr>
        <w:t xml:space="preserve">plausible is our ancestors engaging in </w:t>
      </w:r>
      <w:proofErr w:type="gramStart"/>
      <w:r w:rsidRPr="009B1F4E">
        <w:rPr>
          <w:rFonts w:ascii="Garamond" w:hAnsi="Garamond" w:cs="Calibri"/>
          <w:color w:val="000000" w:themeColor="text1"/>
        </w:rPr>
        <w:t>all of</w:t>
      </w:r>
      <w:proofErr w:type="gramEnd"/>
      <w:r w:rsidRPr="009B1F4E">
        <w:rPr>
          <w:rFonts w:ascii="Garamond" w:hAnsi="Garamond" w:cs="Calibri"/>
          <w:color w:val="000000" w:themeColor="text1"/>
        </w:rPr>
        <w:t xml:space="preserve"> these behaviours at roughly the same time. For example, we likely exchanged (proto-)reasons about where and how to hunt, produced complex tools and learned from others how to do either. The picture I advocate for is thus one where early </w:t>
      </w:r>
      <w:proofErr w:type="gramStart"/>
      <w:r w:rsidRPr="009B1F4E">
        <w:rPr>
          <w:rFonts w:ascii="Garamond" w:hAnsi="Garamond" w:cs="Calibri"/>
          <w:color w:val="000000" w:themeColor="text1"/>
        </w:rPr>
        <w:t>humans</w:t>
      </w:r>
      <w:proofErr w:type="gramEnd"/>
      <w:r w:rsidRPr="009B1F4E">
        <w:rPr>
          <w:rFonts w:ascii="Garamond" w:hAnsi="Garamond" w:cs="Calibri"/>
          <w:color w:val="000000" w:themeColor="text1"/>
        </w:rPr>
        <w:t xml:space="preserve"> were faced with various coordination</w:t>
      </w:r>
      <w:r w:rsidR="008A44F5" w:rsidRPr="009B1F4E">
        <w:rPr>
          <w:rFonts w:ascii="Garamond" w:hAnsi="Garamond" w:cs="Calibri"/>
          <w:color w:val="000000" w:themeColor="text1"/>
        </w:rPr>
        <w:t xml:space="preserve"> </w:t>
      </w:r>
      <w:r w:rsidRPr="009B1F4E">
        <w:rPr>
          <w:rFonts w:ascii="Garamond" w:hAnsi="Garamond" w:cs="Calibri"/>
          <w:color w:val="000000" w:themeColor="text1"/>
        </w:rPr>
        <w:t>problems and where coordination-norms evolved as a response to the combined set of these problems.</w:t>
      </w:r>
    </w:p>
    <w:p w14:paraId="27096BB3" w14:textId="3386CCF9"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 xml:space="preserve">The bigger picture to which both Birch and I can subscribe to is one where norms change from being personal to becoming social </w:t>
      </w:r>
      <w:r w:rsidR="00497B29" w:rsidRPr="009B1F4E">
        <w:rPr>
          <w:rFonts w:ascii="Garamond" w:hAnsi="Garamond" w:cs="Calibri"/>
          <w:color w:val="000000" w:themeColor="text1"/>
        </w:rPr>
        <w:t>due to the importance of coordinating a variety of aspects of their lives.</w:t>
      </w:r>
    </w:p>
    <w:p w14:paraId="6DFD6CE4" w14:textId="77777777" w:rsidR="009115FC" w:rsidRPr="009B1F4E" w:rsidRDefault="009115FC" w:rsidP="009115FC">
      <w:pPr>
        <w:spacing w:line="360" w:lineRule="auto"/>
        <w:jc w:val="both"/>
        <w:rPr>
          <w:rFonts w:ascii="Garamond" w:hAnsi="Garamond" w:cs="Calibri"/>
          <w:color w:val="000000" w:themeColor="text1"/>
        </w:rPr>
      </w:pPr>
    </w:p>
    <w:p w14:paraId="5D4772EB" w14:textId="699DA008" w:rsidR="009115FC" w:rsidRPr="009B1F4E" w:rsidRDefault="009115FC" w:rsidP="009115FC">
      <w:pPr>
        <w:pStyle w:val="Listenabsatz"/>
        <w:numPr>
          <w:ilvl w:val="0"/>
          <w:numId w:val="1"/>
        </w:numPr>
        <w:spacing w:line="360" w:lineRule="auto"/>
        <w:jc w:val="both"/>
        <w:rPr>
          <w:rFonts w:ascii="Garamond" w:hAnsi="Garamond" w:cs="Calibri"/>
          <w:color w:val="000000" w:themeColor="text1"/>
        </w:rPr>
      </w:pPr>
      <w:r w:rsidRPr="009B1F4E">
        <w:rPr>
          <w:rFonts w:ascii="Garamond" w:hAnsi="Garamond" w:cs="Calibri"/>
          <w:color w:val="000000" w:themeColor="text1"/>
        </w:rPr>
        <w:t>Conclusion</w:t>
      </w:r>
    </w:p>
    <w:p w14:paraId="739901DB" w14:textId="1E27F1F5" w:rsidR="009115FC" w:rsidRPr="009B1F4E" w:rsidRDefault="009115FC" w:rsidP="009115FC">
      <w:pPr>
        <w:spacing w:line="360" w:lineRule="auto"/>
        <w:jc w:val="both"/>
        <w:rPr>
          <w:rFonts w:ascii="Garamond" w:hAnsi="Garamond" w:cs="Calibri"/>
          <w:color w:val="000000" w:themeColor="text1"/>
        </w:rPr>
      </w:pPr>
      <w:r w:rsidRPr="009B1F4E">
        <w:rPr>
          <w:rFonts w:ascii="Garamond" w:hAnsi="Garamond" w:cs="Calibri"/>
          <w:color w:val="000000" w:themeColor="text1"/>
        </w:rPr>
        <w:t>In summary, in the first part of the paper</w:t>
      </w:r>
      <w:r w:rsidR="008A44F5" w:rsidRPr="009B1F4E">
        <w:rPr>
          <w:rFonts w:ascii="Garamond" w:hAnsi="Garamond" w:cs="Calibri"/>
          <w:color w:val="000000" w:themeColor="text1"/>
        </w:rPr>
        <w:t>,</w:t>
      </w:r>
      <w:r w:rsidRPr="009B1F4E">
        <w:rPr>
          <w:rFonts w:ascii="Garamond" w:hAnsi="Garamond" w:cs="Calibri"/>
          <w:color w:val="000000" w:themeColor="text1"/>
        </w:rPr>
        <w:t xml:space="preserve"> I’ve argued for a view of the evolution of cultural learning and social norms in which epistemic coordination-norms played an important role in early instances of cultural learning. </w:t>
      </w:r>
      <w:proofErr w:type="gramStart"/>
      <w:r w:rsidR="00963FF4" w:rsidRPr="009B1F4E">
        <w:rPr>
          <w:rFonts w:ascii="Garamond" w:hAnsi="Garamond" w:cs="Calibri"/>
          <w:color w:val="000000" w:themeColor="text1"/>
        </w:rPr>
        <w:t>In particular, these</w:t>
      </w:r>
      <w:proofErr w:type="gramEnd"/>
      <w:r w:rsidR="00963FF4" w:rsidRPr="009B1F4E">
        <w:rPr>
          <w:rFonts w:ascii="Garamond" w:hAnsi="Garamond" w:cs="Calibri"/>
          <w:color w:val="000000" w:themeColor="text1"/>
        </w:rPr>
        <w:t xml:space="preserve"> norms were important for agents and groups to be able to coordinate </w:t>
      </w:r>
      <w:r w:rsidR="008A44F5" w:rsidRPr="009B1F4E">
        <w:rPr>
          <w:rFonts w:ascii="Garamond" w:hAnsi="Garamond" w:cs="Calibri"/>
          <w:color w:val="000000" w:themeColor="text1"/>
        </w:rPr>
        <w:t>the contents and form of cultural learning, roughly speaking,</w:t>
      </w:r>
      <w:r w:rsidR="00800995" w:rsidRPr="009B1F4E">
        <w:rPr>
          <w:rFonts w:ascii="Garamond" w:hAnsi="Garamond" w:cs="Calibri"/>
          <w:color w:val="000000" w:themeColor="text1"/>
        </w:rPr>
        <w:t xml:space="preserve"> what is to be learned and how this is to be done</w:t>
      </w:r>
      <w:r w:rsidR="00963FF4" w:rsidRPr="009B1F4E">
        <w:rPr>
          <w:rFonts w:ascii="Garamond" w:hAnsi="Garamond" w:cs="Calibri"/>
          <w:color w:val="000000" w:themeColor="text1"/>
        </w:rPr>
        <w:t xml:space="preserve">. </w:t>
      </w:r>
      <w:r w:rsidRPr="009B1F4E">
        <w:rPr>
          <w:rFonts w:ascii="Garamond" w:hAnsi="Garamond" w:cs="Calibri"/>
          <w:color w:val="000000" w:themeColor="text1"/>
        </w:rPr>
        <w:t xml:space="preserve">I additionally suggested that such a view supports </w:t>
      </w:r>
      <w:r w:rsidR="00497B29" w:rsidRPr="009B1F4E">
        <w:rPr>
          <w:rFonts w:ascii="Garamond" w:hAnsi="Garamond" w:cs="Calibri"/>
          <w:color w:val="000000" w:themeColor="text1"/>
        </w:rPr>
        <w:t>a more general view of the evolution of social norms where a</w:t>
      </w:r>
      <w:r w:rsidR="00963FF4" w:rsidRPr="009B1F4E">
        <w:rPr>
          <w:rFonts w:ascii="Garamond" w:hAnsi="Garamond" w:cs="Calibri"/>
          <w:color w:val="000000" w:themeColor="text1"/>
        </w:rPr>
        <w:t xml:space="preserve"> plurality</w:t>
      </w:r>
      <w:r w:rsidR="00497B29" w:rsidRPr="009B1F4E">
        <w:rPr>
          <w:rFonts w:ascii="Garamond" w:hAnsi="Garamond" w:cs="Calibri"/>
          <w:color w:val="000000" w:themeColor="text1"/>
        </w:rPr>
        <w:t xml:space="preserve"> of coordination</w:t>
      </w:r>
      <w:r w:rsidR="008A44F5" w:rsidRPr="009B1F4E">
        <w:rPr>
          <w:rFonts w:ascii="Garamond" w:hAnsi="Garamond" w:cs="Calibri"/>
          <w:color w:val="000000" w:themeColor="text1"/>
        </w:rPr>
        <w:t xml:space="preserve"> </w:t>
      </w:r>
      <w:r w:rsidR="00497B29" w:rsidRPr="009B1F4E">
        <w:rPr>
          <w:rFonts w:ascii="Garamond" w:hAnsi="Garamond" w:cs="Calibri"/>
          <w:color w:val="000000" w:themeColor="text1"/>
        </w:rPr>
        <w:t>problems played an important role in their emergence</w:t>
      </w:r>
      <w:r w:rsidRPr="009B1F4E">
        <w:rPr>
          <w:rFonts w:ascii="Garamond" w:hAnsi="Garamond" w:cs="Calibri"/>
          <w:color w:val="000000" w:themeColor="text1"/>
        </w:rPr>
        <w:t xml:space="preserve">. </w:t>
      </w:r>
    </w:p>
    <w:p w14:paraId="471BBD75" w14:textId="1233815D" w:rsidR="00204B23" w:rsidRPr="009B1F4E" w:rsidRDefault="009115FC" w:rsidP="009115FC">
      <w:pPr>
        <w:spacing w:line="360" w:lineRule="auto"/>
        <w:jc w:val="both"/>
        <w:rPr>
          <w:rStyle w:val="notion-enable-hover"/>
          <w:rFonts w:ascii="Garamond" w:hAnsi="Garamond" w:cs="Calibri"/>
          <w:color w:val="000000" w:themeColor="text1"/>
        </w:rPr>
      </w:pPr>
      <w:r w:rsidRPr="009B1F4E">
        <w:rPr>
          <w:rStyle w:val="notion-enable-hover"/>
          <w:rFonts w:ascii="Garamond" w:hAnsi="Garamond" w:cs="Calibri"/>
          <w:color w:val="000000" w:themeColor="text1"/>
        </w:rPr>
        <w:lastRenderedPageBreak/>
        <w:t xml:space="preserve">Whilst the paper provides a first — hopefully informative — pass at linking the evolution of social learning </w:t>
      </w:r>
      <w:r w:rsidR="00D53D79" w:rsidRPr="009B1F4E">
        <w:rPr>
          <w:rStyle w:val="notion-enable-hover"/>
          <w:rFonts w:ascii="Garamond" w:hAnsi="Garamond" w:cs="Calibri"/>
          <w:color w:val="000000" w:themeColor="text1"/>
        </w:rPr>
        <w:t>with the evolution of social norms and</w:t>
      </w:r>
      <w:r w:rsidRPr="009B1F4E">
        <w:rPr>
          <w:rStyle w:val="notion-enable-hover"/>
          <w:rFonts w:ascii="Garamond" w:hAnsi="Garamond" w:cs="Calibri"/>
          <w:color w:val="000000" w:themeColor="text1"/>
        </w:rPr>
        <w:t xml:space="preserve"> social epistemology, there’s </w:t>
      </w:r>
      <w:r w:rsidR="00204B23" w:rsidRPr="009B1F4E">
        <w:rPr>
          <w:rStyle w:val="notion-enable-hover"/>
          <w:rFonts w:ascii="Garamond" w:hAnsi="Garamond" w:cs="Calibri"/>
          <w:color w:val="000000" w:themeColor="text1"/>
        </w:rPr>
        <w:t xml:space="preserve">a need for theoretical </w:t>
      </w:r>
      <w:r w:rsidRPr="009B1F4E">
        <w:rPr>
          <w:rStyle w:val="notion-enable-hover"/>
          <w:rFonts w:ascii="Garamond" w:hAnsi="Garamond" w:cs="Calibri"/>
          <w:color w:val="000000" w:themeColor="text1"/>
        </w:rPr>
        <w:t>substantiation</w:t>
      </w:r>
      <w:r w:rsidR="00204B23" w:rsidRPr="009B1F4E">
        <w:rPr>
          <w:rStyle w:val="notion-enable-hover"/>
          <w:rFonts w:ascii="Garamond" w:hAnsi="Garamond" w:cs="Calibri"/>
          <w:color w:val="000000" w:themeColor="text1"/>
        </w:rPr>
        <w:t xml:space="preserve"> and further empirical support</w:t>
      </w:r>
      <w:r w:rsidRPr="009B1F4E">
        <w:rPr>
          <w:rStyle w:val="notion-enable-hover"/>
          <w:rFonts w:ascii="Garamond" w:hAnsi="Garamond" w:cs="Calibri"/>
          <w:color w:val="000000" w:themeColor="text1"/>
        </w:rPr>
        <w:t>.</w:t>
      </w:r>
      <w:r w:rsidR="00204B23" w:rsidRPr="009B1F4E">
        <w:rPr>
          <w:rStyle w:val="notion-enable-hover"/>
          <w:rFonts w:ascii="Garamond" w:hAnsi="Garamond" w:cs="Calibri"/>
          <w:color w:val="000000" w:themeColor="text1"/>
        </w:rPr>
        <w:t xml:space="preserve"> For example, I’ve mentioned how extant hunter-gatherer populations</w:t>
      </w:r>
      <w:r w:rsidR="008A44F5" w:rsidRPr="009B1F4E">
        <w:rPr>
          <w:rStyle w:val="notion-enable-hover"/>
          <w:rFonts w:ascii="Garamond" w:hAnsi="Garamond" w:cs="Calibri"/>
          <w:color w:val="000000" w:themeColor="text1"/>
        </w:rPr>
        <w:t xml:space="preserve"> and whether/how their cultural learning is regulated by social norms</w:t>
      </w:r>
      <w:r w:rsidR="00204B23" w:rsidRPr="009B1F4E">
        <w:rPr>
          <w:rStyle w:val="notion-enable-hover"/>
          <w:rFonts w:ascii="Garamond" w:hAnsi="Garamond" w:cs="Calibri"/>
          <w:color w:val="000000" w:themeColor="text1"/>
        </w:rPr>
        <w:t xml:space="preserve"> would prove to be a valuable source of insight. </w:t>
      </w:r>
      <w:r w:rsidR="00E13D7D" w:rsidRPr="009B1F4E">
        <w:rPr>
          <w:rStyle w:val="notion-enable-hover"/>
          <w:rFonts w:ascii="Garamond" w:hAnsi="Garamond" w:cs="Calibri"/>
          <w:color w:val="000000" w:themeColor="text1"/>
        </w:rPr>
        <w:t>Similarly, assessor-</w:t>
      </w:r>
      <w:proofErr w:type="gramStart"/>
      <w:r w:rsidR="00E13D7D" w:rsidRPr="009B1F4E">
        <w:rPr>
          <w:rStyle w:val="notion-enable-hover"/>
          <w:rFonts w:ascii="Garamond" w:hAnsi="Garamond" w:cs="Calibri"/>
          <w:color w:val="000000" w:themeColor="text1"/>
        </w:rPr>
        <w:t>teaching</w:t>
      </w:r>
      <w:proofErr w:type="gramEnd"/>
      <w:r w:rsidR="00E13D7D" w:rsidRPr="009B1F4E">
        <w:rPr>
          <w:rStyle w:val="notion-enable-hover"/>
          <w:rFonts w:ascii="Garamond" w:hAnsi="Garamond" w:cs="Calibri"/>
          <w:color w:val="000000" w:themeColor="text1"/>
        </w:rPr>
        <w:t xml:space="preserve"> and selective social learning</w:t>
      </w:r>
      <w:r w:rsidR="008A44F5" w:rsidRPr="009B1F4E">
        <w:rPr>
          <w:rStyle w:val="notion-enable-hover"/>
          <w:rFonts w:ascii="Garamond" w:hAnsi="Garamond" w:cs="Calibri"/>
          <w:color w:val="000000" w:themeColor="text1"/>
        </w:rPr>
        <w:t>, as well as their relation to social norms and importance to the early evolution of cumulative culture,</w:t>
      </w:r>
      <w:r w:rsidR="00E13D7D" w:rsidRPr="009B1F4E">
        <w:rPr>
          <w:rStyle w:val="notion-enable-hover"/>
          <w:rFonts w:ascii="Garamond" w:hAnsi="Garamond" w:cs="Calibri"/>
          <w:color w:val="000000" w:themeColor="text1"/>
        </w:rPr>
        <w:t xml:space="preserve"> should be considered in more detail.</w:t>
      </w:r>
    </w:p>
    <w:p w14:paraId="4FE92120" w14:textId="0269E75C" w:rsidR="009115FC" w:rsidRPr="009B1F4E" w:rsidRDefault="009115FC" w:rsidP="009115FC">
      <w:pPr>
        <w:spacing w:line="360" w:lineRule="auto"/>
        <w:jc w:val="both"/>
        <w:rPr>
          <w:rStyle w:val="notion-enable-hover"/>
          <w:rFonts w:ascii="Garamond" w:hAnsi="Garamond" w:cs="Calibri"/>
          <w:color w:val="000000" w:themeColor="text1"/>
        </w:rPr>
      </w:pPr>
      <w:r w:rsidRPr="009B1F4E">
        <w:rPr>
          <w:rStyle w:val="notion-enable-hover"/>
          <w:rFonts w:ascii="Garamond" w:hAnsi="Garamond" w:cs="Calibri"/>
          <w:color w:val="000000" w:themeColor="text1"/>
        </w:rPr>
        <w:t>In addition, the following points are of considerable importance:</w:t>
      </w:r>
    </w:p>
    <w:p w14:paraId="3DA8A383" w14:textId="24EB9766" w:rsidR="009115FC" w:rsidRPr="009B1F4E" w:rsidRDefault="009115FC" w:rsidP="009115FC">
      <w:pPr>
        <w:pStyle w:val="Listenabsatz"/>
        <w:numPr>
          <w:ilvl w:val="0"/>
          <w:numId w:val="8"/>
        </w:numPr>
        <w:spacing w:line="360" w:lineRule="auto"/>
        <w:jc w:val="both"/>
        <w:rPr>
          <w:rStyle w:val="notion-enable-hover"/>
          <w:rFonts w:ascii="Garamond" w:hAnsi="Garamond" w:cs="Calibri"/>
          <w:color w:val="000000" w:themeColor="text1"/>
        </w:rPr>
      </w:pPr>
      <w:r w:rsidRPr="009B1F4E">
        <w:rPr>
          <w:rStyle w:val="notion-enable-hover"/>
          <w:rFonts w:ascii="Garamond" w:hAnsi="Garamond" w:cs="Calibri"/>
          <w:color w:val="000000" w:themeColor="text1"/>
        </w:rPr>
        <w:t xml:space="preserve">There’s a question about </w:t>
      </w:r>
      <w:r w:rsidR="00CB0B50" w:rsidRPr="009B1F4E">
        <w:rPr>
          <w:rStyle w:val="notion-enable-hover"/>
          <w:rFonts w:ascii="Garamond" w:hAnsi="Garamond" w:cs="Calibri"/>
          <w:color w:val="000000" w:themeColor="text1"/>
        </w:rPr>
        <w:t xml:space="preserve">the likely gradual change from </w:t>
      </w:r>
      <w:r w:rsidRPr="009B1F4E">
        <w:rPr>
          <w:rStyle w:val="notion-enable-hover"/>
          <w:rFonts w:ascii="Garamond" w:hAnsi="Garamond" w:cs="Calibri"/>
          <w:color w:val="000000" w:themeColor="text1"/>
        </w:rPr>
        <w:t xml:space="preserve">coordination-norms to cooperation-norms? Was this due to the active teaching of non-kin, as Birch </w:t>
      </w:r>
      <w:r w:rsidRPr="009B1F4E">
        <w:rPr>
          <w:rStyle w:val="notion-enable-hover"/>
          <w:rFonts w:ascii="Garamond" w:hAnsi="Garamond" w:cs="Calibri"/>
          <w:color w:val="000000" w:themeColor="text1"/>
        </w:rPr>
        <w:fldChar w:fldCharType="begin"/>
      </w:r>
      <w:r w:rsidRPr="009B1F4E">
        <w:rPr>
          <w:rStyle w:val="notion-enable-hover"/>
          <w:rFonts w:ascii="Garamond" w:hAnsi="Garamond" w:cs="Calibri"/>
          <w:color w:val="000000" w:themeColor="text1"/>
        </w:rPr>
        <w:instrText xml:space="preserve"> ADDIN ZOTERO_ITEM CSL_CITATION {"citationID":"CIbozkTr","properties":{"formattedCitation":"(2021a)","plainCitation":"(2021a)","noteIndex":0},"citationItems":[{"id":505,"uris":["http://zotero.org/users/local/jz7T3Opo/items/V2YJ9ATX"],"itemData":{"id":505,"type":"article-journal","abstract":"We are all guided by thousands of norms, but how did our capacity for normative cognition evolve? I propose there is a deep but neglected link between normative cognition and practical skill. In modern humans, complex motor skills and craft skills, such as toolmaking, are guided by internally represented norms of correct performance. Moreover, it is plausible that core components of human normative cognition evolved as a solution to the distinctive problems of transmitting complex motor skills and craft skills, especially skills related to toolmaking, through social learning. If this is correct, the expansion of the normative domain beyond technique to encompass more abstract norms of fairness, reciprocity, ritual and kinship involved the elaboration of a basic platform for the guidance of skilled action by technical norms. This article motivates and defends this “skill hypothesis” for the origin of normative cognition and sets out various ways in which it could be empirically tested.","container-title":"Biology &amp; Philosophy","DOI":"10.1007/s10539-020-09777-9","ISSN":"0169-3867, 1572-8404","issue":"1","journalAbbreviation":"Biol Philos","language":"en","page":"4","source":"DOI.org (Crossref)","title":"Toolmaking and the evolution of normative cognition","volume":"36","author":[{"family":"Birch","given":"Jonathan"}],"issued":{"date-parts":[["2021",2]]}},"label":"page","suppress-author":true}],"schema":"https://github.com/citation-style-language/schema/raw/master/csl-citation.json"} </w:instrText>
      </w:r>
      <w:r w:rsidRPr="009B1F4E">
        <w:rPr>
          <w:rStyle w:val="notion-enable-hover"/>
          <w:rFonts w:ascii="Garamond" w:hAnsi="Garamond" w:cs="Calibri"/>
          <w:color w:val="000000" w:themeColor="text1"/>
        </w:rPr>
        <w:fldChar w:fldCharType="separate"/>
      </w:r>
      <w:r w:rsidRPr="009B1F4E">
        <w:rPr>
          <w:rStyle w:val="notion-enable-hover"/>
          <w:rFonts w:ascii="Garamond" w:hAnsi="Garamond" w:cs="Calibri"/>
          <w:noProof/>
          <w:color w:val="000000" w:themeColor="text1"/>
        </w:rPr>
        <w:t>(2021a)</w:t>
      </w:r>
      <w:r w:rsidRPr="009B1F4E">
        <w:rPr>
          <w:rStyle w:val="notion-enable-hover"/>
          <w:rFonts w:ascii="Garamond" w:hAnsi="Garamond" w:cs="Calibri"/>
          <w:color w:val="000000" w:themeColor="text1"/>
        </w:rPr>
        <w:fldChar w:fldCharType="end"/>
      </w:r>
      <w:r w:rsidRPr="009B1F4E">
        <w:rPr>
          <w:rStyle w:val="notion-enable-hover"/>
          <w:rFonts w:ascii="Garamond" w:hAnsi="Garamond" w:cs="Calibri"/>
          <w:color w:val="000000" w:themeColor="text1"/>
        </w:rPr>
        <w:t xml:space="preserve"> mentions? Or rather due to factors related to either an increase in the size of and competition between social groups and/or to the demands on indirect reciprocity </w:t>
      </w:r>
      <w:r w:rsidRPr="009B1F4E">
        <w:rPr>
          <w:rStyle w:val="notion-enable-hover"/>
          <w:rFonts w:ascii="Garamond" w:hAnsi="Garamond" w:cs="Calibri"/>
          <w:color w:val="000000" w:themeColor="text1"/>
        </w:rPr>
        <w:fldChar w:fldCharType="begin"/>
      </w:r>
      <w:r w:rsidR="009B1F4E">
        <w:rPr>
          <w:rStyle w:val="notion-enable-hover"/>
          <w:rFonts w:ascii="Garamond" w:hAnsi="Garamond" w:cs="Calibri"/>
          <w:color w:val="000000" w:themeColor="text1"/>
        </w:rPr>
        <w:instrText xml:space="preserve"> ADDIN ZOTERO_ITEM CSL_CITATION {"citationID":"yIatDR8s","properties":{"formattedCitation":"(Tomasello 2016; Sterelny 2021b)","plainCitation":"(Tomasello 2016; Sterelny 2021b)","noteIndex":0},"citationItems":[{"id":1055,"uris":["http://zotero.org/users/local/jz7T3Opo/items/KVEN6DSN"],"itemData":{"id":1055,"type":"book","abstract":"Michael Tomasello offers the most detailed account to date of the evolution of human moral psychology. Based on experimental data comparing great apes and human children, he reconstructs two key evolutionary steps whereby early humans gradually became an ultra-cooperative and, eventually, a moral species capable of acting as a plural agent “we”.","ISBN":"978-0-674-91585-5","language":"en","note":"DOI: 10.4159/9780674915855\ncontainer-title: A Natural History of Human Morality","publisher":"Harvard University Press","source":"www.degruyter.com","title":"A Natural History of Human Morality","URL":"https://www.degruyter.com/document/doi/10.4159/9780674915855/html","author":[{"family":"Tomasello","given":"Michael"}],"accessed":{"date-parts":[["2022",7,29]]},"issued":{"date-parts":[["2016",1,4]]}}},{"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Contract","author":[{"family":"Sterelny","given":"Kim"}],"issued":{"date-parts":[["2021",9,16]]}}}],"schema":"https://github.com/citation-style-language/schema/raw/master/csl-citation.json"} </w:instrText>
      </w:r>
      <w:r w:rsidRPr="009B1F4E">
        <w:rPr>
          <w:rStyle w:val="notion-enable-hover"/>
          <w:rFonts w:ascii="Garamond" w:hAnsi="Garamond" w:cs="Calibri"/>
          <w:color w:val="000000" w:themeColor="text1"/>
        </w:rPr>
        <w:fldChar w:fldCharType="separate"/>
      </w:r>
      <w:r w:rsidR="009B1F4E">
        <w:rPr>
          <w:rStyle w:val="notion-enable-hover"/>
          <w:rFonts w:ascii="Garamond" w:hAnsi="Garamond" w:cs="Calibri"/>
          <w:noProof/>
          <w:color w:val="000000" w:themeColor="text1"/>
        </w:rPr>
        <w:t>(Tomasello 2016; Sterelny 2021b)</w:t>
      </w:r>
      <w:r w:rsidRPr="009B1F4E">
        <w:rPr>
          <w:rStyle w:val="notion-enable-hover"/>
          <w:rFonts w:ascii="Garamond" w:hAnsi="Garamond" w:cs="Calibri"/>
          <w:color w:val="000000" w:themeColor="text1"/>
        </w:rPr>
        <w:fldChar w:fldCharType="end"/>
      </w:r>
      <w:r w:rsidRPr="009B1F4E">
        <w:rPr>
          <w:rStyle w:val="notion-enable-hover"/>
          <w:rFonts w:ascii="Garamond" w:hAnsi="Garamond" w:cs="Calibri"/>
          <w:color w:val="000000" w:themeColor="text1"/>
        </w:rPr>
        <w:t>?</w:t>
      </w:r>
    </w:p>
    <w:p w14:paraId="0995BF18" w14:textId="10139FBD" w:rsidR="009115FC" w:rsidRPr="009B1F4E" w:rsidRDefault="009115FC" w:rsidP="009115FC">
      <w:pPr>
        <w:pStyle w:val="Listenabsatz"/>
        <w:numPr>
          <w:ilvl w:val="0"/>
          <w:numId w:val="8"/>
        </w:numPr>
        <w:spacing w:line="360" w:lineRule="auto"/>
        <w:jc w:val="both"/>
        <w:rPr>
          <w:rFonts w:ascii="Garamond" w:hAnsi="Garamond" w:cs="Calibri"/>
          <w:color w:val="000000" w:themeColor="text1"/>
        </w:rPr>
      </w:pPr>
      <w:r w:rsidRPr="009B1F4E">
        <w:rPr>
          <w:rFonts w:ascii="Garamond" w:hAnsi="Garamond" w:cs="Calibri"/>
          <w:color w:val="000000" w:themeColor="text1"/>
          <w:lang w:val="en-US"/>
        </w:rPr>
        <w:t xml:space="preserve">Non-human animals have only found little consideration in these pages — mainly for reasons of space. But there are at least two considerations relevant to the animal normativity literature </w:t>
      </w:r>
      <w:r w:rsidRPr="009B1F4E">
        <w:rPr>
          <w:rFonts w:ascii="Garamond" w:hAnsi="Garamond" w:cs="Calibri"/>
          <w:color w:val="000000" w:themeColor="text1"/>
          <w:lang w:val="en-US"/>
        </w:rPr>
        <w:fldChar w:fldCharType="begin"/>
      </w:r>
      <w:r w:rsidRPr="009B1F4E">
        <w:rPr>
          <w:rFonts w:ascii="Garamond" w:hAnsi="Garamond" w:cs="Calibri"/>
          <w:color w:val="000000" w:themeColor="text1"/>
          <w:lang w:val="en-US"/>
        </w:rPr>
        <w:instrText xml:space="preserve"> ADDIN ZOTERO_ITEM CSL_CITATION {"citationID":"s7h7Aox1","properties":{"formattedCitation":"(e.g., Andrews 2020; Fitzpatrick 2020; van Schaik and Burkart 2018)","plainCitation":"(e.g., Andrews 2020; Fitzpatrick 2020; van Schaik and Burkart 2018)","noteIndex":0},"citationItems":[{"id":1199,"uris":["http://zotero.org/users/local/jz7T3Opo/items/A4Z328IT"],"itemData":{"id":1199,"type":"article-journal","container-title":"Journal of the American Philosophical Association","issue":"1","note":"publisher: Cambridge University Press","page":"36–56","source":"Google Scholar","title":"Naïve normativity: The social foundation of moral cognition","title-short":"Naïve normativity","volume":"6","author":[{"family":"Andrews","given":"Kristin"}],"issued":{"date-parts":[["2020"]]}},"label":"page","prefix":"e.g.,"},{"id":1202,"uris":["http://zotero.org/users/local/jz7T3Opo/items/7X5RAPGA"],"itemData":{"id":1202,"type":"article-journal","abstract":"This paper considers the question of whether chimpanzees possess at least a primitive sense of normativity: i.e., some ability to internalize and enforce social norms—rules governing appropriate and inappropriate behaviour—within their social groups, and to make evaluations of others’ behaviour in light of such norms. A number of scientists and philosophers have argued that such a sense of normativity does exist in chimpanzees and in several other non-human primate and mammalian species. However, the dominant view in the scientific and philosophical literature is that psychological capacities for social norms evolved uniquely in the human lineage, after our last common ancestor with chimpanzees and bonobos. After reviewing some of the existing evidence for normative capacity in chimpanzees, I defend the thesis of chimpanzee normativity against three key theoretical objections that have been presented in the literature, each of which have played a part in motivating the dominant sceptical position. I argue that, while we still have much to learn about the nature and extent of the normative capacities of other animals, there is strong prima facie evidence for social norms and normative evaluation in chimpanzees and the main theoretical objections to chimpanzee normativity are not at all compelling.","container-title":"Biology &amp; Philosophy","DOI":"10.1007/s10539-020-09763-1","ISSN":"1572-8404","issue":"4","journalAbbreviation":"Biol Philos","language":"en","page":"45","source":"Springer Link","title":"Chimpanzee normativity: evidence and objections","title-short":"Chimpanzee normativity","volume":"35","author":[{"family":"Fitzpatrick","given":"Simon"}],"issued":{"date-parts":[["2020",8,5]]}}},{"id":504,"uris":["http://zotero.org/users/local/jz7T3Opo/items/YIHYSADA"],"itemData":{"id":504,"type":"article-journal","abstract":"We welcome Tomasello’s new book on the natural history of human morality as an important conﬁrmation of the evolutionary approach, which sees adaptive behaviors and their psychological underpinnings as linked to a species’ socioecology (the package of subsistence, social, mating, and rearing systems). This perspective automatically leads to the conclusion that the basic set of moral preferences is a straightforward human adaptation to the derived cooperative foraging niche of nomadic foragers, which involves a high degree of interdependence. We provide more background information in support of this evolutionary approach, call for work on deﬁning the contents of the innate core of moral preferences it implies, and urge philosophers to pursue its implications more seriously. Tomasello also oﬀers a historical reconstruction, but his scenario is not compatible with recent comparative data showing a surprising overlap with aspects of human morality, nor does it ﬁt the currently best-supported evolutionary scenario of hominin foraging. We oﬀer a better-ﬁtting alternative, but also call for more behavioral work in child development and on nonhuman primates to improve this reconstruction.","container-title":"Philosophical Psychology","DOI":"10.1080/09515089.2018.1486608","ISSN":"0951-5089, 1465-394X","issue":"5","journalAbbreviation":"Philosophical Psychology","language":"en","page":"703-721","source":"DOI.org (Crossref)","title":"The moral capacity as a biological adaptation: A commentary on Tomasello","title-short":"The moral capacity as a biological adaptation","volume":"31","author":[{"family":"Schaik","given":"Carel P.","non-dropping-particle":"van"},{"family":"Burkart","given":"Judith M."}],"issued":{"date-parts":[["2018",7,4]]}}}],"schema":"https://github.com/citation-style-language/schema/raw/master/csl-citation.json"} </w:instrText>
      </w:r>
      <w:r w:rsidRPr="009B1F4E">
        <w:rPr>
          <w:rFonts w:ascii="Garamond" w:hAnsi="Garamond" w:cs="Calibri"/>
          <w:color w:val="000000" w:themeColor="text1"/>
          <w:lang w:val="en-US"/>
        </w:rPr>
        <w:fldChar w:fldCharType="separate"/>
      </w:r>
      <w:r w:rsidRPr="009B1F4E">
        <w:rPr>
          <w:rFonts w:ascii="Garamond" w:hAnsi="Garamond" w:cs="Calibri"/>
          <w:noProof/>
          <w:color w:val="000000" w:themeColor="text1"/>
          <w:lang w:val="en-US"/>
        </w:rPr>
        <w:t>(e.g., Andrews 2020; Fitzpatrick 2020; van Schaik and Burkart 2018)</w:t>
      </w:r>
      <w:r w:rsidRPr="009B1F4E">
        <w:rPr>
          <w:rFonts w:ascii="Garamond" w:hAnsi="Garamond" w:cs="Calibri"/>
          <w:color w:val="000000" w:themeColor="text1"/>
          <w:lang w:val="en-US"/>
        </w:rPr>
        <w:fldChar w:fldCharType="end"/>
      </w:r>
      <w:r w:rsidRPr="009B1F4E">
        <w:rPr>
          <w:rFonts w:ascii="Garamond" w:hAnsi="Garamond" w:cs="Calibri"/>
          <w:color w:val="000000" w:themeColor="text1"/>
          <w:lang w:val="en-US"/>
        </w:rPr>
        <w:t xml:space="preserve"> that are worthy of further thought here</w:t>
      </w:r>
      <w:r w:rsidR="00877EC0" w:rsidRPr="009B1F4E">
        <w:rPr>
          <w:rFonts w:ascii="Garamond" w:hAnsi="Garamond" w:cs="Calibri"/>
          <w:color w:val="000000" w:themeColor="text1"/>
          <w:lang w:val="en-US"/>
        </w:rPr>
        <w:t xml:space="preserve">: </w:t>
      </w:r>
    </w:p>
    <w:p w14:paraId="50D0C1C7" w14:textId="539835B3" w:rsidR="009115FC" w:rsidRPr="009B1F4E" w:rsidRDefault="009115FC" w:rsidP="009115FC">
      <w:pPr>
        <w:pStyle w:val="Listenabsatz"/>
        <w:numPr>
          <w:ilvl w:val="1"/>
          <w:numId w:val="8"/>
        </w:numPr>
        <w:spacing w:line="360" w:lineRule="auto"/>
        <w:jc w:val="both"/>
        <w:rPr>
          <w:rFonts w:ascii="Garamond" w:hAnsi="Garamond" w:cs="Calibri"/>
          <w:color w:val="000000" w:themeColor="text1"/>
          <w:lang w:val="en-US"/>
        </w:rPr>
      </w:pPr>
      <w:r w:rsidRPr="009B1F4E">
        <w:rPr>
          <w:rFonts w:ascii="Garamond" w:hAnsi="Garamond" w:cs="Calibri"/>
          <w:color w:val="000000" w:themeColor="text1"/>
          <w:lang w:val="en-US"/>
        </w:rPr>
        <w:t>It’s broadly accepted that some non-human animals</w:t>
      </w:r>
      <w:r w:rsidR="008A44F5" w:rsidRPr="009B1F4E">
        <w:rPr>
          <w:rFonts w:ascii="Garamond" w:hAnsi="Garamond" w:cs="Calibri"/>
          <w:color w:val="000000" w:themeColor="text1"/>
          <w:lang w:val="en-US"/>
        </w:rPr>
        <w:t>, and certainly great apes,</w:t>
      </w:r>
      <w:r w:rsidRPr="009B1F4E">
        <w:rPr>
          <w:rFonts w:ascii="Garamond" w:hAnsi="Garamond" w:cs="Calibri"/>
          <w:color w:val="000000" w:themeColor="text1"/>
          <w:lang w:val="en-US"/>
        </w:rPr>
        <w:t xml:space="preserve"> can flexibly pursue and track their own and others’ goals and self-monitor their decision-making processes </w:t>
      </w:r>
      <w:r w:rsidRPr="009B1F4E">
        <w:rPr>
          <w:rFonts w:ascii="Garamond" w:hAnsi="Garamond" w:cs="Calibri"/>
          <w:color w:val="000000" w:themeColor="text1"/>
          <w:lang w:val="en-US"/>
        </w:rPr>
        <w:fldChar w:fldCharType="begin"/>
      </w:r>
      <w:r w:rsidRPr="009B1F4E">
        <w:rPr>
          <w:rFonts w:ascii="Garamond" w:hAnsi="Garamond" w:cs="Calibri"/>
          <w:color w:val="000000" w:themeColor="text1"/>
          <w:lang w:val="en-US"/>
        </w:rPr>
        <w:instrText xml:space="preserve"> ADDIN ZOTERO_ITEM CSL_CITATION {"citationID":"m9woeo0B","properties":{"formattedCitation":"(see for an overview Tomasello 2014; 2016)","plainCitation":"(see for an overview Tomasello 2014; 2016)","noteIndex":0},"citationItems":[{"id":810,"uris":["http://zotero.org/users/local/jz7T3Opo/items/GTI7FTAL"],"itemData":{"id":810,"type":"book","abstract":"Tool-making or culture, language or religious belief: ever since Darwin, thinkers have struggled to identify what fundamentally differentiates human beings from other animals. Michael Tomasello weaves his twenty years of comparative studies of humans and great apes into a compelling argument that cooperative social interaction is the key to our cognitive uniqueness. Tomasello maintains that our prehuman ancestors, like today's great apes, were social beings who could solve problems by thinking. But they were almost entirely competitive, aiming only at their individual goals. As ecological changes forced them into more cooperative living arrangements, early humans had to coordinate their actions and communicate their thoughts with collaborative partners. Tomasello's \"shared intentionality hypothesis\" captures how these more socially complex forms of life led to more conceptually complex forms of thinking. In order to survive, humans had to learn to see the world from multiple social perspectives, to draw socially recursive inferences, and to monitor their own thinking via the normative standards of the group. Even language and culture arose from the preexisting need to work together and coordinate thoughts. A Natural History of Human Thinking is the most detailed scientific analysis to date of the connection between human sociality and cognition.","ISBN":"978-0-674-72636-9","language":"en","note":"container-title: A Natural History of Human Thinking","publisher":"Harvard University Press","source":"www.degruyter.com","title":"A Natural History of Human Thinking","URL":"https://www.degruyter.com/document/doi/10.4159/9780674726369/html","author":[{"family":"Tomasello","given":"Michael"}],"accessed":{"date-parts":[["2021",7,29]]},"issued":{"date-parts":[["2014",2,17]]}},"label":"page","prefix":"see for an overview"},{"id":1055,"uris":["http://zotero.org/users/local/jz7T3Opo/items/KVEN6DSN"],"itemData":{"id":1055,"type":"book","abstract":"Michael Tomasello offers the most detailed account to date of the evolution of human moral psychology. Based on experimental data comparing great apes and human children, he reconstructs two key evolutionary steps whereby early humans gradually became an ultra-cooperative and, eventually, a moral species capable of acting as a plural agent “we”.","ISBN":"978-0-674-91585-5","language":"en","note":"DOI: 10.4159/9780674915855\ncontainer-title: A Natural History of Human Morality","publisher":"Harvard University Press","source":"www.degruyter.com","title":"A Natural History of Human Morality","URL":"https://www.degruyter.com/document/doi/10.4159/9780674915855/html","author":[{"family":"Tomasello","given":"Michael"}],"accessed":{"date-parts":[["2022",7,29]]},"issued":{"date-parts":[["2016",1,4]]}}}],"schema":"https://github.com/citation-style-language/schema/raw/master/csl-citation.json"} </w:instrText>
      </w:r>
      <w:r w:rsidRPr="009B1F4E">
        <w:rPr>
          <w:rFonts w:ascii="Garamond" w:hAnsi="Garamond" w:cs="Calibri"/>
          <w:color w:val="000000" w:themeColor="text1"/>
          <w:lang w:val="en-US"/>
        </w:rPr>
        <w:fldChar w:fldCharType="separate"/>
      </w:r>
      <w:r w:rsidRPr="009B1F4E">
        <w:rPr>
          <w:rFonts w:ascii="Garamond" w:hAnsi="Garamond" w:cs="Calibri"/>
          <w:noProof/>
          <w:color w:val="000000" w:themeColor="text1"/>
          <w:lang w:val="en-US"/>
        </w:rPr>
        <w:t>(see for an overview Tomasello 2014; 2016)</w:t>
      </w:r>
      <w:r w:rsidRPr="009B1F4E">
        <w:rPr>
          <w:rFonts w:ascii="Garamond" w:hAnsi="Garamond" w:cs="Calibri"/>
          <w:color w:val="000000" w:themeColor="text1"/>
          <w:lang w:val="en-US"/>
        </w:rPr>
        <w:fldChar w:fldCharType="end"/>
      </w:r>
      <w:r w:rsidRPr="009B1F4E">
        <w:rPr>
          <w:rFonts w:ascii="Garamond" w:hAnsi="Garamond" w:cs="Calibri"/>
          <w:color w:val="000000" w:themeColor="text1"/>
          <w:lang w:val="en-US"/>
        </w:rPr>
        <w:t>. But do non-human animals achieve this by employing something like personal norms? More work is needed on both how one might empirically investigate the existence of such norms and how they might be cognitively implemented.</w:t>
      </w:r>
    </w:p>
    <w:p w14:paraId="34E51F68" w14:textId="3451F9BC" w:rsidR="009115FC" w:rsidRPr="009B1F4E" w:rsidRDefault="00877EC0" w:rsidP="009115FC">
      <w:pPr>
        <w:pStyle w:val="Listenabsatz"/>
        <w:numPr>
          <w:ilvl w:val="1"/>
          <w:numId w:val="8"/>
        </w:numPr>
        <w:spacing w:line="360" w:lineRule="auto"/>
        <w:jc w:val="both"/>
        <w:rPr>
          <w:rFonts w:ascii="Garamond" w:hAnsi="Garamond" w:cstheme="minorHAnsi"/>
          <w:color w:val="000000" w:themeColor="text1"/>
          <w:lang w:val="en-US"/>
        </w:rPr>
      </w:pPr>
      <w:r w:rsidRPr="009B1F4E">
        <w:rPr>
          <w:rFonts w:ascii="Garamond" w:hAnsi="Garamond" w:cs="Calibri"/>
          <w:color w:val="000000" w:themeColor="text1"/>
          <w:lang w:val="en-US"/>
        </w:rPr>
        <w:t>Some take it that animals</w:t>
      </w:r>
      <w:r w:rsidR="008A44F5" w:rsidRPr="009B1F4E">
        <w:rPr>
          <w:rFonts w:ascii="Garamond" w:hAnsi="Garamond" w:cs="Calibri"/>
          <w:color w:val="000000" w:themeColor="text1"/>
          <w:lang w:val="en-US"/>
        </w:rPr>
        <w:t>, too,</w:t>
      </w:r>
      <w:r w:rsidRPr="009B1F4E">
        <w:rPr>
          <w:rFonts w:ascii="Garamond" w:hAnsi="Garamond" w:cs="Calibri"/>
          <w:color w:val="000000" w:themeColor="text1"/>
          <w:lang w:val="en-US"/>
        </w:rPr>
        <w:t xml:space="preserve"> employ cultural learning. In light of the above, r</w:t>
      </w:r>
      <w:r w:rsidR="009115FC" w:rsidRPr="009B1F4E">
        <w:rPr>
          <w:rFonts w:ascii="Garamond" w:hAnsi="Garamond" w:cstheme="minorHAnsi"/>
          <w:color w:val="000000" w:themeColor="text1"/>
          <w:lang w:val="en-US"/>
        </w:rPr>
        <w:t xml:space="preserve">ather than considering whether they employ some sort of cooperation-norms as some in literature seek to do </w:t>
      </w:r>
      <w:r w:rsidR="009115FC" w:rsidRPr="009B1F4E">
        <w:rPr>
          <w:rFonts w:ascii="Garamond" w:hAnsi="Garamond" w:cstheme="minorHAnsi"/>
          <w:color w:val="000000" w:themeColor="text1"/>
          <w:lang w:val="en-US"/>
        </w:rPr>
        <w:fldChar w:fldCharType="begin"/>
      </w:r>
      <w:r w:rsidR="009115FC" w:rsidRPr="009B1F4E">
        <w:rPr>
          <w:rFonts w:ascii="Garamond" w:hAnsi="Garamond" w:cstheme="minorHAnsi"/>
          <w:color w:val="000000" w:themeColor="text1"/>
          <w:lang w:val="en-US"/>
        </w:rPr>
        <w:instrText xml:space="preserve"> ADDIN ZOTERO_ITEM CSL_CITATION {"citationID":"JKslvASP","properties":{"formattedCitation":"(e.g., Andrews 2020)","plainCitation":"(e.g., Andrews 2020)","noteIndex":0},"citationItems":[{"id":1199,"uris":["http://zotero.org/users/local/jz7T3Opo/items/A4Z328IT"],"itemData":{"id":1199,"type":"article-journal","container-title":"Journal of the American Philosophical Association","issue":"1","note":"publisher: Cambridge University Press","page":"36–56","source":"Google Scholar","title":"Naïve normativity: The social foundation of moral cognition","title-short":"Naïve normativity","volume":"6","author":[{"family":"Andrews","given":"Kristin"}],"issued":{"date-parts":[["2020"]]}},"label":"page","prefix":"e.g., "}],"schema":"https://github.com/citation-style-language/schema/raw/master/csl-citation.json"} </w:instrText>
      </w:r>
      <w:r w:rsidR="009115FC" w:rsidRPr="009B1F4E">
        <w:rPr>
          <w:rFonts w:ascii="Garamond" w:hAnsi="Garamond" w:cstheme="minorHAnsi"/>
          <w:color w:val="000000" w:themeColor="text1"/>
          <w:lang w:val="en-US"/>
        </w:rPr>
        <w:fldChar w:fldCharType="separate"/>
      </w:r>
      <w:r w:rsidR="009115FC" w:rsidRPr="009B1F4E">
        <w:rPr>
          <w:rFonts w:ascii="Garamond" w:hAnsi="Garamond" w:cstheme="minorHAnsi"/>
          <w:noProof/>
          <w:color w:val="000000" w:themeColor="text1"/>
          <w:lang w:val="en-US"/>
        </w:rPr>
        <w:t>(e.g., Andrews 2020)</w:t>
      </w:r>
      <w:r w:rsidR="009115FC" w:rsidRPr="009B1F4E">
        <w:rPr>
          <w:rFonts w:ascii="Garamond" w:hAnsi="Garamond" w:cstheme="minorHAnsi"/>
          <w:color w:val="000000" w:themeColor="text1"/>
          <w:lang w:val="en-US"/>
        </w:rPr>
        <w:fldChar w:fldCharType="end"/>
      </w:r>
      <w:r w:rsidR="009115FC" w:rsidRPr="009B1F4E">
        <w:rPr>
          <w:rFonts w:ascii="Garamond" w:hAnsi="Garamond" w:cstheme="minorHAnsi"/>
          <w:color w:val="000000" w:themeColor="text1"/>
          <w:lang w:val="en-US"/>
        </w:rPr>
        <w:t xml:space="preserve">, it’d make sense to investigate whether action is being coordinated by means of coordination-norms — especially as there’s a rich literature on action-coordination in non-human animals </w:t>
      </w:r>
      <w:r w:rsidR="009115FC" w:rsidRPr="009B1F4E">
        <w:rPr>
          <w:rFonts w:ascii="Garamond" w:hAnsi="Garamond" w:cstheme="minorHAnsi"/>
          <w:color w:val="000000" w:themeColor="text1"/>
          <w:lang w:val="en-US"/>
        </w:rPr>
        <w:fldChar w:fldCharType="begin"/>
      </w:r>
      <w:r w:rsidR="009115FC" w:rsidRPr="009B1F4E">
        <w:rPr>
          <w:rFonts w:ascii="Garamond" w:hAnsi="Garamond" w:cstheme="minorHAnsi"/>
          <w:color w:val="000000" w:themeColor="text1"/>
          <w:lang w:val="en-US"/>
        </w:rPr>
        <w:instrText xml:space="preserve"> ADDIN ZOTERO_ITEM CSL_CITATION {"citationID":"SNAyI4y1","properties":{"formattedCitation":"(e.g., Heesen and Fr\\uc0\\u246{}hlich 2022; Genty et al. 2020)","plainCitation":"(e.g., Heesen and Fröhlich 2022; Genty et al. 2020)","noteIndex":0},"citationItems":[{"id":1207,"uris":["http://zotero.org/users/local/jz7T3Opo/items/DQJKE93S"],"itemData":{"id":1207,"type":"document","note":"issue: 1859\npage: 20210092\ncontainer-title: Philosophical Transactions of the Royal Society B\nvolume: 377","publisher":"The Royal Society","source":"Google Scholar","title":"Revisiting the human ‘interaction engine’: comparative approaches to social action coordination","title-short":"Revisiting the human ‘interaction engine’","author":[{"family":"Heesen","given":"Raphaela"},{"family":"Fröhlich","given":"Marlen"}],"issued":{"date-parts":[["2022"]]}},"label":"page","prefix":"e.g.,"},{"id":1210,"uris":["http://zotero.org/users/local/jz7T3Opo/items/DES4Q9R3"],"itemData":{"id":1210,"type":"article-journal","container-title":"Interaction Studies","issue":"3","note":"publisher: John Benjamins","page":"353–386","source":"Google Scholar","title":"How apes get into and out of joint actions: Shared intentionality as an interactional achievement","title-short":"How apes get into and out of joint actions","volume":"21","author":[{"family":"Genty","given":"Emilie"},{"family":"Heesen","given":"Raphaela"},{"family":"Guéry","given":"Jean-Pascal"},{"family":"Rossano","given":"Federico"},{"family":"Zuberbühler","given":"Klaus"},{"family":"Bangerter","given":"Adrian"}],"issued":{"date-parts":[["2020"]]}}}],"schema":"https://github.com/citation-style-language/schema/raw/master/csl-citation.json"} </w:instrText>
      </w:r>
      <w:r w:rsidR="009115FC" w:rsidRPr="009B1F4E">
        <w:rPr>
          <w:rFonts w:ascii="Garamond" w:hAnsi="Garamond" w:cstheme="minorHAnsi"/>
          <w:color w:val="000000" w:themeColor="text1"/>
          <w:lang w:val="en-US"/>
        </w:rPr>
        <w:fldChar w:fldCharType="separate"/>
      </w:r>
      <w:r w:rsidR="009115FC" w:rsidRPr="009B1F4E">
        <w:rPr>
          <w:rFonts w:ascii="Garamond" w:hAnsi="Garamond" w:cs="Calibri"/>
          <w:color w:val="000000" w:themeColor="text1"/>
          <w:lang w:val="en-US"/>
        </w:rPr>
        <w:t>(e.g., Heesen and Fröhlich 2022; Genty et al. 2020)</w:t>
      </w:r>
      <w:r w:rsidR="009115FC" w:rsidRPr="009B1F4E">
        <w:rPr>
          <w:rFonts w:ascii="Garamond" w:hAnsi="Garamond" w:cstheme="minorHAnsi"/>
          <w:color w:val="000000" w:themeColor="text1"/>
          <w:lang w:val="en-US"/>
        </w:rPr>
        <w:fldChar w:fldCharType="end"/>
      </w:r>
      <w:r w:rsidR="009115FC" w:rsidRPr="009B1F4E">
        <w:rPr>
          <w:rFonts w:ascii="Garamond" w:hAnsi="Garamond" w:cstheme="minorHAnsi"/>
          <w:color w:val="000000" w:themeColor="text1"/>
          <w:lang w:val="en-US"/>
        </w:rPr>
        <w:t>.</w:t>
      </w:r>
      <w:r w:rsidRPr="009B1F4E">
        <w:rPr>
          <w:rFonts w:ascii="Garamond" w:hAnsi="Garamond" w:cstheme="minorHAnsi"/>
          <w:color w:val="000000" w:themeColor="text1"/>
          <w:lang w:val="en-US"/>
        </w:rPr>
        <w:t xml:space="preserve"> Positive findings would provide additional support for animal’s capacity to learn culturally, whilst negative findings — either with regards to personal or coordination-norms — might provide at least a partial explanation of why they lack cultural learning.</w:t>
      </w:r>
    </w:p>
    <w:p w14:paraId="2AAF047B" w14:textId="77777777" w:rsidR="004D0E12" w:rsidRPr="009B1F4E" w:rsidRDefault="004D0E12" w:rsidP="004D0E12">
      <w:pPr>
        <w:spacing w:line="360" w:lineRule="auto"/>
        <w:jc w:val="both"/>
        <w:rPr>
          <w:rFonts w:ascii="Garamond" w:hAnsi="Garamond" w:cstheme="minorHAnsi"/>
          <w:b/>
          <w:bCs/>
          <w:color w:val="000000" w:themeColor="text1"/>
          <w:lang w:val="en-US"/>
        </w:rPr>
      </w:pPr>
    </w:p>
    <w:p w14:paraId="039BD1F0" w14:textId="1B0F07E8" w:rsidR="004D0E12" w:rsidRPr="009B1F4E" w:rsidRDefault="004D0E12" w:rsidP="004D0E12">
      <w:pPr>
        <w:spacing w:line="360" w:lineRule="auto"/>
        <w:jc w:val="both"/>
        <w:rPr>
          <w:rFonts w:ascii="Garamond" w:hAnsi="Garamond" w:cstheme="minorHAnsi"/>
          <w:b/>
          <w:bCs/>
          <w:color w:val="000000" w:themeColor="text1"/>
          <w:lang w:val="en-US"/>
        </w:rPr>
      </w:pPr>
      <w:r w:rsidRPr="009B1F4E">
        <w:rPr>
          <w:rFonts w:ascii="Garamond" w:hAnsi="Garamond" w:cstheme="minorHAnsi"/>
          <w:b/>
          <w:bCs/>
          <w:color w:val="000000" w:themeColor="text1"/>
          <w:lang w:val="en-US"/>
        </w:rPr>
        <w:t>References</w:t>
      </w:r>
    </w:p>
    <w:p w14:paraId="5F54815C" w14:textId="77777777" w:rsidR="001D400C" w:rsidRPr="001D400C" w:rsidRDefault="004D0E12">
      <w:pPr>
        <w:widowControl w:val="0"/>
        <w:autoSpaceDE w:val="0"/>
        <w:autoSpaceDN w:val="0"/>
        <w:adjustRightInd w:val="0"/>
        <w:rPr>
          <w:lang w:val="en-US"/>
        </w:rPr>
      </w:pPr>
      <w:r w:rsidRPr="009B1F4E">
        <w:rPr>
          <w:color w:val="000000" w:themeColor="text1"/>
        </w:rPr>
        <w:fldChar w:fldCharType="begin"/>
      </w:r>
      <w:r w:rsidRPr="009B1F4E">
        <w:rPr>
          <w:color w:val="000000" w:themeColor="text1"/>
        </w:rPr>
        <w:instrText xml:space="preserve"> ADDIN ZOTERO_BIBL {"uncited":[],"omitted":[],"custom":[]} CSL_BIBLIOGRAPHY </w:instrText>
      </w:r>
      <w:r w:rsidRPr="009B1F4E">
        <w:rPr>
          <w:color w:val="000000" w:themeColor="text1"/>
        </w:rPr>
        <w:fldChar w:fldCharType="separate"/>
      </w:r>
      <w:r w:rsidR="001D400C" w:rsidRPr="001D400C">
        <w:rPr>
          <w:lang w:val="en-US"/>
        </w:rPr>
        <w:t xml:space="preserve">Abbate, Cheryl. 2021. ‘On the Role of Knowers and Corresponding Epistemic Role Oughts’. </w:t>
      </w:r>
      <w:r w:rsidR="001D400C" w:rsidRPr="001D400C">
        <w:rPr>
          <w:i/>
          <w:iCs/>
          <w:lang w:val="en-US"/>
        </w:rPr>
        <w:t>Synthese</w:t>
      </w:r>
      <w:r w:rsidR="001D400C" w:rsidRPr="001D400C">
        <w:rPr>
          <w:lang w:val="en-US"/>
        </w:rPr>
        <w:t xml:space="preserve"> 199 (3): 9497–9522.</w:t>
      </w:r>
    </w:p>
    <w:p w14:paraId="47F398D6" w14:textId="77777777" w:rsidR="001D400C" w:rsidRPr="001D400C" w:rsidRDefault="001D400C">
      <w:pPr>
        <w:widowControl w:val="0"/>
        <w:autoSpaceDE w:val="0"/>
        <w:autoSpaceDN w:val="0"/>
        <w:adjustRightInd w:val="0"/>
        <w:rPr>
          <w:lang w:val="en-US"/>
        </w:rPr>
      </w:pPr>
      <w:r w:rsidRPr="001D400C">
        <w:rPr>
          <w:lang w:val="en-US"/>
        </w:rPr>
        <w:t xml:space="preserve">Andrews, Kristin. 2020. ‘Naïve Normativity: The Social Foundation of Moral Cognition’. </w:t>
      </w:r>
      <w:r w:rsidRPr="001D400C">
        <w:rPr>
          <w:i/>
          <w:iCs/>
          <w:lang w:val="en-US"/>
        </w:rPr>
        <w:t>Journal of the American Philosophical Association</w:t>
      </w:r>
      <w:r w:rsidRPr="001D400C">
        <w:rPr>
          <w:lang w:val="en-US"/>
        </w:rPr>
        <w:t xml:space="preserve"> 6 (1): 36–56.</w:t>
      </w:r>
    </w:p>
    <w:p w14:paraId="673B3197" w14:textId="77777777" w:rsidR="001D400C" w:rsidRPr="001D400C" w:rsidRDefault="001D400C">
      <w:pPr>
        <w:widowControl w:val="0"/>
        <w:autoSpaceDE w:val="0"/>
        <w:autoSpaceDN w:val="0"/>
        <w:adjustRightInd w:val="0"/>
        <w:rPr>
          <w:lang w:val="en-US"/>
        </w:rPr>
      </w:pPr>
      <w:r w:rsidRPr="001D400C">
        <w:rPr>
          <w:lang w:val="en-US"/>
        </w:rPr>
        <w:lastRenderedPageBreak/>
        <w:t xml:space="preserve">Bandini, Elisa, Jonathan Scott Reeves, William Daniel Snyder, and Claudio Tennie. 2021. ‘Clarifying Misconceptions of the Zone of Latent Solutions Hypothesis: A Response to Haidle and Schlaudt’. </w:t>
      </w:r>
      <w:r w:rsidRPr="001D400C">
        <w:rPr>
          <w:i/>
          <w:iCs/>
          <w:lang w:val="en-US"/>
        </w:rPr>
        <w:t>Biological Theory</w:t>
      </w:r>
      <w:r w:rsidRPr="001D400C">
        <w:rPr>
          <w:lang w:val="en-US"/>
        </w:rPr>
        <w:t xml:space="preserve"> 16 (2): 76–82. https://doi.org/10.1007/s13752-021-00374-x.</w:t>
      </w:r>
    </w:p>
    <w:p w14:paraId="64EA649D" w14:textId="77777777" w:rsidR="001D400C" w:rsidRPr="001D400C" w:rsidRDefault="001D400C">
      <w:pPr>
        <w:widowControl w:val="0"/>
        <w:autoSpaceDE w:val="0"/>
        <w:autoSpaceDN w:val="0"/>
        <w:adjustRightInd w:val="0"/>
        <w:rPr>
          <w:lang w:val="en-US"/>
        </w:rPr>
      </w:pPr>
      <w:r w:rsidRPr="001D400C">
        <w:rPr>
          <w:lang w:val="en-US"/>
        </w:rPr>
        <w:t>Bicchieri, Cristina. 2005. ‘The Grammar of Society: The Nature and Dynamics of Social Norms’, 278.</w:t>
      </w:r>
    </w:p>
    <w:p w14:paraId="0F22D76B" w14:textId="77777777" w:rsidR="001D400C" w:rsidRPr="001D400C" w:rsidRDefault="001D400C">
      <w:pPr>
        <w:widowControl w:val="0"/>
        <w:autoSpaceDE w:val="0"/>
        <w:autoSpaceDN w:val="0"/>
        <w:adjustRightInd w:val="0"/>
        <w:rPr>
          <w:lang w:val="en-US"/>
        </w:rPr>
      </w:pPr>
      <w:r w:rsidRPr="001D400C">
        <w:rPr>
          <w:lang w:val="de-DE"/>
        </w:rPr>
        <w:t xml:space="preserve">Bicchieri, Cristina, Eugen Dimant, Michele Gelfand, and Silvia Sonderegger. </w:t>
      </w:r>
      <w:r w:rsidRPr="0007417B">
        <w:rPr>
          <w:lang w:val="en-US"/>
        </w:rPr>
        <w:t xml:space="preserve">2023. ‘Social Norms and Behavior Change: The Interdisciplinary Research Frontier’. </w:t>
      </w:r>
      <w:r w:rsidRPr="001D400C">
        <w:rPr>
          <w:i/>
          <w:iCs/>
          <w:lang w:val="en-US"/>
        </w:rPr>
        <w:t>Journal of Economic Behavior &amp; Organization</w:t>
      </w:r>
      <w:r w:rsidRPr="001D400C">
        <w:rPr>
          <w:lang w:val="en-US"/>
        </w:rPr>
        <w:t xml:space="preserve"> 205 (January): A4–7. https://doi.org/10.1016/j.jebo.2022.11.007.</w:t>
      </w:r>
    </w:p>
    <w:p w14:paraId="46AEEB6D" w14:textId="77777777" w:rsidR="001D400C" w:rsidRPr="001D400C" w:rsidRDefault="001D400C">
      <w:pPr>
        <w:widowControl w:val="0"/>
        <w:autoSpaceDE w:val="0"/>
        <w:autoSpaceDN w:val="0"/>
        <w:adjustRightInd w:val="0"/>
        <w:rPr>
          <w:lang w:val="en-US"/>
        </w:rPr>
      </w:pPr>
      <w:r w:rsidRPr="001D400C">
        <w:rPr>
          <w:lang w:val="en-US"/>
        </w:rPr>
        <w:t xml:space="preserve">Birch, Jonathan. 2021a. ‘Toolmaking and the Evolution of Normative Cognition’. </w:t>
      </w:r>
      <w:r w:rsidRPr="001D400C">
        <w:rPr>
          <w:i/>
          <w:iCs/>
          <w:lang w:val="en-US"/>
        </w:rPr>
        <w:t>Biology &amp; Philosophy</w:t>
      </w:r>
      <w:r w:rsidRPr="001D400C">
        <w:rPr>
          <w:lang w:val="en-US"/>
        </w:rPr>
        <w:t xml:space="preserve"> 36 (1): 4. https://doi.org/10.1007/s10539-020-09777-9.</w:t>
      </w:r>
    </w:p>
    <w:p w14:paraId="3F8AA058" w14:textId="77777777" w:rsidR="001D400C" w:rsidRPr="001D400C" w:rsidRDefault="001D400C">
      <w:pPr>
        <w:widowControl w:val="0"/>
        <w:autoSpaceDE w:val="0"/>
        <w:autoSpaceDN w:val="0"/>
        <w:adjustRightInd w:val="0"/>
        <w:rPr>
          <w:lang w:val="de-DE"/>
        </w:rPr>
      </w:pPr>
      <w:r w:rsidRPr="001D400C">
        <w:rPr>
          <w:lang w:val="en-US"/>
        </w:rPr>
        <w:t xml:space="preserve">———. 2021b. ‘Refining the Skill Hypothesis: Replies to Andrews/Westra, Tomasello, Sterelny, and Railton’. </w:t>
      </w:r>
      <w:r w:rsidRPr="001D400C">
        <w:rPr>
          <w:i/>
          <w:iCs/>
          <w:lang w:val="de-DE"/>
        </w:rPr>
        <w:t>Analyse &amp; Kritik</w:t>
      </w:r>
      <w:r w:rsidRPr="001D400C">
        <w:rPr>
          <w:lang w:val="de-DE"/>
        </w:rPr>
        <w:t xml:space="preserve"> 43 (1): 253–60. https://doi.org/10.1515/auk-2021-0015.</w:t>
      </w:r>
    </w:p>
    <w:p w14:paraId="44363173" w14:textId="77777777" w:rsidR="001D400C" w:rsidRPr="001D400C" w:rsidRDefault="001D400C">
      <w:pPr>
        <w:widowControl w:val="0"/>
        <w:autoSpaceDE w:val="0"/>
        <w:autoSpaceDN w:val="0"/>
        <w:adjustRightInd w:val="0"/>
        <w:rPr>
          <w:lang w:val="en-US"/>
        </w:rPr>
      </w:pPr>
      <w:r w:rsidRPr="001D400C">
        <w:rPr>
          <w:lang w:val="de-DE"/>
        </w:rPr>
        <w:t xml:space="preserve">Boyd, Robert, and Peter J. Richerson. </w:t>
      </w:r>
      <w:r w:rsidRPr="001D400C">
        <w:rPr>
          <w:lang w:val="en-US"/>
        </w:rPr>
        <w:t xml:space="preserve">1988. </w:t>
      </w:r>
      <w:r w:rsidRPr="001D400C">
        <w:rPr>
          <w:i/>
          <w:iCs/>
          <w:lang w:val="en-US"/>
        </w:rPr>
        <w:t>Culture and the Evolutionary Process</w:t>
      </w:r>
      <w:r w:rsidRPr="001D400C">
        <w:rPr>
          <w:lang w:val="en-US"/>
        </w:rPr>
        <w:t>. University of Chicago Press.</w:t>
      </w:r>
    </w:p>
    <w:p w14:paraId="6E13EEAD" w14:textId="77777777" w:rsidR="001D400C" w:rsidRPr="001D400C" w:rsidRDefault="001D400C">
      <w:pPr>
        <w:widowControl w:val="0"/>
        <w:autoSpaceDE w:val="0"/>
        <w:autoSpaceDN w:val="0"/>
        <w:adjustRightInd w:val="0"/>
        <w:rPr>
          <w:lang w:val="en-US"/>
        </w:rPr>
      </w:pPr>
      <w:r w:rsidRPr="001D400C">
        <w:rPr>
          <w:lang w:val="en-US"/>
        </w:rPr>
        <w:t xml:space="preserve">Bramble, Dennis M., and Daniel E. Lieberman. 2004. ‘Endurance Running and the Evolution of Homo’. </w:t>
      </w:r>
      <w:r w:rsidRPr="001D400C">
        <w:rPr>
          <w:i/>
          <w:iCs/>
          <w:lang w:val="en-US"/>
        </w:rPr>
        <w:t>Nature</w:t>
      </w:r>
      <w:r w:rsidRPr="001D400C">
        <w:rPr>
          <w:lang w:val="en-US"/>
        </w:rPr>
        <w:t xml:space="preserve"> 432 (7015): 345–52.</w:t>
      </w:r>
    </w:p>
    <w:p w14:paraId="0DB86441" w14:textId="77777777" w:rsidR="001D400C" w:rsidRPr="001D400C" w:rsidRDefault="001D400C">
      <w:pPr>
        <w:widowControl w:val="0"/>
        <w:autoSpaceDE w:val="0"/>
        <w:autoSpaceDN w:val="0"/>
        <w:adjustRightInd w:val="0"/>
        <w:rPr>
          <w:lang w:val="en-US"/>
        </w:rPr>
      </w:pPr>
      <w:r w:rsidRPr="001D400C">
        <w:rPr>
          <w:lang w:val="en-US"/>
        </w:rPr>
        <w:t xml:space="preserve">Brennan, Geoffrey, Lina Eriksson, Robert E. Goodin, and Nicholas Southwood. 2013. </w:t>
      </w:r>
      <w:r w:rsidRPr="001D400C">
        <w:rPr>
          <w:i/>
          <w:iCs/>
          <w:lang w:val="en-US"/>
        </w:rPr>
        <w:t>Explaining Norms</w:t>
      </w:r>
      <w:r w:rsidRPr="001D400C">
        <w:rPr>
          <w:lang w:val="en-US"/>
        </w:rPr>
        <w:t>. Oxford University Press.</w:t>
      </w:r>
    </w:p>
    <w:p w14:paraId="75EAB966" w14:textId="77777777" w:rsidR="001D400C" w:rsidRPr="001D400C" w:rsidRDefault="001D400C">
      <w:pPr>
        <w:widowControl w:val="0"/>
        <w:autoSpaceDE w:val="0"/>
        <w:autoSpaceDN w:val="0"/>
        <w:adjustRightInd w:val="0"/>
        <w:rPr>
          <w:lang w:val="en-US"/>
        </w:rPr>
      </w:pPr>
      <w:r w:rsidRPr="001D400C">
        <w:rPr>
          <w:lang w:val="en-US"/>
        </w:rPr>
        <w:t xml:space="preserve">Burkart, J. M., S. B. Hrdy, and C. P. Van Schaik. 2009. ‘Cooperative Breeding and Human Cognitive Evolution’. </w:t>
      </w:r>
      <w:r w:rsidRPr="001D400C">
        <w:rPr>
          <w:i/>
          <w:iCs/>
          <w:lang w:val="en-US"/>
        </w:rPr>
        <w:t>Evolutionary Anthropology: Issues, News, and Reviews</w:t>
      </w:r>
      <w:r w:rsidRPr="001D400C">
        <w:rPr>
          <w:lang w:val="en-US"/>
        </w:rPr>
        <w:t xml:space="preserve"> 18 (5): 175–86. https://doi.org/10.1002/evan.20222.</w:t>
      </w:r>
    </w:p>
    <w:p w14:paraId="48D76934" w14:textId="77777777" w:rsidR="001D400C" w:rsidRPr="001D400C" w:rsidRDefault="001D400C">
      <w:pPr>
        <w:widowControl w:val="0"/>
        <w:autoSpaceDE w:val="0"/>
        <w:autoSpaceDN w:val="0"/>
        <w:adjustRightInd w:val="0"/>
        <w:rPr>
          <w:lang w:val="en-US"/>
        </w:rPr>
      </w:pPr>
      <w:r w:rsidRPr="001D400C">
        <w:rPr>
          <w:lang w:val="en-US"/>
        </w:rPr>
        <w:t xml:space="preserve">Buzzell, Andrew, and Regina Rini. 2022. ‘Doing Your Own Research and Other Impossible Acts of Epistemic Superheroism’. </w:t>
      </w:r>
      <w:r w:rsidRPr="001D400C">
        <w:rPr>
          <w:i/>
          <w:iCs/>
          <w:lang w:val="en-US"/>
        </w:rPr>
        <w:t>Philosophical Psychology</w:t>
      </w:r>
      <w:r w:rsidRPr="001D400C">
        <w:rPr>
          <w:lang w:val="en-US"/>
        </w:rPr>
        <w:t xml:space="preserve"> 0 (0): 1–25. https://doi.org/10.1080/09515089.2022.2138019.</w:t>
      </w:r>
    </w:p>
    <w:p w14:paraId="0AEBBFFE" w14:textId="77777777" w:rsidR="001D400C" w:rsidRPr="001D400C" w:rsidRDefault="001D400C">
      <w:pPr>
        <w:widowControl w:val="0"/>
        <w:autoSpaceDE w:val="0"/>
        <w:autoSpaceDN w:val="0"/>
        <w:adjustRightInd w:val="0"/>
        <w:rPr>
          <w:lang w:val="en-US"/>
        </w:rPr>
      </w:pPr>
      <w:r w:rsidRPr="001D400C">
        <w:rPr>
          <w:lang w:val="en-US"/>
        </w:rPr>
        <w:t xml:space="preserve">Caldwell, Christine A., and Ailsa E. Millen. 2010. ‘Conservatism in Laboratory Microsocieties: Unpredictable Payoffs Accentuate Group-Specific Traditions’. </w:t>
      </w:r>
      <w:r w:rsidRPr="001D400C">
        <w:rPr>
          <w:i/>
          <w:iCs/>
          <w:lang w:val="en-US"/>
        </w:rPr>
        <w:t>Evolution and Human Behavior</w:t>
      </w:r>
      <w:r w:rsidRPr="001D400C">
        <w:rPr>
          <w:lang w:val="en-US"/>
        </w:rPr>
        <w:t xml:space="preserve"> 31 (2): 123–30. https://doi.org/10.1016/j.evolhumbehav.2009.08.002.</w:t>
      </w:r>
    </w:p>
    <w:p w14:paraId="11312D6C" w14:textId="77777777" w:rsidR="001D400C" w:rsidRPr="001D400C" w:rsidRDefault="001D400C">
      <w:pPr>
        <w:widowControl w:val="0"/>
        <w:autoSpaceDE w:val="0"/>
        <w:autoSpaceDN w:val="0"/>
        <w:adjustRightInd w:val="0"/>
        <w:rPr>
          <w:lang w:val="en-US"/>
        </w:rPr>
      </w:pPr>
      <w:r w:rsidRPr="001D400C">
        <w:rPr>
          <w:lang w:val="en-US"/>
        </w:rPr>
        <w:t xml:space="preserve">Carr, Jennifer Rose. 2022. ‘Why Ideal Epistemology?’ </w:t>
      </w:r>
      <w:r w:rsidRPr="001D400C">
        <w:rPr>
          <w:i/>
          <w:iCs/>
          <w:lang w:val="en-US"/>
        </w:rPr>
        <w:t>Mind</w:t>
      </w:r>
      <w:r w:rsidRPr="001D400C">
        <w:rPr>
          <w:lang w:val="en-US"/>
        </w:rPr>
        <w:t xml:space="preserve"> 131 (524): 1131–62. https://doi.org/10.1093/mind/fzab023.</w:t>
      </w:r>
    </w:p>
    <w:p w14:paraId="26A839EA" w14:textId="77777777" w:rsidR="001D400C" w:rsidRPr="001D400C" w:rsidRDefault="001D400C">
      <w:pPr>
        <w:widowControl w:val="0"/>
        <w:autoSpaceDE w:val="0"/>
        <w:autoSpaceDN w:val="0"/>
        <w:adjustRightInd w:val="0"/>
        <w:rPr>
          <w:lang w:val="en-US"/>
        </w:rPr>
      </w:pPr>
      <w:r w:rsidRPr="001D400C">
        <w:rPr>
          <w:lang w:val="en-US"/>
        </w:rPr>
        <w:t xml:space="preserve">Castro, Laureano, Miguel Ángel Castro-Nogueira, and Miguel Ángel Toro. 2019. ‘Assessor Teaching and the Development of the Capacity to Innovate and to Imitate’. </w:t>
      </w:r>
      <w:r w:rsidRPr="001D400C">
        <w:rPr>
          <w:i/>
          <w:iCs/>
          <w:lang w:val="en-US"/>
        </w:rPr>
        <w:t>Journal of Theoretical Biology</w:t>
      </w:r>
      <w:r w:rsidRPr="001D400C">
        <w:rPr>
          <w:lang w:val="en-US"/>
        </w:rPr>
        <w:t xml:space="preserve"> 472 (July): 88–94. https://doi.org/10.1016/j.jtbi.2019.04.004.</w:t>
      </w:r>
    </w:p>
    <w:p w14:paraId="1EC289E5" w14:textId="77777777" w:rsidR="001D400C" w:rsidRPr="001D400C" w:rsidRDefault="001D400C">
      <w:pPr>
        <w:widowControl w:val="0"/>
        <w:autoSpaceDE w:val="0"/>
        <w:autoSpaceDN w:val="0"/>
        <w:adjustRightInd w:val="0"/>
        <w:rPr>
          <w:lang w:val="en-US"/>
        </w:rPr>
      </w:pPr>
      <w:r w:rsidRPr="001D400C">
        <w:rPr>
          <w:lang w:val="en-US"/>
        </w:rPr>
        <w:t xml:space="preserve">Castro, Laureano, Miguel Ángel Castro-Nogueira, Morris Villarroel, and Miguel Ángel Toro. 2019. ‘The Role of Assessor Teaching in Human Culture’. </w:t>
      </w:r>
      <w:r w:rsidRPr="001D400C">
        <w:rPr>
          <w:i/>
          <w:iCs/>
          <w:lang w:val="en-US"/>
        </w:rPr>
        <w:t>Biological Theory</w:t>
      </w:r>
      <w:r w:rsidRPr="001D400C">
        <w:rPr>
          <w:lang w:val="en-US"/>
        </w:rPr>
        <w:t xml:space="preserve"> 14 (2): 112–21. https://doi.org/10.1007/s13752-018-00314-2.</w:t>
      </w:r>
    </w:p>
    <w:p w14:paraId="2830DF66" w14:textId="77777777" w:rsidR="001D400C" w:rsidRPr="001D400C" w:rsidRDefault="001D400C">
      <w:pPr>
        <w:widowControl w:val="0"/>
        <w:autoSpaceDE w:val="0"/>
        <w:autoSpaceDN w:val="0"/>
        <w:adjustRightInd w:val="0"/>
        <w:rPr>
          <w:lang w:val="en-US"/>
        </w:rPr>
      </w:pPr>
      <w:r w:rsidRPr="001D400C">
        <w:rPr>
          <w:lang w:val="en-US"/>
        </w:rPr>
        <w:t xml:space="preserve">———. 2021. ‘Assessor Teaching and the Evolution of Human Morality’. </w:t>
      </w:r>
      <w:r w:rsidRPr="001D400C">
        <w:rPr>
          <w:i/>
          <w:iCs/>
          <w:lang w:val="en-US"/>
        </w:rPr>
        <w:t>Biological Theory</w:t>
      </w:r>
      <w:r w:rsidRPr="001D400C">
        <w:rPr>
          <w:lang w:val="en-US"/>
        </w:rPr>
        <w:t xml:space="preserve"> 16 (1): 5–15.</w:t>
      </w:r>
    </w:p>
    <w:p w14:paraId="75F71149" w14:textId="77777777" w:rsidR="001D400C" w:rsidRPr="001D400C" w:rsidRDefault="001D400C">
      <w:pPr>
        <w:widowControl w:val="0"/>
        <w:autoSpaceDE w:val="0"/>
        <w:autoSpaceDN w:val="0"/>
        <w:adjustRightInd w:val="0"/>
        <w:rPr>
          <w:lang w:val="en-US"/>
        </w:rPr>
      </w:pPr>
      <w:r w:rsidRPr="001D400C">
        <w:rPr>
          <w:lang w:val="en-US"/>
        </w:rPr>
        <w:t xml:space="preserve">Csibra, Gergely, and György Gergely. 2009. ‘Natural Pedagogy’. </w:t>
      </w:r>
      <w:r w:rsidRPr="001D400C">
        <w:rPr>
          <w:i/>
          <w:iCs/>
          <w:lang w:val="en-US"/>
        </w:rPr>
        <w:t>Trends in Cognitive Sciences</w:t>
      </w:r>
      <w:r w:rsidRPr="001D400C">
        <w:rPr>
          <w:lang w:val="en-US"/>
        </w:rPr>
        <w:t xml:space="preserve"> 13 (4): 148–53. https://doi.org/10.1016/j.tics.2009.01.005.</w:t>
      </w:r>
    </w:p>
    <w:p w14:paraId="225F176E" w14:textId="77777777" w:rsidR="001D400C" w:rsidRPr="001D400C" w:rsidRDefault="001D400C">
      <w:pPr>
        <w:widowControl w:val="0"/>
        <w:autoSpaceDE w:val="0"/>
        <w:autoSpaceDN w:val="0"/>
        <w:adjustRightInd w:val="0"/>
        <w:rPr>
          <w:lang w:val="en-US"/>
        </w:rPr>
      </w:pPr>
      <w:r w:rsidRPr="001D400C">
        <w:rPr>
          <w:lang w:val="en-US"/>
        </w:rPr>
        <w:t xml:space="preserve">———. 2011. ‘Natural Pedagogy as Evolutionary Adaptation’. </w:t>
      </w:r>
      <w:r w:rsidRPr="001D400C">
        <w:rPr>
          <w:i/>
          <w:iCs/>
          <w:lang w:val="en-US"/>
        </w:rPr>
        <w:t>Philosophical Transactions of the Royal Society B: Biological Sciences</w:t>
      </w:r>
      <w:r w:rsidRPr="001D400C">
        <w:rPr>
          <w:lang w:val="en-US"/>
        </w:rPr>
        <w:t xml:space="preserve"> 366 (1567): 1149–57. https://doi.org/10.1098/rstb.2010.0319.</w:t>
      </w:r>
    </w:p>
    <w:p w14:paraId="35129ED1" w14:textId="77777777" w:rsidR="001D400C" w:rsidRPr="001D400C" w:rsidRDefault="001D400C">
      <w:pPr>
        <w:widowControl w:val="0"/>
        <w:autoSpaceDE w:val="0"/>
        <w:autoSpaceDN w:val="0"/>
        <w:adjustRightInd w:val="0"/>
        <w:rPr>
          <w:lang w:val="en-US"/>
        </w:rPr>
      </w:pPr>
      <w:r w:rsidRPr="001D400C">
        <w:rPr>
          <w:lang w:val="en-US"/>
        </w:rPr>
        <w:t xml:space="preserve">Dogramaci, Sinan. 2015. ‘Communist Conventions for Deductive Reasoning’. </w:t>
      </w:r>
      <w:r w:rsidRPr="001D400C">
        <w:rPr>
          <w:i/>
          <w:iCs/>
          <w:lang w:val="en-US"/>
        </w:rPr>
        <w:t>Noûs</w:t>
      </w:r>
      <w:r w:rsidRPr="001D400C">
        <w:rPr>
          <w:lang w:val="en-US"/>
        </w:rPr>
        <w:t xml:space="preserve"> 49 (4): 776–99. https://doi.org/10.1111/nous.12025.</w:t>
      </w:r>
    </w:p>
    <w:p w14:paraId="2663992F" w14:textId="77777777" w:rsidR="001D400C" w:rsidRPr="001D400C" w:rsidRDefault="001D400C">
      <w:pPr>
        <w:widowControl w:val="0"/>
        <w:autoSpaceDE w:val="0"/>
        <w:autoSpaceDN w:val="0"/>
        <w:adjustRightInd w:val="0"/>
        <w:rPr>
          <w:lang w:val="en-US"/>
        </w:rPr>
      </w:pPr>
      <w:r w:rsidRPr="001D400C">
        <w:rPr>
          <w:lang w:val="en-US"/>
        </w:rPr>
        <w:t xml:space="preserve">Dotson, Kristie. 2017. ‘Theorizing Jane Crow, Theorizing Unknowability’. </w:t>
      </w:r>
      <w:r w:rsidRPr="001D400C">
        <w:rPr>
          <w:i/>
          <w:iCs/>
          <w:lang w:val="en-US"/>
        </w:rPr>
        <w:t>Social Epistemology</w:t>
      </w:r>
      <w:r w:rsidRPr="001D400C">
        <w:rPr>
          <w:lang w:val="en-US"/>
        </w:rPr>
        <w:t xml:space="preserve"> 31 (5): 417–30. https://doi.org/10.1080/02691728.2017.1346721.</w:t>
      </w:r>
    </w:p>
    <w:p w14:paraId="55F87112" w14:textId="77777777" w:rsidR="001D400C" w:rsidRPr="001D400C" w:rsidRDefault="001D400C">
      <w:pPr>
        <w:widowControl w:val="0"/>
        <w:autoSpaceDE w:val="0"/>
        <w:autoSpaceDN w:val="0"/>
        <w:adjustRightInd w:val="0"/>
        <w:rPr>
          <w:lang w:val="en-US"/>
        </w:rPr>
      </w:pPr>
      <w:r w:rsidRPr="001D400C">
        <w:rPr>
          <w:lang w:val="en-US"/>
        </w:rPr>
        <w:t xml:space="preserve">Dutilh Novaes, Catarina. 2018. ‘The Enduring Enigma of Reason’. </w:t>
      </w:r>
      <w:r w:rsidRPr="001D400C">
        <w:rPr>
          <w:i/>
          <w:iCs/>
          <w:lang w:val="en-US"/>
        </w:rPr>
        <w:t>Mind &amp; Language</w:t>
      </w:r>
      <w:r w:rsidRPr="001D400C">
        <w:rPr>
          <w:lang w:val="en-US"/>
        </w:rPr>
        <w:t xml:space="preserve"> 33 (5): 513–24. https://doi.org/10.1111/mila.12174.</w:t>
      </w:r>
    </w:p>
    <w:p w14:paraId="3716A6F1" w14:textId="77777777" w:rsidR="001D400C" w:rsidRPr="001D400C" w:rsidRDefault="001D400C">
      <w:pPr>
        <w:widowControl w:val="0"/>
        <w:autoSpaceDE w:val="0"/>
        <w:autoSpaceDN w:val="0"/>
        <w:adjustRightInd w:val="0"/>
        <w:rPr>
          <w:lang w:val="en-US"/>
        </w:rPr>
      </w:pPr>
      <w:r w:rsidRPr="0007417B">
        <w:rPr>
          <w:lang w:val="en-US"/>
        </w:rPr>
        <w:t xml:space="preserve">———. 2020. ‘Who’s Afraid of Adversariality? </w:t>
      </w:r>
      <w:r w:rsidRPr="001D400C">
        <w:rPr>
          <w:lang w:val="en-US"/>
        </w:rPr>
        <w:t xml:space="preserve">Conflict and Cooperation in Argumentation’. </w:t>
      </w:r>
      <w:r w:rsidRPr="001D400C">
        <w:rPr>
          <w:i/>
          <w:iCs/>
          <w:lang w:val="en-US"/>
        </w:rPr>
        <w:lastRenderedPageBreak/>
        <w:t>Topoi</w:t>
      </w:r>
      <w:r w:rsidRPr="001D400C">
        <w:rPr>
          <w:lang w:val="en-US"/>
        </w:rPr>
        <w:t>, December. https://doi.org/10.1007/s11245-020-09736-9.</w:t>
      </w:r>
    </w:p>
    <w:p w14:paraId="7B0F3880" w14:textId="77777777" w:rsidR="001D400C" w:rsidRPr="001D400C" w:rsidRDefault="001D400C">
      <w:pPr>
        <w:widowControl w:val="0"/>
        <w:autoSpaceDE w:val="0"/>
        <w:autoSpaceDN w:val="0"/>
        <w:adjustRightInd w:val="0"/>
        <w:rPr>
          <w:lang w:val="en-US"/>
        </w:rPr>
      </w:pPr>
      <w:r w:rsidRPr="001D400C">
        <w:rPr>
          <w:lang w:val="en-US"/>
        </w:rPr>
        <w:t xml:space="preserve">Ehn, Micael, and Kevin Laland. 2012. ‘Adaptive Strategies for Cumulative Cultural Learning’. </w:t>
      </w:r>
      <w:r w:rsidRPr="001D400C">
        <w:rPr>
          <w:i/>
          <w:iCs/>
          <w:lang w:val="en-US"/>
        </w:rPr>
        <w:t>Journal of Theoretical Biology</w:t>
      </w:r>
      <w:r w:rsidRPr="001D400C">
        <w:rPr>
          <w:lang w:val="en-US"/>
        </w:rPr>
        <w:t xml:space="preserve"> 301 (May): 103–11. https://doi.org/10.1016/j.jtbi.2012.02.004.</w:t>
      </w:r>
    </w:p>
    <w:p w14:paraId="11F7753F" w14:textId="77777777" w:rsidR="001D400C" w:rsidRPr="001D400C" w:rsidRDefault="001D400C">
      <w:pPr>
        <w:widowControl w:val="0"/>
        <w:autoSpaceDE w:val="0"/>
        <w:autoSpaceDN w:val="0"/>
        <w:adjustRightInd w:val="0"/>
        <w:rPr>
          <w:lang w:val="en-US"/>
        </w:rPr>
      </w:pPr>
      <w:r w:rsidRPr="001D400C">
        <w:rPr>
          <w:lang w:val="en-US"/>
        </w:rPr>
        <w:t xml:space="preserve">Faulkner, Paul. 2011. </w:t>
      </w:r>
      <w:r w:rsidRPr="001D400C">
        <w:rPr>
          <w:i/>
          <w:iCs/>
          <w:lang w:val="en-US"/>
        </w:rPr>
        <w:t>Knowledge on Trust</w:t>
      </w:r>
      <w:r w:rsidRPr="001D400C">
        <w:rPr>
          <w:lang w:val="en-US"/>
        </w:rPr>
        <w:t>. Oxford: Oxford University Press. https://doi.org/10.1093/acprof:oso/9780199589784.001.0001.</w:t>
      </w:r>
    </w:p>
    <w:p w14:paraId="5D59B732" w14:textId="77777777" w:rsidR="001D400C" w:rsidRPr="001D400C" w:rsidRDefault="001D400C">
      <w:pPr>
        <w:widowControl w:val="0"/>
        <w:autoSpaceDE w:val="0"/>
        <w:autoSpaceDN w:val="0"/>
        <w:adjustRightInd w:val="0"/>
        <w:rPr>
          <w:lang w:val="en-US"/>
        </w:rPr>
      </w:pPr>
      <w:r w:rsidRPr="001D400C">
        <w:rPr>
          <w:lang w:val="en-US"/>
        </w:rPr>
        <w:t xml:space="preserve">Finkel, Meir, and Ran Barkai. 2018. ‘The Acheulean Handaxe Technological Persistence: A Case of Preferred Cultural Conservatism?’ </w:t>
      </w:r>
      <w:r w:rsidRPr="001D400C">
        <w:rPr>
          <w:i/>
          <w:iCs/>
          <w:lang w:val="en-US"/>
        </w:rPr>
        <w:t>Proceedings of the Prehistoric Society</w:t>
      </w:r>
      <w:r w:rsidRPr="001D400C">
        <w:rPr>
          <w:lang w:val="en-US"/>
        </w:rPr>
        <w:t xml:space="preserve"> 84 (December): 1–19. https://doi.org/10.1017/ppr.2018.2.</w:t>
      </w:r>
    </w:p>
    <w:p w14:paraId="55D5D3AD" w14:textId="77777777" w:rsidR="001D400C" w:rsidRPr="001D400C" w:rsidRDefault="001D400C">
      <w:pPr>
        <w:widowControl w:val="0"/>
        <w:autoSpaceDE w:val="0"/>
        <w:autoSpaceDN w:val="0"/>
        <w:adjustRightInd w:val="0"/>
        <w:rPr>
          <w:lang w:val="en-US"/>
        </w:rPr>
      </w:pPr>
      <w:r w:rsidRPr="001D400C">
        <w:rPr>
          <w:lang w:val="en-US"/>
        </w:rPr>
        <w:t xml:space="preserve">Fitzpatrick, Simon. 2020. ‘Chimpanzee Normativity: Evidence and Objections’. </w:t>
      </w:r>
      <w:r w:rsidRPr="001D400C">
        <w:rPr>
          <w:i/>
          <w:iCs/>
          <w:lang w:val="en-US"/>
        </w:rPr>
        <w:t>Biology &amp; Philosophy</w:t>
      </w:r>
      <w:r w:rsidRPr="001D400C">
        <w:rPr>
          <w:lang w:val="en-US"/>
        </w:rPr>
        <w:t xml:space="preserve"> 35 (4): 45. https://doi.org/10.1007/s10539-020-09763-1.</w:t>
      </w:r>
    </w:p>
    <w:p w14:paraId="07267DE0" w14:textId="77777777" w:rsidR="001D400C" w:rsidRPr="001D400C" w:rsidRDefault="001D400C">
      <w:pPr>
        <w:widowControl w:val="0"/>
        <w:autoSpaceDE w:val="0"/>
        <w:autoSpaceDN w:val="0"/>
        <w:adjustRightInd w:val="0"/>
        <w:rPr>
          <w:lang w:val="en-US"/>
        </w:rPr>
      </w:pPr>
      <w:r w:rsidRPr="001D400C">
        <w:rPr>
          <w:lang w:val="en-US"/>
        </w:rPr>
        <w:t xml:space="preserve">Fricker, Miranda. 2007. </w:t>
      </w:r>
      <w:r w:rsidRPr="001D400C">
        <w:rPr>
          <w:i/>
          <w:iCs/>
          <w:lang w:val="en-US"/>
        </w:rPr>
        <w:t>Epistemic Injustice: Power and the Ethics of Knowing</w:t>
      </w:r>
      <w:r w:rsidRPr="001D400C">
        <w:rPr>
          <w:lang w:val="en-US"/>
        </w:rPr>
        <w:t>. Oxford University Press.</w:t>
      </w:r>
    </w:p>
    <w:p w14:paraId="6AB7AEAC" w14:textId="77777777" w:rsidR="001D400C" w:rsidRPr="001D400C" w:rsidRDefault="001D400C">
      <w:pPr>
        <w:widowControl w:val="0"/>
        <w:autoSpaceDE w:val="0"/>
        <w:autoSpaceDN w:val="0"/>
        <w:adjustRightInd w:val="0"/>
        <w:rPr>
          <w:lang w:val="en-US"/>
        </w:rPr>
      </w:pPr>
      <w:r w:rsidRPr="001D400C">
        <w:rPr>
          <w:lang w:val="en-US"/>
        </w:rPr>
        <w:t xml:space="preserve">Gallotti, Rosalia, and Margherita Mussi. 2017. ‘Two Acheuleans, Two Humankinds: From 1.5 to 0.85 Ma at Melka Kunture (Upper Awash, Ethiopian Highlands)’. </w:t>
      </w:r>
      <w:r w:rsidRPr="001D400C">
        <w:rPr>
          <w:i/>
          <w:iCs/>
          <w:lang w:val="en-US"/>
        </w:rPr>
        <w:t>Journal of Anthropological Sciences</w:t>
      </w:r>
      <w:r w:rsidRPr="001D400C">
        <w:rPr>
          <w:lang w:val="en-US"/>
        </w:rPr>
        <w:t xml:space="preserve"> 95: 1–46.</w:t>
      </w:r>
    </w:p>
    <w:p w14:paraId="23B4F472" w14:textId="77777777" w:rsidR="001D400C" w:rsidRPr="001D400C" w:rsidRDefault="001D400C">
      <w:pPr>
        <w:widowControl w:val="0"/>
        <w:autoSpaceDE w:val="0"/>
        <w:autoSpaceDN w:val="0"/>
        <w:adjustRightInd w:val="0"/>
        <w:rPr>
          <w:lang w:val="en-US"/>
        </w:rPr>
      </w:pPr>
      <w:r w:rsidRPr="001D400C">
        <w:rPr>
          <w:lang w:val="en-US"/>
        </w:rPr>
        <w:t xml:space="preserve">García-Medrano, Paula, Ceri Shipton, Mark White, and Nick Ashton. 2022. ‘Acheulean Diversity in Britain (MIS 15-MIS11): From the Standardization to the Regionalization of Technology’. </w:t>
      </w:r>
      <w:r w:rsidRPr="001D400C">
        <w:rPr>
          <w:i/>
          <w:iCs/>
          <w:lang w:val="en-US"/>
        </w:rPr>
        <w:t>Frontiers in Earth Science</w:t>
      </w:r>
      <w:r w:rsidRPr="001D400C">
        <w:rPr>
          <w:lang w:val="en-US"/>
        </w:rPr>
        <w:t xml:space="preserve"> 10 (June). https://doi.org/10.3389/feart.2022.917207.</w:t>
      </w:r>
    </w:p>
    <w:p w14:paraId="70128BD5" w14:textId="77777777" w:rsidR="001D400C" w:rsidRPr="001D400C" w:rsidRDefault="001D400C">
      <w:pPr>
        <w:widowControl w:val="0"/>
        <w:autoSpaceDE w:val="0"/>
        <w:autoSpaceDN w:val="0"/>
        <w:adjustRightInd w:val="0"/>
        <w:rPr>
          <w:lang w:val="en-US"/>
        </w:rPr>
      </w:pPr>
      <w:r w:rsidRPr="001D400C">
        <w:rPr>
          <w:lang w:val="en-US"/>
        </w:rPr>
        <w:t xml:space="preserve">Genty, Emilie, Raphaela Heesen, Jean-Pascal Guéry, Federico Rossano, Klaus Zuberbühler, and Adrian Bangerter. 2020. ‘How Apes Get into and out of Joint Actions: Shared Intentionality as an Interactional Achievement’. </w:t>
      </w:r>
      <w:r w:rsidRPr="001D400C">
        <w:rPr>
          <w:i/>
          <w:iCs/>
          <w:lang w:val="en-US"/>
        </w:rPr>
        <w:t>Interaction Studies</w:t>
      </w:r>
      <w:r w:rsidRPr="001D400C">
        <w:rPr>
          <w:lang w:val="en-US"/>
        </w:rPr>
        <w:t xml:space="preserve"> 21 (3): 353–86.</w:t>
      </w:r>
    </w:p>
    <w:p w14:paraId="128B6317" w14:textId="77777777" w:rsidR="001D400C" w:rsidRPr="001D400C" w:rsidRDefault="001D400C">
      <w:pPr>
        <w:widowControl w:val="0"/>
        <w:autoSpaceDE w:val="0"/>
        <w:autoSpaceDN w:val="0"/>
        <w:adjustRightInd w:val="0"/>
        <w:rPr>
          <w:lang w:val="en-US"/>
        </w:rPr>
      </w:pPr>
      <w:r w:rsidRPr="001D400C">
        <w:rPr>
          <w:lang w:val="en-US"/>
        </w:rPr>
        <w:t xml:space="preserve">Gintis, Herbert. 2014. </w:t>
      </w:r>
      <w:r w:rsidRPr="001D400C">
        <w:rPr>
          <w:i/>
          <w:iCs/>
          <w:lang w:val="en-US"/>
        </w:rPr>
        <w:t>The Bounds of Reason: Game Theory and the Unification of the Behavioral Sciences - Revised Edition</w:t>
      </w:r>
      <w:r w:rsidRPr="001D400C">
        <w:rPr>
          <w:lang w:val="en-US"/>
        </w:rPr>
        <w:t>. Princeton University Press.</w:t>
      </w:r>
    </w:p>
    <w:p w14:paraId="086534D0" w14:textId="77777777" w:rsidR="001D400C" w:rsidRPr="001D400C" w:rsidRDefault="001D400C">
      <w:pPr>
        <w:widowControl w:val="0"/>
        <w:autoSpaceDE w:val="0"/>
        <w:autoSpaceDN w:val="0"/>
        <w:adjustRightInd w:val="0"/>
        <w:rPr>
          <w:lang w:val="en-US"/>
        </w:rPr>
      </w:pPr>
      <w:r w:rsidRPr="001D400C">
        <w:rPr>
          <w:lang w:val="en-US"/>
        </w:rPr>
        <w:t xml:space="preserve">Goldberg, Sanford C. 2011. ‘The Division of Epistemic Labor’. </w:t>
      </w:r>
      <w:r w:rsidRPr="001D400C">
        <w:rPr>
          <w:i/>
          <w:iCs/>
          <w:lang w:val="en-US"/>
        </w:rPr>
        <w:t>Episteme</w:t>
      </w:r>
      <w:r w:rsidRPr="001D400C">
        <w:rPr>
          <w:lang w:val="en-US"/>
        </w:rPr>
        <w:t xml:space="preserve"> 8 (1): 112–25. https://doi.org/10.3366/epi.2011.0010.</w:t>
      </w:r>
    </w:p>
    <w:p w14:paraId="2DA7BFAB" w14:textId="77777777" w:rsidR="001D400C" w:rsidRPr="001D400C" w:rsidRDefault="001D400C">
      <w:pPr>
        <w:widowControl w:val="0"/>
        <w:autoSpaceDE w:val="0"/>
        <w:autoSpaceDN w:val="0"/>
        <w:adjustRightInd w:val="0"/>
        <w:rPr>
          <w:lang w:val="en-US"/>
        </w:rPr>
      </w:pPr>
      <w:r w:rsidRPr="001D400C">
        <w:rPr>
          <w:lang w:val="en-US"/>
        </w:rPr>
        <w:t xml:space="preserve">———. 2018. </w:t>
      </w:r>
      <w:r w:rsidRPr="001D400C">
        <w:rPr>
          <w:i/>
          <w:iCs/>
          <w:lang w:val="en-US"/>
        </w:rPr>
        <w:t>To the Best of Our Knowledge: Social Expectations and Epistemic Normativity</w:t>
      </w:r>
      <w:r w:rsidRPr="001D400C">
        <w:rPr>
          <w:lang w:val="en-US"/>
        </w:rPr>
        <w:t>. Oxford, United Kingdom: Oxford University Press.</w:t>
      </w:r>
    </w:p>
    <w:p w14:paraId="1770CE21" w14:textId="77777777" w:rsidR="001D400C" w:rsidRPr="001D400C" w:rsidRDefault="001D400C">
      <w:pPr>
        <w:widowControl w:val="0"/>
        <w:autoSpaceDE w:val="0"/>
        <w:autoSpaceDN w:val="0"/>
        <w:adjustRightInd w:val="0"/>
        <w:rPr>
          <w:lang w:val="en-US"/>
        </w:rPr>
      </w:pPr>
      <w:r w:rsidRPr="001D400C">
        <w:rPr>
          <w:lang w:val="en-US"/>
        </w:rPr>
        <w:t xml:space="preserve">Gonzalez-Cabrera, Ivan. 2022. ‘A Lineage Explanation of Human Normative Guidance: The Coadaptive Model of Instrumental Rationality and Shared Intentionality’. </w:t>
      </w:r>
      <w:r w:rsidRPr="001D400C">
        <w:rPr>
          <w:i/>
          <w:iCs/>
          <w:lang w:val="en-US"/>
        </w:rPr>
        <w:t>Synthese</w:t>
      </w:r>
      <w:r w:rsidRPr="001D400C">
        <w:rPr>
          <w:lang w:val="en-US"/>
        </w:rPr>
        <w:t xml:space="preserve"> 200 (6): 493. https://doi.org/10.1007/s11229-022-03925-2.</w:t>
      </w:r>
    </w:p>
    <w:p w14:paraId="5DA074A5" w14:textId="77777777" w:rsidR="001D400C" w:rsidRPr="001D400C" w:rsidRDefault="001D400C">
      <w:pPr>
        <w:widowControl w:val="0"/>
        <w:autoSpaceDE w:val="0"/>
        <w:autoSpaceDN w:val="0"/>
        <w:adjustRightInd w:val="0"/>
        <w:rPr>
          <w:lang w:val="en-US"/>
        </w:rPr>
      </w:pPr>
      <w:r w:rsidRPr="001D400C">
        <w:rPr>
          <w:lang w:val="en-US"/>
        </w:rPr>
        <w:t xml:space="preserve">———. forthcoming. ‘A Lineage Explanation of Human Normative Guidance: The Coadaptive Model of Instrumental Rationality and Shared Intentionality’. </w:t>
      </w:r>
      <w:r w:rsidRPr="001D400C">
        <w:rPr>
          <w:i/>
          <w:iCs/>
          <w:lang w:val="en-US"/>
        </w:rPr>
        <w:t>Synthese</w:t>
      </w:r>
      <w:r w:rsidRPr="001D400C">
        <w:rPr>
          <w:lang w:val="en-US"/>
        </w:rPr>
        <w:t>.</w:t>
      </w:r>
    </w:p>
    <w:p w14:paraId="6FA7C1AB" w14:textId="77777777" w:rsidR="001D400C" w:rsidRPr="001D400C" w:rsidRDefault="001D400C">
      <w:pPr>
        <w:widowControl w:val="0"/>
        <w:autoSpaceDE w:val="0"/>
        <w:autoSpaceDN w:val="0"/>
        <w:adjustRightInd w:val="0"/>
        <w:rPr>
          <w:lang w:val="en-US"/>
        </w:rPr>
      </w:pPr>
      <w:r w:rsidRPr="001D400C">
        <w:rPr>
          <w:lang w:val="en-US"/>
        </w:rPr>
        <w:t xml:space="preserve">Graham, Peter. 2015. ‘Epistemic Normativity and Social Norms’. In </w:t>
      </w:r>
      <w:r w:rsidRPr="001D400C">
        <w:rPr>
          <w:i/>
          <w:iCs/>
          <w:lang w:val="en-US"/>
        </w:rPr>
        <w:t>Epistemic Evaluation: Purposeful Epistemology</w:t>
      </w:r>
      <w:r w:rsidRPr="001D400C">
        <w:rPr>
          <w:lang w:val="en-US"/>
        </w:rPr>
        <w:t>, edited by John Greco and David Henderson, 247–73. Oxford University Press.</w:t>
      </w:r>
    </w:p>
    <w:p w14:paraId="11BDB443" w14:textId="77777777" w:rsidR="001D400C" w:rsidRPr="001D400C" w:rsidRDefault="001D400C">
      <w:pPr>
        <w:widowControl w:val="0"/>
        <w:autoSpaceDE w:val="0"/>
        <w:autoSpaceDN w:val="0"/>
        <w:adjustRightInd w:val="0"/>
        <w:rPr>
          <w:lang w:val="en-US"/>
        </w:rPr>
      </w:pPr>
      <w:r w:rsidRPr="001D400C">
        <w:rPr>
          <w:lang w:val="en-US"/>
        </w:rPr>
        <w:t xml:space="preserve">Grasswick, Heidi E. 2004. ‘Individuals-in-Communities: The Search for a Feminist Model of Epistemic Subjects’. </w:t>
      </w:r>
      <w:r w:rsidRPr="001D400C">
        <w:rPr>
          <w:i/>
          <w:iCs/>
          <w:lang w:val="en-US"/>
        </w:rPr>
        <w:t>Hypatia</w:t>
      </w:r>
      <w:r w:rsidRPr="001D400C">
        <w:rPr>
          <w:lang w:val="en-US"/>
        </w:rPr>
        <w:t xml:space="preserve"> 19 (3): 85–120. https://doi.org/10.1111/j.1527-2001.2004.tb01303.x.</w:t>
      </w:r>
    </w:p>
    <w:p w14:paraId="35B91A79" w14:textId="77777777" w:rsidR="001D400C" w:rsidRPr="001D400C" w:rsidRDefault="001D400C">
      <w:pPr>
        <w:widowControl w:val="0"/>
        <w:autoSpaceDE w:val="0"/>
        <w:autoSpaceDN w:val="0"/>
        <w:adjustRightInd w:val="0"/>
        <w:rPr>
          <w:lang w:val="en-US"/>
        </w:rPr>
      </w:pPr>
      <w:r w:rsidRPr="001D400C">
        <w:rPr>
          <w:lang w:val="en-US"/>
        </w:rPr>
        <w:t xml:space="preserve">Greco, John. 2020. </w:t>
      </w:r>
      <w:r w:rsidRPr="001D400C">
        <w:rPr>
          <w:i/>
          <w:iCs/>
          <w:lang w:val="en-US"/>
        </w:rPr>
        <w:t>The Transmission of Knowledge</w:t>
      </w:r>
      <w:r w:rsidRPr="001D400C">
        <w:rPr>
          <w:lang w:val="en-US"/>
        </w:rPr>
        <w:t>. Cambridge University Press.</w:t>
      </w:r>
    </w:p>
    <w:p w14:paraId="19396D46" w14:textId="77777777" w:rsidR="001D400C" w:rsidRPr="001D400C" w:rsidRDefault="001D400C">
      <w:pPr>
        <w:widowControl w:val="0"/>
        <w:autoSpaceDE w:val="0"/>
        <w:autoSpaceDN w:val="0"/>
        <w:adjustRightInd w:val="0"/>
        <w:rPr>
          <w:lang w:val="en-US"/>
        </w:rPr>
      </w:pPr>
      <w:r w:rsidRPr="001D400C">
        <w:rPr>
          <w:lang w:val="en-US"/>
        </w:rPr>
        <w:t xml:space="preserve">———. forthcoming. ‘Social Epistemic Dependence’. </w:t>
      </w:r>
      <w:r w:rsidRPr="001D400C">
        <w:rPr>
          <w:i/>
          <w:iCs/>
          <w:lang w:val="en-US"/>
        </w:rPr>
        <w:t>Philosophical Topics</w:t>
      </w:r>
      <w:r w:rsidRPr="001D400C">
        <w:rPr>
          <w:lang w:val="en-US"/>
        </w:rPr>
        <w:t>.</w:t>
      </w:r>
    </w:p>
    <w:p w14:paraId="4B21DDB0" w14:textId="77777777" w:rsidR="001D400C" w:rsidRPr="001D400C" w:rsidRDefault="001D400C">
      <w:pPr>
        <w:widowControl w:val="0"/>
        <w:autoSpaceDE w:val="0"/>
        <w:autoSpaceDN w:val="0"/>
        <w:adjustRightInd w:val="0"/>
        <w:rPr>
          <w:lang w:val="en-US"/>
        </w:rPr>
      </w:pPr>
      <w:r w:rsidRPr="001D400C">
        <w:rPr>
          <w:lang w:val="en-US"/>
        </w:rPr>
        <w:t xml:space="preserve">Grundmann, Thomas. 2021. ‘Facing Epistemic Authorities: Where Democratic Ideals and Critical Thinking Mislead Cognition’. In </w:t>
      </w:r>
      <w:r w:rsidRPr="001D400C">
        <w:rPr>
          <w:i/>
          <w:iCs/>
          <w:lang w:val="en-US"/>
        </w:rPr>
        <w:t>The Epistemology of Fake News</w:t>
      </w:r>
      <w:r w:rsidRPr="001D400C">
        <w:rPr>
          <w:lang w:val="en-US"/>
        </w:rPr>
        <w:t>, edited by Sven Bernecker, Amy K. Flowerree, and Thomas Grundmann. Oxford: Oxford University Press.</w:t>
      </w:r>
    </w:p>
    <w:p w14:paraId="6D4278CF" w14:textId="77777777" w:rsidR="001D400C" w:rsidRPr="001D400C" w:rsidRDefault="001D400C">
      <w:pPr>
        <w:widowControl w:val="0"/>
        <w:autoSpaceDE w:val="0"/>
        <w:autoSpaceDN w:val="0"/>
        <w:adjustRightInd w:val="0"/>
        <w:rPr>
          <w:lang w:val="en-US"/>
        </w:rPr>
      </w:pPr>
      <w:r w:rsidRPr="001D400C">
        <w:rPr>
          <w:lang w:val="en-US"/>
        </w:rPr>
        <w:t xml:space="preserve">Hardwig, John. 1985. ‘Epistemic Dependence’. </w:t>
      </w:r>
      <w:r w:rsidRPr="001D400C">
        <w:rPr>
          <w:i/>
          <w:iCs/>
          <w:lang w:val="en-US"/>
        </w:rPr>
        <w:t>Journal of Philosophy</w:t>
      </w:r>
      <w:r w:rsidRPr="001D400C">
        <w:rPr>
          <w:lang w:val="en-US"/>
        </w:rPr>
        <w:t xml:space="preserve"> 82 (7): 335–49. https://doi.org/jphil198582747.</w:t>
      </w:r>
    </w:p>
    <w:p w14:paraId="2A218F2B" w14:textId="77777777" w:rsidR="001D400C" w:rsidRPr="001D400C" w:rsidRDefault="001D400C">
      <w:pPr>
        <w:widowControl w:val="0"/>
        <w:autoSpaceDE w:val="0"/>
        <w:autoSpaceDN w:val="0"/>
        <w:adjustRightInd w:val="0"/>
        <w:rPr>
          <w:lang w:val="en-US"/>
        </w:rPr>
      </w:pPr>
      <w:r w:rsidRPr="001D400C">
        <w:rPr>
          <w:lang w:val="en-US"/>
        </w:rPr>
        <w:t xml:space="preserve">Haslanger, Sally. 2016. ‘What Is a (Social) Structural Explanation?’ </w:t>
      </w:r>
      <w:r w:rsidRPr="001D400C">
        <w:rPr>
          <w:i/>
          <w:iCs/>
          <w:lang w:val="en-US"/>
        </w:rPr>
        <w:t>Philosophical Studies</w:t>
      </w:r>
      <w:r w:rsidRPr="001D400C">
        <w:rPr>
          <w:lang w:val="en-US"/>
        </w:rPr>
        <w:t xml:space="preserve"> 173 (1): 113–30. https://doi.org/10.1007/s11098-014-0434-5.</w:t>
      </w:r>
    </w:p>
    <w:p w14:paraId="647E22BC" w14:textId="77777777" w:rsidR="001D400C" w:rsidRPr="001D400C" w:rsidRDefault="001D400C">
      <w:pPr>
        <w:widowControl w:val="0"/>
        <w:autoSpaceDE w:val="0"/>
        <w:autoSpaceDN w:val="0"/>
        <w:adjustRightInd w:val="0"/>
        <w:rPr>
          <w:lang w:val="en-US"/>
        </w:rPr>
      </w:pPr>
      <w:r w:rsidRPr="001D400C">
        <w:rPr>
          <w:lang w:val="en-US"/>
        </w:rPr>
        <w:t xml:space="preserve">———. 2018. ‘What Is a Social Practice?’ </w:t>
      </w:r>
      <w:r w:rsidRPr="001D400C">
        <w:rPr>
          <w:i/>
          <w:iCs/>
          <w:lang w:val="en-US"/>
        </w:rPr>
        <w:t>Royal Institute of Philosophy Supplement</w:t>
      </w:r>
      <w:r w:rsidRPr="001D400C">
        <w:rPr>
          <w:lang w:val="en-US"/>
        </w:rPr>
        <w:t xml:space="preserve"> 82 (July): 231–47. https://doi.org/10.1017/S1358246118000085.</w:t>
      </w:r>
    </w:p>
    <w:p w14:paraId="56077663" w14:textId="77777777" w:rsidR="001D400C" w:rsidRPr="001D400C" w:rsidRDefault="001D400C">
      <w:pPr>
        <w:widowControl w:val="0"/>
        <w:autoSpaceDE w:val="0"/>
        <w:autoSpaceDN w:val="0"/>
        <w:adjustRightInd w:val="0"/>
        <w:rPr>
          <w:lang w:val="en-US"/>
        </w:rPr>
      </w:pPr>
      <w:r w:rsidRPr="001D400C">
        <w:rPr>
          <w:lang w:val="de-DE"/>
        </w:rPr>
        <w:t xml:space="preserve">Heesen, Raphaela, and Marlen Fröhlich. </w:t>
      </w:r>
      <w:r w:rsidRPr="001D400C">
        <w:rPr>
          <w:lang w:val="en-US"/>
        </w:rPr>
        <w:t xml:space="preserve">2022. ‘Revisiting the Human “Interaction Engine”: </w:t>
      </w:r>
      <w:r w:rsidRPr="001D400C">
        <w:rPr>
          <w:lang w:val="en-US"/>
        </w:rPr>
        <w:lastRenderedPageBreak/>
        <w:t xml:space="preserve">Comparative Approaches to Social Action Coordination’. </w:t>
      </w:r>
      <w:r w:rsidRPr="001D400C">
        <w:rPr>
          <w:i/>
          <w:iCs/>
          <w:lang w:val="en-US"/>
        </w:rPr>
        <w:t>Philosophical Transactions of the Royal Society B</w:t>
      </w:r>
      <w:r w:rsidRPr="001D400C">
        <w:rPr>
          <w:lang w:val="en-US"/>
        </w:rPr>
        <w:t>. The Royal Society.</w:t>
      </w:r>
    </w:p>
    <w:p w14:paraId="7755A9F9" w14:textId="77777777" w:rsidR="001D400C" w:rsidRPr="001D400C" w:rsidRDefault="001D400C">
      <w:pPr>
        <w:widowControl w:val="0"/>
        <w:autoSpaceDE w:val="0"/>
        <w:autoSpaceDN w:val="0"/>
        <w:adjustRightInd w:val="0"/>
        <w:rPr>
          <w:lang w:val="en-US"/>
        </w:rPr>
      </w:pPr>
      <w:r w:rsidRPr="001D400C">
        <w:rPr>
          <w:lang w:val="en-US"/>
        </w:rPr>
        <w:t xml:space="preserve">Henderson, David. 2020. ‘Are Epistemic Norms Fundamentally Social Norms?’ </w:t>
      </w:r>
      <w:r w:rsidRPr="001D400C">
        <w:rPr>
          <w:i/>
          <w:iCs/>
          <w:lang w:val="en-US"/>
        </w:rPr>
        <w:t>Episteme</w:t>
      </w:r>
      <w:r w:rsidRPr="001D400C">
        <w:rPr>
          <w:lang w:val="en-US"/>
        </w:rPr>
        <w:t xml:space="preserve"> 17 (3): 281–300.</w:t>
      </w:r>
    </w:p>
    <w:p w14:paraId="2C66B8E2" w14:textId="77777777" w:rsidR="001D400C" w:rsidRPr="001D400C" w:rsidRDefault="001D400C">
      <w:pPr>
        <w:widowControl w:val="0"/>
        <w:autoSpaceDE w:val="0"/>
        <w:autoSpaceDN w:val="0"/>
        <w:adjustRightInd w:val="0"/>
        <w:rPr>
          <w:lang w:val="en-US"/>
        </w:rPr>
      </w:pPr>
      <w:r w:rsidRPr="001D400C">
        <w:rPr>
          <w:lang w:val="en-US"/>
        </w:rPr>
        <w:t xml:space="preserve">Henderson, David, and Peter Graham. 2017. ‘Epistemic Norms and the “Epistemic Game” They Regulate: The Basic Structured Epistemic Costs and Benefits’. </w:t>
      </w:r>
      <w:r w:rsidRPr="001D400C">
        <w:rPr>
          <w:i/>
          <w:iCs/>
          <w:lang w:val="en-US"/>
        </w:rPr>
        <w:t>American Philosophical Quarterly</w:t>
      </w:r>
      <w:r w:rsidRPr="001D400C">
        <w:rPr>
          <w:lang w:val="en-US"/>
        </w:rPr>
        <w:t xml:space="preserve"> 54 (4): 367–82.</w:t>
      </w:r>
    </w:p>
    <w:p w14:paraId="7BCF8081" w14:textId="77777777" w:rsidR="001D400C" w:rsidRPr="001D400C" w:rsidRDefault="001D400C">
      <w:pPr>
        <w:widowControl w:val="0"/>
        <w:autoSpaceDE w:val="0"/>
        <w:autoSpaceDN w:val="0"/>
        <w:adjustRightInd w:val="0"/>
        <w:rPr>
          <w:lang w:val="en-US"/>
        </w:rPr>
      </w:pPr>
      <w:r w:rsidRPr="001D400C">
        <w:rPr>
          <w:lang w:val="en-US"/>
        </w:rPr>
        <w:t xml:space="preserve">Henrich, Joseph. 2015. </w:t>
      </w:r>
      <w:r w:rsidRPr="001D400C">
        <w:rPr>
          <w:i/>
          <w:iCs/>
          <w:lang w:val="en-US"/>
        </w:rPr>
        <w:t>The Secret of Our Success</w:t>
      </w:r>
      <w:r w:rsidRPr="001D400C">
        <w:rPr>
          <w:lang w:val="en-US"/>
        </w:rPr>
        <w:t>. Princeton University Press.</w:t>
      </w:r>
    </w:p>
    <w:p w14:paraId="6281BCDD" w14:textId="77777777" w:rsidR="001D400C" w:rsidRPr="001D400C" w:rsidRDefault="001D400C">
      <w:pPr>
        <w:widowControl w:val="0"/>
        <w:autoSpaceDE w:val="0"/>
        <w:autoSpaceDN w:val="0"/>
        <w:adjustRightInd w:val="0"/>
        <w:rPr>
          <w:lang w:val="en-US"/>
        </w:rPr>
      </w:pPr>
      <w:r w:rsidRPr="001D400C">
        <w:rPr>
          <w:lang w:val="en-US"/>
        </w:rPr>
        <w:t xml:space="preserve">Henrich, Joseph, and Francisco J Gil-White. 2001. ‘The Evolution of Prestige: Freely Conferred Deference as a Mechanism for Enhancing the Benefits of Cultural Transmission’. </w:t>
      </w:r>
      <w:r w:rsidRPr="001D400C">
        <w:rPr>
          <w:i/>
          <w:iCs/>
          <w:lang w:val="en-US"/>
        </w:rPr>
        <w:t>Evolution and Human Behavior</w:t>
      </w:r>
      <w:r w:rsidRPr="001D400C">
        <w:rPr>
          <w:lang w:val="en-US"/>
        </w:rPr>
        <w:t xml:space="preserve"> 22 (3): 165–96. https://doi.org/10.1016/S1090-5138(00)00071-4.</w:t>
      </w:r>
    </w:p>
    <w:p w14:paraId="2637489F" w14:textId="77777777" w:rsidR="001D400C" w:rsidRPr="001D400C" w:rsidRDefault="001D400C">
      <w:pPr>
        <w:widowControl w:val="0"/>
        <w:autoSpaceDE w:val="0"/>
        <w:autoSpaceDN w:val="0"/>
        <w:adjustRightInd w:val="0"/>
        <w:rPr>
          <w:lang w:val="en-US"/>
        </w:rPr>
      </w:pPr>
      <w:r w:rsidRPr="001D400C">
        <w:rPr>
          <w:lang w:val="en-US"/>
        </w:rPr>
        <w:t xml:space="preserve">Henrich, Joseph, and Michael Muthukrishna. 2021. ‘The Origins and Psychology of Human Cooperation’. </w:t>
      </w:r>
      <w:r w:rsidRPr="001D400C">
        <w:rPr>
          <w:i/>
          <w:iCs/>
          <w:lang w:val="en-US"/>
        </w:rPr>
        <w:t>Annual Review of Psychology</w:t>
      </w:r>
      <w:r w:rsidRPr="001D400C">
        <w:rPr>
          <w:lang w:val="en-US"/>
        </w:rPr>
        <w:t xml:space="preserve"> 72 (1): 207–40. https://doi.org/10.1146/annurev-psych-081920-042106.</w:t>
      </w:r>
    </w:p>
    <w:p w14:paraId="31E9C98A" w14:textId="77777777" w:rsidR="001D400C" w:rsidRPr="001D400C" w:rsidRDefault="001D400C">
      <w:pPr>
        <w:widowControl w:val="0"/>
        <w:autoSpaceDE w:val="0"/>
        <w:autoSpaceDN w:val="0"/>
        <w:adjustRightInd w:val="0"/>
        <w:rPr>
          <w:lang w:val="en-US"/>
        </w:rPr>
      </w:pPr>
      <w:r w:rsidRPr="001D400C">
        <w:rPr>
          <w:lang w:val="en-US"/>
        </w:rPr>
        <w:t xml:space="preserve">Hewlett, Barry S., Hillary N. Fouts, Adam H. Boyette, and Bonnie L. Hewlett. 2011. ‘Social Learning among Congo Basin Hunter–Gatherers’. </w:t>
      </w:r>
      <w:r w:rsidRPr="001D400C">
        <w:rPr>
          <w:i/>
          <w:iCs/>
          <w:lang w:val="en-US"/>
        </w:rPr>
        <w:t>Philosophical Transactions of the Royal Society B: Biological Sciences</w:t>
      </w:r>
      <w:r w:rsidRPr="001D400C">
        <w:rPr>
          <w:lang w:val="en-US"/>
        </w:rPr>
        <w:t xml:space="preserve"> 366 (1567): 1168–78. https://doi.org/10.1098/rstb.2010.0373.</w:t>
      </w:r>
    </w:p>
    <w:p w14:paraId="70E57B70" w14:textId="77777777" w:rsidR="001D400C" w:rsidRPr="001D400C" w:rsidRDefault="001D400C">
      <w:pPr>
        <w:widowControl w:val="0"/>
        <w:autoSpaceDE w:val="0"/>
        <w:autoSpaceDN w:val="0"/>
        <w:adjustRightInd w:val="0"/>
        <w:rPr>
          <w:lang w:val="en-US"/>
        </w:rPr>
      </w:pPr>
      <w:r w:rsidRPr="001D400C">
        <w:rPr>
          <w:lang w:val="en-US"/>
        </w:rPr>
        <w:t xml:space="preserve">Heyes, Cecilia. 2018. </w:t>
      </w:r>
      <w:r w:rsidRPr="001D400C">
        <w:rPr>
          <w:i/>
          <w:iCs/>
          <w:lang w:val="en-US"/>
        </w:rPr>
        <w:t>Cognitive Gadgets</w:t>
      </w:r>
      <w:r w:rsidRPr="001D400C">
        <w:rPr>
          <w:lang w:val="en-US"/>
        </w:rPr>
        <w:t>. Harvard University Press.</w:t>
      </w:r>
    </w:p>
    <w:p w14:paraId="2EBD5C64" w14:textId="77777777" w:rsidR="001D400C" w:rsidRPr="001D400C" w:rsidRDefault="001D400C">
      <w:pPr>
        <w:widowControl w:val="0"/>
        <w:autoSpaceDE w:val="0"/>
        <w:autoSpaceDN w:val="0"/>
        <w:adjustRightInd w:val="0"/>
        <w:rPr>
          <w:lang w:val="en-US"/>
        </w:rPr>
      </w:pPr>
      <w:r w:rsidRPr="001D400C">
        <w:rPr>
          <w:lang w:val="en-US"/>
        </w:rPr>
        <w:t xml:space="preserve">———. 2021. ‘Imitation and Culture: What Gives?’ </w:t>
      </w:r>
      <w:r w:rsidRPr="001D400C">
        <w:rPr>
          <w:i/>
          <w:iCs/>
          <w:lang w:val="en-US"/>
        </w:rPr>
        <w:t>Mind &amp; Language</w:t>
      </w:r>
      <w:r w:rsidRPr="001D400C">
        <w:rPr>
          <w:lang w:val="en-US"/>
        </w:rPr>
        <w:t xml:space="preserve"> n/a (n/a). https://doi.org/10.1111/mila.12388.</w:t>
      </w:r>
    </w:p>
    <w:p w14:paraId="318E46F7" w14:textId="77777777" w:rsidR="001D400C" w:rsidRPr="0007417B" w:rsidRDefault="001D400C">
      <w:pPr>
        <w:widowControl w:val="0"/>
        <w:autoSpaceDE w:val="0"/>
        <w:autoSpaceDN w:val="0"/>
        <w:adjustRightInd w:val="0"/>
        <w:rPr>
          <w:lang w:val="en-US"/>
        </w:rPr>
      </w:pPr>
      <w:r w:rsidRPr="0007417B">
        <w:rPr>
          <w:lang w:val="en-US"/>
        </w:rPr>
        <w:t>———. 2022. ‘RETHINKING NORM PSYCHOLOGY’.</w:t>
      </w:r>
    </w:p>
    <w:p w14:paraId="3A453504" w14:textId="77777777" w:rsidR="001D400C" w:rsidRPr="001D400C" w:rsidRDefault="001D400C">
      <w:pPr>
        <w:widowControl w:val="0"/>
        <w:autoSpaceDE w:val="0"/>
        <w:autoSpaceDN w:val="0"/>
        <w:adjustRightInd w:val="0"/>
        <w:rPr>
          <w:lang w:val="en-US"/>
        </w:rPr>
      </w:pPr>
      <w:r w:rsidRPr="001D400C">
        <w:rPr>
          <w:lang w:val="en-US"/>
        </w:rPr>
        <w:t xml:space="preserve">Hill, Kim R., Robert S. Walker, Miran Božičević, James Eder, Thomas Headland, Barry Hewlett, A. Magdalena Hurtado, Frank Marlowe, Polly Wiessner, and Brian Wood. 2011. ‘Co-Residence Patterns in Hunter-Gatherer Societies Show Unique Human Social Structure’. </w:t>
      </w:r>
      <w:r w:rsidRPr="001D400C">
        <w:rPr>
          <w:i/>
          <w:iCs/>
          <w:lang w:val="en-US"/>
        </w:rPr>
        <w:t>Science</w:t>
      </w:r>
      <w:r w:rsidRPr="001D400C">
        <w:rPr>
          <w:lang w:val="en-US"/>
        </w:rPr>
        <w:t xml:space="preserve"> 331 (6022): 1286–89. https://doi.org/10.1126/science.1199071.</w:t>
      </w:r>
    </w:p>
    <w:p w14:paraId="0C0FB8A4" w14:textId="77777777" w:rsidR="001D400C" w:rsidRPr="001D400C" w:rsidRDefault="001D400C">
      <w:pPr>
        <w:widowControl w:val="0"/>
        <w:autoSpaceDE w:val="0"/>
        <w:autoSpaceDN w:val="0"/>
        <w:adjustRightInd w:val="0"/>
        <w:rPr>
          <w:lang w:val="en-US"/>
        </w:rPr>
      </w:pPr>
      <w:r w:rsidRPr="001D400C">
        <w:rPr>
          <w:lang w:val="en-US"/>
        </w:rPr>
        <w:t xml:space="preserve">Hoppitt, William, and Kevin N. Laland. 2013. </w:t>
      </w:r>
      <w:r w:rsidRPr="001D400C">
        <w:rPr>
          <w:i/>
          <w:iCs/>
          <w:lang w:val="en-US"/>
        </w:rPr>
        <w:t>Social Learning: An Introduction to Mechanisms, Methods, and Models</w:t>
      </w:r>
      <w:r w:rsidRPr="001D400C">
        <w:rPr>
          <w:lang w:val="en-US"/>
        </w:rPr>
        <w:t xml:space="preserve">. </w:t>
      </w:r>
      <w:r w:rsidRPr="001D400C">
        <w:rPr>
          <w:i/>
          <w:iCs/>
          <w:lang w:val="en-US"/>
        </w:rPr>
        <w:t>Social Learning</w:t>
      </w:r>
      <w:r w:rsidRPr="001D400C">
        <w:rPr>
          <w:lang w:val="en-US"/>
        </w:rPr>
        <w:t>. Princeton University Press. https://doi.org/10.1515/9781400846504.</w:t>
      </w:r>
    </w:p>
    <w:p w14:paraId="522B2B6B" w14:textId="77777777" w:rsidR="001D400C" w:rsidRPr="001D400C" w:rsidRDefault="001D400C">
      <w:pPr>
        <w:widowControl w:val="0"/>
        <w:autoSpaceDE w:val="0"/>
        <w:autoSpaceDN w:val="0"/>
        <w:adjustRightInd w:val="0"/>
        <w:rPr>
          <w:lang w:val="en-US"/>
        </w:rPr>
      </w:pPr>
      <w:r w:rsidRPr="001D400C">
        <w:rPr>
          <w:lang w:val="en-US"/>
        </w:rPr>
        <w:t xml:space="preserve">Jordan, Peter. 2014. </w:t>
      </w:r>
      <w:r w:rsidRPr="001D400C">
        <w:rPr>
          <w:i/>
          <w:iCs/>
          <w:lang w:val="en-US"/>
        </w:rPr>
        <w:t>Technology as Human Social Tradition: Cultural Transmission Among Hunter-Gatherers</w:t>
      </w:r>
      <w:r w:rsidRPr="001D400C">
        <w:rPr>
          <w:lang w:val="en-US"/>
        </w:rPr>
        <w:t>. Univ of California Press.</w:t>
      </w:r>
    </w:p>
    <w:p w14:paraId="5D2D786B" w14:textId="77777777" w:rsidR="001D400C" w:rsidRPr="001D400C" w:rsidRDefault="001D400C">
      <w:pPr>
        <w:widowControl w:val="0"/>
        <w:autoSpaceDE w:val="0"/>
        <w:autoSpaceDN w:val="0"/>
        <w:adjustRightInd w:val="0"/>
        <w:rPr>
          <w:lang w:val="en-US"/>
        </w:rPr>
      </w:pPr>
      <w:r w:rsidRPr="001D400C">
        <w:rPr>
          <w:lang w:val="en-US"/>
        </w:rPr>
        <w:t xml:space="preserve">Kandler, Anne, and Kevin N. Laland. 2009. ‘An Investigation of the Relationship between Innovation and Cultural Diversity’. </w:t>
      </w:r>
      <w:r w:rsidRPr="001D400C">
        <w:rPr>
          <w:i/>
          <w:iCs/>
          <w:lang w:val="en-US"/>
        </w:rPr>
        <w:t>Theoretical Population Biology</w:t>
      </w:r>
      <w:r w:rsidRPr="001D400C">
        <w:rPr>
          <w:lang w:val="en-US"/>
        </w:rPr>
        <w:t xml:space="preserve"> 76 (1): 59–67. https://doi.org/10.1016/j.tpb.2009.04.004.</w:t>
      </w:r>
    </w:p>
    <w:p w14:paraId="347184D4" w14:textId="77777777" w:rsidR="001D400C" w:rsidRPr="001D400C" w:rsidRDefault="001D400C">
      <w:pPr>
        <w:widowControl w:val="0"/>
        <w:autoSpaceDE w:val="0"/>
        <w:autoSpaceDN w:val="0"/>
        <w:adjustRightInd w:val="0"/>
        <w:rPr>
          <w:lang w:val="en-US"/>
        </w:rPr>
      </w:pPr>
      <w:r w:rsidRPr="001D400C">
        <w:rPr>
          <w:lang w:val="en-US"/>
        </w:rPr>
        <w:t xml:space="preserve">Kuhn, Steven L. 2020. </w:t>
      </w:r>
      <w:r w:rsidRPr="001D400C">
        <w:rPr>
          <w:i/>
          <w:iCs/>
          <w:lang w:val="en-US"/>
        </w:rPr>
        <w:t>The Evolution of Paleolithic Technologies</w:t>
      </w:r>
      <w:r w:rsidRPr="001D400C">
        <w:rPr>
          <w:lang w:val="en-US"/>
        </w:rPr>
        <w:t>. Routledge. https://www.routledge.com/The-Evolution-of-Paleolithic-Technologies/Kuhn/p/book/9780367140540.</w:t>
      </w:r>
    </w:p>
    <w:p w14:paraId="02017856" w14:textId="77777777" w:rsidR="001D400C" w:rsidRPr="001D400C" w:rsidRDefault="001D400C">
      <w:pPr>
        <w:widowControl w:val="0"/>
        <w:autoSpaceDE w:val="0"/>
        <w:autoSpaceDN w:val="0"/>
        <w:adjustRightInd w:val="0"/>
        <w:rPr>
          <w:lang w:val="en-US"/>
        </w:rPr>
      </w:pPr>
      <w:r w:rsidRPr="001D400C">
        <w:rPr>
          <w:lang w:val="en-US"/>
        </w:rPr>
        <w:t xml:space="preserve">Laland, Kevin N. 2004. ‘Social Learning Strategies’. </w:t>
      </w:r>
      <w:r w:rsidRPr="001D400C">
        <w:rPr>
          <w:i/>
          <w:iCs/>
          <w:lang w:val="en-US"/>
        </w:rPr>
        <w:t>Animal Learning &amp; Behavior</w:t>
      </w:r>
      <w:r w:rsidRPr="001D400C">
        <w:rPr>
          <w:lang w:val="en-US"/>
        </w:rPr>
        <w:t xml:space="preserve"> 32 (1): 4–14. https://doi.org/10.3758/BF03196002.</w:t>
      </w:r>
    </w:p>
    <w:p w14:paraId="0D721B04" w14:textId="77777777" w:rsidR="001D400C" w:rsidRPr="001D400C" w:rsidRDefault="001D400C">
      <w:pPr>
        <w:widowControl w:val="0"/>
        <w:autoSpaceDE w:val="0"/>
        <w:autoSpaceDN w:val="0"/>
        <w:adjustRightInd w:val="0"/>
        <w:rPr>
          <w:lang w:val="en-US"/>
        </w:rPr>
      </w:pPr>
      <w:r w:rsidRPr="001D400C">
        <w:rPr>
          <w:lang w:val="en-US"/>
        </w:rPr>
        <w:t xml:space="preserve">Levy, Neil. 2022. ‘Do Your Own Research!’ </w:t>
      </w:r>
      <w:r w:rsidRPr="001D400C">
        <w:rPr>
          <w:i/>
          <w:iCs/>
          <w:lang w:val="en-US"/>
        </w:rPr>
        <w:t>Synthese</w:t>
      </w:r>
      <w:r w:rsidRPr="001D400C">
        <w:rPr>
          <w:lang w:val="en-US"/>
        </w:rPr>
        <w:t xml:space="preserve"> 200 (5): 356. https://doi.org/10.1007/s11229-022-03793-w.</w:t>
      </w:r>
    </w:p>
    <w:p w14:paraId="6D831C87" w14:textId="77777777" w:rsidR="001D400C" w:rsidRPr="001D400C" w:rsidRDefault="001D400C">
      <w:pPr>
        <w:widowControl w:val="0"/>
        <w:autoSpaceDE w:val="0"/>
        <w:autoSpaceDN w:val="0"/>
        <w:adjustRightInd w:val="0"/>
        <w:rPr>
          <w:lang w:val="en-US"/>
        </w:rPr>
      </w:pPr>
      <w:r w:rsidRPr="001D400C">
        <w:rPr>
          <w:lang w:val="en-US"/>
        </w:rPr>
        <w:t xml:space="preserve">Levy, Neil, and Mark Alfano. 2020. ‘Knowledge From Vice: Deeply Social Epistemology’. </w:t>
      </w:r>
      <w:r w:rsidRPr="001D400C">
        <w:rPr>
          <w:i/>
          <w:iCs/>
          <w:lang w:val="en-US"/>
        </w:rPr>
        <w:t>Mind</w:t>
      </w:r>
      <w:r w:rsidRPr="001D400C">
        <w:rPr>
          <w:lang w:val="en-US"/>
        </w:rPr>
        <w:t xml:space="preserve"> 129 (515): 887–915. https://doi.org/10.1093/mind/fzz017.</w:t>
      </w:r>
    </w:p>
    <w:p w14:paraId="59EA611A" w14:textId="77777777" w:rsidR="001D400C" w:rsidRPr="001D400C" w:rsidRDefault="001D400C">
      <w:pPr>
        <w:widowControl w:val="0"/>
        <w:autoSpaceDE w:val="0"/>
        <w:autoSpaceDN w:val="0"/>
        <w:adjustRightInd w:val="0"/>
        <w:rPr>
          <w:lang w:val="en-US"/>
        </w:rPr>
      </w:pPr>
      <w:r w:rsidRPr="001D400C">
        <w:rPr>
          <w:lang w:val="en-US"/>
        </w:rPr>
        <w:t xml:space="preserve">Lewis, David. 1969. </w:t>
      </w:r>
      <w:r w:rsidRPr="001D400C">
        <w:rPr>
          <w:i/>
          <w:iCs/>
          <w:lang w:val="en-US"/>
        </w:rPr>
        <w:t>Convention: A Philosophical Study</w:t>
      </w:r>
      <w:r w:rsidRPr="001D400C">
        <w:rPr>
          <w:lang w:val="en-US"/>
        </w:rPr>
        <w:t>. John Wiley &amp; Sons.</w:t>
      </w:r>
    </w:p>
    <w:p w14:paraId="0F9BF83E" w14:textId="77777777" w:rsidR="001D400C" w:rsidRPr="001D400C" w:rsidRDefault="001D400C">
      <w:pPr>
        <w:widowControl w:val="0"/>
        <w:autoSpaceDE w:val="0"/>
        <w:autoSpaceDN w:val="0"/>
        <w:adjustRightInd w:val="0"/>
        <w:rPr>
          <w:lang w:val="en-US"/>
        </w:rPr>
      </w:pPr>
      <w:r w:rsidRPr="001D400C">
        <w:rPr>
          <w:lang w:val="en-US"/>
        </w:rPr>
        <w:t xml:space="preserve">Lew-Levy, Sheina, Stephen M. Kissler, Adam H. Boyette, Alyssa N. Crittenden, Ibrahim A. Mabulla, and Barry S. Hewlett. </w:t>
      </w:r>
      <w:r w:rsidRPr="0007417B">
        <w:rPr>
          <w:lang w:val="en-US"/>
        </w:rPr>
        <w:t xml:space="preserve">2020. ‘Who Teaches Children to Forage? </w:t>
      </w:r>
      <w:r w:rsidRPr="001D400C">
        <w:rPr>
          <w:lang w:val="en-US"/>
        </w:rPr>
        <w:t xml:space="preserve">Exploring the Primacy of Child-to-Child Teaching among Hadza and BaYaka Hunter-Gatherers of Tanzania and Congo’. </w:t>
      </w:r>
      <w:r w:rsidRPr="001D400C">
        <w:rPr>
          <w:i/>
          <w:iCs/>
          <w:lang w:val="en-US"/>
        </w:rPr>
        <w:t>Evolution and Human Behavior</w:t>
      </w:r>
      <w:r w:rsidRPr="001D400C">
        <w:rPr>
          <w:lang w:val="en-US"/>
        </w:rPr>
        <w:t xml:space="preserve"> 41 (1): 12–22. https://doi.org/10.1016/j.evolhumbehav.2019.07.003.</w:t>
      </w:r>
    </w:p>
    <w:p w14:paraId="6D8F152C" w14:textId="77777777" w:rsidR="001D400C" w:rsidRPr="001D400C" w:rsidRDefault="001D400C">
      <w:pPr>
        <w:widowControl w:val="0"/>
        <w:autoSpaceDE w:val="0"/>
        <w:autoSpaceDN w:val="0"/>
        <w:adjustRightInd w:val="0"/>
        <w:rPr>
          <w:lang w:val="en-US"/>
        </w:rPr>
      </w:pPr>
      <w:r w:rsidRPr="001D400C">
        <w:rPr>
          <w:lang w:val="en-US"/>
        </w:rPr>
        <w:t xml:space="preserve">Lew-Levy, Sheina, Rachel Reckin, Noa Lavi, Jurgi Cristóbal-Azkarate, and Kate Ellis-Davies. 2017. ‘How Do Hunter-Gatherer Children Learn Subsistence Skills?’ </w:t>
      </w:r>
      <w:r w:rsidRPr="001D400C">
        <w:rPr>
          <w:i/>
          <w:iCs/>
          <w:lang w:val="en-US"/>
        </w:rPr>
        <w:t>Human Nature</w:t>
      </w:r>
      <w:r w:rsidRPr="001D400C">
        <w:rPr>
          <w:lang w:val="en-US"/>
        </w:rPr>
        <w:t xml:space="preserve"> </w:t>
      </w:r>
      <w:r w:rsidRPr="001D400C">
        <w:rPr>
          <w:lang w:val="en-US"/>
        </w:rPr>
        <w:lastRenderedPageBreak/>
        <w:t>28 (4): 367–94. https://doi.org/10.1007/s12110-017-9302-2.</w:t>
      </w:r>
    </w:p>
    <w:p w14:paraId="252C3119" w14:textId="77777777" w:rsidR="001D400C" w:rsidRPr="001D400C" w:rsidRDefault="001D400C">
      <w:pPr>
        <w:widowControl w:val="0"/>
        <w:autoSpaceDE w:val="0"/>
        <w:autoSpaceDN w:val="0"/>
        <w:adjustRightInd w:val="0"/>
        <w:rPr>
          <w:lang w:val="en-US"/>
        </w:rPr>
      </w:pPr>
      <w:r w:rsidRPr="001D400C">
        <w:rPr>
          <w:lang w:val="en-US"/>
        </w:rPr>
        <w:t xml:space="preserve">Machin, Anna. 2009. ‘The Role of the Individual Agent in Acheulean Biface Variability: A Multi-Factorial Model’. </w:t>
      </w:r>
      <w:r w:rsidRPr="001D400C">
        <w:rPr>
          <w:i/>
          <w:iCs/>
          <w:lang w:val="en-US"/>
        </w:rPr>
        <w:t>Journal of Social Archaeology</w:t>
      </w:r>
      <w:r w:rsidRPr="001D400C">
        <w:rPr>
          <w:lang w:val="en-US"/>
        </w:rPr>
        <w:t xml:space="preserve"> 9 (1): 35–58.</w:t>
      </w:r>
    </w:p>
    <w:p w14:paraId="2B644627" w14:textId="77777777" w:rsidR="001D400C" w:rsidRPr="001D400C" w:rsidRDefault="001D400C">
      <w:pPr>
        <w:widowControl w:val="0"/>
        <w:autoSpaceDE w:val="0"/>
        <w:autoSpaceDN w:val="0"/>
        <w:adjustRightInd w:val="0"/>
        <w:rPr>
          <w:lang w:val="en-US"/>
        </w:rPr>
      </w:pPr>
      <w:r w:rsidRPr="001D400C">
        <w:rPr>
          <w:lang w:val="en-US"/>
        </w:rPr>
        <w:t xml:space="preserve">Matheson, Jonathan. 2022. ‘Why Think for Yourself?’ </w:t>
      </w:r>
      <w:r w:rsidRPr="001D400C">
        <w:rPr>
          <w:i/>
          <w:iCs/>
          <w:lang w:val="en-US"/>
        </w:rPr>
        <w:t>Episteme</w:t>
      </w:r>
      <w:r w:rsidRPr="001D400C">
        <w:rPr>
          <w:lang w:val="en-US"/>
        </w:rPr>
        <w:t>, January, 1–19. https://doi.org/10.1017/epi.2021.49.</w:t>
      </w:r>
    </w:p>
    <w:p w14:paraId="40E4173E" w14:textId="77777777" w:rsidR="001D400C" w:rsidRPr="001D400C" w:rsidRDefault="001D400C">
      <w:pPr>
        <w:widowControl w:val="0"/>
        <w:autoSpaceDE w:val="0"/>
        <w:autoSpaceDN w:val="0"/>
        <w:adjustRightInd w:val="0"/>
        <w:rPr>
          <w:lang w:val="en-US"/>
        </w:rPr>
      </w:pPr>
      <w:r w:rsidRPr="001D400C">
        <w:rPr>
          <w:lang w:val="en-US"/>
        </w:rPr>
        <w:t xml:space="preserve">Mercier, Hugo, and Dan Sperber. </w:t>
      </w:r>
      <w:r w:rsidRPr="0007417B">
        <w:rPr>
          <w:lang w:val="en-US"/>
        </w:rPr>
        <w:t xml:space="preserve">2011. ‘Why Do Humans Reason? </w:t>
      </w:r>
      <w:r w:rsidRPr="001D400C">
        <w:rPr>
          <w:lang w:val="en-US"/>
        </w:rPr>
        <w:t xml:space="preserve">Arguments for an Argumentative Theory.’ </w:t>
      </w:r>
      <w:r w:rsidRPr="001D400C">
        <w:rPr>
          <w:i/>
          <w:iCs/>
          <w:lang w:val="en-US"/>
        </w:rPr>
        <w:t>Behavioral and Brain Sciences</w:t>
      </w:r>
      <w:r w:rsidRPr="001D400C">
        <w:rPr>
          <w:lang w:val="en-US"/>
        </w:rPr>
        <w:t xml:space="preserve"> 34 (2): 57–74; discussion 74-111. https://doi.org/10.1017/S0140525X10000968.</w:t>
      </w:r>
    </w:p>
    <w:p w14:paraId="095C6D88" w14:textId="77777777" w:rsidR="001D400C" w:rsidRPr="001D400C" w:rsidRDefault="001D400C">
      <w:pPr>
        <w:widowControl w:val="0"/>
        <w:autoSpaceDE w:val="0"/>
        <w:autoSpaceDN w:val="0"/>
        <w:adjustRightInd w:val="0"/>
        <w:rPr>
          <w:lang w:val="en-US"/>
        </w:rPr>
      </w:pPr>
      <w:r w:rsidRPr="001D400C">
        <w:rPr>
          <w:lang w:val="en-US"/>
        </w:rPr>
        <w:t xml:space="preserve">———. 2017. </w:t>
      </w:r>
      <w:r w:rsidRPr="001D400C">
        <w:rPr>
          <w:i/>
          <w:iCs/>
          <w:lang w:val="en-US"/>
        </w:rPr>
        <w:t>The Enigma of Reason</w:t>
      </w:r>
      <w:r w:rsidRPr="001D400C">
        <w:rPr>
          <w:lang w:val="en-US"/>
        </w:rPr>
        <w:t>. Cambridge, Massachusetts: Harvard University Press.</w:t>
      </w:r>
    </w:p>
    <w:p w14:paraId="39E2C33D" w14:textId="77777777" w:rsidR="001D400C" w:rsidRPr="001D400C" w:rsidRDefault="001D400C">
      <w:pPr>
        <w:widowControl w:val="0"/>
        <w:autoSpaceDE w:val="0"/>
        <w:autoSpaceDN w:val="0"/>
        <w:adjustRightInd w:val="0"/>
        <w:rPr>
          <w:lang w:val="en-US"/>
        </w:rPr>
      </w:pPr>
      <w:r w:rsidRPr="001D400C">
        <w:rPr>
          <w:lang w:val="en-US"/>
        </w:rPr>
        <w:t xml:space="preserve">Mesoudi, Alex, and Alex Thornton. 2018. ‘What Is Cumulative Cultural Evolution?’ </w:t>
      </w:r>
      <w:r w:rsidRPr="001D400C">
        <w:rPr>
          <w:i/>
          <w:iCs/>
          <w:lang w:val="en-US"/>
        </w:rPr>
        <w:t>Proceedings of the Royal Society B: Biological Sciences</w:t>
      </w:r>
      <w:r w:rsidRPr="001D400C">
        <w:rPr>
          <w:lang w:val="en-US"/>
        </w:rPr>
        <w:t xml:space="preserve"> 285 (1880): 20180712. https://doi.org/10.1098/rspb.2018.0712.</w:t>
      </w:r>
    </w:p>
    <w:p w14:paraId="4B68C3EA" w14:textId="77777777" w:rsidR="001D400C" w:rsidRPr="001D400C" w:rsidRDefault="001D400C">
      <w:pPr>
        <w:widowControl w:val="0"/>
        <w:autoSpaceDE w:val="0"/>
        <w:autoSpaceDN w:val="0"/>
        <w:adjustRightInd w:val="0"/>
        <w:rPr>
          <w:lang w:val="en-US"/>
        </w:rPr>
      </w:pPr>
      <w:r w:rsidRPr="001D400C">
        <w:rPr>
          <w:lang w:val="en-US"/>
        </w:rPr>
        <w:t xml:space="preserve">Nagell, Katherine, Raquel S. Olguin, and Michael Tomasello. 1993. ‘Processes of Social Learning in the Tool Use of Chimpanzees (Pan Troglodytes) and Human Children (Homo Sapiens)’. </w:t>
      </w:r>
      <w:r w:rsidRPr="001D400C">
        <w:rPr>
          <w:i/>
          <w:iCs/>
          <w:lang w:val="en-US"/>
        </w:rPr>
        <w:t>Journal of Comparative Psychology</w:t>
      </w:r>
      <w:r w:rsidRPr="001D400C">
        <w:rPr>
          <w:lang w:val="en-US"/>
        </w:rPr>
        <w:t xml:space="preserve"> 107 (2): 174–86. https://doi.org/10.1037/0735-7036.107.2.174.</w:t>
      </w:r>
    </w:p>
    <w:p w14:paraId="0D30D029" w14:textId="77777777" w:rsidR="001D400C" w:rsidRPr="001D400C" w:rsidRDefault="001D400C">
      <w:pPr>
        <w:widowControl w:val="0"/>
        <w:autoSpaceDE w:val="0"/>
        <w:autoSpaceDN w:val="0"/>
        <w:adjustRightInd w:val="0"/>
        <w:rPr>
          <w:lang w:val="en-US"/>
        </w:rPr>
      </w:pPr>
      <w:r w:rsidRPr="001D400C">
        <w:rPr>
          <w:lang w:val="en-US"/>
        </w:rPr>
        <w:t xml:space="preserve">Norman, Andy. 2016. ‘Why We Reason: Intention-Alignment and the Genesis of Human Rationality’. </w:t>
      </w:r>
      <w:r w:rsidRPr="001D400C">
        <w:rPr>
          <w:i/>
          <w:iCs/>
          <w:lang w:val="en-US"/>
        </w:rPr>
        <w:t>Biology &amp; Philosophy</w:t>
      </w:r>
      <w:r w:rsidRPr="001D400C">
        <w:rPr>
          <w:lang w:val="en-US"/>
        </w:rPr>
        <w:t xml:space="preserve"> 31 (5): 685–704. https://doi.org/10.1007/s10539-016-9532-4.</w:t>
      </w:r>
    </w:p>
    <w:p w14:paraId="24AE7ACE" w14:textId="77777777" w:rsidR="001D400C" w:rsidRPr="001D400C" w:rsidRDefault="001D400C">
      <w:pPr>
        <w:widowControl w:val="0"/>
        <w:autoSpaceDE w:val="0"/>
        <w:autoSpaceDN w:val="0"/>
        <w:adjustRightInd w:val="0"/>
        <w:rPr>
          <w:lang w:val="en-US"/>
        </w:rPr>
      </w:pPr>
      <w:r w:rsidRPr="001D400C">
        <w:rPr>
          <w:lang w:val="en-US"/>
        </w:rPr>
        <w:t xml:space="preserve">Ofek, Haim. 2004. </w:t>
      </w:r>
      <w:r w:rsidRPr="001D400C">
        <w:rPr>
          <w:i/>
          <w:iCs/>
          <w:lang w:val="en-US"/>
        </w:rPr>
        <w:t>Second Nature - Economic Origins of Human Evolution</w:t>
      </w:r>
      <w:r w:rsidRPr="001D400C">
        <w:rPr>
          <w:lang w:val="en-US"/>
        </w:rPr>
        <w:t>. Cambridge.</w:t>
      </w:r>
    </w:p>
    <w:p w14:paraId="54A9F65E" w14:textId="77777777" w:rsidR="001D400C" w:rsidRPr="001D400C" w:rsidRDefault="001D400C">
      <w:pPr>
        <w:widowControl w:val="0"/>
        <w:autoSpaceDE w:val="0"/>
        <w:autoSpaceDN w:val="0"/>
        <w:adjustRightInd w:val="0"/>
        <w:rPr>
          <w:lang w:val="en-US"/>
        </w:rPr>
      </w:pPr>
      <w:r w:rsidRPr="001D400C">
        <w:rPr>
          <w:lang w:val="en-US"/>
        </w:rPr>
        <w:t xml:space="preserve">Pickering, Travis Rayne. 2013. </w:t>
      </w:r>
      <w:r w:rsidRPr="001D400C">
        <w:rPr>
          <w:i/>
          <w:iCs/>
          <w:lang w:val="en-US"/>
        </w:rPr>
        <w:t>Rough and Tumble: Aggression, Hunting, and Human Evolution</w:t>
      </w:r>
      <w:r w:rsidRPr="001D400C">
        <w:rPr>
          <w:lang w:val="en-US"/>
        </w:rPr>
        <w:t>. Univ of California Press.</w:t>
      </w:r>
    </w:p>
    <w:p w14:paraId="175D6392" w14:textId="77777777" w:rsidR="001D400C" w:rsidRPr="001D400C" w:rsidRDefault="001D400C">
      <w:pPr>
        <w:widowControl w:val="0"/>
        <w:autoSpaceDE w:val="0"/>
        <w:autoSpaceDN w:val="0"/>
        <w:adjustRightInd w:val="0"/>
        <w:rPr>
          <w:lang w:val="en-US"/>
        </w:rPr>
      </w:pPr>
      <w:r w:rsidRPr="001D400C">
        <w:rPr>
          <w:lang w:val="en-US"/>
        </w:rPr>
        <w:t xml:space="preserve">Pradhan, Gauri R., Claudio Tennie, and Carel P. van Schaik. 2012. ‘Social Organization and the Evolution of Cumulative Technology in Apes and Hominins’. </w:t>
      </w:r>
      <w:r w:rsidRPr="001D400C">
        <w:rPr>
          <w:i/>
          <w:iCs/>
          <w:lang w:val="en-US"/>
        </w:rPr>
        <w:t>Journal of Human Evolution</w:t>
      </w:r>
      <w:r w:rsidRPr="001D400C">
        <w:rPr>
          <w:lang w:val="en-US"/>
        </w:rPr>
        <w:t xml:space="preserve"> 63 (1): 180–90. https://doi.org/10.1016/j.jhevol.2012.04.008.</w:t>
      </w:r>
    </w:p>
    <w:p w14:paraId="74C18F55" w14:textId="77777777" w:rsidR="001D400C" w:rsidRPr="001D400C" w:rsidRDefault="001D400C">
      <w:pPr>
        <w:widowControl w:val="0"/>
        <w:autoSpaceDE w:val="0"/>
        <w:autoSpaceDN w:val="0"/>
        <w:adjustRightInd w:val="0"/>
        <w:rPr>
          <w:lang w:val="en-US"/>
        </w:rPr>
      </w:pPr>
      <w:r w:rsidRPr="001D400C">
        <w:rPr>
          <w:lang w:val="en-US"/>
        </w:rPr>
        <w:t xml:space="preserve">Railton, Peter. 2021. ‘Normative Guidance, Evaluative Guidance, and Skill’. </w:t>
      </w:r>
      <w:r w:rsidRPr="001D400C">
        <w:rPr>
          <w:i/>
          <w:iCs/>
          <w:lang w:val="en-US"/>
        </w:rPr>
        <w:t>Analyse &amp; Kritik</w:t>
      </w:r>
      <w:r w:rsidRPr="001D400C">
        <w:rPr>
          <w:lang w:val="en-US"/>
        </w:rPr>
        <w:t xml:space="preserve"> 43 (1): 235–52. https://doi.org/10.1515/auk-2021-0014.</w:t>
      </w:r>
    </w:p>
    <w:p w14:paraId="40A4B208" w14:textId="77777777" w:rsidR="001D400C" w:rsidRPr="001D400C" w:rsidRDefault="001D400C">
      <w:pPr>
        <w:widowControl w:val="0"/>
        <w:autoSpaceDE w:val="0"/>
        <w:autoSpaceDN w:val="0"/>
        <w:adjustRightInd w:val="0"/>
        <w:rPr>
          <w:lang w:val="en-US"/>
        </w:rPr>
      </w:pPr>
      <w:r w:rsidRPr="001D400C">
        <w:rPr>
          <w:lang w:val="en-US"/>
        </w:rPr>
        <w:t xml:space="preserve">Reyes-García, Victoria, Sandrine Gallois, and Kathryn Demps. 2016. ‘A Multistage Learning Model for Cultural Transmission: Evidence from Three Indigenous Societies’. In </w:t>
      </w:r>
      <w:r w:rsidRPr="001D400C">
        <w:rPr>
          <w:i/>
          <w:iCs/>
          <w:lang w:val="en-US"/>
        </w:rPr>
        <w:t>Social Learning and Innovation in Contemporary Hunter-Gatherers: Evolutionary and Ethnographic Perspectives</w:t>
      </w:r>
      <w:r w:rsidRPr="001D400C">
        <w:rPr>
          <w:lang w:val="en-US"/>
        </w:rPr>
        <w:t>, edited by Hideaki Terashima and Barry S. Hewlett, 47–60. Replacement of Neanderthals by Modern Humans Series. Tokyo: Springer Japan. https://doi.org/10.1007/978-4-431-55997-9_4.</w:t>
      </w:r>
    </w:p>
    <w:p w14:paraId="094EA404" w14:textId="77777777" w:rsidR="001D400C" w:rsidRPr="001D400C" w:rsidRDefault="001D400C">
      <w:pPr>
        <w:widowControl w:val="0"/>
        <w:autoSpaceDE w:val="0"/>
        <w:autoSpaceDN w:val="0"/>
        <w:adjustRightInd w:val="0"/>
        <w:rPr>
          <w:lang w:val="en-US"/>
        </w:rPr>
      </w:pPr>
      <w:r w:rsidRPr="001D400C">
        <w:rPr>
          <w:lang w:val="en-US"/>
        </w:rPr>
        <w:t xml:space="preserve">Richerson, Peter J., and Robert Boyd. 2008. </w:t>
      </w:r>
      <w:r w:rsidRPr="001D400C">
        <w:rPr>
          <w:i/>
          <w:iCs/>
          <w:lang w:val="en-US"/>
        </w:rPr>
        <w:t>Not By Genes Alone: How Culture Transformed Human Evolution</w:t>
      </w:r>
      <w:r w:rsidRPr="001D400C">
        <w:rPr>
          <w:lang w:val="en-US"/>
        </w:rPr>
        <w:t>. University of Chicago Press.</w:t>
      </w:r>
    </w:p>
    <w:p w14:paraId="28F6EF64" w14:textId="77777777" w:rsidR="001D400C" w:rsidRPr="001D400C" w:rsidRDefault="001D400C">
      <w:pPr>
        <w:widowControl w:val="0"/>
        <w:autoSpaceDE w:val="0"/>
        <w:autoSpaceDN w:val="0"/>
        <w:adjustRightInd w:val="0"/>
        <w:rPr>
          <w:lang w:val="en-US"/>
        </w:rPr>
      </w:pPr>
      <w:r w:rsidRPr="001D400C">
        <w:rPr>
          <w:lang w:val="en-US"/>
        </w:rPr>
        <w:t xml:space="preserve">Ridder, Jeroen de. 2014. ‘Epistemic Dependence and Collective Scientific Knowledge’. </w:t>
      </w:r>
      <w:r w:rsidRPr="001D400C">
        <w:rPr>
          <w:i/>
          <w:iCs/>
          <w:lang w:val="en-US"/>
        </w:rPr>
        <w:t>Synthese</w:t>
      </w:r>
      <w:r w:rsidRPr="001D400C">
        <w:rPr>
          <w:lang w:val="en-US"/>
        </w:rPr>
        <w:t xml:space="preserve"> 191 (1): 37–53. https://doi.org/10.1007/s11229-013-0283-3.</w:t>
      </w:r>
    </w:p>
    <w:p w14:paraId="244AA32D" w14:textId="77777777" w:rsidR="001D400C" w:rsidRPr="001D400C" w:rsidRDefault="001D400C">
      <w:pPr>
        <w:widowControl w:val="0"/>
        <w:autoSpaceDE w:val="0"/>
        <w:autoSpaceDN w:val="0"/>
        <w:adjustRightInd w:val="0"/>
        <w:rPr>
          <w:lang w:val="en-US"/>
        </w:rPr>
      </w:pPr>
      <w:r w:rsidRPr="001D400C">
        <w:rPr>
          <w:lang w:val="en-US"/>
        </w:rPr>
        <w:t xml:space="preserve">Riede, Felix, Niels N. Johannsen, Anders Högberg, April Nowell, and Marlize Lombard. 2018. ‘The Role of Play Objects and Object Play in Human Cognitive Evolution and Innovation’. </w:t>
      </w:r>
      <w:r w:rsidRPr="001D400C">
        <w:rPr>
          <w:i/>
          <w:iCs/>
          <w:lang w:val="en-US"/>
        </w:rPr>
        <w:t>Evolutionary Anthropology: Issues, News, and Reviews</w:t>
      </w:r>
      <w:r w:rsidRPr="001D400C">
        <w:rPr>
          <w:lang w:val="en-US"/>
        </w:rPr>
        <w:t xml:space="preserve"> 27 (1): 46–59. https://doi.org/10.1002/evan.21555.</w:t>
      </w:r>
    </w:p>
    <w:p w14:paraId="5E62B2A3" w14:textId="77777777" w:rsidR="001D400C" w:rsidRPr="001D400C" w:rsidRDefault="001D400C">
      <w:pPr>
        <w:widowControl w:val="0"/>
        <w:autoSpaceDE w:val="0"/>
        <w:autoSpaceDN w:val="0"/>
        <w:adjustRightInd w:val="0"/>
        <w:rPr>
          <w:lang w:val="en-US"/>
        </w:rPr>
      </w:pPr>
      <w:r w:rsidRPr="001D400C">
        <w:rPr>
          <w:lang w:val="en-US"/>
        </w:rPr>
        <w:t xml:space="preserve">Schaik, Carel P. van, and Judith M. Burkart. 2018. ‘The Moral Capacity as a Biological Adaptation: A Commentary on Tomasello’. </w:t>
      </w:r>
      <w:r w:rsidRPr="001D400C">
        <w:rPr>
          <w:i/>
          <w:iCs/>
          <w:lang w:val="en-US"/>
        </w:rPr>
        <w:t>Philosophical Psychology</w:t>
      </w:r>
      <w:r w:rsidRPr="001D400C">
        <w:rPr>
          <w:lang w:val="en-US"/>
        </w:rPr>
        <w:t xml:space="preserve"> 31 (5): 703–21. https://doi.org/10.1080/09515089.2018.1486608.</w:t>
      </w:r>
    </w:p>
    <w:p w14:paraId="0B6C0763" w14:textId="77777777" w:rsidR="001D400C" w:rsidRPr="001D400C" w:rsidRDefault="001D400C">
      <w:pPr>
        <w:widowControl w:val="0"/>
        <w:autoSpaceDE w:val="0"/>
        <w:autoSpaceDN w:val="0"/>
        <w:adjustRightInd w:val="0"/>
        <w:rPr>
          <w:lang w:val="en-US"/>
        </w:rPr>
      </w:pPr>
      <w:r w:rsidRPr="001D400C">
        <w:rPr>
          <w:lang w:val="en-US"/>
        </w:rPr>
        <w:t xml:space="preserve">Seitz, Fabian. 2020. ‘Argumentation Evolved: But How? Coevolution of Coordinated Group Behavior and Reasoning’. </w:t>
      </w:r>
      <w:r w:rsidRPr="001D400C">
        <w:rPr>
          <w:i/>
          <w:iCs/>
          <w:lang w:val="en-US"/>
        </w:rPr>
        <w:t>Argumentation</w:t>
      </w:r>
      <w:r w:rsidRPr="001D400C">
        <w:rPr>
          <w:lang w:val="en-US"/>
        </w:rPr>
        <w:t xml:space="preserve"> 34 (2): 237–60. https://doi.org/10.1007/s10503-020-09510-6.</w:t>
      </w:r>
    </w:p>
    <w:p w14:paraId="4A641138" w14:textId="77777777" w:rsidR="001D400C" w:rsidRPr="001D400C" w:rsidRDefault="001D400C">
      <w:pPr>
        <w:widowControl w:val="0"/>
        <w:autoSpaceDE w:val="0"/>
        <w:autoSpaceDN w:val="0"/>
        <w:adjustRightInd w:val="0"/>
        <w:rPr>
          <w:lang w:val="en-US"/>
        </w:rPr>
      </w:pPr>
      <w:r w:rsidRPr="001D400C">
        <w:rPr>
          <w:lang w:val="en-US"/>
        </w:rPr>
        <w:t xml:space="preserve">Sertler, Ezgi. 2022. ‘Epistemic Dependence and Oppression: A Telling Relationship’. </w:t>
      </w:r>
      <w:r w:rsidRPr="001D400C">
        <w:rPr>
          <w:i/>
          <w:iCs/>
          <w:lang w:val="en-US"/>
        </w:rPr>
        <w:t>Episteme</w:t>
      </w:r>
      <w:r w:rsidRPr="001D400C">
        <w:rPr>
          <w:lang w:val="en-US"/>
        </w:rPr>
        <w:t xml:space="preserve"> 19 (3): 394–408. https://doi.org/10.1017/epi.2020.34.</w:t>
      </w:r>
    </w:p>
    <w:p w14:paraId="7BF56A48" w14:textId="77777777" w:rsidR="001D400C" w:rsidRPr="001D400C" w:rsidRDefault="001D400C">
      <w:pPr>
        <w:widowControl w:val="0"/>
        <w:autoSpaceDE w:val="0"/>
        <w:autoSpaceDN w:val="0"/>
        <w:adjustRightInd w:val="0"/>
        <w:rPr>
          <w:lang w:val="en-US"/>
        </w:rPr>
      </w:pPr>
      <w:r w:rsidRPr="001D400C">
        <w:rPr>
          <w:lang w:val="en-US"/>
        </w:rPr>
        <w:t xml:space="preserve">Shipton, Ceri. 2019. ‘The Evolution of Social Transmission in the Acheulean’. In </w:t>
      </w:r>
      <w:r w:rsidRPr="001D400C">
        <w:rPr>
          <w:i/>
          <w:iCs/>
          <w:lang w:val="en-US"/>
        </w:rPr>
        <w:t>Squeezing Minds From Stones — Cognitive Archaeology and the Evolution of the Human Mind</w:t>
      </w:r>
      <w:r w:rsidRPr="001D400C">
        <w:rPr>
          <w:lang w:val="en-US"/>
        </w:rPr>
        <w:t xml:space="preserve">, edited </w:t>
      </w:r>
      <w:r w:rsidRPr="001D400C">
        <w:rPr>
          <w:lang w:val="en-US"/>
        </w:rPr>
        <w:lastRenderedPageBreak/>
        <w:t>by Karenleigh A. Overmann and Frederick L. Coolidge. Oxford University Press.</w:t>
      </w:r>
    </w:p>
    <w:p w14:paraId="10FB3D4D" w14:textId="77777777" w:rsidR="001D400C" w:rsidRPr="001D400C" w:rsidRDefault="001D400C">
      <w:pPr>
        <w:widowControl w:val="0"/>
        <w:autoSpaceDE w:val="0"/>
        <w:autoSpaceDN w:val="0"/>
        <w:adjustRightInd w:val="0"/>
        <w:rPr>
          <w:lang w:val="en-US"/>
        </w:rPr>
      </w:pPr>
      <w:r w:rsidRPr="001D400C">
        <w:rPr>
          <w:lang w:val="en-US"/>
        </w:rPr>
        <w:t xml:space="preserve">Shipton, Ceri, and Mark White. 2020. ‘Handaxe Types, Colonization Waves, and Social Norms in the British Acheulean’. </w:t>
      </w:r>
      <w:r w:rsidRPr="001D400C">
        <w:rPr>
          <w:i/>
          <w:iCs/>
          <w:lang w:val="en-US"/>
        </w:rPr>
        <w:t>Journal of Archaeological Science: Reports</w:t>
      </w:r>
      <w:r w:rsidRPr="001D400C">
        <w:rPr>
          <w:lang w:val="en-US"/>
        </w:rPr>
        <w:t xml:space="preserve"> 31 (June): 102352. https://doi.org/10.1016/j.jasrep.2020.102352.</w:t>
      </w:r>
    </w:p>
    <w:p w14:paraId="116B7117" w14:textId="77777777" w:rsidR="001D400C" w:rsidRPr="001D400C" w:rsidRDefault="001D400C">
      <w:pPr>
        <w:widowControl w:val="0"/>
        <w:autoSpaceDE w:val="0"/>
        <w:autoSpaceDN w:val="0"/>
        <w:adjustRightInd w:val="0"/>
        <w:rPr>
          <w:lang w:val="en-US"/>
        </w:rPr>
      </w:pPr>
      <w:r w:rsidRPr="001D400C">
        <w:rPr>
          <w:lang w:val="en-US"/>
        </w:rPr>
        <w:t xml:space="preserve">Simion, Mona. 2021. ‘Testimonial Contractarianism: A Knowledge-First Social Epistemology’. </w:t>
      </w:r>
      <w:r w:rsidRPr="001D400C">
        <w:rPr>
          <w:i/>
          <w:iCs/>
          <w:lang w:val="en-US"/>
        </w:rPr>
        <w:t>Noûs</w:t>
      </w:r>
      <w:r w:rsidRPr="001D400C">
        <w:rPr>
          <w:lang w:val="en-US"/>
        </w:rPr>
        <w:t xml:space="preserve"> 55 (4): 891–916. https://doi.org/10.1111/nous.12337.</w:t>
      </w:r>
    </w:p>
    <w:p w14:paraId="61DE4915" w14:textId="77777777" w:rsidR="001D400C" w:rsidRPr="001D400C" w:rsidRDefault="001D400C">
      <w:pPr>
        <w:widowControl w:val="0"/>
        <w:autoSpaceDE w:val="0"/>
        <w:autoSpaceDN w:val="0"/>
        <w:adjustRightInd w:val="0"/>
        <w:rPr>
          <w:lang w:val="en-US"/>
        </w:rPr>
      </w:pPr>
      <w:r w:rsidRPr="001D400C">
        <w:rPr>
          <w:lang w:val="en-US"/>
        </w:rPr>
        <w:t xml:space="preserve">Sripada, Chandra Sekhar, and Stephen Stich. 2006. ‘A Framework for the Psychology of Norms’. In </w:t>
      </w:r>
      <w:r w:rsidRPr="001D400C">
        <w:rPr>
          <w:i/>
          <w:iCs/>
          <w:lang w:val="en-US"/>
        </w:rPr>
        <w:t>The Innate Mind, Volume 2: Culture and Cognition</w:t>
      </w:r>
      <w:r w:rsidRPr="001D400C">
        <w:rPr>
          <w:lang w:val="en-US"/>
        </w:rPr>
        <w:t>, edited by Peter Carruthers, Stephen Laurence, and Stephen Stich, 280–301. Oxford University Press.</w:t>
      </w:r>
    </w:p>
    <w:p w14:paraId="27A6A0A5" w14:textId="77777777" w:rsidR="001D400C" w:rsidRPr="001D400C" w:rsidRDefault="001D400C">
      <w:pPr>
        <w:widowControl w:val="0"/>
        <w:autoSpaceDE w:val="0"/>
        <w:autoSpaceDN w:val="0"/>
        <w:adjustRightInd w:val="0"/>
        <w:rPr>
          <w:lang w:val="en-US"/>
        </w:rPr>
      </w:pPr>
      <w:r w:rsidRPr="001D400C">
        <w:rPr>
          <w:lang w:val="en-US"/>
        </w:rPr>
        <w:t xml:space="preserve">Steele, James, and Stephen Shennan. 2009. ‘Introduction: Demography and Cultural Macroevolution’. </w:t>
      </w:r>
      <w:r w:rsidRPr="001D400C">
        <w:rPr>
          <w:i/>
          <w:iCs/>
          <w:lang w:val="en-US"/>
        </w:rPr>
        <w:t>Human Biology</w:t>
      </w:r>
      <w:r w:rsidRPr="001D400C">
        <w:rPr>
          <w:lang w:val="en-US"/>
        </w:rPr>
        <w:t xml:space="preserve"> 81 (3): 105–19.</w:t>
      </w:r>
    </w:p>
    <w:p w14:paraId="3E6D90A4" w14:textId="77777777" w:rsidR="001D400C" w:rsidRPr="001D400C" w:rsidRDefault="001D400C">
      <w:pPr>
        <w:widowControl w:val="0"/>
        <w:autoSpaceDE w:val="0"/>
        <w:autoSpaceDN w:val="0"/>
        <w:adjustRightInd w:val="0"/>
        <w:rPr>
          <w:lang w:val="en-US"/>
        </w:rPr>
      </w:pPr>
      <w:r w:rsidRPr="001D400C">
        <w:rPr>
          <w:lang w:val="en-US"/>
        </w:rPr>
        <w:t xml:space="preserve">Sterelny, Kim. 2012. </w:t>
      </w:r>
      <w:r w:rsidRPr="001D400C">
        <w:rPr>
          <w:i/>
          <w:iCs/>
          <w:lang w:val="en-US"/>
        </w:rPr>
        <w:t>The Evolved Apprentice</w:t>
      </w:r>
      <w:r w:rsidRPr="001D400C">
        <w:rPr>
          <w:lang w:val="en-US"/>
        </w:rPr>
        <w:t>. MIT press.</w:t>
      </w:r>
    </w:p>
    <w:p w14:paraId="0C52ADFC" w14:textId="77777777" w:rsidR="001D400C" w:rsidRPr="001D400C" w:rsidRDefault="001D400C">
      <w:pPr>
        <w:widowControl w:val="0"/>
        <w:autoSpaceDE w:val="0"/>
        <w:autoSpaceDN w:val="0"/>
        <w:adjustRightInd w:val="0"/>
        <w:rPr>
          <w:lang w:val="en-US"/>
        </w:rPr>
      </w:pPr>
      <w:r w:rsidRPr="001D400C">
        <w:rPr>
          <w:lang w:val="en-US"/>
        </w:rPr>
        <w:t xml:space="preserve">———. 2014. ‘A Paleolithic Reciprocation Crisis: Symbols, Signals, and Norms’. </w:t>
      </w:r>
      <w:r w:rsidRPr="001D400C">
        <w:rPr>
          <w:i/>
          <w:iCs/>
          <w:lang w:val="en-US"/>
        </w:rPr>
        <w:t>Biological Theory</w:t>
      </w:r>
      <w:r w:rsidRPr="001D400C">
        <w:rPr>
          <w:lang w:val="en-US"/>
        </w:rPr>
        <w:t xml:space="preserve"> 9 (1): 65–77. https://doi.org/10.1007/s13752-013-0143-x.</w:t>
      </w:r>
    </w:p>
    <w:p w14:paraId="5AE95E2F" w14:textId="77777777" w:rsidR="001D400C" w:rsidRPr="001D400C" w:rsidRDefault="001D400C">
      <w:pPr>
        <w:widowControl w:val="0"/>
        <w:autoSpaceDE w:val="0"/>
        <w:autoSpaceDN w:val="0"/>
        <w:adjustRightInd w:val="0"/>
        <w:rPr>
          <w:lang w:val="en-US"/>
        </w:rPr>
      </w:pPr>
      <w:r w:rsidRPr="00513504">
        <w:rPr>
          <w:lang w:val="en-US"/>
        </w:rPr>
        <w:t xml:space="preserve">———. 2018. ‘Why Reason? </w:t>
      </w:r>
      <w:r w:rsidRPr="001D400C">
        <w:rPr>
          <w:lang w:val="en-US"/>
        </w:rPr>
        <w:t xml:space="preserve">Hugo Mercier’s and Dan Sperber’s The Enigma of Reason: A New Theory of Human Understanding’. </w:t>
      </w:r>
      <w:r w:rsidRPr="001D400C">
        <w:rPr>
          <w:i/>
          <w:iCs/>
          <w:lang w:val="en-US"/>
        </w:rPr>
        <w:t>Mind &amp; Language</w:t>
      </w:r>
      <w:r w:rsidRPr="001D400C">
        <w:rPr>
          <w:lang w:val="en-US"/>
        </w:rPr>
        <w:t xml:space="preserve"> 33 (5): 502–12. https://doi.org/10.1111/mila.12182.</w:t>
      </w:r>
    </w:p>
    <w:p w14:paraId="45CF0F69" w14:textId="77777777" w:rsidR="001D400C" w:rsidRPr="001D400C" w:rsidRDefault="001D400C">
      <w:pPr>
        <w:widowControl w:val="0"/>
        <w:autoSpaceDE w:val="0"/>
        <w:autoSpaceDN w:val="0"/>
        <w:adjustRightInd w:val="0"/>
        <w:rPr>
          <w:lang w:val="de-DE"/>
        </w:rPr>
      </w:pPr>
      <w:r w:rsidRPr="001D400C">
        <w:rPr>
          <w:lang w:val="en-US"/>
        </w:rPr>
        <w:t xml:space="preserve">———. 2021a. ‘The Skill Hypothesis: A Variant’. </w:t>
      </w:r>
      <w:r w:rsidRPr="001D400C">
        <w:rPr>
          <w:i/>
          <w:iCs/>
          <w:lang w:val="de-DE"/>
        </w:rPr>
        <w:t>Analyse &amp; Kritik</w:t>
      </w:r>
      <w:r w:rsidRPr="001D400C">
        <w:rPr>
          <w:lang w:val="de-DE"/>
        </w:rPr>
        <w:t xml:space="preserve"> 43 (1): 225–34. https://doi.org/10.1515/auk-2021-0013.</w:t>
      </w:r>
    </w:p>
    <w:p w14:paraId="338EFCEC" w14:textId="77777777" w:rsidR="001D400C" w:rsidRPr="001D400C" w:rsidRDefault="001D400C">
      <w:pPr>
        <w:widowControl w:val="0"/>
        <w:autoSpaceDE w:val="0"/>
        <w:autoSpaceDN w:val="0"/>
        <w:adjustRightInd w:val="0"/>
        <w:rPr>
          <w:lang w:val="en-US"/>
        </w:rPr>
      </w:pPr>
      <w:r w:rsidRPr="001D400C">
        <w:rPr>
          <w:lang w:val="en-US"/>
        </w:rPr>
        <w:t xml:space="preserve">———. 2021b. </w:t>
      </w:r>
      <w:r w:rsidRPr="001D400C">
        <w:rPr>
          <w:i/>
          <w:iCs/>
          <w:lang w:val="en-US"/>
        </w:rPr>
        <w:t>The Pleistocene Social Contract: Culture and Cooperation in Human Evolution</w:t>
      </w:r>
      <w:r w:rsidRPr="001D400C">
        <w:rPr>
          <w:lang w:val="en-US"/>
        </w:rPr>
        <w:t>. Oxford, New York: Oxford University Press.</w:t>
      </w:r>
    </w:p>
    <w:p w14:paraId="0F89B20B" w14:textId="77777777" w:rsidR="001D400C" w:rsidRPr="001D400C" w:rsidRDefault="001D400C">
      <w:pPr>
        <w:widowControl w:val="0"/>
        <w:autoSpaceDE w:val="0"/>
        <w:autoSpaceDN w:val="0"/>
        <w:adjustRightInd w:val="0"/>
        <w:rPr>
          <w:lang w:val="en-US"/>
        </w:rPr>
      </w:pPr>
      <w:r w:rsidRPr="001D400C">
        <w:rPr>
          <w:lang w:val="en-US"/>
        </w:rPr>
        <w:t xml:space="preserve">Tennie, Claudio, Josep Call, and Michael Tomasello. 2009. ‘Ratcheting up the Ratchet: On the Evolution of Cumulative Culture’. </w:t>
      </w:r>
      <w:r w:rsidRPr="001D400C">
        <w:rPr>
          <w:i/>
          <w:iCs/>
          <w:lang w:val="en-US"/>
        </w:rPr>
        <w:t>Philosophical Transactions of the Royal Society B: Biological Sciences</w:t>
      </w:r>
      <w:r w:rsidRPr="001D400C">
        <w:rPr>
          <w:lang w:val="en-US"/>
        </w:rPr>
        <w:t xml:space="preserve"> 364 (1528): 2405–15. https://doi.org/10.1098/rstb.2009.0052.</w:t>
      </w:r>
    </w:p>
    <w:p w14:paraId="30800E56" w14:textId="77777777" w:rsidR="001D400C" w:rsidRPr="001D400C" w:rsidRDefault="001D400C">
      <w:pPr>
        <w:widowControl w:val="0"/>
        <w:autoSpaceDE w:val="0"/>
        <w:autoSpaceDN w:val="0"/>
        <w:adjustRightInd w:val="0"/>
        <w:rPr>
          <w:lang w:val="en-US"/>
        </w:rPr>
      </w:pPr>
      <w:r w:rsidRPr="001D400C">
        <w:rPr>
          <w:lang w:val="en-US"/>
        </w:rPr>
        <w:t xml:space="preserve">Tomasello, Michael. 2014. </w:t>
      </w:r>
      <w:r w:rsidRPr="001D400C">
        <w:rPr>
          <w:i/>
          <w:iCs/>
          <w:lang w:val="en-US"/>
        </w:rPr>
        <w:t>A Natural History of Human Thinking</w:t>
      </w:r>
      <w:r w:rsidRPr="001D400C">
        <w:rPr>
          <w:lang w:val="en-US"/>
        </w:rPr>
        <w:t xml:space="preserve">. </w:t>
      </w:r>
      <w:r w:rsidRPr="001D400C">
        <w:rPr>
          <w:i/>
          <w:iCs/>
          <w:lang w:val="en-US"/>
        </w:rPr>
        <w:t>A Natural History of Human Thinking</w:t>
      </w:r>
      <w:r w:rsidRPr="001D400C">
        <w:rPr>
          <w:lang w:val="en-US"/>
        </w:rPr>
        <w:t>. Harvard University Press. https://www.degruyter.com/document/doi/10.4159/9780674726369/html.</w:t>
      </w:r>
    </w:p>
    <w:p w14:paraId="3BB2D7E1" w14:textId="77777777" w:rsidR="001D400C" w:rsidRPr="001D400C" w:rsidRDefault="001D400C">
      <w:pPr>
        <w:widowControl w:val="0"/>
        <w:autoSpaceDE w:val="0"/>
        <w:autoSpaceDN w:val="0"/>
        <w:adjustRightInd w:val="0"/>
        <w:rPr>
          <w:lang w:val="en-US"/>
        </w:rPr>
      </w:pPr>
      <w:r w:rsidRPr="001D400C">
        <w:rPr>
          <w:lang w:val="en-US"/>
        </w:rPr>
        <w:t xml:space="preserve">———. 2016. </w:t>
      </w:r>
      <w:r w:rsidRPr="001D400C">
        <w:rPr>
          <w:i/>
          <w:iCs/>
          <w:lang w:val="en-US"/>
        </w:rPr>
        <w:t>A Natural History of Human Morality</w:t>
      </w:r>
      <w:r w:rsidRPr="001D400C">
        <w:rPr>
          <w:lang w:val="en-US"/>
        </w:rPr>
        <w:t xml:space="preserve">. </w:t>
      </w:r>
      <w:r w:rsidRPr="001D400C">
        <w:rPr>
          <w:i/>
          <w:iCs/>
          <w:lang w:val="en-US"/>
        </w:rPr>
        <w:t>A Natural History of Human Morality</w:t>
      </w:r>
      <w:r w:rsidRPr="001D400C">
        <w:rPr>
          <w:lang w:val="en-US"/>
        </w:rPr>
        <w:t>. Harvard University Press. https://doi.org/10.4159/9780674915855.</w:t>
      </w:r>
    </w:p>
    <w:p w14:paraId="57109606" w14:textId="77777777" w:rsidR="001D400C" w:rsidRPr="001D400C" w:rsidRDefault="001D400C">
      <w:pPr>
        <w:widowControl w:val="0"/>
        <w:autoSpaceDE w:val="0"/>
        <w:autoSpaceDN w:val="0"/>
        <w:adjustRightInd w:val="0"/>
        <w:rPr>
          <w:lang w:val="en-US"/>
        </w:rPr>
      </w:pPr>
      <w:r w:rsidRPr="001D400C">
        <w:rPr>
          <w:lang w:val="en-US"/>
        </w:rPr>
        <w:t xml:space="preserve">———. 2020. ‘The Ontogenetic Foundations of Epistemic Norms’. </w:t>
      </w:r>
      <w:r w:rsidRPr="001D400C">
        <w:rPr>
          <w:i/>
          <w:iCs/>
          <w:lang w:val="en-US"/>
        </w:rPr>
        <w:t>Episteme</w:t>
      </w:r>
      <w:r w:rsidRPr="001D400C">
        <w:rPr>
          <w:lang w:val="en-US"/>
        </w:rPr>
        <w:t xml:space="preserve"> 17 (3): 301–15. https://doi.org/10.1017/epi.2019.50.</w:t>
      </w:r>
    </w:p>
    <w:p w14:paraId="3258425E" w14:textId="77777777" w:rsidR="001D400C" w:rsidRPr="001D400C" w:rsidRDefault="001D400C">
      <w:pPr>
        <w:widowControl w:val="0"/>
        <w:autoSpaceDE w:val="0"/>
        <w:autoSpaceDN w:val="0"/>
        <w:adjustRightInd w:val="0"/>
        <w:rPr>
          <w:lang w:val="en-US"/>
        </w:rPr>
      </w:pPr>
      <w:r w:rsidRPr="001D400C">
        <w:rPr>
          <w:lang w:val="en-US"/>
        </w:rPr>
        <w:t xml:space="preserve">Tomasello, Michael, Alicia P. Melis, Claudio Tennie, Emily Wyman, and Esther Herrmann. 2012. ‘Two Key Steps in the Evolution of Human Cooperation: The Interdependence Hypothesis’. </w:t>
      </w:r>
      <w:r w:rsidRPr="001D400C">
        <w:rPr>
          <w:i/>
          <w:iCs/>
          <w:lang w:val="en-US"/>
        </w:rPr>
        <w:t>Current Anthropology</w:t>
      </w:r>
      <w:r w:rsidRPr="001D400C">
        <w:rPr>
          <w:lang w:val="en-US"/>
        </w:rPr>
        <w:t xml:space="preserve"> 53 (6): 673–92. https://doi.org/10.1086/668207.</w:t>
      </w:r>
    </w:p>
    <w:p w14:paraId="7EF6CFFC" w14:textId="77777777" w:rsidR="001D400C" w:rsidRPr="001D400C" w:rsidRDefault="001D400C">
      <w:pPr>
        <w:widowControl w:val="0"/>
        <w:autoSpaceDE w:val="0"/>
        <w:autoSpaceDN w:val="0"/>
        <w:adjustRightInd w:val="0"/>
        <w:rPr>
          <w:lang w:val="en-US"/>
        </w:rPr>
      </w:pPr>
      <w:r w:rsidRPr="001D400C">
        <w:rPr>
          <w:lang w:val="en-US"/>
        </w:rPr>
        <w:t xml:space="preserve">Westra, Evan, and Kristin Andrews. 2021a. ‘If Skill is Normative, Then Norms are Everywhere’. </w:t>
      </w:r>
      <w:r w:rsidRPr="001D400C">
        <w:rPr>
          <w:i/>
          <w:iCs/>
          <w:lang w:val="en-US"/>
        </w:rPr>
        <w:t>Analyse &amp; Kritik</w:t>
      </w:r>
      <w:r w:rsidRPr="001D400C">
        <w:rPr>
          <w:lang w:val="en-US"/>
        </w:rPr>
        <w:t xml:space="preserve"> 43 (1): 203–18. https://doi.org/10.1515/auk-2021-0011.</w:t>
      </w:r>
    </w:p>
    <w:p w14:paraId="5D95ED75" w14:textId="77777777" w:rsidR="001D400C" w:rsidRPr="001D400C" w:rsidRDefault="001D400C">
      <w:pPr>
        <w:widowControl w:val="0"/>
        <w:autoSpaceDE w:val="0"/>
        <w:autoSpaceDN w:val="0"/>
        <w:adjustRightInd w:val="0"/>
        <w:rPr>
          <w:lang w:val="en-US"/>
        </w:rPr>
      </w:pPr>
      <w:r w:rsidRPr="001D400C">
        <w:rPr>
          <w:lang w:val="en-US"/>
        </w:rPr>
        <w:t>———. 2021b. ‘A Pluralistic Framework for the Psychology of Norms’. PsyArXiv. https://doi.org/10.31234/osf.io/aqv8c.</w:t>
      </w:r>
    </w:p>
    <w:p w14:paraId="5BC38588" w14:textId="77777777" w:rsidR="001D400C" w:rsidRPr="001D400C" w:rsidRDefault="001D400C">
      <w:pPr>
        <w:widowControl w:val="0"/>
        <w:autoSpaceDE w:val="0"/>
        <w:autoSpaceDN w:val="0"/>
        <w:adjustRightInd w:val="0"/>
        <w:rPr>
          <w:lang w:val="en-US"/>
        </w:rPr>
      </w:pPr>
      <w:r w:rsidRPr="001D400C">
        <w:rPr>
          <w:lang w:val="en-US"/>
        </w:rPr>
        <w:t xml:space="preserve">Wietmarschen, Han van. 2021. ‘Attitudinal Social Norms’. </w:t>
      </w:r>
      <w:r w:rsidRPr="001D400C">
        <w:rPr>
          <w:i/>
          <w:iCs/>
          <w:lang w:val="en-US"/>
        </w:rPr>
        <w:t>Analysis</w:t>
      </w:r>
      <w:r w:rsidRPr="001D400C">
        <w:rPr>
          <w:lang w:val="en-US"/>
        </w:rPr>
        <w:t xml:space="preserve"> 81 (1): 71–79. https://doi.org/10.1093/analys/anaa038.</w:t>
      </w:r>
    </w:p>
    <w:p w14:paraId="76E69F0D" w14:textId="77777777" w:rsidR="001D400C" w:rsidRPr="001D400C" w:rsidRDefault="001D400C">
      <w:pPr>
        <w:widowControl w:val="0"/>
        <w:autoSpaceDE w:val="0"/>
        <w:autoSpaceDN w:val="0"/>
        <w:adjustRightInd w:val="0"/>
        <w:rPr>
          <w:lang w:val="en-US"/>
        </w:rPr>
      </w:pPr>
      <w:r w:rsidRPr="001D400C">
        <w:rPr>
          <w:lang w:val="en-US"/>
        </w:rPr>
        <w:t xml:space="preserve">Williamson, T., and J. Stanley. 2016. ‘Knowing How’. </w:t>
      </w:r>
      <w:r w:rsidRPr="001D400C">
        <w:rPr>
          <w:i/>
          <w:iCs/>
          <w:lang w:val="en-US"/>
        </w:rPr>
        <w:t>Journal of Philosophy</w:t>
      </w:r>
      <w:r w:rsidRPr="001D400C">
        <w:rPr>
          <w:lang w:val="en-US"/>
        </w:rPr>
        <w:t xml:space="preserve"> 98 (8). https://ora.ox.ac.uk/objects/uuid:1fcf732b-731b-47e6-943d-aaf34905c02a.</w:t>
      </w:r>
    </w:p>
    <w:p w14:paraId="08709E1A" w14:textId="77777777" w:rsidR="001D400C" w:rsidRPr="001D400C" w:rsidRDefault="001D400C">
      <w:pPr>
        <w:widowControl w:val="0"/>
        <w:autoSpaceDE w:val="0"/>
        <w:autoSpaceDN w:val="0"/>
        <w:adjustRightInd w:val="0"/>
        <w:rPr>
          <w:lang w:val="de-DE"/>
        </w:rPr>
      </w:pPr>
      <w:r w:rsidRPr="001D400C">
        <w:rPr>
          <w:lang w:val="en-US"/>
        </w:rPr>
        <w:t xml:space="preserve">Young, H. P. 1998. ‘Individual Strategy and Social Structure: An Evolutionary Theory of Institutions. </w:t>
      </w:r>
      <w:r w:rsidRPr="001D400C">
        <w:rPr>
          <w:lang w:val="de-DE"/>
        </w:rPr>
        <w:t>Princeton: Princeton Univ. Press. 208 p.’</w:t>
      </w:r>
    </w:p>
    <w:p w14:paraId="4E4D8AF9" w14:textId="67E6DB5F" w:rsidR="007A3512" w:rsidRPr="009B1F4E" w:rsidRDefault="004D0E12" w:rsidP="009115FC">
      <w:pPr>
        <w:spacing w:line="360" w:lineRule="auto"/>
        <w:jc w:val="both"/>
        <w:rPr>
          <w:rFonts w:ascii="Garamond" w:hAnsi="Garamond" w:cs="Calibri"/>
          <w:color w:val="000000" w:themeColor="text1"/>
          <w:lang w:val="en-US"/>
        </w:rPr>
      </w:pPr>
      <w:r w:rsidRPr="009B1F4E">
        <w:rPr>
          <w:rFonts w:ascii="Garamond" w:hAnsi="Garamond" w:cs="Calibri"/>
          <w:color w:val="000000" w:themeColor="text1"/>
          <w:lang w:val="en-US"/>
        </w:rPr>
        <w:fldChar w:fldCharType="end"/>
      </w:r>
    </w:p>
    <w:sectPr w:rsidR="007A3512" w:rsidRPr="009B1F4E" w:rsidSect="005D6A4B">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A8C6" w14:textId="77777777" w:rsidR="005D6A4B" w:rsidRDefault="005D6A4B" w:rsidP="009A4AF5">
      <w:r>
        <w:separator/>
      </w:r>
    </w:p>
  </w:endnote>
  <w:endnote w:type="continuationSeparator" w:id="0">
    <w:p w14:paraId="27B9F3BB" w14:textId="77777777" w:rsidR="005D6A4B" w:rsidRDefault="005D6A4B" w:rsidP="009A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30549918"/>
      <w:docPartObj>
        <w:docPartGallery w:val="Page Numbers (Bottom of Page)"/>
        <w:docPartUnique/>
      </w:docPartObj>
    </w:sdtPr>
    <w:sdtContent>
      <w:p w14:paraId="0EBF2F33" w14:textId="3F58CDAB" w:rsidR="009A4AF5" w:rsidRDefault="009A4AF5" w:rsidP="00CC654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286217B" w14:textId="77777777" w:rsidR="009A4AF5" w:rsidRDefault="009A4A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83746"/>
      <w:docPartObj>
        <w:docPartGallery w:val="Page Numbers (Bottom of Page)"/>
        <w:docPartUnique/>
      </w:docPartObj>
    </w:sdtPr>
    <w:sdtContent>
      <w:p w14:paraId="2484E217" w14:textId="1D641DF6" w:rsidR="009A4AF5" w:rsidRDefault="009A4AF5" w:rsidP="00CC654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BFEAECD" w14:textId="77777777" w:rsidR="009A4AF5" w:rsidRDefault="009A4A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46B2" w14:textId="77777777" w:rsidR="005D6A4B" w:rsidRDefault="005D6A4B" w:rsidP="009A4AF5">
      <w:r>
        <w:separator/>
      </w:r>
    </w:p>
  </w:footnote>
  <w:footnote w:type="continuationSeparator" w:id="0">
    <w:p w14:paraId="4B04F2D4" w14:textId="77777777" w:rsidR="005D6A4B" w:rsidRDefault="005D6A4B" w:rsidP="009A4AF5">
      <w:r>
        <w:continuationSeparator/>
      </w:r>
    </w:p>
  </w:footnote>
  <w:footnote w:id="1">
    <w:p w14:paraId="4B87301B" w14:textId="6641A8C5" w:rsidR="009A4AF5" w:rsidRPr="009B1F4E" w:rsidRDefault="009A4AF5" w:rsidP="009A1E73">
      <w:pPr>
        <w:pStyle w:val="Funotentext"/>
        <w:jc w:val="both"/>
        <w:rPr>
          <w:rFonts w:ascii="Garamond" w:hAnsi="Garamond" w:cs="Calibri"/>
          <w:color w:val="000000" w:themeColor="text1"/>
        </w:rPr>
      </w:pPr>
      <w:r w:rsidRPr="009B1F4E">
        <w:rPr>
          <w:rStyle w:val="Funotenzeichen"/>
          <w:rFonts w:ascii="Garamond" w:hAnsi="Garamond" w:cs="Calibri"/>
          <w:color w:val="000000" w:themeColor="text1"/>
        </w:rPr>
        <w:footnoteRef/>
      </w:r>
      <w:r w:rsidRPr="009B1F4E">
        <w:rPr>
          <w:rFonts w:ascii="Garamond" w:hAnsi="Garamond" w:cs="Calibri"/>
          <w:color w:val="000000" w:themeColor="text1"/>
        </w:rPr>
        <w:t xml:space="preserve"> A caveat on this: Whilst the notion of social norm</w:t>
      </w:r>
      <w:r w:rsidR="00816711" w:rsidRPr="009B1F4E">
        <w:rPr>
          <w:rFonts w:ascii="Garamond" w:hAnsi="Garamond" w:cs="Calibri"/>
          <w:color w:val="000000" w:themeColor="text1"/>
        </w:rPr>
        <w:t>s</w:t>
      </w:r>
      <w:r w:rsidRPr="009B1F4E">
        <w:rPr>
          <w:rFonts w:ascii="Garamond" w:hAnsi="Garamond" w:cs="Calibri"/>
          <w:color w:val="000000" w:themeColor="text1"/>
        </w:rPr>
        <w:t xml:space="preserve"> that I employ is largely psychologically neutral, I do require that </w:t>
      </w:r>
      <w:r w:rsidR="001D400C">
        <w:rPr>
          <w:rFonts w:ascii="Garamond" w:hAnsi="Garamond" w:cs="Calibri"/>
          <w:color w:val="000000" w:themeColor="text1"/>
        </w:rPr>
        <w:t xml:space="preserve">social norms are </w:t>
      </w:r>
      <w:r w:rsidRPr="009B1F4E">
        <w:rPr>
          <w:rFonts w:ascii="Garamond" w:hAnsi="Garamond" w:cs="Calibri"/>
          <w:color w:val="000000" w:themeColor="text1"/>
        </w:rPr>
        <w:t xml:space="preserve">able to guide agents in their behaviour and that </w:t>
      </w:r>
      <w:r w:rsidR="001D400C">
        <w:rPr>
          <w:rFonts w:ascii="Garamond" w:hAnsi="Garamond" w:cs="Calibri"/>
          <w:color w:val="000000" w:themeColor="text1"/>
        </w:rPr>
        <w:t>they</w:t>
      </w:r>
      <w:r w:rsidRPr="009B1F4E">
        <w:rPr>
          <w:rFonts w:ascii="Garamond" w:hAnsi="Garamond" w:cs="Calibri"/>
          <w:color w:val="000000" w:themeColor="text1"/>
        </w:rPr>
        <w:t xml:space="preserve"> do so, at least in part, by specifying which behaviours are appropriate, permissible, or obligatory. Plausibly, this means that these norms (or their content) must be represented by or encoded in the agent’s cognitive architecture. I remain neutral </w:t>
      </w:r>
      <w:r w:rsidR="00816711" w:rsidRPr="009B1F4E">
        <w:rPr>
          <w:rFonts w:ascii="Garamond" w:hAnsi="Garamond" w:cs="Calibri"/>
          <w:color w:val="000000" w:themeColor="text1"/>
        </w:rPr>
        <w:t>about</w:t>
      </w:r>
      <w:r w:rsidRPr="009B1F4E">
        <w:rPr>
          <w:rFonts w:ascii="Garamond" w:hAnsi="Garamond" w:cs="Calibri"/>
          <w:color w:val="000000" w:themeColor="text1"/>
        </w:rPr>
        <w:t xml:space="preserve"> how this is to take place. </w:t>
      </w:r>
    </w:p>
  </w:footnote>
  <w:footnote w:id="2">
    <w:p w14:paraId="1C4D5B0C" w14:textId="07CB2555" w:rsidR="009A4AF5" w:rsidRPr="009B1F4E" w:rsidRDefault="009A4AF5" w:rsidP="009A1E73">
      <w:pPr>
        <w:pStyle w:val="Funotentext"/>
        <w:jc w:val="both"/>
        <w:rPr>
          <w:rFonts w:ascii="Garamond" w:hAnsi="Garamond" w:cs="Calibri"/>
          <w:color w:val="000000" w:themeColor="text1"/>
        </w:rPr>
      </w:pPr>
      <w:r w:rsidRPr="009B1F4E">
        <w:rPr>
          <w:rStyle w:val="Funotenzeichen"/>
          <w:rFonts w:ascii="Garamond" w:hAnsi="Garamond" w:cs="Calibri"/>
          <w:color w:val="000000" w:themeColor="text1"/>
        </w:rPr>
        <w:footnoteRef/>
      </w:r>
      <w:r w:rsidRPr="009B1F4E">
        <w:rPr>
          <w:rFonts w:ascii="Garamond" w:hAnsi="Garamond" w:cs="Calibri"/>
          <w:color w:val="000000" w:themeColor="text1"/>
        </w:rPr>
        <w:t xml:space="preserve"> Several contemporary accounts of the evolution of socially normative phenomena focus on normative </w:t>
      </w:r>
      <w:r w:rsidRPr="009B1F4E">
        <w:rPr>
          <w:rFonts w:ascii="Garamond" w:hAnsi="Garamond" w:cs="Calibri"/>
          <w:i/>
          <w:iCs/>
          <w:color w:val="000000" w:themeColor="text1"/>
        </w:rPr>
        <w:t>cognition</w:t>
      </w:r>
      <w:r w:rsidRPr="009B1F4E">
        <w:rPr>
          <w:rFonts w:ascii="Garamond" w:hAnsi="Garamond" w:cs="Calibri"/>
          <w:color w:val="000000" w:themeColor="text1"/>
        </w:rPr>
        <w:t xml:space="preserve"> rather than social norms per se </w:t>
      </w:r>
      <w:r w:rsidRPr="009B1F4E">
        <w:rPr>
          <w:rFonts w:ascii="Garamond" w:hAnsi="Garamond" w:cs="Calibri"/>
          <w:color w:val="000000" w:themeColor="text1"/>
        </w:rPr>
        <w:fldChar w:fldCharType="begin"/>
      </w:r>
      <w:r w:rsidR="001D400C">
        <w:rPr>
          <w:rFonts w:ascii="Garamond" w:hAnsi="Garamond" w:cs="Calibri"/>
          <w:color w:val="000000" w:themeColor="text1"/>
        </w:rPr>
        <w:instrText xml:space="preserve"> ADDIN ZOTERO_ITEM CSL_CITATION {"citationID":"mmaYvb2B","properties":{"formattedCitation":"(e.g. Sripada and Stich 2006; Birch 2021a; Heyes 2022)","plainCitation":"(e.g. Sripada and Stich 2006; Birch 2021a; Heyes 2022)","noteIndex":2},"citationItems":[{"id":1054,"uris":["http://zotero.org/users/local/jz7T3Opo/items/VWHJ7GHV"],"itemData":{"id":1054,"type":"chapter","container-title":"The Innate Mind, Volume 2: Culture and Cognition","page":"280-301","publisher":"Oxford University Press","title":"A Framework for the Psychology of Norms","author":[{"family":"Sripada","given":"Chandra Sekhar"},{"family":"Stich","given":"Stephen"}],"editor":[{"family":"Carruthers","given":"Peter"},{"family":"Laurence","given":"Stephen"},{"family":"Stich","given":"Stephen"}],"issued":{"date-parts":[["2006"]]}},"label":"page","prefix":"e.g."},{"id":505,"uris":["http://zotero.org/users/local/jz7T3Opo/items/V2YJ9ATX"],"itemData":{"id":505,"type":"article-journal","abstract":"We are all guided by thousands of norms, but how did our capacity for normative cognition evolve? I propose there is a deep but neglected link between normative cognition and practical skill. In modern humans, complex motor skills and craft skills, such as toolmaking, are guided by internally represented norms of correct performance. Moreover, it is plausible that core components of human normative cognition evolved as a solution to the distinctive problems of transmitting complex motor skills and craft skills, especially skills related to toolmaking, through social learning. If this is correct, the expansion of the normative domain beyond technique to encompass more abstract norms of fairness, reciprocity, ritual and kinship involved the elaboration of a basic platform for the guidance of skilled action by technical norms. This article motivates and defends this “skill hypothesis” for the origin of normative cognition and sets out various ways in which it could be empirically tested.","container-title":"Biology &amp; Philosophy","DOI":"10.1007/s10539-020-09777-9","ISSN":"0169-3867, 1572-8404","issue":"1","journalAbbreviation":"Biol Philos","language":"en","page":"4","source":"DOI.org (Crossref)","title":"Toolmaking and the evolution of normative cognition","volume":"36","author":[{"family":"Birch","given":"Jonathan"}],"issued":{"date-parts":[["2021",2]]}}},{"id":1063,"uris":["http://zotero.org/users/local/jz7T3Opo/items/DK6S4CSP"],"itemData":{"id":1063,"type":"article-journal","source":"Google Scholar","title":"RETHINKING NORM PSYCHOLOGY","author":[{"family":"Heyes","given":"Cecilia"}],"issued":{"date-parts":[["2022"]]}}}],"schema":"https://github.com/citation-style-language/schema/raw/master/csl-citation.json"} </w:instrText>
      </w:r>
      <w:r w:rsidRPr="009B1F4E">
        <w:rPr>
          <w:rFonts w:ascii="Garamond" w:hAnsi="Garamond" w:cs="Calibri"/>
          <w:color w:val="000000" w:themeColor="text1"/>
        </w:rPr>
        <w:fldChar w:fldCharType="separate"/>
      </w:r>
      <w:r w:rsidR="001D400C">
        <w:rPr>
          <w:rFonts w:ascii="Garamond" w:hAnsi="Garamond" w:cs="Calibri"/>
          <w:noProof/>
          <w:color w:val="000000" w:themeColor="text1"/>
        </w:rPr>
        <w:t>(e.g. Sripada and Stich 2006; Birch 2021a; Heyes 2022)</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I prefer to use the notion of “social norms”, not least because what does and doesn’t count as “normative cognition” is heavily influenced by what kind of social norm this sort of cognition is thought to be aimed at. </w:t>
      </w:r>
    </w:p>
  </w:footnote>
  <w:footnote w:id="3">
    <w:p w14:paraId="2607DBD3" w14:textId="51582097" w:rsidR="009F56D2" w:rsidRPr="009B1F4E" w:rsidRDefault="009F56D2" w:rsidP="009F56D2">
      <w:pPr>
        <w:pStyle w:val="Funotentext"/>
        <w:jc w:val="both"/>
        <w:rPr>
          <w:rFonts w:ascii="Garamond" w:hAnsi="Garamond"/>
          <w:color w:val="000000" w:themeColor="text1"/>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Cooperation-norms are also often taken to be helpful because they disambiguate social interactions, i.e.</w:t>
      </w:r>
      <w:r w:rsidR="003855B9" w:rsidRPr="009B1F4E">
        <w:rPr>
          <w:rFonts w:ascii="Garamond" w:hAnsi="Garamond"/>
          <w:color w:val="000000" w:themeColor="text1"/>
        </w:rPr>
        <w:t>,</w:t>
      </w:r>
      <w:r w:rsidRPr="009B1F4E">
        <w:rPr>
          <w:rFonts w:ascii="Garamond" w:hAnsi="Garamond"/>
          <w:color w:val="000000" w:themeColor="text1"/>
        </w:rPr>
        <w:t xml:space="preserve"> they help define what counts as cooperating, as well as eliciting motivation for third-party sanctioning </w:t>
      </w:r>
      <w:r w:rsidRPr="009B1F4E">
        <w:rPr>
          <w:rFonts w:ascii="Garamond" w:hAnsi="Garamond"/>
          <w:color w:val="000000" w:themeColor="text1"/>
        </w:rPr>
        <w:fldChar w:fldCharType="begin"/>
      </w:r>
      <w:r w:rsidR="009B1F4E">
        <w:rPr>
          <w:rFonts w:ascii="Garamond" w:hAnsi="Garamond"/>
          <w:color w:val="000000" w:themeColor="text1"/>
        </w:rPr>
        <w:instrText xml:space="preserve"> ADDIN ZOTERO_ITEM CSL_CITATION {"citationID":"Y0fUluvz","properties":{"formattedCitation":"(see, e.g., Richerson and Boyd 2008; Sterelny 2021b)","plainCitation":"(see, e.g., Richerson and Boyd 2008; Sterelny 2021b)","noteIndex":3},"citationItems":[{"id":1041,"uris":["http://zotero.org/users/local/jz7T3Opo/items/9A58XXAZ"],"itemData":{"id":1041,"type":"book","abstract":"Humans are a striking anomaly in the natural world. While we are similar to other mammals in many ways, our behavior sets us apart. Our unparalleled ability to adapt has allowed us to occupy virtually every habitat on earth using an incredible variety of tools and subsistence techniques. Our societies are larger, more complex, and more cooperative than any other mammal's. In this stunning exploration of human adaptation, Peter J. Richerson and Robert Boyd argue that only a Darwinian theory of cultural evolution can explain these unique characteristics.  Not by Genes Alone offers a radical interpretation of human evolution, arguing that our ecological dominance and our singular social systems stem from a psychology uniquely adapted to create complex culture. Richerson and Boyd illustrate here that culture is neither superorganic nor the handmaiden of the genes. Rather, it is essential to human adaptation, as much a part of human biology as bipedal locomotion. Drawing on work in the fields of anthropology, political science, sociology, and economics—and building their case with such fascinating examples as kayaks, corporations, clever knots, and yams that require twelve men to carry them—Richerson and Boyd convincingly demonstrate that culture and biology are inextricably linked, and they show us how to think about their interaction in a way that yields a richer understanding of human nature.  In abandoning the nature-versus-nurture debate as fundamentally misconceived, Not by Genes Alone is a truly original and groundbreaking theory of the role of culture in evolution and a book to be reckoned with for generations to come.  “I continue to be surprised by the number of educated people (many of them biologists) who think that offering explanations for human behavior in terms of culture somehow disproves the suggestion that human behavior can be explained in Darwinian evolutionary terms. Fortunately, we now have a book to which they may be directed for enlightenment . . . . It is a book full of good sense and the kinds of intellectual rigor and clarity of writing that we have come to expect from the Boyd/Richerson stable.”—Robin Dunbar, Nature  “Not by Genes Alone is a valuable and very readable synthesis of a still embryonic but very important subject straddling the sciences and humanities.”—E. O. Wilson, Harvard University","ISBN":"978-0-226-71213-0","language":"en","number-of-pages":"343","publisher":"University of Chicago Press","source":"Google Books","title":"Not By Genes Alone: How Culture Transformed Human Evolution","title-short":"Not By Genes Alone","author":[{"family":"Richerson","given":"Peter J."},{"family":"Boyd","given":"Robert"}],"issued":{"date-parts":[["2008",6,20]]}},"label":"page","prefix":"see, e.g., "},{"id":789,"uris":["http://zotero.org/users/local/jz7T3Opo/items/GATH6MTZ"],"itemData":{"id":789,"type":"book","abstract":"Kim Sterelny here builds on his original account of the evolutionary development and interaction of human culture and cooperation, which he first presented in The Evolved Apprentice (2012). Sterelny sees human evolution not as hinging on a single key innovation, but as emerging from a positive feedback loop caused by smaller divergences from other great apes, including bipedal locomotion, better causal and social reasoning, reproductive cooperation, and changes in diet and foraging style. He advances this argument in The Pleistocene Social Contract with four key claims about cooperation, culture, and their interaction in human evolution. First, he proposes a new model of the evolution of human cooperation. He suggests human cooperation began from a baseline that was probably similar to that of great apes, advancing about 1.8 million years ago to an initial phase of cooperative forging, in small mobile bands. Second, he then presents a novel account of the change in evolutionary dynamics of cooperation: from cooperation profits based on collective action and mutualism, to profits based on direct and indirect reciprocation over the course of the Pleistocene. Third, he addresses the question of normative regulation, or moral norms, for band-scale cooperation, and connects it to the stabilization of indirect reciprocation as a central aspect of forager cooperation. Fourth, he develops an account of the emergence of inequality that links inequality to intermediate levels of conflict and cooperation: a final phase of cooperation in largescale, hierarchical societies in the Holocene, beginning about 12,000 years ago. The Pleistocene Social Contract combines philosophy of biology with a reading of the archaeological and ethnographic record to present a new model of the evolution of human cooperation, cultural learning, and inequality.","event-place":"Oxford, New York","ISBN":"978-0-19-753138-9","number-of-pages":"200","publisher":"Oxford University Press","publisher-place":"Oxford, New York","source":"Oxford University Press","title":"The Pleistocene Social Contract: Culture and Cooperation in Human Evolution","title-short":"The Pleistocene Social Contract","author":[{"family":"Sterelny","given":"Kim"}],"issued":{"date-parts":[["2021",9,16]]}}}],"schema":"https://github.com/citation-style-language/schema/raw/master/csl-citation.json"} </w:instrText>
      </w:r>
      <w:r w:rsidRPr="009B1F4E">
        <w:rPr>
          <w:rFonts w:ascii="Garamond" w:hAnsi="Garamond"/>
          <w:color w:val="000000" w:themeColor="text1"/>
        </w:rPr>
        <w:fldChar w:fldCharType="separate"/>
      </w:r>
      <w:r w:rsidR="009B1F4E">
        <w:rPr>
          <w:rFonts w:ascii="Garamond" w:hAnsi="Garamond"/>
          <w:noProof/>
          <w:color w:val="000000" w:themeColor="text1"/>
        </w:rPr>
        <w:t>(see, e.g., Richerson and Boyd 2008; Sterelny 2021b)</w:t>
      </w:r>
      <w:r w:rsidRPr="009B1F4E">
        <w:rPr>
          <w:rFonts w:ascii="Garamond" w:hAnsi="Garamond"/>
          <w:color w:val="000000" w:themeColor="text1"/>
        </w:rPr>
        <w:fldChar w:fldCharType="end"/>
      </w:r>
    </w:p>
  </w:footnote>
  <w:footnote w:id="4">
    <w:p w14:paraId="05381C38" w14:textId="2EED113A" w:rsidR="00FE5DD6" w:rsidRPr="009B1F4E" w:rsidRDefault="00FE5DD6" w:rsidP="009A1E73">
      <w:pPr>
        <w:pStyle w:val="Funotentext"/>
        <w:jc w:val="both"/>
        <w:rPr>
          <w:rFonts w:ascii="Garamond" w:hAnsi="Garamond" w:cs="Calibri"/>
          <w:color w:val="000000" w:themeColor="text1"/>
          <w:lang w:val="en-US"/>
        </w:rPr>
      </w:pPr>
      <w:r w:rsidRPr="009B1F4E">
        <w:rPr>
          <w:rStyle w:val="Funotenzeichen"/>
          <w:rFonts w:ascii="Garamond" w:hAnsi="Garamond" w:cs="Calibri"/>
          <w:color w:val="000000" w:themeColor="text1"/>
        </w:rPr>
        <w:footnoteRef/>
      </w:r>
      <w:r w:rsidRPr="009B1F4E">
        <w:rPr>
          <w:rFonts w:ascii="Garamond" w:hAnsi="Garamond" w:cs="Calibri"/>
          <w:color w:val="000000" w:themeColor="text1"/>
        </w:rPr>
        <w:t xml:space="preserve"> </w:t>
      </w:r>
      <w:r w:rsidRPr="009B1F4E">
        <w:rPr>
          <w:rFonts w:ascii="Garamond" w:hAnsi="Garamond" w:cs="Calibri"/>
          <w:color w:val="000000" w:themeColor="text1"/>
          <w:lang w:val="en-US"/>
        </w:rPr>
        <w:t xml:space="preserve">Coordination norms are roughly similar to what Bicchieri </w:t>
      </w:r>
      <w:r w:rsidRPr="009B1F4E">
        <w:rPr>
          <w:rFonts w:ascii="Garamond" w:hAnsi="Garamond" w:cs="Calibri"/>
          <w:color w:val="000000" w:themeColor="text1"/>
          <w:lang w:val="en-US"/>
        </w:rPr>
        <w:fldChar w:fldCharType="begin"/>
      </w:r>
      <w:r w:rsidR="009F56D2" w:rsidRPr="009B1F4E">
        <w:rPr>
          <w:rFonts w:ascii="Garamond" w:hAnsi="Garamond" w:cs="Calibri"/>
          <w:color w:val="000000" w:themeColor="text1"/>
          <w:lang w:val="en-US"/>
        </w:rPr>
        <w:instrText xml:space="preserve"> ADDIN ZOTERO_ITEM CSL_CITATION {"citationID":"Uh0KCxB2","properties":{"formattedCitation":"(see Bicchieri 2005, chap. 1)","plainCitation":"(see Bicchieri 2005, chap. 1)","noteIndex":4},"citationItems":[{"id":334,"uris":["http://zotero.org/users/local/jz7T3Opo/items/BUBTI4E3"],"itemData":{"id":334,"type":"article-journal","language":"en","page":"278","source":"Zotero","title":"The Grammar of Society: The Nature and Dynamics of Social Norms","author":[{"family":"Bicchieri","given":"Cristina"}],"issued":{"date-parts":[["2005"]]}},"locator":"1","label":"chapter","prefix":"see"}],"schema":"https://github.com/citation-style-language/schema/raw/master/csl-citation.json"} </w:instrText>
      </w:r>
      <w:r w:rsidRPr="009B1F4E">
        <w:rPr>
          <w:rFonts w:ascii="Garamond" w:hAnsi="Garamond" w:cs="Calibri"/>
          <w:color w:val="000000" w:themeColor="text1"/>
          <w:lang w:val="en-US"/>
        </w:rPr>
        <w:fldChar w:fldCharType="separate"/>
      </w:r>
      <w:r w:rsidRPr="009B1F4E">
        <w:rPr>
          <w:rFonts w:ascii="Garamond" w:hAnsi="Garamond" w:cs="Calibri"/>
          <w:noProof/>
          <w:color w:val="000000" w:themeColor="text1"/>
          <w:lang w:val="en-US"/>
        </w:rPr>
        <w:t>(see Bicchieri 2005, chap. 1)</w:t>
      </w:r>
      <w:r w:rsidRPr="009B1F4E">
        <w:rPr>
          <w:rFonts w:ascii="Garamond" w:hAnsi="Garamond" w:cs="Calibri"/>
          <w:color w:val="000000" w:themeColor="text1"/>
          <w:lang w:val="en-US"/>
        </w:rPr>
        <w:fldChar w:fldCharType="end"/>
      </w:r>
      <w:r w:rsidRPr="009B1F4E">
        <w:rPr>
          <w:rFonts w:ascii="Garamond" w:hAnsi="Garamond" w:cs="Calibri"/>
          <w:color w:val="000000" w:themeColor="text1"/>
          <w:lang w:val="en-US"/>
        </w:rPr>
        <w:t xml:space="preserve"> calls descriptive norms and to what Lewis </w:t>
      </w:r>
      <w:r w:rsidRPr="009B1F4E">
        <w:rPr>
          <w:rFonts w:ascii="Garamond" w:hAnsi="Garamond" w:cs="Calibri"/>
          <w:color w:val="000000" w:themeColor="text1"/>
          <w:lang w:val="en-US"/>
        </w:rPr>
        <w:fldChar w:fldCharType="begin"/>
      </w:r>
      <w:r w:rsidR="009F56D2" w:rsidRPr="009B1F4E">
        <w:rPr>
          <w:rFonts w:ascii="Garamond" w:hAnsi="Garamond" w:cs="Calibri"/>
          <w:color w:val="000000" w:themeColor="text1"/>
          <w:lang w:val="en-US"/>
        </w:rPr>
        <w:instrText xml:space="preserve"> ADDIN ZOTERO_ITEM CSL_CITATION {"citationID":"rpx4rQvp","properties":{"formattedCitation":"(1969)","plainCitation":"(1969)","noteIndex":4},"citationItems":[{"id":910,"uris":["http://zotero.org/users/local/jz7T3Opo/items/3RAGAWE4"],"itemData":{"id":910,"type":"book","abstract":"Convention was immediately recognized as a major contribution to the subject and its significance has remained undiminished since its first publication in 1969. Lewis analyzes social conventions as regularities in the resolution of recurring coordination problems-situations characterized by interdependent decision processes in which common interests are at stake. Conventions are contrasted with other kinds of regularity, and conventions governing systems of communication are given special attention.","ISBN":"978-0-470-69296-7","language":"en","note":"Google-Books-ID: GgCkLtTqBsMC","number-of-pages":"229","publisher":"John Wiley &amp; Sons","source":"Google Books","title":"Convention: A Philosophical Study","title-short":"Convention","author":[{"family":"Lewis","given":"David"}],"issued":{"date-parts":[["1969"]]}},"suppress-author":true}],"schema":"https://github.com/citation-style-language/schema/raw/master/csl-citation.json"} </w:instrText>
      </w:r>
      <w:r w:rsidRPr="009B1F4E">
        <w:rPr>
          <w:rFonts w:ascii="Garamond" w:hAnsi="Garamond" w:cs="Calibri"/>
          <w:color w:val="000000" w:themeColor="text1"/>
          <w:lang w:val="en-US"/>
        </w:rPr>
        <w:fldChar w:fldCharType="separate"/>
      </w:r>
      <w:r w:rsidRPr="009B1F4E">
        <w:rPr>
          <w:rFonts w:ascii="Garamond" w:hAnsi="Garamond" w:cs="Calibri"/>
          <w:noProof/>
          <w:color w:val="000000" w:themeColor="text1"/>
          <w:lang w:val="en-US"/>
        </w:rPr>
        <w:t>(1969)</w:t>
      </w:r>
      <w:r w:rsidRPr="009B1F4E">
        <w:rPr>
          <w:rFonts w:ascii="Garamond" w:hAnsi="Garamond" w:cs="Calibri"/>
          <w:color w:val="000000" w:themeColor="text1"/>
          <w:lang w:val="en-US"/>
        </w:rPr>
        <w:fldChar w:fldCharType="end"/>
      </w:r>
      <w:r w:rsidRPr="009B1F4E">
        <w:rPr>
          <w:rFonts w:ascii="Garamond" w:hAnsi="Garamond" w:cs="Calibri"/>
          <w:color w:val="000000" w:themeColor="text1"/>
          <w:lang w:val="en-US"/>
        </w:rPr>
        <w:t xml:space="preserve"> calls ‘conventions’. The differences need not concern us here.</w:t>
      </w:r>
    </w:p>
  </w:footnote>
  <w:footnote w:id="5">
    <w:p w14:paraId="02633FCC" w14:textId="4E6F59D6" w:rsidR="009F56D2" w:rsidRPr="009B1F4E" w:rsidRDefault="009F56D2" w:rsidP="009F56D2">
      <w:pPr>
        <w:pStyle w:val="Funotentext"/>
        <w:jc w:val="both"/>
        <w:rPr>
          <w:rFonts w:ascii="Garamond" w:hAnsi="Garamond"/>
          <w:color w:val="000000" w:themeColor="text1"/>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Henderson</w:t>
      </w:r>
      <w:r w:rsidR="00563557" w:rsidRPr="009B1F4E">
        <w:rPr>
          <w:rFonts w:ascii="Garamond" w:hAnsi="Garamond"/>
          <w:color w:val="000000" w:themeColor="text1"/>
        </w:rPr>
        <w:t xml:space="preserve"> </w:t>
      </w:r>
      <w:r w:rsidR="00563557" w:rsidRPr="009B1F4E">
        <w:rPr>
          <w:rFonts w:ascii="Garamond" w:hAnsi="Garamond"/>
          <w:color w:val="000000" w:themeColor="text1"/>
        </w:rPr>
        <w:fldChar w:fldCharType="begin"/>
      </w:r>
      <w:r w:rsidR="00563557" w:rsidRPr="009B1F4E">
        <w:rPr>
          <w:rFonts w:ascii="Garamond" w:hAnsi="Garamond"/>
          <w:color w:val="000000" w:themeColor="text1"/>
        </w:rPr>
        <w:instrText xml:space="preserve"> ADDIN ZOTERO_ITEM CSL_CITATION {"citationID":"Wvnf7eaT","properties":{"formattedCitation":"(2020)","plainCitation":"(2020)","noteIndex":5},"citationItems":[{"id":100,"uris":["http://zotero.org/users/local/jz7T3Opo/items/4KN3WW78"],"itemData":{"id":100,"type":"article-journal","container-title":"Episteme","issue":"3","note":"publisher: Cambridge University Press","page":"281–300","source":"Google Scholar","title":"Are Epistemic Norms Fundamentally Social Norms?","volume":"17","author":[{"family":"Henderson","given":"David"}],"issued":{"date-parts":[["2020"]]}},"label":"page","suppress-author":true}],"schema":"https://github.com/citation-style-language/schema/raw/master/csl-citation.json"} </w:instrText>
      </w:r>
      <w:r w:rsidR="00563557" w:rsidRPr="009B1F4E">
        <w:rPr>
          <w:rFonts w:ascii="Garamond" w:hAnsi="Garamond"/>
          <w:color w:val="000000" w:themeColor="text1"/>
        </w:rPr>
        <w:fldChar w:fldCharType="separate"/>
      </w:r>
      <w:r w:rsidR="00563557" w:rsidRPr="009B1F4E">
        <w:rPr>
          <w:rFonts w:ascii="Garamond" w:hAnsi="Garamond"/>
          <w:noProof/>
          <w:color w:val="000000" w:themeColor="text1"/>
        </w:rPr>
        <w:t>(2020)</w:t>
      </w:r>
      <w:r w:rsidR="00563557" w:rsidRPr="009B1F4E">
        <w:rPr>
          <w:rFonts w:ascii="Garamond" w:hAnsi="Garamond"/>
          <w:color w:val="000000" w:themeColor="text1"/>
        </w:rPr>
        <w:fldChar w:fldCharType="end"/>
      </w:r>
      <w:r w:rsidRPr="009B1F4E">
        <w:rPr>
          <w:rFonts w:ascii="Garamond" w:hAnsi="Garamond"/>
          <w:color w:val="000000" w:themeColor="text1"/>
        </w:rPr>
        <w:t xml:space="preserve"> makes the point that social epistemic norms might function as coordination-norms for some and as cooperation-norms for other individuals, depending on the context. I take this to be true. My point in the following will be that these norms predominately functioned as coordination-norms in the early evolution of cultural learning. </w:t>
      </w:r>
    </w:p>
  </w:footnote>
  <w:footnote w:id="6">
    <w:p w14:paraId="549F3369" w14:textId="01CA7970" w:rsidR="00FE5DD6" w:rsidRPr="009B1F4E" w:rsidRDefault="00FE5DD6" w:rsidP="009A1E73">
      <w:pPr>
        <w:jc w:val="both"/>
        <w:rPr>
          <w:rFonts w:ascii="Garamond" w:hAnsi="Garamond" w:cs="Calibri"/>
          <w:color w:val="000000" w:themeColor="text1"/>
          <w:sz w:val="20"/>
          <w:szCs w:val="20"/>
          <w:lang w:val="en-US"/>
        </w:rPr>
      </w:pPr>
      <w:r w:rsidRPr="009B1F4E">
        <w:rPr>
          <w:rStyle w:val="Funotenzeichen"/>
          <w:rFonts w:ascii="Garamond" w:hAnsi="Garamond" w:cs="Calibri"/>
          <w:color w:val="000000" w:themeColor="text1"/>
          <w:sz w:val="20"/>
          <w:szCs w:val="20"/>
        </w:rPr>
        <w:footnoteRef/>
      </w:r>
      <w:r w:rsidRPr="009B1F4E">
        <w:rPr>
          <w:rStyle w:val="notion-enable-hover"/>
          <w:rFonts w:ascii="Garamond" w:hAnsi="Garamond" w:cs="Calibri"/>
          <w:color w:val="000000" w:themeColor="text1"/>
          <w:sz w:val="20"/>
          <w:szCs w:val="20"/>
          <w:lang w:val="en-US"/>
        </w:rPr>
        <w:t xml:space="preserve"> If one takes it that practical knowledge reduces to propositional knowledge, then all social epistemic norms will likely be about how we form and share beliefs </w:t>
      </w:r>
      <w:r w:rsidRPr="009B1F4E">
        <w:rPr>
          <w:rStyle w:val="notion-enable-hover"/>
          <w:rFonts w:ascii="Garamond" w:hAnsi="Garamond" w:cs="Calibri"/>
          <w:color w:val="000000" w:themeColor="text1"/>
          <w:sz w:val="20"/>
          <w:szCs w:val="20"/>
          <w:lang w:val="en-US"/>
        </w:rPr>
        <w:fldChar w:fldCharType="begin"/>
      </w:r>
      <w:r w:rsidR="00205D66" w:rsidRPr="009B1F4E">
        <w:rPr>
          <w:rStyle w:val="notion-enable-hover"/>
          <w:rFonts w:ascii="Garamond" w:hAnsi="Garamond" w:cs="Calibri"/>
          <w:color w:val="000000" w:themeColor="text1"/>
          <w:sz w:val="20"/>
          <w:szCs w:val="20"/>
          <w:lang w:val="en-US"/>
        </w:rPr>
        <w:instrText xml:space="preserve"> ADDIN ZOTERO_ITEM CSL_CITATION {"citationID":"w1bYQVxV","properties":{"formattedCitation":"(see e.g. Williamson and Stanley 2016)","plainCitation":"(see e.g. Williamson and Stanley 2016)","noteIndex":6},"citationItems":[{"id":1043,"uris":["http://zotero.org/users/local/jz7T3Opo/items/9HRTCWT4"],"itemData":{"id":1043,"type":"article-journal","abstract":"Many philosophers believe that there is a fundamental distinction between knowing that something is the case and knowing how to do something. According to Gilbert Ryle, to whom the insight is credited, knowledge-how is an ability, which is in turn a complex of dispositions. Knowledge-that, on the other hand, is not an ability, or anything similar. Rather, knowledge-that is a relation between a thinker and a true proposition.","container-title":"Journal of Philosophy","ISSN":"0022-362X","issue":"8","language":"English","note":"edition: Accepted Manuscript\npublisher: Journal of Philosophy, Inc.\nversion: Accepted Manuscript","source":"ora.ox.ac.uk","title":"Knowing how","URL":"https://ora.ox.ac.uk/objects/uuid:1fcf732b-731b-47e6-943d-aaf34905c02a","volume":"98","author":[{"family":"Williamson","given":"T."},{"family":"Stanley","given":"J."}],"accessed":{"date-parts":[["2022",7,25]]},"issued":{"date-parts":[["2016"]]}},"label":"page","prefix":"see e.g."}],"schema":"https://github.com/citation-style-language/schema/raw/master/csl-citation.json"} </w:instrText>
      </w:r>
      <w:r w:rsidRPr="009B1F4E">
        <w:rPr>
          <w:rStyle w:val="notion-enable-hover"/>
          <w:rFonts w:ascii="Garamond" w:hAnsi="Garamond" w:cs="Calibri"/>
          <w:color w:val="000000" w:themeColor="text1"/>
          <w:sz w:val="20"/>
          <w:szCs w:val="20"/>
          <w:lang w:val="en-US"/>
        </w:rPr>
        <w:fldChar w:fldCharType="separate"/>
      </w:r>
      <w:r w:rsidRPr="009B1F4E">
        <w:rPr>
          <w:rStyle w:val="notion-enable-hover"/>
          <w:rFonts w:ascii="Garamond" w:hAnsi="Garamond" w:cs="Calibri"/>
          <w:noProof/>
          <w:color w:val="000000" w:themeColor="text1"/>
          <w:sz w:val="20"/>
          <w:szCs w:val="20"/>
          <w:lang w:val="en-US"/>
        </w:rPr>
        <w:t>(see e.g. Williamson and Stanley 2016)</w:t>
      </w:r>
      <w:r w:rsidRPr="009B1F4E">
        <w:rPr>
          <w:rStyle w:val="notion-enable-hover"/>
          <w:rFonts w:ascii="Garamond" w:hAnsi="Garamond" w:cs="Calibri"/>
          <w:color w:val="000000" w:themeColor="text1"/>
          <w:sz w:val="20"/>
          <w:szCs w:val="20"/>
          <w:lang w:val="en-US"/>
        </w:rPr>
        <w:fldChar w:fldCharType="end"/>
      </w:r>
      <w:r w:rsidRPr="009B1F4E">
        <w:rPr>
          <w:rStyle w:val="notion-enable-hover"/>
          <w:rFonts w:ascii="Garamond" w:hAnsi="Garamond" w:cs="Calibri"/>
          <w:color w:val="000000" w:themeColor="text1"/>
          <w:sz w:val="20"/>
          <w:szCs w:val="20"/>
          <w:lang w:val="en-US"/>
        </w:rPr>
        <w:t>. What I’ll argue below is compatible with but not committed to such a view.</w:t>
      </w:r>
    </w:p>
  </w:footnote>
  <w:footnote w:id="7">
    <w:p w14:paraId="728003C5" w14:textId="14C60CD1" w:rsidR="00164BDB" w:rsidRPr="009B1F4E" w:rsidRDefault="00164BDB" w:rsidP="00011CBB">
      <w:pPr>
        <w:pStyle w:val="Funotentext"/>
        <w:jc w:val="both"/>
        <w:rPr>
          <w:rFonts w:ascii="Garamond" w:hAnsi="Garamond"/>
          <w:color w:val="000000" w:themeColor="text1"/>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There might be more things that social groups need to coordinate on for cultural learning to succeed. I’ll focus on these two factors to make the general point that coordination-problems address by social epistemic norms were of importance to early cultural learning. </w:t>
      </w:r>
    </w:p>
  </w:footnote>
  <w:footnote w:id="8">
    <w:p w14:paraId="7CF8DFE6" w14:textId="3971F3B6" w:rsidR="00466314" w:rsidRPr="009B1F4E" w:rsidRDefault="00466314" w:rsidP="009A1E73">
      <w:pPr>
        <w:pStyle w:val="Funotentext"/>
        <w:jc w:val="both"/>
        <w:rPr>
          <w:rFonts w:ascii="Garamond" w:hAnsi="Garamond"/>
          <w:color w:val="000000" w:themeColor="text1"/>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There are similarities between assessor-teaching and natural pedagogy </w:t>
      </w:r>
      <w:r w:rsidRPr="009B1F4E">
        <w:rPr>
          <w:rFonts w:ascii="Garamond" w:hAnsi="Garamond"/>
          <w:color w:val="000000" w:themeColor="text1"/>
        </w:rPr>
        <w:fldChar w:fldCharType="begin"/>
      </w:r>
      <w:r w:rsidR="00205D66" w:rsidRPr="009B1F4E">
        <w:rPr>
          <w:rFonts w:ascii="Garamond" w:hAnsi="Garamond"/>
          <w:color w:val="000000" w:themeColor="text1"/>
        </w:rPr>
        <w:instrText xml:space="preserve"> ADDIN ZOTERO_ITEM CSL_CITATION {"citationID":"fMvUt0PX","properties":{"formattedCitation":"(Csibra and Gergely 2011; 2009)","plainCitation":"(Csibra and Gergely 2011; 2009)","noteIndex":8},"citationItems":[{"id":1220,"uris":["http://zotero.org/users/local/jz7T3Opo/items/SPPZZPB3"],"itemData":{"id":1220,"type":"article-journal","abstract":"We propose that the cognitive mechanisms that enable the transmission of cultural knowledge by communication between individuals constitute a system of ‘natural pedagogy’ in humans, and represent an evolutionary adaptation along the hominin lineage. We discuss three kinds of arguments that support this hypothesis. First, natural pedagogy is likely to be human-specific: while social learning and communication are both widespread in non-human animals, we know of no example of social learning by communication in any other species apart from humans. Second, natural pedagogy is universal: despite the huge variability in child-rearing practices, all human cultures rely on communication to transmit to novices a variety of different types of cultural knowledge, including information about artefact kinds, conventional behaviours, arbitrary referential symbols, cognitively opaque skills and know-how embedded in means-end actions. Third, the data available on early hominin technological culture are more compatible with the assumption that natural pedagogy was an independently selected adaptive cognitive system than considering it as a by-product of some other human-specific adaptation, such as language. By providing a qualitatively new type of social learning mechanism, natural pedagogy is not only the product but also one of the sources of the rich cultural heritage of our species.","container-title":"Philosophical Transactions of the Royal Society B: Biological Sciences","DOI":"10.1098/rstb.2010.0319","issue":"1567","note":"publisher: Royal Society","page":"1149-1157","source":"royalsocietypublishing.org (Atypon)","title":"Natural pedagogy as evolutionary adaptation","volume":"366","author":[{"family":"Csibra","given":"Gergely"},{"family":"Gergely","given":"György"}],"issued":{"date-parts":[["2011",4,12]]}}},{"id":1222,"uris":["http://zotero.org/users/local/jz7T3Opo/items/JFDFZGR6"],"itemData":{"id":1222,"type":"article-journal","abstract":"We propose that human communication is specifically adapted to allow the transmission of generic knowledge between individuals. Such a communication system, which we call ‘natural pedagogy’, enables fast and efficient social learning of cognitively opaque cultural knowledge that would be hard to acquire relying on purely observational learning mechanisms alone. We argue that human infants are prepared to be at the receptive side of natural pedagogy (i) by being sensitive to ostensive signals that indicate that they are being addressed by communication, (ii) by developing referential expectations in ostensive contexts and (iii) by being biased to interpret ostensive-referential communication as conveying information that is kind-relevant and generalizable.","container-title":"Trends in Cognitive Sciences","DOI":"10.1016/j.tics.2009.01.005","ISSN":"1364-6613","issue":"4","journalAbbreviation":"Trends in Cognitive Sciences","language":"en","page":"148-153","source":"ScienceDirect","title":"Natural pedagogy","volume":"13","author":[{"family":"Csibra","given":"Gergely"},{"family":"Gergely","given":"György"}],"issued":{"date-parts":[["2009",4,1]]}}}],"schema":"https://github.com/citation-style-language/schema/raw/master/csl-citation.json"} </w:instrText>
      </w:r>
      <w:r w:rsidRPr="009B1F4E">
        <w:rPr>
          <w:rFonts w:ascii="Garamond" w:hAnsi="Garamond"/>
          <w:color w:val="000000" w:themeColor="text1"/>
        </w:rPr>
        <w:fldChar w:fldCharType="separate"/>
      </w:r>
      <w:r w:rsidRPr="009B1F4E">
        <w:rPr>
          <w:rFonts w:ascii="Garamond" w:hAnsi="Garamond"/>
          <w:noProof/>
          <w:color w:val="000000" w:themeColor="text1"/>
        </w:rPr>
        <w:t>(Csibra and Gergely 2011; 2009)</w:t>
      </w:r>
      <w:r w:rsidRPr="009B1F4E">
        <w:rPr>
          <w:rFonts w:ascii="Garamond" w:hAnsi="Garamond"/>
          <w:color w:val="000000" w:themeColor="text1"/>
        </w:rPr>
        <w:fldChar w:fldCharType="end"/>
      </w:r>
      <w:r w:rsidRPr="009B1F4E">
        <w:rPr>
          <w:rFonts w:ascii="Garamond" w:hAnsi="Garamond"/>
          <w:color w:val="000000" w:themeColor="text1"/>
        </w:rPr>
        <w:t>. For reasons of space, I won’t expand on this, although I take it that some of the points below that apply to the former also apply to the latter.</w:t>
      </w:r>
      <w:r w:rsidR="003817C9" w:rsidRPr="009B1F4E">
        <w:rPr>
          <w:rFonts w:ascii="Garamond" w:hAnsi="Garamond"/>
          <w:color w:val="000000" w:themeColor="text1"/>
        </w:rPr>
        <w:t xml:space="preserve"> </w:t>
      </w:r>
    </w:p>
  </w:footnote>
  <w:footnote w:id="9">
    <w:p w14:paraId="64FE05B8" w14:textId="7C05D17C" w:rsidR="003817C9" w:rsidRPr="009B1F4E" w:rsidRDefault="003817C9" w:rsidP="003817C9">
      <w:pPr>
        <w:pStyle w:val="Funotentext"/>
        <w:jc w:val="both"/>
        <w:rPr>
          <w:rFonts w:ascii="Garamond" w:hAnsi="Garamond"/>
          <w:color w:val="000000" w:themeColor="text1"/>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w:t>
      </w:r>
      <w:r w:rsidR="003855B9" w:rsidRPr="009B1F4E">
        <w:rPr>
          <w:rFonts w:ascii="Garamond" w:hAnsi="Garamond"/>
          <w:color w:val="000000" w:themeColor="text1"/>
        </w:rPr>
        <w:t>One might be sceptical</w:t>
      </w:r>
      <w:r w:rsidRPr="009B1F4E">
        <w:rPr>
          <w:rFonts w:ascii="Garamond" w:hAnsi="Garamond"/>
          <w:color w:val="000000" w:themeColor="text1"/>
        </w:rPr>
        <w:t xml:space="preserve"> whether assessor-teaching is supported by the relevant ethnographic evidence</w:t>
      </w:r>
      <w:r w:rsidR="003855B9" w:rsidRPr="009B1F4E">
        <w:rPr>
          <w:rFonts w:ascii="Garamond" w:hAnsi="Garamond"/>
          <w:color w:val="000000" w:themeColor="text1"/>
        </w:rPr>
        <w:t xml:space="preserve">, </w:t>
      </w:r>
      <w:r w:rsidR="00F42D3A" w:rsidRPr="009B1F4E">
        <w:rPr>
          <w:rFonts w:ascii="Garamond" w:hAnsi="Garamond"/>
          <w:color w:val="000000" w:themeColor="text1"/>
        </w:rPr>
        <w:t xml:space="preserve">although </w:t>
      </w:r>
      <w:r w:rsidRPr="009B1F4E">
        <w:rPr>
          <w:rFonts w:ascii="Garamond" w:hAnsi="Garamond"/>
          <w:color w:val="000000" w:themeColor="text1"/>
        </w:rPr>
        <w:t>evaluative feedback is being discussed in</w:t>
      </w:r>
      <w:r w:rsidR="00F42D3A" w:rsidRPr="009B1F4E">
        <w:rPr>
          <w:rFonts w:ascii="Garamond" w:hAnsi="Garamond"/>
          <w:color w:val="000000" w:themeColor="text1"/>
        </w:rPr>
        <w:t>, e.g.,</w:t>
      </w:r>
      <w:r w:rsidRPr="009B1F4E">
        <w:rPr>
          <w:rFonts w:ascii="Garamond" w:hAnsi="Garamond"/>
          <w:color w:val="000000" w:themeColor="text1"/>
        </w:rPr>
        <w:t xml:space="preserve"> Lew-Levy </w:t>
      </w:r>
      <w:r w:rsidR="00F42D3A" w:rsidRPr="009B1F4E">
        <w:rPr>
          <w:rFonts w:ascii="Garamond" w:hAnsi="Garamond"/>
          <w:color w:val="000000" w:themeColor="text1"/>
        </w:rPr>
        <w:fldChar w:fldCharType="begin"/>
      </w:r>
      <w:r w:rsidR="00F42D3A" w:rsidRPr="009B1F4E">
        <w:rPr>
          <w:rFonts w:ascii="Garamond" w:hAnsi="Garamond"/>
          <w:color w:val="000000" w:themeColor="text1"/>
        </w:rPr>
        <w:instrText xml:space="preserve"> ADDIN ZOTERO_ITEM CSL_CITATION {"citationID":"3VCtDCWT","properties":{"formattedCitation":"(2017)","plainCitation":"(2017)","noteIndex":9},"citationItems":[{"id":1645,"uris":["http://zotero.org/users/local/jz7T3Opo/items/ZSYDZ5QV"],"itemData":{"id":1645,"type":"article-journal","abstract":"Hunting and gathering is, evolutionarily, the defining subsistence strategy of our species. Studying how children learn foraging skills can, therefore, provide us with key data to test theories about the evolution of human life history, cognition, and social behavior. Modern foragers, with their vast cultural and environmental diversity, have mostly been studied individually. However, cross-cultural studies allow us to extrapolate forager-wide trends in how, when, and from whom hunter-gatherer children learn their subsistence skills. We perform a meta-ethnography, which allows us to systematically extract, summarize, and compare both quantitative and qualitative literature. We found 58 publications focusing on learning subsistence skills. Learning begins early in infancy, when parents take children on foraging expeditions and give them toy versions of tools. In early and middle childhood, children transition into the multi-age playgroup, where they learn skills through play, observation, and participation. By the end of middle childhood, most children are proficient food collectors. However, it is not until adolescence that adults (not necessarily parents) begin directly teaching children complex skills such as hunting and complex tool manufacture. Adolescents seek to learn innovations from adults, but they themselves do not innovate. These findings support predictive models that find social learning should occur before individual learning. Furthermore, these results show that teaching does indeed exist in hunter-gatherer societies. And, finally, though children are competent foragers by late childhood, learning to extract more complex resources, such as hunting large game, takes a lifetime.","container-title":"Human Nature","DOI":"10.1007/s12110-017-9302-2","ISSN":"1936-4776","issue":"4","journalAbbreviation":"Hum Nat","language":"en","page":"367-394","source":"Springer Link","title":"How Do Hunter-Gatherer Children Learn Subsistence Skills?","volume":"28","author":[{"family":"Lew-Levy","given":"Sheina"},{"family":"Reckin","given":"Rachel"},{"family":"Lavi","given":"Noa"},{"family":"Cristóbal-Azkarate","given":"Jurgi"},{"family":"Ellis-Davies","given":"Kate"}],"issued":{"date-parts":[["2017",12,1]]}},"label":"page","suppress-author":true}],"schema":"https://github.com/citation-style-language/schema/raw/master/csl-citation.json"} </w:instrText>
      </w:r>
      <w:r w:rsidR="00F42D3A" w:rsidRPr="009B1F4E">
        <w:rPr>
          <w:rFonts w:ascii="Garamond" w:hAnsi="Garamond"/>
          <w:color w:val="000000" w:themeColor="text1"/>
        </w:rPr>
        <w:fldChar w:fldCharType="separate"/>
      </w:r>
      <w:r w:rsidR="00F42D3A" w:rsidRPr="009B1F4E">
        <w:rPr>
          <w:rFonts w:ascii="Garamond" w:hAnsi="Garamond"/>
          <w:noProof/>
          <w:color w:val="000000" w:themeColor="text1"/>
        </w:rPr>
        <w:t>(2017)</w:t>
      </w:r>
      <w:r w:rsidR="00F42D3A" w:rsidRPr="009B1F4E">
        <w:rPr>
          <w:rFonts w:ascii="Garamond" w:hAnsi="Garamond"/>
          <w:color w:val="000000" w:themeColor="text1"/>
        </w:rPr>
        <w:fldChar w:fldCharType="end"/>
      </w:r>
      <w:r w:rsidR="003855B9" w:rsidRPr="009B1F4E">
        <w:rPr>
          <w:rFonts w:ascii="Garamond" w:hAnsi="Garamond"/>
          <w:color w:val="000000" w:themeColor="text1"/>
        </w:rPr>
        <w:t xml:space="preserve"> </w:t>
      </w:r>
      <w:r w:rsidRPr="009B1F4E">
        <w:rPr>
          <w:rFonts w:ascii="Garamond" w:hAnsi="Garamond"/>
          <w:color w:val="000000" w:themeColor="text1"/>
        </w:rPr>
        <w:t>and Jordan</w:t>
      </w:r>
      <w:r w:rsidR="00F42D3A" w:rsidRPr="009B1F4E">
        <w:rPr>
          <w:rFonts w:ascii="Garamond" w:hAnsi="Garamond"/>
          <w:color w:val="000000" w:themeColor="text1"/>
        </w:rPr>
        <w:t xml:space="preserve"> </w:t>
      </w:r>
      <w:r w:rsidR="00F42D3A" w:rsidRPr="009B1F4E">
        <w:rPr>
          <w:rFonts w:ascii="Garamond" w:hAnsi="Garamond"/>
          <w:color w:val="000000" w:themeColor="text1"/>
        </w:rPr>
        <w:fldChar w:fldCharType="begin"/>
      </w:r>
      <w:r w:rsidR="00F42D3A" w:rsidRPr="009B1F4E">
        <w:rPr>
          <w:rFonts w:ascii="Garamond" w:hAnsi="Garamond"/>
          <w:color w:val="000000" w:themeColor="text1"/>
        </w:rPr>
        <w:instrText xml:space="preserve"> ADDIN ZOTERO_ITEM CSL_CITATION {"citationID":"WaN55Ny3","properties":{"formattedCitation":"(2014)","plainCitation":"(2014)","noteIndex":9},"citationItems":[{"id":1655,"uris":["http://zotero.org/users/local/jz7T3Opo/items/TMMQ6N6P"],"itemData":{"id":1655,"type":"book","abstract":"Technology as Human Social Tradition outlines a novel approach to studying variability and cumulative change in human technologyÑprominent research themes in both archaeology and anthropology. Peter Jordan argues that human material culture is best understood as an expression of social tradition. In this approach, each artifact stands as an output of a distinctive operational sequence with specific choices made at each stage in its production. Jordan also explores different material culture traditions that are propagated through social learning, factors that promote coherent lineages of tradition to form, and the extent to which these cultural lineages exhibit congruence with one another and with language history. Drawing on the application of cultural transmission theory to empirical research, Jordan develops a descent-with-modification perspective on the technology of Northern Hemisphere hunter-gatherers. Case studies from indigenous societies in Northwest Siberia, the Pacific Northwest Coast, and Northern California provide cross-cultural insights related to the evolution of material culture traditions at different social and spatial scales. This book promises new ways of exploring some of the primary factors that generate human cultural diversity in the deep past and through to the present.","ISBN":"978-0-520-27692-5","language":"en","number-of-pages":"424","publisher":"Univ of California Press","source":"Google Books","title":"Technology as Human Social Tradition: Cultural Transmission Among Hunter-Gatherers","title-short":"Technology as Human Social Tradition","author":[{"family":"Jordan","given":"Peter"}],"issued":{"date-parts":[["2014",11,6]]}},"label":"page","suppress-author":true}],"schema":"https://github.com/citation-style-language/schema/raw/master/csl-citation.json"} </w:instrText>
      </w:r>
      <w:r w:rsidR="00F42D3A" w:rsidRPr="009B1F4E">
        <w:rPr>
          <w:rFonts w:ascii="Garamond" w:hAnsi="Garamond"/>
          <w:color w:val="000000" w:themeColor="text1"/>
        </w:rPr>
        <w:fldChar w:fldCharType="separate"/>
      </w:r>
      <w:r w:rsidR="00F42D3A" w:rsidRPr="009B1F4E">
        <w:rPr>
          <w:rFonts w:ascii="Garamond" w:hAnsi="Garamond"/>
          <w:noProof/>
          <w:color w:val="000000" w:themeColor="text1"/>
        </w:rPr>
        <w:t>(2014)</w:t>
      </w:r>
      <w:r w:rsidR="00F42D3A" w:rsidRPr="009B1F4E">
        <w:rPr>
          <w:rFonts w:ascii="Garamond" w:hAnsi="Garamond"/>
          <w:color w:val="000000" w:themeColor="text1"/>
        </w:rPr>
        <w:fldChar w:fldCharType="end"/>
      </w:r>
      <w:r w:rsidRPr="009B1F4E">
        <w:rPr>
          <w:rFonts w:ascii="Garamond" w:hAnsi="Garamond"/>
          <w:color w:val="000000" w:themeColor="text1"/>
        </w:rPr>
        <w:t xml:space="preserve">. </w:t>
      </w:r>
      <w:r w:rsidR="003855B9" w:rsidRPr="009B1F4E">
        <w:rPr>
          <w:rFonts w:ascii="Garamond" w:hAnsi="Garamond"/>
          <w:color w:val="000000" w:themeColor="text1"/>
        </w:rPr>
        <w:t>I think the more general point that I’ll make below, that social groups need to coordinate on the contents of cultural learning, stands nonetheless.</w:t>
      </w:r>
    </w:p>
  </w:footnote>
  <w:footnote w:id="10">
    <w:p w14:paraId="4456DE04" w14:textId="6F57A2B0" w:rsidR="001F64B7" w:rsidRPr="009B1F4E" w:rsidRDefault="001F64B7" w:rsidP="009A1E73">
      <w:pPr>
        <w:pStyle w:val="Funotentext"/>
        <w:jc w:val="both"/>
        <w:rPr>
          <w:rFonts w:ascii="Garamond" w:hAnsi="Garamond"/>
          <w:color w:val="000000" w:themeColor="text1"/>
          <w:lang w:val="en-US"/>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w:t>
      </w:r>
      <w:r w:rsidR="001C0042" w:rsidRPr="009B1F4E">
        <w:rPr>
          <w:rFonts w:ascii="Garamond" w:hAnsi="Garamond" w:cs="Calibri"/>
          <w:color w:val="000000" w:themeColor="text1"/>
        </w:rPr>
        <w:t xml:space="preserve">This notion </w:t>
      </w:r>
      <w:r w:rsidR="001C0042" w:rsidRPr="009B1F4E">
        <w:rPr>
          <w:rFonts w:ascii="Garamond" w:hAnsi="Garamond" w:cs="Calibri"/>
          <w:color w:val="000000" w:themeColor="text1"/>
          <w:lang w:val="en-US"/>
        </w:rPr>
        <w:t>stems from feminist epistemology. This literature is helpful for the aims of this paper in that it uncovers how social norms impact what and how we know things.</w:t>
      </w:r>
      <w:r w:rsidR="00963FF4" w:rsidRPr="009B1F4E">
        <w:rPr>
          <w:rFonts w:ascii="Garamond" w:hAnsi="Garamond" w:cs="Calibri"/>
          <w:color w:val="000000" w:themeColor="text1"/>
          <w:lang w:val="en-US"/>
        </w:rPr>
        <w:t xml:space="preserve"> However</w:t>
      </w:r>
      <w:r w:rsidR="00011CBB" w:rsidRPr="009B1F4E">
        <w:rPr>
          <w:rFonts w:ascii="Garamond" w:hAnsi="Garamond"/>
          <w:color w:val="000000" w:themeColor="text1"/>
        </w:rPr>
        <w:t xml:space="preserve">, </w:t>
      </w:r>
      <w:r w:rsidR="00011CBB" w:rsidRPr="009B1F4E">
        <w:rPr>
          <w:rFonts w:ascii="Garamond" w:hAnsi="Garamond"/>
          <w:color w:val="000000" w:themeColor="text1"/>
          <w:lang w:val="en-US"/>
        </w:rPr>
        <w:t>f</w:t>
      </w:r>
      <w:r w:rsidRPr="009B1F4E">
        <w:rPr>
          <w:rFonts w:ascii="Garamond" w:hAnsi="Garamond"/>
          <w:color w:val="000000" w:themeColor="text1"/>
          <w:lang w:val="en-US"/>
        </w:rPr>
        <w:t xml:space="preserve">eminist epistemologists care about </w:t>
      </w:r>
      <w:r w:rsidR="00011CBB" w:rsidRPr="009B1F4E">
        <w:rPr>
          <w:rFonts w:ascii="Garamond" w:hAnsi="Garamond"/>
          <w:color w:val="000000" w:themeColor="text1"/>
          <w:lang w:val="en-US"/>
        </w:rPr>
        <w:t>a slightly broader phenomenon — what they often call “social structures”</w:t>
      </w:r>
      <w:r w:rsidR="004A42AF" w:rsidRPr="009B1F4E">
        <w:rPr>
          <w:rFonts w:ascii="Garamond" w:hAnsi="Garamond"/>
          <w:color w:val="000000" w:themeColor="text1"/>
          <w:lang w:val="en-US"/>
        </w:rPr>
        <w:t xml:space="preserve"> or “social practices” </w:t>
      </w:r>
      <w:r w:rsidR="004A42AF" w:rsidRPr="009B1F4E">
        <w:rPr>
          <w:rFonts w:ascii="Garamond" w:hAnsi="Garamond"/>
          <w:color w:val="000000" w:themeColor="text1"/>
          <w:lang w:val="en-US"/>
        </w:rPr>
        <w:fldChar w:fldCharType="begin"/>
      </w:r>
      <w:r w:rsidR="00816711" w:rsidRPr="009B1F4E">
        <w:rPr>
          <w:rFonts w:ascii="Garamond" w:hAnsi="Garamond"/>
          <w:color w:val="000000" w:themeColor="text1"/>
          <w:lang w:val="en-US"/>
        </w:rPr>
        <w:instrText xml:space="preserve"> ADDIN ZOTERO_ITEM CSL_CITATION {"citationID":"GxdHgb07","properties":{"formattedCitation":"(see, e.g., Sertler 2022; Haslanger 2018; 2016)","plainCitation":"(see, e.g., Sertler 2022; Haslanger 2018; 2016)","noteIndex":10},"citationItems":[{"id":788,"uris":["http://zotero.org/users/local/jz7T3Opo/items/SY7YCQFI"],"itemData":{"id":788,"type":"article-journal","abstract":"Abstract\n            \n              Epistemic dependence refers to our social mechanisms of reliance in practices of knowledge production. Epistemic oppression concerns persistent and unwarranted exclusions from those practices. This article examines the relationship between these two frameworks and demonstrates that attending to their relationship is a fruitful practice for applied epistemology. Paying attention to relations of epistemic dependence and how exclusive they are can help us track epistemically oppressive practices. In order to show this, I introduce a taxonomy of epistemic dependence (interpersonal – communal – structural). I argue that this particular taxonomy is useful for tracking epistemically oppressive practices in institutional contexts. This is because, first, the forms of epistemic dependence in this taxonomy yield, what I call,\n              diagnostic questions.\n              These are questions that help us track how relations of epistemic dependence could become exclusive and that thus help reveal epistemic oppression in institutional contexts. Second, the forms of epistemic dependence in the taxonomy are interrelated. Paying attention not just to each of three forms of epistemic dependence but also to the way in which they are interrelated is useful for illuminating epistemically oppressive practices. I conclude by demonstrating how the diagnostic questions can be used in analyses of concrete institutional practices in asylum law and higher education.","container-title":"Episteme","DOI":"10.1017/epi.2020.34","ISSN":"1742-3600, 1750-0117","issue":"3","journalAbbreviation":"Episteme","language":"en","page":"394-408","source":"DOI.org (Crossref)","title":"Epistemic Dependence and Oppression: A Telling Relationship","title-short":"Epistemic Dependence and Oppression","volume":"19","author":[{"family":"Sertler","given":"Ezgi"}],"issued":{"date-parts":[["2022"]]}},"label":"page","prefix":"see, e.g., "},{"id":307,"uris":["http://zotero.org/users/local/jz7T3Opo/items/FRRGULS4"],"itemData":{"id":307,"type":"article-journal","abstract":"Abstract\n            This paper provides an account of social practices that reveals how they are constitutive of social agency, enable coordination around things of value, and are a site for social intervention. The social world, on this account, does not begin when psychologically sophisticated individuals interact to share knowledge or make plans. Instead, culture shapes agents to interpret and respond both to each other and the physical world around us. Practices shape us as we shape them. This provides resources for understanding why social practices tend to be stable, but also reveals sites and opportunities for change. (Challenge social meanings! Intervene in the material conditions!)","container-title":"Royal Institute of Philosophy Supplement","DOI":"10.1017/S1358246118000085","ISSN":"1358-2461, 1755-3555","journalAbbreviation":"Roy. Inst. Philos. Suppl.","language":"en","page":"231-247","source":"DOI.org (Crossref)","title":"What is a Social Practice?","volume":"82","author":[{"family":"Haslanger","given":"Sally"}],"issued":{"date-parts":[["2018",7]]}}},{"id":869,"uris":["http://zotero.org/users/local/jz7T3Opo/items/JR4KY77X"],"itemData":{"id":869,"type":"article-journal","abstract":"A philosophically useful account of social structure must accommodate the fact that social structures play an important role in structural explanation. But what is a structural explanation? How do structural explanations function in the social sciences? This paper offers a way of thinking about structural explanation and sketches an account of social structure that connects social structures with structural explanation.","container-title":"Philosophical Studies","DOI":"10.1007/s11098-014-0434-5","ISSN":"0031-8116, 1573-0883","issue":"1","journalAbbreviation":"Philos Stud","language":"en","page":"113-130","source":"DOI.org (Crossref)","title":"What is a (social) structural explanation?","volume":"173","author":[{"family":"Haslanger","given":"Sally"}],"issued":{"date-parts":[["2016",1]]}}}],"schema":"https://github.com/citation-style-language/schema/raw/master/csl-citation.json"} </w:instrText>
      </w:r>
      <w:r w:rsidR="004A42AF" w:rsidRPr="009B1F4E">
        <w:rPr>
          <w:rFonts w:ascii="Garamond" w:hAnsi="Garamond"/>
          <w:color w:val="000000" w:themeColor="text1"/>
          <w:lang w:val="en-US"/>
        </w:rPr>
        <w:fldChar w:fldCharType="separate"/>
      </w:r>
      <w:r w:rsidR="004A42AF" w:rsidRPr="009B1F4E">
        <w:rPr>
          <w:rFonts w:ascii="Garamond" w:hAnsi="Garamond"/>
          <w:noProof/>
          <w:color w:val="000000" w:themeColor="text1"/>
          <w:lang w:val="en-US"/>
        </w:rPr>
        <w:t>(see, e.g., Sertler 2022; Haslanger 2018; 2016)</w:t>
      </w:r>
      <w:r w:rsidR="004A42AF" w:rsidRPr="009B1F4E">
        <w:rPr>
          <w:rFonts w:ascii="Garamond" w:hAnsi="Garamond"/>
          <w:color w:val="000000" w:themeColor="text1"/>
          <w:lang w:val="en-US"/>
        </w:rPr>
        <w:fldChar w:fldCharType="end"/>
      </w:r>
      <w:r w:rsidR="00011CBB" w:rsidRPr="009B1F4E">
        <w:rPr>
          <w:rFonts w:ascii="Garamond" w:hAnsi="Garamond"/>
          <w:color w:val="000000" w:themeColor="text1"/>
          <w:lang w:val="en-US"/>
        </w:rPr>
        <w:t xml:space="preserve"> </w:t>
      </w:r>
      <w:r w:rsidR="004A42AF" w:rsidRPr="009B1F4E">
        <w:rPr>
          <w:rFonts w:ascii="Garamond" w:hAnsi="Garamond"/>
          <w:color w:val="000000" w:themeColor="text1"/>
          <w:lang w:val="en-US"/>
        </w:rPr>
        <w:t xml:space="preserve">— that also include things like in-group power dynamics, social roles etc. They also focus on </w:t>
      </w:r>
      <w:r w:rsidRPr="009B1F4E">
        <w:rPr>
          <w:rFonts w:ascii="Garamond" w:hAnsi="Garamond"/>
          <w:color w:val="000000" w:themeColor="text1"/>
          <w:lang w:val="en-US"/>
        </w:rPr>
        <w:t xml:space="preserve">how such social structures can be and often are unjust. This is not something I’ll consider here — though it would be interesting for future work to address.  </w:t>
      </w:r>
    </w:p>
  </w:footnote>
  <w:footnote w:id="11">
    <w:p w14:paraId="53A87526" w14:textId="1DA345D9" w:rsidR="00B525B7" w:rsidRPr="009B1F4E" w:rsidRDefault="00B525B7" w:rsidP="00B422CC">
      <w:pPr>
        <w:pStyle w:val="Funotentext"/>
        <w:jc w:val="both"/>
        <w:rPr>
          <w:rFonts w:ascii="Garamond" w:hAnsi="Garamond"/>
          <w:color w:val="000000" w:themeColor="text1"/>
          <w:lang w:val="en-US"/>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w:t>
      </w:r>
      <w:r w:rsidR="00B422CC" w:rsidRPr="009B1F4E">
        <w:rPr>
          <w:rFonts w:ascii="Garamond" w:hAnsi="Garamond"/>
          <w:color w:val="000000" w:themeColor="text1"/>
        </w:rPr>
        <w:t xml:space="preserve">My thanks to an anonymous reviewer for bringing this to my attention. One might worry that such an increase in standardisation might be due to a </w:t>
      </w:r>
      <w:r w:rsidR="003855B9" w:rsidRPr="009B1F4E">
        <w:rPr>
          <w:rFonts w:ascii="Garamond" w:hAnsi="Garamond"/>
          <w:color w:val="000000" w:themeColor="text1"/>
        </w:rPr>
        <w:t>copy-the-most-frequent</w:t>
      </w:r>
      <w:r w:rsidR="00B422CC" w:rsidRPr="009B1F4E">
        <w:rPr>
          <w:rFonts w:ascii="Garamond" w:hAnsi="Garamond"/>
          <w:color w:val="000000" w:themeColor="text1"/>
        </w:rPr>
        <w:t xml:space="preserve"> heuristic</w:t>
      </w:r>
      <w:r w:rsidR="00E3327C" w:rsidRPr="009B1F4E">
        <w:rPr>
          <w:rFonts w:ascii="Garamond" w:hAnsi="Garamond"/>
          <w:color w:val="000000" w:themeColor="text1"/>
        </w:rPr>
        <w:t>.</w:t>
      </w:r>
      <w:r w:rsidR="00B422CC" w:rsidRPr="009B1F4E">
        <w:rPr>
          <w:rFonts w:ascii="Garamond" w:hAnsi="Garamond"/>
          <w:color w:val="000000" w:themeColor="text1"/>
        </w:rPr>
        <w:t xml:space="preserve"> </w:t>
      </w:r>
      <w:r w:rsidR="003855B9" w:rsidRPr="009B1F4E">
        <w:rPr>
          <w:rFonts w:ascii="Garamond" w:hAnsi="Garamond"/>
          <w:color w:val="000000" w:themeColor="text1"/>
        </w:rPr>
        <w:t>This</w:t>
      </w:r>
      <w:r w:rsidR="00B422CC" w:rsidRPr="009B1F4E">
        <w:rPr>
          <w:rFonts w:ascii="Garamond" w:hAnsi="Garamond"/>
          <w:color w:val="000000" w:themeColor="text1"/>
        </w:rPr>
        <w:t xml:space="preserve"> is possible</w:t>
      </w:r>
      <w:r w:rsidR="003855B9" w:rsidRPr="009B1F4E">
        <w:rPr>
          <w:rFonts w:ascii="Garamond" w:hAnsi="Garamond"/>
          <w:color w:val="000000" w:themeColor="text1"/>
        </w:rPr>
        <w:t>,</w:t>
      </w:r>
      <w:r w:rsidR="00B422CC" w:rsidRPr="009B1F4E">
        <w:rPr>
          <w:rFonts w:ascii="Garamond" w:hAnsi="Garamond"/>
          <w:color w:val="000000" w:themeColor="text1"/>
        </w:rPr>
        <w:t xml:space="preserve"> and further research that distinguishes between possible norm- and heuristic-based views to explain standardisation would be valuable. </w:t>
      </w:r>
      <w:r w:rsidR="003855B9" w:rsidRPr="009B1F4E">
        <w:rPr>
          <w:rFonts w:ascii="Garamond" w:hAnsi="Garamond"/>
          <w:color w:val="000000" w:themeColor="text1"/>
        </w:rPr>
        <w:t>However, the more general point taken from Birch</w:t>
      </w:r>
      <w:r w:rsidR="00B422CC" w:rsidRPr="009B1F4E">
        <w:rPr>
          <w:rFonts w:ascii="Garamond" w:hAnsi="Garamond"/>
          <w:color w:val="000000" w:themeColor="text1"/>
        </w:rPr>
        <w:t xml:space="preserve"> remains: There was a need to coordinate on what counts as a good tool</w:t>
      </w:r>
      <w:r w:rsidR="00A73F4C" w:rsidRPr="009B1F4E">
        <w:rPr>
          <w:rFonts w:ascii="Garamond" w:hAnsi="Garamond"/>
          <w:color w:val="000000" w:themeColor="text1"/>
        </w:rPr>
        <w:t>, no matter how it was produced</w:t>
      </w:r>
      <w:r w:rsidR="00E3327C" w:rsidRPr="009B1F4E">
        <w:rPr>
          <w:rFonts w:ascii="Garamond" w:hAnsi="Garamond"/>
          <w:color w:val="000000" w:themeColor="text1"/>
        </w:rPr>
        <w:t xml:space="preserve">. </w:t>
      </w:r>
      <w:r w:rsidR="003855B9" w:rsidRPr="009B1F4E">
        <w:rPr>
          <w:rFonts w:ascii="Garamond" w:hAnsi="Garamond"/>
          <w:color w:val="000000" w:themeColor="text1"/>
        </w:rPr>
        <w:t>Both</w:t>
      </w:r>
      <w:r w:rsidR="00E3327C" w:rsidRPr="009B1F4E">
        <w:rPr>
          <w:rFonts w:ascii="Garamond" w:hAnsi="Garamond"/>
          <w:color w:val="000000" w:themeColor="text1"/>
        </w:rPr>
        <w:t xml:space="preserve"> </w:t>
      </w:r>
      <w:r w:rsidR="00B422CC" w:rsidRPr="009B1F4E">
        <w:rPr>
          <w:rFonts w:ascii="Garamond" w:hAnsi="Garamond"/>
          <w:color w:val="000000" w:themeColor="text1"/>
        </w:rPr>
        <w:t xml:space="preserve">a norm- or heuristic-based mechanism must stand in relation to that norm </w:t>
      </w:r>
      <w:r w:rsidR="003855B9" w:rsidRPr="009B1F4E">
        <w:rPr>
          <w:rFonts w:ascii="Garamond" w:hAnsi="Garamond"/>
          <w:color w:val="000000" w:themeColor="text1"/>
        </w:rPr>
        <w:t>to</w:t>
      </w:r>
      <w:r w:rsidR="00B422CC" w:rsidRPr="009B1F4E">
        <w:rPr>
          <w:rFonts w:ascii="Garamond" w:hAnsi="Garamond"/>
          <w:color w:val="000000" w:themeColor="text1"/>
        </w:rPr>
        <w:t xml:space="preserve"> succee</w:t>
      </w:r>
      <w:r w:rsidR="00E3327C" w:rsidRPr="009B1F4E">
        <w:rPr>
          <w:rFonts w:ascii="Garamond" w:hAnsi="Garamond"/>
          <w:color w:val="000000" w:themeColor="text1"/>
        </w:rPr>
        <w:t>d.</w:t>
      </w:r>
    </w:p>
  </w:footnote>
  <w:footnote w:id="12">
    <w:p w14:paraId="65B325E4" w14:textId="41FB9ABC" w:rsidR="00A87B83" w:rsidRPr="009B1F4E" w:rsidRDefault="00A87B83" w:rsidP="00A87B83">
      <w:pPr>
        <w:pStyle w:val="Funotentext"/>
        <w:jc w:val="both"/>
        <w:rPr>
          <w:rFonts w:ascii="Garamond" w:hAnsi="Garamond"/>
          <w:color w:val="000000" w:themeColor="text1"/>
          <w:lang w:val="en-US"/>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w:t>
      </w:r>
      <w:r w:rsidRPr="009B1F4E">
        <w:rPr>
          <w:rFonts w:ascii="Garamond" w:hAnsi="Garamond"/>
          <w:color w:val="000000" w:themeColor="text1"/>
          <w:lang w:val="en-US"/>
        </w:rPr>
        <w:t xml:space="preserve">One might be sceptical whether the exchange of proto-reasons is possible without full language. But note that even if it does, this only means that coordination around standards of correctness for </w:t>
      </w:r>
      <w:r w:rsidRPr="009B1F4E">
        <w:rPr>
          <w:rFonts w:ascii="Garamond" w:hAnsi="Garamond"/>
          <w:i/>
          <w:iCs/>
          <w:color w:val="000000" w:themeColor="text1"/>
          <w:lang w:val="en-US"/>
        </w:rPr>
        <w:t>epistemic</w:t>
      </w:r>
      <w:r w:rsidRPr="009B1F4E">
        <w:rPr>
          <w:rFonts w:ascii="Garamond" w:hAnsi="Garamond"/>
          <w:color w:val="000000" w:themeColor="text1"/>
          <w:lang w:val="en-US"/>
        </w:rPr>
        <w:t xml:space="preserve"> capacities became relevant later in human evolution. The more general point</w:t>
      </w:r>
      <w:r w:rsidR="003855B9" w:rsidRPr="009B1F4E">
        <w:rPr>
          <w:rFonts w:ascii="Garamond" w:hAnsi="Garamond"/>
          <w:color w:val="000000" w:themeColor="text1"/>
          <w:lang w:val="en-US"/>
        </w:rPr>
        <w:t>, that there was a need to coordinate on standards of correctness for cultural traits</w:t>
      </w:r>
      <w:r w:rsidR="00AC2BA9">
        <w:rPr>
          <w:rFonts w:ascii="Garamond" w:hAnsi="Garamond"/>
          <w:color w:val="000000" w:themeColor="text1"/>
          <w:lang w:val="en-US"/>
        </w:rPr>
        <w:t xml:space="preserve"> more generally</w:t>
      </w:r>
      <w:r w:rsidR="003855B9" w:rsidRPr="009B1F4E">
        <w:rPr>
          <w:rFonts w:ascii="Garamond" w:hAnsi="Garamond"/>
          <w:color w:val="000000" w:themeColor="text1"/>
          <w:lang w:val="en-US"/>
        </w:rPr>
        <w:t>,</w:t>
      </w:r>
      <w:r w:rsidRPr="009B1F4E">
        <w:rPr>
          <w:rFonts w:ascii="Garamond" w:hAnsi="Garamond"/>
          <w:color w:val="000000" w:themeColor="text1"/>
          <w:lang w:val="en-US"/>
        </w:rPr>
        <w:t xml:space="preserve"> remains.</w:t>
      </w:r>
    </w:p>
  </w:footnote>
  <w:footnote w:id="13">
    <w:p w14:paraId="5FCED872" w14:textId="67757A9F" w:rsidR="00B43E02" w:rsidRPr="009B1F4E" w:rsidRDefault="00B43E02" w:rsidP="00B43E02">
      <w:pPr>
        <w:jc w:val="both"/>
        <w:rPr>
          <w:rFonts w:ascii="Garamond" w:hAnsi="Garamond" w:cs="Calibri"/>
          <w:color w:val="000000" w:themeColor="text1"/>
          <w:sz w:val="20"/>
          <w:szCs w:val="20"/>
        </w:rPr>
      </w:pPr>
      <w:r w:rsidRPr="009B1F4E">
        <w:rPr>
          <w:rStyle w:val="Funotenzeichen"/>
          <w:rFonts w:ascii="Garamond" w:hAnsi="Garamond"/>
          <w:color w:val="000000" w:themeColor="text1"/>
          <w:sz w:val="20"/>
          <w:szCs w:val="20"/>
        </w:rPr>
        <w:footnoteRef/>
      </w:r>
      <w:r w:rsidRPr="009B1F4E">
        <w:rPr>
          <w:rFonts w:ascii="Garamond" w:hAnsi="Garamond"/>
          <w:color w:val="000000" w:themeColor="text1"/>
          <w:sz w:val="20"/>
          <w:szCs w:val="20"/>
        </w:rPr>
        <w:t xml:space="preserve"> </w:t>
      </w:r>
      <w:r w:rsidRPr="009B1F4E">
        <w:rPr>
          <w:rFonts w:ascii="Garamond" w:hAnsi="Garamond" w:cs="Calibri"/>
          <w:color w:val="000000" w:themeColor="text1"/>
          <w:sz w:val="20"/>
          <w:szCs w:val="20"/>
        </w:rPr>
        <w:t xml:space="preserve">Strategic approaches </w:t>
      </w:r>
      <w:r w:rsidRPr="009B1F4E">
        <w:rPr>
          <w:rFonts w:ascii="Garamond" w:hAnsi="Garamond" w:cs="Calibri"/>
          <w:color w:val="000000" w:themeColor="text1"/>
          <w:sz w:val="20"/>
          <w:szCs w:val="20"/>
        </w:rPr>
        <w:fldChar w:fldCharType="begin"/>
      </w:r>
      <w:r w:rsidR="004C1DC7" w:rsidRPr="009B1F4E">
        <w:rPr>
          <w:rFonts w:ascii="Garamond" w:hAnsi="Garamond" w:cs="Calibri"/>
          <w:color w:val="000000" w:themeColor="text1"/>
          <w:sz w:val="20"/>
          <w:szCs w:val="20"/>
        </w:rPr>
        <w:instrText xml:space="preserve"> ADDIN ZOTERO_ITEM CSL_CITATION {"citationID":"vDpH5LGK","properties":{"formattedCitation":"(e.g. Henrich 2015; Hoppitt and Laland 2013; Laland 2004)","plainCitation":"(e.g. Henrich 2015; Hoppitt and Laland 2013; Laland 2004)","noteIndex":13},"citationItems":[{"id":818,"uris":["http://zotero.org/users/local/jz7T3Opo/items/TWXJMDVG"],"itemData":{"id":818,"type":"book","abstract":"Humans are a puzzling species. On the one hand, we struggle to survive on our own in the wild, often failing to overcome even basic challenges, like obtaining food, building shelters, or avoiding predators. On the other hand, human groups have produced ingenious technologies, sophisticated languages, and complex institutions that have permitted us to successfully expand into a vast range of diverse environments. What has enabled us to dominate the globe, more than any other species, while remaining virtually helpless as lone individuals? This book shows that the secret of our success lies not in our innate intelligence, but in our collective brains—on the ability of human groups to socially interconnect and learn from one another over generations. Drawing insights from lost European explorers, clever chimpanzees, mobile hunter-gatherers, neuroscientific findings, ancient bones, and the human genome, Joseph Henrich demonstrates how our collective brains have propelled our species' genetic evolution and shaped our biology. Our early capacities for learning from others produced many cultural innovations, such as fire, cooking, water containers, plant knowledge, and projectile weapons, which in turn drove the expansion of our brains and altered our physiology, anatomy, and psychology in crucial ways. Later on, some collective brains generated and recombined powerful concepts, such as the lever, wheel, screw, and writing, while also creating the institutions that continue to alter our motivations and perceptions. Henrich shows how our genetics and biology are inextricably interwoven with cultural evolution, and how culture-gene interactions launched our species on an extraordinary evolutionary trajectory. Tracking clues from our ancient past to the present, The Secret of Our Success explores how the evolution of both our cultural and social natures produce a collective intelligence that explains both our species' immense success and the origins of human uniqueness.","publisher":"Princeton University Press","title":"The Secret of Our Success","author":[{"family":"Henrich","given":"Joseph"}],"issued":{"date-parts":[["2015"]]}},"prefix":"e.g."},{"id":989,"uris":["http://zotero.org/users/local/jz7T3Opo/items/2PEGIQIE"],"itemData":{"id":989,"type":"book","abstract":"Many animals, including humans, acquire valuable skills and knowledge by copying others. Scientists refer to this as social learning. It is one of the most exciting and rapidly developing areas of behavioral research and sits at the interface of many academic disciplines, including biology, experimental psychology, economics, and cognitive neuroscience. Social Learning provides a comprehensive, practical guide to the research methods of this important emerging field. William Hoppitt and Kevin Laland define the mechanisms thought to underlie social learning and demonstrate how to distinguish them experimentally in the laboratory. They present techniques for detecting and quantifying social learning in nature, including statistical modeling of the spatial distribution of behavior traits. They also describe the latest theory and empirical findings on social learning strategies, and introduce readers to mathematical methods and models used in the study of cultural evolution. This book is an indispensable tool for researchers and an essential primer for students. Provides a comprehensive, practical guide to social learning research Combines theoretical and empirical approaches Describes techniques for the laboratory and the field Covers social learning mechanisms and strategies, statistical modeling techniques for field data, mathematical modeling of cultural evolution, and more","ISBN":"978-1-4008-4650-4","language":"en","note":"DOI: 10.1515/9781400846504\ncontainer-title: Social Learning","publisher":"Princeton University Press","source":"www.degruyter.com","title":"Social Learning: An Introduction to Mechanisms, Methods, and Models","title-short":"Social Learning","URL":"https://www.degruyter.com/document/doi/10.1515/9781400846504/html?lang=de","author":[{"family":"Hoppitt","given":"William"},{"family":"Laland","given":"Kevin N."}],"accessed":{"date-parts":[["2022",4,25]]},"issued":{"date-parts":[["2013",7,21]]}}},{"id":815,"uris":["http://zotero.org/users/local/jz7T3Opo/items/VWS3ANL5"],"itemData":{"id":815,"type":"article-journal","abstract":"In most studies of social learning in animals, no attempt has been made to examine the nature of the strategy adopted by animals when they copy others. Researchers have expended considerable effort in exploring the psychological processes that underlie social learning and amassed extensive data banks recording purported social learning in the field, but the contexts under which animals copy others remain unexplored. Yet, theoretical models used to investigate the adaptive advantages of social learning lead to the conclusion that social learning cannot be indiscriminate and that individuals should adopt strategies that dictate the circumstances under which they copy others and from whom they learn. In this article, I discuss a number of possible strategies that are predicted by theoretical analyses, includingcopy when uncertain,copy the majority, andcopy if better, and consider the empirical evidence in support of each, drawing from both the animal and human social learning literature. Reliance on social learning strategies may be organized hierarchically, their being employed by animals when unlearned and asocially learned strategies prove ineffective but before animals take recourse in innovation.","container-title":"Animal Learning &amp; Behavior","DOI":"10.3758/BF03196002","ISSN":"1532-5830","issue":"1","journalAbbreviation":"Animal Learning &amp; Behavior","language":"en","page":"4-14","source":"Springer Link","title":"Social learning strategies","volume":"32","author":[{"family":"Laland","given":"Kevin N."}],"issued":{"date-parts":[["2004",2,1]]}}}],"schema":"https://github.com/citation-style-language/schema/raw/master/csl-citation.json"} </w:instrText>
      </w:r>
      <w:r w:rsidRPr="009B1F4E">
        <w:rPr>
          <w:rFonts w:ascii="Garamond" w:hAnsi="Garamond" w:cs="Calibri"/>
          <w:color w:val="000000" w:themeColor="text1"/>
          <w:sz w:val="20"/>
          <w:szCs w:val="20"/>
        </w:rPr>
        <w:fldChar w:fldCharType="separate"/>
      </w:r>
      <w:r w:rsidRPr="009B1F4E">
        <w:rPr>
          <w:rFonts w:ascii="Garamond" w:hAnsi="Garamond" w:cs="Calibri"/>
          <w:noProof/>
          <w:color w:val="000000" w:themeColor="text1"/>
          <w:sz w:val="20"/>
          <w:szCs w:val="20"/>
        </w:rPr>
        <w:t>(e.g. Henrich 2015; Hoppitt and Laland 2013; Laland 2004)</w:t>
      </w:r>
      <w:r w:rsidRPr="009B1F4E">
        <w:rPr>
          <w:rFonts w:ascii="Garamond" w:hAnsi="Garamond" w:cs="Calibri"/>
          <w:color w:val="000000" w:themeColor="text1"/>
          <w:sz w:val="20"/>
          <w:szCs w:val="20"/>
        </w:rPr>
        <w:fldChar w:fldCharType="end"/>
      </w:r>
      <w:r w:rsidRPr="009B1F4E">
        <w:rPr>
          <w:rFonts w:ascii="Garamond" w:hAnsi="Garamond" w:cs="Calibri"/>
          <w:color w:val="000000" w:themeColor="text1"/>
          <w:sz w:val="20"/>
          <w:szCs w:val="20"/>
        </w:rPr>
        <w:t xml:space="preserve"> maintain that selection (i.e. when to learn and from whom) occurs only after all the information has been taken in and evaluated in accordance with a particular (set of) rule(s). Selection thus occurs at the output stage — when the agent is said to decide in light of a rule or strategy. The mechanisms employed here are domain-specific — i.e., they’re specialised to operate within the domain of social learning. In contrast, Heyes’ attentional approach maintains that in most instances, selection is not facilitated by decisions made concerning rules specific to social learning but rather by low-level, automatic, attentional processes. The idea is that agents’ attention is differently employed — for example, they might pay more attention to prestigious individuals than others — thus allowing for social learning to be selective. The mechanisms employed here are domain-general — they’re important to all learning contexts, and we can find them in a variety of non-human animals as well. However, Heyes agrees that human social learning is</w:t>
      </w:r>
      <w:r w:rsidR="00DD0F49">
        <w:rPr>
          <w:rFonts w:ascii="Garamond" w:hAnsi="Garamond" w:cs="Calibri"/>
          <w:color w:val="000000" w:themeColor="text1"/>
          <w:sz w:val="20"/>
          <w:szCs w:val="20"/>
        </w:rPr>
        <w:t xml:space="preserve">, at least sometimes, </w:t>
      </w:r>
      <w:r w:rsidRPr="009B1F4E">
        <w:rPr>
          <w:rFonts w:ascii="Garamond" w:hAnsi="Garamond" w:cs="Calibri"/>
          <w:color w:val="000000" w:themeColor="text1"/>
          <w:sz w:val="20"/>
          <w:szCs w:val="20"/>
        </w:rPr>
        <w:t xml:space="preserve">made selective through the employment of metacognitive social learning rules: “i.e. by conscious, explicit, reportable, domain-specific rules that represent who knows” </w:t>
      </w:r>
      <w:r w:rsidRPr="009B1F4E">
        <w:rPr>
          <w:rFonts w:ascii="Garamond" w:hAnsi="Garamond" w:cs="Calibri"/>
          <w:color w:val="000000" w:themeColor="text1"/>
          <w:sz w:val="20"/>
          <w:szCs w:val="20"/>
        </w:rPr>
        <w:fldChar w:fldCharType="begin"/>
      </w:r>
      <w:r w:rsidR="004C1DC7" w:rsidRPr="009B1F4E">
        <w:rPr>
          <w:rFonts w:ascii="Garamond" w:hAnsi="Garamond" w:cs="Calibri"/>
          <w:color w:val="000000" w:themeColor="text1"/>
          <w:sz w:val="20"/>
          <w:szCs w:val="20"/>
        </w:rPr>
        <w:instrText xml:space="preserve"> ADDIN ZOTERO_ITEM CSL_CITATION {"citationID":"Cb0NT01c","properties":{"formattedCitation":"(Heyes 2018, 106)","plainCitation":"(Heyes 2018, 106)","noteIndex":13},"citationItems":[{"id":809,"uris":["http://zotero.org/users/local/jz7T3Opo/items/LD8WZRV6"],"itemData":{"id":809,"type":"book","abstract":"How did human minds become so different from those of other animals? What accounts for our capacity to understand the way the physical world works, to think ourselves into the minds of others, to gossip, read, tell stories about the past, and imagine the future? These questions are not new: they have been debated by philosophers, psychologists, anthropologists, evolutionists, and neurobiologists over the course of centuries. One explanation widely accepted today is that humans have special cognitive instincts. Unlike other living animal species, we are born with complicated mechanisms for reasoning about causation, reading the minds of others, copying behaviors, and using language. Cecilia Heyes agrees that adult humans have impressive pieces of cognitive equipment. In her framing, however, these cognitive gadgets are not instincts programmed in the genes but are constructed in the course of childhood through social interaction. Cognitive gadgets are products of cultural evolution, rather than genetic evolution. At birth, the minds of human babies are only subtly different from the minds of newborn chimpanzees. We are friendlier, our attention is drawn to different things, and we have a capacity to learn and remember that outstrips the abilities of newborn chimpanzees. Yet when these subtle differences are exposed to culture-soaked human environments, they have enormous effects. They enable us to upload distinctively human ways of thinking from the social world around us. As Cognitive Gadgets makes clear, from birth our malleable human minds can learn through culture not only what to think but how to think it.","publisher":"Harvard University Press","source":"www.degruyter.com","title":"Cognitive Gadgets","author":[{"family":"Heyes","given":"Cecilia"}],"issued":{"date-parts":[["2018"]]}},"locator":"106"}],"schema":"https://github.com/citation-style-language/schema/raw/master/csl-citation.json"} </w:instrText>
      </w:r>
      <w:r w:rsidRPr="009B1F4E">
        <w:rPr>
          <w:rFonts w:ascii="Garamond" w:hAnsi="Garamond" w:cs="Calibri"/>
          <w:color w:val="000000" w:themeColor="text1"/>
          <w:sz w:val="20"/>
          <w:szCs w:val="20"/>
        </w:rPr>
        <w:fldChar w:fldCharType="separate"/>
      </w:r>
      <w:r w:rsidRPr="009B1F4E">
        <w:rPr>
          <w:rFonts w:ascii="Garamond" w:hAnsi="Garamond" w:cs="Calibri"/>
          <w:noProof/>
          <w:color w:val="000000" w:themeColor="text1"/>
          <w:sz w:val="20"/>
          <w:szCs w:val="20"/>
        </w:rPr>
        <w:t>(Heyes 2018, 106)</w:t>
      </w:r>
      <w:r w:rsidRPr="009B1F4E">
        <w:rPr>
          <w:rFonts w:ascii="Garamond" w:hAnsi="Garamond" w:cs="Calibri"/>
          <w:color w:val="000000" w:themeColor="text1"/>
          <w:sz w:val="20"/>
          <w:szCs w:val="20"/>
        </w:rPr>
        <w:fldChar w:fldCharType="end"/>
      </w:r>
      <w:r w:rsidRPr="009B1F4E">
        <w:rPr>
          <w:rFonts w:ascii="Garamond" w:hAnsi="Garamond" w:cs="Calibri"/>
          <w:color w:val="000000" w:themeColor="text1"/>
          <w:sz w:val="20"/>
          <w:szCs w:val="20"/>
        </w:rPr>
        <w:t xml:space="preserve"> and when we should learn from them. To be clear, there are important differences between the strategic and attentional approaches, e.g. concerning selection mechanisms, evolutionary history and others, but the point here is that both subscribe to the idea that selective social learning is guided by norms of some kind.  </w:t>
      </w:r>
    </w:p>
    <w:p w14:paraId="1D5273D8" w14:textId="77777777" w:rsidR="00B43E02" w:rsidRPr="009B1F4E" w:rsidRDefault="00B43E02" w:rsidP="00B43E02">
      <w:pPr>
        <w:pStyle w:val="Funotentext"/>
        <w:rPr>
          <w:rFonts w:ascii="Garamond" w:hAnsi="Garamond"/>
          <w:color w:val="000000" w:themeColor="text1"/>
        </w:rPr>
      </w:pPr>
    </w:p>
  </w:footnote>
  <w:footnote w:id="14">
    <w:p w14:paraId="1DAE1F8C" w14:textId="56BF9D11" w:rsidR="000649A3" w:rsidRPr="009B1F4E" w:rsidRDefault="000649A3" w:rsidP="000649A3">
      <w:pPr>
        <w:pStyle w:val="Funotentext"/>
        <w:jc w:val="both"/>
        <w:rPr>
          <w:rFonts w:ascii="Garamond" w:hAnsi="Garamond"/>
          <w:color w:val="000000" w:themeColor="text1"/>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w:t>
      </w:r>
      <w:r w:rsidR="00F92058" w:rsidRPr="009B1F4E">
        <w:rPr>
          <w:rFonts w:ascii="Garamond" w:hAnsi="Garamond"/>
          <w:color w:val="000000" w:themeColor="text1"/>
        </w:rPr>
        <w:t>It should be noted that</w:t>
      </w:r>
      <w:r w:rsidRPr="009B1F4E">
        <w:rPr>
          <w:rFonts w:ascii="Garamond" w:hAnsi="Garamond"/>
          <w:color w:val="000000" w:themeColor="text1"/>
        </w:rPr>
        <w:t xml:space="preserve"> cultural conservatism </w:t>
      </w:r>
      <w:r w:rsidR="00F92058" w:rsidRPr="009B1F4E">
        <w:rPr>
          <w:rFonts w:ascii="Garamond" w:hAnsi="Garamond"/>
          <w:color w:val="000000" w:themeColor="text1"/>
        </w:rPr>
        <w:t>in toolmaking might be</w:t>
      </w:r>
      <w:r w:rsidRPr="009B1F4E">
        <w:rPr>
          <w:rFonts w:ascii="Garamond" w:hAnsi="Garamond"/>
          <w:color w:val="000000" w:themeColor="text1"/>
        </w:rPr>
        <w:t xml:space="preserve"> exaggerated, as soft material technologies and more complex tools (because of their rarity) disappear from the material record more frequently than others. There’s also documented change within Acheulean toolmaking </w:t>
      </w:r>
      <w:r w:rsidRPr="009B1F4E">
        <w:rPr>
          <w:rFonts w:ascii="Garamond" w:hAnsi="Garamond"/>
          <w:color w:val="000000" w:themeColor="text1"/>
        </w:rPr>
        <w:fldChar w:fldCharType="begin"/>
      </w:r>
      <w:r w:rsidR="00816711" w:rsidRPr="009B1F4E">
        <w:rPr>
          <w:rFonts w:ascii="Garamond" w:hAnsi="Garamond"/>
          <w:color w:val="000000" w:themeColor="text1"/>
        </w:rPr>
        <w:instrText xml:space="preserve"> ADDIN ZOTERO_ITEM CSL_CITATION {"citationID":"ISxR6yjx","properties":{"formattedCitation":"(see, e.g., Kuhn 2020)","plainCitation":"(see, e.g., Kuhn 2020)","noteIndex":14},"citationItems":[{"id":1641,"uris":["http://zotero.org/users/local/jz7T3Opo/items/PH9CUG3G"],"itemData":{"id":1641,"type":"book","abstract":"The Evolution of Paleolithic Technologies provides a novel perspective on long-term trajectories of evolutionary change in Paleolithic tools and tool-makers. \nMembers of the human lineage have been producing stone tools for more than 3 million years. These artefacts provide key evidence for important evolutionary developments in hominin behaviour and cognition. Avoiding conventional approaches based on progressive stages of development, this book instead examines global trends in six separate di","language":"en","publisher":"Routledge","title":"The Evolution of Paleolithic Technologies","URL":"https://www.routledge.com/The-Evolution-of-Paleolithic-Technologies/Kuhn/p/book/9780367140540","author":[{"family":"Kuhn","given":"Steven L."}],"accessed":{"date-parts":[["2024",3,6]]},"issued":{"date-parts":[["2020"]]}},"label":"page","prefix":"see, e.g., "}],"schema":"https://github.com/citation-style-language/schema/raw/master/csl-citation.json"} </w:instrText>
      </w:r>
      <w:r w:rsidRPr="009B1F4E">
        <w:rPr>
          <w:rFonts w:ascii="Garamond" w:hAnsi="Garamond"/>
          <w:color w:val="000000" w:themeColor="text1"/>
        </w:rPr>
        <w:fldChar w:fldCharType="separate"/>
      </w:r>
      <w:r w:rsidRPr="009B1F4E">
        <w:rPr>
          <w:rFonts w:ascii="Garamond" w:hAnsi="Garamond"/>
          <w:noProof/>
          <w:color w:val="000000" w:themeColor="text1"/>
        </w:rPr>
        <w:t>(see, e.g., Kuhn 2020)</w:t>
      </w:r>
      <w:r w:rsidRPr="009B1F4E">
        <w:rPr>
          <w:rFonts w:ascii="Garamond" w:hAnsi="Garamond"/>
          <w:color w:val="000000" w:themeColor="text1"/>
        </w:rPr>
        <w:fldChar w:fldCharType="end"/>
      </w:r>
      <w:r w:rsidRPr="009B1F4E">
        <w:rPr>
          <w:rFonts w:ascii="Garamond" w:hAnsi="Garamond"/>
          <w:color w:val="000000" w:themeColor="text1"/>
        </w:rPr>
        <w:t xml:space="preserve">. This isn’t the place to arbitrate on the degree of cultural conservatism in toolmaking.  </w:t>
      </w:r>
      <w:r w:rsidR="00F92058" w:rsidRPr="009B1F4E">
        <w:rPr>
          <w:rFonts w:ascii="Garamond" w:hAnsi="Garamond"/>
          <w:color w:val="000000" w:themeColor="text1"/>
        </w:rPr>
        <w:t xml:space="preserve">But those sceptical of the more conservative view should still appreciate the more general point I make below, that the form of cultural learning is specific to different cultural traits and likely governed by social norms. </w:t>
      </w:r>
    </w:p>
  </w:footnote>
  <w:footnote w:id="15">
    <w:p w14:paraId="79EF2B0A" w14:textId="49763276" w:rsidR="00E02CC4" w:rsidRPr="009B1F4E" w:rsidRDefault="00E02CC4">
      <w:pPr>
        <w:pStyle w:val="Funotentext"/>
        <w:rPr>
          <w:rFonts w:ascii="Garamond" w:hAnsi="Garamond"/>
          <w:color w:val="000000" w:themeColor="text1"/>
        </w:rPr>
      </w:pPr>
      <w:r w:rsidRPr="009B1F4E">
        <w:rPr>
          <w:rStyle w:val="Funotenzeichen"/>
          <w:color w:val="000000" w:themeColor="text1"/>
        </w:rPr>
        <w:footnoteRef/>
      </w:r>
      <w:r w:rsidRPr="009B1F4E">
        <w:rPr>
          <w:color w:val="000000" w:themeColor="text1"/>
        </w:rPr>
        <w:t xml:space="preserve"> </w:t>
      </w:r>
      <w:r w:rsidRPr="009B1F4E">
        <w:rPr>
          <w:rFonts w:ascii="Garamond" w:hAnsi="Garamond"/>
          <w:color w:val="000000" w:themeColor="text1"/>
        </w:rPr>
        <w:t xml:space="preserve">Presumably, some, though </w:t>
      </w:r>
      <w:r w:rsidR="00E55926" w:rsidRPr="009B1F4E">
        <w:rPr>
          <w:rFonts w:ascii="Garamond" w:hAnsi="Garamond"/>
          <w:color w:val="000000" w:themeColor="text1"/>
        </w:rPr>
        <w:t>notably</w:t>
      </w:r>
      <w:r w:rsidRPr="009B1F4E">
        <w:rPr>
          <w:rFonts w:ascii="Garamond" w:hAnsi="Garamond"/>
          <w:color w:val="000000" w:themeColor="text1"/>
        </w:rPr>
        <w:t xml:space="preserve"> not all</w:t>
      </w:r>
      <w:r w:rsidR="00E55926" w:rsidRPr="009B1F4E">
        <w:rPr>
          <w:rFonts w:ascii="Garamond" w:hAnsi="Garamond"/>
          <w:color w:val="000000" w:themeColor="text1"/>
        </w:rPr>
        <w:t>,</w:t>
      </w:r>
      <w:r w:rsidRPr="009B1F4E">
        <w:rPr>
          <w:rFonts w:ascii="Garamond" w:hAnsi="Garamond"/>
          <w:color w:val="000000" w:themeColor="text1"/>
        </w:rPr>
        <w:t xml:space="preserve"> early instances of cumulative culture were indeed attainable via the kinds of comparatively simple learning strategies I describe above. However, we do see </w:t>
      </w:r>
      <w:r w:rsidRPr="009B1F4E">
        <w:rPr>
          <w:rFonts w:ascii="Garamond" w:hAnsi="Garamond"/>
          <w:color w:val="000000" w:themeColor="text1"/>
        </w:rPr>
        <w:t xml:space="preserve">fairly complex tools and evidence of big game hunting — both </w:t>
      </w:r>
      <w:r w:rsidR="0006686F">
        <w:rPr>
          <w:rFonts w:ascii="Garamond" w:hAnsi="Garamond"/>
          <w:color w:val="000000" w:themeColor="text1"/>
        </w:rPr>
        <w:t xml:space="preserve">require </w:t>
      </w:r>
      <w:r w:rsidRPr="009B1F4E">
        <w:rPr>
          <w:rFonts w:ascii="Garamond" w:hAnsi="Garamond"/>
          <w:color w:val="000000" w:themeColor="text1"/>
        </w:rPr>
        <w:t xml:space="preserve">fairly complex skills — </w:t>
      </w:r>
      <w:r w:rsidR="008C4626" w:rsidRPr="009B1F4E">
        <w:rPr>
          <w:rFonts w:ascii="Garamond" w:hAnsi="Garamond"/>
          <w:color w:val="000000" w:themeColor="text1"/>
        </w:rPr>
        <w:t>from relatively early in human evolution</w:t>
      </w:r>
      <w:r w:rsidRPr="009B1F4E">
        <w:rPr>
          <w:rFonts w:ascii="Garamond" w:hAnsi="Garamond"/>
          <w:color w:val="000000" w:themeColor="text1"/>
        </w:rPr>
        <w:t xml:space="preserve"> as well. This favours a picture where a mixture of learning strategies was employed — what strategy was chosen depends on the kinds of contextual factors that I discuss.</w:t>
      </w:r>
    </w:p>
  </w:footnote>
  <w:footnote w:id="16">
    <w:p w14:paraId="2C9DB74D" w14:textId="5F9390BF" w:rsidR="00033BD3" w:rsidRPr="009B1F4E" w:rsidRDefault="00033BD3">
      <w:pPr>
        <w:pStyle w:val="Funotentext"/>
        <w:rPr>
          <w:rFonts w:ascii="Garamond" w:hAnsi="Garamond"/>
          <w:color w:val="000000" w:themeColor="text1"/>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My thanks to an anonymous reviewer for pushing me on this point.</w:t>
      </w:r>
    </w:p>
  </w:footnote>
  <w:footnote w:id="17">
    <w:p w14:paraId="28ECF4BA" w14:textId="258F82B0" w:rsidR="006F0A49" w:rsidRPr="009B1F4E" w:rsidRDefault="006F0A49" w:rsidP="006F0A49">
      <w:pPr>
        <w:pStyle w:val="Funotentext"/>
        <w:jc w:val="both"/>
        <w:rPr>
          <w:rFonts w:ascii="Garamond" w:hAnsi="Garamond"/>
          <w:color w:val="000000" w:themeColor="text1"/>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I take it the following points are also valid for the content of cultural norms: Here</w:t>
      </w:r>
      <w:r w:rsidR="00A334FC">
        <w:rPr>
          <w:rFonts w:ascii="Garamond" w:hAnsi="Garamond"/>
          <w:color w:val="000000" w:themeColor="text1"/>
        </w:rPr>
        <w:t>,</w:t>
      </w:r>
      <w:r w:rsidRPr="009B1F4E">
        <w:rPr>
          <w:rFonts w:ascii="Garamond" w:hAnsi="Garamond"/>
          <w:color w:val="000000" w:themeColor="text1"/>
        </w:rPr>
        <w:t xml:space="preserve"> too</w:t>
      </w:r>
      <w:r w:rsidR="00A334FC">
        <w:rPr>
          <w:rFonts w:ascii="Garamond" w:hAnsi="Garamond"/>
          <w:color w:val="000000" w:themeColor="text1"/>
        </w:rPr>
        <w:t>,</w:t>
      </w:r>
      <w:r w:rsidRPr="009B1F4E">
        <w:rPr>
          <w:rFonts w:ascii="Garamond" w:hAnsi="Garamond"/>
          <w:color w:val="000000" w:themeColor="text1"/>
        </w:rPr>
        <w:t xml:space="preserve"> we find patterns regarding the contents of cultural learning — that certain cultural traits are transmitted in some groups and others elsewhere. Again, I take it that this is reflective of the ways in which social groups coordinated on their range of relevance, i.e. which traits agents are supposed to acquire.</w:t>
      </w:r>
    </w:p>
  </w:footnote>
  <w:footnote w:id="18">
    <w:p w14:paraId="2F7573F7" w14:textId="52956BDD" w:rsidR="009115FC" w:rsidRPr="009B1F4E" w:rsidRDefault="009115FC" w:rsidP="009A1E73">
      <w:pPr>
        <w:pStyle w:val="Funotentext"/>
        <w:jc w:val="both"/>
        <w:rPr>
          <w:rFonts w:ascii="Garamond" w:hAnsi="Garamond"/>
          <w:color w:val="000000" w:themeColor="text1"/>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There’s another, less important difference:</w:t>
      </w:r>
      <w:r w:rsidRPr="009B1F4E">
        <w:rPr>
          <w:rFonts w:ascii="Garamond" w:hAnsi="Garamond" w:cs="Calibri"/>
          <w:color w:val="000000" w:themeColor="text1"/>
        </w:rPr>
        <w:t xml:space="preserve"> On Birch’s account, norms are represented in the pattern of mismatches that trigger affective pressure — so it’s the cognitive control models that implicitly and inflexibly encode norms. On the view I prefer, norms rather stand in relation to (shared) goods or goals. I’m, however, happy to say that cognitive control models are responsible for </w:t>
      </w:r>
      <w:r w:rsidR="009468EB" w:rsidRPr="009B1F4E">
        <w:rPr>
          <w:rFonts w:ascii="Garamond" w:hAnsi="Garamond" w:cs="Calibri"/>
          <w:color w:val="000000" w:themeColor="text1"/>
        </w:rPr>
        <w:t>pursuing</w:t>
      </w:r>
      <w:r w:rsidRPr="009B1F4E">
        <w:rPr>
          <w:rFonts w:ascii="Garamond" w:hAnsi="Garamond" w:cs="Calibri"/>
          <w:color w:val="000000" w:themeColor="text1"/>
        </w:rPr>
        <w:t xml:space="preserve"> these goods or goals </w:t>
      </w:r>
      <w:r w:rsidRPr="009B1F4E">
        <w:rPr>
          <w:rFonts w:ascii="Garamond" w:hAnsi="Garamond" w:cs="Calibri"/>
          <w:color w:val="000000" w:themeColor="text1"/>
        </w:rPr>
        <w:fldChar w:fldCharType="begin"/>
      </w:r>
      <w:r w:rsidR="00816711" w:rsidRPr="009B1F4E">
        <w:rPr>
          <w:rFonts w:ascii="Garamond" w:hAnsi="Garamond" w:cs="Calibri"/>
          <w:color w:val="000000" w:themeColor="text1"/>
        </w:rPr>
        <w:instrText xml:space="preserve"> ADDIN ZOTERO_ITEM CSL_CITATION {"citationID":"ZVYmFcmO","properties":{"formattedCitation":"(see Railton 2021 or; Tomasello 2014 for a view similar to this)","plainCitation":"(see Railton 2021 or; Tomasello 2014 for a view similar to this)","noteIndex":18},"citationItems":[{"id":1048,"uris":["http://zotero.org/users/local/jz7T3Opo/items/WTBIT3W2"],"itemData":{"id":1048,"type":"article-journal","abstract":"At least since Aristotle, practical skill has been thought to be a possible model for individual ethical development and action. Jonathan Birch’s ambitious proposal is that practical skill and tool-use might also have played a central role in the historical emergence and evolution of our very capacity for normative guidance. Birch argues that human acquisition of motor skill, for example in making and using tools, involves formation of an internal standard of correct performance, which serves as a basis for normative guidance in skilled thought and action, and in the social transfer of skills. I suggest that evaluative modeling, guidance, and learning play a more basic role in motor skill than standards of correctness as such-indeed, such standards can provide effective normative guidance thanks to being embedded within evaluative modeling and guidance. This picture better fits the evidence Birch cites of the flexibility, adaptability, and creativity of skills, and can support a generalized version of Birch’s ‘skill hypothesis’.","container-title":"Analyse &amp; Kritik","DOI":"10.1515/auk-2021-0014","ISSN":"2365-9858","issue":"1","language":"de","note":"publisher: De Gruyter Oldenbourg","page":"235-252","source":"www.degruyter.com","title":"Normative Guidance, Evaluative Guidance, and Skill","volume":"43","author":[{"family":"Railton","given":"Peter"}],"issued":{"date-parts":[["2021",6,1]]}},"label":"page","prefix":"see","suffix":"or"},{"id":810,"uris":["http://zotero.org/users/local/jz7T3Opo/items/GTI7FTAL"],"itemData":{"id":810,"type":"book","abstract":"Tool-making or culture, language or religious belief: ever since Darwin, thinkers have struggled to identify what fundamentally differentiates human beings from other animals. Michael Tomasello weaves his twenty years of comparative studies of humans and great apes into a compelling argument that cooperative social interaction is the key to our cognitive uniqueness. Tomasello maintains that our prehuman ancestors, like today's great apes, were social beings who could solve problems by thinking. But they were almost entirely competitive, aiming only at their individual goals. As ecological changes forced them into more cooperative living arrangements, early humans had to coordinate their actions and communicate their thoughts with collaborative partners. Tomasello's \"shared intentionality hypothesis\" captures how these more socially complex forms of life led to more conceptually complex forms of thinking. In order to survive, humans had to learn to see the world from multiple social perspectives, to draw socially recursive inferences, and to monitor their own thinking via the normative standards of the group. Even language and culture arose from the preexisting need to work together and coordinate thoughts. A Natural History of Human Thinking is the most detailed scientific analysis to date of the connection between human sociality and cognition.","ISBN":"978-0-674-72636-9","language":"en","note":"container-title: A Natural History of Human Thinking","publisher":"Harvard University Press","source":"www.degruyter.com","title":"A Natural History of Human Thinking","URL":"https://www.degruyter.com/document/doi/10.4159/9780674726369/html","author":[{"family":"Tomasello","given":"Michael"}],"accessed":{"date-parts":[["2021",7,29]]},"issued":{"date-parts":[["2014",2,17]]}},"label":"page","suffix":"for a view similar to this"}],"schema":"https://github.com/citation-style-language/schema/raw/master/csl-citation.json"}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(see Railton 2021 or; Tomasello 2014 for a view similar to this)</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Birch </w:t>
      </w:r>
      <w:r w:rsidRPr="009B1F4E">
        <w:rPr>
          <w:rFonts w:ascii="Garamond" w:hAnsi="Garamond" w:cs="Calibri"/>
          <w:color w:val="000000" w:themeColor="text1"/>
        </w:rPr>
        <w:fldChar w:fldCharType="begin"/>
      </w:r>
      <w:r w:rsidR="00816711" w:rsidRPr="009B1F4E">
        <w:rPr>
          <w:rFonts w:ascii="Garamond" w:hAnsi="Garamond" w:cs="Calibri"/>
          <w:color w:val="000000" w:themeColor="text1"/>
        </w:rPr>
        <w:instrText xml:space="preserve"> ADDIN ZOTERO_ITEM CSL_CITATION {"citationID":"Y4IxLw1V","properties":{"formattedCitation":"(2021b)","plainCitation":"(2021b)","noteIndex":18},"citationItems":[{"id":1046,"uris":["http://zotero.org/users/local/jz7T3Opo/items/AZKXM8JG"],"itemData":{"id":1046,"type":"article-journal","abstract":"I reflect on the commentaries on my ‘skill hypothesis’ from Andrews/Westra, Tomasello, Sterelny, and Railton. I discuss the difference between normative cognition and the broader category of action-guiding representation, and I reflect on the relationship between joint intentionality and normative cognition. I then consider Sterelny and Railton’s variants on the skill hypothesis, which highlight some important areas where future evidence could help us refine the account: the relative importance of on-the-fly skill execution vs. longer-term strategizing, the relative importance of toolmaking vs. collaborative foraging, and the question of whether norms are encoded in control models themselves or in the goals and ideals that our control models help us pursue.","container-title":"Analyse &amp; Kritik","DOI":"10.1515/auk-2021-0015","ISSN":"2365-9858","issue":"1","language":"de","note":"publisher: De Gruyter Oldenbourg","page":"253-260","source":"www.degruyter.com","title":"Refining the Skill Hypothesis: Replies to Andrews/Westra, Tomasello, Sterelny, and Railton","title-short":"Refining the Skill Hypothesis","volume":"43","author":[{"family":"Birch","given":"Jonathan"}],"issued":{"date-parts":[["2021",6,1]]}},"label":"page","suppress-author":true}],"schema":"https://github.com/citation-style-language/schema/raw/master/csl-citation.json"} </w:instrText>
      </w:r>
      <w:r w:rsidRPr="009B1F4E">
        <w:rPr>
          <w:rFonts w:ascii="Garamond" w:hAnsi="Garamond" w:cs="Calibri"/>
          <w:color w:val="000000" w:themeColor="text1"/>
        </w:rPr>
        <w:fldChar w:fldCharType="separate"/>
      </w:r>
      <w:r w:rsidRPr="009B1F4E">
        <w:rPr>
          <w:rFonts w:ascii="Garamond" w:hAnsi="Garamond" w:cs="Calibri"/>
          <w:noProof/>
          <w:color w:val="000000" w:themeColor="text1"/>
        </w:rPr>
        <w:t>(2021b)</w:t>
      </w:r>
      <w:r w:rsidRPr="009B1F4E">
        <w:rPr>
          <w:rFonts w:ascii="Garamond" w:hAnsi="Garamond" w:cs="Calibri"/>
          <w:color w:val="000000" w:themeColor="text1"/>
        </w:rPr>
        <w:fldChar w:fldCharType="end"/>
      </w:r>
      <w:r w:rsidRPr="009B1F4E">
        <w:rPr>
          <w:rFonts w:ascii="Garamond" w:hAnsi="Garamond" w:cs="Calibri"/>
          <w:color w:val="000000" w:themeColor="text1"/>
        </w:rPr>
        <w:t xml:space="preserve"> has acknowledged this </w:t>
      </w:r>
      <w:r w:rsidR="009468EB" w:rsidRPr="009B1F4E">
        <w:rPr>
          <w:rFonts w:ascii="Garamond" w:hAnsi="Garamond" w:cs="Calibri"/>
          <w:color w:val="000000" w:themeColor="text1"/>
        </w:rPr>
        <w:t>as</w:t>
      </w:r>
      <w:r w:rsidRPr="009B1F4E">
        <w:rPr>
          <w:rFonts w:ascii="Garamond" w:hAnsi="Garamond" w:cs="Calibri"/>
          <w:color w:val="000000" w:themeColor="text1"/>
        </w:rPr>
        <w:t xml:space="preserve"> a legitimate and closely related variant of his view, so I won’t further discuss this.</w:t>
      </w:r>
    </w:p>
  </w:footnote>
  <w:footnote w:id="19">
    <w:p w14:paraId="47EE9E93" w14:textId="45574223" w:rsidR="009115FC" w:rsidRPr="009B1F4E" w:rsidRDefault="009115FC" w:rsidP="009A1E73">
      <w:pPr>
        <w:pStyle w:val="Funotentext"/>
        <w:jc w:val="both"/>
        <w:rPr>
          <w:rFonts w:ascii="Garamond" w:hAnsi="Garamond"/>
          <w:color w:val="000000" w:themeColor="text1"/>
          <w:lang w:val="en-US"/>
        </w:rPr>
      </w:pPr>
      <w:r w:rsidRPr="009B1F4E">
        <w:rPr>
          <w:rStyle w:val="Funotenzeichen"/>
          <w:rFonts w:ascii="Garamond" w:hAnsi="Garamond"/>
          <w:color w:val="000000" w:themeColor="text1"/>
        </w:rPr>
        <w:footnoteRef/>
      </w:r>
      <w:r w:rsidRPr="009B1F4E">
        <w:rPr>
          <w:rFonts w:ascii="Garamond" w:hAnsi="Garamond"/>
          <w:color w:val="000000" w:themeColor="text1"/>
        </w:rPr>
        <w:t xml:space="preserve"> </w:t>
      </w:r>
      <w:r w:rsidRPr="009B1F4E">
        <w:rPr>
          <w:rFonts w:ascii="Garamond" w:hAnsi="Garamond"/>
          <w:color w:val="000000" w:themeColor="text1"/>
          <w:lang w:val="en-US"/>
        </w:rPr>
        <w:t>This ignores cooperative breeding</w:t>
      </w:r>
      <w:r w:rsidR="00DA6234" w:rsidRPr="009B1F4E">
        <w:rPr>
          <w:rFonts w:ascii="Garamond" w:hAnsi="Garamond"/>
          <w:color w:val="000000" w:themeColor="text1"/>
          <w:lang w:val="en-US"/>
        </w:rPr>
        <w:t>,</w:t>
      </w:r>
      <w:r w:rsidRPr="009B1F4E">
        <w:rPr>
          <w:rFonts w:ascii="Garamond" w:hAnsi="Garamond"/>
          <w:color w:val="000000" w:themeColor="text1"/>
          <w:lang w:val="en-US"/>
        </w:rPr>
        <w:t xml:space="preserve"> which might also have posed coordination-problems </w:t>
      </w:r>
      <w:r w:rsidRPr="009B1F4E">
        <w:rPr>
          <w:rFonts w:ascii="Garamond" w:hAnsi="Garamond"/>
          <w:color w:val="000000" w:themeColor="text1"/>
          <w:lang w:val="en-US"/>
        </w:rPr>
        <w:fldChar w:fldCharType="begin"/>
      </w:r>
      <w:r w:rsidR="00816711" w:rsidRPr="009B1F4E">
        <w:rPr>
          <w:rFonts w:ascii="Garamond" w:hAnsi="Garamond"/>
          <w:color w:val="000000" w:themeColor="text1"/>
          <w:lang w:val="en-US"/>
        </w:rPr>
        <w:instrText xml:space="preserve"> ADDIN ZOTERO_ITEM CSL_CITATION {"citationID":"doT6qps1","properties":{"formattedCitation":"(Burkart, Hrdy, and Van Schaik 2009)","plainCitation":"(Burkart, Hrdy, and Van Schaik 2009)","noteIndex":19},"citationItems":[{"id":1262,"uris":["http://zotero.org/users/local/jz7T3Opo/items/T22H3A7D"],"itemData":{"id":1262,"type":"article-journal","abstract":"Despite sharing a recent common ancestor, humans are surprisingly different from other great apes. The most obvious discontinuities are related to our cognitive abilities, including language, but we also have a markedly different, cooperative breeding system. Among many nonhuman primates and mammals in general, cooperative breeding is accompanied by psychological changes leading to greater prosociality, which directly enhances performance in social cognition. Here we propose that these cognitive consequences of cooperative breeding could have become more pervasive in the human lineage because the psychological changes were added to an ape-level cognitive system capable of understanding simple mental states, albeit mainly in competitive contexts. Once more prosocial motivations were added, these cognitive abilities could also be used for cooperative purposes, including a willingness to share mental states, thereby enabling the emergence of shared intentionality. Shared intentionality has been identified as the original source of many uniquely human cognitive abilities, including cumulative culture and language. Shared intentionality rests on a fundamentally prosocial disposition that is strikingly absent in chimpanzees, but present in cooperatively breeding primates. Thus, our hypothesis is that while chimpanzees and perhaps all great apes exhibit many of the important cognitive preconditions for uniquely human mental capacities to evolve, they lack the psychological preconditions. In humans, we argue, the two components merged, the cognitive component due to common descent from ape ancestors and the motivational component due to convergent evolution of traits typical of many cooperative breeders.","container-title":"Evolutionary Anthropology: Issues, News, and Reviews","DOI":"10.1002/evan.20222","ISSN":"1520-6505","issue":"5","language":"en","note":"_eprint: https://onlinelibrary.wiley.com/doi/pdf/10.1002/evan.20222","page":"175-186","source":"Wiley Online Library","title":"Cooperative breeding and human cognitive evolution","volume":"18","author":[{"family":"Burkart","given":"J. M."},{"family":"Hrdy","given":"S. B."},{"family":"Van Schaik","given":"C. P."}],"issued":{"date-parts":[["2009"]]}}}],"schema":"https://github.com/citation-style-language/schema/raw/master/csl-citation.json"} </w:instrText>
      </w:r>
      <w:r w:rsidRPr="009B1F4E">
        <w:rPr>
          <w:rFonts w:ascii="Garamond" w:hAnsi="Garamond"/>
          <w:color w:val="000000" w:themeColor="text1"/>
          <w:lang w:val="en-US"/>
        </w:rPr>
        <w:fldChar w:fldCharType="separate"/>
      </w:r>
      <w:r w:rsidRPr="009B1F4E">
        <w:rPr>
          <w:rFonts w:ascii="Garamond" w:hAnsi="Garamond"/>
          <w:noProof/>
          <w:color w:val="000000" w:themeColor="text1"/>
          <w:lang w:val="en-US"/>
        </w:rPr>
        <w:t>(Burkart, Hrdy, and Van Schaik 2009)</w:t>
      </w:r>
      <w:r w:rsidRPr="009B1F4E">
        <w:rPr>
          <w:rFonts w:ascii="Garamond" w:hAnsi="Garamond"/>
          <w:color w:val="000000" w:themeColor="text1"/>
          <w:lang w:val="en-US"/>
        </w:rPr>
        <w:fldChar w:fldCharType="end"/>
      </w:r>
      <w:r w:rsidR="009B1F4E">
        <w:rPr>
          <w:rFonts w:ascii="Garamond" w:hAnsi="Garamond"/>
          <w:color w:val="000000" w:themeColor="text1"/>
          <w:lang w:val="en-US"/>
        </w:rPr>
        <w:t xml:space="preserve">. Similar points also apply to big game hunting, as </w:t>
      </w:r>
      <w:r w:rsidR="009B1F4E">
        <w:rPr>
          <w:rFonts w:ascii="Garamond" w:hAnsi="Garamond"/>
          <w:color w:val="000000" w:themeColor="text1"/>
          <w:lang w:val="en-US"/>
        </w:rPr>
        <w:t xml:space="preserve">Sterelny </w:t>
      </w:r>
      <w:r w:rsidR="009B1F4E">
        <w:rPr>
          <w:rFonts w:ascii="Garamond" w:hAnsi="Garamond"/>
          <w:color w:val="000000" w:themeColor="text1"/>
          <w:lang w:val="en-US"/>
        </w:rPr>
        <w:fldChar w:fldCharType="begin"/>
      </w:r>
      <w:r w:rsidR="009B1F4E">
        <w:rPr>
          <w:rFonts w:ascii="Garamond" w:hAnsi="Garamond"/>
          <w:color w:val="000000" w:themeColor="text1"/>
          <w:lang w:val="en-US"/>
        </w:rPr>
        <w:instrText xml:space="preserve"> ADDIN ZOTERO_ITEM CSL_CITATION {"citationID":"ZZjuRW0e","properties":{"formattedCitation":"(2021a)","plainCitation":"(2021a)","noteIndex":19},"citationItems":[{"id":1657,"uris":["http://zotero.org/users/local/jz7T3Opo/items/55XTKY8N"],"itemData":{"id":1657,"type":"article-journal","abstract":"Abstract\n            The basic idea of Birch’s analysis is plausible: normative guidance began in agents’ assessment of their own craft skills. But I suggest developing that idea in a different way. I suggest that proto-normative affect plays its guiding role diachronically, in the development of those skills, rather than synchronically, in modulating their moment-by-moment execution. More importantly, I suggest a different pathway to normative affect’s direction at second and third parties. Normative response became social in the context of skilled collaborative activities, for in those activities others’ failures have material consequences for each agent. In such collaborations, all have reason to care about others’ skill, or lack of it.","container-title":"Analyse &amp; Kritik","DOI":"10.1515/auk-2021-0013","ISSN":"2365-9858, 0171-5860","issue":"1","language":"en","page":"225-234","source":"DOI.org (Crossref)","title":"The Skill Hypothesis: A Variant","title-short":"The Skill Hypothesis","volume":"43","author":[{"family":"Sterelny","given":"Kim"}],"issued":{"date-parts":[["2021",6,1]]}},"label":"page","suppress-author":true}],"schema":"https://github.com/citation-style-language/schema/raw/master/csl-citation.json"} </w:instrText>
      </w:r>
      <w:r w:rsidR="009B1F4E">
        <w:rPr>
          <w:rFonts w:ascii="Garamond" w:hAnsi="Garamond"/>
          <w:color w:val="000000" w:themeColor="text1"/>
          <w:lang w:val="en-US"/>
        </w:rPr>
        <w:fldChar w:fldCharType="separate"/>
      </w:r>
      <w:r w:rsidR="009B1F4E">
        <w:rPr>
          <w:rFonts w:ascii="Garamond" w:hAnsi="Garamond"/>
          <w:noProof/>
          <w:color w:val="000000" w:themeColor="text1"/>
          <w:lang w:val="en-US"/>
        </w:rPr>
        <w:t>(2021a)</w:t>
      </w:r>
      <w:r w:rsidR="009B1F4E">
        <w:rPr>
          <w:rFonts w:ascii="Garamond" w:hAnsi="Garamond"/>
          <w:color w:val="000000" w:themeColor="text1"/>
          <w:lang w:val="en-US"/>
        </w:rPr>
        <w:fldChar w:fldCharType="end"/>
      </w:r>
      <w:r w:rsidR="009B1F4E">
        <w:rPr>
          <w:rFonts w:ascii="Garamond" w:hAnsi="Garamond"/>
          <w:color w:val="000000" w:themeColor="text1"/>
          <w:lang w:val="en-US"/>
        </w:rPr>
        <w:t>discusses.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45E"/>
    <w:multiLevelType w:val="hybridMultilevel"/>
    <w:tmpl w:val="59543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2757E7"/>
    <w:multiLevelType w:val="hybridMultilevel"/>
    <w:tmpl w:val="B426C52A"/>
    <w:lvl w:ilvl="0" w:tplc="D29E97D0">
      <w:start w:val="3"/>
      <w:numFmt w:val="bullet"/>
      <w:lvlText w:val="-"/>
      <w:lvlJc w:val="left"/>
      <w:pPr>
        <w:ind w:left="644" w:hanging="360"/>
      </w:pPr>
      <w:rPr>
        <w:rFonts w:ascii="Garamond" w:eastAsia="Times New Roman" w:hAnsi="Garamond" w:cs="Calibri"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23A408D6"/>
    <w:multiLevelType w:val="hybridMultilevel"/>
    <w:tmpl w:val="78664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825262"/>
    <w:multiLevelType w:val="multilevel"/>
    <w:tmpl w:val="AB30D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5C703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37151E"/>
    <w:multiLevelType w:val="multilevel"/>
    <w:tmpl w:val="AB30D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814DA7"/>
    <w:multiLevelType w:val="hybridMultilevel"/>
    <w:tmpl w:val="C69CF77A"/>
    <w:lvl w:ilvl="0" w:tplc="04070013">
      <w:start w:val="1"/>
      <w:numFmt w:val="upperRoman"/>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60F4FF2"/>
    <w:multiLevelType w:val="multilevel"/>
    <w:tmpl w:val="AB30D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8E4FA1"/>
    <w:multiLevelType w:val="multilevel"/>
    <w:tmpl w:val="AB30D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CE3BC6"/>
    <w:multiLevelType w:val="hybridMultilevel"/>
    <w:tmpl w:val="B50E61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6804044">
    <w:abstractNumId w:val="5"/>
  </w:num>
  <w:num w:numId="2" w16cid:durableId="1244995675">
    <w:abstractNumId w:val="7"/>
  </w:num>
  <w:num w:numId="3" w16cid:durableId="469135542">
    <w:abstractNumId w:val="6"/>
  </w:num>
  <w:num w:numId="4" w16cid:durableId="1344824258">
    <w:abstractNumId w:val="3"/>
  </w:num>
  <w:num w:numId="5" w16cid:durableId="967972292">
    <w:abstractNumId w:val="9"/>
  </w:num>
  <w:num w:numId="6" w16cid:durableId="243422603">
    <w:abstractNumId w:val="8"/>
  </w:num>
  <w:num w:numId="7" w16cid:durableId="1954902160">
    <w:abstractNumId w:val="0"/>
  </w:num>
  <w:num w:numId="8" w16cid:durableId="2096169695">
    <w:abstractNumId w:val="4"/>
  </w:num>
  <w:num w:numId="9" w16cid:durableId="488207210">
    <w:abstractNumId w:val="1"/>
  </w:num>
  <w:num w:numId="10" w16cid:durableId="778184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6E"/>
    <w:rsid w:val="00005FA8"/>
    <w:rsid w:val="00011CBB"/>
    <w:rsid w:val="00014F02"/>
    <w:rsid w:val="0002408A"/>
    <w:rsid w:val="00025E7D"/>
    <w:rsid w:val="00025F00"/>
    <w:rsid w:val="00033BD3"/>
    <w:rsid w:val="000501D9"/>
    <w:rsid w:val="00061DCC"/>
    <w:rsid w:val="000649A3"/>
    <w:rsid w:val="0006686F"/>
    <w:rsid w:val="000700ED"/>
    <w:rsid w:val="0007240D"/>
    <w:rsid w:val="0007417B"/>
    <w:rsid w:val="0007576D"/>
    <w:rsid w:val="00077D8E"/>
    <w:rsid w:val="00081800"/>
    <w:rsid w:val="000839F6"/>
    <w:rsid w:val="00084766"/>
    <w:rsid w:val="000858B9"/>
    <w:rsid w:val="00085AF9"/>
    <w:rsid w:val="0008637A"/>
    <w:rsid w:val="00092431"/>
    <w:rsid w:val="000932DD"/>
    <w:rsid w:val="0009383C"/>
    <w:rsid w:val="00096FC0"/>
    <w:rsid w:val="000B5A82"/>
    <w:rsid w:val="000C70ED"/>
    <w:rsid w:val="000D635C"/>
    <w:rsid w:val="00104D28"/>
    <w:rsid w:val="00137204"/>
    <w:rsid w:val="00150E51"/>
    <w:rsid w:val="00152B25"/>
    <w:rsid w:val="00164BDB"/>
    <w:rsid w:val="00174753"/>
    <w:rsid w:val="00177583"/>
    <w:rsid w:val="00181D34"/>
    <w:rsid w:val="00184412"/>
    <w:rsid w:val="00186697"/>
    <w:rsid w:val="001B2844"/>
    <w:rsid w:val="001B3EB7"/>
    <w:rsid w:val="001C0042"/>
    <w:rsid w:val="001C673D"/>
    <w:rsid w:val="001D400C"/>
    <w:rsid w:val="001D546F"/>
    <w:rsid w:val="001D5B9B"/>
    <w:rsid w:val="001E3F5D"/>
    <w:rsid w:val="001F184A"/>
    <w:rsid w:val="001F64B7"/>
    <w:rsid w:val="0020264E"/>
    <w:rsid w:val="00204B23"/>
    <w:rsid w:val="00205D66"/>
    <w:rsid w:val="00210B06"/>
    <w:rsid w:val="0021104F"/>
    <w:rsid w:val="0022467A"/>
    <w:rsid w:val="00232D48"/>
    <w:rsid w:val="00234F2A"/>
    <w:rsid w:val="00243578"/>
    <w:rsid w:val="002531E8"/>
    <w:rsid w:val="00275706"/>
    <w:rsid w:val="002836F3"/>
    <w:rsid w:val="00284461"/>
    <w:rsid w:val="002863C8"/>
    <w:rsid w:val="00293722"/>
    <w:rsid w:val="002B0144"/>
    <w:rsid w:val="002B3562"/>
    <w:rsid w:val="002B675D"/>
    <w:rsid w:val="002E3CE7"/>
    <w:rsid w:val="002E5960"/>
    <w:rsid w:val="002F50E9"/>
    <w:rsid w:val="0030485C"/>
    <w:rsid w:val="00316DCF"/>
    <w:rsid w:val="0033690A"/>
    <w:rsid w:val="00337641"/>
    <w:rsid w:val="00347F80"/>
    <w:rsid w:val="00350A1E"/>
    <w:rsid w:val="003571FD"/>
    <w:rsid w:val="003809B4"/>
    <w:rsid w:val="003817C9"/>
    <w:rsid w:val="003855B9"/>
    <w:rsid w:val="0039165A"/>
    <w:rsid w:val="003932F5"/>
    <w:rsid w:val="003B61F7"/>
    <w:rsid w:val="003D10DD"/>
    <w:rsid w:val="003E5F44"/>
    <w:rsid w:val="003F74C0"/>
    <w:rsid w:val="004004A6"/>
    <w:rsid w:val="0043377F"/>
    <w:rsid w:val="00441209"/>
    <w:rsid w:val="00441E72"/>
    <w:rsid w:val="004505F0"/>
    <w:rsid w:val="00466314"/>
    <w:rsid w:val="004714F6"/>
    <w:rsid w:val="00472529"/>
    <w:rsid w:val="00482911"/>
    <w:rsid w:val="004864B2"/>
    <w:rsid w:val="0049543B"/>
    <w:rsid w:val="00497B29"/>
    <w:rsid w:val="004A1153"/>
    <w:rsid w:val="004A136E"/>
    <w:rsid w:val="004A3940"/>
    <w:rsid w:val="004A42AF"/>
    <w:rsid w:val="004B298C"/>
    <w:rsid w:val="004B77CA"/>
    <w:rsid w:val="004C1DC7"/>
    <w:rsid w:val="004C2D2A"/>
    <w:rsid w:val="004C5B32"/>
    <w:rsid w:val="004D0E12"/>
    <w:rsid w:val="004D5966"/>
    <w:rsid w:val="004E0678"/>
    <w:rsid w:val="004E3AFB"/>
    <w:rsid w:val="004E7804"/>
    <w:rsid w:val="004F4468"/>
    <w:rsid w:val="004F776E"/>
    <w:rsid w:val="0050162B"/>
    <w:rsid w:val="00505E66"/>
    <w:rsid w:val="0051198A"/>
    <w:rsid w:val="00513504"/>
    <w:rsid w:val="00516E46"/>
    <w:rsid w:val="005271E9"/>
    <w:rsid w:val="005310DB"/>
    <w:rsid w:val="0053694E"/>
    <w:rsid w:val="00536C62"/>
    <w:rsid w:val="00547DBA"/>
    <w:rsid w:val="00556438"/>
    <w:rsid w:val="00562BCD"/>
    <w:rsid w:val="00563046"/>
    <w:rsid w:val="00563557"/>
    <w:rsid w:val="00567CC2"/>
    <w:rsid w:val="00582652"/>
    <w:rsid w:val="005855DE"/>
    <w:rsid w:val="005906EA"/>
    <w:rsid w:val="0059225E"/>
    <w:rsid w:val="00595E95"/>
    <w:rsid w:val="005A140E"/>
    <w:rsid w:val="005A6905"/>
    <w:rsid w:val="005B07C6"/>
    <w:rsid w:val="005B5F02"/>
    <w:rsid w:val="005D6A4B"/>
    <w:rsid w:val="005E6380"/>
    <w:rsid w:val="00603D49"/>
    <w:rsid w:val="00617F6E"/>
    <w:rsid w:val="0062157A"/>
    <w:rsid w:val="0063286D"/>
    <w:rsid w:val="00644719"/>
    <w:rsid w:val="006507E9"/>
    <w:rsid w:val="006542F6"/>
    <w:rsid w:val="006830CC"/>
    <w:rsid w:val="00687C6E"/>
    <w:rsid w:val="006925E6"/>
    <w:rsid w:val="006A7C49"/>
    <w:rsid w:val="006B13D3"/>
    <w:rsid w:val="006B2BE5"/>
    <w:rsid w:val="006B3071"/>
    <w:rsid w:val="006C3EAD"/>
    <w:rsid w:val="006D7E17"/>
    <w:rsid w:val="006E0C7E"/>
    <w:rsid w:val="006F027B"/>
    <w:rsid w:val="006F0A49"/>
    <w:rsid w:val="00710475"/>
    <w:rsid w:val="00711B58"/>
    <w:rsid w:val="00714E35"/>
    <w:rsid w:val="00740A1F"/>
    <w:rsid w:val="0074697B"/>
    <w:rsid w:val="00774A91"/>
    <w:rsid w:val="0078148B"/>
    <w:rsid w:val="00786C46"/>
    <w:rsid w:val="007905F0"/>
    <w:rsid w:val="00795539"/>
    <w:rsid w:val="0079670B"/>
    <w:rsid w:val="007A3512"/>
    <w:rsid w:val="007A4914"/>
    <w:rsid w:val="007B269D"/>
    <w:rsid w:val="007D10E3"/>
    <w:rsid w:val="007D4B67"/>
    <w:rsid w:val="007E5565"/>
    <w:rsid w:val="007E698F"/>
    <w:rsid w:val="007F4B20"/>
    <w:rsid w:val="007F7DEA"/>
    <w:rsid w:val="00800995"/>
    <w:rsid w:val="00816711"/>
    <w:rsid w:val="0082637F"/>
    <w:rsid w:val="00833D41"/>
    <w:rsid w:val="00834A73"/>
    <w:rsid w:val="0084130E"/>
    <w:rsid w:val="00846337"/>
    <w:rsid w:val="00847B59"/>
    <w:rsid w:val="008653BF"/>
    <w:rsid w:val="0087087F"/>
    <w:rsid w:val="008757B4"/>
    <w:rsid w:val="00877EC0"/>
    <w:rsid w:val="00881508"/>
    <w:rsid w:val="00883376"/>
    <w:rsid w:val="008845DE"/>
    <w:rsid w:val="00887483"/>
    <w:rsid w:val="00887F1E"/>
    <w:rsid w:val="00892B11"/>
    <w:rsid w:val="00894D05"/>
    <w:rsid w:val="0089799C"/>
    <w:rsid w:val="008A05EE"/>
    <w:rsid w:val="008A44F5"/>
    <w:rsid w:val="008C4626"/>
    <w:rsid w:val="008C484F"/>
    <w:rsid w:val="008C552D"/>
    <w:rsid w:val="008C5B3B"/>
    <w:rsid w:val="008D619D"/>
    <w:rsid w:val="008E6F81"/>
    <w:rsid w:val="008E717D"/>
    <w:rsid w:val="00905258"/>
    <w:rsid w:val="009115FC"/>
    <w:rsid w:val="00921267"/>
    <w:rsid w:val="00921766"/>
    <w:rsid w:val="009249BB"/>
    <w:rsid w:val="009316C4"/>
    <w:rsid w:val="00933074"/>
    <w:rsid w:val="00935C88"/>
    <w:rsid w:val="0094032A"/>
    <w:rsid w:val="009468EB"/>
    <w:rsid w:val="00963FF4"/>
    <w:rsid w:val="009645EC"/>
    <w:rsid w:val="00972918"/>
    <w:rsid w:val="00977CC7"/>
    <w:rsid w:val="00980AA8"/>
    <w:rsid w:val="009918E4"/>
    <w:rsid w:val="009A1E73"/>
    <w:rsid w:val="009A4AF5"/>
    <w:rsid w:val="009B1F4E"/>
    <w:rsid w:val="009C3CD8"/>
    <w:rsid w:val="009D457F"/>
    <w:rsid w:val="009D74F4"/>
    <w:rsid w:val="009E22DE"/>
    <w:rsid w:val="009F540E"/>
    <w:rsid w:val="009F56D2"/>
    <w:rsid w:val="009F74D0"/>
    <w:rsid w:val="00A02845"/>
    <w:rsid w:val="00A13C69"/>
    <w:rsid w:val="00A209A7"/>
    <w:rsid w:val="00A334FC"/>
    <w:rsid w:val="00A5348D"/>
    <w:rsid w:val="00A5764C"/>
    <w:rsid w:val="00A73F4C"/>
    <w:rsid w:val="00A76110"/>
    <w:rsid w:val="00A87B83"/>
    <w:rsid w:val="00A93AB2"/>
    <w:rsid w:val="00A9429C"/>
    <w:rsid w:val="00A94956"/>
    <w:rsid w:val="00A97BB5"/>
    <w:rsid w:val="00AA12EB"/>
    <w:rsid w:val="00AA43AC"/>
    <w:rsid w:val="00AA4B28"/>
    <w:rsid w:val="00AA741A"/>
    <w:rsid w:val="00AC2BA9"/>
    <w:rsid w:val="00AF5110"/>
    <w:rsid w:val="00B01225"/>
    <w:rsid w:val="00B10307"/>
    <w:rsid w:val="00B11513"/>
    <w:rsid w:val="00B14DA9"/>
    <w:rsid w:val="00B224C8"/>
    <w:rsid w:val="00B2304C"/>
    <w:rsid w:val="00B422CC"/>
    <w:rsid w:val="00B43E02"/>
    <w:rsid w:val="00B5219F"/>
    <w:rsid w:val="00B525B7"/>
    <w:rsid w:val="00B621B2"/>
    <w:rsid w:val="00B63C27"/>
    <w:rsid w:val="00B645D3"/>
    <w:rsid w:val="00B7218A"/>
    <w:rsid w:val="00B91EB8"/>
    <w:rsid w:val="00B93D74"/>
    <w:rsid w:val="00BA7647"/>
    <w:rsid w:val="00BC50CB"/>
    <w:rsid w:val="00BC7711"/>
    <w:rsid w:val="00BD3BD8"/>
    <w:rsid w:val="00BE0FBE"/>
    <w:rsid w:val="00BF4F3C"/>
    <w:rsid w:val="00C07BA2"/>
    <w:rsid w:val="00C12328"/>
    <w:rsid w:val="00C23372"/>
    <w:rsid w:val="00C255A0"/>
    <w:rsid w:val="00C34CDD"/>
    <w:rsid w:val="00C6090A"/>
    <w:rsid w:val="00C67DAB"/>
    <w:rsid w:val="00C730B2"/>
    <w:rsid w:val="00C85D07"/>
    <w:rsid w:val="00C9487F"/>
    <w:rsid w:val="00CA5AD8"/>
    <w:rsid w:val="00CA7BE1"/>
    <w:rsid w:val="00CB0B50"/>
    <w:rsid w:val="00CB7999"/>
    <w:rsid w:val="00CC1EBA"/>
    <w:rsid w:val="00CD2178"/>
    <w:rsid w:val="00CD6A49"/>
    <w:rsid w:val="00CF12A8"/>
    <w:rsid w:val="00CF3910"/>
    <w:rsid w:val="00D04AD2"/>
    <w:rsid w:val="00D31427"/>
    <w:rsid w:val="00D53D79"/>
    <w:rsid w:val="00D57599"/>
    <w:rsid w:val="00D57B12"/>
    <w:rsid w:val="00D72148"/>
    <w:rsid w:val="00D8108F"/>
    <w:rsid w:val="00D86ED7"/>
    <w:rsid w:val="00D91B13"/>
    <w:rsid w:val="00DA6234"/>
    <w:rsid w:val="00DB1951"/>
    <w:rsid w:val="00DB2CCA"/>
    <w:rsid w:val="00DB743E"/>
    <w:rsid w:val="00DD0F49"/>
    <w:rsid w:val="00DE4179"/>
    <w:rsid w:val="00DE4CC3"/>
    <w:rsid w:val="00DE5248"/>
    <w:rsid w:val="00DF4075"/>
    <w:rsid w:val="00E02CC4"/>
    <w:rsid w:val="00E13D7D"/>
    <w:rsid w:val="00E17601"/>
    <w:rsid w:val="00E25414"/>
    <w:rsid w:val="00E3327C"/>
    <w:rsid w:val="00E41FE8"/>
    <w:rsid w:val="00E43D1C"/>
    <w:rsid w:val="00E4508F"/>
    <w:rsid w:val="00E46983"/>
    <w:rsid w:val="00E55926"/>
    <w:rsid w:val="00E70C77"/>
    <w:rsid w:val="00E765CA"/>
    <w:rsid w:val="00E95366"/>
    <w:rsid w:val="00ED156D"/>
    <w:rsid w:val="00EE0688"/>
    <w:rsid w:val="00EE51F9"/>
    <w:rsid w:val="00EE57CE"/>
    <w:rsid w:val="00F056CC"/>
    <w:rsid w:val="00F12580"/>
    <w:rsid w:val="00F22302"/>
    <w:rsid w:val="00F42D3A"/>
    <w:rsid w:val="00F547E0"/>
    <w:rsid w:val="00F54968"/>
    <w:rsid w:val="00F65633"/>
    <w:rsid w:val="00F66DFC"/>
    <w:rsid w:val="00F7159B"/>
    <w:rsid w:val="00F76DC4"/>
    <w:rsid w:val="00F856D4"/>
    <w:rsid w:val="00F92058"/>
    <w:rsid w:val="00F93878"/>
    <w:rsid w:val="00FC311D"/>
    <w:rsid w:val="00FC787F"/>
    <w:rsid w:val="00FD1630"/>
    <w:rsid w:val="00FD3DC3"/>
    <w:rsid w:val="00FD7146"/>
    <w:rsid w:val="00FE0C82"/>
    <w:rsid w:val="00FE4710"/>
    <w:rsid w:val="00FE5DD6"/>
    <w:rsid w:val="00FF31CA"/>
    <w:rsid w:val="00FF7B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5596627"/>
  <w15:chartTrackingRefBased/>
  <w15:docId w15:val="{A254BF6A-455B-734D-A1E7-E568C509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7F6E"/>
    <w:rPr>
      <w:rFonts w:ascii="Times New Roman" w:eastAsia="Times New Roman" w:hAnsi="Times New Roman" w:cs="Times New Roman"/>
      <w:kern w:val="0"/>
      <w:lang w:val="en-GB"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7F6E"/>
    <w:pPr>
      <w:ind w:left="720"/>
      <w:contextualSpacing/>
    </w:pPr>
  </w:style>
  <w:style w:type="paragraph" w:styleId="Funotentext">
    <w:name w:val="footnote text"/>
    <w:basedOn w:val="Standard"/>
    <w:link w:val="FunotentextZchn"/>
    <w:uiPriority w:val="99"/>
    <w:semiHidden/>
    <w:unhideWhenUsed/>
    <w:rsid w:val="009A4AF5"/>
    <w:rPr>
      <w:sz w:val="20"/>
      <w:szCs w:val="20"/>
    </w:rPr>
  </w:style>
  <w:style w:type="character" w:customStyle="1" w:styleId="FunotentextZchn">
    <w:name w:val="Fußnotentext Zchn"/>
    <w:basedOn w:val="Absatz-Standardschriftart"/>
    <w:link w:val="Funotentext"/>
    <w:uiPriority w:val="99"/>
    <w:semiHidden/>
    <w:rsid w:val="009A4AF5"/>
    <w:rPr>
      <w:rFonts w:ascii="Times New Roman" w:eastAsia="Times New Roman" w:hAnsi="Times New Roman" w:cs="Times New Roman"/>
      <w:kern w:val="0"/>
      <w:sz w:val="20"/>
      <w:szCs w:val="20"/>
      <w:lang w:val="en-GB" w:eastAsia="de-DE"/>
      <w14:ligatures w14:val="none"/>
    </w:rPr>
  </w:style>
  <w:style w:type="character" w:styleId="Funotenzeichen">
    <w:name w:val="footnote reference"/>
    <w:basedOn w:val="Absatz-Standardschriftart"/>
    <w:uiPriority w:val="99"/>
    <w:semiHidden/>
    <w:unhideWhenUsed/>
    <w:rsid w:val="009A4AF5"/>
    <w:rPr>
      <w:vertAlign w:val="superscript"/>
    </w:rPr>
  </w:style>
  <w:style w:type="character" w:customStyle="1" w:styleId="notion-enable-hover">
    <w:name w:val="notion-enable-hover"/>
    <w:basedOn w:val="Absatz-Standardschriftart"/>
    <w:rsid w:val="009A4AF5"/>
  </w:style>
  <w:style w:type="paragraph" w:styleId="Fuzeile">
    <w:name w:val="footer"/>
    <w:basedOn w:val="Standard"/>
    <w:link w:val="FuzeileZchn"/>
    <w:uiPriority w:val="99"/>
    <w:unhideWhenUsed/>
    <w:rsid w:val="009A4AF5"/>
    <w:pPr>
      <w:tabs>
        <w:tab w:val="center" w:pos="4536"/>
        <w:tab w:val="right" w:pos="9072"/>
      </w:tabs>
    </w:pPr>
  </w:style>
  <w:style w:type="character" w:customStyle="1" w:styleId="FuzeileZchn">
    <w:name w:val="Fußzeile Zchn"/>
    <w:basedOn w:val="Absatz-Standardschriftart"/>
    <w:link w:val="Fuzeile"/>
    <w:uiPriority w:val="99"/>
    <w:rsid w:val="009A4AF5"/>
    <w:rPr>
      <w:rFonts w:ascii="Times New Roman" w:eastAsia="Times New Roman" w:hAnsi="Times New Roman" w:cs="Times New Roman"/>
      <w:kern w:val="0"/>
      <w:lang w:val="en-GB" w:eastAsia="de-DE"/>
      <w14:ligatures w14:val="none"/>
    </w:rPr>
  </w:style>
  <w:style w:type="character" w:styleId="Seitenzahl">
    <w:name w:val="page number"/>
    <w:basedOn w:val="Absatz-Standardschriftart"/>
    <w:uiPriority w:val="99"/>
    <w:semiHidden/>
    <w:unhideWhenUsed/>
    <w:rsid w:val="009A4AF5"/>
  </w:style>
  <w:style w:type="paragraph" w:styleId="Kopfzeile">
    <w:name w:val="header"/>
    <w:basedOn w:val="Standard"/>
    <w:link w:val="KopfzeileZchn"/>
    <w:uiPriority w:val="99"/>
    <w:unhideWhenUsed/>
    <w:rsid w:val="00186697"/>
    <w:pPr>
      <w:tabs>
        <w:tab w:val="center" w:pos="4536"/>
        <w:tab w:val="right" w:pos="9072"/>
      </w:tabs>
    </w:pPr>
  </w:style>
  <w:style w:type="character" w:customStyle="1" w:styleId="KopfzeileZchn">
    <w:name w:val="Kopfzeile Zchn"/>
    <w:basedOn w:val="Absatz-Standardschriftart"/>
    <w:link w:val="Kopfzeile"/>
    <w:uiPriority w:val="99"/>
    <w:rsid w:val="00186697"/>
    <w:rPr>
      <w:rFonts w:ascii="Times New Roman" w:eastAsia="Times New Roman" w:hAnsi="Times New Roman" w:cs="Times New Roman"/>
      <w:kern w:val="0"/>
      <w:lang w:val="en-GB" w:eastAsia="de-DE"/>
      <w14:ligatures w14:val="none"/>
    </w:rPr>
  </w:style>
  <w:style w:type="paragraph" w:customStyle="1" w:styleId="Literaturverzeichnis1">
    <w:name w:val="Literaturverzeichnis1"/>
    <w:basedOn w:val="Standard"/>
    <w:link w:val="BibliographyZchn"/>
    <w:rsid w:val="004D0E12"/>
    <w:pPr>
      <w:ind w:left="720" w:hanging="720"/>
      <w:jc w:val="both"/>
    </w:pPr>
    <w:rPr>
      <w:rFonts w:ascii="Garamond" w:hAnsi="Garamond" w:cs="Calibri"/>
      <w:lang w:val="en-US"/>
    </w:rPr>
  </w:style>
  <w:style w:type="character" w:customStyle="1" w:styleId="BibliographyZchn">
    <w:name w:val="Bibliography Zchn"/>
    <w:basedOn w:val="Absatz-Standardschriftart"/>
    <w:link w:val="Literaturverzeichnis1"/>
    <w:rsid w:val="004D0E12"/>
    <w:rPr>
      <w:rFonts w:ascii="Garamond" w:eastAsia="Times New Roman" w:hAnsi="Garamond" w:cs="Calibri"/>
      <w:kern w:val="0"/>
      <w:lang w:val="en-US" w:eastAsia="de-DE"/>
      <w14:ligatures w14:val="none"/>
    </w:rPr>
  </w:style>
  <w:style w:type="character" w:styleId="Zeilennummer">
    <w:name w:val="line number"/>
    <w:basedOn w:val="Absatz-Standardschriftart"/>
    <w:uiPriority w:val="99"/>
    <w:semiHidden/>
    <w:unhideWhenUsed/>
    <w:rsid w:val="009645EC"/>
  </w:style>
  <w:style w:type="character" w:styleId="Hyperlink">
    <w:name w:val="Hyperlink"/>
    <w:basedOn w:val="Absatz-Standardschriftart"/>
    <w:uiPriority w:val="99"/>
    <w:unhideWhenUsed/>
    <w:rsid w:val="00CD21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sil.mueller@unib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57540</Words>
  <Characters>362508</Characters>
  <Application>Microsoft Office Word</Application>
  <DocSecurity>0</DocSecurity>
  <Lines>3020</Lines>
  <Paragraphs>838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Basil (PHILO)</dc:creator>
  <cp:keywords/>
  <dc:description/>
  <cp:lastModifiedBy>Müller, Basil (PHILO)</cp:lastModifiedBy>
  <cp:revision>3</cp:revision>
  <dcterms:created xsi:type="dcterms:W3CDTF">2024-04-22T13:21:00Z</dcterms:created>
  <dcterms:modified xsi:type="dcterms:W3CDTF">2024-04-22T13:22:00Z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id="rrWU6bVk"/&gt;&lt;style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