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BF559A" w:rsidRDefault="00BF559A" w:rsidP="00923163">
      <w:pPr>
        <w:pStyle w:val="Paper-Heading"/>
        <w:tabs>
          <w:tab w:val="left" w:pos="600"/>
        </w:tabs>
        <w:spacing w:before="0" w:after="0"/>
      </w:pPr>
      <w:r>
        <w:t>A Peculiar Intuition:</w:t>
      </w:r>
      <w:r w:rsidR="00923163">
        <w:t xml:space="preserve"> </w:t>
      </w:r>
      <w:r>
        <w:t>Kant’s Conceptualist Account of Perception</w:t>
      </w:r>
    </w:p>
    <w:p w:rsidR="00923163" w:rsidRPr="00923163" w:rsidRDefault="00923163" w:rsidP="00923163">
      <w:pPr>
        <w:pStyle w:val="Paper-Text-Regular"/>
        <w:spacing w:line="240" w:lineRule="auto"/>
        <w:ind w:firstLine="0"/>
        <w:jc w:val="center"/>
        <w:rPr>
          <w:rFonts w:ascii="Lucida Sans Unicode" w:hAnsi="Lucida Sans Unicode"/>
          <w:sz w:val="26"/>
        </w:rPr>
      </w:pPr>
      <w:r>
        <w:rPr>
          <w:rFonts w:ascii="Lucida Sans Unicode" w:hAnsi="Lucida Sans Unicode"/>
          <w:sz w:val="26"/>
        </w:rPr>
        <w:t>(</w:t>
      </w:r>
      <w:r w:rsidRPr="00923163">
        <w:rPr>
          <w:rFonts w:ascii="Lucida Sans Unicode" w:hAnsi="Lucida Sans Unicode"/>
          <w:sz w:val="26"/>
        </w:rPr>
        <w:t>Nathan Bauer</w:t>
      </w:r>
      <w:r>
        <w:rPr>
          <w:rFonts w:ascii="Lucida Sans Unicode" w:hAnsi="Lucida Sans Unicode"/>
          <w:sz w:val="26"/>
        </w:rPr>
        <w:t xml:space="preserve">: </w:t>
      </w:r>
      <w:r w:rsidRPr="00923163">
        <w:rPr>
          <w:rFonts w:ascii="Lucida Sans Unicode" w:hAnsi="Lucida Sans Unicode"/>
          <w:sz w:val="26"/>
        </w:rPr>
        <w:t>Collegiate Assistant Professor, University of Chic</w:t>
      </w:r>
      <w:r w:rsidRPr="00923163">
        <w:rPr>
          <w:rFonts w:ascii="Lucida Sans Unicode" w:hAnsi="Lucida Sans Unicode"/>
          <w:sz w:val="26"/>
        </w:rPr>
        <w:t>a</w:t>
      </w:r>
      <w:r w:rsidRPr="00923163">
        <w:rPr>
          <w:rFonts w:ascii="Lucida Sans Unicode" w:hAnsi="Lucida Sans Unicode"/>
          <w:sz w:val="26"/>
        </w:rPr>
        <w:t>go</w:t>
      </w:r>
      <w:r>
        <w:rPr>
          <w:rFonts w:ascii="Lucida Sans Unicode" w:hAnsi="Lucida Sans Unicode"/>
          <w:sz w:val="26"/>
        </w:rPr>
        <w:t>)</w:t>
      </w:r>
    </w:p>
    <w:p w:rsidR="00BF559A" w:rsidRPr="00C87BC6" w:rsidRDefault="00BF559A" w:rsidP="00923163">
      <w:pPr>
        <w:pStyle w:val="Epigraph"/>
        <w:spacing w:after="0"/>
        <w:rPr>
          <w:i w:val="0"/>
        </w:rPr>
      </w:pPr>
      <w:r w:rsidRPr="00C87BC6">
        <w:rPr>
          <w:i w:val="0"/>
        </w:rPr>
        <w:t>“The finitude of knowledge directly demonstrates a peculiar inner dependency of thinking upon intuition, or conversely: a need for the determination of the latter by the former.”</w:t>
      </w:r>
    </w:p>
    <w:p w:rsidR="00BF559A" w:rsidRPr="00C95788" w:rsidRDefault="00BF559A" w:rsidP="00BF559A">
      <w:pPr>
        <w:pStyle w:val="Epigraph"/>
        <w:spacing w:before="0"/>
      </w:pPr>
      <w:r w:rsidRPr="00396EF1">
        <w:rPr>
          <w:i w:val="0"/>
        </w:rPr>
        <w:t>Heidegger,</w:t>
      </w:r>
      <w:r>
        <w:t xml:space="preserve"> </w:t>
      </w:r>
      <w:r w:rsidRPr="00C95788">
        <w:t>Kant and the Problem of Metaphysics</w:t>
      </w:r>
    </w:p>
    <w:p w:rsidR="00957E47" w:rsidRDefault="00957E47" w:rsidP="00086792">
      <w:pPr>
        <w:pStyle w:val="Paper-Heading"/>
        <w:tabs>
          <w:tab w:val="left" w:pos="600"/>
        </w:tabs>
        <w:spacing w:before="240"/>
      </w:pPr>
      <w:r>
        <w:t>Introduction: Kant’s Contradictions</w:t>
      </w:r>
    </w:p>
    <w:p w:rsidR="00923163" w:rsidRDefault="00957E47">
      <w:pPr>
        <w:pStyle w:val="Paper-Text-Regular"/>
      </w:pPr>
      <w:r>
        <w:t>The work of Kant resists straightforward interpretation.</w:t>
      </w:r>
      <w:r w:rsidR="00BC3871">
        <w:t xml:space="preserve"> </w:t>
      </w:r>
      <w:r>
        <w:t xml:space="preserve">One way this resistance manifests itself is in his apparent tendency to contradict what he has said before: in earlier chapters or </w:t>
      </w:r>
      <w:r w:rsidR="00453DB6">
        <w:t xml:space="preserve">sections, </w:t>
      </w:r>
      <w:r>
        <w:t>or sometimes</w:t>
      </w:r>
      <w:r w:rsidR="00453DB6">
        <w:t xml:space="preserve"> </w:t>
      </w:r>
      <w:r>
        <w:t xml:space="preserve">even within a single passage. Kant’s writings are riddled with seemingly </w:t>
      </w:r>
      <w:r w:rsidR="00A41417">
        <w:t xml:space="preserve">inconsistent </w:t>
      </w:r>
      <w:r>
        <w:t>claims on various to</w:t>
      </w:r>
      <w:r>
        <w:t>p</w:t>
      </w:r>
      <w:r>
        <w:t>ics. As his influential commentator and translator Norman Kemp Smith once noted, “...</w:t>
      </w:r>
      <w:r w:rsidR="00920713">
        <w:t xml:space="preserve"> </w:t>
      </w:r>
      <w:r>
        <w:t>Kant flatly contr</w:t>
      </w:r>
      <w:r>
        <w:t>a</w:t>
      </w:r>
      <w:r>
        <w:t>dicts himself in almost every</w:t>
      </w:r>
      <w:r w:rsidR="001F6361">
        <w:t xml:space="preserve"> </w:t>
      </w:r>
      <w:r>
        <w:t xml:space="preserve">chapter; </w:t>
      </w:r>
      <w:r w:rsidR="005674BD">
        <w:t>...</w:t>
      </w:r>
      <w:r>
        <w:t xml:space="preserve"> there is hardly a technical term which is not employed by him in a variety of different and conflicting senses. As a writer, he is the least exact of all the great thinkers.”</w:t>
      </w:r>
      <w:r w:rsidR="00923163">
        <w:rPr>
          <w:rStyle w:val="FootnoteReference"/>
        </w:rPr>
        <w:footnoteReference w:id="1"/>
      </w:r>
    </w:p>
    <w:p w:rsidR="00923163" w:rsidRDefault="00923163" w:rsidP="00033F37">
      <w:pPr>
        <w:pStyle w:val="Paper-Text-Regular"/>
      </w:pPr>
      <w:r>
        <w:t>In what follows, I examine a striking instance of this phenomenon, one that concerns a crucial to</w:t>
      </w:r>
      <w:r>
        <w:t>p</w:t>
      </w:r>
      <w:r>
        <w:t xml:space="preserve">ic in the </w:t>
      </w:r>
      <w:r>
        <w:rPr>
          <w:i/>
          <w:iCs/>
        </w:rPr>
        <w:t>Critique of Pure Reason</w:t>
      </w:r>
      <w:r>
        <w:t>: Kant’s account of sensible intuition. As we will see, Kant both asserts and d</w:t>
      </w:r>
      <w:r>
        <w:t>e</w:t>
      </w:r>
      <w:r>
        <w:t xml:space="preserve">nies </w:t>
      </w:r>
      <w:r w:rsidRPr="00033F37">
        <w:t>the involve</w:t>
      </w:r>
      <w:r>
        <w:t>ment of our con</w:t>
      </w:r>
      <w:r w:rsidRPr="00033F37">
        <w:t>ceptual capacities in intuition. He appears to waver between these two pos</w:t>
      </w:r>
      <w:r w:rsidRPr="00033F37">
        <w:t>i</w:t>
      </w:r>
      <w:r w:rsidRPr="00033F37">
        <w:t>tions at different points in the text, and can thus seem thoroughly confused on th</w:t>
      </w:r>
      <w:r>
        <w:t>e</w:t>
      </w:r>
      <w:r w:rsidRPr="00033F37">
        <w:t xml:space="preserve"> </w:t>
      </w:r>
      <w:r>
        <w:t>matter</w:t>
      </w:r>
      <w:r w:rsidRPr="00033F37">
        <w:t>.</w:t>
      </w:r>
      <w:r>
        <w:t xml:space="preserve"> In truth, however, Kant is not confused. I will argue that he appears to contradict himself only when we fail to pay sufficient attention to his </w:t>
      </w:r>
      <w:r w:rsidRPr="00033F37">
        <w:t>developmental approach to philosophy. Although he begins by asserting the i</w:t>
      </w:r>
      <w:r w:rsidRPr="00033F37">
        <w:t>n</w:t>
      </w:r>
      <w:r w:rsidRPr="00033F37">
        <w:t xml:space="preserve">dependence of intuition, Kant proceeds to reveal </w:t>
      </w:r>
      <w:r>
        <w:t xml:space="preserve">a </w:t>
      </w:r>
      <w:r w:rsidRPr="00033F37">
        <w:t xml:space="preserve">deeper connection between intuitions and concepts. On </w:t>
      </w:r>
      <w:r>
        <w:t xml:space="preserve">my </w:t>
      </w:r>
      <w:r w:rsidRPr="00033F37">
        <w:t xml:space="preserve">reading, </w:t>
      </w:r>
      <w:r>
        <w:t>these</w:t>
      </w:r>
      <w:r w:rsidRPr="00033F37">
        <w:t xml:space="preserve"> seemingly conflicting claim</w:t>
      </w:r>
      <w:r>
        <w:t>s are actually the product of a well-crafted</w:t>
      </w:r>
      <w:r w:rsidRPr="00033F37">
        <w:t xml:space="preserve"> strategy for </w:t>
      </w:r>
      <w:r>
        <w:t xml:space="preserve">gradually </w:t>
      </w:r>
      <w:r w:rsidRPr="00033F37">
        <w:t>convincing his readers of the conceptual character of</w:t>
      </w:r>
      <w:r>
        <w:t xml:space="preserve"> intuition.</w:t>
      </w:r>
    </w:p>
    <w:p w:rsidR="00923163" w:rsidRDefault="00923163" w:rsidP="00033F37">
      <w:pPr>
        <w:pStyle w:val="Paper-Text-Regular"/>
      </w:pPr>
      <w:r>
        <w:lastRenderedPageBreak/>
        <w:t>I begin with a brief overview of Kant’s account of intuition. Then, in section two, I examine several recent interpretations of Kantian intuition that deny the involvement of concepts. My criticism of these no</w:t>
      </w:r>
      <w:r>
        <w:t>n</w:t>
      </w:r>
      <w:r>
        <w:t>conceptualist readings points the way to an alternative developmental approach, which I present in section three. In section four I apply this general interpretive strategy to the specific topic of intuition, focusing, in particular, on Kant’s argument in §26 of the B-Deduction. Finally, in section five, I consider some broader implications of this conceptualist account of intuition.</w:t>
      </w:r>
    </w:p>
    <w:p w:rsidR="00923163" w:rsidRDefault="00923163" w:rsidP="003B2D04">
      <w:pPr>
        <w:pStyle w:val="Paper-Heading"/>
      </w:pPr>
      <w:r>
        <w:t>I. The Place of Intuition in Kant’s Account of Experience</w:t>
      </w:r>
    </w:p>
    <w:p w:rsidR="00923163" w:rsidRDefault="00923163">
      <w:pPr>
        <w:pStyle w:val="Paper-Text-Regular"/>
      </w:pPr>
      <w:r>
        <w:t>Kantian intuition is a peculiar thing. It plays a central but contested role in his broader account of the nature of experience. For Kant, our ability to have experience and knowledge of the world can be characte</w:t>
      </w:r>
      <w:r>
        <w:t>r</w:t>
      </w:r>
      <w:r>
        <w:t>ized in terms of two distinct, but interrelated cognitive capacities: the faculties of sensibility and understan</w:t>
      </w:r>
      <w:r>
        <w:t>d</w:t>
      </w:r>
      <w:r>
        <w:t>ing. Through sensibility, we receive intuitions: representations of particular objects. For example, in an ev</w:t>
      </w:r>
      <w:r>
        <w:t>e</w:t>
      </w:r>
      <w:r>
        <w:t>ryday act of perception</w:t>
      </w:r>
      <w:r>
        <w:rPr>
          <w:rStyle w:val="FootnoteReference"/>
        </w:rPr>
        <w:footnoteReference w:id="2"/>
      </w:r>
      <w:r>
        <w:t xml:space="preserve"> I might receive a sensible intuition of a particular round, red apple. Through unde</w:t>
      </w:r>
      <w:r>
        <w:t>r</w:t>
      </w:r>
      <w:r>
        <w:t>standing, we produce concepts: general representations that can figure in logical jud</w:t>
      </w:r>
      <w:r>
        <w:t>g</w:t>
      </w:r>
      <w:r>
        <w:t>ments. So, I might form the general concept of ‘roundness’ or ‘redness,’ which I can use in judgments concerning many different o</w:t>
      </w:r>
      <w:r>
        <w:t>b</w:t>
      </w:r>
      <w:r>
        <w:t xml:space="preserve">jects. One of Kant’s main tasks in the first </w:t>
      </w:r>
      <w:r w:rsidRPr="001F6361">
        <w:rPr>
          <w:i/>
        </w:rPr>
        <w:t>Critique</w:t>
      </w:r>
      <w:r>
        <w:t xml:space="preserve"> is to identify the correct relationship between sensibility and understanding.</w:t>
      </w:r>
      <w:r>
        <w:rPr>
          <w:rStyle w:val="FootnoteReference"/>
        </w:rPr>
        <w:footnoteReference w:id="3"/>
      </w:r>
      <w:r>
        <w:t xml:space="preserve"> He will argue that knowledge is possible only through their cooperation. This point is captured in a well-known remark by Kant:</w:t>
      </w:r>
    </w:p>
    <w:p w:rsidR="00923163" w:rsidRDefault="00923163" w:rsidP="002A5CB5">
      <w:pPr>
        <w:pStyle w:val="Paper-Text-BlockQuote"/>
      </w:pPr>
      <w:r>
        <w:t>Without sensibility no object would be given to us, and without understanding none would be thought. Thoughts without content are empty, intuitions without concepts are blind .... The u</w:t>
      </w:r>
      <w:r>
        <w:t>n</w:t>
      </w:r>
      <w:r>
        <w:t>derstanding is not capable of intuiting anything, and the senses are not capable of thinking an</w:t>
      </w:r>
      <w:r>
        <w:t>y</w:t>
      </w:r>
      <w:r>
        <w:t>thing. Only from their unification can cognition arise. (A51/B75)</w:t>
      </w:r>
    </w:p>
    <w:p w:rsidR="00923163" w:rsidRDefault="00923163" w:rsidP="002A5CB5">
      <w:pPr>
        <w:pStyle w:val="Paper-Text-AfterBlockQuote"/>
      </w:pPr>
      <w:r>
        <w:t>Experience, he claims, always involves sensibility and understanding working together.</w:t>
      </w:r>
    </w:p>
    <w:p w:rsidR="00923163" w:rsidRDefault="00923163" w:rsidP="00B73468">
      <w:pPr>
        <w:pStyle w:val="Paper-Text-Regular"/>
      </w:pPr>
      <w:r>
        <w:lastRenderedPageBreak/>
        <w:t>Though the general outline of Kant’s project is reasonably clear, his interpreters continue to dispute the specific nature of this interdependent relationship between sensibility and understanding. The notion of intuition is often a focus of these disputes, for intuition occupies a curiously unstable position within Kant’s cognitive topography. Indeed, Kant’s account of intuition can appear hopelessly confused, for at different times he seems both to assert and to deny the dependence of intuition on u</w:t>
      </w:r>
      <w:r>
        <w:t>n</w:t>
      </w:r>
      <w:r>
        <w:t>derstanding.</w:t>
      </w:r>
    </w:p>
    <w:p w:rsidR="00923163" w:rsidRDefault="00923163" w:rsidP="00911554">
      <w:pPr>
        <w:pStyle w:val="Paper-Text-Regular"/>
      </w:pPr>
      <w:r>
        <w:t xml:space="preserve">These opposing statements concerning intuition appear frequently in the first </w:t>
      </w:r>
      <w:r w:rsidRPr="00DB57E7">
        <w:rPr>
          <w:i/>
        </w:rPr>
        <w:t>Critique</w:t>
      </w:r>
      <w:r>
        <w:t>. For example, Kant states: “Objects are therefore given to us by means of sensibility, and it alone affords us intu</w:t>
      </w:r>
      <w:r>
        <w:t>i</w:t>
      </w:r>
      <w:r>
        <w:t xml:space="preserve">tions; but they are </w:t>
      </w:r>
      <w:r>
        <w:rPr>
          <w:i/>
          <w:iCs/>
        </w:rPr>
        <w:t>thought</w:t>
      </w:r>
      <w:r>
        <w:t xml:space="preserve"> through the understanding, and from it arise concepts.” (A19/B33) In the same vein, he later writes: “That representation that can be given prior to all thinking is called </w:t>
      </w:r>
      <w:r>
        <w:rPr>
          <w:i/>
          <w:iCs/>
        </w:rPr>
        <w:t>intuition</w:t>
      </w:r>
      <w:r>
        <w:t>.” (B132)</w:t>
      </w:r>
      <w:r>
        <w:rPr>
          <w:rStyle w:val="FootnoteReference"/>
        </w:rPr>
        <w:footnoteReference w:id="4"/>
      </w:r>
      <w:r>
        <w:t xml:space="preserve"> On a related point, Kant sometimes claims that an intuition could amount to cognition or knowledge apart from any co</w:t>
      </w:r>
      <w:r>
        <w:t>n</w:t>
      </w:r>
      <w:r>
        <w:t>tribution by understanding. For example, in his taxonomy of represent</w:t>
      </w:r>
      <w:r>
        <w:t>a</w:t>
      </w:r>
      <w:r>
        <w:t xml:space="preserve">tions (the </w:t>
      </w:r>
      <w:proofErr w:type="spellStart"/>
      <w:r>
        <w:rPr>
          <w:i/>
          <w:iCs/>
        </w:rPr>
        <w:t>Stufenleiter</w:t>
      </w:r>
      <w:proofErr w:type="spellEnd"/>
      <w:r>
        <w:t xml:space="preserve">), he states that “... an objective perception is a </w:t>
      </w:r>
      <w:r>
        <w:rPr>
          <w:i/>
          <w:iCs/>
        </w:rPr>
        <w:t>cognition</w:t>
      </w:r>
      <w:r>
        <w:t xml:space="preserve">, ...” and then adds that an objective perception “... is either an </w:t>
      </w:r>
      <w:r>
        <w:rPr>
          <w:i/>
          <w:iCs/>
        </w:rPr>
        <w:t>intu</w:t>
      </w:r>
      <w:r>
        <w:rPr>
          <w:i/>
          <w:iCs/>
        </w:rPr>
        <w:t>i</w:t>
      </w:r>
      <w:r>
        <w:rPr>
          <w:i/>
          <w:iCs/>
        </w:rPr>
        <w:t>tion</w:t>
      </w:r>
      <w:r>
        <w:t xml:space="preserve"> or a </w:t>
      </w:r>
      <w:r>
        <w:rPr>
          <w:i/>
          <w:iCs/>
        </w:rPr>
        <w:t>concept</w:t>
      </w:r>
      <w:r>
        <w:t xml:space="preserve"> ...” (A320/B376-7).</w:t>
      </w:r>
      <w:r>
        <w:rPr>
          <w:rStyle w:val="FootnoteReference"/>
        </w:rPr>
        <w:footnoteReference w:id="5"/>
      </w:r>
      <w:r>
        <w:t xml:space="preserve"> This remark suggests that an intuition is, even by itself, a cognition.</w:t>
      </w:r>
    </w:p>
    <w:p w:rsidR="00923163" w:rsidRDefault="00923163" w:rsidP="00A30DD7">
      <w:pPr>
        <w:pStyle w:val="Paper-Text-Regular"/>
      </w:pPr>
      <w:r>
        <w:t>In the passages quoted above, Kant identifies intuition as a cognition given independently of unde</w:t>
      </w:r>
      <w:r>
        <w:t>r</w:t>
      </w:r>
      <w:r>
        <w:t xml:space="preserve">standing. Elsewhere in the </w:t>
      </w:r>
      <w:r>
        <w:rPr>
          <w:i/>
          <w:iCs/>
        </w:rPr>
        <w:t>Critique</w:t>
      </w:r>
      <w:r>
        <w:t>, however, Kant seems to take the opposing view. For example, he d</w:t>
      </w:r>
      <w:r>
        <w:t>e</w:t>
      </w:r>
      <w:r>
        <w:t xml:space="preserve">clares: “The same function that gives unity to the different representations </w:t>
      </w:r>
      <w:r w:rsidRPr="0050061C">
        <w:rPr>
          <w:i/>
        </w:rPr>
        <w:t>in a judgment</w:t>
      </w:r>
      <w:r>
        <w:t xml:space="preserve"> also gives un</w:t>
      </w:r>
      <w:r>
        <w:t>i</w:t>
      </w:r>
      <w:r>
        <w:t xml:space="preserve">ty to the mere synthesis of different representations </w:t>
      </w:r>
      <w:r w:rsidRPr="0050061C">
        <w:rPr>
          <w:i/>
        </w:rPr>
        <w:t>in an intuition</w:t>
      </w:r>
      <w:r>
        <w:t>, which, expressed genera</w:t>
      </w:r>
      <w:r>
        <w:t>l</w:t>
      </w:r>
      <w:r>
        <w:t>ly, is called the pure concept of understanding.” (A79/B104-5) Later he adds that “... all combination, whether we are conscious of it or not, whether it is a combination of the manifold of intuition or of several concepts, ... is an action of the understanding, which we would designate with the general title synthesis ...” (B129-30).</w:t>
      </w:r>
      <w:r>
        <w:rPr>
          <w:rStyle w:val="FootnoteReference"/>
        </w:rPr>
        <w:footnoteReference w:id="6"/>
      </w:r>
      <w:r>
        <w:t xml:space="preserve"> In these pa</w:t>
      </w:r>
      <w:r>
        <w:t>s</w:t>
      </w:r>
      <w:r>
        <w:t>sages Kant now asserts that our faculty of understanding is at work in acts of sensible intu</w:t>
      </w:r>
      <w:r>
        <w:t>i</w:t>
      </w:r>
      <w:r>
        <w:t>tion. Moreover, Kant rejects the claim that intuition could amount to cognition by itself, for he insists that “... neither co</w:t>
      </w:r>
      <w:r>
        <w:t>n</w:t>
      </w:r>
      <w:r>
        <w:lastRenderedPageBreak/>
        <w:t>cepts without intuition corresponding to them in some way nor intuition without concepts can yield a cogn</w:t>
      </w:r>
      <w:r>
        <w:t>i</w:t>
      </w:r>
      <w:r>
        <w:t>tion.” (A50/B74)</w:t>
      </w:r>
      <w:r>
        <w:rPr>
          <w:rStyle w:val="FootnoteReference"/>
        </w:rPr>
        <w:footnoteReference w:id="7"/>
      </w:r>
    </w:p>
    <w:p w:rsidR="00923163" w:rsidRDefault="00923163" w:rsidP="00A30DD7">
      <w:pPr>
        <w:pStyle w:val="Paper-Text-Regular"/>
      </w:pPr>
      <w:r>
        <w:t>This brief survey of passages is not promising. Kant seems to be taking both sides of the debate, first asserting the independence of intuition and then insisting that it relies essentially on understan</w:t>
      </w:r>
      <w:r>
        <w:t>d</w:t>
      </w:r>
      <w:r>
        <w:t>ing. These claims concerning the role of understanding in sensible intuition are not casual discrepa</w:t>
      </w:r>
      <w:r>
        <w:t>n</w:t>
      </w:r>
      <w:r>
        <w:t>cies: they reflect a deep philosophical tension in his system, one that arises from the distinctive role intuition plays in his a</w:t>
      </w:r>
      <w:r>
        <w:t>c</w:t>
      </w:r>
      <w:r>
        <w:t>count of experience. For Kant, it is through intuition that we are given objects. This point can be put in two ways. In positive terms, intuitions supply the sensible content that gives significance to our thoughts and makes knowledge of the world possible. They supply the material with which understanding works in for</w:t>
      </w:r>
      <w:r>
        <w:t>m</w:t>
      </w:r>
      <w:r>
        <w:t>ing beliefs and judgments. In negative terms, intuitions set a limit on the legitimate activity of understanding. That is, in giving objects they provide a constraint on our conceptual activity, in that our conceptual beliefs are assessed based on their fit with these intuited objects. Absent this constraint, u</w:t>
      </w:r>
      <w:r>
        <w:t>n</w:t>
      </w:r>
      <w:r>
        <w:t>tethered reason can make no progress. As Kant puts it:</w:t>
      </w:r>
    </w:p>
    <w:p w:rsidR="00923163" w:rsidRDefault="00923163" w:rsidP="00FA335F">
      <w:pPr>
        <w:pStyle w:val="Paper-Text-BlockQuote"/>
      </w:pPr>
      <w:r>
        <w:t>The light dove, in free flight cutting through the air the resistance of which it feels, could get the idea that it could do even better in airless space. Likewise, Plato abandoned the world of the senses because it set such narrow limits for the understanding, and dared to go beyond it on the wings of the ideas, in the empty space of pure understanding. He did not that he made no headway by his efforts, for he had no resistance, no support, as it were, by which he could stif</w:t>
      </w:r>
      <w:r>
        <w:t>f</w:t>
      </w:r>
      <w:r>
        <w:t>en himself, and to which he could apply his powers un order to put his understanding into m</w:t>
      </w:r>
      <w:r>
        <w:t>o</w:t>
      </w:r>
      <w:r>
        <w:t>tion. (A5/B9)</w:t>
      </w:r>
    </w:p>
    <w:p w:rsidR="00923163" w:rsidRDefault="00923163" w:rsidP="00FA335F">
      <w:pPr>
        <w:pStyle w:val="Paper-Text-AfterBlockQuote"/>
      </w:pPr>
      <w:r>
        <w:t xml:space="preserve">This, of course, is the point of the second half of the </w:t>
      </w:r>
      <w:r w:rsidRPr="00FA335F">
        <w:rPr>
          <w:i/>
        </w:rPr>
        <w:t>Critique</w:t>
      </w:r>
      <w:r>
        <w:t>, the Dialectic. There Kant diagnoses the var</w:t>
      </w:r>
      <w:r>
        <w:t>i</w:t>
      </w:r>
      <w:r>
        <w:t>ous ways in which we are led into metaphysical conundrums when we pursue knowledge unco</w:t>
      </w:r>
      <w:r>
        <w:t>n</w:t>
      </w:r>
      <w:r>
        <w:t>strained by sensible intuition.</w:t>
      </w:r>
      <w:r>
        <w:rPr>
          <w:rStyle w:val="FootnoteReference"/>
        </w:rPr>
        <w:footnoteReference w:id="8"/>
      </w:r>
    </w:p>
    <w:p w:rsidR="00923163" w:rsidRDefault="00923163" w:rsidP="006B4C44">
      <w:pPr>
        <w:pStyle w:val="Paper-Text-Regular"/>
      </w:pPr>
      <w:r>
        <w:t>In playing this role, however, intuition faces two seemingly opposed demands. On the one hand, if i</w:t>
      </w:r>
      <w:r>
        <w:t>n</w:t>
      </w:r>
      <w:r>
        <w:t xml:space="preserve">tuition is to constrain thought then it should be outside it, serving as an external check on what beliefs should count as knowledge. </w:t>
      </w:r>
      <w:r w:rsidRPr="006B4C44">
        <w:t xml:space="preserve">Here, the fear is of a problematic idealism, in which our thoughts </w:t>
      </w:r>
      <w:r>
        <w:t xml:space="preserve">would lose their </w:t>
      </w:r>
      <w:r w:rsidRPr="006B4C44">
        <w:t>co</w:t>
      </w:r>
      <w:r w:rsidRPr="006B4C44">
        <w:t>n</w:t>
      </w:r>
      <w:r w:rsidRPr="006B4C44">
        <w:t>nection to the external world. Intuition is meant to secure this connection by providing objects to us.</w:t>
      </w:r>
      <w:r>
        <w:t xml:space="preserve"> Kant has this role in mind when he emphasizes the independence of intuition from the activity of u</w:t>
      </w:r>
      <w:r>
        <w:t>n</w:t>
      </w:r>
      <w:r>
        <w:t>derstanding.</w:t>
      </w:r>
    </w:p>
    <w:p w:rsidR="00923163" w:rsidRDefault="00923163" w:rsidP="00E54306">
      <w:pPr>
        <w:pStyle w:val="Paper-Text-Regular"/>
      </w:pPr>
      <w:r>
        <w:lastRenderedPageBreak/>
        <w:t>On the other hand, intuitions must have the appropriate normative structure to serve as reasons in su</w:t>
      </w:r>
      <w:r>
        <w:t>p</w:t>
      </w:r>
      <w:r>
        <w:t xml:space="preserve">port of our beliefs. </w:t>
      </w:r>
      <w:r w:rsidRPr="000879F3">
        <w:t xml:space="preserve">In this case, the fear is that we will fall into what </w:t>
      </w:r>
      <w:r>
        <w:t xml:space="preserve">Wilfrid </w:t>
      </w:r>
      <w:r w:rsidRPr="000879F3">
        <w:t>Sellars calls the “myth of the given”: demanding that intuition contribute to knowledge, while denying it the concept</w:t>
      </w:r>
      <w:r w:rsidRPr="000879F3">
        <w:t>u</w:t>
      </w:r>
      <w:r w:rsidRPr="000879F3">
        <w:t>al features that are required of this role</w:t>
      </w:r>
      <w:r>
        <w:t xml:space="preserve">. Sellars and, more recently, John McDowell have argued that avoiding this myth is a central concern of the first </w:t>
      </w:r>
      <w:r w:rsidRPr="007E15C7">
        <w:rPr>
          <w:i/>
        </w:rPr>
        <w:t>Critique</w:t>
      </w:r>
      <w:r>
        <w:t>.</w:t>
      </w:r>
      <w:r>
        <w:rPr>
          <w:rStyle w:val="FootnoteReference"/>
        </w:rPr>
        <w:footnoteReference w:id="9"/>
      </w:r>
      <w:r>
        <w:t xml:space="preserve"> Indeed, there are a number of passages that, I believe, e</w:t>
      </w:r>
      <w:r>
        <w:t>x</w:t>
      </w:r>
      <w:r>
        <w:t>press Kant’s wish to avoid a problematic appeal to the Given. In some of them, he considers the possibi</w:t>
      </w:r>
      <w:r>
        <w:t>l</w:t>
      </w:r>
      <w:r>
        <w:t>ity of our sensible intuitions being so different in character from our conceptual thoughts as to make them unfit to serve as m</w:t>
      </w:r>
      <w:r>
        <w:t>a</w:t>
      </w:r>
      <w:r>
        <w:t>terial for our conceptual activity, raising the worry of a fundamental disconnect between sensibility and u</w:t>
      </w:r>
      <w:r>
        <w:t>n</w:t>
      </w:r>
      <w:r>
        <w:t>derstanding. For example, he writes:</w:t>
      </w:r>
    </w:p>
    <w:p w:rsidR="00923163" w:rsidRDefault="00923163" w:rsidP="007E15C7">
      <w:pPr>
        <w:pStyle w:val="Paper-Text-BlockQuote"/>
      </w:pPr>
      <w:r>
        <w:t>For appearances could after all be so constituted that the understanding would not find them in accord with the conditions of its unity, and everything would then be in such confusion that, e.g., in the succession of appearances nothing would offer itself that would furnish a rule of synthesis and thus correspond to the concept of cause and effect, so that this concept would therefore be entirely empty, nugatory, and without signif</w:t>
      </w:r>
      <w:r>
        <w:t>i</w:t>
      </w:r>
      <w:r>
        <w:t>cance.” (A90/B122-3)</w:t>
      </w:r>
      <w:r>
        <w:rPr>
          <w:rStyle w:val="FootnoteReference"/>
        </w:rPr>
        <w:footnoteReference w:id="10"/>
      </w:r>
    </w:p>
    <w:p w:rsidR="00923163" w:rsidRDefault="00923163" w:rsidP="003F64DF">
      <w:pPr>
        <w:pStyle w:val="Paper-Text-AfterBlockQuote"/>
      </w:pPr>
      <w:r>
        <w:t>The same issue comes up in Kant’s discussion of the necessary “affinity” of the sensible manifold for the law-like unity demanded by understanding (e.g., A113, A122-3) and in his concern to establish “... the cond</w:t>
      </w:r>
      <w:r>
        <w:t>i</w:t>
      </w:r>
      <w:r>
        <w:t>tions under which objects in harmony with those concepts [i.e., the categories] can be given ...” (A136/B176).</w:t>
      </w:r>
      <w:r>
        <w:rPr>
          <w:rStyle w:val="FootnoteReference"/>
        </w:rPr>
        <w:footnoteReference w:id="11"/>
      </w:r>
      <w:r>
        <w:t xml:space="preserve"> This demand for intuition to have a rational structure is met when Kant states the depen</w:t>
      </w:r>
      <w:r>
        <w:t>d</w:t>
      </w:r>
      <w:r>
        <w:t>ence of intuition on understanding.</w:t>
      </w:r>
    </w:p>
    <w:p w:rsidR="00923163" w:rsidRDefault="00923163" w:rsidP="006B4C44">
      <w:pPr>
        <w:pStyle w:val="Paper-Text-Regular"/>
      </w:pPr>
      <w:r>
        <w:t>Unfortunately, these two demands seem to oppose one another, leaving us in a dilemma. In order to play its role of providing content for our knowledge of the world, it appears that intuition must be both wit</w:t>
      </w:r>
      <w:r>
        <w:t>h</w:t>
      </w:r>
      <w:r>
        <w:t>in and outside the conceptual sphere of understanding. It is this philosophical dilemma that lies at the root of Kant’s seemingly contradictory account of intuition.</w:t>
      </w:r>
      <w:r>
        <w:rPr>
          <w:rStyle w:val="FootnoteReference"/>
        </w:rPr>
        <w:footnoteReference w:id="12"/>
      </w:r>
    </w:p>
    <w:p w:rsidR="00923163" w:rsidRDefault="00923163">
      <w:pPr>
        <w:pStyle w:val="Paper-Text-Regular"/>
      </w:pPr>
      <w:r>
        <w:lastRenderedPageBreak/>
        <w:t xml:space="preserve">Kant’s conflicting claims regarding intuition have led to two distinct interpretations in the secondary literature. Those who favor the first set of claims see Kant as offering a </w:t>
      </w:r>
      <w:r>
        <w:rPr>
          <w:i/>
          <w:iCs/>
        </w:rPr>
        <w:t>nonconceptualist</w:t>
      </w:r>
      <w:r>
        <w:t xml:space="preserve"> account of intu</w:t>
      </w:r>
      <w:r>
        <w:t>i</w:t>
      </w:r>
      <w:r>
        <w:t>tion. On this reading, the understanding plays no role in the initial activity of sensibility, and thus the intu</w:t>
      </w:r>
      <w:r>
        <w:t>i</w:t>
      </w:r>
      <w:r>
        <w:t>tions that we are immediately given in sensibility lack conceptual structure.</w:t>
      </w:r>
      <w:r>
        <w:rPr>
          <w:rStyle w:val="FootnoteReference"/>
        </w:rPr>
        <w:footnoteReference w:id="13"/>
      </w:r>
      <w:r>
        <w:t xml:space="preserve"> </w:t>
      </w:r>
      <w:r w:rsidRPr="00E04569">
        <w:t>I will focus on three recent d</w:t>
      </w:r>
      <w:r w:rsidRPr="00E04569">
        <w:t>e</w:t>
      </w:r>
      <w:r w:rsidRPr="00E04569">
        <w:t>fen</w:t>
      </w:r>
      <w:r>
        <w:t xml:space="preserve">ders </w:t>
      </w:r>
      <w:r w:rsidRPr="00E04569">
        <w:t xml:space="preserve">of the nonconceptualist interpretation: Lucy Allais, Lorne Falkenstein, </w:t>
      </w:r>
      <w:r>
        <w:t xml:space="preserve">and </w:t>
      </w:r>
      <w:r w:rsidRPr="00E04569">
        <w:t>Robert Ha</w:t>
      </w:r>
      <w:r w:rsidRPr="00E04569">
        <w:t>n</w:t>
      </w:r>
      <w:r w:rsidRPr="00E04569">
        <w:t>na.</w:t>
      </w:r>
      <w:r>
        <w:rPr>
          <w:rStyle w:val="FootnoteReference"/>
        </w:rPr>
        <w:footnoteReference w:id="14"/>
      </w:r>
      <w:r>
        <w:t xml:space="preserve"> Other interpreters, who prefer the second set of claims, see Kant as a </w:t>
      </w:r>
      <w:r>
        <w:rPr>
          <w:i/>
          <w:iCs/>
        </w:rPr>
        <w:t>conceptualist</w:t>
      </w:r>
      <w:r>
        <w:t xml:space="preserve"> regarding intu</w:t>
      </w:r>
      <w:r>
        <w:t>i</w:t>
      </w:r>
      <w:r>
        <w:t xml:space="preserve">tion, insisting that our conceptual capacities must already be at work in the reception of sensible content. </w:t>
      </w:r>
      <w:r w:rsidRPr="005357DE">
        <w:t xml:space="preserve">Two prominent </w:t>
      </w:r>
      <w:r>
        <w:t xml:space="preserve">contemporary </w:t>
      </w:r>
      <w:r w:rsidRPr="005357DE">
        <w:t>defen</w:t>
      </w:r>
      <w:r>
        <w:t xml:space="preserve">ders </w:t>
      </w:r>
      <w:r w:rsidRPr="005357DE">
        <w:t>of a conceptualist view of Kantian intu</w:t>
      </w:r>
      <w:r w:rsidRPr="005357DE">
        <w:t>i</w:t>
      </w:r>
      <w:r w:rsidRPr="005357DE">
        <w:t>tion are</w:t>
      </w:r>
      <w:r>
        <w:t xml:space="preserve"> Paul </w:t>
      </w:r>
      <w:proofErr w:type="spellStart"/>
      <w:r>
        <w:t>Abela</w:t>
      </w:r>
      <w:proofErr w:type="spellEnd"/>
      <w:r>
        <w:t xml:space="preserve"> and John McDowell.</w:t>
      </w:r>
      <w:r>
        <w:rPr>
          <w:rStyle w:val="FootnoteReference"/>
        </w:rPr>
        <w:footnoteReference w:id="15"/>
      </w:r>
      <w:r>
        <w:t xml:space="preserve"> The presence in the </w:t>
      </w:r>
      <w:r>
        <w:rPr>
          <w:i/>
          <w:iCs/>
        </w:rPr>
        <w:t>Critique</w:t>
      </w:r>
      <w:r>
        <w:t xml:space="preserve"> of these conflicting claims, which support two opposing interpretations of Kant on intuition, has led to a striking situation. As Hanna notes, “Kant’s theory of intuition is the hidden histor</w:t>
      </w:r>
      <w:r>
        <w:t>i</w:t>
      </w:r>
      <w:r>
        <w:t>cal origin of both sides of the debate b</w:t>
      </w:r>
      <w:r>
        <w:t>e</w:t>
      </w:r>
      <w:r>
        <w:t>tween conceptualists and non-conceptualists.”</w:t>
      </w:r>
      <w:r>
        <w:rPr>
          <w:rStyle w:val="FootnoteReference"/>
        </w:rPr>
        <w:footnoteReference w:id="16"/>
      </w:r>
      <w:r>
        <w:t xml:space="preserve"> We can thus hope </w:t>
      </w:r>
      <w:r>
        <w:lastRenderedPageBreak/>
        <w:t>that adjudicating the debate over how to read Kant on intuition can also contribute to the larger philosophical debate over the concept</w:t>
      </w:r>
      <w:r>
        <w:t>u</w:t>
      </w:r>
      <w:r>
        <w:t>al character of perception.</w:t>
      </w:r>
      <w:r>
        <w:rPr>
          <w:rStyle w:val="FootnoteReference"/>
        </w:rPr>
        <w:footnoteReference w:id="17"/>
      </w:r>
    </w:p>
    <w:p w:rsidR="00923163" w:rsidRDefault="00923163" w:rsidP="00972093">
      <w:pPr>
        <w:pStyle w:val="Paper-Text-Regular"/>
      </w:pPr>
      <w:r>
        <w:t>To be clear, I do not claim to be a neutral adjudicator of this dispute, for I believe that our immediate sensible access to the world must be conceptual in character. What I hope to show is that Kant too is best read as a conceptualist regarding intuition. Moreover, I will argue that such a reading allows us to explain the apparent contradictions in his account, revealing them to be the product not of confusion, but rather of a d</w:t>
      </w:r>
      <w:r>
        <w:t>e</w:t>
      </w:r>
      <w:r>
        <w:t>liberate strategy of gradually revealing the role of understanding in intuition.</w:t>
      </w:r>
    </w:p>
    <w:p w:rsidR="00923163" w:rsidRDefault="00923163">
      <w:pPr>
        <w:pStyle w:val="Paper-Text-Regular"/>
      </w:pPr>
      <w:r>
        <w:t xml:space="preserve">Of course, defenders of both the conceptualist and nonconceptualist readings of Kantian intuition are well aware that each side finds some textual support in the </w:t>
      </w:r>
      <w:r>
        <w:rPr>
          <w:i/>
          <w:iCs/>
        </w:rPr>
        <w:t>Critique</w:t>
      </w:r>
      <w:r>
        <w:t>. Thus a lot of interpretive effort has been devoted to explaining (or explaining away) those passages that seem to contradict the preferred reading. In the following section, I examine how some defenders of the nonconceptualist reading have dealt with these problematic passages. The lessons learned will point us toward a different approach, which I present in se</w:t>
      </w:r>
      <w:r>
        <w:t>c</w:t>
      </w:r>
      <w:r>
        <w:t>tion three.</w:t>
      </w:r>
    </w:p>
    <w:p w:rsidR="00923163" w:rsidRDefault="00923163">
      <w:pPr>
        <w:pStyle w:val="Paper-Heading"/>
        <w:tabs>
          <w:tab w:val="left" w:pos="600"/>
        </w:tabs>
      </w:pPr>
      <w:r>
        <w:t>II. Nonconceptualist Interpretive Strategies</w:t>
      </w:r>
    </w:p>
    <w:p w:rsidR="00923163" w:rsidRDefault="00923163">
      <w:pPr>
        <w:pStyle w:val="Paper-Text-Regular"/>
      </w:pPr>
      <w:r>
        <w:t>Turning to some recent nonconceptualist interpretations of Kant, we find two prominent strat</w:t>
      </w:r>
      <w:r>
        <w:t>e</w:t>
      </w:r>
      <w:r>
        <w:t>gies for addressing those passages that seem to support the opposing conceptualist reading. First, i</w:t>
      </w:r>
      <w:r>
        <w:t>n</w:t>
      </w:r>
      <w:r>
        <w:t>terpreters often attempt to distinguish different senses of certain key terms in order to avoid a contradiction. A second strat</w:t>
      </w:r>
      <w:r>
        <w:t>e</w:t>
      </w:r>
      <w:r>
        <w:t>gy involves downplaying the scope or significance of problematic passages. I will consider each of these ta</w:t>
      </w:r>
      <w:r>
        <w:t>c</w:t>
      </w:r>
      <w:r>
        <w:t>tics in turn.</w:t>
      </w:r>
    </w:p>
    <w:p w:rsidR="00923163" w:rsidRDefault="00923163">
      <w:pPr>
        <w:pStyle w:val="Paper-Text-Regular"/>
      </w:pPr>
      <w:r>
        <w:t>On the first strategy, interpreters attribute the appearance of contradiction in Kant’s account to his failure to mark important distinctions in his use of key terms. So, when Kant says that mere intu</w:t>
      </w:r>
      <w:r>
        <w:t>i</w:t>
      </w:r>
      <w:r>
        <w:t xml:space="preserve">tion both is </w:t>
      </w:r>
      <w:r>
        <w:lastRenderedPageBreak/>
        <w:t>and is not a cognition, a number of commentators have suggested that Kant is actually using broader and na</w:t>
      </w:r>
      <w:r>
        <w:t>r</w:t>
      </w:r>
      <w:r>
        <w:t>rower senses of the term ‘cognition.’ Hanna, for instance, writes:</w:t>
      </w:r>
    </w:p>
    <w:p w:rsidR="00923163" w:rsidRDefault="00923163">
      <w:pPr>
        <w:pStyle w:val="Paper-Text-BlockQuote"/>
      </w:pPr>
      <w:r>
        <w:t xml:space="preserve">We have already seen how cognitions in general are objective conscious representations, and that both concepts and intuitions are cognitions. In the B edition of the first </w:t>
      </w:r>
      <w:r>
        <w:rPr>
          <w:i/>
          <w:iCs/>
        </w:rPr>
        <w:t>Critique</w:t>
      </w:r>
      <w:r>
        <w:t xml:space="preserve"> however Kant also highlights a much narrower notion of ‘cognition’ that means </w:t>
      </w:r>
      <w:r>
        <w:rPr>
          <w:i/>
          <w:iCs/>
        </w:rPr>
        <w:t>objectively valid jud</w:t>
      </w:r>
      <w:r>
        <w:rPr>
          <w:i/>
          <w:iCs/>
        </w:rPr>
        <w:t>g</w:t>
      </w:r>
      <w:r>
        <w:rPr>
          <w:i/>
          <w:iCs/>
        </w:rPr>
        <w:t>ment</w:t>
      </w:r>
      <w:r>
        <w:t xml:space="preserve"> (CPR </w:t>
      </w:r>
      <w:proofErr w:type="spellStart"/>
      <w:r>
        <w:t>Bxxvi</w:t>
      </w:r>
      <w:proofErr w:type="spellEnd"/>
      <w:r>
        <w:t xml:space="preserve"> n., B146), and this is in fact how he is using it in the famous texts at A50-1/B74-6.</w:t>
      </w:r>
      <w:r>
        <w:rPr>
          <w:rStyle w:val="FootnoteReference"/>
        </w:rPr>
        <w:footnoteReference w:id="18"/>
      </w:r>
    </w:p>
    <w:p w:rsidR="00923163" w:rsidRDefault="00923163" w:rsidP="00E17B74">
      <w:pPr>
        <w:pStyle w:val="Paper-Text-AfterBlockQuote"/>
      </w:pPr>
      <w:r>
        <w:t>For Hanna, cognition, construed broadly, would include any mental representation that is appropriately o</w:t>
      </w:r>
      <w:r>
        <w:t>b</w:t>
      </w:r>
      <w:r>
        <w:t>jective in character. When considered more narrowly, however, as a subset of cognition in general, it includes only those representations that are produced by an explicit act of judgment.</w:t>
      </w:r>
    </w:p>
    <w:p w:rsidR="00923163" w:rsidRDefault="00923163" w:rsidP="00A25B3C">
      <w:pPr>
        <w:pStyle w:val="Paper-Text-Regular"/>
      </w:pPr>
      <w:r>
        <w:t>Hanna’s distinction would be effective in resolving Kant’s apparently contradictory statements. When Kant denies that intuition by itself amounts to cognition, Hanna sees him as meaning that intuition is not cognition narrowly-defined, since it is not the product of judgment. If this is right, then there would be no inconsistency when Kant claims elsewhere that intuition is a cognition, for there Kant means only that intu</w:t>
      </w:r>
      <w:r>
        <w:t>i</w:t>
      </w:r>
      <w:r>
        <w:t>tion is objective, and thus a cognition merely in the broader sense. Hanna’s manner of resolving the contr</w:t>
      </w:r>
      <w:r>
        <w:t>a</w:t>
      </w:r>
      <w:r>
        <w:t>diction is meant to provide support for a nonconceptualist reading of Kant. By identifying intuition as a co</w:t>
      </w:r>
      <w:r>
        <w:t>g</w:t>
      </w:r>
      <w:r>
        <w:t>nition only in the broader sense, Kant would be denying that the conceptual activity of jud</w:t>
      </w:r>
      <w:r>
        <w:t>g</w:t>
      </w:r>
      <w:r>
        <w:t>ment plays any role in intuition.</w:t>
      </w:r>
      <w:r>
        <w:rPr>
          <w:rStyle w:val="FootnoteReference"/>
        </w:rPr>
        <w:footnoteReference w:id="19"/>
      </w:r>
    </w:p>
    <w:p w:rsidR="00923163" w:rsidRDefault="00923163" w:rsidP="00A25B3C">
      <w:pPr>
        <w:pStyle w:val="Paper-Text-Regular"/>
      </w:pPr>
      <w:r>
        <w:t>While Hanna’s distinction would resolve the issue, his proposal faces two problems. First, Kant never explicitly makes this distinction between two senses of cognition. If he does have such a distin</w:t>
      </w:r>
      <w:r>
        <w:t>c</w:t>
      </w:r>
      <w:r>
        <w:t>tion in mind, it is striking that he fails to draw attention to it.</w:t>
      </w:r>
      <w:r>
        <w:rPr>
          <w:rStyle w:val="FootnoteReference"/>
        </w:rPr>
        <w:footnoteReference w:id="20"/>
      </w:r>
      <w:r>
        <w:t xml:space="preserve"> Naturally, it remains possible that Kant is relying on Ha</w:t>
      </w:r>
      <w:r>
        <w:t>n</w:t>
      </w:r>
      <w:r>
        <w:t>na’s distinction without explicitly drawing it. That said, absent direct textual evidence the di</w:t>
      </w:r>
      <w:r>
        <w:t>s</w:t>
      </w:r>
      <w:r>
        <w:t>tinction derives much of its plausibility from its fit with the nonconceptualist reading of Kant, and thus cannot provide ind</w:t>
      </w:r>
      <w:r>
        <w:t>e</w:t>
      </w:r>
      <w:r>
        <w:t>pendent support for this reading.</w:t>
      </w:r>
    </w:p>
    <w:p w:rsidR="00923163" w:rsidRDefault="00923163">
      <w:pPr>
        <w:pStyle w:val="Paper-Text-Regular"/>
      </w:pPr>
      <w:r>
        <w:lastRenderedPageBreak/>
        <w:t>There is a further problem with this proposal, for, once we begin to distinguish different senses of Kant’s key terms, it becomes difficult to stop doing so. Allais, for example, addresses a passage from Kant that seems to support a conceptualist view of space by again distinguishing two senses of ‘space.’ When Kant claims that understanding must produce the unity in our representation of space, she writes:</w:t>
      </w:r>
    </w:p>
    <w:p w:rsidR="00923163" w:rsidRDefault="00923163">
      <w:pPr>
        <w:pStyle w:val="Paper-Text-BlockQuote"/>
      </w:pPr>
      <w:r>
        <w:t>... for this reading to be consistent with Kant’s fundamental duality of sensibility and unde</w:t>
      </w:r>
      <w:r>
        <w:t>r</w:t>
      </w:r>
      <w:r>
        <w:t>standing, it must be that there is some aspect of our representation of space which is not d</w:t>
      </w:r>
      <w:r>
        <w:t>e</w:t>
      </w:r>
      <w:r>
        <w:t>pendent on this .... We can allow that there are two ‘levels’ of our representation of space: first, the ordering representation, the form of outer sense, which enables us to be presented with e</w:t>
      </w:r>
      <w:r>
        <w:t>m</w:t>
      </w:r>
      <w:r>
        <w:t>pirical particulars as uniquely located in an oriented and egocentrically-</w:t>
      </w:r>
      <w:proofErr w:type="spellStart"/>
      <w:r>
        <w:t>centred</w:t>
      </w:r>
      <w:proofErr w:type="spellEnd"/>
      <w:r>
        <w:t xml:space="preserve"> three-dimensional framework, and second, the representation of a unified objective space as the o</w:t>
      </w:r>
      <w:r>
        <w:t>b</w:t>
      </w:r>
      <w:r>
        <w:t>ject of study of geometry, which results from the first level being brought under the transce</w:t>
      </w:r>
      <w:r>
        <w:t>n</w:t>
      </w:r>
      <w:r>
        <w:t>dental unity of apperception.</w:t>
      </w:r>
      <w:r>
        <w:rPr>
          <w:rStyle w:val="FootnoteReference"/>
        </w:rPr>
        <w:footnoteReference w:id="21"/>
      </w:r>
    </w:p>
    <w:p w:rsidR="00923163" w:rsidRDefault="00923163" w:rsidP="002E2F20">
      <w:pPr>
        <w:pStyle w:val="Paper-Text-AfterBlockQuote"/>
      </w:pPr>
      <w:r>
        <w:t>That is, Allais takes Kant to be claiming that we have a basic representation of space, one prior to any activ</w:t>
      </w:r>
      <w:r>
        <w:t>i</w:t>
      </w:r>
      <w:r>
        <w:t>ty of understanding, and then a further representation of space that reflects the activity of understanding. Once again, this is a distinction that Kant never explicitly draws in the text. Moreover, this unmarked distin</w:t>
      </w:r>
      <w:r>
        <w:t>c</w:t>
      </w:r>
      <w:r>
        <w:t xml:space="preserve">tion leads Allais to draw yet another: this time between two senses of representing a particular (one </w:t>
      </w:r>
      <w:proofErr w:type="spellStart"/>
      <w:r>
        <w:t>preco</w:t>
      </w:r>
      <w:r>
        <w:t>n</w:t>
      </w:r>
      <w:r>
        <w:t>ceptual</w:t>
      </w:r>
      <w:proofErr w:type="spellEnd"/>
      <w:r>
        <w:t>, the other conceptual).</w:t>
      </w:r>
      <w:r>
        <w:rPr>
          <w:rStyle w:val="FootnoteReference"/>
        </w:rPr>
        <w:footnoteReference w:id="22"/>
      </w:r>
      <w:r>
        <w:t xml:space="preserve"> In general, this proposal encourages a proliferation of distinct senses of terms on which Kant is said to be equivocating. As one is forced to impose more of these unmarked distin</w:t>
      </w:r>
      <w:r>
        <w:t>c</w:t>
      </w:r>
      <w:r>
        <w:t>tions on Kant’s text, the interpretation becomes less plausible.</w:t>
      </w:r>
    </w:p>
    <w:p w:rsidR="00923163" w:rsidRDefault="00923163">
      <w:pPr>
        <w:pStyle w:val="Paper-Text-Regular"/>
      </w:pPr>
      <w:r>
        <w:t xml:space="preserve">We find an important source for this nonconceptualist approach in Sellars’ </w:t>
      </w:r>
      <w:r>
        <w:rPr>
          <w:i/>
          <w:iCs/>
        </w:rPr>
        <w:t>Science and Metaphysics</w:t>
      </w:r>
      <w:r>
        <w:t>. Sellars also identifies an ambiguity in Kant’s account of intuition, charging that Kant fails to distinguish b</w:t>
      </w:r>
      <w:r>
        <w:t>e</w:t>
      </w:r>
      <w:r>
        <w:t xml:space="preserve">tween intuition as a </w:t>
      </w:r>
      <w:proofErr w:type="spellStart"/>
      <w:r>
        <w:t>preconceptual</w:t>
      </w:r>
      <w:proofErr w:type="spellEnd"/>
      <w:r>
        <w:t xml:space="preserve"> manifold (what Hanna and Allais might call cognition in the broad sense) and intuition as the representation of an individual (narrow cognition).</w:t>
      </w:r>
      <w:r>
        <w:rPr>
          <w:rStyle w:val="FootnoteReference"/>
        </w:rPr>
        <w:footnoteReference w:id="23"/>
      </w:r>
      <w:r>
        <w:t xml:space="preserve"> Sellars recognizes the implications of drawing this distinction, seeing that it requires drawing a similar distinction in our n</w:t>
      </w:r>
      <w:r>
        <w:t>o</w:t>
      </w:r>
      <w:r>
        <w:t>tions of space. As he puts it:</w:t>
      </w:r>
    </w:p>
    <w:p w:rsidR="00923163" w:rsidRDefault="00923163" w:rsidP="00CC0752">
      <w:pPr>
        <w:pStyle w:val="Paper-Text-BlockQuote"/>
      </w:pPr>
      <w:r>
        <w:t>... the distinction we have been drawing between the impressions of sheer receptivity and the intuitions of the productive imagination must be paralleled by a corresponding distinction b</w:t>
      </w:r>
      <w:r>
        <w:t>e</w:t>
      </w:r>
      <w:r>
        <w:t xml:space="preserve">tween two radically different senses of spatial terms, in one of which we can speak of </w:t>
      </w:r>
      <w:r w:rsidRPr="006F2F3E">
        <w:rPr>
          <w:i/>
        </w:rPr>
        <w:t>impre</w:t>
      </w:r>
      <w:r w:rsidRPr="006F2F3E">
        <w:rPr>
          <w:i/>
        </w:rPr>
        <w:t>s</w:t>
      </w:r>
      <w:r w:rsidRPr="006F2F3E">
        <w:rPr>
          <w:i/>
        </w:rPr>
        <w:lastRenderedPageBreak/>
        <w:t>sions</w:t>
      </w:r>
      <w:r>
        <w:t xml:space="preserve"> as having a spatial form, while in the other we can speak of </w:t>
      </w:r>
      <w:r w:rsidRPr="006F2F3E">
        <w:rPr>
          <w:i/>
        </w:rPr>
        <w:t>the objects of intuition</w:t>
      </w:r>
      <w:r>
        <w:t xml:space="preserve"> as having a spatial form.</w:t>
      </w:r>
      <w:r>
        <w:rPr>
          <w:rStyle w:val="FootnoteReference"/>
        </w:rPr>
        <w:footnoteReference w:id="24"/>
      </w:r>
    </w:p>
    <w:p w:rsidR="00923163" w:rsidRDefault="00923163" w:rsidP="002E2F20">
      <w:pPr>
        <w:pStyle w:val="Paper-Text-AfterBlockQuote"/>
      </w:pPr>
      <w:r>
        <w:t>But Sellars is also acutely aware of the difficulties this strategy creates for Kant. Supporters of the nonco</w:t>
      </w:r>
      <w:r>
        <w:t>n</w:t>
      </w:r>
      <w:r>
        <w:t xml:space="preserve">ceptualist reading often point to the Aesthetic as the place in the </w:t>
      </w:r>
      <w:r>
        <w:rPr>
          <w:i/>
          <w:iCs/>
        </w:rPr>
        <w:t>Critique</w:t>
      </w:r>
      <w:r>
        <w:t xml:space="preserve"> where Kant defends intuition as a cognition, broadly construed. Sellars, however, recognizes that, even in the Aesthetic, Kant already treats intuitions (and space and time) as belonging within the conceptual sphere. As he notes:</w:t>
      </w:r>
    </w:p>
    <w:p w:rsidR="00923163" w:rsidRDefault="00923163">
      <w:pPr>
        <w:pStyle w:val="Paper-Text-BlockQuote"/>
      </w:pPr>
      <w:r>
        <w:t xml:space="preserve">... the characteristics of the representations of receptivity as such, which is what should </w:t>
      </w:r>
      <w:r>
        <w:rPr>
          <w:i/>
          <w:iCs/>
        </w:rPr>
        <w:t>prope</w:t>
      </w:r>
      <w:r>
        <w:rPr>
          <w:i/>
          <w:iCs/>
        </w:rPr>
        <w:t>r</w:t>
      </w:r>
      <w:r>
        <w:rPr>
          <w:i/>
          <w:iCs/>
        </w:rPr>
        <w:t>ly</w:t>
      </w:r>
      <w:r>
        <w:t xml:space="preserve"> be meant by the forms of sensibility, are never adequately discussed, and the so-called forms of sensibility become ever more clearly, as the argument of the </w:t>
      </w:r>
      <w:r>
        <w:rPr>
          <w:i/>
          <w:iCs/>
        </w:rPr>
        <w:t>Critique</w:t>
      </w:r>
      <w:r>
        <w:t xml:space="preserve"> proceeds, forms of conceptual representations.</w:t>
      </w:r>
      <w:r>
        <w:rPr>
          <w:rStyle w:val="FootnoteReference"/>
        </w:rPr>
        <w:footnoteReference w:id="25"/>
      </w:r>
    </w:p>
    <w:p w:rsidR="00923163" w:rsidRDefault="00923163">
      <w:pPr>
        <w:pStyle w:val="Paper-Text-AfterBlockQuote"/>
      </w:pPr>
      <w:r>
        <w:t xml:space="preserve">In adopting the nonconceptualist strategy of distinguishing broader and narrower senses of Kant’s key terms, Sellars correctly identifies a problem with this reading of Kantian intuition, for nowhere in the </w:t>
      </w:r>
      <w:r>
        <w:rPr>
          <w:i/>
          <w:iCs/>
        </w:rPr>
        <w:t>Cr</w:t>
      </w:r>
      <w:r>
        <w:rPr>
          <w:i/>
          <w:iCs/>
        </w:rPr>
        <w:t>i</w:t>
      </w:r>
      <w:r>
        <w:rPr>
          <w:i/>
          <w:iCs/>
        </w:rPr>
        <w:t>tique</w:t>
      </w:r>
      <w:r>
        <w:t xml:space="preserve"> does Kant offer a distinct account of intuition as a cognition in the broader and supposedly </w:t>
      </w:r>
      <w:proofErr w:type="spellStart"/>
      <w:r>
        <w:t>preco</w:t>
      </w:r>
      <w:r>
        <w:t>n</w:t>
      </w:r>
      <w:r>
        <w:t>ceptual</w:t>
      </w:r>
      <w:proofErr w:type="spellEnd"/>
      <w:r>
        <w:t xml:space="preserve"> sense.</w:t>
      </w:r>
      <w:r>
        <w:rPr>
          <w:rStyle w:val="FootnoteReference"/>
        </w:rPr>
        <w:footnoteReference w:id="26"/>
      </w:r>
      <w:r>
        <w:t xml:space="preserve"> </w:t>
      </w:r>
      <w:r w:rsidRPr="006F2F3E">
        <w:t>Sellars</w:t>
      </w:r>
      <w:r>
        <w:t>, who endorses his own version of a nonconceptualist account of intu</w:t>
      </w:r>
      <w:r>
        <w:t>i</w:t>
      </w:r>
      <w:r>
        <w:t>tion, sees this as a problem for Kant. We can also see it, however, as a problem for the nonconceptua</w:t>
      </w:r>
      <w:r>
        <w:t>l</w:t>
      </w:r>
      <w:r>
        <w:t>ist reading of Kant.</w:t>
      </w:r>
    </w:p>
    <w:p w:rsidR="00923163" w:rsidRDefault="00923163" w:rsidP="00385599">
      <w:pPr>
        <w:pStyle w:val="Paper-Text-Regular"/>
      </w:pPr>
      <w:r>
        <w:t>I have identified some issues that arise for the first strategy of distinguishing the senses of key terms. Another common approach is to downplay the scope or significance of problematic passages. This second strategy is frequently employed to explain Kant’s remarks on the blindness of mere intuition. As we saw ea</w:t>
      </w:r>
      <w:r>
        <w:t>r</w:t>
      </w:r>
      <w:r>
        <w:t>lier, Kant insists that “intuitions without concepts are blind” (A51/B75), thereby suggesting that intuitions could have no cognitive value without the involvement of understanding. Responding to this passage, a nu</w:t>
      </w:r>
      <w:r>
        <w:t>m</w:t>
      </w:r>
      <w:r>
        <w:t>ber of nonconceptualist interpreters have argued that the blindness of mere intuition is not as complete as it sounds. Allais, for example, writes:</w:t>
      </w:r>
    </w:p>
    <w:p w:rsidR="00923163" w:rsidRDefault="00923163">
      <w:pPr>
        <w:pStyle w:val="Paper-Text-BlockQuote"/>
      </w:pPr>
      <w:r>
        <w:t xml:space="preserve">... while the metaphorical term ‘blind’ on its own might suggest something that is in no sense representational, given Kant’s </w:t>
      </w:r>
      <w:r>
        <w:rPr>
          <w:i/>
          <w:iCs/>
        </w:rPr>
        <w:t>definition</w:t>
      </w:r>
      <w:r>
        <w:t xml:space="preserve"> of intuition, intuitional blindness </w:t>
      </w:r>
      <w:r>
        <w:rPr>
          <w:i/>
          <w:iCs/>
        </w:rPr>
        <w:t>cannot</w:t>
      </w:r>
      <w:r>
        <w:t xml:space="preserve"> mean that i</w:t>
      </w:r>
      <w:r>
        <w:t>n</w:t>
      </w:r>
      <w:r>
        <w:t xml:space="preserve">tuitions are not </w:t>
      </w:r>
      <w:r>
        <w:rPr>
          <w:i/>
          <w:iCs/>
        </w:rPr>
        <w:t>singular representations</w:t>
      </w:r>
      <w:r>
        <w:t xml:space="preserve"> because Kant </w:t>
      </w:r>
      <w:r>
        <w:rPr>
          <w:i/>
          <w:iCs/>
        </w:rPr>
        <w:t>defines</w:t>
      </w:r>
      <w:r>
        <w:t xml:space="preserve"> intuitions as immediate singular representations.”</w:t>
      </w:r>
      <w:r>
        <w:rPr>
          <w:rStyle w:val="FootnoteReference"/>
        </w:rPr>
        <w:footnoteReference w:id="27"/>
      </w:r>
    </w:p>
    <w:p w:rsidR="00923163" w:rsidRDefault="00923163">
      <w:pPr>
        <w:pStyle w:val="Paper-Text-AfterBlockQuote"/>
      </w:pPr>
      <w:r>
        <w:t>Similarly, Hanna states that:</w:t>
      </w:r>
    </w:p>
    <w:p w:rsidR="00923163" w:rsidRDefault="00923163">
      <w:pPr>
        <w:pStyle w:val="Paper-Text-BlockQuote"/>
      </w:pPr>
      <w:r>
        <w:lastRenderedPageBreak/>
        <w:t>... ‘blind intuition’ for Kant does not mean either ‘bogus intuition’ or ‘meaningless intuition’: rather it means objectively valid non-conceptual intuition. So Kant’s term-of-art ‘blind intu</w:t>
      </w:r>
      <w:r>
        <w:t>i</w:t>
      </w:r>
      <w:r>
        <w:t>tion’ no more implies the denial of intuitional cognition than our contemporary psychological term-of-art ‘</w:t>
      </w:r>
      <w:proofErr w:type="spellStart"/>
      <w:r>
        <w:t>blindsight</w:t>
      </w:r>
      <w:proofErr w:type="spellEnd"/>
      <w:r>
        <w:t>’ implies the denial of visual cognition ....”</w:t>
      </w:r>
      <w:r>
        <w:rPr>
          <w:rStyle w:val="FootnoteReference"/>
        </w:rPr>
        <w:footnoteReference w:id="28"/>
      </w:r>
    </w:p>
    <w:p w:rsidR="00923163" w:rsidRDefault="00923163">
      <w:pPr>
        <w:pStyle w:val="Paper-Text-AfterBlockQuote"/>
      </w:pPr>
      <w:r>
        <w:t>On this second strategy, when Kant calls mere intuition blind, he is not stating that such an intuition would be totally empty of cognitive content. Rather, it can still provide a kind of sensible content prior to the activity of understanding, even if this content is, in some respect, limited.</w:t>
      </w:r>
    </w:p>
    <w:p w:rsidR="00923163" w:rsidRDefault="00923163" w:rsidP="005F46A9">
      <w:pPr>
        <w:pStyle w:val="Paper-Text-Regular"/>
      </w:pPr>
      <w:r>
        <w:t>As with the earlier strategy, this tactic would succeed in resolving the contradictions in the text, while supporting a nonconceptualist reading of intuition. It faces a serious problem, however, for passages els</w:t>
      </w:r>
      <w:r>
        <w:t>e</w:t>
      </w:r>
      <w:r>
        <w:t xml:space="preserve">where in the </w:t>
      </w:r>
      <w:r>
        <w:rPr>
          <w:i/>
          <w:iCs/>
        </w:rPr>
        <w:t>Critique</w:t>
      </w:r>
      <w:r>
        <w:t xml:space="preserve"> strongly suggest that the blindness of mere intuition really is total. For example, Kant calls the Transcendental Analytic, the part of the </w:t>
      </w:r>
      <w:r>
        <w:rPr>
          <w:i/>
          <w:iCs/>
        </w:rPr>
        <w:t>Critique</w:t>
      </w:r>
      <w:r>
        <w:t xml:space="preserve"> in which he defends the necessary role of unde</w:t>
      </w:r>
      <w:r>
        <w:t>r</w:t>
      </w:r>
      <w:r>
        <w:t xml:space="preserve">standing, “... a logic of truth. For no cognition can contradict it without at the same time </w:t>
      </w:r>
      <w:r w:rsidRPr="00227D5D">
        <w:rPr>
          <w:i/>
        </w:rPr>
        <w:t>losing all content</w:t>
      </w:r>
      <w:r>
        <w:t>, i.e., all relation to any object, hence all truth.” (A62-3/B87, my emphasis) And later, in the Tra</w:t>
      </w:r>
      <w:r>
        <w:t>n</w:t>
      </w:r>
      <w:r>
        <w:t>scendental Deduction itself, he states: “The synthetic unity of consciousness is therefore an objective condition of all cognition, not merely something I myself need in order to cognize an object but rather something under which every intuition must stand in order to become an object for me…” (B138).</w:t>
      </w:r>
      <w:r>
        <w:rPr>
          <w:rStyle w:val="FootnoteReference"/>
        </w:rPr>
        <w:footnoteReference w:id="29"/>
      </w:r>
      <w:r>
        <w:t xml:space="preserve"> Pa</w:t>
      </w:r>
      <w:r>
        <w:t>s</w:t>
      </w:r>
      <w:r>
        <w:t>sages such as these are less amenable to the down-playing strategy. We might question what Kant means in invoking the metaphor of blindness, but here the related threats of “lo</w:t>
      </w:r>
      <w:r>
        <w:t>s</w:t>
      </w:r>
      <w:r>
        <w:t>ing all content” or of no longer having objects through intuition are direct and unequivocal, making it difficult to deny that, for Kant, understanding must be involved in se</w:t>
      </w:r>
      <w:r>
        <w:t>n</w:t>
      </w:r>
      <w:r>
        <w:t>sible intuition.</w:t>
      </w:r>
    </w:p>
    <w:p w:rsidR="00923163" w:rsidRDefault="00923163">
      <w:pPr>
        <w:pStyle w:val="Paper-Heading"/>
        <w:tabs>
          <w:tab w:val="left" w:pos="600"/>
        </w:tabs>
      </w:pPr>
      <w:r>
        <w:t>III. The Developmental Approach</w:t>
      </w:r>
    </w:p>
    <w:p w:rsidR="00923163" w:rsidRDefault="00923163">
      <w:pPr>
        <w:pStyle w:val="Paper-Text-Regular"/>
      </w:pPr>
      <w:r>
        <w:t>I have identified problems with the strategies employed by nonconceptualist interpreters of Kant in addressing passages that seem to support a conceptualist reading. To arrive at a convincing account of intu</w:t>
      </w:r>
      <w:r>
        <w:t>i</w:t>
      </w:r>
      <w:r>
        <w:lastRenderedPageBreak/>
        <w:t>tion, we need to find a better explanation for how these seemingly contradictory pa</w:t>
      </w:r>
      <w:r>
        <w:t>s</w:t>
      </w:r>
      <w:r>
        <w:t>sages fit together. We can begin to see what such an explanation might look like by focusing on a key feature of the above strategies: namely, the appeal to initial definitions of terms. Recall, for instance, how Allais downplays Kant’s claim that mere intuition would be blind. She responds that this blin</w:t>
      </w:r>
      <w:r>
        <w:t>d</w:t>
      </w:r>
      <w:r>
        <w:t xml:space="preserve">ness cannot be so total as to prevent it from being able to represent a particular, for, as she notes, “Kant </w:t>
      </w:r>
      <w:r>
        <w:rPr>
          <w:i/>
          <w:iCs/>
        </w:rPr>
        <w:t>defines</w:t>
      </w:r>
      <w:r>
        <w:t xml:space="preserve"> intuitions as immediate singular represe</w:t>
      </w:r>
      <w:r>
        <w:t>n</w:t>
      </w:r>
      <w:r>
        <w:t>tations.”</w:t>
      </w:r>
      <w:r>
        <w:rPr>
          <w:rStyle w:val="FootnoteReference"/>
        </w:rPr>
        <w:footnoteReference w:id="30"/>
      </w:r>
      <w:r>
        <w:t xml:space="preserve"> Falkenstein takes the same methodological approach, appealing to Kant’s initial definition of terms to justify his decision to downplay the significance of later claims that appear at odds with these defin</w:t>
      </w:r>
      <w:r>
        <w:t>i</w:t>
      </w:r>
      <w:r>
        <w:t>tions. In fact, he adopts as a core interpretive principle the view that one should treat initial definitions as canonical.</w:t>
      </w:r>
      <w:r>
        <w:rPr>
          <w:rStyle w:val="FootnoteReference"/>
        </w:rPr>
        <w:footnoteReference w:id="31"/>
      </w:r>
    </w:p>
    <w:p w:rsidR="00923163" w:rsidRDefault="00923163">
      <w:pPr>
        <w:pStyle w:val="Paper-Text-Regular"/>
      </w:pPr>
      <w:r>
        <w:t>It is important to see that the approach Allais and Falkenstein adopt is at odds with Kant’s own pos</w:t>
      </w:r>
      <w:r>
        <w:t>i</w:t>
      </w:r>
      <w:r>
        <w:t xml:space="preserve">tion on the role of definitions in philosophy. In the Doctrine of Method, at the end of the </w:t>
      </w:r>
      <w:r>
        <w:rPr>
          <w:i/>
          <w:iCs/>
        </w:rPr>
        <w:t>Critique</w:t>
      </w:r>
      <w:r>
        <w:t>, he disti</w:t>
      </w:r>
      <w:r>
        <w:t>n</w:t>
      </w:r>
      <w:r>
        <w:t>guishes the methods of philosophy and mathematics, noting that:</w:t>
      </w:r>
    </w:p>
    <w:p w:rsidR="00923163" w:rsidRDefault="00923163">
      <w:pPr>
        <w:pStyle w:val="Paper-Text-BlockQuote"/>
      </w:pPr>
      <w:r>
        <w:t>... in philosophy one must not imitate mathematics in putting the definitions first, unless pe</w:t>
      </w:r>
      <w:r>
        <w:t>r</w:t>
      </w:r>
      <w:r>
        <w:t>haps as a mere experiment. For since they are analyses of given concepts, these concepts, though perhaps only still confused, come first, and the incomplete expositions precedes the complete one, so that we can often infer much from some marks that we have drawn from an as yet uncompleted analysis before we have arrived at a complete exposition, i.e., at a definition; in a word, it follows that in philosophy the definition, as distinctness made precise, must co</w:t>
      </w:r>
      <w:r>
        <w:t>n</w:t>
      </w:r>
      <w:r>
        <w:t>clude rather than begin the work. (A730/B758)</w:t>
      </w:r>
    </w:p>
    <w:p w:rsidR="00923163" w:rsidRDefault="00923163" w:rsidP="00C16752">
      <w:pPr>
        <w:pStyle w:val="Paper-Text-AfterBlockQuote"/>
      </w:pPr>
      <w:r>
        <w:t>Contemporary philosophers often start by defining their terms, so Kant’s tendency to begin using key co</w:t>
      </w:r>
      <w:r>
        <w:t>n</w:t>
      </w:r>
      <w:r>
        <w:t>cepts without fully explaining what he means by them can be disconcerting. For Kant, however, this is a d</w:t>
      </w:r>
      <w:r>
        <w:t>e</w:t>
      </w:r>
      <w:r>
        <w:t>liberate procedure. He believes that philosophers must enter their inquiries with only a co</w:t>
      </w:r>
      <w:r>
        <w:t>n</w:t>
      </w:r>
      <w:r>
        <w:t>fused and partial understanding of their terms. It is only by doing philosophy that we achieve full clar</w:t>
      </w:r>
      <w:r>
        <w:t>i</w:t>
      </w:r>
      <w:r>
        <w:t>ty as to what they mean. For Kant, a definition is a philosophical accomplishment, not a starting point.</w:t>
      </w:r>
      <w:r>
        <w:rPr>
          <w:rStyle w:val="FootnoteReference"/>
        </w:rPr>
        <w:footnoteReference w:id="32"/>
      </w:r>
    </w:p>
    <w:p w:rsidR="00923163" w:rsidRDefault="00923163">
      <w:pPr>
        <w:pStyle w:val="Paper-Text-Regular"/>
      </w:pPr>
      <w:r>
        <w:lastRenderedPageBreak/>
        <w:t>Allais, in claiming that the initial characterization of intuition as an immediate singular represent</w:t>
      </w:r>
      <w:r>
        <w:t>a</w:t>
      </w:r>
      <w:r>
        <w:t>tion is the definitive statement on the topic, breaks with Kant’s own philosophical method. His remarks on defin</w:t>
      </w:r>
      <w:r>
        <w:t>i</w:t>
      </w:r>
      <w:r>
        <w:t xml:space="preserve">tions in philosophy point us toward a different, developmental approach. We should see the </w:t>
      </w:r>
      <w:r>
        <w:rPr>
          <w:i/>
          <w:iCs/>
        </w:rPr>
        <w:t>Cr</w:t>
      </w:r>
      <w:r>
        <w:rPr>
          <w:i/>
          <w:iCs/>
        </w:rPr>
        <w:t>i</w:t>
      </w:r>
      <w:r>
        <w:rPr>
          <w:i/>
          <w:iCs/>
        </w:rPr>
        <w:t>tique</w:t>
      </w:r>
      <w:r>
        <w:t xml:space="preserve"> as the gradual unfolding or working out of a philosophical position, and this means that his claim that mere intu</w:t>
      </w:r>
      <w:r>
        <w:t>i</w:t>
      </w:r>
      <w:r>
        <w:t>tion would be blind (or other claims like it) cannot be dismissed just because it goes against his initial “def</w:t>
      </w:r>
      <w:r>
        <w:t>i</w:t>
      </w:r>
      <w:r>
        <w:t>nition” of the term. After all, such a claim may reflect a significant refinement in our co</w:t>
      </w:r>
      <w:r>
        <w:t>m</w:t>
      </w:r>
      <w:r>
        <w:t xml:space="preserve">prehension of the nature of intuition. </w:t>
      </w:r>
      <w:r w:rsidRPr="00D9158C">
        <w:t>To be clear, I do not mean to suggest that Kant simply rejects his initial characterization of intuition as a singular representation</w:t>
      </w:r>
      <w:r>
        <w:t xml:space="preserve">, for he </w:t>
      </w:r>
      <w:r w:rsidRPr="00D9158C">
        <w:t>conti</w:t>
      </w:r>
      <w:r w:rsidRPr="00D9158C">
        <w:t>n</w:t>
      </w:r>
      <w:r w:rsidRPr="00D9158C">
        <w:t xml:space="preserve">ues to refer to </w:t>
      </w:r>
      <w:r>
        <w:t xml:space="preserve">the singularity of </w:t>
      </w:r>
      <w:r w:rsidRPr="00D9158C">
        <w:t xml:space="preserve">intuitions later in the </w:t>
      </w:r>
      <w:r w:rsidRPr="00D9158C">
        <w:rPr>
          <w:i/>
        </w:rPr>
        <w:t>Critique</w:t>
      </w:r>
      <w:r w:rsidRPr="00D9158C">
        <w:t xml:space="preserve"> and in subsequent works. The mistake I am identifying lies in taking this initial description </w:t>
      </w:r>
      <w:r>
        <w:t xml:space="preserve">to have </w:t>
      </w:r>
      <w:r w:rsidRPr="00D9158C">
        <w:t>a kind of finality</w:t>
      </w:r>
      <w:r>
        <w:t>, one</w:t>
      </w:r>
      <w:r w:rsidRPr="00D9158C">
        <w:t xml:space="preserve"> that precludes any further specification of the capacities involved in having a singular, immediate representation of an object.</w:t>
      </w:r>
    </w:p>
    <w:p w:rsidR="00923163" w:rsidRDefault="00923163">
      <w:pPr>
        <w:pStyle w:val="Paper-Text-Regular"/>
      </w:pPr>
      <w:r>
        <w:t>There is extensive textual support for my suggestion that Kant is employing a developmental a</w:t>
      </w:r>
      <w:r>
        <w:t>p</w:t>
      </w:r>
      <w:r>
        <w:t xml:space="preserve">proach in the </w:t>
      </w:r>
      <w:r>
        <w:rPr>
          <w:i/>
          <w:iCs/>
        </w:rPr>
        <w:t>Critique</w:t>
      </w:r>
      <w:r>
        <w:t>. For instance, in characterizing his own transcendental philosophy, he emph</w:t>
      </w:r>
      <w:r>
        <w:t>a</w:t>
      </w:r>
      <w:r>
        <w:t>sizes that:</w:t>
      </w:r>
    </w:p>
    <w:p w:rsidR="00923163" w:rsidRDefault="00923163">
      <w:pPr>
        <w:pStyle w:val="Paper-Text-BlockQuote"/>
      </w:pPr>
      <w:r>
        <w:t>In its transcendental efforts, therefore, reason cannot look ahead so confidently, as if the path on which it has traveled leads quite directly to the goal, and it must not count so boldly on the premises that ground it as if it were unnecessary for it frequently to look back and consider whether there might not be errors in the progress of its inferences to be discovered that were overlooked in its principles and that make it necessary either to determine them further or else to alter them entirely. (A735-6/B763-4)</w:t>
      </w:r>
    </w:p>
    <w:p w:rsidR="00923163" w:rsidRDefault="00923163">
      <w:pPr>
        <w:pStyle w:val="Paper-Text-AfterBlockQuote"/>
      </w:pPr>
      <w:r>
        <w:t>Here, he clearly has a developmental method in mind. Now, one might object that Kant, in characteri</w:t>
      </w:r>
      <w:r>
        <w:t>z</w:t>
      </w:r>
      <w:r>
        <w:t xml:space="preserve">ing philosophy in this way, refers only to the initial investigations of the philosopher, not the published results of these investigations. But, in fact, we find numerous instances in the </w:t>
      </w:r>
      <w:r>
        <w:rPr>
          <w:i/>
          <w:iCs/>
        </w:rPr>
        <w:t>Critique</w:t>
      </w:r>
      <w:r>
        <w:t xml:space="preserve"> where Kant employs a deve</w:t>
      </w:r>
      <w:r>
        <w:t>l</w:t>
      </w:r>
      <w:r>
        <w:t>opmental approach. Consider, for example, his gradual refinement of the notion of understanding. As he summarizes:</w:t>
      </w:r>
    </w:p>
    <w:p w:rsidR="00923163" w:rsidRDefault="00923163">
      <w:pPr>
        <w:pStyle w:val="Paper-Text-BlockQuote"/>
      </w:pPr>
      <w:r>
        <w:t xml:space="preserve">We have above explained the </w:t>
      </w:r>
      <w:r>
        <w:rPr>
          <w:i/>
          <w:iCs/>
        </w:rPr>
        <w:t>understanding</w:t>
      </w:r>
      <w:r>
        <w:t xml:space="preserve"> in various ways—through a spontaneity of cogn</w:t>
      </w:r>
      <w:r>
        <w:t>i</w:t>
      </w:r>
      <w:r>
        <w:t xml:space="preserve">tion (in contrast to the receptivity of the sensibility), through a faculty for thinking, or a faculty of concepts, or also of judgments—which explanations, if one looks at them properly, come </w:t>
      </w:r>
      <w:r>
        <w:lastRenderedPageBreak/>
        <w:t xml:space="preserve">down to the same thing. Now we can characterize it as the </w:t>
      </w:r>
      <w:r>
        <w:rPr>
          <w:i/>
          <w:iCs/>
        </w:rPr>
        <w:t>faculty of rules</w:t>
      </w:r>
      <w:r>
        <w:t>. This designation is more fruitful, and comes closer to its essence. (A126)</w:t>
      </w:r>
    </w:p>
    <w:p w:rsidR="00923163" w:rsidRDefault="00923163">
      <w:pPr>
        <w:pStyle w:val="Paper-Text-AfterBlockQuote"/>
      </w:pPr>
      <w:r>
        <w:t>It is only in working through the argument of the Deduction that Kant leads the reader to a full grasp of the nature of this faculty.</w:t>
      </w:r>
      <w:r>
        <w:rPr>
          <w:rStyle w:val="FootnoteReference"/>
        </w:rPr>
        <w:footnoteReference w:id="33"/>
      </w:r>
    </w:p>
    <w:p w:rsidR="00923163" w:rsidRDefault="00923163">
      <w:pPr>
        <w:pStyle w:val="Paper-Text-Regular"/>
      </w:pPr>
      <w:r>
        <w:t xml:space="preserve">I have identified a general developmental approach that Kant practices in the </w:t>
      </w:r>
      <w:r>
        <w:rPr>
          <w:i/>
          <w:iCs/>
        </w:rPr>
        <w:t>Critique</w:t>
      </w:r>
      <w:r>
        <w:t>, and I have pr</w:t>
      </w:r>
      <w:r>
        <w:t>o</w:t>
      </w:r>
      <w:r>
        <w:t>vided several illustrations of his use of this strategy. In the next section I will show that he adopts the same method in his account of intuition. Before turning to the details of this account, ho</w:t>
      </w:r>
      <w:r>
        <w:t>w</w:t>
      </w:r>
      <w:r>
        <w:t xml:space="preserve">ever, it will be helpful to consider why Kant favors this complicated and potentially confusing mode of presentation. Here we should recall Kant’s concern with how strange and unintuitive his new philosophical system would appear to his readers. This is evident in Kant’s remarks likening the </w:t>
      </w:r>
      <w:r w:rsidRPr="00530DDE">
        <w:rPr>
          <w:i/>
        </w:rPr>
        <w:t>Critique</w:t>
      </w:r>
      <w:r>
        <w:t xml:space="preserve"> to a radical Copernican revolution in thought.</w:t>
      </w:r>
      <w:r>
        <w:rPr>
          <w:rStyle w:val="FootnoteReference"/>
        </w:rPr>
        <w:footnoteReference w:id="34"/>
      </w:r>
      <w:r>
        <w:t xml:space="preserve"> Kant’s developmental approach is meant to ease our tra</w:t>
      </w:r>
      <w:r>
        <w:t>n</w:t>
      </w:r>
      <w:r>
        <w:t>sition to the critical philosophy. He begins with the commonsense distinction between perceiving an object and thinking of it. Based on this distinction, he offers separate treatments of our passive faculty of sensibility (which r</w:t>
      </w:r>
      <w:r>
        <w:t>e</w:t>
      </w:r>
      <w:r>
        <w:t>ceives intuitions) and our active faculty of understanding (which produces concepts). With this basic framework in place, Kant proceeds to complicate the matter, revealing an interdependency between sens</w:t>
      </w:r>
      <w:r>
        <w:t>i</w:t>
      </w:r>
      <w:r>
        <w:t>bility and understanding that undermines their initial separate treatments. If this is correct, then Kant’s opposing claims concerning intuition should be seen not as contradictions standing in need of resolution, but, rather, as earlier and later moments in a cohe</w:t>
      </w:r>
      <w:r>
        <w:t>r</w:t>
      </w:r>
      <w:r>
        <w:lastRenderedPageBreak/>
        <w:t>ent process of phil</w:t>
      </w:r>
      <w:r>
        <w:t>o</w:t>
      </w:r>
      <w:r>
        <w:t>sophical inquiry.</w:t>
      </w:r>
      <w:r>
        <w:rPr>
          <w:rStyle w:val="FootnoteReference"/>
        </w:rPr>
        <w:footnoteReference w:id="35"/>
      </w:r>
      <w:r>
        <w:t xml:space="preserve"> Having outlined this general interpretive model, we can now consider its specific application to Kant’s theory of intu</w:t>
      </w:r>
      <w:r>
        <w:t>i</w:t>
      </w:r>
      <w:r>
        <w:t>tion.</w:t>
      </w:r>
      <w:r>
        <w:rPr>
          <w:rStyle w:val="FootnoteReference"/>
        </w:rPr>
        <w:footnoteReference w:id="36"/>
      </w:r>
    </w:p>
    <w:p w:rsidR="00923163" w:rsidRDefault="00923163">
      <w:pPr>
        <w:pStyle w:val="Paper-Heading"/>
        <w:tabs>
          <w:tab w:val="left" w:pos="600"/>
        </w:tabs>
      </w:pPr>
      <w:r>
        <w:t>IV. Kant’s Developmental Account of Intuition</w:t>
      </w:r>
    </w:p>
    <w:p w:rsidR="00923163" w:rsidRDefault="00923163" w:rsidP="00936812">
      <w:pPr>
        <w:pStyle w:val="Paper-Text-Regular"/>
      </w:pPr>
      <w:r>
        <w:t xml:space="preserve">Kant’s account of intuition in the </w:t>
      </w:r>
      <w:r w:rsidRPr="00BA5FCA">
        <w:rPr>
          <w:i/>
        </w:rPr>
        <w:t>Critique</w:t>
      </w:r>
      <w:r>
        <w:t xml:space="preserve"> exemplifies the developmental method outlined above, for he refines his account on the basis of successively deeper reflections on what is required to intuit a sensible object. In the process, Kant gradually reveals the essential role of understanding in intuition.</w:t>
      </w:r>
    </w:p>
    <w:p w:rsidR="00923163" w:rsidRDefault="00923163">
      <w:pPr>
        <w:pStyle w:val="Paper-Text-Regular"/>
      </w:pPr>
      <w:r>
        <w:t xml:space="preserve">After the preface and introduction, the main argument of the </w:t>
      </w:r>
      <w:r>
        <w:rPr>
          <w:i/>
          <w:iCs/>
        </w:rPr>
        <w:t>Critique</w:t>
      </w:r>
      <w:r>
        <w:t xml:space="preserve"> starts in the Transcendental Ae</w:t>
      </w:r>
      <w:r>
        <w:t>s</w:t>
      </w:r>
      <w:r>
        <w:t>thetic. There Kant begins by distinguishing two kinds of cognition. As he puts it:</w:t>
      </w:r>
    </w:p>
    <w:p w:rsidR="00923163" w:rsidRDefault="00923163">
      <w:pPr>
        <w:pStyle w:val="Paper-Text-BlockQuote"/>
      </w:pPr>
      <w:r>
        <w:t>In whatever way and through whatever means a cognition may relate to objects, that through which it relates immediately to them, and at which all thought as a means is d</w:t>
      </w:r>
      <w:r>
        <w:t>i</w:t>
      </w:r>
      <w:r>
        <w:t>rected as an end, is intuition.... The capacity (receptivity) to acquire representations through the way in which we are affected by objects is called sensibility. Objects are therefore given to us by means of sens</w:t>
      </w:r>
      <w:r>
        <w:t>i</w:t>
      </w:r>
      <w:r>
        <w:t xml:space="preserve">bility, and it alone affords us intuitions; but they are </w:t>
      </w:r>
      <w:r>
        <w:rPr>
          <w:i/>
          <w:iCs/>
        </w:rPr>
        <w:t>thought</w:t>
      </w:r>
      <w:r>
        <w:t xml:space="preserve"> through the understanding, and from it arise concepts. (A19/B33)</w:t>
      </w:r>
    </w:p>
    <w:p w:rsidR="00923163" w:rsidRDefault="00923163" w:rsidP="00EF2D8F">
      <w:pPr>
        <w:pStyle w:val="Paper-Text-AfterBlockQuote"/>
      </w:pPr>
      <w:r>
        <w:t>In this passage, Kant identifies the two ways in which we cognize an individual object: either by r</w:t>
      </w:r>
      <w:r>
        <w:t>e</w:t>
      </w:r>
      <w:r>
        <w:t>ceiving it in an intuition, or by making a conceptual judgment about it.</w:t>
      </w:r>
      <w:r>
        <w:rPr>
          <w:rStyle w:val="FootnoteReference"/>
        </w:rPr>
        <w:footnoteReference w:id="37"/>
      </w:r>
      <w:r>
        <w:t xml:space="preserve"> Intuitions and concepts are our two kinds of </w:t>
      </w:r>
      <w:r>
        <w:lastRenderedPageBreak/>
        <w:t>objective representations. Now, our having these two kinds of cognition presupposes our also having the c</w:t>
      </w:r>
      <w:r>
        <w:t>a</w:t>
      </w:r>
      <w:r>
        <w:t>pacity to produce each one. This leads Kant to posit two faculties: sensibility, through which we intuit o</w:t>
      </w:r>
      <w:r>
        <w:t>b</w:t>
      </w:r>
      <w:r>
        <w:t>jects, and understanding, by which we make judgments concerning them. This distinction b</w:t>
      </w:r>
      <w:r>
        <w:t>e</w:t>
      </w:r>
      <w:r>
        <w:t>tween two basic faculties of cognition is the starting place of his theoretical philo</w:t>
      </w:r>
      <w:r>
        <w:t>s</w:t>
      </w:r>
      <w:r>
        <w:t>ophy.</w:t>
      </w:r>
      <w:r>
        <w:rPr>
          <w:rStyle w:val="FootnoteReference"/>
        </w:rPr>
        <w:footnoteReference w:id="38"/>
      </w:r>
    </w:p>
    <w:p w:rsidR="00923163" w:rsidRDefault="00923163">
      <w:pPr>
        <w:pStyle w:val="Paper-Text-Regular"/>
      </w:pPr>
      <w:r>
        <w:t>Up to this point, Kant’s distinction between intuitions given in sensibility and concepts produced by understanding is not meant to be particularly controversial. As noted previously, it is grounded in the co</w:t>
      </w:r>
      <w:r>
        <w:t>m</w:t>
      </w:r>
      <w:r>
        <w:t>monsense distinction between the perception and thought of objects. Kant now proceeds to invest</w:t>
      </w:r>
      <w:r>
        <w:t>i</w:t>
      </w:r>
      <w:r>
        <w:t>gate how sensibility and understanding are able to produce their respective kinds of cogn</w:t>
      </w:r>
      <w:r>
        <w:t>i</w:t>
      </w:r>
      <w:r>
        <w:t>tion. What he finds is that each faculty must have basic forms that structure its cognitions. In the Aesthetic Kant ident</w:t>
      </w:r>
      <w:r>
        <w:t>i</w:t>
      </w:r>
      <w:r>
        <w:t>fies space and time as the forms of all sensible intuition. With regard to the former, he argues that we can intuit objects only as spatially structured, standing systematically in relation to other objects within a si</w:t>
      </w:r>
      <w:r>
        <w:t>n</w:t>
      </w:r>
      <w:r>
        <w:t>gle spatial framework. This unified spatial framework must already be in place prior to our experience of particular objects, since it is a precondition for the possibility of intui</w:t>
      </w:r>
      <w:r>
        <w:t>t</w:t>
      </w:r>
      <w:r>
        <w:t>ing objects at all. For this reason, Kant argues that space must be the form of our outer sensibility.</w:t>
      </w:r>
      <w:r>
        <w:rPr>
          <w:rStyle w:val="FootnoteReference"/>
        </w:rPr>
        <w:footnoteReference w:id="39"/>
      </w:r>
      <w:r>
        <w:t xml:space="preserve"> Later, in the Transcendental Analytic, Kant identifies the categories as the fundamental forms of all thought of an object. That is, he claims that the various categories are different e</w:t>
      </w:r>
      <w:r>
        <w:t>x</w:t>
      </w:r>
      <w:r>
        <w:t>pressions of the unity that makes our thought objective in character: for instance, judging (in the case of the category of ca</w:t>
      </w:r>
      <w:r>
        <w:t>u</w:t>
      </w:r>
      <w:r>
        <w:t>sality) that the events we perceive stand in causal relation to one another.</w:t>
      </w:r>
      <w:r>
        <w:rPr>
          <w:rStyle w:val="FootnoteReference"/>
        </w:rPr>
        <w:footnoteReference w:id="40"/>
      </w:r>
    </w:p>
    <w:p w:rsidR="00923163" w:rsidRDefault="00923163">
      <w:pPr>
        <w:pStyle w:val="Paper-Text-Regular"/>
      </w:pPr>
      <w:r>
        <w:lastRenderedPageBreak/>
        <w:t>At this stage of his inquiry, Kant is focusing on the distinction between the faculties of sensibility and understanding, for he is concerned with their role in producing intuitions and concepts, respe</w:t>
      </w:r>
      <w:r>
        <w:t>c</w:t>
      </w:r>
      <w:r>
        <w:t>tively. He has also identified the distinct formal structure each faculty must have to play its cognitive role in e</w:t>
      </w:r>
      <w:r>
        <w:t>x</w:t>
      </w:r>
      <w:r>
        <w:t>perience. Many of the passages cited earlier in support of the nonconceptualist reading belong to this moment in his investigations. Kant is not finished, however, and we will now explore how he refines his initial account of intuition, building upon this dualistic foundation. This takes place primarily in the Tra</w:t>
      </w:r>
      <w:r>
        <w:t>n</w:t>
      </w:r>
      <w:r>
        <w:t>scendental Deduction, to which I now turn.</w:t>
      </w:r>
    </w:p>
    <w:p w:rsidR="00923163" w:rsidRDefault="00923163" w:rsidP="00707028">
      <w:pPr>
        <w:pStyle w:val="Paper-Text-Regular"/>
      </w:pPr>
      <w:r>
        <w:t>Although sensibility and understanding are initially presented as independent faculties, Kant r</w:t>
      </w:r>
      <w:r>
        <w:t>e</w:t>
      </w:r>
      <w:r>
        <w:t>veals a deeper connection between them in the Deduction. How Kant establishes this connection va</w:t>
      </w:r>
      <w:r>
        <w:t>r</w:t>
      </w:r>
      <w:r>
        <w:t xml:space="preserve">ies in the two versions of the Deduction that he wrote for the first and second editions of the </w:t>
      </w:r>
      <w:r w:rsidRPr="007F279E">
        <w:rPr>
          <w:i/>
        </w:rPr>
        <w:t>Critique</w:t>
      </w:r>
      <w:r>
        <w:t>. I will f</w:t>
      </w:r>
      <w:r>
        <w:t>o</w:t>
      </w:r>
      <w:r>
        <w:t>cus on the argument of the rewritten B-Deduction, for here he brings out the connection of our faculties more directly and clearly.</w:t>
      </w:r>
      <w:r>
        <w:rPr>
          <w:rStyle w:val="FootnoteReference"/>
        </w:rPr>
        <w:footnoteReference w:id="41"/>
      </w:r>
    </w:p>
    <w:p w:rsidR="00923163" w:rsidRDefault="00923163" w:rsidP="00707028">
      <w:pPr>
        <w:pStyle w:val="Paper-Text-Regular"/>
      </w:pPr>
      <w:r>
        <w:t>As any reader of Kant will appreciate, it would be madness for me to aim at fully unraveling the ta</w:t>
      </w:r>
      <w:r>
        <w:t>n</w:t>
      </w:r>
      <w:r>
        <w:t>gled knot that is the B-Deduction. I will instead tease out one key strand of the argument by focu</w:t>
      </w:r>
      <w:r>
        <w:t>s</w:t>
      </w:r>
      <w:r>
        <w:t>ing on the unity of intuition.</w:t>
      </w:r>
      <w:r>
        <w:rPr>
          <w:rStyle w:val="FootnoteReference"/>
        </w:rPr>
        <w:footnoteReference w:id="42"/>
      </w:r>
      <w:r>
        <w:t xml:space="preserve"> As I see it, Kant begins the Deduction by asserting the unity of intuition, dra</w:t>
      </w:r>
      <w:r>
        <w:t>w</w:t>
      </w:r>
      <w:r>
        <w:t>ing upon the earlier results of the Aesthetic. From this starting point, he proceeds to identify the categories as the real source of this intuitional unity. Having established this point, he then identifies and addresses a problem in explaining how the categories can be this source of unity.</w:t>
      </w:r>
      <w:r>
        <w:rPr>
          <w:rStyle w:val="FootnoteReference"/>
        </w:rPr>
        <w:footnoteReference w:id="43"/>
      </w:r>
      <w:r>
        <w:t xml:space="preserve"> I will now di</w:t>
      </w:r>
      <w:r>
        <w:t>s</w:t>
      </w:r>
      <w:r>
        <w:t>cuss each of these steps in greater detail.</w:t>
      </w:r>
    </w:p>
    <w:p w:rsidR="00923163" w:rsidRDefault="00923163" w:rsidP="008F5CD5">
      <w:pPr>
        <w:pStyle w:val="Paper-Text-Regular"/>
      </w:pPr>
      <w:r>
        <w:lastRenderedPageBreak/>
        <w:t xml:space="preserve">In the Aesthetic, Kant takes it for granted that we can have </w:t>
      </w:r>
      <w:r w:rsidRPr="00805ED7">
        <w:rPr>
          <w:i/>
        </w:rPr>
        <w:t>intuitions</w:t>
      </w:r>
      <w:r>
        <w:t xml:space="preserve"> of objects in the world through sensibility. An intuition is a cognition, and a cognition is a representation of a unified manifold, so an intu</w:t>
      </w:r>
      <w:r>
        <w:t>i</w:t>
      </w:r>
      <w:r>
        <w:t>tion is a unified representation of a sensibly given manifold. In his earlier discussion of intuition, Kant ident</w:t>
      </w:r>
      <w:r>
        <w:t>i</w:t>
      </w:r>
      <w:r>
        <w:t>fies its unity as being spatial and temporal in character, but he does not yet question how this unity is achieved. Now, in the Deduction, the unity of intuition comes under examin</w:t>
      </w:r>
      <w:r>
        <w:t>a</w:t>
      </w:r>
      <w:r>
        <w:t>tion.</w:t>
      </w:r>
      <w:r>
        <w:rPr>
          <w:rStyle w:val="FootnoteReference"/>
        </w:rPr>
        <w:footnoteReference w:id="44"/>
      </w:r>
      <w:r>
        <w:t xml:space="preserve"> Early in the B-Deduction, Kant declares that only the categories of understanding can produce this unity. As he puts it:</w:t>
      </w:r>
    </w:p>
    <w:p w:rsidR="00923163" w:rsidRDefault="00923163" w:rsidP="00285DB3">
      <w:pPr>
        <w:pStyle w:val="Paper-Text-BlockQuote"/>
      </w:pPr>
      <w:r>
        <w:t>... all combination, whether we are conscious of it or not, whether it is a combination of the manifold of intuition or of several concepts, and in the first case either of sensible or non-sensible intuition, is an action of the understanding, which we would designate with the general title synthesis ... (B130).</w:t>
      </w:r>
    </w:p>
    <w:p w:rsidR="00923163" w:rsidRPr="003F6064" w:rsidRDefault="00923163" w:rsidP="003F6064">
      <w:pPr>
        <w:pStyle w:val="Paper-Text-AfterBlockQuote"/>
      </w:pPr>
      <w:r>
        <w:t>This means that intuition, presented initially as a product of sensibility alone, must also involve the work of understanding, for absent its production of unity we would have only a sheer manifold of receptivity, not i</w:t>
      </w:r>
      <w:r>
        <w:t>n</w:t>
      </w:r>
      <w:r>
        <w:t>dividuated objects. Moreover, without this individuation, sensibility would be unable to perform its cognitive role of guiding and constraining our thought.</w:t>
      </w:r>
      <w:r>
        <w:rPr>
          <w:rStyle w:val="FootnoteReference"/>
        </w:rPr>
        <w:footnoteReference w:id="45"/>
      </w:r>
      <w:r>
        <w:t xml:space="preserve"> As a result, we now see that the categories must already be involved in sensible intuition, for, otherwise, intuition would lack the unity that is essential to its cognitive nature.</w:t>
      </w:r>
    </w:p>
    <w:p w:rsidR="00923163" w:rsidRDefault="00923163">
      <w:pPr>
        <w:pStyle w:val="Paper-Text-Regular"/>
      </w:pPr>
      <w:r>
        <w:t>At this point, however, Kant runs into a problem. Our intuitions, at least for objects of everyday exp</w:t>
      </w:r>
      <w:r>
        <w:t>e</w:t>
      </w:r>
      <w:r>
        <w:t xml:space="preserve">rience, are empirical or </w:t>
      </w:r>
      <w:r w:rsidRPr="00805ED7">
        <w:rPr>
          <w:i/>
        </w:rPr>
        <w:t>a posteriori</w:t>
      </w:r>
      <w:r>
        <w:t xml:space="preserve">, whereas the categories are pure </w:t>
      </w:r>
      <w:r w:rsidRPr="00805ED7">
        <w:rPr>
          <w:i/>
        </w:rPr>
        <w:t>a priori</w:t>
      </w:r>
      <w:r>
        <w:t xml:space="preserve"> concepts. Even if we recognize the categories as the only possible source of unity, it is difficult to see how these </w:t>
      </w:r>
      <w:proofErr w:type="spellStart"/>
      <w:r>
        <w:t>nonempir</w:t>
      </w:r>
      <w:r>
        <w:t>i</w:t>
      </w:r>
      <w:r>
        <w:t>cal</w:t>
      </w:r>
      <w:proofErr w:type="spellEnd"/>
      <w:r>
        <w:t xml:space="preserve"> concepts could be responsible for the empirical unity of sensibly given intuitions.</w:t>
      </w:r>
    </w:p>
    <w:p w:rsidR="00923163" w:rsidRDefault="00923163" w:rsidP="000B28D6">
      <w:pPr>
        <w:pStyle w:val="Paper-Text-Regular"/>
      </w:pPr>
      <w:r>
        <w:t xml:space="preserve">Kant addresses this lingering concern in the second half of the B-Deduction, primarily in §26. There he appeals to the formal character of intuition. He writes: “But space and time are represented </w:t>
      </w:r>
      <w:r>
        <w:rPr>
          <w:i/>
          <w:iCs/>
        </w:rPr>
        <w:t>a priori</w:t>
      </w:r>
      <w:r>
        <w:t xml:space="preserve"> not merely as </w:t>
      </w:r>
      <w:r>
        <w:rPr>
          <w:i/>
          <w:iCs/>
        </w:rPr>
        <w:t>forms</w:t>
      </w:r>
      <w:r>
        <w:t xml:space="preserve"> of sensible intuition, but also as </w:t>
      </w:r>
      <w:r>
        <w:rPr>
          <w:i/>
          <w:iCs/>
        </w:rPr>
        <w:t>intuitions</w:t>
      </w:r>
      <w:r>
        <w:t xml:space="preserve"> themselves (which contain a man</w:t>
      </w:r>
      <w:r>
        <w:t>i</w:t>
      </w:r>
      <w:r>
        <w:t xml:space="preserve">fold), and thus </w:t>
      </w:r>
      <w:r>
        <w:lastRenderedPageBreak/>
        <w:t xml:space="preserve">with the determination of the </w:t>
      </w:r>
      <w:r>
        <w:rPr>
          <w:i/>
          <w:iCs/>
        </w:rPr>
        <w:t>unity</w:t>
      </w:r>
      <w:r>
        <w:t xml:space="preserve"> of this manifold in them ...” (B160). Since space and time are themselves representations of a unified manifold of content, as the Aesthetic r</w:t>
      </w:r>
      <w:r>
        <w:t>e</w:t>
      </w:r>
      <w:r>
        <w:t>vealed, they too must be the product of the synthesizing activity of understanding. This is the key to solving Kant’s pro</w:t>
      </w:r>
      <w:r>
        <w:t>b</w:t>
      </w:r>
      <w:r>
        <w:t xml:space="preserve">lem. Were intuitions entirely empirical, there would be no way of deriving their unity from </w:t>
      </w:r>
      <w:r w:rsidRPr="00805ED7">
        <w:rPr>
          <w:i/>
        </w:rPr>
        <w:t>a priori</w:t>
      </w:r>
      <w:r>
        <w:t xml:space="preserve"> cat</w:t>
      </w:r>
      <w:r>
        <w:t>e</w:t>
      </w:r>
      <w:r>
        <w:t xml:space="preserve">gories. Our intuitions, however, have an essential spatiotemporal structure, based on our </w:t>
      </w:r>
      <w:r w:rsidRPr="00805ED7">
        <w:rPr>
          <w:i/>
        </w:rPr>
        <w:t>a priori</w:t>
      </w:r>
      <w:r>
        <w:t xml:space="preserve"> forms of sensibility. These forms allow Kant to close the apparent gap between </w:t>
      </w:r>
      <w:r w:rsidRPr="00805ED7">
        <w:rPr>
          <w:i/>
        </w:rPr>
        <w:t>a posteriori</w:t>
      </w:r>
      <w:r>
        <w:t xml:space="preserve"> intuitions and </w:t>
      </w:r>
      <w:r w:rsidRPr="00805ED7">
        <w:rPr>
          <w:i/>
        </w:rPr>
        <w:t>a priori</w:t>
      </w:r>
      <w:r>
        <w:t xml:space="preserve"> concepts. Because the forms of sens</w:t>
      </w:r>
      <w:r>
        <w:t>i</w:t>
      </w:r>
      <w:r>
        <w:t xml:space="preserve">bility are available </w:t>
      </w:r>
      <w:r w:rsidRPr="0006174A">
        <w:rPr>
          <w:i/>
        </w:rPr>
        <w:t>a priori</w:t>
      </w:r>
      <w:r>
        <w:t xml:space="preserve">, they can be </w:t>
      </w:r>
      <w:proofErr w:type="spellStart"/>
      <w:r>
        <w:t>categorially</w:t>
      </w:r>
      <w:proofErr w:type="spellEnd"/>
      <w:r>
        <w:t xml:space="preserve"> structured by understanding prior to experience. More</w:t>
      </w:r>
      <w:r>
        <w:t>o</w:t>
      </w:r>
      <w:r>
        <w:t xml:space="preserve">ver, because all intuitions are given through these forms, we can now see how they inherit this </w:t>
      </w:r>
      <w:proofErr w:type="spellStart"/>
      <w:r>
        <w:t>categorial</w:t>
      </w:r>
      <w:proofErr w:type="spellEnd"/>
      <w:r>
        <w:t xml:space="preserve"> structure. Kant has thus achieved the goal he set out at the mi</w:t>
      </w:r>
      <w:r>
        <w:t>d</w:t>
      </w:r>
      <w:r>
        <w:t>point of the Deduction: “In the sequel (§ 26) it will be shown from the way in which the empirical intu</w:t>
      </w:r>
      <w:r>
        <w:t>i</w:t>
      </w:r>
      <w:r>
        <w:t>tion is given in sensibility that its unity can be none other than the one the category prescribes to the ma</w:t>
      </w:r>
      <w:r>
        <w:t>n</w:t>
      </w:r>
      <w:r>
        <w:t xml:space="preserve">ifold of a given intuition in general ...” (B144-5). By appealing to the fact that empirical intuitions are given through </w:t>
      </w:r>
      <w:r w:rsidRPr="000B28D6">
        <w:rPr>
          <w:i/>
        </w:rPr>
        <w:t>a priori</w:t>
      </w:r>
      <w:r>
        <w:t xml:space="preserve"> sensible forms, Kant removes the mystery in explaining how the categories are the source of intuitional unity.</w:t>
      </w:r>
    </w:p>
    <w:p w:rsidR="00923163" w:rsidRDefault="00923163" w:rsidP="000B28D6">
      <w:pPr>
        <w:pStyle w:val="Paper-Text-Regular"/>
      </w:pPr>
      <w:r>
        <w:t>At this stage of his inquiry, Kant has moved beyond his initial presentation of sensibility and unde</w:t>
      </w:r>
      <w:r>
        <w:t>r</w:t>
      </w:r>
      <w:r>
        <w:t xml:space="preserve">standing as wholly separate faculties, revealing the deeper connection between them. What emerges from his investigations is a sensibility whose forms of intuition are already </w:t>
      </w:r>
      <w:proofErr w:type="spellStart"/>
      <w:r>
        <w:t>categorially</w:t>
      </w:r>
      <w:proofErr w:type="spellEnd"/>
      <w:r>
        <w:t>-shaped by unde</w:t>
      </w:r>
      <w:r>
        <w:t>r</w:t>
      </w:r>
      <w:r>
        <w:t xml:space="preserve">standing prior to experience. And this connection explains how understanding can be the source of the unity of our sensible intuitions, for anything given in our sensibility will have the </w:t>
      </w:r>
      <w:proofErr w:type="spellStart"/>
      <w:r>
        <w:t>categorial</w:t>
      </w:r>
      <w:proofErr w:type="spellEnd"/>
      <w:r>
        <w:t xml:space="preserve"> unity of our sensible forms. For e</w:t>
      </w:r>
      <w:r>
        <w:t>x</w:t>
      </w:r>
      <w:r>
        <w:t>ample, Kant notes that our empirical intuition of a house is dependent on the unity of space as our form of outer sensibility. He then adds: “This very same synthetic unity, however, if I abstract from the form of space, has its seat in the understanding ...” (B162). That is, the unity of space has its original source in unde</w:t>
      </w:r>
      <w:r>
        <w:t>r</w:t>
      </w:r>
      <w:r>
        <w:t>standing, and this is why the categories of understanding must be at work in our intuition of the house. Sp</w:t>
      </w:r>
      <w:r>
        <w:t>a</w:t>
      </w:r>
      <w:r>
        <w:t xml:space="preserve">tial unity just is a specific instance of </w:t>
      </w:r>
      <w:proofErr w:type="spellStart"/>
      <w:r>
        <w:t>categorial</w:t>
      </w:r>
      <w:proofErr w:type="spellEnd"/>
      <w:r>
        <w:t xml:space="preserve"> unity, which means that the objects we intuit in space will already be conceptually determined by understanding. The passages I cited earlier in support of the conce</w:t>
      </w:r>
      <w:r>
        <w:t>p</w:t>
      </w:r>
      <w:r>
        <w:t>tualist reading express the insight resulting from these further investig</w:t>
      </w:r>
      <w:r>
        <w:t>a</w:t>
      </w:r>
      <w:r>
        <w:t>tions, by which Kant has refined his original account of intuition.</w:t>
      </w:r>
    </w:p>
    <w:p w:rsidR="00923163" w:rsidRDefault="00923163">
      <w:pPr>
        <w:pStyle w:val="Paper-Heading"/>
        <w:tabs>
          <w:tab w:val="left" w:pos="600"/>
        </w:tabs>
      </w:pPr>
      <w:r>
        <w:lastRenderedPageBreak/>
        <w:t>V. The Significance of Kant’s Conceptualism</w:t>
      </w:r>
    </w:p>
    <w:p w:rsidR="00923163" w:rsidRDefault="00923163" w:rsidP="007266EB">
      <w:pPr>
        <w:pStyle w:val="Paper-Text-Regular"/>
      </w:pPr>
      <w:r>
        <w:t>The developmental model that I have defended above provides us with a better explanation of why Kant seems to contradict himself in presenting his theory of intuition. In claiming, for instance, that intu</w:t>
      </w:r>
      <w:r>
        <w:t>i</w:t>
      </w:r>
      <w:r>
        <w:t>tion is given through sensibility alone, Kant is working from an earlier level of reflection. When he then goes on to state that understanding is necessarily involved in intuition, this is not a contradiction. Rather, it is a r</w:t>
      </w:r>
      <w:r>
        <w:t>e</w:t>
      </w:r>
      <w:r>
        <w:t>finement of his account as he moves to a fuller grasp of the conditions se</w:t>
      </w:r>
      <w:r>
        <w:t>n</w:t>
      </w:r>
      <w:r>
        <w:t>sible perception, one that reveals the necessary unifying role of understanding. The appearance of co</w:t>
      </w:r>
      <w:r>
        <w:t>n</w:t>
      </w:r>
      <w:r>
        <w:t>tradiction in Kant’s work results from the tendency of his readers to compare such statements out of context, without sufficient co</w:t>
      </w:r>
      <w:r>
        <w:t>n</w:t>
      </w:r>
      <w:r>
        <w:t xml:space="preserve">sideration for their place within the emerging argument of the </w:t>
      </w:r>
      <w:r>
        <w:rPr>
          <w:i/>
          <w:iCs/>
        </w:rPr>
        <w:t>Critique</w:t>
      </w:r>
      <w:r>
        <w:t>. By contrast, when we are attuned to Kant’s succe</w:t>
      </w:r>
      <w:r>
        <w:t>s</w:t>
      </w:r>
      <w:r>
        <w:t>sively deeper reflections on the nature of intuition, a more coherent account comes into view.</w:t>
      </w:r>
    </w:p>
    <w:p w:rsidR="00923163" w:rsidRDefault="00923163" w:rsidP="000B28D6">
      <w:pPr>
        <w:pStyle w:val="Paper-Text-Regular"/>
      </w:pPr>
      <w:r>
        <w:t>The key to Kant’s conceptualist account of intuition is to see the role of understanding as transform</w:t>
      </w:r>
      <w:r>
        <w:t>a</w:t>
      </w:r>
      <w:r>
        <w:t>tive, rather than additive. Earlier, I noted that Allais’ nonconceptualist reading leads her to disti</w:t>
      </w:r>
      <w:r>
        <w:t>n</w:t>
      </w:r>
      <w:r>
        <w:t xml:space="preserve">guish two notions of space: pre and post-conceptual. It might appear that I am making a similar point: positing a </w:t>
      </w:r>
      <w:proofErr w:type="spellStart"/>
      <w:r>
        <w:t>pr</w:t>
      </w:r>
      <w:r>
        <w:t>e</w:t>
      </w:r>
      <w:r>
        <w:t>conceptual</w:t>
      </w:r>
      <w:proofErr w:type="spellEnd"/>
      <w:r>
        <w:t xml:space="preserve"> form of space that is available to be processed by understanding. There is, however, a key diffe</w:t>
      </w:r>
      <w:r>
        <w:t>r</w:t>
      </w:r>
      <w:r>
        <w:t>ence. Allais sees both kinds of space as being part of experience—or, at the very least, making a discrete co</w:t>
      </w:r>
      <w:r>
        <w:t>n</w:t>
      </w:r>
      <w:r>
        <w:t>tribution to that experience. That is, we initially have a nonconceptual spatial intu</w:t>
      </w:r>
      <w:r>
        <w:t>i</w:t>
      </w:r>
      <w:r>
        <w:t>tion, and understanding then adds conceptual structure. On my view, by contrast, nonco</w:t>
      </w:r>
      <w:r>
        <w:t>n</w:t>
      </w:r>
      <w:r>
        <w:t>ceptual intuitions can neither be perceived by a rational being nor make an independent contribution to this perceptual experience. In acquiring rationa</w:t>
      </w:r>
      <w:r>
        <w:t>l</w:t>
      </w:r>
      <w:r>
        <w:t>ity, understanding transforms our sensibility, so that what we intuit is already conceptually-structured.</w:t>
      </w:r>
      <w:r>
        <w:rPr>
          <w:rStyle w:val="FootnoteReference"/>
        </w:rPr>
        <w:footnoteReference w:id="46"/>
      </w:r>
    </w:p>
    <w:p w:rsidR="00923163" w:rsidRDefault="00923163">
      <w:pPr>
        <w:pStyle w:val="Paper-Text-Regular"/>
      </w:pPr>
      <w:r>
        <w:t>By refining his account of intuition, Kant moves from an initial treatment of sensibility and unde</w:t>
      </w:r>
      <w:r>
        <w:t>r</w:t>
      </w:r>
      <w:r>
        <w:t>standing as separately operating faculties to a recognition of their deeper connection. In doing so, howe</w:t>
      </w:r>
      <w:r>
        <w:t>v</w:t>
      </w:r>
      <w:r>
        <w:t>er, Kant does not mean to undermine completely the original distinction. He continues to recognize the legit</w:t>
      </w:r>
      <w:r>
        <w:t>i</w:t>
      </w:r>
      <w:r>
        <w:t>macy of distinguishing between sensible intuitions and intellectual concepts, even as he acknow</w:t>
      </w:r>
      <w:r>
        <w:t>l</w:t>
      </w:r>
      <w:r>
        <w:t>edges the conceptual structure of the former. This comes out particularly clearly in a discussion of intuition from a la</w:t>
      </w:r>
      <w:r>
        <w:t>t</w:t>
      </w:r>
      <w:r>
        <w:lastRenderedPageBreak/>
        <w:t xml:space="preserve">er, unpublished work. In </w:t>
      </w:r>
      <w:r>
        <w:rPr>
          <w:i/>
          <w:iCs/>
        </w:rPr>
        <w:t>What Real Progress Has Metaphysics Made in Germany</w:t>
      </w:r>
      <w:r>
        <w:t>, Kant states that human knowledge:</w:t>
      </w:r>
    </w:p>
    <w:p w:rsidR="00923163" w:rsidRDefault="00923163">
      <w:pPr>
        <w:pStyle w:val="Paper-Text-BlockQuote"/>
      </w:pPr>
      <w:r>
        <w:t>... consists of concept and intuition. Each of these two is representation, indeed, but not yet knowledge. To entertain something through concepts, i.e., in general, is to think, and the power to think, understanding. The immediate representation of the individual is i</w:t>
      </w:r>
      <w:r>
        <w:t>n</w:t>
      </w:r>
      <w:r>
        <w:t xml:space="preserve">tuition. Knowledge through concepts is called discursive, that in intuition, intuitive; </w:t>
      </w:r>
      <w:r w:rsidRPr="00494D1D">
        <w:rPr>
          <w:i/>
        </w:rPr>
        <w:t>for a cognition we in fact r</w:t>
      </w:r>
      <w:r w:rsidRPr="00494D1D">
        <w:rPr>
          <w:i/>
        </w:rPr>
        <w:t>e</w:t>
      </w:r>
      <w:r w:rsidRPr="00494D1D">
        <w:rPr>
          <w:i/>
        </w:rPr>
        <w:t>quire both combined together, but it is called after that to which I particularly attend on each occasion</w:t>
      </w:r>
      <w:r>
        <w:t>, as the determining ground thereof.</w:t>
      </w:r>
      <w:r>
        <w:rPr>
          <w:rStyle w:val="FootnoteReference"/>
        </w:rPr>
        <w:footnoteReference w:id="47"/>
      </w:r>
    </w:p>
    <w:p w:rsidR="00923163" w:rsidRDefault="00923163" w:rsidP="003377B8">
      <w:pPr>
        <w:pStyle w:val="Paper-Text-AfterBlockQuote"/>
      </w:pPr>
      <w:r>
        <w:t>In this passage Kant again leads us to see the necessary role of understanding in intuition, so that neither i</w:t>
      </w:r>
      <w:r>
        <w:t>n</w:t>
      </w:r>
      <w:r>
        <w:t>tuition nor concept can amount to cognition by itself. This insight, however, does not prevent him from cal</w:t>
      </w:r>
      <w:r>
        <w:t>l</w:t>
      </w:r>
      <w:r>
        <w:t>ing a particular cognition an intuition. Although we now realize that understanding d</w:t>
      </w:r>
      <w:r>
        <w:t>e</w:t>
      </w:r>
      <w:r>
        <w:t>termines our sensibility prior to experience, we can still meaningfully distinguish sensible intuitions from intellectual judgments. For instance, I can tell the difference between my passive intuition of a rectangular sheet of paper (received by a sensibility whose form has been conceptually transformed by the categories of u</w:t>
      </w:r>
      <w:r>
        <w:t>n</w:t>
      </w:r>
      <w:r>
        <w:t>derstanding) and my active judgment that the paper is rectangular (in which the understanding works d</w:t>
      </w:r>
      <w:r>
        <w:t>i</w:t>
      </w:r>
      <w:r>
        <w:t>rectly with the concepts ‘paper’ and ‘rectangular’).</w:t>
      </w:r>
      <w:r>
        <w:rPr>
          <w:rStyle w:val="FootnoteReference"/>
        </w:rPr>
        <w:footnoteReference w:id="48"/>
      </w:r>
      <w:r>
        <w:t xml:space="preserve"> In other words, even after recognizing the deeper connection between sensibility and understanding, Kant continues to hold that there is something correct in the earlier distinction between intu</w:t>
      </w:r>
      <w:r>
        <w:t>i</w:t>
      </w:r>
      <w:r>
        <w:t>tion and concept, although this di</w:t>
      </w:r>
      <w:r>
        <w:t>s</w:t>
      </w:r>
      <w:r>
        <w:t>tinction appears in a new light.</w:t>
      </w:r>
      <w:r>
        <w:rPr>
          <w:rStyle w:val="FootnoteReference"/>
        </w:rPr>
        <w:footnoteReference w:id="49"/>
      </w:r>
      <w:r>
        <w:t xml:space="preserve"> We now see that understanding supplies the unities of space and time that make it possible to cognize individual objects. However, we can still disti</w:t>
      </w:r>
      <w:r>
        <w:t>n</w:t>
      </w:r>
      <w:r>
        <w:t xml:space="preserve">guish the way this </w:t>
      </w:r>
      <w:proofErr w:type="spellStart"/>
      <w:r>
        <w:t>ca</w:t>
      </w:r>
      <w:r>
        <w:t>t</w:t>
      </w:r>
      <w:r>
        <w:t>egorial</w:t>
      </w:r>
      <w:proofErr w:type="spellEnd"/>
      <w:r>
        <w:t xml:space="preserve"> unity is passively instantiated in sensibility (in our reception of intuitions) from the way it is actively invoked in a judgment produced directly by understanding itself. We can mark this di</w:t>
      </w:r>
      <w:r>
        <w:t>s</w:t>
      </w:r>
      <w:r>
        <w:t>tinction, as Kant does, by identifying the former as the unity of sensibility, even as we recognize that its ult</w:t>
      </w:r>
      <w:r>
        <w:t>i</w:t>
      </w:r>
      <w:r>
        <w:t>mate source lies in understanding.</w:t>
      </w:r>
      <w:r>
        <w:rPr>
          <w:rStyle w:val="FootnoteReference"/>
        </w:rPr>
        <w:footnoteReference w:id="50"/>
      </w:r>
    </w:p>
    <w:p w:rsidR="00923163" w:rsidRDefault="00923163" w:rsidP="00DC4C8C">
      <w:pPr>
        <w:pStyle w:val="Paper-Text-Regular"/>
      </w:pPr>
      <w:r>
        <w:lastRenderedPageBreak/>
        <w:t>It is vital to the coherence of Kant’s account of intuition that he not completely undermine his ori</w:t>
      </w:r>
      <w:r>
        <w:t>g</w:t>
      </w:r>
      <w:r>
        <w:t>inal distinction between sensibility and understanding. As we saw earlier, his account faces two seemingly o</w:t>
      </w:r>
      <w:r>
        <w:t>p</w:t>
      </w:r>
      <w:r>
        <w:t xml:space="preserve">posed demands. On the one hand, intuition </w:t>
      </w:r>
      <w:r>
        <w:rPr>
          <w:i/>
          <w:iCs/>
        </w:rPr>
        <w:t>must</w:t>
      </w:r>
      <w:r>
        <w:t xml:space="preserve"> be outside thought in order to provide an external co</w:t>
      </w:r>
      <w:r>
        <w:t>n</w:t>
      </w:r>
      <w:r>
        <w:t xml:space="preserve">straint on our judgments. On the other hand, intuition must have the conceptual structure that will allow it to serve as a reason for beliefs, where this suggests that it </w:t>
      </w:r>
      <w:r>
        <w:rPr>
          <w:i/>
          <w:iCs/>
        </w:rPr>
        <w:t>cannot</w:t>
      </w:r>
      <w:r>
        <w:t xml:space="preserve"> be external to thought. </w:t>
      </w:r>
      <w:r w:rsidRPr="001649A8">
        <w:t>That is, intuition must b</w:t>
      </w:r>
      <w:r w:rsidRPr="001649A8">
        <w:t>e</w:t>
      </w:r>
      <w:r w:rsidRPr="001649A8">
        <w:t>long, as Sellars famously put it, within the “space of reasons.”</w:t>
      </w:r>
      <w:r>
        <w:rPr>
          <w:rStyle w:val="FootnoteReference"/>
        </w:rPr>
        <w:footnoteReference w:id="51"/>
      </w:r>
      <w:r>
        <w:t xml:space="preserve"> Nonconceptualist readings of Kant on intu</w:t>
      </w:r>
      <w:r>
        <w:t>i</w:t>
      </w:r>
      <w:r>
        <w:t>tion address the former demand at the expense of the latter. Conceptualist readings threaten to explain the latter at the expense of the former.</w:t>
      </w:r>
    </w:p>
    <w:p w:rsidR="00923163" w:rsidRDefault="00923163" w:rsidP="00046825">
      <w:pPr>
        <w:pStyle w:val="Paper-Text-Regular"/>
      </w:pPr>
      <w:r>
        <w:t>Kant’s developmental model allows us to meet both demands. When we recognize the deep conne</w:t>
      </w:r>
      <w:r>
        <w:t>c</w:t>
      </w:r>
      <w:r>
        <w:t xml:space="preserve">tion between sensibility and understanding, we are able to see that the intuitions given through a </w:t>
      </w:r>
      <w:proofErr w:type="spellStart"/>
      <w:r>
        <w:t>cat</w:t>
      </w:r>
      <w:r>
        <w:t>e</w:t>
      </w:r>
      <w:r>
        <w:t>gorially</w:t>
      </w:r>
      <w:proofErr w:type="spellEnd"/>
      <w:r>
        <w:t>-determined faculty of sensibility will themselves have the conceptual structure and unity required to indivi</w:t>
      </w:r>
      <w:r>
        <w:t>d</w:t>
      </w:r>
      <w:r>
        <w:t>uate objects, thus placing them within the space of reasons. But we can acknowledge this co</w:t>
      </w:r>
      <w:r>
        <w:t>n</w:t>
      </w:r>
      <w:r>
        <w:t>nection while still preserving our original insight concerning the important di</w:t>
      </w:r>
      <w:r>
        <w:t>f</w:t>
      </w:r>
      <w:r>
        <w:t xml:space="preserve">ference between intuitions and concepts. That is, we can distinguish between intuitions, received through a </w:t>
      </w:r>
      <w:proofErr w:type="spellStart"/>
      <w:r>
        <w:t>categorially</w:t>
      </w:r>
      <w:proofErr w:type="spellEnd"/>
      <w:r>
        <w:t>-shaped se</w:t>
      </w:r>
      <w:r>
        <w:t>n</w:t>
      </w:r>
      <w:r>
        <w:t>sibility, and judgments, produced directly by understanding. Consider, for instance, the concept of ca</w:t>
      </w:r>
      <w:r>
        <w:t>u</w:t>
      </w:r>
      <w:r>
        <w:t>sality. We can recognize that all objects or events given in intuition will be determined through the categ</w:t>
      </w:r>
      <w:r>
        <w:t>o</w:t>
      </w:r>
      <w:r>
        <w:t>ry of causality – and, thus, that every event must be experienced as having a cause. Within this overarching conceptual determination, ho</w:t>
      </w:r>
      <w:r>
        <w:t>w</w:t>
      </w:r>
      <w:r>
        <w:t>ever, there is still plenty of room for perceptual constraint. After all, the necessary causal structure of our sensibility is entirely general in nature, leaving the specific causes of events undetermined. These we can discover only in perception itself. So, our judgments concerning the cause of some particular event will be constrained by our actual intuitions of this event. These intuitions are not derived from the specific jud</w:t>
      </w:r>
      <w:r>
        <w:t>g</w:t>
      </w:r>
      <w:r>
        <w:t>ments we subsequently form concerning them, and they are thus sufficiently independent to provide a mea</w:t>
      </w:r>
      <w:r>
        <w:t>n</w:t>
      </w:r>
      <w:r>
        <w:t>ingful check on our beliefs. If this is right, then Kant has resolved our dilemma: we need not sacrifice co</w:t>
      </w:r>
      <w:r>
        <w:t>n</w:t>
      </w:r>
      <w:r>
        <w:t>ceptual intelligibility in order to achieve perceptual co</w:t>
      </w:r>
      <w:r>
        <w:t>n</w:t>
      </w:r>
      <w:r>
        <w:t>straint.</w:t>
      </w:r>
    </w:p>
    <w:p w:rsidR="00923163" w:rsidRPr="00DC4C8C" w:rsidRDefault="00923163" w:rsidP="00DC4C8C">
      <w:pPr>
        <w:pStyle w:val="Paper-Text-Regular"/>
      </w:pPr>
      <w:r>
        <w:lastRenderedPageBreak/>
        <w:t>Kant’s developmental approach thus allows for a more plausible theory of intuition. It is not a bu</w:t>
      </w:r>
      <w:r>
        <w:t>n</w:t>
      </w:r>
      <w:r>
        <w:t>dle of contradictions, as Kemp Smith and others have worried. The apparent inconsistencies in the text disappear when we see them as marking refinements in the initial presentation of our cognitive faculties. While conti</w:t>
      </w:r>
      <w:r>
        <w:t>n</w:t>
      </w:r>
      <w:r>
        <w:t xml:space="preserve">uing to acknowledge a significant dualism between perception and thought, Kant leads his readers gradually </w:t>
      </w:r>
      <w:r w:rsidRPr="00625BB7">
        <w:t>to his deepest philosophical insight: the hidden connection between our sensible and intellectual faculties.</w:t>
      </w:r>
      <w:r>
        <w:rPr>
          <w:rStyle w:val="FootnoteReference"/>
        </w:rPr>
        <w:footnoteReference w:id="52"/>
      </w:r>
    </w:p>
    <w:p w:rsidR="00F02770" w:rsidRDefault="00F02770" w:rsidP="00F02770">
      <w:pPr>
        <w:pStyle w:val="Paper-Heading"/>
      </w:pPr>
      <w:bookmarkStart w:id="0" w:name="_GoBack"/>
      <w:bookmarkEnd w:id="0"/>
    </w:p>
    <w:sectPr w:rsidR="00F02770" w:rsidSect="00086792">
      <w:footerReference w:type="default" r:id="rId9"/>
      <w:endnotePr>
        <w:numFmt w:val="decimal"/>
      </w:endnotePr>
      <w:pgSz w:w="12240" w:h="15840"/>
      <w:pgMar w:top="1296" w:right="1296" w:bottom="1296" w:left="1296"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3D5D" w:rsidRDefault="00943D5D">
      <w:r>
        <w:separator/>
      </w:r>
    </w:p>
  </w:endnote>
  <w:endnote w:type="continuationSeparator" w:id="0">
    <w:p w:rsidR="00943D5D" w:rsidRDefault="00943D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Gentium">
    <w:panose1 w:val="02000503060000020004"/>
    <w:charset w:val="00"/>
    <w:family w:val="auto"/>
    <w:pitch w:val="variable"/>
    <w:sig w:usb0="E00000FF" w:usb1="00000003" w:usb2="00000000" w:usb3="00000000" w:csb0="0000001B"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792" w:rsidRPr="00117783" w:rsidRDefault="00086792" w:rsidP="004C2547">
    <w:pPr>
      <w:pStyle w:val="Footer"/>
      <w:jc w:val="right"/>
      <w:rPr>
        <w:sz w:val="22"/>
        <w:szCs w:val="22"/>
      </w:rPr>
    </w:pPr>
    <w:r w:rsidRPr="00117783">
      <w:rPr>
        <w:sz w:val="22"/>
        <w:szCs w:val="22"/>
      </w:rPr>
      <w:t xml:space="preserve">p. </w:t>
    </w:r>
    <w:r w:rsidRPr="00117783">
      <w:rPr>
        <w:sz w:val="22"/>
        <w:szCs w:val="22"/>
      </w:rPr>
      <w:fldChar w:fldCharType="begin"/>
    </w:r>
    <w:r w:rsidRPr="00117783">
      <w:rPr>
        <w:sz w:val="22"/>
        <w:szCs w:val="22"/>
      </w:rPr>
      <w:instrText xml:space="preserve"> PAGE   \* MERGEFORMAT </w:instrText>
    </w:r>
    <w:r w:rsidRPr="00117783">
      <w:rPr>
        <w:sz w:val="22"/>
        <w:szCs w:val="22"/>
      </w:rPr>
      <w:fldChar w:fldCharType="separate"/>
    </w:r>
    <w:r w:rsidR="001E3676">
      <w:rPr>
        <w:noProof/>
        <w:sz w:val="22"/>
        <w:szCs w:val="22"/>
      </w:rPr>
      <w:t>23</w:t>
    </w:r>
    <w:r w:rsidRPr="00117783">
      <w:rPr>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3D5D" w:rsidRDefault="00943D5D">
      <w:r>
        <w:separator/>
      </w:r>
    </w:p>
  </w:footnote>
  <w:footnote w:type="continuationSeparator" w:id="0">
    <w:p w:rsidR="00943D5D" w:rsidRDefault="00943D5D">
      <w:r>
        <w:continuationSeparator/>
      </w:r>
    </w:p>
  </w:footnote>
  <w:footnote w:id="1">
    <w:p w:rsidR="00086792" w:rsidRDefault="00086792" w:rsidP="00B41869">
      <w:pPr>
        <w:pStyle w:val="FootnoteText"/>
      </w:pPr>
      <w:r>
        <w:rPr>
          <w:rStyle w:val="FootnoteCharacters"/>
        </w:rPr>
        <w:footnoteRef/>
      </w:r>
      <w:r>
        <w:tab/>
        <w:t xml:space="preserve">Kemp Smith, N. (2003 [1923]) </w:t>
      </w:r>
      <w:r w:rsidRPr="003C1FC5">
        <w:rPr>
          <w:i/>
        </w:rPr>
        <w:t>A Commentary to Kan</w:t>
      </w:r>
      <w:r>
        <w:rPr>
          <w:i/>
        </w:rPr>
        <w:t>t’s C</w:t>
      </w:r>
      <w:r w:rsidRPr="003C1FC5">
        <w:rPr>
          <w:i/>
        </w:rPr>
        <w:t>ritique of Pure Reason</w:t>
      </w:r>
      <w:r>
        <w:t xml:space="preserve"> (</w:t>
      </w:r>
      <w:r w:rsidRPr="00BC3871">
        <w:t>London: Macmillan</w:t>
      </w:r>
      <w:r>
        <w:t>), p. xxix. Kemp Smith attributes this tendency, at least in part, to Kant’s sloppy methods of composition. More positively, he sees it as a reflection of Kant’s open-minded acknowledgement of the perplexities that stand in the way of simple s</w:t>
      </w:r>
      <w:r>
        <w:t>o</w:t>
      </w:r>
      <w:r>
        <w:t>lutions to philosophical problems. The latter suggestion is picked up on by Wilfrid Sellars, who writes: “Kant is fighting his way towards a clarity of structure which he never achieves, and which is in his thinking only as the oak is in the acorn.” (</w:t>
      </w:r>
      <w:r w:rsidRPr="003C1FC5">
        <w:t>Sellars,</w:t>
      </w:r>
      <w:r>
        <w:t xml:space="preserve"> W. (1992 [1968]) </w:t>
      </w:r>
      <w:r w:rsidRPr="00512546">
        <w:rPr>
          <w:i/>
        </w:rPr>
        <w:t>Science and Metaphysics</w:t>
      </w:r>
      <w:r>
        <w:rPr>
          <w:i/>
        </w:rPr>
        <w:t xml:space="preserve">: </w:t>
      </w:r>
      <w:r w:rsidRPr="00512546">
        <w:rPr>
          <w:i/>
        </w:rPr>
        <w:t>Variations on Kantian Themes</w:t>
      </w:r>
      <w:r w:rsidRPr="003C1FC5">
        <w:t xml:space="preserve"> (Atascadero: Ridgeview)</w:t>
      </w:r>
      <w:r>
        <w:t>, §1, p. 2) While Sellars’ point surely holds in some cases, I hope to show that there is more clarity of structure in Kant’s account of intuition than first appears there.</w:t>
      </w:r>
    </w:p>
  </w:footnote>
  <w:footnote w:id="2">
    <w:p w:rsidR="00086792" w:rsidRDefault="00086792" w:rsidP="00975378">
      <w:pPr>
        <w:pStyle w:val="FootnoteText"/>
      </w:pPr>
      <w:r w:rsidRPr="00783287">
        <w:footnoteRef/>
      </w:r>
      <w:r w:rsidRPr="00783287">
        <w:t xml:space="preserve"> </w:t>
      </w:r>
      <w:r w:rsidRPr="00783287">
        <w:tab/>
      </w:r>
      <w:r>
        <w:t>Here and elsewhere, I employ the term ‘perception’ somewhat loosely to refer to acts of receiving sensible co</w:t>
      </w:r>
      <w:r>
        <w:t>n</w:t>
      </w:r>
      <w:r>
        <w:t>tent (or to the content received by such acts). For Kant, the term has a slightly different meaning: “representation with consciousness” (A320/B376). This is broader than what I have in mind, for it includes not just sensible intuitions, but also sensations and concepts. Perception, in Kant’s sense, does not play a major role in my discussion. However, the term figures prominently in the contemporary debate to which I am relating Kant’s account of int</w:t>
      </w:r>
      <w:r>
        <w:t>u</w:t>
      </w:r>
      <w:r>
        <w:t>ition, and this is how I use it.</w:t>
      </w:r>
    </w:p>
  </w:footnote>
  <w:footnote w:id="3">
    <w:p w:rsidR="00086792" w:rsidRDefault="00086792">
      <w:pPr>
        <w:pStyle w:val="FootnoteText"/>
      </w:pPr>
      <w:r w:rsidRPr="001D669F">
        <w:rPr>
          <w:rStyle w:val="FootnoteCharacters"/>
        </w:rPr>
        <w:footnoteRef/>
      </w:r>
      <w:r>
        <w:t xml:space="preserve"> </w:t>
      </w:r>
      <w:r>
        <w:tab/>
        <w:t xml:space="preserve">This is one way of characterizing the task of the Transcendental Deduction. Here Kant argues </w:t>
      </w:r>
      <w:r w:rsidRPr="00911027">
        <w:t>that the cat</w:t>
      </w:r>
      <w:r w:rsidRPr="00911027">
        <w:t>e</w:t>
      </w:r>
      <w:r w:rsidRPr="00911027">
        <w:t>gories, the fundamental concepts of understanding, apply to all objects that can possibly be given to us in sensible intu</w:t>
      </w:r>
      <w:r w:rsidRPr="00911027">
        <w:t>i</w:t>
      </w:r>
      <w:r w:rsidRPr="00911027">
        <w:t>tion. As he puts it, the categories “</w:t>
      </w:r>
      <w:r>
        <w:t>...</w:t>
      </w:r>
      <w:r w:rsidRPr="00911027">
        <w:t xml:space="preserve"> must be recognized as </w:t>
      </w:r>
      <w:r w:rsidRPr="00911027">
        <w:rPr>
          <w:i/>
        </w:rPr>
        <w:t>a priori</w:t>
      </w:r>
      <w:r w:rsidRPr="00911027">
        <w:t xml:space="preserve"> conditions of the possibility of experience (whether of the intuition that is encountered in them, or of the thinking).” (A94/B126)</w:t>
      </w:r>
      <w:r>
        <w:t xml:space="preserve"> </w:t>
      </w:r>
      <w:r w:rsidRPr="00E455FE">
        <w:t>All parenthetical refe</w:t>
      </w:r>
      <w:r w:rsidRPr="00E455FE">
        <w:t>r</w:t>
      </w:r>
      <w:r w:rsidRPr="00E455FE">
        <w:t xml:space="preserve">ences are to </w:t>
      </w:r>
      <w:r>
        <w:t xml:space="preserve">Kant, I. (1997) </w:t>
      </w:r>
      <w:r w:rsidRPr="00E455FE">
        <w:rPr>
          <w:i/>
        </w:rPr>
        <w:t>Critique of Pure Reason</w:t>
      </w:r>
      <w:r w:rsidRPr="00E455FE">
        <w:t>, trans. and eds. P</w:t>
      </w:r>
      <w:r>
        <w:t xml:space="preserve">. </w:t>
      </w:r>
      <w:proofErr w:type="spellStart"/>
      <w:r w:rsidRPr="00E455FE">
        <w:t>Guyer</w:t>
      </w:r>
      <w:proofErr w:type="spellEnd"/>
      <w:r w:rsidRPr="00E455FE">
        <w:t xml:space="preserve"> and A</w:t>
      </w:r>
      <w:r>
        <w:t xml:space="preserve">. </w:t>
      </w:r>
      <w:r w:rsidRPr="00E455FE">
        <w:t>Wood (Cambridge: Cambridge University Press). “A” and “B” refer to the pagination of the first and second German editions, respectiv</w:t>
      </w:r>
      <w:r w:rsidRPr="00E455FE">
        <w:t>e</w:t>
      </w:r>
      <w:r w:rsidRPr="00E455FE">
        <w:t xml:space="preserve">ly. For other work by Kant, I provide references to both the German </w:t>
      </w:r>
      <w:proofErr w:type="spellStart"/>
      <w:r w:rsidRPr="00640E02">
        <w:rPr>
          <w:i/>
        </w:rPr>
        <w:t>Akademie</w:t>
      </w:r>
      <w:proofErr w:type="spellEnd"/>
      <w:r w:rsidRPr="00E455FE">
        <w:t xml:space="preserve"> edition </w:t>
      </w:r>
      <w:r>
        <w:t xml:space="preserve">and </w:t>
      </w:r>
      <w:r w:rsidRPr="00E455FE">
        <w:t>an English translation.</w:t>
      </w:r>
    </w:p>
  </w:footnote>
  <w:footnote w:id="4">
    <w:p w:rsidR="00086792" w:rsidRDefault="00086792">
      <w:pPr>
        <w:pStyle w:val="FootnoteText"/>
      </w:pPr>
      <w:r>
        <w:rPr>
          <w:rStyle w:val="FootnoteCharacters"/>
        </w:rPr>
        <w:footnoteRef/>
      </w:r>
      <w:r>
        <w:tab/>
        <w:t>Further examples can be found at A51/B75 and A89/B122.</w:t>
      </w:r>
    </w:p>
  </w:footnote>
  <w:footnote w:id="5">
    <w:p w:rsidR="00086792" w:rsidRDefault="00086792" w:rsidP="00911554">
      <w:pPr>
        <w:pStyle w:val="FootnoteText"/>
      </w:pPr>
      <w:r>
        <w:rPr>
          <w:rStyle w:val="FootnoteCharacters"/>
        </w:rPr>
        <w:footnoteRef/>
      </w:r>
      <w:r>
        <w:tab/>
        <w:t xml:space="preserve">Kant makes the same point in the </w:t>
      </w:r>
      <w:proofErr w:type="spellStart"/>
      <w:r>
        <w:rPr>
          <w:i/>
          <w:iCs/>
        </w:rPr>
        <w:t>Jäsche</w:t>
      </w:r>
      <w:proofErr w:type="spellEnd"/>
      <w:r>
        <w:t xml:space="preserve"> and </w:t>
      </w:r>
      <w:r w:rsidRPr="00B70DFD">
        <w:rPr>
          <w:i/>
        </w:rPr>
        <w:t>Vienna</w:t>
      </w:r>
      <w:r>
        <w:t xml:space="preserve"> logics (</w:t>
      </w:r>
      <w:r w:rsidRPr="00512546">
        <w:t>Kant</w:t>
      </w:r>
      <w:r>
        <w:t>, I. (1992)</w:t>
      </w:r>
      <w:r w:rsidRPr="00512546">
        <w:t xml:space="preserve"> </w:t>
      </w:r>
      <w:r w:rsidRPr="00512546">
        <w:rPr>
          <w:i/>
        </w:rPr>
        <w:t>Lectures on Logic</w:t>
      </w:r>
      <w:r w:rsidRPr="00512546">
        <w:t>, ed. J. M</w:t>
      </w:r>
      <w:r>
        <w:t xml:space="preserve">. </w:t>
      </w:r>
      <w:r w:rsidRPr="00512546">
        <w:t>Young (Cambridge: Cambridge University Press),</w:t>
      </w:r>
      <w:r>
        <w:t xml:space="preserve"> pp. 589 [</w:t>
      </w:r>
      <w:proofErr w:type="spellStart"/>
      <w:r>
        <w:t>Ak</w:t>
      </w:r>
      <w:proofErr w:type="spellEnd"/>
      <w:r>
        <w:t>. 9:91] and 265-6 [</w:t>
      </w:r>
      <w:proofErr w:type="spellStart"/>
      <w:r>
        <w:t>Ak</w:t>
      </w:r>
      <w:proofErr w:type="spellEnd"/>
      <w:r>
        <w:t>. 24:805-6]).</w:t>
      </w:r>
    </w:p>
  </w:footnote>
  <w:footnote w:id="6">
    <w:p w:rsidR="00086792" w:rsidRPr="0050061C" w:rsidRDefault="00086792" w:rsidP="0050061C">
      <w:pPr>
        <w:pStyle w:val="FootnoteText"/>
      </w:pPr>
      <w:r w:rsidRPr="0050061C">
        <w:rPr>
          <w:rStyle w:val="FootnoteReference"/>
          <w:vertAlign w:val="baseline"/>
        </w:rPr>
        <w:footnoteRef/>
      </w:r>
      <w:r w:rsidRPr="0050061C">
        <w:t xml:space="preserve"> </w:t>
      </w:r>
      <w:r>
        <w:tab/>
        <w:t>The phrase “manifold of intuition” is ambiguous, in that it could mean either the manifold contained in a single int</w:t>
      </w:r>
      <w:r>
        <w:t>u</w:t>
      </w:r>
      <w:r>
        <w:t>ition or the manifold of different intuitions that are combined in experience. I take Kant to be making the former point: that understanding is responsible even for the unity of a single intuition. This point is made explicitly in the previously quoted passage. See also §26 of the B-Deduction, where Kant again identifies the role of understanding in the “composition of the manifold in an empirical intuition” (B160).</w:t>
      </w:r>
    </w:p>
  </w:footnote>
  <w:footnote w:id="7">
    <w:p w:rsidR="00086792" w:rsidRDefault="00086792">
      <w:pPr>
        <w:pStyle w:val="FootnoteText"/>
      </w:pPr>
      <w:r>
        <w:rPr>
          <w:rStyle w:val="FootnoteCharacters"/>
        </w:rPr>
        <w:footnoteRef/>
      </w:r>
      <w:r>
        <w:tab/>
        <w:t>See also A51/B75 (quoted earlier in section one) and A258.</w:t>
      </w:r>
    </w:p>
  </w:footnote>
  <w:footnote w:id="8">
    <w:p w:rsidR="00086792" w:rsidRPr="00A76447" w:rsidRDefault="00086792" w:rsidP="00A76447">
      <w:pPr>
        <w:pStyle w:val="FootnoteText"/>
      </w:pPr>
      <w:r w:rsidRPr="00A76447">
        <w:rPr>
          <w:rStyle w:val="FootnoteReference"/>
          <w:vertAlign w:val="baseline"/>
        </w:rPr>
        <w:footnoteRef/>
      </w:r>
      <w:r w:rsidRPr="00A76447">
        <w:t xml:space="preserve"> </w:t>
      </w:r>
      <w:r>
        <w:tab/>
        <w:t>See A63/B87-8.</w:t>
      </w:r>
    </w:p>
  </w:footnote>
  <w:footnote w:id="9">
    <w:p w:rsidR="00086792" w:rsidRDefault="00086792" w:rsidP="007E15C7">
      <w:pPr>
        <w:pStyle w:val="FootnoteText"/>
      </w:pPr>
      <w:r w:rsidRPr="001D669F">
        <w:rPr>
          <w:rStyle w:val="FootnoteCharacters"/>
        </w:rPr>
        <w:footnoteRef/>
      </w:r>
      <w:r>
        <w:t xml:space="preserve"> </w:t>
      </w:r>
      <w:r>
        <w:tab/>
        <w:t xml:space="preserve">See: Sellars, W. (1997 [1956]) </w:t>
      </w:r>
      <w:r w:rsidRPr="002E53D1">
        <w:rPr>
          <w:i/>
        </w:rPr>
        <w:t>Empiricism and the Philosophy of Mind</w:t>
      </w:r>
      <w:r>
        <w:t xml:space="preserve"> (Cambridge, MA: Harvard Unive</w:t>
      </w:r>
      <w:r>
        <w:t>r</w:t>
      </w:r>
      <w:r>
        <w:t xml:space="preserve">sity Press); and McDowell, J. (2009) </w:t>
      </w:r>
      <w:r w:rsidRPr="00462E1A">
        <w:t xml:space="preserve">“Avoiding the Myth of the Given,” in </w:t>
      </w:r>
      <w:r w:rsidRPr="003A7AFE">
        <w:rPr>
          <w:i/>
        </w:rPr>
        <w:t>Having the World in View: Essays on Kant, Hegel, and Sellars</w:t>
      </w:r>
      <w:r w:rsidRPr="003A7AFE">
        <w:t xml:space="preserve"> (Cambridge, MA: Harvard University Press</w:t>
      </w:r>
      <w:r>
        <w:t xml:space="preserve">), pp. </w:t>
      </w:r>
      <w:r w:rsidRPr="00462E1A">
        <w:t>256-274</w:t>
      </w:r>
      <w:r>
        <w:t>).</w:t>
      </w:r>
    </w:p>
  </w:footnote>
  <w:footnote w:id="10">
    <w:p w:rsidR="00086792" w:rsidRDefault="00086792">
      <w:pPr>
        <w:pStyle w:val="FootnoteText"/>
      </w:pPr>
      <w:r w:rsidRPr="007E15C7">
        <w:footnoteRef/>
      </w:r>
      <w:r w:rsidRPr="007E15C7">
        <w:t xml:space="preserve"> </w:t>
      </w:r>
      <w:r w:rsidRPr="007E15C7">
        <w:tab/>
        <w:t>See also: A112 and A156/B195.</w:t>
      </w:r>
    </w:p>
  </w:footnote>
  <w:footnote w:id="11">
    <w:p w:rsidR="00086792" w:rsidRDefault="00086792">
      <w:pPr>
        <w:pStyle w:val="FootnoteText"/>
      </w:pPr>
      <w:r w:rsidRPr="007E15C7">
        <w:footnoteRef/>
      </w:r>
      <w:r w:rsidRPr="007E15C7">
        <w:t xml:space="preserve"> </w:t>
      </w:r>
      <w:r w:rsidRPr="007E15C7">
        <w:tab/>
        <w:t>See also: Kant, I. (2002) “On a Discovery Whereby Any New Critique of Pure Reason is to Be Made Superfl</w:t>
      </w:r>
      <w:r w:rsidRPr="007E15C7">
        <w:t>u</w:t>
      </w:r>
      <w:r w:rsidRPr="007E15C7">
        <w:t xml:space="preserve">ous by an Older One,” in </w:t>
      </w:r>
      <w:r w:rsidRPr="007E15C7">
        <w:rPr>
          <w:i/>
        </w:rPr>
        <w:t>Theoretical Philosophy after 1781</w:t>
      </w:r>
      <w:r w:rsidRPr="007E15C7">
        <w:t>, eds. H. Allison and P. Heath (Cambridge, UK: Cambridge University Press), p. 335 [</w:t>
      </w:r>
      <w:proofErr w:type="spellStart"/>
      <w:r w:rsidRPr="007E15C7">
        <w:t>Ak</w:t>
      </w:r>
      <w:proofErr w:type="spellEnd"/>
      <w:r w:rsidRPr="007E15C7">
        <w:t>. 8:249].</w:t>
      </w:r>
    </w:p>
  </w:footnote>
  <w:footnote w:id="12">
    <w:p w:rsidR="00086792" w:rsidRDefault="00086792" w:rsidP="00C56D1F">
      <w:pPr>
        <w:pStyle w:val="FootnoteText"/>
      </w:pPr>
      <w:r w:rsidRPr="00C56D1F">
        <w:rPr>
          <w:rStyle w:val="CommentTextChar"/>
        </w:rPr>
        <w:footnoteRef/>
      </w:r>
      <w:r w:rsidRPr="00C56D1F">
        <w:rPr>
          <w:rStyle w:val="CommentTextChar"/>
        </w:rPr>
        <w:t xml:space="preserve"> </w:t>
      </w:r>
      <w:r w:rsidRPr="00C56D1F">
        <w:rPr>
          <w:rStyle w:val="CommentTextChar"/>
        </w:rPr>
        <w:tab/>
      </w:r>
      <w:r w:rsidRPr="00C56D1F">
        <w:t>In examining the role of intuition in giving us objects, I have focused on the related ideas of constraining and su</w:t>
      </w:r>
      <w:r w:rsidRPr="00C56D1F">
        <w:t>p</w:t>
      </w:r>
      <w:r w:rsidRPr="00C56D1F">
        <w:t>plying content for thought. In doing so, I don’t mean to deny that there are other valid ways of expressing its role. For example, intuition gives us individuated particulars, as distinct from the generality of concepts. I take it that th</w:t>
      </w:r>
      <w:r w:rsidRPr="00C56D1F">
        <w:t>e</w:t>
      </w:r>
      <w:r w:rsidRPr="00C56D1F">
        <w:t>se ways of thinking about intuition are closely related, although I will not pursue the connection here.</w:t>
      </w:r>
    </w:p>
  </w:footnote>
  <w:footnote w:id="13">
    <w:p w:rsidR="00086792" w:rsidRPr="00CA0EFD" w:rsidRDefault="00086792" w:rsidP="004154DF">
      <w:pPr>
        <w:pStyle w:val="FootnoteText"/>
      </w:pPr>
      <w:r w:rsidRPr="00CA0EFD">
        <w:rPr>
          <w:rStyle w:val="FootnoteReference"/>
          <w:vertAlign w:val="baseline"/>
        </w:rPr>
        <w:footnoteRef/>
      </w:r>
      <w:r w:rsidRPr="00CA0EFD">
        <w:t xml:space="preserve"> </w:t>
      </w:r>
      <w:r>
        <w:tab/>
        <w:t xml:space="preserve">I have characterized this reading in two ways, to reflect a distinction drawn in contemporary debates between </w:t>
      </w:r>
      <w:r w:rsidRPr="00CA0EFD">
        <w:rPr>
          <w:i/>
        </w:rPr>
        <w:t>co</w:t>
      </w:r>
      <w:r w:rsidRPr="00CA0EFD">
        <w:rPr>
          <w:i/>
        </w:rPr>
        <w:t>n</w:t>
      </w:r>
      <w:r w:rsidRPr="00CA0EFD">
        <w:rPr>
          <w:i/>
        </w:rPr>
        <w:t>tent</w:t>
      </w:r>
      <w:r>
        <w:t xml:space="preserve"> and </w:t>
      </w:r>
      <w:r w:rsidRPr="00CA0EFD">
        <w:rPr>
          <w:i/>
        </w:rPr>
        <w:t>state</w:t>
      </w:r>
      <w:r>
        <w:t xml:space="preserve"> conceptualism. In my view, either formulation is adequate to express the philosophical tension in Kant’s thought. On the significance of the content-state distinction, see </w:t>
      </w:r>
      <w:proofErr w:type="spellStart"/>
      <w:r>
        <w:t>Bermúdez</w:t>
      </w:r>
      <w:proofErr w:type="spellEnd"/>
      <w:r>
        <w:t xml:space="preserve">, J. (2009) </w:t>
      </w:r>
      <w:r w:rsidRPr="00786D4E">
        <w:t>“The Distinction B</w:t>
      </w:r>
      <w:r w:rsidRPr="00786D4E">
        <w:t>e</w:t>
      </w:r>
      <w:r w:rsidRPr="00786D4E">
        <w:t xml:space="preserve">tween Conceptual and Nonconceptual Content,” in </w:t>
      </w:r>
      <w:r w:rsidRPr="00786D4E">
        <w:rPr>
          <w:i/>
        </w:rPr>
        <w:t>The Oxford Handbook of Philosophy of Mind</w:t>
      </w:r>
      <w:r w:rsidRPr="00786D4E">
        <w:t xml:space="preserve">, </w:t>
      </w:r>
      <w:r>
        <w:t xml:space="preserve">eds. B. </w:t>
      </w:r>
      <w:r w:rsidRPr="00786D4E">
        <w:t>McLaug</w:t>
      </w:r>
      <w:r w:rsidRPr="00786D4E">
        <w:t>h</w:t>
      </w:r>
      <w:r w:rsidRPr="00786D4E">
        <w:t>lin, A</w:t>
      </w:r>
      <w:r>
        <w:t xml:space="preserve">. </w:t>
      </w:r>
      <w:proofErr w:type="spellStart"/>
      <w:r w:rsidRPr="00786D4E">
        <w:t>Beckermann</w:t>
      </w:r>
      <w:proofErr w:type="spellEnd"/>
      <w:r w:rsidRPr="00786D4E">
        <w:t>, and S</w:t>
      </w:r>
      <w:r>
        <w:t xml:space="preserve">. </w:t>
      </w:r>
      <w:r w:rsidRPr="00786D4E">
        <w:t>Walter</w:t>
      </w:r>
      <w:r>
        <w:t xml:space="preserve"> </w:t>
      </w:r>
      <w:r w:rsidRPr="00786D4E">
        <w:t>(</w:t>
      </w:r>
      <w:r>
        <w:t xml:space="preserve">Oxford: </w:t>
      </w:r>
      <w:r w:rsidRPr="00786D4E">
        <w:t>Oxfor</w:t>
      </w:r>
      <w:r>
        <w:t xml:space="preserve">d University Press), pp. </w:t>
      </w:r>
      <w:r w:rsidRPr="00786D4E">
        <w:t>45</w:t>
      </w:r>
      <w:r>
        <w:t>9-461</w:t>
      </w:r>
      <w:r w:rsidRPr="00786D4E">
        <w:t>.</w:t>
      </w:r>
    </w:p>
  </w:footnote>
  <w:footnote w:id="14">
    <w:p w:rsidR="00086792" w:rsidRDefault="00086792" w:rsidP="00FB00E3">
      <w:pPr>
        <w:pStyle w:val="FootnoteText"/>
      </w:pPr>
      <w:r>
        <w:rPr>
          <w:rStyle w:val="FootnoteCharacters"/>
        </w:rPr>
        <w:footnoteRef/>
      </w:r>
      <w:r>
        <w:tab/>
        <w:t xml:space="preserve">See: </w:t>
      </w:r>
      <w:r w:rsidRPr="004D4675">
        <w:t>Allais,</w:t>
      </w:r>
      <w:r>
        <w:t xml:space="preserve"> L. (2009)</w:t>
      </w:r>
      <w:r w:rsidRPr="004D4675">
        <w:t xml:space="preserve"> “Kant, Non-conceptual Content and the Representation of Space”</w:t>
      </w:r>
      <w:r>
        <w:t>,</w:t>
      </w:r>
      <w:r w:rsidRPr="004D4675">
        <w:t xml:space="preserve"> </w:t>
      </w:r>
      <w:r w:rsidRPr="004D4675">
        <w:rPr>
          <w:i/>
        </w:rPr>
        <w:t>The Journal of the Hi</w:t>
      </w:r>
      <w:r w:rsidRPr="004D4675">
        <w:rPr>
          <w:i/>
        </w:rPr>
        <w:t>s</w:t>
      </w:r>
      <w:r w:rsidRPr="004D4675">
        <w:rPr>
          <w:i/>
        </w:rPr>
        <w:t>tory of Philosophy</w:t>
      </w:r>
      <w:r w:rsidRPr="004D4675">
        <w:t xml:space="preserve"> </w:t>
      </w:r>
      <w:r>
        <w:t xml:space="preserve">47(3), pp. </w:t>
      </w:r>
      <w:r w:rsidRPr="00582F27">
        <w:t>383-413</w:t>
      </w:r>
      <w:r>
        <w:t xml:space="preserve">; </w:t>
      </w:r>
      <w:r w:rsidRPr="00CF301A">
        <w:t>Falkenstein,</w:t>
      </w:r>
      <w:r>
        <w:t xml:space="preserve"> L. (1995)</w:t>
      </w:r>
      <w:r w:rsidRPr="00CF301A">
        <w:t xml:space="preserve"> </w:t>
      </w:r>
      <w:r w:rsidRPr="00CF301A">
        <w:rPr>
          <w:i/>
        </w:rPr>
        <w:t>Kant’s Intuitionism</w:t>
      </w:r>
      <w:r w:rsidRPr="000E2AFC">
        <w:rPr>
          <w:i/>
        </w:rPr>
        <w:t>: A Commentary on the Tra</w:t>
      </w:r>
      <w:r w:rsidRPr="000E2AFC">
        <w:rPr>
          <w:i/>
        </w:rPr>
        <w:t>n</w:t>
      </w:r>
      <w:r w:rsidRPr="000E2AFC">
        <w:rPr>
          <w:i/>
        </w:rPr>
        <w:t>scendental Aesthetic</w:t>
      </w:r>
      <w:r w:rsidRPr="00CF301A">
        <w:t xml:space="preserve"> </w:t>
      </w:r>
      <w:r>
        <w:t>[</w:t>
      </w:r>
      <w:r w:rsidRPr="000E2AFC">
        <w:rPr>
          <w:i/>
        </w:rPr>
        <w:t>Intuitionism</w:t>
      </w:r>
      <w:r>
        <w:t xml:space="preserve">] </w:t>
      </w:r>
      <w:r w:rsidRPr="00CF301A">
        <w:t>(Toronto: University of Toronto Press)</w:t>
      </w:r>
      <w:r>
        <w:t xml:space="preserve">; and </w:t>
      </w:r>
      <w:r w:rsidRPr="00CF301A">
        <w:t>Hanna,</w:t>
      </w:r>
      <w:r>
        <w:t xml:space="preserve"> R. (2006)</w:t>
      </w:r>
      <w:r w:rsidRPr="00CF301A">
        <w:t xml:space="preserve"> </w:t>
      </w:r>
      <w:r w:rsidRPr="00CF301A">
        <w:rPr>
          <w:i/>
        </w:rPr>
        <w:t>Kant, Science, and Human Nature</w:t>
      </w:r>
      <w:r w:rsidRPr="00CF301A">
        <w:t xml:space="preserve"> (Oxford: Clarendon Press).</w:t>
      </w:r>
      <w:r>
        <w:t xml:space="preserve"> Although my discussion of these authors will focus on areas of disagreement, I hope it is evident how much I have benefited from engaging with their work. An important vari</w:t>
      </w:r>
      <w:r>
        <w:t>a</w:t>
      </w:r>
      <w:r>
        <w:t>tion on their non-conceptualist approach can be found in the work of Henry E. Allison. He identifies a “</w:t>
      </w:r>
      <w:r w:rsidRPr="00FB00E3">
        <w:t>proto-conceptual” unity</w:t>
      </w:r>
      <w:r>
        <w:t xml:space="preserve"> of i</w:t>
      </w:r>
      <w:r>
        <w:t>n</w:t>
      </w:r>
      <w:r>
        <w:t xml:space="preserve">tuition, one that arises independently of </w:t>
      </w:r>
      <w:r w:rsidRPr="00FB00E3">
        <w:t>understanding</w:t>
      </w:r>
      <w:r>
        <w:t xml:space="preserve"> and is then reproduced by the categories in thought. See A</w:t>
      </w:r>
      <w:r w:rsidRPr="00FB00E3">
        <w:t>ll</w:t>
      </w:r>
      <w:r w:rsidRPr="00FB00E3">
        <w:t>i</w:t>
      </w:r>
      <w:r w:rsidRPr="00FB00E3">
        <w:t>son</w:t>
      </w:r>
      <w:r>
        <w:t xml:space="preserve">, H. (2004) </w:t>
      </w:r>
      <w:r w:rsidRPr="00FB00E3">
        <w:rPr>
          <w:i/>
        </w:rPr>
        <w:t>Kant’s Transcendental Idealism: An Interpretation and Defense</w:t>
      </w:r>
      <w:r>
        <w:t xml:space="preserve"> [revised and enlarged edition] (</w:t>
      </w:r>
      <w:r w:rsidRPr="00FB00E3">
        <w:t>New Haven: Yale University Press</w:t>
      </w:r>
      <w:r>
        <w:t xml:space="preserve">), p. </w:t>
      </w:r>
      <w:r w:rsidRPr="00FB00E3">
        <w:t>188.</w:t>
      </w:r>
      <w:r>
        <w:t xml:space="preserve"> I consider Allison’s reading more directly in a forthcoming piece, “</w:t>
      </w:r>
      <w:r w:rsidRPr="005E54D0">
        <w:t>Rational Experience: Confronting Skepticism in Kant’s Deduction of the Categories</w:t>
      </w:r>
      <w:r>
        <w:t>.”</w:t>
      </w:r>
    </w:p>
  </w:footnote>
  <w:footnote w:id="15">
    <w:p w:rsidR="00086792" w:rsidRDefault="00086792" w:rsidP="001D1CB3">
      <w:pPr>
        <w:pStyle w:val="FootnoteText"/>
      </w:pPr>
      <w:r>
        <w:rPr>
          <w:rStyle w:val="FootnoteCharacters"/>
        </w:rPr>
        <w:footnoteRef/>
      </w:r>
      <w:r>
        <w:tab/>
        <w:t xml:space="preserve">See: </w:t>
      </w:r>
      <w:proofErr w:type="spellStart"/>
      <w:r w:rsidRPr="005357DE">
        <w:t>Abela</w:t>
      </w:r>
      <w:proofErr w:type="spellEnd"/>
      <w:r>
        <w:t>, P. (2002)</w:t>
      </w:r>
      <w:r w:rsidRPr="005357DE">
        <w:t xml:space="preserve"> </w:t>
      </w:r>
      <w:r w:rsidRPr="005357DE">
        <w:rPr>
          <w:i/>
        </w:rPr>
        <w:t>Kant’s Empirical Realism</w:t>
      </w:r>
      <w:r w:rsidRPr="005357DE">
        <w:t xml:space="preserve"> (Oxford: Clarendon Press); and McDowell,</w:t>
      </w:r>
      <w:r>
        <w:t xml:space="preserve"> J. (1998)</w:t>
      </w:r>
      <w:r w:rsidRPr="005357DE">
        <w:t xml:space="preserve"> “Ha</w:t>
      </w:r>
      <w:r w:rsidRPr="005357DE">
        <w:t>v</w:t>
      </w:r>
      <w:r w:rsidRPr="005357DE">
        <w:t xml:space="preserve">ing the World in View: Sellars, Kant, and Intentionality”, </w:t>
      </w:r>
      <w:r w:rsidRPr="005357DE">
        <w:rPr>
          <w:i/>
        </w:rPr>
        <w:t>The Journal of Philosophy</w:t>
      </w:r>
      <w:r w:rsidRPr="005357DE">
        <w:t xml:space="preserve"> 95(9)</w:t>
      </w:r>
      <w:r>
        <w:t xml:space="preserve">, pp. </w:t>
      </w:r>
      <w:r w:rsidRPr="005357DE">
        <w:t>431-91.</w:t>
      </w:r>
      <w:r>
        <w:t xml:space="preserve"> </w:t>
      </w:r>
      <w:r w:rsidRPr="00E04569">
        <w:t>These are the two conceptualist readings of Kant that are closest to my own view. Although we share the same basic position concer</w:t>
      </w:r>
      <w:r w:rsidRPr="00E04569">
        <w:t>n</w:t>
      </w:r>
      <w:r w:rsidRPr="00E04569">
        <w:t>ing the role of the categories in sensible intuition, my interpretation differs in two important respects. First, we differ in our view of the details of Kant’s argument for this position, especially the argument in §26 of the B-Deduction that I discuss in section</w:t>
      </w:r>
      <w:r>
        <w:t xml:space="preserve"> four. </w:t>
      </w:r>
      <w:r w:rsidRPr="00E04569">
        <w:t xml:space="preserve">Second, as </w:t>
      </w:r>
      <w:r>
        <w:t xml:space="preserve">will become evident, </w:t>
      </w:r>
      <w:r w:rsidRPr="00E04569">
        <w:t>my reading is distinct in emph</w:t>
      </w:r>
      <w:r w:rsidRPr="00E04569">
        <w:t>a</w:t>
      </w:r>
      <w:r w:rsidRPr="00E04569">
        <w:t xml:space="preserve">sizing </w:t>
      </w:r>
      <w:r>
        <w:t xml:space="preserve">Kant’s strategy of </w:t>
      </w:r>
      <w:r w:rsidRPr="00E04569">
        <w:t xml:space="preserve">leading the reader </w:t>
      </w:r>
      <w:r>
        <w:t xml:space="preserve">only </w:t>
      </w:r>
      <w:r w:rsidRPr="00E04569">
        <w:t>gradually to his conceptualist standpoint.</w:t>
      </w:r>
      <w:r>
        <w:t xml:space="preserve"> There are several other conceptualist readings of Kant in the recent literature that are less closely related to my interpretation. Of these, two especially valuable art</w:t>
      </w:r>
      <w:r>
        <w:t>i</w:t>
      </w:r>
      <w:r>
        <w:t xml:space="preserve">cles are: </w:t>
      </w:r>
      <w:proofErr w:type="spellStart"/>
      <w:r w:rsidRPr="009E35B5">
        <w:t>Ginsborg</w:t>
      </w:r>
      <w:proofErr w:type="spellEnd"/>
      <w:r w:rsidRPr="009E35B5">
        <w:t>,</w:t>
      </w:r>
      <w:r>
        <w:t xml:space="preserve"> H. (2008) “</w:t>
      </w:r>
      <w:r w:rsidRPr="009E35B5">
        <w:t>Was Kant a Nonconceptualist?</w:t>
      </w:r>
      <w:r>
        <w:t xml:space="preserve">”, </w:t>
      </w:r>
      <w:r w:rsidRPr="009E35B5">
        <w:rPr>
          <w:i/>
        </w:rPr>
        <w:t>Philosophical Studies</w:t>
      </w:r>
      <w:r w:rsidRPr="009E35B5">
        <w:t xml:space="preserve"> 137(1)</w:t>
      </w:r>
      <w:r>
        <w:t xml:space="preserve">, pp. 65-77; and </w:t>
      </w:r>
      <w:proofErr w:type="spellStart"/>
      <w:r w:rsidRPr="009E35B5">
        <w:t>En</w:t>
      </w:r>
      <w:r w:rsidRPr="009E35B5">
        <w:t>g</w:t>
      </w:r>
      <w:r w:rsidRPr="009E35B5">
        <w:t>strom</w:t>
      </w:r>
      <w:proofErr w:type="spellEnd"/>
      <w:r>
        <w:t>, S. (2006) “</w:t>
      </w:r>
      <w:r w:rsidRPr="009E35B5">
        <w:t>Understanding and Sensibility</w:t>
      </w:r>
      <w:r>
        <w:t xml:space="preserve">”, </w:t>
      </w:r>
      <w:r w:rsidRPr="009E35B5">
        <w:rPr>
          <w:i/>
        </w:rPr>
        <w:t>Inquiry</w:t>
      </w:r>
      <w:r w:rsidRPr="009E35B5">
        <w:t xml:space="preserve"> 49(1)</w:t>
      </w:r>
      <w:r>
        <w:t>, pp. 2-25</w:t>
      </w:r>
      <w:r w:rsidRPr="009E35B5">
        <w:t>.</w:t>
      </w:r>
    </w:p>
  </w:footnote>
  <w:footnote w:id="16">
    <w:p w:rsidR="00086792" w:rsidRDefault="00086792">
      <w:pPr>
        <w:pStyle w:val="FootnoteText"/>
      </w:pPr>
      <w:r>
        <w:rPr>
          <w:rStyle w:val="FootnoteCharacters"/>
        </w:rPr>
        <w:footnoteRef/>
      </w:r>
      <w:r>
        <w:tab/>
        <w:t xml:space="preserve">Hanna, </w:t>
      </w:r>
      <w:r>
        <w:rPr>
          <w:i/>
          <w:iCs/>
        </w:rPr>
        <w:t>Human Nature</w:t>
      </w:r>
      <w:r>
        <w:t>, pp. 90-1.</w:t>
      </w:r>
    </w:p>
  </w:footnote>
  <w:footnote w:id="17">
    <w:p w:rsidR="00086792" w:rsidRDefault="00086792">
      <w:pPr>
        <w:pStyle w:val="FootnoteText"/>
      </w:pPr>
      <w:r>
        <w:rPr>
          <w:rStyle w:val="FootnoteCharacters"/>
        </w:rPr>
        <w:footnoteRef/>
      </w:r>
      <w:r>
        <w:tab/>
        <w:t xml:space="preserve">Following Kant, I am focusing on the role in intuition of a special set of concepts: the categories. As I will show, a strong case can be made that Kant believes the categories are already at work in our immediate intuition of sensible objects. It is less clear whether he sees empirical concepts as also being an immediate part of sensible perception. In fact, I believe that the general framework Kant sets out in establishing this role for the categories can be usefully employed in explaining the role of empirical concepts in perception, but I am not defending this broader claim here. On empirical concepts in Kant, see: </w:t>
      </w:r>
      <w:proofErr w:type="spellStart"/>
      <w:r w:rsidRPr="00BB6F93">
        <w:t>Ginsborg</w:t>
      </w:r>
      <w:proofErr w:type="spellEnd"/>
      <w:r w:rsidRPr="00BB6F93">
        <w:t>,</w:t>
      </w:r>
      <w:r>
        <w:t xml:space="preserve"> H. (2006) </w:t>
      </w:r>
      <w:r w:rsidRPr="00BB6F93">
        <w:t xml:space="preserve">“Empirical Concepts and the Content of Experience,” </w:t>
      </w:r>
      <w:r w:rsidRPr="00090F76">
        <w:rPr>
          <w:i/>
        </w:rPr>
        <w:t>E</w:t>
      </w:r>
      <w:r w:rsidRPr="00090F76">
        <w:rPr>
          <w:i/>
        </w:rPr>
        <w:t>u</w:t>
      </w:r>
      <w:r w:rsidRPr="00090F76">
        <w:rPr>
          <w:i/>
        </w:rPr>
        <w:t>ropean Journal of Philosophy</w:t>
      </w:r>
      <w:r w:rsidRPr="00BB6F93">
        <w:t xml:space="preserve"> 14</w:t>
      </w:r>
      <w:r>
        <w:t xml:space="preserve">(3), pp. 349-372; and chapter four of </w:t>
      </w:r>
      <w:r w:rsidRPr="00BB6F93">
        <w:t>Pippin,</w:t>
      </w:r>
      <w:r>
        <w:t xml:space="preserve"> R. (1982) </w:t>
      </w:r>
      <w:r>
        <w:rPr>
          <w:i/>
        </w:rPr>
        <w:t>Kant’</w:t>
      </w:r>
      <w:r w:rsidRPr="00BB6F93">
        <w:rPr>
          <w:i/>
        </w:rPr>
        <w:t>s Theory of Form: An Essay on the Critique of Pure Reason</w:t>
      </w:r>
      <w:r w:rsidRPr="00BB6F93">
        <w:t xml:space="preserve"> (New Haven: Yale University Press).</w:t>
      </w:r>
    </w:p>
  </w:footnote>
  <w:footnote w:id="18">
    <w:p w:rsidR="00086792" w:rsidRDefault="00086792">
      <w:pPr>
        <w:pStyle w:val="FootnoteText"/>
      </w:pPr>
      <w:r>
        <w:rPr>
          <w:rStyle w:val="FootnoteCharacters"/>
        </w:rPr>
        <w:footnoteRef/>
      </w:r>
      <w:r>
        <w:tab/>
        <w:t xml:space="preserve">Hanna, </w:t>
      </w:r>
      <w:r>
        <w:rPr>
          <w:i/>
          <w:iCs/>
        </w:rPr>
        <w:t>Human Nature</w:t>
      </w:r>
      <w:r>
        <w:t>, p. 98. In the previous section I quoted a portion of the text to which Hanna is here refe</w:t>
      </w:r>
      <w:r>
        <w:t>r</w:t>
      </w:r>
      <w:r>
        <w:t>ring.</w:t>
      </w:r>
    </w:p>
  </w:footnote>
  <w:footnote w:id="19">
    <w:p w:rsidR="00086792" w:rsidRDefault="00086792">
      <w:pPr>
        <w:pStyle w:val="FootnoteText"/>
      </w:pPr>
      <w:r>
        <w:rPr>
          <w:rStyle w:val="FootnoteCharacters"/>
        </w:rPr>
        <w:footnoteRef/>
      </w:r>
      <w:r>
        <w:tab/>
        <w:t>Allais (“Non-conceptual Content,” pp. 392-3) endorses this strategy, as it is presented in Hanna.</w:t>
      </w:r>
    </w:p>
  </w:footnote>
  <w:footnote w:id="20">
    <w:p w:rsidR="00086792" w:rsidRDefault="00086792">
      <w:pPr>
        <w:pStyle w:val="FootnoteText"/>
      </w:pPr>
      <w:r w:rsidRPr="001D669F">
        <w:rPr>
          <w:rStyle w:val="FootnoteCharacters"/>
        </w:rPr>
        <w:footnoteRef/>
      </w:r>
      <w:r>
        <w:t xml:space="preserve"> </w:t>
      </w:r>
      <w:r>
        <w:tab/>
        <w:t xml:space="preserve">Hanna cites two passages in support of his distinction: B146 and a note at </w:t>
      </w:r>
      <w:proofErr w:type="spellStart"/>
      <w:r>
        <w:t>Bxxvi</w:t>
      </w:r>
      <w:proofErr w:type="spellEnd"/>
      <w:r>
        <w:t>. However, these passages mark a distinction between cognition and mere thought (that is, something that is not cognition at all), rather than the di</w:t>
      </w:r>
      <w:r>
        <w:t>s</w:t>
      </w:r>
      <w:r>
        <w:t>tinction we are looking for, between narrow and broad senses of cognition. I have been unable to find any e</w:t>
      </w:r>
      <w:r>
        <w:t>x</w:t>
      </w:r>
      <w:r>
        <w:t>amples of the latter distinction in Kant’s work.</w:t>
      </w:r>
    </w:p>
  </w:footnote>
  <w:footnote w:id="21">
    <w:p w:rsidR="00086792" w:rsidRDefault="00086792">
      <w:pPr>
        <w:pStyle w:val="FootnoteText"/>
      </w:pPr>
      <w:r>
        <w:rPr>
          <w:rStyle w:val="FootnoteCharacters"/>
        </w:rPr>
        <w:footnoteRef/>
      </w:r>
      <w:r>
        <w:tab/>
        <w:t>Allais, “Non-conceptual Content,” p. 404.</w:t>
      </w:r>
    </w:p>
  </w:footnote>
  <w:footnote w:id="22">
    <w:p w:rsidR="00086792" w:rsidRDefault="00086792">
      <w:pPr>
        <w:pStyle w:val="FootnoteText"/>
      </w:pPr>
      <w:r>
        <w:rPr>
          <w:rStyle w:val="FootnoteCharacters"/>
        </w:rPr>
        <w:footnoteRef/>
      </w:r>
      <w:r>
        <w:tab/>
        <w:t>Allais, “Non-conceptual Content,” p. 405.</w:t>
      </w:r>
    </w:p>
  </w:footnote>
  <w:footnote w:id="23">
    <w:p w:rsidR="00086792" w:rsidRDefault="00086792">
      <w:pPr>
        <w:pStyle w:val="FootnoteText"/>
      </w:pPr>
      <w:r>
        <w:rPr>
          <w:rStyle w:val="FootnoteCharacters"/>
        </w:rPr>
        <w:footnoteRef/>
      </w:r>
      <w:r>
        <w:tab/>
        <w:t xml:space="preserve">Sellars, </w:t>
      </w:r>
      <w:r>
        <w:rPr>
          <w:i/>
          <w:iCs/>
        </w:rPr>
        <w:t>Science and Metaphysics</w:t>
      </w:r>
      <w:r>
        <w:t>, §10, p. 4 and §§17-18, p. 7.</w:t>
      </w:r>
    </w:p>
  </w:footnote>
  <w:footnote w:id="24">
    <w:p w:rsidR="00086792" w:rsidRDefault="00086792" w:rsidP="00CC0752">
      <w:pPr>
        <w:pStyle w:val="FootnoteText"/>
      </w:pPr>
      <w:r>
        <w:rPr>
          <w:rStyle w:val="FootnoteCharacters"/>
        </w:rPr>
        <w:footnoteRef/>
      </w:r>
      <w:r>
        <w:tab/>
        <w:t xml:space="preserve">Sellars, </w:t>
      </w:r>
      <w:r>
        <w:rPr>
          <w:i/>
          <w:iCs/>
        </w:rPr>
        <w:t>Science and Metaphysics</w:t>
      </w:r>
      <w:r>
        <w:t xml:space="preserve">, </w:t>
      </w:r>
      <w:r w:rsidRPr="00CC0752">
        <w:t xml:space="preserve">§20, </w:t>
      </w:r>
      <w:r>
        <w:t xml:space="preserve">p. </w:t>
      </w:r>
      <w:r w:rsidRPr="00CC0752">
        <w:t>8</w:t>
      </w:r>
      <w:r>
        <w:t xml:space="preserve">. See also </w:t>
      </w:r>
      <w:r w:rsidRPr="00CC0752">
        <w:t xml:space="preserve">§74, </w:t>
      </w:r>
      <w:r>
        <w:t xml:space="preserve">p. </w:t>
      </w:r>
      <w:r w:rsidRPr="00CC0752">
        <w:t>29</w:t>
      </w:r>
      <w:r>
        <w:t>.</w:t>
      </w:r>
    </w:p>
  </w:footnote>
  <w:footnote w:id="25">
    <w:p w:rsidR="00086792" w:rsidRDefault="00086792">
      <w:pPr>
        <w:pStyle w:val="FootnoteText"/>
      </w:pPr>
      <w:r>
        <w:rPr>
          <w:rStyle w:val="FootnoteCharacters"/>
        </w:rPr>
        <w:footnoteRef/>
      </w:r>
      <w:r>
        <w:tab/>
        <w:t xml:space="preserve">Sellars, </w:t>
      </w:r>
      <w:r>
        <w:rPr>
          <w:i/>
          <w:iCs/>
        </w:rPr>
        <w:t>Science and Metaphysics</w:t>
      </w:r>
      <w:r>
        <w:t>, §77, p. 30. See also §§19-20, pp. 7-8 and §75, p. 29.</w:t>
      </w:r>
    </w:p>
  </w:footnote>
  <w:footnote w:id="26">
    <w:p w:rsidR="00086792" w:rsidRDefault="00086792">
      <w:pPr>
        <w:pStyle w:val="FootnoteText"/>
      </w:pPr>
      <w:r>
        <w:rPr>
          <w:rStyle w:val="FootnoteCharacters"/>
        </w:rPr>
        <w:footnoteRef/>
      </w:r>
      <w:r>
        <w:tab/>
        <w:t>There is a helpful discussion of Sellars on this point in McDowell, “Having the World in View,” pp. 452-7.</w:t>
      </w:r>
    </w:p>
  </w:footnote>
  <w:footnote w:id="27">
    <w:p w:rsidR="00086792" w:rsidRDefault="00086792">
      <w:pPr>
        <w:pStyle w:val="FootnoteText"/>
      </w:pPr>
      <w:r>
        <w:rPr>
          <w:rStyle w:val="FootnoteCharacters"/>
        </w:rPr>
        <w:footnoteRef/>
      </w:r>
      <w:r>
        <w:tab/>
        <w:t>Allais, “Non-conceptual Content,” p. 393.</w:t>
      </w:r>
    </w:p>
  </w:footnote>
  <w:footnote w:id="28">
    <w:p w:rsidR="00086792" w:rsidRDefault="00086792" w:rsidP="000E2AFC">
      <w:pPr>
        <w:pStyle w:val="FootnoteText"/>
      </w:pPr>
      <w:r>
        <w:rPr>
          <w:rStyle w:val="FootnoteCharacters"/>
        </w:rPr>
        <w:footnoteRef/>
      </w:r>
      <w:r>
        <w:tab/>
        <w:t xml:space="preserve">Hanna, </w:t>
      </w:r>
      <w:r>
        <w:rPr>
          <w:i/>
          <w:iCs/>
        </w:rPr>
        <w:t>Human Nature</w:t>
      </w:r>
      <w:r>
        <w:t xml:space="preserve">, p. 99. On the same point, see Falkenstein, </w:t>
      </w:r>
      <w:r>
        <w:rPr>
          <w:i/>
          <w:iCs/>
        </w:rPr>
        <w:t>Intuitionism</w:t>
      </w:r>
      <w:r>
        <w:t>, pp. 59 and 376 en. 57. Falke</w:t>
      </w:r>
      <w:r>
        <w:t>n</w:t>
      </w:r>
      <w:r>
        <w:t>stein offers an extraordinary psychological explanation of Kant’s tendency to make claims that seem to contradict his u</w:t>
      </w:r>
      <w:r>
        <w:t>l</w:t>
      </w:r>
      <w:r>
        <w:t>timate position, noting that: “Kant was not the sort of person who had the intellectual courage to face up to a dile</w:t>
      </w:r>
      <w:r>
        <w:t>m</w:t>
      </w:r>
      <w:r>
        <w:t>ma and reject one alternative in favor of the other. Instead, when he felt himself pulled in opposite directions by co</w:t>
      </w:r>
      <w:r>
        <w:t>n</w:t>
      </w:r>
      <w:r>
        <w:t>flicting imperatives, his preference was to try to work out some way of satisfying both.”</w:t>
      </w:r>
      <w:r w:rsidRPr="00E41208">
        <w:t xml:space="preserve"> </w:t>
      </w:r>
      <w:r>
        <w:t>(p. 19)</w:t>
      </w:r>
    </w:p>
  </w:footnote>
  <w:footnote w:id="29">
    <w:p w:rsidR="00086792" w:rsidRDefault="00086792" w:rsidP="005F46A9">
      <w:pPr>
        <w:pStyle w:val="FootnoteText"/>
      </w:pPr>
      <w:r w:rsidRPr="005F46A9">
        <w:footnoteRef/>
      </w:r>
      <w:r w:rsidRPr="005F46A9">
        <w:t xml:space="preserve"> </w:t>
      </w:r>
      <w:r w:rsidRPr="005F46A9">
        <w:tab/>
        <w:t>Kant makes a similar point in the A-Deduction: “All intuitions are nothing to us and do not in the</w:t>
      </w:r>
      <w:r w:rsidRPr="00227D5D">
        <w:rPr>
          <w:i/>
        </w:rPr>
        <w:t xml:space="preserve"> least co</w:t>
      </w:r>
      <w:r w:rsidRPr="00227D5D">
        <w:rPr>
          <w:i/>
        </w:rPr>
        <w:t>n</w:t>
      </w:r>
      <w:r w:rsidRPr="00227D5D">
        <w:rPr>
          <w:i/>
        </w:rPr>
        <w:t>cern us</w:t>
      </w:r>
      <w:r>
        <w:t xml:space="preserve"> if they cannot be taken up into consciousness [that is, into the conceptual activity of understanding], whether they i</w:t>
      </w:r>
      <w:r>
        <w:t>n</w:t>
      </w:r>
      <w:r>
        <w:t>fluence it directly or indirectly, and through this alone is cognition possible.” (A116, my emphasis)</w:t>
      </w:r>
    </w:p>
  </w:footnote>
  <w:footnote w:id="30">
    <w:p w:rsidR="00086792" w:rsidRDefault="00086792">
      <w:pPr>
        <w:pStyle w:val="FootnoteText"/>
      </w:pPr>
      <w:r>
        <w:rPr>
          <w:rStyle w:val="FootnoteCharacters"/>
        </w:rPr>
        <w:footnoteRef/>
      </w:r>
      <w:r>
        <w:tab/>
        <w:t>Allais, “Non-conceptual Content,” p. 393.</w:t>
      </w:r>
    </w:p>
  </w:footnote>
  <w:footnote w:id="31">
    <w:p w:rsidR="00086792" w:rsidRDefault="00086792">
      <w:pPr>
        <w:pStyle w:val="FootnoteText"/>
      </w:pPr>
      <w:r>
        <w:rPr>
          <w:rStyle w:val="FootnoteCharacters"/>
        </w:rPr>
        <w:footnoteRef/>
      </w:r>
      <w:r>
        <w:tab/>
        <w:t xml:space="preserve">Falkenstein, </w:t>
      </w:r>
      <w:r>
        <w:rPr>
          <w:i/>
          <w:iCs/>
        </w:rPr>
        <w:t>Intuitionism</w:t>
      </w:r>
      <w:r>
        <w:t xml:space="preserve">, p. 18. This is a general point about </w:t>
      </w:r>
      <w:proofErr w:type="spellStart"/>
      <w:r>
        <w:t>Falkenstein’s</w:t>
      </w:r>
      <w:proofErr w:type="spellEnd"/>
      <w:r>
        <w:t xml:space="preserve"> treatment of Kantian definitions. On the specific definition of intuition, he prefers to consider it in terms of immediacy, rather than singularity, concluding that the latter criterion comes into conflict with fundamental Kantian beliefs. See </w:t>
      </w:r>
      <w:proofErr w:type="spellStart"/>
      <w:r>
        <w:t>Falkenstein</w:t>
      </w:r>
      <w:proofErr w:type="spellEnd"/>
      <w:r>
        <w:t xml:space="preserve">, </w:t>
      </w:r>
      <w:r>
        <w:rPr>
          <w:i/>
          <w:iCs/>
        </w:rPr>
        <w:t>Intuitio</w:t>
      </w:r>
      <w:r>
        <w:rPr>
          <w:i/>
          <w:iCs/>
        </w:rPr>
        <w:t>n</w:t>
      </w:r>
      <w:r>
        <w:rPr>
          <w:i/>
          <w:iCs/>
        </w:rPr>
        <w:t>ism</w:t>
      </w:r>
      <w:r>
        <w:t>, pp. 70-71.</w:t>
      </w:r>
    </w:p>
  </w:footnote>
  <w:footnote w:id="32">
    <w:p w:rsidR="00086792" w:rsidRDefault="00086792" w:rsidP="00E738FD">
      <w:pPr>
        <w:pStyle w:val="FootnoteText"/>
      </w:pPr>
      <w:r>
        <w:rPr>
          <w:rStyle w:val="FootnoteCharacters"/>
        </w:rPr>
        <w:footnoteRef/>
      </w:r>
      <w:r>
        <w:tab/>
        <w:t>For a more elaborate defense of this reading of Kant on the role of definitions in philosophy, see: Beck, L. W. (1956) “</w:t>
      </w:r>
      <w:r w:rsidRPr="009A5876">
        <w:t>Kant</w:t>
      </w:r>
      <w:r>
        <w:t>’</w:t>
      </w:r>
      <w:r w:rsidRPr="009A5876">
        <w:t>s Theory of Definition</w:t>
      </w:r>
      <w:r>
        <w:t xml:space="preserve">,” </w:t>
      </w:r>
      <w:r w:rsidRPr="00CE0483">
        <w:rPr>
          <w:i/>
        </w:rPr>
        <w:t>Philosophical Review</w:t>
      </w:r>
      <w:r w:rsidRPr="009A5876">
        <w:t>, 65</w:t>
      </w:r>
      <w:r>
        <w:t>, pp. 179-191; and Carson, E. (2006) “</w:t>
      </w:r>
      <w:r w:rsidRPr="009A5876">
        <w:t>Locke and Kant on Mathematical Knowledge</w:t>
      </w:r>
      <w:r>
        <w:t xml:space="preserve">,” in </w:t>
      </w:r>
      <w:r w:rsidRPr="00CE0483">
        <w:rPr>
          <w:i/>
        </w:rPr>
        <w:t>Intuition and the Axiomatic Method</w:t>
      </w:r>
      <w:r>
        <w:t>, eds. E. Carson and R. Huber (Dordrecht, Sprin</w:t>
      </w:r>
      <w:r>
        <w:t>g</w:t>
      </w:r>
      <w:r>
        <w:t xml:space="preserve">er), pp. </w:t>
      </w:r>
      <w:r w:rsidRPr="009A5876">
        <w:t>3-19.</w:t>
      </w:r>
      <w:r>
        <w:t xml:space="preserve"> Carson helpfully identifies some additional passages that support this reading: from his </w:t>
      </w:r>
      <w:r w:rsidRPr="00E41AA7">
        <w:rPr>
          <w:i/>
        </w:rPr>
        <w:t>Prize Essay</w:t>
      </w:r>
      <w:r>
        <w:t xml:space="preserve"> (in Kant, I. (1992) </w:t>
      </w:r>
      <w:r w:rsidRPr="001617AA">
        <w:rPr>
          <w:i/>
        </w:rPr>
        <w:t>Theoretical Philosophy 1755–1770</w:t>
      </w:r>
      <w:r>
        <w:t xml:space="preserve">, ed. D. </w:t>
      </w:r>
      <w:proofErr w:type="spellStart"/>
      <w:r>
        <w:t>Walford</w:t>
      </w:r>
      <w:proofErr w:type="spellEnd"/>
      <w:r>
        <w:t xml:space="preserve"> (Cambridge: Cambridge University Press), pp. 248-9 [</w:t>
      </w:r>
      <w:proofErr w:type="spellStart"/>
      <w:r>
        <w:t>Ak</w:t>
      </w:r>
      <w:proofErr w:type="spellEnd"/>
      <w:r>
        <w:t xml:space="preserve">. 2:276-7]); and from his logic lectures (for example, the </w:t>
      </w:r>
      <w:r w:rsidRPr="00CE0483">
        <w:rPr>
          <w:i/>
        </w:rPr>
        <w:t>Bloomberg</w:t>
      </w:r>
      <w:r w:rsidRPr="00CE5BEB">
        <w:t xml:space="preserve"> logic</w:t>
      </w:r>
      <w:r>
        <w:t xml:space="preserve">, in Kant, </w:t>
      </w:r>
      <w:r w:rsidRPr="00CE5BEB">
        <w:rPr>
          <w:i/>
        </w:rPr>
        <w:t>Le</w:t>
      </w:r>
      <w:r w:rsidRPr="00CE5BEB">
        <w:rPr>
          <w:i/>
        </w:rPr>
        <w:t>c</w:t>
      </w:r>
      <w:r w:rsidRPr="00CE5BEB">
        <w:rPr>
          <w:i/>
        </w:rPr>
        <w:t>tures on Logic</w:t>
      </w:r>
      <w:r>
        <w:t>, pp. 120-1 [</w:t>
      </w:r>
      <w:proofErr w:type="spellStart"/>
      <w:r>
        <w:t>Ak</w:t>
      </w:r>
      <w:proofErr w:type="spellEnd"/>
      <w:r>
        <w:t>. 24:153] ). An anonymous reviewer points out that Kant, in declaring his view on definitions, is respon</w:t>
      </w:r>
      <w:r>
        <w:t>d</w:t>
      </w:r>
      <w:r>
        <w:t>ing to philosophers in the Wolffian metaphysical tradition, who begin by defining the basic ontological categories. This is surely correct, but we should not conclude that Kant’s point about definitions is restricted to these fundame</w:t>
      </w:r>
      <w:r>
        <w:t>n</w:t>
      </w:r>
      <w:r>
        <w:t>tal concepts. Kant never limits his claim in this way, and the context of the above-cited passages shows that Kant is making a general point about the difference between philosophical and mathematical inquiry.</w:t>
      </w:r>
    </w:p>
  </w:footnote>
  <w:footnote w:id="33">
    <w:p w:rsidR="00086792" w:rsidRDefault="00086792">
      <w:pPr>
        <w:pStyle w:val="FootnoteText"/>
      </w:pPr>
      <w:r w:rsidRPr="001D669F">
        <w:rPr>
          <w:rStyle w:val="FootnoteCharacters"/>
        </w:rPr>
        <w:footnoteRef/>
      </w:r>
      <w:r>
        <w:t xml:space="preserve"> </w:t>
      </w:r>
      <w:r>
        <w:tab/>
      </w:r>
      <w:r w:rsidRPr="003F690F">
        <w:t xml:space="preserve">We find a similar developmental approach in Kant’s account, in the A-Deduction, of a threefold synthesis by which we cognize objects of experience. There Kant provides a successively deeper explanation of the kind of synthesis required to perceive objects. He begins by showing our need to collect together the manifold content of intuition—to </w:t>
      </w:r>
      <w:r w:rsidRPr="003F690F">
        <w:rPr>
          <w:i/>
        </w:rPr>
        <w:t>apprehend</w:t>
      </w:r>
      <w:r w:rsidRPr="003F690F">
        <w:t xml:space="preserve"> it. He then shows that our capacity to do this presupposes a synthesis of </w:t>
      </w:r>
      <w:r w:rsidRPr="003F690F">
        <w:rPr>
          <w:i/>
        </w:rPr>
        <w:t>reproduction</w:t>
      </w:r>
      <w:r w:rsidRPr="003F690F">
        <w:t>, by which we recall the temporally successive moments of perception. This synthesis, in turn, presupposes a sy</w:t>
      </w:r>
      <w:r w:rsidRPr="003F690F">
        <w:t>n</w:t>
      </w:r>
      <w:r w:rsidRPr="003F690F">
        <w:t xml:space="preserve">thesis of </w:t>
      </w:r>
      <w:r w:rsidRPr="003F690F">
        <w:rPr>
          <w:i/>
        </w:rPr>
        <w:t>recognition</w:t>
      </w:r>
      <w:r w:rsidRPr="003F690F">
        <w:t xml:space="preserve">, by which we see the reproduced and apprehended manifold as belonging together under the categories. Thus, what </w:t>
      </w:r>
      <w:r>
        <w:t xml:space="preserve">he </w:t>
      </w:r>
      <w:r w:rsidRPr="003F690F">
        <w:t xml:space="preserve">initially </w:t>
      </w:r>
      <w:r>
        <w:t xml:space="preserve">presents </w:t>
      </w:r>
      <w:r w:rsidRPr="003F690F">
        <w:t>as a simple act of collecting together a sensible manifold is gradually revealed to involve more complex intellectual capacities. It is by refining this account of synthesis that he reveals the necessary role of the categories in experience.</w:t>
      </w:r>
    </w:p>
  </w:footnote>
  <w:footnote w:id="34">
    <w:p w:rsidR="00086792" w:rsidRDefault="00086792" w:rsidP="00E067B5">
      <w:pPr>
        <w:pStyle w:val="FootnoteText"/>
      </w:pPr>
      <w:r w:rsidRPr="001D669F">
        <w:rPr>
          <w:rStyle w:val="FootnoteCharacters"/>
        </w:rPr>
        <w:footnoteRef/>
      </w:r>
      <w:r>
        <w:t xml:space="preserve"> </w:t>
      </w:r>
      <w:r>
        <w:tab/>
        <w:t>As Kant notes, Newtonian science “... would have remained forever undiscovered if Copernicus had not ve</w:t>
      </w:r>
      <w:r>
        <w:t>n</w:t>
      </w:r>
      <w:r>
        <w:t>tured, in a manner contradictory to the senses yet true, to seek for the observed movements not in the objects of the heavens but in their observer.” (</w:t>
      </w:r>
      <w:proofErr w:type="spellStart"/>
      <w:r>
        <w:t>Bxxii</w:t>
      </w:r>
      <w:proofErr w:type="spellEnd"/>
      <w:r>
        <w:t xml:space="preserve"> n.) Kant frequently expresses his concern that readers will find his views strange and counter-intuitive. For example, he writes: “</w:t>
      </w:r>
      <w:r w:rsidRPr="00E067B5">
        <w:t>That nature should direct itself according to our subjective ground of a</w:t>
      </w:r>
      <w:r w:rsidRPr="00E067B5">
        <w:t>p</w:t>
      </w:r>
      <w:r w:rsidRPr="00E067B5">
        <w:t>perception, indeed in regard to its lawfulness even depend on this, may well sound quite contradictory and strange.</w:t>
      </w:r>
      <w:r>
        <w:t>”</w:t>
      </w:r>
      <w:r w:rsidRPr="00E067B5">
        <w:t xml:space="preserve"> (A113-14)</w:t>
      </w:r>
      <w:r>
        <w:t xml:space="preserve"> I examine passages such as this one (and his attempt to resolve these anticipated concerns) in </w:t>
      </w:r>
      <w:r w:rsidRPr="001C4EBF">
        <w:t>B</w:t>
      </w:r>
      <w:r>
        <w:t>auer, N. (2010) “</w:t>
      </w:r>
      <w:r w:rsidRPr="001C4EBF">
        <w:t>Kant’s Subjective Deduction</w:t>
      </w:r>
      <w:r>
        <w:t>,</w:t>
      </w:r>
      <w:r w:rsidRPr="001C4EBF">
        <w:t>”</w:t>
      </w:r>
      <w:r>
        <w:t xml:space="preserve"> </w:t>
      </w:r>
      <w:r w:rsidRPr="001C4EBF">
        <w:rPr>
          <w:i/>
        </w:rPr>
        <w:t>British Journal for the History of Philo</w:t>
      </w:r>
      <w:r w:rsidRPr="001C4EBF">
        <w:rPr>
          <w:i/>
        </w:rPr>
        <w:t>s</w:t>
      </w:r>
      <w:r w:rsidRPr="001C4EBF">
        <w:rPr>
          <w:i/>
        </w:rPr>
        <w:t>ophy</w:t>
      </w:r>
      <w:r>
        <w:t>, 18(3), pp. 433-460.</w:t>
      </w:r>
    </w:p>
  </w:footnote>
  <w:footnote w:id="35">
    <w:p w:rsidR="00086792" w:rsidRDefault="00086792" w:rsidP="001C5385">
      <w:pPr>
        <w:pStyle w:val="FootnoteText"/>
      </w:pPr>
      <w:r w:rsidRPr="001C5385">
        <w:rPr>
          <w:rStyle w:val="FootnoteCharacters"/>
        </w:rPr>
        <w:footnoteRef/>
      </w:r>
      <w:r w:rsidRPr="001C5385">
        <w:t xml:space="preserve"> </w:t>
      </w:r>
      <w:r>
        <w:tab/>
        <w:t>We find additional evidence for the claim that Kant is relying upon a developmental method in his correspon</w:t>
      </w:r>
      <w:r>
        <w:t>d</w:t>
      </w:r>
      <w:r>
        <w:t xml:space="preserve">ence with a former student, </w:t>
      </w:r>
      <w:proofErr w:type="spellStart"/>
      <w:r>
        <w:t>Jakob</w:t>
      </w:r>
      <w:proofErr w:type="spellEnd"/>
      <w:r>
        <w:t xml:space="preserve"> Sigismund Beck, who wrote an influential three-volume exposition of the critical ph</w:t>
      </w:r>
      <w:r>
        <w:t>i</w:t>
      </w:r>
      <w:r>
        <w:t>losophy in the 1790s. Beck may have been the first person to comment upon Kant’s developmental approach. In a letter to Kant he writes:</w:t>
      </w:r>
    </w:p>
    <w:p w:rsidR="00086792" w:rsidRDefault="00086792" w:rsidP="00911B5D">
      <w:pPr>
        <w:pStyle w:val="Paper-Footnote-BlockQuote"/>
      </w:pPr>
      <w:r>
        <w:t xml:space="preserve">In your </w:t>
      </w:r>
      <w:r w:rsidRPr="00E73BDF">
        <w:rPr>
          <w:i/>
        </w:rPr>
        <w:t>Critique of Pure Reason</w:t>
      </w:r>
      <w:r>
        <w:t xml:space="preserve"> you lead your reader gradually to the highest point of the transcendental philosophy, viz., to the synthetic unity.... I say that one can only have a full understanding of all these things, and even of the discursive concept ‘possibility of experience’ itself, when one has fully mastered this standpoint.... Your </w:t>
      </w:r>
      <w:r w:rsidRPr="00E73BDF">
        <w:rPr>
          <w:i/>
        </w:rPr>
        <w:t>Critique</w:t>
      </w:r>
      <w:r>
        <w:t>, however, leads your reader only gradually, as I say, to this standpoint, and thus, according to its method, it cannot clear up the matter right at the beginning ...</w:t>
      </w:r>
    </w:p>
    <w:p w:rsidR="00086792" w:rsidRPr="00E73BDF" w:rsidRDefault="00086792" w:rsidP="00C91A67">
      <w:pPr>
        <w:pStyle w:val="Paper-Footnote-AfterBlockQuote"/>
      </w:pPr>
      <w:r>
        <w:t>(</w:t>
      </w:r>
      <w:r w:rsidRPr="00E73BDF">
        <w:t>Letter from Beck to Kant dated June 17, 1794 in Kant,</w:t>
      </w:r>
      <w:r>
        <w:t xml:space="preserve"> I. (1999)</w:t>
      </w:r>
      <w:r w:rsidRPr="00E73BDF">
        <w:t xml:space="preserve"> </w:t>
      </w:r>
      <w:r w:rsidRPr="00E73BDF">
        <w:rPr>
          <w:i/>
        </w:rPr>
        <w:t>Correspondence</w:t>
      </w:r>
      <w:r w:rsidRPr="00E73BDF">
        <w:t xml:space="preserve">, </w:t>
      </w:r>
      <w:r>
        <w:t xml:space="preserve">pp. </w:t>
      </w:r>
      <w:r w:rsidRPr="00E73BDF">
        <w:t>479-81 [</w:t>
      </w:r>
      <w:proofErr w:type="spellStart"/>
      <w:r w:rsidRPr="00E73BDF">
        <w:t>Ak</w:t>
      </w:r>
      <w:proofErr w:type="spellEnd"/>
      <w:r w:rsidRPr="00E73BDF">
        <w:t>.</w:t>
      </w:r>
      <w:r>
        <w:t xml:space="preserve"> </w:t>
      </w:r>
      <w:r w:rsidRPr="00E73BDF">
        <w:t>11:509-10]. See also his letter dated May 31, 1792 (</w:t>
      </w:r>
      <w:r>
        <w:t xml:space="preserve">p. </w:t>
      </w:r>
      <w:r w:rsidRPr="00E73BDF">
        <w:t>414 [</w:t>
      </w:r>
      <w:proofErr w:type="spellStart"/>
      <w:r w:rsidRPr="00E73BDF">
        <w:t>Ak</w:t>
      </w:r>
      <w:proofErr w:type="spellEnd"/>
      <w:r w:rsidRPr="00E73BDF">
        <w:t>.</w:t>
      </w:r>
      <w:r>
        <w:t xml:space="preserve"> </w:t>
      </w:r>
      <w:r w:rsidRPr="00E73BDF">
        <w:t>11:338]).</w:t>
      </w:r>
      <w:r>
        <w:t>)</w:t>
      </w:r>
    </w:p>
    <w:p w:rsidR="00086792" w:rsidRDefault="00086792" w:rsidP="00911B5D">
      <w:pPr>
        <w:pStyle w:val="Paper-Footnote-AfterBlockQuote"/>
      </w:pPr>
      <w:r>
        <w:t xml:space="preserve">Beck himself was dissatisfied with this developmental method, and his later attempt to reformulate Kant’s position by means of a </w:t>
      </w:r>
      <w:proofErr w:type="spellStart"/>
      <w:r>
        <w:t>nondevelopmental</w:t>
      </w:r>
      <w:proofErr w:type="spellEnd"/>
      <w:r>
        <w:t xml:space="preserve"> method would ultimately drive the two friends apart. At this time, however, Kant endorsed Beck’s reading of his work and accepted this developmental characterization. (See, for example, Kant’s letters to Beck dated December 4, 1792 (Kant, </w:t>
      </w:r>
      <w:r w:rsidRPr="00E73BDF">
        <w:rPr>
          <w:i/>
        </w:rPr>
        <w:t>Correspondence</w:t>
      </w:r>
      <w:r>
        <w:t>, p. 445 [</w:t>
      </w:r>
      <w:proofErr w:type="spellStart"/>
      <w:r>
        <w:t>Ak</w:t>
      </w:r>
      <w:proofErr w:type="spellEnd"/>
      <w:r>
        <w:t>. 11:395]) and July 1, 1794 (pp. 481-3 [</w:t>
      </w:r>
      <w:proofErr w:type="spellStart"/>
      <w:r>
        <w:t>Ak</w:t>
      </w:r>
      <w:proofErr w:type="spellEnd"/>
      <w:r>
        <w:t>. 11:514-15]). Beck’s work on Kant has been unduly neglected. His reading of the critical philosophy is very i</w:t>
      </w:r>
      <w:r>
        <w:t>l</w:t>
      </w:r>
      <w:r>
        <w:t>luminating, as is Kant’s evolving reaction to it. I hope to pursue this topic elsewhere.</w:t>
      </w:r>
    </w:p>
  </w:footnote>
  <w:footnote w:id="36">
    <w:p w:rsidR="00086792" w:rsidRDefault="00086792" w:rsidP="000E625E">
      <w:pPr>
        <w:pStyle w:val="FootnoteText"/>
      </w:pPr>
      <w:r w:rsidRPr="001C5385">
        <w:rPr>
          <w:rStyle w:val="FootnoteCharacters"/>
        </w:rPr>
        <w:footnoteRef/>
      </w:r>
      <w:r w:rsidRPr="001C5385">
        <w:t xml:space="preserve"> </w:t>
      </w:r>
      <w:r>
        <w:tab/>
        <w:t>The developmental aspect of Kant’s method has not received sufficient attention in these debates. One si</w:t>
      </w:r>
      <w:r>
        <w:t>g</w:t>
      </w:r>
      <w:r>
        <w:t>nificant exception is H. J. Paton, who writes:</w:t>
      </w:r>
    </w:p>
    <w:p w:rsidR="00086792" w:rsidRPr="000E625E" w:rsidRDefault="00086792" w:rsidP="000E625E">
      <w:pPr>
        <w:pStyle w:val="Paper-Footnote-BlockQuote"/>
      </w:pPr>
      <w:r>
        <w:t xml:space="preserve">There is hardly a breath of the work of understanding in the Aesthetic; and Kant, I believe, expects his readers to remember, through a long and complicated argument, that everything is in a sense provisional and is to be reinterpreted in the light of what comes later. I think that a hint or two to that effect would have been a help ... (Paton, H. J. (1936) </w:t>
      </w:r>
      <w:r w:rsidRPr="000E625E">
        <w:rPr>
          <w:i/>
        </w:rPr>
        <w:t>Kant’s Metaphysic of Exper</w:t>
      </w:r>
      <w:r w:rsidRPr="000E625E">
        <w:rPr>
          <w:i/>
        </w:rPr>
        <w:t>i</w:t>
      </w:r>
      <w:r w:rsidRPr="000E625E">
        <w:rPr>
          <w:i/>
        </w:rPr>
        <w:t xml:space="preserve">ence: A Commentary on the First Half of the </w:t>
      </w:r>
      <w:proofErr w:type="spellStart"/>
      <w:r w:rsidRPr="000E625E">
        <w:rPr>
          <w:i/>
        </w:rPr>
        <w:t>Kritik</w:t>
      </w:r>
      <w:proofErr w:type="spellEnd"/>
      <w:r w:rsidRPr="000E625E">
        <w:rPr>
          <w:i/>
        </w:rPr>
        <w:t xml:space="preserve"> der </w:t>
      </w:r>
      <w:proofErr w:type="spellStart"/>
      <w:r w:rsidRPr="000E625E">
        <w:rPr>
          <w:i/>
        </w:rPr>
        <w:t>reinen</w:t>
      </w:r>
      <w:proofErr w:type="spellEnd"/>
      <w:r w:rsidRPr="000E625E">
        <w:rPr>
          <w:i/>
        </w:rPr>
        <w:t xml:space="preserve"> </w:t>
      </w:r>
      <w:proofErr w:type="spellStart"/>
      <w:r w:rsidRPr="000E625E">
        <w:rPr>
          <w:i/>
        </w:rPr>
        <w:t>Vernunft</w:t>
      </w:r>
      <w:proofErr w:type="spellEnd"/>
      <w:r>
        <w:t xml:space="preserve"> (London: Macmillan), vol. I, pp. 52-3).</w:t>
      </w:r>
    </w:p>
    <w:p w:rsidR="00086792" w:rsidRDefault="00086792" w:rsidP="004D27A2">
      <w:pPr>
        <w:pStyle w:val="Paper-Footnote-AfterBlockQuote"/>
      </w:pPr>
      <w:r>
        <w:t>On the last point, I have tried to show that Kant does provide a number of hints regarding his method, although I agree that a more direct statement of his intentions would have been helpful.</w:t>
      </w:r>
    </w:p>
  </w:footnote>
  <w:footnote w:id="37">
    <w:p w:rsidR="00086792" w:rsidRDefault="00086792">
      <w:pPr>
        <w:pStyle w:val="FootnoteText"/>
      </w:pPr>
      <w:r>
        <w:rPr>
          <w:rStyle w:val="FootnoteCharacters"/>
        </w:rPr>
        <w:footnoteRef/>
      </w:r>
      <w:r>
        <w:tab/>
        <w:t>Kant is clear about the close connection between concepts and judgments, referring to the former as “... pred</w:t>
      </w:r>
      <w:r>
        <w:t>i</w:t>
      </w:r>
      <w:r>
        <w:t>cates of possible judgments ...” (A69/B94) and stating that “... the understanding can make no other use of these concepts than that of judging by means of them.” (A68/B93)</w:t>
      </w:r>
    </w:p>
  </w:footnote>
  <w:footnote w:id="38">
    <w:p w:rsidR="00086792" w:rsidRDefault="00086792">
      <w:pPr>
        <w:pStyle w:val="FootnoteText"/>
      </w:pPr>
      <w:r w:rsidRPr="001C5385">
        <w:rPr>
          <w:rStyle w:val="FootnoteCharacters"/>
        </w:rPr>
        <w:footnoteRef/>
      </w:r>
      <w:r>
        <w:tab/>
        <w:t>Both the Aesthetic, which examines our faculty of sensibility, and the Analytic, which examines understanding, begin by positing this basic distinction between the two faculties. For the Analytic, see A50/B74.</w:t>
      </w:r>
    </w:p>
  </w:footnote>
  <w:footnote w:id="39">
    <w:p w:rsidR="00086792" w:rsidRDefault="00086792">
      <w:pPr>
        <w:pStyle w:val="FootnoteText"/>
      </w:pPr>
      <w:r w:rsidRPr="001C5385">
        <w:rPr>
          <w:rStyle w:val="FootnoteCharacters"/>
        </w:rPr>
        <w:footnoteRef/>
      </w:r>
      <w:r w:rsidRPr="001C5385">
        <w:t xml:space="preserve"> </w:t>
      </w:r>
      <w:r>
        <w:tab/>
        <w:t>Kant makes a parallel argument for the temporal form of our inner sensibility. I lack both the space and time to e</w:t>
      </w:r>
      <w:r>
        <w:t>x</w:t>
      </w:r>
      <w:r>
        <w:t>plore the details of Kant’s arguments in the Aesthetic.</w:t>
      </w:r>
    </w:p>
  </w:footnote>
  <w:footnote w:id="40">
    <w:p w:rsidR="00086792" w:rsidRDefault="00086792" w:rsidP="001F7A72">
      <w:pPr>
        <w:pStyle w:val="FootnoteText"/>
      </w:pPr>
      <w:r w:rsidRPr="001C5385">
        <w:rPr>
          <w:rStyle w:val="FootnoteCharacters"/>
        </w:rPr>
        <w:footnoteRef/>
      </w:r>
      <w:r w:rsidRPr="001C5385">
        <w:t xml:space="preserve"> </w:t>
      </w:r>
      <w:r>
        <w:tab/>
        <w:t>Kant initially presents his list of categories in the metaphysical deduction (A76/B102), but there is some debate as to whether he defends the status of these particular categories as forms of thought here. The uncertainty is a result of the structure of Kant’s argument in the Analytic, which is much more complicated than the correspon</w:t>
      </w:r>
      <w:r>
        <w:t>d</w:t>
      </w:r>
      <w:r>
        <w:t>ing argument in the Aesthetic. In the Analytic, Kant proves the validity of categories in general in the Transce</w:t>
      </w:r>
      <w:r>
        <w:t>n</w:t>
      </w:r>
      <w:r>
        <w:t>dental Deduction, without arguing for specific categories. Before and after the Deduction, Kant makes the case for his twelve specific categories, but the relation between the pre and post-Deduction passages is contested. It is my view that the Met</w:t>
      </w:r>
      <w:r>
        <w:t>a</w:t>
      </w:r>
      <w:r>
        <w:t>physical Deduction, which precedes the Transcendental Deduction proper, simply offers a clue to identifying the twelve categories, inferring them from the forms of judgment used in general logic. It is only afterward, in the Pri</w:t>
      </w:r>
      <w:r>
        <w:t>n</w:t>
      </w:r>
      <w:r>
        <w:t>ciples, that Kant follows up on this clue, with the generalized results of the Transce</w:t>
      </w:r>
      <w:r>
        <w:t>n</w:t>
      </w:r>
      <w:r>
        <w:t>dental Deduction now in place, to defend the validity of each individual category. But one’s position on the relation between these three stages in Kant’s defense of understanding should not affect the point I am making here about the general aim of the Analytic.</w:t>
      </w:r>
    </w:p>
  </w:footnote>
  <w:footnote w:id="41">
    <w:p w:rsidR="00086792" w:rsidRDefault="00086792">
      <w:pPr>
        <w:pStyle w:val="FootnoteText"/>
      </w:pPr>
      <w:r>
        <w:rPr>
          <w:rStyle w:val="FootnoteCharacters"/>
        </w:rPr>
        <w:footnoteRef/>
      </w:r>
      <w:r>
        <w:tab/>
        <w:t>Commentators often overstate the differences between the two Deductions. As I have argued elsewhere, both ve</w:t>
      </w:r>
      <w:r>
        <w:t>r</w:t>
      </w:r>
      <w:r>
        <w:t>sions establish the necessity of a connection between our sensible and intellectual faculties. The A-Deduction, ho</w:t>
      </w:r>
      <w:r>
        <w:t>w</w:t>
      </w:r>
      <w:r>
        <w:t>ever, offers only an indirect defense of how this connection is possible, one that involves undermining the competing positions that either faculty can produce cognitions on its own. By contrast, the B-Deduction provides a fuller, pos</w:t>
      </w:r>
      <w:r>
        <w:t>i</w:t>
      </w:r>
      <w:r>
        <w:t xml:space="preserve">tive account of the relation between sensibility and understanding. In doing so, it better explains their fundamental connection. I discuss the argument of the A-Deduction in detail in </w:t>
      </w:r>
      <w:r w:rsidRPr="001C4EBF">
        <w:t>B</w:t>
      </w:r>
      <w:r>
        <w:t>auer, “</w:t>
      </w:r>
      <w:r w:rsidRPr="001C4EBF">
        <w:t>Kant’s Subjective Deduction</w:t>
      </w:r>
      <w:r>
        <w:t>,</w:t>
      </w:r>
      <w:r w:rsidRPr="001C4EBF">
        <w:t>”</w:t>
      </w:r>
      <w:r>
        <w:t xml:space="preserve"> and I e</w:t>
      </w:r>
      <w:r>
        <w:t>x</w:t>
      </w:r>
      <w:r>
        <w:t xml:space="preserve">amine the relationship between the A and B-Deductions in chapters five and six of Bauer, N. (2008) </w:t>
      </w:r>
      <w:r w:rsidRPr="005E54D0">
        <w:rPr>
          <w:i/>
        </w:rPr>
        <w:t>Kant’s Tra</w:t>
      </w:r>
      <w:r w:rsidRPr="005E54D0">
        <w:rPr>
          <w:i/>
        </w:rPr>
        <w:t>n</w:t>
      </w:r>
      <w:r w:rsidRPr="005E54D0">
        <w:rPr>
          <w:i/>
        </w:rPr>
        <w:t>scendental Deductions of the Categories</w:t>
      </w:r>
      <w:r>
        <w:t xml:space="preserve"> (dissertation, University of Chicago).</w:t>
      </w:r>
    </w:p>
  </w:footnote>
  <w:footnote w:id="42">
    <w:p w:rsidR="00086792" w:rsidRDefault="00086792">
      <w:pPr>
        <w:pStyle w:val="FootnoteText"/>
      </w:pPr>
      <w:r w:rsidRPr="001C5385">
        <w:rPr>
          <w:rStyle w:val="FootnoteCharacters"/>
        </w:rPr>
        <w:footnoteRef/>
      </w:r>
      <w:r w:rsidRPr="001C5385">
        <w:t xml:space="preserve"> </w:t>
      </w:r>
      <w:r>
        <w:tab/>
        <w:t>In doing so, I am drawing on the work of Dieter Henrich, although his reading of how intuitional unity fi</w:t>
      </w:r>
      <w:r>
        <w:t>g</w:t>
      </w:r>
      <w:r>
        <w:t xml:space="preserve">ures in the argument of the B-Deduction is quite different from mine. See Henrich, D. (1969) </w:t>
      </w:r>
      <w:r w:rsidRPr="00A65E55">
        <w:t>“The Proof-Structure of Kant's Transcendental Deduction,”</w:t>
      </w:r>
      <w:r>
        <w:t xml:space="preserve"> </w:t>
      </w:r>
      <w:r w:rsidRPr="00A65E55">
        <w:rPr>
          <w:i/>
        </w:rPr>
        <w:t>The Review of Metaphysics</w:t>
      </w:r>
      <w:r>
        <w:t xml:space="preserve">, </w:t>
      </w:r>
      <w:r w:rsidRPr="00A65E55">
        <w:t>22</w:t>
      </w:r>
      <w:r>
        <w:t xml:space="preserve">(4), pp. </w:t>
      </w:r>
      <w:r w:rsidRPr="00A65E55">
        <w:t>640-659.</w:t>
      </w:r>
    </w:p>
  </w:footnote>
  <w:footnote w:id="43">
    <w:p w:rsidR="00086792" w:rsidRDefault="00086792">
      <w:pPr>
        <w:pStyle w:val="FootnoteText"/>
      </w:pPr>
      <w:r w:rsidRPr="001C5385">
        <w:rPr>
          <w:rStyle w:val="FootnoteCharacters"/>
        </w:rPr>
        <w:footnoteRef/>
      </w:r>
      <w:r w:rsidRPr="001C5385">
        <w:t xml:space="preserve"> </w:t>
      </w:r>
      <w:r>
        <w:tab/>
        <w:t xml:space="preserve">I believe that this distinction, between showing that the categories must be the source of intuitional unity and then explaining how they can be this source, is the basis for Kant’s division of the argument of the B-Deduction into two steps. I discuss this point, in relation to </w:t>
      </w:r>
      <w:proofErr w:type="spellStart"/>
      <w:r>
        <w:t>Henrich’s</w:t>
      </w:r>
      <w:proofErr w:type="spellEnd"/>
      <w:r>
        <w:t xml:space="preserve"> influential discussion of the two-steps-in-one-proof puzzle (He</w:t>
      </w:r>
      <w:r>
        <w:t>n</w:t>
      </w:r>
      <w:r>
        <w:t xml:space="preserve">rich, “Proof-Structure”), in chapter seven of Bauer, </w:t>
      </w:r>
      <w:r w:rsidRPr="005E54D0">
        <w:rPr>
          <w:i/>
        </w:rPr>
        <w:t>Kant’s Transcendental Deductions</w:t>
      </w:r>
      <w:r w:rsidRPr="005E54D0">
        <w:t>.</w:t>
      </w:r>
    </w:p>
  </w:footnote>
  <w:footnote w:id="44">
    <w:p w:rsidR="00086792" w:rsidRPr="00AB0810" w:rsidRDefault="00086792" w:rsidP="00AB0810">
      <w:pPr>
        <w:pStyle w:val="FootnoteText"/>
      </w:pPr>
      <w:r w:rsidRPr="00AB0810">
        <w:rPr>
          <w:rStyle w:val="FootnoteReference"/>
          <w:vertAlign w:val="baseline"/>
        </w:rPr>
        <w:footnoteRef/>
      </w:r>
      <w:r w:rsidRPr="00AB0810">
        <w:t xml:space="preserve"> </w:t>
      </w:r>
      <w:r>
        <w:tab/>
        <w:t>See Kant’s footnote in §26 of the B-Deduction. There he acknowledges the work left unfinished in his earlier discu</w:t>
      </w:r>
      <w:r>
        <w:t>s</w:t>
      </w:r>
      <w:r>
        <w:t>sion of intuition, stating that “In the Aesthetic I ascribed this unity merely to sensibility, only in order to note that it precedes all concepts, thought  to be sure it presupposes a synthesis, which does not belong to the senses ...” (B160). This is a notoriously obscure note, but it is at least evident that Kant is refining his earlier account of intuitional un</w:t>
      </w:r>
      <w:r>
        <w:t>i</w:t>
      </w:r>
      <w:r>
        <w:t>ty.</w:t>
      </w:r>
    </w:p>
  </w:footnote>
  <w:footnote w:id="45">
    <w:p w:rsidR="00086792" w:rsidRDefault="00086792" w:rsidP="008F5CD5">
      <w:pPr>
        <w:pStyle w:val="FootnoteText"/>
      </w:pPr>
      <w:r>
        <w:rPr>
          <w:rStyle w:val="FootnoteCharacters"/>
        </w:rPr>
        <w:footnoteRef/>
      </w:r>
      <w:r>
        <w:tab/>
        <w:t>Defenders of the nonconceptualist reading claim that space and time, as forms of intuition, are sources of a unity that allows us to individuate objects independently of concepts. But Kant is quite clear in the passage quoted above, and elsewhere, that this sort of unity can be found only in the categories of understanding.</w:t>
      </w:r>
    </w:p>
  </w:footnote>
  <w:footnote w:id="46">
    <w:p w:rsidR="00086792" w:rsidRDefault="00086792">
      <w:pPr>
        <w:pStyle w:val="FootnoteText"/>
      </w:pPr>
      <w:r w:rsidRPr="001C5385">
        <w:rPr>
          <w:rStyle w:val="FootnoteCharacters"/>
        </w:rPr>
        <w:footnoteRef/>
      </w:r>
      <w:r w:rsidRPr="001C5385">
        <w:t xml:space="preserve"> </w:t>
      </w:r>
      <w:r>
        <w:tab/>
        <w:t xml:space="preserve">One way of putting this would be to say that, for rational beings, space has a </w:t>
      </w:r>
      <w:r w:rsidRPr="009A6BDC">
        <w:rPr>
          <w:i/>
        </w:rPr>
        <w:t>geometric</w:t>
      </w:r>
      <w:r>
        <w:t xml:space="preserve"> structure: it is systemat</w:t>
      </w:r>
      <w:r>
        <w:t>i</w:t>
      </w:r>
      <w:r>
        <w:t>cally arranged to form a unified whole. (This, I suggest, is precisely why rational beings are confronted by the mathemat</w:t>
      </w:r>
      <w:r>
        <w:t>i</w:t>
      </w:r>
      <w:r>
        <w:t>cal antinomies concerning space and time. See A426-43/B454-71.)</w:t>
      </w:r>
    </w:p>
  </w:footnote>
  <w:footnote w:id="47">
    <w:p w:rsidR="00086792" w:rsidRDefault="00086792">
      <w:pPr>
        <w:pStyle w:val="FootnoteText"/>
      </w:pPr>
      <w:r>
        <w:rPr>
          <w:rStyle w:val="FootnoteCharacters"/>
        </w:rPr>
        <w:footnoteRef/>
      </w:r>
      <w:r>
        <w:tab/>
        <w:t xml:space="preserve">Kant, I. (2002) </w:t>
      </w:r>
      <w:r w:rsidRPr="00D64876">
        <w:rPr>
          <w:i/>
        </w:rPr>
        <w:t>Theoretical Philosophy after 1781</w:t>
      </w:r>
      <w:r w:rsidRPr="00D64876">
        <w:t>, eds. H</w:t>
      </w:r>
      <w:r>
        <w:t xml:space="preserve">. </w:t>
      </w:r>
      <w:r w:rsidRPr="00D64876">
        <w:t>Allison and P</w:t>
      </w:r>
      <w:r>
        <w:t xml:space="preserve">. </w:t>
      </w:r>
      <w:r w:rsidRPr="00D64876">
        <w:t>Heath (Cambridge: Cambridge Unive</w:t>
      </w:r>
      <w:r w:rsidRPr="00D64876">
        <w:t>r</w:t>
      </w:r>
      <w:r w:rsidRPr="00D64876">
        <w:t>sity Press</w:t>
      </w:r>
      <w:r>
        <w:t>)</w:t>
      </w:r>
      <w:r w:rsidRPr="00D64876">
        <w:t xml:space="preserve">, </w:t>
      </w:r>
      <w:r>
        <w:t>p.</w:t>
      </w:r>
      <w:r w:rsidRPr="00D64876">
        <w:t xml:space="preserve"> </w:t>
      </w:r>
      <w:r>
        <w:t>406 [</w:t>
      </w:r>
      <w:proofErr w:type="spellStart"/>
      <w:r>
        <w:t>Ak</w:t>
      </w:r>
      <w:proofErr w:type="spellEnd"/>
      <w:r>
        <w:t>. 20:325] (my emphasis).</w:t>
      </w:r>
    </w:p>
  </w:footnote>
  <w:footnote w:id="48">
    <w:p w:rsidR="00086792" w:rsidRDefault="00086792" w:rsidP="009831EA">
      <w:pPr>
        <w:pStyle w:val="FootnoteText"/>
      </w:pPr>
      <w:r>
        <w:rPr>
          <w:rStyle w:val="FootnoteCharacters"/>
        </w:rPr>
        <w:footnoteRef/>
      </w:r>
      <w:r>
        <w:tab/>
        <w:t xml:space="preserve">For a more elaborate defense of this point, see McDowell, </w:t>
      </w:r>
      <w:r w:rsidRPr="005357DE">
        <w:t>“Having the World in View</w:t>
      </w:r>
      <w:r>
        <w:t>,</w:t>
      </w:r>
      <w:r w:rsidRPr="005357DE">
        <w:t>”</w:t>
      </w:r>
      <w:r>
        <w:t xml:space="preserve"> pp. 457-8 &amp; 438-41. McDowell argues that we can see conceptual capacities being at work in both intuition and judgment, while still di</w:t>
      </w:r>
      <w:r>
        <w:t>s</w:t>
      </w:r>
      <w:r>
        <w:t>tinguishing the passive employment of conceptual powers in intuition from the free or spontaneous employment of these powers in acts of judgment.</w:t>
      </w:r>
    </w:p>
  </w:footnote>
  <w:footnote w:id="49">
    <w:p w:rsidR="00086792" w:rsidRDefault="00086792">
      <w:pPr>
        <w:pStyle w:val="FootnoteText"/>
      </w:pPr>
      <w:r w:rsidRPr="001C5385">
        <w:rPr>
          <w:rStyle w:val="FootnoteCharacters"/>
        </w:rPr>
        <w:footnoteRef/>
      </w:r>
      <w:r w:rsidRPr="001C5385">
        <w:rPr>
          <w:rStyle w:val="FootnoteCharacters"/>
        </w:rPr>
        <w:t xml:space="preserve"> </w:t>
      </w:r>
      <w:r>
        <w:tab/>
        <w:t xml:space="preserve">Borrowing a metaphor from Wittgenstein, we could say that Kant would </w:t>
      </w:r>
      <w:r w:rsidRPr="00D345CC">
        <w:rPr>
          <w:i/>
        </w:rPr>
        <w:t>not</w:t>
      </w:r>
      <w:r>
        <w:t xml:space="preserve"> have us throw away the ladder once we have climbed up it. Nonetheless, we do acquire greater insight concerning the lower rungs from our new perch. See </w:t>
      </w:r>
      <w:r w:rsidRPr="00612CA9">
        <w:t>Wittgenstein,</w:t>
      </w:r>
      <w:r>
        <w:t xml:space="preserve"> L. (1974)</w:t>
      </w:r>
      <w:r w:rsidRPr="00612CA9">
        <w:t xml:space="preserve"> </w:t>
      </w:r>
      <w:proofErr w:type="spellStart"/>
      <w:r w:rsidRPr="00612CA9">
        <w:rPr>
          <w:i/>
        </w:rPr>
        <w:t>Tractatus</w:t>
      </w:r>
      <w:proofErr w:type="spellEnd"/>
      <w:r w:rsidRPr="00612CA9">
        <w:rPr>
          <w:i/>
        </w:rPr>
        <w:t xml:space="preserve"> </w:t>
      </w:r>
      <w:proofErr w:type="spellStart"/>
      <w:r w:rsidRPr="00612CA9">
        <w:rPr>
          <w:i/>
        </w:rPr>
        <w:t>Logico-Philosophicus</w:t>
      </w:r>
      <w:proofErr w:type="spellEnd"/>
      <w:r w:rsidRPr="00612CA9">
        <w:t xml:space="preserve">, trans. D. F. Pears and B. F. </w:t>
      </w:r>
      <w:proofErr w:type="spellStart"/>
      <w:r w:rsidRPr="00612CA9">
        <w:t>McGuinness</w:t>
      </w:r>
      <w:proofErr w:type="spellEnd"/>
      <w:r w:rsidRPr="00612CA9">
        <w:t xml:space="preserve"> (New York: </w:t>
      </w:r>
      <w:proofErr w:type="spellStart"/>
      <w:r w:rsidRPr="00612CA9">
        <w:t>Routledge</w:t>
      </w:r>
      <w:proofErr w:type="spellEnd"/>
      <w:r w:rsidRPr="00612CA9">
        <w:t xml:space="preserve">), §6.54, </w:t>
      </w:r>
      <w:r>
        <w:t xml:space="preserve">p. </w:t>
      </w:r>
      <w:r w:rsidRPr="00612CA9">
        <w:t>74.</w:t>
      </w:r>
    </w:p>
  </w:footnote>
  <w:footnote w:id="50">
    <w:p w:rsidR="00086792" w:rsidRDefault="00086792">
      <w:pPr>
        <w:pStyle w:val="FootnoteText"/>
      </w:pPr>
      <w:r w:rsidRPr="00046825">
        <w:rPr>
          <w:rStyle w:val="CommentTextChar"/>
        </w:rPr>
        <w:footnoteRef/>
      </w:r>
      <w:r w:rsidRPr="00046825">
        <w:rPr>
          <w:rStyle w:val="CommentTextChar"/>
        </w:rPr>
        <w:t xml:space="preserve"> </w:t>
      </w:r>
      <w:r w:rsidRPr="00046825">
        <w:rPr>
          <w:rStyle w:val="CommentTextChar"/>
        </w:rPr>
        <w:tab/>
      </w:r>
      <w:r>
        <w:t>This might be a useful way of understanding Kant’s obscure point in the previously mentioned note at B160 of the B-Deduction. Confirming this, however, is likely beyond my cognitive powers.</w:t>
      </w:r>
    </w:p>
  </w:footnote>
  <w:footnote w:id="51">
    <w:p w:rsidR="00086792" w:rsidRDefault="00086792">
      <w:pPr>
        <w:pStyle w:val="FootnoteText"/>
      </w:pPr>
      <w:r>
        <w:rPr>
          <w:rStyle w:val="FootnoteCharacters"/>
        </w:rPr>
        <w:footnoteRef/>
      </w:r>
      <w:r>
        <w:tab/>
      </w:r>
      <w:r w:rsidRPr="00302A7B">
        <w:t xml:space="preserve">Sellars, </w:t>
      </w:r>
      <w:r w:rsidRPr="00302A7B">
        <w:rPr>
          <w:i/>
        </w:rPr>
        <w:t>Empiricism and the Philosophy of Mind</w:t>
      </w:r>
      <w:r>
        <w:t>, §36, p. 76.</w:t>
      </w:r>
    </w:p>
  </w:footnote>
  <w:footnote w:id="52">
    <w:p w:rsidR="00086792" w:rsidRPr="001C4EBF" w:rsidRDefault="00086792" w:rsidP="001C4EBF">
      <w:pPr>
        <w:pStyle w:val="FootnoteText"/>
      </w:pPr>
      <w:r w:rsidRPr="001C4EBF">
        <w:rPr>
          <w:rStyle w:val="FootnoteReference"/>
          <w:vertAlign w:val="baseline"/>
        </w:rPr>
        <w:footnoteRef/>
      </w:r>
      <w:r>
        <w:tab/>
      </w:r>
      <w:r w:rsidRPr="001C4EBF">
        <w:t>I presented a version of this article to my colleagues in the University of Chicago's Society of Fellows, and the title itself is d</w:t>
      </w:r>
      <w:r>
        <w:t>rawn from our 2010 Conference, “</w:t>
      </w:r>
      <w:r w:rsidRPr="001C4EBF">
        <w:t>Peculiar Institutions.</w:t>
      </w:r>
      <w:r>
        <w:t>”</w:t>
      </w:r>
      <w:r w:rsidRPr="001C4EBF">
        <w:t xml:space="preserve"> I thank them for their feedback and su</w:t>
      </w:r>
      <w:r w:rsidRPr="001C4EBF">
        <w:t>p</w:t>
      </w:r>
      <w:r w:rsidRPr="001C4EBF">
        <w:t xml:space="preserve">port. I also wish to thank the following individuals for their helpful comments on earlier drafts: James Conant, Michael Kremer, Timothy Michaels, Robert Pippin, Sebastian </w:t>
      </w:r>
      <w:proofErr w:type="spellStart"/>
      <w:r w:rsidRPr="001C4EBF">
        <w:t>Rödl</w:t>
      </w:r>
      <w:proofErr w:type="spellEnd"/>
      <w:r w:rsidRPr="001C4EBF">
        <w:t xml:space="preserve">, David </w:t>
      </w:r>
      <w:proofErr w:type="spellStart"/>
      <w:r w:rsidRPr="001C4EBF">
        <w:t>Svolba</w:t>
      </w:r>
      <w:proofErr w:type="spellEnd"/>
      <w:r w:rsidRPr="001C4EBF">
        <w:t xml:space="preserve"> and several anonymous refe</w:t>
      </w:r>
      <w:r w:rsidRPr="001C4EBF">
        <w:t>r</w:t>
      </w:r>
      <w:r w:rsidRPr="001C4EBF">
        <w:t>ees.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69C7AEC"/>
    <w:lvl w:ilvl="0">
      <w:start w:val="1"/>
      <w:numFmt w:val="decimal"/>
      <w:lvlText w:val="%1."/>
      <w:lvlJc w:val="left"/>
      <w:pPr>
        <w:tabs>
          <w:tab w:val="num" w:pos="1800"/>
        </w:tabs>
        <w:ind w:left="1800" w:hanging="360"/>
      </w:pPr>
    </w:lvl>
  </w:abstractNum>
  <w:abstractNum w:abstractNumId="1">
    <w:nsid w:val="FFFFFF7D"/>
    <w:multiLevelType w:val="singleLevel"/>
    <w:tmpl w:val="7DA21E50"/>
    <w:lvl w:ilvl="0">
      <w:start w:val="1"/>
      <w:numFmt w:val="decimal"/>
      <w:lvlText w:val="%1."/>
      <w:lvlJc w:val="left"/>
      <w:pPr>
        <w:tabs>
          <w:tab w:val="num" w:pos="1440"/>
        </w:tabs>
        <w:ind w:left="1440" w:hanging="360"/>
      </w:pPr>
    </w:lvl>
  </w:abstractNum>
  <w:abstractNum w:abstractNumId="2">
    <w:nsid w:val="FFFFFF7E"/>
    <w:multiLevelType w:val="singleLevel"/>
    <w:tmpl w:val="CC846148"/>
    <w:lvl w:ilvl="0">
      <w:start w:val="1"/>
      <w:numFmt w:val="decimal"/>
      <w:lvlText w:val="%1."/>
      <w:lvlJc w:val="left"/>
      <w:pPr>
        <w:tabs>
          <w:tab w:val="num" w:pos="1080"/>
        </w:tabs>
        <w:ind w:left="1080" w:hanging="360"/>
      </w:pPr>
    </w:lvl>
  </w:abstractNum>
  <w:abstractNum w:abstractNumId="3">
    <w:nsid w:val="FFFFFF7F"/>
    <w:multiLevelType w:val="singleLevel"/>
    <w:tmpl w:val="FC9EE848"/>
    <w:lvl w:ilvl="0">
      <w:start w:val="1"/>
      <w:numFmt w:val="decimal"/>
      <w:lvlText w:val="%1."/>
      <w:lvlJc w:val="left"/>
      <w:pPr>
        <w:tabs>
          <w:tab w:val="num" w:pos="720"/>
        </w:tabs>
        <w:ind w:left="720" w:hanging="360"/>
      </w:pPr>
    </w:lvl>
  </w:abstractNum>
  <w:abstractNum w:abstractNumId="4">
    <w:nsid w:val="FFFFFF80"/>
    <w:multiLevelType w:val="singleLevel"/>
    <w:tmpl w:val="32880E1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4A76188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BCE4039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CE8095F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46023658"/>
    <w:lvl w:ilvl="0">
      <w:start w:val="1"/>
      <w:numFmt w:val="decimal"/>
      <w:lvlText w:val="%1."/>
      <w:lvlJc w:val="left"/>
      <w:pPr>
        <w:tabs>
          <w:tab w:val="num" w:pos="360"/>
        </w:tabs>
        <w:ind w:left="360" w:hanging="360"/>
      </w:pPr>
    </w:lvl>
  </w:abstractNum>
  <w:abstractNum w:abstractNumId="9">
    <w:nsid w:val="FFFFFF89"/>
    <w:multiLevelType w:val="singleLevel"/>
    <w:tmpl w:val="BFF4A67E"/>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nsid w:val="1C995786"/>
    <w:multiLevelType w:val="hybridMultilevel"/>
    <w:tmpl w:val="9D624F16"/>
    <w:lvl w:ilvl="0" w:tplc="A2C4DC8C">
      <w:start w:val="1"/>
      <w:numFmt w:val="bullet"/>
      <w:lvlText w:val=""/>
      <w:lvlJc w:val="left"/>
      <w:pPr>
        <w:ind w:left="720" w:hanging="360"/>
      </w:pPr>
      <w:rPr>
        <w:rFonts w:ascii="Symbol" w:eastAsia="Arial Unicode MS"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47C3465"/>
    <w:multiLevelType w:val="hybridMultilevel"/>
    <w:tmpl w:val="AE4E76EC"/>
    <w:lvl w:ilvl="0" w:tplc="4EBAA4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8"/>
  <w:removePersonalInformation/>
  <w:removeDateAndTime/>
  <w:displayBackgroundShape/>
  <w:proofState w:spelling="clean"/>
  <w:stylePaneFormatFilter w:val="1621" w:allStyles="1" w:customStyles="0" w:latentStyles="0" w:stylesInUse="0" w:headingStyles="1" w:numberingStyles="0" w:tableStyles="0" w:directFormattingOnRuns="0" w:directFormattingOnParagraphs="1" w:directFormattingOnNumbering="1" w:directFormattingOnTables="0" w:clearFormatting="1" w:top3HeadingStyles="0" w:visibleStyles="0" w:alternateStyleNames="0"/>
  <w:defaultTabStop w:val="709"/>
  <w:autoHyphenation/>
  <w:drawingGridHorizontalSpacing w:val="120"/>
  <w:drawingGridVerticalSpacing w:val="0"/>
  <w:displayHorizontalDrawingGridEvery w:val="0"/>
  <w:displayVerticalDrawingGridEvery w:val="0"/>
  <w:noPunctuationKerning/>
  <w:characterSpacingControl w:val="doNotCompress"/>
  <w:strictFirstAndLastChars/>
  <w:hdrShapeDefaults>
    <o:shapedefaults v:ext="edit" spidmax="2049"/>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213E"/>
    <w:rsid w:val="00010937"/>
    <w:rsid w:val="000114F2"/>
    <w:rsid w:val="00011FBB"/>
    <w:rsid w:val="0002272E"/>
    <w:rsid w:val="00030C3E"/>
    <w:rsid w:val="0003132E"/>
    <w:rsid w:val="00032DFE"/>
    <w:rsid w:val="00033F37"/>
    <w:rsid w:val="0004000B"/>
    <w:rsid w:val="000417A8"/>
    <w:rsid w:val="000421EE"/>
    <w:rsid w:val="000423BF"/>
    <w:rsid w:val="0004630A"/>
    <w:rsid w:val="00046825"/>
    <w:rsid w:val="00053AC7"/>
    <w:rsid w:val="000546F6"/>
    <w:rsid w:val="00057457"/>
    <w:rsid w:val="0006174A"/>
    <w:rsid w:val="00061C9E"/>
    <w:rsid w:val="0007168F"/>
    <w:rsid w:val="00086792"/>
    <w:rsid w:val="000878C2"/>
    <w:rsid w:val="000879F3"/>
    <w:rsid w:val="00090F76"/>
    <w:rsid w:val="000A0545"/>
    <w:rsid w:val="000A3AFF"/>
    <w:rsid w:val="000A7D1A"/>
    <w:rsid w:val="000B0325"/>
    <w:rsid w:val="000B28D6"/>
    <w:rsid w:val="000B2F76"/>
    <w:rsid w:val="000B5BAE"/>
    <w:rsid w:val="000C50C5"/>
    <w:rsid w:val="000D0E7A"/>
    <w:rsid w:val="000D302D"/>
    <w:rsid w:val="000E0144"/>
    <w:rsid w:val="000E2AFC"/>
    <w:rsid w:val="000E625E"/>
    <w:rsid w:val="000F08CD"/>
    <w:rsid w:val="000F6B39"/>
    <w:rsid w:val="001006D1"/>
    <w:rsid w:val="001006D2"/>
    <w:rsid w:val="00102852"/>
    <w:rsid w:val="00105368"/>
    <w:rsid w:val="001106BD"/>
    <w:rsid w:val="00111884"/>
    <w:rsid w:val="00116557"/>
    <w:rsid w:val="00117783"/>
    <w:rsid w:val="0012450C"/>
    <w:rsid w:val="00124A45"/>
    <w:rsid w:val="00135357"/>
    <w:rsid w:val="0013536D"/>
    <w:rsid w:val="00142FB1"/>
    <w:rsid w:val="0015630B"/>
    <w:rsid w:val="00157E88"/>
    <w:rsid w:val="0016123E"/>
    <w:rsid w:val="001617AA"/>
    <w:rsid w:val="001649A8"/>
    <w:rsid w:val="00166302"/>
    <w:rsid w:val="001677BE"/>
    <w:rsid w:val="00170658"/>
    <w:rsid w:val="00175A2F"/>
    <w:rsid w:val="00182237"/>
    <w:rsid w:val="00184122"/>
    <w:rsid w:val="00193423"/>
    <w:rsid w:val="001959CF"/>
    <w:rsid w:val="001A57DE"/>
    <w:rsid w:val="001A607E"/>
    <w:rsid w:val="001B02BB"/>
    <w:rsid w:val="001B11E5"/>
    <w:rsid w:val="001B6423"/>
    <w:rsid w:val="001C245B"/>
    <w:rsid w:val="001C4EBF"/>
    <w:rsid w:val="001C5385"/>
    <w:rsid w:val="001C56F5"/>
    <w:rsid w:val="001D1CB3"/>
    <w:rsid w:val="001D34FA"/>
    <w:rsid w:val="001D4A29"/>
    <w:rsid w:val="001D669F"/>
    <w:rsid w:val="001E1553"/>
    <w:rsid w:val="001E3676"/>
    <w:rsid w:val="001E5BBC"/>
    <w:rsid w:val="001F09F9"/>
    <w:rsid w:val="001F57DA"/>
    <w:rsid w:val="001F6361"/>
    <w:rsid w:val="001F7A72"/>
    <w:rsid w:val="00201ED1"/>
    <w:rsid w:val="002071D5"/>
    <w:rsid w:val="00213EC6"/>
    <w:rsid w:val="00216F15"/>
    <w:rsid w:val="00220E9A"/>
    <w:rsid w:val="00227D5D"/>
    <w:rsid w:val="00231BA8"/>
    <w:rsid w:val="002359E9"/>
    <w:rsid w:val="00237F0E"/>
    <w:rsid w:val="002440BB"/>
    <w:rsid w:val="00245A84"/>
    <w:rsid w:val="00246262"/>
    <w:rsid w:val="00246342"/>
    <w:rsid w:val="00247BA5"/>
    <w:rsid w:val="00250B08"/>
    <w:rsid w:val="00253BFA"/>
    <w:rsid w:val="00272A00"/>
    <w:rsid w:val="002740BB"/>
    <w:rsid w:val="002770E4"/>
    <w:rsid w:val="00277C48"/>
    <w:rsid w:val="00280A9A"/>
    <w:rsid w:val="002839CA"/>
    <w:rsid w:val="00283AB2"/>
    <w:rsid w:val="0028477B"/>
    <w:rsid w:val="00284D01"/>
    <w:rsid w:val="00285DB3"/>
    <w:rsid w:val="002861FB"/>
    <w:rsid w:val="00295A44"/>
    <w:rsid w:val="002A5CB5"/>
    <w:rsid w:val="002B0690"/>
    <w:rsid w:val="002C0C13"/>
    <w:rsid w:val="002C35E9"/>
    <w:rsid w:val="002E2F20"/>
    <w:rsid w:val="002E46B2"/>
    <w:rsid w:val="002E4EA9"/>
    <w:rsid w:val="002E53D1"/>
    <w:rsid w:val="002E686E"/>
    <w:rsid w:val="002E7296"/>
    <w:rsid w:val="00302A7B"/>
    <w:rsid w:val="00304D00"/>
    <w:rsid w:val="00306057"/>
    <w:rsid w:val="00316426"/>
    <w:rsid w:val="00316928"/>
    <w:rsid w:val="00330C2C"/>
    <w:rsid w:val="0033634C"/>
    <w:rsid w:val="003377B8"/>
    <w:rsid w:val="00342F4C"/>
    <w:rsid w:val="00347448"/>
    <w:rsid w:val="00352B77"/>
    <w:rsid w:val="0035521A"/>
    <w:rsid w:val="00355568"/>
    <w:rsid w:val="00364FAD"/>
    <w:rsid w:val="00367D60"/>
    <w:rsid w:val="00372DC0"/>
    <w:rsid w:val="00374C5C"/>
    <w:rsid w:val="00382EFE"/>
    <w:rsid w:val="00382F21"/>
    <w:rsid w:val="003839B3"/>
    <w:rsid w:val="00385599"/>
    <w:rsid w:val="00392F41"/>
    <w:rsid w:val="0039346A"/>
    <w:rsid w:val="00396EF1"/>
    <w:rsid w:val="00397ECC"/>
    <w:rsid w:val="003A35AA"/>
    <w:rsid w:val="003A472D"/>
    <w:rsid w:val="003A7AFE"/>
    <w:rsid w:val="003B2D04"/>
    <w:rsid w:val="003C1FC5"/>
    <w:rsid w:val="003C61A1"/>
    <w:rsid w:val="003D6C65"/>
    <w:rsid w:val="003E40BC"/>
    <w:rsid w:val="003F3C25"/>
    <w:rsid w:val="003F6064"/>
    <w:rsid w:val="003F64DF"/>
    <w:rsid w:val="003F690F"/>
    <w:rsid w:val="003F76C9"/>
    <w:rsid w:val="0040155F"/>
    <w:rsid w:val="00402172"/>
    <w:rsid w:val="004032C9"/>
    <w:rsid w:val="00410801"/>
    <w:rsid w:val="00412A6D"/>
    <w:rsid w:val="00413742"/>
    <w:rsid w:val="004154DF"/>
    <w:rsid w:val="004174DF"/>
    <w:rsid w:val="004278DB"/>
    <w:rsid w:val="00427F1C"/>
    <w:rsid w:val="00440F77"/>
    <w:rsid w:val="00453C06"/>
    <w:rsid w:val="00453DB6"/>
    <w:rsid w:val="00454C14"/>
    <w:rsid w:val="00462E1A"/>
    <w:rsid w:val="004636B5"/>
    <w:rsid w:val="00463856"/>
    <w:rsid w:val="004664CE"/>
    <w:rsid w:val="00467F6A"/>
    <w:rsid w:val="0047243F"/>
    <w:rsid w:val="00472E66"/>
    <w:rsid w:val="004878C8"/>
    <w:rsid w:val="0049077D"/>
    <w:rsid w:val="00492076"/>
    <w:rsid w:val="0049219E"/>
    <w:rsid w:val="00494D1D"/>
    <w:rsid w:val="00497A70"/>
    <w:rsid w:val="004A6194"/>
    <w:rsid w:val="004A6538"/>
    <w:rsid w:val="004A69AB"/>
    <w:rsid w:val="004B0072"/>
    <w:rsid w:val="004B02C1"/>
    <w:rsid w:val="004B213E"/>
    <w:rsid w:val="004B7788"/>
    <w:rsid w:val="004C2547"/>
    <w:rsid w:val="004C5263"/>
    <w:rsid w:val="004D1045"/>
    <w:rsid w:val="004D27A2"/>
    <w:rsid w:val="004D3BA2"/>
    <w:rsid w:val="004D4675"/>
    <w:rsid w:val="004D48FD"/>
    <w:rsid w:val="004D53AA"/>
    <w:rsid w:val="004E40F1"/>
    <w:rsid w:val="004E7D45"/>
    <w:rsid w:val="004F15D6"/>
    <w:rsid w:val="004F2EBD"/>
    <w:rsid w:val="0050061C"/>
    <w:rsid w:val="00503556"/>
    <w:rsid w:val="00512546"/>
    <w:rsid w:val="00521612"/>
    <w:rsid w:val="00522214"/>
    <w:rsid w:val="0053055E"/>
    <w:rsid w:val="00530DDE"/>
    <w:rsid w:val="00533FEF"/>
    <w:rsid w:val="00534BB1"/>
    <w:rsid w:val="005357DE"/>
    <w:rsid w:val="005423C3"/>
    <w:rsid w:val="00542997"/>
    <w:rsid w:val="0054461A"/>
    <w:rsid w:val="005568FE"/>
    <w:rsid w:val="005625CF"/>
    <w:rsid w:val="005674BD"/>
    <w:rsid w:val="00574839"/>
    <w:rsid w:val="00576C3E"/>
    <w:rsid w:val="005811AD"/>
    <w:rsid w:val="00582F27"/>
    <w:rsid w:val="00592130"/>
    <w:rsid w:val="005A0FA9"/>
    <w:rsid w:val="005A2E40"/>
    <w:rsid w:val="005A6DB2"/>
    <w:rsid w:val="005B191D"/>
    <w:rsid w:val="005C0D4D"/>
    <w:rsid w:val="005C63F2"/>
    <w:rsid w:val="005D3297"/>
    <w:rsid w:val="005D733D"/>
    <w:rsid w:val="005E54D0"/>
    <w:rsid w:val="005F00E0"/>
    <w:rsid w:val="005F46A9"/>
    <w:rsid w:val="005F6445"/>
    <w:rsid w:val="00603872"/>
    <w:rsid w:val="00610F58"/>
    <w:rsid w:val="00611AFA"/>
    <w:rsid w:val="006123CC"/>
    <w:rsid w:val="00612CA9"/>
    <w:rsid w:val="00614A29"/>
    <w:rsid w:val="006154AA"/>
    <w:rsid w:val="00615DAA"/>
    <w:rsid w:val="00623BF4"/>
    <w:rsid w:val="00625BB7"/>
    <w:rsid w:val="006334F9"/>
    <w:rsid w:val="00637710"/>
    <w:rsid w:val="00640E02"/>
    <w:rsid w:val="0064107D"/>
    <w:rsid w:val="00644849"/>
    <w:rsid w:val="00645F69"/>
    <w:rsid w:val="0065792C"/>
    <w:rsid w:val="00661414"/>
    <w:rsid w:val="00664527"/>
    <w:rsid w:val="0066550B"/>
    <w:rsid w:val="0067066C"/>
    <w:rsid w:val="00670A2A"/>
    <w:rsid w:val="006816C9"/>
    <w:rsid w:val="0068303F"/>
    <w:rsid w:val="00684250"/>
    <w:rsid w:val="0068447F"/>
    <w:rsid w:val="006879C1"/>
    <w:rsid w:val="006908A3"/>
    <w:rsid w:val="006A37E6"/>
    <w:rsid w:val="006A4EEF"/>
    <w:rsid w:val="006A6C0D"/>
    <w:rsid w:val="006B4C44"/>
    <w:rsid w:val="006B4DAB"/>
    <w:rsid w:val="006C1F22"/>
    <w:rsid w:val="006C33CA"/>
    <w:rsid w:val="006D61F7"/>
    <w:rsid w:val="006E15F1"/>
    <w:rsid w:val="006E4230"/>
    <w:rsid w:val="006E4D72"/>
    <w:rsid w:val="006E64BE"/>
    <w:rsid w:val="006F2F3E"/>
    <w:rsid w:val="0070380E"/>
    <w:rsid w:val="00707028"/>
    <w:rsid w:val="00711317"/>
    <w:rsid w:val="007255EB"/>
    <w:rsid w:val="00725A04"/>
    <w:rsid w:val="007266EB"/>
    <w:rsid w:val="0073176A"/>
    <w:rsid w:val="00734343"/>
    <w:rsid w:val="00736A8E"/>
    <w:rsid w:val="00740B10"/>
    <w:rsid w:val="00755CBA"/>
    <w:rsid w:val="00762732"/>
    <w:rsid w:val="00766720"/>
    <w:rsid w:val="00783287"/>
    <w:rsid w:val="00786D4E"/>
    <w:rsid w:val="0078763A"/>
    <w:rsid w:val="007905FE"/>
    <w:rsid w:val="007937CD"/>
    <w:rsid w:val="007A62CA"/>
    <w:rsid w:val="007A747C"/>
    <w:rsid w:val="007A78FC"/>
    <w:rsid w:val="007B5076"/>
    <w:rsid w:val="007B6779"/>
    <w:rsid w:val="007C31B4"/>
    <w:rsid w:val="007C37DF"/>
    <w:rsid w:val="007D7C56"/>
    <w:rsid w:val="007E15C7"/>
    <w:rsid w:val="007E279B"/>
    <w:rsid w:val="007E503E"/>
    <w:rsid w:val="007E7648"/>
    <w:rsid w:val="007E7A16"/>
    <w:rsid w:val="007F1240"/>
    <w:rsid w:val="007F279E"/>
    <w:rsid w:val="008016CE"/>
    <w:rsid w:val="00805ED7"/>
    <w:rsid w:val="00821272"/>
    <w:rsid w:val="008254D2"/>
    <w:rsid w:val="0082585A"/>
    <w:rsid w:val="008265EE"/>
    <w:rsid w:val="008274DB"/>
    <w:rsid w:val="00830BAE"/>
    <w:rsid w:val="008446E1"/>
    <w:rsid w:val="008464BC"/>
    <w:rsid w:val="008666D5"/>
    <w:rsid w:val="00866D75"/>
    <w:rsid w:val="008674F1"/>
    <w:rsid w:val="008800AE"/>
    <w:rsid w:val="0088246C"/>
    <w:rsid w:val="00882A29"/>
    <w:rsid w:val="00884E53"/>
    <w:rsid w:val="00885460"/>
    <w:rsid w:val="008863D3"/>
    <w:rsid w:val="00894197"/>
    <w:rsid w:val="008971B3"/>
    <w:rsid w:val="008A2960"/>
    <w:rsid w:val="008B575C"/>
    <w:rsid w:val="008B770F"/>
    <w:rsid w:val="008B789E"/>
    <w:rsid w:val="008C0263"/>
    <w:rsid w:val="008C3401"/>
    <w:rsid w:val="008C3884"/>
    <w:rsid w:val="008C3AD7"/>
    <w:rsid w:val="008C6FCF"/>
    <w:rsid w:val="008F18FC"/>
    <w:rsid w:val="008F1B48"/>
    <w:rsid w:val="008F3CBA"/>
    <w:rsid w:val="008F5CD5"/>
    <w:rsid w:val="00911027"/>
    <w:rsid w:val="00911554"/>
    <w:rsid w:val="00911B5D"/>
    <w:rsid w:val="00912BF3"/>
    <w:rsid w:val="0091373F"/>
    <w:rsid w:val="009156B4"/>
    <w:rsid w:val="00920713"/>
    <w:rsid w:val="0092085E"/>
    <w:rsid w:val="00920D6C"/>
    <w:rsid w:val="00923163"/>
    <w:rsid w:val="009366C6"/>
    <w:rsid w:val="00936812"/>
    <w:rsid w:val="009373EE"/>
    <w:rsid w:val="00943D5D"/>
    <w:rsid w:val="009450AD"/>
    <w:rsid w:val="00955835"/>
    <w:rsid w:val="009575FA"/>
    <w:rsid w:val="00957E47"/>
    <w:rsid w:val="00965A80"/>
    <w:rsid w:val="00972093"/>
    <w:rsid w:val="00975378"/>
    <w:rsid w:val="00981155"/>
    <w:rsid w:val="009831EA"/>
    <w:rsid w:val="00983C5E"/>
    <w:rsid w:val="009876D8"/>
    <w:rsid w:val="00994D9C"/>
    <w:rsid w:val="009A5876"/>
    <w:rsid w:val="009A6BDC"/>
    <w:rsid w:val="009B1B3E"/>
    <w:rsid w:val="009B4F05"/>
    <w:rsid w:val="009C15FF"/>
    <w:rsid w:val="009C1B99"/>
    <w:rsid w:val="009C20C1"/>
    <w:rsid w:val="009C338B"/>
    <w:rsid w:val="009D1231"/>
    <w:rsid w:val="009E35B5"/>
    <w:rsid w:val="009F237C"/>
    <w:rsid w:val="009F32BA"/>
    <w:rsid w:val="009F45D1"/>
    <w:rsid w:val="00A1302D"/>
    <w:rsid w:val="00A15C5B"/>
    <w:rsid w:val="00A16B49"/>
    <w:rsid w:val="00A23706"/>
    <w:rsid w:val="00A239A9"/>
    <w:rsid w:val="00A25B3C"/>
    <w:rsid w:val="00A30DD7"/>
    <w:rsid w:val="00A32404"/>
    <w:rsid w:val="00A3588B"/>
    <w:rsid w:val="00A37B32"/>
    <w:rsid w:val="00A41417"/>
    <w:rsid w:val="00A42B29"/>
    <w:rsid w:val="00A55896"/>
    <w:rsid w:val="00A5700B"/>
    <w:rsid w:val="00A633AB"/>
    <w:rsid w:val="00A65E55"/>
    <w:rsid w:val="00A67A21"/>
    <w:rsid w:val="00A71247"/>
    <w:rsid w:val="00A7352B"/>
    <w:rsid w:val="00A7469F"/>
    <w:rsid w:val="00A76447"/>
    <w:rsid w:val="00A80CFF"/>
    <w:rsid w:val="00A87189"/>
    <w:rsid w:val="00A92EDC"/>
    <w:rsid w:val="00AB0810"/>
    <w:rsid w:val="00AB2868"/>
    <w:rsid w:val="00AC3DB9"/>
    <w:rsid w:val="00AC40AA"/>
    <w:rsid w:val="00AD1B55"/>
    <w:rsid w:val="00AD1BC7"/>
    <w:rsid w:val="00AD36C4"/>
    <w:rsid w:val="00AD4259"/>
    <w:rsid w:val="00AD7D9F"/>
    <w:rsid w:val="00AE20FC"/>
    <w:rsid w:val="00AE3AE8"/>
    <w:rsid w:val="00AF3982"/>
    <w:rsid w:val="00AF449D"/>
    <w:rsid w:val="00AF6B5F"/>
    <w:rsid w:val="00B011EE"/>
    <w:rsid w:val="00B05A11"/>
    <w:rsid w:val="00B12184"/>
    <w:rsid w:val="00B15081"/>
    <w:rsid w:val="00B177C9"/>
    <w:rsid w:val="00B2048F"/>
    <w:rsid w:val="00B23643"/>
    <w:rsid w:val="00B23F35"/>
    <w:rsid w:val="00B2620A"/>
    <w:rsid w:val="00B32663"/>
    <w:rsid w:val="00B406AD"/>
    <w:rsid w:val="00B41869"/>
    <w:rsid w:val="00B4242C"/>
    <w:rsid w:val="00B44B47"/>
    <w:rsid w:val="00B506DB"/>
    <w:rsid w:val="00B530D8"/>
    <w:rsid w:val="00B55580"/>
    <w:rsid w:val="00B56995"/>
    <w:rsid w:val="00B612CE"/>
    <w:rsid w:val="00B66EAC"/>
    <w:rsid w:val="00B70AD6"/>
    <w:rsid w:val="00B70DFD"/>
    <w:rsid w:val="00B73468"/>
    <w:rsid w:val="00B75A8C"/>
    <w:rsid w:val="00B853D8"/>
    <w:rsid w:val="00B9422F"/>
    <w:rsid w:val="00BA2B8B"/>
    <w:rsid w:val="00BA2BB1"/>
    <w:rsid w:val="00BA5FCA"/>
    <w:rsid w:val="00BB26C3"/>
    <w:rsid w:val="00BB6F93"/>
    <w:rsid w:val="00BC362D"/>
    <w:rsid w:val="00BC3871"/>
    <w:rsid w:val="00BC4093"/>
    <w:rsid w:val="00BC5E2B"/>
    <w:rsid w:val="00BD659E"/>
    <w:rsid w:val="00BE1103"/>
    <w:rsid w:val="00BE1CE7"/>
    <w:rsid w:val="00BE45C2"/>
    <w:rsid w:val="00BE483D"/>
    <w:rsid w:val="00BF150A"/>
    <w:rsid w:val="00BF559A"/>
    <w:rsid w:val="00BF7B1D"/>
    <w:rsid w:val="00C01E7F"/>
    <w:rsid w:val="00C02341"/>
    <w:rsid w:val="00C033AC"/>
    <w:rsid w:val="00C06C23"/>
    <w:rsid w:val="00C1446B"/>
    <w:rsid w:val="00C16752"/>
    <w:rsid w:val="00C17B62"/>
    <w:rsid w:val="00C30017"/>
    <w:rsid w:val="00C404B0"/>
    <w:rsid w:val="00C4087F"/>
    <w:rsid w:val="00C43D0B"/>
    <w:rsid w:val="00C44579"/>
    <w:rsid w:val="00C50715"/>
    <w:rsid w:val="00C56D1F"/>
    <w:rsid w:val="00C6630F"/>
    <w:rsid w:val="00C6641B"/>
    <w:rsid w:val="00C703A1"/>
    <w:rsid w:val="00C7609F"/>
    <w:rsid w:val="00C855BE"/>
    <w:rsid w:val="00C860E4"/>
    <w:rsid w:val="00C862CD"/>
    <w:rsid w:val="00C87BC6"/>
    <w:rsid w:val="00C87CD1"/>
    <w:rsid w:val="00C91A67"/>
    <w:rsid w:val="00C9442B"/>
    <w:rsid w:val="00C95788"/>
    <w:rsid w:val="00CA0EFD"/>
    <w:rsid w:val="00CA1438"/>
    <w:rsid w:val="00CB5F40"/>
    <w:rsid w:val="00CC0752"/>
    <w:rsid w:val="00CC3FE6"/>
    <w:rsid w:val="00CD2B63"/>
    <w:rsid w:val="00CD4058"/>
    <w:rsid w:val="00CD4694"/>
    <w:rsid w:val="00CD7C9B"/>
    <w:rsid w:val="00CE0483"/>
    <w:rsid w:val="00CE5BEB"/>
    <w:rsid w:val="00CF301A"/>
    <w:rsid w:val="00CF3DDA"/>
    <w:rsid w:val="00D00CD1"/>
    <w:rsid w:val="00D0304D"/>
    <w:rsid w:val="00D0767A"/>
    <w:rsid w:val="00D10539"/>
    <w:rsid w:val="00D1219F"/>
    <w:rsid w:val="00D167FF"/>
    <w:rsid w:val="00D316C6"/>
    <w:rsid w:val="00D345CC"/>
    <w:rsid w:val="00D36F66"/>
    <w:rsid w:val="00D44DB6"/>
    <w:rsid w:val="00D56623"/>
    <w:rsid w:val="00D576F1"/>
    <w:rsid w:val="00D622D1"/>
    <w:rsid w:val="00D64876"/>
    <w:rsid w:val="00D668BA"/>
    <w:rsid w:val="00D66F94"/>
    <w:rsid w:val="00D7730C"/>
    <w:rsid w:val="00D8058B"/>
    <w:rsid w:val="00D80ADC"/>
    <w:rsid w:val="00D81851"/>
    <w:rsid w:val="00D85196"/>
    <w:rsid w:val="00D87B8E"/>
    <w:rsid w:val="00D9158C"/>
    <w:rsid w:val="00D92B03"/>
    <w:rsid w:val="00D932F0"/>
    <w:rsid w:val="00D942EF"/>
    <w:rsid w:val="00DA0D94"/>
    <w:rsid w:val="00DA6670"/>
    <w:rsid w:val="00DA7715"/>
    <w:rsid w:val="00DB161F"/>
    <w:rsid w:val="00DB46FF"/>
    <w:rsid w:val="00DB4BB0"/>
    <w:rsid w:val="00DB57E7"/>
    <w:rsid w:val="00DC4C8C"/>
    <w:rsid w:val="00DD1830"/>
    <w:rsid w:val="00DD54BF"/>
    <w:rsid w:val="00DD6258"/>
    <w:rsid w:val="00DD6BBD"/>
    <w:rsid w:val="00DD6BCB"/>
    <w:rsid w:val="00DE1877"/>
    <w:rsid w:val="00DE439F"/>
    <w:rsid w:val="00DE5FB4"/>
    <w:rsid w:val="00DF491B"/>
    <w:rsid w:val="00DF56F0"/>
    <w:rsid w:val="00E04569"/>
    <w:rsid w:val="00E059DE"/>
    <w:rsid w:val="00E067B5"/>
    <w:rsid w:val="00E06DDA"/>
    <w:rsid w:val="00E116C2"/>
    <w:rsid w:val="00E13E01"/>
    <w:rsid w:val="00E142CB"/>
    <w:rsid w:val="00E17B74"/>
    <w:rsid w:val="00E20FA0"/>
    <w:rsid w:val="00E23D1D"/>
    <w:rsid w:val="00E2682E"/>
    <w:rsid w:val="00E27594"/>
    <w:rsid w:val="00E27CFD"/>
    <w:rsid w:val="00E41208"/>
    <w:rsid w:val="00E41AA7"/>
    <w:rsid w:val="00E44BC4"/>
    <w:rsid w:val="00E455FE"/>
    <w:rsid w:val="00E46C4E"/>
    <w:rsid w:val="00E526A5"/>
    <w:rsid w:val="00E5368F"/>
    <w:rsid w:val="00E54306"/>
    <w:rsid w:val="00E64239"/>
    <w:rsid w:val="00E66C37"/>
    <w:rsid w:val="00E738FD"/>
    <w:rsid w:val="00E73BDF"/>
    <w:rsid w:val="00E753D1"/>
    <w:rsid w:val="00E80CBB"/>
    <w:rsid w:val="00E836C1"/>
    <w:rsid w:val="00E921BC"/>
    <w:rsid w:val="00EA1A01"/>
    <w:rsid w:val="00EA2472"/>
    <w:rsid w:val="00EB734E"/>
    <w:rsid w:val="00EC584B"/>
    <w:rsid w:val="00ED0A2B"/>
    <w:rsid w:val="00ED45B4"/>
    <w:rsid w:val="00ED7B2C"/>
    <w:rsid w:val="00EE32C9"/>
    <w:rsid w:val="00EE734E"/>
    <w:rsid w:val="00EF0563"/>
    <w:rsid w:val="00EF0B1F"/>
    <w:rsid w:val="00EF1479"/>
    <w:rsid w:val="00EF2D8F"/>
    <w:rsid w:val="00EF4A67"/>
    <w:rsid w:val="00EF564B"/>
    <w:rsid w:val="00F00133"/>
    <w:rsid w:val="00F01B06"/>
    <w:rsid w:val="00F0243A"/>
    <w:rsid w:val="00F02770"/>
    <w:rsid w:val="00F0316C"/>
    <w:rsid w:val="00F06A12"/>
    <w:rsid w:val="00F10E16"/>
    <w:rsid w:val="00F325AF"/>
    <w:rsid w:val="00F44032"/>
    <w:rsid w:val="00F47FE1"/>
    <w:rsid w:val="00F55188"/>
    <w:rsid w:val="00F636C1"/>
    <w:rsid w:val="00F63C5C"/>
    <w:rsid w:val="00F648D1"/>
    <w:rsid w:val="00F7028B"/>
    <w:rsid w:val="00F706F8"/>
    <w:rsid w:val="00F74EB1"/>
    <w:rsid w:val="00F907AC"/>
    <w:rsid w:val="00F90C26"/>
    <w:rsid w:val="00F9175B"/>
    <w:rsid w:val="00F964B9"/>
    <w:rsid w:val="00FA335F"/>
    <w:rsid w:val="00FA4C81"/>
    <w:rsid w:val="00FA56A8"/>
    <w:rsid w:val="00FB00E3"/>
    <w:rsid w:val="00FB0A90"/>
    <w:rsid w:val="00FB3EFA"/>
    <w:rsid w:val="00FB76FC"/>
    <w:rsid w:val="00FB7973"/>
    <w:rsid w:val="00FC29EB"/>
    <w:rsid w:val="00FC5044"/>
    <w:rsid w:val="00FC7708"/>
    <w:rsid w:val="00FD2E4A"/>
    <w:rsid w:val="00FE01CE"/>
    <w:rsid w:val="00FE2E3A"/>
    <w:rsid w:val="00FE32FE"/>
    <w:rsid w:val="00FE4B48"/>
    <w:rsid w:val="00FE5249"/>
    <w:rsid w:val="00FF09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7783"/>
    <w:pPr>
      <w:widowControl w:val="0"/>
      <w:suppressAutoHyphens/>
    </w:pPr>
    <w:rPr>
      <w:rFonts w:eastAsia="Arial Unicode MS"/>
      <w:kern w:val="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Characters">
    <w:name w:val="Footnote Characters"/>
    <w:rsid w:val="00086792"/>
    <w:rPr>
      <w:rFonts w:ascii="Times New Roman" w:hAnsi="Times New Roman"/>
      <w:dstrike w:val="0"/>
      <w:sz w:val="20"/>
      <w:vertAlign w:val="baseline"/>
    </w:rPr>
  </w:style>
  <w:style w:type="character" w:styleId="FootnoteReference">
    <w:name w:val="footnote reference"/>
    <w:semiHidden/>
    <w:rsid w:val="00983C5E"/>
    <w:rPr>
      <w:vertAlign w:val="superscript"/>
    </w:rPr>
  </w:style>
  <w:style w:type="character" w:styleId="EndnoteReference">
    <w:name w:val="endnote reference"/>
    <w:semiHidden/>
    <w:rsid w:val="00983C5E"/>
    <w:rPr>
      <w:vertAlign w:val="superscript"/>
    </w:rPr>
  </w:style>
  <w:style w:type="character" w:customStyle="1" w:styleId="EndnoteCharacters">
    <w:name w:val="Endnote Characters"/>
    <w:rsid w:val="00983C5E"/>
  </w:style>
  <w:style w:type="paragraph" w:customStyle="1" w:styleId="Heading">
    <w:name w:val="Heading"/>
    <w:basedOn w:val="Normal"/>
    <w:next w:val="BodyText"/>
    <w:rsid w:val="00983C5E"/>
    <w:pPr>
      <w:keepNext/>
      <w:spacing w:before="240" w:after="120"/>
    </w:pPr>
    <w:rPr>
      <w:rFonts w:ascii="Lucida Sans Unicode" w:eastAsia="MS Mincho" w:hAnsi="Lucida Sans Unicode" w:cs="Tahoma"/>
      <w:sz w:val="28"/>
      <w:szCs w:val="28"/>
    </w:rPr>
  </w:style>
  <w:style w:type="paragraph" w:styleId="BodyText">
    <w:name w:val="Body Text"/>
    <w:basedOn w:val="Normal"/>
    <w:link w:val="BodyTextChar"/>
    <w:semiHidden/>
    <w:rsid w:val="00983C5E"/>
    <w:pPr>
      <w:spacing w:after="120"/>
    </w:pPr>
  </w:style>
  <w:style w:type="paragraph" w:styleId="List">
    <w:name w:val="List"/>
    <w:basedOn w:val="BodyText"/>
    <w:semiHidden/>
    <w:rsid w:val="00983C5E"/>
    <w:rPr>
      <w:rFonts w:ascii="Gentium" w:hAnsi="Gentium" w:cs="Tahoma"/>
    </w:rPr>
  </w:style>
  <w:style w:type="paragraph" w:styleId="Caption">
    <w:name w:val="caption"/>
    <w:basedOn w:val="Normal"/>
    <w:qFormat/>
    <w:rsid w:val="00983C5E"/>
    <w:pPr>
      <w:suppressLineNumbers/>
      <w:spacing w:before="120" w:after="120"/>
    </w:pPr>
    <w:rPr>
      <w:rFonts w:ascii="Gentium" w:hAnsi="Gentium" w:cs="Tahoma"/>
      <w:i/>
      <w:iCs/>
    </w:rPr>
  </w:style>
  <w:style w:type="paragraph" w:customStyle="1" w:styleId="Index">
    <w:name w:val="Index"/>
    <w:basedOn w:val="Normal"/>
    <w:rsid w:val="00983C5E"/>
    <w:pPr>
      <w:suppressLineNumbers/>
    </w:pPr>
    <w:rPr>
      <w:rFonts w:ascii="Gentium" w:hAnsi="Gentium" w:cs="Tahoma"/>
    </w:rPr>
  </w:style>
  <w:style w:type="paragraph" w:customStyle="1" w:styleId="Paper-Text-Regular">
    <w:name w:val="Paper - Text - Regular"/>
    <w:basedOn w:val="BodyText"/>
    <w:rsid w:val="00117783"/>
    <w:pPr>
      <w:widowControl/>
      <w:suppressAutoHyphens w:val="0"/>
      <w:spacing w:after="0" w:line="480" w:lineRule="auto"/>
      <w:ind w:firstLine="600"/>
      <w:jc w:val="both"/>
    </w:pPr>
    <w:rPr>
      <w:sz w:val="22"/>
    </w:rPr>
  </w:style>
  <w:style w:type="paragraph" w:customStyle="1" w:styleId="Paper-Heading">
    <w:name w:val="Paper - Heading"/>
    <w:basedOn w:val="BodyText"/>
    <w:next w:val="Paper-Text-Regular"/>
    <w:rsid w:val="00086792"/>
    <w:pPr>
      <w:keepNext/>
      <w:tabs>
        <w:tab w:val="num" w:pos="0"/>
      </w:tabs>
      <w:spacing w:before="160" w:after="240" w:line="100" w:lineRule="atLeast"/>
      <w:jc w:val="center"/>
      <w:outlineLvl w:val="2"/>
    </w:pPr>
    <w:rPr>
      <w:rFonts w:ascii="Lucida Sans Unicode" w:hAnsi="Lucida Sans Unicode"/>
      <w:sz w:val="26"/>
    </w:rPr>
  </w:style>
  <w:style w:type="paragraph" w:customStyle="1" w:styleId="Paper-Title">
    <w:name w:val="Paper - Title"/>
    <w:basedOn w:val="Paper-Heading"/>
    <w:next w:val="Paper-Heading"/>
    <w:rsid w:val="00453DB6"/>
    <w:pPr>
      <w:tabs>
        <w:tab w:val="left" w:pos="5328"/>
      </w:tabs>
      <w:spacing w:before="0" w:after="360" w:line="240" w:lineRule="auto"/>
      <w:contextualSpacing/>
      <w:outlineLvl w:val="0"/>
    </w:pPr>
    <w:rPr>
      <w:iCs/>
      <w:kern w:val="26"/>
      <w:sz w:val="32"/>
    </w:rPr>
  </w:style>
  <w:style w:type="paragraph" w:styleId="FootnoteText">
    <w:name w:val="footnote text"/>
    <w:basedOn w:val="Normal"/>
    <w:semiHidden/>
    <w:rsid w:val="00086792"/>
    <w:pPr>
      <w:suppressLineNumbers/>
      <w:suppressAutoHyphens w:val="0"/>
      <w:ind w:left="288" w:hanging="288"/>
      <w:jc w:val="both"/>
    </w:pPr>
    <w:rPr>
      <w:sz w:val="20"/>
      <w:szCs w:val="20"/>
    </w:rPr>
  </w:style>
  <w:style w:type="paragraph" w:customStyle="1" w:styleId="Paper-Text-BlockQuote">
    <w:name w:val="Paper - Text - Block Quote"/>
    <w:next w:val="Paper-Text-AfterBlockQuote"/>
    <w:rsid w:val="00923163"/>
    <w:pPr>
      <w:spacing w:after="180"/>
      <w:ind w:left="605" w:right="605"/>
      <w:jc w:val="both"/>
    </w:pPr>
    <w:rPr>
      <w:rFonts w:eastAsia="Arial Unicode MS"/>
      <w:kern w:val="1"/>
      <w:sz w:val="22"/>
      <w:szCs w:val="24"/>
    </w:rPr>
  </w:style>
  <w:style w:type="paragraph" w:customStyle="1" w:styleId="Paper-Text-AfterBlockQuote">
    <w:name w:val="Paper - Text - After Block Quote"/>
    <w:next w:val="Paper-Text-Regular"/>
    <w:rsid w:val="00117783"/>
    <w:pPr>
      <w:spacing w:line="480" w:lineRule="auto"/>
      <w:jc w:val="both"/>
    </w:pPr>
    <w:rPr>
      <w:rFonts w:eastAsia="Arial Unicode MS"/>
      <w:kern w:val="1"/>
      <w:sz w:val="22"/>
      <w:szCs w:val="24"/>
    </w:rPr>
  </w:style>
  <w:style w:type="paragraph" w:customStyle="1" w:styleId="Paper-Footnote-BlockQuote">
    <w:name w:val="Paper - Footnote - Block Quote"/>
    <w:basedOn w:val="FootnoteText"/>
    <w:next w:val="Paper-Footnote-AfterBlockQuote"/>
    <w:rsid w:val="00086792"/>
    <w:pPr>
      <w:ind w:left="864" w:right="144" w:firstLine="0"/>
    </w:pPr>
    <w:rPr>
      <w:iCs/>
    </w:rPr>
  </w:style>
  <w:style w:type="paragraph" w:customStyle="1" w:styleId="Paper-Footnote-AfterBlockQuote">
    <w:name w:val="Paper - Footnote - After Block Quote"/>
    <w:basedOn w:val="FootnoteText"/>
    <w:rsid w:val="00086792"/>
    <w:pPr>
      <w:ind w:firstLine="0"/>
    </w:pPr>
    <w:rPr>
      <w:iCs/>
    </w:rPr>
  </w:style>
  <w:style w:type="paragraph" w:customStyle="1" w:styleId="Paper-FigureCaption">
    <w:name w:val="Paper - Figure Caption"/>
    <w:rsid w:val="00983C5E"/>
    <w:pPr>
      <w:suppressAutoHyphens/>
      <w:ind w:firstLine="518"/>
    </w:pPr>
    <w:rPr>
      <w:rFonts w:ascii="Lucida Sans Unicode" w:eastAsia="Arial Unicode MS" w:hAnsi="Lucida Sans Unicode"/>
      <w:i/>
      <w:kern w:val="1"/>
      <w:szCs w:val="24"/>
    </w:rPr>
  </w:style>
  <w:style w:type="paragraph" w:customStyle="1" w:styleId="Paper-Subheading">
    <w:name w:val="Paper - Subheading"/>
    <w:basedOn w:val="Paper-Heading"/>
    <w:next w:val="Paper-Text-Regular"/>
    <w:rsid w:val="00830BAE"/>
    <w:pPr>
      <w:numPr>
        <w:ilvl w:val="3"/>
      </w:numPr>
      <w:tabs>
        <w:tab w:val="num" w:pos="0"/>
      </w:tabs>
      <w:spacing w:before="389" w:after="187" w:line="480" w:lineRule="auto"/>
      <w:outlineLvl w:val="3"/>
    </w:pPr>
    <w:rPr>
      <w:i/>
    </w:rPr>
  </w:style>
  <w:style w:type="paragraph" w:styleId="Header">
    <w:name w:val="header"/>
    <w:basedOn w:val="Normal"/>
    <w:link w:val="HeaderChar"/>
    <w:uiPriority w:val="99"/>
    <w:unhideWhenUsed/>
    <w:rsid w:val="00FB3EFA"/>
    <w:pPr>
      <w:tabs>
        <w:tab w:val="center" w:pos="4680"/>
        <w:tab w:val="right" w:pos="9360"/>
      </w:tabs>
    </w:pPr>
  </w:style>
  <w:style w:type="character" w:customStyle="1" w:styleId="BodyTextChar">
    <w:name w:val="Body Text Char"/>
    <w:basedOn w:val="DefaultParagraphFont"/>
    <w:link w:val="BodyText"/>
    <w:semiHidden/>
    <w:rsid w:val="005F00E0"/>
    <w:rPr>
      <w:rFonts w:ascii="Gentium" w:eastAsia="Arial Unicode MS" w:hAnsi="Gentium"/>
      <w:kern w:val="1"/>
      <w:sz w:val="24"/>
      <w:szCs w:val="24"/>
    </w:rPr>
  </w:style>
  <w:style w:type="character" w:customStyle="1" w:styleId="HeaderChar">
    <w:name w:val="Header Char"/>
    <w:basedOn w:val="DefaultParagraphFont"/>
    <w:link w:val="Header"/>
    <w:uiPriority w:val="99"/>
    <w:rsid w:val="00FB3EFA"/>
    <w:rPr>
      <w:rFonts w:eastAsia="Arial Unicode MS"/>
      <w:kern w:val="1"/>
      <w:sz w:val="24"/>
      <w:szCs w:val="24"/>
    </w:rPr>
  </w:style>
  <w:style w:type="paragraph" w:styleId="Footer">
    <w:name w:val="footer"/>
    <w:basedOn w:val="Normal"/>
    <w:link w:val="FooterChar"/>
    <w:uiPriority w:val="99"/>
    <w:semiHidden/>
    <w:unhideWhenUsed/>
    <w:rsid w:val="00FB3EFA"/>
    <w:pPr>
      <w:tabs>
        <w:tab w:val="center" w:pos="4680"/>
        <w:tab w:val="right" w:pos="9360"/>
      </w:tabs>
    </w:pPr>
  </w:style>
  <w:style w:type="character" w:customStyle="1" w:styleId="FooterChar">
    <w:name w:val="Footer Char"/>
    <w:basedOn w:val="DefaultParagraphFont"/>
    <w:link w:val="Footer"/>
    <w:uiPriority w:val="99"/>
    <w:semiHidden/>
    <w:rsid w:val="00FB3EFA"/>
    <w:rPr>
      <w:rFonts w:eastAsia="Arial Unicode MS"/>
      <w:kern w:val="1"/>
      <w:sz w:val="24"/>
      <w:szCs w:val="24"/>
    </w:rPr>
  </w:style>
  <w:style w:type="paragraph" w:customStyle="1" w:styleId="Abstract">
    <w:name w:val="Abstract"/>
    <w:basedOn w:val="Paper-Text-Regular"/>
    <w:qFormat/>
    <w:rsid w:val="00B56995"/>
    <w:pPr>
      <w:spacing w:line="360" w:lineRule="auto"/>
      <w:ind w:left="432" w:right="288" w:firstLine="0"/>
    </w:pPr>
  </w:style>
  <w:style w:type="paragraph" w:styleId="EndnoteText">
    <w:name w:val="endnote text"/>
    <w:basedOn w:val="Normal"/>
    <w:link w:val="EndnoteTextChar"/>
    <w:uiPriority w:val="99"/>
    <w:unhideWhenUsed/>
    <w:rsid w:val="00117783"/>
    <w:pPr>
      <w:widowControl/>
      <w:spacing w:line="480" w:lineRule="auto"/>
      <w:ind w:left="432" w:hanging="432"/>
    </w:pPr>
    <w:rPr>
      <w:kern w:val="20"/>
      <w:sz w:val="22"/>
      <w:szCs w:val="20"/>
    </w:rPr>
  </w:style>
  <w:style w:type="character" w:customStyle="1" w:styleId="EndnoteTextChar">
    <w:name w:val="Endnote Text Char"/>
    <w:basedOn w:val="DefaultParagraphFont"/>
    <w:link w:val="EndnoteText"/>
    <w:uiPriority w:val="99"/>
    <w:rsid w:val="00117783"/>
    <w:rPr>
      <w:rFonts w:eastAsia="Arial Unicode MS"/>
      <w:kern w:val="20"/>
      <w:sz w:val="22"/>
    </w:rPr>
  </w:style>
  <w:style w:type="character" w:styleId="CommentReference">
    <w:name w:val="annotation reference"/>
    <w:basedOn w:val="DefaultParagraphFont"/>
    <w:uiPriority w:val="99"/>
    <w:semiHidden/>
    <w:unhideWhenUsed/>
    <w:rsid w:val="00CD4058"/>
    <w:rPr>
      <w:sz w:val="16"/>
      <w:szCs w:val="16"/>
    </w:rPr>
  </w:style>
  <w:style w:type="paragraph" w:styleId="CommentText">
    <w:name w:val="annotation text"/>
    <w:basedOn w:val="Normal"/>
    <w:link w:val="CommentTextChar"/>
    <w:uiPriority w:val="99"/>
    <w:unhideWhenUsed/>
    <w:rsid w:val="00CD4058"/>
    <w:rPr>
      <w:sz w:val="20"/>
      <w:szCs w:val="20"/>
    </w:rPr>
  </w:style>
  <w:style w:type="character" w:customStyle="1" w:styleId="CommentTextChar">
    <w:name w:val="Comment Text Char"/>
    <w:basedOn w:val="DefaultParagraphFont"/>
    <w:link w:val="CommentText"/>
    <w:uiPriority w:val="99"/>
    <w:rsid w:val="00CD4058"/>
    <w:rPr>
      <w:rFonts w:eastAsia="Arial Unicode MS"/>
      <w:kern w:val="1"/>
    </w:rPr>
  </w:style>
  <w:style w:type="paragraph" w:styleId="CommentSubject">
    <w:name w:val="annotation subject"/>
    <w:basedOn w:val="CommentText"/>
    <w:next w:val="CommentText"/>
    <w:link w:val="CommentSubjectChar"/>
    <w:uiPriority w:val="99"/>
    <w:semiHidden/>
    <w:unhideWhenUsed/>
    <w:rsid w:val="00CD4058"/>
    <w:rPr>
      <w:b/>
      <w:bCs/>
    </w:rPr>
  </w:style>
  <w:style w:type="character" w:customStyle="1" w:styleId="CommentSubjectChar">
    <w:name w:val="Comment Subject Char"/>
    <w:basedOn w:val="CommentTextChar"/>
    <w:link w:val="CommentSubject"/>
    <w:uiPriority w:val="99"/>
    <w:semiHidden/>
    <w:rsid w:val="00CD4058"/>
    <w:rPr>
      <w:rFonts w:eastAsia="Arial Unicode MS"/>
      <w:b/>
      <w:bCs/>
      <w:kern w:val="1"/>
    </w:rPr>
  </w:style>
  <w:style w:type="paragraph" w:styleId="BalloonText">
    <w:name w:val="Balloon Text"/>
    <w:basedOn w:val="Normal"/>
    <w:link w:val="BalloonTextChar"/>
    <w:uiPriority w:val="99"/>
    <w:semiHidden/>
    <w:unhideWhenUsed/>
    <w:rsid w:val="00CD4058"/>
    <w:rPr>
      <w:rFonts w:ascii="Tahoma" w:hAnsi="Tahoma" w:cs="Tahoma"/>
      <w:sz w:val="16"/>
      <w:szCs w:val="16"/>
    </w:rPr>
  </w:style>
  <w:style w:type="character" w:customStyle="1" w:styleId="BalloonTextChar">
    <w:name w:val="Balloon Text Char"/>
    <w:basedOn w:val="DefaultParagraphFont"/>
    <w:link w:val="BalloonText"/>
    <w:uiPriority w:val="99"/>
    <w:semiHidden/>
    <w:rsid w:val="00CD4058"/>
    <w:rPr>
      <w:rFonts w:ascii="Tahoma" w:eastAsia="Arial Unicode MS" w:hAnsi="Tahoma" w:cs="Tahoma"/>
      <w:kern w:val="1"/>
      <w:sz w:val="16"/>
      <w:szCs w:val="16"/>
    </w:rPr>
  </w:style>
  <w:style w:type="paragraph" w:styleId="Revision">
    <w:name w:val="Revision"/>
    <w:hidden/>
    <w:uiPriority w:val="99"/>
    <w:semiHidden/>
    <w:rsid w:val="00CD4058"/>
    <w:rPr>
      <w:rFonts w:eastAsia="Arial Unicode MS"/>
      <w:kern w:val="1"/>
      <w:sz w:val="24"/>
      <w:szCs w:val="24"/>
    </w:rPr>
  </w:style>
  <w:style w:type="character" w:styleId="Hyperlink">
    <w:name w:val="Hyperlink"/>
    <w:basedOn w:val="DefaultParagraphFont"/>
    <w:uiPriority w:val="99"/>
    <w:unhideWhenUsed/>
    <w:rsid w:val="002839CA"/>
    <w:rPr>
      <w:color w:val="0000FF" w:themeColor="hyperlink"/>
      <w:u w:val="single"/>
    </w:rPr>
  </w:style>
  <w:style w:type="paragraph" w:customStyle="1" w:styleId="Epigraph">
    <w:name w:val="Epigraph"/>
    <w:basedOn w:val="Paper-Text-Regular"/>
    <w:qFormat/>
    <w:rsid w:val="00923163"/>
    <w:pPr>
      <w:spacing w:before="600" w:after="120" w:line="240" w:lineRule="auto"/>
      <w:ind w:left="3744" w:firstLine="0"/>
    </w:pPr>
    <w:rPr>
      <w: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7783"/>
    <w:pPr>
      <w:widowControl w:val="0"/>
      <w:suppressAutoHyphens/>
    </w:pPr>
    <w:rPr>
      <w:rFonts w:eastAsia="Arial Unicode MS"/>
      <w:kern w:val="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Characters">
    <w:name w:val="Footnote Characters"/>
    <w:rsid w:val="00086792"/>
    <w:rPr>
      <w:rFonts w:ascii="Times New Roman" w:hAnsi="Times New Roman"/>
      <w:dstrike w:val="0"/>
      <w:sz w:val="20"/>
      <w:vertAlign w:val="baseline"/>
    </w:rPr>
  </w:style>
  <w:style w:type="character" w:styleId="FootnoteReference">
    <w:name w:val="footnote reference"/>
    <w:semiHidden/>
    <w:rsid w:val="00983C5E"/>
    <w:rPr>
      <w:vertAlign w:val="superscript"/>
    </w:rPr>
  </w:style>
  <w:style w:type="character" w:styleId="EndnoteReference">
    <w:name w:val="endnote reference"/>
    <w:semiHidden/>
    <w:rsid w:val="00983C5E"/>
    <w:rPr>
      <w:vertAlign w:val="superscript"/>
    </w:rPr>
  </w:style>
  <w:style w:type="character" w:customStyle="1" w:styleId="EndnoteCharacters">
    <w:name w:val="Endnote Characters"/>
    <w:rsid w:val="00983C5E"/>
  </w:style>
  <w:style w:type="paragraph" w:customStyle="1" w:styleId="Heading">
    <w:name w:val="Heading"/>
    <w:basedOn w:val="Normal"/>
    <w:next w:val="BodyText"/>
    <w:rsid w:val="00983C5E"/>
    <w:pPr>
      <w:keepNext/>
      <w:spacing w:before="240" w:after="120"/>
    </w:pPr>
    <w:rPr>
      <w:rFonts w:ascii="Lucida Sans Unicode" w:eastAsia="MS Mincho" w:hAnsi="Lucida Sans Unicode" w:cs="Tahoma"/>
      <w:sz w:val="28"/>
      <w:szCs w:val="28"/>
    </w:rPr>
  </w:style>
  <w:style w:type="paragraph" w:styleId="BodyText">
    <w:name w:val="Body Text"/>
    <w:basedOn w:val="Normal"/>
    <w:link w:val="BodyTextChar"/>
    <w:semiHidden/>
    <w:rsid w:val="00983C5E"/>
    <w:pPr>
      <w:spacing w:after="120"/>
    </w:pPr>
  </w:style>
  <w:style w:type="paragraph" w:styleId="List">
    <w:name w:val="List"/>
    <w:basedOn w:val="BodyText"/>
    <w:semiHidden/>
    <w:rsid w:val="00983C5E"/>
    <w:rPr>
      <w:rFonts w:ascii="Gentium" w:hAnsi="Gentium" w:cs="Tahoma"/>
    </w:rPr>
  </w:style>
  <w:style w:type="paragraph" w:styleId="Caption">
    <w:name w:val="caption"/>
    <w:basedOn w:val="Normal"/>
    <w:qFormat/>
    <w:rsid w:val="00983C5E"/>
    <w:pPr>
      <w:suppressLineNumbers/>
      <w:spacing w:before="120" w:after="120"/>
    </w:pPr>
    <w:rPr>
      <w:rFonts w:ascii="Gentium" w:hAnsi="Gentium" w:cs="Tahoma"/>
      <w:i/>
      <w:iCs/>
    </w:rPr>
  </w:style>
  <w:style w:type="paragraph" w:customStyle="1" w:styleId="Index">
    <w:name w:val="Index"/>
    <w:basedOn w:val="Normal"/>
    <w:rsid w:val="00983C5E"/>
    <w:pPr>
      <w:suppressLineNumbers/>
    </w:pPr>
    <w:rPr>
      <w:rFonts w:ascii="Gentium" w:hAnsi="Gentium" w:cs="Tahoma"/>
    </w:rPr>
  </w:style>
  <w:style w:type="paragraph" w:customStyle="1" w:styleId="Paper-Text-Regular">
    <w:name w:val="Paper - Text - Regular"/>
    <w:basedOn w:val="BodyText"/>
    <w:rsid w:val="00117783"/>
    <w:pPr>
      <w:widowControl/>
      <w:suppressAutoHyphens w:val="0"/>
      <w:spacing w:after="0" w:line="480" w:lineRule="auto"/>
      <w:ind w:firstLine="600"/>
      <w:jc w:val="both"/>
    </w:pPr>
    <w:rPr>
      <w:sz w:val="22"/>
    </w:rPr>
  </w:style>
  <w:style w:type="paragraph" w:customStyle="1" w:styleId="Paper-Heading">
    <w:name w:val="Paper - Heading"/>
    <w:basedOn w:val="BodyText"/>
    <w:next w:val="Paper-Text-Regular"/>
    <w:rsid w:val="00086792"/>
    <w:pPr>
      <w:keepNext/>
      <w:tabs>
        <w:tab w:val="num" w:pos="0"/>
      </w:tabs>
      <w:spacing w:before="160" w:after="240" w:line="100" w:lineRule="atLeast"/>
      <w:jc w:val="center"/>
      <w:outlineLvl w:val="2"/>
    </w:pPr>
    <w:rPr>
      <w:rFonts w:ascii="Lucida Sans Unicode" w:hAnsi="Lucida Sans Unicode"/>
      <w:sz w:val="26"/>
    </w:rPr>
  </w:style>
  <w:style w:type="paragraph" w:customStyle="1" w:styleId="Paper-Title">
    <w:name w:val="Paper - Title"/>
    <w:basedOn w:val="Paper-Heading"/>
    <w:next w:val="Paper-Heading"/>
    <w:rsid w:val="00453DB6"/>
    <w:pPr>
      <w:tabs>
        <w:tab w:val="left" w:pos="5328"/>
      </w:tabs>
      <w:spacing w:before="0" w:after="360" w:line="240" w:lineRule="auto"/>
      <w:contextualSpacing/>
      <w:outlineLvl w:val="0"/>
    </w:pPr>
    <w:rPr>
      <w:iCs/>
      <w:kern w:val="26"/>
      <w:sz w:val="32"/>
    </w:rPr>
  </w:style>
  <w:style w:type="paragraph" w:styleId="FootnoteText">
    <w:name w:val="footnote text"/>
    <w:basedOn w:val="Normal"/>
    <w:semiHidden/>
    <w:rsid w:val="00086792"/>
    <w:pPr>
      <w:suppressLineNumbers/>
      <w:suppressAutoHyphens w:val="0"/>
      <w:ind w:left="288" w:hanging="288"/>
      <w:jc w:val="both"/>
    </w:pPr>
    <w:rPr>
      <w:sz w:val="20"/>
      <w:szCs w:val="20"/>
    </w:rPr>
  </w:style>
  <w:style w:type="paragraph" w:customStyle="1" w:styleId="Paper-Text-BlockQuote">
    <w:name w:val="Paper - Text - Block Quote"/>
    <w:next w:val="Paper-Text-AfterBlockQuote"/>
    <w:rsid w:val="00923163"/>
    <w:pPr>
      <w:spacing w:after="180"/>
      <w:ind w:left="605" w:right="605"/>
      <w:jc w:val="both"/>
    </w:pPr>
    <w:rPr>
      <w:rFonts w:eastAsia="Arial Unicode MS"/>
      <w:kern w:val="1"/>
      <w:sz w:val="22"/>
      <w:szCs w:val="24"/>
    </w:rPr>
  </w:style>
  <w:style w:type="paragraph" w:customStyle="1" w:styleId="Paper-Text-AfterBlockQuote">
    <w:name w:val="Paper - Text - After Block Quote"/>
    <w:next w:val="Paper-Text-Regular"/>
    <w:rsid w:val="00117783"/>
    <w:pPr>
      <w:spacing w:line="480" w:lineRule="auto"/>
      <w:jc w:val="both"/>
    </w:pPr>
    <w:rPr>
      <w:rFonts w:eastAsia="Arial Unicode MS"/>
      <w:kern w:val="1"/>
      <w:sz w:val="22"/>
      <w:szCs w:val="24"/>
    </w:rPr>
  </w:style>
  <w:style w:type="paragraph" w:customStyle="1" w:styleId="Paper-Footnote-BlockQuote">
    <w:name w:val="Paper - Footnote - Block Quote"/>
    <w:basedOn w:val="FootnoteText"/>
    <w:next w:val="Paper-Footnote-AfterBlockQuote"/>
    <w:rsid w:val="00086792"/>
    <w:pPr>
      <w:ind w:left="864" w:right="144" w:firstLine="0"/>
    </w:pPr>
    <w:rPr>
      <w:iCs/>
    </w:rPr>
  </w:style>
  <w:style w:type="paragraph" w:customStyle="1" w:styleId="Paper-Footnote-AfterBlockQuote">
    <w:name w:val="Paper - Footnote - After Block Quote"/>
    <w:basedOn w:val="FootnoteText"/>
    <w:rsid w:val="00086792"/>
    <w:pPr>
      <w:ind w:firstLine="0"/>
    </w:pPr>
    <w:rPr>
      <w:iCs/>
    </w:rPr>
  </w:style>
  <w:style w:type="paragraph" w:customStyle="1" w:styleId="Paper-FigureCaption">
    <w:name w:val="Paper - Figure Caption"/>
    <w:rsid w:val="00983C5E"/>
    <w:pPr>
      <w:suppressAutoHyphens/>
      <w:ind w:firstLine="518"/>
    </w:pPr>
    <w:rPr>
      <w:rFonts w:ascii="Lucida Sans Unicode" w:eastAsia="Arial Unicode MS" w:hAnsi="Lucida Sans Unicode"/>
      <w:i/>
      <w:kern w:val="1"/>
      <w:szCs w:val="24"/>
    </w:rPr>
  </w:style>
  <w:style w:type="paragraph" w:customStyle="1" w:styleId="Paper-Subheading">
    <w:name w:val="Paper - Subheading"/>
    <w:basedOn w:val="Paper-Heading"/>
    <w:next w:val="Paper-Text-Regular"/>
    <w:rsid w:val="00830BAE"/>
    <w:pPr>
      <w:numPr>
        <w:ilvl w:val="3"/>
      </w:numPr>
      <w:tabs>
        <w:tab w:val="num" w:pos="0"/>
      </w:tabs>
      <w:spacing w:before="389" w:after="187" w:line="480" w:lineRule="auto"/>
      <w:outlineLvl w:val="3"/>
    </w:pPr>
    <w:rPr>
      <w:i/>
    </w:rPr>
  </w:style>
  <w:style w:type="paragraph" w:styleId="Header">
    <w:name w:val="header"/>
    <w:basedOn w:val="Normal"/>
    <w:link w:val="HeaderChar"/>
    <w:uiPriority w:val="99"/>
    <w:unhideWhenUsed/>
    <w:rsid w:val="00FB3EFA"/>
    <w:pPr>
      <w:tabs>
        <w:tab w:val="center" w:pos="4680"/>
        <w:tab w:val="right" w:pos="9360"/>
      </w:tabs>
    </w:pPr>
  </w:style>
  <w:style w:type="character" w:customStyle="1" w:styleId="BodyTextChar">
    <w:name w:val="Body Text Char"/>
    <w:basedOn w:val="DefaultParagraphFont"/>
    <w:link w:val="BodyText"/>
    <w:semiHidden/>
    <w:rsid w:val="005F00E0"/>
    <w:rPr>
      <w:rFonts w:ascii="Gentium" w:eastAsia="Arial Unicode MS" w:hAnsi="Gentium"/>
      <w:kern w:val="1"/>
      <w:sz w:val="24"/>
      <w:szCs w:val="24"/>
    </w:rPr>
  </w:style>
  <w:style w:type="character" w:customStyle="1" w:styleId="HeaderChar">
    <w:name w:val="Header Char"/>
    <w:basedOn w:val="DefaultParagraphFont"/>
    <w:link w:val="Header"/>
    <w:uiPriority w:val="99"/>
    <w:rsid w:val="00FB3EFA"/>
    <w:rPr>
      <w:rFonts w:eastAsia="Arial Unicode MS"/>
      <w:kern w:val="1"/>
      <w:sz w:val="24"/>
      <w:szCs w:val="24"/>
    </w:rPr>
  </w:style>
  <w:style w:type="paragraph" w:styleId="Footer">
    <w:name w:val="footer"/>
    <w:basedOn w:val="Normal"/>
    <w:link w:val="FooterChar"/>
    <w:uiPriority w:val="99"/>
    <w:semiHidden/>
    <w:unhideWhenUsed/>
    <w:rsid w:val="00FB3EFA"/>
    <w:pPr>
      <w:tabs>
        <w:tab w:val="center" w:pos="4680"/>
        <w:tab w:val="right" w:pos="9360"/>
      </w:tabs>
    </w:pPr>
  </w:style>
  <w:style w:type="character" w:customStyle="1" w:styleId="FooterChar">
    <w:name w:val="Footer Char"/>
    <w:basedOn w:val="DefaultParagraphFont"/>
    <w:link w:val="Footer"/>
    <w:uiPriority w:val="99"/>
    <w:semiHidden/>
    <w:rsid w:val="00FB3EFA"/>
    <w:rPr>
      <w:rFonts w:eastAsia="Arial Unicode MS"/>
      <w:kern w:val="1"/>
      <w:sz w:val="24"/>
      <w:szCs w:val="24"/>
    </w:rPr>
  </w:style>
  <w:style w:type="paragraph" w:customStyle="1" w:styleId="Abstract">
    <w:name w:val="Abstract"/>
    <w:basedOn w:val="Paper-Text-Regular"/>
    <w:qFormat/>
    <w:rsid w:val="00B56995"/>
    <w:pPr>
      <w:spacing w:line="360" w:lineRule="auto"/>
      <w:ind w:left="432" w:right="288" w:firstLine="0"/>
    </w:pPr>
  </w:style>
  <w:style w:type="paragraph" w:styleId="EndnoteText">
    <w:name w:val="endnote text"/>
    <w:basedOn w:val="Normal"/>
    <w:link w:val="EndnoteTextChar"/>
    <w:uiPriority w:val="99"/>
    <w:unhideWhenUsed/>
    <w:rsid w:val="00117783"/>
    <w:pPr>
      <w:widowControl/>
      <w:spacing w:line="480" w:lineRule="auto"/>
      <w:ind w:left="432" w:hanging="432"/>
    </w:pPr>
    <w:rPr>
      <w:kern w:val="20"/>
      <w:sz w:val="22"/>
      <w:szCs w:val="20"/>
    </w:rPr>
  </w:style>
  <w:style w:type="character" w:customStyle="1" w:styleId="EndnoteTextChar">
    <w:name w:val="Endnote Text Char"/>
    <w:basedOn w:val="DefaultParagraphFont"/>
    <w:link w:val="EndnoteText"/>
    <w:uiPriority w:val="99"/>
    <w:rsid w:val="00117783"/>
    <w:rPr>
      <w:rFonts w:eastAsia="Arial Unicode MS"/>
      <w:kern w:val="20"/>
      <w:sz w:val="22"/>
    </w:rPr>
  </w:style>
  <w:style w:type="character" w:styleId="CommentReference">
    <w:name w:val="annotation reference"/>
    <w:basedOn w:val="DefaultParagraphFont"/>
    <w:uiPriority w:val="99"/>
    <w:semiHidden/>
    <w:unhideWhenUsed/>
    <w:rsid w:val="00CD4058"/>
    <w:rPr>
      <w:sz w:val="16"/>
      <w:szCs w:val="16"/>
    </w:rPr>
  </w:style>
  <w:style w:type="paragraph" w:styleId="CommentText">
    <w:name w:val="annotation text"/>
    <w:basedOn w:val="Normal"/>
    <w:link w:val="CommentTextChar"/>
    <w:uiPriority w:val="99"/>
    <w:unhideWhenUsed/>
    <w:rsid w:val="00CD4058"/>
    <w:rPr>
      <w:sz w:val="20"/>
      <w:szCs w:val="20"/>
    </w:rPr>
  </w:style>
  <w:style w:type="character" w:customStyle="1" w:styleId="CommentTextChar">
    <w:name w:val="Comment Text Char"/>
    <w:basedOn w:val="DefaultParagraphFont"/>
    <w:link w:val="CommentText"/>
    <w:uiPriority w:val="99"/>
    <w:rsid w:val="00CD4058"/>
    <w:rPr>
      <w:rFonts w:eastAsia="Arial Unicode MS"/>
      <w:kern w:val="1"/>
    </w:rPr>
  </w:style>
  <w:style w:type="paragraph" w:styleId="CommentSubject">
    <w:name w:val="annotation subject"/>
    <w:basedOn w:val="CommentText"/>
    <w:next w:val="CommentText"/>
    <w:link w:val="CommentSubjectChar"/>
    <w:uiPriority w:val="99"/>
    <w:semiHidden/>
    <w:unhideWhenUsed/>
    <w:rsid w:val="00CD4058"/>
    <w:rPr>
      <w:b/>
      <w:bCs/>
    </w:rPr>
  </w:style>
  <w:style w:type="character" w:customStyle="1" w:styleId="CommentSubjectChar">
    <w:name w:val="Comment Subject Char"/>
    <w:basedOn w:val="CommentTextChar"/>
    <w:link w:val="CommentSubject"/>
    <w:uiPriority w:val="99"/>
    <w:semiHidden/>
    <w:rsid w:val="00CD4058"/>
    <w:rPr>
      <w:rFonts w:eastAsia="Arial Unicode MS"/>
      <w:b/>
      <w:bCs/>
      <w:kern w:val="1"/>
    </w:rPr>
  </w:style>
  <w:style w:type="paragraph" w:styleId="BalloonText">
    <w:name w:val="Balloon Text"/>
    <w:basedOn w:val="Normal"/>
    <w:link w:val="BalloonTextChar"/>
    <w:uiPriority w:val="99"/>
    <w:semiHidden/>
    <w:unhideWhenUsed/>
    <w:rsid w:val="00CD4058"/>
    <w:rPr>
      <w:rFonts w:ascii="Tahoma" w:hAnsi="Tahoma" w:cs="Tahoma"/>
      <w:sz w:val="16"/>
      <w:szCs w:val="16"/>
    </w:rPr>
  </w:style>
  <w:style w:type="character" w:customStyle="1" w:styleId="BalloonTextChar">
    <w:name w:val="Balloon Text Char"/>
    <w:basedOn w:val="DefaultParagraphFont"/>
    <w:link w:val="BalloonText"/>
    <w:uiPriority w:val="99"/>
    <w:semiHidden/>
    <w:rsid w:val="00CD4058"/>
    <w:rPr>
      <w:rFonts w:ascii="Tahoma" w:eastAsia="Arial Unicode MS" w:hAnsi="Tahoma" w:cs="Tahoma"/>
      <w:kern w:val="1"/>
      <w:sz w:val="16"/>
      <w:szCs w:val="16"/>
    </w:rPr>
  </w:style>
  <w:style w:type="paragraph" w:styleId="Revision">
    <w:name w:val="Revision"/>
    <w:hidden/>
    <w:uiPriority w:val="99"/>
    <w:semiHidden/>
    <w:rsid w:val="00CD4058"/>
    <w:rPr>
      <w:rFonts w:eastAsia="Arial Unicode MS"/>
      <w:kern w:val="1"/>
      <w:sz w:val="24"/>
      <w:szCs w:val="24"/>
    </w:rPr>
  </w:style>
  <w:style w:type="character" w:styleId="Hyperlink">
    <w:name w:val="Hyperlink"/>
    <w:basedOn w:val="DefaultParagraphFont"/>
    <w:uiPriority w:val="99"/>
    <w:unhideWhenUsed/>
    <w:rsid w:val="002839CA"/>
    <w:rPr>
      <w:color w:val="0000FF" w:themeColor="hyperlink"/>
      <w:u w:val="single"/>
    </w:rPr>
  </w:style>
  <w:style w:type="paragraph" w:customStyle="1" w:styleId="Epigraph">
    <w:name w:val="Epigraph"/>
    <w:basedOn w:val="Paper-Text-Regular"/>
    <w:qFormat/>
    <w:rsid w:val="00923163"/>
    <w:pPr>
      <w:spacing w:before="600" w:after="120" w:line="240" w:lineRule="auto"/>
      <w:ind w:left="3744" w:firstLine="0"/>
    </w:pPr>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0110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3A036-2B6E-4A92-884C-0FD1CB263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7178</Words>
  <Characters>40916</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47999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2012-02-18T21:25:00Z</dcterms:created>
  <dcterms:modified xsi:type="dcterms:W3CDTF">2012-02-18T21:46:00Z</dcterms:modified>
</cp:coreProperties>
</file>