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627" w:rsidRPr="00970503" w:rsidRDefault="008D0627" w:rsidP="008D0627">
      <w:pPr>
        <w:jc w:val="center"/>
        <w:rPr>
          <w:rFonts w:ascii="Garamond" w:hAnsi="Garamond"/>
          <w:b/>
          <w:sz w:val="24"/>
          <w:szCs w:val="24"/>
        </w:rPr>
      </w:pPr>
      <w:r w:rsidRPr="00970503">
        <w:rPr>
          <w:rFonts w:ascii="Garamond" w:hAnsi="Garamond"/>
          <w:b/>
          <w:sz w:val="24"/>
          <w:szCs w:val="24"/>
        </w:rPr>
        <w:t>Credibility Excess and Social Support Criterion</w:t>
      </w:r>
    </w:p>
    <w:p w:rsidR="002E4746" w:rsidRDefault="00693B10" w:rsidP="008D0627">
      <w:pPr>
        <w:rPr>
          <w:rFonts w:ascii="Garamond" w:hAnsi="Garamond"/>
          <w:sz w:val="24"/>
          <w:szCs w:val="24"/>
        </w:rPr>
      </w:pPr>
      <w:r>
        <w:rPr>
          <w:rFonts w:ascii="Garamond" w:hAnsi="Garamond"/>
          <w:sz w:val="24"/>
          <w:szCs w:val="24"/>
        </w:rPr>
        <w:t>(Berry, Daniels, &amp;</w:t>
      </w:r>
      <w:r w:rsidR="00BF6C4D">
        <w:rPr>
          <w:rFonts w:ascii="Garamond" w:hAnsi="Garamond"/>
          <w:sz w:val="24"/>
          <w:szCs w:val="24"/>
        </w:rPr>
        <w:t xml:space="preserve"> </w:t>
      </w:r>
      <w:proofErr w:type="spellStart"/>
      <w:r w:rsidR="00BF6C4D">
        <w:rPr>
          <w:rFonts w:ascii="Garamond" w:hAnsi="Garamond"/>
          <w:sz w:val="24"/>
          <w:szCs w:val="24"/>
        </w:rPr>
        <w:t>Ladin</w:t>
      </w:r>
      <w:proofErr w:type="spellEnd"/>
      <w:r>
        <w:rPr>
          <w:rFonts w:ascii="Garamond" w:hAnsi="Garamond"/>
          <w:sz w:val="24"/>
          <w:szCs w:val="24"/>
        </w:rPr>
        <w:t xml:space="preserve"> 2019)</w:t>
      </w:r>
      <w:r w:rsidR="008D0627" w:rsidRPr="00970503">
        <w:rPr>
          <w:rFonts w:ascii="Garamond" w:hAnsi="Garamond"/>
          <w:sz w:val="24"/>
          <w:szCs w:val="24"/>
        </w:rPr>
        <w:t xml:space="preserve"> undermine putative empirical support for and raise substantial moral objections against the claim that social support is a tenable criterion for evaluating whether relevant patients are to be included on organ transplant lists. We agree with the authors’ criticisms and conclusion that – to be empirically tractable and morally defensible – the social support criterion must be </w:t>
      </w:r>
      <w:r w:rsidR="003B0FFD">
        <w:rPr>
          <w:rFonts w:ascii="Garamond" w:hAnsi="Garamond"/>
          <w:sz w:val="24"/>
          <w:szCs w:val="24"/>
        </w:rPr>
        <w:t xml:space="preserve">substantially </w:t>
      </w:r>
      <w:r w:rsidR="008D0627" w:rsidRPr="00970503">
        <w:rPr>
          <w:rFonts w:ascii="Garamond" w:hAnsi="Garamond"/>
          <w:sz w:val="24"/>
          <w:szCs w:val="24"/>
        </w:rPr>
        <w:t>revised</w:t>
      </w:r>
      <w:r w:rsidR="00BF6C4D">
        <w:rPr>
          <w:rFonts w:ascii="Garamond" w:hAnsi="Garamond"/>
          <w:sz w:val="24"/>
          <w:szCs w:val="24"/>
        </w:rPr>
        <w:t>. In suppo</w:t>
      </w:r>
      <w:r w:rsidR="003B0FFD">
        <w:rPr>
          <w:rFonts w:ascii="Garamond" w:hAnsi="Garamond"/>
          <w:sz w:val="24"/>
          <w:szCs w:val="24"/>
        </w:rPr>
        <w:t xml:space="preserve">rt, </w:t>
      </w:r>
      <w:r w:rsidR="002E4746">
        <w:rPr>
          <w:rFonts w:ascii="Garamond" w:hAnsi="Garamond"/>
          <w:sz w:val="24"/>
          <w:szCs w:val="24"/>
        </w:rPr>
        <w:t xml:space="preserve">we elaborate one of the authors’ moral criticisms through the lens of testimonial injustice, using that lens to reveal a further moral criticism of the social support criterion, as well as ways to address morally problematic use of the criterion. </w:t>
      </w:r>
    </w:p>
    <w:p w:rsidR="00E507FE" w:rsidRDefault="003B0FFD" w:rsidP="00A3374B">
      <w:pPr>
        <w:ind w:firstLine="720"/>
        <w:rPr>
          <w:rFonts w:ascii="Garamond" w:hAnsi="Garamond"/>
          <w:sz w:val="24"/>
          <w:szCs w:val="24"/>
        </w:rPr>
      </w:pPr>
      <w:r>
        <w:rPr>
          <w:rFonts w:ascii="Garamond" w:hAnsi="Garamond"/>
          <w:sz w:val="24"/>
          <w:szCs w:val="24"/>
        </w:rPr>
        <w:t>An epistemic injustice is a moral har</w:t>
      </w:r>
      <w:r w:rsidR="00BC7920">
        <w:rPr>
          <w:rFonts w:ascii="Garamond" w:hAnsi="Garamond"/>
          <w:sz w:val="24"/>
          <w:szCs w:val="24"/>
        </w:rPr>
        <w:t>m done to an agent in her capacity to engage in epistemic practices, e.g. testifying to others, interpretin</w:t>
      </w:r>
      <w:r w:rsidR="00693B10">
        <w:rPr>
          <w:rFonts w:ascii="Garamond" w:hAnsi="Garamond"/>
          <w:sz w:val="24"/>
          <w:szCs w:val="24"/>
        </w:rPr>
        <w:t>g experiences, questioning, etc. (Fricker 2007)</w:t>
      </w:r>
      <w:r w:rsidR="00BC7920">
        <w:rPr>
          <w:rFonts w:ascii="Garamond" w:hAnsi="Garamond"/>
          <w:sz w:val="24"/>
          <w:szCs w:val="24"/>
        </w:rPr>
        <w:t xml:space="preserve"> A paradigmatic case of epistemic injustice is testimonial,</w:t>
      </w:r>
      <w:r w:rsidR="006C6111">
        <w:rPr>
          <w:rStyle w:val="FootnoteReference"/>
          <w:rFonts w:ascii="Garamond" w:hAnsi="Garamond"/>
          <w:sz w:val="24"/>
          <w:szCs w:val="24"/>
        </w:rPr>
        <w:footnoteReference w:id="1"/>
      </w:r>
      <w:r w:rsidR="00BC7920">
        <w:rPr>
          <w:rFonts w:ascii="Garamond" w:hAnsi="Garamond"/>
          <w:sz w:val="24"/>
          <w:szCs w:val="24"/>
        </w:rPr>
        <w:t xml:space="preserve"> where a hearer discounts the credibility of </w:t>
      </w:r>
      <w:r w:rsidR="0042130C">
        <w:rPr>
          <w:rFonts w:ascii="Garamond" w:hAnsi="Garamond"/>
          <w:sz w:val="24"/>
          <w:szCs w:val="24"/>
        </w:rPr>
        <w:t>a speaker</w:t>
      </w:r>
      <w:r w:rsidR="00D4457A">
        <w:rPr>
          <w:rFonts w:ascii="Garamond" w:hAnsi="Garamond"/>
          <w:sz w:val="24"/>
          <w:szCs w:val="24"/>
        </w:rPr>
        <w:t xml:space="preserve"> owing to </w:t>
      </w:r>
      <w:r w:rsidR="00F87F0C">
        <w:rPr>
          <w:rFonts w:ascii="Garamond" w:hAnsi="Garamond"/>
          <w:sz w:val="24"/>
          <w:szCs w:val="24"/>
        </w:rPr>
        <w:t>the hearer’s unwarranted implicit or explicit judgments about a</w:t>
      </w:r>
      <w:r w:rsidR="00D4457A">
        <w:rPr>
          <w:rFonts w:ascii="Garamond" w:hAnsi="Garamond"/>
          <w:sz w:val="24"/>
          <w:szCs w:val="24"/>
        </w:rPr>
        <w:t xml:space="preserve"> group to which the speaker belongs, e.g. </w:t>
      </w:r>
      <w:r w:rsidR="00F87F0C">
        <w:rPr>
          <w:rFonts w:ascii="Garamond" w:hAnsi="Garamond"/>
          <w:sz w:val="24"/>
          <w:szCs w:val="24"/>
        </w:rPr>
        <w:t>a hearer</w:t>
      </w:r>
      <w:r w:rsidR="00D4457A">
        <w:rPr>
          <w:rFonts w:ascii="Garamond" w:hAnsi="Garamond"/>
          <w:sz w:val="24"/>
          <w:szCs w:val="24"/>
        </w:rPr>
        <w:t xml:space="preserve"> discounting the credibili</w:t>
      </w:r>
      <w:r w:rsidR="00F87F0C">
        <w:rPr>
          <w:rFonts w:ascii="Garamond" w:hAnsi="Garamond"/>
          <w:sz w:val="24"/>
          <w:szCs w:val="24"/>
        </w:rPr>
        <w:t>ty of a black wom</w:t>
      </w:r>
      <w:r w:rsidR="00F92EE5">
        <w:rPr>
          <w:rFonts w:ascii="Garamond" w:hAnsi="Garamond"/>
          <w:sz w:val="24"/>
          <w:szCs w:val="24"/>
        </w:rPr>
        <w:t>a</w:t>
      </w:r>
      <w:r w:rsidR="00F87F0C">
        <w:rPr>
          <w:rFonts w:ascii="Garamond" w:hAnsi="Garamond"/>
          <w:sz w:val="24"/>
          <w:szCs w:val="24"/>
        </w:rPr>
        <w:t>n owing to</w:t>
      </w:r>
      <w:r w:rsidR="00D4457A">
        <w:rPr>
          <w:rFonts w:ascii="Garamond" w:hAnsi="Garamond"/>
          <w:sz w:val="24"/>
          <w:szCs w:val="24"/>
        </w:rPr>
        <w:t xml:space="preserve"> racism</w:t>
      </w:r>
      <w:r w:rsidR="00F92EE5">
        <w:rPr>
          <w:rFonts w:ascii="Garamond" w:hAnsi="Garamond"/>
          <w:sz w:val="24"/>
          <w:szCs w:val="24"/>
        </w:rPr>
        <w:t xml:space="preserve"> and</w:t>
      </w:r>
      <w:r w:rsidR="0004543A">
        <w:rPr>
          <w:rFonts w:ascii="Garamond" w:hAnsi="Garamond"/>
          <w:sz w:val="24"/>
          <w:szCs w:val="24"/>
        </w:rPr>
        <w:t>/or</w:t>
      </w:r>
      <w:r w:rsidR="00F92EE5">
        <w:rPr>
          <w:rFonts w:ascii="Garamond" w:hAnsi="Garamond"/>
          <w:sz w:val="24"/>
          <w:szCs w:val="24"/>
        </w:rPr>
        <w:t xml:space="preserve"> sexism</w:t>
      </w:r>
      <w:r w:rsidR="006C6111">
        <w:rPr>
          <w:rFonts w:ascii="Garamond" w:hAnsi="Garamond"/>
          <w:sz w:val="24"/>
          <w:szCs w:val="24"/>
        </w:rPr>
        <w:t>.</w:t>
      </w:r>
      <w:r w:rsidR="00693B10">
        <w:rPr>
          <w:rFonts w:ascii="Garamond" w:hAnsi="Garamond"/>
          <w:sz w:val="24"/>
          <w:szCs w:val="24"/>
        </w:rPr>
        <w:t xml:space="preserve"> (Medina 2017a,</w:t>
      </w:r>
      <w:r w:rsidR="006C6111">
        <w:rPr>
          <w:rFonts w:ascii="Garamond" w:hAnsi="Garamond"/>
          <w:sz w:val="24"/>
          <w:szCs w:val="24"/>
        </w:rPr>
        <w:t xml:space="preserve"> 2017b)</w:t>
      </w:r>
      <w:r w:rsidR="00D4457A">
        <w:rPr>
          <w:rFonts w:ascii="Garamond" w:hAnsi="Garamond"/>
          <w:sz w:val="24"/>
          <w:szCs w:val="24"/>
        </w:rPr>
        <w:t xml:space="preserve"> Testimonial injustice provides a fra</w:t>
      </w:r>
      <w:r w:rsidR="004A028B">
        <w:rPr>
          <w:rFonts w:ascii="Garamond" w:hAnsi="Garamond"/>
          <w:sz w:val="24"/>
          <w:szCs w:val="24"/>
        </w:rPr>
        <w:t>mework in which to elaborate</w:t>
      </w:r>
      <w:r w:rsidR="00D4457A">
        <w:rPr>
          <w:rFonts w:ascii="Garamond" w:hAnsi="Garamond"/>
          <w:sz w:val="24"/>
          <w:szCs w:val="24"/>
        </w:rPr>
        <w:t xml:space="preserve"> </w:t>
      </w:r>
      <w:r w:rsidR="003F01E7">
        <w:rPr>
          <w:rFonts w:ascii="Garamond" w:hAnsi="Garamond"/>
          <w:sz w:val="24"/>
          <w:szCs w:val="24"/>
        </w:rPr>
        <w:t>Berry, Daniel</w:t>
      </w:r>
      <w:r w:rsidR="00AF47B9">
        <w:rPr>
          <w:rFonts w:ascii="Garamond" w:hAnsi="Garamond"/>
          <w:sz w:val="24"/>
          <w:szCs w:val="24"/>
        </w:rPr>
        <w:t>s</w:t>
      </w:r>
      <w:r w:rsidR="003F01E7">
        <w:rPr>
          <w:rFonts w:ascii="Garamond" w:hAnsi="Garamond"/>
          <w:sz w:val="24"/>
          <w:szCs w:val="24"/>
        </w:rPr>
        <w:t xml:space="preserve">, and </w:t>
      </w:r>
      <w:proofErr w:type="spellStart"/>
      <w:r w:rsidR="003F01E7">
        <w:rPr>
          <w:rFonts w:ascii="Garamond" w:hAnsi="Garamond"/>
          <w:sz w:val="24"/>
          <w:szCs w:val="24"/>
        </w:rPr>
        <w:t>Ladin’s</w:t>
      </w:r>
      <w:proofErr w:type="spellEnd"/>
      <w:r w:rsidR="003F01E7">
        <w:rPr>
          <w:rFonts w:ascii="Garamond" w:hAnsi="Garamond"/>
          <w:sz w:val="24"/>
          <w:szCs w:val="24"/>
        </w:rPr>
        <w:t xml:space="preserve"> suggestion that individuals with low socioeconomic status may experience difficulties when presenting evidence of social support to members of review committees who determine whether patients are to be added to organ transplant lists.</w:t>
      </w:r>
      <w:r w:rsidR="004A028B">
        <w:rPr>
          <w:rFonts w:ascii="Garamond" w:hAnsi="Garamond"/>
          <w:sz w:val="24"/>
          <w:szCs w:val="24"/>
        </w:rPr>
        <w:t xml:space="preserve"> </w:t>
      </w:r>
      <w:r w:rsidR="004A028B" w:rsidRPr="009B413A">
        <w:rPr>
          <w:rFonts w:ascii="Garamond" w:hAnsi="Garamond"/>
          <w:sz w:val="24"/>
          <w:szCs w:val="24"/>
        </w:rPr>
        <w:t>Specifically:</w:t>
      </w:r>
      <w:r w:rsidR="003F01E7" w:rsidRPr="009B413A">
        <w:rPr>
          <w:rFonts w:ascii="Garamond" w:hAnsi="Garamond"/>
          <w:sz w:val="24"/>
          <w:szCs w:val="24"/>
        </w:rPr>
        <w:t xml:space="preserve"> </w:t>
      </w:r>
      <w:r w:rsidR="006218BA" w:rsidRPr="009B413A">
        <w:rPr>
          <w:rFonts w:ascii="Garamond" w:hAnsi="Garamond"/>
          <w:sz w:val="24"/>
          <w:szCs w:val="24"/>
        </w:rPr>
        <w:t>Being a member of a marginalized</w:t>
      </w:r>
      <w:r w:rsidR="006C6111" w:rsidRPr="009B413A">
        <w:rPr>
          <w:rStyle w:val="FootnoteReference"/>
          <w:rFonts w:ascii="Garamond" w:hAnsi="Garamond"/>
          <w:sz w:val="24"/>
          <w:szCs w:val="24"/>
        </w:rPr>
        <w:footnoteReference w:id="2"/>
      </w:r>
      <w:r w:rsidR="006218BA" w:rsidRPr="009B413A">
        <w:rPr>
          <w:rFonts w:ascii="Garamond" w:hAnsi="Garamond"/>
          <w:sz w:val="24"/>
          <w:szCs w:val="24"/>
        </w:rPr>
        <w:t xml:space="preserve"> community is correlated with low socioeconomic status</w:t>
      </w:r>
      <w:r w:rsidR="006C6111">
        <w:rPr>
          <w:rFonts w:ascii="Garamond" w:hAnsi="Garamond"/>
          <w:sz w:val="24"/>
          <w:szCs w:val="24"/>
        </w:rPr>
        <w:t>.</w:t>
      </w:r>
      <w:r w:rsidR="00693B10">
        <w:rPr>
          <w:rFonts w:ascii="Garamond" w:hAnsi="Garamond"/>
          <w:sz w:val="24"/>
          <w:szCs w:val="24"/>
        </w:rPr>
        <w:t xml:space="preserve"> (Williams, Priest, &amp; Anderson 2016)</w:t>
      </w:r>
      <w:r w:rsidR="006218BA">
        <w:rPr>
          <w:rFonts w:ascii="Garamond" w:hAnsi="Garamond"/>
          <w:sz w:val="24"/>
          <w:szCs w:val="24"/>
        </w:rPr>
        <w:t xml:space="preserve"> </w:t>
      </w:r>
      <w:r w:rsidR="004A028B">
        <w:rPr>
          <w:rFonts w:ascii="Garamond" w:hAnsi="Garamond"/>
          <w:sz w:val="24"/>
          <w:szCs w:val="24"/>
        </w:rPr>
        <w:t>C</w:t>
      </w:r>
      <w:r w:rsidR="003F01E7">
        <w:rPr>
          <w:rFonts w:ascii="Garamond" w:hAnsi="Garamond"/>
          <w:sz w:val="24"/>
          <w:szCs w:val="24"/>
        </w:rPr>
        <w:t>linicians</w:t>
      </w:r>
      <w:r w:rsidR="004A028B">
        <w:rPr>
          <w:rFonts w:ascii="Garamond" w:hAnsi="Garamond"/>
          <w:sz w:val="24"/>
          <w:szCs w:val="24"/>
        </w:rPr>
        <w:t xml:space="preserve"> discount the credibility of low socioeconomic status individuals</w:t>
      </w:r>
      <w:r w:rsidR="003F01E7">
        <w:rPr>
          <w:rFonts w:ascii="Garamond" w:hAnsi="Garamond"/>
          <w:sz w:val="24"/>
          <w:szCs w:val="24"/>
        </w:rPr>
        <w:t xml:space="preserve"> when those </w:t>
      </w:r>
      <w:r w:rsidR="004A028B">
        <w:rPr>
          <w:rFonts w:ascii="Garamond" w:hAnsi="Garamond"/>
          <w:sz w:val="24"/>
          <w:szCs w:val="24"/>
        </w:rPr>
        <w:t>individuals</w:t>
      </w:r>
      <w:r w:rsidR="003F01E7">
        <w:rPr>
          <w:rFonts w:ascii="Garamond" w:hAnsi="Garamond"/>
          <w:sz w:val="24"/>
          <w:szCs w:val="24"/>
        </w:rPr>
        <w:t xml:space="preserve"> are, say, reporting the extent and pers</w:t>
      </w:r>
      <w:r w:rsidR="004A028B">
        <w:rPr>
          <w:rFonts w:ascii="Garamond" w:hAnsi="Garamond"/>
          <w:sz w:val="24"/>
          <w:szCs w:val="24"/>
        </w:rPr>
        <w:t>istence of symptoms, reports of pain</w:t>
      </w:r>
      <w:r w:rsidR="00341E67">
        <w:rPr>
          <w:rFonts w:ascii="Garamond" w:hAnsi="Garamond"/>
          <w:sz w:val="24"/>
          <w:szCs w:val="24"/>
        </w:rPr>
        <w:t>, etc.</w:t>
      </w:r>
      <w:r w:rsidR="006C6111">
        <w:rPr>
          <w:rFonts w:ascii="Garamond" w:hAnsi="Garamond"/>
          <w:sz w:val="24"/>
          <w:szCs w:val="24"/>
        </w:rPr>
        <w:t xml:space="preserve"> (van </w:t>
      </w:r>
      <w:proofErr w:type="spellStart"/>
      <w:r w:rsidR="006C6111">
        <w:rPr>
          <w:rFonts w:ascii="Garamond" w:hAnsi="Garamond"/>
          <w:sz w:val="24"/>
          <w:szCs w:val="24"/>
        </w:rPr>
        <w:t>Ryn</w:t>
      </w:r>
      <w:proofErr w:type="spellEnd"/>
      <w:r w:rsidR="006C6111">
        <w:rPr>
          <w:rFonts w:ascii="Garamond" w:hAnsi="Garamond"/>
          <w:sz w:val="24"/>
          <w:szCs w:val="24"/>
        </w:rPr>
        <w:t xml:space="preserve"> &amp; Burke 2000; Williams, Priest, &amp; Anderson 2016)</w:t>
      </w:r>
      <w:r w:rsidR="00341E67">
        <w:rPr>
          <w:rFonts w:ascii="Garamond" w:hAnsi="Garamond"/>
          <w:sz w:val="24"/>
          <w:szCs w:val="24"/>
        </w:rPr>
        <w:t xml:space="preserve"> C</w:t>
      </w:r>
      <w:r w:rsidR="003F01E7">
        <w:rPr>
          <w:rFonts w:ascii="Garamond" w:hAnsi="Garamond"/>
          <w:sz w:val="24"/>
          <w:szCs w:val="24"/>
        </w:rPr>
        <w:t xml:space="preserve">ommunication between marginalized individuals and clinicians may </w:t>
      </w:r>
      <w:r w:rsidR="00341E67">
        <w:rPr>
          <w:rFonts w:ascii="Garamond" w:hAnsi="Garamond"/>
          <w:sz w:val="24"/>
          <w:szCs w:val="24"/>
        </w:rPr>
        <w:t xml:space="preserve">thus </w:t>
      </w:r>
      <w:r w:rsidR="004A028B">
        <w:rPr>
          <w:rFonts w:ascii="Garamond" w:hAnsi="Garamond"/>
          <w:sz w:val="24"/>
          <w:szCs w:val="24"/>
        </w:rPr>
        <w:t>be sharply undermined,</w:t>
      </w:r>
      <w:r w:rsidR="003F01E7">
        <w:rPr>
          <w:rFonts w:ascii="Garamond" w:hAnsi="Garamond"/>
          <w:sz w:val="24"/>
          <w:szCs w:val="24"/>
        </w:rPr>
        <w:t xml:space="preserve"> leading to misunderstanding of patient illnesses, misdiagnosis, and ineffectiv</w:t>
      </w:r>
      <w:r w:rsidR="00341E67">
        <w:rPr>
          <w:rFonts w:ascii="Garamond" w:hAnsi="Garamond"/>
          <w:sz w:val="24"/>
          <w:szCs w:val="24"/>
        </w:rPr>
        <w:t>e treatment options. Similarly, m</w:t>
      </w:r>
      <w:r w:rsidR="003F01E7">
        <w:rPr>
          <w:rFonts w:ascii="Garamond" w:hAnsi="Garamond"/>
          <w:sz w:val="24"/>
          <w:szCs w:val="24"/>
        </w:rPr>
        <w:t>embers of review committees –</w:t>
      </w:r>
      <w:r w:rsidR="00F87F0C">
        <w:rPr>
          <w:rFonts w:ascii="Garamond" w:hAnsi="Garamond"/>
          <w:sz w:val="24"/>
          <w:szCs w:val="24"/>
        </w:rPr>
        <w:t xml:space="preserve"> </w:t>
      </w:r>
      <w:r w:rsidR="003F01E7">
        <w:rPr>
          <w:rFonts w:ascii="Garamond" w:hAnsi="Garamond"/>
          <w:sz w:val="24"/>
          <w:szCs w:val="24"/>
        </w:rPr>
        <w:t xml:space="preserve">composed of medical practitioners and clinicians – </w:t>
      </w:r>
      <w:r w:rsidR="00341E67">
        <w:rPr>
          <w:rFonts w:ascii="Garamond" w:hAnsi="Garamond"/>
          <w:sz w:val="24"/>
          <w:szCs w:val="24"/>
        </w:rPr>
        <w:t xml:space="preserve">may </w:t>
      </w:r>
      <w:r w:rsidR="003F01E7">
        <w:rPr>
          <w:rFonts w:ascii="Garamond" w:hAnsi="Garamond"/>
          <w:sz w:val="24"/>
          <w:szCs w:val="24"/>
        </w:rPr>
        <w:t>discount the credibility of members of marginalized communities</w:t>
      </w:r>
      <w:r w:rsidR="00E507FE">
        <w:rPr>
          <w:rFonts w:ascii="Garamond" w:hAnsi="Garamond"/>
          <w:sz w:val="24"/>
          <w:szCs w:val="24"/>
        </w:rPr>
        <w:t xml:space="preserve"> and, say, ignore</w:t>
      </w:r>
      <w:r w:rsidR="00F531CC">
        <w:rPr>
          <w:rFonts w:ascii="Garamond" w:hAnsi="Garamond"/>
          <w:sz w:val="24"/>
          <w:szCs w:val="24"/>
        </w:rPr>
        <w:t xml:space="preserve"> </w:t>
      </w:r>
      <w:r w:rsidR="0004543A">
        <w:rPr>
          <w:rFonts w:ascii="Garamond" w:hAnsi="Garamond"/>
          <w:sz w:val="24"/>
          <w:szCs w:val="24"/>
        </w:rPr>
        <w:t xml:space="preserve">relevant evidence offered to establish adequate social support </w:t>
      </w:r>
      <w:r w:rsidR="00C865F8">
        <w:rPr>
          <w:rFonts w:ascii="Garamond" w:hAnsi="Garamond"/>
          <w:sz w:val="24"/>
          <w:szCs w:val="24"/>
        </w:rPr>
        <w:t xml:space="preserve">or </w:t>
      </w:r>
      <w:r w:rsidR="00F531CC">
        <w:rPr>
          <w:rFonts w:ascii="Garamond" w:hAnsi="Garamond"/>
          <w:sz w:val="24"/>
          <w:szCs w:val="24"/>
        </w:rPr>
        <w:t>weigh</w:t>
      </w:r>
      <w:r w:rsidR="00E507FE">
        <w:rPr>
          <w:rFonts w:ascii="Garamond" w:hAnsi="Garamond"/>
          <w:sz w:val="24"/>
          <w:szCs w:val="24"/>
        </w:rPr>
        <w:t xml:space="preserve"> </w:t>
      </w:r>
      <w:r w:rsidR="0004543A">
        <w:rPr>
          <w:rFonts w:ascii="Garamond" w:hAnsi="Garamond"/>
          <w:sz w:val="24"/>
          <w:szCs w:val="24"/>
        </w:rPr>
        <w:t xml:space="preserve">offered evidence </w:t>
      </w:r>
      <w:r w:rsidR="00F531CC" w:rsidRPr="009B413A">
        <w:rPr>
          <w:rFonts w:ascii="Garamond" w:hAnsi="Garamond"/>
          <w:sz w:val="24"/>
          <w:szCs w:val="24"/>
        </w:rPr>
        <w:t>too lightly</w:t>
      </w:r>
      <w:r w:rsidR="004A028B">
        <w:rPr>
          <w:rFonts w:ascii="Garamond" w:hAnsi="Garamond"/>
          <w:sz w:val="24"/>
          <w:szCs w:val="24"/>
        </w:rPr>
        <w:t>.</w:t>
      </w:r>
      <w:r w:rsidR="00C2720C">
        <w:rPr>
          <w:rStyle w:val="FootnoteReference"/>
          <w:rFonts w:ascii="Garamond" w:hAnsi="Garamond"/>
          <w:sz w:val="24"/>
          <w:szCs w:val="24"/>
        </w:rPr>
        <w:footnoteReference w:id="3"/>
      </w:r>
      <w:r w:rsidR="004A028B">
        <w:rPr>
          <w:rFonts w:ascii="Garamond" w:hAnsi="Garamond"/>
          <w:sz w:val="24"/>
          <w:szCs w:val="24"/>
        </w:rPr>
        <w:t xml:space="preserve"> </w:t>
      </w:r>
    </w:p>
    <w:p w:rsidR="00D06728" w:rsidRDefault="00341E67" w:rsidP="00D06728">
      <w:pPr>
        <w:ind w:firstLine="720"/>
        <w:rPr>
          <w:rFonts w:ascii="Garamond" w:hAnsi="Garamond"/>
          <w:sz w:val="24"/>
          <w:szCs w:val="24"/>
        </w:rPr>
      </w:pPr>
      <w:r>
        <w:rPr>
          <w:rFonts w:ascii="Garamond" w:hAnsi="Garamond"/>
          <w:sz w:val="24"/>
          <w:szCs w:val="24"/>
        </w:rPr>
        <w:t>F</w:t>
      </w:r>
      <w:r w:rsidR="00E6533B">
        <w:rPr>
          <w:rFonts w:ascii="Garamond" w:hAnsi="Garamond"/>
          <w:sz w:val="24"/>
          <w:szCs w:val="24"/>
        </w:rPr>
        <w:t xml:space="preserve">raming the authors’ criticism of the use of the social support criterion in terms of </w:t>
      </w:r>
      <w:r w:rsidR="00E507FE">
        <w:rPr>
          <w:rFonts w:ascii="Garamond" w:hAnsi="Garamond"/>
          <w:sz w:val="24"/>
          <w:szCs w:val="24"/>
        </w:rPr>
        <w:t>credibility discounting</w:t>
      </w:r>
      <w:r w:rsidR="00E6533B">
        <w:rPr>
          <w:rFonts w:ascii="Garamond" w:hAnsi="Garamond"/>
          <w:sz w:val="24"/>
          <w:szCs w:val="24"/>
        </w:rPr>
        <w:t xml:space="preserve"> </w:t>
      </w:r>
      <w:r>
        <w:rPr>
          <w:rFonts w:ascii="Garamond" w:hAnsi="Garamond"/>
          <w:sz w:val="24"/>
          <w:szCs w:val="24"/>
        </w:rPr>
        <w:t>reveals, moreover,</w:t>
      </w:r>
      <w:r w:rsidR="00E507FE">
        <w:rPr>
          <w:rFonts w:ascii="Garamond" w:hAnsi="Garamond"/>
          <w:sz w:val="24"/>
          <w:szCs w:val="24"/>
        </w:rPr>
        <w:t xml:space="preserve"> a further moral criticism</w:t>
      </w:r>
      <w:r>
        <w:rPr>
          <w:rFonts w:ascii="Garamond" w:hAnsi="Garamond"/>
          <w:sz w:val="24"/>
          <w:szCs w:val="24"/>
        </w:rPr>
        <w:t xml:space="preserve">. For </w:t>
      </w:r>
      <w:r w:rsidR="00612CE7">
        <w:rPr>
          <w:rFonts w:ascii="Garamond" w:hAnsi="Garamond"/>
          <w:sz w:val="24"/>
          <w:szCs w:val="24"/>
        </w:rPr>
        <w:t xml:space="preserve">often </w:t>
      </w:r>
      <w:r w:rsidR="004A028B">
        <w:rPr>
          <w:rFonts w:ascii="Garamond" w:hAnsi="Garamond"/>
          <w:sz w:val="24"/>
          <w:szCs w:val="24"/>
        </w:rPr>
        <w:t>where one finds</w:t>
      </w:r>
      <w:r>
        <w:rPr>
          <w:rFonts w:ascii="Garamond" w:hAnsi="Garamond"/>
          <w:sz w:val="24"/>
          <w:szCs w:val="24"/>
        </w:rPr>
        <w:t xml:space="preserve"> instances of pr</w:t>
      </w:r>
      <w:r w:rsidR="005848FB">
        <w:rPr>
          <w:rFonts w:ascii="Garamond" w:hAnsi="Garamond"/>
          <w:sz w:val="24"/>
          <w:szCs w:val="24"/>
        </w:rPr>
        <w:t xml:space="preserve">ejudicial </w:t>
      </w:r>
      <w:r w:rsidR="00127BAD">
        <w:rPr>
          <w:rFonts w:ascii="Garamond" w:hAnsi="Garamond"/>
          <w:sz w:val="24"/>
          <w:szCs w:val="24"/>
        </w:rPr>
        <w:t>credibility discounting</w:t>
      </w:r>
      <w:r w:rsidR="004A028B">
        <w:rPr>
          <w:rFonts w:ascii="Garamond" w:hAnsi="Garamond"/>
          <w:sz w:val="24"/>
          <w:szCs w:val="24"/>
        </w:rPr>
        <w:t xml:space="preserve"> one also finds</w:t>
      </w:r>
      <w:r>
        <w:rPr>
          <w:rFonts w:ascii="Garamond" w:hAnsi="Garamond"/>
          <w:sz w:val="24"/>
          <w:szCs w:val="24"/>
        </w:rPr>
        <w:t xml:space="preserve"> instances of</w:t>
      </w:r>
      <w:r w:rsidR="005848FB">
        <w:rPr>
          <w:rFonts w:ascii="Garamond" w:hAnsi="Garamond"/>
          <w:sz w:val="24"/>
          <w:szCs w:val="24"/>
        </w:rPr>
        <w:t xml:space="preserve"> </w:t>
      </w:r>
      <w:r w:rsidR="00127BAD">
        <w:rPr>
          <w:rFonts w:ascii="Garamond" w:hAnsi="Garamond"/>
          <w:sz w:val="24"/>
          <w:szCs w:val="24"/>
        </w:rPr>
        <w:t xml:space="preserve">unwarranted </w:t>
      </w:r>
      <w:r w:rsidR="005848FB">
        <w:rPr>
          <w:rFonts w:ascii="Garamond" w:hAnsi="Garamond"/>
          <w:sz w:val="24"/>
          <w:szCs w:val="24"/>
        </w:rPr>
        <w:t xml:space="preserve">credibility </w:t>
      </w:r>
      <w:r w:rsidR="00127BAD">
        <w:rPr>
          <w:rFonts w:ascii="Garamond" w:hAnsi="Garamond"/>
          <w:sz w:val="24"/>
          <w:szCs w:val="24"/>
        </w:rPr>
        <w:t>excess</w:t>
      </w:r>
      <w:r w:rsidR="005848FB">
        <w:rPr>
          <w:rFonts w:ascii="Garamond" w:hAnsi="Garamond"/>
          <w:sz w:val="24"/>
          <w:szCs w:val="24"/>
        </w:rPr>
        <w:t>.</w:t>
      </w:r>
      <w:r w:rsidR="006C6111">
        <w:rPr>
          <w:rFonts w:ascii="Garamond" w:hAnsi="Garamond"/>
          <w:sz w:val="24"/>
          <w:szCs w:val="24"/>
        </w:rPr>
        <w:t xml:space="preserve"> (Medina, 017a)</w:t>
      </w:r>
      <w:r w:rsidR="005848FB">
        <w:rPr>
          <w:rFonts w:ascii="Garamond" w:hAnsi="Garamond"/>
          <w:sz w:val="24"/>
          <w:szCs w:val="24"/>
        </w:rPr>
        <w:t xml:space="preserve"> </w:t>
      </w:r>
      <w:r w:rsidR="00F531CC">
        <w:rPr>
          <w:rFonts w:ascii="Garamond" w:hAnsi="Garamond"/>
          <w:sz w:val="24"/>
          <w:szCs w:val="24"/>
        </w:rPr>
        <w:t xml:space="preserve">In particular, members of non-marginalized communities offering evidence of social support to review committees are likely given credibility excess resulting in, say, review committee members weighing evidence offered to establish adequate social support too heavily. </w:t>
      </w:r>
      <w:r w:rsidR="00612CE7">
        <w:rPr>
          <w:rFonts w:ascii="Garamond" w:hAnsi="Garamond"/>
          <w:sz w:val="24"/>
          <w:szCs w:val="24"/>
        </w:rPr>
        <w:t>In support of this point, note</w:t>
      </w:r>
      <w:r w:rsidR="00127BAD">
        <w:rPr>
          <w:rFonts w:ascii="Garamond" w:hAnsi="Garamond"/>
          <w:sz w:val="24"/>
          <w:szCs w:val="24"/>
        </w:rPr>
        <w:t xml:space="preserve"> b</w:t>
      </w:r>
      <w:r w:rsidR="006218BA">
        <w:rPr>
          <w:rFonts w:ascii="Garamond" w:hAnsi="Garamond"/>
          <w:sz w:val="24"/>
          <w:szCs w:val="24"/>
        </w:rPr>
        <w:t xml:space="preserve">eing a member of a </w:t>
      </w:r>
      <w:r w:rsidR="006218BA" w:rsidRPr="009B413A">
        <w:rPr>
          <w:rFonts w:ascii="Garamond" w:hAnsi="Garamond"/>
          <w:sz w:val="24"/>
          <w:szCs w:val="24"/>
        </w:rPr>
        <w:t>non-marginalized community</w:t>
      </w:r>
      <w:r w:rsidR="006218BA">
        <w:rPr>
          <w:rFonts w:ascii="Garamond" w:hAnsi="Garamond"/>
          <w:sz w:val="24"/>
          <w:szCs w:val="24"/>
        </w:rPr>
        <w:t xml:space="preserve"> is correlated </w:t>
      </w:r>
      <w:r w:rsidR="00680920">
        <w:rPr>
          <w:rFonts w:ascii="Garamond" w:hAnsi="Garamond"/>
          <w:sz w:val="24"/>
          <w:szCs w:val="24"/>
        </w:rPr>
        <w:t xml:space="preserve">with high socioeconomic </w:t>
      </w:r>
      <w:r w:rsidR="00680920">
        <w:rPr>
          <w:rFonts w:ascii="Garamond" w:hAnsi="Garamond"/>
          <w:sz w:val="24"/>
          <w:szCs w:val="24"/>
        </w:rPr>
        <w:lastRenderedPageBreak/>
        <w:t>status, and</w:t>
      </w:r>
      <w:r w:rsidR="006218BA">
        <w:rPr>
          <w:rFonts w:ascii="Garamond" w:hAnsi="Garamond"/>
          <w:sz w:val="24"/>
          <w:szCs w:val="24"/>
        </w:rPr>
        <w:t xml:space="preserve"> high socioeconomic st</w:t>
      </w:r>
      <w:r w:rsidR="00A535B6">
        <w:rPr>
          <w:rFonts w:ascii="Garamond" w:hAnsi="Garamond"/>
          <w:sz w:val="24"/>
          <w:szCs w:val="24"/>
        </w:rPr>
        <w:t>atus</w:t>
      </w:r>
      <w:r w:rsidR="00680920">
        <w:rPr>
          <w:rFonts w:ascii="Garamond" w:hAnsi="Garamond"/>
          <w:sz w:val="24"/>
          <w:szCs w:val="24"/>
        </w:rPr>
        <w:t xml:space="preserve"> individuals</w:t>
      </w:r>
      <w:r w:rsidR="00A535B6">
        <w:rPr>
          <w:rFonts w:ascii="Garamond" w:hAnsi="Garamond"/>
          <w:sz w:val="24"/>
          <w:szCs w:val="24"/>
        </w:rPr>
        <w:t xml:space="preserve"> </w:t>
      </w:r>
      <w:r w:rsidR="00C34CDC">
        <w:rPr>
          <w:rFonts w:ascii="Garamond" w:hAnsi="Garamond"/>
          <w:sz w:val="24"/>
          <w:szCs w:val="24"/>
        </w:rPr>
        <w:t xml:space="preserve">are perceived to </w:t>
      </w:r>
      <w:r w:rsidR="00A535B6">
        <w:rPr>
          <w:rFonts w:ascii="Garamond" w:hAnsi="Garamond"/>
          <w:sz w:val="24"/>
          <w:szCs w:val="24"/>
        </w:rPr>
        <w:t xml:space="preserve">exhibit qualities </w:t>
      </w:r>
      <w:r w:rsidR="00680920">
        <w:rPr>
          <w:rFonts w:ascii="Garamond" w:hAnsi="Garamond"/>
          <w:sz w:val="24"/>
          <w:szCs w:val="24"/>
        </w:rPr>
        <w:t xml:space="preserve">highly </w:t>
      </w:r>
      <w:r w:rsidR="00A535B6">
        <w:rPr>
          <w:rFonts w:ascii="Garamond" w:hAnsi="Garamond"/>
          <w:sz w:val="24"/>
          <w:szCs w:val="24"/>
        </w:rPr>
        <w:t>correlated with trustworthiness.</w:t>
      </w:r>
      <w:r w:rsidR="006C6111" w:rsidRPr="006C6111">
        <w:rPr>
          <w:rFonts w:ascii="Garamond" w:hAnsi="Garamond"/>
        </w:rPr>
        <w:t xml:space="preserve"> </w:t>
      </w:r>
      <w:r w:rsidR="006C6111">
        <w:rPr>
          <w:rFonts w:ascii="Garamond" w:hAnsi="Garamond"/>
        </w:rPr>
        <w:t>(Horwitz &amp; Dovidio</w:t>
      </w:r>
      <w:r w:rsidR="006C6111" w:rsidRPr="00C2720C">
        <w:rPr>
          <w:rFonts w:ascii="Garamond" w:hAnsi="Garamond"/>
        </w:rPr>
        <w:t xml:space="preserve"> 2017</w:t>
      </w:r>
      <w:r w:rsidR="006C6111">
        <w:rPr>
          <w:rFonts w:ascii="Garamond" w:hAnsi="Garamond"/>
        </w:rPr>
        <w:t xml:space="preserve">; </w:t>
      </w:r>
      <w:proofErr w:type="spellStart"/>
      <w:r w:rsidR="006C6111">
        <w:rPr>
          <w:rFonts w:ascii="Garamond" w:hAnsi="Garamond"/>
        </w:rPr>
        <w:t>Oosterof</w:t>
      </w:r>
      <w:proofErr w:type="spellEnd"/>
      <w:r w:rsidR="006C6111">
        <w:rPr>
          <w:rFonts w:ascii="Garamond" w:hAnsi="Garamond"/>
        </w:rPr>
        <w:t xml:space="preserve"> &amp; </w:t>
      </w:r>
      <w:proofErr w:type="spellStart"/>
      <w:r w:rsidR="006C6111">
        <w:rPr>
          <w:rFonts w:ascii="Garamond" w:hAnsi="Garamond"/>
        </w:rPr>
        <w:t>Todorov</w:t>
      </w:r>
      <w:proofErr w:type="spellEnd"/>
      <w:r w:rsidR="006C6111" w:rsidRPr="00C2720C">
        <w:rPr>
          <w:rFonts w:ascii="Garamond" w:hAnsi="Garamond"/>
        </w:rPr>
        <w:t xml:space="preserve"> 2008</w:t>
      </w:r>
      <w:r w:rsidR="006C6111">
        <w:rPr>
          <w:rFonts w:ascii="Garamond" w:hAnsi="Garamond"/>
        </w:rPr>
        <w:t xml:space="preserve">) </w:t>
      </w:r>
      <w:r w:rsidR="00612CE7">
        <w:rPr>
          <w:rFonts w:ascii="Garamond" w:hAnsi="Garamond"/>
          <w:sz w:val="24"/>
          <w:szCs w:val="24"/>
        </w:rPr>
        <w:t>Hence, e</w:t>
      </w:r>
      <w:r w:rsidR="00127BAD">
        <w:rPr>
          <w:rFonts w:ascii="Garamond" w:hAnsi="Garamond"/>
          <w:sz w:val="24"/>
          <w:szCs w:val="24"/>
        </w:rPr>
        <w:t>vidence of adequate social support offered by m</w:t>
      </w:r>
      <w:r w:rsidR="00A535B6">
        <w:rPr>
          <w:rFonts w:ascii="Garamond" w:hAnsi="Garamond"/>
          <w:sz w:val="24"/>
          <w:szCs w:val="24"/>
        </w:rPr>
        <w:t>embers of non-marginalized communities to re</w:t>
      </w:r>
      <w:r w:rsidR="00127BAD">
        <w:rPr>
          <w:rFonts w:ascii="Garamond" w:hAnsi="Garamond"/>
          <w:sz w:val="24"/>
          <w:szCs w:val="24"/>
        </w:rPr>
        <w:t xml:space="preserve">view committees is </w:t>
      </w:r>
      <w:r w:rsidR="00612CE7">
        <w:rPr>
          <w:rFonts w:ascii="Garamond" w:hAnsi="Garamond"/>
          <w:sz w:val="24"/>
          <w:szCs w:val="24"/>
        </w:rPr>
        <w:t>likely</w:t>
      </w:r>
      <w:r w:rsidR="00127BAD">
        <w:rPr>
          <w:rFonts w:ascii="Garamond" w:hAnsi="Garamond"/>
          <w:sz w:val="24"/>
          <w:szCs w:val="24"/>
        </w:rPr>
        <w:t xml:space="preserve"> scrutinized to a lesser extent</w:t>
      </w:r>
      <w:r w:rsidR="00612CE7">
        <w:rPr>
          <w:rFonts w:ascii="Garamond" w:hAnsi="Garamond"/>
          <w:sz w:val="24"/>
          <w:szCs w:val="24"/>
        </w:rPr>
        <w:t xml:space="preserve"> and deemed more supportive</w:t>
      </w:r>
      <w:r w:rsidR="00127BAD">
        <w:rPr>
          <w:rFonts w:ascii="Garamond" w:hAnsi="Garamond"/>
          <w:sz w:val="24"/>
          <w:szCs w:val="24"/>
        </w:rPr>
        <w:t xml:space="preserve"> than comparable evidence offered by members of marginalized communities. </w:t>
      </w:r>
      <w:bookmarkStart w:id="0" w:name="_GoBack"/>
      <w:bookmarkEnd w:id="0"/>
      <w:r w:rsidR="006E43C7">
        <w:rPr>
          <w:rFonts w:ascii="Garamond" w:hAnsi="Garamond"/>
          <w:sz w:val="24"/>
          <w:szCs w:val="24"/>
        </w:rPr>
        <w:t>Altogether</w:t>
      </w:r>
      <w:r w:rsidR="00D06728" w:rsidRPr="00C34CDC">
        <w:rPr>
          <w:rFonts w:ascii="Garamond" w:hAnsi="Garamond"/>
          <w:sz w:val="24"/>
          <w:szCs w:val="24"/>
        </w:rPr>
        <w:t>, the</w:t>
      </w:r>
      <w:r w:rsidR="00D06728">
        <w:rPr>
          <w:rFonts w:ascii="Garamond" w:hAnsi="Garamond"/>
          <w:sz w:val="24"/>
          <w:szCs w:val="24"/>
        </w:rPr>
        <w:t xml:space="preserve"> interplay of </w:t>
      </w:r>
      <w:r w:rsidR="0004543A" w:rsidRPr="006E43C7">
        <w:rPr>
          <w:rFonts w:ascii="Garamond" w:hAnsi="Garamond"/>
          <w:sz w:val="24"/>
          <w:szCs w:val="24"/>
        </w:rPr>
        <w:t>credibility deficits with respect to</w:t>
      </w:r>
      <w:r w:rsidR="00D06728" w:rsidRPr="006E43C7">
        <w:rPr>
          <w:rFonts w:ascii="Garamond" w:hAnsi="Garamond"/>
          <w:sz w:val="24"/>
          <w:szCs w:val="24"/>
        </w:rPr>
        <w:t xml:space="preserve"> marginalized individuals and credibility excess</w:t>
      </w:r>
      <w:r w:rsidR="0004543A">
        <w:rPr>
          <w:rFonts w:ascii="Garamond" w:hAnsi="Garamond"/>
          <w:sz w:val="24"/>
          <w:szCs w:val="24"/>
        </w:rPr>
        <w:t>es with respect to</w:t>
      </w:r>
      <w:r w:rsidR="00D06728">
        <w:rPr>
          <w:rFonts w:ascii="Garamond" w:hAnsi="Garamond"/>
          <w:sz w:val="24"/>
          <w:szCs w:val="24"/>
        </w:rPr>
        <w:t xml:space="preserve"> non-marginalized individuals magnifies the extent to which equal access to treatment for those with equal need is likely undermined</w:t>
      </w:r>
      <w:r w:rsidR="00D06728" w:rsidRPr="00C34CDC">
        <w:rPr>
          <w:rFonts w:ascii="Garamond" w:hAnsi="Garamond"/>
          <w:sz w:val="24"/>
          <w:szCs w:val="24"/>
        </w:rPr>
        <w:t>.</w:t>
      </w:r>
      <w:r w:rsidR="00D06728">
        <w:rPr>
          <w:rFonts w:ascii="Garamond" w:hAnsi="Garamond"/>
          <w:sz w:val="24"/>
          <w:szCs w:val="24"/>
        </w:rPr>
        <w:t xml:space="preserve">  </w:t>
      </w:r>
    </w:p>
    <w:p w:rsidR="00612CE7" w:rsidRDefault="006E43C7" w:rsidP="00C2720C">
      <w:pPr>
        <w:ind w:firstLine="720"/>
        <w:rPr>
          <w:rFonts w:ascii="Garamond" w:hAnsi="Garamond"/>
          <w:sz w:val="24"/>
          <w:szCs w:val="24"/>
        </w:rPr>
      </w:pPr>
      <w:r>
        <w:rPr>
          <w:rFonts w:ascii="Garamond" w:hAnsi="Garamond"/>
          <w:sz w:val="24"/>
          <w:szCs w:val="24"/>
        </w:rPr>
        <w:t>A more positive consequence of framing</w:t>
      </w:r>
      <w:r w:rsidR="00B352B8">
        <w:rPr>
          <w:rFonts w:ascii="Garamond" w:hAnsi="Garamond"/>
          <w:sz w:val="24"/>
          <w:szCs w:val="24"/>
        </w:rPr>
        <w:t xml:space="preserve"> Berry, Daniels, and </w:t>
      </w:r>
      <w:proofErr w:type="spellStart"/>
      <w:r w:rsidR="00B352B8">
        <w:rPr>
          <w:rFonts w:ascii="Garamond" w:hAnsi="Garamond"/>
          <w:sz w:val="24"/>
          <w:szCs w:val="24"/>
        </w:rPr>
        <w:t>Ladin’s</w:t>
      </w:r>
      <w:proofErr w:type="spellEnd"/>
      <w:r w:rsidR="00B352B8">
        <w:rPr>
          <w:rFonts w:ascii="Garamond" w:hAnsi="Garamond"/>
          <w:sz w:val="24"/>
          <w:szCs w:val="24"/>
        </w:rPr>
        <w:t xml:space="preserve"> moral criticism in t</w:t>
      </w:r>
      <w:r>
        <w:rPr>
          <w:rFonts w:ascii="Garamond" w:hAnsi="Garamond"/>
          <w:sz w:val="24"/>
          <w:szCs w:val="24"/>
        </w:rPr>
        <w:t>erms of varieties of testimonial injustice</w:t>
      </w:r>
      <w:r w:rsidR="00B352B8">
        <w:rPr>
          <w:rFonts w:ascii="Garamond" w:hAnsi="Garamond"/>
          <w:sz w:val="24"/>
          <w:szCs w:val="24"/>
        </w:rPr>
        <w:t xml:space="preserve"> </w:t>
      </w:r>
      <w:r>
        <w:rPr>
          <w:rFonts w:ascii="Garamond" w:hAnsi="Garamond"/>
          <w:sz w:val="24"/>
          <w:szCs w:val="24"/>
        </w:rPr>
        <w:t>is that doing so reveals</w:t>
      </w:r>
      <w:r w:rsidR="00B352B8">
        <w:rPr>
          <w:rFonts w:ascii="Garamond" w:hAnsi="Garamond"/>
          <w:sz w:val="24"/>
          <w:szCs w:val="24"/>
        </w:rPr>
        <w:t xml:space="preserve"> avenues for improving the use of the social support criterion by review committee members. For example, review committee members might cultivate </w:t>
      </w:r>
      <w:r w:rsidR="00B352B8" w:rsidRPr="00B352B8">
        <w:rPr>
          <w:rFonts w:ascii="Garamond" w:hAnsi="Garamond"/>
          <w:sz w:val="24"/>
          <w:szCs w:val="24"/>
        </w:rPr>
        <w:t>testimonial justice</w:t>
      </w:r>
      <w:r w:rsidR="00C34CDC">
        <w:rPr>
          <w:rFonts w:ascii="Garamond" w:hAnsi="Garamond"/>
          <w:sz w:val="24"/>
          <w:szCs w:val="24"/>
        </w:rPr>
        <w:t xml:space="preserve"> capacities</w:t>
      </w:r>
      <w:r w:rsidR="00B352B8">
        <w:rPr>
          <w:rFonts w:ascii="Garamond" w:hAnsi="Garamond"/>
          <w:i/>
          <w:sz w:val="24"/>
          <w:szCs w:val="24"/>
        </w:rPr>
        <w:t xml:space="preserve"> </w:t>
      </w:r>
      <w:r w:rsidR="00E41933">
        <w:rPr>
          <w:rFonts w:ascii="Garamond" w:hAnsi="Garamond"/>
          <w:sz w:val="24"/>
          <w:szCs w:val="24"/>
        </w:rPr>
        <w:t xml:space="preserve">- </w:t>
      </w:r>
      <w:r w:rsidR="00C34CDC">
        <w:rPr>
          <w:rFonts w:ascii="Garamond" w:hAnsi="Garamond"/>
          <w:sz w:val="24"/>
          <w:szCs w:val="24"/>
        </w:rPr>
        <w:t xml:space="preserve">those </w:t>
      </w:r>
      <w:r w:rsidR="00E41933">
        <w:rPr>
          <w:rFonts w:ascii="Garamond" w:hAnsi="Garamond"/>
          <w:sz w:val="24"/>
          <w:szCs w:val="24"/>
        </w:rPr>
        <w:t>needed to recognize and compensate for instances of testimonial injustices -</w:t>
      </w:r>
      <w:r w:rsidR="00B352B8">
        <w:rPr>
          <w:rFonts w:ascii="Garamond" w:hAnsi="Garamond"/>
          <w:i/>
          <w:sz w:val="24"/>
          <w:szCs w:val="24"/>
        </w:rPr>
        <w:t xml:space="preserve"> </w:t>
      </w:r>
      <w:r w:rsidR="00B352B8">
        <w:rPr>
          <w:rFonts w:ascii="Garamond" w:hAnsi="Garamond"/>
          <w:sz w:val="24"/>
          <w:szCs w:val="24"/>
        </w:rPr>
        <w:t>to r</w:t>
      </w:r>
      <w:r>
        <w:rPr>
          <w:rFonts w:ascii="Garamond" w:hAnsi="Garamond"/>
          <w:sz w:val="24"/>
          <w:szCs w:val="24"/>
        </w:rPr>
        <w:t>emedy unwarranted credibility deficits and excesses</w:t>
      </w:r>
      <w:r w:rsidR="00E41933">
        <w:rPr>
          <w:rFonts w:ascii="Garamond" w:hAnsi="Garamond"/>
          <w:sz w:val="24"/>
          <w:szCs w:val="24"/>
        </w:rPr>
        <w:t>.</w:t>
      </w:r>
      <w:r w:rsidR="006C6111">
        <w:rPr>
          <w:rFonts w:ascii="Garamond" w:hAnsi="Garamond"/>
          <w:sz w:val="24"/>
          <w:szCs w:val="24"/>
        </w:rPr>
        <w:t xml:space="preserve"> (</w:t>
      </w:r>
      <w:r w:rsidR="006C6111">
        <w:rPr>
          <w:rFonts w:ascii="Garamond" w:hAnsi="Garamond"/>
        </w:rPr>
        <w:t>Fricker</w:t>
      </w:r>
      <w:r w:rsidR="006C6111" w:rsidRPr="00C2720C">
        <w:rPr>
          <w:rFonts w:ascii="Garamond" w:hAnsi="Garamond"/>
        </w:rPr>
        <w:t xml:space="preserve"> 2007</w:t>
      </w:r>
      <w:r w:rsidR="006C6111">
        <w:rPr>
          <w:rFonts w:ascii="Garamond" w:hAnsi="Garamond"/>
        </w:rPr>
        <w:t>,</w:t>
      </w:r>
      <w:r w:rsidR="006C6111">
        <w:rPr>
          <w:rFonts w:ascii="Garamond" w:hAnsi="Garamond"/>
        </w:rPr>
        <w:t xml:space="preserve"> 2009</w:t>
      </w:r>
      <w:r w:rsidR="006C6111">
        <w:rPr>
          <w:rFonts w:ascii="Garamond" w:hAnsi="Garamond"/>
        </w:rPr>
        <w:t>)</w:t>
      </w:r>
      <w:r w:rsidR="00E41933">
        <w:rPr>
          <w:rFonts w:ascii="Garamond" w:hAnsi="Garamond"/>
          <w:sz w:val="24"/>
          <w:szCs w:val="24"/>
        </w:rPr>
        <w:t xml:space="preserve"> </w:t>
      </w:r>
      <w:r w:rsidR="00F471BD">
        <w:rPr>
          <w:rFonts w:ascii="Garamond" w:hAnsi="Garamond"/>
          <w:sz w:val="24"/>
          <w:szCs w:val="24"/>
        </w:rPr>
        <w:t xml:space="preserve">With respect to members of marginalized communities, review committee who have cultivated </w:t>
      </w:r>
      <w:r>
        <w:rPr>
          <w:rFonts w:ascii="Garamond" w:hAnsi="Garamond"/>
          <w:sz w:val="24"/>
          <w:szCs w:val="24"/>
        </w:rPr>
        <w:t>capacities</w:t>
      </w:r>
      <w:r w:rsidR="00F471BD">
        <w:rPr>
          <w:rFonts w:ascii="Garamond" w:hAnsi="Garamond"/>
          <w:sz w:val="24"/>
          <w:szCs w:val="24"/>
        </w:rPr>
        <w:t xml:space="preserve"> of testimonial justice will be aware of how implicit bias influences judgments of testimony, </w:t>
      </w:r>
      <w:r>
        <w:rPr>
          <w:rFonts w:ascii="Garamond" w:hAnsi="Garamond"/>
          <w:sz w:val="24"/>
          <w:szCs w:val="24"/>
        </w:rPr>
        <w:t xml:space="preserve">will </w:t>
      </w:r>
      <w:r w:rsidR="00F471BD">
        <w:rPr>
          <w:rFonts w:ascii="Garamond" w:hAnsi="Garamond"/>
          <w:sz w:val="24"/>
          <w:szCs w:val="24"/>
        </w:rPr>
        <w:t xml:space="preserve">exhibit a disposition to initially suspend credibility judgments when presented with testimony, and </w:t>
      </w:r>
      <w:r w:rsidR="003E7C92">
        <w:rPr>
          <w:rFonts w:ascii="Garamond" w:hAnsi="Garamond"/>
          <w:sz w:val="24"/>
          <w:szCs w:val="24"/>
        </w:rPr>
        <w:t xml:space="preserve">a </w:t>
      </w:r>
      <w:r w:rsidR="00F471BD">
        <w:rPr>
          <w:rFonts w:ascii="Garamond" w:hAnsi="Garamond"/>
          <w:sz w:val="24"/>
          <w:szCs w:val="24"/>
        </w:rPr>
        <w:t>willingness to revisit and revise such judgments on reflection. Importantly, review committee members will be aware perceived inadequacy o</w:t>
      </w:r>
      <w:r>
        <w:rPr>
          <w:rFonts w:ascii="Garamond" w:hAnsi="Garamond"/>
          <w:sz w:val="24"/>
          <w:szCs w:val="24"/>
        </w:rPr>
        <w:t>r even unintelligibility of</w:t>
      </w:r>
      <w:r w:rsidR="00F471BD">
        <w:rPr>
          <w:rFonts w:ascii="Garamond" w:hAnsi="Garamond"/>
          <w:sz w:val="24"/>
          <w:szCs w:val="24"/>
        </w:rPr>
        <w:t xml:space="preserve"> evidence </w:t>
      </w:r>
      <w:r>
        <w:rPr>
          <w:rFonts w:ascii="Garamond" w:hAnsi="Garamond"/>
          <w:sz w:val="24"/>
          <w:szCs w:val="24"/>
        </w:rPr>
        <w:t xml:space="preserve">offered to establish adequate social support </w:t>
      </w:r>
      <w:r w:rsidR="00F471BD">
        <w:rPr>
          <w:rFonts w:ascii="Garamond" w:hAnsi="Garamond"/>
          <w:sz w:val="24"/>
          <w:szCs w:val="24"/>
        </w:rPr>
        <w:t xml:space="preserve">might be a function not of the testifier’s </w:t>
      </w:r>
      <w:r w:rsidR="009B413A">
        <w:rPr>
          <w:rFonts w:ascii="Garamond" w:hAnsi="Garamond"/>
          <w:sz w:val="24"/>
          <w:szCs w:val="24"/>
        </w:rPr>
        <w:t>lack of</w:t>
      </w:r>
      <w:r w:rsidR="00F471BD">
        <w:rPr>
          <w:rFonts w:ascii="Garamond" w:hAnsi="Garamond"/>
          <w:sz w:val="24"/>
          <w:szCs w:val="24"/>
        </w:rPr>
        <w:t xml:space="preserve"> suffi</w:t>
      </w:r>
      <w:r>
        <w:rPr>
          <w:rFonts w:ascii="Garamond" w:hAnsi="Garamond"/>
          <w:sz w:val="24"/>
          <w:szCs w:val="24"/>
        </w:rPr>
        <w:t>cient evidence, but instead of the reviewer’s own prejudice,</w:t>
      </w:r>
      <w:r w:rsidR="00F471BD">
        <w:rPr>
          <w:rFonts w:ascii="Garamond" w:hAnsi="Garamond"/>
          <w:sz w:val="24"/>
          <w:szCs w:val="24"/>
        </w:rPr>
        <w:t xml:space="preserve"> warranting adjustment or suspension of credibility assessments of the speaker accordingly.</w:t>
      </w:r>
      <w:r w:rsidR="006C6111" w:rsidRPr="006C6111">
        <w:rPr>
          <w:rFonts w:ascii="Garamond" w:hAnsi="Garamond"/>
        </w:rPr>
        <w:t xml:space="preserve"> </w:t>
      </w:r>
      <w:r w:rsidR="006C6111">
        <w:rPr>
          <w:rFonts w:ascii="Garamond" w:hAnsi="Garamond"/>
        </w:rPr>
        <w:t>(Fricker, 2007, pg. 7)</w:t>
      </w:r>
      <w:r w:rsidR="00F471BD">
        <w:rPr>
          <w:rFonts w:ascii="Garamond" w:hAnsi="Garamond"/>
          <w:sz w:val="24"/>
          <w:szCs w:val="24"/>
        </w:rPr>
        <w:t xml:space="preserve"> With respect to members of non-marginalized communities, review committee</w:t>
      </w:r>
      <w:r w:rsidR="003E7C92">
        <w:rPr>
          <w:rFonts w:ascii="Garamond" w:hAnsi="Garamond"/>
          <w:sz w:val="24"/>
          <w:szCs w:val="24"/>
        </w:rPr>
        <w:t xml:space="preserve"> members</w:t>
      </w:r>
      <w:r w:rsidR="00F471BD">
        <w:rPr>
          <w:rFonts w:ascii="Garamond" w:hAnsi="Garamond"/>
          <w:sz w:val="24"/>
          <w:szCs w:val="24"/>
        </w:rPr>
        <w:t xml:space="preserve"> who have cultivated habits of testimonial </w:t>
      </w:r>
      <w:r>
        <w:rPr>
          <w:rFonts w:ascii="Garamond" w:hAnsi="Garamond"/>
          <w:sz w:val="24"/>
          <w:szCs w:val="24"/>
        </w:rPr>
        <w:t>justice will similarly be sensitive to the possibility that the</w:t>
      </w:r>
      <w:r w:rsidR="003E7C92">
        <w:rPr>
          <w:rFonts w:ascii="Garamond" w:hAnsi="Garamond"/>
          <w:sz w:val="24"/>
          <w:szCs w:val="24"/>
        </w:rPr>
        <w:t xml:space="preserve"> </w:t>
      </w:r>
      <w:r w:rsidR="00F471BD">
        <w:rPr>
          <w:rFonts w:ascii="Garamond" w:hAnsi="Garamond"/>
          <w:sz w:val="24"/>
          <w:szCs w:val="24"/>
        </w:rPr>
        <w:t xml:space="preserve">perceived adequacy and intelligibility of evidence for social support </w:t>
      </w:r>
      <w:r>
        <w:rPr>
          <w:rFonts w:ascii="Garamond" w:hAnsi="Garamond"/>
          <w:sz w:val="24"/>
          <w:szCs w:val="24"/>
        </w:rPr>
        <w:t>may owe to</w:t>
      </w:r>
      <w:r w:rsidR="00F471BD">
        <w:rPr>
          <w:rFonts w:ascii="Garamond" w:hAnsi="Garamond"/>
          <w:sz w:val="24"/>
          <w:szCs w:val="24"/>
        </w:rPr>
        <w:t xml:space="preserve"> unwarranted credibility excess. </w:t>
      </w:r>
      <w:r w:rsidR="00703D31">
        <w:rPr>
          <w:rFonts w:ascii="Garamond" w:hAnsi="Garamond"/>
          <w:sz w:val="24"/>
          <w:szCs w:val="24"/>
        </w:rPr>
        <w:t>Testimonial justice in this context may be exhibited by review committee mem</w:t>
      </w:r>
      <w:r>
        <w:rPr>
          <w:rFonts w:ascii="Garamond" w:hAnsi="Garamond"/>
          <w:sz w:val="24"/>
          <w:szCs w:val="24"/>
        </w:rPr>
        <w:t xml:space="preserve">ber dispositions to </w:t>
      </w:r>
      <w:r w:rsidR="00703D31">
        <w:rPr>
          <w:rFonts w:ascii="Garamond" w:hAnsi="Garamond"/>
          <w:sz w:val="24"/>
          <w:szCs w:val="24"/>
        </w:rPr>
        <w:t>compare past evaluations of evidence of social support offered by member</w:t>
      </w:r>
      <w:r>
        <w:rPr>
          <w:rFonts w:ascii="Garamond" w:hAnsi="Garamond"/>
          <w:sz w:val="24"/>
          <w:szCs w:val="24"/>
        </w:rPr>
        <w:t xml:space="preserve">s of marginalized communities with evaluation of evidence </w:t>
      </w:r>
      <w:r w:rsidR="00703D31">
        <w:rPr>
          <w:rFonts w:ascii="Garamond" w:hAnsi="Garamond"/>
          <w:sz w:val="24"/>
          <w:szCs w:val="24"/>
        </w:rPr>
        <w:t>by members of non-marginali</w:t>
      </w:r>
      <w:r>
        <w:rPr>
          <w:rFonts w:ascii="Garamond" w:hAnsi="Garamond"/>
          <w:sz w:val="24"/>
          <w:szCs w:val="24"/>
        </w:rPr>
        <w:t xml:space="preserve">zed communities, </w:t>
      </w:r>
      <w:r w:rsidR="00703D31">
        <w:rPr>
          <w:rFonts w:ascii="Garamond" w:hAnsi="Garamond"/>
          <w:sz w:val="24"/>
          <w:szCs w:val="24"/>
        </w:rPr>
        <w:t xml:space="preserve">compare time spent evaluating evidence from both sources, and examine varieties of evidence deemed relevant or irrelevant. </w:t>
      </w:r>
    </w:p>
    <w:p w:rsidR="00C2720C" w:rsidRDefault="00C2720C" w:rsidP="00246F8C">
      <w:pPr>
        <w:ind w:firstLine="720"/>
        <w:rPr>
          <w:rFonts w:ascii="Garamond" w:hAnsi="Garamond"/>
          <w:sz w:val="24"/>
          <w:szCs w:val="24"/>
        </w:rPr>
      </w:pPr>
      <w:r>
        <w:rPr>
          <w:rFonts w:ascii="Garamond" w:hAnsi="Garamond"/>
          <w:sz w:val="24"/>
          <w:szCs w:val="24"/>
        </w:rPr>
        <w:t xml:space="preserve">Lastly, explicating Berry, Daniels, and </w:t>
      </w:r>
      <w:proofErr w:type="spellStart"/>
      <w:r>
        <w:rPr>
          <w:rFonts w:ascii="Garamond" w:hAnsi="Garamond"/>
          <w:sz w:val="24"/>
          <w:szCs w:val="24"/>
        </w:rPr>
        <w:t>Ladin’s</w:t>
      </w:r>
      <w:proofErr w:type="spellEnd"/>
      <w:r>
        <w:rPr>
          <w:rFonts w:ascii="Garamond" w:hAnsi="Garamond"/>
          <w:sz w:val="24"/>
          <w:szCs w:val="24"/>
        </w:rPr>
        <w:t xml:space="preserve"> moral criticism through the lens of testimonial (in</w:t>
      </w:r>
      <w:proofErr w:type="gramStart"/>
      <w:r>
        <w:rPr>
          <w:rFonts w:ascii="Garamond" w:hAnsi="Garamond"/>
          <w:sz w:val="24"/>
          <w:szCs w:val="24"/>
        </w:rPr>
        <w:t>)justice</w:t>
      </w:r>
      <w:proofErr w:type="gramEnd"/>
      <w:r w:rsidR="00246F8C">
        <w:rPr>
          <w:rFonts w:ascii="Garamond" w:hAnsi="Garamond"/>
          <w:sz w:val="24"/>
          <w:szCs w:val="24"/>
        </w:rPr>
        <w:t xml:space="preserve"> fits well </w:t>
      </w:r>
      <w:r>
        <w:rPr>
          <w:rFonts w:ascii="Garamond" w:hAnsi="Garamond"/>
          <w:sz w:val="24"/>
          <w:szCs w:val="24"/>
        </w:rPr>
        <w:t>with the authors’ concluding suggestion that the social support criterion should be used to determine individuals who need</w:t>
      </w:r>
      <w:r w:rsidR="009B413A">
        <w:rPr>
          <w:rFonts w:ascii="Garamond" w:hAnsi="Garamond"/>
          <w:sz w:val="24"/>
          <w:szCs w:val="24"/>
        </w:rPr>
        <w:t xml:space="preserve"> institutional</w:t>
      </w:r>
      <w:r>
        <w:rPr>
          <w:rFonts w:ascii="Garamond" w:hAnsi="Garamond"/>
          <w:sz w:val="24"/>
          <w:szCs w:val="24"/>
        </w:rPr>
        <w:t xml:space="preserve"> </w:t>
      </w:r>
      <w:r w:rsidRPr="009B413A">
        <w:rPr>
          <w:rFonts w:ascii="Garamond" w:hAnsi="Garamond"/>
          <w:sz w:val="24"/>
          <w:szCs w:val="24"/>
        </w:rPr>
        <w:t>assistance</w:t>
      </w:r>
      <w:r>
        <w:rPr>
          <w:rFonts w:ascii="Garamond" w:hAnsi="Garamond"/>
          <w:sz w:val="24"/>
          <w:szCs w:val="24"/>
        </w:rPr>
        <w:t xml:space="preserve"> rather than as a sieve for eliminating care.</w:t>
      </w:r>
      <w:r w:rsidR="006C6111" w:rsidRPr="006C6111">
        <w:rPr>
          <w:rFonts w:ascii="Garamond" w:hAnsi="Garamond"/>
        </w:rPr>
        <w:t xml:space="preserve"> </w:t>
      </w:r>
      <w:r w:rsidR="006C6111" w:rsidRPr="00C2720C">
        <w:rPr>
          <w:rFonts w:ascii="Garamond" w:hAnsi="Garamond"/>
        </w:rPr>
        <w:t>(Berry, et. al. 2019</w:t>
      </w:r>
      <w:r w:rsidR="006C6111">
        <w:rPr>
          <w:rFonts w:ascii="Garamond" w:hAnsi="Garamond"/>
        </w:rPr>
        <w:t>, pg. 18</w:t>
      </w:r>
      <w:r w:rsidR="006C6111">
        <w:rPr>
          <w:rFonts w:ascii="Garamond" w:hAnsi="Garamond"/>
        </w:rPr>
        <w:t>)</w:t>
      </w:r>
      <w:r>
        <w:rPr>
          <w:rFonts w:ascii="Garamond" w:hAnsi="Garamond"/>
          <w:sz w:val="24"/>
          <w:szCs w:val="24"/>
        </w:rPr>
        <w:t xml:space="preserve"> </w:t>
      </w:r>
      <w:r w:rsidR="00246F8C">
        <w:rPr>
          <w:rFonts w:ascii="Garamond" w:hAnsi="Garamond"/>
          <w:sz w:val="24"/>
          <w:szCs w:val="24"/>
        </w:rPr>
        <w:t xml:space="preserve">Review committee members sensitive to testimonial injustice who have cultivated capacities of testimonial justice will be equipped to assess presented evidence of social support more accurately, as they will be more aware of how </w:t>
      </w:r>
      <w:r w:rsidR="006E43C7">
        <w:rPr>
          <w:rFonts w:ascii="Garamond" w:hAnsi="Garamond"/>
          <w:sz w:val="24"/>
          <w:szCs w:val="24"/>
        </w:rPr>
        <w:t xml:space="preserve">prejudice and </w:t>
      </w:r>
      <w:r w:rsidR="00246F8C">
        <w:rPr>
          <w:rFonts w:ascii="Garamond" w:hAnsi="Garamond"/>
          <w:sz w:val="24"/>
          <w:szCs w:val="24"/>
        </w:rPr>
        <w:t>biase</w:t>
      </w:r>
      <w:r w:rsidR="006E43C7">
        <w:rPr>
          <w:rFonts w:ascii="Garamond" w:hAnsi="Garamond"/>
          <w:sz w:val="24"/>
          <w:szCs w:val="24"/>
        </w:rPr>
        <w:t>s may influence credibility judgments</w:t>
      </w:r>
      <w:r w:rsidR="00246F8C">
        <w:rPr>
          <w:rFonts w:ascii="Garamond" w:hAnsi="Garamond"/>
          <w:sz w:val="24"/>
          <w:szCs w:val="24"/>
        </w:rPr>
        <w:t xml:space="preserve">. These </w:t>
      </w:r>
      <w:r w:rsidR="002E4746">
        <w:rPr>
          <w:rFonts w:ascii="Garamond" w:hAnsi="Garamond"/>
          <w:sz w:val="24"/>
          <w:szCs w:val="24"/>
        </w:rPr>
        <w:t>epistemically responsible</w:t>
      </w:r>
      <w:r w:rsidR="00246F8C">
        <w:rPr>
          <w:rFonts w:ascii="Garamond" w:hAnsi="Garamond"/>
          <w:sz w:val="24"/>
          <w:szCs w:val="24"/>
        </w:rPr>
        <w:t xml:space="preserve"> committee members wil</w:t>
      </w:r>
      <w:r w:rsidR="002E4746">
        <w:rPr>
          <w:rFonts w:ascii="Garamond" w:hAnsi="Garamond"/>
          <w:sz w:val="24"/>
          <w:szCs w:val="24"/>
        </w:rPr>
        <w:t>l</w:t>
      </w:r>
      <w:r w:rsidR="00246F8C">
        <w:rPr>
          <w:rFonts w:ascii="Garamond" w:hAnsi="Garamond"/>
          <w:sz w:val="24"/>
          <w:szCs w:val="24"/>
        </w:rPr>
        <w:t xml:space="preserve"> be in a position to better identify marginalized and non-marginalized individuals who lack adequate social support, in the interest of providing institutional assistance. </w:t>
      </w:r>
      <w:r w:rsidR="009B413A">
        <w:rPr>
          <w:rFonts w:ascii="Garamond" w:hAnsi="Garamond"/>
          <w:sz w:val="24"/>
          <w:szCs w:val="24"/>
        </w:rPr>
        <w:t xml:space="preserve"> </w:t>
      </w:r>
    </w:p>
    <w:p w:rsidR="00BC7920" w:rsidRPr="00970503" w:rsidRDefault="00970503" w:rsidP="00970503">
      <w:pPr>
        <w:jc w:val="center"/>
        <w:rPr>
          <w:rFonts w:ascii="Garamond" w:hAnsi="Garamond"/>
          <w:b/>
          <w:sz w:val="24"/>
          <w:szCs w:val="24"/>
        </w:rPr>
      </w:pPr>
      <w:r w:rsidRPr="00970503">
        <w:rPr>
          <w:rFonts w:ascii="Garamond" w:hAnsi="Garamond"/>
          <w:b/>
          <w:sz w:val="24"/>
          <w:szCs w:val="24"/>
        </w:rPr>
        <w:t>Works Cited</w:t>
      </w:r>
    </w:p>
    <w:p w:rsidR="00970503" w:rsidRDefault="00970503" w:rsidP="0004543A">
      <w:pPr>
        <w:spacing w:after="0" w:line="240" w:lineRule="auto"/>
        <w:ind w:left="720" w:hanging="720"/>
        <w:rPr>
          <w:rFonts w:ascii="Garamond" w:hAnsi="Garamond"/>
          <w:sz w:val="20"/>
          <w:szCs w:val="20"/>
        </w:rPr>
      </w:pPr>
      <w:r>
        <w:rPr>
          <w:rFonts w:ascii="Garamond" w:hAnsi="Garamond"/>
          <w:sz w:val="20"/>
          <w:szCs w:val="20"/>
        </w:rPr>
        <w:t>Berry</w:t>
      </w:r>
      <w:r w:rsidR="00680069">
        <w:rPr>
          <w:rFonts w:ascii="Garamond" w:hAnsi="Garamond"/>
          <w:sz w:val="20"/>
          <w:szCs w:val="20"/>
        </w:rPr>
        <w:t>, K</w:t>
      </w:r>
      <w:r w:rsidR="006C6111">
        <w:rPr>
          <w:rFonts w:ascii="Garamond" w:hAnsi="Garamond"/>
          <w:sz w:val="20"/>
          <w:szCs w:val="20"/>
        </w:rPr>
        <w:t xml:space="preserve">., Daniels, N., </w:t>
      </w:r>
      <w:proofErr w:type="spellStart"/>
      <w:r w:rsidR="006C6111">
        <w:rPr>
          <w:rFonts w:ascii="Garamond" w:hAnsi="Garamond"/>
          <w:sz w:val="20"/>
          <w:szCs w:val="20"/>
        </w:rPr>
        <w:t>Ladin</w:t>
      </w:r>
      <w:proofErr w:type="spellEnd"/>
      <w:r w:rsidR="006C6111">
        <w:rPr>
          <w:rFonts w:ascii="Garamond" w:hAnsi="Garamond"/>
          <w:sz w:val="20"/>
          <w:szCs w:val="20"/>
        </w:rPr>
        <w:t>, K. 2018</w:t>
      </w:r>
      <w:r w:rsidR="00680069">
        <w:rPr>
          <w:rFonts w:ascii="Garamond" w:hAnsi="Garamond"/>
          <w:sz w:val="20"/>
          <w:szCs w:val="20"/>
        </w:rPr>
        <w:t xml:space="preserve">. </w:t>
      </w:r>
      <w:r w:rsidR="00680069" w:rsidRPr="006C6111">
        <w:rPr>
          <w:rFonts w:ascii="Garamond" w:hAnsi="Garamond"/>
          <w:sz w:val="20"/>
          <w:szCs w:val="20"/>
        </w:rPr>
        <w:t>Should Lack of Social Support Prevent Access to Organ Transplantation?</w:t>
      </w:r>
      <w:r w:rsidR="00680069">
        <w:rPr>
          <w:rFonts w:ascii="Garamond" w:hAnsi="Garamond"/>
          <w:sz w:val="20"/>
          <w:szCs w:val="20"/>
        </w:rPr>
        <w:t xml:space="preserve"> </w:t>
      </w:r>
      <w:r w:rsidR="00680069" w:rsidRPr="006C6111">
        <w:rPr>
          <w:rFonts w:ascii="Garamond" w:hAnsi="Garamond"/>
          <w:i/>
          <w:sz w:val="20"/>
          <w:szCs w:val="20"/>
        </w:rPr>
        <w:t>American Journal of Bioethics.</w:t>
      </w:r>
      <w:r w:rsidR="00680069">
        <w:rPr>
          <w:rFonts w:ascii="Garamond" w:hAnsi="Garamond"/>
          <w:sz w:val="20"/>
          <w:szCs w:val="20"/>
        </w:rPr>
        <w:t xml:space="preserve"> </w:t>
      </w:r>
    </w:p>
    <w:p w:rsidR="0004543A" w:rsidRDefault="006C6111" w:rsidP="0004543A">
      <w:pPr>
        <w:spacing w:after="0" w:line="240" w:lineRule="auto"/>
        <w:ind w:left="720" w:hanging="720"/>
        <w:rPr>
          <w:rFonts w:ascii="Garamond" w:hAnsi="Garamond"/>
          <w:sz w:val="20"/>
          <w:szCs w:val="20"/>
        </w:rPr>
      </w:pPr>
      <w:proofErr w:type="spellStart"/>
      <w:r>
        <w:rPr>
          <w:rFonts w:ascii="Garamond" w:hAnsi="Garamond"/>
          <w:sz w:val="20"/>
          <w:szCs w:val="20"/>
        </w:rPr>
        <w:lastRenderedPageBreak/>
        <w:t>Carel</w:t>
      </w:r>
      <w:proofErr w:type="spellEnd"/>
      <w:r>
        <w:rPr>
          <w:rFonts w:ascii="Garamond" w:hAnsi="Garamond"/>
          <w:sz w:val="20"/>
          <w:szCs w:val="20"/>
        </w:rPr>
        <w:t>, H., Kidd, J. 2014</w:t>
      </w:r>
      <w:r w:rsidR="0004543A">
        <w:rPr>
          <w:rFonts w:ascii="Garamond" w:hAnsi="Garamond"/>
          <w:sz w:val="20"/>
          <w:szCs w:val="20"/>
        </w:rPr>
        <w:t xml:space="preserve">. </w:t>
      </w:r>
      <w:r w:rsidR="0004543A" w:rsidRPr="006C6111">
        <w:rPr>
          <w:rFonts w:ascii="Garamond" w:hAnsi="Garamond"/>
          <w:sz w:val="20"/>
          <w:szCs w:val="20"/>
        </w:rPr>
        <w:t>Epistemic Injustice in Healthcare: A Philosophical Analysis.</w:t>
      </w:r>
      <w:r w:rsidR="0004543A">
        <w:rPr>
          <w:rFonts w:ascii="Garamond" w:hAnsi="Garamond"/>
          <w:sz w:val="20"/>
          <w:szCs w:val="20"/>
        </w:rPr>
        <w:t xml:space="preserve"> </w:t>
      </w:r>
      <w:r w:rsidR="0004543A" w:rsidRPr="006C6111">
        <w:rPr>
          <w:rFonts w:ascii="Garamond" w:hAnsi="Garamond"/>
          <w:i/>
          <w:sz w:val="20"/>
          <w:szCs w:val="20"/>
        </w:rPr>
        <w:t>Medical Health Care and Philosophy.</w:t>
      </w:r>
      <w:r w:rsidR="0004543A">
        <w:rPr>
          <w:rFonts w:ascii="Garamond" w:hAnsi="Garamond"/>
          <w:sz w:val="20"/>
          <w:szCs w:val="20"/>
        </w:rPr>
        <w:t xml:space="preserve"> 17:529-40.  </w:t>
      </w:r>
    </w:p>
    <w:p w:rsidR="00970503" w:rsidRPr="00E36F38" w:rsidRDefault="006C6111" w:rsidP="0004543A">
      <w:pPr>
        <w:spacing w:after="0" w:line="240" w:lineRule="auto"/>
        <w:ind w:left="720" w:hanging="720"/>
        <w:rPr>
          <w:rFonts w:ascii="Garamond" w:hAnsi="Garamond"/>
          <w:sz w:val="20"/>
          <w:szCs w:val="20"/>
        </w:rPr>
      </w:pPr>
      <w:r>
        <w:rPr>
          <w:rFonts w:ascii="Garamond" w:hAnsi="Garamond"/>
          <w:sz w:val="20"/>
          <w:szCs w:val="20"/>
        </w:rPr>
        <w:t>Fricker, M. 2009</w:t>
      </w:r>
      <w:r w:rsidR="00970503" w:rsidRPr="00E36F38">
        <w:rPr>
          <w:rFonts w:ascii="Garamond" w:hAnsi="Garamond"/>
          <w:sz w:val="20"/>
          <w:szCs w:val="20"/>
        </w:rPr>
        <w:t xml:space="preserve">. </w:t>
      </w:r>
      <w:r w:rsidR="00970503" w:rsidRPr="006C6111">
        <w:rPr>
          <w:rFonts w:ascii="Garamond" w:hAnsi="Garamond"/>
          <w:sz w:val="20"/>
          <w:szCs w:val="20"/>
        </w:rPr>
        <w:t>Can There Be Institutional Virtues?</w:t>
      </w:r>
      <w:r w:rsidR="00970503" w:rsidRPr="00E36F38">
        <w:rPr>
          <w:rFonts w:ascii="Garamond" w:hAnsi="Garamond"/>
          <w:i/>
          <w:sz w:val="20"/>
          <w:szCs w:val="20"/>
        </w:rPr>
        <w:t xml:space="preserve"> </w:t>
      </w:r>
      <w:r w:rsidR="00970503" w:rsidRPr="00E36F38">
        <w:rPr>
          <w:rFonts w:ascii="Garamond" w:hAnsi="Garamond"/>
          <w:sz w:val="20"/>
          <w:szCs w:val="20"/>
        </w:rPr>
        <w:t xml:space="preserve"> </w:t>
      </w:r>
      <w:r w:rsidR="00970503" w:rsidRPr="006C6111">
        <w:rPr>
          <w:rFonts w:ascii="Garamond" w:hAnsi="Garamond"/>
          <w:i/>
          <w:sz w:val="20"/>
          <w:szCs w:val="20"/>
        </w:rPr>
        <w:t>Oxford Readings in Epistemology (Special Theme: Social Epistemology).</w:t>
      </w:r>
    </w:p>
    <w:p w:rsidR="00970503" w:rsidRDefault="006C6111" w:rsidP="0004543A">
      <w:pPr>
        <w:spacing w:after="0" w:line="240" w:lineRule="auto"/>
        <w:ind w:left="720" w:hanging="720"/>
        <w:rPr>
          <w:rFonts w:ascii="Garamond" w:hAnsi="Garamond"/>
          <w:sz w:val="20"/>
          <w:szCs w:val="20"/>
        </w:rPr>
      </w:pPr>
      <w:r>
        <w:rPr>
          <w:rFonts w:ascii="Garamond" w:hAnsi="Garamond"/>
          <w:sz w:val="20"/>
          <w:szCs w:val="20"/>
        </w:rPr>
        <w:t>Fricker, M. 2007</w:t>
      </w:r>
      <w:r w:rsidR="00970503" w:rsidRPr="00E36F38">
        <w:rPr>
          <w:rFonts w:ascii="Garamond" w:hAnsi="Garamond"/>
          <w:sz w:val="20"/>
          <w:szCs w:val="20"/>
        </w:rPr>
        <w:t xml:space="preserve">. </w:t>
      </w:r>
      <w:r w:rsidR="00970503" w:rsidRPr="006C6111">
        <w:rPr>
          <w:rFonts w:ascii="Garamond" w:hAnsi="Garamond"/>
          <w:sz w:val="20"/>
          <w:szCs w:val="20"/>
        </w:rPr>
        <w:t xml:space="preserve">Epistemic Injustice: Power and the Ethics of Knowing. </w:t>
      </w:r>
      <w:r w:rsidR="00970503" w:rsidRPr="006C6111">
        <w:rPr>
          <w:rFonts w:ascii="Garamond" w:hAnsi="Garamond"/>
          <w:i/>
          <w:sz w:val="20"/>
          <w:szCs w:val="20"/>
        </w:rPr>
        <w:t>Oxford and New York: Oxford University Press.</w:t>
      </w:r>
      <w:r w:rsidR="00970503" w:rsidRPr="00E36F38">
        <w:rPr>
          <w:rFonts w:ascii="Garamond" w:hAnsi="Garamond"/>
          <w:sz w:val="20"/>
          <w:szCs w:val="20"/>
        </w:rPr>
        <w:t xml:space="preserve"> </w:t>
      </w:r>
    </w:p>
    <w:p w:rsidR="0004543A" w:rsidRPr="0004543A" w:rsidRDefault="006C6111" w:rsidP="0004543A">
      <w:pPr>
        <w:spacing w:after="0" w:line="240" w:lineRule="auto"/>
        <w:ind w:left="720" w:hanging="720"/>
        <w:rPr>
          <w:rFonts w:ascii="Garamond" w:hAnsi="Garamond"/>
          <w:sz w:val="20"/>
          <w:szCs w:val="20"/>
        </w:rPr>
      </w:pPr>
      <w:r>
        <w:rPr>
          <w:rFonts w:ascii="Garamond" w:hAnsi="Garamond"/>
          <w:sz w:val="20"/>
          <w:szCs w:val="20"/>
        </w:rPr>
        <w:t>Horowitz S.R., Dovidio, J. F. 2017</w:t>
      </w:r>
      <w:r w:rsidR="0004543A">
        <w:rPr>
          <w:rFonts w:ascii="Garamond" w:hAnsi="Garamond"/>
          <w:sz w:val="20"/>
          <w:szCs w:val="20"/>
        </w:rPr>
        <w:t xml:space="preserve">. </w:t>
      </w:r>
      <w:r w:rsidR="0004543A" w:rsidRPr="006C6111">
        <w:rPr>
          <w:rFonts w:ascii="Garamond" w:hAnsi="Garamond"/>
          <w:sz w:val="20"/>
          <w:szCs w:val="20"/>
        </w:rPr>
        <w:t>The Rich – Love them or Hate them? Divergent Implicit and Explicit Attitudes towards the Wealthy.</w:t>
      </w:r>
      <w:r w:rsidR="0004543A">
        <w:rPr>
          <w:rFonts w:ascii="Garamond" w:hAnsi="Garamond"/>
          <w:sz w:val="20"/>
          <w:szCs w:val="20"/>
        </w:rPr>
        <w:t xml:space="preserve"> </w:t>
      </w:r>
      <w:r w:rsidR="0004543A" w:rsidRPr="006C6111">
        <w:rPr>
          <w:rFonts w:ascii="Garamond" w:hAnsi="Garamond"/>
          <w:i/>
          <w:sz w:val="20"/>
          <w:szCs w:val="20"/>
        </w:rPr>
        <w:t>Group Process. Intergroup Relationships.</w:t>
      </w:r>
      <w:r w:rsidR="0004543A">
        <w:rPr>
          <w:rFonts w:ascii="Garamond" w:hAnsi="Garamond"/>
          <w:sz w:val="20"/>
          <w:szCs w:val="20"/>
        </w:rPr>
        <w:t xml:space="preserve"> 20. 3-31. </w:t>
      </w:r>
    </w:p>
    <w:p w:rsidR="00970503" w:rsidRPr="00E36F38" w:rsidRDefault="006C6111" w:rsidP="0004543A">
      <w:pPr>
        <w:spacing w:after="0" w:line="240" w:lineRule="auto"/>
        <w:ind w:left="720" w:hanging="720"/>
        <w:rPr>
          <w:rFonts w:ascii="Garamond" w:hAnsi="Garamond"/>
          <w:sz w:val="20"/>
          <w:szCs w:val="20"/>
        </w:rPr>
      </w:pPr>
      <w:r>
        <w:rPr>
          <w:rFonts w:ascii="Garamond" w:hAnsi="Garamond"/>
          <w:sz w:val="20"/>
          <w:szCs w:val="20"/>
        </w:rPr>
        <w:t>Medina, J. 2017a</w:t>
      </w:r>
      <w:r w:rsidR="00970503" w:rsidRPr="00E36F38">
        <w:rPr>
          <w:rFonts w:ascii="Garamond" w:hAnsi="Garamond"/>
          <w:sz w:val="20"/>
          <w:szCs w:val="20"/>
        </w:rPr>
        <w:t xml:space="preserve">. </w:t>
      </w:r>
      <w:r w:rsidR="00970503" w:rsidRPr="006C6111">
        <w:rPr>
          <w:rFonts w:ascii="Garamond" w:hAnsi="Garamond"/>
          <w:sz w:val="20"/>
          <w:szCs w:val="20"/>
        </w:rPr>
        <w:t>Epistemic Injustice and Epistemologies of Ignorance</w:t>
      </w:r>
      <w:r w:rsidR="00970503" w:rsidRPr="00E36F38">
        <w:rPr>
          <w:rFonts w:ascii="Garamond" w:hAnsi="Garamond"/>
          <w:sz w:val="20"/>
          <w:szCs w:val="20"/>
        </w:rPr>
        <w:t xml:space="preserve">. </w:t>
      </w:r>
      <w:r w:rsidR="00970503" w:rsidRPr="006C6111">
        <w:rPr>
          <w:rFonts w:ascii="Garamond" w:hAnsi="Garamond"/>
          <w:i/>
          <w:sz w:val="20"/>
          <w:szCs w:val="20"/>
        </w:rPr>
        <w:t>The Routledge Companion to the Philosophy of Race.</w:t>
      </w:r>
      <w:r w:rsidR="00970503" w:rsidRPr="00E36F38">
        <w:rPr>
          <w:rFonts w:ascii="Garamond" w:hAnsi="Garamond"/>
          <w:sz w:val="20"/>
          <w:szCs w:val="20"/>
        </w:rPr>
        <w:t xml:space="preserve"> </w:t>
      </w:r>
    </w:p>
    <w:p w:rsidR="00970503" w:rsidRDefault="006C6111" w:rsidP="0004543A">
      <w:pPr>
        <w:spacing w:after="0" w:line="240" w:lineRule="auto"/>
        <w:ind w:left="720" w:hanging="720"/>
        <w:rPr>
          <w:rFonts w:ascii="Garamond" w:hAnsi="Garamond"/>
          <w:sz w:val="20"/>
          <w:szCs w:val="20"/>
        </w:rPr>
      </w:pPr>
      <w:r>
        <w:rPr>
          <w:rFonts w:ascii="Garamond" w:hAnsi="Garamond"/>
          <w:sz w:val="20"/>
          <w:szCs w:val="20"/>
        </w:rPr>
        <w:t>Medina, J. 2017b</w:t>
      </w:r>
      <w:r w:rsidR="00970503" w:rsidRPr="00E36F38">
        <w:rPr>
          <w:rFonts w:ascii="Garamond" w:hAnsi="Garamond"/>
          <w:sz w:val="20"/>
          <w:szCs w:val="20"/>
        </w:rPr>
        <w:t xml:space="preserve">. </w:t>
      </w:r>
      <w:r w:rsidR="00970503" w:rsidRPr="006C6111">
        <w:rPr>
          <w:rFonts w:ascii="Garamond" w:hAnsi="Garamond"/>
          <w:sz w:val="20"/>
          <w:szCs w:val="20"/>
        </w:rPr>
        <w:t>Varieties of Hermeneutical Injustice.</w:t>
      </w:r>
      <w:r w:rsidR="00970503" w:rsidRPr="00E36F38">
        <w:rPr>
          <w:rFonts w:ascii="Garamond" w:hAnsi="Garamond"/>
          <w:sz w:val="20"/>
          <w:szCs w:val="20"/>
        </w:rPr>
        <w:t xml:space="preserve"> </w:t>
      </w:r>
      <w:r w:rsidR="00970503" w:rsidRPr="006C6111">
        <w:rPr>
          <w:rFonts w:ascii="Garamond" w:hAnsi="Garamond"/>
          <w:i/>
          <w:sz w:val="20"/>
          <w:szCs w:val="20"/>
        </w:rPr>
        <w:t>The Routledge Handbook of Epistemic Injustice.</w:t>
      </w:r>
      <w:r w:rsidR="00970503" w:rsidRPr="00E36F38">
        <w:rPr>
          <w:rFonts w:ascii="Garamond" w:hAnsi="Garamond"/>
          <w:sz w:val="20"/>
          <w:szCs w:val="20"/>
        </w:rPr>
        <w:t xml:space="preserve"> </w:t>
      </w:r>
    </w:p>
    <w:p w:rsidR="0004543A" w:rsidRPr="0004543A" w:rsidRDefault="006C6111" w:rsidP="0004543A">
      <w:pPr>
        <w:spacing w:after="0" w:line="240" w:lineRule="auto"/>
        <w:ind w:left="720" w:hanging="720"/>
        <w:rPr>
          <w:rFonts w:ascii="Garamond" w:hAnsi="Garamond"/>
          <w:sz w:val="20"/>
          <w:szCs w:val="20"/>
        </w:rPr>
      </w:pPr>
      <w:proofErr w:type="spellStart"/>
      <w:r>
        <w:rPr>
          <w:rFonts w:ascii="Garamond" w:hAnsi="Garamond"/>
          <w:sz w:val="20"/>
          <w:szCs w:val="20"/>
        </w:rPr>
        <w:t>Oosterhof</w:t>
      </w:r>
      <w:proofErr w:type="spellEnd"/>
      <w:r>
        <w:rPr>
          <w:rFonts w:ascii="Garamond" w:hAnsi="Garamond"/>
          <w:sz w:val="20"/>
          <w:szCs w:val="20"/>
        </w:rPr>
        <w:t xml:space="preserve">, N.N., </w:t>
      </w:r>
      <w:proofErr w:type="spellStart"/>
      <w:r>
        <w:rPr>
          <w:rFonts w:ascii="Garamond" w:hAnsi="Garamond"/>
          <w:sz w:val="20"/>
          <w:szCs w:val="20"/>
        </w:rPr>
        <w:t>Todorov</w:t>
      </w:r>
      <w:proofErr w:type="spellEnd"/>
      <w:r>
        <w:rPr>
          <w:rFonts w:ascii="Garamond" w:hAnsi="Garamond"/>
          <w:sz w:val="20"/>
          <w:szCs w:val="20"/>
        </w:rPr>
        <w:t xml:space="preserve">, A. </w:t>
      </w:r>
      <w:r w:rsidR="0004543A">
        <w:rPr>
          <w:rFonts w:ascii="Garamond" w:hAnsi="Garamond"/>
          <w:sz w:val="20"/>
          <w:szCs w:val="20"/>
        </w:rPr>
        <w:t>2008</w:t>
      </w:r>
      <w:r>
        <w:rPr>
          <w:rFonts w:ascii="Garamond" w:hAnsi="Garamond"/>
          <w:sz w:val="20"/>
          <w:szCs w:val="20"/>
        </w:rPr>
        <w:t xml:space="preserve">. </w:t>
      </w:r>
      <w:r w:rsidR="0004543A" w:rsidRPr="006C6111">
        <w:rPr>
          <w:rFonts w:ascii="Garamond" w:hAnsi="Garamond"/>
          <w:sz w:val="20"/>
          <w:szCs w:val="20"/>
        </w:rPr>
        <w:t>The Functional Basis of Face Evaluations.</w:t>
      </w:r>
      <w:r w:rsidR="0004543A">
        <w:rPr>
          <w:rFonts w:ascii="Garamond" w:hAnsi="Garamond"/>
          <w:sz w:val="20"/>
          <w:szCs w:val="20"/>
        </w:rPr>
        <w:t xml:space="preserve"> </w:t>
      </w:r>
      <w:r w:rsidR="0004543A" w:rsidRPr="006C6111">
        <w:rPr>
          <w:rFonts w:ascii="Garamond" w:hAnsi="Garamond"/>
          <w:i/>
          <w:sz w:val="20"/>
          <w:szCs w:val="20"/>
        </w:rPr>
        <w:t>Proc. Natl. Acad. Sci.</w:t>
      </w:r>
      <w:r w:rsidR="0004543A">
        <w:rPr>
          <w:rFonts w:ascii="Garamond" w:hAnsi="Garamond"/>
          <w:sz w:val="20"/>
          <w:szCs w:val="20"/>
        </w:rPr>
        <w:t xml:space="preserve"> 105. </w:t>
      </w:r>
    </w:p>
    <w:p w:rsidR="00970503" w:rsidRPr="00680069" w:rsidRDefault="00970503" w:rsidP="0004543A">
      <w:pPr>
        <w:spacing w:after="0" w:line="240" w:lineRule="auto"/>
        <w:ind w:left="720" w:hanging="720"/>
        <w:rPr>
          <w:rFonts w:ascii="Garamond" w:hAnsi="Garamond"/>
          <w:sz w:val="20"/>
          <w:szCs w:val="20"/>
        </w:rPr>
      </w:pPr>
      <w:r>
        <w:rPr>
          <w:rFonts w:ascii="Garamond" w:hAnsi="Garamond"/>
          <w:sz w:val="20"/>
          <w:szCs w:val="20"/>
        </w:rPr>
        <w:t xml:space="preserve">Van </w:t>
      </w:r>
      <w:proofErr w:type="spellStart"/>
      <w:r>
        <w:rPr>
          <w:rFonts w:ascii="Garamond" w:hAnsi="Garamond"/>
          <w:sz w:val="20"/>
          <w:szCs w:val="20"/>
        </w:rPr>
        <w:t>Ryn</w:t>
      </w:r>
      <w:proofErr w:type="spellEnd"/>
      <w:r w:rsidR="00680069">
        <w:rPr>
          <w:rFonts w:ascii="Garamond" w:hAnsi="Garamond"/>
          <w:sz w:val="20"/>
          <w:szCs w:val="20"/>
        </w:rPr>
        <w:t xml:space="preserve">, M., </w:t>
      </w:r>
      <w:r>
        <w:rPr>
          <w:rFonts w:ascii="Garamond" w:hAnsi="Garamond"/>
          <w:sz w:val="20"/>
          <w:szCs w:val="20"/>
        </w:rPr>
        <w:t>Burke</w:t>
      </w:r>
      <w:r w:rsidR="006C6111">
        <w:rPr>
          <w:rFonts w:ascii="Garamond" w:hAnsi="Garamond"/>
          <w:sz w:val="20"/>
          <w:szCs w:val="20"/>
        </w:rPr>
        <w:t>, J. 2000</w:t>
      </w:r>
      <w:r w:rsidR="00680069">
        <w:rPr>
          <w:rFonts w:ascii="Garamond" w:hAnsi="Garamond"/>
          <w:sz w:val="20"/>
          <w:szCs w:val="20"/>
        </w:rPr>
        <w:t xml:space="preserve">. </w:t>
      </w:r>
      <w:r w:rsidR="00680069" w:rsidRPr="006C6111">
        <w:rPr>
          <w:rFonts w:ascii="Garamond" w:hAnsi="Garamond"/>
          <w:sz w:val="20"/>
          <w:szCs w:val="20"/>
        </w:rPr>
        <w:t>The Effect of Patient Race and Socioeconomic Status on Physicians’ Perceptions of Patients.</w:t>
      </w:r>
      <w:r w:rsidR="00680069">
        <w:rPr>
          <w:rFonts w:ascii="Garamond" w:hAnsi="Garamond"/>
          <w:sz w:val="20"/>
          <w:szCs w:val="20"/>
        </w:rPr>
        <w:t xml:space="preserve"> </w:t>
      </w:r>
      <w:r w:rsidR="00680069" w:rsidRPr="006C6111">
        <w:rPr>
          <w:rFonts w:ascii="Garamond" w:hAnsi="Garamond"/>
          <w:i/>
          <w:sz w:val="20"/>
          <w:szCs w:val="20"/>
        </w:rPr>
        <w:t xml:space="preserve">Social Science and Medicine. </w:t>
      </w:r>
      <w:r w:rsidR="00680069">
        <w:rPr>
          <w:rFonts w:ascii="Garamond" w:hAnsi="Garamond"/>
          <w:sz w:val="20"/>
          <w:szCs w:val="20"/>
        </w:rPr>
        <w:t xml:space="preserve">50(6):813-28. </w:t>
      </w:r>
    </w:p>
    <w:p w:rsidR="00970503" w:rsidRPr="0004543A" w:rsidRDefault="0004543A" w:rsidP="0004543A">
      <w:pPr>
        <w:ind w:left="720" w:hanging="720"/>
        <w:rPr>
          <w:rFonts w:ascii="Garamond" w:hAnsi="Garamond"/>
          <w:sz w:val="24"/>
          <w:szCs w:val="24"/>
        </w:rPr>
      </w:pPr>
      <w:r>
        <w:rPr>
          <w:rFonts w:ascii="Garamond" w:hAnsi="Garamond"/>
          <w:sz w:val="20"/>
          <w:szCs w:val="20"/>
        </w:rPr>
        <w:t>Williams, D.R., Priest, N. Anders</w:t>
      </w:r>
      <w:r w:rsidR="006C6111">
        <w:rPr>
          <w:rFonts w:ascii="Garamond" w:hAnsi="Garamond"/>
          <w:sz w:val="20"/>
          <w:szCs w:val="20"/>
        </w:rPr>
        <w:t>on, N. 2016</w:t>
      </w:r>
      <w:r>
        <w:rPr>
          <w:rFonts w:ascii="Garamond" w:hAnsi="Garamond"/>
          <w:sz w:val="20"/>
          <w:szCs w:val="20"/>
        </w:rPr>
        <w:t xml:space="preserve">. </w:t>
      </w:r>
      <w:r w:rsidRPr="006C6111">
        <w:rPr>
          <w:rFonts w:ascii="Garamond" w:hAnsi="Garamond"/>
          <w:sz w:val="20"/>
          <w:szCs w:val="20"/>
        </w:rPr>
        <w:t>Understanding Associations between Race, Socioeconomic Status and Health: Patterns and Prospects.</w:t>
      </w:r>
      <w:r>
        <w:rPr>
          <w:rFonts w:ascii="Garamond" w:hAnsi="Garamond"/>
          <w:sz w:val="20"/>
          <w:szCs w:val="20"/>
        </w:rPr>
        <w:t xml:space="preserve"> </w:t>
      </w:r>
      <w:r w:rsidRPr="006C6111">
        <w:rPr>
          <w:rFonts w:ascii="Garamond" w:hAnsi="Garamond"/>
          <w:i/>
          <w:sz w:val="20"/>
          <w:szCs w:val="20"/>
        </w:rPr>
        <w:t>Health Psychology.</w:t>
      </w:r>
      <w:r>
        <w:rPr>
          <w:rFonts w:ascii="Garamond" w:hAnsi="Garamond"/>
          <w:sz w:val="20"/>
          <w:szCs w:val="20"/>
        </w:rPr>
        <w:t xml:space="preserve"> 35(4): 407-11. </w:t>
      </w:r>
    </w:p>
    <w:sectPr w:rsidR="00970503" w:rsidRPr="000454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528" w:rsidRDefault="003F4528" w:rsidP="008D0627">
      <w:pPr>
        <w:spacing w:after="0" w:line="240" w:lineRule="auto"/>
      </w:pPr>
      <w:r>
        <w:separator/>
      </w:r>
    </w:p>
  </w:endnote>
  <w:endnote w:type="continuationSeparator" w:id="0">
    <w:p w:rsidR="003F4528" w:rsidRDefault="003F4528" w:rsidP="008D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6284"/>
      <w:docPartObj>
        <w:docPartGallery w:val="Page Numbers (Bottom of Page)"/>
        <w:docPartUnique/>
      </w:docPartObj>
    </w:sdtPr>
    <w:sdtEndPr>
      <w:rPr>
        <w:rFonts w:ascii="Garamond" w:hAnsi="Garamond"/>
        <w:noProof/>
        <w:sz w:val="20"/>
        <w:szCs w:val="20"/>
      </w:rPr>
    </w:sdtEndPr>
    <w:sdtContent>
      <w:p w:rsidR="00AF47B9" w:rsidRPr="00970503" w:rsidRDefault="00AF47B9" w:rsidP="00970503">
        <w:pPr>
          <w:pStyle w:val="Footer"/>
          <w:jc w:val="center"/>
          <w:rPr>
            <w:rFonts w:ascii="Garamond" w:hAnsi="Garamond"/>
            <w:sz w:val="20"/>
            <w:szCs w:val="20"/>
          </w:rPr>
        </w:pPr>
        <w:r w:rsidRPr="00970503">
          <w:rPr>
            <w:rFonts w:ascii="Garamond" w:hAnsi="Garamond"/>
            <w:sz w:val="20"/>
            <w:szCs w:val="20"/>
          </w:rPr>
          <w:fldChar w:fldCharType="begin"/>
        </w:r>
        <w:r w:rsidRPr="00970503">
          <w:rPr>
            <w:rFonts w:ascii="Garamond" w:hAnsi="Garamond"/>
            <w:sz w:val="20"/>
            <w:szCs w:val="20"/>
          </w:rPr>
          <w:instrText xml:space="preserve"> PAGE   \* MERGEFORMAT </w:instrText>
        </w:r>
        <w:r w:rsidRPr="00970503">
          <w:rPr>
            <w:rFonts w:ascii="Garamond" w:hAnsi="Garamond"/>
            <w:sz w:val="20"/>
            <w:szCs w:val="20"/>
          </w:rPr>
          <w:fldChar w:fldCharType="separate"/>
        </w:r>
        <w:r w:rsidR="0042130C">
          <w:rPr>
            <w:rFonts w:ascii="Garamond" w:hAnsi="Garamond"/>
            <w:noProof/>
            <w:sz w:val="20"/>
            <w:szCs w:val="20"/>
          </w:rPr>
          <w:t>3</w:t>
        </w:r>
        <w:r w:rsidRPr="00970503">
          <w:rPr>
            <w:rFonts w:ascii="Garamond" w:hAnsi="Garamond"/>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528" w:rsidRDefault="003F4528" w:rsidP="008D0627">
      <w:pPr>
        <w:spacing w:after="0" w:line="240" w:lineRule="auto"/>
      </w:pPr>
      <w:r>
        <w:separator/>
      </w:r>
    </w:p>
  </w:footnote>
  <w:footnote w:type="continuationSeparator" w:id="0">
    <w:p w:rsidR="003F4528" w:rsidRDefault="003F4528" w:rsidP="008D0627">
      <w:pPr>
        <w:spacing w:after="0" w:line="240" w:lineRule="auto"/>
      </w:pPr>
      <w:r>
        <w:continuationSeparator/>
      </w:r>
    </w:p>
  </w:footnote>
  <w:footnote w:id="1">
    <w:p w:rsidR="006C6111" w:rsidRPr="00C2720C" w:rsidRDefault="006C6111" w:rsidP="006C6111">
      <w:pPr>
        <w:pStyle w:val="FootnoteText"/>
        <w:ind w:left="86" w:hanging="86"/>
        <w:rPr>
          <w:rFonts w:ascii="Garamond" w:hAnsi="Garamond"/>
        </w:rPr>
      </w:pPr>
      <w:r w:rsidRPr="00C2720C">
        <w:rPr>
          <w:rStyle w:val="FootnoteReference"/>
          <w:rFonts w:ascii="Garamond" w:hAnsi="Garamond"/>
        </w:rPr>
        <w:footnoteRef/>
      </w:r>
      <w:r w:rsidRPr="00C2720C">
        <w:rPr>
          <w:rFonts w:ascii="Garamond" w:hAnsi="Garamond"/>
        </w:rPr>
        <w:t>This description of testimonial injustic</w:t>
      </w:r>
      <w:r>
        <w:rPr>
          <w:rFonts w:ascii="Garamond" w:hAnsi="Garamond"/>
        </w:rPr>
        <w:t>e follows that of Jose Medina</w:t>
      </w:r>
      <w:r w:rsidRPr="00C2720C">
        <w:rPr>
          <w:rFonts w:ascii="Garamond" w:hAnsi="Garamond"/>
        </w:rPr>
        <w:t xml:space="preserve"> rather than the more narrowly circumscribed descri</w:t>
      </w:r>
      <w:r>
        <w:rPr>
          <w:rFonts w:ascii="Garamond" w:hAnsi="Garamond"/>
        </w:rPr>
        <w:t>ption offered in Miranda Fricker’s initial characterization</w:t>
      </w:r>
      <w:r w:rsidRPr="00C2720C">
        <w:rPr>
          <w:rFonts w:ascii="Garamond" w:hAnsi="Garamond"/>
        </w:rPr>
        <w:t xml:space="preserve">. </w:t>
      </w:r>
    </w:p>
  </w:footnote>
  <w:footnote w:id="2">
    <w:p w:rsidR="006C6111" w:rsidRPr="00C2720C" w:rsidRDefault="006C6111" w:rsidP="006C6111">
      <w:pPr>
        <w:pStyle w:val="FootnoteText"/>
        <w:ind w:left="86" w:hanging="86"/>
        <w:rPr>
          <w:rFonts w:ascii="Garamond" w:hAnsi="Garamond"/>
        </w:rPr>
      </w:pPr>
      <w:r w:rsidRPr="00C2720C">
        <w:rPr>
          <w:rStyle w:val="FootnoteReference"/>
          <w:rFonts w:ascii="Garamond" w:hAnsi="Garamond"/>
        </w:rPr>
        <w:footnoteRef/>
      </w:r>
      <w:r w:rsidRPr="00C2720C">
        <w:rPr>
          <w:rFonts w:ascii="Garamond" w:hAnsi="Garamond"/>
        </w:rPr>
        <w:t>Marginalization comes in many forms and involves many intersectio</w:t>
      </w:r>
      <w:r>
        <w:rPr>
          <w:rFonts w:ascii="Garamond" w:hAnsi="Garamond"/>
        </w:rPr>
        <w:t>ns, e.g. ethnic minority groups and</w:t>
      </w:r>
      <w:r w:rsidRPr="00C2720C">
        <w:rPr>
          <w:rFonts w:ascii="Garamond" w:hAnsi="Garamond"/>
        </w:rPr>
        <w:t xml:space="preserve"> women</w:t>
      </w:r>
      <w:r>
        <w:rPr>
          <w:rFonts w:ascii="Garamond" w:hAnsi="Garamond"/>
        </w:rPr>
        <w:t xml:space="preserve"> in the U.S.</w:t>
      </w:r>
      <w:r w:rsidRPr="00C2720C">
        <w:rPr>
          <w:rFonts w:ascii="Garamond" w:hAnsi="Garamond"/>
        </w:rPr>
        <w:t xml:space="preserve">, those with low socioeconomic status (van Rye </w:t>
      </w:r>
      <w:r>
        <w:rPr>
          <w:rFonts w:ascii="Garamond" w:hAnsi="Garamond"/>
        </w:rPr>
        <w:t>&amp; Burke 2000),</w:t>
      </w:r>
      <w:r w:rsidRPr="00C2720C">
        <w:rPr>
          <w:rFonts w:ascii="Garamond" w:hAnsi="Garamond"/>
        </w:rPr>
        <w:t xml:space="preserve"> patients in he</w:t>
      </w:r>
      <w:r>
        <w:rPr>
          <w:rFonts w:ascii="Garamond" w:hAnsi="Garamond"/>
        </w:rPr>
        <w:t>althcare settings (</w:t>
      </w:r>
      <w:proofErr w:type="spellStart"/>
      <w:r>
        <w:rPr>
          <w:rFonts w:ascii="Garamond" w:hAnsi="Garamond"/>
        </w:rPr>
        <w:t>Carel</w:t>
      </w:r>
      <w:proofErr w:type="spellEnd"/>
      <w:r>
        <w:rPr>
          <w:rFonts w:ascii="Garamond" w:hAnsi="Garamond"/>
        </w:rPr>
        <w:t xml:space="preserve"> &amp; Kidd</w:t>
      </w:r>
      <w:r w:rsidRPr="00C2720C">
        <w:rPr>
          <w:rFonts w:ascii="Garamond" w:hAnsi="Garamond"/>
        </w:rPr>
        <w:t xml:space="preserve"> 2017).  </w:t>
      </w:r>
    </w:p>
  </w:footnote>
  <w:footnote w:id="3">
    <w:p w:rsidR="00C2720C" w:rsidRPr="00C2720C" w:rsidRDefault="00C2720C" w:rsidP="00C2720C">
      <w:pPr>
        <w:spacing w:after="0"/>
        <w:ind w:left="86" w:hanging="86"/>
        <w:rPr>
          <w:rFonts w:ascii="Garamond" w:hAnsi="Garamond"/>
          <w:sz w:val="20"/>
          <w:szCs w:val="20"/>
        </w:rPr>
      </w:pPr>
      <w:r w:rsidRPr="00C2720C">
        <w:rPr>
          <w:rStyle w:val="FootnoteReference"/>
          <w:rFonts w:ascii="Garamond" w:hAnsi="Garamond"/>
          <w:sz w:val="20"/>
          <w:szCs w:val="20"/>
        </w:rPr>
        <w:footnoteRef/>
      </w:r>
      <w:r>
        <w:rPr>
          <w:rFonts w:ascii="Garamond" w:hAnsi="Garamond"/>
          <w:sz w:val="20"/>
          <w:szCs w:val="20"/>
        </w:rPr>
        <w:t>These</w:t>
      </w:r>
      <w:r w:rsidRPr="00C2720C">
        <w:rPr>
          <w:rFonts w:ascii="Garamond" w:hAnsi="Garamond"/>
          <w:sz w:val="20"/>
          <w:szCs w:val="20"/>
        </w:rPr>
        <w:t xml:space="preserve"> point</w:t>
      </w:r>
      <w:r w:rsidR="009B413A">
        <w:rPr>
          <w:rFonts w:ascii="Garamond" w:hAnsi="Garamond"/>
          <w:sz w:val="20"/>
          <w:szCs w:val="20"/>
        </w:rPr>
        <w:t>s</w:t>
      </w:r>
      <w:r>
        <w:rPr>
          <w:rFonts w:ascii="Garamond" w:hAnsi="Garamond"/>
          <w:sz w:val="20"/>
          <w:szCs w:val="20"/>
        </w:rPr>
        <w:t xml:space="preserve"> are</w:t>
      </w:r>
      <w:r w:rsidRPr="00C2720C">
        <w:rPr>
          <w:rFonts w:ascii="Garamond" w:hAnsi="Garamond"/>
          <w:sz w:val="20"/>
          <w:szCs w:val="20"/>
        </w:rPr>
        <w:t xml:space="preserve"> independent of Berry, Daniels, and </w:t>
      </w:r>
      <w:proofErr w:type="spellStart"/>
      <w:r w:rsidRPr="00C2720C">
        <w:rPr>
          <w:rFonts w:ascii="Garamond" w:hAnsi="Garamond"/>
          <w:sz w:val="20"/>
          <w:szCs w:val="20"/>
        </w:rPr>
        <w:t>Ladin’s</w:t>
      </w:r>
      <w:proofErr w:type="spellEnd"/>
      <w:r w:rsidRPr="00C2720C">
        <w:rPr>
          <w:rFonts w:ascii="Garamond" w:hAnsi="Garamond"/>
          <w:sz w:val="20"/>
          <w:szCs w:val="20"/>
        </w:rPr>
        <w:t xml:space="preserve"> observation that since individuals from marginalized communities – due to economic marginalization and mass incarceration - often rely on social support codified as “less robust”</w:t>
      </w:r>
      <w:r w:rsidRPr="00C2720C">
        <w:rPr>
          <w:rStyle w:val="FootnoteReference"/>
          <w:rFonts w:ascii="Garamond" w:hAnsi="Garamond"/>
          <w:sz w:val="20"/>
          <w:szCs w:val="20"/>
        </w:rPr>
        <w:t xml:space="preserve"> </w:t>
      </w:r>
      <w:r w:rsidRPr="00C2720C">
        <w:rPr>
          <w:rFonts w:ascii="Garamond" w:hAnsi="Garamond"/>
          <w:sz w:val="20"/>
          <w:szCs w:val="20"/>
        </w:rPr>
        <w:t>than social support found among members of non-margina</w:t>
      </w:r>
      <w:r w:rsidR="009B413A">
        <w:rPr>
          <w:rFonts w:ascii="Garamond" w:hAnsi="Garamond"/>
          <w:sz w:val="20"/>
          <w:szCs w:val="20"/>
        </w:rPr>
        <w:t>lized communities</w:t>
      </w:r>
      <w:r w:rsidRPr="00C2720C">
        <w:rPr>
          <w:rFonts w:ascii="Garamond" w:hAnsi="Garamond"/>
          <w:sz w:val="20"/>
          <w:szCs w:val="20"/>
        </w:rPr>
        <w:t xml:space="preserve"> they are disadvantaged</w:t>
      </w:r>
      <w:r w:rsidR="009B413A">
        <w:rPr>
          <w:rFonts w:ascii="Garamond" w:hAnsi="Garamond"/>
          <w:sz w:val="20"/>
          <w:szCs w:val="20"/>
        </w:rPr>
        <w:t xml:space="preserve"> when providing</w:t>
      </w:r>
      <w:r w:rsidRPr="00C2720C">
        <w:rPr>
          <w:rFonts w:ascii="Garamond" w:hAnsi="Garamond"/>
          <w:sz w:val="20"/>
          <w:szCs w:val="20"/>
        </w:rPr>
        <w:t xml:space="preserve"> evidence of social support</w:t>
      </w:r>
      <w:r w:rsidR="006C6111">
        <w:rPr>
          <w:rFonts w:ascii="Garamond" w:hAnsi="Garamond"/>
          <w:sz w:val="20"/>
          <w:szCs w:val="20"/>
        </w:rPr>
        <w:t>.</w:t>
      </w:r>
      <w:r w:rsidRPr="00C2720C">
        <w:rPr>
          <w:rFonts w:ascii="Garamond" w:hAnsi="Garamond"/>
          <w:sz w:val="20"/>
          <w:szCs w:val="20"/>
        </w:rPr>
        <w:t xml:space="preserve"> (Berry</w:t>
      </w:r>
      <w:r w:rsidR="006C6111">
        <w:rPr>
          <w:rFonts w:ascii="Garamond" w:hAnsi="Garamond"/>
          <w:sz w:val="20"/>
          <w:szCs w:val="20"/>
        </w:rPr>
        <w:t xml:space="preserve">, Daniels, </w:t>
      </w:r>
      <w:proofErr w:type="spellStart"/>
      <w:r w:rsidR="006C6111">
        <w:rPr>
          <w:rFonts w:ascii="Garamond" w:hAnsi="Garamond"/>
          <w:sz w:val="20"/>
          <w:szCs w:val="20"/>
        </w:rPr>
        <w:t>Ladin</w:t>
      </w:r>
      <w:proofErr w:type="spellEnd"/>
      <w:r w:rsidR="006C6111">
        <w:rPr>
          <w:rFonts w:ascii="Garamond" w:hAnsi="Garamond"/>
          <w:sz w:val="20"/>
          <w:szCs w:val="20"/>
        </w:rPr>
        <w:t>, 2019, pg. 12)</w:t>
      </w:r>
      <w:r w:rsidRPr="00C2720C">
        <w:rPr>
          <w:rFonts w:ascii="Garamond" w:hAnsi="Garamond"/>
          <w:sz w:val="20"/>
          <w:szCs w:val="20"/>
        </w:rPr>
        <w:t xml:space="preserve"> Credibility discounting and excess described </w:t>
      </w:r>
      <w:r>
        <w:rPr>
          <w:rFonts w:ascii="Garamond" w:hAnsi="Garamond"/>
          <w:sz w:val="20"/>
          <w:szCs w:val="20"/>
        </w:rPr>
        <w:t>here are</w:t>
      </w:r>
      <w:r w:rsidRPr="00C2720C">
        <w:rPr>
          <w:rFonts w:ascii="Garamond" w:hAnsi="Garamond"/>
          <w:sz w:val="20"/>
          <w:szCs w:val="20"/>
        </w:rPr>
        <w:t xml:space="preserve"> independent of the type of evidence offered</w:t>
      </w:r>
      <w:r>
        <w:rPr>
          <w:rFonts w:ascii="Garamond" w:hAnsi="Garamond"/>
          <w:sz w:val="20"/>
          <w:szCs w:val="20"/>
        </w:rPr>
        <w:t>, though they may exacerbate disadvantages experienced by marginalized individuals and advantages by non-marginalized individuals</w:t>
      </w:r>
      <w:r w:rsidRPr="00C2720C">
        <w:rPr>
          <w:rFonts w:ascii="Garamond" w:hAnsi="Garamond"/>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B9" w:rsidRPr="00970503" w:rsidRDefault="00AF47B9" w:rsidP="00970503">
    <w:pPr>
      <w:pStyle w:val="Header"/>
      <w:rPr>
        <w:rFonts w:ascii="Garamond" w:hAnsi="Garamond"/>
        <w:sz w:val="20"/>
        <w:szCs w:val="20"/>
      </w:rPr>
    </w:pPr>
    <w:r w:rsidRPr="00970503">
      <w:rPr>
        <w:rFonts w:ascii="Garamond" w:hAnsi="Garamond"/>
        <w:i/>
        <w:sz w:val="24"/>
        <w:szCs w:val="24"/>
      </w:rPr>
      <w:t>Credibility Excess and Social Support Criterion</w:t>
    </w:r>
    <w:r w:rsidRPr="00970503">
      <w:rPr>
        <w:rFonts w:ascii="Garamond" w:hAnsi="Garamond"/>
        <w:sz w:val="24"/>
        <w:szCs w:val="24"/>
      </w:rPr>
      <w:t xml:space="preserve"> </w:t>
    </w:r>
    <w:r w:rsidRPr="00970503">
      <w:rPr>
        <w:rFonts w:ascii="Garamond" w:hAnsi="Garamond"/>
        <w:sz w:val="24"/>
        <w:szCs w:val="24"/>
      </w:rPr>
      <w:tab/>
    </w:r>
    <w:r w:rsidRPr="00970503">
      <w:rPr>
        <w:rFonts w:ascii="Garamond" w:hAnsi="Garamond"/>
        <w:sz w:val="24"/>
        <w:szCs w:val="24"/>
      </w:rPr>
      <w:tab/>
    </w:r>
    <w:r w:rsidRPr="00970503">
      <w:rPr>
        <w:rFonts w:ascii="Garamond" w:hAnsi="Garamond"/>
        <w:sz w:val="20"/>
        <w:szCs w:val="20"/>
      </w:rPr>
      <w:t>John Beverley</w:t>
    </w:r>
  </w:p>
  <w:p w:rsidR="00AF47B9" w:rsidRPr="00970503" w:rsidRDefault="003F4528" w:rsidP="00970503">
    <w:pPr>
      <w:pStyle w:val="Header"/>
      <w:jc w:val="right"/>
      <w:rPr>
        <w:rFonts w:ascii="Garamond" w:hAnsi="Garamond"/>
        <w:sz w:val="20"/>
        <w:szCs w:val="20"/>
      </w:rPr>
    </w:pPr>
    <w:hyperlink r:id="rId1" w:history="1">
      <w:r w:rsidR="00AF47B9" w:rsidRPr="00970503">
        <w:rPr>
          <w:rStyle w:val="Hyperlink"/>
          <w:rFonts w:ascii="Garamond" w:hAnsi="Garamond"/>
          <w:sz w:val="20"/>
          <w:szCs w:val="20"/>
        </w:rPr>
        <w:t>johnbeverley2021@u.northwestern.edu</w:t>
      </w:r>
    </w:hyperlink>
  </w:p>
  <w:p w:rsidR="00AF47B9" w:rsidRPr="00970503" w:rsidRDefault="00AF47B9" w:rsidP="00970503">
    <w:pPr>
      <w:pStyle w:val="Header"/>
      <w:jc w:val="right"/>
      <w:rPr>
        <w:rFonts w:ascii="Garamond" w:hAnsi="Garamond"/>
        <w:sz w:val="20"/>
        <w:szCs w:val="20"/>
      </w:rPr>
    </w:pPr>
    <w:proofErr w:type="spellStart"/>
    <w:r w:rsidRPr="00970503">
      <w:rPr>
        <w:rFonts w:ascii="Garamond" w:hAnsi="Garamond"/>
        <w:sz w:val="20"/>
        <w:szCs w:val="20"/>
      </w:rPr>
      <w:t>Hollen</w:t>
    </w:r>
    <w:proofErr w:type="spellEnd"/>
    <w:r w:rsidRPr="00970503">
      <w:rPr>
        <w:rFonts w:ascii="Garamond" w:hAnsi="Garamond"/>
        <w:sz w:val="20"/>
        <w:szCs w:val="20"/>
      </w:rPr>
      <w:t xml:space="preserve"> </w:t>
    </w:r>
    <w:proofErr w:type="spellStart"/>
    <w:r w:rsidRPr="00970503">
      <w:rPr>
        <w:rFonts w:ascii="Garamond" w:hAnsi="Garamond"/>
        <w:sz w:val="20"/>
        <w:szCs w:val="20"/>
      </w:rPr>
      <w:t>Reischer</w:t>
    </w:r>
    <w:proofErr w:type="spellEnd"/>
  </w:p>
  <w:p w:rsidR="00AF47B9" w:rsidRPr="00970503" w:rsidRDefault="003F4528" w:rsidP="00970503">
    <w:pPr>
      <w:pStyle w:val="Header"/>
      <w:jc w:val="right"/>
      <w:rPr>
        <w:rFonts w:ascii="Garamond" w:hAnsi="Garamond"/>
        <w:sz w:val="24"/>
        <w:szCs w:val="24"/>
      </w:rPr>
    </w:pPr>
    <w:hyperlink r:id="rId2" w:history="1">
      <w:r w:rsidR="00AF47B9" w:rsidRPr="00970503">
        <w:rPr>
          <w:rStyle w:val="Hyperlink"/>
          <w:rFonts w:ascii="Garamond" w:hAnsi="Garamond"/>
          <w:sz w:val="20"/>
          <w:szCs w:val="20"/>
        </w:rPr>
        <w:t>hollen@u.northwestern.edu</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27"/>
    <w:rsid w:val="00034292"/>
    <w:rsid w:val="0004543A"/>
    <w:rsid w:val="000C54CB"/>
    <w:rsid w:val="00126563"/>
    <w:rsid w:val="00127BAD"/>
    <w:rsid w:val="00146C2C"/>
    <w:rsid w:val="00161C5F"/>
    <w:rsid w:val="00223EC3"/>
    <w:rsid w:val="002262D5"/>
    <w:rsid w:val="00246F8C"/>
    <w:rsid w:val="00262355"/>
    <w:rsid w:val="002B58CF"/>
    <w:rsid w:val="002C1034"/>
    <w:rsid w:val="002C7B1F"/>
    <w:rsid w:val="002D2A6C"/>
    <w:rsid w:val="002E4746"/>
    <w:rsid w:val="00341E67"/>
    <w:rsid w:val="0034339D"/>
    <w:rsid w:val="00382440"/>
    <w:rsid w:val="003B0FFD"/>
    <w:rsid w:val="003D0464"/>
    <w:rsid w:val="003D1A18"/>
    <w:rsid w:val="003E2F23"/>
    <w:rsid w:val="003E7C92"/>
    <w:rsid w:val="003F01E7"/>
    <w:rsid w:val="003F4528"/>
    <w:rsid w:val="004010FB"/>
    <w:rsid w:val="0042130C"/>
    <w:rsid w:val="00491457"/>
    <w:rsid w:val="004958B6"/>
    <w:rsid w:val="004A028B"/>
    <w:rsid w:val="00562D69"/>
    <w:rsid w:val="005848FB"/>
    <w:rsid w:val="005E4667"/>
    <w:rsid w:val="00612CE7"/>
    <w:rsid w:val="006218BA"/>
    <w:rsid w:val="00637E9E"/>
    <w:rsid w:val="00680069"/>
    <w:rsid w:val="00680920"/>
    <w:rsid w:val="00693B10"/>
    <w:rsid w:val="006C6111"/>
    <w:rsid w:val="006D3520"/>
    <w:rsid w:val="006E43C7"/>
    <w:rsid w:val="00703D31"/>
    <w:rsid w:val="0072004C"/>
    <w:rsid w:val="00766180"/>
    <w:rsid w:val="008639FA"/>
    <w:rsid w:val="00867D18"/>
    <w:rsid w:val="008D0627"/>
    <w:rsid w:val="00970503"/>
    <w:rsid w:val="009B413A"/>
    <w:rsid w:val="009F6EFD"/>
    <w:rsid w:val="00A3374B"/>
    <w:rsid w:val="00A535B6"/>
    <w:rsid w:val="00A720CC"/>
    <w:rsid w:val="00A805A5"/>
    <w:rsid w:val="00AF47B9"/>
    <w:rsid w:val="00B058AB"/>
    <w:rsid w:val="00B352B8"/>
    <w:rsid w:val="00B460B2"/>
    <w:rsid w:val="00BC4C7B"/>
    <w:rsid w:val="00BC7920"/>
    <w:rsid w:val="00BF6C4D"/>
    <w:rsid w:val="00C2720C"/>
    <w:rsid w:val="00C34CDC"/>
    <w:rsid w:val="00C865F8"/>
    <w:rsid w:val="00D06728"/>
    <w:rsid w:val="00D4457A"/>
    <w:rsid w:val="00D453ED"/>
    <w:rsid w:val="00DC09BE"/>
    <w:rsid w:val="00DC7012"/>
    <w:rsid w:val="00DE1C70"/>
    <w:rsid w:val="00E07D47"/>
    <w:rsid w:val="00E41933"/>
    <w:rsid w:val="00E507FE"/>
    <w:rsid w:val="00E6533B"/>
    <w:rsid w:val="00EE4B4E"/>
    <w:rsid w:val="00F26B04"/>
    <w:rsid w:val="00F3264B"/>
    <w:rsid w:val="00F471BD"/>
    <w:rsid w:val="00F531CC"/>
    <w:rsid w:val="00F87F0C"/>
    <w:rsid w:val="00F92EE5"/>
    <w:rsid w:val="00FD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2C0A1-9E8F-4C87-A57A-BA2FCF17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06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627"/>
    <w:rPr>
      <w:sz w:val="20"/>
      <w:szCs w:val="20"/>
    </w:rPr>
  </w:style>
  <w:style w:type="character" w:styleId="FootnoteReference">
    <w:name w:val="footnote reference"/>
    <w:basedOn w:val="DefaultParagraphFont"/>
    <w:uiPriority w:val="99"/>
    <w:semiHidden/>
    <w:unhideWhenUsed/>
    <w:rsid w:val="008D0627"/>
    <w:rPr>
      <w:vertAlign w:val="superscript"/>
    </w:rPr>
  </w:style>
  <w:style w:type="paragraph" w:styleId="Header">
    <w:name w:val="header"/>
    <w:basedOn w:val="Normal"/>
    <w:link w:val="HeaderChar"/>
    <w:uiPriority w:val="99"/>
    <w:unhideWhenUsed/>
    <w:rsid w:val="00970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503"/>
  </w:style>
  <w:style w:type="paragraph" w:styleId="Footer">
    <w:name w:val="footer"/>
    <w:basedOn w:val="Normal"/>
    <w:link w:val="FooterChar"/>
    <w:uiPriority w:val="99"/>
    <w:unhideWhenUsed/>
    <w:rsid w:val="00970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503"/>
  </w:style>
  <w:style w:type="character" w:styleId="Hyperlink">
    <w:name w:val="Hyperlink"/>
    <w:basedOn w:val="DefaultParagraphFont"/>
    <w:uiPriority w:val="99"/>
    <w:unhideWhenUsed/>
    <w:rsid w:val="00970503"/>
    <w:rPr>
      <w:color w:val="0563C1" w:themeColor="hyperlink"/>
      <w:u w:val="single"/>
    </w:rPr>
  </w:style>
  <w:style w:type="character" w:styleId="CommentReference">
    <w:name w:val="annotation reference"/>
    <w:basedOn w:val="DefaultParagraphFont"/>
    <w:uiPriority w:val="99"/>
    <w:semiHidden/>
    <w:unhideWhenUsed/>
    <w:rsid w:val="00F92EE5"/>
    <w:rPr>
      <w:sz w:val="16"/>
      <w:szCs w:val="16"/>
    </w:rPr>
  </w:style>
  <w:style w:type="paragraph" w:styleId="CommentText">
    <w:name w:val="annotation text"/>
    <w:basedOn w:val="Normal"/>
    <w:link w:val="CommentTextChar"/>
    <w:uiPriority w:val="99"/>
    <w:semiHidden/>
    <w:unhideWhenUsed/>
    <w:rsid w:val="00F92EE5"/>
    <w:pPr>
      <w:spacing w:line="240" w:lineRule="auto"/>
    </w:pPr>
    <w:rPr>
      <w:sz w:val="20"/>
      <w:szCs w:val="20"/>
    </w:rPr>
  </w:style>
  <w:style w:type="character" w:customStyle="1" w:styleId="CommentTextChar">
    <w:name w:val="Comment Text Char"/>
    <w:basedOn w:val="DefaultParagraphFont"/>
    <w:link w:val="CommentText"/>
    <w:uiPriority w:val="99"/>
    <w:semiHidden/>
    <w:rsid w:val="00F92EE5"/>
    <w:rPr>
      <w:sz w:val="20"/>
      <w:szCs w:val="20"/>
    </w:rPr>
  </w:style>
  <w:style w:type="paragraph" w:styleId="CommentSubject">
    <w:name w:val="annotation subject"/>
    <w:basedOn w:val="CommentText"/>
    <w:next w:val="CommentText"/>
    <w:link w:val="CommentSubjectChar"/>
    <w:uiPriority w:val="99"/>
    <w:semiHidden/>
    <w:unhideWhenUsed/>
    <w:rsid w:val="00F92EE5"/>
    <w:rPr>
      <w:b/>
      <w:bCs/>
    </w:rPr>
  </w:style>
  <w:style w:type="character" w:customStyle="1" w:styleId="CommentSubjectChar">
    <w:name w:val="Comment Subject Char"/>
    <w:basedOn w:val="CommentTextChar"/>
    <w:link w:val="CommentSubject"/>
    <w:uiPriority w:val="99"/>
    <w:semiHidden/>
    <w:rsid w:val="00F92EE5"/>
    <w:rPr>
      <w:b/>
      <w:bCs/>
      <w:sz w:val="20"/>
      <w:szCs w:val="20"/>
    </w:rPr>
  </w:style>
  <w:style w:type="paragraph" w:styleId="BalloonText">
    <w:name w:val="Balloon Text"/>
    <w:basedOn w:val="Normal"/>
    <w:link w:val="BalloonTextChar"/>
    <w:uiPriority w:val="99"/>
    <w:semiHidden/>
    <w:unhideWhenUsed/>
    <w:rsid w:val="00F92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C:\Users\John\AppData\Roaming\Microsoft\Word\hollen@u.northwestern.edu" TargetMode="External"/><Relationship Id="rId1" Type="http://schemas.openxmlformats.org/officeDocument/2006/relationships/hyperlink" Target="mailto:johnbeverley2021@u.north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D54D-EE6A-4DCB-A746-0BAE284F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5617</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Beverley</dc:creator>
  <cp:keywords/>
  <dc:description/>
  <cp:lastModifiedBy>John Beverley</cp:lastModifiedBy>
  <cp:revision>4</cp:revision>
  <dcterms:created xsi:type="dcterms:W3CDTF">2019-08-20T01:23:00Z</dcterms:created>
  <dcterms:modified xsi:type="dcterms:W3CDTF">2019-08-29T22:32:00Z</dcterms:modified>
</cp:coreProperties>
</file>