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C1B3" w14:textId="2B29406A" w:rsidR="00427BAF" w:rsidRPr="003F6F29" w:rsidRDefault="00ED43F0" w:rsidP="00E91122">
      <w:pPr>
        <w:jc w:val="center"/>
        <w:rPr>
          <w:b/>
          <w:bCs/>
          <w:i/>
          <w:color w:val="000000" w:themeColor="text1"/>
          <w:sz w:val="36"/>
          <w:szCs w:val="32"/>
        </w:rPr>
      </w:pPr>
      <w:r w:rsidRPr="003F6F29">
        <w:rPr>
          <w:b/>
          <w:bCs/>
          <w:i/>
          <w:color w:val="000000" w:themeColor="text1"/>
          <w:sz w:val="36"/>
          <w:szCs w:val="32"/>
        </w:rPr>
        <w:t xml:space="preserve">"A Synopsis </w:t>
      </w:r>
      <w:proofErr w:type="gramStart"/>
      <w:r w:rsidRPr="003F6F29">
        <w:rPr>
          <w:b/>
          <w:bCs/>
          <w:i/>
          <w:color w:val="000000" w:themeColor="text1"/>
          <w:sz w:val="36"/>
          <w:szCs w:val="32"/>
        </w:rPr>
        <w:t>of  Practical</w:t>
      </w:r>
      <w:proofErr w:type="gramEnd"/>
      <w:r w:rsidRPr="003F6F29">
        <w:rPr>
          <w:b/>
          <w:bCs/>
          <w:i/>
          <w:color w:val="000000" w:themeColor="text1"/>
          <w:sz w:val="36"/>
          <w:szCs w:val="32"/>
        </w:rPr>
        <w:t xml:space="preserve"> Applications on Indigenous Research Framework and Methods of an Article by Lynn F Lavallée"</w:t>
      </w:r>
    </w:p>
    <w:p w14:paraId="6898E2CB" w14:textId="4C41801B" w:rsidR="00427BAF" w:rsidRPr="003F6F29" w:rsidRDefault="00427BAF" w:rsidP="00ED43F0">
      <w:pPr>
        <w:rPr>
          <w:b/>
          <w:bCs/>
          <w:i/>
          <w:color w:val="000000" w:themeColor="text1"/>
          <w:sz w:val="32"/>
          <w:szCs w:val="28"/>
        </w:rPr>
      </w:pPr>
    </w:p>
    <w:p w14:paraId="05819038" w14:textId="77777777" w:rsidR="00427BAF" w:rsidRPr="00273C19" w:rsidRDefault="00427BAF" w:rsidP="00427BAF">
      <w:pPr>
        <w:jc w:val="center"/>
        <w:rPr>
          <w:iCs/>
          <w:color w:val="000000" w:themeColor="text1"/>
          <w:sz w:val="28"/>
          <w:szCs w:val="32"/>
          <w:vertAlign w:val="superscript"/>
        </w:rPr>
      </w:pPr>
      <w:bookmarkStart w:id="0" w:name="_Hlk103981079"/>
      <w:r w:rsidRPr="00273C19">
        <w:rPr>
          <w:iCs/>
          <w:color w:val="000000" w:themeColor="text1"/>
          <w:sz w:val="28"/>
          <w:szCs w:val="32"/>
        </w:rPr>
        <w:t>Md. Majidul Haque Bhuiyan</w:t>
      </w:r>
    </w:p>
    <w:p w14:paraId="5686651F" w14:textId="77777777" w:rsidR="00427BAF" w:rsidRPr="00273C19" w:rsidRDefault="00427BAF" w:rsidP="00427BAF">
      <w:pPr>
        <w:jc w:val="center"/>
        <w:rPr>
          <w:i/>
          <w:color w:val="000000" w:themeColor="text1"/>
          <w:sz w:val="24"/>
          <w:szCs w:val="28"/>
        </w:rPr>
      </w:pPr>
      <w:r w:rsidRPr="00273C19">
        <w:rPr>
          <w:i/>
          <w:color w:val="000000" w:themeColor="text1"/>
          <w:sz w:val="24"/>
          <w:szCs w:val="28"/>
        </w:rPr>
        <w:t>Department of Electrical and Computer Science Engineering,</w:t>
      </w:r>
    </w:p>
    <w:p w14:paraId="7CE2399D" w14:textId="77777777" w:rsidR="00427BAF" w:rsidRPr="00273C19" w:rsidRDefault="00427BAF" w:rsidP="00427BAF">
      <w:pPr>
        <w:jc w:val="center"/>
        <w:rPr>
          <w:i/>
          <w:color w:val="000000" w:themeColor="text1"/>
        </w:rPr>
      </w:pPr>
      <w:r w:rsidRPr="00273C19">
        <w:rPr>
          <w:i/>
          <w:color w:val="000000" w:themeColor="text1"/>
        </w:rPr>
        <w:t>majidul.haque@northsouth.edu</w:t>
      </w:r>
    </w:p>
    <w:p w14:paraId="0DC936B2" w14:textId="77777777" w:rsidR="00427BAF" w:rsidRPr="00273C19" w:rsidRDefault="00427BAF" w:rsidP="00427BAF">
      <w:pPr>
        <w:jc w:val="center"/>
        <w:rPr>
          <w:i/>
          <w:color w:val="000000" w:themeColor="text1"/>
          <w:sz w:val="24"/>
          <w:szCs w:val="28"/>
        </w:rPr>
      </w:pPr>
      <w:r w:rsidRPr="00273C19">
        <w:rPr>
          <w:i/>
          <w:color w:val="000000" w:themeColor="text1"/>
          <w:sz w:val="24"/>
          <w:szCs w:val="28"/>
        </w:rPr>
        <w:t>North South University, Bashundhara, Dhaka 1229, Bangladesh</w:t>
      </w:r>
    </w:p>
    <w:bookmarkEnd w:id="0"/>
    <w:p w14:paraId="07DC570A" w14:textId="77777777" w:rsidR="00427BAF" w:rsidRPr="003F6F29" w:rsidRDefault="00427BAF" w:rsidP="00ED43F0">
      <w:pPr>
        <w:rPr>
          <w:b/>
          <w:bCs/>
          <w:i/>
          <w:color w:val="000000" w:themeColor="text1"/>
          <w:sz w:val="32"/>
          <w:szCs w:val="28"/>
        </w:rPr>
      </w:pPr>
    </w:p>
    <w:p w14:paraId="75ADE97D" w14:textId="77777777" w:rsidR="00427BAF" w:rsidRPr="003F6F29" w:rsidRDefault="00427BAF" w:rsidP="00ED43F0">
      <w:pPr>
        <w:rPr>
          <w:b/>
          <w:bCs/>
          <w:i/>
          <w:color w:val="000000" w:themeColor="text1"/>
          <w:sz w:val="24"/>
        </w:rPr>
      </w:pPr>
    </w:p>
    <w:p w14:paraId="3FDF040C" w14:textId="77777777" w:rsidR="00E91122" w:rsidRPr="003F6F29" w:rsidRDefault="00ED43F0" w:rsidP="00E91122">
      <w:pPr>
        <w:spacing w:line="480" w:lineRule="auto"/>
        <w:ind w:firstLine="720"/>
        <w:jc w:val="both"/>
        <w:rPr>
          <w:iCs/>
          <w:color w:val="000000" w:themeColor="text1"/>
          <w:sz w:val="24"/>
        </w:rPr>
      </w:pPr>
      <w:r w:rsidRPr="003F6F29">
        <w:rPr>
          <w:iCs/>
          <w:color w:val="000000" w:themeColor="text1"/>
          <w:sz w:val="24"/>
        </w:rPr>
        <w:t xml:space="preserve">The Selected paper investigates the difficulties and examples learned in utilizing an Indigenous research system and qualitative requests. Two qualitative Indigenous research strategies, sharing circles and Anishnaabe symbol-based </w:t>
      </w:r>
      <w:proofErr w:type="gramStart"/>
      <w:r w:rsidRPr="003F6F29">
        <w:rPr>
          <w:iCs/>
          <w:color w:val="000000" w:themeColor="text1"/>
          <w:sz w:val="24"/>
        </w:rPr>
        <w:t>reflection,  be</w:t>
      </w:r>
      <w:proofErr w:type="gramEnd"/>
      <w:r w:rsidRPr="003F6F29">
        <w:rPr>
          <w:iCs/>
          <w:color w:val="000000" w:themeColor="text1"/>
          <w:sz w:val="24"/>
        </w:rPr>
        <w:t xml:space="preserve"> talked about. Presentation, </w:t>
      </w:r>
      <w:proofErr w:type="gramStart"/>
      <w:r w:rsidRPr="003F6F29">
        <w:rPr>
          <w:iCs/>
          <w:color w:val="000000" w:themeColor="text1"/>
          <w:sz w:val="24"/>
        </w:rPr>
        <w:t>The</w:t>
      </w:r>
      <w:proofErr w:type="gramEnd"/>
      <w:r w:rsidRPr="003F6F29">
        <w:rPr>
          <w:iCs/>
          <w:color w:val="000000" w:themeColor="text1"/>
          <w:sz w:val="24"/>
        </w:rPr>
        <w:t xml:space="preserve"> vision for my doctoral research depended on Indigenous epistemology also, Indigenous methods of understanding the world. In this undertaking, what was considered "commendable" as research? What's more, what inquiries were posed were established in the Indigenous instructing of the medication wheel, which will be portrayed later. Testing was to discover a method of uniting Indigenous methods of knowing and Western methods of leading research, explicitly qualitative request. The spanning of these two different ways of knowing is the focal point of this paper. </w:t>
      </w:r>
    </w:p>
    <w:p w14:paraId="5040EE2C" w14:textId="69AB29EE" w:rsidR="00E91122" w:rsidRPr="003F6F29" w:rsidRDefault="00ED43F0" w:rsidP="00E91122">
      <w:pPr>
        <w:spacing w:line="480" w:lineRule="auto"/>
        <w:ind w:firstLine="720"/>
        <w:jc w:val="both"/>
        <w:rPr>
          <w:iCs/>
          <w:color w:val="000000" w:themeColor="text1"/>
          <w:sz w:val="24"/>
        </w:rPr>
      </w:pPr>
      <w:r w:rsidRPr="003F6F29">
        <w:rPr>
          <w:iCs/>
          <w:color w:val="000000" w:themeColor="text1"/>
          <w:sz w:val="24"/>
        </w:rPr>
        <w:t>The research subject zeroed in on the physical, mental, passionate, and profound effects of an actual work program: a hand-to-hand fighting (</w:t>
      </w:r>
      <w:proofErr w:type="spellStart"/>
      <w:r w:rsidRPr="003F6F29">
        <w:rPr>
          <w:iCs/>
          <w:color w:val="000000" w:themeColor="text1"/>
          <w:sz w:val="24"/>
        </w:rPr>
        <w:t>tae</w:t>
      </w:r>
      <w:proofErr w:type="spellEnd"/>
      <w:r w:rsidRPr="003F6F29">
        <w:rPr>
          <w:iCs/>
          <w:color w:val="000000" w:themeColor="text1"/>
          <w:sz w:val="24"/>
        </w:rPr>
        <w:t xml:space="preserve"> kwon do) program presented at the Native Canadian Center of Toronto. Although the research subject is examined for comprehending the methodology, the paper's focal point is on the methodological cycle itself. The current paper focuses on the difficulties of adjusting an Indigenous research structure with Western standards, especially qualitative requests. Two qualitative Indigenous research strategies Foundation In this paper, I have joined the information, qualities, and convictions of the Ojibway, Algonquin, and Cree Nations in Canada. Indigenous information incorporates three cycles: accurate perception, conventional lessons, and disclosure (Brant-Castellano, 2000). Information obtained through disclosure, like dreams, dreams, and instinct, is in some cases viewed as otherworldly information, Joining Indigenous qualities and convictions Following an Indigenous research system includes revising and </w:t>
      </w:r>
      <w:r w:rsidRPr="003F6F29">
        <w:rPr>
          <w:iCs/>
          <w:color w:val="000000" w:themeColor="text1"/>
          <w:sz w:val="24"/>
        </w:rPr>
        <w:lastRenderedPageBreak/>
        <w:t xml:space="preserve">rewriting the Indigenous situation in history and society (Smith, 1999). </w:t>
      </w:r>
    </w:p>
    <w:p w14:paraId="439F612D" w14:textId="77777777" w:rsidR="00E91122" w:rsidRPr="003F6F29" w:rsidRDefault="00ED43F0" w:rsidP="00E91122">
      <w:pPr>
        <w:spacing w:line="480" w:lineRule="auto"/>
        <w:ind w:firstLine="720"/>
        <w:jc w:val="both"/>
        <w:rPr>
          <w:iCs/>
          <w:color w:val="000000" w:themeColor="text1"/>
          <w:sz w:val="24"/>
        </w:rPr>
      </w:pPr>
      <w:r w:rsidRPr="003F6F29">
        <w:rPr>
          <w:iCs/>
          <w:color w:val="000000" w:themeColor="text1"/>
          <w:sz w:val="24"/>
        </w:rPr>
        <w:t xml:space="preserve">These lessons are tremendous. They can take a whole lifetime to comprehend. The accompanying clarification traces a little part of these lessons. Fostering an honest relationship with the local area, </w:t>
      </w:r>
      <w:proofErr w:type="gramStart"/>
      <w:r w:rsidRPr="003F6F29">
        <w:rPr>
          <w:iCs/>
          <w:color w:val="000000" w:themeColor="text1"/>
          <w:sz w:val="24"/>
        </w:rPr>
        <w:t>What's</w:t>
      </w:r>
      <w:proofErr w:type="gramEnd"/>
      <w:r w:rsidRPr="003F6F29">
        <w:rPr>
          <w:iCs/>
          <w:color w:val="000000" w:themeColor="text1"/>
          <w:sz w:val="24"/>
        </w:rPr>
        <w:t xml:space="preserve"> more, research with the Indigenous people group is a responsibility that expands well past the last report, exposition, peer-assessed article accommodation, or gathering show. Albeit the above-noted rules give guidance, the particular manners by which these rules and standards are addressed are passed on to the researchers and local area to translate. </w:t>
      </w:r>
      <w:proofErr w:type="spellStart"/>
      <w:r w:rsidRPr="003F6F29">
        <w:rPr>
          <w:iCs/>
          <w:color w:val="000000" w:themeColor="text1"/>
          <w:sz w:val="24"/>
        </w:rPr>
        <w:t>Loppie</w:t>
      </w:r>
      <w:proofErr w:type="spellEnd"/>
      <w:r w:rsidRPr="003F6F29">
        <w:rPr>
          <w:iCs/>
          <w:color w:val="000000" w:themeColor="text1"/>
          <w:sz w:val="24"/>
        </w:rPr>
        <w:t xml:space="preserve"> (2007) has examined how she joined Indigenous standards and Western science into her doctoral research measure, especially by recognizing the wisdom of senior ladies. Significantly, the research concentrates on advancing these endeavors to be spread broadly, from Web-based local area reports to academic diaries. The outcomes reach non- Indigenous and formal gatherings. This paper is one such endeavor to bring Indigenous methods of knowing into the foundation. Program and member profiles Research in a metropolitan Aboriginal people group is not the same as that led in on-reserve2 networks. Save people group will, in general, be more homogenous and normally comprise of a dominant country (e.g., Ojibway). </w:t>
      </w:r>
    </w:p>
    <w:p w14:paraId="7D8D8C92" w14:textId="77777777" w:rsidR="00E91122" w:rsidRPr="003F6F29" w:rsidRDefault="00ED43F0" w:rsidP="00E91122">
      <w:pPr>
        <w:spacing w:line="480" w:lineRule="auto"/>
        <w:ind w:firstLine="720"/>
        <w:jc w:val="both"/>
        <w:rPr>
          <w:iCs/>
          <w:color w:val="000000" w:themeColor="text1"/>
          <w:sz w:val="24"/>
        </w:rPr>
      </w:pPr>
      <w:r w:rsidRPr="003F6F29">
        <w:rPr>
          <w:iCs/>
          <w:color w:val="000000" w:themeColor="text1"/>
          <w:sz w:val="24"/>
        </w:rPr>
        <w:t xml:space="preserve">The current research didn't include a solitary country; rather, it included numerous countries in a Canadian metropolitan focus. Therefore, the research needed to regard a wide scope of individuals with both comparable and varying traditions. The vast majority of the Aboriginal members of this research were of Ojibway, Cree, and Métis legacy. In this way, the essential contemplations for the research system mirrored the traditions, convictions, and practices of these gatherings. Seventeen individuals, ten male and seven female elected to be essential for the task. Area of the researcher and the test with moral survey Finding oneself as a researcher is significant, especially inside an Indigenous research structure (Absolon and Willett, 2005; Baskin, 2005; Restoule, 2004). </w:t>
      </w:r>
    </w:p>
    <w:p w14:paraId="296AEA85" w14:textId="77777777" w:rsidR="00E91122" w:rsidRPr="003F6F29" w:rsidRDefault="00E91122" w:rsidP="00E91122">
      <w:pPr>
        <w:spacing w:line="480" w:lineRule="auto"/>
        <w:ind w:firstLine="720"/>
        <w:jc w:val="both"/>
        <w:rPr>
          <w:iCs/>
          <w:color w:val="000000" w:themeColor="text1"/>
          <w:sz w:val="24"/>
        </w:rPr>
      </w:pPr>
    </w:p>
    <w:p w14:paraId="00BDA0C5" w14:textId="77777777" w:rsidR="00BE4BAA" w:rsidRDefault="00ED43F0" w:rsidP="00E91122">
      <w:pPr>
        <w:spacing w:line="480" w:lineRule="auto"/>
        <w:ind w:firstLine="720"/>
        <w:jc w:val="both"/>
        <w:rPr>
          <w:iCs/>
          <w:color w:val="000000" w:themeColor="text1"/>
          <w:sz w:val="24"/>
        </w:rPr>
      </w:pPr>
      <w:r w:rsidRPr="003F6F29">
        <w:rPr>
          <w:iCs/>
          <w:color w:val="000000" w:themeColor="text1"/>
          <w:sz w:val="24"/>
        </w:rPr>
        <w:lastRenderedPageBreak/>
        <w:t xml:space="preserve">A positivist epistemological system brags that the researcher is unbiased and nonpartisan. The best test I had with this research came at the moral audit stage at the college. In the beginning, the Ethical Review Board (ERB) adopted a standard strategy, scrutinizing my relationship with the local area and raising the chance of an irreconcilable situation. When I had questions identified with the research, for example, who ought to be incorporated and what social conventions should have been followed, the senior was my first contact. When the task was finished and I approached the safeguard phase of my doctoral program, I considered the senior's inclusion. </w:t>
      </w:r>
    </w:p>
    <w:p w14:paraId="73604C62" w14:textId="77777777" w:rsidR="00BE4BAA" w:rsidRDefault="00BE4BAA" w:rsidP="00E91122">
      <w:pPr>
        <w:spacing w:line="480" w:lineRule="auto"/>
        <w:ind w:firstLine="720"/>
        <w:jc w:val="both"/>
        <w:rPr>
          <w:iCs/>
          <w:color w:val="000000" w:themeColor="text1"/>
          <w:sz w:val="24"/>
        </w:rPr>
      </w:pPr>
      <w:r>
        <w:rPr>
          <w:iCs/>
          <w:color w:val="000000" w:themeColor="text1"/>
          <w:sz w:val="24"/>
        </w:rPr>
        <w:t xml:space="preserve">However, </w:t>
      </w:r>
      <w:r w:rsidR="00ED43F0" w:rsidRPr="003F6F29">
        <w:rPr>
          <w:iCs/>
          <w:color w:val="000000" w:themeColor="text1"/>
          <w:sz w:val="24"/>
        </w:rPr>
        <w:t>I felt it was significant that his insight and commitment be officially perceived. As the senior had not just been an onlooker all through the research interaction, I didn't need him to see at my guard. I wanted him to be a democratic individual from the scholarly advisory group who added to the choice of whether I passed or fizzled. Tobacco is set in a fabric pack and given as a gift to a senior when looking for counsel. These groups are likewise given to an individual while mentioning information or help. This is done to guarantee that things are done in a respectful or great manner. Tolerating a group conveys an obligation to do what is requested from you. On the off chance that the beneficiary feels unfit to complete what is expected, the individual in question does not acknowledge the tobacco.</w:t>
      </w:r>
    </w:p>
    <w:p w14:paraId="045C41B9" w14:textId="14C8B8A5" w:rsidR="00E91122" w:rsidRPr="003F6F29" w:rsidRDefault="00ED43F0" w:rsidP="00E91122">
      <w:pPr>
        <w:spacing w:line="480" w:lineRule="auto"/>
        <w:ind w:firstLine="720"/>
        <w:jc w:val="both"/>
        <w:rPr>
          <w:iCs/>
          <w:color w:val="000000" w:themeColor="text1"/>
          <w:sz w:val="24"/>
        </w:rPr>
      </w:pPr>
      <w:r w:rsidRPr="003F6F29">
        <w:rPr>
          <w:iCs/>
          <w:color w:val="000000" w:themeColor="text1"/>
          <w:sz w:val="24"/>
        </w:rPr>
        <w:t xml:space="preserve">Colonization has been powerful in acclimatizing numerous Aboriginal individuals (Wesley-Esquimaux and </w:t>
      </w:r>
      <w:proofErr w:type="spellStart"/>
      <w:r w:rsidRPr="003F6F29">
        <w:rPr>
          <w:iCs/>
          <w:color w:val="000000" w:themeColor="text1"/>
          <w:sz w:val="24"/>
        </w:rPr>
        <w:t>Smolewski</w:t>
      </w:r>
      <w:proofErr w:type="spellEnd"/>
      <w:r w:rsidRPr="003F6F29">
        <w:rPr>
          <w:iCs/>
          <w:color w:val="000000" w:themeColor="text1"/>
          <w:sz w:val="24"/>
        </w:rPr>
        <w:t xml:space="preserve">, 2004). It has likewise made numerous Aboriginal individuals embarrassed about their way of life. Sharing Circles </w:t>
      </w:r>
      <w:proofErr w:type="gramStart"/>
      <w:r w:rsidRPr="003F6F29">
        <w:rPr>
          <w:iCs/>
          <w:color w:val="000000" w:themeColor="text1"/>
          <w:sz w:val="24"/>
        </w:rPr>
        <w:t>Portrayal</w:t>
      </w:r>
      <w:proofErr w:type="gramEnd"/>
      <w:r w:rsidRPr="003F6F29">
        <w:rPr>
          <w:iCs/>
          <w:color w:val="000000" w:themeColor="text1"/>
          <w:sz w:val="24"/>
        </w:rPr>
        <w:t xml:space="preserve"> The social affair of stories investigates lived insight. It can be characterized as existential-phenomenological request (van Manen, 2002) or account research, which comprises techniques, including ethnography, examining histories, and story talking (Casey, 1996). Nine sharing circles with 16 individuals were completed. The circles were planned at a valuable time for the members, regularly previously or after a class. The littlest circle comprised of two individuals, and the biggest had six. All circles included light tidbits and drinks</w:t>
      </w:r>
      <w:proofErr w:type="gramStart"/>
      <w:r w:rsidRPr="003F6F29">
        <w:rPr>
          <w:iCs/>
          <w:color w:val="000000" w:themeColor="text1"/>
          <w:sz w:val="24"/>
        </w:rPr>
        <w:t>. .</w:t>
      </w:r>
      <w:proofErr w:type="gramEnd"/>
      <w:r w:rsidRPr="003F6F29">
        <w:rPr>
          <w:iCs/>
          <w:color w:val="000000" w:themeColor="text1"/>
          <w:sz w:val="24"/>
        </w:rPr>
        <w:t xml:space="preserve"> I clarified the meaning of tolerating a tobacco group, explicitly that I needed to </w:t>
      </w:r>
      <w:r w:rsidRPr="003F6F29">
        <w:rPr>
          <w:iCs/>
          <w:color w:val="000000" w:themeColor="text1"/>
          <w:sz w:val="24"/>
        </w:rPr>
        <w:lastRenderedPageBreak/>
        <w:t xml:space="preserve">show my regard for respecting me with their insight and needed things to be done positively. </w:t>
      </w:r>
    </w:p>
    <w:p w14:paraId="2E2075D0" w14:textId="77777777" w:rsidR="003F6F29" w:rsidRPr="003F6F29" w:rsidRDefault="00ED43F0" w:rsidP="00E91122">
      <w:pPr>
        <w:spacing w:line="480" w:lineRule="auto"/>
        <w:ind w:firstLine="720"/>
        <w:jc w:val="both"/>
        <w:rPr>
          <w:iCs/>
          <w:color w:val="000000" w:themeColor="text1"/>
          <w:sz w:val="24"/>
        </w:rPr>
      </w:pPr>
      <w:r w:rsidRPr="003F6F29">
        <w:rPr>
          <w:iCs/>
          <w:color w:val="000000" w:themeColor="text1"/>
          <w:sz w:val="24"/>
        </w:rPr>
        <w:t>Anishnaabe symbol-based reflection Depiction Anishnaabe symbol-based reflection is an expression-based research approach. Expressions based research is characterized as a technique for request that utilizes the components of the experience of the creative expression, including the creation of artistry by the members as well as researcher, as methods of understanding the meaning of what we do inside our practice and educating (McNiff, 1998). Ten of the 16 individuals who partook in the sharing circles additionally took part in the Anishnaabe symbol-based reflection. One program individual who didn't participate in the sharing circles participated in this subsequent strategy. In this way, 11 individuals took part in the Anishnaabe symbol-based reflection</w:t>
      </w:r>
      <w:proofErr w:type="gramStart"/>
      <w:r w:rsidRPr="003F6F29">
        <w:rPr>
          <w:iCs/>
          <w:color w:val="000000" w:themeColor="text1"/>
          <w:sz w:val="24"/>
        </w:rPr>
        <w:t>. .</w:t>
      </w:r>
      <w:proofErr w:type="gramEnd"/>
      <w:r w:rsidRPr="003F6F29">
        <w:rPr>
          <w:iCs/>
          <w:color w:val="000000" w:themeColor="text1"/>
          <w:sz w:val="24"/>
        </w:rPr>
        <w:t xml:space="preserve"> I see since the most concerning issue was the feeling of </w:t>
      </w:r>
      <w:proofErr w:type="spellStart"/>
      <w:r w:rsidRPr="003F6F29">
        <w:rPr>
          <w:iCs/>
          <w:color w:val="000000" w:themeColor="text1"/>
          <w:sz w:val="24"/>
        </w:rPr>
        <w:t>undeservingness</w:t>
      </w:r>
      <w:proofErr w:type="spellEnd"/>
      <w:r w:rsidRPr="003F6F29">
        <w:rPr>
          <w:iCs/>
          <w:color w:val="000000" w:themeColor="text1"/>
          <w:sz w:val="24"/>
        </w:rPr>
        <w:t xml:space="preserve"> I have. I don't consider it an absence of confidence. Difficulties in introducing the symbols Breaking down the information While connecting the two qualitative Indigenous research strategies with Western qualitative research strategies, the conversations in the sharing circles were audiotaped and translated word for word. I utilized a normal coding strategy in qualitative research called the grounded hypothesis and utilized the product program N6 (NUD*IST 6 by QSR International) to break down the information. </w:t>
      </w:r>
    </w:p>
    <w:p w14:paraId="7836F74F" w14:textId="77777777" w:rsidR="003F6F29" w:rsidRPr="003F6F29" w:rsidRDefault="00ED43F0" w:rsidP="00E91122">
      <w:pPr>
        <w:spacing w:line="480" w:lineRule="auto"/>
        <w:ind w:firstLine="720"/>
        <w:jc w:val="both"/>
        <w:rPr>
          <w:iCs/>
          <w:color w:val="000000" w:themeColor="text1"/>
          <w:sz w:val="24"/>
        </w:rPr>
      </w:pPr>
      <w:r w:rsidRPr="003F6F29">
        <w:rPr>
          <w:iCs/>
          <w:color w:val="000000" w:themeColor="text1"/>
          <w:sz w:val="24"/>
        </w:rPr>
        <w:t xml:space="preserve">I found that my translation of the narratives considered past research yet, in addition, the historical backdrop of Indigenous individuals, especially the effect of Colonization and, more significant, decolonization. As </w:t>
      </w:r>
      <w:proofErr w:type="gramStart"/>
      <w:r w:rsidRPr="003F6F29">
        <w:rPr>
          <w:iCs/>
          <w:color w:val="000000" w:themeColor="text1"/>
          <w:sz w:val="24"/>
        </w:rPr>
        <w:t>noted</w:t>
      </w:r>
      <w:proofErr w:type="gramEnd"/>
      <w:r w:rsidRPr="003F6F29">
        <w:rPr>
          <w:iCs/>
          <w:color w:val="000000" w:themeColor="text1"/>
          <w:sz w:val="24"/>
        </w:rPr>
        <w:t xml:space="preserve"> before, the reworking and rewriting of the Indigenous situation in history is a significant piece of decolonizing research (Smith, 2002), so my underlying hesitance changed to appreciation. Figure 4. Two Métis symbols </w:t>
      </w:r>
      <w:proofErr w:type="gramStart"/>
      <w:r w:rsidRPr="003F6F29">
        <w:rPr>
          <w:iCs/>
          <w:color w:val="000000" w:themeColor="text1"/>
          <w:sz w:val="24"/>
        </w:rPr>
        <w:t>The</w:t>
      </w:r>
      <w:proofErr w:type="gramEnd"/>
      <w:r w:rsidRPr="003F6F29">
        <w:rPr>
          <w:iCs/>
          <w:color w:val="000000" w:themeColor="text1"/>
          <w:sz w:val="24"/>
        </w:rPr>
        <w:t xml:space="preserve"> symbol of the aggregate story A word about correspondence Inside an Indigenous research structure, the guideline of correspondence, or offer in return, is fundamental. Many communicated the significance of the research, permitting them to recount their story; consequently, one more part of correspondence was offering a voice to the members. Symbol of the aggregate story End This research project was an excursion of disclosure. The main illustration gained from my experience of working from an Indigenous </w:t>
      </w:r>
      <w:r w:rsidRPr="003F6F29">
        <w:rPr>
          <w:iCs/>
          <w:color w:val="000000" w:themeColor="text1"/>
          <w:sz w:val="24"/>
        </w:rPr>
        <w:lastRenderedPageBreak/>
        <w:t xml:space="preserve">research system inside the foundation was how the "rules" of the foundation and research do not generally permit an Indigenous research system to thrive. Even though qualitative research standards were useful all through this interaction, a portion of these standards were risky., the grounded hypothesis technique for coding the sharing circles was fundamental since it assisted me with getting sorted out the topics to tell the aggregate story. </w:t>
      </w:r>
    </w:p>
    <w:p w14:paraId="42D65A64" w14:textId="77777777" w:rsidR="003F6F29" w:rsidRPr="003F6F29" w:rsidRDefault="00ED43F0" w:rsidP="003F6F29">
      <w:pPr>
        <w:spacing w:line="480" w:lineRule="auto"/>
        <w:ind w:firstLine="720"/>
        <w:jc w:val="both"/>
        <w:rPr>
          <w:iCs/>
          <w:color w:val="000000" w:themeColor="text1"/>
          <w:sz w:val="24"/>
        </w:rPr>
      </w:pPr>
      <w:r w:rsidRPr="003F6F29">
        <w:rPr>
          <w:iCs/>
          <w:color w:val="000000" w:themeColor="text1"/>
          <w:sz w:val="24"/>
        </w:rPr>
        <w:t>Indigenous research is decolonizing research (Smith, 2002). This way, it is significant that Indigenous ways of realizing oppose being arranged under Western ideas, including qualitative requests. Indigenous research isn't a qualitative request; in any case, the techniques utilized might be qualitative. An Indigenous methodology is an epistemology. The strategies might be qualitative, as in this research. However, research undertaking an Indigenous approach could likewise consolidate quantitative strategies. The medication wheel idea of well-being gave the system. Also, Indigenous research standards joined all through the research. Applying an Indigenous research framework in the academy is an important theoretical contribution and provides a different way of knowing, one that endeavors to decolonize the academy. I hope that future Indigenous research will use Indigenous methods and follow appropriate cultural protocols but that their theoretical or conceptual approach is based on Indigenous knowledge. e utilization of an Indigenous research system in the foundation is a significant hypothetical commitment and gives an alternate method of knowing, one that undertakings to decolonize the foundation. I trust that future Indigenous research won't just utilize Indigenous techniques and follow proper social conventions, yet their hypothetical or reasonable methodology depends on Indigenous information.</w:t>
      </w:r>
    </w:p>
    <w:p w14:paraId="788A1615" w14:textId="77777777" w:rsidR="003F6F29" w:rsidRPr="003F6F29" w:rsidRDefault="003F6F29" w:rsidP="003F6F29">
      <w:pPr>
        <w:spacing w:line="480" w:lineRule="auto"/>
        <w:ind w:firstLine="720"/>
        <w:jc w:val="both"/>
        <w:rPr>
          <w:iCs/>
          <w:color w:val="000000" w:themeColor="text1"/>
          <w:sz w:val="24"/>
        </w:rPr>
      </w:pPr>
    </w:p>
    <w:p w14:paraId="639A336B" w14:textId="77777777" w:rsidR="003F6F29" w:rsidRPr="003F6F29" w:rsidRDefault="003F6F29" w:rsidP="003F6F29">
      <w:pPr>
        <w:spacing w:line="480" w:lineRule="auto"/>
        <w:ind w:firstLine="720"/>
        <w:jc w:val="both"/>
        <w:rPr>
          <w:iCs/>
          <w:color w:val="000000" w:themeColor="text1"/>
          <w:sz w:val="20"/>
          <w:szCs w:val="20"/>
        </w:rPr>
      </w:pPr>
    </w:p>
    <w:p w14:paraId="2DB3740D" w14:textId="77777777" w:rsidR="003F6F29" w:rsidRPr="003F6F29" w:rsidRDefault="003F6F29" w:rsidP="003F6F29">
      <w:pPr>
        <w:spacing w:line="480" w:lineRule="auto"/>
        <w:ind w:firstLine="720"/>
        <w:jc w:val="both"/>
        <w:rPr>
          <w:iCs/>
          <w:color w:val="000000" w:themeColor="text1"/>
          <w:sz w:val="20"/>
          <w:szCs w:val="20"/>
        </w:rPr>
      </w:pPr>
    </w:p>
    <w:p w14:paraId="5877EAF1" w14:textId="77777777" w:rsidR="003F6F29" w:rsidRPr="003F6F29" w:rsidRDefault="003F6F29" w:rsidP="003F6F29">
      <w:pPr>
        <w:spacing w:line="480" w:lineRule="auto"/>
        <w:ind w:firstLine="720"/>
        <w:jc w:val="both"/>
        <w:rPr>
          <w:iCs/>
          <w:color w:val="000000" w:themeColor="text1"/>
          <w:sz w:val="20"/>
          <w:szCs w:val="20"/>
        </w:rPr>
      </w:pPr>
    </w:p>
    <w:p w14:paraId="0B7CFFB0" w14:textId="77777777" w:rsidR="003F6F29" w:rsidRPr="003F6F29" w:rsidRDefault="003F6F29" w:rsidP="003F6F29">
      <w:pPr>
        <w:spacing w:line="480" w:lineRule="auto"/>
        <w:ind w:firstLine="720"/>
        <w:jc w:val="both"/>
        <w:rPr>
          <w:iCs/>
          <w:color w:val="000000" w:themeColor="text1"/>
          <w:sz w:val="20"/>
          <w:szCs w:val="20"/>
        </w:rPr>
      </w:pPr>
    </w:p>
    <w:p w14:paraId="711484CA" w14:textId="77777777" w:rsidR="00BE4BAA" w:rsidRDefault="00BE4BAA" w:rsidP="003F6F29">
      <w:pPr>
        <w:spacing w:line="480" w:lineRule="auto"/>
        <w:ind w:firstLine="720"/>
        <w:jc w:val="center"/>
        <w:rPr>
          <w:iCs/>
          <w:color w:val="000000" w:themeColor="text1"/>
          <w:sz w:val="20"/>
          <w:szCs w:val="20"/>
        </w:rPr>
      </w:pPr>
    </w:p>
    <w:p w14:paraId="5E5E3060" w14:textId="505F3F84" w:rsidR="003F6F29" w:rsidRPr="00BE4BAA" w:rsidRDefault="003F6F29" w:rsidP="00BE4BAA">
      <w:pPr>
        <w:spacing w:line="480" w:lineRule="auto"/>
        <w:ind w:firstLine="720"/>
        <w:rPr>
          <w:iCs/>
          <w:color w:val="000000" w:themeColor="text1"/>
          <w:sz w:val="24"/>
          <w:szCs w:val="24"/>
          <w:u w:val="single"/>
        </w:rPr>
      </w:pPr>
      <w:r w:rsidRPr="00BE4BAA">
        <w:rPr>
          <w:b/>
          <w:bCs/>
          <w:iCs/>
          <w:color w:val="000000" w:themeColor="text1"/>
          <w:sz w:val="24"/>
          <w:szCs w:val="24"/>
          <w:u w:val="single"/>
        </w:rPr>
        <w:lastRenderedPageBreak/>
        <w:t>BIBLIOGRAPHY</w:t>
      </w:r>
    </w:p>
    <w:p w14:paraId="04EA8B97" w14:textId="3163D7E5"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Absolon, K., &amp; Willett, C. (2005). Putting ourselves forward: Location in aboriginal research. In L. Brown &amp; S. Strega (Eds.), </w:t>
      </w:r>
      <w:r w:rsidRPr="003F6F29">
        <w:rPr>
          <w:i/>
          <w:iCs/>
          <w:color w:val="000000" w:themeColor="text1"/>
          <w:sz w:val="20"/>
          <w:szCs w:val="20"/>
        </w:rPr>
        <w:t xml:space="preserve">Research as resistance. </w:t>
      </w:r>
      <w:r w:rsidRPr="003F6F29">
        <w:rPr>
          <w:iCs/>
          <w:color w:val="000000" w:themeColor="text1"/>
          <w:sz w:val="20"/>
          <w:szCs w:val="20"/>
        </w:rPr>
        <w:t>(pp. 97–126). Toronto, Canada: Canadian Scholars’ Press.</w:t>
      </w:r>
    </w:p>
    <w:p w14:paraId="34F9D056" w14:textId="77777777" w:rsidR="003F6F29" w:rsidRPr="003F6F29" w:rsidRDefault="003F6F29" w:rsidP="003F6F29">
      <w:pPr>
        <w:spacing w:line="480" w:lineRule="auto"/>
        <w:ind w:firstLine="720"/>
        <w:jc w:val="both"/>
        <w:rPr>
          <w:iCs/>
          <w:color w:val="000000" w:themeColor="text1"/>
          <w:sz w:val="20"/>
          <w:szCs w:val="20"/>
        </w:rPr>
      </w:pPr>
      <w:r w:rsidRPr="003F6F29">
        <w:rPr>
          <w:i/>
          <w:iCs/>
          <w:color w:val="000000" w:themeColor="text1"/>
          <w:sz w:val="20"/>
          <w:szCs w:val="20"/>
        </w:rPr>
        <w:t>American Indian Culture and Research Journal</w:t>
      </w:r>
      <w:r w:rsidRPr="003F6F29">
        <w:rPr>
          <w:iCs/>
          <w:color w:val="000000" w:themeColor="text1"/>
          <w:sz w:val="20"/>
          <w:szCs w:val="20"/>
        </w:rPr>
        <w:t xml:space="preserve">, </w:t>
      </w:r>
      <w:r w:rsidRPr="003F6F29">
        <w:rPr>
          <w:i/>
          <w:iCs/>
          <w:color w:val="000000" w:themeColor="text1"/>
          <w:sz w:val="20"/>
          <w:szCs w:val="20"/>
        </w:rPr>
        <w:t>25</w:t>
      </w:r>
      <w:r w:rsidRPr="003F6F29">
        <w:rPr>
          <w:iCs/>
          <w:color w:val="000000" w:themeColor="text1"/>
          <w:sz w:val="20"/>
          <w:szCs w:val="20"/>
        </w:rPr>
        <w:t>(1), 65–79.</w:t>
      </w:r>
    </w:p>
    <w:p w14:paraId="6EBA3AB9"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Anderson, K. (2000). </w:t>
      </w:r>
      <w:r w:rsidRPr="003F6F29">
        <w:rPr>
          <w:i/>
          <w:iCs/>
          <w:color w:val="000000" w:themeColor="text1"/>
          <w:sz w:val="20"/>
          <w:szCs w:val="20"/>
        </w:rPr>
        <w:t>A recognition of being: Reconstructing native womanhood</w:t>
      </w:r>
      <w:r w:rsidRPr="003F6F29">
        <w:rPr>
          <w:iCs/>
          <w:color w:val="000000" w:themeColor="text1"/>
          <w:sz w:val="20"/>
          <w:szCs w:val="20"/>
        </w:rPr>
        <w:t xml:space="preserve">. Toronto, Canada: </w:t>
      </w:r>
      <w:proofErr w:type="spellStart"/>
      <w:r w:rsidRPr="003F6F29">
        <w:rPr>
          <w:iCs/>
          <w:color w:val="000000" w:themeColor="text1"/>
          <w:sz w:val="20"/>
          <w:szCs w:val="20"/>
        </w:rPr>
        <w:t>Sumach</w:t>
      </w:r>
      <w:proofErr w:type="spellEnd"/>
      <w:r w:rsidRPr="003F6F29">
        <w:rPr>
          <w:iCs/>
          <w:color w:val="000000" w:themeColor="text1"/>
          <w:sz w:val="20"/>
          <w:szCs w:val="20"/>
        </w:rPr>
        <w:t>.</w:t>
      </w:r>
    </w:p>
    <w:p w14:paraId="796BAFFB"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Archibald, L. (2006). </w:t>
      </w:r>
      <w:r w:rsidRPr="003F6F29">
        <w:rPr>
          <w:i/>
          <w:iCs/>
          <w:color w:val="000000" w:themeColor="text1"/>
          <w:sz w:val="20"/>
          <w:szCs w:val="20"/>
        </w:rPr>
        <w:t>Decolonization and healing: Indigenous experiences in the United States, New Zealand, Australia and Greenland</w:t>
      </w:r>
      <w:r w:rsidRPr="003F6F29">
        <w:rPr>
          <w:iCs/>
          <w:color w:val="000000" w:themeColor="text1"/>
          <w:sz w:val="20"/>
          <w:szCs w:val="20"/>
        </w:rPr>
        <w:t>. Ottawa, Canada: Aboriginal Healing Foundation.</w:t>
      </w:r>
    </w:p>
    <w:p w14:paraId="334B3C3A"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Baskin, C. (2005). Circle</w:t>
      </w:r>
      <w:r w:rsidRPr="003F6F29">
        <w:rPr>
          <w:i/>
          <w:iCs/>
          <w:color w:val="000000" w:themeColor="text1"/>
          <w:sz w:val="20"/>
          <w:szCs w:val="20"/>
        </w:rPr>
        <w:t>s of inclusion: Aboriginal world views in social work education</w:t>
      </w:r>
      <w:r w:rsidRPr="003F6F29">
        <w:rPr>
          <w:iCs/>
          <w:color w:val="000000" w:themeColor="text1"/>
          <w:sz w:val="20"/>
          <w:szCs w:val="20"/>
        </w:rPr>
        <w:t xml:space="preserve">. Doctoral dissertation, University of Toronto, Canada. Retrieved June 2, 2008, from </w:t>
      </w:r>
      <w:r w:rsidRPr="003F6F29">
        <w:rPr>
          <w:i/>
          <w:iCs/>
          <w:color w:val="000000" w:themeColor="text1"/>
          <w:sz w:val="20"/>
          <w:szCs w:val="20"/>
        </w:rPr>
        <w:t>Dissertations &amp; Theses: Full Text database</w:t>
      </w:r>
      <w:r w:rsidRPr="003F6F29">
        <w:rPr>
          <w:iCs/>
          <w:color w:val="000000" w:themeColor="text1"/>
          <w:sz w:val="20"/>
          <w:szCs w:val="20"/>
        </w:rPr>
        <w:t>. (Publication No. AAT NR27745)</w:t>
      </w:r>
    </w:p>
    <w:p w14:paraId="68524347"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Bastien, B. (2005). </w:t>
      </w:r>
      <w:r w:rsidRPr="003F6F29">
        <w:rPr>
          <w:i/>
          <w:iCs/>
          <w:color w:val="000000" w:themeColor="text1"/>
          <w:sz w:val="20"/>
          <w:szCs w:val="20"/>
        </w:rPr>
        <w:t xml:space="preserve">Blackfoot ways of knowing: The worldview of the </w:t>
      </w:r>
      <w:proofErr w:type="spellStart"/>
      <w:r w:rsidRPr="003F6F29">
        <w:rPr>
          <w:i/>
          <w:iCs/>
          <w:color w:val="000000" w:themeColor="text1"/>
          <w:sz w:val="20"/>
          <w:szCs w:val="20"/>
        </w:rPr>
        <w:t>Siksikaitsitapi</w:t>
      </w:r>
      <w:proofErr w:type="spellEnd"/>
      <w:r w:rsidRPr="003F6F29">
        <w:rPr>
          <w:iCs/>
          <w:color w:val="000000" w:themeColor="text1"/>
          <w:sz w:val="20"/>
          <w:szCs w:val="20"/>
        </w:rPr>
        <w:t>. Calgary, Canada: University of Calgary Press.</w:t>
      </w:r>
    </w:p>
    <w:p w14:paraId="36EBDC33"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Berg, B. (1995). </w:t>
      </w:r>
      <w:r w:rsidRPr="003F6F29">
        <w:rPr>
          <w:i/>
          <w:iCs/>
          <w:color w:val="000000" w:themeColor="text1"/>
          <w:sz w:val="20"/>
          <w:szCs w:val="20"/>
        </w:rPr>
        <w:t xml:space="preserve">Qualitative research methods for the social sciences. </w:t>
      </w:r>
      <w:r w:rsidRPr="003F6F29">
        <w:rPr>
          <w:iCs/>
          <w:color w:val="000000" w:themeColor="text1"/>
          <w:sz w:val="20"/>
          <w:szCs w:val="20"/>
        </w:rPr>
        <w:t>(2nd ed.). Boston: Allyn &amp; Bacon.</w:t>
      </w:r>
    </w:p>
    <w:p w14:paraId="116B6F77"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Bhuiyan, M. M. H., &amp; Faisal, M. (2020). </w:t>
      </w:r>
      <w:r w:rsidRPr="003F6F29">
        <w:rPr>
          <w:i/>
          <w:iCs/>
          <w:color w:val="000000" w:themeColor="text1"/>
          <w:sz w:val="20"/>
          <w:szCs w:val="20"/>
        </w:rPr>
        <w:t>An Agenda of Advancing Health Monitoring System with a Contemporary Arrangement of Digitalized Operable Medical Kits</w:t>
      </w:r>
      <w:r w:rsidRPr="003F6F29">
        <w:rPr>
          <w:iCs/>
          <w:color w:val="000000" w:themeColor="text1"/>
          <w:sz w:val="20"/>
          <w:szCs w:val="20"/>
        </w:rPr>
        <w:t>. Southeast University Journal of Science and Engineering (SEUJSE). Volume 15, Issue 1, pp. 21-30</w:t>
      </w:r>
    </w:p>
    <w:p w14:paraId="619FE106"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Bhuiyan, M. M. H., (March-April 2022). </w:t>
      </w:r>
      <w:r w:rsidRPr="003F6F29">
        <w:rPr>
          <w:i/>
          <w:iCs/>
          <w:color w:val="000000" w:themeColor="text1"/>
          <w:sz w:val="20"/>
          <w:szCs w:val="20"/>
        </w:rPr>
        <w:t>Challenges Military Couples Face in Raising Their Children</w:t>
      </w:r>
      <w:r w:rsidRPr="003F6F29">
        <w:rPr>
          <w:iCs/>
          <w:color w:val="000000" w:themeColor="text1"/>
          <w:sz w:val="20"/>
          <w:szCs w:val="20"/>
        </w:rPr>
        <w:t xml:space="preserve">, International Journal of Scientific Research in Computer Science, Engineering and Information Technology (IJSRCSEIT), </w:t>
      </w:r>
      <w:proofErr w:type="gramStart"/>
      <w:r w:rsidRPr="003F6F29">
        <w:rPr>
          <w:iCs/>
          <w:color w:val="000000" w:themeColor="text1"/>
          <w:sz w:val="20"/>
          <w:szCs w:val="20"/>
        </w:rPr>
        <w:t>ISSN :</w:t>
      </w:r>
      <w:proofErr w:type="gramEnd"/>
      <w:r w:rsidRPr="003F6F29">
        <w:rPr>
          <w:iCs/>
          <w:color w:val="000000" w:themeColor="text1"/>
          <w:sz w:val="20"/>
          <w:szCs w:val="20"/>
        </w:rPr>
        <w:t xml:space="preserve"> 2456-3307, Volume 8 Issue 2, pp. 276-299, </w:t>
      </w:r>
      <w:proofErr w:type="spellStart"/>
      <w:r w:rsidRPr="003F6F29">
        <w:rPr>
          <w:iCs/>
          <w:color w:val="000000" w:themeColor="text1"/>
          <w:sz w:val="20"/>
          <w:szCs w:val="20"/>
        </w:rPr>
        <w:t>doi</w:t>
      </w:r>
      <w:proofErr w:type="spellEnd"/>
      <w:r w:rsidRPr="003F6F29">
        <w:rPr>
          <w:iCs/>
          <w:color w:val="000000" w:themeColor="text1"/>
          <w:sz w:val="20"/>
          <w:szCs w:val="20"/>
        </w:rPr>
        <w:t xml:space="preserve">: </w:t>
      </w:r>
      <w:bookmarkStart w:id="1" w:name="_Hlk103643126"/>
      <w:r w:rsidRPr="003F6F29">
        <w:rPr>
          <w:iCs/>
          <w:color w:val="000000" w:themeColor="text1"/>
          <w:sz w:val="20"/>
          <w:szCs w:val="20"/>
        </w:rPr>
        <w:t xml:space="preserve">https://doi.org/10.32628/CSEIT228252 </w:t>
      </w:r>
      <w:bookmarkEnd w:id="1"/>
      <w:r w:rsidRPr="003F6F29">
        <w:rPr>
          <w:iCs/>
          <w:color w:val="000000" w:themeColor="text1"/>
          <w:sz w:val="20"/>
          <w:szCs w:val="20"/>
        </w:rPr>
        <w:t xml:space="preserve">Journal URL : </w:t>
      </w:r>
      <w:hyperlink r:id="rId7" w:history="1">
        <w:r w:rsidRPr="003F6F29">
          <w:rPr>
            <w:rStyle w:val="Hyperlink"/>
            <w:iCs/>
            <w:color w:val="000000" w:themeColor="text1"/>
            <w:sz w:val="20"/>
            <w:szCs w:val="20"/>
          </w:rPr>
          <w:t>https://ijsrcseit.com/CSEIT228252</w:t>
        </w:r>
      </w:hyperlink>
    </w:p>
    <w:p w14:paraId="4D88973E"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Bhuiyan, M. M. H., (May, 2022). </w:t>
      </w:r>
      <w:r w:rsidRPr="003F6F29">
        <w:rPr>
          <w:i/>
          <w:iCs/>
          <w:color w:val="000000" w:themeColor="text1"/>
          <w:sz w:val="20"/>
          <w:szCs w:val="20"/>
        </w:rPr>
        <w:t>Integration of UAV with manned aircraft: prospects and future options</w:t>
      </w:r>
      <w:r w:rsidRPr="003F6F29">
        <w:rPr>
          <w:iCs/>
          <w:color w:val="000000" w:themeColor="text1"/>
          <w:sz w:val="20"/>
          <w:szCs w:val="20"/>
        </w:rPr>
        <w:t xml:space="preserve">. LAP LAMBERT Academic Publishing. Copyright © Majidul Haque Bhuiyan. Copyright © 2022 Dodo Books Indian Ocean Ltd., member of the </w:t>
      </w:r>
      <w:proofErr w:type="spellStart"/>
      <w:r w:rsidRPr="003F6F29">
        <w:rPr>
          <w:iCs/>
          <w:color w:val="000000" w:themeColor="text1"/>
          <w:sz w:val="20"/>
          <w:szCs w:val="20"/>
        </w:rPr>
        <w:t>OmniScriptum</w:t>
      </w:r>
      <w:proofErr w:type="spellEnd"/>
      <w:r w:rsidRPr="003F6F29">
        <w:rPr>
          <w:iCs/>
          <w:color w:val="000000" w:themeColor="text1"/>
          <w:sz w:val="20"/>
          <w:szCs w:val="20"/>
        </w:rPr>
        <w:t xml:space="preserve"> S.R.L Publishing group. ISBN: 978-620-0-32694-2.</w:t>
      </w:r>
    </w:p>
    <w:p w14:paraId="0C1F0D3A"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Bhuiyan, M. M. H., Imam, S. T., &amp; Rakhi, K. (2021). </w:t>
      </w:r>
      <w:r w:rsidRPr="003F6F29">
        <w:rPr>
          <w:i/>
          <w:iCs/>
          <w:color w:val="000000" w:themeColor="text1"/>
          <w:sz w:val="20"/>
          <w:szCs w:val="20"/>
        </w:rPr>
        <w:t>The Use of Modern Technology in English Language Teaching-ELT</w:t>
      </w:r>
      <w:r w:rsidRPr="003F6F29">
        <w:rPr>
          <w:iCs/>
          <w:color w:val="000000" w:themeColor="text1"/>
          <w:sz w:val="20"/>
          <w:szCs w:val="20"/>
        </w:rPr>
        <w:t>.</w:t>
      </w:r>
    </w:p>
    <w:p w14:paraId="1E4B2C89"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Bhuiyan, M. M. H., Sabrina Rahman, Sahib, S. M., (2022, April). </w:t>
      </w:r>
      <w:r w:rsidRPr="003F6F29">
        <w:rPr>
          <w:i/>
          <w:iCs/>
          <w:color w:val="000000" w:themeColor="text1"/>
          <w:sz w:val="20"/>
          <w:szCs w:val="20"/>
        </w:rPr>
        <w:t>Overparenting's Consequences in Bangladeshi Society Child's Intelligence, Growth, and Creativity</w:t>
      </w:r>
      <w:r w:rsidRPr="003F6F29">
        <w:rPr>
          <w:iCs/>
          <w:color w:val="000000" w:themeColor="text1"/>
          <w:sz w:val="20"/>
          <w:szCs w:val="20"/>
        </w:rPr>
        <w:t>. In 2022 International Journal of Scientific &amp; Engineering Research Volume 13, Issue 4, pp.1301-1312. ISSN: 2229-5518. https://doi.org/10.14299/ijser.2022.04.01</w:t>
      </w:r>
    </w:p>
    <w:p w14:paraId="44F83BAB" w14:textId="77777777" w:rsidR="003F6F29" w:rsidRPr="003F6F29" w:rsidRDefault="003F6F29" w:rsidP="003F6F29">
      <w:pPr>
        <w:spacing w:line="480" w:lineRule="auto"/>
        <w:ind w:firstLine="720"/>
        <w:jc w:val="both"/>
        <w:rPr>
          <w:i/>
          <w:iCs/>
          <w:color w:val="000000" w:themeColor="text1"/>
          <w:sz w:val="20"/>
          <w:szCs w:val="20"/>
        </w:rPr>
      </w:pPr>
      <w:r w:rsidRPr="003F6F29">
        <w:rPr>
          <w:iCs/>
          <w:color w:val="000000" w:themeColor="text1"/>
          <w:sz w:val="20"/>
          <w:szCs w:val="20"/>
        </w:rPr>
        <w:t xml:space="preserve">Bhuiyan, Md Majidul Haque (2021). </w:t>
      </w:r>
      <w:r w:rsidRPr="003F6F29">
        <w:rPr>
          <w:i/>
          <w:iCs/>
          <w:color w:val="000000" w:themeColor="text1"/>
          <w:sz w:val="20"/>
          <w:szCs w:val="20"/>
        </w:rPr>
        <w:t xml:space="preserve">Case Study on Sri Lankan REM- “How Product Quality </w:t>
      </w:r>
      <w:proofErr w:type="gramStart"/>
      <w:r w:rsidRPr="003F6F29">
        <w:rPr>
          <w:i/>
          <w:iCs/>
          <w:color w:val="000000" w:themeColor="text1"/>
          <w:sz w:val="20"/>
          <w:szCs w:val="20"/>
        </w:rPr>
        <w:t>can</w:t>
      </w:r>
      <w:proofErr w:type="gramEnd"/>
      <w:r w:rsidRPr="003F6F29">
        <w:rPr>
          <w:i/>
          <w:iCs/>
          <w:color w:val="000000" w:themeColor="text1"/>
          <w:sz w:val="20"/>
          <w:szCs w:val="20"/>
        </w:rPr>
        <w:t xml:space="preserve"> Enhance the Purchasing Behavior of Real Estate Industry”</w:t>
      </w:r>
      <w:r w:rsidRPr="003F6F29">
        <w:rPr>
          <w:iCs/>
          <w:color w:val="000000" w:themeColor="text1"/>
          <w:sz w:val="20"/>
          <w:szCs w:val="20"/>
        </w:rPr>
        <w:t xml:space="preserve">. Available on </w:t>
      </w:r>
      <w:proofErr w:type="spellStart"/>
      <w:r w:rsidRPr="003F6F29">
        <w:rPr>
          <w:iCs/>
          <w:color w:val="000000" w:themeColor="text1"/>
          <w:sz w:val="20"/>
          <w:szCs w:val="20"/>
        </w:rPr>
        <w:t>PhilArchive</w:t>
      </w:r>
      <w:proofErr w:type="spellEnd"/>
      <w:r w:rsidRPr="003F6F29">
        <w:rPr>
          <w:iCs/>
          <w:color w:val="000000" w:themeColor="text1"/>
          <w:sz w:val="20"/>
          <w:szCs w:val="20"/>
        </w:rPr>
        <w:t xml:space="preserve"> copy v1</w:t>
      </w:r>
      <w:r w:rsidRPr="003F6F29">
        <w:rPr>
          <w:i/>
          <w:iCs/>
          <w:color w:val="000000" w:themeColor="text1"/>
          <w:sz w:val="20"/>
          <w:szCs w:val="20"/>
        </w:rPr>
        <w:t>:</w:t>
      </w:r>
      <w:r w:rsidRPr="003F6F29">
        <w:rPr>
          <w:iCs/>
          <w:color w:val="000000" w:themeColor="text1"/>
          <w:sz w:val="20"/>
          <w:szCs w:val="20"/>
        </w:rPr>
        <w:t xml:space="preserve"> </w:t>
      </w:r>
      <w:hyperlink r:id="rId8" w:history="1">
        <w:r w:rsidRPr="003F6F29">
          <w:rPr>
            <w:rStyle w:val="Hyperlink"/>
            <w:iCs/>
            <w:color w:val="000000" w:themeColor="text1"/>
            <w:sz w:val="20"/>
            <w:szCs w:val="20"/>
          </w:rPr>
          <w:t>https://philarchive.org/archive/BHUTAOv1</w:t>
        </w:r>
      </w:hyperlink>
    </w:p>
    <w:p w14:paraId="0215D5EF" w14:textId="77777777" w:rsidR="003F6F29" w:rsidRPr="003F6F29" w:rsidRDefault="003F6F29" w:rsidP="003F6F29">
      <w:pPr>
        <w:spacing w:line="480" w:lineRule="auto"/>
        <w:ind w:firstLine="720"/>
        <w:jc w:val="both"/>
        <w:rPr>
          <w:i/>
          <w:iCs/>
          <w:color w:val="000000" w:themeColor="text1"/>
          <w:sz w:val="20"/>
          <w:szCs w:val="20"/>
        </w:rPr>
      </w:pPr>
      <w:r w:rsidRPr="003F6F29">
        <w:rPr>
          <w:iCs/>
          <w:color w:val="000000" w:themeColor="text1"/>
          <w:sz w:val="20"/>
          <w:szCs w:val="20"/>
        </w:rPr>
        <w:t xml:space="preserve">Bhuiyan, Md Majidul </w:t>
      </w:r>
      <w:proofErr w:type="gramStart"/>
      <w:r w:rsidRPr="003F6F29">
        <w:rPr>
          <w:iCs/>
          <w:color w:val="000000" w:themeColor="text1"/>
          <w:sz w:val="20"/>
          <w:szCs w:val="20"/>
        </w:rPr>
        <w:t>Haque,(</w:t>
      </w:r>
      <w:proofErr w:type="gramEnd"/>
      <w:r w:rsidRPr="003F6F29">
        <w:rPr>
          <w:iCs/>
          <w:color w:val="000000" w:themeColor="text1"/>
          <w:sz w:val="20"/>
          <w:szCs w:val="20"/>
        </w:rPr>
        <w:t xml:space="preserve">2022). </w:t>
      </w:r>
      <w:r w:rsidRPr="003F6F29">
        <w:rPr>
          <w:i/>
          <w:iCs/>
          <w:color w:val="000000" w:themeColor="text1"/>
          <w:sz w:val="20"/>
          <w:szCs w:val="20"/>
        </w:rPr>
        <w:t>Lecture note on Pakistan Colonial Administration</w:t>
      </w:r>
      <w:r w:rsidRPr="003F6F29">
        <w:rPr>
          <w:iCs/>
          <w:color w:val="000000" w:themeColor="text1"/>
          <w:sz w:val="20"/>
          <w:szCs w:val="20"/>
        </w:rPr>
        <w:t>. Available on https://philpapers.org/rec/BHULNO</w:t>
      </w:r>
    </w:p>
    <w:p w14:paraId="1ABCD7E4"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Brant-Castellano, M. (2000). Updating aboriginal traditions of knowledge. In G. Dei, B. Hall, &amp; D. Rosenberg (Eds.) </w:t>
      </w:r>
      <w:r w:rsidRPr="003F6F29">
        <w:rPr>
          <w:i/>
          <w:iCs/>
          <w:color w:val="000000" w:themeColor="text1"/>
          <w:sz w:val="20"/>
          <w:szCs w:val="20"/>
        </w:rPr>
        <w:t xml:space="preserve">Indigenous knowledges in global contexts </w:t>
      </w:r>
      <w:r w:rsidRPr="003F6F29">
        <w:rPr>
          <w:iCs/>
          <w:color w:val="000000" w:themeColor="text1"/>
          <w:sz w:val="20"/>
          <w:szCs w:val="20"/>
        </w:rPr>
        <w:t>(pp. 21–36). Toronto, Canada: University of Toronto Press.</w:t>
      </w:r>
    </w:p>
    <w:p w14:paraId="59B303CC"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Cajete, G. (2000). </w:t>
      </w:r>
      <w:r w:rsidRPr="003F6F29">
        <w:rPr>
          <w:i/>
          <w:iCs/>
          <w:color w:val="000000" w:themeColor="text1"/>
          <w:sz w:val="20"/>
          <w:szCs w:val="20"/>
        </w:rPr>
        <w:t xml:space="preserve">Native science: Natural laws of interdependence. </w:t>
      </w:r>
      <w:r w:rsidRPr="003F6F29">
        <w:rPr>
          <w:iCs/>
          <w:color w:val="000000" w:themeColor="text1"/>
          <w:sz w:val="20"/>
          <w:szCs w:val="20"/>
        </w:rPr>
        <w:t>Santa Fe, MN: Clear Light.</w:t>
      </w:r>
    </w:p>
    <w:p w14:paraId="43A57BE8"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Canadian Institutes of Health Research. (2007). </w:t>
      </w:r>
      <w:r w:rsidRPr="003F6F29">
        <w:rPr>
          <w:i/>
          <w:iCs/>
          <w:color w:val="000000" w:themeColor="text1"/>
          <w:sz w:val="20"/>
          <w:szCs w:val="20"/>
        </w:rPr>
        <w:t xml:space="preserve">CIHR guidelines for health research involving Aboriginal Peoples. </w:t>
      </w:r>
      <w:r w:rsidRPr="003F6F29">
        <w:rPr>
          <w:iCs/>
          <w:color w:val="000000" w:themeColor="text1"/>
          <w:sz w:val="20"/>
          <w:szCs w:val="20"/>
        </w:rPr>
        <w:t xml:space="preserve">Retrieved July 25, 2007, from </w:t>
      </w:r>
      <w:r w:rsidRPr="003F6F29">
        <w:rPr>
          <w:iCs/>
          <w:color w:val="000000" w:themeColor="text1"/>
          <w:sz w:val="20"/>
          <w:szCs w:val="20"/>
          <w:u w:val="single"/>
        </w:rPr>
        <w:t>http://www.cihr-</w:t>
      </w:r>
      <w:r w:rsidRPr="003F6F29">
        <w:rPr>
          <w:iCs/>
          <w:color w:val="000000" w:themeColor="text1"/>
          <w:sz w:val="20"/>
          <w:szCs w:val="20"/>
        </w:rPr>
        <w:t xml:space="preserve"> </w:t>
      </w:r>
      <w:r w:rsidRPr="003F6F29">
        <w:rPr>
          <w:iCs/>
          <w:color w:val="000000" w:themeColor="text1"/>
          <w:sz w:val="20"/>
          <w:szCs w:val="20"/>
          <w:u w:val="single"/>
        </w:rPr>
        <w:t>irsc.gc.ca/e/documents/ethics_aboriginal_guidelines_e.pdf</w:t>
      </w:r>
    </w:p>
    <w:p w14:paraId="3E8F421B"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Canadian Parks and Recreation Association. (1994). </w:t>
      </w:r>
      <w:r w:rsidRPr="003F6F29">
        <w:rPr>
          <w:i/>
          <w:iCs/>
          <w:color w:val="000000" w:themeColor="text1"/>
          <w:sz w:val="20"/>
          <w:szCs w:val="20"/>
        </w:rPr>
        <w:t>Impact and benefits of physical activity and recreation on Canadian youth-at-risk</w:t>
      </w:r>
      <w:r w:rsidRPr="003F6F29">
        <w:rPr>
          <w:iCs/>
          <w:color w:val="000000" w:themeColor="text1"/>
          <w:sz w:val="20"/>
          <w:szCs w:val="20"/>
        </w:rPr>
        <w:t xml:space="preserve">. Retrieved July 3, 2008, from </w:t>
      </w:r>
      <w:hyperlink r:id="rId9">
        <w:r w:rsidRPr="003F6F29">
          <w:rPr>
            <w:rStyle w:val="Hyperlink"/>
            <w:iCs/>
            <w:color w:val="000000" w:themeColor="text1"/>
            <w:sz w:val="20"/>
            <w:szCs w:val="20"/>
          </w:rPr>
          <w:t>http://adp.lin.ca/resource//html/impact.htm</w:t>
        </w:r>
      </w:hyperlink>
    </w:p>
    <w:p w14:paraId="18E7E2F2"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Casey, K. (1996). The new narrative research in education. </w:t>
      </w:r>
      <w:r w:rsidRPr="003F6F29">
        <w:rPr>
          <w:i/>
          <w:iCs/>
          <w:color w:val="000000" w:themeColor="text1"/>
          <w:sz w:val="20"/>
          <w:szCs w:val="20"/>
        </w:rPr>
        <w:t>Review of Research in Education</w:t>
      </w:r>
      <w:r w:rsidRPr="003F6F29">
        <w:rPr>
          <w:iCs/>
          <w:color w:val="000000" w:themeColor="text1"/>
          <w:sz w:val="20"/>
          <w:szCs w:val="20"/>
        </w:rPr>
        <w:t xml:space="preserve">, </w:t>
      </w:r>
      <w:r w:rsidRPr="003F6F29">
        <w:rPr>
          <w:i/>
          <w:iCs/>
          <w:color w:val="000000" w:themeColor="text1"/>
          <w:sz w:val="20"/>
          <w:szCs w:val="20"/>
        </w:rPr>
        <w:t>21</w:t>
      </w:r>
      <w:r w:rsidRPr="003F6F29">
        <w:rPr>
          <w:iCs/>
          <w:color w:val="000000" w:themeColor="text1"/>
          <w:sz w:val="20"/>
          <w:szCs w:val="20"/>
        </w:rPr>
        <w:t>, 211– 253.</w:t>
      </w:r>
    </w:p>
    <w:p w14:paraId="12FA2F4A"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Coakley, J. (2002). Using sports to control deviance and violence among youths: Let's be critical and cautious. In M. Gatz, M. A. Messner &amp; S. J. Ball-Rokeach (Eds.), </w:t>
      </w:r>
      <w:r w:rsidRPr="003F6F29">
        <w:rPr>
          <w:i/>
          <w:iCs/>
          <w:color w:val="000000" w:themeColor="text1"/>
          <w:sz w:val="20"/>
          <w:szCs w:val="20"/>
        </w:rPr>
        <w:t>Paradoxes of youth and sport</w:t>
      </w:r>
      <w:r w:rsidRPr="003F6F29">
        <w:rPr>
          <w:iCs/>
          <w:color w:val="000000" w:themeColor="text1"/>
          <w:sz w:val="20"/>
          <w:szCs w:val="20"/>
        </w:rPr>
        <w:t>. (pp. 13–30). Albany, NY: SUNY Press.</w:t>
      </w:r>
    </w:p>
    <w:p w14:paraId="22F4E767"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Davidson, C. M., Brown, M., &amp; Moffitt, P. (2006). Student researchers negotiating consent in northern Aboriginal communities. </w:t>
      </w:r>
      <w:r w:rsidRPr="003F6F29">
        <w:rPr>
          <w:i/>
          <w:iCs/>
          <w:color w:val="000000" w:themeColor="text1"/>
          <w:sz w:val="20"/>
          <w:szCs w:val="20"/>
        </w:rPr>
        <w:t>International Journal of Qualitative Methods</w:t>
      </w:r>
      <w:r w:rsidRPr="003F6F29">
        <w:rPr>
          <w:iCs/>
          <w:color w:val="000000" w:themeColor="text1"/>
          <w:sz w:val="20"/>
          <w:szCs w:val="20"/>
        </w:rPr>
        <w:t xml:space="preserve">, </w:t>
      </w:r>
      <w:r w:rsidRPr="003F6F29">
        <w:rPr>
          <w:i/>
          <w:iCs/>
          <w:color w:val="000000" w:themeColor="text1"/>
          <w:sz w:val="20"/>
          <w:szCs w:val="20"/>
        </w:rPr>
        <w:t>5</w:t>
      </w:r>
      <w:r w:rsidRPr="003F6F29">
        <w:rPr>
          <w:iCs/>
          <w:color w:val="000000" w:themeColor="text1"/>
          <w:sz w:val="20"/>
          <w:szCs w:val="20"/>
        </w:rPr>
        <w:t>(2), 1–10. Retrieved March 27, 2009, from https://ejournals.library.ualberta.ca/index.php/IJQM/index</w:t>
      </w:r>
    </w:p>
    <w:p w14:paraId="285E12C4"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Eigenbrod, R., </w:t>
      </w:r>
      <w:proofErr w:type="spellStart"/>
      <w:r w:rsidRPr="003F6F29">
        <w:rPr>
          <w:iCs/>
          <w:color w:val="000000" w:themeColor="text1"/>
          <w:sz w:val="20"/>
          <w:szCs w:val="20"/>
        </w:rPr>
        <w:t>Kakegamic</w:t>
      </w:r>
      <w:proofErr w:type="spellEnd"/>
      <w:r w:rsidRPr="003F6F29">
        <w:rPr>
          <w:iCs/>
          <w:color w:val="000000" w:themeColor="text1"/>
          <w:sz w:val="20"/>
          <w:szCs w:val="20"/>
        </w:rPr>
        <w:t xml:space="preserve">, G., &amp; Fiddler, J. (2003). </w:t>
      </w:r>
      <w:r w:rsidRPr="003F6F29">
        <w:rPr>
          <w:i/>
          <w:iCs/>
          <w:color w:val="000000" w:themeColor="text1"/>
          <w:sz w:val="20"/>
          <w:szCs w:val="20"/>
        </w:rPr>
        <w:t>Aboriginal literatures in Canada: A teacher’s resource guide</w:t>
      </w:r>
      <w:r w:rsidRPr="003F6F29">
        <w:rPr>
          <w:iCs/>
          <w:color w:val="000000" w:themeColor="text1"/>
          <w:sz w:val="20"/>
          <w:szCs w:val="20"/>
        </w:rPr>
        <w:t>. Ottawa, ON: Curriculum Services Canada.</w:t>
      </w:r>
    </w:p>
    <w:p w14:paraId="3C02B375"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Ellis, J. B., &amp; </w:t>
      </w:r>
      <w:proofErr w:type="spellStart"/>
      <w:r w:rsidRPr="003F6F29">
        <w:rPr>
          <w:iCs/>
          <w:color w:val="000000" w:themeColor="text1"/>
          <w:sz w:val="20"/>
          <w:szCs w:val="20"/>
        </w:rPr>
        <w:t>Earley</w:t>
      </w:r>
      <w:proofErr w:type="spellEnd"/>
      <w:r w:rsidRPr="003F6F29">
        <w:rPr>
          <w:iCs/>
          <w:color w:val="000000" w:themeColor="text1"/>
          <w:sz w:val="20"/>
          <w:szCs w:val="20"/>
        </w:rPr>
        <w:t xml:space="preserve">, M. A., (2006). Reciprocity and constructions of informed consent: Research with indigenous populations. </w:t>
      </w:r>
      <w:r w:rsidRPr="003F6F29">
        <w:rPr>
          <w:i/>
          <w:iCs/>
          <w:color w:val="000000" w:themeColor="text1"/>
          <w:sz w:val="20"/>
          <w:szCs w:val="20"/>
        </w:rPr>
        <w:t>International Journal of Qualitative Methods. 5</w:t>
      </w:r>
      <w:r w:rsidRPr="003F6F29">
        <w:rPr>
          <w:iCs/>
          <w:color w:val="000000" w:themeColor="text1"/>
          <w:sz w:val="20"/>
          <w:szCs w:val="20"/>
        </w:rPr>
        <w:t xml:space="preserve">(4), 1–9. Retrieved June 2, 2008, from </w:t>
      </w:r>
      <w:r w:rsidRPr="003F6F29">
        <w:rPr>
          <w:iCs/>
          <w:color w:val="000000" w:themeColor="text1"/>
          <w:sz w:val="20"/>
          <w:szCs w:val="20"/>
          <w:u w:val="single"/>
        </w:rPr>
        <w:t>https://ejournals.library.ualberta.ca/index.php/IJQM/index</w:t>
      </w:r>
    </w:p>
    <w:p w14:paraId="4EAB6991"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Faisal, M. A., &amp; Bhuiyan, M. M. H. (2020), </w:t>
      </w:r>
      <w:r w:rsidRPr="003F6F29">
        <w:rPr>
          <w:i/>
          <w:iCs/>
          <w:color w:val="000000" w:themeColor="text1"/>
          <w:sz w:val="20"/>
          <w:szCs w:val="20"/>
        </w:rPr>
        <w:t>Contemporary Framework of Technical Challenges in Enactment of Smart Grid</w:t>
      </w:r>
      <w:r w:rsidRPr="003F6F29">
        <w:rPr>
          <w:iCs/>
          <w:color w:val="000000" w:themeColor="text1"/>
          <w:sz w:val="20"/>
          <w:szCs w:val="20"/>
        </w:rPr>
        <w:t xml:space="preserve">. Southeast University Journal of Science and Engineering (SEUJSE). </w:t>
      </w:r>
      <w:proofErr w:type="spellStart"/>
      <w:r w:rsidRPr="003F6F29">
        <w:rPr>
          <w:iCs/>
          <w:color w:val="000000" w:themeColor="text1"/>
          <w:sz w:val="20"/>
          <w:szCs w:val="20"/>
        </w:rPr>
        <w:t>Voume</w:t>
      </w:r>
      <w:proofErr w:type="spellEnd"/>
      <w:r w:rsidRPr="003F6F29">
        <w:rPr>
          <w:iCs/>
          <w:color w:val="000000" w:themeColor="text1"/>
          <w:sz w:val="20"/>
          <w:szCs w:val="20"/>
        </w:rPr>
        <w:t xml:space="preserve"> 14. Issue 1. pp.54-61.</w:t>
      </w:r>
    </w:p>
    <w:p w14:paraId="20FDC641"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First Ojibway Network. (2006). </w:t>
      </w:r>
      <w:proofErr w:type="spellStart"/>
      <w:r w:rsidRPr="003F6F29">
        <w:rPr>
          <w:i/>
          <w:iCs/>
          <w:color w:val="000000" w:themeColor="text1"/>
          <w:sz w:val="20"/>
          <w:szCs w:val="20"/>
        </w:rPr>
        <w:t>Anishinaabemowin</w:t>
      </w:r>
      <w:proofErr w:type="spellEnd"/>
      <w:r w:rsidRPr="003F6F29">
        <w:rPr>
          <w:i/>
          <w:iCs/>
          <w:color w:val="000000" w:themeColor="text1"/>
          <w:sz w:val="20"/>
          <w:szCs w:val="20"/>
        </w:rPr>
        <w:t>: Ojibwe language dictionary</w:t>
      </w:r>
      <w:r w:rsidRPr="003F6F29">
        <w:rPr>
          <w:iCs/>
          <w:color w:val="000000" w:themeColor="text1"/>
          <w:sz w:val="20"/>
          <w:szCs w:val="20"/>
        </w:rPr>
        <w:t xml:space="preserve">. Retrieved July 19, 2006, from </w:t>
      </w:r>
      <w:hyperlink r:id="rId10">
        <w:r w:rsidRPr="003F6F29">
          <w:rPr>
            <w:rStyle w:val="Hyperlink"/>
            <w:iCs/>
            <w:color w:val="000000" w:themeColor="text1"/>
            <w:sz w:val="20"/>
            <w:szCs w:val="20"/>
          </w:rPr>
          <w:t>http://www.first-ojibwe.net/translations/weshki-ayaad/index.html</w:t>
        </w:r>
      </w:hyperlink>
    </w:p>
    <w:p w14:paraId="42AB78A4"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Gray, J. (2005). </w:t>
      </w:r>
      <w:r w:rsidRPr="003F6F29">
        <w:rPr>
          <w:i/>
          <w:iCs/>
          <w:color w:val="000000" w:themeColor="text1"/>
          <w:sz w:val="20"/>
          <w:szCs w:val="20"/>
        </w:rPr>
        <w:t>First Nations Regional Longitudinal Health Survey (RHS) 2002/03: The peoples’ report</w:t>
      </w:r>
      <w:r w:rsidRPr="003F6F29">
        <w:rPr>
          <w:iCs/>
          <w:color w:val="000000" w:themeColor="text1"/>
          <w:sz w:val="20"/>
          <w:szCs w:val="20"/>
        </w:rPr>
        <w:t>.</w:t>
      </w:r>
    </w:p>
    <w:p w14:paraId="473FFAED"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Halas, J. (2001). Playtime at the treatment </w:t>
      </w:r>
      <w:proofErr w:type="spellStart"/>
      <w:r w:rsidRPr="003F6F29">
        <w:rPr>
          <w:iCs/>
          <w:color w:val="000000" w:themeColor="text1"/>
          <w:sz w:val="20"/>
          <w:szCs w:val="20"/>
        </w:rPr>
        <w:t>centre</w:t>
      </w:r>
      <w:proofErr w:type="spellEnd"/>
      <w:r w:rsidRPr="003F6F29">
        <w:rPr>
          <w:iCs/>
          <w:color w:val="000000" w:themeColor="text1"/>
          <w:sz w:val="20"/>
          <w:szCs w:val="20"/>
        </w:rPr>
        <w:t xml:space="preserve">: How physical activity helps troubled youth. </w:t>
      </w:r>
      <w:r w:rsidRPr="003F6F29">
        <w:rPr>
          <w:i/>
          <w:iCs/>
          <w:color w:val="000000" w:themeColor="text1"/>
          <w:sz w:val="20"/>
          <w:szCs w:val="20"/>
        </w:rPr>
        <w:t>Avante</w:t>
      </w:r>
      <w:r w:rsidRPr="003F6F29">
        <w:rPr>
          <w:iCs/>
          <w:color w:val="000000" w:themeColor="text1"/>
          <w:sz w:val="20"/>
          <w:szCs w:val="20"/>
        </w:rPr>
        <w:t xml:space="preserve">, </w:t>
      </w:r>
      <w:r w:rsidRPr="003F6F29">
        <w:rPr>
          <w:i/>
          <w:iCs/>
          <w:color w:val="000000" w:themeColor="text1"/>
          <w:sz w:val="20"/>
          <w:szCs w:val="20"/>
        </w:rPr>
        <w:t>7</w:t>
      </w:r>
      <w:r w:rsidRPr="003F6F29">
        <w:rPr>
          <w:iCs/>
          <w:color w:val="000000" w:themeColor="text1"/>
          <w:sz w:val="20"/>
          <w:szCs w:val="20"/>
        </w:rPr>
        <w:t>(1), 1–13.</w:t>
      </w:r>
    </w:p>
    <w:p w14:paraId="7C8A3DA5"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Hartmann, D. (2003). Theorizing sport as social intervention: A view from the grassroots. </w:t>
      </w:r>
      <w:r w:rsidRPr="003F6F29">
        <w:rPr>
          <w:i/>
          <w:iCs/>
          <w:color w:val="000000" w:themeColor="text1"/>
          <w:sz w:val="20"/>
          <w:szCs w:val="20"/>
        </w:rPr>
        <w:t>Quest</w:t>
      </w:r>
      <w:r w:rsidRPr="003F6F29">
        <w:rPr>
          <w:iCs/>
          <w:color w:val="000000" w:themeColor="text1"/>
          <w:sz w:val="20"/>
          <w:szCs w:val="20"/>
        </w:rPr>
        <w:t xml:space="preserve">, </w:t>
      </w:r>
      <w:r w:rsidRPr="003F6F29">
        <w:rPr>
          <w:i/>
          <w:iCs/>
          <w:color w:val="000000" w:themeColor="text1"/>
          <w:sz w:val="20"/>
          <w:szCs w:val="20"/>
        </w:rPr>
        <w:t>55</w:t>
      </w:r>
      <w:r w:rsidRPr="003F6F29">
        <w:rPr>
          <w:iCs/>
          <w:color w:val="000000" w:themeColor="text1"/>
          <w:sz w:val="20"/>
          <w:szCs w:val="20"/>
        </w:rPr>
        <w:t>, 118– 140.</w:t>
      </w:r>
    </w:p>
    <w:p w14:paraId="5E6BE431"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lastRenderedPageBreak/>
        <w:t xml:space="preserve">Imam, Syeda </w:t>
      </w:r>
      <w:proofErr w:type="gramStart"/>
      <w:r w:rsidRPr="003F6F29">
        <w:rPr>
          <w:iCs/>
          <w:color w:val="000000" w:themeColor="text1"/>
          <w:sz w:val="20"/>
          <w:szCs w:val="20"/>
        </w:rPr>
        <w:t>Tasfia ;</w:t>
      </w:r>
      <w:proofErr w:type="gramEnd"/>
      <w:r w:rsidRPr="003F6F29">
        <w:rPr>
          <w:iCs/>
          <w:color w:val="000000" w:themeColor="text1"/>
          <w:sz w:val="20"/>
          <w:szCs w:val="20"/>
        </w:rPr>
        <w:t xml:space="preserve"> Bhuiyan, Md Majidul Haque &amp; Rakhi, </w:t>
      </w:r>
      <w:proofErr w:type="spellStart"/>
      <w:r w:rsidRPr="003F6F29">
        <w:rPr>
          <w:iCs/>
          <w:color w:val="000000" w:themeColor="text1"/>
          <w:sz w:val="20"/>
          <w:szCs w:val="20"/>
        </w:rPr>
        <w:t>Kamrunnahar</w:t>
      </w:r>
      <w:proofErr w:type="spellEnd"/>
      <w:r w:rsidRPr="003F6F29">
        <w:rPr>
          <w:iCs/>
          <w:color w:val="000000" w:themeColor="text1"/>
          <w:sz w:val="20"/>
          <w:szCs w:val="20"/>
        </w:rPr>
        <w:t xml:space="preserve"> (2021), </w:t>
      </w:r>
      <w:r w:rsidRPr="003F6F29">
        <w:rPr>
          <w:i/>
          <w:iCs/>
          <w:color w:val="000000" w:themeColor="text1"/>
          <w:sz w:val="20"/>
          <w:szCs w:val="20"/>
        </w:rPr>
        <w:t>An Existing Sculps Human Modelling- The Deviations in Dialect of Indian Standard English from the British Colonial Period to Present Times</w:t>
      </w:r>
      <w:r w:rsidRPr="003F6F29">
        <w:rPr>
          <w:iCs/>
          <w:color w:val="000000" w:themeColor="text1"/>
          <w:sz w:val="20"/>
          <w:szCs w:val="20"/>
        </w:rPr>
        <w:t xml:space="preserve">. Available on </w:t>
      </w:r>
      <w:proofErr w:type="spellStart"/>
      <w:r w:rsidRPr="003F6F29">
        <w:rPr>
          <w:iCs/>
          <w:color w:val="000000" w:themeColor="text1"/>
          <w:sz w:val="20"/>
          <w:szCs w:val="20"/>
        </w:rPr>
        <w:t>PhilArchive</w:t>
      </w:r>
      <w:proofErr w:type="spellEnd"/>
      <w:r w:rsidRPr="003F6F29">
        <w:rPr>
          <w:iCs/>
          <w:color w:val="000000" w:themeColor="text1"/>
          <w:sz w:val="20"/>
          <w:szCs w:val="20"/>
        </w:rPr>
        <w:t>: https://philarchive.org/archive/IMAAE</w:t>
      </w:r>
    </w:p>
    <w:p w14:paraId="6C1E1260"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Kilbourn, B., (2006). The qualitative doctoral dissertation proposal. </w:t>
      </w:r>
      <w:r w:rsidRPr="003F6F29">
        <w:rPr>
          <w:i/>
          <w:iCs/>
          <w:color w:val="000000" w:themeColor="text1"/>
          <w:sz w:val="20"/>
          <w:szCs w:val="20"/>
        </w:rPr>
        <w:t>Teachers College Record</w:t>
      </w:r>
      <w:r w:rsidRPr="003F6F29">
        <w:rPr>
          <w:iCs/>
          <w:color w:val="000000" w:themeColor="text1"/>
          <w:sz w:val="20"/>
          <w:szCs w:val="20"/>
        </w:rPr>
        <w:t xml:space="preserve">, </w:t>
      </w:r>
      <w:r w:rsidRPr="003F6F29">
        <w:rPr>
          <w:i/>
          <w:iCs/>
          <w:color w:val="000000" w:themeColor="text1"/>
          <w:sz w:val="20"/>
          <w:szCs w:val="20"/>
        </w:rPr>
        <w:t>108</w:t>
      </w:r>
      <w:r w:rsidRPr="003F6F29">
        <w:rPr>
          <w:iCs/>
          <w:color w:val="000000" w:themeColor="text1"/>
          <w:sz w:val="20"/>
          <w:szCs w:val="20"/>
        </w:rPr>
        <w:t>(4), 529–576.</w:t>
      </w:r>
    </w:p>
    <w:p w14:paraId="58B3E043"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Kovach, M. (2005). Emerging from the margins: Indigenous methodologies. In L. Brown &amp; S. Strega (Eds.) </w:t>
      </w:r>
      <w:r w:rsidRPr="003F6F29">
        <w:rPr>
          <w:i/>
          <w:iCs/>
          <w:color w:val="000000" w:themeColor="text1"/>
          <w:sz w:val="20"/>
          <w:szCs w:val="20"/>
        </w:rPr>
        <w:t xml:space="preserve">Research as resistance </w:t>
      </w:r>
      <w:r w:rsidRPr="003F6F29">
        <w:rPr>
          <w:iCs/>
          <w:color w:val="000000" w:themeColor="text1"/>
          <w:sz w:val="20"/>
          <w:szCs w:val="20"/>
        </w:rPr>
        <w:t>(pp. 19–36)</w:t>
      </w:r>
      <w:r w:rsidRPr="003F6F29">
        <w:rPr>
          <w:i/>
          <w:iCs/>
          <w:color w:val="000000" w:themeColor="text1"/>
          <w:sz w:val="20"/>
          <w:szCs w:val="20"/>
        </w:rPr>
        <w:t xml:space="preserve">. </w:t>
      </w:r>
      <w:r w:rsidRPr="003F6F29">
        <w:rPr>
          <w:iCs/>
          <w:color w:val="000000" w:themeColor="text1"/>
          <w:sz w:val="20"/>
          <w:szCs w:val="20"/>
        </w:rPr>
        <w:t>Toronto, Canada: Canadian Scholars’ Press.</w:t>
      </w:r>
    </w:p>
    <w:p w14:paraId="07AF600E" w14:textId="77777777" w:rsidR="003F6F29" w:rsidRPr="003F6F29" w:rsidRDefault="003F6F29" w:rsidP="003F6F29">
      <w:pPr>
        <w:spacing w:line="480" w:lineRule="auto"/>
        <w:jc w:val="both"/>
        <w:rPr>
          <w:iCs/>
          <w:color w:val="000000" w:themeColor="text1"/>
          <w:sz w:val="20"/>
          <w:szCs w:val="20"/>
        </w:rPr>
      </w:pPr>
      <w:r w:rsidRPr="003F6F29">
        <w:rPr>
          <w:iCs/>
          <w:color w:val="000000" w:themeColor="text1"/>
          <w:sz w:val="20"/>
          <w:szCs w:val="20"/>
        </w:rPr>
        <w:tab/>
        <w:t xml:space="preserve">Lavallée, L. (2007a). </w:t>
      </w:r>
      <w:r w:rsidRPr="003F6F29">
        <w:rPr>
          <w:i/>
          <w:iCs/>
          <w:color w:val="000000" w:themeColor="text1"/>
          <w:sz w:val="20"/>
          <w:szCs w:val="20"/>
        </w:rPr>
        <w:t>Threads of connection: Addressing historic trauma of indigenous people through cultural recreational programming</w:t>
      </w:r>
      <w:r w:rsidRPr="003F6F29">
        <w:rPr>
          <w:iCs/>
          <w:color w:val="000000" w:themeColor="text1"/>
          <w:sz w:val="20"/>
          <w:szCs w:val="20"/>
        </w:rPr>
        <w:t>. Doctoral dissertation, University of Toronto, Canada. Retrieved June 2, 2008, from Dissertations &amp; Theses: Full Text database. (Publication No. AAT NR28105)</w:t>
      </w:r>
    </w:p>
    <w:p w14:paraId="6E04BA45"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Lavallée, L. (2007b). Physical activity and healing through the medicine wheel. </w:t>
      </w:r>
      <w:proofErr w:type="spellStart"/>
      <w:r w:rsidRPr="003F6F29">
        <w:rPr>
          <w:i/>
          <w:iCs/>
          <w:color w:val="000000" w:themeColor="text1"/>
          <w:sz w:val="20"/>
          <w:szCs w:val="20"/>
        </w:rPr>
        <w:t>Pimatisiwin</w:t>
      </w:r>
      <w:proofErr w:type="spellEnd"/>
      <w:r w:rsidRPr="003F6F29">
        <w:rPr>
          <w:i/>
          <w:iCs/>
          <w:color w:val="000000" w:themeColor="text1"/>
          <w:sz w:val="20"/>
          <w:szCs w:val="20"/>
        </w:rPr>
        <w:t>: Journal of Aboriginal and Indigenous Community Health</w:t>
      </w:r>
      <w:r w:rsidRPr="003F6F29">
        <w:rPr>
          <w:iCs/>
          <w:color w:val="000000" w:themeColor="text1"/>
          <w:sz w:val="20"/>
          <w:szCs w:val="20"/>
        </w:rPr>
        <w:t xml:space="preserve">, </w:t>
      </w:r>
      <w:r w:rsidRPr="003F6F29">
        <w:rPr>
          <w:i/>
          <w:iCs/>
          <w:color w:val="000000" w:themeColor="text1"/>
          <w:sz w:val="20"/>
          <w:szCs w:val="20"/>
        </w:rPr>
        <w:t>5</w:t>
      </w:r>
      <w:r w:rsidRPr="003F6F29">
        <w:rPr>
          <w:iCs/>
          <w:color w:val="000000" w:themeColor="text1"/>
          <w:sz w:val="20"/>
          <w:szCs w:val="20"/>
        </w:rPr>
        <w:t xml:space="preserve">(1), 127–153. Retrieved July 26, 2007, from </w:t>
      </w:r>
      <w:hyperlink r:id="rId11">
        <w:r w:rsidRPr="003F6F29">
          <w:rPr>
            <w:rStyle w:val="Hyperlink"/>
            <w:iCs/>
            <w:color w:val="000000" w:themeColor="text1"/>
            <w:sz w:val="20"/>
            <w:szCs w:val="20"/>
          </w:rPr>
          <w:t>http://www.pimatisiwin.com/Articles/5.1F_Physical_Activity_and_Healing.pdf</w:t>
        </w:r>
      </w:hyperlink>
    </w:p>
    <w:p w14:paraId="466AEA51"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Lavallée, L. (2008). Balancing the medicine wheel through physical activity. </w:t>
      </w:r>
      <w:r w:rsidRPr="003F6F29">
        <w:rPr>
          <w:i/>
          <w:iCs/>
          <w:color w:val="000000" w:themeColor="text1"/>
          <w:sz w:val="20"/>
          <w:szCs w:val="20"/>
        </w:rPr>
        <w:t>Journal of Aboriginal Health</w:t>
      </w:r>
      <w:r w:rsidRPr="003F6F29">
        <w:rPr>
          <w:iCs/>
          <w:color w:val="000000" w:themeColor="text1"/>
          <w:sz w:val="20"/>
          <w:szCs w:val="20"/>
        </w:rPr>
        <w:t xml:space="preserve">, </w:t>
      </w:r>
      <w:r w:rsidRPr="003F6F29">
        <w:rPr>
          <w:i/>
          <w:iCs/>
          <w:color w:val="000000" w:themeColor="text1"/>
          <w:sz w:val="20"/>
          <w:szCs w:val="20"/>
        </w:rPr>
        <w:t>4</w:t>
      </w:r>
      <w:r w:rsidRPr="003F6F29">
        <w:rPr>
          <w:iCs/>
          <w:color w:val="000000" w:themeColor="text1"/>
          <w:sz w:val="20"/>
          <w:szCs w:val="20"/>
        </w:rPr>
        <w:t xml:space="preserve">(1), 64–71. Retrieved June 1, 2008, from </w:t>
      </w:r>
      <w:hyperlink r:id="rId12">
        <w:r w:rsidRPr="003F6F29">
          <w:rPr>
            <w:rStyle w:val="Hyperlink"/>
            <w:iCs/>
            <w:color w:val="000000" w:themeColor="text1"/>
            <w:sz w:val="20"/>
            <w:szCs w:val="20"/>
          </w:rPr>
          <w:t>http://www.naho.ca/english/journal/jah04_01/09MedicineWheel_64-71.pdf</w:t>
        </w:r>
      </w:hyperlink>
    </w:p>
    <w:p w14:paraId="0EAC0C02"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Lincoln, Y. S. &amp; Guba, E. G. (2000). Paradigmatic controversies, contradictions, and emerging confluences. In N. K. Denzin &amp; Y. S. Lincoln, (Eds.) </w:t>
      </w:r>
      <w:r w:rsidRPr="003F6F29">
        <w:rPr>
          <w:i/>
          <w:iCs/>
          <w:color w:val="000000" w:themeColor="text1"/>
          <w:sz w:val="20"/>
          <w:szCs w:val="20"/>
        </w:rPr>
        <w:t xml:space="preserve">Handbook of qualitative research. </w:t>
      </w:r>
      <w:r w:rsidRPr="003F6F29">
        <w:rPr>
          <w:iCs/>
          <w:color w:val="000000" w:themeColor="text1"/>
          <w:sz w:val="20"/>
          <w:szCs w:val="20"/>
        </w:rPr>
        <w:t>(pp. 163– 188). Thousand Oaks, CA: Sage.</w:t>
      </w:r>
    </w:p>
    <w:p w14:paraId="79554F63" w14:textId="77777777" w:rsidR="003F6F29" w:rsidRPr="003F6F29" w:rsidRDefault="003F6F29" w:rsidP="003F6F29">
      <w:pPr>
        <w:spacing w:line="480" w:lineRule="auto"/>
        <w:ind w:firstLine="720"/>
        <w:jc w:val="both"/>
        <w:rPr>
          <w:iCs/>
          <w:color w:val="000000" w:themeColor="text1"/>
          <w:sz w:val="20"/>
          <w:szCs w:val="20"/>
        </w:rPr>
      </w:pPr>
      <w:proofErr w:type="spellStart"/>
      <w:r w:rsidRPr="003F6F29">
        <w:rPr>
          <w:iCs/>
          <w:color w:val="000000" w:themeColor="text1"/>
          <w:sz w:val="20"/>
          <w:szCs w:val="20"/>
        </w:rPr>
        <w:t>Loppie</w:t>
      </w:r>
      <w:proofErr w:type="spellEnd"/>
      <w:r w:rsidRPr="003F6F29">
        <w:rPr>
          <w:iCs/>
          <w:color w:val="000000" w:themeColor="text1"/>
          <w:sz w:val="20"/>
          <w:szCs w:val="20"/>
        </w:rPr>
        <w:t xml:space="preserve">, C. (2007). Learning from the grandmothers: Incorporating indigenous principles into qualitative research. </w:t>
      </w:r>
      <w:r w:rsidRPr="003F6F29">
        <w:rPr>
          <w:i/>
          <w:iCs/>
          <w:color w:val="000000" w:themeColor="text1"/>
          <w:sz w:val="20"/>
          <w:szCs w:val="20"/>
        </w:rPr>
        <w:t>Qualitative Health Research</w:t>
      </w:r>
      <w:r w:rsidRPr="003F6F29">
        <w:rPr>
          <w:iCs/>
          <w:color w:val="000000" w:themeColor="text1"/>
          <w:sz w:val="20"/>
          <w:szCs w:val="20"/>
        </w:rPr>
        <w:t xml:space="preserve">, </w:t>
      </w:r>
      <w:r w:rsidRPr="003F6F29">
        <w:rPr>
          <w:i/>
          <w:iCs/>
          <w:color w:val="000000" w:themeColor="text1"/>
          <w:sz w:val="20"/>
          <w:szCs w:val="20"/>
        </w:rPr>
        <w:t>17</w:t>
      </w:r>
      <w:r w:rsidRPr="003F6F29">
        <w:rPr>
          <w:iCs/>
          <w:color w:val="000000" w:themeColor="text1"/>
          <w:sz w:val="20"/>
          <w:szCs w:val="20"/>
        </w:rPr>
        <w:t>(2), 276–284.</w:t>
      </w:r>
    </w:p>
    <w:p w14:paraId="58D37EAD"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M. Brydon-Miller, B. Hall &amp; T. Jackson (Eds.), </w:t>
      </w:r>
      <w:r w:rsidRPr="003F6F29">
        <w:rPr>
          <w:i/>
          <w:iCs/>
          <w:color w:val="000000" w:themeColor="text1"/>
          <w:sz w:val="20"/>
          <w:szCs w:val="20"/>
        </w:rPr>
        <w:t xml:space="preserve">Voices of change: Participatory research in the United States and Canada </w:t>
      </w:r>
      <w:r w:rsidRPr="003F6F29">
        <w:rPr>
          <w:iCs/>
          <w:color w:val="000000" w:themeColor="text1"/>
          <w:sz w:val="20"/>
          <w:szCs w:val="20"/>
        </w:rPr>
        <w:t>(pp. 1–20). Westport, CT: Bergin &amp; Garvey.</w:t>
      </w:r>
    </w:p>
    <w:p w14:paraId="44AF9A79"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McNiff, S. (1998). </w:t>
      </w:r>
      <w:r w:rsidRPr="003F6F29">
        <w:rPr>
          <w:i/>
          <w:iCs/>
          <w:color w:val="000000" w:themeColor="text1"/>
          <w:sz w:val="20"/>
          <w:szCs w:val="20"/>
        </w:rPr>
        <w:t>Art-based research</w:t>
      </w:r>
      <w:r w:rsidRPr="003F6F29">
        <w:rPr>
          <w:iCs/>
          <w:color w:val="000000" w:themeColor="text1"/>
          <w:sz w:val="20"/>
          <w:szCs w:val="20"/>
        </w:rPr>
        <w:t>. London: Jessica Kingsley.</w:t>
      </w:r>
    </w:p>
    <w:p w14:paraId="1FC5F5D1"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Meadows, L. M., </w:t>
      </w:r>
      <w:proofErr w:type="spellStart"/>
      <w:r w:rsidRPr="003F6F29">
        <w:rPr>
          <w:iCs/>
          <w:color w:val="000000" w:themeColor="text1"/>
          <w:sz w:val="20"/>
          <w:szCs w:val="20"/>
        </w:rPr>
        <w:t>Lagendyk</w:t>
      </w:r>
      <w:proofErr w:type="spellEnd"/>
      <w:r w:rsidRPr="003F6F29">
        <w:rPr>
          <w:iCs/>
          <w:color w:val="000000" w:themeColor="text1"/>
          <w:sz w:val="20"/>
          <w:szCs w:val="20"/>
        </w:rPr>
        <w:t xml:space="preserve">, L. E., Thurston, W. E., &amp; </w:t>
      </w:r>
      <w:proofErr w:type="spellStart"/>
      <w:r w:rsidRPr="003F6F29">
        <w:rPr>
          <w:iCs/>
          <w:color w:val="000000" w:themeColor="text1"/>
          <w:sz w:val="20"/>
          <w:szCs w:val="20"/>
        </w:rPr>
        <w:t>Eisener</w:t>
      </w:r>
      <w:proofErr w:type="spellEnd"/>
      <w:r w:rsidRPr="003F6F29">
        <w:rPr>
          <w:iCs/>
          <w:color w:val="000000" w:themeColor="text1"/>
          <w:sz w:val="20"/>
          <w:szCs w:val="20"/>
        </w:rPr>
        <w:t xml:space="preserve">, A. C. (2003). Balancing culture, ethics, and methods in qualitative health research with aboriginal peoples. </w:t>
      </w:r>
      <w:r w:rsidRPr="003F6F29">
        <w:rPr>
          <w:i/>
          <w:iCs/>
          <w:color w:val="000000" w:themeColor="text1"/>
          <w:sz w:val="20"/>
          <w:szCs w:val="20"/>
        </w:rPr>
        <w:t>International Journal of Qualitative Methods</w:t>
      </w:r>
      <w:r w:rsidRPr="003F6F29">
        <w:rPr>
          <w:iCs/>
          <w:color w:val="000000" w:themeColor="text1"/>
          <w:sz w:val="20"/>
          <w:szCs w:val="20"/>
        </w:rPr>
        <w:t xml:space="preserve">, </w:t>
      </w:r>
      <w:r w:rsidRPr="003F6F29">
        <w:rPr>
          <w:i/>
          <w:iCs/>
          <w:color w:val="000000" w:themeColor="text1"/>
          <w:sz w:val="20"/>
          <w:szCs w:val="20"/>
        </w:rPr>
        <w:t>2</w:t>
      </w:r>
      <w:r w:rsidRPr="003F6F29">
        <w:rPr>
          <w:iCs/>
          <w:color w:val="000000" w:themeColor="text1"/>
          <w:sz w:val="20"/>
          <w:szCs w:val="20"/>
        </w:rPr>
        <w:t xml:space="preserve">(4), 1–25. Retrieved March 27, 2009, from </w:t>
      </w:r>
      <w:r w:rsidRPr="003F6F29">
        <w:rPr>
          <w:iCs/>
          <w:color w:val="000000" w:themeColor="text1"/>
          <w:sz w:val="20"/>
          <w:szCs w:val="20"/>
          <w:u w:val="single"/>
        </w:rPr>
        <w:t>https://ejournals.library.ualberta.ca/index.php/IJQM/index</w:t>
      </w:r>
    </w:p>
    <w:p w14:paraId="08740EF2"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Mi’kmaw College Institute. (n.d.). </w:t>
      </w:r>
      <w:r w:rsidRPr="003F6F29">
        <w:rPr>
          <w:i/>
          <w:iCs/>
          <w:color w:val="000000" w:themeColor="text1"/>
          <w:sz w:val="20"/>
          <w:szCs w:val="20"/>
        </w:rPr>
        <w:t xml:space="preserve">Research principles and protocols: Mi’kmaw ethics watch. </w:t>
      </w:r>
      <w:r w:rsidRPr="003F6F29">
        <w:rPr>
          <w:iCs/>
          <w:color w:val="000000" w:themeColor="text1"/>
          <w:sz w:val="20"/>
          <w:szCs w:val="20"/>
        </w:rPr>
        <w:t xml:space="preserve">Sydney, NS: Cape Breton University. Retrieved July 3, 2008, from </w:t>
      </w:r>
      <w:hyperlink r:id="rId13">
        <w:r w:rsidRPr="003F6F29">
          <w:rPr>
            <w:rStyle w:val="Hyperlink"/>
            <w:iCs/>
            <w:color w:val="000000" w:themeColor="text1"/>
            <w:sz w:val="20"/>
            <w:szCs w:val="20"/>
          </w:rPr>
          <w:t>http://mrc.uccb.ns.ca/prinpro.html</w:t>
        </w:r>
      </w:hyperlink>
    </w:p>
    <w:p w14:paraId="676E2058"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Minkler, M., &amp; Wallerstein, N. (2003). </w:t>
      </w:r>
      <w:r w:rsidRPr="003F6F29">
        <w:rPr>
          <w:i/>
          <w:iCs/>
          <w:color w:val="000000" w:themeColor="text1"/>
          <w:sz w:val="20"/>
          <w:szCs w:val="20"/>
        </w:rPr>
        <w:t>Community-based participatory research for health</w:t>
      </w:r>
      <w:r w:rsidRPr="003F6F29">
        <w:rPr>
          <w:iCs/>
          <w:color w:val="000000" w:themeColor="text1"/>
          <w:sz w:val="20"/>
          <w:szCs w:val="20"/>
        </w:rPr>
        <w:t>. San Francisco: Jossey-Bass.</w:t>
      </w:r>
    </w:p>
    <w:p w14:paraId="06DBC649" w14:textId="77777777" w:rsidR="003F6F29" w:rsidRPr="003F6F29" w:rsidRDefault="003F6F29" w:rsidP="003F6F29">
      <w:pPr>
        <w:spacing w:line="480" w:lineRule="auto"/>
        <w:ind w:firstLine="720"/>
        <w:jc w:val="both"/>
        <w:rPr>
          <w:iCs/>
          <w:color w:val="000000" w:themeColor="text1"/>
          <w:sz w:val="20"/>
          <w:szCs w:val="20"/>
        </w:rPr>
      </w:pPr>
      <w:proofErr w:type="spellStart"/>
      <w:r w:rsidRPr="003F6F29">
        <w:rPr>
          <w:iCs/>
          <w:color w:val="000000" w:themeColor="text1"/>
          <w:sz w:val="20"/>
          <w:szCs w:val="20"/>
        </w:rPr>
        <w:t>Nabigon</w:t>
      </w:r>
      <w:proofErr w:type="spellEnd"/>
      <w:r w:rsidRPr="003F6F29">
        <w:rPr>
          <w:iCs/>
          <w:color w:val="000000" w:themeColor="text1"/>
          <w:sz w:val="20"/>
          <w:szCs w:val="20"/>
        </w:rPr>
        <w:t xml:space="preserve">, H., Hagey, R., Webster, S., &amp; MacKay, R. (1999). The learning circle as a research method: The </w:t>
      </w:r>
      <w:r w:rsidRPr="003F6F29">
        <w:rPr>
          <w:iCs/>
          <w:color w:val="000000" w:themeColor="text1"/>
          <w:sz w:val="20"/>
          <w:szCs w:val="20"/>
        </w:rPr>
        <w:lastRenderedPageBreak/>
        <w:t xml:space="preserve">trickster and </w:t>
      </w:r>
      <w:proofErr w:type="spellStart"/>
      <w:r w:rsidRPr="003F6F29">
        <w:rPr>
          <w:iCs/>
          <w:color w:val="000000" w:themeColor="text1"/>
          <w:sz w:val="20"/>
          <w:szCs w:val="20"/>
        </w:rPr>
        <w:t>windigo</w:t>
      </w:r>
      <w:proofErr w:type="spellEnd"/>
      <w:r w:rsidRPr="003F6F29">
        <w:rPr>
          <w:iCs/>
          <w:color w:val="000000" w:themeColor="text1"/>
          <w:sz w:val="20"/>
          <w:szCs w:val="20"/>
        </w:rPr>
        <w:t xml:space="preserve"> in research. </w:t>
      </w:r>
      <w:r w:rsidRPr="003F6F29">
        <w:rPr>
          <w:i/>
          <w:iCs/>
          <w:color w:val="000000" w:themeColor="text1"/>
          <w:sz w:val="20"/>
          <w:szCs w:val="20"/>
        </w:rPr>
        <w:t>Native Social Work Journal</w:t>
      </w:r>
      <w:r w:rsidRPr="003F6F29">
        <w:rPr>
          <w:iCs/>
          <w:color w:val="000000" w:themeColor="text1"/>
          <w:sz w:val="20"/>
          <w:szCs w:val="20"/>
        </w:rPr>
        <w:t xml:space="preserve">, </w:t>
      </w:r>
      <w:r w:rsidRPr="003F6F29">
        <w:rPr>
          <w:i/>
          <w:iCs/>
          <w:color w:val="000000" w:themeColor="text1"/>
          <w:sz w:val="20"/>
          <w:szCs w:val="20"/>
        </w:rPr>
        <w:t>2</w:t>
      </w:r>
      <w:r w:rsidRPr="003F6F29">
        <w:rPr>
          <w:iCs/>
          <w:color w:val="000000" w:themeColor="text1"/>
          <w:sz w:val="20"/>
          <w:szCs w:val="20"/>
        </w:rPr>
        <w:t>(1), 113–137.</w:t>
      </w:r>
    </w:p>
    <w:p w14:paraId="38528ABA"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National Health and Medical Research Council. (2003). </w:t>
      </w:r>
      <w:r w:rsidRPr="003F6F29">
        <w:rPr>
          <w:i/>
          <w:iCs/>
          <w:color w:val="000000" w:themeColor="text1"/>
          <w:sz w:val="20"/>
          <w:szCs w:val="20"/>
        </w:rPr>
        <w:t xml:space="preserve">Values and ethics: Guidelines for ethical conduct in Aboriginal and Torres Strait Islander health research. </w:t>
      </w:r>
      <w:r w:rsidRPr="003F6F29">
        <w:rPr>
          <w:iCs/>
          <w:color w:val="000000" w:themeColor="text1"/>
          <w:sz w:val="20"/>
          <w:szCs w:val="20"/>
        </w:rPr>
        <w:t xml:space="preserve">Melbourne, Australia: Australian Government. Retrieved July 2, 2008 from </w:t>
      </w:r>
      <w:hyperlink r:id="rId14">
        <w:r w:rsidRPr="003F6F29">
          <w:rPr>
            <w:rStyle w:val="Hyperlink"/>
            <w:iCs/>
            <w:color w:val="000000" w:themeColor="text1"/>
            <w:sz w:val="20"/>
            <w:szCs w:val="20"/>
          </w:rPr>
          <w:t>http://www.nhmrc.gov.au/publications/synopses/e52syn.htm</w:t>
        </w:r>
      </w:hyperlink>
    </w:p>
    <w:p w14:paraId="51A0E1DA"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Native Canadian Centre. (2006). </w:t>
      </w:r>
      <w:r w:rsidRPr="003F6F29">
        <w:rPr>
          <w:i/>
          <w:iCs/>
          <w:color w:val="000000" w:themeColor="text1"/>
          <w:sz w:val="20"/>
          <w:szCs w:val="20"/>
        </w:rPr>
        <w:t>Native Canadian Centre martial arts</w:t>
      </w:r>
      <w:r w:rsidRPr="003F6F29">
        <w:rPr>
          <w:iCs/>
          <w:color w:val="000000" w:themeColor="text1"/>
          <w:sz w:val="20"/>
          <w:szCs w:val="20"/>
        </w:rPr>
        <w:t xml:space="preserve">. Retrieved July 20, 2006, from </w:t>
      </w:r>
      <w:hyperlink r:id="rId15">
        <w:r w:rsidRPr="003F6F29">
          <w:rPr>
            <w:rStyle w:val="Hyperlink"/>
            <w:iCs/>
            <w:color w:val="000000" w:themeColor="text1"/>
            <w:sz w:val="20"/>
            <w:szCs w:val="20"/>
          </w:rPr>
          <w:t>http://www.ncct.on.ca/martial-arts</w:t>
        </w:r>
      </w:hyperlink>
    </w:p>
    <w:p w14:paraId="240551B2"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Ottawa, Canada: Assembly of First Nations/First Nations Information Governance Committee. Retrieved March 28, 2009, from </w:t>
      </w:r>
      <w:hyperlink r:id="rId16">
        <w:r w:rsidRPr="003F6F29">
          <w:rPr>
            <w:rStyle w:val="Hyperlink"/>
            <w:iCs/>
            <w:color w:val="000000" w:themeColor="text1"/>
            <w:sz w:val="20"/>
            <w:szCs w:val="20"/>
          </w:rPr>
          <w:t>http://www.rhs-ers.ca/english/pdf/rhs2002-03reports/rhs2002-03-</w:t>
        </w:r>
      </w:hyperlink>
      <w:r w:rsidRPr="003F6F29">
        <w:rPr>
          <w:iCs/>
          <w:color w:val="000000" w:themeColor="text1"/>
          <w:sz w:val="20"/>
          <w:szCs w:val="20"/>
        </w:rPr>
        <w:t xml:space="preserve"> </w:t>
      </w:r>
      <w:r w:rsidRPr="003F6F29">
        <w:rPr>
          <w:iCs/>
          <w:color w:val="000000" w:themeColor="text1"/>
          <w:sz w:val="20"/>
          <w:szCs w:val="20"/>
          <w:u w:val="single"/>
        </w:rPr>
        <w:t>the_peoples_report_afn.pdf</w:t>
      </w:r>
    </w:p>
    <w:p w14:paraId="7B1BE9E9"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Park, P. (1993). What is participatory </w:t>
      </w:r>
      <w:proofErr w:type="gramStart"/>
      <w:r w:rsidRPr="003F6F29">
        <w:rPr>
          <w:iCs/>
          <w:color w:val="000000" w:themeColor="text1"/>
          <w:sz w:val="20"/>
          <w:szCs w:val="20"/>
        </w:rPr>
        <w:t>research?:</w:t>
      </w:r>
      <w:proofErr w:type="gramEnd"/>
      <w:r w:rsidRPr="003F6F29">
        <w:rPr>
          <w:iCs/>
          <w:color w:val="000000" w:themeColor="text1"/>
          <w:sz w:val="20"/>
          <w:szCs w:val="20"/>
        </w:rPr>
        <w:t xml:space="preserve"> A theoretical and methodological perspective. In P. Park,</w:t>
      </w:r>
    </w:p>
    <w:p w14:paraId="78E97E16"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Piquemal, N. (2001). Free and informed consent in research involving Native American communities.</w:t>
      </w:r>
    </w:p>
    <w:p w14:paraId="3097084E" w14:textId="77777777" w:rsidR="003F6F29" w:rsidRPr="003F6F29" w:rsidRDefault="003F6F29" w:rsidP="003F6F29">
      <w:pPr>
        <w:spacing w:line="480" w:lineRule="auto"/>
        <w:ind w:firstLine="720"/>
        <w:jc w:val="both"/>
        <w:rPr>
          <w:iCs/>
          <w:color w:val="000000" w:themeColor="text1"/>
          <w:sz w:val="20"/>
          <w:szCs w:val="20"/>
        </w:rPr>
      </w:pPr>
      <w:bookmarkStart w:id="2" w:name="_Hlk89474720"/>
      <w:bookmarkStart w:id="3" w:name="_Hlk103482401"/>
      <w:bookmarkStart w:id="4" w:name="_Hlk103978633"/>
      <w:r w:rsidRPr="003F6F29">
        <w:rPr>
          <w:iCs/>
          <w:color w:val="000000" w:themeColor="text1"/>
          <w:sz w:val="20"/>
          <w:szCs w:val="20"/>
        </w:rPr>
        <w:t>Plateau, T. P., &amp; Bhuiyan, M. M. H. (2017, February). A heuristic proposition of efficient copper-electrodeposited p-type thin film for CZTS solar cell. In </w:t>
      </w:r>
      <w:r w:rsidRPr="003F6F29">
        <w:rPr>
          <w:i/>
          <w:iCs/>
          <w:color w:val="000000" w:themeColor="text1"/>
          <w:sz w:val="20"/>
          <w:szCs w:val="20"/>
        </w:rPr>
        <w:t>2017 International Conference on Electrical, Computer and Communication Engineering (ECCE)</w:t>
      </w:r>
      <w:r w:rsidRPr="003F6F29">
        <w:rPr>
          <w:iCs/>
          <w:color w:val="000000" w:themeColor="text1"/>
          <w:sz w:val="20"/>
          <w:szCs w:val="20"/>
        </w:rPr>
        <w:t> (pp. 95-99). IEEE.</w:t>
      </w:r>
    </w:p>
    <w:p w14:paraId="2D266AFC" w14:textId="77777777" w:rsidR="003F6F29" w:rsidRPr="003F6F29" w:rsidRDefault="003F6F29" w:rsidP="003F6F29">
      <w:pPr>
        <w:spacing w:line="480" w:lineRule="auto"/>
        <w:ind w:firstLine="720"/>
        <w:jc w:val="both"/>
        <w:rPr>
          <w:iCs/>
          <w:color w:val="000000" w:themeColor="text1"/>
          <w:sz w:val="20"/>
          <w:szCs w:val="20"/>
          <w:u w:val="single"/>
        </w:rPr>
      </w:pPr>
      <w:r w:rsidRPr="003F6F29">
        <w:rPr>
          <w:iCs/>
          <w:color w:val="000000" w:themeColor="text1"/>
          <w:sz w:val="20"/>
          <w:szCs w:val="20"/>
        </w:rPr>
        <w:t xml:space="preserve">Plateau, T. P., Islam, M. T., &amp; Islam, N. (2019). </w:t>
      </w:r>
      <w:proofErr w:type="spellStart"/>
      <w:r w:rsidRPr="003F6F29">
        <w:rPr>
          <w:iCs/>
          <w:color w:val="000000" w:themeColor="text1"/>
          <w:sz w:val="20"/>
          <w:szCs w:val="20"/>
        </w:rPr>
        <w:t>Potentiostat</w:t>
      </w:r>
      <w:proofErr w:type="spellEnd"/>
      <w:r w:rsidRPr="003F6F29">
        <w:rPr>
          <w:iCs/>
          <w:color w:val="000000" w:themeColor="text1"/>
          <w:sz w:val="20"/>
          <w:szCs w:val="20"/>
        </w:rPr>
        <w:t xml:space="preserve"> Electro-Deposited Cuprous Oxide and Cupric Oxide Thin Films for Photovoltaic Use. </w:t>
      </w:r>
      <w:r w:rsidRPr="003F6F29">
        <w:rPr>
          <w:i/>
          <w:iCs/>
          <w:color w:val="000000" w:themeColor="text1"/>
          <w:sz w:val="20"/>
          <w:szCs w:val="20"/>
        </w:rPr>
        <w:t>International Journal of Automotive and Mechanical Engineering</w:t>
      </w:r>
      <w:r w:rsidRPr="003F6F29">
        <w:rPr>
          <w:iCs/>
          <w:color w:val="000000" w:themeColor="text1"/>
          <w:sz w:val="20"/>
          <w:szCs w:val="20"/>
        </w:rPr>
        <w:t>, </w:t>
      </w:r>
      <w:r w:rsidRPr="003F6F29">
        <w:rPr>
          <w:i/>
          <w:iCs/>
          <w:color w:val="000000" w:themeColor="text1"/>
          <w:sz w:val="20"/>
          <w:szCs w:val="20"/>
        </w:rPr>
        <w:t>16</w:t>
      </w:r>
      <w:r w:rsidRPr="003F6F29">
        <w:rPr>
          <w:iCs/>
          <w:color w:val="000000" w:themeColor="text1"/>
          <w:sz w:val="20"/>
          <w:szCs w:val="20"/>
        </w:rPr>
        <w:t>(2), 6624-6633.</w:t>
      </w:r>
    </w:p>
    <w:p w14:paraId="35E30670"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Restoule, J. P., (2004). </w:t>
      </w:r>
      <w:r w:rsidRPr="003F6F29">
        <w:rPr>
          <w:i/>
          <w:iCs/>
          <w:color w:val="000000" w:themeColor="text1"/>
          <w:sz w:val="20"/>
          <w:szCs w:val="20"/>
        </w:rPr>
        <w:t xml:space="preserve">Male aboriginal identity formation in urban areas: A focus on process and context. </w:t>
      </w:r>
      <w:r w:rsidRPr="003F6F29">
        <w:rPr>
          <w:iCs/>
          <w:color w:val="000000" w:themeColor="text1"/>
          <w:sz w:val="20"/>
          <w:szCs w:val="20"/>
        </w:rPr>
        <w:t xml:space="preserve">Doctoral dissertation, University of Toronto, Canada. Retrieved June 2, 2008, from </w:t>
      </w:r>
      <w:r w:rsidRPr="003F6F29">
        <w:rPr>
          <w:i/>
          <w:iCs/>
          <w:color w:val="000000" w:themeColor="text1"/>
          <w:sz w:val="20"/>
          <w:szCs w:val="20"/>
        </w:rPr>
        <w:t>Dissertations &amp; Theses: Full Text Database</w:t>
      </w:r>
      <w:r w:rsidRPr="003F6F29">
        <w:rPr>
          <w:iCs/>
          <w:color w:val="000000" w:themeColor="text1"/>
          <w:sz w:val="20"/>
          <w:szCs w:val="20"/>
        </w:rPr>
        <w:t>. (Publication No. AAT NQ94516)</w:t>
      </w:r>
    </w:p>
    <w:p w14:paraId="617AB5B3" w14:textId="77777777" w:rsidR="003F6F29" w:rsidRPr="003F6F29" w:rsidRDefault="003F6F29" w:rsidP="003F6F29">
      <w:pPr>
        <w:spacing w:line="480" w:lineRule="auto"/>
        <w:ind w:firstLine="720"/>
        <w:jc w:val="both"/>
        <w:rPr>
          <w:iCs/>
          <w:color w:val="000000" w:themeColor="text1"/>
          <w:sz w:val="20"/>
          <w:szCs w:val="20"/>
        </w:rPr>
      </w:pPr>
      <w:proofErr w:type="spellStart"/>
      <w:r w:rsidRPr="003F6F29">
        <w:rPr>
          <w:iCs/>
          <w:color w:val="000000" w:themeColor="text1"/>
          <w:sz w:val="20"/>
          <w:szCs w:val="20"/>
        </w:rPr>
        <w:t>Schnarch</w:t>
      </w:r>
      <w:proofErr w:type="spellEnd"/>
      <w:r w:rsidRPr="003F6F29">
        <w:rPr>
          <w:iCs/>
          <w:color w:val="000000" w:themeColor="text1"/>
          <w:sz w:val="20"/>
          <w:szCs w:val="20"/>
        </w:rPr>
        <w:t xml:space="preserve">, B. (2004). Ownership, control, access and possession (OCAP) or self-determination applied to research: A critical analysis of contemporary First Nations research and some options for First Nations communities. </w:t>
      </w:r>
      <w:r w:rsidRPr="003F6F29">
        <w:rPr>
          <w:i/>
          <w:iCs/>
          <w:color w:val="000000" w:themeColor="text1"/>
          <w:sz w:val="20"/>
          <w:szCs w:val="20"/>
        </w:rPr>
        <w:t>Journal of Aboriginal Health</w:t>
      </w:r>
      <w:r w:rsidRPr="003F6F29">
        <w:rPr>
          <w:iCs/>
          <w:color w:val="000000" w:themeColor="text1"/>
          <w:sz w:val="20"/>
          <w:szCs w:val="20"/>
        </w:rPr>
        <w:t xml:space="preserve">, </w:t>
      </w:r>
      <w:r w:rsidRPr="003F6F29">
        <w:rPr>
          <w:i/>
          <w:iCs/>
          <w:color w:val="000000" w:themeColor="text1"/>
          <w:sz w:val="20"/>
          <w:szCs w:val="20"/>
        </w:rPr>
        <w:t>1</w:t>
      </w:r>
      <w:r w:rsidRPr="003F6F29">
        <w:rPr>
          <w:iCs/>
          <w:color w:val="000000" w:themeColor="text1"/>
          <w:sz w:val="20"/>
          <w:szCs w:val="20"/>
        </w:rPr>
        <w:t>(1), 80–95.</w:t>
      </w:r>
    </w:p>
    <w:bookmarkEnd w:id="2"/>
    <w:p w14:paraId="3B998B04"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Shawon, S. I., Bhuiyan, M. M. H., &amp; Plateau, T. P. (2018). An Innovative Construction of Wheelchair for Handicapped Persons. </w:t>
      </w:r>
      <w:r w:rsidRPr="003F6F29">
        <w:rPr>
          <w:i/>
          <w:iCs/>
          <w:color w:val="000000" w:themeColor="text1"/>
          <w:sz w:val="20"/>
          <w:szCs w:val="20"/>
        </w:rPr>
        <w:t>International Journal of Science and Qualitative Analysis</w:t>
      </w:r>
      <w:r w:rsidRPr="003F6F29">
        <w:rPr>
          <w:iCs/>
          <w:color w:val="000000" w:themeColor="text1"/>
          <w:sz w:val="20"/>
          <w:szCs w:val="20"/>
        </w:rPr>
        <w:t>, 4(1),13.</w:t>
      </w:r>
    </w:p>
    <w:p w14:paraId="0C76DD04"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Smith, L. T. (1999). </w:t>
      </w:r>
      <w:r w:rsidRPr="003F6F29">
        <w:rPr>
          <w:i/>
          <w:iCs/>
          <w:color w:val="000000" w:themeColor="text1"/>
          <w:sz w:val="20"/>
          <w:szCs w:val="20"/>
        </w:rPr>
        <w:t>Decolonizing methodologies: Research and indigenous peoples</w:t>
      </w:r>
      <w:r w:rsidRPr="003F6F29">
        <w:rPr>
          <w:iCs/>
          <w:color w:val="000000" w:themeColor="text1"/>
          <w:sz w:val="20"/>
          <w:szCs w:val="20"/>
        </w:rPr>
        <w:t>. Dunedin, New Zealand: University of Otago Press.</w:t>
      </w:r>
    </w:p>
    <w:p w14:paraId="47099DA5"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Stevenson, J. (1999). The circle of healing. </w:t>
      </w:r>
      <w:r w:rsidRPr="003F6F29">
        <w:rPr>
          <w:i/>
          <w:iCs/>
          <w:color w:val="000000" w:themeColor="text1"/>
          <w:sz w:val="20"/>
          <w:szCs w:val="20"/>
        </w:rPr>
        <w:t>Native Social Work Journal</w:t>
      </w:r>
      <w:r w:rsidRPr="003F6F29">
        <w:rPr>
          <w:iCs/>
          <w:color w:val="000000" w:themeColor="text1"/>
          <w:sz w:val="20"/>
          <w:szCs w:val="20"/>
        </w:rPr>
        <w:t xml:space="preserve">, </w:t>
      </w:r>
      <w:r w:rsidRPr="003F6F29">
        <w:rPr>
          <w:i/>
          <w:iCs/>
          <w:color w:val="000000" w:themeColor="text1"/>
          <w:sz w:val="20"/>
          <w:szCs w:val="20"/>
        </w:rPr>
        <w:t>2</w:t>
      </w:r>
      <w:r w:rsidRPr="003F6F29">
        <w:rPr>
          <w:iCs/>
          <w:color w:val="000000" w:themeColor="text1"/>
          <w:sz w:val="20"/>
          <w:szCs w:val="20"/>
        </w:rPr>
        <w:t>, 8–21.</w:t>
      </w:r>
    </w:p>
    <w:p w14:paraId="56F1AFD0"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Suzuki, D. (2002). </w:t>
      </w:r>
      <w:r w:rsidRPr="003F6F29">
        <w:rPr>
          <w:i/>
          <w:iCs/>
          <w:color w:val="000000" w:themeColor="text1"/>
          <w:sz w:val="20"/>
          <w:szCs w:val="20"/>
        </w:rPr>
        <w:t xml:space="preserve">The sacred balance: Rediscovering our place in nature </w:t>
      </w:r>
      <w:r w:rsidRPr="003F6F29">
        <w:rPr>
          <w:iCs/>
          <w:color w:val="000000" w:themeColor="text1"/>
          <w:sz w:val="20"/>
          <w:szCs w:val="20"/>
        </w:rPr>
        <w:t>(2nd. ed.). Vancouver, Canada: Greystone.</w:t>
      </w:r>
    </w:p>
    <w:p w14:paraId="10F2957C"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University of South Australia. (2008). </w:t>
      </w:r>
      <w:r w:rsidRPr="003F6F29">
        <w:rPr>
          <w:i/>
          <w:iCs/>
          <w:color w:val="000000" w:themeColor="text1"/>
          <w:sz w:val="20"/>
          <w:szCs w:val="20"/>
        </w:rPr>
        <w:t>Research and innovations series: Indigenous research</w:t>
      </w:r>
      <w:r w:rsidRPr="003F6F29">
        <w:rPr>
          <w:iCs/>
          <w:color w:val="000000" w:themeColor="text1"/>
          <w:sz w:val="20"/>
          <w:szCs w:val="20"/>
        </w:rPr>
        <w:t xml:space="preserve">. Retrieved June 2, </w:t>
      </w:r>
      <w:r w:rsidRPr="003F6F29">
        <w:rPr>
          <w:iCs/>
          <w:color w:val="000000" w:themeColor="text1"/>
          <w:sz w:val="20"/>
          <w:szCs w:val="20"/>
        </w:rPr>
        <w:lastRenderedPageBreak/>
        <w:t xml:space="preserve">2008, from </w:t>
      </w:r>
      <w:hyperlink r:id="rId17">
        <w:r w:rsidRPr="003F6F29">
          <w:rPr>
            <w:rStyle w:val="Hyperlink"/>
            <w:iCs/>
            <w:color w:val="000000" w:themeColor="text1"/>
            <w:sz w:val="20"/>
            <w:szCs w:val="20"/>
          </w:rPr>
          <w:t>http://www.unisa.edu.au/res/ethics/indigenous.asp</w:t>
        </w:r>
      </w:hyperlink>
    </w:p>
    <w:p w14:paraId="455D5E22"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van Manen, M. (2002). </w:t>
      </w:r>
      <w:r w:rsidRPr="003F6F29">
        <w:rPr>
          <w:i/>
          <w:iCs/>
          <w:color w:val="000000" w:themeColor="text1"/>
          <w:sz w:val="20"/>
          <w:szCs w:val="20"/>
        </w:rPr>
        <w:t>Phenomenology online</w:t>
      </w:r>
      <w:r w:rsidRPr="003F6F29">
        <w:rPr>
          <w:iCs/>
          <w:color w:val="000000" w:themeColor="text1"/>
          <w:sz w:val="20"/>
          <w:szCs w:val="20"/>
        </w:rPr>
        <w:t xml:space="preserve">. Retrieved Feb 3, 2005, from </w:t>
      </w:r>
      <w:hyperlink r:id="rId18">
        <w:r w:rsidRPr="003F6F29">
          <w:rPr>
            <w:rStyle w:val="Hyperlink"/>
            <w:iCs/>
            <w:color w:val="000000" w:themeColor="text1"/>
            <w:sz w:val="20"/>
            <w:szCs w:val="20"/>
          </w:rPr>
          <w:t>http://www.phenomenologyonline.com</w:t>
        </w:r>
      </w:hyperlink>
    </w:p>
    <w:p w14:paraId="29F11F03"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Wang, C., Yuan, Y. L., &amp; Feng, M. L. (1996). Photovoice as a tool for participatory evaluation: The community's view of process and impact. </w:t>
      </w:r>
      <w:r w:rsidRPr="003F6F29">
        <w:rPr>
          <w:i/>
          <w:iCs/>
          <w:color w:val="000000" w:themeColor="text1"/>
          <w:sz w:val="20"/>
          <w:szCs w:val="20"/>
        </w:rPr>
        <w:t>Journal of Contemporary Health</w:t>
      </w:r>
      <w:r w:rsidRPr="003F6F29">
        <w:rPr>
          <w:iCs/>
          <w:color w:val="000000" w:themeColor="text1"/>
          <w:sz w:val="20"/>
          <w:szCs w:val="20"/>
        </w:rPr>
        <w:t xml:space="preserve">, </w:t>
      </w:r>
      <w:r w:rsidRPr="003F6F29">
        <w:rPr>
          <w:i/>
          <w:iCs/>
          <w:color w:val="000000" w:themeColor="text1"/>
          <w:sz w:val="20"/>
          <w:szCs w:val="20"/>
        </w:rPr>
        <w:t>4</w:t>
      </w:r>
      <w:r w:rsidRPr="003F6F29">
        <w:rPr>
          <w:iCs/>
          <w:color w:val="000000" w:themeColor="text1"/>
          <w:sz w:val="20"/>
          <w:szCs w:val="20"/>
        </w:rPr>
        <w:t>, 47–49.</w:t>
      </w:r>
    </w:p>
    <w:p w14:paraId="223F75B5"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 xml:space="preserve">Wesley-Esquimaux, C., &amp; </w:t>
      </w:r>
      <w:proofErr w:type="spellStart"/>
      <w:r w:rsidRPr="003F6F29">
        <w:rPr>
          <w:iCs/>
          <w:color w:val="000000" w:themeColor="text1"/>
          <w:sz w:val="20"/>
          <w:szCs w:val="20"/>
        </w:rPr>
        <w:t>Smolewski</w:t>
      </w:r>
      <w:proofErr w:type="spellEnd"/>
      <w:r w:rsidRPr="003F6F29">
        <w:rPr>
          <w:iCs/>
          <w:color w:val="000000" w:themeColor="text1"/>
          <w:sz w:val="20"/>
          <w:szCs w:val="20"/>
        </w:rPr>
        <w:t xml:space="preserve">, M. (2004). </w:t>
      </w:r>
      <w:r w:rsidRPr="003F6F29">
        <w:rPr>
          <w:i/>
          <w:iCs/>
          <w:color w:val="000000" w:themeColor="text1"/>
          <w:sz w:val="20"/>
          <w:szCs w:val="20"/>
        </w:rPr>
        <w:t>Historic trauma and Aboriginal healing</w:t>
      </w:r>
      <w:r w:rsidRPr="003F6F29">
        <w:rPr>
          <w:iCs/>
          <w:color w:val="000000" w:themeColor="text1"/>
          <w:sz w:val="20"/>
          <w:szCs w:val="20"/>
        </w:rPr>
        <w:t>. Ottawa, Canada: Aboriginal Healing Foundation.</w:t>
      </w:r>
    </w:p>
    <w:bookmarkEnd w:id="3"/>
    <w:p w14:paraId="77935C65" w14:textId="77777777" w:rsidR="003F6F29" w:rsidRPr="003F6F29" w:rsidRDefault="003F6F29" w:rsidP="003F6F29">
      <w:pPr>
        <w:spacing w:line="480" w:lineRule="auto"/>
        <w:ind w:firstLine="720"/>
        <w:jc w:val="both"/>
        <w:rPr>
          <w:iCs/>
          <w:color w:val="000000" w:themeColor="text1"/>
          <w:sz w:val="20"/>
          <w:szCs w:val="20"/>
        </w:rPr>
      </w:pPr>
      <w:r w:rsidRPr="003F6F29">
        <w:rPr>
          <w:iCs/>
          <w:color w:val="000000" w:themeColor="text1"/>
          <w:sz w:val="20"/>
          <w:szCs w:val="20"/>
        </w:rPr>
        <w:t>Zaman, H. U., Bhuiyan, M. M. H., Ahmed, M., &amp; Aziz, S. T. (2016, January). A novel design of line following robot with multifarious function ability. In </w:t>
      </w:r>
      <w:r w:rsidRPr="003F6F29">
        <w:rPr>
          <w:i/>
          <w:iCs/>
          <w:color w:val="000000" w:themeColor="text1"/>
          <w:sz w:val="20"/>
          <w:szCs w:val="20"/>
        </w:rPr>
        <w:t>2016 International Conference on Microelectronics, Computing and Communications (</w:t>
      </w:r>
      <w:proofErr w:type="spellStart"/>
      <w:r w:rsidRPr="003F6F29">
        <w:rPr>
          <w:i/>
          <w:iCs/>
          <w:color w:val="000000" w:themeColor="text1"/>
          <w:sz w:val="20"/>
          <w:szCs w:val="20"/>
        </w:rPr>
        <w:t>MicroCom</w:t>
      </w:r>
      <w:proofErr w:type="spellEnd"/>
      <w:r w:rsidRPr="003F6F29">
        <w:rPr>
          <w:i/>
          <w:iCs/>
          <w:color w:val="000000" w:themeColor="text1"/>
          <w:sz w:val="20"/>
          <w:szCs w:val="20"/>
        </w:rPr>
        <w:t>)</w:t>
      </w:r>
      <w:r w:rsidRPr="003F6F29">
        <w:rPr>
          <w:iCs/>
          <w:color w:val="000000" w:themeColor="text1"/>
          <w:sz w:val="20"/>
          <w:szCs w:val="20"/>
        </w:rPr>
        <w:t> (pp. 1-5). IEEE.</w:t>
      </w:r>
    </w:p>
    <w:bookmarkEnd w:id="4"/>
    <w:p w14:paraId="038C7826" w14:textId="77777777" w:rsidR="003F6F29" w:rsidRPr="003F6F29" w:rsidRDefault="003F6F29" w:rsidP="003F6F29">
      <w:pPr>
        <w:spacing w:line="480" w:lineRule="auto"/>
        <w:ind w:firstLine="720"/>
        <w:jc w:val="both"/>
        <w:rPr>
          <w:iCs/>
          <w:color w:val="000000" w:themeColor="text1"/>
          <w:sz w:val="24"/>
        </w:rPr>
      </w:pPr>
    </w:p>
    <w:p w14:paraId="6003E4B3" w14:textId="77777777" w:rsidR="003F6F29" w:rsidRPr="003F6F29" w:rsidRDefault="003F6F29" w:rsidP="00E91122">
      <w:pPr>
        <w:spacing w:line="480" w:lineRule="auto"/>
        <w:ind w:firstLine="720"/>
        <w:jc w:val="both"/>
        <w:rPr>
          <w:iCs/>
          <w:color w:val="000000" w:themeColor="text1"/>
        </w:rPr>
      </w:pPr>
    </w:p>
    <w:sectPr w:rsidR="003F6F29" w:rsidRPr="003F6F29" w:rsidSect="00A14D1F">
      <w:headerReference w:type="even" r:id="rId19"/>
      <w:headerReference w:type="default" r:id="rId20"/>
      <w:footerReference w:type="even" r:id="rId21"/>
      <w:footerReference w:type="default" r:id="rId22"/>
      <w:headerReference w:type="first" r:id="rId23"/>
      <w:footerReference w:type="first" r:id="rId24"/>
      <w:pgSz w:w="12240" w:h="15840"/>
      <w:pgMar w:top="940" w:right="1300" w:bottom="900" w:left="1280" w:header="749"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959D" w14:textId="77777777" w:rsidR="002D5646" w:rsidRDefault="002D5646" w:rsidP="00A14D1F">
      <w:r>
        <w:separator/>
      </w:r>
    </w:p>
  </w:endnote>
  <w:endnote w:type="continuationSeparator" w:id="0">
    <w:p w14:paraId="65D0347F" w14:textId="77777777" w:rsidR="002D5646" w:rsidRDefault="002D5646" w:rsidP="00A1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BC91" w14:textId="77777777" w:rsidR="00427BAF" w:rsidRDefault="0042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0A94" w14:textId="77777777" w:rsidR="00A14D1F" w:rsidRDefault="002D5646">
    <w:pPr>
      <w:pStyle w:val="BodyText"/>
      <w:spacing w:line="14" w:lineRule="auto"/>
      <w:rPr>
        <w:sz w:val="20"/>
      </w:rPr>
    </w:pPr>
    <w:r>
      <w:pict w14:anchorId="06308343">
        <v:shapetype id="_x0000_t202" coordsize="21600,21600" o:spt="202" path="m,l,21600r21600,l21600,xe">
          <v:stroke joinstyle="miter"/>
          <v:path gradientshapeok="t" o:connecttype="rect"/>
        </v:shapetype>
        <v:shape id="_x0000_s1025" type="#_x0000_t202" style="position:absolute;margin-left:525.95pt;margin-top:745.65pt;width:17.05pt;height:14.2pt;z-index:-251658752;mso-position-horizontal-relative:page;mso-position-vertical-relative:page" filled="f" stroked="f">
          <v:textbox inset="0,0,0,0">
            <w:txbxContent>
              <w:p w14:paraId="4BBCBFDF" w14:textId="77777777" w:rsidR="00A14D1F" w:rsidRDefault="00A14D1F">
                <w:pPr>
                  <w:pStyle w:val="BodyText"/>
                  <w:spacing w:before="10"/>
                  <w:ind w:left="60"/>
                </w:pPr>
                <w:r>
                  <w:fldChar w:fldCharType="begin"/>
                </w:r>
                <w:r w:rsidR="006A745D">
                  <w:instrText xml:space="preserve"> PAGE </w:instrText>
                </w:r>
                <w:r>
                  <w:fldChar w:fldCharType="separate"/>
                </w:r>
                <w:r w:rsidR="00ED43F0">
                  <w:rPr>
                    <w:noProof/>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8357" w14:textId="77777777" w:rsidR="00427BAF" w:rsidRDefault="00427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9494" w14:textId="77777777" w:rsidR="002D5646" w:rsidRDefault="002D5646" w:rsidP="00A14D1F">
      <w:r>
        <w:separator/>
      </w:r>
    </w:p>
  </w:footnote>
  <w:footnote w:type="continuationSeparator" w:id="0">
    <w:p w14:paraId="25512D54" w14:textId="77777777" w:rsidR="002D5646" w:rsidRDefault="002D5646" w:rsidP="00A14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2BF" w14:textId="77777777" w:rsidR="00427BAF" w:rsidRDefault="00427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96C5" w14:textId="3A12DCB9" w:rsidR="00A14D1F" w:rsidRDefault="00A14D1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CC0C" w14:textId="77777777" w:rsidR="00427BAF" w:rsidRDefault="00427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160"/>
    <w:multiLevelType w:val="hybridMultilevel"/>
    <w:tmpl w:val="4A8C39C8"/>
    <w:lvl w:ilvl="0" w:tplc="07E08888">
      <w:start w:val="1"/>
      <w:numFmt w:val="lowerLetter"/>
      <w:lvlText w:val="(%1)"/>
      <w:lvlJc w:val="left"/>
      <w:pPr>
        <w:ind w:left="160" w:hanging="300"/>
        <w:jc w:val="left"/>
      </w:pPr>
      <w:rPr>
        <w:rFonts w:ascii="Times New Roman" w:eastAsia="Times New Roman" w:hAnsi="Times New Roman" w:cs="Times New Roman" w:hint="default"/>
        <w:w w:val="99"/>
        <w:sz w:val="22"/>
        <w:szCs w:val="22"/>
        <w:lang w:val="en-US" w:eastAsia="en-US" w:bidi="ar-SA"/>
      </w:rPr>
    </w:lvl>
    <w:lvl w:ilvl="1" w:tplc="2F1CA20A">
      <w:start w:val="1"/>
      <w:numFmt w:val="decimal"/>
      <w:lvlText w:val="%2."/>
      <w:lvlJc w:val="left"/>
      <w:pPr>
        <w:ind w:left="880" w:hanging="360"/>
        <w:jc w:val="left"/>
      </w:pPr>
      <w:rPr>
        <w:rFonts w:ascii="Times New Roman" w:eastAsia="Times New Roman" w:hAnsi="Times New Roman" w:cs="Times New Roman" w:hint="default"/>
        <w:w w:val="99"/>
        <w:sz w:val="22"/>
        <w:szCs w:val="22"/>
        <w:lang w:val="en-US" w:eastAsia="en-US" w:bidi="ar-SA"/>
      </w:rPr>
    </w:lvl>
    <w:lvl w:ilvl="2" w:tplc="02E8DB5E">
      <w:numFmt w:val="bullet"/>
      <w:lvlText w:val="•"/>
      <w:lvlJc w:val="left"/>
      <w:pPr>
        <w:ind w:left="880" w:hanging="360"/>
      </w:pPr>
      <w:rPr>
        <w:rFonts w:hint="default"/>
        <w:lang w:val="en-US" w:eastAsia="en-US" w:bidi="ar-SA"/>
      </w:rPr>
    </w:lvl>
    <w:lvl w:ilvl="3" w:tplc="30A0CE4C">
      <w:numFmt w:val="bullet"/>
      <w:lvlText w:val="•"/>
      <w:lvlJc w:val="left"/>
      <w:pPr>
        <w:ind w:left="1977" w:hanging="360"/>
      </w:pPr>
      <w:rPr>
        <w:rFonts w:hint="default"/>
        <w:lang w:val="en-US" w:eastAsia="en-US" w:bidi="ar-SA"/>
      </w:rPr>
    </w:lvl>
    <w:lvl w:ilvl="4" w:tplc="F1BC61F8">
      <w:numFmt w:val="bullet"/>
      <w:lvlText w:val="•"/>
      <w:lvlJc w:val="left"/>
      <w:pPr>
        <w:ind w:left="3075" w:hanging="360"/>
      </w:pPr>
      <w:rPr>
        <w:rFonts w:hint="default"/>
        <w:lang w:val="en-US" w:eastAsia="en-US" w:bidi="ar-SA"/>
      </w:rPr>
    </w:lvl>
    <w:lvl w:ilvl="5" w:tplc="E3CEDCBE">
      <w:numFmt w:val="bullet"/>
      <w:lvlText w:val="•"/>
      <w:lvlJc w:val="left"/>
      <w:pPr>
        <w:ind w:left="4172" w:hanging="360"/>
      </w:pPr>
      <w:rPr>
        <w:rFonts w:hint="default"/>
        <w:lang w:val="en-US" w:eastAsia="en-US" w:bidi="ar-SA"/>
      </w:rPr>
    </w:lvl>
    <w:lvl w:ilvl="6" w:tplc="0E26454E">
      <w:numFmt w:val="bullet"/>
      <w:lvlText w:val="•"/>
      <w:lvlJc w:val="left"/>
      <w:pPr>
        <w:ind w:left="5270" w:hanging="360"/>
      </w:pPr>
      <w:rPr>
        <w:rFonts w:hint="default"/>
        <w:lang w:val="en-US" w:eastAsia="en-US" w:bidi="ar-SA"/>
      </w:rPr>
    </w:lvl>
    <w:lvl w:ilvl="7" w:tplc="51CC91F4">
      <w:numFmt w:val="bullet"/>
      <w:lvlText w:val="•"/>
      <w:lvlJc w:val="left"/>
      <w:pPr>
        <w:ind w:left="6367" w:hanging="360"/>
      </w:pPr>
      <w:rPr>
        <w:rFonts w:hint="default"/>
        <w:lang w:val="en-US" w:eastAsia="en-US" w:bidi="ar-SA"/>
      </w:rPr>
    </w:lvl>
    <w:lvl w:ilvl="8" w:tplc="B052CCB0">
      <w:numFmt w:val="bullet"/>
      <w:lvlText w:val="•"/>
      <w:lvlJc w:val="left"/>
      <w:pPr>
        <w:ind w:left="7465" w:hanging="360"/>
      </w:pPr>
      <w:rPr>
        <w:rFonts w:hint="default"/>
        <w:lang w:val="en-US" w:eastAsia="en-US" w:bidi="ar-SA"/>
      </w:rPr>
    </w:lvl>
  </w:abstractNum>
  <w:num w:numId="1" w16cid:durableId="78014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O3NDU0MLc0MTSzMDNV0lEKTi0uzszPAykwrgUAYh/VUCwAAAA="/>
  </w:docVars>
  <w:rsids>
    <w:rsidRoot w:val="00A14D1F"/>
    <w:rsid w:val="00273C19"/>
    <w:rsid w:val="002D5646"/>
    <w:rsid w:val="003F6F29"/>
    <w:rsid w:val="00427BAF"/>
    <w:rsid w:val="00567323"/>
    <w:rsid w:val="006A745D"/>
    <w:rsid w:val="00A14D1F"/>
    <w:rsid w:val="00B326E9"/>
    <w:rsid w:val="00BE4BAA"/>
    <w:rsid w:val="00E511BC"/>
    <w:rsid w:val="00E91122"/>
    <w:rsid w:val="00ED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70859"/>
  <w15:docId w15:val="{74D371FA-60AC-4A45-95C8-D4D85D41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4D1F"/>
    <w:rPr>
      <w:rFonts w:ascii="Times New Roman" w:eastAsia="Times New Roman" w:hAnsi="Times New Roman" w:cs="Times New Roman"/>
    </w:rPr>
  </w:style>
  <w:style w:type="paragraph" w:styleId="Heading1">
    <w:name w:val="heading 1"/>
    <w:basedOn w:val="Normal"/>
    <w:uiPriority w:val="1"/>
    <w:qFormat/>
    <w:rsid w:val="00A14D1F"/>
    <w:pPr>
      <w:ind w:left="1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4D1F"/>
  </w:style>
  <w:style w:type="paragraph" w:styleId="Title">
    <w:name w:val="Title"/>
    <w:basedOn w:val="Normal"/>
    <w:uiPriority w:val="1"/>
    <w:qFormat/>
    <w:rsid w:val="00A14D1F"/>
    <w:pPr>
      <w:ind w:left="520"/>
    </w:pPr>
    <w:rPr>
      <w:b/>
      <w:bCs/>
      <w:sz w:val="24"/>
      <w:szCs w:val="24"/>
    </w:rPr>
  </w:style>
  <w:style w:type="paragraph" w:styleId="ListParagraph">
    <w:name w:val="List Paragraph"/>
    <w:basedOn w:val="Normal"/>
    <w:uiPriority w:val="1"/>
    <w:qFormat/>
    <w:rsid w:val="00A14D1F"/>
    <w:pPr>
      <w:ind w:left="879" w:hanging="360"/>
    </w:pPr>
  </w:style>
  <w:style w:type="paragraph" w:customStyle="1" w:styleId="TableParagraph">
    <w:name w:val="Table Paragraph"/>
    <w:basedOn w:val="Normal"/>
    <w:uiPriority w:val="1"/>
    <w:qFormat/>
    <w:rsid w:val="00A14D1F"/>
  </w:style>
  <w:style w:type="paragraph" w:styleId="BalloonText">
    <w:name w:val="Balloon Text"/>
    <w:basedOn w:val="Normal"/>
    <w:link w:val="BalloonTextChar"/>
    <w:uiPriority w:val="99"/>
    <w:semiHidden/>
    <w:unhideWhenUsed/>
    <w:rsid w:val="00567323"/>
    <w:rPr>
      <w:rFonts w:ascii="Tahoma" w:hAnsi="Tahoma" w:cs="Tahoma"/>
      <w:sz w:val="16"/>
      <w:szCs w:val="16"/>
    </w:rPr>
  </w:style>
  <w:style w:type="character" w:customStyle="1" w:styleId="BalloonTextChar">
    <w:name w:val="Balloon Text Char"/>
    <w:basedOn w:val="DefaultParagraphFont"/>
    <w:link w:val="BalloonText"/>
    <w:uiPriority w:val="99"/>
    <w:semiHidden/>
    <w:rsid w:val="00567323"/>
    <w:rPr>
      <w:rFonts w:ascii="Tahoma" w:eastAsia="Times New Roman" w:hAnsi="Tahoma" w:cs="Tahoma"/>
      <w:sz w:val="16"/>
      <w:szCs w:val="16"/>
    </w:rPr>
  </w:style>
  <w:style w:type="paragraph" w:styleId="Header">
    <w:name w:val="header"/>
    <w:basedOn w:val="Normal"/>
    <w:link w:val="HeaderChar"/>
    <w:uiPriority w:val="99"/>
    <w:unhideWhenUsed/>
    <w:rsid w:val="00427BAF"/>
    <w:pPr>
      <w:tabs>
        <w:tab w:val="center" w:pos="4680"/>
        <w:tab w:val="right" w:pos="9360"/>
      </w:tabs>
    </w:pPr>
  </w:style>
  <w:style w:type="character" w:customStyle="1" w:styleId="HeaderChar">
    <w:name w:val="Header Char"/>
    <w:basedOn w:val="DefaultParagraphFont"/>
    <w:link w:val="Header"/>
    <w:uiPriority w:val="99"/>
    <w:rsid w:val="00427BAF"/>
    <w:rPr>
      <w:rFonts w:ascii="Times New Roman" w:eastAsia="Times New Roman" w:hAnsi="Times New Roman" w:cs="Times New Roman"/>
    </w:rPr>
  </w:style>
  <w:style w:type="paragraph" w:styleId="Footer">
    <w:name w:val="footer"/>
    <w:basedOn w:val="Normal"/>
    <w:link w:val="FooterChar"/>
    <w:uiPriority w:val="99"/>
    <w:unhideWhenUsed/>
    <w:rsid w:val="00427BAF"/>
    <w:pPr>
      <w:tabs>
        <w:tab w:val="center" w:pos="4680"/>
        <w:tab w:val="right" w:pos="9360"/>
      </w:tabs>
    </w:pPr>
  </w:style>
  <w:style w:type="character" w:customStyle="1" w:styleId="FooterChar">
    <w:name w:val="Footer Char"/>
    <w:basedOn w:val="DefaultParagraphFont"/>
    <w:link w:val="Footer"/>
    <w:uiPriority w:val="99"/>
    <w:rsid w:val="00427BAF"/>
    <w:rPr>
      <w:rFonts w:ascii="Times New Roman" w:eastAsia="Times New Roman" w:hAnsi="Times New Roman" w:cs="Times New Roman"/>
    </w:rPr>
  </w:style>
  <w:style w:type="character" w:styleId="Hyperlink">
    <w:name w:val="Hyperlink"/>
    <w:basedOn w:val="DefaultParagraphFont"/>
    <w:uiPriority w:val="99"/>
    <w:unhideWhenUsed/>
    <w:rsid w:val="003F6F29"/>
    <w:rPr>
      <w:color w:val="0000FF" w:themeColor="hyperlink"/>
      <w:u w:val="single"/>
    </w:rPr>
  </w:style>
  <w:style w:type="character" w:styleId="UnresolvedMention">
    <w:name w:val="Unresolved Mention"/>
    <w:basedOn w:val="DefaultParagraphFont"/>
    <w:uiPriority w:val="99"/>
    <w:semiHidden/>
    <w:unhideWhenUsed/>
    <w:rsid w:val="003F6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hilarchive.org/archive/BHUTAOv1" TargetMode="External"/><Relationship Id="rId13" Type="http://schemas.openxmlformats.org/officeDocument/2006/relationships/hyperlink" Target="http://mrc.uccb.ns.ca/prinpro.html" TargetMode="External"/><Relationship Id="rId18" Type="http://schemas.openxmlformats.org/officeDocument/2006/relationships/hyperlink" Target="http://www.phenomenologyonli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jsrcseit.com/CSEIT228252" TargetMode="External"/><Relationship Id="rId12" Type="http://schemas.openxmlformats.org/officeDocument/2006/relationships/hyperlink" Target="http://www.naho.ca/english/journal/jah04_01/09MedicineWheel_64-71.pdf" TargetMode="External"/><Relationship Id="rId17" Type="http://schemas.openxmlformats.org/officeDocument/2006/relationships/hyperlink" Target="http://www.unisa.edu.au/res/ethics/indigenous.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hs-ers.ca/english/pdf/rhs2002-03reports/rhs2002-0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matisiwin.com/Articles/5.1F_Physical_Activity_and_Healing.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cct.on.ca/martial-arts" TargetMode="External"/><Relationship Id="rId23" Type="http://schemas.openxmlformats.org/officeDocument/2006/relationships/header" Target="header3.xml"/><Relationship Id="rId10" Type="http://schemas.openxmlformats.org/officeDocument/2006/relationships/hyperlink" Target="http://www.first-ojibwe.net/translations/weshki-ayaad/index.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p.lin.ca/resource//html/impact.htm" TargetMode="External"/><Relationship Id="rId14" Type="http://schemas.openxmlformats.org/officeDocument/2006/relationships/hyperlink" Target="http://www.nhmrc.gov.au/publications/synopses/e52syn.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Practical Application of an Indigenous Research Framework and Two Qualitative Indigenous Research Methods: Sharing Circles and Anishnaabe Symbol-Based Reflection</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Application of an Indigenous Research Framework and Two Qualitative Indigenous Research Methods: Sharing Circles and Anishnaabe Symbol-Based Reflection</dc:title>
  <dc:subject>International Journal of Qualitative Methods 2009.8:21-40</dc:subject>
  <dc:creator>Lynn F. Lavallée</dc:creator>
  <cp:keywords>Indigenous,epistemology,Indigenous research framework,Aboriginal,Anishnaabe symbol-based reflection,sharing circles,arts-based research</cp:keywords>
  <cp:lastModifiedBy>Md. Majidul Haque Bhuiyan</cp:lastModifiedBy>
  <cp:revision>7</cp:revision>
  <cp:lastPrinted>2022-05-20T18:39:00Z</cp:lastPrinted>
  <dcterms:created xsi:type="dcterms:W3CDTF">2021-09-22T17:09:00Z</dcterms:created>
  <dcterms:modified xsi:type="dcterms:W3CDTF">2022-05-20T18:47:00Z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2009-03-31T00:00:00Z</vt:filetime>
  </property>
  <property fmtid="{D5CDD505-2E9C-101B-9397-08002B2CF9AE}" pid="3" name="Creator">
    <vt:lpwstr>PScript5.dll Version 5.2.2</vt:lpwstr>
  </property>
  <property fmtid="{D5CDD505-2E9C-101B-9397-08002B2CF9AE}" pid="4" name="LastSaved">
    <vt:filetime>2021-09-22T00:00:00Z</vt:filetime>
  </property>
</Properties>
</file>