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F2" w:rsidRPr="00B970F2" w:rsidRDefault="00B970F2" w:rsidP="00B970F2">
      <w:pPr>
        <w:spacing w:after="0" w:line="480" w:lineRule="auto"/>
        <w:jc w:val="right"/>
        <w:rPr>
          <w:rFonts w:ascii="Times New Roman" w:hAnsi="Times New Roman" w:cs="Times New Roman"/>
          <w:i/>
          <w:sz w:val="18"/>
          <w:szCs w:val="18"/>
        </w:rPr>
      </w:pPr>
      <w:r w:rsidRPr="00B970F2">
        <w:rPr>
          <w:rFonts w:ascii="Times New Roman" w:hAnsi="Times New Roman" w:cs="Times New Roman"/>
          <w:i/>
          <w:sz w:val="18"/>
          <w:szCs w:val="18"/>
        </w:rPr>
        <w:t xml:space="preserve">In A. Bianchi, ed., </w:t>
      </w:r>
      <w:r w:rsidRPr="00B970F2">
        <w:rPr>
          <w:rFonts w:ascii="Times New Roman" w:hAnsi="Times New Roman" w:cs="Times New Roman"/>
          <w:sz w:val="18"/>
          <w:szCs w:val="18"/>
        </w:rPr>
        <w:t>On Reference</w:t>
      </w:r>
      <w:r w:rsidRPr="00B970F2">
        <w:rPr>
          <w:rFonts w:ascii="Times New Roman" w:hAnsi="Times New Roman" w:cs="Times New Roman"/>
          <w:i/>
          <w:sz w:val="18"/>
          <w:szCs w:val="18"/>
        </w:rPr>
        <w:t xml:space="preserve">, Oxford, Oxford University Press, 2015, pp. </w:t>
      </w:r>
      <w:r>
        <w:rPr>
          <w:rFonts w:ascii="Times New Roman" w:hAnsi="Times New Roman" w:cs="Times New Roman"/>
          <w:i/>
          <w:sz w:val="18"/>
          <w:szCs w:val="18"/>
        </w:rPr>
        <w:t>1-18.</w:t>
      </w:r>
    </w:p>
    <w:p w:rsidR="00B970F2" w:rsidRDefault="00B970F2" w:rsidP="003426F1">
      <w:pPr>
        <w:spacing w:after="0" w:line="480" w:lineRule="auto"/>
        <w:jc w:val="center"/>
        <w:rPr>
          <w:rFonts w:ascii="Times New Roman" w:hAnsi="Times New Roman" w:cs="Times New Roman"/>
          <w:sz w:val="24"/>
          <w:szCs w:val="24"/>
        </w:rPr>
      </w:pPr>
    </w:p>
    <w:p w:rsidR="00B970F2" w:rsidRPr="00B970F2" w:rsidRDefault="00B970F2" w:rsidP="003426F1">
      <w:pPr>
        <w:spacing w:after="0" w:line="480" w:lineRule="auto"/>
        <w:jc w:val="center"/>
        <w:rPr>
          <w:rFonts w:ascii="Times New Roman" w:hAnsi="Times New Roman" w:cs="Times New Roman"/>
          <w:sz w:val="24"/>
          <w:szCs w:val="24"/>
        </w:rPr>
      </w:pPr>
    </w:p>
    <w:p w:rsidR="005549CE" w:rsidRPr="00875EC2" w:rsidRDefault="005549CE" w:rsidP="003426F1">
      <w:pPr>
        <w:spacing w:after="0" w:line="480" w:lineRule="auto"/>
        <w:jc w:val="center"/>
        <w:rPr>
          <w:rFonts w:ascii="Times New Roman" w:hAnsi="Times New Roman" w:cs="Times New Roman"/>
          <w:sz w:val="24"/>
          <w:szCs w:val="24"/>
          <w:lang w:val="en-GB"/>
        </w:rPr>
      </w:pPr>
      <w:r w:rsidRPr="00875EC2">
        <w:rPr>
          <w:rFonts w:ascii="Times New Roman" w:hAnsi="Times New Roman" w:cs="Times New Roman"/>
          <w:sz w:val="24"/>
          <w:szCs w:val="24"/>
          <w:lang w:val="en-GB"/>
        </w:rPr>
        <w:t>INTRODUCTION – OPEN PROBLEMS ON REFERENCE</w:t>
      </w:r>
    </w:p>
    <w:p w:rsidR="005549CE" w:rsidRPr="00875EC2" w:rsidRDefault="005549CE" w:rsidP="003426F1">
      <w:pPr>
        <w:spacing w:after="0" w:line="480" w:lineRule="auto"/>
        <w:jc w:val="center"/>
        <w:rPr>
          <w:rFonts w:ascii="Times New Roman" w:hAnsi="Times New Roman" w:cs="Times New Roman"/>
          <w:sz w:val="24"/>
          <w:szCs w:val="24"/>
          <w:lang w:val="en-GB"/>
        </w:rPr>
      </w:pPr>
      <w:r w:rsidRPr="00875EC2">
        <w:rPr>
          <w:rFonts w:ascii="Times New Roman" w:hAnsi="Times New Roman" w:cs="Times New Roman"/>
          <w:sz w:val="24"/>
          <w:szCs w:val="24"/>
          <w:lang w:val="en-GB"/>
        </w:rPr>
        <w:t>Andrea Bianchi</w:t>
      </w:r>
    </w:p>
    <w:p w:rsidR="005549CE" w:rsidRPr="00875EC2" w:rsidRDefault="005549CE" w:rsidP="003426F1">
      <w:pPr>
        <w:spacing w:after="0" w:line="480" w:lineRule="auto"/>
        <w:jc w:val="center"/>
        <w:rPr>
          <w:rFonts w:ascii="Times New Roman" w:hAnsi="Times New Roman" w:cs="Times New Roman"/>
          <w:sz w:val="24"/>
          <w:szCs w:val="24"/>
          <w:lang w:val="en-GB"/>
        </w:rPr>
      </w:pPr>
    </w:p>
    <w:p w:rsidR="005549CE" w:rsidRPr="00875EC2" w:rsidRDefault="005549CE" w:rsidP="003426F1">
      <w:pPr>
        <w:spacing w:after="0" w:line="480" w:lineRule="auto"/>
        <w:rPr>
          <w:rFonts w:ascii="Times New Roman" w:hAnsi="Times New Roman" w:cs="Times New Roman"/>
          <w:sz w:val="24"/>
          <w:szCs w:val="24"/>
          <w:lang w:val="en-GB"/>
        </w:rPr>
      </w:pPr>
      <w:r w:rsidRPr="00875EC2">
        <w:rPr>
          <w:rFonts w:ascii="Times New Roman" w:hAnsi="Times New Roman" w:cs="Times New Roman"/>
          <w:sz w:val="24"/>
          <w:szCs w:val="24"/>
          <w:lang w:val="en-GB"/>
        </w:rPr>
        <w:t>Most of the t</w:t>
      </w:r>
      <w:r w:rsidR="00264364" w:rsidRPr="00875EC2">
        <w:rPr>
          <w:rFonts w:ascii="Times New Roman" w:hAnsi="Times New Roman" w:cs="Times New Roman"/>
          <w:sz w:val="24"/>
          <w:szCs w:val="24"/>
          <w:lang w:val="en-GB"/>
        </w:rPr>
        <w:t>imes we open our mouth to commun</w:t>
      </w:r>
      <w:r w:rsidRPr="00875EC2">
        <w:rPr>
          <w:rFonts w:ascii="Times New Roman" w:hAnsi="Times New Roman" w:cs="Times New Roman"/>
          <w:sz w:val="24"/>
          <w:szCs w:val="24"/>
          <w:lang w:val="en-GB"/>
        </w:rPr>
        <w:t xml:space="preserve">icate, we </w:t>
      </w:r>
      <w:r w:rsidRPr="00875EC2">
        <w:rPr>
          <w:rFonts w:ascii="Times New Roman" w:hAnsi="Times New Roman" w:cs="Times New Roman"/>
          <w:i/>
          <w:iCs/>
          <w:sz w:val="24"/>
          <w:szCs w:val="24"/>
          <w:lang w:val="en-GB"/>
        </w:rPr>
        <w:t>talk about things</w:t>
      </w:r>
      <w:r w:rsidRPr="00875EC2">
        <w:rPr>
          <w:rFonts w:ascii="Times New Roman" w:hAnsi="Times New Roman" w:cs="Times New Roman"/>
          <w:sz w:val="24"/>
          <w:szCs w:val="24"/>
          <w:lang w:val="en-GB"/>
        </w:rPr>
        <w:t xml:space="preserve">, be they </w:t>
      </w:r>
      <w:r w:rsidR="00A83168" w:rsidRPr="00875EC2">
        <w:rPr>
          <w:rFonts w:ascii="Times New Roman" w:hAnsi="Times New Roman" w:cs="Times New Roman"/>
          <w:sz w:val="24"/>
          <w:szCs w:val="24"/>
          <w:lang w:val="en-GB"/>
        </w:rPr>
        <w:t>restaurants,</w:t>
      </w:r>
      <w:r w:rsidRPr="00875EC2">
        <w:rPr>
          <w:rFonts w:ascii="Times New Roman" w:hAnsi="Times New Roman" w:cs="Times New Roman"/>
          <w:sz w:val="24"/>
          <w:szCs w:val="24"/>
          <w:lang w:val="en-GB"/>
        </w:rPr>
        <w:t xml:space="preserve"> movies</w:t>
      </w:r>
      <w:r w:rsidR="00C42A0C">
        <w:rPr>
          <w:rFonts w:ascii="Times New Roman" w:hAnsi="Times New Roman" w:cs="Times New Roman"/>
          <w:sz w:val="24"/>
          <w:szCs w:val="24"/>
          <w:lang w:val="en-GB"/>
        </w:rPr>
        <w:t>,</w:t>
      </w:r>
      <w:r w:rsidRPr="00875EC2">
        <w:rPr>
          <w:rFonts w:ascii="Times New Roman" w:hAnsi="Times New Roman" w:cs="Times New Roman"/>
          <w:sz w:val="24"/>
          <w:szCs w:val="24"/>
          <w:lang w:val="en-GB"/>
        </w:rPr>
        <w:t xml:space="preserve"> or soccer teams. Indeed, it is hard to imagine a more than rudimentary linguistic exchange that does not involve talking about things.</w:t>
      </w:r>
    </w:p>
    <w:p w:rsidR="005549CE" w:rsidRPr="00875EC2" w:rsidRDefault="005549CE" w:rsidP="003212EC">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Undoubtedly, talking about things is the result of the interaction of various factors: a number of different cognitive abilities are involved; a language, with its complex synta</w:t>
      </w:r>
      <w:r w:rsidR="00A83168" w:rsidRPr="00875EC2">
        <w:rPr>
          <w:rFonts w:ascii="Times New Roman" w:hAnsi="Times New Roman" w:cs="Times New Roman"/>
          <w:sz w:val="24"/>
          <w:szCs w:val="24"/>
          <w:lang w:val="en-GB"/>
        </w:rPr>
        <w:t>x</w:t>
      </w:r>
      <w:r w:rsidRPr="00875EC2">
        <w:rPr>
          <w:rFonts w:ascii="Times New Roman" w:hAnsi="Times New Roman" w:cs="Times New Roman"/>
          <w:sz w:val="24"/>
          <w:szCs w:val="24"/>
          <w:lang w:val="en-GB"/>
        </w:rPr>
        <w:t xml:space="preserve">, is called upon; the context in which the utterance takes place often makes its own contribution. But it is almost indisputable (see, </w:t>
      </w:r>
      <w:r w:rsidR="00A83168" w:rsidRPr="00875EC2">
        <w:rPr>
          <w:rFonts w:ascii="Times New Roman" w:hAnsi="Times New Roman" w:cs="Times New Roman"/>
          <w:sz w:val="24"/>
          <w:szCs w:val="24"/>
          <w:lang w:val="en-GB"/>
        </w:rPr>
        <w:t>nevertheless</w:t>
      </w:r>
      <w:r w:rsidR="00E9014D" w:rsidRPr="00875EC2">
        <w:rPr>
          <w:rFonts w:ascii="Times New Roman" w:hAnsi="Times New Roman" w:cs="Times New Roman"/>
          <w:sz w:val="24"/>
          <w:szCs w:val="24"/>
          <w:lang w:val="en-GB"/>
        </w:rPr>
        <w:t xml:space="preserve">, Christopher Gauker’s </w:t>
      </w:r>
      <w:r w:rsidR="00C42A0C">
        <w:rPr>
          <w:rFonts w:ascii="Times New Roman" w:hAnsi="Times New Roman" w:cs="Times New Roman"/>
          <w:sz w:val="24"/>
          <w:szCs w:val="24"/>
          <w:lang w:val="en-GB"/>
        </w:rPr>
        <w:t xml:space="preserve">chapter </w:t>
      </w:r>
      <w:r w:rsidR="00E9014D" w:rsidRPr="00875EC2">
        <w:rPr>
          <w:rFonts w:ascii="Times New Roman" w:hAnsi="Times New Roman" w:cs="Times New Roman"/>
          <w:sz w:val="24"/>
          <w:szCs w:val="24"/>
          <w:lang w:val="en-GB"/>
        </w:rPr>
        <w:t>in</w:t>
      </w:r>
      <w:r w:rsidRPr="00875EC2">
        <w:rPr>
          <w:rFonts w:ascii="Times New Roman" w:hAnsi="Times New Roman" w:cs="Times New Roman"/>
          <w:sz w:val="24"/>
          <w:szCs w:val="24"/>
          <w:lang w:val="en-GB"/>
        </w:rPr>
        <w:t xml:space="preserve"> this volume for an expression of skepticism) that a crucial role is played by the fact that (some of) the linguistic expressions we use have </w:t>
      </w:r>
      <w:r w:rsidRPr="00875EC2">
        <w:rPr>
          <w:rFonts w:ascii="Times New Roman" w:hAnsi="Times New Roman" w:cs="Times New Roman"/>
          <w:i/>
          <w:iCs/>
          <w:sz w:val="24"/>
          <w:szCs w:val="24"/>
          <w:lang w:val="en-GB"/>
        </w:rPr>
        <w:t>semantic properties</w:t>
      </w:r>
      <w:r w:rsidRPr="00875EC2">
        <w:rPr>
          <w:rFonts w:ascii="Times New Roman" w:hAnsi="Times New Roman" w:cs="Times New Roman"/>
          <w:sz w:val="24"/>
          <w:szCs w:val="24"/>
          <w:lang w:val="en-GB"/>
        </w:rPr>
        <w:t xml:space="preserve"> that connect them to extra-linguistic entities. Thanks to these properties, they may be used by us to </w:t>
      </w:r>
      <w:r w:rsidRPr="00875EC2">
        <w:rPr>
          <w:rFonts w:ascii="Times New Roman" w:hAnsi="Times New Roman" w:cs="Times New Roman"/>
          <w:i/>
          <w:iCs/>
          <w:sz w:val="24"/>
          <w:szCs w:val="24"/>
          <w:lang w:val="en-GB"/>
        </w:rPr>
        <w:t xml:space="preserve">refer </w:t>
      </w:r>
      <w:r w:rsidRPr="00875EC2">
        <w:rPr>
          <w:rFonts w:ascii="Times New Roman" w:hAnsi="Times New Roman" w:cs="Times New Roman"/>
          <w:sz w:val="24"/>
          <w:szCs w:val="24"/>
          <w:lang w:val="en-GB"/>
        </w:rPr>
        <w:t xml:space="preserve">to things. Or, as we may also say, they themselves </w:t>
      </w:r>
      <w:r w:rsidRPr="00875EC2">
        <w:rPr>
          <w:rFonts w:ascii="Times New Roman" w:hAnsi="Times New Roman" w:cs="Times New Roman"/>
          <w:i/>
          <w:iCs/>
          <w:sz w:val="24"/>
          <w:szCs w:val="24"/>
          <w:lang w:val="en-GB"/>
        </w:rPr>
        <w:t>refer</w:t>
      </w:r>
      <w:r w:rsidRPr="00875EC2">
        <w:rPr>
          <w:rFonts w:ascii="Times New Roman" w:hAnsi="Times New Roman" w:cs="Times New Roman"/>
          <w:sz w:val="24"/>
          <w:szCs w:val="24"/>
          <w:lang w:val="en-GB"/>
        </w:rPr>
        <w:t xml:space="preserve"> to things, though in certain cases they do so only relative to a context of use. It is no exaggeration, then, to say that all linguistic communication, from a simple chat at the pub to a scientific lecture or a literary work, rests on these semantic properties. Indeed, no matter how sophisticated and developed a language is in other respects, it w</w:t>
      </w:r>
      <w:r w:rsidR="00CF2F29" w:rsidRPr="00875EC2">
        <w:rPr>
          <w:rFonts w:ascii="Times New Roman" w:hAnsi="Times New Roman" w:cs="Times New Roman"/>
          <w:sz w:val="24"/>
          <w:szCs w:val="24"/>
          <w:lang w:val="en-GB"/>
        </w:rPr>
        <w:t>ould be of no use if it were</w:t>
      </w:r>
      <w:r w:rsidR="00C33107" w:rsidRPr="00875EC2">
        <w:rPr>
          <w:rFonts w:ascii="Times New Roman" w:hAnsi="Times New Roman" w:cs="Times New Roman"/>
          <w:sz w:val="24"/>
          <w:szCs w:val="24"/>
          <w:lang w:val="en-GB"/>
        </w:rPr>
        <w:t xml:space="preserve"> not anchor</w:t>
      </w:r>
      <w:r w:rsidR="00CF2F29" w:rsidRPr="00875EC2">
        <w:rPr>
          <w:rFonts w:ascii="Times New Roman" w:hAnsi="Times New Roman" w:cs="Times New Roman"/>
          <w:sz w:val="24"/>
          <w:szCs w:val="24"/>
          <w:lang w:val="en-GB"/>
        </w:rPr>
        <w:t>ed</w:t>
      </w:r>
      <w:r w:rsidR="00C33107" w:rsidRPr="00875EC2">
        <w:rPr>
          <w:rFonts w:ascii="Times New Roman" w:hAnsi="Times New Roman" w:cs="Times New Roman"/>
          <w:sz w:val="24"/>
          <w:szCs w:val="24"/>
          <w:lang w:val="en-GB"/>
        </w:rPr>
        <w:t xml:space="preserve"> </w:t>
      </w:r>
      <w:r w:rsidRPr="00875EC2">
        <w:rPr>
          <w:rFonts w:ascii="Times New Roman" w:hAnsi="Times New Roman" w:cs="Times New Roman"/>
          <w:sz w:val="24"/>
          <w:szCs w:val="24"/>
          <w:lang w:val="en-GB"/>
        </w:rPr>
        <w:t>to th</w:t>
      </w:r>
      <w:r w:rsidR="00C33107" w:rsidRPr="00875EC2">
        <w:rPr>
          <w:rFonts w:ascii="Times New Roman" w:hAnsi="Times New Roman" w:cs="Times New Roman"/>
          <w:sz w:val="24"/>
          <w:szCs w:val="24"/>
          <w:lang w:val="en-GB"/>
        </w:rPr>
        <w:t>e extra-linguistic world</w:t>
      </w:r>
      <w:r w:rsidR="00CF2F29" w:rsidRPr="00875EC2">
        <w:rPr>
          <w:rFonts w:ascii="Times New Roman" w:hAnsi="Times New Roman" w:cs="Times New Roman"/>
          <w:sz w:val="24"/>
          <w:szCs w:val="24"/>
          <w:lang w:val="en-GB"/>
        </w:rPr>
        <w:t xml:space="preserve"> by them</w:t>
      </w:r>
      <w:r w:rsidRPr="00875EC2">
        <w:rPr>
          <w:rFonts w:ascii="Times New Roman" w:hAnsi="Times New Roman" w:cs="Times New Roman"/>
          <w:sz w:val="24"/>
          <w:szCs w:val="24"/>
          <w:lang w:val="en-GB"/>
        </w:rPr>
        <w:t>.</w:t>
      </w:r>
    </w:p>
    <w:p w:rsidR="005549CE" w:rsidRPr="00875EC2" w:rsidRDefault="005549CE" w:rsidP="00831C39">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 xml:space="preserve">But </w:t>
      </w:r>
      <w:r w:rsidR="00CF2F29" w:rsidRPr="00875EC2">
        <w:rPr>
          <w:rFonts w:ascii="Times New Roman" w:hAnsi="Times New Roman" w:cs="Times New Roman"/>
          <w:sz w:val="24"/>
          <w:szCs w:val="24"/>
          <w:lang w:val="en-GB"/>
        </w:rPr>
        <w:t xml:space="preserve">how is </w:t>
      </w:r>
      <w:r w:rsidRPr="00875EC2">
        <w:rPr>
          <w:rFonts w:ascii="Times New Roman" w:hAnsi="Times New Roman" w:cs="Times New Roman"/>
          <w:sz w:val="24"/>
          <w:szCs w:val="24"/>
          <w:lang w:val="en-GB"/>
        </w:rPr>
        <w:t>lan</w:t>
      </w:r>
      <w:r w:rsidR="00C224BA" w:rsidRPr="00875EC2">
        <w:rPr>
          <w:rFonts w:ascii="Times New Roman" w:hAnsi="Times New Roman" w:cs="Times New Roman"/>
          <w:sz w:val="24"/>
          <w:szCs w:val="24"/>
          <w:lang w:val="en-GB"/>
        </w:rPr>
        <w:t>guage anchored to the world? Which</w:t>
      </w:r>
      <w:r w:rsidRPr="00875EC2">
        <w:rPr>
          <w:rFonts w:ascii="Times New Roman" w:hAnsi="Times New Roman" w:cs="Times New Roman"/>
          <w:sz w:val="24"/>
          <w:szCs w:val="24"/>
          <w:lang w:val="en-GB"/>
        </w:rPr>
        <w:t xml:space="preserve"> are </w:t>
      </w:r>
      <w:r w:rsidR="00C224BA" w:rsidRPr="00875EC2">
        <w:rPr>
          <w:rFonts w:ascii="Times New Roman" w:hAnsi="Times New Roman" w:cs="Times New Roman"/>
          <w:sz w:val="24"/>
          <w:szCs w:val="24"/>
          <w:lang w:val="en-GB"/>
        </w:rPr>
        <w:t xml:space="preserve">the </w:t>
      </w:r>
      <w:r w:rsidRPr="00875EC2">
        <w:rPr>
          <w:rFonts w:ascii="Times New Roman" w:hAnsi="Times New Roman" w:cs="Times New Roman"/>
          <w:sz w:val="24"/>
          <w:szCs w:val="24"/>
          <w:lang w:val="en-GB"/>
        </w:rPr>
        <w:t xml:space="preserve">linguistic expressions </w:t>
      </w:r>
      <w:r w:rsidR="00C224BA" w:rsidRPr="00875EC2">
        <w:rPr>
          <w:rFonts w:ascii="Times New Roman" w:hAnsi="Times New Roman" w:cs="Times New Roman"/>
          <w:sz w:val="24"/>
          <w:szCs w:val="24"/>
          <w:lang w:val="en-GB"/>
        </w:rPr>
        <w:t xml:space="preserve">that are </w:t>
      </w:r>
      <w:r w:rsidRPr="00875EC2">
        <w:rPr>
          <w:rFonts w:ascii="Times New Roman" w:hAnsi="Times New Roman" w:cs="Times New Roman"/>
          <w:sz w:val="24"/>
          <w:szCs w:val="24"/>
          <w:lang w:val="en-GB"/>
        </w:rPr>
        <w:t>connected to extra-linguistic entities</w:t>
      </w:r>
      <w:r w:rsidR="00902884" w:rsidRPr="00875EC2">
        <w:rPr>
          <w:rFonts w:ascii="Times New Roman" w:hAnsi="Times New Roman" w:cs="Times New Roman"/>
          <w:sz w:val="24"/>
          <w:szCs w:val="24"/>
          <w:lang w:val="en-GB"/>
        </w:rPr>
        <w:t>, and how are they</w:t>
      </w:r>
      <w:r w:rsidR="00C224BA" w:rsidRPr="00875EC2">
        <w:rPr>
          <w:rFonts w:ascii="Times New Roman" w:hAnsi="Times New Roman" w:cs="Times New Roman"/>
          <w:sz w:val="24"/>
          <w:szCs w:val="24"/>
          <w:lang w:val="en-GB"/>
        </w:rPr>
        <w:t xml:space="preserve"> connected</w:t>
      </w:r>
      <w:r w:rsidR="00902884" w:rsidRPr="00875EC2">
        <w:rPr>
          <w:rFonts w:ascii="Times New Roman" w:hAnsi="Times New Roman" w:cs="Times New Roman"/>
          <w:sz w:val="24"/>
          <w:szCs w:val="24"/>
          <w:lang w:val="en-GB"/>
        </w:rPr>
        <w:t xml:space="preserve"> to them</w:t>
      </w:r>
      <w:r w:rsidRPr="00875EC2">
        <w:rPr>
          <w:rFonts w:ascii="Times New Roman" w:hAnsi="Times New Roman" w:cs="Times New Roman"/>
          <w:sz w:val="24"/>
          <w:szCs w:val="24"/>
          <w:lang w:val="en-GB"/>
        </w:rPr>
        <w:t xml:space="preserve">? How should their semantic properties be characterized? Philosophers have been trying to </w:t>
      </w:r>
      <w:r w:rsidRPr="00875EC2">
        <w:rPr>
          <w:rFonts w:ascii="Times New Roman" w:hAnsi="Times New Roman" w:cs="Times New Roman"/>
          <w:sz w:val="24"/>
          <w:szCs w:val="24"/>
          <w:lang w:val="en-GB"/>
        </w:rPr>
        <w:lastRenderedPageBreak/>
        <w:t xml:space="preserve">answer these questions at least since Plato’s </w:t>
      </w:r>
      <w:r w:rsidRPr="00875EC2">
        <w:rPr>
          <w:rFonts w:ascii="Times New Roman" w:hAnsi="Times New Roman" w:cs="Times New Roman"/>
          <w:i/>
          <w:iCs/>
          <w:sz w:val="24"/>
          <w:szCs w:val="24"/>
          <w:lang w:val="en-GB"/>
        </w:rPr>
        <w:t>Cratylus</w:t>
      </w:r>
      <w:r w:rsidR="00C42A0C">
        <w:rPr>
          <w:rFonts w:ascii="Times New Roman" w:hAnsi="Times New Roman" w:cs="Times New Roman"/>
          <w:sz w:val="24"/>
          <w:szCs w:val="24"/>
          <w:lang w:val="en-GB"/>
        </w:rPr>
        <w:t>. The late-</w:t>
      </w:r>
      <w:r w:rsidRPr="00875EC2">
        <w:rPr>
          <w:rFonts w:ascii="Times New Roman" w:hAnsi="Times New Roman" w:cs="Times New Roman"/>
          <w:sz w:val="24"/>
          <w:szCs w:val="24"/>
          <w:lang w:val="en-GB"/>
        </w:rPr>
        <w:t>medieval scholastic tradition, for example, produced interesting work on the subject. However, it was</w:t>
      </w:r>
      <w:r w:rsidR="00DB47EB" w:rsidRPr="00875EC2">
        <w:rPr>
          <w:rFonts w:ascii="Times New Roman" w:hAnsi="Times New Roman" w:cs="Times New Roman"/>
          <w:sz w:val="24"/>
          <w:szCs w:val="24"/>
          <w:lang w:val="en-GB"/>
        </w:rPr>
        <w:t xml:space="preserve"> not until</w:t>
      </w:r>
      <w:r w:rsidRPr="00875EC2">
        <w:rPr>
          <w:rFonts w:ascii="Times New Roman" w:hAnsi="Times New Roman" w:cs="Times New Roman"/>
          <w:sz w:val="24"/>
          <w:szCs w:val="24"/>
          <w:lang w:val="en-GB"/>
        </w:rPr>
        <w:t xml:space="preserve"> the last century, when language occupied center-stage in philosophy, that the problem came to </w:t>
      </w:r>
      <w:r w:rsidRPr="00F1363C">
        <w:rPr>
          <w:rFonts w:ascii="Times New Roman" w:hAnsi="Times New Roman" w:cs="Times New Roman"/>
          <w:sz w:val="24"/>
          <w:szCs w:val="24"/>
          <w:lang w:val="en-GB"/>
        </w:rPr>
        <w:t>be felt really pressing</w:t>
      </w:r>
      <w:r w:rsidRPr="00875EC2">
        <w:rPr>
          <w:rFonts w:ascii="Times New Roman" w:hAnsi="Times New Roman" w:cs="Times New Roman"/>
          <w:sz w:val="24"/>
          <w:szCs w:val="24"/>
          <w:lang w:val="en-GB"/>
        </w:rPr>
        <w:t>, especially in the analytic tradition.</w:t>
      </w:r>
    </w:p>
    <w:p w:rsidR="005549CE" w:rsidRPr="00875EC2" w:rsidRDefault="005549CE" w:rsidP="00831C39">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 xml:space="preserve">In the last decade of the nineteenth century, Gottlob Frege produced an account of reference that set the stage for the contemporary discussion. Basically, according to that account a linguistic expression refers in virtue of its being associated by the speaker who uses it with a condition (Frege’s </w:t>
      </w:r>
      <w:r w:rsidRPr="00875EC2">
        <w:rPr>
          <w:rFonts w:ascii="Times New Roman" w:hAnsi="Times New Roman" w:cs="Times New Roman"/>
          <w:i/>
          <w:iCs/>
          <w:sz w:val="24"/>
          <w:szCs w:val="24"/>
          <w:lang w:val="en-GB"/>
        </w:rPr>
        <w:t>Sinn</w:t>
      </w:r>
      <w:r w:rsidRPr="00875EC2">
        <w:rPr>
          <w:rFonts w:ascii="Times New Roman" w:hAnsi="Times New Roman" w:cs="Times New Roman"/>
          <w:sz w:val="24"/>
          <w:szCs w:val="24"/>
          <w:lang w:val="en-GB"/>
        </w:rPr>
        <w:t xml:space="preserve">), in most if not all cases descriptive, which determines the referent of the expression. Although the condition is objective, and as such can be grasped by different people, the glue between it and the expression itself is </w:t>
      </w:r>
      <w:r w:rsidRPr="00875EC2">
        <w:rPr>
          <w:rFonts w:ascii="Times New Roman" w:hAnsi="Times New Roman" w:cs="Times New Roman"/>
          <w:i/>
          <w:iCs/>
          <w:sz w:val="24"/>
          <w:szCs w:val="24"/>
          <w:lang w:val="en-GB"/>
        </w:rPr>
        <w:t>mental</w:t>
      </w:r>
      <w:r w:rsidRPr="00875EC2">
        <w:rPr>
          <w:rFonts w:ascii="Times New Roman" w:hAnsi="Times New Roman" w:cs="Times New Roman"/>
          <w:sz w:val="24"/>
          <w:szCs w:val="24"/>
          <w:lang w:val="en-GB"/>
        </w:rPr>
        <w:t>, so to speak. All in all, what a linguistic expression refers to depends according to this account on the mental state of the speaker who uses it.</w:t>
      </w:r>
    </w:p>
    <w:p w:rsidR="005549CE" w:rsidRPr="00875EC2" w:rsidRDefault="005549CE" w:rsidP="00F9461A">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 xml:space="preserve">Frege’s account has been immensely influential. Thanks to the pioneering work of Rudolf Carnap and Alonzo Church, and then of Richard Montague, it gave birth to contemporary formal semantics for natural languages. And thanks to </w:t>
      </w:r>
      <w:r w:rsidR="00244B42" w:rsidRPr="00875EC2">
        <w:rPr>
          <w:rFonts w:ascii="Times New Roman" w:hAnsi="Times New Roman" w:cs="Times New Roman"/>
          <w:sz w:val="24"/>
          <w:szCs w:val="24"/>
          <w:lang w:val="en-GB"/>
        </w:rPr>
        <w:t xml:space="preserve">the work </w:t>
      </w:r>
      <w:r w:rsidRPr="00875EC2">
        <w:rPr>
          <w:rFonts w:ascii="Times New Roman" w:hAnsi="Times New Roman" w:cs="Times New Roman"/>
          <w:sz w:val="24"/>
          <w:szCs w:val="24"/>
          <w:lang w:val="en-GB"/>
        </w:rPr>
        <w:t xml:space="preserve">of Bertrand Russell (who, however, acknowledged the existence of a more intimate connection between certain </w:t>
      </w:r>
      <w:r w:rsidR="0050753C" w:rsidRPr="00875EC2">
        <w:rPr>
          <w:rFonts w:ascii="Times New Roman" w:hAnsi="Times New Roman" w:cs="Times New Roman"/>
          <w:sz w:val="24"/>
          <w:szCs w:val="24"/>
          <w:lang w:val="en-GB"/>
        </w:rPr>
        <w:t xml:space="preserve">(uses of) </w:t>
      </w:r>
      <w:r w:rsidRPr="00875EC2">
        <w:rPr>
          <w:rFonts w:ascii="Times New Roman" w:hAnsi="Times New Roman" w:cs="Times New Roman"/>
          <w:sz w:val="24"/>
          <w:szCs w:val="24"/>
          <w:lang w:val="en-GB"/>
        </w:rPr>
        <w:t>expressions and certain, very peculiar, things)</w:t>
      </w:r>
      <w:r w:rsidR="00DB47EB" w:rsidRPr="00875EC2">
        <w:rPr>
          <w:rFonts w:ascii="Times New Roman" w:hAnsi="Times New Roman" w:cs="Times New Roman"/>
          <w:sz w:val="24"/>
          <w:szCs w:val="24"/>
          <w:lang w:val="en-GB"/>
        </w:rPr>
        <w:t xml:space="preserve">, it soon became </w:t>
      </w:r>
      <w:r w:rsidRPr="00875EC2">
        <w:rPr>
          <w:rFonts w:ascii="Times New Roman" w:hAnsi="Times New Roman" w:cs="Times New Roman"/>
          <w:sz w:val="24"/>
          <w:szCs w:val="24"/>
          <w:lang w:val="en-GB"/>
        </w:rPr>
        <w:t xml:space="preserve">received wisdom among philosophers, who saw in it the key to the solution of a number of epistemological problems related to the use and understanding of language (among which, of course, </w:t>
      </w:r>
      <w:r w:rsidR="00012933">
        <w:rPr>
          <w:rFonts w:ascii="Times New Roman" w:hAnsi="Times New Roman" w:cs="Times New Roman"/>
          <w:sz w:val="24"/>
          <w:szCs w:val="24"/>
          <w:lang w:val="en-GB"/>
        </w:rPr>
        <w:t xml:space="preserve">is </w:t>
      </w:r>
      <w:r w:rsidRPr="00875EC2">
        <w:rPr>
          <w:rFonts w:ascii="Times New Roman" w:hAnsi="Times New Roman" w:cs="Times New Roman"/>
          <w:sz w:val="24"/>
          <w:szCs w:val="24"/>
          <w:lang w:val="en-GB"/>
        </w:rPr>
        <w:t xml:space="preserve">the so-called </w:t>
      </w:r>
      <w:r w:rsidRPr="00875EC2">
        <w:rPr>
          <w:rFonts w:ascii="Times New Roman" w:hAnsi="Times New Roman" w:cs="Times New Roman"/>
          <w:i/>
          <w:iCs/>
          <w:sz w:val="24"/>
          <w:szCs w:val="24"/>
          <w:lang w:val="en-GB"/>
        </w:rPr>
        <w:t>Frege’s puzzle</w:t>
      </w:r>
      <w:r w:rsidRPr="00875EC2">
        <w:rPr>
          <w:rFonts w:ascii="Times New Roman" w:hAnsi="Times New Roman" w:cs="Times New Roman"/>
          <w:sz w:val="24"/>
          <w:szCs w:val="24"/>
          <w:lang w:val="en-GB"/>
        </w:rPr>
        <w:t xml:space="preserve"> itself).</w:t>
      </w:r>
    </w:p>
    <w:p w:rsidR="005549CE" w:rsidRPr="00875EC2" w:rsidRDefault="005549CE" w:rsidP="00F9461A">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Around 1970, however, things changed rather radically.</w:t>
      </w:r>
      <w:r w:rsidR="00DB47EB" w:rsidRPr="00875EC2">
        <w:rPr>
          <w:rFonts w:ascii="Times New Roman" w:hAnsi="Times New Roman" w:cs="Times New Roman"/>
          <w:sz w:val="24"/>
          <w:szCs w:val="24"/>
          <w:lang w:val="en-GB"/>
        </w:rPr>
        <w:t xml:space="preserve"> A group of philosophers, led</w:t>
      </w:r>
      <w:r w:rsidRPr="00875EC2">
        <w:rPr>
          <w:rFonts w:ascii="Times New Roman" w:hAnsi="Times New Roman" w:cs="Times New Roman"/>
          <w:sz w:val="24"/>
          <w:szCs w:val="24"/>
          <w:lang w:val="en-GB"/>
        </w:rPr>
        <w:t xml:space="preserve"> by Saul Kripke (but at least Keith Donnellan, Hilary Putnam</w:t>
      </w:r>
      <w:r w:rsidR="00C42A0C">
        <w:rPr>
          <w:rFonts w:ascii="Times New Roman" w:hAnsi="Times New Roman" w:cs="Times New Roman"/>
          <w:sz w:val="24"/>
          <w:szCs w:val="24"/>
          <w:lang w:val="en-GB"/>
        </w:rPr>
        <w:t>,</w:t>
      </w:r>
      <w:r w:rsidRPr="00875EC2">
        <w:rPr>
          <w:rFonts w:ascii="Times New Roman" w:hAnsi="Times New Roman" w:cs="Times New Roman"/>
          <w:sz w:val="24"/>
          <w:szCs w:val="24"/>
          <w:lang w:val="en-GB"/>
        </w:rPr>
        <w:t xml:space="preserve"> and David Kaplan must also be mentioned)</w:t>
      </w:r>
      <w:r w:rsidR="00C42A0C">
        <w:rPr>
          <w:rFonts w:ascii="Times New Roman" w:hAnsi="Times New Roman" w:cs="Times New Roman"/>
          <w:sz w:val="24"/>
          <w:szCs w:val="24"/>
          <w:lang w:val="en-GB"/>
        </w:rPr>
        <w:t>,</w:t>
      </w:r>
      <w:r w:rsidRPr="00875EC2">
        <w:rPr>
          <w:rFonts w:ascii="Times New Roman" w:hAnsi="Times New Roman" w:cs="Times New Roman"/>
          <w:sz w:val="24"/>
          <w:szCs w:val="24"/>
          <w:lang w:val="en-GB"/>
        </w:rPr>
        <w:t xml:space="preserve"> produced a battery of powerful arguments against Fregean accounts of the reference of certain types of expressions (proper names, indexicals and demonstratives, terms for substances and natural kinds, and, more questionably, singular definite descriptions), showing that they do not refer to what they refer to in virtue of their being associated by the speaker who uses them with a descriptive condition determining it. They also offered sketches of positive accounts of reference for those types of expressions (but, importantly, not a unified theory), highlighting the crucial role played by </w:t>
      </w:r>
      <w:r w:rsidR="00D869EA">
        <w:rPr>
          <w:rFonts w:ascii="Times New Roman" w:hAnsi="Times New Roman" w:cs="Times New Roman"/>
          <w:sz w:val="24"/>
          <w:szCs w:val="24"/>
          <w:lang w:val="en-GB"/>
        </w:rPr>
        <w:t>worldly historical facts that may be unknown to</w:t>
      </w:r>
      <w:r w:rsidRPr="00875EC2">
        <w:rPr>
          <w:rFonts w:ascii="Times New Roman" w:hAnsi="Times New Roman" w:cs="Times New Roman"/>
          <w:sz w:val="24"/>
          <w:szCs w:val="24"/>
          <w:lang w:val="en-GB"/>
        </w:rPr>
        <w:t xml:space="preserve"> the speaker.</w:t>
      </w:r>
    </w:p>
    <w:p w:rsidR="005549CE" w:rsidRPr="00875EC2" w:rsidRDefault="005549CE" w:rsidP="00F9461A">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Even though the last ten or fifteen years have witnessed a reaction against the anti-descriptivist arguments (e.g., by experimental semanticists, who questioned the universality of the intuitions backing some of them), a revival of certain Fregean themes (e.g., in the rise of two-dimensional semantics and in the re-emergence of predicativist views about proper names), and the resilience of non-referentialist approaches to semantics (e.g., use theories of meaning), nowadays probably the majority of philosophers of language locate themselves in the camp generated by the work of Kripke and company in the late 1960s and early 1970s.</w:t>
      </w:r>
    </w:p>
    <w:p w:rsidR="005549CE" w:rsidRPr="00875EC2" w:rsidRDefault="005549CE" w:rsidP="00F9461A">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However, while inviting us to look at reference from a perspective that is certainly very different from Frege’s, the semantic revolution promoted by Kripke and company left us with a number of open problems (an “unfinished agenda,” as has been aptly said). It may perhaps be useful to group them in three main categories.</w:t>
      </w:r>
    </w:p>
    <w:p w:rsidR="005549CE" w:rsidRPr="00875EC2" w:rsidRDefault="005549CE" w:rsidP="00F9461A">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 xml:space="preserve">First of all, there are what we might call </w:t>
      </w:r>
      <w:r w:rsidRPr="00875EC2">
        <w:rPr>
          <w:rFonts w:ascii="Times New Roman" w:hAnsi="Times New Roman" w:cs="Times New Roman"/>
          <w:i/>
          <w:iCs/>
          <w:sz w:val="24"/>
          <w:szCs w:val="24"/>
          <w:lang w:val="en-GB"/>
        </w:rPr>
        <w:t>foundational problems</w:t>
      </w:r>
      <w:r w:rsidRPr="00875EC2">
        <w:rPr>
          <w:rFonts w:ascii="Times New Roman" w:hAnsi="Times New Roman" w:cs="Times New Roman"/>
          <w:sz w:val="24"/>
          <w:szCs w:val="24"/>
          <w:lang w:val="en-GB"/>
        </w:rPr>
        <w:t xml:space="preserve">. As I have said, Kripke and company were very productive in devising arguments against Frege’s account of reference. So, if their arguments are sound, we know what reference is not. Unfortunately, they have been much shyer about </w:t>
      </w:r>
      <w:r w:rsidRPr="00875EC2">
        <w:rPr>
          <w:rFonts w:ascii="Times New Roman" w:hAnsi="Times New Roman" w:cs="Times New Roman"/>
          <w:sz w:val="24"/>
          <w:szCs w:val="24"/>
        </w:rPr>
        <w:t xml:space="preserve">developing a positive account. With their claims (not always completely convergent, alas), they certainly have </w:t>
      </w:r>
      <w:r w:rsidR="00444ED3">
        <w:rPr>
          <w:rFonts w:ascii="Times New Roman" w:hAnsi="Times New Roman" w:cs="Times New Roman"/>
          <w:sz w:val="24"/>
          <w:szCs w:val="24"/>
          <w:lang w:val="en-GB"/>
        </w:rPr>
        <w:t>indicated a direction</w:t>
      </w:r>
      <w:r w:rsidRPr="00875EC2">
        <w:rPr>
          <w:rFonts w:ascii="Times New Roman" w:hAnsi="Times New Roman" w:cs="Times New Roman"/>
          <w:sz w:val="24"/>
          <w:szCs w:val="24"/>
          <w:lang w:val="en-GB"/>
        </w:rPr>
        <w:t xml:space="preserve">, but left us with a lot of work to do. Are we sure that the direction they have indicated is the right one? If so, can we unify the ideas they have offered us concerning the working of particular types of expressions into a single, general theory of </w:t>
      </w:r>
      <w:r w:rsidR="00C42A0C">
        <w:rPr>
          <w:rFonts w:ascii="Times New Roman" w:hAnsi="Times New Roman" w:cs="Times New Roman"/>
          <w:sz w:val="24"/>
          <w:szCs w:val="24"/>
          <w:lang w:val="en-GB"/>
        </w:rPr>
        <w:t>reference, thus finally unravel</w:t>
      </w:r>
      <w:r w:rsidRPr="00875EC2">
        <w:rPr>
          <w:rFonts w:ascii="Times New Roman" w:hAnsi="Times New Roman" w:cs="Times New Roman"/>
          <w:sz w:val="24"/>
          <w:szCs w:val="24"/>
          <w:lang w:val="en-GB"/>
        </w:rPr>
        <w:t>ing the nature of the basic relation between linguistic expressions and the extra-linguistic world on which linguistic communication seems to rest?</w:t>
      </w:r>
    </w:p>
    <w:p w:rsidR="005549CE" w:rsidRPr="00875EC2" w:rsidRDefault="005549CE" w:rsidP="00F9461A">
      <w:pPr>
        <w:spacing w:after="0" w:line="480" w:lineRule="auto"/>
        <w:ind w:firstLine="340"/>
        <w:rPr>
          <w:rFonts w:ascii="Times New Roman" w:hAnsi="Times New Roman" w:cs="Times New Roman"/>
          <w:sz w:val="24"/>
          <w:szCs w:val="24"/>
        </w:rPr>
      </w:pPr>
      <w:r w:rsidRPr="00875EC2">
        <w:rPr>
          <w:rFonts w:ascii="Times New Roman" w:hAnsi="Times New Roman" w:cs="Times New Roman"/>
          <w:sz w:val="24"/>
          <w:szCs w:val="24"/>
          <w:lang w:val="en-GB"/>
        </w:rPr>
        <w:t xml:space="preserve">Problems in the second category stem from our understanding of </w:t>
      </w:r>
      <w:r w:rsidRPr="00875EC2">
        <w:rPr>
          <w:rFonts w:ascii="Times New Roman" w:hAnsi="Times New Roman" w:cs="Times New Roman"/>
          <w:i/>
          <w:iCs/>
          <w:sz w:val="24"/>
          <w:szCs w:val="24"/>
          <w:lang w:val="en-GB"/>
        </w:rPr>
        <w:t>cognition</w:t>
      </w:r>
      <w:r w:rsidRPr="00875EC2">
        <w:rPr>
          <w:rFonts w:ascii="Times New Roman" w:hAnsi="Times New Roman" w:cs="Times New Roman"/>
          <w:sz w:val="24"/>
          <w:szCs w:val="24"/>
          <w:lang w:val="en-GB"/>
        </w:rPr>
        <w:t xml:space="preserve">, and concern the place that our understanding of reference should have in it. Frege’s account was grounded in a coherent, and perhaps natural, view of the relationship between language and thought, and one of the main reasons that drove so many philosophers to adopt it was that it seemed perfectly suited for dealing with a number of pressing epistemological problems. What should we say about the relationship between language and thought from the new perspective fostered by Kripke and company’s work in the late 1960s and early 1970s? Couldn’t it be that not only linguistic communication but also important forms of cognition rest on the basic relation they put their finger on? And how can the epistemological problems concerning the use and understanding of language that were felt to be so pressing by the preceding generation of philosophers be dealt with in the new perspective? </w:t>
      </w:r>
    </w:p>
    <w:p w:rsidR="005549CE" w:rsidRPr="00875EC2" w:rsidRDefault="005549CE" w:rsidP="00F9461A">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 xml:space="preserve">Finally, there are </w:t>
      </w:r>
      <w:r w:rsidRPr="00875EC2">
        <w:rPr>
          <w:rFonts w:ascii="Times New Roman" w:hAnsi="Times New Roman" w:cs="Times New Roman"/>
          <w:i/>
          <w:iCs/>
          <w:sz w:val="24"/>
          <w:szCs w:val="24"/>
          <w:lang w:val="en-GB"/>
        </w:rPr>
        <w:t>semantic</w:t>
      </w:r>
      <w:r w:rsidRPr="00875EC2">
        <w:rPr>
          <w:rFonts w:ascii="Times New Roman" w:hAnsi="Times New Roman" w:cs="Times New Roman"/>
          <w:sz w:val="24"/>
          <w:szCs w:val="24"/>
          <w:lang w:val="en-GB"/>
        </w:rPr>
        <w:t xml:space="preserve"> problems proper. How should the new ideas concerning the working of particular types of expressions (e.g., proper names) be implemented in an overall semantic theory for natural language? How should specific cases (e.g., empty names) and constructions (e.g., propositional attitude reports) that have often been felt to be problematic for the new approach be dealt with? And what should we say of those types of expressions, simple (e.g., common nouns other than natural kind terms, verbs, adjectives, adverbs</w:t>
      </w:r>
      <w:r w:rsidR="00C42A0C">
        <w:rPr>
          <w:rFonts w:ascii="Times New Roman" w:hAnsi="Times New Roman" w:cs="Times New Roman"/>
          <w:sz w:val="24"/>
          <w:szCs w:val="24"/>
          <w:lang w:val="en-GB"/>
        </w:rPr>
        <w:t>,</w:t>
      </w:r>
      <w:r w:rsidRPr="00875EC2">
        <w:rPr>
          <w:rFonts w:ascii="Times New Roman" w:hAnsi="Times New Roman" w:cs="Times New Roman"/>
          <w:sz w:val="24"/>
          <w:szCs w:val="24"/>
          <w:lang w:val="en-GB"/>
        </w:rPr>
        <w:t xml:space="preserve"> and pronouns) or compound (e.g., indefinite descriptions), that were not the focus of attention of Kripke and company?</w:t>
      </w:r>
    </w:p>
    <w:p w:rsidR="005549CE" w:rsidRPr="00875EC2" w:rsidRDefault="00C42A0C" w:rsidP="00F9461A">
      <w:pPr>
        <w:spacing w:after="0" w:line="480" w:lineRule="auto"/>
        <w:ind w:firstLine="340"/>
        <w:rPr>
          <w:rFonts w:ascii="Times New Roman" w:hAnsi="Times New Roman" w:cs="Times New Roman"/>
          <w:sz w:val="24"/>
          <w:szCs w:val="24"/>
          <w:lang w:val="en-GB"/>
        </w:rPr>
      </w:pPr>
      <w:r>
        <w:rPr>
          <w:rFonts w:ascii="Times New Roman" w:hAnsi="Times New Roman" w:cs="Times New Roman"/>
          <w:sz w:val="24"/>
          <w:szCs w:val="24"/>
          <w:lang w:val="en-GB"/>
        </w:rPr>
        <w:t>The eighteen original chapter</w:t>
      </w:r>
      <w:r w:rsidR="005549CE" w:rsidRPr="00875EC2">
        <w:rPr>
          <w:rFonts w:ascii="Times New Roman" w:hAnsi="Times New Roman" w:cs="Times New Roman"/>
          <w:sz w:val="24"/>
          <w:szCs w:val="24"/>
          <w:lang w:val="en-GB"/>
        </w:rPr>
        <w:t xml:space="preserve">s collected in this volume deal with at least some of these problems, thus </w:t>
      </w:r>
      <w:r w:rsidR="002143FC" w:rsidRPr="00875EC2">
        <w:rPr>
          <w:rFonts w:ascii="Times New Roman" w:hAnsi="Times New Roman" w:cs="Times New Roman"/>
          <w:sz w:val="24"/>
          <w:szCs w:val="24"/>
          <w:lang w:val="en-GB"/>
        </w:rPr>
        <w:t xml:space="preserve">hopefully </w:t>
      </w:r>
      <w:r w:rsidR="00244B42" w:rsidRPr="00875EC2">
        <w:rPr>
          <w:rFonts w:ascii="Times New Roman" w:hAnsi="Times New Roman" w:cs="Times New Roman"/>
          <w:sz w:val="24"/>
          <w:szCs w:val="24"/>
          <w:lang w:val="en-GB"/>
        </w:rPr>
        <w:t>contributing to</w:t>
      </w:r>
      <w:r w:rsidR="005549CE" w:rsidRPr="00875EC2">
        <w:rPr>
          <w:rFonts w:ascii="Times New Roman" w:hAnsi="Times New Roman" w:cs="Times New Roman"/>
          <w:sz w:val="24"/>
          <w:szCs w:val="24"/>
          <w:lang w:val="en-GB"/>
        </w:rPr>
        <w:t xml:space="preserve"> our understanding of the nature of reference, its role in cognition, and the place it should be given in semantic theory.</w:t>
      </w:r>
    </w:p>
    <w:p w:rsidR="002F14EC" w:rsidRPr="00875EC2" w:rsidRDefault="002F14EC" w:rsidP="00F9461A">
      <w:pPr>
        <w:spacing w:after="0" w:line="480" w:lineRule="auto"/>
        <w:ind w:firstLine="340"/>
        <w:rPr>
          <w:rFonts w:ascii="Times New Roman" w:hAnsi="Times New Roman" w:cs="Times New Roman"/>
          <w:sz w:val="24"/>
          <w:szCs w:val="24"/>
          <w:lang w:val="en-GB"/>
        </w:rPr>
      </w:pPr>
    </w:p>
    <w:p w:rsidR="005549CE" w:rsidRPr="00875EC2" w:rsidRDefault="005549CE" w:rsidP="00F9461A">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The first part of the volume, “The Nature o</w:t>
      </w:r>
      <w:r w:rsidR="00C42A0C">
        <w:rPr>
          <w:rFonts w:ascii="Times New Roman" w:hAnsi="Times New Roman" w:cs="Times New Roman"/>
          <w:sz w:val="24"/>
          <w:szCs w:val="24"/>
          <w:lang w:val="en-GB"/>
        </w:rPr>
        <w:t>f Reference,” contains six chapter</w:t>
      </w:r>
      <w:r w:rsidRPr="00875EC2">
        <w:rPr>
          <w:rFonts w:ascii="Times New Roman" w:hAnsi="Times New Roman" w:cs="Times New Roman"/>
          <w:sz w:val="24"/>
          <w:szCs w:val="24"/>
          <w:lang w:val="en-GB"/>
        </w:rPr>
        <w:t>s that address foundational problems</w:t>
      </w:r>
      <w:r w:rsidR="00DB47EB" w:rsidRPr="00875EC2">
        <w:rPr>
          <w:rFonts w:ascii="Times New Roman" w:hAnsi="Times New Roman" w:cs="Times New Roman"/>
          <w:sz w:val="24"/>
          <w:szCs w:val="24"/>
          <w:lang w:val="en-GB"/>
        </w:rPr>
        <w:t xml:space="preserve"> in various ways</w:t>
      </w:r>
      <w:r w:rsidRPr="00875EC2">
        <w:rPr>
          <w:rFonts w:ascii="Times New Roman" w:hAnsi="Times New Roman" w:cs="Times New Roman"/>
          <w:sz w:val="24"/>
          <w:szCs w:val="24"/>
          <w:lang w:val="en-GB"/>
        </w:rPr>
        <w:t>. It begins with an expression of skepticism towards the relation itself of sema</w:t>
      </w:r>
      <w:r w:rsidR="00DB47EB" w:rsidRPr="00875EC2">
        <w:rPr>
          <w:rFonts w:ascii="Times New Roman" w:hAnsi="Times New Roman" w:cs="Times New Roman"/>
          <w:sz w:val="24"/>
          <w:szCs w:val="24"/>
          <w:lang w:val="en-GB"/>
        </w:rPr>
        <w:t>ntic reference. In fact, as</w:t>
      </w:r>
      <w:r w:rsidRPr="00875EC2">
        <w:rPr>
          <w:rFonts w:ascii="Times New Roman" w:hAnsi="Times New Roman" w:cs="Times New Roman"/>
          <w:sz w:val="24"/>
          <w:szCs w:val="24"/>
          <w:lang w:val="en-GB"/>
        </w:rPr>
        <w:t xml:space="preserve"> the title of his contribution, “The Illusion of Semantic Reference,” </w:t>
      </w:r>
      <w:r w:rsidR="00DB47EB" w:rsidRPr="00875EC2">
        <w:rPr>
          <w:rFonts w:ascii="Times New Roman" w:hAnsi="Times New Roman" w:cs="Times New Roman"/>
          <w:sz w:val="24"/>
          <w:szCs w:val="24"/>
          <w:lang w:val="en-GB"/>
        </w:rPr>
        <w:t xml:space="preserve">also </w:t>
      </w:r>
      <w:r w:rsidRPr="00875EC2">
        <w:rPr>
          <w:rFonts w:ascii="Times New Roman" w:hAnsi="Times New Roman" w:cs="Times New Roman"/>
          <w:sz w:val="24"/>
          <w:szCs w:val="24"/>
          <w:lang w:val="en-GB"/>
        </w:rPr>
        <w:t>makes clear, Gauker believes that no satisfactory a</w:t>
      </w:r>
      <w:r w:rsidR="001F2804" w:rsidRPr="00875EC2">
        <w:rPr>
          <w:rFonts w:ascii="Times New Roman" w:hAnsi="Times New Roman" w:cs="Times New Roman"/>
          <w:sz w:val="24"/>
          <w:szCs w:val="24"/>
          <w:lang w:val="en-GB"/>
        </w:rPr>
        <w:t>ccount</w:t>
      </w:r>
      <w:r w:rsidRPr="00875EC2">
        <w:rPr>
          <w:rFonts w:ascii="Times New Roman" w:hAnsi="Times New Roman" w:cs="Times New Roman"/>
          <w:sz w:val="24"/>
          <w:szCs w:val="24"/>
          <w:lang w:val="en-GB"/>
        </w:rPr>
        <w:t xml:space="preserve"> can be given of it. As a consequence, he has attempted over the last twenty years to develop a semantics that does not appeal to reference, in terms of as</w:t>
      </w:r>
      <w:r w:rsidR="00DB47EB" w:rsidRPr="00875EC2">
        <w:rPr>
          <w:rFonts w:ascii="Times New Roman" w:hAnsi="Times New Roman" w:cs="Times New Roman"/>
          <w:sz w:val="24"/>
          <w:szCs w:val="24"/>
          <w:lang w:val="en-GB"/>
        </w:rPr>
        <w:t>sertib</w:t>
      </w:r>
      <w:r w:rsidR="00C42A0C">
        <w:rPr>
          <w:rFonts w:ascii="Times New Roman" w:hAnsi="Times New Roman" w:cs="Times New Roman"/>
          <w:sz w:val="24"/>
          <w:szCs w:val="24"/>
          <w:lang w:val="en-GB"/>
        </w:rPr>
        <w:t>ility in a context. In the chapter</w:t>
      </w:r>
      <w:r w:rsidR="00DB47EB" w:rsidRPr="00875EC2">
        <w:rPr>
          <w:rFonts w:ascii="Times New Roman" w:hAnsi="Times New Roman" w:cs="Times New Roman"/>
          <w:sz w:val="24"/>
          <w:szCs w:val="24"/>
          <w:lang w:val="en-GB"/>
        </w:rPr>
        <w:t xml:space="preserve"> includ</w:t>
      </w:r>
      <w:r w:rsidRPr="00875EC2">
        <w:rPr>
          <w:rFonts w:ascii="Times New Roman" w:hAnsi="Times New Roman" w:cs="Times New Roman"/>
          <w:sz w:val="24"/>
          <w:szCs w:val="24"/>
          <w:lang w:val="en-GB"/>
        </w:rPr>
        <w:t xml:space="preserve">ed here, he sets out to explicate a recalcitrant intuition we have to the effect that, in general, we know the referents (or, as he also says, the </w:t>
      </w:r>
      <w:r w:rsidRPr="00875EC2">
        <w:rPr>
          <w:rFonts w:ascii="Times New Roman" w:hAnsi="Times New Roman" w:cs="Times New Roman"/>
          <w:i/>
          <w:iCs/>
          <w:sz w:val="24"/>
          <w:szCs w:val="24"/>
          <w:lang w:val="en-GB"/>
        </w:rPr>
        <w:t>extensions</w:t>
      </w:r>
      <w:r w:rsidRPr="00875EC2">
        <w:rPr>
          <w:rFonts w:ascii="Times New Roman" w:hAnsi="Times New Roman" w:cs="Times New Roman"/>
          <w:sz w:val="24"/>
          <w:szCs w:val="24"/>
          <w:lang w:val="en-GB"/>
        </w:rPr>
        <w:t xml:space="preserve">) of the expressions, be they predicates or singular terms, that we use. From this intuition, “we are tempted to infer that the relation of reference must exist.” Gauker, however, argues that the intuition rests on the intuition that we know the meanings of such expressions, and offers a “skeptical” account of </w:t>
      </w:r>
      <w:r w:rsidRPr="00875EC2">
        <w:rPr>
          <w:rFonts w:ascii="Times New Roman" w:hAnsi="Times New Roman" w:cs="Times New Roman"/>
          <w:i/>
          <w:iCs/>
          <w:sz w:val="24"/>
          <w:szCs w:val="24"/>
          <w:lang w:val="en-GB"/>
        </w:rPr>
        <w:t>knowing the meaning</w:t>
      </w:r>
      <w:r w:rsidRPr="00875EC2">
        <w:rPr>
          <w:rFonts w:ascii="Times New Roman" w:hAnsi="Times New Roman" w:cs="Times New Roman"/>
          <w:sz w:val="24"/>
          <w:szCs w:val="24"/>
          <w:lang w:val="en-GB"/>
        </w:rPr>
        <w:t xml:space="preserve"> of an expression that is somehow reminiscent of the skeptical account of </w:t>
      </w:r>
      <w:r w:rsidRPr="00875EC2">
        <w:rPr>
          <w:rFonts w:ascii="Times New Roman" w:hAnsi="Times New Roman" w:cs="Times New Roman"/>
          <w:i/>
          <w:iCs/>
          <w:sz w:val="24"/>
          <w:szCs w:val="24"/>
          <w:lang w:val="en-GB"/>
        </w:rPr>
        <w:t>knowing how to add</w:t>
      </w:r>
      <w:r w:rsidRPr="00875EC2">
        <w:rPr>
          <w:rFonts w:ascii="Times New Roman" w:hAnsi="Times New Roman" w:cs="Times New Roman"/>
          <w:sz w:val="24"/>
          <w:szCs w:val="24"/>
          <w:lang w:val="en-GB"/>
        </w:rPr>
        <w:t xml:space="preserve"> that Kripke famously ascribed to Ludwig Wittgenstein when discussing his considerations on following a rule. In the same way as </w:t>
      </w:r>
      <w:r w:rsidR="00DB47EB" w:rsidRPr="00875EC2">
        <w:rPr>
          <w:rFonts w:ascii="Times New Roman" w:hAnsi="Times New Roman" w:cs="Times New Roman"/>
          <w:sz w:val="24"/>
          <w:szCs w:val="24"/>
          <w:lang w:val="en-GB"/>
        </w:rPr>
        <w:t xml:space="preserve">in </w:t>
      </w:r>
      <w:r w:rsidRPr="00875EC2">
        <w:rPr>
          <w:rFonts w:ascii="Times New Roman" w:hAnsi="Times New Roman" w:cs="Times New Roman"/>
          <w:sz w:val="24"/>
          <w:szCs w:val="24"/>
          <w:lang w:val="en-GB"/>
        </w:rPr>
        <w:t xml:space="preserve">the latter account “[i]n declaring that someone </w:t>
      </w:r>
      <w:r w:rsidRPr="00875EC2">
        <w:rPr>
          <w:rFonts w:ascii="Times New Roman" w:hAnsi="Times New Roman" w:cs="Times New Roman"/>
          <w:i/>
          <w:iCs/>
          <w:sz w:val="24"/>
          <w:szCs w:val="24"/>
          <w:lang w:val="en-GB"/>
        </w:rPr>
        <w:t>knows how to add</w:t>
      </w:r>
      <w:r w:rsidRPr="00875EC2">
        <w:rPr>
          <w:rFonts w:ascii="Times New Roman" w:hAnsi="Times New Roman" w:cs="Times New Roman"/>
          <w:sz w:val="24"/>
          <w:szCs w:val="24"/>
          <w:lang w:val="en-GB"/>
        </w:rPr>
        <w:t>, we mark a person as capable of playing certain roles in soc</w:t>
      </w:r>
      <w:r w:rsidR="00DB47EB" w:rsidRPr="00875EC2">
        <w:rPr>
          <w:rFonts w:ascii="Times New Roman" w:hAnsi="Times New Roman" w:cs="Times New Roman"/>
          <w:sz w:val="24"/>
          <w:szCs w:val="24"/>
          <w:lang w:val="en-GB"/>
        </w:rPr>
        <w:t>iety,” so according to Gauker</w:t>
      </w:r>
      <w:r w:rsidR="00C42A0C">
        <w:rPr>
          <w:rFonts w:ascii="Times New Roman" w:hAnsi="Times New Roman" w:cs="Times New Roman"/>
          <w:sz w:val="24"/>
          <w:szCs w:val="24"/>
          <w:lang w:val="en-GB"/>
        </w:rPr>
        <w:t>,</w:t>
      </w:r>
      <w:r w:rsidR="00DB47EB" w:rsidRPr="00875EC2">
        <w:rPr>
          <w:rFonts w:ascii="Times New Roman" w:hAnsi="Times New Roman" w:cs="Times New Roman"/>
          <w:sz w:val="24"/>
          <w:szCs w:val="24"/>
          <w:lang w:val="en-GB"/>
        </w:rPr>
        <w:t xml:space="preserve"> </w:t>
      </w:r>
      <w:r w:rsidR="00C33107" w:rsidRPr="00875EC2">
        <w:rPr>
          <w:rFonts w:ascii="Times New Roman" w:hAnsi="Times New Roman" w:cs="Times New Roman"/>
          <w:sz w:val="24"/>
          <w:szCs w:val="24"/>
          <w:lang w:val="en-GB"/>
        </w:rPr>
        <w:t>when we say that someone (even</w:t>
      </w:r>
      <w:r w:rsidR="00DB47EB" w:rsidRPr="00875EC2">
        <w:rPr>
          <w:rFonts w:ascii="Times New Roman" w:hAnsi="Times New Roman" w:cs="Times New Roman"/>
          <w:sz w:val="24"/>
          <w:szCs w:val="24"/>
          <w:lang w:val="en-GB"/>
        </w:rPr>
        <w:t xml:space="preserve"> </w:t>
      </w:r>
      <w:r w:rsidRPr="00875EC2">
        <w:rPr>
          <w:rFonts w:ascii="Times New Roman" w:hAnsi="Times New Roman" w:cs="Times New Roman"/>
          <w:sz w:val="24"/>
          <w:szCs w:val="24"/>
          <w:lang w:val="en-GB"/>
        </w:rPr>
        <w:t xml:space="preserve">ourselves) knows the meanings of the expressions he or she uses, we do not describe him or her but rather </w:t>
      </w:r>
      <w:r w:rsidRPr="00875EC2">
        <w:rPr>
          <w:rFonts w:ascii="Times New Roman" w:hAnsi="Times New Roman" w:cs="Times New Roman"/>
          <w:i/>
          <w:iCs/>
          <w:sz w:val="24"/>
          <w:szCs w:val="24"/>
          <w:lang w:val="en-GB"/>
        </w:rPr>
        <w:t>grant</w:t>
      </w:r>
      <w:r w:rsidRPr="00875EC2">
        <w:rPr>
          <w:rFonts w:ascii="Times New Roman" w:hAnsi="Times New Roman" w:cs="Times New Roman"/>
          <w:sz w:val="24"/>
          <w:szCs w:val="24"/>
          <w:lang w:val="en-GB"/>
        </w:rPr>
        <w:t xml:space="preserve"> him or her a</w:t>
      </w:r>
      <w:r w:rsidRPr="00875EC2">
        <w:rPr>
          <w:rFonts w:ascii="Times New Roman" w:hAnsi="Times New Roman" w:cs="Times New Roman"/>
          <w:i/>
          <w:iCs/>
          <w:sz w:val="24"/>
          <w:szCs w:val="24"/>
          <w:lang w:val="en-GB"/>
        </w:rPr>
        <w:t xml:space="preserve"> status</w:t>
      </w:r>
      <w:r w:rsidRPr="00875EC2">
        <w:rPr>
          <w:rFonts w:ascii="Times New Roman" w:hAnsi="Times New Roman" w:cs="Times New Roman"/>
          <w:sz w:val="24"/>
          <w:szCs w:val="24"/>
          <w:lang w:val="en-GB"/>
        </w:rPr>
        <w:t>, having recognized that we do not “need to interpret him or her by substituting some other words for those that he or she actually used.” If Gauker’s explication of the original intuit</w:t>
      </w:r>
      <w:r w:rsidR="00C42A0C">
        <w:rPr>
          <w:rFonts w:ascii="Times New Roman" w:hAnsi="Times New Roman" w:cs="Times New Roman"/>
          <w:sz w:val="24"/>
          <w:szCs w:val="24"/>
          <w:lang w:val="en-GB"/>
        </w:rPr>
        <w:t>ion is on the right track, then</w:t>
      </w:r>
      <w:r w:rsidRPr="00875EC2">
        <w:rPr>
          <w:rFonts w:ascii="Times New Roman" w:hAnsi="Times New Roman" w:cs="Times New Roman"/>
          <w:sz w:val="24"/>
          <w:szCs w:val="24"/>
          <w:lang w:val="en-GB"/>
        </w:rPr>
        <w:t xml:space="preserve"> we are not forced to assume that the expressions we use </w:t>
      </w:r>
      <w:r w:rsidRPr="00875EC2">
        <w:rPr>
          <w:rFonts w:ascii="Times New Roman" w:hAnsi="Times New Roman" w:cs="Times New Roman"/>
          <w:i/>
          <w:iCs/>
          <w:sz w:val="24"/>
          <w:szCs w:val="24"/>
          <w:lang w:val="en-GB"/>
        </w:rPr>
        <w:t>refer</w:t>
      </w:r>
      <w:r w:rsidRPr="00875EC2">
        <w:rPr>
          <w:rFonts w:ascii="Times New Roman" w:hAnsi="Times New Roman" w:cs="Times New Roman"/>
          <w:sz w:val="24"/>
          <w:szCs w:val="24"/>
          <w:lang w:val="en-GB"/>
        </w:rPr>
        <w:t>. Non-referentialist approaches to semantics are therefore not doomed to fail</w:t>
      </w:r>
      <w:r w:rsidR="00DB47EB" w:rsidRPr="00875EC2">
        <w:rPr>
          <w:rFonts w:ascii="Times New Roman" w:hAnsi="Times New Roman" w:cs="Times New Roman"/>
          <w:sz w:val="24"/>
          <w:szCs w:val="24"/>
          <w:lang w:val="en-GB"/>
        </w:rPr>
        <w:t>ure</w:t>
      </w:r>
      <w:r w:rsidRPr="00875EC2">
        <w:rPr>
          <w:rFonts w:ascii="Times New Roman" w:hAnsi="Times New Roman" w:cs="Times New Roman"/>
          <w:sz w:val="24"/>
          <w:szCs w:val="24"/>
          <w:lang w:val="en-GB"/>
        </w:rPr>
        <w:t xml:space="preserve"> from the start.</w:t>
      </w:r>
    </w:p>
    <w:p w:rsidR="005549CE" w:rsidRPr="00875EC2" w:rsidRDefault="005549CE" w:rsidP="00F9461A">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 xml:space="preserve">Gauker is not the only philosopher who took on the “hard work,” to use the </w:t>
      </w:r>
      <w:r w:rsidR="00C42A0C">
        <w:rPr>
          <w:rFonts w:ascii="Times New Roman" w:hAnsi="Times New Roman" w:cs="Times New Roman"/>
          <w:sz w:val="24"/>
          <w:szCs w:val="24"/>
          <w:lang w:val="en-GB"/>
        </w:rPr>
        <w:t>words by which he ends his chapter</w:t>
      </w:r>
      <w:r w:rsidRPr="00875EC2">
        <w:rPr>
          <w:rFonts w:ascii="Times New Roman" w:hAnsi="Times New Roman" w:cs="Times New Roman"/>
          <w:sz w:val="24"/>
          <w:szCs w:val="24"/>
          <w:lang w:val="en-GB"/>
        </w:rPr>
        <w:t xml:space="preserve">, of “constructing alternative accounts of those linguistic and mental phenomena that we might have thought we should explain in terms of semantic reference.” Also well known is Paul Horwich’s theory of meaning as use, which is inspired by Wittgenstein’s famous slogan according to which “the meaning of a word is its use in the language.” In Horwich’s theory, meaning properties are taken to be constituted by use properties, while reference and truth are seen from a deflationary point of view. However, Horwich as well must face some apparently recalcitrant intuitions: the </w:t>
      </w:r>
      <w:r w:rsidRPr="00875EC2">
        <w:rPr>
          <w:rFonts w:ascii="Times New Roman" w:hAnsi="Times New Roman" w:cs="Times New Roman"/>
          <w:i/>
          <w:sz w:val="24"/>
          <w:szCs w:val="24"/>
          <w:lang w:val="en-GB"/>
        </w:rPr>
        <w:t>externalist</w:t>
      </w:r>
      <w:r w:rsidRPr="00875EC2">
        <w:rPr>
          <w:rFonts w:ascii="Times New Roman" w:hAnsi="Times New Roman" w:cs="Times New Roman"/>
          <w:sz w:val="24"/>
          <w:szCs w:val="24"/>
          <w:lang w:val="en-GB"/>
        </w:rPr>
        <w:t xml:space="preserve"> intuitions about meaning prompted by Putnam’s and Tyler Burge’s famous thought experiments. In fact, as Diego Marconi remarks in his contribution to this volume, “Reference and Theories of Meaning as Use,”</w:t>
      </w:r>
      <w:r w:rsidR="00C33107" w:rsidRPr="00875EC2">
        <w:rPr>
          <w:rFonts w:ascii="Times New Roman" w:hAnsi="Times New Roman" w:cs="Times New Roman"/>
          <w:sz w:val="24"/>
          <w:szCs w:val="24"/>
          <w:lang w:val="en-GB"/>
        </w:rPr>
        <w:t xml:space="preserve"> a speaker’s dispositions</w:t>
      </w:r>
      <w:r w:rsidRPr="00875EC2">
        <w:rPr>
          <w:rFonts w:ascii="Times New Roman" w:hAnsi="Times New Roman" w:cs="Times New Roman"/>
          <w:sz w:val="24"/>
          <w:szCs w:val="24"/>
          <w:lang w:val="en-GB"/>
        </w:rPr>
        <w:t xml:space="preserve"> </w:t>
      </w:r>
      <w:r w:rsidR="00875EC2" w:rsidRPr="00875EC2">
        <w:rPr>
          <w:rFonts w:ascii="Times New Roman" w:hAnsi="Times New Roman" w:cs="Times New Roman"/>
          <w:sz w:val="24"/>
          <w:szCs w:val="24"/>
          <w:lang w:val="en-GB"/>
        </w:rPr>
        <w:t xml:space="preserve">to use </w:t>
      </w:r>
      <w:r w:rsidRPr="00875EC2">
        <w:rPr>
          <w:rFonts w:ascii="Times New Roman" w:hAnsi="Times New Roman" w:cs="Times New Roman"/>
          <w:sz w:val="24"/>
          <w:szCs w:val="24"/>
          <w:lang w:val="en-GB"/>
        </w:rPr>
        <w:t xml:space="preserve">seem to be based on his or her cognitive resources, but those intuitions suggest that some expressions have different, or even disjoint, extensions (e.g., Earth “water” and Twin-Earth “water”) notwithstanding that the difference is cognitively inaccessible to the speaker. Marconi argues that the problem is more serious than Horwich thinks, and in particular that Horwich’s attempt at reconciling </w:t>
      </w:r>
      <w:r w:rsidR="00C33107" w:rsidRPr="00875EC2">
        <w:rPr>
          <w:rFonts w:ascii="Times New Roman" w:hAnsi="Times New Roman" w:cs="Times New Roman"/>
          <w:sz w:val="24"/>
          <w:szCs w:val="24"/>
          <w:lang w:val="en-GB"/>
        </w:rPr>
        <w:t xml:space="preserve">his theory </w:t>
      </w:r>
      <w:r w:rsidR="004B7AA2" w:rsidRPr="00875EC2">
        <w:rPr>
          <w:rFonts w:ascii="Times New Roman" w:hAnsi="Times New Roman" w:cs="Times New Roman"/>
          <w:sz w:val="24"/>
          <w:szCs w:val="24"/>
          <w:lang w:val="en-GB"/>
        </w:rPr>
        <w:t xml:space="preserve">with </w:t>
      </w:r>
      <w:r w:rsidR="00C33107" w:rsidRPr="00875EC2">
        <w:rPr>
          <w:rFonts w:ascii="Times New Roman" w:hAnsi="Times New Roman" w:cs="Times New Roman"/>
          <w:sz w:val="24"/>
          <w:szCs w:val="24"/>
          <w:lang w:val="en-GB"/>
        </w:rPr>
        <w:t xml:space="preserve">the externalist intuitions </w:t>
      </w:r>
      <w:r w:rsidRPr="00875EC2">
        <w:rPr>
          <w:rFonts w:ascii="Times New Roman" w:hAnsi="Times New Roman" w:cs="Times New Roman"/>
          <w:sz w:val="24"/>
          <w:szCs w:val="24"/>
          <w:lang w:val="en-GB"/>
        </w:rPr>
        <w:t>f</w:t>
      </w:r>
      <w:r w:rsidR="00C42A0C">
        <w:rPr>
          <w:rFonts w:ascii="Times New Roman" w:hAnsi="Times New Roman" w:cs="Times New Roman"/>
          <w:sz w:val="24"/>
          <w:szCs w:val="24"/>
          <w:lang w:val="en-GB"/>
        </w:rPr>
        <w:t>ails. If Marconi is right, then</w:t>
      </w:r>
      <w:r w:rsidRPr="00875EC2">
        <w:rPr>
          <w:rFonts w:ascii="Times New Roman" w:hAnsi="Times New Roman" w:cs="Times New Roman"/>
          <w:sz w:val="24"/>
          <w:szCs w:val="24"/>
          <w:lang w:val="en-GB"/>
        </w:rPr>
        <w:t xml:space="preserve"> “Horwich’s account of meaning in terms of use is incompatible with both the externalist account of semantic deference and with natural externalism </w:t>
      </w:r>
      <w:r w:rsidRPr="00875EC2">
        <w:rPr>
          <w:rFonts w:ascii="Times New Roman" w:hAnsi="Times New Roman" w:cs="Times New Roman"/>
          <w:i/>
          <w:iCs/>
          <w:sz w:val="24"/>
          <w:szCs w:val="24"/>
          <w:lang w:val="en-GB"/>
        </w:rPr>
        <w:t>à la</w:t>
      </w:r>
      <w:r w:rsidRPr="00875EC2">
        <w:rPr>
          <w:rFonts w:ascii="Times New Roman" w:hAnsi="Times New Roman" w:cs="Times New Roman"/>
          <w:sz w:val="24"/>
          <w:szCs w:val="24"/>
          <w:lang w:val="en-GB"/>
        </w:rPr>
        <w:t xml:space="preserve"> Putnam.” However, Marconi does not regard his arguments as </w:t>
      </w:r>
      <w:r w:rsidR="00DB47EB" w:rsidRPr="00875EC2">
        <w:rPr>
          <w:rFonts w:ascii="Times New Roman" w:hAnsi="Times New Roman" w:cs="Times New Roman"/>
          <w:sz w:val="24"/>
          <w:szCs w:val="24"/>
          <w:lang w:val="en-GB"/>
        </w:rPr>
        <w:t xml:space="preserve">refuting </w:t>
      </w:r>
      <w:r w:rsidRPr="00875EC2">
        <w:rPr>
          <w:rFonts w:ascii="Times New Roman" w:hAnsi="Times New Roman" w:cs="Times New Roman"/>
          <w:sz w:val="24"/>
          <w:szCs w:val="24"/>
          <w:lang w:val="en-GB"/>
        </w:rPr>
        <w:t>Horwich’s theory, as he does not take the externalist intuitions as “sacrosanct.” His moral is rather that “there is an irremediable tension between accounts of semantic value based on the notion of use and semantic externalism of both standard varieties [social and natural]: so, one must choose.”</w:t>
      </w:r>
    </w:p>
    <w:p w:rsidR="005549CE" w:rsidRPr="00875EC2" w:rsidRDefault="00C42A0C" w:rsidP="00C0236B">
      <w:pPr>
        <w:spacing w:after="0" w:line="480" w:lineRule="auto"/>
        <w:ind w:firstLine="340"/>
        <w:rPr>
          <w:rFonts w:ascii="Times New Roman" w:hAnsi="Times New Roman" w:cs="Times New Roman"/>
          <w:sz w:val="24"/>
          <w:szCs w:val="24"/>
          <w:lang w:val="en-GB"/>
        </w:rPr>
      </w:pPr>
      <w:r>
        <w:rPr>
          <w:rFonts w:ascii="Times New Roman" w:hAnsi="Times New Roman" w:cs="Times New Roman"/>
          <w:sz w:val="24"/>
          <w:szCs w:val="24"/>
          <w:lang w:val="en-GB"/>
        </w:rPr>
        <w:t>The following chapter</w:t>
      </w:r>
      <w:r w:rsidR="005549CE" w:rsidRPr="00875EC2">
        <w:rPr>
          <w:rFonts w:ascii="Times New Roman" w:hAnsi="Times New Roman" w:cs="Times New Roman"/>
          <w:sz w:val="24"/>
          <w:szCs w:val="24"/>
          <w:lang w:val="en-GB"/>
        </w:rPr>
        <w:t xml:space="preserve"> still deals with intuitions, but this time it is Kripke’s chain of communication picture, together with similar historical accounts of proper name reference, that is cl</w:t>
      </w:r>
      <w:r>
        <w:rPr>
          <w:rFonts w:ascii="Times New Roman" w:hAnsi="Times New Roman" w:cs="Times New Roman"/>
          <w:sz w:val="24"/>
          <w:szCs w:val="24"/>
          <w:lang w:val="en-GB"/>
        </w:rPr>
        <w:t>aimed to be in trouble. In 2004</w:t>
      </w:r>
      <w:r w:rsidR="005549CE" w:rsidRPr="00875EC2">
        <w:rPr>
          <w:rFonts w:ascii="Times New Roman" w:hAnsi="Times New Roman" w:cs="Times New Roman"/>
          <w:sz w:val="24"/>
          <w:szCs w:val="24"/>
          <w:lang w:val="en-GB"/>
        </w:rPr>
        <w:t xml:space="preserve"> Edouard Machery, Ron Mallon, Shaun Nichols</w:t>
      </w:r>
      <w:r>
        <w:rPr>
          <w:rFonts w:ascii="Times New Roman" w:hAnsi="Times New Roman" w:cs="Times New Roman"/>
          <w:sz w:val="24"/>
          <w:szCs w:val="24"/>
          <w:lang w:val="en-GB"/>
        </w:rPr>
        <w:t>,</w:t>
      </w:r>
      <w:r w:rsidR="005549CE" w:rsidRPr="00875EC2">
        <w:rPr>
          <w:rFonts w:ascii="Times New Roman" w:hAnsi="Times New Roman" w:cs="Times New Roman"/>
          <w:sz w:val="24"/>
          <w:szCs w:val="24"/>
          <w:lang w:val="en-GB"/>
        </w:rPr>
        <w:t xml:space="preserve"> and Stephen Stich published a paper where they presented some experimental data suggesting that while most (but, importantly, not all) Americans have Kripkean intuitions about the reference of proper names, a majority of (but, again, not all) Chinese have descriptivist intuitions. This seems to considerably weaken at least one of the arguments that Kripke, as well as Donnellan, advanced against the description theory of proper names, the so-called </w:t>
      </w:r>
      <w:r w:rsidR="005549CE" w:rsidRPr="00875EC2">
        <w:rPr>
          <w:rFonts w:ascii="Times New Roman" w:hAnsi="Times New Roman" w:cs="Times New Roman"/>
          <w:i/>
          <w:iCs/>
          <w:sz w:val="24"/>
          <w:szCs w:val="24"/>
          <w:lang w:val="en-GB"/>
        </w:rPr>
        <w:t>argument from error</w:t>
      </w:r>
      <w:r w:rsidR="005549CE" w:rsidRPr="00875EC2">
        <w:rPr>
          <w:rFonts w:ascii="Times New Roman" w:hAnsi="Times New Roman" w:cs="Times New Roman"/>
          <w:sz w:val="24"/>
          <w:szCs w:val="24"/>
          <w:lang w:val="en-GB"/>
        </w:rPr>
        <w:t xml:space="preserve"> (</w:t>
      </w:r>
      <w:r w:rsidR="006E24D4" w:rsidRPr="00875EC2">
        <w:rPr>
          <w:rFonts w:ascii="Times New Roman" w:hAnsi="Times New Roman" w:cs="Times New Roman"/>
          <w:sz w:val="24"/>
          <w:szCs w:val="24"/>
          <w:lang w:val="en-GB"/>
        </w:rPr>
        <w:t xml:space="preserve">in fact, </w:t>
      </w:r>
      <w:r w:rsidR="005549CE" w:rsidRPr="00875EC2">
        <w:rPr>
          <w:rFonts w:ascii="Times New Roman" w:hAnsi="Times New Roman" w:cs="Times New Roman"/>
          <w:sz w:val="24"/>
          <w:szCs w:val="24"/>
          <w:lang w:val="en-GB"/>
        </w:rPr>
        <w:t>the intuitions elicited in the experiments concerned the G</w:t>
      </w:r>
      <w:r w:rsidR="005549CE" w:rsidRPr="00875EC2">
        <w:rPr>
          <w:rFonts w:ascii="Times New Roman" w:hAnsi="Times New Roman" w:cs="Times New Roman"/>
          <w:sz w:val="24"/>
          <w:szCs w:val="24"/>
        </w:rPr>
        <w:t>ödel/Schmidt example Kripke used to formulate it)</w:t>
      </w:r>
      <w:r w:rsidR="005549CE" w:rsidRPr="00875EC2">
        <w:rPr>
          <w:rFonts w:ascii="Times New Roman" w:hAnsi="Times New Roman" w:cs="Times New Roman"/>
          <w:sz w:val="24"/>
          <w:szCs w:val="24"/>
          <w:lang w:val="en-GB"/>
        </w:rPr>
        <w:t>. More generally, this appears to show that the case for Kripke</w:t>
      </w:r>
      <w:r w:rsidR="004E4D1B" w:rsidRPr="00875EC2">
        <w:rPr>
          <w:rFonts w:ascii="Times New Roman" w:hAnsi="Times New Roman" w:cs="Times New Roman"/>
          <w:sz w:val="24"/>
          <w:szCs w:val="24"/>
          <w:lang w:val="en-GB"/>
        </w:rPr>
        <w:t>’s picture is not as</w:t>
      </w:r>
      <w:r w:rsidR="005549CE" w:rsidRPr="00875EC2">
        <w:rPr>
          <w:rFonts w:ascii="Times New Roman" w:hAnsi="Times New Roman" w:cs="Times New Roman"/>
          <w:sz w:val="24"/>
          <w:szCs w:val="24"/>
          <w:lang w:val="en-GB"/>
        </w:rPr>
        <w:t xml:space="preserve"> strong </w:t>
      </w:r>
      <w:r w:rsidR="004E4D1B" w:rsidRPr="00875EC2">
        <w:rPr>
          <w:rFonts w:ascii="Times New Roman" w:hAnsi="Times New Roman" w:cs="Times New Roman"/>
          <w:sz w:val="24"/>
          <w:szCs w:val="24"/>
          <w:lang w:val="en-GB"/>
        </w:rPr>
        <w:t>as</w:t>
      </w:r>
      <w:r w:rsidR="005549CE" w:rsidRPr="00875EC2">
        <w:rPr>
          <w:rFonts w:ascii="Times New Roman" w:hAnsi="Times New Roman" w:cs="Times New Roman"/>
          <w:sz w:val="24"/>
          <w:szCs w:val="24"/>
          <w:lang w:val="en-GB"/>
        </w:rPr>
        <w:t xml:space="preserve"> is usually supposed, at least insofar as it is taken to rest on people’s i</w:t>
      </w:r>
      <w:r w:rsidR="004E4D1B" w:rsidRPr="00875EC2">
        <w:rPr>
          <w:rFonts w:ascii="Times New Roman" w:hAnsi="Times New Roman" w:cs="Times New Roman"/>
          <w:sz w:val="24"/>
          <w:szCs w:val="24"/>
          <w:lang w:val="en-GB"/>
        </w:rPr>
        <w:t>ntuitions regarding reference. For this and other reasons, t</w:t>
      </w:r>
      <w:r w:rsidR="00DB47EB" w:rsidRPr="00875EC2">
        <w:rPr>
          <w:rFonts w:ascii="Times New Roman" w:hAnsi="Times New Roman" w:cs="Times New Roman"/>
          <w:sz w:val="24"/>
          <w:szCs w:val="24"/>
          <w:lang w:val="en-GB"/>
        </w:rPr>
        <w:t>he paper provoked a widespread and heated debate (also touching</w:t>
      </w:r>
      <w:r w:rsidR="005549CE" w:rsidRPr="00875EC2">
        <w:rPr>
          <w:rFonts w:ascii="Times New Roman" w:hAnsi="Times New Roman" w:cs="Times New Roman"/>
          <w:sz w:val="24"/>
          <w:szCs w:val="24"/>
          <w:lang w:val="en-GB"/>
        </w:rPr>
        <w:t xml:space="preserve"> on important methodological issues such as that concerning the role of intuitions in assessing semantic claims). Perhaps the criticism most commonly raised against it is that the vignettes used to elicit intuitions from the American and Chinese participants to the experiments </w:t>
      </w:r>
      <w:r w:rsidR="00105507" w:rsidRPr="00875EC2">
        <w:rPr>
          <w:rFonts w:ascii="Times New Roman" w:hAnsi="Times New Roman" w:cs="Times New Roman"/>
          <w:sz w:val="24"/>
          <w:szCs w:val="24"/>
          <w:lang w:val="en-GB"/>
        </w:rPr>
        <w:t>asked questions that were</w:t>
      </w:r>
      <w:r w:rsidR="005549CE" w:rsidRPr="00875EC2">
        <w:rPr>
          <w:rFonts w:ascii="Times New Roman" w:hAnsi="Times New Roman" w:cs="Times New Roman"/>
          <w:sz w:val="24"/>
          <w:szCs w:val="24"/>
          <w:lang w:val="en-GB"/>
        </w:rPr>
        <w:t xml:space="preserve"> ambiguous with regard to Kripke’s distinction between </w:t>
      </w:r>
      <w:r w:rsidR="005549CE" w:rsidRPr="00875EC2">
        <w:rPr>
          <w:rFonts w:ascii="Times New Roman" w:hAnsi="Times New Roman" w:cs="Times New Roman"/>
          <w:i/>
          <w:iCs/>
          <w:sz w:val="24"/>
          <w:szCs w:val="24"/>
          <w:lang w:val="en-GB"/>
        </w:rPr>
        <w:t>speaker’s reference</w:t>
      </w:r>
      <w:r w:rsidR="005549CE" w:rsidRPr="00875EC2">
        <w:rPr>
          <w:rFonts w:ascii="Times New Roman" w:hAnsi="Times New Roman" w:cs="Times New Roman"/>
          <w:sz w:val="24"/>
          <w:szCs w:val="24"/>
          <w:lang w:val="en-GB"/>
        </w:rPr>
        <w:t xml:space="preserve"> and </w:t>
      </w:r>
      <w:r w:rsidR="005549CE" w:rsidRPr="00875EC2">
        <w:rPr>
          <w:rFonts w:ascii="Times New Roman" w:hAnsi="Times New Roman" w:cs="Times New Roman"/>
          <w:i/>
          <w:iCs/>
          <w:sz w:val="24"/>
          <w:szCs w:val="24"/>
          <w:lang w:val="en-GB"/>
        </w:rPr>
        <w:t>semantic reference</w:t>
      </w:r>
      <w:r w:rsidR="005549CE" w:rsidRPr="00875EC2">
        <w:rPr>
          <w:rFonts w:ascii="Times New Roman" w:hAnsi="Times New Roman" w:cs="Times New Roman"/>
          <w:sz w:val="24"/>
          <w:szCs w:val="24"/>
          <w:lang w:val="en-GB"/>
        </w:rPr>
        <w:t xml:space="preserve">. But, if they are taken by the participants as concerning speaker’s reference, obviously the answers given </w:t>
      </w:r>
      <w:r w:rsidR="004E4D1B" w:rsidRPr="00875EC2">
        <w:rPr>
          <w:rFonts w:ascii="Times New Roman" w:hAnsi="Times New Roman" w:cs="Times New Roman"/>
          <w:sz w:val="24"/>
          <w:szCs w:val="24"/>
          <w:lang w:val="en-GB"/>
        </w:rPr>
        <w:t xml:space="preserve">by them </w:t>
      </w:r>
      <w:r w:rsidR="005549CE" w:rsidRPr="00875EC2">
        <w:rPr>
          <w:rFonts w:ascii="Times New Roman" w:hAnsi="Times New Roman" w:cs="Times New Roman"/>
          <w:sz w:val="24"/>
          <w:szCs w:val="24"/>
          <w:lang w:val="en-GB"/>
        </w:rPr>
        <w:t>cannot be used as data against an account of semantic reference such as Kripke’s chain of communication picture. Machery’s, Justin Sytsma’s</w:t>
      </w:r>
      <w:r w:rsidR="00D63BD5">
        <w:rPr>
          <w:rFonts w:ascii="Times New Roman" w:hAnsi="Times New Roman" w:cs="Times New Roman"/>
          <w:sz w:val="24"/>
          <w:szCs w:val="24"/>
          <w:lang w:val="en-GB"/>
        </w:rPr>
        <w:t>,</w:t>
      </w:r>
      <w:r w:rsidR="005549CE" w:rsidRPr="00875EC2">
        <w:rPr>
          <w:rFonts w:ascii="Times New Roman" w:hAnsi="Times New Roman" w:cs="Times New Roman"/>
          <w:sz w:val="24"/>
          <w:szCs w:val="24"/>
          <w:lang w:val="en-GB"/>
        </w:rPr>
        <w:t xml:space="preserve"> and Max Deutsch’s contribution to this volume, “Speaker’s Reference and Cross-Cultural Semantics,” is meant to rebut this criticism. It presents some new experimental studies concerning the G</w:t>
      </w:r>
      <w:r w:rsidR="005549CE" w:rsidRPr="00875EC2">
        <w:rPr>
          <w:rFonts w:ascii="Times New Roman" w:hAnsi="Times New Roman" w:cs="Times New Roman"/>
          <w:sz w:val="24"/>
          <w:szCs w:val="24"/>
        </w:rPr>
        <w:t>ödel case</w:t>
      </w:r>
      <w:r w:rsidR="005549CE" w:rsidRPr="00875EC2">
        <w:rPr>
          <w:rFonts w:ascii="Times New Roman" w:hAnsi="Times New Roman" w:cs="Times New Roman"/>
          <w:sz w:val="24"/>
          <w:szCs w:val="24"/>
          <w:lang w:val="en-GB"/>
        </w:rPr>
        <w:t xml:space="preserve">, where two different strategies are employed to forestall eliciting intuitions about speaker’s reference rather than semantic reference. The results are very similar to those of the experiments </w:t>
      </w:r>
      <w:r w:rsidR="00105507" w:rsidRPr="00875EC2">
        <w:rPr>
          <w:rFonts w:ascii="Times New Roman" w:hAnsi="Times New Roman" w:cs="Times New Roman"/>
          <w:sz w:val="24"/>
          <w:szCs w:val="24"/>
          <w:lang w:val="en-GB"/>
        </w:rPr>
        <w:t xml:space="preserve">discussed </w:t>
      </w:r>
      <w:r w:rsidR="005549CE" w:rsidRPr="00875EC2">
        <w:rPr>
          <w:rFonts w:ascii="Times New Roman" w:hAnsi="Times New Roman" w:cs="Times New Roman"/>
          <w:sz w:val="24"/>
          <w:szCs w:val="24"/>
          <w:lang w:val="en-GB"/>
        </w:rPr>
        <w:t>by Machery, Mallon, Nichols</w:t>
      </w:r>
      <w:r w:rsidR="00D63BD5">
        <w:rPr>
          <w:rFonts w:ascii="Times New Roman" w:hAnsi="Times New Roman" w:cs="Times New Roman"/>
          <w:sz w:val="24"/>
          <w:szCs w:val="24"/>
          <w:lang w:val="en-GB"/>
        </w:rPr>
        <w:t>,</w:t>
      </w:r>
      <w:r w:rsidR="005549CE" w:rsidRPr="00875EC2">
        <w:rPr>
          <w:rFonts w:ascii="Times New Roman" w:hAnsi="Times New Roman" w:cs="Times New Roman"/>
          <w:sz w:val="24"/>
          <w:szCs w:val="24"/>
          <w:lang w:val="en-GB"/>
        </w:rPr>
        <w:t xml:space="preserve"> and Stich in the 2004 paper: “</w:t>
      </w:r>
      <w:r w:rsidR="005549CE" w:rsidRPr="00875EC2">
        <w:rPr>
          <w:rFonts w:ascii="Times New Roman" w:hAnsi="Times New Roman" w:cs="Times New Roman"/>
          <w:sz w:val="24"/>
          <w:szCs w:val="24"/>
        </w:rPr>
        <w:t>while most Americans have the anti-descriptivist intuitions that Kripke professes to have, a majority of Chinese have intuitions about the reference of proper names that are consistent with descriptivism.” This time, however, no one can object that these intuitions are about speaker’s reference. Thus, Machery, Sytsma</w:t>
      </w:r>
      <w:r w:rsidR="00D63BD5">
        <w:rPr>
          <w:rFonts w:ascii="Times New Roman" w:hAnsi="Times New Roman" w:cs="Times New Roman"/>
          <w:sz w:val="24"/>
          <w:szCs w:val="24"/>
        </w:rPr>
        <w:t>,</w:t>
      </w:r>
      <w:r w:rsidR="005549CE" w:rsidRPr="00875EC2">
        <w:rPr>
          <w:rFonts w:ascii="Times New Roman" w:hAnsi="Times New Roman" w:cs="Times New Roman"/>
          <w:sz w:val="24"/>
          <w:szCs w:val="24"/>
        </w:rPr>
        <w:t xml:space="preserve"> and Deutsch feel </w:t>
      </w:r>
      <w:r w:rsidR="00DB47EB" w:rsidRPr="00875EC2">
        <w:rPr>
          <w:rFonts w:ascii="Times New Roman" w:hAnsi="Times New Roman" w:cs="Times New Roman"/>
          <w:sz w:val="24"/>
          <w:szCs w:val="24"/>
        </w:rPr>
        <w:t xml:space="preserve">justified in concluding </w:t>
      </w:r>
      <w:r w:rsidR="005549CE" w:rsidRPr="00875EC2">
        <w:rPr>
          <w:rFonts w:ascii="Times New Roman" w:hAnsi="Times New Roman" w:cs="Times New Roman"/>
          <w:sz w:val="24"/>
          <w:szCs w:val="24"/>
        </w:rPr>
        <w:t>that their findings “provide strong evidence that genuine intuitions about semantic reference vary both across and within cultures.”</w:t>
      </w:r>
      <w:r w:rsidR="005549CE" w:rsidRPr="00875EC2">
        <w:rPr>
          <w:rFonts w:ascii="Times New Roman" w:hAnsi="Times New Roman" w:cs="Times New Roman"/>
          <w:sz w:val="24"/>
          <w:szCs w:val="24"/>
          <w:lang w:val="en-GB"/>
        </w:rPr>
        <w:t xml:space="preserve"> </w:t>
      </w:r>
    </w:p>
    <w:p w:rsidR="00B40210" w:rsidRPr="00875EC2" w:rsidRDefault="00D63BD5" w:rsidP="00F9461A">
      <w:pPr>
        <w:spacing w:after="0" w:line="480" w:lineRule="auto"/>
        <w:ind w:firstLine="340"/>
        <w:rPr>
          <w:rFonts w:ascii="Times New Roman" w:hAnsi="Times New Roman" w:cs="Times New Roman"/>
          <w:sz w:val="24"/>
          <w:szCs w:val="24"/>
          <w:lang w:val="en-GB"/>
        </w:rPr>
      </w:pPr>
      <w:r>
        <w:rPr>
          <w:rFonts w:ascii="Times New Roman" w:hAnsi="Times New Roman" w:cs="Times New Roman"/>
          <w:sz w:val="24"/>
          <w:szCs w:val="24"/>
          <w:lang w:val="en-GB"/>
        </w:rPr>
        <w:t>The last three chapter</w:t>
      </w:r>
      <w:r w:rsidR="005549CE" w:rsidRPr="00875EC2">
        <w:rPr>
          <w:rFonts w:ascii="Times New Roman" w:hAnsi="Times New Roman" w:cs="Times New Roman"/>
          <w:sz w:val="24"/>
          <w:szCs w:val="24"/>
          <w:lang w:val="en-GB"/>
        </w:rPr>
        <w:t xml:space="preserve">s in the first part of the volume address </w:t>
      </w:r>
      <w:r w:rsidR="00736B73" w:rsidRPr="00875EC2">
        <w:rPr>
          <w:rFonts w:ascii="Times New Roman" w:hAnsi="Times New Roman" w:cs="Times New Roman"/>
          <w:sz w:val="24"/>
          <w:szCs w:val="24"/>
          <w:lang w:val="en-GB"/>
        </w:rPr>
        <w:t xml:space="preserve">more directly </w:t>
      </w:r>
      <w:r w:rsidR="005549CE" w:rsidRPr="00875EC2">
        <w:rPr>
          <w:rFonts w:ascii="Times New Roman" w:hAnsi="Times New Roman" w:cs="Times New Roman"/>
          <w:sz w:val="24"/>
          <w:szCs w:val="24"/>
          <w:lang w:val="en-GB"/>
        </w:rPr>
        <w:t>the issue of the nature of reference, with a special fo</w:t>
      </w:r>
      <w:r w:rsidR="00736B73" w:rsidRPr="00875EC2">
        <w:rPr>
          <w:rFonts w:ascii="Times New Roman" w:hAnsi="Times New Roman" w:cs="Times New Roman"/>
          <w:sz w:val="24"/>
          <w:szCs w:val="24"/>
          <w:lang w:val="en-GB"/>
        </w:rPr>
        <w:t>cus on the case of proper names</w:t>
      </w:r>
      <w:r w:rsidR="005549CE" w:rsidRPr="00875EC2">
        <w:rPr>
          <w:rFonts w:ascii="Times New Roman" w:hAnsi="Times New Roman" w:cs="Times New Roman"/>
          <w:sz w:val="24"/>
          <w:szCs w:val="24"/>
          <w:lang w:val="en-GB"/>
        </w:rPr>
        <w:t xml:space="preserve">. All three take Kripke’s chain of communication picture as their starting point. </w:t>
      </w:r>
      <w:r w:rsidR="00B21E77" w:rsidRPr="00875EC2">
        <w:rPr>
          <w:rFonts w:ascii="Times New Roman" w:hAnsi="Times New Roman" w:cs="Times New Roman"/>
          <w:sz w:val="24"/>
          <w:szCs w:val="24"/>
          <w:lang w:val="en-GB"/>
        </w:rPr>
        <w:t>In her contribution</w:t>
      </w:r>
      <w:r>
        <w:rPr>
          <w:rFonts w:ascii="Times New Roman" w:hAnsi="Times New Roman" w:cs="Times New Roman"/>
          <w:sz w:val="24"/>
          <w:szCs w:val="24"/>
          <w:lang w:val="en-GB"/>
        </w:rPr>
        <w:t>, “Reference w</w:t>
      </w:r>
      <w:r w:rsidR="0045540A" w:rsidRPr="00875EC2">
        <w:rPr>
          <w:rFonts w:ascii="Times New Roman" w:hAnsi="Times New Roman" w:cs="Times New Roman"/>
          <w:sz w:val="24"/>
          <w:szCs w:val="24"/>
          <w:lang w:val="en-GB"/>
        </w:rPr>
        <w:t>ithout Cognition,”</w:t>
      </w:r>
      <w:r w:rsidR="00B21E77" w:rsidRPr="00875EC2">
        <w:rPr>
          <w:rFonts w:ascii="Times New Roman" w:hAnsi="Times New Roman" w:cs="Times New Roman"/>
          <w:sz w:val="24"/>
          <w:szCs w:val="24"/>
          <w:lang w:val="en-GB"/>
        </w:rPr>
        <w:t xml:space="preserve"> Genoveva Martí </w:t>
      </w:r>
      <w:r w:rsidR="00323BB1" w:rsidRPr="00875EC2">
        <w:rPr>
          <w:rFonts w:ascii="Times New Roman" w:hAnsi="Times New Roman" w:cs="Times New Roman"/>
          <w:sz w:val="24"/>
          <w:szCs w:val="24"/>
          <w:lang w:val="en-GB"/>
        </w:rPr>
        <w:t>argues against a new</w:t>
      </w:r>
      <w:r w:rsidR="00226FA3" w:rsidRPr="00875EC2">
        <w:rPr>
          <w:rFonts w:ascii="Times New Roman" w:hAnsi="Times New Roman" w:cs="Times New Roman"/>
          <w:sz w:val="24"/>
          <w:szCs w:val="24"/>
          <w:lang w:val="en-GB"/>
        </w:rPr>
        <w:t xml:space="preserve"> trend in foundational semantics. According to </w:t>
      </w:r>
      <w:r w:rsidR="004F260A" w:rsidRPr="00875EC2">
        <w:rPr>
          <w:rFonts w:ascii="Times New Roman" w:hAnsi="Times New Roman" w:cs="Times New Roman"/>
          <w:sz w:val="24"/>
          <w:szCs w:val="24"/>
          <w:lang w:val="en-GB"/>
        </w:rPr>
        <w:t>Martí, one of the two ideas at the heart of the semantic revolution in the late 1960s and early 1970s is that referring does not require what Howard Wettstein has called “a cognitive fix”: “[w]e do not need special cognitive access to things to refer to them.” In fact, “referring with uses of proper names depends on factors that are out of the cog</w:t>
      </w:r>
      <w:r w:rsidR="005A6CAB" w:rsidRPr="00875EC2">
        <w:rPr>
          <w:rFonts w:ascii="Times New Roman" w:hAnsi="Times New Roman" w:cs="Times New Roman"/>
          <w:sz w:val="24"/>
          <w:szCs w:val="24"/>
          <w:lang w:val="en-GB"/>
        </w:rPr>
        <w:t>nitive sphere of the speaker.” More specifically, a</w:t>
      </w:r>
      <w:r w:rsidR="004F260A" w:rsidRPr="00875EC2">
        <w:rPr>
          <w:rFonts w:ascii="Times New Roman" w:hAnsi="Times New Roman" w:cs="Times New Roman"/>
          <w:sz w:val="24"/>
          <w:szCs w:val="24"/>
          <w:lang w:val="en-GB"/>
        </w:rPr>
        <w:t>s Kripke’s chain of communication picture tells us, “</w:t>
      </w:r>
      <w:r w:rsidR="00323BB1" w:rsidRPr="00875EC2">
        <w:rPr>
          <w:rFonts w:ascii="Times New Roman" w:hAnsi="Times New Roman" w:cs="Times New Roman"/>
          <w:sz w:val="24"/>
          <w:szCs w:val="24"/>
        </w:rPr>
        <w:t xml:space="preserve">speakers refer because they are part of a chain of communication that connects their use of a name to previous uses all the way back to the introduction of the name and the referent,” and “[i]t is the fact that speakers are part of the chain, that their use is </w:t>
      </w:r>
      <w:r w:rsidR="00323BB1" w:rsidRPr="00875EC2">
        <w:rPr>
          <w:rFonts w:ascii="Times New Roman" w:hAnsi="Times New Roman" w:cs="Times New Roman"/>
          <w:i/>
          <w:iCs/>
          <w:sz w:val="24"/>
          <w:szCs w:val="24"/>
        </w:rPr>
        <w:t>de facto</w:t>
      </w:r>
      <w:r w:rsidR="00323BB1" w:rsidRPr="00875EC2">
        <w:rPr>
          <w:rFonts w:ascii="Times New Roman" w:hAnsi="Times New Roman" w:cs="Times New Roman"/>
          <w:sz w:val="24"/>
          <w:szCs w:val="24"/>
        </w:rPr>
        <w:t xml:space="preserve"> connected to previous uses, and not what is in their minds that makes their use of a name designate its referent</w:t>
      </w:r>
      <w:r w:rsidR="0045540A" w:rsidRPr="00875EC2">
        <w:rPr>
          <w:rFonts w:ascii="Times New Roman" w:hAnsi="Times New Roman" w:cs="Times New Roman"/>
          <w:sz w:val="24"/>
          <w:szCs w:val="24"/>
        </w:rPr>
        <w:t>.”</w:t>
      </w:r>
      <w:r w:rsidR="003078D7" w:rsidRPr="00875EC2">
        <w:rPr>
          <w:rFonts w:ascii="Times New Roman" w:hAnsi="Times New Roman" w:cs="Times New Roman"/>
          <w:sz w:val="24"/>
          <w:szCs w:val="24"/>
        </w:rPr>
        <w:t xml:space="preserve"> All this notwithstanding</w:t>
      </w:r>
      <w:r w:rsidR="00323BB1" w:rsidRPr="00875EC2">
        <w:rPr>
          <w:rFonts w:ascii="Times New Roman" w:hAnsi="Times New Roman" w:cs="Times New Roman"/>
          <w:sz w:val="24"/>
          <w:szCs w:val="24"/>
        </w:rPr>
        <w:t xml:space="preserve">, </w:t>
      </w:r>
      <w:r w:rsidR="00323BB1" w:rsidRPr="00875EC2">
        <w:rPr>
          <w:rFonts w:ascii="Times New Roman" w:hAnsi="Times New Roman" w:cs="Times New Roman"/>
          <w:sz w:val="24"/>
          <w:szCs w:val="24"/>
          <w:lang w:val="en-GB"/>
        </w:rPr>
        <w:t>Martí notes,</w:t>
      </w:r>
      <w:r w:rsidR="00323BB1" w:rsidRPr="00875EC2">
        <w:rPr>
          <w:rFonts w:ascii="Times New Roman" w:hAnsi="Times New Roman" w:cs="Times New Roman"/>
          <w:sz w:val="24"/>
          <w:szCs w:val="24"/>
        </w:rPr>
        <w:t xml:space="preserve"> “</w:t>
      </w:r>
      <w:r w:rsidR="00323BB1" w:rsidRPr="00875EC2">
        <w:rPr>
          <w:rFonts w:ascii="Times New Roman" w:eastAsia="Cambria" w:hAnsi="Times New Roman" w:cs="Times New Roman"/>
          <w:sz w:val="24"/>
          <w:szCs w:val="24"/>
        </w:rPr>
        <w:t xml:space="preserve">there has been, as of recent, a reconsideration of accounts of reference that ground reference in cognition.” Indeed, </w:t>
      </w:r>
      <w:r w:rsidR="006D4A61" w:rsidRPr="00875EC2">
        <w:rPr>
          <w:rFonts w:ascii="Times New Roman" w:eastAsia="Cambria" w:hAnsi="Times New Roman" w:cs="Times New Roman"/>
          <w:sz w:val="24"/>
          <w:szCs w:val="24"/>
        </w:rPr>
        <w:t xml:space="preserve">in the last </w:t>
      </w:r>
      <w:r w:rsidR="00DB47EB" w:rsidRPr="00875EC2">
        <w:rPr>
          <w:rFonts w:ascii="Times New Roman" w:eastAsia="Cambria" w:hAnsi="Times New Roman" w:cs="Times New Roman"/>
          <w:sz w:val="24"/>
          <w:szCs w:val="24"/>
        </w:rPr>
        <w:t xml:space="preserve">few </w:t>
      </w:r>
      <w:r w:rsidR="006D4A61" w:rsidRPr="00875EC2">
        <w:rPr>
          <w:rFonts w:ascii="Times New Roman" w:eastAsia="Cambria" w:hAnsi="Times New Roman" w:cs="Times New Roman"/>
          <w:sz w:val="24"/>
          <w:szCs w:val="24"/>
        </w:rPr>
        <w:t>years some direct referentialists (most notably, Kaplan and Joseph Almog), inspired by Donnellan’s classic account of referential uses of definite descriptions</w:t>
      </w:r>
      <w:r w:rsidR="005A6CAB" w:rsidRPr="00875EC2">
        <w:rPr>
          <w:rFonts w:ascii="Times New Roman" w:eastAsia="Cambria" w:hAnsi="Times New Roman" w:cs="Times New Roman"/>
          <w:sz w:val="24"/>
          <w:szCs w:val="24"/>
        </w:rPr>
        <w:t>,</w:t>
      </w:r>
      <w:r w:rsidR="006D4A61" w:rsidRPr="00875EC2">
        <w:rPr>
          <w:rFonts w:ascii="Times New Roman" w:eastAsia="Cambria" w:hAnsi="Times New Roman" w:cs="Times New Roman"/>
          <w:sz w:val="24"/>
          <w:szCs w:val="24"/>
        </w:rPr>
        <w:t xml:space="preserve"> have defended the idea that “referring with the use of a name is parasitic on having in mind.”</w:t>
      </w:r>
      <w:r w:rsidR="00B872D1" w:rsidRPr="00875EC2">
        <w:rPr>
          <w:rFonts w:ascii="Times New Roman" w:eastAsia="Cambria" w:hAnsi="Times New Roman" w:cs="Times New Roman"/>
          <w:sz w:val="24"/>
          <w:szCs w:val="24"/>
        </w:rPr>
        <w:t xml:space="preserve"> </w:t>
      </w:r>
      <w:r w:rsidR="00B872D1" w:rsidRPr="00875EC2">
        <w:rPr>
          <w:rFonts w:ascii="Times New Roman" w:hAnsi="Times New Roman" w:cs="Times New Roman"/>
          <w:sz w:val="24"/>
          <w:szCs w:val="24"/>
          <w:lang w:val="en-GB"/>
        </w:rPr>
        <w:t>According to Martí, this move “is contrary to the lessons that inspire direct</w:t>
      </w:r>
      <w:r>
        <w:rPr>
          <w:rFonts w:ascii="Times New Roman" w:hAnsi="Times New Roman" w:cs="Times New Roman"/>
          <w:sz w:val="24"/>
          <w:szCs w:val="24"/>
          <w:lang w:val="en-GB"/>
        </w:rPr>
        <w:t xml:space="preserve"> reference theory.” In her chapter</w:t>
      </w:r>
      <w:r w:rsidR="00B872D1" w:rsidRPr="00875EC2">
        <w:rPr>
          <w:rFonts w:ascii="Times New Roman" w:hAnsi="Times New Roman" w:cs="Times New Roman"/>
          <w:sz w:val="24"/>
          <w:szCs w:val="24"/>
          <w:lang w:val="en-GB"/>
        </w:rPr>
        <w:t>, she explores “some aspects of naming and name usage” that “</w:t>
      </w:r>
      <w:r w:rsidR="00B872D1" w:rsidRPr="00875EC2">
        <w:rPr>
          <w:rFonts w:ascii="Times New Roman" w:hAnsi="Times New Roman" w:cs="Times New Roman"/>
          <w:sz w:val="24"/>
          <w:szCs w:val="24"/>
        </w:rPr>
        <w:t>highlight that havings in mind do not play the determinant role that neo-cognition advocates afford them.”</w:t>
      </w:r>
      <w:r w:rsidR="00B872D1" w:rsidRPr="00875EC2">
        <w:rPr>
          <w:rFonts w:ascii="Times New Roman" w:hAnsi="Times New Roman" w:cs="Times New Roman"/>
          <w:sz w:val="24"/>
          <w:szCs w:val="24"/>
          <w:lang w:val="en-GB"/>
        </w:rPr>
        <w:t xml:space="preserve"> In fact</w:t>
      </w:r>
      <w:r w:rsidR="00AE5AE5" w:rsidRPr="00875EC2">
        <w:rPr>
          <w:rFonts w:ascii="Times New Roman" w:hAnsi="Times New Roman" w:cs="Times New Roman"/>
          <w:sz w:val="24"/>
          <w:szCs w:val="24"/>
          <w:lang w:val="en-GB"/>
        </w:rPr>
        <w:t>, “[l]anguage has its rules,”</w:t>
      </w:r>
      <w:r w:rsidR="009A0EC5" w:rsidRPr="00875EC2">
        <w:rPr>
          <w:rFonts w:ascii="Times New Roman" w:hAnsi="Times New Roman" w:cs="Times New Roman"/>
          <w:sz w:val="24"/>
          <w:szCs w:val="24"/>
          <w:lang w:val="en-GB"/>
        </w:rPr>
        <w:t xml:space="preserve"> and “</w:t>
      </w:r>
      <w:r w:rsidR="00D869EA">
        <w:rPr>
          <w:rFonts w:ascii="Times New Roman" w:hAnsi="Times New Roman" w:cs="Times New Roman"/>
          <w:sz w:val="24"/>
          <w:szCs w:val="24"/>
          <w:lang w:val="en-GB"/>
        </w:rPr>
        <w:t>[</w:t>
      </w:r>
      <w:r w:rsidR="009A0EC5" w:rsidRPr="00875EC2">
        <w:rPr>
          <w:rFonts w:ascii="Times New Roman" w:hAnsi="Times New Roman" w:cs="Times New Roman"/>
          <w:sz w:val="24"/>
          <w:szCs w:val="24"/>
          <w:lang w:val="en-GB"/>
        </w:rPr>
        <w:t>u</w:t>
      </w:r>
      <w:r w:rsidR="00D869EA">
        <w:rPr>
          <w:rFonts w:ascii="Times New Roman" w:hAnsi="Times New Roman" w:cs="Times New Roman"/>
          <w:sz w:val="24"/>
          <w:szCs w:val="24"/>
          <w:lang w:val="en-GB"/>
        </w:rPr>
        <w:t>]</w:t>
      </w:r>
      <w:r w:rsidR="009A0EC5" w:rsidRPr="00875EC2">
        <w:rPr>
          <w:rFonts w:ascii="Times New Roman" w:hAnsi="Times New Roman" w:cs="Times New Roman"/>
          <w:sz w:val="24"/>
          <w:szCs w:val="24"/>
          <w:lang w:val="en-GB"/>
        </w:rPr>
        <w:t>sing a name requires being part of a practice, and bestowing a name consists in succeeding in launching a practice</w:t>
      </w:r>
      <w:r w:rsidR="0045540A" w:rsidRPr="00875EC2">
        <w:rPr>
          <w:rFonts w:ascii="Times New Roman" w:hAnsi="Times New Roman" w:cs="Times New Roman"/>
          <w:sz w:val="24"/>
          <w:szCs w:val="24"/>
          <w:lang w:val="en-GB"/>
        </w:rPr>
        <w:t>,”</w:t>
      </w:r>
      <w:r w:rsidR="005A6CAB" w:rsidRPr="00875EC2">
        <w:rPr>
          <w:rFonts w:ascii="Times New Roman" w:hAnsi="Times New Roman" w:cs="Times New Roman"/>
          <w:sz w:val="24"/>
          <w:szCs w:val="24"/>
          <w:lang w:val="en-GB"/>
        </w:rPr>
        <w:t xml:space="preserve"> since</w:t>
      </w:r>
      <w:r w:rsidR="009A0EC5" w:rsidRPr="00875EC2">
        <w:rPr>
          <w:rFonts w:ascii="Times New Roman" w:hAnsi="Times New Roman" w:cs="Times New Roman"/>
          <w:sz w:val="24"/>
          <w:szCs w:val="24"/>
          <w:lang w:val="en-GB"/>
        </w:rPr>
        <w:t>, “for a sound to be the name of something, there has to be a pattern of repeated, systematic use.”</w:t>
      </w:r>
      <w:r w:rsidR="00B90CC9" w:rsidRPr="00875EC2">
        <w:rPr>
          <w:rFonts w:ascii="Times New Roman" w:hAnsi="Times New Roman" w:cs="Times New Roman"/>
          <w:sz w:val="24"/>
          <w:szCs w:val="24"/>
          <w:lang w:val="en-GB"/>
        </w:rPr>
        <w:t xml:space="preserve"> As for reference, “</w:t>
      </w:r>
      <w:r w:rsidR="00B40210" w:rsidRPr="00875EC2">
        <w:rPr>
          <w:rFonts w:ascii="Times New Roman" w:hAnsi="Times New Roman" w:cs="Times New Roman"/>
          <w:sz w:val="24"/>
          <w:szCs w:val="24"/>
        </w:rPr>
        <w:t>the job of explaining that [speakers] refer, and what they refer to, is done simply by the fact that they rely on and conform to a practice.” Hence,</w:t>
      </w:r>
      <w:r w:rsidR="00B40210" w:rsidRPr="00875EC2">
        <w:rPr>
          <w:rFonts w:ascii="Times New Roman" w:hAnsi="Times New Roman" w:cs="Times New Roman"/>
          <w:sz w:val="24"/>
          <w:szCs w:val="24"/>
          <w:lang w:val="en-GB"/>
        </w:rPr>
        <w:t xml:space="preserve"> “</w:t>
      </w:r>
      <w:r w:rsidR="00B40210" w:rsidRPr="00875EC2">
        <w:rPr>
          <w:rFonts w:ascii="Times New Roman" w:hAnsi="Times New Roman" w:cs="Times New Roman"/>
          <w:sz w:val="24"/>
          <w:szCs w:val="24"/>
        </w:rPr>
        <w:t>[h]aving the referent in mind is neither necessary nor sufficient for a use of a name to refer to it</w:t>
      </w:r>
      <w:r w:rsidR="00B40210" w:rsidRPr="00875EC2">
        <w:rPr>
          <w:rFonts w:ascii="Times New Roman" w:hAnsi="Times New Roman" w:cs="Times New Roman"/>
          <w:sz w:val="24"/>
          <w:szCs w:val="24"/>
          <w:lang w:val="en-GB"/>
        </w:rPr>
        <w:t>.”</w:t>
      </w:r>
    </w:p>
    <w:p w:rsidR="0033397E" w:rsidRPr="00875EC2" w:rsidRDefault="00DA6CED" w:rsidP="00F9461A">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 xml:space="preserve">As </w:t>
      </w:r>
      <w:r w:rsidR="00D63BD5">
        <w:rPr>
          <w:rFonts w:ascii="Times New Roman" w:hAnsi="Times New Roman" w:cs="Times New Roman"/>
          <w:sz w:val="24"/>
          <w:szCs w:val="24"/>
          <w:lang w:val="en-GB"/>
        </w:rPr>
        <w:t>Martí’s chapter</w:t>
      </w:r>
      <w:r w:rsidRPr="00875EC2">
        <w:rPr>
          <w:rFonts w:ascii="Times New Roman" w:hAnsi="Times New Roman" w:cs="Times New Roman"/>
          <w:sz w:val="24"/>
          <w:szCs w:val="24"/>
          <w:lang w:val="en-GB"/>
        </w:rPr>
        <w:t>, too, shows</w:t>
      </w:r>
      <w:r w:rsidR="001B7840" w:rsidRPr="00875EC2">
        <w:rPr>
          <w:rFonts w:ascii="Times New Roman" w:hAnsi="Times New Roman" w:cs="Times New Roman"/>
          <w:sz w:val="24"/>
          <w:szCs w:val="24"/>
          <w:lang w:val="en-GB"/>
        </w:rPr>
        <w:t xml:space="preserve">, it is difficult to exaggerate the importance of Kripke’s chain of communication picture. At the </w:t>
      </w:r>
      <w:r w:rsidR="00B92BF1" w:rsidRPr="00875EC2">
        <w:rPr>
          <w:rFonts w:ascii="Times New Roman" w:hAnsi="Times New Roman" w:cs="Times New Roman"/>
          <w:sz w:val="24"/>
          <w:szCs w:val="24"/>
          <w:lang w:val="en-GB"/>
        </w:rPr>
        <w:t xml:space="preserve">same time, </w:t>
      </w:r>
      <w:r w:rsidR="00105507" w:rsidRPr="00875EC2">
        <w:rPr>
          <w:rFonts w:ascii="Times New Roman" w:hAnsi="Times New Roman" w:cs="Times New Roman"/>
          <w:sz w:val="24"/>
          <w:szCs w:val="24"/>
          <w:lang w:val="en-GB"/>
        </w:rPr>
        <w:t xml:space="preserve">however, </w:t>
      </w:r>
      <w:r w:rsidR="00B92BF1" w:rsidRPr="00875EC2">
        <w:rPr>
          <w:rFonts w:ascii="Times New Roman" w:hAnsi="Times New Roman" w:cs="Times New Roman"/>
          <w:sz w:val="24"/>
          <w:szCs w:val="24"/>
        </w:rPr>
        <w:t xml:space="preserve">one should not forget that Kripke himself took care to make it explicit that it was only a picture, and </w:t>
      </w:r>
      <w:r w:rsidR="00B92BF1" w:rsidRPr="00875EC2">
        <w:rPr>
          <w:rFonts w:ascii="Times New Roman" w:hAnsi="Times New Roman" w:cs="Times New Roman"/>
          <w:sz w:val="24"/>
          <w:szCs w:val="24"/>
          <w:lang w:val="en-GB"/>
        </w:rPr>
        <w:t>he even expressed some skepticism towards the possibility of developing it into a full-blown theory.</w:t>
      </w:r>
      <w:r w:rsidR="00B92BF1" w:rsidRPr="00875EC2">
        <w:rPr>
          <w:rFonts w:ascii="Times New Roman" w:hAnsi="Times New Roman" w:cs="Times New Roman"/>
          <w:sz w:val="24"/>
          <w:szCs w:val="24"/>
        </w:rPr>
        <w:t xml:space="preserve"> The fact is that even today, more than forty years after its first appearance, we do not possess a full-blown theory built on the picture.</w:t>
      </w:r>
      <w:r w:rsidR="00B92BF1" w:rsidRPr="00875EC2">
        <w:rPr>
          <w:rFonts w:ascii="Times New Roman" w:hAnsi="Times New Roman" w:cs="Times New Roman"/>
          <w:sz w:val="24"/>
          <w:szCs w:val="24"/>
          <w:lang w:val="en-GB"/>
        </w:rPr>
        <w:t xml:space="preserve"> In my own contribution to this volume</w:t>
      </w:r>
      <w:r w:rsidR="0033397E" w:rsidRPr="00875EC2">
        <w:rPr>
          <w:rFonts w:ascii="Times New Roman" w:hAnsi="Times New Roman" w:cs="Times New Roman"/>
          <w:sz w:val="24"/>
          <w:szCs w:val="24"/>
          <w:lang w:val="en-GB"/>
        </w:rPr>
        <w:t>,</w:t>
      </w:r>
      <w:r w:rsidR="00B92BF1" w:rsidRPr="00875EC2">
        <w:rPr>
          <w:rFonts w:ascii="Times New Roman" w:hAnsi="Times New Roman" w:cs="Times New Roman"/>
          <w:sz w:val="24"/>
          <w:szCs w:val="24"/>
          <w:lang w:val="en-GB"/>
        </w:rPr>
        <w:t xml:space="preserve"> “Repetition and Reference,”</w:t>
      </w:r>
      <w:r w:rsidR="0033397E" w:rsidRPr="00875EC2">
        <w:rPr>
          <w:rFonts w:ascii="Times New Roman" w:hAnsi="Times New Roman" w:cs="Times New Roman"/>
          <w:sz w:val="24"/>
          <w:szCs w:val="24"/>
          <w:lang w:val="en-GB"/>
        </w:rPr>
        <w:t xml:space="preserve"> afte</w:t>
      </w:r>
      <w:r w:rsidR="00B92BF1" w:rsidRPr="00875EC2">
        <w:rPr>
          <w:rFonts w:ascii="Times New Roman" w:hAnsi="Times New Roman" w:cs="Times New Roman"/>
          <w:sz w:val="24"/>
          <w:szCs w:val="24"/>
          <w:lang w:val="en-GB"/>
        </w:rPr>
        <w:t>r discussing the reasons for Kripke’s</w:t>
      </w:r>
      <w:r w:rsidR="0033397E" w:rsidRPr="00875EC2">
        <w:rPr>
          <w:rFonts w:ascii="Times New Roman" w:hAnsi="Times New Roman" w:cs="Times New Roman"/>
          <w:sz w:val="24"/>
          <w:szCs w:val="24"/>
          <w:lang w:val="en-GB"/>
        </w:rPr>
        <w:t xml:space="preserve"> skepticism, I hint at how I think </w:t>
      </w:r>
      <w:r w:rsidR="009E1490" w:rsidRPr="00875EC2">
        <w:rPr>
          <w:rFonts w:ascii="Times New Roman" w:hAnsi="Times New Roman" w:cs="Times New Roman"/>
          <w:sz w:val="24"/>
          <w:szCs w:val="24"/>
          <w:lang w:val="en-GB"/>
        </w:rPr>
        <w:t>his</w:t>
      </w:r>
      <w:r w:rsidR="0033397E" w:rsidRPr="00875EC2">
        <w:rPr>
          <w:rFonts w:ascii="Times New Roman" w:hAnsi="Times New Roman" w:cs="Times New Roman"/>
          <w:sz w:val="24"/>
          <w:szCs w:val="24"/>
          <w:lang w:val="en-GB"/>
        </w:rPr>
        <w:t xml:space="preserve"> picture could be developed and offer an outline of a theory of reference based on it. One of the key notions my ‘theory’ makes use of is that of </w:t>
      </w:r>
      <w:r w:rsidR="0033397E" w:rsidRPr="00875EC2">
        <w:rPr>
          <w:rFonts w:ascii="Times New Roman" w:hAnsi="Times New Roman" w:cs="Times New Roman"/>
          <w:i/>
          <w:sz w:val="24"/>
          <w:szCs w:val="24"/>
          <w:lang w:val="en-GB"/>
        </w:rPr>
        <w:t>repetition</w:t>
      </w:r>
      <w:r w:rsidR="0033397E" w:rsidRPr="00875EC2">
        <w:rPr>
          <w:rFonts w:ascii="Times New Roman" w:hAnsi="Times New Roman" w:cs="Times New Roman"/>
          <w:sz w:val="24"/>
          <w:szCs w:val="24"/>
          <w:lang w:val="en-GB"/>
        </w:rPr>
        <w:t xml:space="preserve">, which I take </w:t>
      </w:r>
      <w:r w:rsidR="0033397E" w:rsidRPr="00875EC2">
        <w:rPr>
          <w:rFonts w:ascii="Times New Roman" w:hAnsi="Times New Roman" w:cs="Times New Roman"/>
          <w:sz w:val="24"/>
          <w:szCs w:val="24"/>
        </w:rPr>
        <w:t xml:space="preserve">from Kaplan’s </w:t>
      </w:r>
      <w:r w:rsidR="00B92BF1" w:rsidRPr="00875EC2">
        <w:rPr>
          <w:rFonts w:ascii="Times New Roman" w:hAnsi="Times New Roman" w:cs="Times New Roman"/>
          <w:sz w:val="24"/>
          <w:szCs w:val="24"/>
        </w:rPr>
        <w:t>work on the metaphy</w:t>
      </w:r>
      <w:r w:rsidR="001B7840" w:rsidRPr="00875EC2">
        <w:rPr>
          <w:rFonts w:ascii="Times New Roman" w:hAnsi="Times New Roman" w:cs="Times New Roman"/>
          <w:sz w:val="24"/>
          <w:szCs w:val="24"/>
        </w:rPr>
        <w:t>sics of words.</w:t>
      </w:r>
      <w:r w:rsidRPr="00875EC2">
        <w:rPr>
          <w:rFonts w:ascii="Times New Roman" w:hAnsi="Times New Roman" w:cs="Times New Roman"/>
          <w:sz w:val="24"/>
          <w:szCs w:val="24"/>
        </w:rPr>
        <w:t xml:space="preserve"> However, a</w:t>
      </w:r>
      <w:r w:rsidR="00E35CBC" w:rsidRPr="00875EC2">
        <w:rPr>
          <w:rFonts w:ascii="Times New Roman" w:hAnsi="Times New Roman" w:cs="Times New Roman"/>
          <w:sz w:val="24"/>
          <w:szCs w:val="24"/>
        </w:rPr>
        <w:t xml:space="preserve"> major problem, related to Gareth Evans’ </w:t>
      </w:r>
      <w:r w:rsidR="009E1490" w:rsidRPr="00875EC2">
        <w:rPr>
          <w:rFonts w:ascii="Times New Roman" w:hAnsi="Times New Roman" w:cs="Times New Roman"/>
          <w:sz w:val="24"/>
          <w:szCs w:val="24"/>
        </w:rPr>
        <w:t xml:space="preserve">well-known </w:t>
      </w:r>
      <w:r w:rsidR="00E35CBC" w:rsidRPr="00875EC2">
        <w:rPr>
          <w:rFonts w:ascii="Times New Roman" w:hAnsi="Times New Roman" w:cs="Times New Roman"/>
          <w:sz w:val="24"/>
          <w:szCs w:val="24"/>
        </w:rPr>
        <w:t>“Madagascar” case, still needs to be solved.</w:t>
      </w:r>
      <w:r w:rsidRPr="00875EC2">
        <w:rPr>
          <w:rFonts w:ascii="Times New Roman" w:hAnsi="Times New Roman" w:cs="Times New Roman"/>
          <w:sz w:val="24"/>
          <w:szCs w:val="24"/>
        </w:rPr>
        <w:t xml:space="preserve"> In order to do so</w:t>
      </w:r>
      <w:r w:rsidR="009E1490" w:rsidRPr="00875EC2">
        <w:rPr>
          <w:rFonts w:ascii="Times New Roman" w:hAnsi="Times New Roman" w:cs="Times New Roman"/>
          <w:sz w:val="24"/>
          <w:szCs w:val="24"/>
        </w:rPr>
        <w:t>, I end by suggesting that philosophers of langu</w:t>
      </w:r>
      <w:r w:rsidRPr="00875EC2">
        <w:rPr>
          <w:rFonts w:ascii="Times New Roman" w:hAnsi="Times New Roman" w:cs="Times New Roman"/>
          <w:sz w:val="24"/>
          <w:szCs w:val="24"/>
        </w:rPr>
        <w:t>age should pay more attention to</w:t>
      </w:r>
      <w:r w:rsidR="009E1490" w:rsidRPr="00875EC2">
        <w:rPr>
          <w:rFonts w:ascii="Times New Roman" w:hAnsi="Times New Roman" w:cs="Times New Roman"/>
          <w:sz w:val="24"/>
          <w:szCs w:val="24"/>
        </w:rPr>
        <w:t xml:space="preserve"> how referential </w:t>
      </w:r>
      <w:r w:rsidR="00AC6FC6" w:rsidRPr="00875EC2">
        <w:rPr>
          <w:rFonts w:ascii="Times New Roman" w:hAnsi="Times New Roman" w:cs="Times New Roman"/>
          <w:sz w:val="24"/>
          <w:szCs w:val="24"/>
        </w:rPr>
        <w:t>relations co</w:t>
      </w:r>
      <w:r w:rsidRPr="00875EC2">
        <w:rPr>
          <w:rFonts w:ascii="Times New Roman" w:hAnsi="Times New Roman" w:cs="Times New Roman"/>
          <w:sz w:val="24"/>
          <w:szCs w:val="24"/>
        </w:rPr>
        <w:t>me to be instituted, since that</w:t>
      </w:r>
      <w:r w:rsidR="00AC6FC6" w:rsidRPr="00875EC2">
        <w:rPr>
          <w:rFonts w:ascii="Times New Roman" w:hAnsi="Times New Roman" w:cs="Times New Roman"/>
          <w:sz w:val="24"/>
          <w:szCs w:val="24"/>
        </w:rPr>
        <w:t xml:space="preserve"> is where the problem really lies.</w:t>
      </w:r>
    </w:p>
    <w:p w:rsidR="00CD4C58" w:rsidRPr="00875EC2" w:rsidRDefault="00692939" w:rsidP="00F9461A">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 xml:space="preserve">But is it really true that we do not possess yet a full-blown theory of proper name reference built on Kripke’s chain of communication picture? In the first part of his </w:t>
      </w:r>
      <w:r w:rsidR="00CD4C58" w:rsidRPr="00875EC2">
        <w:rPr>
          <w:rFonts w:ascii="Times New Roman" w:hAnsi="Times New Roman" w:cs="Times New Roman"/>
          <w:sz w:val="24"/>
          <w:szCs w:val="24"/>
          <w:lang w:val="en-GB"/>
        </w:rPr>
        <w:t xml:space="preserve">long </w:t>
      </w:r>
      <w:r w:rsidR="00D63BD5">
        <w:rPr>
          <w:rFonts w:ascii="Times New Roman" w:hAnsi="Times New Roman" w:cs="Times New Roman"/>
          <w:sz w:val="24"/>
          <w:szCs w:val="24"/>
          <w:lang w:val="en-GB"/>
        </w:rPr>
        <w:t>chapter</w:t>
      </w:r>
      <w:r w:rsidRPr="00875EC2">
        <w:rPr>
          <w:rFonts w:ascii="Times New Roman" w:hAnsi="Times New Roman" w:cs="Times New Roman"/>
          <w:sz w:val="24"/>
          <w:szCs w:val="24"/>
          <w:lang w:val="en-GB"/>
        </w:rPr>
        <w:t xml:space="preserve"> in this volume, “Should Proper Names Still Seem So Problematic?,” Michael Devitt claims that it is not so. </w:t>
      </w:r>
      <w:r w:rsidR="00CB2A0E" w:rsidRPr="00875EC2">
        <w:rPr>
          <w:rFonts w:ascii="Times New Roman" w:hAnsi="Times New Roman" w:cs="Times New Roman"/>
          <w:sz w:val="24"/>
          <w:szCs w:val="24"/>
          <w:lang w:val="en-GB"/>
        </w:rPr>
        <w:t xml:space="preserve">In fact, </w:t>
      </w:r>
      <w:r w:rsidR="00BB637F" w:rsidRPr="00875EC2">
        <w:rPr>
          <w:rFonts w:ascii="Times New Roman" w:hAnsi="Times New Roman" w:cs="Times New Roman"/>
          <w:sz w:val="24"/>
          <w:szCs w:val="24"/>
          <w:lang w:val="en-GB"/>
        </w:rPr>
        <w:t xml:space="preserve">he </w:t>
      </w:r>
      <w:r w:rsidR="00514667" w:rsidRPr="00875EC2">
        <w:rPr>
          <w:rFonts w:ascii="Times New Roman" w:hAnsi="Times New Roman" w:cs="Times New Roman"/>
          <w:sz w:val="24"/>
          <w:szCs w:val="24"/>
          <w:lang w:val="en-GB"/>
        </w:rPr>
        <w:t>presents a theory based on develop</w:t>
      </w:r>
      <w:r w:rsidR="00CB2A0E" w:rsidRPr="00875EC2">
        <w:rPr>
          <w:rFonts w:ascii="Times New Roman" w:hAnsi="Times New Roman" w:cs="Times New Roman"/>
          <w:sz w:val="24"/>
          <w:szCs w:val="24"/>
          <w:lang w:val="en-GB"/>
        </w:rPr>
        <w:t>ments</w:t>
      </w:r>
      <w:r w:rsidR="00CC3038">
        <w:rPr>
          <w:rFonts w:ascii="Times New Roman" w:hAnsi="Times New Roman" w:cs="Times New Roman"/>
          <w:sz w:val="24"/>
          <w:szCs w:val="24"/>
          <w:lang w:val="en-GB"/>
        </w:rPr>
        <w:t xml:space="preserve"> that he had already </w:t>
      </w:r>
      <w:r w:rsidR="00F1363C">
        <w:rPr>
          <w:rFonts w:ascii="Times New Roman" w:hAnsi="Times New Roman" w:cs="Times New Roman"/>
          <w:sz w:val="24"/>
          <w:szCs w:val="24"/>
          <w:lang w:val="en-GB"/>
        </w:rPr>
        <w:t xml:space="preserve">arrived at </w:t>
      </w:r>
      <w:r w:rsidR="007C5264" w:rsidRPr="00875EC2">
        <w:rPr>
          <w:rFonts w:ascii="Times New Roman" w:hAnsi="Times New Roman" w:cs="Times New Roman"/>
          <w:sz w:val="24"/>
          <w:szCs w:val="24"/>
          <w:lang w:val="en-GB"/>
        </w:rPr>
        <w:t>in the 1970s</w:t>
      </w:r>
      <w:r w:rsidR="00007E17" w:rsidRPr="00875EC2">
        <w:rPr>
          <w:rFonts w:ascii="Times New Roman" w:hAnsi="Times New Roman" w:cs="Times New Roman"/>
          <w:sz w:val="24"/>
          <w:szCs w:val="24"/>
          <w:lang w:val="en-GB"/>
        </w:rPr>
        <w:t>, “within a naturalistic and anti-Cartesian framework,”</w:t>
      </w:r>
      <w:r w:rsidR="00CB2A0E" w:rsidRPr="00875EC2">
        <w:rPr>
          <w:rFonts w:ascii="Times New Roman" w:hAnsi="Times New Roman" w:cs="Times New Roman"/>
          <w:sz w:val="24"/>
          <w:szCs w:val="24"/>
          <w:lang w:val="en-GB"/>
        </w:rPr>
        <w:t xml:space="preserve"> of Kripke’s picture</w:t>
      </w:r>
      <w:r w:rsidR="00514667" w:rsidRPr="00875EC2">
        <w:rPr>
          <w:rFonts w:ascii="Times New Roman" w:hAnsi="Times New Roman" w:cs="Times New Roman"/>
          <w:sz w:val="24"/>
          <w:szCs w:val="24"/>
          <w:lang w:val="en-GB"/>
        </w:rPr>
        <w:t xml:space="preserve">. </w:t>
      </w:r>
      <w:r w:rsidR="001F2804" w:rsidRPr="00875EC2">
        <w:rPr>
          <w:rFonts w:ascii="Times New Roman" w:hAnsi="Times New Roman" w:cs="Times New Roman"/>
          <w:sz w:val="24"/>
          <w:szCs w:val="24"/>
          <w:lang w:val="en-GB"/>
        </w:rPr>
        <w:t xml:space="preserve">The theory </w:t>
      </w:r>
      <w:r w:rsidR="00656F37" w:rsidRPr="00875EC2">
        <w:rPr>
          <w:rFonts w:ascii="Times New Roman" w:hAnsi="Times New Roman" w:cs="Times New Roman"/>
          <w:sz w:val="24"/>
          <w:szCs w:val="24"/>
          <w:lang w:val="en-GB"/>
        </w:rPr>
        <w:t xml:space="preserve">is a </w:t>
      </w:r>
      <w:r w:rsidR="00656F37" w:rsidRPr="00875EC2">
        <w:rPr>
          <w:rFonts w:ascii="Times New Roman" w:hAnsi="Times New Roman" w:cs="Times New Roman"/>
          <w:i/>
          <w:sz w:val="24"/>
          <w:szCs w:val="24"/>
          <w:lang w:val="en-GB"/>
        </w:rPr>
        <w:t>causal</w:t>
      </w:r>
      <w:r w:rsidR="00656F37" w:rsidRPr="00875EC2">
        <w:rPr>
          <w:rFonts w:ascii="Times New Roman" w:hAnsi="Times New Roman" w:cs="Times New Roman"/>
          <w:sz w:val="24"/>
          <w:szCs w:val="24"/>
          <w:lang w:val="en-GB"/>
        </w:rPr>
        <w:t xml:space="preserve"> theory. It accounts for proper name reference in terms of </w:t>
      </w:r>
      <w:r w:rsidR="00656F37" w:rsidRPr="00875EC2">
        <w:rPr>
          <w:rFonts w:ascii="Times New Roman" w:hAnsi="Times New Roman" w:cs="Times New Roman"/>
          <w:i/>
          <w:sz w:val="24"/>
          <w:szCs w:val="24"/>
          <w:lang w:val="en-GB"/>
        </w:rPr>
        <w:t>designating-chains</w:t>
      </w:r>
      <w:r w:rsidR="00656F37" w:rsidRPr="00875EC2">
        <w:rPr>
          <w:rFonts w:ascii="Times New Roman" w:hAnsi="Times New Roman" w:cs="Times New Roman"/>
          <w:sz w:val="24"/>
          <w:szCs w:val="24"/>
          <w:lang w:val="en-GB"/>
        </w:rPr>
        <w:t xml:space="preserve">, which “consist of three different kinds of link: groundings which link the chain to an object, abilities to designate, and communication situations in which abilities are passed on or reinforced (reference borrowings).” Both groundings and borrowings are explained by Devitt in causal terms. </w:t>
      </w:r>
      <w:r w:rsidR="00970816" w:rsidRPr="00875EC2">
        <w:rPr>
          <w:rFonts w:ascii="Times New Roman" w:hAnsi="Times New Roman" w:cs="Times New Roman"/>
          <w:sz w:val="24"/>
          <w:szCs w:val="24"/>
          <w:lang w:val="en-GB"/>
        </w:rPr>
        <w:t xml:space="preserve">In fact, what makes it the case that a particular object gets named is “its unique place in the causal nexus in the grounding situation.” </w:t>
      </w:r>
      <w:r w:rsidR="00DA6CED" w:rsidRPr="00875EC2">
        <w:rPr>
          <w:rFonts w:ascii="Times New Roman" w:hAnsi="Times New Roman" w:cs="Times New Roman"/>
          <w:sz w:val="24"/>
          <w:szCs w:val="24"/>
          <w:lang w:val="en-GB"/>
        </w:rPr>
        <w:t>What i</w:t>
      </w:r>
      <w:r w:rsidR="00CD4C58" w:rsidRPr="00875EC2">
        <w:rPr>
          <w:rFonts w:ascii="Times New Roman" w:hAnsi="Times New Roman" w:cs="Times New Roman"/>
          <w:sz w:val="24"/>
          <w:szCs w:val="24"/>
          <w:lang w:val="en-GB"/>
        </w:rPr>
        <w:t>s more, a</w:t>
      </w:r>
      <w:r w:rsidR="00970816" w:rsidRPr="00875EC2">
        <w:rPr>
          <w:rFonts w:ascii="Times New Roman" w:hAnsi="Times New Roman" w:cs="Times New Roman"/>
          <w:sz w:val="24"/>
          <w:szCs w:val="24"/>
          <w:lang w:val="en-GB"/>
        </w:rPr>
        <w:t xml:space="preserve"> speaker who </w:t>
      </w:r>
      <w:r w:rsidR="00DA6CED" w:rsidRPr="00875EC2">
        <w:rPr>
          <w:rFonts w:ascii="Times New Roman" w:hAnsi="Times New Roman" w:cs="Times New Roman"/>
          <w:sz w:val="24"/>
          <w:szCs w:val="24"/>
          <w:lang w:val="en-GB"/>
        </w:rPr>
        <w:t xml:space="preserve">has </w:t>
      </w:r>
      <w:r w:rsidR="00970816" w:rsidRPr="00875EC2">
        <w:rPr>
          <w:rFonts w:ascii="Times New Roman" w:hAnsi="Times New Roman" w:cs="Times New Roman"/>
          <w:sz w:val="24"/>
          <w:szCs w:val="24"/>
          <w:lang w:val="en-GB"/>
        </w:rPr>
        <w:t xml:space="preserve">acquired </w:t>
      </w:r>
      <w:r w:rsidR="00CD4C58" w:rsidRPr="00875EC2">
        <w:rPr>
          <w:rFonts w:ascii="Times New Roman" w:hAnsi="Times New Roman" w:cs="Times New Roman"/>
          <w:sz w:val="24"/>
          <w:szCs w:val="24"/>
          <w:lang w:val="en-GB"/>
        </w:rPr>
        <w:t>“</w:t>
      </w:r>
      <w:r w:rsidR="00970816" w:rsidRPr="00875EC2">
        <w:rPr>
          <w:rFonts w:ascii="Times New Roman" w:hAnsi="Times New Roman" w:cs="Times New Roman"/>
          <w:sz w:val="24"/>
          <w:szCs w:val="24"/>
          <w:lang w:val="en-GB"/>
        </w:rPr>
        <w:t>an</w:t>
      </w:r>
      <w:r w:rsidR="00CD4C58" w:rsidRPr="00875EC2">
        <w:rPr>
          <w:rFonts w:ascii="Times New Roman" w:hAnsi="Times New Roman" w:cs="Times New Roman"/>
          <w:sz w:val="24"/>
          <w:szCs w:val="24"/>
          <w:lang w:val="en-GB"/>
        </w:rPr>
        <w:t xml:space="preserve"> ability to designate a particular object with a particular name as a result of groundings ... can pass on that ability by usin</w:t>
      </w:r>
      <w:r w:rsidR="00D05284" w:rsidRPr="00875EC2">
        <w:rPr>
          <w:rFonts w:ascii="Times New Roman" w:hAnsi="Times New Roman" w:cs="Times New Roman"/>
          <w:sz w:val="24"/>
          <w:szCs w:val="24"/>
          <w:lang w:val="en-GB"/>
        </w:rPr>
        <w:t>g the name in conversation,” since</w:t>
      </w:r>
      <w:r w:rsidR="00CD4C58" w:rsidRPr="00875EC2">
        <w:rPr>
          <w:rFonts w:ascii="Times New Roman" w:hAnsi="Times New Roman" w:cs="Times New Roman"/>
          <w:sz w:val="24"/>
          <w:szCs w:val="24"/>
          <w:lang w:val="en-GB"/>
        </w:rPr>
        <w:t xml:space="preserve"> “[s]omeone who perceives this use and processes it right ... thereby gains the ability herself.” This </w:t>
      </w:r>
      <w:r w:rsidR="00F80F4D" w:rsidRPr="00875EC2">
        <w:rPr>
          <w:rFonts w:ascii="Times New Roman" w:hAnsi="Times New Roman" w:cs="Times New Roman"/>
          <w:sz w:val="24"/>
          <w:szCs w:val="24"/>
          <w:lang w:val="en-GB"/>
        </w:rPr>
        <w:t>acquisition is</w:t>
      </w:r>
      <w:r w:rsidR="00CD4C58" w:rsidRPr="00875EC2">
        <w:rPr>
          <w:rFonts w:ascii="Times New Roman" w:hAnsi="Times New Roman" w:cs="Times New Roman"/>
          <w:sz w:val="24"/>
          <w:szCs w:val="24"/>
          <w:lang w:val="en-GB"/>
        </w:rPr>
        <w:t xml:space="preserve"> “a causal process</w:t>
      </w:r>
      <w:r w:rsidR="00F80F4D" w:rsidRPr="00875EC2">
        <w:rPr>
          <w:rFonts w:ascii="Times New Roman" w:hAnsi="Times New Roman" w:cs="Times New Roman"/>
          <w:sz w:val="24"/>
          <w:szCs w:val="24"/>
          <w:lang w:val="en-GB"/>
        </w:rPr>
        <w:t>,</w:t>
      </w:r>
      <w:r w:rsidR="00CD4C58" w:rsidRPr="00875EC2">
        <w:rPr>
          <w:rFonts w:ascii="Times New Roman" w:hAnsi="Times New Roman" w:cs="Times New Roman"/>
          <w:sz w:val="24"/>
          <w:szCs w:val="24"/>
          <w:lang w:val="en-GB"/>
        </w:rPr>
        <w:t>”</w:t>
      </w:r>
      <w:r w:rsidR="00F80F4D" w:rsidRPr="00875EC2">
        <w:rPr>
          <w:rFonts w:ascii="Times New Roman" w:hAnsi="Times New Roman" w:cs="Times New Roman"/>
          <w:sz w:val="24"/>
          <w:szCs w:val="24"/>
          <w:lang w:val="en-GB"/>
        </w:rPr>
        <w:t xml:space="preserve"> and </w:t>
      </w:r>
      <w:r w:rsidR="00CD4C58" w:rsidRPr="00875EC2">
        <w:rPr>
          <w:rFonts w:ascii="Times New Roman" w:hAnsi="Times New Roman" w:cs="Times New Roman"/>
          <w:sz w:val="24"/>
          <w:szCs w:val="24"/>
          <w:lang w:val="en-GB"/>
        </w:rPr>
        <w:t>“[t]he borrower’s ability, hence her future uses of the name, are causally grounded in the object via the ability of the lender.”</w:t>
      </w:r>
      <w:r w:rsidR="00342113" w:rsidRPr="00875EC2">
        <w:rPr>
          <w:rFonts w:ascii="Times New Roman" w:hAnsi="Times New Roman" w:cs="Times New Roman"/>
          <w:sz w:val="24"/>
          <w:szCs w:val="24"/>
          <w:lang w:val="en-GB"/>
        </w:rPr>
        <w:t xml:space="preserve"> Devitt proceeds</w:t>
      </w:r>
      <w:r w:rsidR="00394C13" w:rsidRPr="00875EC2">
        <w:rPr>
          <w:rFonts w:ascii="Times New Roman" w:hAnsi="Times New Roman" w:cs="Times New Roman"/>
          <w:sz w:val="24"/>
          <w:szCs w:val="24"/>
          <w:lang w:val="en-GB"/>
        </w:rPr>
        <w:t xml:space="preserve"> </w:t>
      </w:r>
      <w:r w:rsidR="00342113" w:rsidRPr="00875EC2">
        <w:rPr>
          <w:rFonts w:ascii="Times New Roman" w:hAnsi="Times New Roman" w:cs="Times New Roman"/>
          <w:sz w:val="24"/>
          <w:szCs w:val="24"/>
          <w:lang w:val="en-GB"/>
        </w:rPr>
        <w:t>by introducing</w:t>
      </w:r>
      <w:r w:rsidR="00394C13" w:rsidRPr="00875EC2">
        <w:rPr>
          <w:rFonts w:ascii="Times New Roman" w:hAnsi="Times New Roman" w:cs="Times New Roman"/>
          <w:sz w:val="24"/>
          <w:szCs w:val="24"/>
          <w:lang w:val="en-GB"/>
        </w:rPr>
        <w:t xml:space="preserve"> his notion of </w:t>
      </w:r>
      <w:r w:rsidR="00394C13" w:rsidRPr="00875EC2">
        <w:rPr>
          <w:rFonts w:ascii="Times New Roman" w:hAnsi="Times New Roman" w:cs="Times New Roman"/>
          <w:i/>
          <w:sz w:val="24"/>
          <w:szCs w:val="24"/>
          <w:lang w:val="en-GB"/>
        </w:rPr>
        <w:t>multiple grounding</w:t>
      </w:r>
      <w:r w:rsidR="00394C13" w:rsidRPr="00875EC2">
        <w:rPr>
          <w:rFonts w:ascii="Times New Roman" w:hAnsi="Times New Roman" w:cs="Times New Roman"/>
          <w:sz w:val="24"/>
          <w:szCs w:val="24"/>
          <w:lang w:val="en-GB"/>
        </w:rPr>
        <w:t>, which “is vital in explaining confused designation and designation change,” like those involved in Evans’ “Madagascar” case. In fact, “[d]ubbings and other first uses of a name do not bear all the burden of linking a name to the world,” since</w:t>
      </w:r>
      <w:r w:rsidR="00F80F4D" w:rsidRPr="00875EC2">
        <w:rPr>
          <w:rFonts w:ascii="Times New Roman" w:hAnsi="Times New Roman" w:cs="Times New Roman"/>
          <w:sz w:val="24"/>
          <w:szCs w:val="24"/>
          <w:lang w:val="en-GB"/>
        </w:rPr>
        <w:t xml:space="preserve"> every time “the name is used as a result of a direct perceptual confrontation with its bearer,” it gets re-grounded in it. From all this, the explanation of confused designation and designation change is, according to Devitt, “straightforward”: “</w:t>
      </w:r>
      <w:r w:rsidR="00F80F4D" w:rsidRPr="00875EC2">
        <w:rPr>
          <w:rFonts w:ascii="Times New Roman" w:hAnsi="Times New Roman" w:cs="Times New Roman"/>
          <w:sz w:val="24"/>
          <w:szCs w:val="24"/>
        </w:rPr>
        <w:t>Groundings fix designation. From the causal-perceptual account of groundings we get the likelihood of multiple groundings. From multiple groundings we get the possibility of confusion through misidentification. From confusion we get the possibility of designation change through change in the pattern of groundings.</w:t>
      </w:r>
      <w:r w:rsidR="00F80F4D" w:rsidRPr="00875EC2">
        <w:rPr>
          <w:rFonts w:ascii="Times New Roman" w:hAnsi="Times New Roman" w:cs="Times New Roman"/>
          <w:sz w:val="24"/>
          <w:szCs w:val="24"/>
          <w:lang w:val="en-GB"/>
        </w:rPr>
        <w:t xml:space="preserve">” </w:t>
      </w:r>
      <w:r w:rsidR="00A71E78" w:rsidRPr="00875EC2">
        <w:rPr>
          <w:rFonts w:ascii="Times New Roman" w:hAnsi="Times New Roman" w:cs="Times New Roman"/>
          <w:sz w:val="24"/>
          <w:szCs w:val="24"/>
          <w:lang w:val="en-GB"/>
        </w:rPr>
        <w:t>In the secon</w:t>
      </w:r>
      <w:r w:rsidR="00D63BD5">
        <w:rPr>
          <w:rFonts w:ascii="Times New Roman" w:hAnsi="Times New Roman" w:cs="Times New Roman"/>
          <w:sz w:val="24"/>
          <w:szCs w:val="24"/>
          <w:lang w:val="en-GB"/>
        </w:rPr>
        <w:t>d part of his chapter</w:t>
      </w:r>
      <w:r w:rsidR="00A71E78" w:rsidRPr="00875EC2">
        <w:rPr>
          <w:rFonts w:ascii="Times New Roman" w:hAnsi="Times New Roman" w:cs="Times New Roman"/>
          <w:sz w:val="24"/>
          <w:szCs w:val="24"/>
          <w:lang w:val="en-GB"/>
        </w:rPr>
        <w:t xml:space="preserve">, </w:t>
      </w:r>
      <w:r w:rsidR="00F80F4D" w:rsidRPr="00875EC2">
        <w:rPr>
          <w:rFonts w:ascii="Times New Roman" w:hAnsi="Times New Roman" w:cs="Times New Roman"/>
          <w:sz w:val="24"/>
          <w:szCs w:val="24"/>
          <w:lang w:val="en-GB"/>
        </w:rPr>
        <w:t xml:space="preserve">Devitt </w:t>
      </w:r>
      <w:r w:rsidR="00A71E78" w:rsidRPr="00875EC2">
        <w:rPr>
          <w:rFonts w:ascii="Times New Roman" w:hAnsi="Times New Roman" w:cs="Times New Roman"/>
          <w:sz w:val="24"/>
          <w:szCs w:val="24"/>
          <w:lang w:val="en-GB"/>
        </w:rPr>
        <w:t>focus</w:t>
      </w:r>
      <w:r w:rsidR="00844F50" w:rsidRPr="00875EC2">
        <w:rPr>
          <w:rFonts w:ascii="Times New Roman" w:hAnsi="Times New Roman" w:cs="Times New Roman"/>
          <w:sz w:val="24"/>
          <w:szCs w:val="24"/>
          <w:lang w:val="en-GB"/>
        </w:rPr>
        <w:t>es instead</w:t>
      </w:r>
      <w:r w:rsidR="00A71E78" w:rsidRPr="00875EC2">
        <w:rPr>
          <w:rFonts w:ascii="Times New Roman" w:hAnsi="Times New Roman" w:cs="Times New Roman"/>
          <w:sz w:val="24"/>
          <w:szCs w:val="24"/>
          <w:lang w:val="en-GB"/>
        </w:rPr>
        <w:t xml:space="preserve"> on the issue of </w:t>
      </w:r>
      <w:r w:rsidR="00844F50" w:rsidRPr="00875EC2">
        <w:rPr>
          <w:rFonts w:ascii="Times New Roman" w:hAnsi="Times New Roman" w:cs="Times New Roman"/>
          <w:sz w:val="24"/>
          <w:szCs w:val="24"/>
          <w:lang w:val="en-GB"/>
        </w:rPr>
        <w:t xml:space="preserve">proper </w:t>
      </w:r>
      <w:r w:rsidR="00A71E78" w:rsidRPr="00875EC2">
        <w:rPr>
          <w:rFonts w:ascii="Times New Roman" w:hAnsi="Times New Roman" w:cs="Times New Roman"/>
          <w:sz w:val="24"/>
          <w:szCs w:val="24"/>
          <w:lang w:val="en-GB"/>
        </w:rPr>
        <w:t xml:space="preserve">name </w:t>
      </w:r>
      <w:r w:rsidR="00A71E78" w:rsidRPr="00875EC2">
        <w:rPr>
          <w:rFonts w:ascii="Times New Roman" w:hAnsi="Times New Roman" w:cs="Times New Roman"/>
          <w:i/>
          <w:sz w:val="24"/>
          <w:szCs w:val="24"/>
          <w:lang w:val="en-GB"/>
        </w:rPr>
        <w:t>meaning</w:t>
      </w:r>
      <w:r w:rsidR="00A71E78" w:rsidRPr="00875EC2">
        <w:rPr>
          <w:rFonts w:ascii="Times New Roman" w:hAnsi="Times New Roman" w:cs="Times New Roman"/>
          <w:sz w:val="24"/>
          <w:szCs w:val="24"/>
          <w:lang w:val="en-GB"/>
        </w:rPr>
        <w:t>. His view “stands in stark contrast to two standard views”: “the Fregean view that a name’s meaning is a descriptive mode of referring” and “</w:t>
      </w:r>
      <w:r w:rsidR="009863CE" w:rsidRPr="00875EC2">
        <w:rPr>
          <w:rFonts w:ascii="Times New Roman" w:hAnsi="Times New Roman" w:cs="Times New Roman"/>
          <w:sz w:val="24"/>
          <w:szCs w:val="24"/>
          <w:lang w:val="en-GB"/>
        </w:rPr>
        <w:t xml:space="preserve">the direct </w:t>
      </w:r>
      <w:r w:rsidR="00A71E78" w:rsidRPr="00875EC2">
        <w:rPr>
          <w:rFonts w:ascii="Times New Roman" w:hAnsi="Times New Roman" w:cs="Times New Roman"/>
          <w:sz w:val="24"/>
          <w:szCs w:val="24"/>
          <w:lang w:val="en-GB"/>
        </w:rPr>
        <w:t>reference view that a name’s meaning is simply its bearer</w:t>
      </w:r>
      <w:r w:rsidR="009863CE" w:rsidRPr="00875EC2">
        <w:rPr>
          <w:rFonts w:ascii="Times New Roman" w:hAnsi="Times New Roman" w:cs="Times New Roman"/>
          <w:sz w:val="24"/>
          <w:szCs w:val="24"/>
          <w:lang w:val="en-GB"/>
        </w:rPr>
        <w:t>.</w:t>
      </w:r>
      <w:r w:rsidR="00A71E78" w:rsidRPr="00875EC2">
        <w:rPr>
          <w:rFonts w:ascii="Times New Roman" w:hAnsi="Times New Roman" w:cs="Times New Roman"/>
          <w:sz w:val="24"/>
          <w:szCs w:val="24"/>
          <w:lang w:val="en-GB"/>
        </w:rPr>
        <w:t>”</w:t>
      </w:r>
      <w:r w:rsidR="009863CE" w:rsidRPr="00875EC2">
        <w:rPr>
          <w:rFonts w:ascii="Times New Roman" w:hAnsi="Times New Roman" w:cs="Times New Roman"/>
          <w:sz w:val="24"/>
          <w:szCs w:val="24"/>
          <w:lang w:val="en-GB"/>
        </w:rPr>
        <w:t xml:space="preserve"> </w:t>
      </w:r>
      <w:r w:rsidR="003930F4" w:rsidRPr="00875EC2">
        <w:rPr>
          <w:rFonts w:ascii="Times New Roman" w:hAnsi="Times New Roman" w:cs="Times New Roman"/>
          <w:sz w:val="24"/>
          <w:szCs w:val="24"/>
          <w:lang w:val="en-GB"/>
        </w:rPr>
        <w:t>He claims that</w:t>
      </w:r>
      <w:r w:rsidR="009863CE" w:rsidRPr="00875EC2">
        <w:rPr>
          <w:rFonts w:ascii="Times New Roman" w:hAnsi="Times New Roman" w:cs="Times New Roman"/>
          <w:sz w:val="24"/>
          <w:szCs w:val="24"/>
          <w:lang w:val="en-GB"/>
        </w:rPr>
        <w:t xml:space="preserve"> “Kripke refuted the Fregean view,” while “direct reference faces seemingly overwhelming problems and is theoretically unmotivated.” Fortunately</w:t>
      </w:r>
      <w:r w:rsidR="00982F47" w:rsidRPr="00875EC2">
        <w:rPr>
          <w:rFonts w:ascii="Times New Roman" w:hAnsi="Times New Roman" w:cs="Times New Roman"/>
          <w:sz w:val="24"/>
          <w:szCs w:val="24"/>
          <w:lang w:val="en-GB"/>
        </w:rPr>
        <w:t>,</w:t>
      </w:r>
      <w:r w:rsidR="00816B20" w:rsidRPr="00875EC2">
        <w:rPr>
          <w:rFonts w:ascii="Times New Roman" w:hAnsi="Times New Roman" w:cs="Times New Roman"/>
          <w:sz w:val="24"/>
          <w:szCs w:val="24"/>
          <w:lang w:val="en-GB"/>
        </w:rPr>
        <w:t xml:space="preserve"> the generally accepted “inference from the revolution in the theory of reference to the direct reference theory of meaning” is fallacious. So, we are free to accept Devitt’s “apparently shocking view that a (des</w:t>
      </w:r>
      <w:r w:rsidR="00840E97" w:rsidRPr="00875EC2">
        <w:rPr>
          <w:rFonts w:ascii="Times New Roman" w:hAnsi="Times New Roman" w:cs="Times New Roman"/>
          <w:sz w:val="24"/>
          <w:szCs w:val="24"/>
          <w:lang w:val="en-GB"/>
        </w:rPr>
        <w:t>i</w:t>
      </w:r>
      <w:r w:rsidR="00816B20" w:rsidRPr="00875EC2">
        <w:rPr>
          <w:rFonts w:ascii="Times New Roman" w:hAnsi="Times New Roman" w:cs="Times New Roman"/>
          <w:sz w:val="24"/>
          <w:szCs w:val="24"/>
          <w:lang w:val="en-GB"/>
        </w:rPr>
        <w:t>gnational) name’s meaning is its causal mode of referring</w:t>
      </w:r>
      <w:r w:rsidR="0045540A" w:rsidRPr="00875EC2">
        <w:rPr>
          <w:rFonts w:ascii="Times New Roman" w:hAnsi="Times New Roman" w:cs="Times New Roman"/>
          <w:sz w:val="24"/>
          <w:szCs w:val="24"/>
          <w:lang w:val="en-GB"/>
        </w:rPr>
        <w:t>,</w:t>
      </w:r>
      <w:r w:rsidR="00816B20" w:rsidRPr="00875EC2">
        <w:rPr>
          <w:rFonts w:ascii="Times New Roman" w:hAnsi="Times New Roman" w:cs="Times New Roman"/>
          <w:sz w:val="24"/>
          <w:szCs w:val="24"/>
          <w:lang w:val="en-GB"/>
        </w:rPr>
        <w:t>”</w:t>
      </w:r>
      <w:r w:rsidR="00844F50" w:rsidRPr="00875EC2">
        <w:rPr>
          <w:rFonts w:ascii="Times New Roman" w:hAnsi="Times New Roman" w:cs="Times New Roman"/>
          <w:sz w:val="24"/>
          <w:szCs w:val="24"/>
          <w:lang w:val="en-GB"/>
        </w:rPr>
        <w:t xml:space="preserve"> since, </w:t>
      </w:r>
      <w:r w:rsidR="00816B20" w:rsidRPr="00875EC2">
        <w:rPr>
          <w:rFonts w:ascii="Times New Roman" w:hAnsi="Times New Roman" w:cs="Times New Roman"/>
          <w:sz w:val="24"/>
          <w:szCs w:val="24"/>
          <w:lang w:val="en-GB"/>
        </w:rPr>
        <w:t>“[s]hocking as it may be, it solves the meaning problem for names and seems to have nothing against it but a misguided attachment to traditional ways of thinking.”</w:t>
      </w:r>
    </w:p>
    <w:p w:rsidR="00840E97" w:rsidRPr="00875EC2" w:rsidRDefault="00D63BD5" w:rsidP="00F9461A">
      <w:pPr>
        <w:spacing w:after="0" w:line="480" w:lineRule="auto"/>
        <w:ind w:firstLine="340"/>
        <w:rPr>
          <w:rFonts w:ascii="Times New Roman" w:hAnsi="Times New Roman" w:cs="Times New Roman"/>
          <w:sz w:val="24"/>
          <w:szCs w:val="24"/>
          <w:lang w:val="en-GB"/>
        </w:rPr>
      </w:pPr>
      <w:r>
        <w:rPr>
          <w:rFonts w:ascii="Times New Roman" w:hAnsi="Times New Roman" w:cs="Times New Roman"/>
          <w:sz w:val="24"/>
          <w:szCs w:val="24"/>
          <w:lang w:val="en-GB"/>
        </w:rPr>
        <w:t>The three chapter</w:t>
      </w:r>
      <w:r w:rsidR="00342113" w:rsidRPr="00875EC2">
        <w:rPr>
          <w:rFonts w:ascii="Times New Roman" w:hAnsi="Times New Roman" w:cs="Times New Roman"/>
          <w:sz w:val="24"/>
          <w:szCs w:val="24"/>
          <w:lang w:val="en-GB"/>
        </w:rPr>
        <w:t>s collected in the second part of the volume</w:t>
      </w:r>
      <w:r w:rsidR="00105507" w:rsidRPr="00875EC2">
        <w:rPr>
          <w:rFonts w:ascii="Times New Roman" w:hAnsi="Times New Roman" w:cs="Times New Roman"/>
          <w:sz w:val="24"/>
          <w:szCs w:val="24"/>
          <w:lang w:val="en-GB"/>
        </w:rPr>
        <w:t>, “Reference and Cognition,”</w:t>
      </w:r>
      <w:r w:rsidR="00342113" w:rsidRPr="00875EC2">
        <w:rPr>
          <w:rFonts w:ascii="Times New Roman" w:hAnsi="Times New Roman" w:cs="Times New Roman"/>
          <w:sz w:val="24"/>
          <w:szCs w:val="24"/>
          <w:lang w:val="en-GB"/>
        </w:rPr>
        <w:t xml:space="preserve"> deal with various issues related to cogn</w:t>
      </w:r>
      <w:r>
        <w:rPr>
          <w:rFonts w:ascii="Times New Roman" w:hAnsi="Times New Roman" w:cs="Times New Roman"/>
          <w:sz w:val="24"/>
          <w:szCs w:val="24"/>
          <w:lang w:val="en-GB"/>
        </w:rPr>
        <w:t>ition. In “Thinking a</w:t>
      </w:r>
      <w:r w:rsidR="00342113" w:rsidRPr="00875EC2">
        <w:rPr>
          <w:rFonts w:ascii="Times New Roman" w:hAnsi="Times New Roman" w:cs="Times New Roman"/>
          <w:sz w:val="24"/>
          <w:szCs w:val="24"/>
          <w:lang w:val="en-GB"/>
        </w:rPr>
        <w:t>bout an Individual,” Antonio Capuano</w:t>
      </w:r>
      <w:r w:rsidR="00840E97" w:rsidRPr="00875EC2">
        <w:rPr>
          <w:rFonts w:ascii="Times New Roman" w:hAnsi="Times New Roman" w:cs="Times New Roman"/>
          <w:sz w:val="24"/>
          <w:szCs w:val="24"/>
          <w:lang w:val="en-GB"/>
        </w:rPr>
        <w:t xml:space="preserve"> contrast</w:t>
      </w:r>
      <w:r w:rsidR="00342113" w:rsidRPr="00875EC2">
        <w:rPr>
          <w:rFonts w:ascii="Times New Roman" w:hAnsi="Times New Roman" w:cs="Times New Roman"/>
          <w:sz w:val="24"/>
          <w:szCs w:val="24"/>
          <w:lang w:val="en-GB"/>
        </w:rPr>
        <w:t>s</w:t>
      </w:r>
      <w:r w:rsidR="00840E97" w:rsidRPr="00875EC2">
        <w:rPr>
          <w:rFonts w:ascii="Times New Roman" w:hAnsi="Times New Roman" w:cs="Times New Roman"/>
          <w:sz w:val="24"/>
          <w:szCs w:val="24"/>
          <w:lang w:val="en-GB"/>
        </w:rPr>
        <w:t xml:space="preserve"> two pict</w:t>
      </w:r>
      <w:r w:rsidR="00105507" w:rsidRPr="00875EC2">
        <w:rPr>
          <w:rFonts w:ascii="Times New Roman" w:hAnsi="Times New Roman" w:cs="Times New Roman"/>
          <w:sz w:val="24"/>
          <w:szCs w:val="24"/>
          <w:lang w:val="en-GB"/>
        </w:rPr>
        <w:t>ures of thinking about an object</w:t>
      </w:r>
      <w:r w:rsidR="00342113" w:rsidRPr="00875EC2">
        <w:rPr>
          <w:rFonts w:ascii="Times New Roman" w:hAnsi="Times New Roman" w:cs="Times New Roman"/>
          <w:sz w:val="24"/>
          <w:szCs w:val="24"/>
          <w:lang w:val="en-GB"/>
        </w:rPr>
        <w:t>, which he calls</w:t>
      </w:r>
      <w:r w:rsidR="00840E97" w:rsidRPr="00875EC2">
        <w:rPr>
          <w:rFonts w:ascii="Times New Roman" w:hAnsi="Times New Roman" w:cs="Times New Roman"/>
          <w:sz w:val="24"/>
          <w:szCs w:val="24"/>
          <w:lang w:val="en-GB"/>
        </w:rPr>
        <w:t xml:space="preserve"> the </w:t>
      </w:r>
      <w:r w:rsidR="00840E97" w:rsidRPr="00875EC2">
        <w:rPr>
          <w:rFonts w:ascii="Times New Roman" w:hAnsi="Times New Roman" w:cs="Times New Roman"/>
          <w:i/>
          <w:sz w:val="24"/>
          <w:szCs w:val="24"/>
          <w:lang w:val="en-GB"/>
        </w:rPr>
        <w:t>inside-out</w:t>
      </w:r>
      <w:r w:rsidR="00840E97" w:rsidRPr="00875EC2">
        <w:rPr>
          <w:rFonts w:ascii="Times New Roman" w:hAnsi="Times New Roman" w:cs="Times New Roman"/>
          <w:sz w:val="24"/>
          <w:szCs w:val="24"/>
          <w:lang w:val="en-GB"/>
        </w:rPr>
        <w:t xml:space="preserve"> and the </w:t>
      </w:r>
      <w:r w:rsidR="00840E97" w:rsidRPr="00875EC2">
        <w:rPr>
          <w:rFonts w:ascii="Times New Roman" w:hAnsi="Times New Roman" w:cs="Times New Roman"/>
          <w:i/>
          <w:sz w:val="24"/>
          <w:szCs w:val="24"/>
          <w:lang w:val="en-GB"/>
        </w:rPr>
        <w:t>outside-in</w:t>
      </w:r>
      <w:r w:rsidR="00840E97" w:rsidRPr="00875EC2">
        <w:rPr>
          <w:rFonts w:ascii="Times New Roman" w:hAnsi="Times New Roman" w:cs="Times New Roman"/>
          <w:sz w:val="24"/>
          <w:szCs w:val="24"/>
          <w:lang w:val="en-GB"/>
        </w:rPr>
        <w:t xml:space="preserve"> picture</w:t>
      </w:r>
      <w:r w:rsidR="00D05284" w:rsidRPr="00875EC2">
        <w:rPr>
          <w:rFonts w:ascii="Times New Roman" w:hAnsi="Times New Roman" w:cs="Times New Roman"/>
          <w:sz w:val="24"/>
          <w:szCs w:val="24"/>
          <w:lang w:val="en-GB"/>
        </w:rPr>
        <w:t>s</w:t>
      </w:r>
      <w:r w:rsidR="006D5EC9" w:rsidRPr="00875EC2">
        <w:rPr>
          <w:rFonts w:ascii="Times New Roman" w:hAnsi="Times New Roman" w:cs="Times New Roman"/>
          <w:sz w:val="24"/>
          <w:szCs w:val="24"/>
          <w:lang w:val="en-GB"/>
        </w:rPr>
        <w:t xml:space="preserve"> (not to be confused, writes Capuano, with internalism, or individualism, and externalism, or anti-individualism)</w:t>
      </w:r>
      <w:r w:rsidR="00840E97" w:rsidRPr="00875EC2">
        <w:rPr>
          <w:rFonts w:ascii="Times New Roman" w:hAnsi="Times New Roman" w:cs="Times New Roman"/>
          <w:sz w:val="24"/>
          <w:szCs w:val="24"/>
          <w:lang w:val="en-GB"/>
        </w:rPr>
        <w:t xml:space="preserve">. The </w:t>
      </w:r>
      <w:r w:rsidR="006D5EC9" w:rsidRPr="00875EC2">
        <w:rPr>
          <w:rFonts w:ascii="Times New Roman" w:hAnsi="Times New Roman" w:cs="Times New Roman"/>
          <w:sz w:val="24"/>
          <w:szCs w:val="24"/>
          <w:lang w:val="en-GB"/>
        </w:rPr>
        <w:t>inside-out</w:t>
      </w:r>
      <w:r w:rsidR="00840E97" w:rsidRPr="00875EC2">
        <w:rPr>
          <w:rFonts w:ascii="Times New Roman" w:hAnsi="Times New Roman" w:cs="Times New Roman"/>
          <w:sz w:val="24"/>
          <w:szCs w:val="24"/>
          <w:lang w:val="en-GB"/>
        </w:rPr>
        <w:t xml:space="preserve"> pictur</w:t>
      </w:r>
      <w:r w:rsidR="00581070" w:rsidRPr="00875EC2">
        <w:rPr>
          <w:rFonts w:ascii="Times New Roman" w:hAnsi="Times New Roman" w:cs="Times New Roman"/>
          <w:sz w:val="24"/>
          <w:szCs w:val="24"/>
          <w:lang w:val="en-GB"/>
        </w:rPr>
        <w:t>e can be traced back to the</w:t>
      </w:r>
      <w:r w:rsidR="00EF1539" w:rsidRPr="00875EC2">
        <w:rPr>
          <w:rFonts w:ascii="Times New Roman" w:hAnsi="Times New Roman" w:cs="Times New Roman"/>
          <w:sz w:val="24"/>
          <w:szCs w:val="24"/>
          <w:lang w:val="en-GB"/>
        </w:rPr>
        <w:t xml:space="preserve"> </w:t>
      </w:r>
      <w:r w:rsidR="00581070" w:rsidRPr="00875EC2">
        <w:rPr>
          <w:rFonts w:ascii="Times New Roman" w:hAnsi="Times New Roman" w:cs="Times New Roman"/>
          <w:sz w:val="24"/>
          <w:szCs w:val="24"/>
          <w:lang w:val="en-GB"/>
        </w:rPr>
        <w:t>work of Frege and Russell, but is still widespread in contemporary philosophy of mind, as Capuano</w:t>
      </w:r>
      <w:r w:rsidR="00840E97" w:rsidRPr="00875EC2">
        <w:rPr>
          <w:rFonts w:ascii="Times New Roman" w:hAnsi="Times New Roman" w:cs="Times New Roman"/>
          <w:sz w:val="24"/>
          <w:szCs w:val="24"/>
          <w:lang w:val="en-GB"/>
        </w:rPr>
        <w:t xml:space="preserve"> </w:t>
      </w:r>
      <w:r w:rsidR="00105507" w:rsidRPr="00875EC2">
        <w:rPr>
          <w:rFonts w:ascii="Times New Roman" w:hAnsi="Times New Roman" w:cs="Times New Roman"/>
          <w:sz w:val="24"/>
          <w:szCs w:val="24"/>
          <w:lang w:val="en-GB"/>
        </w:rPr>
        <w:t xml:space="preserve">argues </w:t>
      </w:r>
      <w:r w:rsidR="00581070" w:rsidRPr="00875EC2">
        <w:rPr>
          <w:rFonts w:ascii="Times New Roman" w:hAnsi="Times New Roman" w:cs="Times New Roman"/>
          <w:sz w:val="24"/>
          <w:szCs w:val="24"/>
          <w:lang w:val="en-GB"/>
        </w:rPr>
        <w:t>focusing especially on Burge’s work</w:t>
      </w:r>
      <w:r w:rsidR="00840E97" w:rsidRPr="00875EC2">
        <w:rPr>
          <w:rFonts w:ascii="Times New Roman" w:hAnsi="Times New Roman" w:cs="Times New Roman"/>
          <w:sz w:val="24"/>
          <w:szCs w:val="24"/>
          <w:lang w:val="en-GB"/>
        </w:rPr>
        <w:t xml:space="preserve">. </w:t>
      </w:r>
      <w:r w:rsidR="00D42976" w:rsidRPr="00875EC2">
        <w:rPr>
          <w:rFonts w:ascii="Times New Roman" w:hAnsi="Times New Roman" w:cs="Times New Roman"/>
          <w:sz w:val="24"/>
          <w:szCs w:val="24"/>
          <w:lang w:val="en-GB"/>
        </w:rPr>
        <w:t xml:space="preserve">According to it, cognition is inside-out in the sense that it proceeds “from the mind to the world through some representation” of which we have “perfect and complete knowledge.” Indeed, “thinking must start with the mind grasping some intermediate entity,” and </w:t>
      </w:r>
      <w:r w:rsidR="00D42976" w:rsidRPr="00875EC2">
        <w:rPr>
          <w:rFonts w:ascii="Times New Roman" w:hAnsi="Times New Roman" w:cs="Times New Roman"/>
          <w:sz w:val="24"/>
          <w:szCs w:val="24"/>
        </w:rPr>
        <w:t>“[o]nly later on, when what really matters for cognition has already happened, objects enter into the picture, almost as afterthoughts.”</w:t>
      </w:r>
      <w:r w:rsidR="00E670F9">
        <w:rPr>
          <w:rFonts w:ascii="Times New Roman" w:hAnsi="Times New Roman" w:cs="Times New Roman"/>
          <w:sz w:val="24"/>
          <w:szCs w:val="24"/>
          <w:lang w:val="en-GB"/>
        </w:rPr>
        <w:t xml:space="preserve"> What i</w:t>
      </w:r>
      <w:r w:rsidR="00D42976" w:rsidRPr="00875EC2">
        <w:rPr>
          <w:rFonts w:ascii="Times New Roman" w:hAnsi="Times New Roman" w:cs="Times New Roman"/>
          <w:sz w:val="24"/>
          <w:szCs w:val="24"/>
          <w:lang w:val="en-GB"/>
        </w:rPr>
        <w:t>s more, continues Cap</w:t>
      </w:r>
      <w:r w:rsidR="003D3B57" w:rsidRPr="00875EC2">
        <w:rPr>
          <w:rFonts w:ascii="Times New Roman" w:hAnsi="Times New Roman" w:cs="Times New Roman"/>
          <w:sz w:val="24"/>
          <w:szCs w:val="24"/>
          <w:lang w:val="en-GB"/>
        </w:rPr>
        <w:t>uano, according to this picture</w:t>
      </w:r>
      <w:r w:rsidR="00D42976" w:rsidRPr="00875EC2">
        <w:rPr>
          <w:rFonts w:ascii="Times New Roman" w:hAnsi="Times New Roman" w:cs="Times New Roman"/>
          <w:sz w:val="24"/>
          <w:szCs w:val="24"/>
          <w:lang w:val="en-GB"/>
        </w:rPr>
        <w:t xml:space="preserve"> “cognition is grounded in a </w:t>
      </w:r>
      <w:r w:rsidR="00D42976" w:rsidRPr="00875EC2">
        <w:rPr>
          <w:rFonts w:ascii="Times New Roman" w:hAnsi="Times New Roman" w:cs="Times New Roman"/>
          <w:i/>
          <w:sz w:val="24"/>
          <w:szCs w:val="24"/>
          <w:lang w:val="en-GB"/>
        </w:rPr>
        <w:t>non-natural</w:t>
      </w:r>
      <w:r w:rsidR="00D42976" w:rsidRPr="00875EC2">
        <w:rPr>
          <w:rFonts w:ascii="Times New Roman" w:hAnsi="Times New Roman" w:cs="Times New Roman"/>
          <w:sz w:val="24"/>
          <w:szCs w:val="24"/>
          <w:lang w:val="en-GB"/>
        </w:rPr>
        <w:t xml:space="preserve"> relation,”</w:t>
      </w:r>
      <w:r w:rsidR="00A91C89" w:rsidRPr="00875EC2">
        <w:rPr>
          <w:rFonts w:ascii="Times New Roman" w:hAnsi="Times New Roman" w:cs="Times New Roman"/>
          <w:sz w:val="24"/>
          <w:szCs w:val="24"/>
          <w:lang w:val="en-GB"/>
        </w:rPr>
        <w:t xml:space="preserve"> since “</w:t>
      </w:r>
      <w:r w:rsidR="00A91C89" w:rsidRPr="00875EC2">
        <w:rPr>
          <w:rFonts w:ascii="Times New Roman" w:hAnsi="Times New Roman" w:cs="Times New Roman"/>
          <w:sz w:val="24"/>
          <w:szCs w:val="24"/>
        </w:rPr>
        <w:t>[i]f the knowledge one acquires is produced by natural processes, it is going to be real but hardly complete and perfect</w:t>
      </w:r>
      <w:r w:rsidR="00B80BF6" w:rsidRPr="00875EC2">
        <w:rPr>
          <w:rFonts w:ascii="Times New Roman" w:hAnsi="Times New Roman" w:cs="Times New Roman"/>
          <w:sz w:val="24"/>
          <w:szCs w:val="24"/>
          <w:lang w:val="en-GB"/>
        </w:rPr>
        <w:t>.</w:t>
      </w:r>
      <w:r w:rsidR="00A91C89" w:rsidRPr="00875EC2">
        <w:rPr>
          <w:rFonts w:ascii="Times New Roman" w:hAnsi="Times New Roman" w:cs="Times New Roman"/>
          <w:sz w:val="24"/>
          <w:szCs w:val="24"/>
          <w:lang w:val="en-GB"/>
        </w:rPr>
        <w:t>”</w:t>
      </w:r>
      <w:r w:rsidR="00B80BF6" w:rsidRPr="00875EC2">
        <w:rPr>
          <w:rFonts w:ascii="Times New Roman" w:hAnsi="Times New Roman" w:cs="Times New Roman"/>
          <w:sz w:val="24"/>
          <w:szCs w:val="24"/>
          <w:lang w:val="en-GB"/>
        </w:rPr>
        <w:t xml:space="preserve"> According to Capuano, </w:t>
      </w:r>
      <w:r w:rsidR="00A91C89" w:rsidRPr="00875EC2">
        <w:rPr>
          <w:rFonts w:ascii="Times New Roman" w:hAnsi="Times New Roman" w:cs="Times New Roman"/>
          <w:sz w:val="24"/>
          <w:szCs w:val="24"/>
          <w:lang w:val="en-GB"/>
        </w:rPr>
        <w:t xml:space="preserve">however, </w:t>
      </w:r>
      <w:r w:rsidR="00581070" w:rsidRPr="00875EC2">
        <w:rPr>
          <w:rFonts w:ascii="Times New Roman" w:hAnsi="Times New Roman" w:cs="Times New Roman"/>
          <w:sz w:val="24"/>
          <w:szCs w:val="24"/>
          <w:lang w:val="en-GB"/>
        </w:rPr>
        <w:t xml:space="preserve">some </w:t>
      </w:r>
      <w:r w:rsidR="00840E97" w:rsidRPr="00875EC2">
        <w:rPr>
          <w:rFonts w:ascii="Times New Roman" w:hAnsi="Times New Roman" w:cs="Times New Roman"/>
          <w:sz w:val="24"/>
          <w:szCs w:val="24"/>
          <w:lang w:val="en-GB"/>
        </w:rPr>
        <w:t xml:space="preserve">observations </w:t>
      </w:r>
      <w:r w:rsidR="00581070" w:rsidRPr="00875EC2">
        <w:rPr>
          <w:rFonts w:ascii="Times New Roman" w:hAnsi="Times New Roman" w:cs="Times New Roman"/>
          <w:sz w:val="24"/>
          <w:szCs w:val="24"/>
          <w:lang w:val="en-GB"/>
        </w:rPr>
        <w:t>by Kripke and Donnellan “</w:t>
      </w:r>
      <w:r w:rsidR="00840E97" w:rsidRPr="00875EC2">
        <w:rPr>
          <w:rFonts w:ascii="Times New Roman" w:hAnsi="Times New Roman" w:cs="Times New Roman"/>
          <w:sz w:val="24"/>
          <w:szCs w:val="24"/>
          <w:lang w:val="en-GB"/>
        </w:rPr>
        <w:t>put a lot of strain</w:t>
      </w:r>
      <w:r w:rsidR="00581070" w:rsidRPr="00875EC2">
        <w:rPr>
          <w:rFonts w:ascii="Times New Roman" w:hAnsi="Times New Roman" w:cs="Times New Roman"/>
          <w:sz w:val="24"/>
          <w:szCs w:val="24"/>
          <w:lang w:val="en-GB"/>
        </w:rPr>
        <w:t>”</w:t>
      </w:r>
      <w:r w:rsidR="00840E97" w:rsidRPr="00875EC2">
        <w:rPr>
          <w:rFonts w:ascii="Times New Roman" w:hAnsi="Times New Roman" w:cs="Times New Roman"/>
          <w:sz w:val="24"/>
          <w:szCs w:val="24"/>
          <w:lang w:val="en-GB"/>
        </w:rPr>
        <w:t xml:space="preserve"> on the</w:t>
      </w:r>
      <w:r w:rsidR="00B80BF6" w:rsidRPr="00875EC2">
        <w:rPr>
          <w:rFonts w:ascii="Times New Roman" w:hAnsi="Times New Roman" w:cs="Times New Roman"/>
          <w:sz w:val="24"/>
          <w:szCs w:val="24"/>
          <w:lang w:val="en-GB"/>
        </w:rPr>
        <w:t xml:space="preserve"> inside-out picture</w:t>
      </w:r>
      <w:r w:rsidR="00840E97" w:rsidRPr="00875EC2">
        <w:rPr>
          <w:rFonts w:ascii="Times New Roman" w:hAnsi="Times New Roman" w:cs="Times New Roman"/>
          <w:sz w:val="24"/>
          <w:szCs w:val="24"/>
          <w:lang w:val="en-GB"/>
        </w:rPr>
        <w:t>. Inspired by these observations</w:t>
      </w:r>
      <w:r w:rsidR="00B80BF6" w:rsidRPr="00875EC2">
        <w:rPr>
          <w:rFonts w:ascii="Times New Roman" w:hAnsi="Times New Roman" w:cs="Times New Roman"/>
          <w:sz w:val="24"/>
          <w:szCs w:val="24"/>
          <w:lang w:val="en-GB"/>
        </w:rPr>
        <w:t>,</w:t>
      </w:r>
      <w:r w:rsidR="00A91C89" w:rsidRPr="00875EC2">
        <w:rPr>
          <w:rFonts w:ascii="Times New Roman" w:hAnsi="Times New Roman" w:cs="Times New Roman"/>
          <w:sz w:val="24"/>
          <w:szCs w:val="24"/>
          <w:lang w:val="en-GB"/>
        </w:rPr>
        <w:t xml:space="preserve"> Capuano</w:t>
      </w:r>
      <w:r w:rsidR="00B80BF6" w:rsidRPr="00875EC2">
        <w:rPr>
          <w:rFonts w:ascii="Times New Roman" w:hAnsi="Times New Roman" w:cs="Times New Roman"/>
          <w:sz w:val="24"/>
          <w:szCs w:val="24"/>
          <w:lang w:val="en-GB"/>
        </w:rPr>
        <w:t xml:space="preserve"> </w:t>
      </w:r>
      <w:r w:rsidR="00A91C89" w:rsidRPr="00875EC2">
        <w:rPr>
          <w:rFonts w:ascii="Times New Roman" w:hAnsi="Times New Roman" w:cs="Times New Roman"/>
          <w:sz w:val="24"/>
          <w:szCs w:val="24"/>
          <w:lang w:val="en-GB"/>
        </w:rPr>
        <w:t>outlines a different picture, according to which “</w:t>
      </w:r>
      <w:r w:rsidR="00A91C89" w:rsidRPr="00875EC2">
        <w:rPr>
          <w:rFonts w:ascii="Times New Roman" w:hAnsi="Times New Roman" w:cs="Times New Roman"/>
          <w:sz w:val="24"/>
          <w:szCs w:val="24"/>
        </w:rPr>
        <w:t xml:space="preserve">[t]hinking is from the outside – the object – </w:t>
      </w:r>
      <w:r w:rsidR="00A91C89" w:rsidRPr="00875EC2">
        <w:rPr>
          <w:rFonts w:ascii="Times New Roman" w:hAnsi="Times New Roman" w:cs="Times New Roman"/>
          <w:i/>
          <w:sz w:val="24"/>
          <w:szCs w:val="24"/>
        </w:rPr>
        <w:t>in</w:t>
      </w:r>
      <w:r w:rsidR="00A91C89" w:rsidRPr="00875EC2">
        <w:rPr>
          <w:rFonts w:ascii="Times New Roman" w:hAnsi="Times New Roman" w:cs="Times New Roman"/>
          <w:sz w:val="24"/>
          <w:szCs w:val="24"/>
        </w:rPr>
        <w:t xml:space="preserve"> – the mind”: </w:t>
      </w:r>
      <w:r w:rsidR="00B8267D" w:rsidRPr="00875EC2">
        <w:rPr>
          <w:rFonts w:ascii="Times New Roman" w:hAnsi="Times New Roman" w:cs="Times New Roman"/>
          <w:sz w:val="24"/>
          <w:szCs w:val="24"/>
        </w:rPr>
        <w:t>“[c]ognition is the result of thinkers receiving, by way of natural processes, incoming signals from objects about which later they come to know truths.”</w:t>
      </w:r>
      <w:r w:rsidR="00B80BF6" w:rsidRPr="00875EC2">
        <w:rPr>
          <w:rFonts w:ascii="Times New Roman" w:hAnsi="Times New Roman" w:cs="Times New Roman"/>
          <w:sz w:val="24"/>
          <w:szCs w:val="24"/>
          <w:lang w:val="en-GB"/>
        </w:rPr>
        <w:t xml:space="preserve"> </w:t>
      </w:r>
      <w:r w:rsidR="00B8267D" w:rsidRPr="00875EC2">
        <w:rPr>
          <w:rFonts w:ascii="Times New Roman" w:hAnsi="Times New Roman" w:cs="Times New Roman"/>
          <w:sz w:val="24"/>
          <w:szCs w:val="24"/>
          <w:lang w:val="en-GB"/>
        </w:rPr>
        <w:t>This is, in fact, what Kripke (as well as Donnellan) showed: “</w:t>
      </w:r>
      <w:r w:rsidR="00B8267D" w:rsidRPr="00875EC2">
        <w:rPr>
          <w:rFonts w:ascii="Times New Roman" w:hAnsi="Times New Roman" w:cs="Times New Roman"/>
          <w:sz w:val="24"/>
          <w:szCs w:val="24"/>
        </w:rPr>
        <w:t>[t]he essential point [of Kripke’s chain of communication picture] is that for someone to be able to go back to something – in [Kripke’s] particular case, Feynman – one has first to receive information from that something – again, Feynman.”</w:t>
      </w:r>
      <w:r w:rsidR="00B8267D" w:rsidRPr="00875EC2">
        <w:rPr>
          <w:rFonts w:ascii="Times New Roman" w:hAnsi="Times New Roman" w:cs="Times New Roman"/>
          <w:sz w:val="24"/>
          <w:szCs w:val="24"/>
          <w:lang w:val="en-GB"/>
        </w:rPr>
        <w:t xml:space="preserve"> </w:t>
      </w:r>
      <w:r w:rsidR="00B80BF6" w:rsidRPr="00875EC2">
        <w:rPr>
          <w:rFonts w:ascii="Times New Roman" w:hAnsi="Times New Roman" w:cs="Times New Roman"/>
          <w:sz w:val="24"/>
          <w:szCs w:val="24"/>
          <w:lang w:val="en-GB"/>
        </w:rPr>
        <w:t>In</w:t>
      </w:r>
      <w:r w:rsidR="00B8267D" w:rsidRPr="00875EC2">
        <w:rPr>
          <w:rFonts w:ascii="Times New Roman" w:hAnsi="Times New Roman" w:cs="Times New Roman"/>
          <w:sz w:val="24"/>
          <w:szCs w:val="24"/>
          <w:lang w:val="en-GB"/>
        </w:rPr>
        <w:t xml:space="preserve"> conclusion</w:t>
      </w:r>
      <w:r w:rsidR="00840E97" w:rsidRPr="00875EC2">
        <w:rPr>
          <w:rFonts w:ascii="Times New Roman" w:hAnsi="Times New Roman" w:cs="Times New Roman"/>
          <w:sz w:val="24"/>
          <w:szCs w:val="24"/>
          <w:lang w:val="en-GB"/>
        </w:rPr>
        <w:t xml:space="preserve">, </w:t>
      </w:r>
      <w:r w:rsidR="00B8267D" w:rsidRPr="00875EC2">
        <w:rPr>
          <w:rFonts w:ascii="Times New Roman" w:hAnsi="Times New Roman" w:cs="Times New Roman"/>
          <w:sz w:val="24"/>
          <w:szCs w:val="24"/>
          <w:lang w:val="en-GB"/>
        </w:rPr>
        <w:t>then, we may say that according to</w:t>
      </w:r>
      <w:r w:rsidR="00EF1539" w:rsidRPr="00875EC2">
        <w:rPr>
          <w:rFonts w:ascii="Times New Roman" w:hAnsi="Times New Roman" w:cs="Times New Roman"/>
          <w:sz w:val="24"/>
          <w:szCs w:val="24"/>
          <w:lang w:val="en-GB"/>
        </w:rPr>
        <w:t xml:space="preserve"> Capuano “</w:t>
      </w:r>
      <w:r w:rsidR="00EF1539" w:rsidRPr="00875EC2">
        <w:rPr>
          <w:rFonts w:ascii="Times New Roman" w:hAnsi="Times New Roman" w:cs="Times New Roman"/>
          <w:sz w:val="24"/>
          <w:szCs w:val="24"/>
        </w:rPr>
        <w:t>thinking is like seeing”: “as when seeing an object enters our visual field and strikes us by sending photons, when thinking an object enters our mind and strikes us by sending information</w:t>
      </w:r>
      <w:r w:rsidR="00840E97" w:rsidRPr="00875EC2">
        <w:rPr>
          <w:rFonts w:ascii="Times New Roman" w:hAnsi="Times New Roman" w:cs="Times New Roman"/>
          <w:sz w:val="24"/>
          <w:szCs w:val="24"/>
          <w:lang w:val="en-GB"/>
        </w:rPr>
        <w:t>.</w:t>
      </w:r>
      <w:r w:rsidR="00EF1539" w:rsidRPr="00875EC2">
        <w:rPr>
          <w:rFonts w:ascii="Times New Roman" w:hAnsi="Times New Roman" w:cs="Times New Roman"/>
          <w:sz w:val="24"/>
          <w:szCs w:val="24"/>
          <w:lang w:val="en-GB"/>
        </w:rPr>
        <w:t>”</w:t>
      </w:r>
    </w:p>
    <w:p w:rsidR="009A2A74" w:rsidRPr="00875EC2" w:rsidRDefault="00276776" w:rsidP="00F9461A">
      <w:pPr>
        <w:spacing w:after="0" w:line="480" w:lineRule="auto"/>
        <w:ind w:firstLine="340"/>
        <w:rPr>
          <w:rFonts w:ascii="Times New Roman" w:hAnsi="Times New Roman" w:cs="Times New Roman"/>
          <w:sz w:val="24"/>
          <w:szCs w:val="24"/>
        </w:rPr>
      </w:pPr>
      <w:r w:rsidRPr="00875EC2">
        <w:rPr>
          <w:rFonts w:ascii="Times New Roman" w:hAnsi="Times New Roman" w:cs="Times New Roman"/>
          <w:sz w:val="24"/>
          <w:szCs w:val="24"/>
        </w:rPr>
        <w:t>Marga Reimer’s contribution, “Drawing, Seeing, Referring: Reflections on Macbeth’s Dagger,” approaches the problem of empty reference</w:t>
      </w:r>
      <w:r w:rsidR="00DA6CED" w:rsidRPr="00875EC2">
        <w:rPr>
          <w:rFonts w:ascii="Times New Roman" w:hAnsi="Times New Roman" w:cs="Times New Roman"/>
          <w:sz w:val="24"/>
          <w:szCs w:val="24"/>
        </w:rPr>
        <w:t xml:space="preserve"> from an original perspective</w:t>
      </w:r>
      <w:r w:rsidRPr="00875EC2">
        <w:rPr>
          <w:rFonts w:ascii="Times New Roman" w:hAnsi="Times New Roman" w:cs="Times New Roman"/>
          <w:sz w:val="24"/>
          <w:szCs w:val="24"/>
        </w:rPr>
        <w:t xml:space="preserve">, with a particular focus on </w:t>
      </w:r>
      <w:r w:rsidR="00E16DDC" w:rsidRPr="00875EC2">
        <w:rPr>
          <w:rFonts w:ascii="Times New Roman" w:hAnsi="Times New Roman" w:cs="Times New Roman"/>
          <w:sz w:val="24"/>
          <w:szCs w:val="24"/>
        </w:rPr>
        <w:t xml:space="preserve">demonstrative </w:t>
      </w:r>
      <w:r w:rsidRPr="00875EC2">
        <w:rPr>
          <w:rFonts w:ascii="Times New Roman" w:hAnsi="Times New Roman" w:cs="Times New Roman"/>
          <w:sz w:val="24"/>
          <w:szCs w:val="24"/>
        </w:rPr>
        <w:t>ref</w:t>
      </w:r>
      <w:r w:rsidR="00D05284" w:rsidRPr="00875EC2">
        <w:rPr>
          <w:rFonts w:ascii="Times New Roman" w:hAnsi="Times New Roman" w:cs="Times New Roman"/>
          <w:sz w:val="24"/>
          <w:szCs w:val="24"/>
        </w:rPr>
        <w:t>erence to visual hallucinations</w:t>
      </w:r>
      <w:r w:rsidRPr="00875EC2">
        <w:rPr>
          <w:rFonts w:ascii="Times New Roman" w:hAnsi="Times New Roman" w:cs="Times New Roman"/>
          <w:sz w:val="24"/>
          <w:szCs w:val="24"/>
        </w:rPr>
        <w:t>.</w:t>
      </w:r>
      <w:r w:rsidR="00560D0E" w:rsidRPr="00875EC2">
        <w:rPr>
          <w:rFonts w:ascii="Times New Roman" w:hAnsi="Times New Roman" w:cs="Times New Roman"/>
          <w:sz w:val="24"/>
          <w:szCs w:val="24"/>
        </w:rPr>
        <w:t xml:space="preserve"> Reimer begins by noting an “ambiguity” between what she calls the </w:t>
      </w:r>
      <w:r w:rsidR="00560D0E" w:rsidRPr="00875EC2">
        <w:rPr>
          <w:rFonts w:ascii="Times New Roman" w:hAnsi="Times New Roman" w:cs="Times New Roman"/>
          <w:i/>
          <w:sz w:val="24"/>
          <w:szCs w:val="24"/>
        </w:rPr>
        <w:t>ontic</w:t>
      </w:r>
      <w:r w:rsidR="00560D0E" w:rsidRPr="00875EC2">
        <w:rPr>
          <w:rFonts w:ascii="Times New Roman" w:hAnsi="Times New Roman" w:cs="Times New Roman"/>
          <w:sz w:val="24"/>
          <w:szCs w:val="24"/>
        </w:rPr>
        <w:t xml:space="preserve"> and </w:t>
      </w:r>
      <w:r w:rsidR="00560D0E" w:rsidRPr="00875EC2">
        <w:rPr>
          <w:rFonts w:ascii="Times New Roman" w:hAnsi="Times New Roman" w:cs="Times New Roman"/>
          <w:i/>
          <w:sz w:val="24"/>
          <w:szCs w:val="24"/>
        </w:rPr>
        <w:t>non-ontic</w:t>
      </w:r>
      <w:r w:rsidR="00560D0E" w:rsidRPr="00875EC2">
        <w:rPr>
          <w:rFonts w:ascii="Times New Roman" w:hAnsi="Times New Roman" w:cs="Times New Roman"/>
          <w:sz w:val="24"/>
          <w:szCs w:val="24"/>
        </w:rPr>
        <w:t xml:space="preserve"> senses of the ordinary notion of </w:t>
      </w:r>
      <w:r w:rsidR="00560D0E" w:rsidRPr="00875EC2">
        <w:rPr>
          <w:rFonts w:ascii="Times New Roman" w:hAnsi="Times New Roman" w:cs="Times New Roman"/>
          <w:i/>
          <w:sz w:val="24"/>
          <w:szCs w:val="24"/>
        </w:rPr>
        <w:t>drawing an X</w:t>
      </w:r>
      <w:r w:rsidR="00560D0E" w:rsidRPr="00875EC2">
        <w:rPr>
          <w:rFonts w:ascii="Times New Roman" w:hAnsi="Times New Roman" w:cs="Times New Roman"/>
          <w:sz w:val="24"/>
          <w:szCs w:val="24"/>
        </w:rPr>
        <w:t>. Indeed, “[t]he ontic sense of ‘drawing an</w:t>
      </w:r>
      <w:r w:rsidR="00560D0E" w:rsidRPr="00875EC2">
        <w:rPr>
          <w:rFonts w:ascii="Times New Roman" w:hAnsi="Times New Roman" w:cs="Times New Roman"/>
          <w:i/>
          <w:sz w:val="24"/>
          <w:szCs w:val="24"/>
        </w:rPr>
        <w:t xml:space="preserve"> X</w:t>
      </w:r>
      <w:r w:rsidR="00560D0E" w:rsidRPr="00875EC2">
        <w:rPr>
          <w:rFonts w:ascii="Times New Roman" w:hAnsi="Times New Roman" w:cs="Times New Roman"/>
          <w:sz w:val="24"/>
          <w:szCs w:val="24"/>
        </w:rPr>
        <w:t xml:space="preserve">,’ which is akin to the artist’s notion of portraiture, essentially involves a </w:t>
      </w:r>
      <w:r w:rsidR="00560D0E" w:rsidRPr="00875EC2">
        <w:rPr>
          <w:rFonts w:ascii="Times New Roman" w:hAnsi="Times New Roman" w:cs="Times New Roman"/>
          <w:i/>
          <w:sz w:val="24"/>
          <w:szCs w:val="24"/>
        </w:rPr>
        <w:t>model</w:t>
      </w:r>
      <w:r w:rsidR="00560D0E" w:rsidRPr="00875EC2">
        <w:rPr>
          <w:rFonts w:ascii="Times New Roman" w:hAnsi="Times New Roman" w:cs="Times New Roman"/>
          <w:sz w:val="24"/>
          <w:szCs w:val="24"/>
        </w:rPr>
        <w:t xml:space="preserve">: an actual </w:t>
      </w:r>
      <w:r w:rsidR="00560D0E" w:rsidRPr="00875EC2">
        <w:rPr>
          <w:rFonts w:ascii="Times New Roman" w:hAnsi="Times New Roman" w:cs="Times New Roman"/>
          <w:i/>
          <w:sz w:val="24"/>
          <w:szCs w:val="24"/>
        </w:rPr>
        <w:t>X</w:t>
      </w:r>
      <w:r w:rsidR="00560D0E" w:rsidRPr="00875EC2">
        <w:rPr>
          <w:rFonts w:ascii="Times New Roman" w:hAnsi="Times New Roman" w:cs="Times New Roman"/>
          <w:sz w:val="24"/>
          <w:szCs w:val="24"/>
        </w:rPr>
        <w:t xml:space="preserve"> which the artist intends to portray</w:t>
      </w:r>
      <w:r w:rsidR="004122CC" w:rsidRPr="00875EC2">
        <w:rPr>
          <w:rFonts w:ascii="Times New Roman" w:hAnsi="Times New Roman" w:cs="Times New Roman"/>
          <w:sz w:val="24"/>
          <w:szCs w:val="24"/>
        </w:rPr>
        <w:t>.</w:t>
      </w:r>
      <w:r w:rsidR="00560D0E" w:rsidRPr="00875EC2">
        <w:rPr>
          <w:rFonts w:ascii="Times New Roman" w:hAnsi="Times New Roman" w:cs="Times New Roman"/>
          <w:sz w:val="24"/>
          <w:szCs w:val="24"/>
        </w:rPr>
        <w:t>”</w:t>
      </w:r>
      <w:r w:rsidR="004122CC" w:rsidRPr="00875EC2">
        <w:rPr>
          <w:rFonts w:ascii="Times New Roman" w:hAnsi="Times New Roman" w:cs="Times New Roman"/>
          <w:sz w:val="24"/>
          <w:szCs w:val="24"/>
        </w:rPr>
        <w:t xml:space="preserve"> We may then say that “[t]</w:t>
      </w:r>
      <w:r w:rsidR="00560D0E" w:rsidRPr="00875EC2">
        <w:rPr>
          <w:rFonts w:ascii="Times New Roman" w:hAnsi="Times New Roman" w:cs="Times New Roman"/>
          <w:sz w:val="24"/>
          <w:szCs w:val="24"/>
        </w:rPr>
        <w:t xml:space="preserve">he drawing is </w:t>
      </w:r>
      <w:r w:rsidR="00560D0E" w:rsidRPr="00875EC2">
        <w:rPr>
          <w:rFonts w:ascii="Times New Roman" w:hAnsi="Times New Roman" w:cs="Times New Roman"/>
          <w:i/>
          <w:sz w:val="24"/>
          <w:szCs w:val="24"/>
        </w:rPr>
        <w:t>of</w:t>
      </w:r>
      <w:r w:rsidR="00560D0E" w:rsidRPr="00875EC2">
        <w:rPr>
          <w:rFonts w:ascii="Times New Roman" w:hAnsi="Times New Roman" w:cs="Times New Roman"/>
          <w:sz w:val="24"/>
          <w:szCs w:val="24"/>
        </w:rPr>
        <w:t xml:space="preserve"> that particular </w:t>
      </w:r>
      <w:r w:rsidR="00560D0E" w:rsidRPr="00875EC2">
        <w:rPr>
          <w:rFonts w:ascii="Times New Roman" w:hAnsi="Times New Roman" w:cs="Times New Roman"/>
          <w:i/>
          <w:sz w:val="24"/>
          <w:szCs w:val="24"/>
        </w:rPr>
        <w:t>X</w:t>
      </w:r>
      <w:r w:rsidR="00560D0E" w:rsidRPr="00875EC2">
        <w:rPr>
          <w:rFonts w:ascii="Times New Roman" w:hAnsi="Times New Roman" w:cs="Times New Roman"/>
          <w:sz w:val="24"/>
          <w:szCs w:val="24"/>
        </w:rPr>
        <w:t xml:space="preserve"> and is in that sense </w:t>
      </w:r>
      <w:r w:rsidR="00560D0E" w:rsidRPr="00875EC2">
        <w:rPr>
          <w:rFonts w:ascii="Times New Roman" w:hAnsi="Times New Roman" w:cs="Times New Roman"/>
          <w:i/>
          <w:sz w:val="24"/>
          <w:szCs w:val="24"/>
        </w:rPr>
        <w:t>derivative</w:t>
      </w:r>
      <w:r w:rsidR="00560D0E" w:rsidRPr="00875EC2">
        <w:rPr>
          <w:rFonts w:ascii="Times New Roman" w:hAnsi="Times New Roman" w:cs="Times New Roman"/>
          <w:sz w:val="24"/>
          <w:szCs w:val="24"/>
        </w:rPr>
        <w:t>.</w:t>
      </w:r>
      <w:r w:rsidR="004122CC" w:rsidRPr="00875EC2">
        <w:rPr>
          <w:rFonts w:ascii="Times New Roman" w:hAnsi="Times New Roman" w:cs="Times New Roman"/>
          <w:sz w:val="24"/>
          <w:szCs w:val="24"/>
        </w:rPr>
        <w:t>”</w:t>
      </w:r>
      <w:r w:rsidR="00012933">
        <w:rPr>
          <w:rFonts w:ascii="Times New Roman" w:hAnsi="Times New Roman" w:cs="Times New Roman"/>
          <w:sz w:val="24"/>
          <w:szCs w:val="24"/>
        </w:rPr>
        <w:t xml:space="preserve"> In contrast</w:t>
      </w:r>
      <w:r w:rsidR="004122CC" w:rsidRPr="00875EC2">
        <w:rPr>
          <w:rFonts w:ascii="Times New Roman" w:hAnsi="Times New Roman" w:cs="Times New Roman"/>
          <w:sz w:val="24"/>
          <w:szCs w:val="24"/>
        </w:rPr>
        <w:t>, “[t]</w:t>
      </w:r>
      <w:r w:rsidR="00560D0E" w:rsidRPr="00875EC2">
        <w:rPr>
          <w:rFonts w:ascii="Times New Roman" w:hAnsi="Times New Roman" w:cs="Times New Roman"/>
          <w:sz w:val="24"/>
          <w:szCs w:val="24"/>
        </w:rPr>
        <w:t xml:space="preserve">he </w:t>
      </w:r>
      <w:r w:rsidR="00560D0E" w:rsidRPr="00875EC2">
        <w:rPr>
          <w:rFonts w:ascii="Times New Roman" w:hAnsi="Times New Roman" w:cs="Times New Roman"/>
          <w:i/>
          <w:sz w:val="24"/>
          <w:szCs w:val="24"/>
        </w:rPr>
        <w:t>non-ontic</w:t>
      </w:r>
      <w:r w:rsidR="004122CC" w:rsidRPr="00875EC2">
        <w:rPr>
          <w:rFonts w:ascii="Times New Roman" w:hAnsi="Times New Roman" w:cs="Times New Roman"/>
          <w:sz w:val="24"/>
          <w:szCs w:val="24"/>
        </w:rPr>
        <w:t xml:space="preserve"> sense of ‘</w:t>
      </w:r>
      <w:r w:rsidR="00560D0E" w:rsidRPr="00875EC2">
        <w:rPr>
          <w:rFonts w:ascii="Times New Roman" w:hAnsi="Times New Roman" w:cs="Times New Roman"/>
          <w:sz w:val="24"/>
          <w:szCs w:val="24"/>
        </w:rPr>
        <w:t xml:space="preserve">drawing an </w:t>
      </w:r>
      <w:r w:rsidR="00560D0E" w:rsidRPr="00875EC2">
        <w:rPr>
          <w:rFonts w:ascii="Times New Roman" w:hAnsi="Times New Roman" w:cs="Times New Roman"/>
          <w:i/>
          <w:sz w:val="24"/>
          <w:szCs w:val="24"/>
        </w:rPr>
        <w:t>X</w:t>
      </w:r>
      <w:r w:rsidR="004122CC" w:rsidRPr="00875EC2">
        <w:rPr>
          <w:rFonts w:ascii="Times New Roman" w:hAnsi="Times New Roman" w:cs="Times New Roman"/>
          <w:sz w:val="24"/>
          <w:szCs w:val="24"/>
        </w:rPr>
        <w:t>’ …</w:t>
      </w:r>
      <w:r w:rsidR="00560D0E" w:rsidRPr="00875EC2">
        <w:rPr>
          <w:rFonts w:ascii="Times New Roman" w:hAnsi="Times New Roman" w:cs="Times New Roman"/>
          <w:sz w:val="24"/>
          <w:szCs w:val="24"/>
        </w:rPr>
        <w:t xml:space="preserve"> involves no such model: no actual </w:t>
      </w:r>
      <w:r w:rsidR="00560D0E" w:rsidRPr="00875EC2">
        <w:rPr>
          <w:rFonts w:ascii="Times New Roman" w:hAnsi="Times New Roman" w:cs="Times New Roman"/>
          <w:i/>
          <w:sz w:val="24"/>
          <w:szCs w:val="24"/>
        </w:rPr>
        <w:t xml:space="preserve">X </w:t>
      </w:r>
      <w:r w:rsidR="00560D0E" w:rsidRPr="00875EC2">
        <w:rPr>
          <w:rFonts w:ascii="Times New Roman" w:hAnsi="Times New Roman" w:cs="Times New Roman"/>
          <w:sz w:val="24"/>
          <w:szCs w:val="24"/>
        </w:rPr>
        <w:t>which the artist intends to portray</w:t>
      </w:r>
      <w:r w:rsidR="00105507" w:rsidRPr="00875EC2">
        <w:rPr>
          <w:rFonts w:ascii="Times New Roman" w:hAnsi="Times New Roman" w:cs="Times New Roman"/>
          <w:sz w:val="24"/>
          <w:szCs w:val="24"/>
        </w:rPr>
        <w:t>.</w:t>
      </w:r>
      <w:r w:rsidR="00D05284" w:rsidRPr="00875EC2">
        <w:rPr>
          <w:rFonts w:ascii="Times New Roman" w:hAnsi="Times New Roman" w:cs="Times New Roman"/>
          <w:sz w:val="24"/>
          <w:szCs w:val="24"/>
        </w:rPr>
        <w:t>” Thus</w:t>
      </w:r>
      <w:r w:rsidR="004122CC" w:rsidRPr="00875EC2">
        <w:rPr>
          <w:rFonts w:ascii="Times New Roman" w:hAnsi="Times New Roman" w:cs="Times New Roman"/>
          <w:sz w:val="24"/>
          <w:szCs w:val="24"/>
        </w:rPr>
        <w:t>, “[t]he drawing is …</w:t>
      </w:r>
      <w:r w:rsidR="00560D0E" w:rsidRPr="00875EC2">
        <w:rPr>
          <w:rFonts w:ascii="Times New Roman" w:hAnsi="Times New Roman" w:cs="Times New Roman"/>
          <w:sz w:val="24"/>
          <w:szCs w:val="24"/>
        </w:rPr>
        <w:t xml:space="preserve"> </w:t>
      </w:r>
      <w:r w:rsidR="00560D0E" w:rsidRPr="00875EC2">
        <w:rPr>
          <w:rFonts w:ascii="Times New Roman" w:hAnsi="Times New Roman" w:cs="Times New Roman"/>
          <w:i/>
          <w:sz w:val="24"/>
          <w:szCs w:val="24"/>
        </w:rPr>
        <w:t>of</w:t>
      </w:r>
      <w:r w:rsidR="00560D0E" w:rsidRPr="00875EC2">
        <w:rPr>
          <w:rFonts w:ascii="Times New Roman" w:hAnsi="Times New Roman" w:cs="Times New Roman"/>
          <w:sz w:val="24"/>
          <w:szCs w:val="24"/>
        </w:rPr>
        <w:t xml:space="preserve"> no particular</w:t>
      </w:r>
      <w:r w:rsidR="00560D0E" w:rsidRPr="00875EC2">
        <w:rPr>
          <w:rFonts w:ascii="Times New Roman" w:hAnsi="Times New Roman" w:cs="Times New Roman"/>
          <w:i/>
          <w:sz w:val="24"/>
          <w:szCs w:val="24"/>
        </w:rPr>
        <w:t xml:space="preserve"> X</w:t>
      </w:r>
      <w:r w:rsidR="00560D0E" w:rsidRPr="00875EC2">
        <w:rPr>
          <w:rFonts w:ascii="Times New Roman" w:hAnsi="Times New Roman" w:cs="Times New Roman"/>
          <w:sz w:val="24"/>
          <w:szCs w:val="24"/>
        </w:rPr>
        <w:t xml:space="preserve"> and is in that sense</w:t>
      </w:r>
      <w:r w:rsidR="00560D0E" w:rsidRPr="00875EC2">
        <w:rPr>
          <w:rFonts w:ascii="Times New Roman" w:hAnsi="Times New Roman" w:cs="Times New Roman"/>
          <w:i/>
          <w:sz w:val="24"/>
          <w:szCs w:val="24"/>
        </w:rPr>
        <w:t xml:space="preserve"> creative</w:t>
      </w:r>
      <w:r w:rsidR="004122CC" w:rsidRPr="00875EC2">
        <w:rPr>
          <w:rFonts w:ascii="Times New Roman" w:hAnsi="Times New Roman" w:cs="Times New Roman"/>
          <w:sz w:val="24"/>
          <w:szCs w:val="24"/>
        </w:rPr>
        <w:t xml:space="preserve"> – even if ‘</w:t>
      </w:r>
      <w:r w:rsidR="00560D0E" w:rsidRPr="00875EC2">
        <w:rPr>
          <w:rFonts w:ascii="Times New Roman" w:hAnsi="Times New Roman" w:cs="Times New Roman"/>
          <w:sz w:val="24"/>
          <w:szCs w:val="24"/>
        </w:rPr>
        <w:t>modeled on</w:t>
      </w:r>
      <w:r w:rsidR="004122CC" w:rsidRPr="00875EC2">
        <w:rPr>
          <w:rFonts w:ascii="Times New Roman" w:hAnsi="Times New Roman" w:cs="Times New Roman"/>
          <w:sz w:val="24"/>
          <w:szCs w:val="24"/>
        </w:rPr>
        <w:t>’</w:t>
      </w:r>
      <w:r w:rsidR="00560D0E" w:rsidRPr="00875EC2">
        <w:rPr>
          <w:rFonts w:ascii="Times New Roman" w:hAnsi="Times New Roman" w:cs="Times New Roman"/>
          <w:sz w:val="24"/>
          <w:szCs w:val="24"/>
        </w:rPr>
        <w:t xml:space="preserve"> actual </w:t>
      </w:r>
      <w:r w:rsidR="00560D0E" w:rsidRPr="00875EC2">
        <w:rPr>
          <w:rFonts w:ascii="Times New Roman" w:hAnsi="Times New Roman" w:cs="Times New Roman"/>
          <w:i/>
          <w:sz w:val="24"/>
          <w:szCs w:val="24"/>
        </w:rPr>
        <w:t>X</w:t>
      </w:r>
      <w:r w:rsidR="00560D0E" w:rsidRPr="00875EC2">
        <w:rPr>
          <w:rFonts w:ascii="Times New Roman" w:hAnsi="Times New Roman" w:cs="Times New Roman"/>
          <w:sz w:val="24"/>
          <w:szCs w:val="24"/>
        </w:rPr>
        <w:t>’s previously encountered</w:t>
      </w:r>
      <w:r w:rsidR="004122CC" w:rsidRPr="00875EC2">
        <w:rPr>
          <w:rFonts w:ascii="Times New Roman" w:hAnsi="Times New Roman" w:cs="Times New Roman"/>
          <w:sz w:val="24"/>
          <w:szCs w:val="24"/>
        </w:rPr>
        <w:t>.</w:t>
      </w:r>
      <w:r w:rsidR="00AE5AE5" w:rsidRPr="00875EC2">
        <w:rPr>
          <w:rFonts w:ascii="Times New Roman" w:hAnsi="Times New Roman" w:cs="Times New Roman"/>
          <w:sz w:val="24"/>
          <w:szCs w:val="24"/>
        </w:rPr>
        <w:t>”</w:t>
      </w:r>
      <w:r w:rsidR="004122CC" w:rsidRPr="00875EC2">
        <w:rPr>
          <w:rFonts w:ascii="Times New Roman" w:hAnsi="Times New Roman" w:cs="Times New Roman"/>
          <w:sz w:val="24"/>
          <w:szCs w:val="24"/>
        </w:rPr>
        <w:t xml:space="preserve"> Interestingly, continues Reimer, the ordinary notion of </w:t>
      </w:r>
      <w:r w:rsidR="004122CC" w:rsidRPr="00875EC2">
        <w:rPr>
          <w:rFonts w:ascii="Times New Roman" w:hAnsi="Times New Roman" w:cs="Times New Roman"/>
          <w:i/>
          <w:sz w:val="24"/>
          <w:szCs w:val="24"/>
        </w:rPr>
        <w:t>seeing an X</w:t>
      </w:r>
      <w:r w:rsidR="004122CC" w:rsidRPr="00875EC2">
        <w:rPr>
          <w:rFonts w:ascii="Times New Roman" w:hAnsi="Times New Roman" w:cs="Times New Roman"/>
          <w:sz w:val="24"/>
          <w:szCs w:val="24"/>
        </w:rPr>
        <w:t xml:space="preserve"> is “similarly ambiguous.” The ontic sense of “seeing an X</w:t>
      </w:r>
      <w:r w:rsidR="00F01D3E" w:rsidRPr="00875EC2">
        <w:rPr>
          <w:rFonts w:ascii="Times New Roman" w:hAnsi="Times New Roman" w:cs="Times New Roman"/>
          <w:sz w:val="24"/>
          <w:szCs w:val="24"/>
        </w:rPr>
        <w:t>,</w:t>
      </w:r>
      <w:r w:rsidR="004122CC" w:rsidRPr="00875EC2">
        <w:rPr>
          <w:rFonts w:ascii="Times New Roman" w:hAnsi="Times New Roman" w:cs="Times New Roman"/>
          <w:sz w:val="24"/>
          <w:szCs w:val="24"/>
        </w:rPr>
        <w:t>”</w:t>
      </w:r>
      <w:r w:rsidR="00E16DDC" w:rsidRPr="00875EC2">
        <w:rPr>
          <w:rFonts w:ascii="Times New Roman" w:hAnsi="Times New Roman" w:cs="Times New Roman"/>
          <w:sz w:val="24"/>
          <w:szCs w:val="24"/>
        </w:rPr>
        <w:t xml:space="preserve"> which “is operative in characterizations of </w:t>
      </w:r>
      <w:r w:rsidR="00E16DDC" w:rsidRPr="00875EC2">
        <w:rPr>
          <w:rFonts w:ascii="Times New Roman" w:hAnsi="Times New Roman" w:cs="Times New Roman"/>
          <w:i/>
          <w:sz w:val="24"/>
          <w:szCs w:val="24"/>
        </w:rPr>
        <w:t>veridical</w:t>
      </w:r>
      <w:r w:rsidR="00E16DDC" w:rsidRPr="00875EC2">
        <w:rPr>
          <w:rFonts w:ascii="Times New Roman" w:hAnsi="Times New Roman" w:cs="Times New Roman"/>
          <w:sz w:val="24"/>
          <w:szCs w:val="24"/>
        </w:rPr>
        <w:t xml:space="preserve"> visual experiences,” “involves an actual </w:t>
      </w:r>
      <w:r w:rsidR="00E16DDC" w:rsidRPr="00875EC2">
        <w:rPr>
          <w:rFonts w:ascii="Times New Roman" w:hAnsi="Times New Roman" w:cs="Times New Roman"/>
          <w:i/>
          <w:sz w:val="24"/>
          <w:szCs w:val="24"/>
        </w:rPr>
        <w:t xml:space="preserve">X </w:t>
      </w:r>
      <w:r w:rsidR="00105507" w:rsidRPr="00875EC2">
        <w:rPr>
          <w:rFonts w:ascii="Times New Roman" w:hAnsi="Times New Roman" w:cs="Times New Roman"/>
          <w:sz w:val="24"/>
          <w:szCs w:val="24"/>
        </w:rPr>
        <w:t>which is visually experienced,”</w:t>
      </w:r>
      <w:r w:rsidR="00E16DDC" w:rsidRPr="00875EC2">
        <w:rPr>
          <w:rFonts w:ascii="Times New Roman" w:hAnsi="Times New Roman" w:cs="Times New Roman"/>
          <w:sz w:val="24"/>
          <w:szCs w:val="24"/>
        </w:rPr>
        <w:t xml:space="preserve"> so that we may say that “[t]he experience is</w:t>
      </w:r>
      <w:r w:rsidR="00E16DDC" w:rsidRPr="00875EC2">
        <w:rPr>
          <w:rFonts w:ascii="Times New Roman" w:hAnsi="Times New Roman" w:cs="Times New Roman"/>
          <w:i/>
          <w:sz w:val="24"/>
          <w:szCs w:val="24"/>
        </w:rPr>
        <w:t xml:space="preserve"> of</w:t>
      </w:r>
      <w:r w:rsidR="00E16DDC" w:rsidRPr="00875EC2">
        <w:rPr>
          <w:rFonts w:ascii="Times New Roman" w:hAnsi="Times New Roman" w:cs="Times New Roman"/>
          <w:sz w:val="24"/>
          <w:szCs w:val="24"/>
        </w:rPr>
        <w:t xml:space="preserve"> that particular </w:t>
      </w:r>
      <w:r w:rsidR="00E16DDC" w:rsidRPr="00875EC2">
        <w:rPr>
          <w:rFonts w:ascii="Times New Roman" w:hAnsi="Times New Roman" w:cs="Times New Roman"/>
          <w:i/>
          <w:sz w:val="24"/>
          <w:szCs w:val="24"/>
        </w:rPr>
        <w:t>X</w:t>
      </w:r>
      <w:r w:rsidR="00E16DDC" w:rsidRPr="00875EC2">
        <w:rPr>
          <w:rFonts w:ascii="Times New Roman" w:hAnsi="Times New Roman" w:cs="Times New Roman"/>
          <w:sz w:val="24"/>
          <w:szCs w:val="24"/>
        </w:rPr>
        <w:t xml:space="preserve"> and is in that sense </w:t>
      </w:r>
      <w:r w:rsidR="00E16DDC" w:rsidRPr="00875EC2">
        <w:rPr>
          <w:rFonts w:ascii="Times New Roman" w:hAnsi="Times New Roman" w:cs="Times New Roman"/>
          <w:i/>
          <w:sz w:val="24"/>
          <w:szCs w:val="24"/>
        </w:rPr>
        <w:t>derivative</w:t>
      </w:r>
      <w:r w:rsidR="00E16DDC" w:rsidRPr="00875EC2">
        <w:rPr>
          <w:rFonts w:ascii="Times New Roman" w:hAnsi="Times New Roman" w:cs="Times New Roman"/>
          <w:sz w:val="24"/>
          <w:szCs w:val="24"/>
        </w:rPr>
        <w:t>.”</w:t>
      </w:r>
      <w:r w:rsidR="00012933">
        <w:rPr>
          <w:rFonts w:ascii="Times New Roman" w:hAnsi="Times New Roman" w:cs="Times New Roman"/>
          <w:sz w:val="24"/>
          <w:szCs w:val="24"/>
        </w:rPr>
        <w:t xml:space="preserve"> In contrast</w:t>
      </w:r>
      <w:r w:rsidR="00E16DDC" w:rsidRPr="00875EC2">
        <w:rPr>
          <w:rFonts w:ascii="Times New Roman" w:hAnsi="Times New Roman" w:cs="Times New Roman"/>
          <w:sz w:val="24"/>
          <w:szCs w:val="24"/>
        </w:rPr>
        <w:t xml:space="preserve">, the non-ontic sense of “seeing an </w:t>
      </w:r>
      <w:r w:rsidR="00E16DDC" w:rsidRPr="00875EC2">
        <w:rPr>
          <w:rFonts w:ascii="Times New Roman" w:hAnsi="Times New Roman" w:cs="Times New Roman"/>
          <w:i/>
          <w:sz w:val="24"/>
          <w:szCs w:val="24"/>
        </w:rPr>
        <w:t>X</w:t>
      </w:r>
      <w:r w:rsidR="00E16DDC" w:rsidRPr="00875EC2">
        <w:rPr>
          <w:rFonts w:ascii="Times New Roman" w:hAnsi="Times New Roman" w:cs="Times New Roman"/>
          <w:sz w:val="24"/>
          <w:szCs w:val="24"/>
        </w:rPr>
        <w:t xml:space="preserve">,” which “is arguably operative in characterizations of </w:t>
      </w:r>
      <w:r w:rsidR="00E16DDC" w:rsidRPr="00875EC2">
        <w:rPr>
          <w:rFonts w:ascii="Times New Roman" w:hAnsi="Times New Roman" w:cs="Times New Roman"/>
          <w:i/>
          <w:sz w:val="24"/>
          <w:szCs w:val="24"/>
        </w:rPr>
        <w:t>non-veridical</w:t>
      </w:r>
      <w:r w:rsidR="00E16DDC" w:rsidRPr="00875EC2">
        <w:rPr>
          <w:rFonts w:ascii="Times New Roman" w:hAnsi="Times New Roman" w:cs="Times New Roman"/>
          <w:sz w:val="24"/>
          <w:szCs w:val="24"/>
        </w:rPr>
        <w:t xml:space="preserve"> visual experiences</w:t>
      </w:r>
      <w:r w:rsidR="00105507" w:rsidRPr="00875EC2">
        <w:rPr>
          <w:rFonts w:ascii="Times New Roman" w:hAnsi="Times New Roman" w:cs="Times New Roman"/>
          <w:sz w:val="24"/>
          <w:szCs w:val="24"/>
        </w:rPr>
        <w:t>,”</w:t>
      </w:r>
      <w:r w:rsidR="00E16DDC" w:rsidRPr="00875EC2">
        <w:rPr>
          <w:rFonts w:ascii="Times New Roman" w:hAnsi="Times New Roman" w:cs="Times New Roman"/>
          <w:sz w:val="24"/>
          <w:szCs w:val="24"/>
        </w:rPr>
        <w:t xml:space="preserve"> e.g.</w:t>
      </w:r>
      <w:r w:rsidR="00D63BD5">
        <w:rPr>
          <w:rFonts w:ascii="Times New Roman" w:hAnsi="Times New Roman" w:cs="Times New Roman"/>
          <w:sz w:val="24"/>
          <w:szCs w:val="24"/>
        </w:rPr>
        <w:t>,</w:t>
      </w:r>
      <w:r w:rsidR="00E16DDC" w:rsidRPr="00875EC2">
        <w:rPr>
          <w:rFonts w:ascii="Times New Roman" w:hAnsi="Times New Roman" w:cs="Times New Roman"/>
          <w:sz w:val="24"/>
          <w:szCs w:val="24"/>
        </w:rPr>
        <w:t xml:space="preserve"> hallucinations, “involves no actual</w:t>
      </w:r>
      <w:r w:rsidR="00E16DDC" w:rsidRPr="00875EC2">
        <w:rPr>
          <w:rFonts w:ascii="Times New Roman" w:hAnsi="Times New Roman" w:cs="Times New Roman"/>
          <w:i/>
          <w:sz w:val="24"/>
          <w:szCs w:val="24"/>
        </w:rPr>
        <w:t xml:space="preserve"> X</w:t>
      </w:r>
      <w:r w:rsidR="00E16DDC" w:rsidRPr="00875EC2">
        <w:rPr>
          <w:rFonts w:ascii="Times New Roman" w:hAnsi="Times New Roman" w:cs="Times New Roman"/>
          <w:sz w:val="24"/>
          <w:szCs w:val="24"/>
        </w:rPr>
        <w:t xml:space="preserve"> that is seen.”</w:t>
      </w:r>
      <w:r w:rsidR="00D05284" w:rsidRPr="00875EC2">
        <w:rPr>
          <w:rFonts w:ascii="Times New Roman" w:hAnsi="Times New Roman" w:cs="Times New Roman"/>
          <w:sz w:val="24"/>
          <w:szCs w:val="24"/>
        </w:rPr>
        <w:t xml:space="preserve"> Thus</w:t>
      </w:r>
      <w:r w:rsidR="00E16DDC" w:rsidRPr="00875EC2">
        <w:rPr>
          <w:rFonts w:ascii="Times New Roman" w:hAnsi="Times New Roman" w:cs="Times New Roman"/>
          <w:sz w:val="24"/>
          <w:szCs w:val="24"/>
        </w:rPr>
        <w:t xml:space="preserve">, “[t]he experience is … </w:t>
      </w:r>
      <w:r w:rsidR="00E16DDC" w:rsidRPr="00875EC2">
        <w:rPr>
          <w:rFonts w:ascii="Times New Roman" w:hAnsi="Times New Roman" w:cs="Times New Roman"/>
          <w:i/>
          <w:sz w:val="24"/>
          <w:szCs w:val="24"/>
        </w:rPr>
        <w:t>of</w:t>
      </w:r>
      <w:r w:rsidR="00E16DDC" w:rsidRPr="00875EC2">
        <w:rPr>
          <w:rFonts w:ascii="Times New Roman" w:hAnsi="Times New Roman" w:cs="Times New Roman"/>
          <w:sz w:val="24"/>
          <w:szCs w:val="24"/>
        </w:rPr>
        <w:t xml:space="preserve"> no particular </w:t>
      </w:r>
      <w:r w:rsidR="00E16DDC" w:rsidRPr="00875EC2">
        <w:rPr>
          <w:rFonts w:ascii="Times New Roman" w:hAnsi="Times New Roman" w:cs="Times New Roman"/>
          <w:i/>
          <w:sz w:val="24"/>
          <w:szCs w:val="24"/>
        </w:rPr>
        <w:t>X</w:t>
      </w:r>
      <w:r w:rsidR="00E16DDC" w:rsidRPr="00875EC2">
        <w:rPr>
          <w:rFonts w:ascii="Times New Roman" w:hAnsi="Times New Roman" w:cs="Times New Roman"/>
          <w:sz w:val="24"/>
          <w:szCs w:val="24"/>
        </w:rPr>
        <w:t xml:space="preserve"> and is in that sense </w:t>
      </w:r>
      <w:r w:rsidR="00E16DDC" w:rsidRPr="00875EC2">
        <w:rPr>
          <w:rFonts w:ascii="Times New Roman" w:hAnsi="Times New Roman" w:cs="Times New Roman"/>
          <w:i/>
          <w:sz w:val="24"/>
          <w:szCs w:val="24"/>
        </w:rPr>
        <w:t>creative</w:t>
      </w:r>
      <w:r w:rsidR="00E16DDC" w:rsidRPr="00875EC2">
        <w:rPr>
          <w:rFonts w:ascii="Times New Roman" w:hAnsi="Times New Roman" w:cs="Times New Roman"/>
          <w:sz w:val="24"/>
          <w:szCs w:val="24"/>
        </w:rPr>
        <w:t xml:space="preserve">.” </w:t>
      </w:r>
      <w:r w:rsidR="00982976" w:rsidRPr="00875EC2">
        <w:rPr>
          <w:rFonts w:ascii="Times New Roman" w:hAnsi="Times New Roman" w:cs="Times New Roman"/>
          <w:sz w:val="24"/>
          <w:szCs w:val="24"/>
        </w:rPr>
        <w:t>It is important to note that, when either “drawing” or “seeing” are used in their non-ontic sense, the inference from “</w:t>
      </w:r>
      <w:r w:rsidR="00982976" w:rsidRPr="00875EC2">
        <w:rPr>
          <w:rFonts w:ascii="Times New Roman" w:hAnsi="Times New Roman" w:cs="Times New Roman"/>
          <w:i/>
          <w:sz w:val="24"/>
          <w:szCs w:val="24"/>
        </w:rPr>
        <w:t>A</w:t>
      </w:r>
      <w:r w:rsidR="00982976" w:rsidRPr="00875EC2">
        <w:rPr>
          <w:rFonts w:ascii="Times New Roman" w:hAnsi="Times New Roman" w:cs="Times New Roman"/>
          <w:sz w:val="24"/>
          <w:szCs w:val="24"/>
        </w:rPr>
        <w:t xml:space="preserve"> draws (sees) an </w:t>
      </w:r>
      <w:r w:rsidR="00982976" w:rsidRPr="00875EC2">
        <w:rPr>
          <w:rFonts w:ascii="Times New Roman" w:hAnsi="Times New Roman" w:cs="Times New Roman"/>
          <w:i/>
          <w:sz w:val="24"/>
          <w:szCs w:val="24"/>
        </w:rPr>
        <w:t>X</w:t>
      </w:r>
      <w:r w:rsidR="00982976" w:rsidRPr="00875EC2">
        <w:rPr>
          <w:rFonts w:ascii="Times New Roman" w:hAnsi="Times New Roman" w:cs="Times New Roman"/>
          <w:sz w:val="24"/>
          <w:szCs w:val="24"/>
        </w:rPr>
        <w:t xml:space="preserve">” to “There is an </w:t>
      </w:r>
      <w:r w:rsidR="00982976" w:rsidRPr="00875EC2">
        <w:rPr>
          <w:rFonts w:ascii="Times New Roman" w:hAnsi="Times New Roman" w:cs="Times New Roman"/>
          <w:i/>
          <w:sz w:val="24"/>
          <w:szCs w:val="24"/>
        </w:rPr>
        <w:t>X</w:t>
      </w:r>
      <w:r w:rsidR="00982976" w:rsidRPr="00875EC2">
        <w:rPr>
          <w:rFonts w:ascii="Times New Roman" w:hAnsi="Times New Roman" w:cs="Times New Roman"/>
          <w:sz w:val="24"/>
          <w:szCs w:val="24"/>
        </w:rPr>
        <w:t xml:space="preserve"> that </w:t>
      </w:r>
      <w:r w:rsidR="00982976" w:rsidRPr="00875EC2">
        <w:rPr>
          <w:rFonts w:ascii="Times New Roman" w:hAnsi="Times New Roman" w:cs="Times New Roman"/>
          <w:i/>
          <w:sz w:val="24"/>
          <w:szCs w:val="24"/>
        </w:rPr>
        <w:t>A</w:t>
      </w:r>
      <w:r w:rsidR="00982976" w:rsidRPr="00875EC2">
        <w:rPr>
          <w:rFonts w:ascii="Times New Roman" w:hAnsi="Times New Roman" w:cs="Times New Roman"/>
          <w:sz w:val="24"/>
          <w:szCs w:val="24"/>
        </w:rPr>
        <w:t xml:space="preserve"> draws (sees)” is fallacious. Now, Reimer suggests that “referring to an </w:t>
      </w:r>
      <w:r w:rsidR="00982976" w:rsidRPr="00875EC2">
        <w:rPr>
          <w:rFonts w:ascii="Times New Roman" w:hAnsi="Times New Roman" w:cs="Times New Roman"/>
          <w:i/>
          <w:sz w:val="24"/>
          <w:szCs w:val="24"/>
        </w:rPr>
        <w:t>X</w:t>
      </w:r>
      <w:r w:rsidR="00982976" w:rsidRPr="00875EC2">
        <w:rPr>
          <w:rFonts w:ascii="Times New Roman" w:hAnsi="Times New Roman" w:cs="Times New Roman"/>
          <w:sz w:val="24"/>
          <w:szCs w:val="24"/>
        </w:rPr>
        <w:t>”</w:t>
      </w:r>
      <w:r w:rsidR="004A421F" w:rsidRPr="00875EC2">
        <w:rPr>
          <w:rFonts w:ascii="Times New Roman" w:hAnsi="Times New Roman" w:cs="Times New Roman"/>
          <w:sz w:val="24"/>
          <w:szCs w:val="24"/>
        </w:rPr>
        <w:t xml:space="preserve"> might behave</w:t>
      </w:r>
      <w:r w:rsidR="00982976" w:rsidRPr="00875EC2">
        <w:rPr>
          <w:rFonts w:ascii="Times New Roman" w:hAnsi="Times New Roman" w:cs="Times New Roman"/>
          <w:sz w:val="24"/>
          <w:szCs w:val="24"/>
        </w:rPr>
        <w:t xml:space="preserve"> similarly to “drawing an </w:t>
      </w:r>
      <w:r w:rsidR="00982976" w:rsidRPr="00875EC2">
        <w:rPr>
          <w:rFonts w:ascii="Times New Roman" w:hAnsi="Times New Roman" w:cs="Times New Roman"/>
          <w:i/>
          <w:sz w:val="24"/>
          <w:szCs w:val="24"/>
        </w:rPr>
        <w:t>X</w:t>
      </w:r>
      <w:r w:rsidR="00982976" w:rsidRPr="00875EC2">
        <w:rPr>
          <w:rFonts w:ascii="Times New Roman" w:hAnsi="Times New Roman" w:cs="Times New Roman"/>
          <w:sz w:val="24"/>
          <w:szCs w:val="24"/>
        </w:rPr>
        <w:t xml:space="preserve">” and “seeing an </w:t>
      </w:r>
      <w:r w:rsidR="00982976" w:rsidRPr="00875EC2">
        <w:rPr>
          <w:rFonts w:ascii="Times New Roman" w:hAnsi="Times New Roman" w:cs="Times New Roman"/>
          <w:i/>
          <w:sz w:val="24"/>
          <w:szCs w:val="24"/>
        </w:rPr>
        <w:t>X</w:t>
      </w:r>
      <w:r w:rsidR="004A421F" w:rsidRPr="00D63BD5">
        <w:rPr>
          <w:rFonts w:ascii="Times New Roman" w:hAnsi="Times New Roman" w:cs="Times New Roman"/>
          <w:sz w:val="24"/>
          <w:szCs w:val="24"/>
        </w:rPr>
        <w:t>.</w:t>
      </w:r>
      <w:r w:rsidR="00982976" w:rsidRPr="00875EC2">
        <w:rPr>
          <w:rFonts w:ascii="Times New Roman" w:hAnsi="Times New Roman" w:cs="Times New Roman"/>
          <w:sz w:val="24"/>
          <w:szCs w:val="24"/>
        </w:rPr>
        <w:t>”</w:t>
      </w:r>
      <w:r w:rsidR="004A421F" w:rsidRPr="00875EC2">
        <w:rPr>
          <w:rFonts w:ascii="Times New Roman" w:hAnsi="Times New Roman" w:cs="Times New Roman"/>
          <w:sz w:val="24"/>
          <w:szCs w:val="24"/>
        </w:rPr>
        <w:t xml:space="preserve"> Its ontic sense “would involve an actual </w:t>
      </w:r>
      <w:r w:rsidR="004A421F" w:rsidRPr="00875EC2">
        <w:rPr>
          <w:rFonts w:ascii="Times New Roman" w:hAnsi="Times New Roman" w:cs="Times New Roman"/>
          <w:i/>
          <w:sz w:val="24"/>
          <w:szCs w:val="24"/>
        </w:rPr>
        <w:t xml:space="preserve">X </w:t>
      </w:r>
      <w:r w:rsidR="004A421F" w:rsidRPr="00875EC2">
        <w:rPr>
          <w:rFonts w:ascii="Times New Roman" w:hAnsi="Times New Roman" w:cs="Times New Roman"/>
          <w:sz w:val="24"/>
          <w:szCs w:val="24"/>
        </w:rPr>
        <w:t xml:space="preserve">to which the speaker refers, to which she intends to draw the audience’s attention.” Its non-ontic sense, </w:t>
      </w:r>
      <w:r w:rsidR="00012933">
        <w:rPr>
          <w:rFonts w:ascii="Times New Roman" w:hAnsi="Times New Roman" w:cs="Times New Roman"/>
          <w:sz w:val="24"/>
          <w:szCs w:val="24"/>
        </w:rPr>
        <w:t>in contrast</w:t>
      </w:r>
      <w:r w:rsidR="004A421F" w:rsidRPr="00875EC2">
        <w:rPr>
          <w:rFonts w:ascii="Times New Roman" w:hAnsi="Times New Roman" w:cs="Times New Roman"/>
          <w:sz w:val="24"/>
          <w:szCs w:val="24"/>
        </w:rPr>
        <w:t xml:space="preserve">, “would involve no such </w:t>
      </w:r>
      <w:r w:rsidR="004A421F" w:rsidRPr="00875EC2">
        <w:rPr>
          <w:rFonts w:ascii="Times New Roman" w:hAnsi="Times New Roman" w:cs="Times New Roman"/>
          <w:i/>
          <w:sz w:val="24"/>
          <w:szCs w:val="24"/>
        </w:rPr>
        <w:t>X</w:t>
      </w:r>
      <w:r w:rsidR="004A421F" w:rsidRPr="00875EC2">
        <w:rPr>
          <w:rFonts w:ascii="Times New Roman" w:hAnsi="Times New Roman" w:cs="Times New Roman"/>
          <w:sz w:val="24"/>
          <w:szCs w:val="24"/>
        </w:rPr>
        <w:t xml:space="preserve">, no actual </w:t>
      </w:r>
      <w:r w:rsidR="004A421F" w:rsidRPr="00875EC2">
        <w:rPr>
          <w:rFonts w:ascii="Times New Roman" w:hAnsi="Times New Roman" w:cs="Times New Roman"/>
          <w:i/>
          <w:sz w:val="24"/>
          <w:szCs w:val="24"/>
        </w:rPr>
        <w:t>X</w:t>
      </w:r>
      <w:r w:rsidR="004A421F" w:rsidRPr="00875EC2">
        <w:rPr>
          <w:rFonts w:ascii="Times New Roman" w:hAnsi="Times New Roman" w:cs="Times New Roman"/>
          <w:sz w:val="24"/>
          <w:szCs w:val="24"/>
        </w:rPr>
        <w:t xml:space="preserve"> to which the speaker refers, to which she intends to draw the audience’s attention.” The non-ontic sense might be operative, for example, in characterizations of </w:t>
      </w:r>
      <w:r w:rsidR="00F178C9" w:rsidRPr="00875EC2">
        <w:rPr>
          <w:rFonts w:ascii="Times New Roman" w:hAnsi="Times New Roman" w:cs="Times New Roman"/>
          <w:sz w:val="24"/>
          <w:szCs w:val="24"/>
        </w:rPr>
        <w:t xml:space="preserve">demonstrative reference to hallucinations, as in the famous Macbeth’s dagger case. However, there is a “particularly troubling objection” that needs to be faced. In fact, the analogy between “drawing an </w:t>
      </w:r>
      <w:r w:rsidR="00F178C9" w:rsidRPr="00875EC2">
        <w:rPr>
          <w:rFonts w:ascii="Times New Roman" w:hAnsi="Times New Roman" w:cs="Times New Roman"/>
          <w:i/>
          <w:sz w:val="24"/>
          <w:szCs w:val="24"/>
        </w:rPr>
        <w:t>X</w:t>
      </w:r>
      <w:r w:rsidR="00F178C9" w:rsidRPr="00875EC2">
        <w:rPr>
          <w:rFonts w:ascii="Times New Roman" w:hAnsi="Times New Roman" w:cs="Times New Roman"/>
          <w:sz w:val="24"/>
          <w:szCs w:val="24"/>
        </w:rPr>
        <w:t xml:space="preserve">” and “referring to an </w:t>
      </w:r>
      <w:r w:rsidR="00F178C9" w:rsidRPr="00875EC2">
        <w:rPr>
          <w:rFonts w:ascii="Times New Roman" w:hAnsi="Times New Roman" w:cs="Times New Roman"/>
          <w:i/>
          <w:sz w:val="24"/>
          <w:szCs w:val="24"/>
        </w:rPr>
        <w:t>X</w:t>
      </w:r>
      <w:r w:rsidR="00DA6CED" w:rsidRPr="00875EC2">
        <w:rPr>
          <w:rFonts w:ascii="Times New Roman" w:hAnsi="Times New Roman" w:cs="Times New Roman"/>
          <w:sz w:val="24"/>
          <w:szCs w:val="24"/>
        </w:rPr>
        <w:t>” seems not to hold</w:t>
      </w:r>
      <w:r w:rsidR="00F178C9" w:rsidRPr="00875EC2">
        <w:rPr>
          <w:rFonts w:ascii="Times New Roman" w:hAnsi="Times New Roman" w:cs="Times New Roman"/>
          <w:sz w:val="24"/>
          <w:szCs w:val="24"/>
        </w:rPr>
        <w:t xml:space="preserve"> in the non-ontic cases</w:t>
      </w:r>
      <w:r w:rsidR="00193345" w:rsidRPr="00875EC2">
        <w:rPr>
          <w:rFonts w:ascii="Times New Roman" w:hAnsi="Times New Roman" w:cs="Times New Roman"/>
          <w:sz w:val="24"/>
          <w:szCs w:val="24"/>
        </w:rPr>
        <w:t xml:space="preserve">, for “in the case of drawing, there is clearly </w:t>
      </w:r>
      <w:r w:rsidR="00193345" w:rsidRPr="00875EC2">
        <w:rPr>
          <w:rFonts w:ascii="Times New Roman" w:hAnsi="Times New Roman" w:cs="Times New Roman"/>
          <w:i/>
          <w:sz w:val="24"/>
          <w:szCs w:val="24"/>
        </w:rPr>
        <w:t>something</w:t>
      </w:r>
      <w:r w:rsidR="00193345" w:rsidRPr="00875EC2">
        <w:rPr>
          <w:rFonts w:ascii="Times New Roman" w:hAnsi="Times New Roman" w:cs="Times New Roman"/>
          <w:sz w:val="24"/>
          <w:szCs w:val="24"/>
        </w:rPr>
        <w:t xml:space="preserve"> that is created or produced, namely an </w:t>
      </w:r>
      <w:r w:rsidR="00193345" w:rsidRPr="00875EC2">
        <w:rPr>
          <w:rFonts w:ascii="Times New Roman" w:hAnsi="Times New Roman" w:cs="Times New Roman"/>
          <w:i/>
          <w:sz w:val="24"/>
          <w:szCs w:val="24"/>
        </w:rPr>
        <w:t>X</w:t>
      </w:r>
      <w:r w:rsidR="00193345" w:rsidRPr="00875EC2">
        <w:rPr>
          <w:rFonts w:ascii="Times New Roman" w:hAnsi="Times New Roman" w:cs="Times New Roman"/>
          <w:sz w:val="24"/>
          <w:szCs w:val="24"/>
        </w:rPr>
        <w:t>-drawing,” whereas there appears to be no artifact that is created when, e.g., Macbeth refers to a dagger.</w:t>
      </w:r>
      <w:r w:rsidR="00F178C9" w:rsidRPr="00875EC2">
        <w:rPr>
          <w:rFonts w:ascii="Times New Roman" w:hAnsi="Times New Roman" w:cs="Times New Roman"/>
          <w:sz w:val="24"/>
          <w:szCs w:val="24"/>
        </w:rPr>
        <w:t xml:space="preserve"> </w:t>
      </w:r>
      <w:r w:rsidR="00193345" w:rsidRPr="00875EC2">
        <w:rPr>
          <w:rFonts w:ascii="Times New Roman" w:hAnsi="Times New Roman" w:cs="Times New Roman"/>
          <w:sz w:val="24"/>
          <w:szCs w:val="24"/>
        </w:rPr>
        <w:t>Reimer’s reply, inspired by Nathan Salmon’</w:t>
      </w:r>
      <w:r w:rsidR="005B3559" w:rsidRPr="00875EC2">
        <w:rPr>
          <w:rFonts w:ascii="Times New Roman" w:hAnsi="Times New Roman" w:cs="Times New Roman"/>
          <w:sz w:val="24"/>
          <w:szCs w:val="24"/>
        </w:rPr>
        <w:t>s treatment</w:t>
      </w:r>
      <w:r w:rsidR="00193345" w:rsidRPr="00875EC2">
        <w:rPr>
          <w:rFonts w:ascii="Times New Roman" w:hAnsi="Times New Roman" w:cs="Times New Roman"/>
          <w:sz w:val="24"/>
          <w:szCs w:val="24"/>
        </w:rPr>
        <w:t xml:space="preserve"> of what he calls </w:t>
      </w:r>
      <w:r w:rsidR="00193345" w:rsidRPr="00875EC2">
        <w:rPr>
          <w:rFonts w:ascii="Times New Roman" w:hAnsi="Times New Roman" w:cs="Times New Roman"/>
          <w:i/>
          <w:sz w:val="24"/>
          <w:szCs w:val="24"/>
        </w:rPr>
        <w:t>mythical names</w:t>
      </w:r>
      <w:r w:rsidR="00193345" w:rsidRPr="00875EC2">
        <w:rPr>
          <w:rFonts w:ascii="Times New Roman" w:hAnsi="Times New Roman" w:cs="Times New Roman"/>
          <w:sz w:val="24"/>
          <w:szCs w:val="24"/>
        </w:rPr>
        <w:t>, is that</w:t>
      </w:r>
      <w:r w:rsidR="005B3559" w:rsidRPr="00875EC2">
        <w:rPr>
          <w:rFonts w:ascii="Times New Roman" w:hAnsi="Times New Roman" w:cs="Times New Roman"/>
          <w:sz w:val="24"/>
          <w:szCs w:val="24"/>
        </w:rPr>
        <w:t>,</w:t>
      </w:r>
      <w:r w:rsidR="00193345" w:rsidRPr="00875EC2">
        <w:rPr>
          <w:rFonts w:ascii="Times New Roman" w:hAnsi="Times New Roman" w:cs="Times New Roman"/>
          <w:sz w:val="24"/>
          <w:szCs w:val="24"/>
        </w:rPr>
        <w:t xml:space="preserve"> on the contrary, even in the case of </w:t>
      </w:r>
      <w:r w:rsidR="005B3559" w:rsidRPr="00875EC2">
        <w:rPr>
          <w:rFonts w:ascii="Times New Roman" w:hAnsi="Times New Roman" w:cs="Times New Roman"/>
          <w:sz w:val="24"/>
          <w:szCs w:val="24"/>
        </w:rPr>
        <w:t xml:space="preserve">non-ontic referring there actually is an artifact, albeit </w:t>
      </w:r>
      <w:r w:rsidR="005B3559" w:rsidRPr="00875EC2">
        <w:rPr>
          <w:rFonts w:ascii="Times New Roman" w:hAnsi="Times New Roman" w:cs="Times New Roman"/>
          <w:i/>
          <w:sz w:val="24"/>
          <w:szCs w:val="24"/>
        </w:rPr>
        <w:t>abstract</w:t>
      </w:r>
      <w:r w:rsidR="005B3559" w:rsidRPr="00875EC2">
        <w:rPr>
          <w:rFonts w:ascii="Times New Roman" w:hAnsi="Times New Roman" w:cs="Times New Roman"/>
          <w:sz w:val="24"/>
          <w:szCs w:val="24"/>
        </w:rPr>
        <w:t xml:space="preserve"> rather than physical, that is “created by the inadvertent hypostatization of an ordinary visual experience.” It is to such an abstract artifact, which is neither a physical dagger nor a “dagger of the mind,” that Macbeth can be said to refer, concludes Reimer.</w:t>
      </w:r>
    </w:p>
    <w:p w:rsidR="00F15015" w:rsidRPr="00875EC2" w:rsidRDefault="00D63BD5" w:rsidP="00582A7F">
      <w:pPr>
        <w:pStyle w:val="Typewriter2"/>
        <w:ind w:firstLine="340"/>
        <w:rPr>
          <w:rFonts w:ascii="Times New Roman" w:hAnsi="Times New Roman"/>
          <w:sz w:val="24"/>
          <w:szCs w:val="24"/>
          <w:u w:val="single"/>
        </w:rPr>
      </w:pPr>
      <w:r>
        <w:rPr>
          <w:rFonts w:ascii="Times New Roman" w:hAnsi="Times New Roman"/>
          <w:sz w:val="24"/>
          <w:szCs w:val="24"/>
          <w:lang w:val="en-GB"/>
        </w:rPr>
        <w:t>In his chapter</w:t>
      </w:r>
      <w:r w:rsidR="00D05284" w:rsidRPr="00875EC2">
        <w:rPr>
          <w:rFonts w:ascii="Times New Roman" w:hAnsi="Times New Roman"/>
          <w:sz w:val="24"/>
          <w:szCs w:val="24"/>
          <w:lang w:val="en-GB"/>
        </w:rPr>
        <w:t xml:space="preserve"> in this volume</w:t>
      </w:r>
      <w:r w:rsidR="00F15015" w:rsidRPr="00875EC2">
        <w:rPr>
          <w:rFonts w:ascii="Times New Roman" w:hAnsi="Times New Roman"/>
          <w:sz w:val="24"/>
          <w:szCs w:val="24"/>
          <w:lang w:val="en-GB"/>
        </w:rPr>
        <w:t xml:space="preserve">, “The Cognitive Contribution of Names,” John Perry </w:t>
      </w:r>
      <w:r w:rsidR="001D2A7F" w:rsidRPr="00875EC2">
        <w:rPr>
          <w:rFonts w:ascii="Times New Roman" w:hAnsi="Times New Roman"/>
          <w:sz w:val="24"/>
          <w:szCs w:val="24"/>
          <w:lang w:val="en-GB"/>
        </w:rPr>
        <w:t>addresses some of the epistemological problems</w:t>
      </w:r>
      <w:r w:rsidR="00F15015" w:rsidRPr="00875EC2">
        <w:rPr>
          <w:rFonts w:ascii="Times New Roman" w:hAnsi="Times New Roman"/>
          <w:sz w:val="24"/>
          <w:szCs w:val="24"/>
          <w:lang w:val="en-GB"/>
        </w:rPr>
        <w:t xml:space="preserve"> </w:t>
      </w:r>
      <w:r w:rsidR="001D2A7F" w:rsidRPr="00875EC2">
        <w:rPr>
          <w:rFonts w:ascii="Times New Roman" w:hAnsi="Times New Roman"/>
          <w:sz w:val="24"/>
          <w:szCs w:val="24"/>
          <w:lang w:val="en-GB"/>
        </w:rPr>
        <w:t>related to the use and understanding of language that have often been thought to le</w:t>
      </w:r>
      <w:r w:rsidR="00EF0645" w:rsidRPr="00875EC2">
        <w:rPr>
          <w:rFonts w:ascii="Times New Roman" w:hAnsi="Times New Roman"/>
          <w:sz w:val="24"/>
          <w:szCs w:val="24"/>
          <w:lang w:val="en-GB"/>
        </w:rPr>
        <w:t>nd support to Frege’s account of</w:t>
      </w:r>
      <w:r w:rsidR="001D2A7F" w:rsidRPr="00875EC2">
        <w:rPr>
          <w:rFonts w:ascii="Times New Roman" w:hAnsi="Times New Roman"/>
          <w:sz w:val="24"/>
          <w:szCs w:val="24"/>
          <w:lang w:val="en-GB"/>
        </w:rPr>
        <w:t xml:space="preserve"> reference.</w:t>
      </w:r>
      <w:r w:rsidR="00AE7578" w:rsidRPr="00875EC2">
        <w:rPr>
          <w:rFonts w:ascii="Times New Roman" w:hAnsi="Times New Roman"/>
          <w:sz w:val="24"/>
          <w:szCs w:val="24"/>
          <w:lang w:val="en-GB"/>
        </w:rPr>
        <w:t xml:space="preserve"> Indeed, he focuses on Frege’s puzzle itself, though in relation </w:t>
      </w:r>
      <w:r w:rsidR="00582A7F" w:rsidRPr="00875EC2">
        <w:rPr>
          <w:rFonts w:ascii="Times New Roman" w:hAnsi="Times New Roman"/>
          <w:sz w:val="24"/>
          <w:szCs w:val="24"/>
          <w:lang w:val="en-GB"/>
        </w:rPr>
        <w:t xml:space="preserve">only </w:t>
      </w:r>
      <w:r w:rsidR="00AE7578" w:rsidRPr="00875EC2">
        <w:rPr>
          <w:rFonts w:ascii="Times New Roman" w:hAnsi="Times New Roman"/>
          <w:sz w:val="24"/>
          <w:szCs w:val="24"/>
          <w:lang w:val="en-GB"/>
        </w:rPr>
        <w:t>to proper names.</w:t>
      </w:r>
      <w:r w:rsidR="00582A7F" w:rsidRPr="00875EC2">
        <w:rPr>
          <w:rFonts w:ascii="Times New Roman" w:hAnsi="Times New Roman"/>
          <w:sz w:val="24"/>
          <w:szCs w:val="24"/>
          <w:lang w:val="en-GB"/>
        </w:rPr>
        <w:t xml:space="preserve"> </w:t>
      </w:r>
      <w:r w:rsidR="00FE2D3F" w:rsidRPr="00875EC2">
        <w:rPr>
          <w:rFonts w:ascii="Times New Roman" w:hAnsi="Times New Roman"/>
          <w:sz w:val="24"/>
          <w:szCs w:val="24"/>
          <w:lang w:val="en-GB"/>
        </w:rPr>
        <w:t>As is we</w:t>
      </w:r>
      <w:r w:rsidR="00AF283D" w:rsidRPr="00875EC2">
        <w:rPr>
          <w:rFonts w:ascii="Times New Roman" w:hAnsi="Times New Roman"/>
          <w:sz w:val="24"/>
          <w:szCs w:val="24"/>
          <w:lang w:val="en-GB"/>
        </w:rPr>
        <w:t>ll known, what needs to be</w:t>
      </w:r>
      <w:r w:rsidR="00FE2D3F" w:rsidRPr="00875EC2">
        <w:rPr>
          <w:rFonts w:ascii="Times New Roman" w:hAnsi="Times New Roman"/>
          <w:sz w:val="24"/>
          <w:szCs w:val="24"/>
          <w:lang w:val="en-GB"/>
        </w:rPr>
        <w:t xml:space="preserve"> explained is the cognitive difference between sentences</w:t>
      </w:r>
      <w:r w:rsidR="00DA6CED" w:rsidRPr="00875EC2">
        <w:rPr>
          <w:rFonts w:ascii="Times New Roman" w:hAnsi="Times New Roman"/>
          <w:sz w:val="24"/>
          <w:szCs w:val="24"/>
          <w:lang w:val="en-GB"/>
        </w:rPr>
        <w:t xml:space="preserve"> that are</w:t>
      </w:r>
      <w:r w:rsidR="00FE2D3F" w:rsidRPr="00875EC2">
        <w:rPr>
          <w:rFonts w:ascii="Times New Roman" w:hAnsi="Times New Roman"/>
          <w:sz w:val="24"/>
          <w:szCs w:val="24"/>
          <w:lang w:val="en-GB"/>
        </w:rPr>
        <w:t xml:space="preserve"> </w:t>
      </w:r>
      <w:r w:rsidR="0016502F" w:rsidRPr="00875EC2">
        <w:rPr>
          <w:rFonts w:ascii="Times New Roman" w:hAnsi="Times New Roman"/>
          <w:sz w:val="24"/>
          <w:szCs w:val="24"/>
          <w:lang w:val="en-GB"/>
        </w:rPr>
        <w:t xml:space="preserve">alike except for </w:t>
      </w:r>
      <w:r w:rsidR="00FE2D3F" w:rsidRPr="00875EC2">
        <w:rPr>
          <w:rFonts w:ascii="Times New Roman" w:hAnsi="Times New Roman"/>
          <w:sz w:val="24"/>
          <w:szCs w:val="24"/>
          <w:lang w:val="en-GB"/>
        </w:rPr>
        <w:t>containing distinct but co-referential names (e.g</w:t>
      </w:r>
      <w:r w:rsidR="00F01D3E" w:rsidRPr="00875EC2">
        <w:rPr>
          <w:rFonts w:ascii="Times New Roman" w:hAnsi="Times New Roman"/>
          <w:sz w:val="24"/>
          <w:szCs w:val="24"/>
          <w:lang w:val="en-GB"/>
        </w:rPr>
        <w:t>.</w:t>
      </w:r>
      <w:r w:rsidR="00FE2D3F" w:rsidRPr="00875EC2">
        <w:rPr>
          <w:rFonts w:ascii="Times New Roman" w:hAnsi="Times New Roman"/>
          <w:sz w:val="24"/>
          <w:szCs w:val="24"/>
          <w:lang w:val="en-GB"/>
        </w:rPr>
        <w:t xml:space="preserve">, “San Sebastian is a wonderful city” and “Donostia is a wonderful city”). According to Perry, this amounts to establishing what the </w:t>
      </w:r>
      <w:r w:rsidR="00FE2D3F" w:rsidRPr="00875EC2">
        <w:rPr>
          <w:rFonts w:ascii="Times New Roman" w:hAnsi="Times New Roman"/>
          <w:i/>
          <w:sz w:val="24"/>
          <w:szCs w:val="24"/>
          <w:lang w:val="en-GB"/>
        </w:rPr>
        <w:t>direct cognitive contribution</w:t>
      </w:r>
      <w:r w:rsidR="00FE2D3F" w:rsidRPr="00875EC2">
        <w:rPr>
          <w:rFonts w:ascii="Times New Roman" w:hAnsi="Times New Roman"/>
          <w:sz w:val="24"/>
          <w:szCs w:val="24"/>
          <w:lang w:val="en-GB"/>
        </w:rPr>
        <w:t xml:space="preserve"> of names, namely “the property </w:t>
      </w:r>
      <w:r w:rsidR="00482152" w:rsidRPr="00875EC2">
        <w:rPr>
          <w:rFonts w:ascii="Times New Roman" w:eastAsia="Times New Roman" w:hAnsi="Times New Roman"/>
          <w:color w:val="auto"/>
          <w:sz w:val="24"/>
          <w:szCs w:val="24"/>
        </w:rPr>
        <w:t>of names that is responsible for the difference in the direct cognitive motivation [of the speaker] for and cognitive impact [on the hearer] of [such] sentences</w:t>
      </w:r>
      <w:r w:rsidR="00C33107" w:rsidRPr="00875EC2">
        <w:rPr>
          <w:rFonts w:ascii="Times New Roman" w:eastAsia="Times New Roman" w:hAnsi="Times New Roman"/>
          <w:color w:val="auto"/>
          <w:sz w:val="24"/>
          <w:szCs w:val="24"/>
        </w:rPr>
        <w:t>,</w:t>
      </w:r>
      <w:r w:rsidR="00482152" w:rsidRPr="00875EC2">
        <w:rPr>
          <w:rFonts w:ascii="Times New Roman" w:eastAsia="Times New Roman" w:hAnsi="Times New Roman"/>
          <w:color w:val="auto"/>
          <w:sz w:val="24"/>
          <w:szCs w:val="24"/>
        </w:rPr>
        <w:t>”</w:t>
      </w:r>
      <w:r w:rsidR="00C33107" w:rsidRPr="00875EC2">
        <w:rPr>
          <w:rFonts w:ascii="Times New Roman" w:eastAsia="Times New Roman" w:hAnsi="Times New Roman"/>
          <w:color w:val="auto"/>
          <w:sz w:val="24"/>
          <w:szCs w:val="24"/>
        </w:rPr>
        <w:t xml:space="preserve"> is. </w:t>
      </w:r>
      <w:r w:rsidR="00482152" w:rsidRPr="00875EC2">
        <w:rPr>
          <w:rFonts w:ascii="Times New Roman" w:eastAsia="Times New Roman" w:hAnsi="Times New Roman"/>
          <w:color w:val="auto"/>
          <w:sz w:val="24"/>
          <w:szCs w:val="24"/>
        </w:rPr>
        <w:t>Perry’s main claim concerning this “</w:t>
      </w:r>
      <w:r w:rsidR="00482152" w:rsidRPr="00875EC2">
        <w:rPr>
          <w:rFonts w:ascii="Times New Roman" w:hAnsi="Times New Roman"/>
          <w:sz w:val="24"/>
          <w:szCs w:val="24"/>
        </w:rPr>
        <w:t>is not far from what beginning students in the philosophy of language often suggest as the answer to Frege’s problem”: “[t]he direct cognitive contribution of a spoken name is how it sounds; the direct cognitive impact, is that the speaker is referring (or trying to refer, or pretending to refer) to something with a name that sounds this way; the direct cognitive motivation is to use a name that sounds this way to refer (or try to refer, or pretend to refer) to something.”</w:t>
      </w:r>
      <w:r w:rsidR="00582A7F" w:rsidRPr="00875EC2">
        <w:rPr>
          <w:rFonts w:ascii="Times New Roman" w:hAnsi="Times New Roman"/>
          <w:sz w:val="24"/>
          <w:szCs w:val="24"/>
          <w:lang w:val="en-GB"/>
        </w:rPr>
        <w:t xml:space="preserve"> </w:t>
      </w:r>
      <w:r w:rsidR="00482152" w:rsidRPr="00875EC2">
        <w:rPr>
          <w:rFonts w:ascii="Times New Roman" w:hAnsi="Times New Roman"/>
          <w:sz w:val="24"/>
          <w:szCs w:val="24"/>
          <w:lang w:val="en-GB"/>
        </w:rPr>
        <w:t xml:space="preserve">The same holds, </w:t>
      </w:r>
      <w:r w:rsidR="00482152" w:rsidRPr="00875EC2">
        <w:rPr>
          <w:rFonts w:ascii="Times New Roman" w:hAnsi="Times New Roman"/>
          <w:i/>
          <w:sz w:val="24"/>
          <w:szCs w:val="24"/>
          <w:lang w:val="en-GB"/>
        </w:rPr>
        <w:t>mutatis mutandis</w:t>
      </w:r>
      <w:r w:rsidR="00482152" w:rsidRPr="00875EC2">
        <w:rPr>
          <w:rFonts w:ascii="Times New Roman" w:hAnsi="Times New Roman"/>
          <w:sz w:val="24"/>
          <w:szCs w:val="24"/>
          <w:lang w:val="en-GB"/>
        </w:rPr>
        <w:t xml:space="preserve">, for written names. </w:t>
      </w:r>
      <w:r w:rsidR="00DA6CED" w:rsidRPr="00875EC2">
        <w:rPr>
          <w:rFonts w:ascii="Times New Roman" w:hAnsi="Times New Roman"/>
          <w:sz w:val="24"/>
          <w:szCs w:val="24"/>
          <w:lang w:val="en-GB"/>
        </w:rPr>
        <w:t xml:space="preserve">Behind </w:t>
      </w:r>
      <w:r w:rsidR="009A5DA2" w:rsidRPr="00875EC2">
        <w:rPr>
          <w:rFonts w:ascii="Times New Roman" w:hAnsi="Times New Roman"/>
          <w:sz w:val="24"/>
          <w:szCs w:val="24"/>
          <w:lang w:val="en-GB"/>
        </w:rPr>
        <w:t>it, there is the idea that “</w:t>
      </w:r>
      <w:r w:rsidR="009A5DA2" w:rsidRPr="00875EC2">
        <w:rPr>
          <w:rFonts w:ascii="Times New Roman" w:hAnsi="Times New Roman"/>
          <w:sz w:val="24"/>
          <w:szCs w:val="24"/>
        </w:rPr>
        <w:t>[w]hen a person hears a statement with a certain content, she doesn’t grasp the content directly and immediately, although it may often seem like it.” On the contrary, “[s]he needs to recognize the words, parse the sentence, apply her knowledge of how the language works, and feed in the relevant contextual facts, to arrive at the proposition expressed.”</w:t>
      </w:r>
      <w:r w:rsidR="009A5DA2" w:rsidRPr="00875EC2">
        <w:rPr>
          <w:rFonts w:ascii="Times New Roman" w:hAnsi="Times New Roman"/>
          <w:sz w:val="24"/>
          <w:szCs w:val="24"/>
          <w:lang w:val="en-GB"/>
        </w:rPr>
        <w:t xml:space="preserve"> </w:t>
      </w:r>
      <w:r w:rsidR="00482152" w:rsidRPr="00875EC2">
        <w:rPr>
          <w:rFonts w:ascii="Times New Roman" w:hAnsi="Times New Roman"/>
          <w:sz w:val="24"/>
          <w:szCs w:val="24"/>
          <w:lang w:val="en-GB"/>
        </w:rPr>
        <w:t xml:space="preserve">Perry </w:t>
      </w:r>
      <w:r w:rsidR="0016502F" w:rsidRPr="00875EC2">
        <w:rPr>
          <w:rFonts w:ascii="Times New Roman" w:hAnsi="Times New Roman"/>
          <w:sz w:val="24"/>
          <w:szCs w:val="24"/>
          <w:lang w:val="en-GB"/>
        </w:rPr>
        <w:t xml:space="preserve">illustrates and defends </w:t>
      </w:r>
      <w:r w:rsidR="00482152" w:rsidRPr="00875EC2">
        <w:rPr>
          <w:rFonts w:ascii="Times New Roman" w:hAnsi="Times New Roman"/>
          <w:sz w:val="24"/>
          <w:szCs w:val="24"/>
          <w:lang w:val="en-GB"/>
        </w:rPr>
        <w:t>his claim by discussing a number of examples and by addressing some potential problems (ambiguous names, empty names, indirect discourse</w:t>
      </w:r>
      <w:r w:rsidR="0016502F" w:rsidRPr="00875EC2">
        <w:rPr>
          <w:rFonts w:ascii="Times New Roman" w:hAnsi="Times New Roman"/>
          <w:sz w:val="24"/>
          <w:szCs w:val="24"/>
          <w:lang w:val="en-GB"/>
        </w:rPr>
        <w:t>)</w:t>
      </w:r>
      <w:r w:rsidR="00C33107" w:rsidRPr="00875EC2">
        <w:rPr>
          <w:rFonts w:ascii="Times New Roman" w:hAnsi="Times New Roman"/>
          <w:sz w:val="24"/>
          <w:szCs w:val="24"/>
          <w:lang w:val="en-GB"/>
        </w:rPr>
        <w:t xml:space="preserve"> and objections, and compares it</w:t>
      </w:r>
      <w:r w:rsidR="0016502F" w:rsidRPr="00875EC2">
        <w:rPr>
          <w:rFonts w:ascii="Times New Roman" w:hAnsi="Times New Roman"/>
          <w:sz w:val="24"/>
          <w:szCs w:val="24"/>
          <w:lang w:val="en-GB"/>
        </w:rPr>
        <w:t xml:space="preserve"> with Frege’s solution</w:t>
      </w:r>
      <w:r w:rsidR="009A5DA2" w:rsidRPr="00875EC2">
        <w:rPr>
          <w:rFonts w:ascii="Times New Roman" w:hAnsi="Times New Roman"/>
          <w:sz w:val="24"/>
          <w:szCs w:val="24"/>
          <w:lang w:val="en-GB"/>
        </w:rPr>
        <w:t xml:space="preserve"> to his own problem</w:t>
      </w:r>
      <w:r w:rsidR="0016502F" w:rsidRPr="00875EC2">
        <w:rPr>
          <w:rFonts w:ascii="Times New Roman" w:hAnsi="Times New Roman"/>
          <w:sz w:val="24"/>
          <w:szCs w:val="24"/>
          <w:lang w:val="en-GB"/>
        </w:rPr>
        <w:t>. I</w:t>
      </w:r>
      <w:r w:rsidR="009A5DA2" w:rsidRPr="00875EC2">
        <w:rPr>
          <w:rFonts w:ascii="Times New Roman" w:hAnsi="Times New Roman"/>
          <w:sz w:val="24"/>
          <w:szCs w:val="24"/>
          <w:lang w:val="en-GB"/>
        </w:rPr>
        <w:t>f Perry</w:t>
      </w:r>
      <w:r w:rsidR="0016502F" w:rsidRPr="00875EC2">
        <w:rPr>
          <w:rFonts w:ascii="Times New Roman" w:hAnsi="Times New Roman"/>
          <w:sz w:val="24"/>
          <w:szCs w:val="24"/>
          <w:lang w:val="en-GB"/>
        </w:rPr>
        <w:t xml:space="preserve"> is right, in fact,</w:t>
      </w:r>
      <w:r w:rsidR="00482152" w:rsidRPr="00875EC2">
        <w:rPr>
          <w:rFonts w:ascii="Times New Roman" w:hAnsi="Times New Roman"/>
          <w:sz w:val="24"/>
          <w:szCs w:val="24"/>
          <w:lang w:val="en-GB"/>
        </w:rPr>
        <w:t xml:space="preserve"> </w:t>
      </w:r>
      <w:r w:rsidR="0016502F" w:rsidRPr="00875EC2">
        <w:rPr>
          <w:rFonts w:ascii="Times New Roman" w:hAnsi="Times New Roman"/>
          <w:sz w:val="24"/>
          <w:szCs w:val="24"/>
        </w:rPr>
        <w:t>“[t]he cognitive contribution of names neither requires nor motivates something in the semantics that associates names with ideas, or Fregean senses, or anything else except what they stand for.”</w:t>
      </w:r>
      <w:r w:rsidR="0016502F" w:rsidRPr="00875EC2">
        <w:rPr>
          <w:rFonts w:ascii="Times New Roman" w:hAnsi="Times New Roman"/>
          <w:sz w:val="24"/>
          <w:szCs w:val="24"/>
          <w:lang w:val="en-GB"/>
        </w:rPr>
        <w:t xml:space="preserve"> </w:t>
      </w:r>
      <w:r w:rsidR="009A5DA2" w:rsidRPr="00875EC2">
        <w:rPr>
          <w:rFonts w:ascii="Times New Roman" w:hAnsi="Times New Roman"/>
          <w:sz w:val="24"/>
          <w:szCs w:val="24"/>
          <w:lang w:val="en-GB"/>
        </w:rPr>
        <w:t xml:space="preserve">Thus, </w:t>
      </w:r>
      <w:r>
        <w:rPr>
          <w:rFonts w:ascii="Times New Roman" w:hAnsi="Times New Roman"/>
          <w:sz w:val="24"/>
          <w:szCs w:val="24"/>
          <w:lang w:val="en-GB"/>
        </w:rPr>
        <w:t>Perry’s chapter</w:t>
      </w:r>
      <w:r w:rsidR="0016502F" w:rsidRPr="00875EC2">
        <w:rPr>
          <w:rFonts w:ascii="Times New Roman" w:hAnsi="Times New Roman"/>
          <w:sz w:val="24"/>
          <w:szCs w:val="24"/>
          <w:lang w:val="en-GB"/>
        </w:rPr>
        <w:t xml:space="preserve"> may be seen as </w:t>
      </w:r>
      <w:r>
        <w:rPr>
          <w:rFonts w:ascii="Times New Roman" w:hAnsi="Times New Roman"/>
          <w:sz w:val="24"/>
          <w:szCs w:val="24"/>
          <w:lang w:val="en-GB"/>
        </w:rPr>
        <w:t>a defens</w:t>
      </w:r>
      <w:r w:rsidR="0016502F" w:rsidRPr="00875EC2">
        <w:rPr>
          <w:rFonts w:ascii="Times New Roman" w:hAnsi="Times New Roman"/>
          <w:sz w:val="24"/>
          <w:szCs w:val="24"/>
          <w:lang w:val="en-GB"/>
        </w:rPr>
        <w:t>e of referentialism “</w:t>
      </w:r>
      <w:r w:rsidR="0016502F" w:rsidRPr="00875EC2">
        <w:rPr>
          <w:rFonts w:ascii="Times New Roman" w:hAnsi="Times New Roman"/>
          <w:sz w:val="24"/>
          <w:szCs w:val="24"/>
        </w:rPr>
        <w:t>against the charge that it does not provide an account of cognitive contribution of names, adequate to solve Frege’s original problem”:</w:t>
      </w:r>
      <w:r w:rsidR="0016502F" w:rsidRPr="00875EC2">
        <w:rPr>
          <w:rFonts w:ascii="Times New Roman" w:hAnsi="Times New Roman"/>
          <w:sz w:val="24"/>
          <w:szCs w:val="24"/>
          <w:lang w:val="en-GB"/>
        </w:rPr>
        <w:t xml:space="preserve"> </w:t>
      </w:r>
      <w:r w:rsidR="00582A7F" w:rsidRPr="00875EC2">
        <w:rPr>
          <w:rFonts w:ascii="Times New Roman" w:hAnsi="Times New Roman"/>
          <w:sz w:val="24"/>
          <w:szCs w:val="24"/>
          <w:lang w:val="en-GB"/>
        </w:rPr>
        <w:t>“</w:t>
      </w:r>
      <w:r w:rsidR="0016502F" w:rsidRPr="00875EC2">
        <w:rPr>
          <w:rFonts w:ascii="Times New Roman" w:hAnsi="Times New Roman"/>
          <w:sz w:val="24"/>
          <w:szCs w:val="24"/>
        </w:rPr>
        <w:t>[t]</w:t>
      </w:r>
      <w:r w:rsidR="00582A7F" w:rsidRPr="00875EC2">
        <w:rPr>
          <w:rFonts w:ascii="Times New Roman" w:hAnsi="Times New Roman"/>
          <w:sz w:val="24"/>
          <w:szCs w:val="24"/>
        </w:rPr>
        <w:t>he fact that a name stands for a thing</w:t>
      </w:r>
      <w:r w:rsidR="0087351F" w:rsidRPr="00875EC2">
        <w:rPr>
          <w:rFonts w:ascii="Times New Roman" w:hAnsi="Times New Roman"/>
          <w:sz w:val="24"/>
          <w:szCs w:val="24"/>
        </w:rPr>
        <w:t xml:space="preserve"> … </w:t>
      </w:r>
      <w:r w:rsidR="00582A7F" w:rsidRPr="00875EC2">
        <w:rPr>
          <w:rFonts w:ascii="Times New Roman" w:hAnsi="Times New Roman"/>
          <w:sz w:val="24"/>
          <w:szCs w:val="24"/>
        </w:rPr>
        <w:t xml:space="preserve">is a fact about both the name and the thing, which a competent user </w:t>
      </w:r>
      <w:r w:rsidR="0087351F" w:rsidRPr="00875EC2">
        <w:rPr>
          <w:rFonts w:ascii="Times New Roman" w:hAnsi="Times New Roman"/>
          <w:sz w:val="24"/>
          <w:szCs w:val="24"/>
        </w:rPr>
        <w:t>of the language will understand,” and</w:t>
      </w:r>
      <w:r w:rsidR="00582A7F" w:rsidRPr="00875EC2">
        <w:rPr>
          <w:rFonts w:ascii="Times New Roman" w:hAnsi="Times New Roman"/>
          <w:sz w:val="24"/>
          <w:szCs w:val="24"/>
        </w:rPr>
        <w:t xml:space="preserve"> </w:t>
      </w:r>
      <w:r w:rsidR="0087351F" w:rsidRPr="00875EC2">
        <w:rPr>
          <w:rFonts w:ascii="Times New Roman" w:hAnsi="Times New Roman"/>
          <w:sz w:val="24"/>
          <w:szCs w:val="24"/>
        </w:rPr>
        <w:t>“[i]</w:t>
      </w:r>
      <w:r w:rsidR="00582A7F" w:rsidRPr="00875EC2">
        <w:rPr>
          <w:rFonts w:ascii="Times New Roman" w:hAnsi="Times New Roman"/>
          <w:sz w:val="24"/>
          <w:szCs w:val="24"/>
        </w:rPr>
        <w:t>t is this relation between the name and the thing that we rely on, in speaking and understanding, when we pay attention to the cognitions that lead to the use of one name rather than another, or the cognitions that one use of a name rather than another leads to.”</w:t>
      </w:r>
    </w:p>
    <w:p w:rsidR="005549CE" w:rsidRPr="00875EC2" w:rsidRDefault="00BC44CE" w:rsidP="00F9461A">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The third, and last, part of</w:t>
      </w:r>
      <w:r w:rsidR="00D63BD5">
        <w:rPr>
          <w:rFonts w:ascii="Times New Roman" w:hAnsi="Times New Roman" w:cs="Times New Roman"/>
          <w:sz w:val="24"/>
          <w:szCs w:val="24"/>
          <w:lang w:val="en-GB"/>
        </w:rPr>
        <w:t xml:space="preserve"> this volume contains nine chapter</w:t>
      </w:r>
      <w:r w:rsidRPr="00875EC2">
        <w:rPr>
          <w:rFonts w:ascii="Times New Roman" w:hAnsi="Times New Roman" w:cs="Times New Roman"/>
          <w:sz w:val="24"/>
          <w:szCs w:val="24"/>
          <w:lang w:val="en-GB"/>
        </w:rPr>
        <w:t>s dealing with variou</w:t>
      </w:r>
      <w:r w:rsidR="00DA6CED" w:rsidRPr="00875EC2">
        <w:rPr>
          <w:rFonts w:ascii="Times New Roman" w:hAnsi="Times New Roman" w:cs="Times New Roman"/>
          <w:sz w:val="24"/>
          <w:szCs w:val="24"/>
          <w:lang w:val="en-GB"/>
        </w:rPr>
        <w:t>s semantic problems related to</w:t>
      </w:r>
      <w:r w:rsidRPr="00875EC2">
        <w:rPr>
          <w:rFonts w:ascii="Times New Roman" w:hAnsi="Times New Roman" w:cs="Times New Roman"/>
          <w:sz w:val="24"/>
          <w:szCs w:val="24"/>
          <w:lang w:val="en-GB"/>
        </w:rPr>
        <w:t xml:space="preserve"> reference. </w:t>
      </w:r>
      <w:r w:rsidR="00BB731B" w:rsidRPr="00875EC2">
        <w:rPr>
          <w:rFonts w:ascii="Times New Roman" w:hAnsi="Times New Roman" w:cs="Times New Roman"/>
          <w:sz w:val="24"/>
          <w:szCs w:val="24"/>
          <w:lang w:val="en-GB"/>
        </w:rPr>
        <w:t>In particular, t</w:t>
      </w:r>
      <w:r w:rsidRPr="00875EC2">
        <w:rPr>
          <w:rFonts w:ascii="Times New Roman" w:hAnsi="Times New Roman" w:cs="Times New Roman"/>
          <w:sz w:val="24"/>
          <w:szCs w:val="24"/>
          <w:lang w:val="en-GB"/>
        </w:rPr>
        <w:t xml:space="preserve">he first four of </w:t>
      </w:r>
      <w:r w:rsidRPr="004E5216">
        <w:rPr>
          <w:rFonts w:ascii="Times New Roman" w:hAnsi="Times New Roman" w:cs="Times New Roman"/>
          <w:sz w:val="24"/>
          <w:szCs w:val="24"/>
          <w:lang w:val="en-GB"/>
        </w:rPr>
        <w:t xml:space="preserve">them </w:t>
      </w:r>
      <w:r w:rsidR="00A4420E" w:rsidRPr="004E5216">
        <w:rPr>
          <w:rFonts w:ascii="Times New Roman" w:hAnsi="Times New Roman" w:cs="Times New Roman"/>
          <w:sz w:val="24"/>
          <w:szCs w:val="24"/>
          <w:lang w:val="en-GB"/>
        </w:rPr>
        <w:t>assess the</w:t>
      </w:r>
      <w:r w:rsidR="00A4420E" w:rsidRPr="00875EC2">
        <w:rPr>
          <w:rFonts w:ascii="Times New Roman" w:hAnsi="Times New Roman" w:cs="Times New Roman"/>
          <w:sz w:val="24"/>
          <w:szCs w:val="24"/>
          <w:lang w:val="en-GB"/>
        </w:rPr>
        <w:t xml:space="preserve"> claim that proper names are predicates rather than referring singular terms, a claim that harkens back to ideas by Russell and Willard Van Orman Quine, was explicitly advanced and argued for by Burge in 1973</w:t>
      </w:r>
      <w:r w:rsidR="00D63BD5">
        <w:rPr>
          <w:rFonts w:ascii="Times New Roman" w:hAnsi="Times New Roman" w:cs="Times New Roman"/>
          <w:sz w:val="24"/>
          <w:szCs w:val="24"/>
          <w:lang w:val="en-GB"/>
        </w:rPr>
        <w:t>,</w:t>
      </w:r>
      <w:r w:rsidR="00A4420E" w:rsidRPr="00875EC2">
        <w:rPr>
          <w:rFonts w:ascii="Times New Roman" w:hAnsi="Times New Roman" w:cs="Times New Roman"/>
          <w:sz w:val="24"/>
          <w:szCs w:val="24"/>
          <w:lang w:val="en-GB"/>
        </w:rPr>
        <w:t xml:space="preserve"> and has recently found new supporters among both philosophers and linguists. </w:t>
      </w:r>
      <w:r w:rsidR="00985C2C" w:rsidRPr="00875EC2">
        <w:rPr>
          <w:rFonts w:ascii="Times New Roman" w:hAnsi="Times New Roman" w:cs="Times New Roman"/>
          <w:sz w:val="24"/>
          <w:szCs w:val="24"/>
          <w:lang w:val="en-GB"/>
        </w:rPr>
        <w:t>Roughly, the claim implies that a proper name N is semantically equivalent to a predicate such as “bearer of N,” and one of the main motivation</w:t>
      </w:r>
      <w:r w:rsidR="00DA6CED" w:rsidRPr="00875EC2">
        <w:rPr>
          <w:rFonts w:ascii="Times New Roman" w:hAnsi="Times New Roman" w:cs="Times New Roman"/>
          <w:sz w:val="24"/>
          <w:szCs w:val="24"/>
          <w:lang w:val="en-GB"/>
        </w:rPr>
        <w:t>s</w:t>
      </w:r>
      <w:r w:rsidR="00985C2C" w:rsidRPr="00875EC2">
        <w:rPr>
          <w:rFonts w:ascii="Times New Roman" w:hAnsi="Times New Roman" w:cs="Times New Roman"/>
          <w:sz w:val="24"/>
          <w:szCs w:val="24"/>
          <w:lang w:val="en-GB"/>
        </w:rPr>
        <w:t xml:space="preserve"> for it is that there are apparently predicative uses of proper names, as in </w:t>
      </w:r>
      <w:r w:rsidR="000733F4" w:rsidRPr="00875EC2">
        <w:rPr>
          <w:rFonts w:ascii="Times New Roman" w:hAnsi="Times New Roman" w:cs="Times New Roman"/>
          <w:sz w:val="24"/>
          <w:szCs w:val="24"/>
          <w:lang w:val="en-GB"/>
        </w:rPr>
        <w:t>“Both an Edouard and an Edward contributed to this volume.”</w:t>
      </w:r>
      <w:r w:rsidR="00985C2C" w:rsidRPr="00875EC2">
        <w:rPr>
          <w:rFonts w:ascii="Times New Roman" w:hAnsi="Times New Roman" w:cs="Times New Roman"/>
          <w:sz w:val="24"/>
          <w:szCs w:val="24"/>
          <w:lang w:val="en-GB"/>
        </w:rPr>
        <w:t xml:space="preserve"> </w:t>
      </w:r>
      <w:r w:rsidR="00F05F8D" w:rsidRPr="00875EC2">
        <w:rPr>
          <w:rFonts w:ascii="Times New Roman" w:hAnsi="Times New Roman" w:cs="Times New Roman"/>
          <w:sz w:val="24"/>
          <w:szCs w:val="24"/>
          <w:lang w:val="en-GB"/>
        </w:rPr>
        <w:t>Such uses are difficult to account for under the assumption that proper names are referring singular terms. Thus, only by claiming that in all of their use</w:t>
      </w:r>
      <w:r w:rsidR="00DA6CED" w:rsidRPr="00875EC2">
        <w:rPr>
          <w:rFonts w:ascii="Times New Roman" w:hAnsi="Times New Roman" w:cs="Times New Roman"/>
          <w:sz w:val="24"/>
          <w:szCs w:val="24"/>
          <w:lang w:val="en-GB"/>
        </w:rPr>
        <w:t>s proper names are predicates does it seem</w:t>
      </w:r>
      <w:r w:rsidR="00F05F8D" w:rsidRPr="00875EC2">
        <w:rPr>
          <w:rFonts w:ascii="Times New Roman" w:hAnsi="Times New Roman" w:cs="Times New Roman"/>
          <w:sz w:val="24"/>
          <w:szCs w:val="24"/>
          <w:lang w:val="en-GB"/>
        </w:rPr>
        <w:t xml:space="preserve"> possible to offer a uniform account of them. </w:t>
      </w:r>
      <w:r w:rsidR="00BB731B" w:rsidRPr="00875EC2">
        <w:rPr>
          <w:rFonts w:ascii="Times New Roman" w:hAnsi="Times New Roman" w:cs="Times New Roman"/>
          <w:sz w:val="24"/>
          <w:szCs w:val="24"/>
          <w:lang w:val="en-GB"/>
        </w:rPr>
        <w:t>Nonetheless, i</w:t>
      </w:r>
      <w:r w:rsidR="00D63BD5">
        <w:rPr>
          <w:rFonts w:ascii="Times New Roman" w:hAnsi="Times New Roman" w:cs="Times New Roman"/>
          <w:sz w:val="24"/>
          <w:szCs w:val="24"/>
          <w:lang w:val="en-GB"/>
        </w:rPr>
        <w:t>n his chapter, “Names a</w:t>
      </w:r>
      <w:r w:rsidR="000733F4" w:rsidRPr="00875EC2">
        <w:rPr>
          <w:rFonts w:ascii="Times New Roman" w:hAnsi="Times New Roman" w:cs="Times New Roman"/>
          <w:sz w:val="24"/>
          <w:szCs w:val="24"/>
          <w:lang w:val="en-GB"/>
        </w:rPr>
        <w:t>s Predicates</w:t>
      </w:r>
      <w:r w:rsidR="00A90B89" w:rsidRPr="00875EC2">
        <w:rPr>
          <w:rFonts w:ascii="Times New Roman" w:hAnsi="Times New Roman" w:cs="Times New Roman"/>
          <w:sz w:val="24"/>
          <w:szCs w:val="24"/>
          <w:lang w:val="en-GB"/>
        </w:rPr>
        <w:t>?</w:t>
      </w:r>
      <w:r w:rsidR="000733F4" w:rsidRPr="00875EC2">
        <w:rPr>
          <w:rFonts w:ascii="Times New Roman" w:hAnsi="Times New Roman" w:cs="Times New Roman"/>
          <w:sz w:val="24"/>
          <w:szCs w:val="24"/>
          <w:lang w:val="en-GB"/>
        </w:rPr>
        <w:t>,” Ernesto Napoli voices a number of qualms about the claim.</w:t>
      </w:r>
      <w:r w:rsidR="00064E8B" w:rsidRPr="00875EC2">
        <w:rPr>
          <w:rFonts w:ascii="Times New Roman" w:hAnsi="Times New Roman" w:cs="Times New Roman"/>
          <w:sz w:val="24"/>
          <w:szCs w:val="24"/>
          <w:lang w:val="en-GB"/>
        </w:rPr>
        <w:t xml:space="preserve"> He begins </w:t>
      </w:r>
      <w:r w:rsidR="00F05F8D" w:rsidRPr="00875EC2">
        <w:rPr>
          <w:rFonts w:ascii="Times New Roman" w:hAnsi="Times New Roman" w:cs="Times New Roman"/>
          <w:sz w:val="24"/>
          <w:szCs w:val="24"/>
          <w:lang w:val="en-GB"/>
        </w:rPr>
        <w:t xml:space="preserve">by focusing on the notion itself of </w:t>
      </w:r>
      <w:r w:rsidR="0081700B" w:rsidRPr="00875EC2">
        <w:rPr>
          <w:rFonts w:ascii="Times New Roman" w:hAnsi="Times New Roman" w:cs="Times New Roman"/>
          <w:sz w:val="24"/>
          <w:szCs w:val="24"/>
          <w:lang w:val="en-GB"/>
        </w:rPr>
        <w:t xml:space="preserve">a </w:t>
      </w:r>
      <w:r w:rsidR="00F05F8D" w:rsidRPr="00875EC2">
        <w:rPr>
          <w:rFonts w:ascii="Times New Roman" w:hAnsi="Times New Roman" w:cs="Times New Roman"/>
          <w:sz w:val="24"/>
          <w:szCs w:val="24"/>
          <w:lang w:val="en-GB"/>
        </w:rPr>
        <w:t>proper name (or, as he prefer</w:t>
      </w:r>
      <w:r w:rsidR="00CC3038">
        <w:rPr>
          <w:rFonts w:ascii="Times New Roman" w:hAnsi="Times New Roman" w:cs="Times New Roman"/>
          <w:sz w:val="24"/>
          <w:szCs w:val="24"/>
          <w:lang w:val="en-GB"/>
        </w:rPr>
        <w:t>s</w:t>
      </w:r>
      <w:r w:rsidR="00F05F8D" w:rsidRPr="00875EC2">
        <w:rPr>
          <w:rFonts w:ascii="Times New Roman" w:hAnsi="Times New Roman" w:cs="Times New Roman"/>
          <w:sz w:val="24"/>
          <w:szCs w:val="24"/>
          <w:lang w:val="en-GB"/>
        </w:rPr>
        <w:t xml:space="preserve"> to say, </w:t>
      </w:r>
      <w:r w:rsidR="0081700B" w:rsidRPr="00875EC2">
        <w:rPr>
          <w:rFonts w:ascii="Times New Roman" w:hAnsi="Times New Roman" w:cs="Times New Roman"/>
          <w:sz w:val="24"/>
          <w:szCs w:val="24"/>
          <w:lang w:val="en-GB"/>
        </w:rPr>
        <w:t xml:space="preserve">a </w:t>
      </w:r>
      <w:r w:rsidR="00F05F8D" w:rsidRPr="00875EC2">
        <w:rPr>
          <w:rFonts w:ascii="Times New Roman" w:hAnsi="Times New Roman" w:cs="Times New Roman"/>
          <w:sz w:val="24"/>
          <w:szCs w:val="24"/>
          <w:lang w:val="en-GB"/>
        </w:rPr>
        <w:t>“name of an individual”).</w:t>
      </w:r>
      <w:r w:rsidR="0081700B" w:rsidRPr="00875EC2">
        <w:rPr>
          <w:rFonts w:ascii="Times New Roman" w:hAnsi="Times New Roman" w:cs="Times New Roman"/>
          <w:sz w:val="24"/>
          <w:szCs w:val="24"/>
          <w:lang w:val="en-GB"/>
        </w:rPr>
        <w:t xml:space="preserve"> He argues</w:t>
      </w:r>
      <w:r w:rsidR="006B1AF3" w:rsidRPr="00875EC2">
        <w:rPr>
          <w:rFonts w:ascii="Times New Roman" w:hAnsi="Times New Roman" w:cs="Times New Roman"/>
          <w:sz w:val="24"/>
          <w:szCs w:val="24"/>
          <w:lang w:val="en-GB"/>
        </w:rPr>
        <w:t>, first, that “</w:t>
      </w:r>
      <w:r w:rsidR="006B1AF3" w:rsidRPr="00875EC2">
        <w:rPr>
          <w:rFonts w:ascii="Times New Roman" w:hAnsi="Times New Roman" w:cs="Times New Roman"/>
          <w:sz w:val="24"/>
          <w:szCs w:val="24"/>
        </w:rPr>
        <w:t>being a name of an individual is for an expression no more and no other than being used as a name of an individual,” and, second, that being used as a name of an individual</w:t>
      </w:r>
      <w:r w:rsidR="0081700B" w:rsidRPr="00875EC2">
        <w:rPr>
          <w:rFonts w:ascii="Times New Roman" w:hAnsi="Times New Roman" w:cs="Times New Roman"/>
          <w:sz w:val="24"/>
          <w:szCs w:val="24"/>
          <w:lang w:val="en-GB"/>
        </w:rPr>
        <w:t xml:space="preserve"> </w:t>
      </w:r>
      <w:r w:rsidR="00AE1AE8" w:rsidRPr="00875EC2">
        <w:rPr>
          <w:rFonts w:ascii="Times New Roman" w:hAnsi="Times New Roman" w:cs="Times New Roman"/>
          <w:sz w:val="24"/>
          <w:szCs w:val="24"/>
          <w:lang w:val="en-GB"/>
        </w:rPr>
        <w:t xml:space="preserve">consists in </w:t>
      </w:r>
      <w:r w:rsidR="006B1AF3" w:rsidRPr="00875EC2">
        <w:rPr>
          <w:rFonts w:ascii="Times New Roman" w:hAnsi="Times New Roman" w:cs="Times New Roman"/>
          <w:sz w:val="24"/>
          <w:szCs w:val="24"/>
          <w:lang w:val="en-GB"/>
        </w:rPr>
        <w:t>“</w:t>
      </w:r>
      <w:r w:rsidR="006B1AF3" w:rsidRPr="00875EC2">
        <w:rPr>
          <w:rFonts w:ascii="Times New Roman" w:hAnsi="Times New Roman" w:cs="Times New Roman"/>
          <w:sz w:val="24"/>
          <w:szCs w:val="24"/>
        </w:rPr>
        <w:t xml:space="preserve">being used as an arbitrary, contextually unconstrained, tool for reference to an individual.” </w:t>
      </w:r>
      <w:r w:rsidR="00AE1AE8" w:rsidRPr="00875EC2">
        <w:rPr>
          <w:rFonts w:ascii="Times New Roman" w:hAnsi="Times New Roman" w:cs="Times New Roman"/>
          <w:sz w:val="24"/>
          <w:szCs w:val="24"/>
        </w:rPr>
        <w:t>Accepting this understanding of “name of an individual,” however, would</w:t>
      </w:r>
      <w:r w:rsidR="00AE1AE8" w:rsidRPr="00875EC2">
        <w:rPr>
          <w:rFonts w:ascii="Times New Roman" w:hAnsi="Times New Roman" w:cs="Times New Roman"/>
          <w:sz w:val="24"/>
          <w:szCs w:val="24"/>
          <w:lang w:val="en-GB"/>
        </w:rPr>
        <w:t xml:space="preserve"> amount to rejecting </w:t>
      </w:r>
      <w:r w:rsidR="00182F00" w:rsidRPr="00875EC2">
        <w:rPr>
          <w:rFonts w:ascii="Times New Roman" w:hAnsi="Times New Roman" w:cs="Times New Roman"/>
          <w:sz w:val="24"/>
          <w:szCs w:val="24"/>
          <w:lang w:val="en-GB"/>
        </w:rPr>
        <w:t xml:space="preserve">from the start </w:t>
      </w:r>
      <w:r w:rsidR="00AE1AE8" w:rsidRPr="00875EC2">
        <w:rPr>
          <w:rFonts w:ascii="Times New Roman" w:hAnsi="Times New Roman" w:cs="Times New Roman"/>
          <w:sz w:val="24"/>
          <w:szCs w:val="24"/>
          <w:lang w:val="en-GB"/>
        </w:rPr>
        <w:t xml:space="preserve">the claim that names are predicates. </w:t>
      </w:r>
      <w:r w:rsidR="001B0AAA" w:rsidRPr="00875EC2">
        <w:rPr>
          <w:rFonts w:ascii="Times New Roman" w:hAnsi="Times New Roman" w:cs="Times New Roman"/>
          <w:sz w:val="24"/>
          <w:szCs w:val="24"/>
          <w:lang w:val="en-GB"/>
        </w:rPr>
        <w:t>Thus, Napoli tentatively considers a different notion, according to which “</w:t>
      </w:r>
      <w:r w:rsidR="001B0AAA" w:rsidRPr="00875EC2">
        <w:rPr>
          <w:rFonts w:ascii="Times New Roman" w:hAnsi="Times New Roman" w:cs="Times New Roman"/>
          <w:sz w:val="24"/>
          <w:szCs w:val="24"/>
        </w:rPr>
        <w:t>being a name of an individual is for an expression to be arbitrarily imposed on an individual via a stipulation.” N</w:t>
      </w:r>
      <w:r w:rsidR="00182F00" w:rsidRPr="00875EC2">
        <w:rPr>
          <w:rFonts w:ascii="Times New Roman" w:hAnsi="Times New Roman" w:cs="Times New Roman"/>
          <w:sz w:val="24"/>
          <w:szCs w:val="24"/>
        </w:rPr>
        <w:t>otice</w:t>
      </w:r>
      <w:r w:rsidR="001B0AAA" w:rsidRPr="00875EC2">
        <w:rPr>
          <w:rFonts w:ascii="Times New Roman" w:hAnsi="Times New Roman" w:cs="Times New Roman"/>
          <w:sz w:val="24"/>
          <w:szCs w:val="24"/>
        </w:rPr>
        <w:t xml:space="preserve"> that </w:t>
      </w:r>
      <w:r w:rsidR="00770090" w:rsidRPr="00875EC2">
        <w:rPr>
          <w:rFonts w:ascii="Times New Roman" w:hAnsi="Times New Roman" w:cs="Times New Roman"/>
          <w:sz w:val="24"/>
          <w:szCs w:val="24"/>
        </w:rPr>
        <w:t xml:space="preserve">“[i]n virtue of the stipulation the individual acquires the property of being a bearer of the expression imposed on it.” Hence, one could try to rescue the claim that names are predicates by arguing that when used in </w:t>
      </w:r>
      <w:r w:rsidR="00AE591E" w:rsidRPr="00875EC2">
        <w:rPr>
          <w:rFonts w:ascii="Times New Roman" w:hAnsi="Times New Roman" w:cs="Times New Roman"/>
          <w:sz w:val="24"/>
          <w:szCs w:val="24"/>
        </w:rPr>
        <w:t>a sentence</w:t>
      </w:r>
      <w:r w:rsidR="00770090" w:rsidRPr="00875EC2">
        <w:rPr>
          <w:rFonts w:ascii="Times New Roman" w:hAnsi="Times New Roman" w:cs="Times New Roman"/>
          <w:sz w:val="24"/>
          <w:szCs w:val="24"/>
        </w:rPr>
        <w:t xml:space="preserve"> “the expression that has been imposed on the individua</w:t>
      </w:r>
      <w:r w:rsidR="00D869EA">
        <w:rPr>
          <w:rFonts w:ascii="Times New Roman" w:hAnsi="Times New Roman" w:cs="Times New Roman"/>
          <w:sz w:val="24"/>
          <w:szCs w:val="24"/>
        </w:rPr>
        <w:t xml:space="preserve">l does not act as a tool for unconstrained reference to the </w:t>
      </w:r>
      <w:r w:rsidR="00770090" w:rsidRPr="00875EC2">
        <w:rPr>
          <w:rFonts w:ascii="Times New Roman" w:hAnsi="Times New Roman" w:cs="Times New Roman"/>
          <w:sz w:val="24"/>
          <w:szCs w:val="24"/>
        </w:rPr>
        <w:t xml:space="preserve">individual it was imposed on, but as a provider of the property of being a bearer of the expression, </w:t>
      </w:r>
      <w:r w:rsidR="00012933">
        <w:rPr>
          <w:rFonts w:ascii="Times New Roman" w:hAnsi="Times New Roman" w:cs="Times New Roman"/>
          <w:sz w:val="24"/>
          <w:szCs w:val="24"/>
        </w:rPr>
        <w:t xml:space="preserve">a </w:t>
      </w:r>
      <w:r w:rsidR="00770090" w:rsidRPr="00875EC2">
        <w:rPr>
          <w:rFonts w:ascii="Times New Roman" w:hAnsi="Times New Roman" w:cs="Times New Roman"/>
          <w:sz w:val="24"/>
          <w:szCs w:val="24"/>
        </w:rPr>
        <w:t>property that the individual has acquired because of the stipulation.” However, Napoli</w:t>
      </w:r>
      <w:r w:rsidR="00182F00" w:rsidRPr="00875EC2">
        <w:rPr>
          <w:rFonts w:ascii="Times New Roman" w:hAnsi="Times New Roman" w:cs="Times New Roman"/>
          <w:sz w:val="24"/>
          <w:szCs w:val="24"/>
        </w:rPr>
        <w:t xml:space="preserve"> argues</w:t>
      </w:r>
      <w:r w:rsidR="00770090" w:rsidRPr="00875EC2">
        <w:rPr>
          <w:rFonts w:ascii="Times New Roman" w:hAnsi="Times New Roman" w:cs="Times New Roman"/>
          <w:sz w:val="24"/>
          <w:szCs w:val="24"/>
        </w:rPr>
        <w:t>, first, that this notion of a n</w:t>
      </w:r>
      <w:r w:rsidR="00606C46" w:rsidRPr="00875EC2">
        <w:rPr>
          <w:rFonts w:ascii="Times New Roman" w:hAnsi="Times New Roman" w:cs="Times New Roman"/>
          <w:sz w:val="24"/>
          <w:szCs w:val="24"/>
        </w:rPr>
        <w:t>ame of an individual</w:t>
      </w:r>
      <w:r w:rsidR="00770090" w:rsidRPr="00875EC2">
        <w:rPr>
          <w:rFonts w:ascii="Times New Roman" w:hAnsi="Times New Roman" w:cs="Times New Roman"/>
          <w:sz w:val="24"/>
          <w:szCs w:val="24"/>
        </w:rPr>
        <w:t xml:space="preserve"> is untenable</w:t>
      </w:r>
      <w:r w:rsidR="00606C46" w:rsidRPr="00875EC2">
        <w:rPr>
          <w:rFonts w:ascii="Times New Roman" w:hAnsi="Times New Roman" w:cs="Times New Roman"/>
          <w:sz w:val="24"/>
          <w:szCs w:val="24"/>
        </w:rPr>
        <w:t xml:space="preserve"> (mainly </w:t>
      </w:r>
      <w:r w:rsidR="00770090" w:rsidRPr="00875EC2">
        <w:rPr>
          <w:rFonts w:ascii="Times New Roman" w:hAnsi="Times New Roman" w:cs="Times New Roman"/>
          <w:sz w:val="24"/>
          <w:szCs w:val="24"/>
        </w:rPr>
        <w:t xml:space="preserve">because </w:t>
      </w:r>
      <w:r w:rsidR="00606C46" w:rsidRPr="00875EC2">
        <w:rPr>
          <w:rFonts w:ascii="Times New Roman" w:hAnsi="Times New Roman" w:cs="Times New Roman"/>
          <w:sz w:val="24"/>
          <w:szCs w:val="24"/>
        </w:rPr>
        <w:t>there are expressions that come to be used as</w:t>
      </w:r>
      <w:r w:rsidR="00770090" w:rsidRPr="00875EC2">
        <w:rPr>
          <w:rFonts w:ascii="Times New Roman" w:hAnsi="Times New Roman" w:cs="Times New Roman"/>
          <w:sz w:val="24"/>
          <w:szCs w:val="24"/>
        </w:rPr>
        <w:t xml:space="preserve"> </w:t>
      </w:r>
      <w:r w:rsidR="00606C46" w:rsidRPr="00875EC2">
        <w:rPr>
          <w:rFonts w:ascii="Times New Roman" w:hAnsi="Times New Roman" w:cs="Times New Roman"/>
          <w:sz w:val="24"/>
          <w:szCs w:val="24"/>
        </w:rPr>
        <w:t xml:space="preserve">names </w:t>
      </w:r>
      <w:r w:rsidR="00182F00" w:rsidRPr="00875EC2">
        <w:rPr>
          <w:rFonts w:ascii="Times New Roman" w:hAnsi="Times New Roman" w:cs="Times New Roman"/>
          <w:sz w:val="24"/>
          <w:szCs w:val="24"/>
        </w:rPr>
        <w:t xml:space="preserve">of individuals </w:t>
      </w:r>
      <w:r w:rsidR="00606C46" w:rsidRPr="00875EC2">
        <w:rPr>
          <w:rFonts w:ascii="Times New Roman" w:hAnsi="Times New Roman" w:cs="Times New Roman"/>
          <w:sz w:val="24"/>
          <w:szCs w:val="24"/>
        </w:rPr>
        <w:t xml:space="preserve">without </w:t>
      </w:r>
      <w:r w:rsidR="00182F00" w:rsidRPr="00875EC2">
        <w:rPr>
          <w:rFonts w:ascii="Times New Roman" w:hAnsi="Times New Roman" w:cs="Times New Roman"/>
          <w:sz w:val="24"/>
          <w:szCs w:val="24"/>
        </w:rPr>
        <w:t xml:space="preserve">there being </w:t>
      </w:r>
      <w:r w:rsidR="00606C46" w:rsidRPr="00875EC2">
        <w:rPr>
          <w:rFonts w:ascii="Times New Roman" w:hAnsi="Times New Roman" w:cs="Times New Roman"/>
          <w:sz w:val="24"/>
          <w:szCs w:val="24"/>
        </w:rPr>
        <w:t>any stipulation</w:t>
      </w:r>
      <w:r w:rsidR="00182F00" w:rsidRPr="00875EC2">
        <w:rPr>
          <w:rFonts w:ascii="Times New Roman" w:hAnsi="Times New Roman" w:cs="Times New Roman"/>
          <w:sz w:val="24"/>
          <w:szCs w:val="24"/>
        </w:rPr>
        <w:t>)</w:t>
      </w:r>
      <w:r w:rsidR="00606C46" w:rsidRPr="00875EC2">
        <w:rPr>
          <w:rFonts w:ascii="Times New Roman" w:hAnsi="Times New Roman" w:cs="Times New Roman"/>
          <w:sz w:val="24"/>
          <w:szCs w:val="24"/>
        </w:rPr>
        <w:t>, and, second, that the resulting claim that n</w:t>
      </w:r>
      <w:r w:rsidR="00012933">
        <w:rPr>
          <w:rFonts w:ascii="Times New Roman" w:hAnsi="Times New Roman" w:cs="Times New Roman"/>
          <w:sz w:val="24"/>
          <w:szCs w:val="24"/>
        </w:rPr>
        <w:t>ames are predicates would in any case</w:t>
      </w:r>
      <w:r w:rsidR="00606C46" w:rsidRPr="00875EC2">
        <w:rPr>
          <w:rFonts w:ascii="Times New Roman" w:hAnsi="Times New Roman" w:cs="Times New Roman"/>
          <w:sz w:val="24"/>
          <w:szCs w:val="24"/>
        </w:rPr>
        <w:t xml:space="preserve"> be problematic, for various reasons. Moreover, </w:t>
      </w:r>
      <w:r w:rsidR="00182F00" w:rsidRPr="00875EC2">
        <w:rPr>
          <w:rFonts w:ascii="Times New Roman" w:hAnsi="Times New Roman" w:cs="Times New Roman"/>
          <w:sz w:val="24"/>
          <w:szCs w:val="24"/>
        </w:rPr>
        <w:t xml:space="preserve">he suggests that </w:t>
      </w:r>
      <w:r w:rsidR="00606C46" w:rsidRPr="00875EC2">
        <w:rPr>
          <w:rFonts w:ascii="Times New Roman" w:hAnsi="Times New Roman" w:cs="Times New Roman"/>
          <w:sz w:val="24"/>
          <w:szCs w:val="24"/>
        </w:rPr>
        <w:t>“there are cases of apparently argumental occurrences that cannot be accounted for either by thinking that names are tools for reference or by thinking that names are tools for description of</w:t>
      </w:r>
      <w:r w:rsidR="00444ED3">
        <w:rPr>
          <w:rFonts w:ascii="Times New Roman" w:hAnsi="Times New Roman" w:cs="Times New Roman"/>
          <w:sz w:val="24"/>
          <w:szCs w:val="24"/>
        </w:rPr>
        <w:t xml:space="preserve"> individuals [i.e., predicates],</w:t>
      </w:r>
      <w:r w:rsidR="00606C46" w:rsidRPr="00875EC2">
        <w:rPr>
          <w:rFonts w:ascii="Times New Roman" w:hAnsi="Times New Roman" w:cs="Times New Roman"/>
          <w:sz w:val="24"/>
          <w:szCs w:val="24"/>
        </w:rPr>
        <w:t xml:space="preserve">” </w:t>
      </w:r>
      <w:r w:rsidR="00444ED3">
        <w:rPr>
          <w:rFonts w:ascii="Times New Roman" w:hAnsi="Times New Roman" w:cs="Times New Roman"/>
          <w:sz w:val="24"/>
          <w:szCs w:val="24"/>
        </w:rPr>
        <w:t>and “</w:t>
      </w:r>
      <w:r w:rsidR="00444ED3" w:rsidRPr="004914A5">
        <w:rPr>
          <w:rFonts w:ascii="Times New Roman" w:hAnsi="Times New Roman" w:cs="Times New Roman"/>
          <w:sz w:val="24"/>
          <w:szCs w:val="24"/>
        </w:rPr>
        <w:t>there are cases of apparently predicative occurrences that cannot be accounted for in either way</w:t>
      </w:r>
      <w:r w:rsidR="00444ED3">
        <w:rPr>
          <w:rFonts w:ascii="Times New Roman" w:hAnsi="Times New Roman" w:cs="Times New Roman"/>
          <w:sz w:val="24"/>
          <w:szCs w:val="24"/>
        </w:rPr>
        <w:t>.”</w:t>
      </w:r>
      <w:r w:rsidR="00444ED3" w:rsidRPr="00875EC2">
        <w:rPr>
          <w:rFonts w:ascii="Times New Roman" w:hAnsi="Times New Roman" w:cs="Times New Roman"/>
          <w:sz w:val="24"/>
          <w:szCs w:val="24"/>
        </w:rPr>
        <w:t xml:space="preserve"> </w:t>
      </w:r>
      <w:r w:rsidR="00B6720C" w:rsidRPr="00875EC2">
        <w:rPr>
          <w:rFonts w:ascii="Times New Roman" w:hAnsi="Times New Roman" w:cs="Times New Roman"/>
          <w:sz w:val="24"/>
          <w:szCs w:val="24"/>
        </w:rPr>
        <w:t>Therefore, predica</w:t>
      </w:r>
      <w:r w:rsidR="00182F00" w:rsidRPr="00875EC2">
        <w:rPr>
          <w:rFonts w:ascii="Times New Roman" w:hAnsi="Times New Roman" w:cs="Times New Roman"/>
          <w:sz w:val="24"/>
          <w:szCs w:val="24"/>
        </w:rPr>
        <w:t>tivism would be</w:t>
      </w:r>
      <w:r w:rsidR="00B6720C" w:rsidRPr="00875EC2">
        <w:rPr>
          <w:rFonts w:ascii="Times New Roman" w:hAnsi="Times New Roman" w:cs="Times New Roman"/>
          <w:sz w:val="24"/>
          <w:szCs w:val="24"/>
        </w:rPr>
        <w:t xml:space="preserve"> no more able than referentialism to offer a uniform account of proper names.</w:t>
      </w:r>
    </w:p>
    <w:p w:rsidR="00D55B24" w:rsidRPr="00875EC2" w:rsidRDefault="00182F00" w:rsidP="00F9461A">
      <w:pPr>
        <w:spacing w:after="0" w:line="480" w:lineRule="auto"/>
        <w:ind w:firstLine="340"/>
        <w:rPr>
          <w:rFonts w:ascii="Times New Roman" w:hAnsi="Times New Roman" w:cs="Times New Roman"/>
          <w:sz w:val="24"/>
          <w:szCs w:val="24"/>
        </w:rPr>
      </w:pPr>
      <w:r w:rsidRPr="00875EC2">
        <w:rPr>
          <w:rFonts w:ascii="Times New Roman" w:hAnsi="Times New Roman" w:cs="Times New Roman"/>
          <w:sz w:val="24"/>
          <w:szCs w:val="24"/>
        </w:rPr>
        <w:t xml:space="preserve">Robin Jeshion’s contribution to this volume, “Names Not Predicates,” begins where </w:t>
      </w:r>
      <w:r w:rsidR="00AF7DA0" w:rsidRPr="00875EC2">
        <w:rPr>
          <w:rFonts w:ascii="Times New Roman" w:hAnsi="Times New Roman" w:cs="Times New Roman"/>
          <w:sz w:val="24"/>
          <w:szCs w:val="24"/>
        </w:rPr>
        <w:t>Napoli’s ends, so to speak</w:t>
      </w:r>
      <w:r w:rsidR="009C555A" w:rsidRPr="00875EC2">
        <w:rPr>
          <w:rFonts w:ascii="Times New Roman" w:hAnsi="Times New Roman" w:cs="Times New Roman"/>
          <w:sz w:val="24"/>
          <w:szCs w:val="24"/>
        </w:rPr>
        <w:t xml:space="preserve"> (although it also contains a very clear introduction to the debate between predicativists and referentialists about proper names)</w:t>
      </w:r>
      <w:r w:rsidR="00AF7DA0" w:rsidRPr="00875EC2">
        <w:rPr>
          <w:rFonts w:ascii="Times New Roman" w:hAnsi="Times New Roman" w:cs="Times New Roman"/>
          <w:sz w:val="24"/>
          <w:szCs w:val="24"/>
        </w:rPr>
        <w:t>.</w:t>
      </w:r>
      <w:r w:rsidR="00D55B24" w:rsidRPr="00875EC2">
        <w:rPr>
          <w:rFonts w:ascii="Times New Roman" w:hAnsi="Times New Roman" w:cs="Times New Roman"/>
          <w:sz w:val="24"/>
          <w:szCs w:val="24"/>
        </w:rPr>
        <w:t xml:space="preserve"> Indeed, Jeshion discusses </w:t>
      </w:r>
      <w:r w:rsidR="00FB322B" w:rsidRPr="00875EC2">
        <w:rPr>
          <w:rFonts w:ascii="Times New Roman" w:hAnsi="Times New Roman" w:cs="Times New Roman"/>
          <w:sz w:val="24"/>
          <w:szCs w:val="24"/>
        </w:rPr>
        <w:t xml:space="preserve">and challenges </w:t>
      </w:r>
      <w:r w:rsidR="00D55B24" w:rsidRPr="00875EC2">
        <w:rPr>
          <w:rFonts w:ascii="Times New Roman" w:hAnsi="Times New Roman" w:cs="Times New Roman"/>
          <w:sz w:val="24"/>
          <w:szCs w:val="24"/>
        </w:rPr>
        <w:t xml:space="preserve">the uniformity argument that is supposed to favor predicativism over referentialism. The argument is based on a uniformity principle, </w:t>
      </w:r>
      <w:r w:rsidR="00C95F0F" w:rsidRPr="00875EC2">
        <w:rPr>
          <w:rFonts w:ascii="Times New Roman" w:hAnsi="Times New Roman" w:cs="Times New Roman"/>
          <w:sz w:val="24"/>
          <w:szCs w:val="24"/>
        </w:rPr>
        <w:t xml:space="preserve">according to which, </w:t>
      </w:r>
      <w:r w:rsidR="00285D38" w:rsidRPr="00875EC2">
        <w:rPr>
          <w:rFonts w:ascii="Times New Roman" w:hAnsi="Times New Roman" w:cs="Times New Roman"/>
          <w:sz w:val="24"/>
          <w:szCs w:val="24"/>
        </w:rPr>
        <w:t>“[o]ther things equal, a theory that explains the semantics of singular unmodified occurrences of names in the same way that it explains the semantics of those (and just those) pluralized, quantified, modified and otherwise determiner-fronted occurrences of proper names true of those that have the name</w:t>
      </w:r>
      <w:r w:rsidR="00D869EA">
        <w:rPr>
          <w:rFonts w:ascii="Times New Roman" w:hAnsi="Times New Roman" w:cs="Times New Roman"/>
          <w:sz w:val="24"/>
          <w:szCs w:val="24"/>
        </w:rPr>
        <w:t>,</w:t>
      </w:r>
      <w:r w:rsidR="00285D38" w:rsidRPr="00875EC2">
        <w:rPr>
          <w:rFonts w:ascii="Times New Roman" w:hAnsi="Times New Roman" w:cs="Times New Roman"/>
          <w:sz w:val="24"/>
          <w:szCs w:val="24"/>
        </w:rPr>
        <w:t xml:space="preserve"> is superior to a theory that does not.” It is important to note that some other pluralized, quantified, modified and otherwise determiner-fronted occurrences of proper names (e.g., “Napoleon” in “George Wallace is a Napoleon”) are left aside because deemed to be clearly non-literal</w:t>
      </w:r>
      <w:r w:rsidR="006B45B4" w:rsidRPr="00875EC2">
        <w:rPr>
          <w:rFonts w:ascii="Times New Roman" w:hAnsi="Times New Roman" w:cs="Times New Roman"/>
          <w:sz w:val="24"/>
          <w:szCs w:val="24"/>
        </w:rPr>
        <w:t>. Jeshion o</w:t>
      </w:r>
      <w:r w:rsidR="000B1BBA" w:rsidRPr="00875EC2">
        <w:rPr>
          <w:rFonts w:ascii="Times New Roman" w:hAnsi="Times New Roman" w:cs="Times New Roman"/>
          <w:sz w:val="24"/>
          <w:szCs w:val="24"/>
        </w:rPr>
        <w:t>bjects to</w:t>
      </w:r>
      <w:r w:rsidR="00FB322B" w:rsidRPr="00875EC2">
        <w:rPr>
          <w:rFonts w:ascii="Times New Roman" w:hAnsi="Times New Roman" w:cs="Times New Roman"/>
          <w:sz w:val="24"/>
          <w:szCs w:val="24"/>
        </w:rPr>
        <w:t xml:space="preserve"> </w:t>
      </w:r>
      <w:r w:rsidR="006B45B4" w:rsidRPr="00875EC2">
        <w:rPr>
          <w:rFonts w:ascii="Times New Roman" w:hAnsi="Times New Roman" w:cs="Times New Roman"/>
          <w:sz w:val="24"/>
          <w:szCs w:val="24"/>
        </w:rPr>
        <w:t>the crucial role that is given by predicativists to uniform</w:t>
      </w:r>
      <w:r w:rsidR="000B1BBA" w:rsidRPr="00875EC2">
        <w:rPr>
          <w:rFonts w:ascii="Times New Roman" w:hAnsi="Times New Roman" w:cs="Times New Roman"/>
          <w:sz w:val="24"/>
          <w:szCs w:val="24"/>
        </w:rPr>
        <w:t xml:space="preserve">ity considerations: </w:t>
      </w:r>
      <w:r w:rsidR="0035744D" w:rsidRPr="00875EC2">
        <w:rPr>
          <w:rFonts w:ascii="Times New Roman" w:hAnsi="Times New Roman" w:cs="Times New Roman"/>
          <w:sz w:val="24"/>
          <w:szCs w:val="24"/>
        </w:rPr>
        <w:t>“[l]eft entirely out of theory assessment are considerations about the semantic theory’s intuitive plausibility; explanatory power and comprehensiveness; simplicity, construed as independent of uniformity; coherence with theories of how and why proper names are given to particulars, how proper names are used within pragmatics, how proper names are psychologically processed, and so on</w:t>
      </w:r>
      <w:r w:rsidR="000B1BBA" w:rsidRPr="00875EC2">
        <w:rPr>
          <w:rFonts w:ascii="Times New Roman" w:hAnsi="Times New Roman" w:cs="Times New Roman"/>
          <w:sz w:val="24"/>
          <w:szCs w:val="24"/>
        </w:rPr>
        <w:t>.</w:t>
      </w:r>
      <w:r w:rsidR="0035744D" w:rsidRPr="00875EC2">
        <w:rPr>
          <w:rFonts w:ascii="Times New Roman" w:hAnsi="Times New Roman" w:cs="Times New Roman"/>
          <w:sz w:val="24"/>
          <w:szCs w:val="24"/>
        </w:rPr>
        <w:t xml:space="preserve">” </w:t>
      </w:r>
      <w:r w:rsidR="00FB322B" w:rsidRPr="00875EC2">
        <w:rPr>
          <w:rFonts w:ascii="Times New Roman" w:hAnsi="Times New Roman" w:cs="Times New Roman"/>
          <w:sz w:val="24"/>
          <w:szCs w:val="24"/>
        </w:rPr>
        <w:t>However, Jesh</w:t>
      </w:r>
      <w:r w:rsidR="002F14EC" w:rsidRPr="00875EC2">
        <w:rPr>
          <w:rFonts w:ascii="Times New Roman" w:hAnsi="Times New Roman" w:cs="Times New Roman"/>
          <w:sz w:val="24"/>
          <w:szCs w:val="24"/>
        </w:rPr>
        <w:t>ion’s challenge to predicativists</w:t>
      </w:r>
      <w:r w:rsidR="00FB322B" w:rsidRPr="00875EC2">
        <w:rPr>
          <w:rFonts w:ascii="Times New Roman" w:hAnsi="Times New Roman" w:cs="Times New Roman"/>
          <w:sz w:val="24"/>
          <w:szCs w:val="24"/>
        </w:rPr>
        <w:t xml:space="preserve"> does not rest on this. Her point is rather</w:t>
      </w:r>
      <w:r w:rsidR="000B1BBA" w:rsidRPr="00875EC2">
        <w:rPr>
          <w:rFonts w:ascii="Times New Roman" w:hAnsi="Times New Roman" w:cs="Times New Roman"/>
          <w:sz w:val="24"/>
          <w:szCs w:val="24"/>
        </w:rPr>
        <w:t>,</w:t>
      </w:r>
      <w:r w:rsidR="00FB322B" w:rsidRPr="00875EC2">
        <w:rPr>
          <w:rFonts w:ascii="Times New Roman" w:hAnsi="Times New Roman" w:cs="Times New Roman"/>
          <w:sz w:val="24"/>
          <w:szCs w:val="24"/>
        </w:rPr>
        <w:t xml:space="preserve"> simply</w:t>
      </w:r>
      <w:r w:rsidR="000B1BBA" w:rsidRPr="00875EC2">
        <w:rPr>
          <w:rFonts w:ascii="Times New Roman" w:hAnsi="Times New Roman" w:cs="Times New Roman"/>
          <w:sz w:val="24"/>
          <w:szCs w:val="24"/>
        </w:rPr>
        <w:t>,</w:t>
      </w:r>
      <w:r w:rsidR="00FB322B" w:rsidRPr="00875EC2">
        <w:rPr>
          <w:rFonts w:ascii="Times New Roman" w:hAnsi="Times New Roman" w:cs="Times New Roman"/>
          <w:sz w:val="24"/>
          <w:szCs w:val="24"/>
        </w:rPr>
        <w:t xml:space="preserve"> that the predicativist proposal</w:t>
      </w:r>
      <w:r w:rsidR="00DC2BB7" w:rsidRPr="00875EC2">
        <w:rPr>
          <w:rFonts w:ascii="Times New Roman" w:hAnsi="Times New Roman" w:cs="Times New Roman"/>
          <w:sz w:val="24"/>
          <w:szCs w:val="24"/>
        </w:rPr>
        <w:t>s</w:t>
      </w:r>
      <w:r w:rsidR="00FB322B" w:rsidRPr="00875EC2">
        <w:rPr>
          <w:rFonts w:ascii="Times New Roman" w:hAnsi="Times New Roman" w:cs="Times New Roman"/>
          <w:sz w:val="24"/>
          <w:szCs w:val="24"/>
        </w:rPr>
        <w:t xml:space="preserve">, according to which “[a] proper name is a predicate true of an individual if and only if the individual is given that name in an appropriate way,” or something like that, </w:t>
      </w:r>
      <w:r w:rsidR="00DC2BB7" w:rsidRPr="00875EC2">
        <w:rPr>
          <w:rFonts w:ascii="Times New Roman" w:hAnsi="Times New Roman" w:cs="Times New Roman"/>
          <w:sz w:val="24"/>
          <w:szCs w:val="24"/>
        </w:rPr>
        <w:t>“do not supply the correct truth conditions for numerous uses of proper names taking the plural, definite and indefinite articles, quantifiers, and other determiners,” notwithstanding the fact that thes</w:t>
      </w:r>
      <w:r w:rsidR="000B1BBA" w:rsidRPr="00875EC2">
        <w:rPr>
          <w:rFonts w:ascii="Times New Roman" w:hAnsi="Times New Roman" w:cs="Times New Roman"/>
          <w:sz w:val="24"/>
          <w:szCs w:val="24"/>
        </w:rPr>
        <w:t>e uses do not seem</w:t>
      </w:r>
      <w:r w:rsidR="00DC2BB7" w:rsidRPr="00875EC2">
        <w:rPr>
          <w:rFonts w:ascii="Times New Roman" w:hAnsi="Times New Roman" w:cs="Times New Roman"/>
          <w:sz w:val="24"/>
          <w:szCs w:val="24"/>
        </w:rPr>
        <w:t xml:space="preserve"> to be non-literal. Indeed, Jeshion supplies a “large and ro</w:t>
      </w:r>
      <w:r w:rsidR="00CC7F21" w:rsidRPr="00875EC2">
        <w:rPr>
          <w:rFonts w:ascii="Times New Roman" w:hAnsi="Times New Roman" w:cs="Times New Roman"/>
          <w:sz w:val="24"/>
          <w:szCs w:val="24"/>
        </w:rPr>
        <w:t>bust” set of examples that seem</w:t>
      </w:r>
      <w:r w:rsidR="00DC2BB7" w:rsidRPr="00875EC2">
        <w:rPr>
          <w:rFonts w:ascii="Times New Roman" w:hAnsi="Times New Roman" w:cs="Times New Roman"/>
          <w:sz w:val="24"/>
          <w:szCs w:val="24"/>
        </w:rPr>
        <w:t xml:space="preserve"> to show just that, where names are used to indicate “dynasty membership”</w:t>
      </w:r>
      <w:r w:rsidR="006A3398" w:rsidRPr="00875EC2">
        <w:rPr>
          <w:rFonts w:ascii="Times New Roman" w:hAnsi="Times New Roman" w:cs="Times New Roman"/>
          <w:sz w:val="24"/>
          <w:szCs w:val="24"/>
        </w:rPr>
        <w:t xml:space="preserve"> (e.g., </w:t>
      </w:r>
      <w:r w:rsidR="000B1BBA" w:rsidRPr="00875EC2">
        <w:rPr>
          <w:rFonts w:ascii="Times New Roman" w:hAnsi="Times New Roman" w:cs="Times New Roman"/>
          <w:sz w:val="24"/>
          <w:szCs w:val="24"/>
        </w:rPr>
        <w:t xml:space="preserve">in </w:t>
      </w:r>
      <w:r w:rsidR="006A3398" w:rsidRPr="00875EC2">
        <w:rPr>
          <w:rFonts w:ascii="Times New Roman" w:hAnsi="Times New Roman" w:cs="Times New Roman"/>
          <w:sz w:val="24"/>
          <w:szCs w:val="24"/>
        </w:rPr>
        <w:t>“Joe Romanov (my barber) is not a Romanov”)</w:t>
      </w:r>
      <w:r w:rsidR="00DC2BB7" w:rsidRPr="00875EC2">
        <w:rPr>
          <w:rFonts w:ascii="Times New Roman" w:hAnsi="Times New Roman" w:cs="Times New Roman"/>
          <w:sz w:val="24"/>
          <w:szCs w:val="24"/>
        </w:rPr>
        <w:t>, or “bearing a genetic relation to a parent or family</w:t>
      </w:r>
      <w:r w:rsidR="00AF283D" w:rsidRPr="00875EC2">
        <w:rPr>
          <w:rFonts w:ascii="Times New Roman" w:hAnsi="Times New Roman" w:cs="Times New Roman"/>
          <w:sz w:val="24"/>
          <w:szCs w:val="24"/>
        </w:rPr>
        <w:t>”</w:t>
      </w:r>
      <w:r w:rsidR="006A3398" w:rsidRPr="00875EC2">
        <w:rPr>
          <w:rFonts w:ascii="Times New Roman" w:hAnsi="Times New Roman" w:cs="Times New Roman"/>
          <w:sz w:val="24"/>
          <w:szCs w:val="24"/>
        </w:rPr>
        <w:t xml:space="preserve"> (e.g., </w:t>
      </w:r>
      <w:r w:rsidR="002F14EC" w:rsidRPr="00875EC2">
        <w:rPr>
          <w:rFonts w:ascii="Times New Roman" w:hAnsi="Times New Roman" w:cs="Times New Roman"/>
          <w:sz w:val="24"/>
          <w:szCs w:val="24"/>
        </w:rPr>
        <w:t xml:space="preserve">in </w:t>
      </w:r>
      <w:r w:rsidR="006A3398" w:rsidRPr="00875EC2">
        <w:rPr>
          <w:rFonts w:ascii="Times New Roman" w:hAnsi="Times New Roman" w:cs="Times New Roman"/>
          <w:sz w:val="24"/>
          <w:szCs w:val="24"/>
        </w:rPr>
        <w:t>“Many Kennedys have died tragically</w:t>
      </w:r>
      <w:r w:rsidR="00DC2BB7" w:rsidRPr="00875EC2">
        <w:rPr>
          <w:rFonts w:ascii="Times New Roman" w:hAnsi="Times New Roman" w:cs="Times New Roman"/>
          <w:sz w:val="24"/>
          <w:szCs w:val="24"/>
        </w:rPr>
        <w:t>”</w:t>
      </w:r>
      <w:r w:rsidR="006A3398" w:rsidRPr="00875EC2">
        <w:rPr>
          <w:rFonts w:ascii="Times New Roman" w:hAnsi="Times New Roman" w:cs="Times New Roman"/>
          <w:sz w:val="24"/>
          <w:szCs w:val="24"/>
        </w:rPr>
        <w:t>)</w:t>
      </w:r>
      <w:r w:rsidR="00DC2BB7" w:rsidRPr="00875EC2">
        <w:rPr>
          <w:rFonts w:ascii="Times New Roman" w:hAnsi="Times New Roman" w:cs="Times New Roman"/>
          <w:sz w:val="24"/>
          <w:szCs w:val="24"/>
        </w:rPr>
        <w:t>, or “identification with a family”</w:t>
      </w:r>
      <w:r w:rsidR="006A3398" w:rsidRPr="00875EC2">
        <w:rPr>
          <w:rFonts w:ascii="Times New Roman" w:hAnsi="Times New Roman" w:cs="Times New Roman"/>
          <w:sz w:val="24"/>
          <w:szCs w:val="24"/>
        </w:rPr>
        <w:t xml:space="preserve"> (e.g., </w:t>
      </w:r>
      <w:r w:rsidR="000B1BBA" w:rsidRPr="00875EC2">
        <w:rPr>
          <w:rFonts w:ascii="Times New Roman" w:hAnsi="Times New Roman" w:cs="Times New Roman"/>
          <w:sz w:val="24"/>
          <w:szCs w:val="24"/>
        </w:rPr>
        <w:t xml:space="preserve">in </w:t>
      </w:r>
      <w:r w:rsidR="006A3398" w:rsidRPr="00875EC2">
        <w:rPr>
          <w:rFonts w:ascii="Times New Roman" w:hAnsi="Times New Roman" w:cs="Times New Roman"/>
          <w:sz w:val="24"/>
          <w:szCs w:val="24"/>
        </w:rPr>
        <w:t>“</w:t>
      </w:r>
      <w:r w:rsidR="003A67D7">
        <w:rPr>
          <w:rFonts w:ascii="Times New Roman" w:hAnsi="Times New Roman" w:cs="Times New Roman"/>
          <w:sz w:val="24"/>
          <w:szCs w:val="24"/>
        </w:rPr>
        <w:t>I am a Kaufman, not a Jeshion”)</w:t>
      </w:r>
      <w:r w:rsidR="00DC2BB7" w:rsidRPr="00875EC2">
        <w:rPr>
          <w:rFonts w:ascii="Times New Roman" w:hAnsi="Times New Roman" w:cs="Times New Roman"/>
          <w:sz w:val="24"/>
          <w:szCs w:val="24"/>
        </w:rPr>
        <w:t>, or “a creator’s creation”</w:t>
      </w:r>
      <w:r w:rsidR="006A3398" w:rsidRPr="00875EC2">
        <w:rPr>
          <w:rFonts w:ascii="Times New Roman" w:hAnsi="Times New Roman" w:cs="Times New Roman"/>
          <w:sz w:val="24"/>
          <w:szCs w:val="24"/>
        </w:rPr>
        <w:t xml:space="preserve"> (e.g., </w:t>
      </w:r>
      <w:r w:rsidR="000B1BBA" w:rsidRPr="00875EC2">
        <w:rPr>
          <w:rFonts w:ascii="Times New Roman" w:hAnsi="Times New Roman" w:cs="Times New Roman"/>
          <w:sz w:val="24"/>
          <w:szCs w:val="24"/>
        </w:rPr>
        <w:t xml:space="preserve">in </w:t>
      </w:r>
      <w:r w:rsidR="006A3398" w:rsidRPr="00875EC2">
        <w:rPr>
          <w:rFonts w:ascii="Times New Roman" w:hAnsi="Times New Roman" w:cs="Times New Roman"/>
          <w:sz w:val="24"/>
          <w:szCs w:val="24"/>
        </w:rPr>
        <w:t>“</w:t>
      </w:r>
      <w:r w:rsidR="00E41428" w:rsidRPr="00875EC2">
        <w:rPr>
          <w:rFonts w:ascii="Times New Roman" w:hAnsi="Times New Roman" w:cs="Times New Roman"/>
          <w:sz w:val="24"/>
          <w:szCs w:val="24"/>
        </w:rPr>
        <w:t>Two Stellas are inside the museum</w:t>
      </w:r>
      <w:r w:rsidR="006A3398" w:rsidRPr="00875EC2">
        <w:rPr>
          <w:rFonts w:ascii="Times New Roman" w:hAnsi="Times New Roman" w:cs="Times New Roman"/>
          <w:sz w:val="24"/>
          <w:szCs w:val="24"/>
        </w:rPr>
        <w:t>”)</w:t>
      </w:r>
      <w:r w:rsidR="00DC2BB7" w:rsidRPr="00875EC2">
        <w:rPr>
          <w:rFonts w:ascii="Times New Roman" w:hAnsi="Times New Roman" w:cs="Times New Roman"/>
          <w:sz w:val="24"/>
          <w:szCs w:val="24"/>
        </w:rPr>
        <w:t xml:space="preserve">, or </w:t>
      </w:r>
      <w:r w:rsidR="00444ED3">
        <w:rPr>
          <w:rFonts w:ascii="Times New Roman" w:hAnsi="Times New Roman" w:cs="Times New Roman"/>
          <w:sz w:val="24"/>
          <w:szCs w:val="24"/>
        </w:rPr>
        <w:t xml:space="preserve">again </w:t>
      </w:r>
      <w:r w:rsidR="00DC2BB7" w:rsidRPr="00875EC2">
        <w:rPr>
          <w:rFonts w:ascii="Times New Roman" w:hAnsi="Times New Roman" w:cs="Times New Roman"/>
          <w:sz w:val="24"/>
          <w:szCs w:val="24"/>
        </w:rPr>
        <w:t>“a representation of an individual</w:t>
      </w:r>
      <w:r w:rsidR="006A3398" w:rsidRPr="00875EC2">
        <w:rPr>
          <w:rFonts w:ascii="Times New Roman" w:hAnsi="Times New Roman" w:cs="Times New Roman"/>
          <w:sz w:val="24"/>
          <w:szCs w:val="24"/>
        </w:rPr>
        <w:t xml:space="preserve">” (e.g., </w:t>
      </w:r>
      <w:r w:rsidR="000B1BBA" w:rsidRPr="00875EC2">
        <w:rPr>
          <w:rFonts w:ascii="Times New Roman" w:hAnsi="Times New Roman" w:cs="Times New Roman"/>
          <w:sz w:val="24"/>
          <w:szCs w:val="24"/>
        </w:rPr>
        <w:t xml:space="preserve">in </w:t>
      </w:r>
      <w:r w:rsidR="006A3398" w:rsidRPr="00875EC2">
        <w:rPr>
          <w:rFonts w:ascii="Times New Roman" w:hAnsi="Times New Roman" w:cs="Times New Roman"/>
          <w:sz w:val="24"/>
          <w:szCs w:val="24"/>
        </w:rPr>
        <w:t>“Two Osama bin Laden</w:t>
      </w:r>
      <w:r w:rsidR="00817A7E" w:rsidRPr="00875EC2">
        <w:rPr>
          <w:rFonts w:ascii="Times New Roman" w:hAnsi="Times New Roman" w:cs="Times New Roman"/>
          <w:sz w:val="24"/>
          <w:szCs w:val="24"/>
        </w:rPr>
        <w:t>s</w:t>
      </w:r>
      <w:r w:rsidR="006A3398" w:rsidRPr="00875EC2">
        <w:rPr>
          <w:rFonts w:ascii="Times New Roman" w:hAnsi="Times New Roman" w:cs="Times New Roman"/>
          <w:sz w:val="24"/>
          <w:szCs w:val="24"/>
        </w:rPr>
        <w:t xml:space="preserve"> came to the Halloween party”).</w:t>
      </w:r>
      <w:r w:rsidR="000B2A62" w:rsidRPr="00875EC2">
        <w:rPr>
          <w:rFonts w:ascii="Times New Roman" w:hAnsi="Times New Roman" w:cs="Times New Roman"/>
          <w:sz w:val="24"/>
          <w:szCs w:val="24"/>
        </w:rPr>
        <w:t xml:space="preserve"> Jeshion argues, first, that these are “</w:t>
      </w:r>
      <w:r w:rsidR="000B2A62" w:rsidRPr="00875EC2">
        <w:rPr>
          <w:rFonts w:ascii="Times New Roman" w:hAnsi="Times New Roman" w:cs="Times New Roman"/>
          <w:i/>
          <w:sz w:val="24"/>
          <w:szCs w:val="24"/>
        </w:rPr>
        <w:t>bona fide</w:t>
      </w:r>
      <w:r w:rsidR="000B2A62" w:rsidRPr="00875EC2">
        <w:rPr>
          <w:rFonts w:ascii="Times New Roman" w:hAnsi="Times New Roman" w:cs="Times New Roman"/>
          <w:sz w:val="24"/>
          <w:szCs w:val="24"/>
        </w:rPr>
        <w:t xml:space="preserve"> uses of proper names that any semantic theory of proper names must confront and, as predicativists like to say, may not sweep aside as special cases,” and,</w:t>
      </w:r>
      <w:r w:rsidR="00DA6CED" w:rsidRPr="00875EC2">
        <w:rPr>
          <w:rFonts w:ascii="Times New Roman" w:hAnsi="Times New Roman" w:cs="Times New Roman"/>
          <w:sz w:val="24"/>
          <w:szCs w:val="24"/>
        </w:rPr>
        <w:t xml:space="preserve"> second, that the predicativist</w:t>
      </w:r>
      <w:r w:rsidR="000B2A62" w:rsidRPr="00875EC2">
        <w:rPr>
          <w:rFonts w:ascii="Times New Roman" w:hAnsi="Times New Roman" w:cs="Times New Roman"/>
          <w:sz w:val="24"/>
          <w:szCs w:val="24"/>
        </w:rPr>
        <w:t xml:space="preserve"> proposals “deliver an incorrect semantics” for them.</w:t>
      </w:r>
      <w:r w:rsidR="00E03447" w:rsidRPr="00875EC2">
        <w:rPr>
          <w:rFonts w:ascii="Times New Roman" w:hAnsi="Times New Roman" w:cs="Times New Roman"/>
          <w:sz w:val="24"/>
          <w:szCs w:val="24"/>
        </w:rPr>
        <w:t xml:space="preserve"> So, she concludes that “referentialism is not vulnerable to the Uniformity Argument advanced by predicativists.” H</w:t>
      </w:r>
      <w:r w:rsidR="003A67D7">
        <w:rPr>
          <w:rFonts w:ascii="Times New Roman" w:hAnsi="Times New Roman" w:cs="Times New Roman"/>
          <w:sz w:val="24"/>
          <w:szCs w:val="24"/>
        </w:rPr>
        <w:t>owever, while her chapter</w:t>
      </w:r>
      <w:r w:rsidR="00E03447" w:rsidRPr="00875EC2">
        <w:rPr>
          <w:rFonts w:ascii="Times New Roman" w:hAnsi="Times New Roman" w:cs="Times New Roman"/>
          <w:sz w:val="24"/>
          <w:szCs w:val="24"/>
        </w:rPr>
        <w:t xml:space="preserve">’s “aims have been </w:t>
      </w:r>
      <w:r w:rsidR="00E03447" w:rsidRPr="00875EC2">
        <w:rPr>
          <w:rFonts w:ascii="Times New Roman" w:hAnsi="Times New Roman" w:cs="Times New Roman"/>
          <w:i/>
          <w:sz w:val="24"/>
          <w:szCs w:val="24"/>
        </w:rPr>
        <w:t xml:space="preserve">almost </w:t>
      </w:r>
      <w:r w:rsidR="00E03447" w:rsidRPr="00875EC2">
        <w:rPr>
          <w:rFonts w:ascii="Times New Roman" w:hAnsi="Times New Roman" w:cs="Times New Roman"/>
          <w:sz w:val="24"/>
          <w:szCs w:val="24"/>
        </w:rPr>
        <w:t xml:space="preserve">exclusively critical, largely confined to undermining the Uniformity Argument advanced by predicativists,” Jeshion also offers some </w:t>
      </w:r>
      <w:r w:rsidR="000B1BBA" w:rsidRPr="00875EC2">
        <w:rPr>
          <w:rFonts w:ascii="Times New Roman" w:hAnsi="Times New Roman" w:cs="Times New Roman"/>
          <w:sz w:val="24"/>
          <w:szCs w:val="24"/>
        </w:rPr>
        <w:t>hints on</w:t>
      </w:r>
      <w:r w:rsidR="00E03447" w:rsidRPr="00875EC2">
        <w:rPr>
          <w:rFonts w:ascii="Times New Roman" w:hAnsi="Times New Roman" w:cs="Times New Roman"/>
          <w:sz w:val="24"/>
          <w:szCs w:val="24"/>
        </w:rPr>
        <w:t xml:space="preserve"> how apparently predicative uses of proper names should be treated from a referentialist perspe</w:t>
      </w:r>
      <w:r w:rsidR="00C95F0F" w:rsidRPr="00875EC2">
        <w:rPr>
          <w:rFonts w:ascii="Times New Roman" w:hAnsi="Times New Roman" w:cs="Times New Roman"/>
          <w:sz w:val="24"/>
          <w:szCs w:val="24"/>
        </w:rPr>
        <w:t xml:space="preserve">ctive, by noting that </w:t>
      </w:r>
      <w:r w:rsidR="00E03447" w:rsidRPr="00875EC2">
        <w:rPr>
          <w:rFonts w:ascii="Times New Roman" w:hAnsi="Times New Roman" w:cs="Times New Roman"/>
          <w:sz w:val="24"/>
          <w:szCs w:val="24"/>
        </w:rPr>
        <w:t xml:space="preserve">they all seem to have a </w:t>
      </w:r>
      <w:r w:rsidR="00C95F0F" w:rsidRPr="00875EC2">
        <w:rPr>
          <w:rFonts w:ascii="Times New Roman" w:hAnsi="Times New Roman" w:cs="Times New Roman"/>
          <w:sz w:val="24"/>
          <w:szCs w:val="24"/>
        </w:rPr>
        <w:t>“</w:t>
      </w:r>
      <w:r w:rsidR="00E03447" w:rsidRPr="00875EC2">
        <w:rPr>
          <w:rFonts w:ascii="Times New Roman" w:hAnsi="Times New Roman" w:cs="Times New Roman"/>
          <w:sz w:val="24"/>
          <w:szCs w:val="24"/>
        </w:rPr>
        <w:t>common form</w:t>
      </w:r>
      <w:r w:rsidR="00C95F0F" w:rsidRPr="00875EC2">
        <w:rPr>
          <w:rFonts w:ascii="Times New Roman" w:hAnsi="Times New Roman" w:cs="Times New Roman"/>
          <w:sz w:val="24"/>
          <w:szCs w:val="24"/>
        </w:rPr>
        <w:t>”</w:t>
      </w:r>
      <w:r w:rsidR="00E03447" w:rsidRPr="00875EC2">
        <w:rPr>
          <w:rFonts w:ascii="Times New Roman" w:hAnsi="Times New Roman" w:cs="Times New Roman"/>
          <w:sz w:val="24"/>
          <w:szCs w:val="24"/>
        </w:rPr>
        <w:t>: “they signal a certain relation to the name’s referent, where the name itself, in the context, either refers to an individual, a family, or the name itself (perhaps others)</w:t>
      </w:r>
      <w:r w:rsidR="00C95F0F" w:rsidRPr="00875EC2">
        <w:rPr>
          <w:rFonts w:ascii="Times New Roman" w:hAnsi="Times New Roman" w:cs="Times New Roman"/>
          <w:sz w:val="24"/>
          <w:szCs w:val="24"/>
        </w:rPr>
        <w:t>.”</w:t>
      </w:r>
    </w:p>
    <w:p w:rsidR="000B1BBA" w:rsidRPr="00875EC2" w:rsidRDefault="000B1BBA" w:rsidP="007C4B41">
      <w:pPr>
        <w:spacing w:after="0" w:line="480" w:lineRule="auto"/>
        <w:ind w:firstLine="340"/>
        <w:rPr>
          <w:rFonts w:ascii="Times New Roman" w:hAnsi="Times New Roman" w:cs="Times New Roman"/>
          <w:sz w:val="24"/>
          <w:szCs w:val="24"/>
        </w:rPr>
      </w:pPr>
      <w:r w:rsidRPr="00875EC2">
        <w:rPr>
          <w:rFonts w:ascii="Times New Roman" w:hAnsi="Times New Roman" w:cs="Times New Roman"/>
          <w:sz w:val="24"/>
          <w:szCs w:val="24"/>
        </w:rPr>
        <w:t>In her contribution, “‘Literal’ Uses of Proper Na</w:t>
      </w:r>
      <w:r w:rsidR="00BA0CED" w:rsidRPr="00875EC2">
        <w:rPr>
          <w:rFonts w:ascii="Times New Roman" w:hAnsi="Times New Roman" w:cs="Times New Roman"/>
          <w:sz w:val="24"/>
          <w:szCs w:val="24"/>
        </w:rPr>
        <w:t>mes</w:t>
      </w:r>
      <w:r w:rsidR="00E45777" w:rsidRPr="00875EC2">
        <w:rPr>
          <w:rFonts w:ascii="Times New Roman" w:hAnsi="Times New Roman" w:cs="Times New Roman"/>
          <w:sz w:val="24"/>
          <w:szCs w:val="24"/>
        </w:rPr>
        <w:t>,</w:t>
      </w:r>
      <w:r w:rsidR="00BA0CED" w:rsidRPr="00875EC2">
        <w:rPr>
          <w:rFonts w:ascii="Times New Roman" w:hAnsi="Times New Roman" w:cs="Times New Roman"/>
          <w:sz w:val="24"/>
          <w:szCs w:val="24"/>
        </w:rPr>
        <w:t>” De</w:t>
      </w:r>
      <w:r w:rsidR="00E45777" w:rsidRPr="00875EC2">
        <w:rPr>
          <w:rFonts w:ascii="Times New Roman" w:hAnsi="Times New Roman" w:cs="Times New Roman"/>
          <w:sz w:val="24"/>
          <w:szCs w:val="24"/>
        </w:rPr>
        <w:t>lia Fara, a prominent proponent</w:t>
      </w:r>
      <w:r w:rsidR="00630A62" w:rsidRPr="00875EC2">
        <w:rPr>
          <w:rFonts w:ascii="Times New Roman" w:hAnsi="Times New Roman" w:cs="Times New Roman"/>
          <w:sz w:val="24"/>
          <w:szCs w:val="24"/>
        </w:rPr>
        <w:t xml:space="preserve"> of predicativism, takes up</w:t>
      </w:r>
      <w:r w:rsidRPr="00875EC2">
        <w:rPr>
          <w:rFonts w:ascii="Times New Roman" w:hAnsi="Times New Roman" w:cs="Times New Roman"/>
          <w:sz w:val="24"/>
          <w:szCs w:val="24"/>
        </w:rPr>
        <w:t xml:space="preserve"> Jeshion</w:t>
      </w:r>
      <w:r w:rsidR="00630A62" w:rsidRPr="00875EC2">
        <w:rPr>
          <w:rFonts w:ascii="Times New Roman" w:hAnsi="Times New Roman" w:cs="Times New Roman"/>
          <w:sz w:val="24"/>
          <w:szCs w:val="24"/>
        </w:rPr>
        <w:t>’s challenge</w:t>
      </w:r>
      <w:r w:rsidRPr="00875EC2">
        <w:rPr>
          <w:rFonts w:ascii="Times New Roman" w:hAnsi="Times New Roman" w:cs="Times New Roman"/>
          <w:sz w:val="24"/>
          <w:szCs w:val="24"/>
        </w:rPr>
        <w:t>.</w:t>
      </w:r>
      <w:r w:rsidR="00BA0CED" w:rsidRPr="00875EC2">
        <w:rPr>
          <w:rFonts w:ascii="Times New Roman" w:hAnsi="Times New Roman" w:cs="Times New Roman"/>
          <w:sz w:val="24"/>
          <w:szCs w:val="24"/>
        </w:rPr>
        <w:t xml:space="preserve"> Indeed, after outlining the main rationale for adopting a predicativist proposal such as her own, which appeals in semantics to what she calls the </w:t>
      </w:r>
      <w:r w:rsidR="00F20BB9" w:rsidRPr="00875EC2">
        <w:rPr>
          <w:rFonts w:ascii="Times New Roman" w:hAnsi="Times New Roman" w:cs="Times New Roman"/>
          <w:i/>
          <w:sz w:val="24"/>
          <w:szCs w:val="24"/>
        </w:rPr>
        <w:t>being-</w:t>
      </w:r>
      <w:r w:rsidR="00BA0CED" w:rsidRPr="00875EC2">
        <w:rPr>
          <w:rFonts w:ascii="Times New Roman" w:hAnsi="Times New Roman" w:cs="Times New Roman"/>
          <w:i/>
          <w:sz w:val="24"/>
          <w:szCs w:val="24"/>
        </w:rPr>
        <w:t>called condition</w:t>
      </w:r>
      <w:r w:rsidR="00BA0CED" w:rsidRPr="00875EC2">
        <w:rPr>
          <w:rFonts w:ascii="Times New Roman" w:hAnsi="Times New Roman" w:cs="Times New Roman"/>
          <w:sz w:val="24"/>
          <w:szCs w:val="24"/>
        </w:rPr>
        <w:t xml:space="preserve"> (“A proper name ‘</w:t>
      </w:r>
      <w:r w:rsidR="00BA0CED" w:rsidRPr="00875EC2">
        <w:rPr>
          <w:rFonts w:ascii="Times New Roman" w:hAnsi="Times New Roman" w:cs="Times New Roman"/>
          <w:i/>
          <w:sz w:val="24"/>
          <w:szCs w:val="24"/>
        </w:rPr>
        <w:t>N</w:t>
      </w:r>
      <w:r w:rsidR="00BA0CED" w:rsidRPr="00875EC2">
        <w:rPr>
          <w:rFonts w:ascii="Times New Roman" w:hAnsi="Times New Roman" w:cs="Times New Roman"/>
          <w:sz w:val="24"/>
          <w:szCs w:val="24"/>
        </w:rPr>
        <w:t xml:space="preserve">’ is true of a thing just in case it is called </w:t>
      </w:r>
      <w:r w:rsidR="00BA0CED" w:rsidRPr="00875EC2">
        <w:rPr>
          <w:rFonts w:ascii="Times New Roman" w:hAnsi="Times New Roman" w:cs="Times New Roman"/>
          <w:i/>
          <w:sz w:val="24"/>
          <w:szCs w:val="24"/>
        </w:rPr>
        <w:t>N</w:t>
      </w:r>
      <w:r w:rsidR="00BA0CED" w:rsidRPr="00875EC2">
        <w:rPr>
          <w:rFonts w:ascii="Times New Roman" w:hAnsi="Times New Roman" w:cs="Times New Roman"/>
          <w:sz w:val="24"/>
          <w:szCs w:val="24"/>
        </w:rPr>
        <w:t xml:space="preserve">”), Fara sets out </w:t>
      </w:r>
      <w:r w:rsidR="00F20BB9" w:rsidRPr="00875EC2">
        <w:rPr>
          <w:rFonts w:ascii="Times New Roman" w:hAnsi="Times New Roman" w:cs="Times New Roman"/>
          <w:sz w:val="24"/>
          <w:szCs w:val="24"/>
        </w:rPr>
        <w:t xml:space="preserve">to “rebut an argument against the being-called condition which is intended to show that it is false by appealing to examples in which predicative names are allegedly used literally but without satisfying the being-called condition,” which she ascribes to Jeshion. In order </w:t>
      </w:r>
      <w:r w:rsidR="00760158" w:rsidRPr="00875EC2">
        <w:rPr>
          <w:rFonts w:ascii="Times New Roman" w:hAnsi="Times New Roman" w:cs="Times New Roman"/>
          <w:sz w:val="24"/>
          <w:szCs w:val="24"/>
        </w:rPr>
        <w:t xml:space="preserve">to </w:t>
      </w:r>
      <w:r w:rsidR="00E45777" w:rsidRPr="00875EC2">
        <w:rPr>
          <w:rFonts w:ascii="Times New Roman" w:hAnsi="Times New Roman" w:cs="Times New Roman"/>
          <w:sz w:val="24"/>
          <w:szCs w:val="24"/>
        </w:rPr>
        <w:t xml:space="preserve">do </w:t>
      </w:r>
      <w:r w:rsidR="00760158" w:rsidRPr="00875EC2">
        <w:rPr>
          <w:rFonts w:ascii="Times New Roman" w:hAnsi="Times New Roman" w:cs="Times New Roman"/>
          <w:sz w:val="24"/>
          <w:szCs w:val="24"/>
        </w:rPr>
        <w:t>this, Fara considers “a variety of such examples,”</w:t>
      </w:r>
      <w:r w:rsidR="003A67D7">
        <w:rPr>
          <w:rFonts w:ascii="Times New Roman" w:hAnsi="Times New Roman" w:cs="Times New Roman"/>
          <w:sz w:val="24"/>
          <w:szCs w:val="24"/>
        </w:rPr>
        <w:t xml:space="preserve"> many of which come from Jeshion’s chapter</w:t>
      </w:r>
      <w:r w:rsidR="00760158" w:rsidRPr="00875EC2">
        <w:rPr>
          <w:rFonts w:ascii="Times New Roman" w:hAnsi="Times New Roman" w:cs="Times New Roman"/>
          <w:sz w:val="24"/>
          <w:szCs w:val="24"/>
        </w:rPr>
        <w:t>, categorizes them under three headings (</w:t>
      </w:r>
      <w:r w:rsidR="00B33AF5" w:rsidRPr="00875EC2">
        <w:rPr>
          <w:rFonts w:ascii="Times New Roman" w:hAnsi="Times New Roman" w:cs="Times New Roman"/>
          <w:i/>
          <w:sz w:val="24"/>
          <w:szCs w:val="24"/>
        </w:rPr>
        <w:t>deferred interpretation e</w:t>
      </w:r>
      <w:r w:rsidR="00760158" w:rsidRPr="00875EC2">
        <w:rPr>
          <w:rFonts w:ascii="Times New Roman" w:hAnsi="Times New Roman" w:cs="Times New Roman"/>
          <w:i/>
          <w:sz w:val="24"/>
          <w:szCs w:val="24"/>
        </w:rPr>
        <w:t>xamples</w:t>
      </w:r>
      <w:r w:rsidR="00760158" w:rsidRPr="00875EC2">
        <w:rPr>
          <w:rFonts w:ascii="Times New Roman" w:hAnsi="Times New Roman" w:cs="Times New Roman"/>
          <w:sz w:val="24"/>
          <w:szCs w:val="24"/>
        </w:rPr>
        <w:t xml:space="preserve">, </w:t>
      </w:r>
      <w:r w:rsidR="00B33AF5" w:rsidRPr="00875EC2">
        <w:rPr>
          <w:rFonts w:ascii="Times New Roman" w:hAnsi="Times New Roman" w:cs="Times New Roman"/>
          <w:i/>
          <w:sz w:val="24"/>
          <w:szCs w:val="24"/>
        </w:rPr>
        <w:t>resemblance e</w:t>
      </w:r>
      <w:r w:rsidR="00760158" w:rsidRPr="00875EC2">
        <w:rPr>
          <w:rFonts w:ascii="Times New Roman" w:hAnsi="Times New Roman" w:cs="Times New Roman"/>
          <w:i/>
          <w:sz w:val="24"/>
          <w:szCs w:val="24"/>
        </w:rPr>
        <w:t>xamples</w:t>
      </w:r>
      <w:r w:rsidR="00760158" w:rsidRPr="00875EC2">
        <w:rPr>
          <w:rFonts w:ascii="Times New Roman" w:hAnsi="Times New Roman" w:cs="Times New Roman"/>
          <w:sz w:val="24"/>
          <w:szCs w:val="24"/>
        </w:rPr>
        <w:t xml:space="preserve">, and </w:t>
      </w:r>
      <w:r w:rsidR="00B33AF5" w:rsidRPr="00875EC2">
        <w:rPr>
          <w:rFonts w:ascii="Times New Roman" w:hAnsi="Times New Roman" w:cs="Times New Roman"/>
          <w:i/>
          <w:sz w:val="24"/>
          <w:szCs w:val="24"/>
        </w:rPr>
        <w:t>Romanov e</w:t>
      </w:r>
      <w:r w:rsidR="00760158" w:rsidRPr="00875EC2">
        <w:rPr>
          <w:rFonts w:ascii="Times New Roman" w:hAnsi="Times New Roman" w:cs="Times New Roman"/>
          <w:i/>
          <w:sz w:val="24"/>
          <w:szCs w:val="24"/>
        </w:rPr>
        <w:t>xamples</w:t>
      </w:r>
      <w:r w:rsidR="00760158" w:rsidRPr="00875EC2">
        <w:rPr>
          <w:rFonts w:ascii="Times New Roman" w:hAnsi="Times New Roman" w:cs="Times New Roman"/>
          <w:sz w:val="24"/>
          <w:szCs w:val="24"/>
        </w:rPr>
        <w:t>), and argues that “no example under any of the headings gives a relevant counterexample to the being-called condition.”</w:t>
      </w:r>
      <w:r w:rsidR="00E41428" w:rsidRPr="00875EC2">
        <w:rPr>
          <w:rFonts w:ascii="Times New Roman" w:hAnsi="Times New Roman" w:cs="Times New Roman"/>
          <w:sz w:val="24"/>
          <w:szCs w:val="24"/>
        </w:rPr>
        <w:t xml:space="preserve"> A</w:t>
      </w:r>
      <w:r w:rsidR="00B33AF5" w:rsidRPr="00875EC2">
        <w:rPr>
          <w:rFonts w:ascii="Times New Roman" w:hAnsi="Times New Roman" w:cs="Times New Roman"/>
          <w:sz w:val="24"/>
          <w:szCs w:val="24"/>
        </w:rPr>
        <w:t>s for deferred interpretation e</w:t>
      </w:r>
      <w:r w:rsidR="00E41428" w:rsidRPr="00875EC2">
        <w:rPr>
          <w:rFonts w:ascii="Times New Roman" w:hAnsi="Times New Roman" w:cs="Times New Roman"/>
          <w:sz w:val="24"/>
          <w:szCs w:val="24"/>
        </w:rPr>
        <w:t xml:space="preserve">xamples (e.g., </w:t>
      </w:r>
      <w:r w:rsidR="00817A7E" w:rsidRPr="00875EC2">
        <w:rPr>
          <w:rFonts w:ascii="Times New Roman" w:hAnsi="Times New Roman" w:cs="Times New Roman"/>
          <w:sz w:val="24"/>
          <w:szCs w:val="24"/>
        </w:rPr>
        <w:t>an utterance</w:t>
      </w:r>
      <w:r w:rsidR="00E41428" w:rsidRPr="00875EC2">
        <w:rPr>
          <w:rFonts w:ascii="Times New Roman" w:hAnsi="Times New Roman" w:cs="Times New Roman"/>
          <w:sz w:val="24"/>
          <w:szCs w:val="24"/>
        </w:rPr>
        <w:t xml:space="preserve"> of “Two Stellas are inside the museum” or “</w:t>
      </w:r>
      <w:r w:rsidR="00817A7E" w:rsidRPr="00875EC2">
        <w:rPr>
          <w:rFonts w:ascii="Times New Roman" w:hAnsi="Times New Roman" w:cs="Times New Roman"/>
          <w:sz w:val="24"/>
          <w:szCs w:val="24"/>
        </w:rPr>
        <w:t xml:space="preserve">There were </w:t>
      </w:r>
      <w:r w:rsidR="003A67D7">
        <w:rPr>
          <w:rFonts w:ascii="Times New Roman" w:hAnsi="Times New Roman" w:cs="Times New Roman"/>
          <w:sz w:val="24"/>
          <w:szCs w:val="24"/>
        </w:rPr>
        <w:t>t</w:t>
      </w:r>
      <w:r w:rsidR="00E41428" w:rsidRPr="00875EC2">
        <w:rPr>
          <w:rFonts w:ascii="Times New Roman" w:hAnsi="Times New Roman" w:cs="Times New Roman"/>
          <w:sz w:val="24"/>
          <w:szCs w:val="24"/>
        </w:rPr>
        <w:t>wo Osama bin Laden</w:t>
      </w:r>
      <w:r w:rsidR="00817A7E" w:rsidRPr="00875EC2">
        <w:rPr>
          <w:rFonts w:ascii="Times New Roman" w:hAnsi="Times New Roman" w:cs="Times New Roman"/>
          <w:sz w:val="24"/>
          <w:szCs w:val="24"/>
        </w:rPr>
        <w:t>s</w:t>
      </w:r>
      <w:r w:rsidR="00E41428" w:rsidRPr="00875EC2">
        <w:rPr>
          <w:rFonts w:ascii="Times New Roman" w:hAnsi="Times New Roman" w:cs="Times New Roman"/>
          <w:sz w:val="24"/>
          <w:szCs w:val="24"/>
        </w:rPr>
        <w:t xml:space="preserve"> </w:t>
      </w:r>
      <w:r w:rsidR="00817A7E" w:rsidRPr="00875EC2">
        <w:rPr>
          <w:rFonts w:ascii="Times New Roman" w:hAnsi="Times New Roman" w:cs="Times New Roman"/>
          <w:sz w:val="24"/>
          <w:szCs w:val="24"/>
        </w:rPr>
        <w:t>at</w:t>
      </w:r>
      <w:r w:rsidR="00E41428" w:rsidRPr="00875EC2">
        <w:rPr>
          <w:rFonts w:ascii="Times New Roman" w:hAnsi="Times New Roman" w:cs="Times New Roman"/>
          <w:sz w:val="24"/>
          <w:szCs w:val="24"/>
        </w:rPr>
        <w:t xml:space="preserve"> the Halloween party”)</w:t>
      </w:r>
      <w:r w:rsidR="00B33AF5" w:rsidRPr="00875EC2">
        <w:rPr>
          <w:rFonts w:ascii="Times New Roman" w:hAnsi="Times New Roman" w:cs="Times New Roman"/>
          <w:sz w:val="24"/>
          <w:szCs w:val="24"/>
        </w:rPr>
        <w:t>, and resemblance e</w:t>
      </w:r>
      <w:r w:rsidR="00E41428" w:rsidRPr="00875EC2">
        <w:rPr>
          <w:rFonts w:ascii="Times New Roman" w:hAnsi="Times New Roman" w:cs="Times New Roman"/>
          <w:sz w:val="24"/>
          <w:szCs w:val="24"/>
        </w:rPr>
        <w:t xml:space="preserve">xamples (e.g., </w:t>
      </w:r>
      <w:r w:rsidR="00817A7E" w:rsidRPr="00875EC2">
        <w:rPr>
          <w:rFonts w:ascii="Times New Roman" w:hAnsi="Times New Roman" w:cs="Times New Roman"/>
          <w:sz w:val="24"/>
          <w:szCs w:val="24"/>
        </w:rPr>
        <w:t>an utterance</w:t>
      </w:r>
      <w:r w:rsidR="00E41428" w:rsidRPr="00875EC2">
        <w:rPr>
          <w:rFonts w:ascii="Times New Roman" w:hAnsi="Times New Roman" w:cs="Times New Roman"/>
          <w:sz w:val="24"/>
          <w:szCs w:val="24"/>
        </w:rPr>
        <w:t xml:space="preserve"> of “Two little Lenas just arrived”</w:t>
      </w:r>
      <w:r w:rsidR="00817A7E" w:rsidRPr="00875EC2">
        <w:rPr>
          <w:rFonts w:ascii="Times New Roman" w:hAnsi="Times New Roman" w:cs="Times New Roman"/>
          <w:sz w:val="24"/>
          <w:szCs w:val="24"/>
        </w:rPr>
        <w:t>)</w:t>
      </w:r>
      <w:r w:rsidR="00E41428" w:rsidRPr="00875EC2">
        <w:rPr>
          <w:rFonts w:ascii="Times New Roman" w:hAnsi="Times New Roman" w:cs="Times New Roman"/>
          <w:sz w:val="24"/>
          <w:szCs w:val="24"/>
        </w:rPr>
        <w:t>, Fara employs the same strategy</w:t>
      </w:r>
      <w:r w:rsidR="00817A7E" w:rsidRPr="00875EC2">
        <w:rPr>
          <w:rFonts w:ascii="Times New Roman" w:hAnsi="Times New Roman" w:cs="Times New Roman"/>
          <w:sz w:val="24"/>
          <w:szCs w:val="24"/>
        </w:rPr>
        <w:t>. For each of the examples, she finds</w:t>
      </w:r>
      <w:r w:rsidR="00E41428" w:rsidRPr="00875EC2">
        <w:rPr>
          <w:rFonts w:ascii="Times New Roman" w:hAnsi="Times New Roman" w:cs="Times New Roman"/>
          <w:sz w:val="24"/>
          <w:szCs w:val="24"/>
        </w:rPr>
        <w:t xml:space="preserve"> </w:t>
      </w:r>
      <w:r w:rsidR="00817A7E" w:rsidRPr="00875EC2">
        <w:rPr>
          <w:rFonts w:ascii="Times New Roman" w:hAnsi="Times New Roman" w:cs="Times New Roman"/>
          <w:sz w:val="24"/>
          <w:szCs w:val="24"/>
        </w:rPr>
        <w:t xml:space="preserve">“an analogous example with a common </w:t>
      </w:r>
      <w:r w:rsidR="00D869EA">
        <w:rPr>
          <w:rFonts w:ascii="Times New Roman" w:hAnsi="Times New Roman" w:cs="Times New Roman"/>
          <w:sz w:val="24"/>
          <w:szCs w:val="24"/>
        </w:rPr>
        <w:t xml:space="preserve">count </w:t>
      </w:r>
      <w:r w:rsidR="00817A7E" w:rsidRPr="00875EC2">
        <w:rPr>
          <w:rFonts w:ascii="Times New Roman" w:hAnsi="Times New Roman" w:cs="Times New Roman"/>
          <w:sz w:val="24"/>
          <w:szCs w:val="24"/>
        </w:rPr>
        <w:t>noun” instead of a proper name</w:t>
      </w:r>
      <w:r w:rsidR="00F20BB9" w:rsidRPr="00875EC2">
        <w:rPr>
          <w:rFonts w:ascii="Times New Roman" w:hAnsi="Times New Roman" w:cs="Times New Roman"/>
          <w:sz w:val="24"/>
          <w:szCs w:val="24"/>
        </w:rPr>
        <w:t xml:space="preserve"> </w:t>
      </w:r>
      <w:r w:rsidR="00817A7E" w:rsidRPr="00875EC2">
        <w:rPr>
          <w:rFonts w:ascii="Times New Roman" w:hAnsi="Times New Roman" w:cs="Times New Roman"/>
          <w:sz w:val="24"/>
          <w:szCs w:val="24"/>
        </w:rPr>
        <w:t>(e.g., an utterance of “There were two green witches at the Halloween party”</w:t>
      </w:r>
      <w:r w:rsidR="00D24CCB" w:rsidRPr="00875EC2">
        <w:rPr>
          <w:rFonts w:ascii="Times New Roman" w:hAnsi="Times New Roman" w:cs="Times New Roman"/>
          <w:sz w:val="24"/>
          <w:szCs w:val="24"/>
        </w:rPr>
        <w:t>), and notes that</w:t>
      </w:r>
      <w:r w:rsidR="002F14EC" w:rsidRPr="00875EC2">
        <w:rPr>
          <w:rFonts w:ascii="Times New Roman" w:hAnsi="Times New Roman" w:cs="Times New Roman"/>
          <w:sz w:val="24"/>
          <w:szCs w:val="24"/>
        </w:rPr>
        <w:t xml:space="preserve"> the fact</w:t>
      </w:r>
      <w:r w:rsidR="00CC7F21" w:rsidRPr="00875EC2">
        <w:rPr>
          <w:rFonts w:ascii="Times New Roman" w:hAnsi="Times New Roman" w:cs="Times New Roman"/>
          <w:sz w:val="24"/>
          <w:szCs w:val="24"/>
        </w:rPr>
        <w:t xml:space="preserve"> that</w:t>
      </w:r>
      <w:r w:rsidR="005820F6" w:rsidRPr="00875EC2">
        <w:rPr>
          <w:rFonts w:ascii="Times New Roman" w:hAnsi="Times New Roman" w:cs="Times New Roman"/>
          <w:sz w:val="24"/>
          <w:szCs w:val="24"/>
        </w:rPr>
        <w:t>, for instance</w:t>
      </w:r>
      <w:r w:rsidR="002F14EC" w:rsidRPr="00875EC2">
        <w:rPr>
          <w:rFonts w:ascii="Times New Roman" w:hAnsi="Times New Roman" w:cs="Times New Roman"/>
          <w:sz w:val="24"/>
          <w:szCs w:val="24"/>
        </w:rPr>
        <w:t>,</w:t>
      </w:r>
      <w:r w:rsidR="002B1CBD" w:rsidRPr="00875EC2">
        <w:rPr>
          <w:rFonts w:ascii="Times New Roman" w:hAnsi="Times New Roman" w:cs="Times New Roman"/>
          <w:sz w:val="24"/>
          <w:szCs w:val="24"/>
        </w:rPr>
        <w:t xml:space="preserve"> “[t]he phenomenon of deferred interpretation occurs just as easily with common count nouns</w:t>
      </w:r>
      <w:r w:rsidR="00DA6CED" w:rsidRPr="00875EC2">
        <w:rPr>
          <w:rFonts w:ascii="Times New Roman" w:hAnsi="Times New Roman" w:cs="Times New Roman"/>
          <w:sz w:val="24"/>
          <w:szCs w:val="24"/>
        </w:rPr>
        <w:t xml:space="preserve"> as it does with proper names” </w:t>
      </w:r>
      <w:r w:rsidR="00C33107" w:rsidRPr="00875EC2">
        <w:rPr>
          <w:rFonts w:ascii="Times New Roman" w:hAnsi="Times New Roman" w:cs="Times New Roman"/>
          <w:sz w:val="24"/>
          <w:szCs w:val="24"/>
        </w:rPr>
        <w:t>is certainly not</w:t>
      </w:r>
      <w:r w:rsidR="002B1CBD" w:rsidRPr="00875EC2">
        <w:rPr>
          <w:rFonts w:ascii="Times New Roman" w:hAnsi="Times New Roman" w:cs="Times New Roman"/>
          <w:sz w:val="24"/>
          <w:szCs w:val="24"/>
        </w:rPr>
        <w:t xml:space="preserve"> taken by anyone to “scotch the application conditions” for common count nouns in their normal uses. </w:t>
      </w:r>
      <w:r w:rsidR="00AD45DC" w:rsidRPr="00875EC2">
        <w:rPr>
          <w:rFonts w:ascii="Times New Roman" w:hAnsi="Times New Roman" w:cs="Times New Roman"/>
          <w:sz w:val="24"/>
          <w:szCs w:val="24"/>
        </w:rPr>
        <w:t>I</w:t>
      </w:r>
      <w:r w:rsidR="009E3EC6" w:rsidRPr="00875EC2">
        <w:rPr>
          <w:rFonts w:ascii="Times New Roman" w:hAnsi="Times New Roman" w:cs="Times New Roman"/>
          <w:sz w:val="24"/>
          <w:szCs w:val="24"/>
        </w:rPr>
        <w:t>n fact</w:t>
      </w:r>
      <w:r w:rsidR="00AD45DC" w:rsidRPr="00875EC2">
        <w:rPr>
          <w:rFonts w:ascii="Times New Roman" w:hAnsi="Times New Roman" w:cs="Times New Roman"/>
          <w:sz w:val="24"/>
          <w:szCs w:val="24"/>
        </w:rPr>
        <w:t xml:space="preserve">, no one would </w:t>
      </w:r>
      <w:r w:rsidR="009E3EC6" w:rsidRPr="00875EC2">
        <w:rPr>
          <w:rFonts w:ascii="Times New Roman" w:hAnsi="Times New Roman" w:cs="Times New Roman"/>
          <w:sz w:val="24"/>
          <w:szCs w:val="24"/>
        </w:rPr>
        <w:t xml:space="preserve">argue against the semantic claim that, say, “green witch” is true of a thing just in case it is a green witch </w:t>
      </w:r>
      <w:r w:rsidR="00AD45DC" w:rsidRPr="00875EC2">
        <w:rPr>
          <w:rFonts w:ascii="Times New Roman" w:hAnsi="Times New Roman" w:cs="Times New Roman"/>
          <w:sz w:val="24"/>
          <w:szCs w:val="24"/>
        </w:rPr>
        <w:t>from the fact that, in a given context, an utterance of “There were two green witches at the Halloween party” is appropriate if not true (</w:t>
      </w:r>
      <w:r w:rsidR="00D24CCB" w:rsidRPr="00875EC2">
        <w:rPr>
          <w:rFonts w:ascii="Times New Roman" w:hAnsi="Times New Roman" w:cs="Times New Roman"/>
          <w:sz w:val="24"/>
          <w:szCs w:val="24"/>
        </w:rPr>
        <w:t>this last</w:t>
      </w:r>
      <w:r w:rsidR="00AD45DC" w:rsidRPr="00875EC2">
        <w:rPr>
          <w:rFonts w:ascii="Times New Roman" w:hAnsi="Times New Roman" w:cs="Times New Roman"/>
          <w:sz w:val="24"/>
          <w:szCs w:val="24"/>
        </w:rPr>
        <w:t xml:space="preserve"> issue depen</w:t>
      </w:r>
      <w:r w:rsidR="00BE1E73" w:rsidRPr="00875EC2">
        <w:rPr>
          <w:rFonts w:ascii="Times New Roman" w:hAnsi="Times New Roman" w:cs="Times New Roman"/>
          <w:sz w:val="24"/>
          <w:szCs w:val="24"/>
        </w:rPr>
        <w:t xml:space="preserve">ding on the specific account </w:t>
      </w:r>
      <w:r w:rsidR="00C33107" w:rsidRPr="00875EC2">
        <w:rPr>
          <w:rFonts w:ascii="Times New Roman" w:hAnsi="Times New Roman" w:cs="Times New Roman"/>
          <w:sz w:val="24"/>
          <w:szCs w:val="24"/>
        </w:rPr>
        <w:t xml:space="preserve">that is </w:t>
      </w:r>
      <w:r w:rsidR="00AD45DC" w:rsidRPr="00875EC2">
        <w:rPr>
          <w:rFonts w:ascii="Times New Roman" w:hAnsi="Times New Roman" w:cs="Times New Roman"/>
          <w:sz w:val="24"/>
          <w:szCs w:val="24"/>
        </w:rPr>
        <w:t xml:space="preserve">given of deferred interpretation), </w:t>
      </w:r>
      <w:r w:rsidR="009E3EC6" w:rsidRPr="00875EC2">
        <w:rPr>
          <w:rFonts w:ascii="Times New Roman" w:hAnsi="Times New Roman" w:cs="Times New Roman"/>
          <w:sz w:val="24"/>
          <w:szCs w:val="24"/>
        </w:rPr>
        <w:t xml:space="preserve">notwithstanding that of course there were no real witches at the party. </w:t>
      </w:r>
      <w:r w:rsidR="002B1CBD" w:rsidRPr="00875EC2">
        <w:rPr>
          <w:rFonts w:ascii="Times New Roman" w:hAnsi="Times New Roman" w:cs="Times New Roman"/>
          <w:sz w:val="24"/>
          <w:szCs w:val="24"/>
        </w:rPr>
        <w:t>For parity of reasoning</w:t>
      </w:r>
      <w:r w:rsidR="00AD45DC" w:rsidRPr="00875EC2">
        <w:rPr>
          <w:rFonts w:ascii="Times New Roman" w:hAnsi="Times New Roman" w:cs="Times New Roman"/>
          <w:sz w:val="24"/>
          <w:szCs w:val="24"/>
        </w:rPr>
        <w:t xml:space="preserve">, </w:t>
      </w:r>
      <w:r w:rsidR="009E3EC6" w:rsidRPr="00875EC2">
        <w:rPr>
          <w:rFonts w:ascii="Times New Roman" w:hAnsi="Times New Roman" w:cs="Times New Roman"/>
          <w:sz w:val="24"/>
          <w:szCs w:val="24"/>
        </w:rPr>
        <w:t>no one should argue against the semantic claim that, say, “Osama bin L</w:t>
      </w:r>
      <w:r w:rsidR="00BE1E73" w:rsidRPr="00875EC2">
        <w:rPr>
          <w:rFonts w:ascii="Times New Roman" w:hAnsi="Times New Roman" w:cs="Times New Roman"/>
          <w:sz w:val="24"/>
          <w:szCs w:val="24"/>
        </w:rPr>
        <w:t xml:space="preserve">aden” is true of a thing just in case </w:t>
      </w:r>
      <w:r w:rsidR="009E3EC6" w:rsidRPr="00875EC2">
        <w:rPr>
          <w:rFonts w:ascii="Times New Roman" w:hAnsi="Times New Roman" w:cs="Times New Roman"/>
          <w:sz w:val="24"/>
          <w:szCs w:val="24"/>
        </w:rPr>
        <w:t>it is called Osama bin Laden</w:t>
      </w:r>
      <w:r w:rsidR="00D24CCB" w:rsidRPr="00875EC2">
        <w:rPr>
          <w:rFonts w:ascii="Times New Roman" w:hAnsi="Times New Roman" w:cs="Times New Roman"/>
          <w:sz w:val="24"/>
          <w:szCs w:val="24"/>
        </w:rPr>
        <w:t xml:space="preserve"> </w:t>
      </w:r>
      <w:r w:rsidR="009E3EC6" w:rsidRPr="00875EC2">
        <w:rPr>
          <w:rFonts w:ascii="Times New Roman" w:hAnsi="Times New Roman" w:cs="Times New Roman"/>
          <w:sz w:val="24"/>
          <w:szCs w:val="24"/>
        </w:rPr>
        <w:t>from the fact that, in a similar context, an utterance of “There were two Osama bin Ladens at the Halloween party” is appropriate if not true</w:t>
      </w:r>
      <w:r w:rsidR="003A67D7">
        <w:rPr>
          <w:rFonts w:ascii="Times New Roman" w:hAnsi="Times New Roman" w:cs="Times New Roman"/>
          <w:sz w:val="24"/>
          <w:szCs w:val="24"/>
        </w:rPr>
        <w:t>,</w:t>
      </w:r>
      <w:r w:rsidR="009E3EC6" w:rsidRPr="00875EC2">
        <w:rPr>
          <w:rFonts w:ascii="Times New Roman" w:hAnsi="Times New Roman" w:cs="Times New Roman"/>
          <w:sz w:val="24"/>
          <w:szCs w:val="24"/>
        </w:rPr>
        <w:t xml:space="preserve"> </w:t>
      </w:r>
      <w:r w:rsidR="00D24CCB" w:rsidRPr="00875EC2">
        <w:rPr>
          <w:rFonts w:ascii="Times New Roman" w:hAnsi="Times New Roman" w:cs="Times New Roman"/>
          <w:sz w:val="24"/>
          <w:szCs w:val="24"/>
        </w:rPr>
        <w:t>notwithstanding that</w:t>
      </w:r>
      <w:r w:rsidR="009E3EC6" w:rsidRPr="00875EC2">
        <w:rPr>
          <w:rFonts w:ascii="Times New Roman" w:hAnsi="Times New Roman" w:cs="Times New Roman"/>
          <w:sz w:val="24"/>
          <w:szCs w:val="24"/>
        </w:rPr>
        <w:t xml:space="preserve"> there were no people called Os</w:t>
      </w:r>
      <w:r w:rsidR="00BE1E73" w:rsidRPr="00875EC2">
        <w:rPr>
          <w:rFonts w:ascii="Times New Roman" w:hAnsi="Times New Roman" w:cs="Times New Roman"/>
          <w:sz w:val="24"/>
          <w:szCs w:val="24"/>
        </w:rPr>
        <w:t>ama bin Laden</w:t>
      </w:r>
      <w:r w:rsidR="009E3EC6" w:rsidRPr="00875EC2">
        <w:rPr>
          <w:rFonts w:ascii="Times New Roman" w:hAnsi="Times New Roman" w:cs="Times New Roman"/>
          <w:sz w:val="24"/>
          <w:szCs w:val="24"/>
        </w:rPr>
        <w:t xml:space="preserve"> at the party. </w:t>
      </w:r>
      <w:r w:rsidR="00D24CCB" w:rsidRPr="00875EC2">
        <w:rPr>
          <w:rFonts w:ascii="Times New Roman" w:hAnsi="Times New Roman" w:cs="Times New Roman"/>
          <w:sz w:val="24"/>
          <w:szCs w:val="24"/>
        </w:rPr>
        <w:t xml:space="preserve">So, Fara concludes, “the phenomenon of deferred interpretation does not require the predicativist to reject her being-called condition as the normal applicability condition for proper names.” The same, holds, </w:t>
      </w:r>
      <w:r w:rsidR="00D24CCB" w:rsidRPr="00875EC2">
        <w:rPr>
          <w:rFonts w:ascii="Times New Roman" w:hAnsi="Times New Roman" w:cs="Times New Roman"/>
          <w:i/>
          <w:sz w:val="24"/>
          <w:szCs w:val="24"/>
        </w:rPr>
        <w:t>mutatis mutandis</w:t>
      </w:r>
      <w:r w:rsidR="003D3B57" w:rsidRPr="00875EC2">
        <w:rPr>
          <w:rFonts w:ascii="Times New Roman" w:hAnsi="Times New Roman" w:cs="Times New Roman"/>
          <w:sz w:val="24"/>
          <w:szCs w:val="24"/>
        </w:rPr>
        <w:t>, for</w:t>
      </w:r>
      <w:r w:rsidR="00B33AF5" w:rsidRPr="00875EC2">
        <w:rPr>
          <w:rFonts w:ascii="Times New Roman" w:hAnsi="Times New Roman" w:cs="Times New Roman"/>
          <w:sz w:val="24"/>
          <w:szCs w:val="24"/>
        </w:rPr>
        <w:t xml:space="preserve"> the case of resemblance e</w:t>
      </w:r>
      <w:r w:rsidR="00D24CCB" w:rsidRPr="00875EC2">
        <w:rPr>
          <w:rFonts w:ascii="Times New Roman" w:hAnsi="Times New Roman" w:cs="Times New Roman"/>
          <w:sz w:val="24"/>
          <w:szCs w:val="24"/>
        </w:rPr>
        <w:t>xamples. The case of Romanov examples (e.g., utterances of “Joe Romanov (my barber) is not a Romanov</w:t>
      </w:r>
      <w:r w:rsidR="00DB08C8" w:rsidRPr="00875EC2">
        <w:rPr>
          <w:rFonts w:ascii="Times New Roman" w:hAnsi="Times New Roman" w:cs="Times New Roman"/>
          <w:sz w:val="24"/>
          <w:szCs w:val="24"/>
        </w:rPr>
        <w:t>,</w:t>
      </w:r>
      <w:r w:rsidR="00D24CCB" w:rsidRPr="00875EC2">
        <w:rPr>
          <w:rFonts w:ascii="Times New Roman" w:hAnsi="Times New Roman" w:cs="Times New Roman"/>
          <w:sz w:val="24"/>
          <w:szCs w:val="24"/>
        </w:rPr>
        <w:t>”</w:t>
      </w:r>
      <w:r w:rsidR="00DB08C8" w:rsidRPr="00875EC2">
        <w:rPr>
          <w:rFonts w:ascii="Times New Roman" w:hAnsi="Times New Roman" w:cs="Times New Roman"/>
          <w:sz w:val="24"/>
          <w:szCs w:val="24"/>
        </w:rPr>
        <w:t xml:space="preserve"> or “Waldo Cox (my gardener) is a Romanov,” the latter made in order</w:t>
      </w:r>
      <w:r w:rsidR="00D24CCB" w:rsidRPr="00875EC2">
        <w:rPr>
          <w:rFonts w:ascii="Times New Roman" w:hAnsi="Times New Roman" w:cs="Times New Roman"/>
          <w:sz w:val="24"/>
          <w:szCs w:val="24"/>
        </w:rPr>
        <w:t xml:space="preserve"> to reveal </w:t>
      </w:r>
      <w:r w:rsidR="00DB08C8" w:rsidRPr="00875EC2">
        <w:rPr>
          <w:rFonts w:ascii="Times New Roman" w:hAnsi="Times New Roman" w:cs="Times New Roman"/>
          <w:sz w:val="24"/>
          <w:szCs w:val="24"/>
        </w:rPr>
        <w:t xml:space="preserve">something exciting discovered through historical </w:t>
      </w:r>
      <w:r w:rsidR="002F14EC" w:rsidRPr="00875EC2">
        <w:rPr>
          <w:rFonts w:ascii="Times New Roman" w:hAnsi="Times New Roman" w:cs="Times New Roman"/>
          <w:sz w:val="24"/>
          <w:szCs w:val="24"/>
        </w:rPr>
        <w:t>investigations</w:t>
      </w:r>
      <w:r w:rsidR="00D24CCB" w:rsidRPr="00875EC2">
        <w:rPr>
          <w:rFonts w:ascii="Times New Roman" w:hAnsi="Times New Roman" w:cs="Times New Roman"/>
          <w:sz w:val="24"/>
          <w:szCs w:val="24"/>
        </w:rPr>
        <w:t>)</w:t>
      </w:r>
      <w:r w:rsidR="00DB08C8" w:rsidRPr="00875EC2">
        <w:rPr>
          <w:rFonts w:ascii="Times New Roman" w:hAnsi="Times New Roman" w:cs="Times New Roman"/>
          <w:sz w:val="24"/>
          <w:szCs w:val="24"/>
        </w:rPr>
        <w:t xml:space="preserve"> is different.</w:t>
      </w:r>
      <w:r w:rsidR="00B33AF5" w:rsidRPr="00875EC2">
        <w:rPr>
          <w:rFonts w:ascii="Times New Roman" w:hAnsi="Times New Roman" w:cs="Times New Roman"/>
          <w:sz w:val="24"/>
          <w:szCs w:val="24"/>
        </w:rPr>
        <w:t xml:space="preserve"> Contrary to the other alleged counter-examples to the being-called condition, certainly “Romanov examples involve literal uses of proper nouns.” However, </w:t>
      </w:r>
      <w:r w:rsidR="00E65223" w:rsidRPr="00875EC2">
        <w:rPr>
          <w:rFonts w:ascii="Times New Roman" w:hAnsi="Times New Roman" w:cs="Times New Roman"/>
          <w:sz w:val="24"/>
          <w:szCs w:val="24"/>
        </w:rPr>
        <w:t>Fara</w:t>
      </w:r>
      <w:r w:rsidR="002F14EC" w:rsidRPr="00875EC2">
        <w:rPr>
          <w:rFonts w:ascii="Times New Roman" w:hAnsi="Times New Roman" w:cs="Times New Roman"/>
          <w:sz w:val="24"/>
          <w:szCs w:val="24"/>
        </w:rPr>
        <w:t xml:space="preserve"> claims, </w:t>
      </w:r>
      <w:r w:rsidR="00B33AF5" w:rsidRPr="00875EC2">
        <w:rPr>
          <w:rFonts w:ascii="Times New Roman" w:hAnsi="Times New Roman" w:cs="Times New Roman"/>
          <w:sz w:val="24"/>
          <w:szCs w:val="24"/>
        </w:rPr>
        <w:t xml:space="preserve">“the proper nouns in question are not in fact being used as proper </w:t>
      </w:r>
      <w:r w:rsidR="00B33AF5" w:rsidRPr="00875EC2">
        <w:rPr>
          <w:rFonts w:ascii="Times New Roman" w:hAnsi="Times New Roman" w:cs="Times New Roman"/>
          <w:i/>
          <w:sz w:val="24"/>
          <w:szCs w:val="24"/>
        </w:rPr>
        <w:t>names</w:t>
      </w:r>
      <w:r w:rsidR="00B33AF5" w:rsidRPr="00875EC2">
        <w:rPr>
          <w:rFonts w:ascii="Times New Roman" w:hAnsi="Times New Roman" w:cs="Times New Roman"/>
          <w:sz w:val="24"/>
          <w:szCs w:val="24"/>
        </w:rPr>
        <w:t xml:space="preserve">,” hence the examples do not count as counter-examples to the being-called condition, as this is a condition that is supposed to hold only for proper names. </w:t>
      </w:r>
      <w:r w:rsidR="0043346B" w:rsidRPr="00875EC2">
        <w:rPr>
          <w:rFonts w:ascii="Times New Roman" w:hAnsi="Times New Roman" w:cs="Times New Roman"/>
          <w:sz w:val="24"/>
          <w:szCs w:val="24"/>
        </w:rPr>
        <w:t>The fact is that</w:t>
      </w:r>
      <w:r w:rsidR="00135AB0" w:rsidRPr="00875EC2">
        <w:rPr>
          <w:rFonts w:ascii="Times New Roman" w:hAnsi="Times New Roman" w:cs="Times New Roman"/>
          <w:sz w:val="24"/>
          <w:szCs w:val="24"/>
        </w:rPr>
        <w:t xml:space="preserve">, according to Fara, “[a] proper </w:t>
      </w:r>
      <w:r w:rsidR="00E45777" w:rsidRPr="00875EC2">
        <w:rPr>
          <w:rFonts w:ascii="Times New Roman" w:hAnsi="Times New Roman" w:cs="Times New Roman"/>
          <w:sz w:val="24"/>
          <w:szCs w:val="24"/>
        </w:rPr>
        <w:t>noun need not be a proper name,”</w:t>
      </w:r>
      <w:r w:rsidR="00135AB0" w:rsidRPr="00875EC2">
        <w:rPr>
          <w:rFonts w:ascii="Times New Roman" w:hAnsi="Times New Roman" w:cs="Times New Roman"/>
          <w:sz w:val="24"/>
          <w:szCs w:val="24"/>
        </w:rPr>
        <w:t xml:space="preserve"> and “a proper noun that sometimes occurs as a proper name need not always occur as a pro</w:t>
      </w:r>
      <w:r w:rsidR="003A67D7">
        <w:rPr>
          <w:rFonts w:ascii="Times New Roman" w:hAnsi="Times New Roman" w:cs="Times New Roman"/>
          <w:sz w:val="24"/>
          <w:szCs w:val="24"/>
        </w:rPr>
        <w:t>per name” (a typical example is</w:t>
      </w:r>
      <w:r w:rsidR="00135AB0" w:rsidRPr="00875EC2">
        <w:rPr>
          <w:rFonts w:ascii="Times New Roman" w:hAnsi="Times New Roman" w:cs="Times New Roman"/>
          <w:sz w:val="24"/>
          <w:szCs w:val="24"/>
        </w:rPr>
        <w:t xml:space="preserve"> family names and brand names). Roughly, proper nouns are “those nouns that require capitalization.” Now, “capitalization conventions</w:t>
      </w:r>
      <w:r w:rsidR="007C4B41" w:rsidRPr="00875EC2">
        <w:rPr>
          <w:rFonts w:ascii="Times New Roman" w:hAnsi="Times New Roman" w:cs="Times New Roman"/>
          <w:sz w:val="24"/>
          <w:szCs w:val="24"/>
        </w:rPr>
        <w:t xml:space="preserve"> …</w:t>
      </w:r>
      <w:r w:rsidR="00135AB0" w:rsidRPr="00875EC2">
        <w:rPr>
          <w:rFonts w:ascii="Times New Roman" w:hAnsi="Times New Roman" w:cs="Times New Roman"/>
          <w:sz w:val="24"/>
          <w:szCs w:val="24"/>
        </w:rPr>
        <w:t xml:space="preserve"> </w:t>
      </w:r>
      <w:r w:rsidR="007C4B41" w:rsidRPr="00875EC2">
        <w:rPr>
          <w:rFonts w:ascii="Times New Roman" w:hAnsi="Times New Roman" w:cs="Times New Roman"/>
          <w:sz w:val="24"/>
          <w:szCs w:val="24"/>
        </w:rPr>
        <w:t>have nothing to do with grammar.” Thus, “[a] capitalized noun need not be a proper name any more than a capitalized adjective</w:t>
      </w:r>
      <w:r w:rsidR="00D869EA">
        <w:rPr>
          <w:rFonts w:ascii="Times New Roman" w:hAnsi="Times New Roman" w:cs="Times New Roman"/>
          <w:sz w:val="24"/>
          <w:szCs w:val="24"/>
        </w:rPr>
        <w:t xml:space="preserve"> need be</w:t>
      </w:r>
      <w:r w:rsidR="007C4B41" w:rsidRPr="00875EC2">
        <w:rPr>
          <w:rFonts w:ascii="Times New Roman" w:hAnsi="Times New Roman" w:cs="Times New Roman"/>
          <w:sz w:val="24"/>
          <w:szCs w:val="24"/>
        </w:rPr>
        <w:t xml:space="preserve">.” Indeed, being a proper noun is “a trivial, purely orthographical, feature of nouns.” Being a proper name is, </w:t>
      </w:r>
      <w:r w:rsidR="00012933">
        <w:rPr>
          <w:rFonts w:ascii="Times New Roman" w:hAnsi="Times New Roman" w:cs="Times New Roman"/>
          <w:sz w:val="24"/>
          <w:szCs w:val="24"/>
        </w:rPr>
        <w:t>in contrast</w:t>
      </w:r>
      <w:r w:rsidR="007C4B41" w:rsidRPr="00875EC2">
        <w:rPr>
          <w:rFonts w:ascii="Times New Roman" w:hAnsi="Times New Roman" w:cs="Times New Roman"/>
          <w:sz w:val="24"/>
          <w:szCs w:val="24"/>
        </w:rPr>
        <w:t xml:space="preserve">, </w:t>
      </w:r>
      <w:r w:rsidR="0043346B" w:rsidRPr="00875EC2">
        <w:rPr>
          <w:rFonts w:ascii="Times New Roman" w:hAnsi="Times New Roman" w:cs="Times New Roman"/>
          <w:sz w:val="24"/>
          <w:szCs w:val="24"/>
        </w:rPr>
        <w:t>an important</w:t>
      </w:r>
      <w:r w:rsidR="007C4B41" w:rsidRPr="00875EC2">
        <w:rPr>
          <w:rFonts w:ascii="Times New Roman" w:hAnsi="Times New Roman" w:cs="Times New Roman"/>
          <w:sz w:val="24"/>
          <w:szCs w:val="24"/>
        </w:rPr>
        <w:t xml:space="preserve"> syntactic feature. To come back to the Romanov example</w:t>
      </w:r>
      <w:r w:rsidR="00B1591F" w:rsidRPr="00875EC2">
        <w:rPr>
          <w:rFonts w:ascii="Times New Roman" w:hAnsi="Times New Roman" w:cs="Times New Roman"/>
          <w:sz w:val="24"/>
          <w:szCs w:val="24"/>
        </w:rPr>
        <w:t>s</w:t>
      </w:r>
      <w:r w:rsidR="007C4B41" w:rsidRPr="00875EC2">
        <w:rPr>
          <w:rFonts w:ascii="Times New Roman" w:hAnsi="Times New Roman" w:cs="Times New Roman"/>
          <w:sz w:val="24"/>
          <w:szCs w:val="24"/>
        </w:rPr>
        <w:t xml:space="preserve">, then, we may say that in them “the count noun ‘Romanov’ is a proper noun that may apply to something even if it is not called Romanov,” but “it is not in those examples a literally used predicative proper name that does not satisfy the being-called condition.” Rather, “it there occurs as a literally used proper count-noun that is not a proper name.” </w:t>
      </w:r>
      <w:r w:rsidR="0043346B" w:rsidRPr="00875EC2">
        <w:rPr>
          <w:rFonts w:ascii="Times New Roman" w:hAnsi="Times New Roman" w:cs="Times New Roman"/>
          <w:sz w:val="24"/>
          <w:szCs w:val="24"/>
        </w:rPr>
        <w:t xml:space="preserve">So, Fara </w:t>
      </w:r>
      <w:r w:rsidR="007C4B41" w:rsidRPr="00875EC2">
        <w:rPr>
          <w:rFonts w:ascii="Times New Roman" w:hAnsi="Times New Roman" w:cs="Times New Roman"/>
          <w:sz w:val="24"/>
          <w:szCs w:val="24"/>
        </w:rPr>
        <w:t>concludes that “none of the examples offered [by Jeshion] refutes predicativism.”</w:t>
      </w:r>
    </w:p>
    <w:p w:rsidR="00093282" w:rsidRPr="00875EC2" w:rsidRDefault="00093282" w:rsidP="007C4B41">
      <w:pPr>
        <w:spacing w:after="0" w:line="480" w:lineRule="auto"/>
        <w:ind w:firstLine="340"/>
        <w:rPr>
          <w:rFonts w:ascii="Times New Roman" w:hAnsi="Times New Roman" w:cs="Times New Roman"/>
          <w:sz w:val="24"/>
          <w:szCs w:val="24"/>
        </w:rPr>
      </w:pPr>
      <w:r w:rsidRPr="00875EC2">
        <w:rPr>
          <w:rFonts w:ascii="Times New Roman" w:hAnsi="Times New Roman" w:cs="Times New Roman"/>
          <w:sz w:val="24"/>
          <w:szCs w:val="24"/>
        </w:rPr>
        <w:t>In her response</w:t>
      </w:r>
      <w:r w:rsidR="00BE1E73" w:rsidRPr="00875EC2">
        <w:rPr>
          <w:rFonts w:ascii="Times New Roman" w:hAnsi="Times New Roman" w:cs="Times New Roman"/>
          <w:sz w:val="24"/>
          <w:szCs w:val="24"/>
        </w:rPr>
        <w:t>,</w:t>
      </w:r>
      <w:r w:rsidRPr="00875EC2">
        <w:rPr>
          <w:rFonts w:ascii="Times New Roman" w:hAnsi="Times New Roman" w:cs="Times New Roman"/>
          <w:sz w:val="24"/>
          <w:szCs w:val="24"/>
        </w:rPr>
        <w:t xml:space="preserve"> </w:t>
      </w:r>
      <w:r w:rsidR="003A67D7">
        <w:rPr>
          <w:rFonts w:ascii="Times New Roman" w:hAnsi="Times New Roman" w:cs="Times New Roman"/>
          <w:sz w:val="24"/>
          <w:szCs w:val="24"/>
        </w:rPr>
        <w:t>“A Rejoinder to Fara’s ‘“Literal”</w:t>
      </w:r>
      <w:r w:rsidR="00C33107" w:rsidRPr="00875EC2">
        <w:rPr>
          <w:rFonts w:ascii="Times New Roman" w:hAnsi="Times New Roman" w:cs="Times New Roman"/>
          <w:sz w:val="24"/>
          <w:szCs w:val="24"/>
        </w:rPr>
        <w:t xml:space="preserve"> Uses of Proper Names’,” also includ</w:t>
      </w:r>
      <w:r w:rsidRPr="00875EC2">
        <w:rPr>
          <w:rFonts w:ascii="Times New Roman" w:hAnsi="Times New Roman" w:cs="Times New Roman"/>
          <w:sz w:val="24"/>
          <w:szCs w:val="24"/>
        </w:rPr>
        <w:t>ed in this volume, Je</w:t>
      </w:r>
      <w:r w:rsidR="00163D58" w:rsidRPr="00875EC2">
        <w:rPr>
          <w:rFonts w:ascii="Times New Roman" w:hAnsi="Times New Roman" w:cs="Times New Roman"/>
          <w:sz w:val="24"/>
          <w:szCs w:val="24"/>
        </w:rPr>
        <w:t>shion clarifies the dialectic</w:t>
      </w:r>
      <w:r w:rsidR="003A67D7">
        <w:rPr>
          <w:rFonts w:ascii="Times New Roman" w:hAnsi="Times New Roman" w:cs="Times New Roman"/>
          <w:sz w:val="24"/>
          <w:szCs w:val="24"/>
        </w:rPr>
        <w:t xml:space="preserve"> in her chapter</w:t>
      </w:r>
      <w:r w:rsidRPr="00875EC2">
        <w:rPr>
          <w:rFonts w:ascii="Times New Roman" w:hAnsi="Times New Roman" w:cs="Times New Roman"/>
          <w:sz w:val="24"/>
          <w:szCs w:val="24"/>
        </w:rPr>
        <w:t xml:space="preserve"> and assesses “Fara’s analysis of </w:t>
      </w:r>
      <w:r w:rsidR="00D869EA">
        <w:rPr>
          <w:rFonts w:ascii="Times New Roman" w:hAnsi="Times New Roman" w:cs="Times New Roman"/>
          <w:sz w:val="24"/>
          <w:szCs w:val="24"/>
        </w:rPr>
        <w:t xml:space="preserve">the </w:t>
      </w:r>
      <w:r w:rsidRPr="00875EC2">
        <w:rPr>
          <w:rFonts w:ascii="Times New Roman" w:hAnsi="Times New Roman" w:cs="Times New Roman"/>
          <w:sz w:val="24"/>
          <w:szCs w:val="24"/>
        </w:rPr>
        <w:t>three main classes of examples</w:t>
      </w:r>
      <w:r w:rsidR="00D869EA">
        <w:rPr>
          <w:rFonts w:ascii="Times New Roman" w:hAnsi="Times New Roman" w:cs="Times New Roman"/>
          <w:sz w:val="24"/>
          <w:szCs w:val="24"/>
        </w:rPr>
        <w:t xml:space="preserve"> she considers</w:t>
      </w:r>
      <w:r w:rsidRPr="00875EC2">
        <w:rPr>
          <w:rFonts w:ascii="Times New Roman" w:hAnsi="Times New Roman" w:cs="Times New Roman"/>
          <w:sz w:val="24"/>
          <w:szCs w:val="24"/>
        </w:rPr>
        <w:t xml:space="preserve">.” Contrary to what Fara thought, </w:t>
      </w:r>
      <w:r w:rsidR="003A67D7">
        <w:rPr>
          <w:rFonts w:ascii="Times New Roman" w:hAnsi="Times New Roman" w:cs="Times New Roman"/>
          <w:sz w:val="24"/>
          <w:szCs w:val="24"/>
        </w:rPr>
        <w:t>in her chapter</w:t>
      </w:r>
      <w:r w:rsidR="00163D58" w:rsidRPr="00875EC2">
        <w:rPr>
          <w:rFonts w:ascii="Times New Roman" w:hAnsi="Times New Roman" w:cs="Times New Roman"/>
          <w:sz w:val="24"/>
          <w:szCs w:val="24"/>
        </w:rPr>
        <w:t xml:space="preserve"> </w:t>
      </w:r>
      <w:r w:rsidRPr="00875EC2">
        <w:rPr>
          <w:rFonts w:ascii="Times New Roman" w:hAnsi="Times New Roman" w:cs="Times New Roman"/>
          <w:sz w:val="24"/>
          <w:szCs w:val="24"/>
        </w:rPr>
        <w:t>she did not “aim to refute predicativism</w:t>
      </w:r>
      <w:r w:rsidR="00163D58" w:rsidRPr="00875EC2">
        <w:rPr>
          <w:rFonts w:ascii="Times New Roman" w:hAnsi="Times New Roman" w:cs="Times New Roman"/>
          <w:sz w:val="24"/>
          <w:szCs w:val="24"/>
        </w:rPr>
        <w:t>,</w:t>
      </w:r>
      <w:r w:rsidRPr="00875EC2">
        <w:rPr>
          <w:rFonts w:ascii="Times New Roman" w:hAnsi="Times New Roman" w:cs="Times New Roman"/>
          <w:sz w:val="24"/>
          <w:szCs w:val="24"/>
        </w:rPr>
        <w:t>”</w:t>
      </w:r>
      <w:r w:rsidR="00163D58" w:rsidRPr="00875EC2">
        <w:rPr>
          <w:rFonts w:ascii="Times New Roman" w:hAnsi="Times New Roman" w:cs="Times New Roman"/>
          <w:sz w:val="24"/>
          <w:szCs w:val="24"/>
        </w:rPr>
        <w:t xml:space="preserve"> and, more sp</w:t>
      </w:r>
      <w:r w:rsidR="00BE1E73" w:rsidRPr="00875EC2">
        <w:rPr>
          <w:rFonts w:ascii="Times New Roman" w:hAnsi="Times New Roman" w:cs="Times New Roman"/>
          <w:sz w:val="24"/>
          <w:szCs w:val="24"/>
        </w:rPr>
        <w:t>ecifically, she did not offer</w:t>
      </w:r>
      <w:r w:rsidR="00163D58" w:rsidRPr="00875EC2">
        <w:rPr>
          <w:rFonts w:ascii="Times New Roman" w:hAnsi="Times New Roman" w:cs="Times New Roman"/>
          <w:sz w:val="24"/>
          <w:szCs w:val="24"/>
        </w:rPr>
        <w:t xml:space="preserve"> her examples “as a piece of an argument that predicativism is wr</w:t>
      </w:r>
      <w:r w:rsidR="001950C0">
        <w:rPr>
          <w:rFonts w:ascii="Times New Roman" w:hAnsi="Times New Roman" w:cs="Times New Roman"/>
          <w:sz w:val="24"/>
          <w:szCs w:val="24"/>
        </w:rPr>
        <w:t>ong.” Rather, she meant</w:t>
      </w:r>
      <w:r w:rsidR="00B1591F" w:rsidRPr="00875EC2">
        <w:rPr>
          <w:rFonts w:ascii="Times New Roman" w:hAnsi="Times New Roman" w:cs="Times New Roman"/>
          <w:sz w:val="24"/>
          <w:szCs w:val="24"/>
        </w:rPr>
        <w:t xml:space="preserve"> to show</w:t>
      </w:r>
      <w:r w:rsidR="00163D58" w:rsidRPr="00875EC2">
        <w:rPr>
          <w:rFonts w:ascii="Times New Roman" w:hAnsi="Times New Roman" w:cs="Times New Roman"/>
          <w:sz w:val="24"/>
          <w:szCs w:val="24"/>
        </w:rPr>
        <w:t xml:space="preserve"> that “the predicativist’s own </w:t>
      </w:r>
      <w:r w:rsidR="00163D58" w:rsidRPr="00875EC2">
        <w:rPr>
          <w:rFonts w:ascii="Times New Roman" w:hAnsi="Times New Roman" w:cs="Times New Roman"/>
          <w:i/>
          <w:sz w:val="24"/>
          <w:szCs w:val="24"/>
        </w:rPr>
        <w:t>Uniformity Argument</w:t>
      </w:r>
      <w:r w:rsidR="00163D58" w:rsidRPr="00875EC2">
        <w:rPr>
          <w:rFonts w:ascii="Times New Roman" w:hAnsi="Times New Roman" w:cs="Times New Roman"/>
          <w:sz w:val="24"/>
          <w:szCs w:val="24"/>
        </w:rPr>
        <w:t xml:space="preserve"> </w:t>
      </w:r>
      <w:r w:rsidR="00163D58" w:rsidRPr="00D869EA">
        <w:rPr>
          <w:rFonts w:ascii="Times New Roman" w:hAnsi="Times New Roman" w:cs="Times New Roman"/>
          <w:i/>
          <w:sz w:val="24"/>
          <w:szCs w:val="24"/>
        </w:rPr>
        <w:t xml:space="preserve">on </w:t>
      </w:r>
      <w:r w:rsidR="00163D58" w:rsidRPr="00875EC2">
        <w:rPr>
          <w:rFonts w:ascii="Times New Roman" w:hAnsi="Times New Roman" w:cs="Times New Roman"/>
          <w:i/>
          <w:sz w:val="24"/>
          <w:szCs w:val="24"/>
        </w:rPr>
        <w:t>behalf</w:t>
      </w:r>
      <w:r w:rsidR="00163D58" w:rsidRPr="00875EC2">
        <w:rPr>
          <w:rFonts w:ascii="Times New Roman" w:hAnsi="Times New Roman" w:cs="Times New Roman"/>
          <w:sz w:val="24"/>
          <w:szCs w:val="24"/>
        </w:rPr>
        <w:t xml:space="preserve"> of predicativism, as a superior theory to referentialism, does not hold up.”</w:t>
      </w:r>
      <w:r w:rsidR="00BE1E73" w:rsidRPr="00875EC2">
        <w:rPr>
          <w:rFonts w:ascii="Times New Roman" w:hAnsi="Times New Roman" w:cs="Times New Roman"/>
          <w:sz w:val="24"/>
          <w:szCs w:val="24"/>
        </w:rPr>
        <w:t xml:space="preserve"> To this end, she offered</w:t>
      </w:r>
      <w:r w:rsidR="001C4B87" w:rsidRPr="00875EC2">
        <w:rPr>
          <w:rFonts w:ascii="Times New Roman" w:hAnsi="Times New Roman" w:cs="Times New Roman"/>
          <w:sz w:val="24"/>
          <w:szCs w:val="24"/>
        </w:rPr>
        <w:t xml:space="preserve"> her examples “as new examples of apparently predicative uses of proper names that any theory needs to address and that the predicativist is not in </w:t>
      </w:r>
      <w:r w:rsidR="003A67D7">
        <w:rPr>
          <w:rFonts w:ascii="Times New Roman" w:hAnsi="Times New Roman" w:cs="Times New Roman"/>
          <w:sz w:val="24"/>
          <w:szCs w:val="24"/>
        </w:rPr>
        <w:t xml:space="preserve">a </w:t>
      </w:r>
      <w:r w:rsidR="001C4B87" w:rsidRPr="00875EC2">
        <w:rPr>
          <w:rFonts w:ascii="Times New Roman" w:hAnsi="Times New Roman" w:cs="Times New Roman"/>
          <w:sz w:val="24"/>
          <w:szCs w:val="24"/>
        </w:rPr>
        <w:t xml:space="preserve">position to cordon off as obviously </w:t>
      </w:r>
      <w:r w:rsidR="001C4B87" w:rsidRPr="00875EC2">
        <w:rPr>
          <w:rFonts w:ascii="Times New Roman" w:hAnsi="Times New Roman" w:cs="Times New Roman"/>
          <w:i/>
          <w:sz w:val="24"/>
          <w:szCs w:val="24"/>
        </w:rPr>
        <w:t>different in kind</w:t>
      </w:r>
      <w:r w:rsidR="001C4B87" w:rsidRPr="00875EC2">
        <w:rPr>
          <w:rFonts w:ascii="Times New Roman" w:hAnsi="Times New Roman" w:cs="Times New Roman"/>
          <w:sz w:val="24"/>
          <w:szCs w:val="24"/>
        </w:rPr>
        <w:t xml:space="preserve"> from the examples</w:t>
      </w:r>
      <w:r w:rsidR="005820F6" w:rsidRPr="00875EC2">
        <w:rPr>
          <w:rFonts w:ascii="Times New Roman" w:hAnsi="Times New Roman" w:cs="Times New Roman"/>
          <w:sz w:val="24"/>
          <w:szCs w:val="24"/>
        </w:rPr>
        <w:t>” that he or she takes as paradigmatic</w:t>
      </w:r>
      <w:r w:rsidR="001C4B87" w:rsidRPr="00875EC2">
        <w:rPr>
          <w:rFonts w:ascii="Times New Roman" w:hAnsi="Times New Roman" w:cs="Times New Roman"/>
          <w:sz w:val="24"/>
          <w:szCs w:val="24"/>
        </w:rPr>
        <w:t xml:space="preserve"> (e.g., “There are relatively few Alfred</w:t>
      </w:r>
      <w:r w:rsidR="005820F6" w:rsidRPr="00875EC2">
        <w:rPr>
          <w:rFonts w:ascii="Times New Roman" w:hAnsi="Times New Roman" w:cs="Times New Roman"/>
          <w:sz w:val="24"/>
          <w:szCs w:val="24"/>
        </w:rPr>
        <w:t>s</w:t>
      </w:r>
      <w:r w:rsidR="001C4B87" w:rsidRPr="00875EC2">
        <w:rPr>
          <w:rFonts w:ascii="Times New Roman" w:hAnsi="Times New Roman" w:cs="Times New Roman"/>
          <w:sz w:val="24"/>
          <w:szCs w:val="24"/>
        </w:rPr>
        <w:t xml:space="preserve"> in Princeton”). I</w:t>
      </w:r>
      <w:r w:rsidR="005F2BA8" w:rsidRPr="00875EC2">
        <w:rPr>
          <w:rFonts w:ascii="Times New Roman" w:hAnsi="Times New Roman" w:cs="Times New Roman"/>
          <w:sz w:val="24"/>
          <w:szCs w:val="24"/>
        </w:rPr>
        <w:t>n other words, the</w:t>
      </w:r>
      <w:r w:rsidR="00D61471" w:rsidRPr="00875EC2">
        <w:rPr>
          <w:rFonts w:ascii="Times New Roman" w:hAnsi="Times New Roman" w:cs="Times New Roman"/>
          <w:sz w:val="24"/>
          <w:szCs w:val="24"/>
        </w:rPr>
        <w:t xml:space="preserve"> point of Jeshion’s examples was</w:t>
      </w:r>
      <w:r w:rsidR="005F2BA8" w:rsidRPr="00875EC2">
        <w:rPr>
          <w:rFonts w:ascii="Times New Roman" w:hAnsi="Times New Roman" w:cs="Times New Roman"/>
          <w:sz w:val="24"/>
          <w:szCs w:val="24"/>
        </w:rPr>
        <w:t xml:space="preserve"> to show that “</w:t>
      </w:r>
      <w:r w:rsidR="005F2BA8" w:rsidRPr="00875EC2">
        <w:rPr>
          <w:rFonts w:ascii="Times New Roman" w:hAnsi="Times New Roman" w:cs="Times New Roman"/>
          <w:i/>
          <w:sz w:val="24"/>
          <w:szCs w:val="24"/>
        </w:rPr>
        <w:t xml:space="preserve">the predicativist is not entitled to simply assume without argument that </w:t>
      </w:r>
      <w:r w:rsidR="005F2BA8" w:rsidRPr="00875EC2">
        <w:rPr>
          <w:rFonts w:ascii="Times New Roman" w:hAnsi="Times New Roman" w:cs="Times New Roman"/>
          <w:sz w:val="24"/>
          <w:szCs w:val="24"/>
        </w:rPr>
        <w:t>[</w:t>
      </w:r>
      <w:r w:rsidR="005F2BA8" w:rsidRPr="00875EC2">
        <w:rPr>
          <w:rFonts w:ascii="Times New Roman" w:hAnsi="Times New Roman" w:cs="Times New Roman"/>
          <w:i/>
          <w:sz w:val="24"/>
          <w:szCs w:val="24"/>
        </w:rPr>
        <w:t xml:space="preserve">the examples he or she </w:t>
      </w:r>
      <w:r w:rsidR="005820F6" w:rsidRPr="00875EC2">
        <w:rPr>
          <w:rFonts w:ascii="Times New Roman" w:hAnsi="Times New Roman" w:cs="Times New Roman"/>
          <w:i/>
          <w:sz w:val="24"/>
          <w:szCs w:val="24"/>
        </w:rPr>
        <w:t>takes as paradigmatic</w:t>
      </w:r>
      <w:r w:rsidR="005820F6" w:rsidRPr="00875EC2">
        <w:rPr>
          <w:rFonts w:ascii="Times New Roman" w:hAnsi="Times New Roman" w:cs="Times New Roman"/>
          <w:sz w:val="24"/>
          <w:szCs w:val="24"/>
        </w:rPr>
        <w:t>]</w:t>
      </w:r>
      <w:r w:rsidR="005F2BA8" w:rsidRPr="00875EC2">
        <w:rPr>
          <w:rFonts w:ascii="Times New Roman" w:hAnsi="Times New Roman" w:cs="Times New Roman"/>
          <w:sz w:val="24"/>
          <w:szCs w:val="24"/>
        </w:rPr>
        <w:t xml:space="preserve"> </w:t>
      </w:r>
      <w:r w:rsidR="005F2BA8" w:rsidRPr="00875EC2">
        <w:rPr>
          <w:rFonts w:ascii="Times New Roman" w:hAnsi="Times New Roman" w:cs="Times New Roman"/>
          <w:i/>
          <w:sz w:val="24"/>
          <w:szCs w:val="24"/>
        </w:rPr>
        <w:t xml:space="preserve">are </w:t>
      </w:r>
      <w:r w:rsidR="005F2BA8" w:rsidRPr="00875EC2">
        <w:rPr>
          <w:rFonts w:ascii="Times New Roman" w:hAnsi="Times New Roman" w:cs="Times New Roman"/>
          <w:sz w:val="24"/>
          <w:szCs w:val="24"/>
        </w:rPr>
        <w:t>the</w:t>
      </w:r>
      <w:r w:rsidR="005F2BA8" w:rsidRPr="00875EC2">
        <w:rPr>
          <w:rFonts w:ascii="Times New Roman" w:hAnsi="Times New Roman" w:cs="Times New Roman"/>
          <w:i/>
          <w:sz w:val="24"/>
          <w:szCs w:val="24"/>
        </w:rPr>
        <w:t xml:space="preserve"> canonical examples of predicative uses of proper names that illustrate proper names’ normal application conditions</w:t>
      </w:r>
      <w:r w:rsidR="005F2BA8" w:rsidRPr="00875EC2">
        <w:rPr>
          <w:rFonts w:ascii="Times New Roman" w:hAnsi="Times New Roman" w:cs="Times New Roman"/>
          <w:sz w:val="24"/>
          <w:szCs w:val="24"/>
        </w:rPr>
        <w:t>.” Hence, Jeshion’s “challenge</w:t>
      </w:r>
      <w:r w:rsidR="005820F6" w:rsidRPr="00875EC2">
        <w:rPr>
          <w:rFonts w:ascii="Times New Roman" w:hAnsi="Times New Roman" w:cs="Times New Roman"/>
          <w:sz w:val="24"/>
          <w:szCs w:val="24"/>
        </w:rPr>
        <w:t>” to</w:t>
      </w:r>
      <w:r w:rsidR="005F2BA8" w:rsidRPr="00875EC2">
        <w:rPr>
          <w:rFonts w:ascii="Times New Roman" w:hAnsi="Times New Roman" w:cs="Times New Roman"/>
          <w:sz w:val="24"/>
          <w:szCs w:val="24"/>
        </w:rPr>
        <w:t xml:space="preserve"> pred</w:t>
      </w:r>
      <w:r w:rsidR="005820F6" w:rsidRPr="00875EC2">
        <w:rPr>
          <w:rFonts w:ascii="Times New Roman" w:hAnsi="Times New Roman" w:cs="Times New Roman"/>
          <w:sz w:val="24"/>
          <w:szCs w:val="24"/>
        </w:rPr>
        <w:t>icativists</w:t>
      </w:r>
      <w:r w:rsidR="003A67D7">
        <w:rPr>
          <w:rFonts w:ascii="Times New Roman" w:hAnsi="Times New Roman" w:cs="Times New Roman"/>
          <w:sz w:val="24"/>
          <w:szCs w:val="24"/>
        </w:rPr>
        <w:t xml:space="preserve"> is to </w:t>
      </w:r>
      <w:r w:rsidR="005F2BA8" w:rsidRPr="00875EC2">
        <w:rPr>
          <w:rFonts w:ascii="Times New Roman" w:hAnsi="Times New Roman" w:cs="Times New Roman"/>
          <w:sz w:val="24"/>
          <w:szCs w:val="24"/>
        </w:rPr>
        <w:t>demonstrate that the e</w:t>
      </w:r>
      <w:r w:rsidR="00C33107" w:rsidRPr="00875EC2">
        <w:rPr>
          <w:rFonts w:ascii="Times New Roman" w:hAnsi="Times New Roman" w:cs="Times New Roman"/>
          <w:sz w:val="24"/>
          <w:szCs w:val="24"/>
        </w:rPr>
        <w:t xml:space="preserve">xamples that are taken </w:t>
      </w:r>
      <w:r w:rsidR="005820F6" w:rsidRPr="00875EC2">
        <w:rPr>
          <w:rFonts w:ascii="Times New Roman" w:hAnsi="Times New Roman" w:cs="Times New Roman"/>
          <w:sz w:val="24"/>
          <w:szCs w:val="24"/>
        </w:rPr>
        <w:t>as paradigmatic</w:t>
      </w:r>
      <w:r w:rsidR="005F2BA8" w:rsidRPr="00875EC2">
        <w:rPr>
          <w:rFonts w:ascii="Times New Roman" w:hAnsi="Times New Roman" w:cs="Times New Roman"/>
          <w:sz w:val="24"/>
          <w:szCs w:val="24"/>
        </w:rPr>
        <w:t xml:space="preserve"> “are syntacticall</w:t>
      </w:r>
      <w:r w:rsidR="00245482" w:rsidRPr="00875EC2">
        <w:rPr>
          <w:rFonts w:ascii="Times New Roman" w:hAnsi="Times New Roman" w:cs="Times New Roman"/>
          <w:sz w:val="24"/>
          <w:szCs w:val="24"/>
        </w:rPr>
        <w:t>y or semantically</w:t>
      </w:r>
      <w:r w:rsidR="00C33107" w:rsidRPr="00875EC2">
        <w:rPr>
          <w:rFonts w:ascii="Times New Roman" w:hAnsi="Times New Roman" w:cs="Times New Roman"/>
          <w:sz w:val="24"/>
          <w:szCs w:val="24"/>
        </w:rPr>
        <w:t xml:space="preserve"> different</w:t>
      </w:r>
      <w:r w:rsidR="00D869EA">
        <w:rPr>
          <w:rFonts w:ascii="Times New Roman" w:hAnsi="Times New Roman" w:cs="Times New Roman"/>
          <w:sz w:val="24"/>
          <w:szCs w:val="24"/>
        </w:rPr>
        <w:t xml:space="preserve"> in kind</w:t>
      </w:r>
      <w:r w:rsidR="00C33107" w:rsidRPr="00875EC2">
        <w:rPr>
          <w:rFonts w:ascii="Times New Roman" w:hAnsi="Times New Roman" w:cs="Times New Roman"/>
          <w:sz w:val="24"/>
          <w:szCs w:val="24"/>
        </w:rPr>
        <w:t>” from her own</w:t>
      </w:r>
      <w:r w:rsidR="00245482" w:rsidRPr="00875EC2">
        <w:rPr>
          <w:rFonts w:ascii="Times New Roman" w:hAnsi="Times New Roman" w:cs="Times New Roman"/>
          <w:sz w:val="24"/>
          <w:szCs w:val="24"/>
        </w:rPr>
        <w:t>, which do not seem to satisfy anything like Fara’s being-called</w:t>
      </w:r>
      <w:r w:rsidR="001C4B87" w:rsidRPr="00875EC2">
        <w:rPr>
          <w:rFonts w:ascii="Times New Roman" w:hAnsi="Times New Roman" w:cs="Times New Roman"/>
          <w:sz w:val="24"/>
          <w:szCs w:val="24"/>
        </w:rPr>
        <w:t xml:space="preserve"> </w:t>
      </w:r>
      <w:r w:rsidR="00245482" w:rsidRPr="00875EC2">
        <w:rPr>
          <w:rFonts w:ascii="Times New Roman" w:hAnsi="Times New Roman" w:cs="Times New Roman"/>
          <w:sz w:val="24"/>
          <w:szCs w:val="24"/>
        </w:rPr>
        <w:t>condition.</w:t>
      </w:r>
      <w:r w:rsidR="001C4B87" w:rsidRPr="00875EC2">
        <w:rPr>
          <w:rFonts w:ascii="Times New Roman" w:hAnsi="Times New Roman" w:cs="Times New Roman"/>
          <w:sz w:val="24"/>
          <w:szCs w:val="24"/>
        </w:rPr>
        <w:t xml:space="preserve"> </w:t>
      </w:r>
      <w:r w:rsidR="005820F6" w:rsidRPr="00875EC2">
        <w:rPr>
          <w:rFonts w:ascii="Times New Roman" w:hAnsi="Times New Roman" w:cs="Times New Roman"/>
          <w:sz w:val="24"/>
          <w:szCs w:val="24"/>
        </w:rPr>
        <w:t>Consider, for instance, what Fara says about the Romano</w:t>
      </w:r>
      <w:r w:rsidR="002F14EC" w:rsidRPr="00875EC2">
        <w:rPr>
          <w:rFonts w:ascii="Times New Roman" w:hAnsi="Times New Roman" w:cs="Times New Roman"/>
          <w:sz w:val="24"/>
          <w:szCs w:val="24"/>
        </w:rPr>
        <w:t>v examples. Why, Jeshion</w:t>
      </w:r>
      <w:r w:rsidR="00E45777" w:rsidRPr="00875EC2">
        <w:rPr>
          <w:rFonts w:ascii="Times New Roman" w:hAnsi="Times New Roman" w:cs="Times New Roman"/>
          <w:sz w:val="24"/>
          <w:szCs w:val="24"/>
        </w:rPr>
        <w:t xml:space="preserve"> ask</w:t>
      </w:r>
      <w:r w:rsidR="005820F6" w:rsidRPr="00875EC2">
        <w:rPr>
          <w:rFonts w:ascii="Times New Roman" w:hAnsi="Times New Roman" w:cs="Times New Roman"/>
          <w:sz w:val="24"/>
          <w:szCs w:val="24"/>
        </w:rPr>
        <w:t>s, couldn’t we say exactly the same thing about</w:t>
      </w:r>
      <w:r w:rsidR="00CF0C0A" w:rsidRPr="00875EC2">
        <w:rPr>
          <w:rFonts w:ascii="Times New Roman" w:hAnsi="Times New Roman" w:cs="Times New Roman"/>
          <w:sz w:val="24"/>
          <w:szCs w:val="24"/>
        </w:rPr>
        <w:t>,</w:t>
      </w:r>
      <w:r w:rsidR="005820F6" w:rsidRPr="00875EC2">
        <w:rPr>
          <w:rFonts w:ascii="Times New Roman" w:hAnsi="Times New Roman" w:cs="Times New Roman"/>
          <w:sz w:val="24"/>
          <w:szCs w:val="24"/>
        </w:rPr>
        <w:t xml:space="preserve"> e.g., “There are relatively few Alfreds in Princeton,” namely that </w:t>
      </w:r>
      <w:r w:rsidR="00663F67" w:rsidRPr="00875EC2">
        <w:rPr>
          <w:rFonts w:ascii="Times New Roman" w:hAnsi="Times New Roman" w:cs="Times New Roman"/>
          <w:sz w:val="24"/>
          <w:szCs w:val="24"/>
        </w:rPr>
        <w:t xml:space="preserve">the proper noun “Alfred” does not occur in </w:t>
      </w:r>
      <w:r w:rsidR="00CF0C0A" w:rsidRPr="00875EC2">
        <w:rPr>
          <w:rFonts w:ascii="Times New Roman" w:hAnsi="Times New Roman" w:cs="Times New Roman"/>
          <w:sz w:val="24"/>
          <w:szCs w:val="24"/>
        </w:rPr>
        <w:t xml:space="preserve">it </w:t>
      </w:r>
      <w:r w:rsidR="00663F67" w:rsidRPr="00875EC2">
        <w:rPr>
          <w:rFonts w:ascii="Times New Roman" w:hAnsi="Times New Roman" w:cs="Times New Roman"/>
          <w:sz w:val="24"/>
          <w:szCs w:val="24"/>
        </w:rPr>
        <w:t xml:space="preserve">as a proper name? But if it were so, </w:t>
      </w:r>
      <w:r w:rsidR="00CF0C0A" w:rsidRPr="00875EC2">
        <w:rPr>
          <w:rFonts w:ascii="Times New Roman" w:hAnsi="Times New Roman" w:cs="Times New Roman"/>
          <w:sz w:val="24"/>
          <w:szCs w:val="24"/>
        </w:rPr>
        <w:t>then obviously the latter example</w:t>
      </w:r>
      <w:r w:rsidR="00663F67" w:rsidRPr="00875EC2">
        <w:rPr>
          <w:rFonts w:ascii="Times New Roman" w:hAnsi="Times New Roman" w:cs="Times New Roman"/>
          <w:sz w:val="24"/>
          <w:szCs w:val="24"/>
        </w:rPr>
        <w:t xml:space="preserve"> could not be taken as illustrating “the normal or default use of proper names</w:t>
      </w:r>
      <w:r w:rsidR="00CF0C0A" w:rsidRPr="00875EC2">
        <w:rPr>
          <w:rFonts w:ascii="Times New Roman" w:hAnsi="Times New Roman" w:cs="Times New Roman"/>
          <w:sz w:val="24"/>
          <w:szCs w:val="24"/>
        </w:rPr>
        <w:t>,</w:t>
      </w:r>
      <w:r w:rsidR="00663F67" w:rsidRPr="00875EC2">
        <w:rPr>
          <w:rFonts w:ascii="Times New Roman" w:hAnsi="Times New Roman" w:cs="Times New Roman"/>
          <w:sz w:val="24"/>
          <w:szCs w:val="24"/>
        </w:rPr>
        <w:t>”</w:t>
      </w:r>
      <w:r w:rsidR="00CF0C0A" w:rsidRPr="00875EC2">
        <w:rPr>
          <w:rFonts w:ascii="Times New Roman" w:hAnsi="Times New Roman" w:cs="Times New Roman"/>
          <w:sz w:val="24"/>
          <w:szCs w:val="24"/>
        </w:rPr>
        <w:t xml:space="preserve"> since</w:t>
      </w:r>
      <w:r w:rsidR="00663F67" w:rsidRPr="00875EC2">
        <w:rPr>
          <w:rFonts w:ascii="Times New Roman" w:hAnsi="Times New Roman" w:cs="Times New Roman"/>
          <w:sz w:val="24"/>
          <w:szCs w:val="24"/>
        </w:rPr>
        <w:t xml:space="preserve"> </w:t>
      </w:r>
      <w:r w:rsidR="00CF0C0A" w:rsidRPr="00875EC2">
        <w:rPr>
          <w:rFonts w:ascii="Times New Roman" w:hAnsi="Times New Roman" w:cs="Times New Roman"/>
          <w:sz w:val="24"/>
          <w:szCs w:val="24"/>
        </w:rPr>
        <w:t>it</w:t>
      </w:r>
      <w:r w:rsidR="00663F67" w:rsidRPr="00875EC2">
        <w:rPr>
          <w:rFonts w:ascii="Times New Roman" w:hAnsi="Times New Roman" w:cs="Times New Roman"/>
          <w:sz w:val="24"/>
          <w:szCs w:val="24"/>
        </w:rPr>
        <w:t xml:space="preserve"> would not even contain a proper name</w:t>
      </w:r>
      <w:r w:rsidR="00CF0C0A" w:rsidRPr="00875EC2">
        <w:rPr>
          <w:rFonts w:ascii="Times New Roman" w:hAnsi="Times New Roman" w:cs="Times New Roman"/>
          <w:sz w:val="24"/>
          <w:szCs w:val="24"/>
        </w:rPr>
        <w:t>. Therefore, the predicativist</w:t>
      </w:r>
      <w:r w:rsidR="00D61471" w:rsidRPr="00875EC2">
        <w:rPr>
          <w:rFonts w:ascii="Times New Roman" w:hAnsi="Times New Roman" w:cs="Times New Roman"/>
          <w:sz w:val="24"/>
          <w:szCs w:val="24"/>
        </w:rPr>
        <w:t>’s uniformity principle based on it and similar examples would simply be misbegotten.</w:t>
      </w:r>
    </w:p>
    <w:p w:rsidR="004E11A4" w:rsidRPr="00875EC2" w:rsidRDefault="004E11A4" w:rsidP="007C4B41">
      <w:pPr>
        <w:spacing w:after="0" w:line="480" w:lineRule="auto"/>
        <w:ind w:firstLine="340"/>
        <w:rPr>
          <w:rFonts w:ascii="Times New Roman" w:hAnsi="Times New Roman" w:cs="Times New Roman"/>
          <w:sz w:val="24"/>
          <w:szCs w:val="24"/>
        </w:rPr>
      </w:pPr>
      <w:r w:rsidRPr="00875EC2">
        <w:rPr>
          <w:rFonts w:ascii="Times New Roman" w:hAnsi="Times New Roman" w:cs="Times New Roman"/>
          <w:sz w:val="24"/>
          <w:szCs w:val="24"/>
        </w:rPr>
        <w:t>As Marco Santambrogio remarks in his contribution, “Empty Names, Propositions, and Attitude Ascriptions,” “[e]mpty names pose thorny problems to all semantic theories.” The fact is that “[t]here are a host of sentences, in which empty names occur, that we feel strongly inclined to take as being definitely either true or false.” This is especially challenging for “those theorists who endorse the doctrine that proper names directly refer,”</w:t>
      </w:r>
      <w:r w:rsidR="00C51BDB" w:rsidRPr="00875EC2">
        <w:rPr>
          <w:rFonts w:ascii="Times New Roman" w:hAnsi="Times New Roman" w:cs="Times New Roman"/>
          <w:sz w:val="24"/>
          <w:szCs w:val="24"/>
        </w:rPr>
        <w:t xml:space="preserve"> as that doctrine appear</w:t>
      </w:r>
      <w:r w:rsidR="00794821" w:rsidRPr="00875EC2">
        <w:rPr>
          <w:rFonts w:ascii="Times New Roman" w:hAnsi="Times New Roman" w:cs="Times New Roman"/>
          <w:sz w:val="24"/>
          <w:szCs w:val="24"/>
        </w:rPr>
        <w:t>s to imply that these sentences do not express any proposition that can account for their intuitive truth value. Santa</w:t>
      </w:r>
      <w:r w:rsidR="009263F4" w:rsidRPr="00875EC2">
        <w:rPr>
          <w:rFonts w:ascii="Times New Roman" w:hAnsi="Times New Roman" w:cs="Times New Roman"/>
          <w:sz w:val="24"/>
          <w:szCs w:val="24"/>
        </w:rPr>
        <w:t>mbrogio, however, argues that this</w:t>
      </w:r>
      <w:r w:rsidR="00794821" w:rsidRPr="00875EC2">
        <w:rPr>
          <w:rFonts w:ascii="Times New Roman" w:hAnsi="Times New Roman" w:cs="Times New Roman"/>
          <w:sz w:val="24"/>
          <w:szCs w:val="24"/>
        </w:rPr>
        <w:t xml:space="preserve"> is n</w:t>
      </w:r>
      <w:r w:rsidR="003A67D7">
        <w:rPr>
          <w:rFonts w:ascii="Times New Roman" w:hAnsi="Times New Roman" w:cs="Times New Roman"/>
          <w:sz w:val="24"/>
          <w:szCs w:val="24"/>
        </w:rPr>
        <w:t>ot so. The key idea of his chapter</w:t>
      </w:r>
      <w:r w:rsidR="00794821" w:rsidRPr="00875EC2">
        <w:rPr>
          <w:rFonts w:ascii="Times New Roman" w:hAnsi="Times New Roman" w:cs="Times New Roman"/>
          <w:sz w:val="24"/>
          <w:szCs w:val="24"/>
        </w:rPr>
        <w:t xml:space="preserve">, in fact, is that </w:t>
      </w:r>
      <w:r w:rsidR="009263F4" w:rsidRPr="00875EC2">
        <w:rPr>
          <w:rFonts w:ascii="Times New Roman" w:hAnsi="Times New Roman" w:cs="Times New Roman"/>
          <w:sz w:val="24"/>
          <w:szCs w:val="24"/>
        </w:rPr>
        <w:t xml:space="preserve">there is no need to force </w:t>
      </w:r>
      <w:r w:rsidR="00794821" w:rsidRPr="00875EC2">
        <w:rPr>
          <w:rFonts w:ascii="Times New Roman" w:hAnsi="Times New Roman" w:cs="Times New Roman"/>
          <w:sz w:val="24"/>
          <w:szCs w:val="24"/>
        </w:rPr>
        <w:t>direct reference in</w:t>
      </w:r>
      <w:r w:rsidR="009263F4" w:rsidRPr="00875EC2">
        <w:rPr>
          <w:rFonts w:ascii="Times New Roman" w:hAnsi="Times New Roman" w:cs="Times New Roman"/>
          <w:sz w:val="24"/>
          <w:szCs w:val="24"/>
        </w:rPr>
        <w:t>to</w:t>
      </w:r>
      <w:r w:rsidR="00794821" w:rsidRPr="00875EC2">
        <w:rPr>
          <w:rFonts w:ascii="Times New Roman" w:hAnsi="Times New Roman" w:cs="Times New Roman"/>
          <w:sz w:val="24"/>
          <w:szCs w:val="24"/>
        </w:rPr>
        <w:t xml:space="preserve"> the</w:t>
      </w:r>
      <w:r w:rsidR="009263F4" w:rsidRPr="00875EC2">
        <w:rPr>
          <w:rFonts w:ascii="Times New Roman" w:hAnsi="Times New Roman" w:cs="Times New Roman"/>
          <w:sz w:val="24"/>
          <w:szCs w:val="24"/>
        </w:rPr>
        <w:t xml:space="preserve"> Procrustean bed of the singular propositions apparatus.</w:t>
      </w:r>
      <w:r w:rsidR="00C51BDB" w:rsidRPr="00875EC2">
        <w:rPr>
          <w:rFonts w:ascii="Times New Roman" w:hAnsi="Times New Roman" w:cs="Times New Roman"/>
          <w:sz w:val="24"/>
          <w:szCs w:val="24"/>
        </w:rPr>
        <w:t xml:space="preserve"> Indeed, his theory of empty names “has recourse to a notion of structured propositions that are quite unlike singular propositions, but it still assumes that all proper names, empty or otherwise, have no descriptive content that is semantically relevant.” Santambrogio’s starting point is Kripke’s characterization of Millianism, according to which “</w:t>
      </w:r>
      <w:r w:rsidR="006A161D" w:rsidRPr="00875EC2">
        <w:rPr>
          <w:rFonts w:ascii="Times New Roman" w:hAnsi="Times New Roman" w:cs="Times New Roman"/>
          <w:sz w:val="24"/>
          <w:szCs w:val="24"/>
        </w:rPr>
        <w:t xml:space="preserve">proper names of the same thing are everywhere interchangeable not only </w:t>
      </w:r>
      <w:r w:rsidR="006A161D" w:rsidRPr="00875EC2">
        <w:rPr>
          <w:rFonts w:ascii="Times New Roman" w:hAnsi="Times New Roman" w:cs="Times New Roman"/>
          <w:i/>
          <w:sz w:val="24"/>
          <w:szCs w:val="24"/>
        </w:rPr>
        <w:t>salva veritate</w:t>
      </w:r>
      <w:r w:rsidR="006A161D" w:rsidRPr="00875EC2">
        <w:rPr>
          <w:rFonts w:ascii="Times New Roman" w:hAnsi="Times New Roman" w:cs="Times New Roman"/>
          <w:sz w:val="24"/>
          <w:szCs w:val="24"/>
        </w:rPr>
        <w:t xml:space="preserve"> but even </w:t>
      </w:r>
      <w:r w:rsidR="006A161D" w:rsidRPr="00875EC2">
        <w:rPr>
          <w:rFonts w:ascii="Times New Roman" w:hAnsi="Times New Roman" w:cs="Times New Roman"/>
          <w:i/>
          <w:sz w:val="24"/>
          <w:szCs w:val="24"/>
        </w:rPr>
        <w:t>salva significatione</w:t>
      </w:r>
      <w:r w:rsidR="006A161D" w:rsidRPr="00875EC2">
        <w:rPr>
          <w:rFonts w:ascii="Times New Roman" w:hAnsi="Times New Roman" w:cs="Times New Roman"/>
          <w:sz w:val="24"/>
          <w:szCs w:val="24"/>
        </w:rPr>
        <w:t>,” so that “the proposition expressed by a sentence should remain the same no matter what name of the object it uses.” This suggests, according to Santambrogio, that we can “define the expressive value [i.e., the propositional contribution] of a name by abstraction, as being its equivalence class, modulo sameness of reference, either on the domain of all names or on that of all names in a particular language.”</w:t>
      </w:r>
      <w:r w:rsidR="00FD3FBB" w:rsidRPr="00875EC2">
        <w:rPr>
          <w:rFonts w:ascii="Times New Roman" w:hAnsi="Times New Roman" w:cs="Times New Roman"/>
          <w:sz w:val="24"/>
          <w:szCs w:val="24"/>
        </w:rPr>
        <w:t xml:space="preserve"> The </w:t>
      </w:r>
      <w:r w:rsidR="00FD3FBB" w:rsidRPr="00F1363C">
        <w:rPr>
          <w:rFonts w:ascii="Times New Roman" w:hAnsi="Times New Roman" w:cs="Times New Roman"/>
          <w:sz w:val="24"/>
          <w:szCs w:val="24"/>
        </w:rPr>
        <w:t xml:space="preserve">result </w:t>
      </w:r>
      <w:r w:rsidR="00CC3038" w:rsidRPr="00F1363C">
        <w:rPr>
          <w:rFonts w:ascii="Times New Roman" w:hAnsi="Times New Roman" w:cs="Times New Roman"/>
          <w:sz w:val="24"/>
          <w:szCs w:val="24"/>
        </w:rPr>
        <w:t xml:space="preserve">is </w:t>
      </w:r>
      <w:r w:rsidR="00FD3FBB" w:rsidRPr="00F1363C">
        <w:rPr>
          <w:rFonts w:ascii="Times New Roman" w:hAnsi="Times New Roman" w:cs="Times New Roman"/>
          <w:sz w:val="24"/>
          <w:szCs w:val="24"/>
        </w:rPr>
        <w:t>new</w:t>
      </w:r>
      <w:r w:rsidR="00FD3FBB" w:rsidRPr="00875EC2">
        <w:rPr>
          <w:rFonts w:ascii="Times New Roman" w:hAnsi="Times New Roman" w:cs="Times New Roman"/>
          <w:sz w:val="24"/>
          <w:szCs w:val="24"/>
        </w:rPr>
        <w:t>-style propositions, which are “language-</w:t>
      </w:r>
      <w:r w:rsidR="00FD3FBB" w:rsidRPr="00875EC2">
        <w:rPr>
          <w:rFonts w:ascii="Times New Roman" w:hAnsi="Times New Roman" w:cs="Times New Roman"/>
          <w:i/>
          <w:sz w:val="24"/>
          <w:szCs w:val="24"/>
        </w:rPr>
        <w:t>bound</w:t>
      </w:r>
      <w:r w:rsidR="00FD3FBB" w:rsidRPr="00875EC2">
        <w:rPr>
          <w:rFonts w:ascii="Times New Roman" w:hAnsi="Times New Roman" w:cs="Times New Roman"/>
          <w:sz w:val="24"/>
          <w:szCs w:val="24"/>
        </w:rPr>
        <w:t>” rather than language-</w:t>
      </w:r>
      <w:r w:rsidR="00FD3FBB" w:rsidRPr="00875EC2">
        <w:rPr>
          <w:rFonts w:ascii="Times New Roman" w:hAnsi="Times New Roman" w:cs="Times New Roman"/>
          <w:i/>
          <w:sz w:val="24"/>
          <w:szCs w:val="24"/>
        </w:rPr>
        <w:t>independent</w:t>
      </w:r>
      <w:r w:rsidR="00BE1E73" w:rsidRPr="00875EC2">
        <w:rPr>
          <w:rFonts w:ascii="Times New Roman" w:hAnsi="Times New Roman" w:cs="Times New Roman"/>
          <w:i/>
          <w:sz w:val="24"/>
          <w:szCs w:val="24"/>
        </w:rPr>
        <w:t xml:space="preserve"> </w:t>
      </w:r>
      <w:r w:rsidR="00BE1E73" w:rsidRPr="00875EC2">
        <w:rPr>
          <w:rFonts w:ascii="Times New Roman" w:hAnsi="Times New Roman" w:cs="Times New Roman"/>
          <w:sz w:val="24"/>
          <w:szCs w:val="24"/>
        </w:rPr>
        <w:t>like</w:t>
      </w:r>
      <w:r w:rsidR="00FD3FBB" w:rsidRPr="00875EC2">
        <w:rPr>
          <w:rFonts w:ascii="Times New Roman" w:hAnsi="Times New Roman" w:cs="Times New Roman"/>
          <w:sz w:val="24"/>
          <w:szCs w:val="24"/>
        </w:rPr>
        <w:t xml:space="preserve"> the traditional ones. Santambrogio defends his proposal both directly, by addressing a number of potential objections, and indirectly, by arguing that these new-style propositions serve the “two main purposes” propositions are supposed to serve, namely </w:t>
      </w:r>
      <w:r w:rsidR="001A7DA1" w:rsidRPr="00875EC2">
        <w:rPr>
          <w:rFonts w:ascii="Times New Roman" w:hAnsi="Times New Roman" w:cs="Times New Roman"/>
          <w:sz w:val="24"/>
          <w:szCs w:val="24"/>
        </w:rPr>
        <w:t xml:space="preserve">“to be the bearers of truth values and to figure in the semantics of sentences ascribing belief and other propositional attitudes.” In fact, he first outlines the truth conditions of his new-style propositions, which “are relative to some previously understood language and are such that even propositions expressed by sentences containing empty names … are not valueless,” and then offers a semantics for belief ascriptions, which “flows naturally from </w:t>
      </w:r>
      <w:r w:rsidR="003078D7" w:rsidRPr="00875EC2">
        <w:rPr>
          <w:rFonts w:ascii="Times New Roman" w:hAnsi="Times New Roman" w:cs="Times New Roman"/>
          <w:sz w:val="24"/>
          <w:szCs w:val="24"/>
        </w:rPr>
        <w:t>the truth conditions given …</w:t>
      </w:r>
      <w:r w:rsidR="001A7DA1" w:rsidRPr="00875EC2">
        <w:rPr>
          <w:rFonts w:ascii="Times New Roman" w:hAnsi="Times New Roman" w:cs="Times New Roman"/>
          <w:sz w:val="24"/>
          <w:szCs w:val="24"/>
        </w:rPr>
        <w:t xml:space="preserve"> for ordinary atomic sentences, without any need to supplement them with special clauses.”</w:t>
      </w:r>
      <w:r w:rsidR="00ED48CF" w:rsidRPr="00875EC2">
        <w:rPr>
          <w:rFonts w:ascii="Times New Roman" w:hAnsi="Times New Roman" w:cs="Times New Roman"/>
          <w:sz w:val="24"/>
          <w:szCs w:val="24"/>
        </w:rPr>
        <w:t xml:space="preserve"> Finally, Santambrogio compares his theory</w:t>
      </w:r>
      <w:r w:rsidR="00FB1526" w:rsidRPr="00875EC2">
        <w:rPr>
          <w:rFonts w:ascii="Times New Roman" w:hAnsi="Times New Roman" w:cs="Times New Roman"/>
          <w:sz w:val="24"/>
          <w:szCs w:val="24"/>
        </w:rPr>
        <w:t xml:space="preserve"> </w:t>
      </w:r>
      <w:r w:rsidR="00FB1526" w:rsidRPr="00875EC2">
        <w:rPr>
          <w:rFonts w:ascii="Times New Roman" w:hAnsi="Times New Roman" w:cs="Times New Roman"/>
          <w:sz w:val="24"/>
          <w:szCs w:val="24"/>
          <w:lang w:val="en-GB"/>
        </w:rPr>
        <w:t>with “two of the most influential theories of empty names that are consistent with the doctrine of direct reference and Millianism,” the Gappy Propositions View, originated by Kaplan, and the Metalinguistic View, inspired by Donnellan, and argues that it fares b</w:t>
      </w:r>
      <w:r w:rsidR="00BE1E73" w:rsidRPr="00875EC2">
        <w:rPr>
          <w:rFonts w:ascii="Times New Roman" w:hAnsi="Times New Roman" w:cs="Times New Roman"/>
          <w:sz w:val="24"/>
          <w:szCs w:val="24"/>
          <w:lang w:val="en-GB"/>
        </w:rPr>
        <w:t>etter than either</w:t>
      </w:r>
      <w:r w:rsidR="00FB1526" w:rsidRPr="00875EC2">
        <w:rPr>
          <w:rFonts w:ascii="Times New Roman" w:hAnsi="Times New Roman" w:cs="Times New Roman"/>
          <w:sz w:val="24"/>
          <w:szCs w:val="24"/>
          <w:lang w:val="en-GB"/>
        </w:rPr>
        <w:t xml:space="preserve"> of them.</w:t>
      </w:r>
    </w:p>
    <w:p w:rsidR="00D61471" w:rsidRPr="00875EC2" w:rsidRDefault="00D457BD" w:rsidP="00F9461A">
      <w:pPr>
        <w:spacing w:after="0" w:line="480" w:lineRule="auto"/>
        <w:ind w:firstLine="340"/>
        <w:rPr>
          <w:rFonts w:ascii="Times New Roman" w:hAnsi="Times New Roman" w:cs="Times New Roman"/>
          <w:sz w:val="24"/>
          <w:szCs w:val="24"/>
        </w:rPr>
      </w:pPr>
      <w:r w:rsidRPr="00875EC2">
        <w:rPr>
          <w:rFonts w:ascii="Times New Roman" w:hAnsi="Times New Roman" w:cs="Times New Roman"/>
          <w:sz w:val="24"/>
          <w:szCs w:val="24"/>
          <w:lang w:val="en-GB"/>
        </w:rPr>
        <w:t xml:space="preserve">Besides empty names, another well-known problem for Millianism (which in his contribution, “Millianism, Relationism, and Attitude Ascriptions,” Ángel Pinillos defines as “the thesis that the meaning of a proper name is exhausted by its referent”) is constituted by </w:t>
      </w:r>
      <w:r w:rsidR="0002440B" w:rsidRPr="00875EC2">
        <w:rPr>
          <w:rFonts w:ascii="Times New Roman" w:hAnsi="Times New Roman" w:cs="Times New Roman"/>
          <w:sz w:val="24"/>
          <w:szCs w:val="24"/>
          <w:lang w:val="en-GB"/>
        </w:rPr>
        <w:t>“</w:t>
      </w:r>
      <w:r w:rsidR="0002440B" w:rsidRPr="00875EC2">
        <w:rPr>
          <w:rFonts w:ascii="Times New Roman" w:hAnsi="Times New Roman" w:cs="Times New Roman"/>
          <w:sz w:val="24"/>
          <w:szCs w:val="24"/>
        </w:rPr>
        <w:t xml:space="preserve">the presumed failure of substitutivity, </w:t>
      </w:r>
      <w:r w:rsidR="0002440B" w:rsidRPr="00875EC2">
        <w:rPr>
          <w:rFonts w:ascii="Times New Roman" w:hAnsi="Times New Roman" w:cs="Times New Roman"/>
          <w:i/>
          <w:sz w:val="24"/>
          <w:szCs w:val="24"/>
        </w:rPr>
        <w:t>salva veritate</w:t>
      </w:r>
      <w:r w:rsidR="0002440B" w:rsidRPr="00875EC2">
        <w:rPr>
          <w:rFonts w:ascii="Times New Roman" w:hAnsi="Times New Roman" w:cs="Times New Roman"/>
          <w:sz w:val="24"/>
          <w:szCs w:val="24"/>
        </w:rPr>
        <w:t>, of co</w:t>
      </w:r>
      <w:r w:rsidR="002D24A3">
        <w:rPr>
          <w:rFonts w:ascii="Times New Roman" w:hAnsi="Times New Roman" w:cs="Times New Roman"/>
          <w:sz w:val="24"/>
          <w:szCs w:val="24"/>
        </w:rPr>
        <w:t>-</w:t>
      </w:r>
      <w:r w:rsidR="0002440B" w:rsidRPr="00875EC2">
        <w:rPr>
          <w:rFonts w:ascii="Times New Roman" w:hAnsi="Times New Roman" w:cs="Times New Roman"/>
          <w:sz w:val="24"/>
          <w:szCs w:val="24"/>
        </w:rPr>
        <w:t>referring names in attitude contexts” (a version of Frege’s puzzle di</w:t>
      </w:r>
      <w:r w:rsidR="00BE1E73" w:rsidRPr="00875EC2">
        <w:rPr>
          <w:rFonts w:ascii="Times New Roman" w:hAnsi="Times New Roman" w:cs="Times New Roman"/>
          <w:sz w:val="24"/>
          <w:szCs w:val="24"/>
        </w:rPr>
        <w:t>fferent from the one we encountered when</w:t>
      </w:r>
      <w:r w:rsidR="003A67D7">
        <w:rPr>
          <w:rFonts w:ascii="Times New Roman" w:hAnsi="Times New Roman" w:cs="Times New Roman"/>
          <w:sz w:val="24"/>
          <w:szCs w:val="24"/>
        </w:rPr>
        <w:t xml:space="preserve"> presenting Perry’s chapter</w:t>
      </w:r>
      <w:r w:rsidR="0002440B" w:rsidRPr="00875EC2">
        <w:rPr>
          <w:rFonts w:ascii="Times New Roman" w:hAnsi="Times New Roman" w:cs="Times New Roman"/>
          <w:sz w:val="24"/>
          <w:szCs w:val="24"/>
        </w:rPr>
        <w:t>).</w:t>
      </w:r>
      <w:r w:rsidR="00BE1E73" w:rsidRPr="00875EC2">
        <w:rPr>
          <w:rFonts w:ascii="Times New Roman" w:hAnsi="Times New Roman" w:cs="Times New Roman"/>
          <w:sz w:val="24"/>
          <w:szCs w:val="24"/>
        </w:rPr>
        <w:t xml:space="preserve"> In the last decade, Kit</w:t>
      </w:r>
      <w:r w:rsidR="00EC7C8E" w:rsidRPr="00875EC2">
        <w:rPr>
          <w:rFonts w:ascii="Times New Roman" w:hAnsi="Times New Roman" w:cs="Times New Roman"/>
          <w:sz w:val="24"/>
          <w:szCs w:val="24"/>
        </w:rPr>
        <w:t xml:space="preserve"> Fine has developed a new solution, “consistent with Millianism,” to this problem: </w:t>
      </w:r>
      <w:r w:rsidR="00EC7C8E" w:rsidRPr="00875EC2">
        <w:rPr>
          <w:rFonts w:ascii="Times New Roman" w:hAnsi="Times New Roman" w:cs="Times New Roman"/>
          <w:i/>
          <w:sz w:val="24"/>
          <w:szCs w:val="24"/>
        </w:rPr>
        <w:t>semantic relationism</w:t>
      </w:r>
      <w:r w:rsidR="00EC7C8E" w:rsidRPr="00875EC2">
        <w:rPr>
          <w:rFonts w:ascii="Times New Roman" w:hAnsi="Times New Roman" w:cs="Times New Roman"/>
          <w:sz w:val="24"/>
          <w:szCs w:val="24"/>
        </w:rPr>
        <w:t>.</w:t>
      </w:r>
      <w:r w:rsidR="00AD02F2" w:rsidRPr="00875EC2">
        <w:rPr>
          <w:rFonts w:ascii="Times New Roman" w:hAnsi="Times New Roman" w:cs="Times New Roman"/>
          <w:sz w:val="24"/>
          <w:szCs w:val="24"/>
        </w:rPr>
        <w:t xml:space="preserve"> The basic idea is that “the meaning facts concerning a discourse may involve semantic relations between representations”: certain representations (e.g., proper name tokens) may be </w:t>
      </w:r>
      <w:r w:rsidR="00AD02F2" w:rsidRPr="00875EC2">
        <w:rPr>
          <w:rFonts w:ascii="Times New Roman" w:hAnsi="Times New Roman" w:cs="Times New Roman"/>
          <w:i/>
          <w:sz w:val="24"/>
          <w:szCs w:val="24"/>
        </w:rPr>
        <w:t>coordinated</w:t>
      </w:r>
      <w:r w:rsidR="00AD02F2" w:rsidRPr="00875EC2">
        <w:rPr>
          <w:rFonts w:ascii="Times New Roman" w:hAnsi="Times New Roman" w:cs="Times New Roman"/>
          <w:sz w:val="24"/>
          <w:szCs w:val="24"/>
        </w:rPr>
        <w:t xml:space="preserve">. Hence, even though “the semantic content of a proper name, taken on its own, is exhausted by its referent,” sentence uses involving coordination (e.g., standard uses </w:t>
      </w:r>
      <w:r w:rsidR="00675E91" w:rsidRPr="00875EC2">
        <w:rPr>
          <w:rFonts w:ascii="Times New Roman" w:hAnsi="Times New Roman" w:cs="Times New Roman"/>
          <w:sz w:val="24"/>
          <w:szCs w:val="24"/>
        </w:rPr>
        <w:t xml:space="preserve">of </w:t>
      </w:r>
      <w:r w:rsidR="00AD02F2" w:rsidRPr="00875EC2">
        <w:rPr>
          <w:rFonts w:ascii="Times New Roman" w:hAnsi="Times New Roman" w:cs="Times New Roman"/>
          <w:sz w:val="24"/>
          <w:szCs w:val="24"/>
        </w:rPr>
        <w:t>“Hesperus is Hesperus”) express, according to relationism, propositions that are different from those expressed by sentences not involving coordination (e.g., certain uses of “Hesperus is Phosphorus”)</w:t>
      </w:r>
      <w:r w:rsidR="004D0690" w:rsidRPr="00875EC2">
        <w:rPr>
          <w:rFonts w:ascii="Times New Roman" w:hAnsi="Times New Roman" w:cs="Times New Roman"/>
          <w:sz w:val="24"/>
          <w:szCs w:val="24"/>
        </w:rPr>
        <w:t>. This would explain the difference in truth value between, say, “Hammurabi believed that Hesperus is Hesperus</w:t>
      </w:r>
      <w:r w:rsidR="004900D2" w:rsidRPr="00875EC2">
        <w:rPr>
          <w:rFonts w:ascii="Times New Roman" w:hAnsi="Times New Roman" w:cs="Times New Roman"/>
          <w:sz w:val="24"/>
          <w:szCs w:val="24"/>
        </w:rPr>
        <w:t xml:space="preserve">” and “Hammurabi believed that </w:t>
      </w:r>
      <w:r w:rsidR="004D0690" w:rsidRPr="00875EC2">
        <w:rPr>
          <w:rFonts w:ascii="Times New Roman" w:hAnsi="Times New Roman" w:cs="Times New Roman"/>
          <w:sz w:val="24"/>
          <w:szCs w:val="24"/>
        </w:rPr>
        <w:t>Hesperus is Phosp</w:t>
      </w:r>
      <w:r w:rsidR="004900D2" w:rsidRPr="00875EC2">
        <w:rPr>
          <w:rFonts w:ascii="Times New Roman" w:hAnsi="Times New Roman" w:cs="Times New Roman"/>
          <w:sz w:val="24"/>
          <w:szCs w:val="24"/>
        </w:rPr>
        <w:t>h</w:t>
      </w:r>
      <w:r w:rsidR="004D0690" w:rsidRPr="00875EC2">
        <w:rPr>
          <w:rFonts w:ascii="Times New Roman" w:hAnsi="Times New Roman" w:cs="Times New Roman"/>
          <w:sz w:val="24"/>
          <w:szCs w:val="24"/>
        </w:rPr>
        <w:t xml:space="preserve">orus,” since the two reports </w:t>
      </w:r>
      <w:r w:rsidR="00755E9A" w:rsidRPr="00875EC2">
        <w:rPr>
          <w:rFonts w:ascii="Times New Roman" w:hAnsi="Times New Roman" w:cs="Times New Roman"/>
          <w:sz w:val="24"/>
          <w:szCs w:val="24"/>
        </w:rPr>
        <w:t xml:space="preserve">would </w:t>
      </w:r>
      <w:r w:rsidR="004D0690" w:rsidRPr="00875EC2">
        <w:rPr>
          <w:rFonts w:ascii="Times New Roman" w:hAnsi="Times New Roman" w:cs="Times New Roman"/>
          <w:sz w:val="24"/>
          <w:szCs w:val="24"/>
        </w:rPr>
        <w:t>ascribe to Hammurabi belief in two different propositions.</w:t>
      </w:r>
      <w:r w:rsidR="004900D2" w:rsidRPr="00875EC2">
        <w:rPr>
          <w:rFonts w:ascii="Times New Roman" w:hAnsi="Times New Roman" w:cs="Times New Roman"/>
          <w:sz w:val="24"/>
          <w:szCs w:val="24"/>
        </w:rPr>
        <w:t xml:space="preserve"> It might seem, however, that the proposal is not general enough to solve all the problems: what about, e.g., “Hammurabi believed that Hesperus </w:t>
      </w:r>
      <w:r w:rsidR="00526632" w:rsidRPr="00875EC2">
        <w:rPr>
          <w:rFonts w:ascii="Times New Roman" w:hAnsi="Times New Roman" w:cs="Times New Roman"/>
          <w:sz w:val="24"/>
          <w:szCs w:val="24"/>
        </w:rPr>
        <w:t>is inhabited” and “Hammurabi believed tha</w:t>
      </w:r>
      <w:r w:rsidR="00BE1E73" w:rsidRPr="00875EC2">
        <w:rPr>
          <w:rFonts w:ascii="Times New Roman" w:hAnsi="Times New Roman" w:cs="Times New Roman"/>
          <w:sz w:val="24"/>
          <w:szCs w:val="24"/>
        </w:rPr>
        <w:t>t Phosphorus is inhabited,” neither</w:t>
      </w:r>
      <w:r w:rsidR="00526632" w:rsidRPr="00875EC2">
        <w:rPr>
          <w:rFonts w:ascii="Times New Roman" w:hAnsi="Times New Roman" w:cs="Times New Roman"/>
          <w:sz w:val="24"/>
          <w:szCs w:val="24"/>
        </w:rPr>
        <w:t xml:space="preserve"> of which ap</w:t>
      </w:r>
      <w:r w:rsidR="00535CF5" w:rsidRPr="00875EC2">
        <w:rPr>
          <w:rFonts w:ascii="Times New Roman" w:hAnsi="Times New Roman" w:cs="Times New Roman"/>
          <w:sz w:val="24"/>
          <w:szCs w:val="24"/>
        </w:rPr>
        <w:t>pears to involve coordination? After introducing his own version of relationism, which differs from Fine’s in taking coordination to be a primitive non-transitive relation (</w:t>
      </w:r>
      <w:r w:rsidR="00535CF5" w:rsidRPr="00875EC2">
        <w:rPr>
          <w:rFonts w:ascii="Times New Roman" w:hAnsi="Times New Roman" w:cs="Times New Roman"/>
          <w:i/>
          <w:sz w:val="24"/>
          <w:szCs w:val="24"/>
        </w:rPr>
        <w:t>p-linking</w:t>
      </w:r>
      <w:r w:rsidR="00535CF5" w:rsidRPr="00875EC2">
        <w:rPr>
          <w:rFonts w:ascii="Times New Roman" w:hAnsi="Times New Roman" w:cs="Times New Roman"/>
          <w:sz w:val="24"/>
          <w:szCs w:val="24"/>
        </w:rPr>
        <w:t>), Pinil</w:t>
      </w:r>
      <w:r w:rsidR="003D28E0" w:rsidRPr="00875EC2">
        <w:rPr>
          <w:rFonts w:ascii="Times New Roman" w:hAnsi="Times New Roman" w:cs="Times New Roman"/>
          <w:sz w:val="24"/>
          <w:szCs w:val="24"/>
        </w:rPr>
        <w:t>los criticizes Fine’s way out of</w:t>
      </w:r>
      <w:r w:rsidR="00535CF5" w:rsidRPr="00875EC2">
        <w:rPr>
          <w:rFonts w:ascii="Times New Roman" w:hAnsi="Times New Roman" w:cs="Times New Roman"/>
          <w:sz w:val="24"/>
          <w:szCs w:val="24"/>
        </w:rPr>
        <w:t xml:space="preserve"> </w:t>
      </w:r>
      <w:r w:rsidR="00535CF5" w:rsidRPr="00F1363C">
        <w:rPr>
          <w:rFonts w:ascii="Times New Roman" w:hAnsi="Times New Roman" w:cs="Times New Roman"/>
          <w:sz w:val="24"/>
          <w:szCs w:val="24"/>
        </w:rPr>
        <w:t>this</w:t>
      </w:r>
      <w:r w:rsidR="001950C0" w:rsidRPr="00F1363C">
        <w:rPr>
          <w:rFonts w:ascii="Times New Roman" w:hAnsi="Times New Roman" w:cs="Times New Roman"/>
          <w:sz w:val="24"/>
          <w:szCs w:val="24"/>
        </w:rPr>
        <w:t xml:space="preserve"> </w:t>
      </w:r>
      <w:r w:rsidR="00CC3038" w:rsidRPr="00F1363C">
        <w:rPr>
          <w:rFonts w:ascii="Times New Roman" w:hAnsi="Times New Roman" w:cs="Times New Roman"/>
          <w:sz w:val="24"/>
          <w:szCs w:val="24"/>
        </w:rPr>
        <w:t>difficulty</w:t>
      </w:r>
      <w:r w:rsidR="00535CF5" w:rsidRPr="00F1363C">
        <w:rPr>
          <w:rFonts w:ascii="Times New Roman" w:hAnsi="Times New Roman" w:cs="Times New Roman"/>
          <w:sz w:val="24"/>
          <w:szCs w:val="24"/>
        </w:rPr>
        <w:t>, which</w:t>
      </w:r>
      <w:r w:rsidR="00535CF5" w:rsidRPr="00875EC2">
        <w:rPr>
          <w:rFonts w:ascii="Times New Roman" w:hAnsi="Times New Roman" w:cs="Times New Roman"/>
          <w:sz w:val="24"/>
          <w:szCs w:val="24"/>
        </w:rPr>
        <w:t xml:space="preserve"> </w:t>
      </w:r>
      <w:r w:rsidR="006523AA" w:rsidRPr="00875EC2">
        <w:rPr>
          <w:rFonts w:ascii="Times New Roman" w:hAnsi="Times New Roman" w:cs="Times New Roman"/>
          <w:sz w:val="24"/>
          <w:szCs w:val="24"/>
        </w:rPr>
        <w:t xml:space="preserve">has recourse </w:t>
      </w:r>
      <w:r w:rsidR="00535CF5" w:rsidRPr="00875EC2">
        <w:rPr>
          <w:rFonts w:ascii="Times New Roman" w:hAnsi="Times New Roman" w:cs="Times New Roman"/>
          <w:sz w:val="24"/>
          <w:szCs w:val="24"/>
        </w:rPr>
        <w:t xml:space="preserve">to </w:t>
      </w:r>
      <w:r w:rsidR="006523AA" w:rsidRPr="00875EC2">
        <w:rPr>
          <w:rFonts w:ascii="Times New Roman" w:hAnsi="Times New Roman" w:cs="Times New Roman"/>
          <w:sz w:val="24"/>
          <w:szCs w:val="24"/>
        </w:rPr>
        <w:t>“a notion of inter-discourse coordination which links uses of words and mental states” and to new theoretical objects (</w:t>
      </w:r>
      <w:r w:rsidR="006523AA" w:rsidRPr="00875EC2">
        <w:rPr>
          <w:rFonts w:ascii="Times New Roman" w:hAnsi="Times New Roman" w:cs="Times New Roman"/>
          <w:i/>
          <w:sz w:val="24"/>
          <w:szCs w:val="24"/>
        </w:rPr>
        <w:t>token propositions</w:t>
      </w:r>
      <w:r w:rsidR="006523AA" w:rsidRPr="00875EC2">
        <w:rPr>
          <w:rFonts w:ascii="Times New Roman" w:hAnsi="Times New Roman" w:cs="Times New Roman"/>
          <w:sz w:val="24"/>
          <w:szCs w:val="24"/>
        </w:rPr>
        <w:t xml:space="preserve">), and offers his own. According to </w:t>
      </w:r>
      <w:r w:rsidR="00150BB6" w:rsidRPr="00875EC2">
        <w:rPr>
          <w:rFonts w:ascii="Times New Roman" w:hAnsi="Times New Roman" w:cs="Times New Roman"/>
          <w:sz w:val="24"/>
          <w:szCs w:val="24"/>
        </w:rPr>
        <w:t xml:space="preserve">Pinillos, </w:t>
      </w:r>
      <w:r w:rsidR="003D28E0" w:rsidRPr="00875EC2">
        <w:rPr>
          <w:rFonts w:ascii="Times New Roman" w:hAnsi="Times New Roman" w:cs="Times New Roman"/>
          <w:sz w:val="24"/>
          <w:szCs w:val="24"/>
        </w:rPr>
        <w:t xml:space="preserve">in fact, </w:t>
      </w:r>
      <w:r w:rsidR="00150BB6" w:rsidRPr="00875EC2">
        <w:rPr>
          <w:rFonts w:ascii="Times New Roman" w:hAnsi="Times New Roman" w:cs="Times New Roman"/>
          <w:sz w:val="24"/>
          <w:szCs w:val="24"/>
        </w:rPr>
        <w:t>intra-discourse coordination may be enough to deal with Frege’s puzzle concerning substitutivity in its general form, if only we realize</w:t>
      </w:r>
      <w:r w:rsidR="00441F45" w:rsidRPr="00875EC2">
        <w:rPr>
          <w:rFonts w:ascii="Times New Roman" w:hAnsi="Times New Roman" w:cs="Times New Roman"/>
          <w:sz w:val="24"/>
          <w:szCs w:val="24"/>
        </w:rPr>
        <w:t xml:space="preserve"> that a discourse </w:t>
      </w:r>
      <w:r w:rsidR="00BE1E73" w:rsidRPr="00875EC2">
        <w:rPr>
          <w:rFonts w:ascii="Times New Roman" w:hAnsi="Times New Roman" w:cs="Times New Roman"/>
          <w:sz w:val="24"/>
          <w:szCs w:val="24"/>
        </w:rPr>
        <w:t xml:space="preserve">also </w:t>
      </w:r>
      <w:r w:rsidR="00441F45" w:rsidRPr="00875EC2">
        <w:rPr>
          <w:rFonts w:ascii="Times New Roman" w:hAnsi="Times New Roman" w:cs="Times New Roman"/>
          <w:sz w:val="24"/>
          <w:szCs w:val="24"/>
        </w:rPr>
        <w:t>includes what is presupposed, and in particular</w:t>
      </w:r>
      <w:r w:rsidR="00150BB6" w:rsidRPr="00875EC2">
        <w:rPr>
          <w:rFonts w:ascii="Times New Roman" w:hAnsi="Times New Roman" w:cs="Times New Roman"/>
          <w:sz w:val="24"/>
          <w:szCs w:val="24"/>
        </w:rPr>
        <w:t xml:space="preserve"> that </w:t>
      </w:r>
      <w:r w:rsidR="00150BB6" w:rsidRPr="00875EC2">
        <w:rPr>
          <w:rFonts w:ascii="Times New Roman" w:hAnsi="Times New Roman" w:cs="Times New Roman"/>
          <w:i/>
          <w:sz w:val="24"/>
          <w:szCs w:val="24"/>
        </w:rPr>
        <w:t>de dicto</w:t>
      </w:r>
      <w:r w:rsidR="00150BB6" w:rsidRPr="00875EC2">
        <w:rPr>
          <w:rFonts w:ascii="Times New Roman" w:hAnsi="Times New Roman" w:cs="Times New Roman"/>
          <w:sz w:val="24"/>
          <w:szCs w:val="24"/>
        </w:rPr>
        <w:t xml:space="preserve"> uses of sentences like those above concerning Hammurabi “are always accompanied, often implicitly, by other men</w:t>
      </w:r>
      <w:r w:rsidR="00C91A7C">
        <w:rPr>
          <w:rFonts w:ascii="Times New Roman" w:hAnsi="Times New Roman" w:cs="Times New Roman"/>
          <w:sz w:val="24"/>
          <w:szCs w:val="24"/>
        </w:rPr>
        <w:t xml:space="preserve">tal state ascriptions.” </w:t>
      </w:r>
      <w:r w:rsidR="00150BB6" w:rsidRPr="00875EC2">
        <w:rPr>
          <w:rFonts w:ascii="Times New Roman" w:hAnsi="Times New Roman" w:cs="Times New Roman"/>
          <w:sz w:val="24"/>
          <w:szCs w:val="24"/>
        </w:rPr>
        <w:t>Pinillos’</w:t>
      </w:r>
      <w:r w:rsidR="00675E91" w:rsidRPr="00875EC2">
        <w:rPr>
          <w:rFonts w:ascii="Times New Roman" w:hAnsi="Times New Roman" w:cs="Times New Roman"/>
          <w:sz w:val="24"/>
          <w:szCs w:val="24"/>
        </w:rPr>
        <w:t>s</w:t>
      </w:r>
      <w:r w:rsidR="00150BB6" w:rsidRPr="00875EC2">
        <w:rPr>
          <w:rFonts w:ascii="Times New Roman" w:hAnsi="Times New Roman" w:cs="Times New Roman"/>
          <w:sz w:val="24"/>
          <w:szCs w:val="24"/>
        </w:rPr>
        <w:t xml:space="preserve"> working hypothesis is the following: </w:t>
      </w:r>
      <w:r w:rsidR="00441F45" w:rsidRPr="00875EC2">
        <w:rPr>
          <w:rFonts w:ascii="Times New Roman" w:hAnsi="Times New Roman" w:cs="Times New Roman"/>
          <w:sz w:val="24"/>
          <w:szCs w:val="24"/>
        </w:rPr>
        <w:t xml:space="preserve">“A use of ‘A V’s that P’, where ‘P’ contains a </w:t>
      </w:r>
      <w:r w:rsidR="00441F45" w:rsidRPr="00875EC2">
        <w:rPr>
          <w:rFonts w:ascii="Times New Roman" w:hAnsi="Times New Roman" w:cs="Times New Roman"/>
          <w:i/>
          <w:sz w:val="24"/>
          <w:szCs w:val="24"/>
        </w:rPr>
        <w:t>de dicto</w:t>
      </w:r>
      <w:r w:rsidR="00441F45" w:rsidRPr="00875EC2">
        <w:rPr>
          <w:rFonts w:ascii="Times New Roman" w:hAnsi="Times New Roman" w:cs="Times New Roman"/>
          <w:sz w:val="24"/>
          <w:szCs w:val="24"/>
        </w:rPr>
        <w:t xml:space="preserve"> use of a name N which refers to X and ‘V’ is an attitude verb, either presupposes that </w:t>
      </w:r>
      <w:r w:rsidR="00441F45" w:rsidRPr="00875EC2">
        <w:rPr>
          <w:rFonts w:ascii="Times New Roman" w:hAnsi="Times New Roman" w:cs="Times New Roman"/>
          <w:i/>
          <w:sz w:val="24"/>
          <w:szCs w:val="24"/>
        </w:rPr>
        <w:t>A thinks of X as D</w:t>
      </w:r>
      <w:r w:rsidR="00441F45" w:rsidRPr="00875EC2">
        <w:rPr>
          <w:rFonts w:ascii="Times New Roman" w:hAnsi="Times New Roman" w:cs="Times New Roman"/>
          <w:sz w:val="24"/>
          <w:szCs w:val="24"/>
        </w:rPr>
        <w:t xml:space="preserve"> or presupposes that </w:t>
      </w:r>
      <w:r w:rsidR="00441F45" w:rsidRPr="00875EC2">
        <w:rPr>
          <w:rFonts w:ascii="Times New Roman" w:hAnsi="Times New Roman" w:cs="Times New Roman"/>
          <w:i/>
          <w:sz w:val="24"/>
          <w:szCs w:val="24"/>
        </w:rPr>
        <w:t>A thinks of X in way C</w:t>
      </w:r>
      <w:r w:rsidR="00875EC2" w:rsidRPr="00875EC2">
        <w:rPr>
          <w:rFonts w:ascii="Times New Roman" w:hAnsi="Times New Roman" w:cs="Times New Roman"/>
          <w:sz w:val="24"/>
          <w:szCs w:val="24"/>
        </w:rPr>
        <w:t>,</w:t>
      </w:r>
      <w:r w:rsidR="006F3626" w:rsidRPr="00875EC2">
        <w:rPr>
          <w:rFonts w:ascii="Times New Roman" w:hAnsi="Times New Roman" w:cs="Times New Roman"/>
          <w:sz w:val="24"/>
          <w:szCs w:val="24"/>
        </w:rPr>
        <w:t>”</w:t>
      </w:r>
      <w:r w:rsidR="00875EC2" w:rsidRPr="00875EC2">
        <w:rPr>
          <w:rFonts w:ascii="Times New Roman" w:hAnsi="Times New Roman" w:cs="Times New Roman"/>
          <w:sz w:val="24"/>
          <w:szCs w:val="24"/>
        </w:rPr>
        <w:t xml:space="preserve"> where ‘D’ </w:t>
      </w:r>
      <w:r w:rsidR="009A2234">
        <w:rPr>
          <w:rFonts w:ascii="Times New Roman" w:hAnsi="Times New Roman" w:cs="Times New Roman"/>
          <w:sz w:val="24"/>
          <w:szCs w:val="24"/>
        </w:rPr>
        <w:t xml:space="preserve">is </w:t>
      </w:r>
      <w:r w:rsidR="00875EC2" w:rsidRPr="00875EC2">
        <w:rPr>
          <w:rFonts w:ascii="Times New Roman" w:hAnsi="Times New Roman" w:cs="Times New Roman"/>
          <w:sz w:val="24"/>
          <w:szCs w:val="24"/>
        </w:rPr>
        <w:t xml:space="preserve">a “stand-in for a </w:t>
      </w:r>
      <w:r w:rsidR="009A2234">
        <w:rPr>
          <w:rFonts w:ascii="Times New Roman" w:hAnsi="Times New Roman" w:cs="Times New Roman"/>
          <w:sz w:val="24"/>
          <w:szCs w:val="24"/>
        </w:rPr>
        <w:t xml:space="preserve">definite description” and ‘C’ </w:t>
      </w:r>
      <w:r w:rsidR="00875EC2" w:rsidRPr="00875EC2">
        <w:rPr>
          <w:rFonts w:ascii="Times New Roman" w:hAnsi="Times New Roman" w:cs="Times New Roman"/>
          <w:sz w:val="24"/>
          <w:szCs w:val="24"/>
        </w:rPr>
        <w:t xml:space="preserve">a “stand-in for a conception,” no matter what a conception is. </w:t>
      </w:r>
      <w:r w:rsidR="006F3626" w:rsidRPr="00875EC2">
        <w:rPr>
          <w:rFonts w:ascii="Times New Roman" w:hAnsi="Times New Roman" w:cs="Times New Roman"/>
          <w:sz w:val="24"/>
          <w:szCs w:val="24"/>
        </w:rPr>
        <w:t>If this</w:t>
      </w:r>
      <w:r w:rsidR="00441F45" w:rsidRPr="00875EC2">
        <w:rPr>
          <w:rFonts w:ascii="Times New Roman" w:hAnsi="Times New Roman" w:cs="Times New Roman"/>
          <w:sz w:val="24"/>
          <w:szCs w:val="24"/>
        </w:rPr>
        <w:t xml:space="preserve"> hypothesis is true, </w:t>
      </w:r>
      <w:r w:rsidR="008B6D43" w:rsidRPr="00875EC2">
        <w:rPr>
          <w:rFonts w:ascii="Times New Roman" w:hAnsi="Times New Roman" w:cs="Times New Roman"/>
          <w:sz w:val="24"/>
          <w:szCs w:val="24"/>
        </w:rPr>
        <w:t>Pinillos argue</w:t>
      </w:r>
      <w:r w:rsidR="00441F45" w:rsidRPr="00875EC2">
        <w:rPr>
          <w:rFonts w:ascii="Times New Roman" w:hAnsi="Times New Roman" w:cs="Times New Roman"/>
          <w:sz w:val="24"/>
          <w:szCs w:val="24"/>
        </w:rPr>
        <w:t>s, the relationist</w:t>
      </w:r>
      <w:r w:rsidR="00BE1E73" w:rsidRPr="00875EC2">
        <w:rPr>
          <w:rFonts w:ascii="Times New Roman" w:hAnsi="Times New Roman" w:cs="Times New Roman"/>
          <w:sz w:val="24"/>
          <w:szCs w:val="24"/>
        </w:rPr>
        <w:t xml:space="preserve"> has all the resources necessary for handling</w:t>
      </w:r>
      <w:r w:rsidR="00441F45" w:rsidRPr="00875EC2">
        <w:rPr>
          <w:rFonts w:ascii="Times New Roman" w:hAnsi="Times New Roman" w:cs="Times New Roman"/>
          <w:sz w:val="24"/>
          <w:szCs w:val="24"/>
        </w:rPr>
        <w:t xml:space="preserve"> cases such as the above and does not need to appeal to </w:t>
      </w:r>
      <w:r w:rsidR="008B6D43" w:rsidRPr="00875EC2">
        <w:rPr>
          <w:rFonts w:ascii="Times New Roman" w:hAnsi="Times New Roman" w:cs="Times New Roman"/>
          <w:sz w:val="24"/>
          <w:szCs w:val="24"/>
        </w:rPr>
        <w:t xml:space="preserve">problematic </w:t>
      </w:r>
      <w:r w:rsidR="00441F45" w:rsidRPr="00875EC2">
        <w:rPr>
          <w:rFonts w:ascii="Times New Roman" w:hAnsi="Times New Roman" w:cs="Times New Roman"/>
          <w:sz w:val="24"/>
          <w:szCs w:val="24"/>
        </w:rPr>
        <w:t>inter-discourse relations and token propositions.</w:t>
      </w:r>
    </w:p>
    <w:p w:rsidR="00D61471" w:rsidRPr="00875EC2" w:rsidRDefault="003D28E0" w:rsidP="00CD075C">
      <w:pPr>
        <w:spacing w:after="0" w:line="480" w:lineRule="auto"/>
        <w:ind w:firstLine="340"/>
        <w:rPr>
          <w:rFonts w:ascii="Times New Roman" w:hAnsi="Times New Roman" w:cs="Times New Roman"/>
          <w:sz w:val="24"/>
          <w:szCs w:val="24"/>
        </w:rPr>
      </w:pPr>
      <w:r w:rsidRPr="00875EC2">
        <w:rPr>
          <w:rFonts w:ascii="Times New Roman" w:hAnsi="Times New Roman" w:cs="Times New Roman"/>
          <w:sz w:val="24"/>
          <w:szCs w:val="24"/>
          <w:lang w:val="en-GB"/>
        </w:rPr>
        <w:t xml:space="preserve">In his contribution to this volume, “The Dilemma of Indefinites,” </w:t>
      </w:r>
      <w:r w:rsidR="00973A31" w:rsidRPr="00875EC2">
        <w:rPr>
          <w:rFonts w:ascii="Times New Roman" w:hAnsi="Times New Roman" w:cs="Times New Roman"/>
          <w:sz w:val="24"/>
          <w:szCs w:val="24"/>
          <w:lang w:val="en-GB"/>
        </w:rPr>
        <w:t>Sam</w:t>
      </w:r>
      <w:r w:rsidR="00E844A5">
        <w:rPr>
          <w:rFonts w:ascii="Times New Roman" w:hAnsi="Times New Roman" w:cs="Times New Roman"/>
          <w:sz w:val="24"/>
          <w:szCs w:val="24"/>
          <w:lang w:val="en-GB"/>
        </w:rPr>
        <w:t>uel</w:t>
      </w:r>
      <w:r w:rsidR="00973A31" w:rsidRPr="00875EC2">
        <w:rPr>
          <w:rFonts w:ascii="Times New Roman" w:hAnsi="Times New Roman" w:cs="Times New Roman"/>
          <w:sz w:val="24"/>
          <w:szCs w:val="24"/>
          <w:lang w:val="en-GB"/>
        </w:rPr>
        <w:t xml:space="preserve"> Cumming</w:t>
      </w:r>
      <w:r w:rsidRPr="00875EC2">
        <w:rPr>
          <w:rFonts w:ascii="Times New Roman" w:hAnsi="Times New Roman" w:cs="Times New Roman"/>
          <w:sz w:val="24"/>
          <w:szCs w:val="24"/>
          <w:lang w:val="en-GB"/>
        </w:rPr>
        <w:t xml:space="preserve"> challenges an assumption that, from Frege</w:t>
      </w:r>
      <w:r w:rsidR="00B1591F" w:rsidRPr="00875EC2">
        <w:rPr>
          <w:rFonts w:ascii="Times New Roman" w:hAnsi="Times New Roman" w:cs="Times New Roman"/>
          <w:sz w:val="24"/>
          <w:szCs w:val="24"/>
          <w:lang w:val="en-GB"/>
        </w:rPr>
        <w:t xml:space="preserve"> on</w:t>
      </w:r>
      <w:r w:rsidRPr="00875EC2">
        <w:rPr>
          <w:rFonts w:ascii="Times New Roman" w:hAnsi="Times New Roman" w:cs="Times New Roman"/>
          <w:sz w:val="24"/>
          <w:szCs w:val="24"/>
          <w:lang w:val="en-GB"/>
        </w:rPr>
        <w:t xml:space="preserve">, has characterized </w:t>
      </w:r>
      <w:r w:rsidR="00973A31" w:rsidRPr="00875EC2">
        <w:rPr>
          <w:rFonts w:ascii="Times New Roman" w:hAnsi="Times New Roman" w:cs="Times New Roman"/>
          <w:sz w:val="24"/>
          <w:szCs w:val="24"/>
          <w:lang w:val="en-GB"/>
        </w:rPr>
        <w:t xml:space="preserve">the reflection on meaning and related matters, according to which “[t]he truth-value of an utterance is jointly determined by its semantic content and its proper circumstance of evaluation.” Abandoning this assumption, Cumming argues, is the only way of resolving a </w:t>
      </w:r>
      <w:r w:rsidR="00B53EDC" w:rsidRPr="00875EC2">
        <w:rPr>
          <w:rFonts w:ascii="Times New Roman" w:hAnsi="Times New Roman" w:cs="Times New Roman"/>
          <w:sz w:val="24"/>
          <w:szCs w:val="24"/>
          <w:lang w:val="en-GB"/>
        </w:rPr>
        <w:t>“</w:t>
      </w:r>
      <w:r w:rsidR="00973A31" w:rsidRPr="00875EC2">
        <w:rPr>
          <w:rFonts w:ascii="Times New Roman" w:hAnsi="Times New Roman" w:cs="Times New Roman"/>
          <w:sz w:val="24"/>
          <w:szCs w:val="24"/>
          <w:lang w:val="en-GB"/>
        </w:rPr>
        <w:t>dilemma about the behaviour of indefinites.</w:t>
      </w:r>
      <w:r w:rsidR="00B53EDC" w:rsidRPr="00875EC2">
        <w:rPr>
          <w:rFonts w:ascii="Times New Roman" w:hAnsi="Times New Roman" w:cs="Times New Roman"/>
          <w:sz w:val="24"/>
          <w:szCs w:val="24"/>
          <w:lang w:val="en-GB"/>
        </w:rPr>
        <w:t>”</w:t>
      </w:r>
      <w:r w:rsidR="00973A31" w:rsidRPr="00875EC2">
        <w:rPr>
          <w:rFonts w:ascii="Times New Roman" w:hAnsi="Times New Roman" w:cs="Times New Roman"/>
          <w:sz w:val="24"/>
          <w:szCs w:val="24"/>
          <w:lang w:val="en-GB"/>
        </w:rPr>
        <w:t xml:space="preserve"> In fact, “[o]n the one hand</w:t>
      </w:r>
      <w:r w:rsidR="00B53EDC" w:rsidRPr="00875EC2">
        <w:rPr>
          <w:rFonts w:ascii="Times New Roman" w:hAnsi="Times New Roman" w:cs="Times New Roman"/>
          <w:sz w:val="24"/>
          <w:szCs w:val="24"/>
          <w:lang w:val="en-GB"/>
        </w:rPr>
        <w:t xml:space="preserve">, there is evidence best explained by treating indefinites as a kind of referring expression, on a par with </w:t>
      </w:r>
      <w:r w:rsidR="00234A9E" w:rsidRPr="00875EC2">
        <w:rPr>
          <w:rFonts w:ascii="Times New Roman" w:hAnsi="Times New Roman" w:cs="Times New Roman"/>
          <w:sz w:val="24"/>
          <w:szCs w:val="24"/>
          <w:lang w:val="en-GB"/>
        </w:rPr>
        <w:t>proper names and demonstratives,</w:t>
      </w:r>
      <w:r w:rsidR="00B53EDC" w:rsidRPr="00875EC2">
        <w:rPr>
          <w:rFonts w:ascii="Times New Roman" w:hAnsi="Times New Roman" w:cs="Times New Roman"/>
          <w:sz w:val="24"/>
          <w:szCs w:val="24"/>
          <w:lang w:val="en-GB"/>
        </w:rPr>
        <w:t xml:space="preserve">” </w:t>
      </w:r>
      <w:r w:rsidR="00234A9E" w:rsidRPr="00875EC2">
        <w:rPr>
          <w:rFonts w:ascii="Times New Roman" w:hAnsi="Times New Roman" w:cs="Times New Roman"/>
          <w:sz w:val="24"/>
          <w:szCs w:val="24"/>
          <w:lang w:val="en-GB"/>
        </w:rPr>
        <w:t>while</w:t>
      </w:r>
      <w:r w:rsidR="00B53EDC" w:rsidRPr="00875EC2">
        <w:rPr>
          <w:rFonts w:ascii="Times New Roman" w:hAnsi="Times New Roman" w:cs="Times New Roman"/>
          <w:sz w:val="24"/>
          <w:szCs w:val="24"/>
          <w:lang w:val="en-GB"/>
        </w:rPr>
        <w:t xml:space="preserve"> “[o]n the other, the truth conditions of sentences containing indefinites are not object-dependent; corresponding instead to weaker, existentially quantified claims.”</w:t>
      </w:r>
      <w:r w:rsidR="00286DE9" w:rsidRPr="00875EC2">
        <w:rPr>
          <w:rFonts w:ascii="Times New Roman" w:hAnsi="Times New Roman" w:cs="Times New Roman"/>
          <w:sz w:val="24"/>
          <w:szCs w:val="24"/>
          <w:lang w:val="en-GB"/>
        </w:rPr>
        <w:t xml:space="preserve"> In other words, and schematically, there</w:t>
      </w:r>
      <w:r w:rsidR="003078D7" w:rsidRPr="00875EC2">
        <w:rPr>
          <w:rFonts w:ascii="Times New Roman" w:hAnsi="Times New Roman" w:cs="Times New Roman"/>
          <w:sz w:val="24"/>
          <w:szCs w:val="24"/>
          <w:lang w:val="en-GB"/>
        </w:rPr>
        <w:t xml:space="preserve"> is empirical support for </w:t>
      </w:r>
      <w:r w:rsidR="007C5264" w:rsidRPr="00875EC2">
        <w:rPr>
          <w:rFonts w:ascii="Times New Roman" w:hAnsi="Times New Roman" w:cs="Times New Roman"/>
          <w:sz w:val="24"/>
          <w:szCs w:val="24"/>
          <w:lang w:val="en-GB"/>
        </w:rPr>
        <w:t>claiming both that</w:t>
      </w:r>
      <w:r w:rsidR="003078D7" w:rsidRPr="00875EC2">
        <w:rPr>
          <w:rFonts w:ascii="Times New Roman" w:hAnsi="Times New Roman" w:cs="Times New Roman"/>
          <w:sz w:val="24"/>
          <w:szCs w:val="24"/>
          <w:lang w:val="en-GB"/>
        </w:rPr>
        <w:t xml:space="preserve"> (a)</w:t>
      </w:r>
      <w:r w:rsidR="00286DE9" w:rsidRPr="00875EC2">
        <w:rPr>
          <w:rFonts w:ascii="Times New Roman" w:hAnsi="Times New Roman" w:cs="Times New Roman"/>
          <w:sz w:val="24"/>
          <w:szCs w:val="24"/>
          <w:lang w:val="en-GB"/>
        </w:rPr>
        <w:t xml:space="preserve"> </w:t>
      </w:r>
      <w:r w:rsidR="003078D7" w:rsidRPr="00875EC2">
        <w:rPr>
          <w:rFonts w:ascii="Times New Roman" w:hAnsi="Times New Roman" w:cs="Times New Roman"/>
          <w:sz w:val="24"/>
          <w:szCs w:val="24"/>
          <w:lang w:val="en-GB"/>
        </w:rPr>
        <w:t>“</w:t>
      </w:r>
      <w:r w:rsidR="00286DE9" w:rsidRPr="00875EC2">
        <w:rPr>
          <w:rFonts w:ascii="Times New Roman" w:hAnsi="Times New Roman" w:cs="Times New Roman"/>
          <w:sz w:val="24"/>
          <w:szCs w:val="24"/>
          <w:lang w:val="en-GB"/>
        </w:rPr>
        <w:t xml:space="preserve">‘An </w:t>
      </w:r>
      <w:r w:rsidR="00286DE9" w:rsidRPr="00875EC2">
        <w:rPr>
          <w:rFonts w:ascii="Times New Roman" w:hAnsi="Times New Roman" w:cs="Times New Roman"/>
          <w:i/>
          <w:sz w:val="24"/>
          <w:szCs w:val="24"/>
          <w:lang w:val="en-GB"/>
        </w:rPr>
        <w:t>F</w:t>
      </w:r>
      <w:r w:rsidR="00286DE9" w:rsidRPr="00875EC2">
        <w:rPr>
          <w:rFonts w:ascii="Times New Roman" w:hAnsi="Times New Roman" w:cs="Times New Roman"/>
          <w:sz w:val="24"/>
          <w:szCs w:val="24"/>
          <w:lang w:val="en-GB"/>
        </w:rPr>
        <w:t xml:space="preserve"> is </w:t>
      </w:r>
      <w:r w:rsidR="00286DE9" w:rsidRPr="00875EC2">
        <w:rPr>
          <w:rFonts w:ascii="Times New Roman" w:hAnsi="Times New Roman" w:cs="Times New Roman"/>
          <w:i/>
          <w:sz w:val="24"/>
          <w:szCs w:val="24"/>
          <w:lang w:val="en-GB"/>
        </w:rPr>
        <w:t>G</w:t>
      </w:r>
      <w:r w:rsidR="00286DE9" w:rsidRPr="00875EC2">
        <w:rPr>
          <w:rFonts w:ascii="Times New Roman" w:hAnsi="Times New Roman" w:cs="Times New Roman"/>
          <w:sz w:val="24"/>
          <w:szCs w:val="24"/>
          <w:lang w:val="en-GB"/>
        </w:rPr>
        <w:t xml:space="preserve">’ has an </w:t>
      </w:r>
      <w:r w:rsidR="00286DE9" w:rsidRPr="00875EC2">
        <w:rPr>
          <w:rFonts w:ascii="Times New Roman" w:hAnsi="Times New Roman" w:cs="Times New Roman"/>
          <w:i/>
          <w:sz w:val="24"/>
          <w:szCs w:val="24"/>
          <w:lang w:val="en-GB"/>
        </w:rPr>
        <w:t>object-containing</w:t>
      </w:r>
      <w:r w:rsidR="003078D7" w:rsidRPr="00875EC2">
        <w:rPr>
          <w:rFonts w:ascii="Times New Roman" w:hAnsi="Times New Roman" w:cs="Times New Roman"/>
          <w:sz w:val="24"/>
          <w:szCs w:val="24"/>
          <w:lang w:val="en-GB"/>
        </w:rPr>
        <w:t xml:space="preserve"> semantic content” and </w:t>
      </w:r>
      <w:r w:rsidR="009A2234">
        <w:rPr>
          <w:rFonts w:ascii="Times New Roman" w:hAnsi="Times New Roman" w:cs="Times New Roman"/>
          <w:sz w:val="24"/>
          <w:szCs w:val="24"/>
          <w:lang w:val="en-GB"/>
        </w:rPr>
        <w:t xml:space="preserve">that </w:t>
      </w:r>
      <w:r w:rsidR="003078D7" w:rsidRPr="00875EC2">
        <w:rPr>
          <w:rFonts w:ascii="Times New Roman" w:hAnsi="Times New Roman" w:cs="Times New Roman"/>
          <w:sz w:val="24"/>
          <w:szCs w:val="24"/>
          <w:lang w:val="en-GB"/>
        </w:rPr>
        <w:t>(b)</w:t>
      </w:r>
      <w:r w:rsidR="00286DE9" w:rsidRPr="00875EC2">
        <w:rPr>
          <w:rFonts w:ascii="Times New Roman" w:hAnsi="Times New Roman" w:cs="Times New Roman"/>
          <w:sz w:val="24"/>
          <w:szCs w:val="24"/>
          <w:lang w:val="en-GB"/>
        </w:rPr>
        <w:t xml:space="preserve"> </w:t>
      </w:r>
      <w:r w:rsidR="003078D7" w:rsidRPr="00875EC2">
        <w:rPr>
          <w:rFonts w:ascii="Times New Roman" w:hAnsi="Times New Roman" w:cs="Times New Roman"/>
          <w:sz w:val="24"/>
          <w:szCs w:val="24"/>
          <w:lang w:val="en-GB"/>
        </w:rPr>
        <w:t>“</w:t>
      </w:r>
      <w:r w:rsidR="00286DE9" w:rsidRPr="00875EC2">
        <w:rPr>
          <w:rFonts w:ascii="Times New Roman" w:hAnsi="Times New Roman" w:cs="Times New Roman"/>
          <w:sz w:val="24"/>
          <w:szCs w:val="24"/>
          <w:lang w:val="en-GB"/>
        </w:rPr>
        <w:t xml:space="preserve">‘An </w:t>
      </w:r>
      <w:r w:rsidR="00286DE9" w:rsidRPr="00875EC2">
        <w:rPr>
          <w:rFonts w:ascii="Times New Roman" w:hAnsi="Times New Roman" w:cs="Times New Roman"/>
          <w:i/>
          <w:sz w:val="24"/>
          <w:szCs w:val="24"/>
          <w:lang w:val="en-GB"/>
        </w:rPr>
        <w:t>F</w:t>
      </w:r>
      <w:r w:rsidR="00286DE9" w:rsidRPr="00875EC2">
        <w:rPr>
          <w:rFonts w:ascii="Times New Roman" w:hAnsi="Times New Roman" w:cs="Times New Roman"/>
          <w:sz w:val="24"/>
          <w:szCs w:val="24"/>
          <w:lang w:val="en-GB"/>
        </w:rPr>
        <w:t xml:space="preserve"> is </w:t>
      </w:r>
      <w:r w:rsidR="00286DE9" w:rsidRPr="00875EC2">
        <w:rPr>
          <w:rFonts w:ascii="Times New Roman" w:hAnsi="Times New Roman" w:cs="Times New Roman"/>
          <w:i/>
          <w:sz w:val="24"/>
          <w:szCs w:val="24"/>
          <w:lang w:val="en-GB"/>
        </w:rPr>
        <w:t>G</w:t>
      </w:r>
      <w:r w:rsidR="00286DE9" w:rsidRPr="00875EC2">
        <w:rPr>
          <w:rFonts w:ascii="Times New Roman" w:hAnsi="Times New Roman" w:cs="Times New Roman"/>
          <w:sz w:val="24"/>
          <w:szCs w:val="24"/>
          <w:lang w:val="en-GB"/>
        </w:rPr>
        <w:t xml:space="preserve">’ does not have an </w:t>
      </w:r>
      <w:r w:rsidR="00286DE9" w:rsidRPr="00875EC2">
        <w:rPr>
          <w:rFonts w:ascii="Times New Roman" w:hAnsi="Times New Roman" w:cs="Times New Roman"/>
          <w:i/>
          <w:sz w:val="24"/>
          <w:szCs w:val="24"/>
          <w:lang w:val="en-GB"/>
        </w:rPr>
        <w:t>object-dependent</w:t>
      </w:r>
      <w:r w:rsidR="00286DE9" w:rsidRPr="00875EC2">
        <w:rPr>
          <w:rFonts w:ascii="Times New Roman" w:hAnsi="Times New Roman" w:cs="Times New Roman"/>
          <w:sz w:val="24"/>
          <w:szCs w:val="24"/>
          <w:lang w:val="en-GB"/>
        </w:rPr>
        <w:t xml:space="preserve"> truth condition.” </w:t>
      </w:r>
      <w:r w:rsidR="000C4E77" w:rsidRPr="00875EC2">
        <w:rPr>
          <w:rFonts w:ascii="Times New Roman" w:hAnsi="Times New Roman" w:cs="Times New Roman"/>
          <w:sz w:val="24"/>
          <w:szCs w:val="24"/>
          <w:lang w:val="en-GB"/>
        </w:rPr>
        <w:t xml:space="preserve">If </w:t>
      </w:r>
      <w:r w:rsidR="003078D7" w:rsidRPr="00875EC2">
        <w:rPr>
          <w:rFonts w:ascii="Times New Roman" w:hAnsi="Times New Roman" w:cs="Times New Roman"/>
          <w:sz w:val="24"/>
          <w:szCs w:val="24"/>
          <w:lang w:val="en-GB"/>
        </w:rPr>
        <w:t>(</w:t>
      </w:r>
      <w:r w:rsidR="000C4E77" w:rsidRPr="00875EC2">
        <w:rPr>
          <w:rFonts w:ascii="Times New Roman" w:hAnsi="Times New Roman" w:cs="Times New Roman"/>
          <w:sz w:val="24"/>
          <w:szCs w:val="24"/>
          <w:lang w:val="en-GB"/>
        </w:rPr>
        <w:t>a</w:t>
      </w:r>
      <w:r w:rsidR="003078D7" w:rsidRPr="00875EC2">
        <w:rPr>
          <w:rFonts w:ascii="Times New Roman" w:hAnsi="Times New Roman" w:cs="Times New Roman"/>
          <w:sz w:val="24"/>
          <w:szCs w:val="24"/>
          <w:lang w:val="en-GB"/>
        </w:rPr>
        <w:t>)</w:t>
      </w:r>
      <w:r w:rsidR="000C4E77" w:rsidRPr="00875EC2">
        <w:rPr>
          <w:rFonts w:ascii="Times New Roman" w:hAnsi="Times New Roman" w:cs="Times New Roman"/>
          <w:sz w:val="24"/>
          <w:szCs w:val="24"/>
          <w:lang w:val="en-GB"/>
        </w:rPr>
        <w:t xml:space="preserve"> and </w:t>
      </w:r>
      <w:r w:rsidR="003078D7" w:rsidRPr="00875EC2">
        <w:rPr>
          <w:rFonts w:ascii="Times New Roman" w:hAnsi="Times New Roman" w:cs="Times New Roman"/>
          <w:sz w:val="24"/>
          <w:szCs w:val="24"/>
          <w:lang w:val="en-GB"/>
        </w:rPr>
        <w:t>(</w:t>
      </w:r>
      <w:r w:rsidR="000C4E77" w:rsidRPr="00875EC2">
        <w:rPr>
          <w:rFonts w:ascii="Times New Roman" w:hAnsi="Times New Roman" w:cs="Times New Roman"/>
          <w:sz w:val="24"/>
          <w:szCs w:val="24"/>
          <w:lang w:val="en-GB"/>
        </w:rPr>
        <w:t>b</w:t>
      </w:r>
      <w:r w:rsidR="003078D7" w:rsidRPr="00875EC2">
        <w:rPr>
          <w:rFonts w:ascii="Times New Roman" w:hAnsi="Times New Roman" w:cs="Times New Roman"/>
          <w:sz w:val="24"/>
          <w:szCs w:val="24"/>
          <w:lang w:val="en-GB"/>
        </w:rPr>
        <w:t>)</w:t>
      </w:r>
      <w:r w:rsidR="00286DE9" w:rsidRPr="00875EC2">
        <w:rPr>
          <w:rFonts w:ascii="Times New Roman" w:hAnsi="Times New Roman" w:cs="Times New Roman"/>
          <w:sz w:val="24"/>
          <w:szCs w:val="24"/>
          <w:lang w:val="en-GB"/>
        </w:rPr>
        <w:t xml:space="preserve"> are both true, however, we cannot but conclude that “semantic content doesn’t determ</w:t>
      </w:r>
      <w:r w:rsidR="00BE1E73" w:rsidRPr="00875EC2">
        <w:rPr>
          <w:rFonts w:ascii="Times New Roman" w:hAnsi="Times New Roman" w:cs="Times New Roman"/>
          <w:sz w:val="24"/>
          <w:szCs w:val="24"/>
          <w:lang w:val="en-GB"/>
        </w:rPr>
        <w:t>ine the truth condition.” I</w:t>
      </w:r>
      <w:r w:rsidR="00286DE9" w:rsidRPr="00875EC2">
        <w:rPr>
          <w:rFonts w:ascii="Times New Roman" w:hAnsi="Times New Roman" w:cs="Times New Roman"/>
          <w:sz w:val="24"/>
          <w:szCs w:val="24"/>
          <w:lang w:val="en-GB"/>
        </w:rPr>
        <w:t>n this case</w:t>
      </w:r>
      <w:r w:rsidR="00BE1E73" w:rsidRPr="00875EC2">
        <w:rPr>
          <w:rFonts w:ascii="Times New Roman" w:hAnsi="Times New Roman" w:cs="Times New Roman"/>
          <w:sz w:val="24"/>
          <w:szCs w:val="24"/>
          <w:lang w:val="en-GB"/>
        </w:rPr>
        <w:t xml:space="preserve"> only</w:t>
      </w:r>
      <w:r w:rsidR="00286DE9" w:rsidRPr="00875EC2">
        <w:rPr>
          <w:rFonts w:ascii="Times New Roman" w:hAnsi="Times New Roman" w:cs="Times New Roman"/>
          <w:sz w:val="24"/>
          <w:szCs w:val="24"/>
          <w:lang w:val="en-GB"/>
        </w:rPr>
        <w:t>, in fact</w:t>
      </w:r>
      <w:r w:rsidR="000C4E77" w:rsidRPr="00875EC2">
        <w:rPr>
          <w:rFonts w:ascii="Times New Roman" w:hAnsi="Times New Roman" w:cs="Times New Roman"/>
          <w:sz w:val="24"/>
          <w:szCs w:val="24"/>
          <w:lang w:val="en-GB"/>
        </w:rPr>
        <w:t xml:space="preserve">, “it is consistent for an utterance to have both a singular content and an existential truth condition.” In his </w:t>
      </w:r>
      <w:r w:rsidR="00E844A5">
        <w:rPr>
          <w:rFonts w:ascii="Times New Roman" w:hAnsi="Times New Roman" w:cs="Times New Roman"/>
          <w:sz w:val="24"/>
          <w:szCs w:val="24"/>
          <w:lang w:val="en-GB"/>
        </w:rPr>
        <w:t>chapter</w:t>
      </w:r>
      <w:r w:rsidR="000C4E77" w:rsidRPr="00875EC2">
        <w:rPr>
          <w:rFonts w:ascii="Times New Roman" w:hAnsi="Times New Roman" w:cs="Times New Roman"/>
          <w:sz w:val="24"/>
          <w:szCs w:val="24"/>
          <w:lang w:val="en-GB"/>
        </w:rPr>
        <w:t xml:space="preserve">, Cumming defends both </w:t>
      </w:r>
      <w:r w:rsidR="003078D7" w:rsidRPr="00875EC2">
        <w:rPr>
          <w:rFonts w:ascii="Times New Roman" w:hAnsi="Times New Roman" w:cs="Times New Roman"/>
          <w:sz w:val="24"/>
          <w:szCs w:val="24"/>
          <w:lang w:val="en-GB"/>
        </w:rPr>
        <w:t>(</w:t>
      </w:r>
      <w:r w:rsidR="000C4E77" w:rsidRPr="00875EC2">
        <w:rPr>
          <w:rFonts w:ascii="Times New Roman" w:hAnsi="Times New Roman" w:cs="Times New Roman"/>
          <w:sz w:val="24"/>
          <w:szCs w:val="24"/>
          <w:lang w:val="en-GB"/>
        </w:rPr>
        <w:t>a</w:t>
      </w:r>
      <w:r w:rsidR="003078D7" w:rsidRPr="00875EC2">
        <w:rPr>
          <w:rFonts w:ascii="Times New Roman" w:hAnsi="Times New Roman" w:cs="Times New Roman"/>
          <w:sz w:val="24"/>
          <w:szCs w:val="24"/>
          <w:lang w:val="en-GB"/>
        </w:rPr>
        <w:t>)</w:t>
      </w:r>
      <w:r w:rsidR="000C4E77" w:rsidRPr="00875EC2">
        <w:rPr>
          <w:rFonts w:ascii="Times New Roman" w:hAnsi="Times New Roman" w:cs="Times New Roman"/>
          <w:sz w:val="24"/>
          <w:szCs w:val="24"/>
          <w:lang w:val="en-GB"/>
        </w:rPr>
        <w:t xml:space="preserve"> and </w:t>
      </w:r>
      <w:r w:rsidR="003078D7" w:rsidRPr="00875EC2">
        <w:rPr>
          <w:rFonts w:ascii="Times New Roman" w:hAnsi="Times New Roman" w:cs="Times New Roman"/>
          <w:sz w:val="24"/>
          <w:szCs w:val="24"/>
          <w:lang w:val="en-GB"/>
        </w:rPr>
        <w:t>(</w:t>
      </w:r>
      <w:r w:rsidR="000C4E77" w:rsidRPr="00875EC2">
        <w:rPr>
          <w:rFonts w:ascii="Times New Roman" w:hAnsi="Times New Roman" w:cs="Times New Roman"/>
          <w:sz w:val="24"/>
          <w:szCs w:val="24"/>
          <w:lang w:val="en-GB"/>
        </w:rPr>
        <w:t>b</w:t>
      </w:r>
      <w:r w:rsidR="003078D7" w:rsidRPr="00875EC2">
        <w:rPr>
          <w:rFonts w:ascii="Times New Roman" w:hAnsi="Times New Roman" w:cs="Times New Roman"/>
          <w:sz w:val="24"/>
          <w:szCs w:val="24"/>
          <w:lang w:val="en-GB"/>
        </w:rPr>
        <w:t>)</w:t>
      </w:r>
      <w:r w:rsidR="000C4E77" w:rsidRPr="00875EC2">
        <w:rPr>
          <w:rFonts w:ascii="Times New Roman" w:hAnsi="Times New Roman" w:cs="Times New Roman"/>
          <w:sz w:val="24"/>
          <w:szCs w:val="24"/>
          <w:lang w:val="en-GB"/>
        </w:rPr>
        <w:t xml:space="preserve">. He claims that </w:t>
      </w:r>
      <w:r w:rsidR="003078D7" w:rsidRPr="00875EC2">
        <w:rPr>
          <w:rFonts w:ascii="Times New Roman" w:hAnsi="Times New Roman" w:cs="Times New Roman"/>
          <w:sz w:val="24"/>
          <w:szCs w:val="24"/>
          <w:lang w:val="en-GB"/>
        </w:rPr>
        <w:t>(</w:t>
      </w:r>
      <w:r w:rsidR="000C4E77" w:rsidRPr="00875EC2">
        <w:rPr>
          <w:rFonts w:ascii="Times New Roman" w:hAnsi="Times New Roman" w:cs="Times New Roman"/>
          <w:sz w:val="24"/>
          <w:szCs w:val="24"/>
          <w:lang w:val="en-GB"/>
        </w:rPr>
        <w:t>b</w:t>
      </w:r>
      <w:r w:rsidR="003078D7" w:rsidRPr="00875EC2">
        <w:rPr>
          <w:rFonts w:ascii="Times New Roman" w:hAnsi="Times New Roman" w:cs="Times New Roman"/>
          <w:sz w:val="24"/>
          <w:szCs w:val="24"/>
          <w:lang w:val="en-GB"/>
        </w:rPr>
        <w:t>)</w:t>
      </w:r>
      <w:r w:rsidR="000C4E77" w:rsidRPr="00875EC2">
        <w:rPr>
          <w:rFonts w:ascii="Times New Roman" w:hAnsi="Times New Roman" w:cs="Times New Roman"/>
          <w:sz w:val="24"/>
          <w:szCs w:val="24"/>
          <w:lang w:val="en-GB"/>
        </w:rPr>
        <w:t xml:space="preserve"> “is supported by our truth-conditional intuitions,” according to which “‘An </w:t>
      </w:r>
      <w:r w:rsidR="000C4E77" w:rsidRPr="00875EC2">
        <w:rPr>
          <w:rFonts w:ascii="Times New Roman" w:hAnsi="Times New Roman" w:cs="Times New Roman"/>
          <w:i/>
          <w:sz w:val="24"/>
          <w:szCs w:val="24"/>
          <w:lang w:val="en-GB"/>
        </w:rPr>
        <w:t>F</w:t>
      </w:r>
      <w:r w:rsidR="000C4E77" w:rsidRPr="00875EC2">
        <w:rPr>
          <w:rFonts w:ascii="Times New Roman" w:hAnsi="Times New Roman" w:cs="Times New Roman"/>
          <w:sz w:val="24"/>
          <w:szCs w:val="24"/>
          <w:lang w:val="en-GB"/>
        </w:rPr>
        <w:t xml:space="preserve"> is </w:t>
      </w:r>
      <w:r w:rsidR="000C4E77" w:rsidRPr="00875EC2">
        <w:rPr>
          <w:rFonts w:ascii="Times New Roman" w:hAnsi="Times New Roman" w:cs="Times New Roman"/>
          <w:i/>
          <w:sz w:val="24"/>
          <w:szCs w:val="24"/>
          <w:lang w:val="en-GB"/>
        </w:rPr>
        <w:t>G</w:t>
      </w:r>
      <w:r w:rsidR="000C4E77" w:rsidRPr="00875EC2">
        <w:rPr>
          <w:rFonts w:ascii="Times New Roman" w:hAnsi="Times New Roman" w:cs="Times New Roman"/>
          <w:sz w:val="24"/>
          <w:szCs w:val="24"/>
          <w:lang w:val="en-GB"/>
        </w:rPr>
        <w:t xml:space="preserve">’ is true just in case the things that are </w:t>
      </w:r>
      <w:r w:rsidR="000C4E77" w:rsidRPr="00875EC2">
        <w:rPr>
          <w:rFonts w:ascii="Times New Roman" w:hAnsi="Times New Roman" w:cs="Times New Roman"/>
          <w:i/>
          <w:sz w:val="24"/>
          <w:szCs w:val="24"/>
          <w:lang w:val="en-GB"/>
        </w:rPr>
        <w:t>F</w:t>
      </w:r>
      <w:r w:rsidR="000C4E77" w:rsidRPr="00875EC2">
        <w:rPr>
          <w:rFonts w:ascii="Times New Roman" w:hAnsi="Times New Roman" w:cs="Times New Roman"/>
          <w:sz w:val="24"/>
          <w:szCs w:val="24"/>
          <w:lang w:val="en-GB"/>
        </w:rPr>
        <w:t xml:space="preserve"> and the things that are </w:t>
      </w:r>
      <w:r w:rsidR="000C4E77" w:rsidRPr="00875EC2">
        <w:rPr>
          <w:rFonts w:ascii="Times New Roman" w:hAnsi="Times New Roman" w:cs="Times New Roman"/>
          <w:i/>
          <w:sz w:val="24"/>
          <w:szCs w:val="24"/>
          <w:lang w:val="en-GB"/>
        </w:rPr>
        <w:t>G</w:t>
      </w:r>
      <w:r w:rsidR="000C4E77" w:rsidRPr="00875EC2">
        <w:rPr>
          <w:rFonts w:ascii="Times New Roman" w:hAnsi="Times New Roman" w:cs="Times New Roman"/>
          <w:sz w:val="24"/>
          <w:szCs w:val="24"/>
          <w:lang w:val="en-GB"/>
        </w:rPr>
        <w:t xml:space="preserve"> overlap,” and is in fact accepted by most semanticists. </w:t>
      </w:r>
      <w:r w:rsidR="00257EF4" w:rsidRPr="00875EC2">
        <w:rPr>
          <w:rFonts w:ascii="Times New Roman" w:hAnsi="Times New Roman" w:cs="Times New Roman"/>
          <w:sz w:val="24"/>
          <w:szCs w:val="24"/>
          <w:lang w:val="en-GB"/>
        </w:rPr>
        <w:t>Cumming spen</w:t>
      </w:r>
      <w:r w:rsidR="00E844A5">
        <w:rPr>
          <w:rFonts w:ascii="Times New Roman" w:hAnsi="Times New Roman" w:cs="Times New Roman"/>
          <w:sz w:val="24"/>
          <w:szCs w:val="24"/>
          <w:lang w:val="en-GB"/>
        </w:rPr>
        <w:t>ds more time in arguing in favo</w:t>
      </w:r>
      <w:r w:rsidR="00257EF4" w:rsidRPr="00875EC2">
        <w:rPr>
          <w:rFonts w:ascii="Times New Roman" w:hAnsi="Times New Roman" w:cs="Times New Roman"/>
          <w:sz w:val="24"/>
          <w:szCs w:val="24"/>
          <w:lang w:val="en-GB"/>
        </w:rPr>
        <w:t xml:space="preserve">r of </w:t>
      </w:r>
      <w:r w:rsidR="003078D7" w:rsidRPr="00875EC2">
        <w:rPr>
          <w:rFonts w:ascii="Times New Roman" w:hAnsi="Times New Roman" w:cs="Times New Roman"/>
          <w:sz w:val="24"/>
          <w:szCs w:val="24"/>
          <w:lang w:val="en-GB"/>
        </w:rPr>
        <w:t>(</w:t>
      </w:r>
      <w:r w:rsidR="00257EF4" w:rsidRPr="00875EC2">
        <w:rPr>
          <w:rFonts w:ascii="Times New Roman" w:hAnsi="Times New Roman" w:cs="Times New Roman"/>
          <w:sz w:val="24"/>
          <w:szCs w:val="24"/>
          <w:lang w:val="en-GB"/>
        </w:rPr>
        <w:t>a</w:t>
      </w:r>
      <w:r w:rsidR="003078D7" w:rsidRPr="00875EC2">
        <w:rPr>
          <w:rFonts w:ascii="Times New Roman" w:hAnsi="Times New Roman" w:cs="Times New Roman"/>
          <w:sz w:val="24"/>
          <w:szCs w:val="24"/>
          <w:lang w:val="en-GB"/>
        </w:rPr>
        <w:t>)</w:t>
      </w:r>
      <w:r w:rsidR="00257EF4" w:rsidRPr="00875EC2">
        <w:rPr>
          <w:rFonts w:ascii="Times New Roman" w:hAnsi="Times New Roman" w:cs="Times New Roman"/>
          <w:sz w:val="24"/>
          <w:szCs w:val="24"/>
          <w:lang w:val="en-GB"/>
        </w:rPr>
        <w:t xml:space="preserve">. In particular, he shows that “indefinites carry a requirement of </w:t>
      </w:r>
      <w:r w:rsidR="00257EF4" w:rsidRPr="00875EC2">
        <w:rPr>
          <w:rFonts w:ascii="Times New Roman" w:hAnsi="Times New Roman" w:cs="Times New Roman"/>
          <w:i/>
          <w:sz w:val="24"/>
          <w:szCs w:val="24"/>
          <w:lang w:val="en-GB"/>
        </w:rPr>
        <w:t>epistemic specificity</w:t>
      </w:r>
      <w:r w:rsidR="00257EF4" w:rsidRPr="00875EC2">
        <w:rPr>
          <w:rFonts w:ascii="Times New Roman" w:hAnsi="Times New Roman" w:cs="Times New Roman"/>
          <w:sz w:val="24"/>
          <w:szCs w:val="24"/>
          <w:lang w:val="en-GB"/>
        </w:rPr>
        <w:t xml:space="preserve">” and claims that </w:t>
      </w:r>
      <w:r w:rsidR="00E4448B" w:rsidRPr="00875EC2">
        <w:rPr>
          <w:rFonts w:ascii="Times New Roman" w:hAnsi="Times New Roman" w:cs="Times New Roman"/>
          <w:sz w:val="24"/>
          <w:szCs w:val="24"/>
          <w:lang w:val="en-GB"/>
        </w:rPr>
        <w:t xml:space="preserve">this requirement, which he characterizes by using the now fashionable theoretical apparatus of </w:t>
      </w:r>
      <w:r w:rsidR="00E4448B" w:rsidRPr="00875EC2">
        <w:rPr>
          <w:rFonts w:ascii="Times New Roman" w:hAnsi="Times New Roman" w:cs="Times New Roman"/>
          <w:i/>
          <w:sz w:val="24"/>
          <w:szCs w:val="24"/>
          <w:lang w:val="en-GB"/>
        </w:rPr>
        <w:t>mental files</w:t>
      </w:r>
      <w:r w:rsidR="00E4448B" w:rsidRPr="00875EC2">
        <w:rPr>
          <w:rFonts w:ascii="Times New Roman" w:hAnsi="Times New Roman" w:cs="Times New Roman"/>
          <w:sz w:val="24"/>
          <w:szCs w:val="24"/>
          <w:lang w:val="en-GB"/>
        </w:rPr>
        <w:t>, “is a hall</w:t>
      </w:r>
      <w:r w:rsidR="00257EF4" w:rsidRPr="00875EC2">
        <w:rPr>
          <w:rFonts w:ascii="Times New Roman" w:hAnsi="Times New Roman" w:cs="Times New Roman"/>
          <w:sz w:val="24"/>
          <w:szCs w:val="24"/>
          <w:lang w:val="en-GB"/>
        </w:rPr>
        <w:t>mark of referring expressions.” The resulting pi</w:t>
      </w:r>
      <w:r w:rsidR="00E4448B" w:rsidRPr="00875EC2">
        <w:rPr>
          <w:rFonts w:ascii="Times New Roman" w:hAnsi="Times New Roman" w:cs="Times New Roman"/>
          <w:sz w:val="24"/>
          <w:szCs w:val="24"/>
          <w:lang w:val="en-GB"/>
        </w:rPr>
        <w:t xml:space="preserve">cture is the following: an utterance of, e.g., “A woman came to my office today” transmits a proposition about a particular woman the speaker has in mind, “[y]et the utterance can be true without that proposition holding at the relevant circumstance of evaluation,” since it is sufficient for it to be true that a woman, </w:t>
      </w:r>
      <w:r w:rsidR="00E4448B" w:rsidRPr="00875EC2">
        <w:rPr>
          <w:rFonts w:ascii="Times New Roman" w:hAnsi="Times New Roman" w:cs="Times New Roman"/>
          <w:i/>
          <w:sz w:val="24"/>
          <w:szCs w:val="24"/>
          <w:lang w:val="en-GB"/>
        </w:rPr>
        <w:t>no matter which</w:t>
      </w:r>
      <w:r w:rsidR="00E4448B" w:rsidRPr="00875EC2">
        <w:rPr>
          <w:rFonts w:ascii="Times New Roman" w:hAnsi="Times New Roman" w:cs="Times New Roman"/>
          <w:sz w:val="24"/>
          <w:szCs w:val="24"/>
          <w:lang w:val="en-GB"/>
        </w:rPr>
        <w:t xml:space="preserve">, visited the speaker’s office on the day of the utterance. </w:t>
      </w:r>
      <w:r w:rsidR="00675E91" w:rsidRPr="00875EC2">
        <w:rPr>
          <w:rFonts w:ascii="Times New Roman" w:hAnsi="Times New Roman" w:cs="Times New Roman"/>
          <w:sz w:val="24"/>
          <w:szCs w:val="24"/>
          <w:lang w:val="en-GB"/>
        </w:rPr>
        <w:t>In the final section of his</w:t>
      </w:r>
      <w:r w:rsidR="00E844A5">
        <w:rPr>
          <w:rFonts w:ascii="Times New Roman" w:hAnsi="Times New Roman" w:cs="Times New Roman"/>
          <w:sz w:val="24"/>
          <w:szCs w:val="24"/>
          <w:lang w:val="en-GB"/>
        </w:rPr>
        <w:t xml:space="preserve"> chapter</w:t>
      </w:r>
      <w:r w:rsidR="00DC7E0F" w:rsidRPr="00875EC2">
        <w:rPr>
          <w:rFonts w:ascii="Times New Roman" w:hAnsi="Times New Roman" w:cs="Times New Roman"/>
          <w:sz w:val="24"/>
          <w:szCs w:val="24"/>
          <w:lang w:val="en-GB"/>
        </w:rPr>
        <w:t xml:space="preserve">, Cumming tries to make this sound less counter-intuitive by sketching “a novel view of the relation between semantic content and truth.” In particular, what needs to be realized is that “it’s possible to secure reference through </w:t>
      </w:r>
      <w:r w:rsidR="00DC7E0F" w:rsidRPr="00875EC2">
        <w:rPr>
          <w:rFonts w:ascii="Times New Roman" w:hAnsi="Times New Roman" w:cs="Times New Roman"/>
          <w:i/>
          <w:sz w:val="24"/>
          <w:szCs w:val="24"/>
          <w:lang w:val="en-GB"/>
        </w:rPr>
        <w:t>private commitment</w:t>
      </w:r>
      <w:r w:rsidR="00DC7E0F" w:rsidRPr="00875EC2">
        <w:rPr>
          <w:rFonts w:ascii="Times New Roman" w:hAnsi="Times New Roman" w:cs="Times New Roman"/>
          <w:sz w:val="24"/>
          <w:szCs w:val="24"/>
          <w:lang w:val="en-GB"/>
        </w:rPr>
        <w:t xml:space="preserve">”: “when passing on new reference, a speaker must privately commit to a referent, but </w:t>
      </w:r>
      <w:r w:rsidR="00CD075C" w:rsidRPr="00875EC2">
        <w:rPr>
          <w:rFonts w:ascii="Times New Roman" w:hAnsi="Times New Roman" w:cs="Times New Roman"/>
          <w:sz w:val="24"/>
          <w:szCs w:val="24"/>
          <w:lang w:val="en-GB"/>
        </w:rPr>
        <w:t>is not in a position to publicly ratify that commitment.”</w:t>
      </w:r>
      <w:r w:rsidR="00012933">
        <w:rPr>
          <w:rFonts w:ascii="Times New Roman" w:hAnsi="Times New Roman" w:cs="Times New Roman"/>
          <w:sz w:val="24"/>
          <w:szCs w:val="24"/>
          <w:lang w:val="en-GB"/>
        </w:rPr>
        <w:t xml:space="preserve"> In contrast</w:t>
      </w:r>
      <w:r w:rsidR="00CD075C" w:rsidRPr="00875EC2">
        <w:rPr>
          <w:rFonts w:ascii="Times New Roman" w:hAnsi="Times New Roman" w:cs="Times New Roman"/>
          <w:sz w:val="24"/>
          <w:szCs w:val="24"/>
          <w:lang w:val="en-GB"/>
        </w:rPr>
        <w:t>, “truth conditions are a sort of public commitment”: “roughly speaking, an utterance is true if things are the way the speaker’s utterance publicly commits to them being, and false if they are not.” But, “</w:t>
      </w:r>
      <w:r w:rsidR="00CD075C" w:rsidRPr="00875EC2">
        <w:rPr>
          <w:rFonts w:ascii="Times New Roman" w:hAnsi="Times New Roman" w:cs="Times New Roman"/>
          <w:sz w:val="24"/>
          <w:szCs w:val="24"/>
        </w:rPr>
        <w:t>[i]f passing on new reference is a seman</w:t>
      </w:r>
      <w:r w:rsidR="00506980">
        <w:rPr>
          <w:rFonts w:ascii="Times New Roman" w:hAnsi="Times New Roman" w:cs="Times New Roman"/>
          <w:sz w:val="24"/>
          <w:szCs w:val="24"/>
        </w:rPr>
        <w:t xml:space="preserve">tic function of some expression </w:t>
      </w:r>
      <w:r w:rsidR="00CD075C" w:rsidRPr="00875EC2">
        <w:rPr>
          <w:rFonts w:ascii="Times New Roman" w:hAnsi="Times New Roman" w:cs="Times New Roman"/>
          <w:sz w:val="24"/>
          <w:szCs w:val="24"/>
        </w:rPr>
        <w:t>type [e.g., indefinites], then utterances containing expressions of that type will have referential, or object-containing, semantic contents, yet will eschew public commitment to the referent, and so will fail to have object-dependent truth condition</w:t>
      </w:r>
      <w:r w:rsidR="00D01111">
        <w:rPr>
          <w:rFonts w:ascii="Times New Roman" w:hAnsi="Times New Roman" w:cs="Times New Roman"/>
          <w:sz w:val="24"/>
          <w:szCs w:val="24"/>
        </w:rPr>
        <w:t>s</w:t>
      </w:r>
      <w:r w:rsidR="00CD075C" w:rsidRPr="00875EC2">
        <w:rPr>
          <w:rFonts w:ascii="Times New Roman" w:hAnsi="Times New Roman" w:cs="Times New Roman"/>
          <w:sz w:val="24"/>
          <w:szCs w:val="24"/>
        </w:rPr>
        <w:t xml:space="preserve">.” In fact, </w:t>
      </w:r>
      <w:r w:rsidR="003E5CDA" w:rsidRPr="00875EC2">
        <w:rPr>
          <w:rFonts w:ascii="Times New Roman" w:hAnsi="Times New Roman" w:cs="Times New Roman"/>
          <w:sz w:val="24"/>
          <w:szCs w:val="24"/>
        </w:rPr>
        <w:t xml:space="preserve">Cumming concludes, </w:t>
      </w:r>
      <w:r w:rsidR="00CD075C" w:rsidRPr="00875EC2">
        <w:rPr>
          <w:rFonts w:ascii="Times New Roman" w:hAnsi="Times New Roman" w:cs="Times New Roman"/>
          <w:sz w:val="24"/>
          <w:szCs w:val="24"/>
        </w:rPr>
        <w:t xml:space="preserve">“it is only with expressions that refer by means of </w:t>
      </w:r>
      <w:r w:rsidR="00192F5C" w:rsidRPr="00875EC2">
        <w:rPr>
          <w:rFonts w:ascii="Times New Roman" w:hAnsi="Times New Roman" w:cs="Times New Roman"/>
          <w:sz w:val="24"/>
          <w:szCs w:val="24"/>
        </w:rPr>
        <w:t>public commitment [e.g., definites] –</w:t>
      </w:r>
      <w:r w:rsidR="00CD075C" w:rsidRPr="00875EC2">
        <w:rPr>
          <w:rFonts w:ascii="Times New Roman" w:hAnsi="Times New Roman" w:cs="Times New Roman"/>
          <w:sz w:val="24"/>
          <w:szCs w:val="24"/>
        </w:rPr>
        <w:t xml:space="preserve"> that is t</w:t>
      </w:r>
      <w:r w:rsidR="00192F5C" w:rsidRPr="00875EC2">
        <w:rPr>
          <w:rFonts w:ascii="Times New Roman" w:hAnsi="Times New Roman" w:cs="Times New Roman"/>
          <w:sz w:val="24"/>
          <w:szCs w:val="24"/>
        </w:rPr>
        <w:t>o say, devices of coordination –</w:t>
      </w:r>
      <w:r w:rsidR="00CD075C" w:rsidRPr="00875EC2">
        <w:rPr>
          <w:rFonts w:ascii="Times New Roman" w:hAnsi="Times New Roman" w:cs="Times New Roman"/>
          <w:sz w:val="24"/>
          <w:szCs w:val="24"/>
        </w:rPr>
        <w:t xml:space="preserve"> that semantic</w:t>
      </w:r>
      <w:r w:rsidR="00192F5C" w:rsidRPr="00875EC2">
        <w:rPr>
          <w:rFonts w:ascii="Times New Roman" w:hAnsi="Times New Roman" w:cs="Times New Roman"/>
          <w:sz w:val="24"/>
          <w:szCs w:val="24"/>
        </w:rPr>
        <w:t xml:space="preserve"> </w:t>
      </w:r>
      <w:r w:rsidR="00CD075C" w:rsidRPr="00875EC2">
        <w:rPr>
          <w:rFonts w:ascii="Times New Roman" w:hAnsi="Times New Roman" w:cs="Times New Roman"/>
          <w:sz w:val="24"/>
          <w:szCs w:val="24"/>
        </w:rPr>
        <w:t>content and truth condition will coincide</w:t>
      </w:r>
      <w:r w:rsidR="00192F5C" w:rsidRPr="00875EC2">
        <w:rPr>
          <w:rFonts w:ascii="Times New Roman" w:hAnsi="Times New Roman" w:cs="Times New Roman"/>
          <w:sz w:val="24"/>
          <w:szCs w:val="24"/>
        </w:rPr>
        <w:t>.”</w:t>
      </w:r>
    </w:p>
    <w:p w:rsidR="002A452F" w:rsidRPr="00875EC2" w:rsidRDefault="00E844A5" w:rsidP="002A452F">
      <w:pPr>
        <w:spacing w:after="0" w:line="480" w:lineRule="auto"/>
        <w:ind w:firstLine="340"/>
        <w:rPr>
          <w:rFonts w:ascii="Times New Roman" w:eastAsia="Times New Roman" w:hAnsi="Times New Roman" w:cs="Times New Roman"/>
          <w:sz w:val="24"/>
          <w:szCs w:val="24"/>
          <w:lang w:eastAsia="ar-SA"/>
        </w:rPr>
      </w:pPr>
      <w:r>
        <w:rPr>
          <w:rFonts w:ascii="Times New Roman" w:hAnsi="Times New Roman" w:cs="Times New Roman"/>
          <w:sz w:val="24"/>
          <w:szCs w:val="24"/>
        </w:rPr>
        <w:t>In their rich chapter</w:t>
      </w:r>
      <w:r w:rsidR="00D70B0F" w:rsidRPr="00875EC2">
        <w:rPr>
          <w:rFonts w:ascii="Times New Roman" w:hAnsi="Times New Roman" w:cs="Times New Roman"/>
          <w:sz w:val="24"/>
          <w:szCs w:val="24"/>
        </w:rPr>
        <w:t xml:space="preserve"> (“</w:t>
      </w:r>
      <w:r>
        <w:rPr>
          <w:rFonts w:ascii="Times New Roman" w:hAnsi="Times New Roman" w:cs="Times New Roman"/>
          <w:iCs/>
          <w:sz w:val="24"/>
          <w:szCs w:val="24"/>
        </w:rPr>
        <w:t>A Unified Treatment of (Pro-)</w:t>
      </w:r>
      <w:r w:rsidR="00D70B0F" w:rsidRPr="00875EC2">
        <w:rPr>
          <w:rFonts w:ascii="Times New Roman" w:hAnsi="Times New Roman" w:cs="Times New Roman"/>
          <w:iCs/>
          <w:sz w:val="24"/>
          <w:szCs w:val="24"/>
        </w:rPr>
        <w:t>Nominals in Ordinary English”)</w:t>
      </w:r>
      <w:r w:rsidR="00D70B0F" w:rsidRPr="00875EC2">
        <w:rPr>
          <w:rFonts w:ascii="Times New Roman" w:hAnsi="Times New Roman" w:cs="Times New Roman"/>
          <w:sz w:val="24"/>
          <w:szCs w:val="24"/>
        </w:rPr>
        <w:t>, Almog, Paul Nichols</w:t>
      </w:r>
      <w:r>
        <w:rPr>
          <w:rFonts w:ascii="Times New Roman" w:hAnsi="Times New Roman" w:cs="Times New Roman"/>
          <w:sz w:val="24"/>
          <w:szCs w:val="24"/>
        </w:rPr>
        <w:t>,</w:t>
      </w:r>
      <w:r w:rsidR="00D70B0F" w:rsidRPr="00875EC2">
        <w:rPr>
          <w:rFonts w:ascii="Times New Roman" w:hAnsi="Times New Roman" w:cs="Times New Roman"/>
          <w:sz w:val="24"/>
          <w:szCs w:val="24"/>
        </w:rPr>
        <w:t xml:space="preserve"> and Jessica Pepp address foundational issues in semantics by focusing on the case of pronouns.</w:t>
      </w:r>
      <w:r w:rsidR="00350D77" w:rsidRPr="00875EC2">
        <w:rPr>
          <w:rFonts w:ascii="Times New Roman" w:hAnsi="Times New Roman" w:cs="Times New Roman"/>
          <w:sz w:val="24"/>
          <w:szCs w:val="24"/>
        </w:rPr>
        <w:t xml:space="preserve"> They argue against what they call “the formalist program” in the</w:t>
      </w:r>
      <w:r w:rsidR="00D70B0F" w:rsidRPr="00875EC2">
        <w:rPr>
          <w:rFonts w:ascii="Times New Roman" w:hAnsi="Times New Roman" w:cs="Times New Roman"/>
          <w:sz w:val="24"/>
          <w:szCs w:val="24"/>
        </w:rPr>
        <w:t xml:space="preserve"> </w:t>
      </w:r>
      <w:r w:rsidR="00350D77" w:rsidRPr="00875EC2">
        <w:rPr>
          <w:rFonts w:ascii="Times New Roman" w:hAnsi="Times New Roman" w:cs="Times New Roman"/>
          <w:sz w:val="24"/>
          <w:szCs w:val="24"/>
        </w:rPr>
        <w:t>study of natural language semantics, which aims at a “reduction of English nominals and their generated pronouns to the variables and sentential operators of (generalized) quantificational languages and their model theories.” Indeed, “[f]ree variables and generalizing (first-order) quantification over the open sentence were key in Frege and Russell, and in Quine and Chomsky, and are still key all the way to Montague.” But, Almog, Nichols</w:t>
      </w:r>
      <w:r>
        <w:rPr>
          <w:rFonts w:ascii="Times New Roman" w:hAnsi="Times New Roman" w:cs="Times New Roman"/>
          <w:sz w:val="24"/>
          <w:szCs w:val="24"/>
        </w:rPr>
        <w:t>,</w:t>
      </w:r>
      <w:r w:rsidR="00350D77" w:rsidRPr="00875EC2">
        <w:rPr>
          <w:rFonts w:ascii="Times New Roman" w:hAnsi="Times New Roman" w:cs="Times New Roman"/>
          <w:sz w:val="24"/>
          <w:szCs w:val="24"/>
        </w:rPr>
        <w:t xml:space="preserve"> and Pepp claim, </w:t>
      </w:r>
      <w:r w:rsidR="00350D77" w:rsidRPr="00875EC2">
        <w:rPr>
          <w:rFonts w:ascii="Times New Roman" w:eastAsia="Times New Roman" w:hAnsi="Times New Roman" w:cs="Times New Roman"/>
          <w:sz w:val="24"/>
          <w:szCs w:val="24"/>
          <w:lang w:eastAsia="ar-SA"/>
        </w:rPr>
        <w:t xml:space="preserve">“[n]ouns, verbs, and adjectives are not open sentences”: “[o]pen sentences are devices of formal languages that involve </w:t>
      </w:r>
      <w:r w:rsidR="00350D77" w:rsidRPr="00875EC2">
        <w:rPr>
          <w:rFonts w:ascii="Times New Roman" w:eastAsia="Times New Roman" w:hAnsi="Times New Roman" w:cs="Times New Roman"/>
          <w:i/>
          <w:sz w:val="24"/>
          <w:szCs w:val="24"/>
          <w:lang w:eastAsia="ar-SA"/>
        </w:rPr>
        <w:t>variables</w:t>
      </w:r>
      <w:r w:rsidR="00350D77" w:rsidRPr="00875EC2">
        <w:rPr>
          <w:rFonts w:ascii="Times New Roman" w:eastAsia="Times New Roman" w:hAnsi="Times New Roman" w:cs="Times New Roman"/>
          <w:sz w:val="24"/>
          <w:szCs w:val="24"/>
          <w:lang w:eastAsia="ar-SA"/>
        </w:rPr>
        <w:t xml:space="preserve"> at the syntactic/combinatorial level, and the idea of </w:t>
      </w:r>
      <w:r w:rsidR="00350D77" w:rsidRPr="00875EC2">
        <w:rPr>
          <w:rFonts w:ascii="Times New Roman" w:eastAsia="Times New Roman" w:hAnsi="Times New Roman" w:cs="Times New Roman"/>
          <w:i/>
          <w:sz w:val="24"/>
          <w:szCs w:val="24"/>
          <w:lang w:eastAsia="ar-SA"/>
        </w:rPr>
        <w:t>satisfaction</w:t>
      </w:r>
      <w:r w:rsidR="00350D77" w:rsidRPr="00875EC2">
        <w:rPr>
          <w:rFonts w:ascii="Times New Roman" w:eastAsia="Times New Roman" w:hAnsi="Times New Roman" w:cs="Times New Roman"/>
          <w:sz w:val="24"/>
          <w:szCs w:val="24"/>
          <w:lang w:eastAsia="ar-SA"/>
        </w:rPr>
        <w:t xml:space="preserve"> at the correlated model-theoretic level,” and “[w]hen we look at the elemental parts of English – nouns, verbs, adjectives – no such technologies are involved.” For </w:t>
      </w:r>
      <w:r w:rsidR="003078D7" w:rsidRPr="00875EC2">
        <w:rPr>
          <w:rFonts w:ascii="Times New Roman" w:eastAsia="Times New Roman" w:hAnsi="Times New Roman" w:cs="Times New Roman"/>
          <w:sz w:val="24"/>
          <w:szCs w:val="24"/>
          <w:lang w:eastAsia="ar-SA"/>
        </w:rPr>
        <w:t>Almog, Nichols</w:t>
      </w:r>
      <w:r>
        <w:rPr>
          <w:rFonts w:ascii="Times New Roman" w:eastAsia="Times New Roman" w:hAnsi="Times New Roman" w:cs="Times New Roman"/>
          <w:sz w:val="24"/>
          <w:szCs w:val="24"/>
          <w:lang w:eastAsia="ar-SA"/>
        </w:rPr>
        <w:t>,</w:t>
      </w:r>
      <w:r w:rsidR="003078D7" w:rsidRPr="00875EC2">
        <w:rPr>
          <w:rFonts w:ascii="Times New Roman" w:eastAsia="Times New Roman" w:hAnsi="Times New Roman" w:cs="Times New Roman"/>
          <w:sz w:val="24"/>
          <w:szCs w:val="24"/>
          <w:lang w:eastAsia="ar-SA"/>
        </w:rPr>
        <w:t xml:space="preserve"> and Pepp</w:t>
      </w:r>
      <w:r w:rsidR="00350D77" w:rsidRPr="00875EC2">
        <w:rPr>
          <w:rFonts w:ascii="Times New Roman" w:eastAsia="Times New Roman" w:hAnsi="Times New Roman" w:cs="Times New Roman"/>
          <w:sz w:val="24"/>
          <w:szCs w:val="24"/>
          <w:lang w:eastAsia="ar-SA"/>
        </w:rPr>
        <w:t xml:space="preserve">, in particular, </w:t>
      </w:r>
      <w:r w:rsidR="008466FA" w:rsidRPr="00875EC2">
        <w:rPr>
          <w:rFonts w:ascii="Times New Roman" w:eastAsia="Times New Roman" w:hAnsi="Times New Roman" w:cs="Times New Roman"/>
          <w:sz w:val="24"/>
          <w:szCs w:val="24"/>
          <w:lang w:eastAsia="ar-SA"/>
        </w:rPr>
        <w:t xml:space="preserve">“there is no invisible level of logical form, with a split trinity of ‘deictic’ </w:t>
      </w:r>
      <w:r w:rsidR="008466FA" w:rsidRPr="00875EC2">
        <w:rPr>
          <w:rFonts w:ascii="Times New Roman" w:eastAsia="Times New Roman" w:hAnsi="Times New Roman" w:cs="Times New Roman"/>
          <w:i/>
          <w:sz w:val="24"/>
          <w:szCs w:val="24"/>
          <w:lang w:eastAsia="ar-SA"/>
        </w:rPr>
        <w:t>vs.</w:t>
      </w:r>
      <w:r w:rsidR="008466FA" w:rsidRPr="00875EC2">
        <w:rPr>
          <w:rFonts w:ascii="Times New Roman" w:eastAsia="Times New Roman" w:hAnsi="Times New Roman" w:cs="Times New Roman"/>
          <w:sz w:val="24"/>
          <w:szCs w:val="24"/>
          <w:lang w:eastAsia="ar-SA"/>
        </w:rPr>
        <w:t xml:space="preserve"> ‘anaphoric’ </w:t>
      </w:r>
      <w:r w:rsidR="008466FA" w:rsidRPr="00875EC2">
        <w:rPr>
          <w:rFonts w:ascii="Times New Roman" w:eastAsia="Times New Roman" w:hAnsi="Times New Roman" w:cs="Times New Roman"/>
          <w:i/>
          <w:sz w:val="24"/>
          <w:szCs w:val="24"/>
          <w:lang w:eastAsia="ar-SA"/>
        </w:rPr>
        <w:t>vs.</w:t>
      </w:r>
      <w:r w:rsidR="008466FA" w:rsidRPr="00875EC2">
        <w:rPr>
          <w:rFonts w:ascii="Times New Roman" w:eastAsia="Times New Roman" w:hAnsi="Times New Roman" w:cs="Times New Roman"/>
          <w:sz w:val="24"/>
          <w:szCs w:val="24"/>
          <w:lang w:eastAsia="ar-SA"/>
        </w:rPr>
        <w:t xml:space="preserve"> ‘bound’ (logically separate) words ‘he’; there is just the one and only visible English ‘he’ and it is always referential.” In fact, they hold that “pronouns are semantically uniform with the English nominals of which they are pro-forms,” and offer “two models of the semantics of English nominals, including the analysis of pronouns that follows from each.” Both models treat pronouns as “pro-forms of directly referential, nominal expressions.”</w:t>
      </w:r>
      <w:r w:rsidR="00A255D0" w:rsidRPr="00875EC2">
        <w:rPr>
          <w:rFonts w:ascii="Times New Roman" w:eastAsia="Times New Roman" w:hAnsi="Times New Roman" w:cs="Times New Roman"/>
          <w:sz w:val="24"/>
          <w:szCs w:val="24"/>
          <w:lang w:eastAsia="ar-SA"/>
        </w:rPr>
        <w:t xml:space="preserve"> According to the first model, “</w:t>
      </w:r>
      <w:r w:rsidR="00A255D0" w:rsidRPr="00875EC2">
        <w:rPr>
          <w:rFonts w:ascii="Times New Roman" w:eastAsia="Times New Roman" w:hAnsi="Times New Roman" w:cs="Times New Roman"/>
          <w:i/>
          <w:sz w:val="24"/>
          <w:szCs w:val="24"/>
          <w:lang w:eastAsia="ar-SA"/>
        </w:rPr>
        <w:t>complete</w:t>
      </w:r>
      <w:r w:rsidR="00A255D0" w:rsidRPr="00875EC2">
        <w:rPr>
          <w:rFonts w:ascii="Times New Roman" w:eastAsia="Times New Roman" w:hAnsi="Times New Roman" w:cs="Times New Roman"/>
          <w:sz w:val="24"/>
          <w:szCs w:val="24"/>
          <w:lang w:eastAsia="ar-SA"/>
        </w:rPr>
        <w:t xml:space="preserve"> noun phrases (‘the man in the window’</w:t>
      </w:r>
      <w:r w:rsidR="00F50330" w:rsidRPr="00875EC2">
        <w:rPr>
          <w:rFonts w:ascii="Times New Roman" w:eastAsia="Times New Roman" w:hAnsi="Times New Roman" w:cs="Times New Roman"/>
          <w:sz w:val="24"/>
          <w:szCs w:val="24"/>
          <w:lang w:eastAsia="ar-SA"/>
        </w:rPr>
        <w:t>) refer</w:t>
      </w:r>
      <w:r w:rsidR="00A255D0" w:rsidRPr="00875EC2">
        <w:rPr>
          <w:rFonts w:ascii="Times New Roman" w:eastAsia="Times New Roman" w:hAnsi="Times New Roman" w:cs="Times New Roman"/>
          <w:sz w:val="24"/>
          <w:szCs w:val="24"/>
          <w:lang w:eastAsia="ar-SA"/>
        </w:rPr>
        <w:t xml:space="preserve">” </w:t>
      </w:r>
      <w:r w:rsidR="00F50330" w:rsidRPr="00875EC2">
        <w:rPr>
          <w:rFonts w:ascii="Times New Roman" w:eastAsia="Times New Roman" w:hAnsi="Times New Roman" w:cs="Times New Roman"/>
          <w:sz w:val="24"/>
          <w:szCs w:val="24"/>
          <w:lang w:eastAsia="ar-SA"/>
        </w:rPr>
        <w:t>(hence, “</w:t>
      </w:r>
      <w:r w:rsidR="00A255D0" w:rsidRPr="00875EC2">
        <w:rPr>
          <w:rFonts w:ascii="Times New Roman" w:eastAsia="Times New Roman" w:hAnsi="Times New Roman" w:cs="Times New Roman"/>
          <w:sz w:val="24"/>
          <w:szCs w:val="24"/>
          <w:lang w:eastAsia="ar-SA"/>
        </w:rPr>
        <w:t xml:space="preserve">it would be more accurate to call pronouns </w:t>
      </w:r>
      <w:r w:rsidR="00A255D0" w:rsidRPr="00875EC2">
        <w:rPr>
          <w:rFonts w:ascii="Times New Roman" w:eastAsia="Times New Roman" w:hAnsi="Times New Roman" w:cs="Times New Roman"/>
          <w:i/>
          <w:sz w:val="24"/>
          <w:szCs w:val="24"/>
          <w:lang w:eastAsia="ar-SA"/>
        </w:rPr>
        <w:t>pro-noun phrases</w:t>
      </w:r>
      <w:r w:rsidR="00F50330" w:rsidRPr="00875EC2">
        <w:rPr>
          <w:rFonts w:ascii="Times New Roman" w:eastAsia="Times New Roman" w:hAnsi="Times New Roman" w:cs="Times New Roman"/>
          <w:sz w:val="24"/>
          <w:szCs w:val="24"/>
          <w:lang w:eastAsia="ar-SA"/>
        </w:rPr>
        <w:t>”)</w:t>
      </w:r>
      <w:r w:rsidR="00A255D0" w:rsidRPr="00875EC2">
        <w:rPr>
          <w:rFonts w:ascii="Times New Roman" w:eastAsia="Times New Roman" w:hAnsi="Times New Roman" w:cs="Times New Roman"/>
          <w:sz w:val="24"/>
          <w:szCs w:val="24"/>
          <w:lang w:eastAsia="ar-SA"/>
        </w:rPr>
        <w:t xml:space="preserve">. According to the second model, </w:t>
      </w:r>
      <w:r w:rsidR="00F50330" w:rsidRPr="00875EC2">
        <w:rPr>
          <w:rFonts w:ascii="Times New Roman" w:eastAsia="Times New Roman" w:hAnsi="Times New Roman" w:cs="Times New Roman"/>
          <w:sz w:val="24"/>
          <w:szCs w:val="24"/>
          <w:lang w:eastAsia="ar-SA"/>
        </w:rPr>
        <w:t>on the contrary, “</w:t>
      </w:r>
      <w:r w:rsidR="00A255D0" w:rsidRPr="00875EC2">
        <w:rPr>
          <w:rFonts w:ascii="Times New Roman" w:eastAsia="Times New Roman" w:hAnsi="Times New Roman" w:cs="Times New Roman"/>
          <w:sz w:val="24"/>
          <w:szCs w:val="24"/>
          <w:lang w:eastAsia="ar-SA"/>
        </w:rPr>
        <w:t xml:space="preserve">it is </w:t>
      </w:r>
      <w:r w:rsidR="00A255D0" w:rsidRPr="00875EC2">
        <w:rPr>
          <w:rFonts w:ascii="Times New Roman" w:eastAsia="Times New Roman" w:hAnsi="Times New Roman" w:cs="Times New Roman"/>
          <w:i/>
          <w:sz w:val="24"/>
          <w:szCs w:val="24"/>
          <w:lang w:eastAsia="ar-SA"/>
        </w:rPr>
        <w:t>nouns</w:t>
      </w:r>
      <w:r w:rsidR="00A255D0" w:rsidRPr="00875EC2">
        <w:rPr>
          <w:rFonts w:ascii="Times New Roman" w:eastAsia="Times New Roman" w:hAnsi="Times New Roman" w:cs="Times New Roman"/>
          <w:sz w:val="24"/>
          <w:szCs w:val="24"/>
          <w:lang w:eastAsia="ar-SA"/>
        </w:rPr>
        <w:t xml:space="preserve"> that refer (both common and proper), prior to being modified by adjectives or determiners</w:t>
      </w:r>
      <w:r w:rsidR="00F50330" w:rsidRPr="00875EC2">
        <w:rPr>
          <w:rFonts w:ascii="Times New Roman" w:eastAsia="Times New Roman" w:hAnsi="Times New Roman" w:cs="Times New Roman"/>
          <w:sz w:val="24"/>
          <w:szCs w:val="24"/>
          <w:lang w:eastAsia="ar-SA"/>
        </w:rPr>
        <w:t>,” and pronouns perform the</w:t>
      </w:r>
      <w:r w:rsidR="00BE1E73" w:rsidRPr="00875EC2">
        <w:rPr>
          <w:rFonts w:ascii="Times New Roman" w:eastAsia="Times New Roman" w:hAnsi="Times New Roman" w:cs="Times New Roman"/>
          <w:sz w:val="24"/>
          <w:szCs w:val="24"/>
          <w:lang w:eastAsia="ar-SA"/>
        </w:rPr>
        <w:t xml:space="preserve"> same semantic function as they do</w:t>
      </w:r>
      <w:r w:rsidR="00A255D0" w:rsidRPr="00875EC2">
        <w:rPr>
          <w:rFonts w:ascii="Times New Roman" w:eastAsia="Times New Roman" w:hAnsi="Times New Roman" w:cs="Times New Roman"/>
          <w:sz w:val="24"/>
          <w:szCs w:val="24"/>
          <w:lang w:eastAsia="ar-SA"/>
        </w:rPr>
        <w:t>.</w:t>
      </w:r>
      <w:r w:rsidR="004239C8" w:rsidRPr="00875EC2">
        <w:rPr>
          <w:rFonts w:ascii="Times New Roman" w:eastAsia="Times New Roman" w:hAnsi="Times New Roman" w:cs="Times New Roman"/>
          <w:sz w:val="24"/>
          <w:szCs w:val="24"/>
          <w:lang w:eastAsia="ar-SA"/>
        </w:rPr>
        <w:t xml:space="preserve"> Almog, Nichols</w:t>
      </w:r>
      <w:r>
        <w:rPr>
          <w:rFonts w:ascii="Times New Roman" w:eastAsia="Times New Roman" w:hAnsi="Times New Roman" w:cs="Times New Roman"/>
          <w:sz w:val="24"/>
          <w:szCs w:val="24"/>
          <w:lang w:eastAsia="ar-SA"/>
        </w:rPr>
        <w:t>,</w:t>
      </w:r>
      <w:r w:rsidR="004239C8" w:rsidRPr="00875EC2">
        <w:rPr>
          <w:rFonts w:ascii="Times New Roman" w:eastAsia="Times New Roman" w:hAnsi="Times New Roman" w:cs="Times New Roman"/>
          <w:sz w:val="24"/>
          <w:szCs w:val="24"/>
          <w:lang w:eastAsia="ar-SA"/>
        </w:rPr>
        <w:t xml:space="preserve"> and Pepp do not adjudicate between the two models. F</w:t>
      </w:r>
      <w:r w:rsidR="005A4EEB" w:rsidRPr="00875EC2">
        <w:rPr>
          <w:rFonts w:ascii="Times New Roman" w:eastAsia="Times New Roman" w:hAnsi="Times New Roman" w:cs="Times New Roman"/>
          <w:sz w:val="24"/>
          <w:szCs w:val="24"/>
          <w:lang w:eastAsia="ar-SA"/>
        </w:rPr>
        <w:t>rom their point of view, it</w:t>
      </w:r>
      <w:r w:rsidR="004239C8" w:rsidRPr="00875EC2">
        <w:rPr>
          <w:rFonts w:ascii="Times New Roman" w:eastAsia="Times New Roman" w:hAnsi="Times New Roman" w:cs="Times New Roman"/>
          <w:sz w:val="24"/>
          <w:szCs w:val="24"/>
          <w:lang w:eastAsia="ar-SA"/>
        </w:rPr>
        <w:t xml:space="preserve"> is </w:t>
      </w:r>
      <w:r w:rsidR="006B3841">
        <w:rPr>
          <w:rFonts w:ascii="Times New Roman" w:eastAsia="Times New Roman" w:hAnsi="Times New Roman" w:cs="Times New Roman"/>
          <w:sz w:val="24"/>
          <w:szCs w:val="24"/>
          <w:lang w:eastAsia="ar-SA"/>
        </w:rPr>
        <w:t>more important to highlight</w:t>
      </w:r>
      <w:r w:rsidR="004239C8" w:rsidRPr="00875EC2">
        <w:rPr>
          <w:rFonts w:ascii="Times New Roman" w:eastAsia="Times New Roman" w:hAnsi="Times New Roman" w:cs="Times New Roman"/>
          <w:sz w:val="24"/>
          <w:szCs w:val="24"/>
          <w:lang w:eastAsia="ar-SA"/>
        </w:rPr>
        <w:t xml:space="preserve"> what the two models have in common, namely that they treat </w:t>
      </w:r>
      <w:r w:rsidR="004239C8" w:rsidRPr="00875EC2">
        <w:rPr>
          <w:rFonts w:ascii="Times New Roman" w:eastAsia="Times New Roman" w:hAnsi="Times New Roman" w:cs="Times New Roman"/>
          <w:i/>
          <w:sz w:val="24"/>
          <w:szCs w:val="24"/>
          <w:lang w:eastAsia="ar-SA"/>
        </w:rPr>
        <w:t>all</w:t>
      </w:r>
      <w:r w:rsidR="004239C8" w:rsidRPr="00875EC2">
        <w:rPr>
          <w:rFonts w:ascii="Times New Roman" w:eastAsia="Times New Roman" w:hAnsi="Times New Roman" w:cs="Times New Roman"/>
          <w:sz w:val="24"/>
          <w:szCs w:val="24"/>
          <w:lang w:eastAsia="ar-SA"/>
        </w:rPr>
        <w:t xml:space="preserve"> pronouns as referential, no matter “whether they refer to demonstrated or salient entities, (co-)refer to entities referred to by whole noun phrases appearing in the sentence or discourse, or (co-)refer to entities referred to by proper or common nouns appearing in the sentence or discourse.” </w:t>
      </w:r>
      <w:r w:rsidR="005A4EEB" w:rsidRPr="00875EC2">
        <w:rPr>
          <w:rFonts w:ascii="Times New Roman" w:eastAsia="Times New Roman" w:hAnsi="Times New Roman" w:cs="Times New Roman"/>
          <w:sz w:val="24"/>
          <w:szCs w:val="24"/>
          <w:lang w:eastAsia="ar-SA"/>
        </w:rPr>
        <w:t>According to Almog, Nichols</w:t>
      </w:r>
      <w:r>
        <w:rPr>
          <w:rFonts w:ascii="Times New Roman" w:eastAsia="Times New Roman" w:hAnsi="Times New Roman" w:cs="Times New Roman"/>
          <w:sz w:val="24"/>
          <w:szCs w:val="24"/>
          <w:lang w:eastAsia="ar-SA"/>
        </w:rPr>
        <w:t>,</w:t>
      </w:r>
      <w:r w:rsidR="005A4EEB" w:rsidRPr="00875EC2">
        <w:rPr>
          <w:rFonts w:ascii="Times New Roman" w:eastAsia="Times New Roman" w:hAnsi="Times New Roman" w:cs="Times New Roman"/>
          <w:sz w:val="24"/>
          <w:szCs w:val="24"/>
          <w:lang w:eastAsia="ar-SA"/>
        </w:rPr>
        <w:t xml:space="preserve"> and Pepp, i</w:t>
      </w:r>
      <w:r w:rsidR="004239C8" w:rsidRPr="00875EC2">
        <w:rPr>
          <w:rFonts w:ascii="Times New Roman" w:eastAsia="Times New Roman" w:hAnsi="Times New Roman" w:cs="Times New Roman"/>
          <w:sz w:val="24"/>
          <w:szCs w:val="24"/>
          <w:lang w:eastAsia="ar-SA"/>
        </w:rPr>
        <w:t xml:space="preserve">n fact, </w:t>
      </w:r>
      <w:r w:rsidR="005A4EEB" w:rsidRPr="00875EC2">
        <w:rPr>
          <w:rFonts w:ascii="Times New Roman" w:eastAsia="Times New Roman" w:hAnsi="Times New Roman" w:cs="Times New Roman"/>
          <w:sz w:val="24"/>
          <w:szCs w:val="24"/>
          <w:lang w:eastAsia="ar-SA"/>
        </w:rPr>
        <w:t xml:space="preserve">“[t]here is </w:t>
      </w:r>
      <w:r w:rsidR="00506980">
        <w:rPr>
          <w:rFonts w:ascii="Times New Roman" w:eastAsia="Times New Roman" w:hAnsi="Times New Roman" w:cs="Times New Roman"/>
          <w:sz w:val="24"/>
          <w:szCs w:val="24"/>
          <w:lang w:eastAsia="ar-SA"/>
        </w:rPr>
        <w:t xml:space="preserve">… </w:t>
      </w:r>
      <w:r w:rsidR="005A4EEB" w:rsidRPr="00875EC2">
        <w:rPr>
          <w:rFonts w:ascii="Times New Roman" w:eastAsia="Times New Roman" w:hAnsi="Times New Roman" w:cs="Times New Roman"/>
          <w:sz w:val="24"/>
          <w:szCs w:val="24"/>
          <w:lang w:eastAsia="ar-SA"/>
        </w:rPr>
        <w:t xml:space="preserve">no syntactic distinction that marks a pronoun as anaphoric, and the process of determining whether or not a pronoun is anaphoric is precisely the process of identifying the referent.” Therefore, “[t]he ambiguity exhibited by pronouns is referential ambiguity, not scopal ambiguity.” Since “pronouns refer in virtue of causal-historical connections,” </w:t>
      </w:r>
      <w:r w:rsidR="00CC2E49" w:rsidRPr="00875EC2">
        <w:rPr>
          <w:rFonts w:ascii="Times New Roman" w:eastAsia="Times New Roman" w:hAnsi="Times New Roman" w:cs="Times New Roman"/>
          <w:sz w:val="24"/>
          <w:szCs w:val="24"/>
          <w:lang w:eastAsia="ar-SA"/>
        </w:rPr>
        <w:t>this referential ambiguity is only to be expected: the causal-historical connections in question are what Almog, Nichols</w:t>
      </w:r>
      <w:r>
        <w:rPr>
          <w:rFonts w:ascii="Times New Roman" w:eastAsia="Times New Roman" w:hAnsi="Times New Roman" w:cs="Times New Roman"/>
          <w:sz w:val="24"/>
          <w:szCs w:val="24"/>
          <w:lang w:eastAsia="ar-SA"/>
        </w:rPr>
        <w:t>,</w:t>
      </w:r>
      <w:r w:rsidR="00CC2E49" w:rsidRPr="00875EC2">
        <w:rPr>
          <w:rFonts w:ascii="Times New Roman" w:eastAsia="Times New Roman" w:hAnsi="Times New Roman" w:cs="Times New Roman"/>
          <w:sz w:val="24"/>
          <w:szCs w:val="24"/>
          <w:lang w:eastAsia="ar-SA"/>
        </w:rPr>
        <w:t xml:space="preserve"> and Pepp call “perceptual chains,” and “</w:t>
      </w:r>
      <w:r w:rsidR="00506980">
        <w:rPr>
          <w:rFonts w:ascii="Times New Roman" w:eastAsia="Times New Roman" w:hAnsi="Times New Roman" w:cs="Times New Roman"/>
          <w:sz w:val="24"/>
          <w:szCs w:val="24"/>
          <w:lang w:eastAsia="ar-SA"/>
        </w:rPr>
        <w:t>[</w:t>
      </w:r>
      <w:r w:rsidR="00CC2E49" w:rsidRPr="00875EC2">
        <w:rPr>
          <w:rFonts w:ascii="Times New Roman" w:eastAsia="Times New Roman" w:hAnsi="Times New Roman" w:cs="Times New Roman"/>
          <w:sz w:val="24"/>
          <w:szCs w:val="24"/>
          <w:lang w:eastAsia="ar-SA"/>
        </w:rPr>
        <w:t>a</w:t>
      </w:r>
      <w:r w:rsidR="00506980">
        <w:rPr>
          <w:rFonts w:ascii="Times New Roman" w:eastAsia="Times New Roman" w:hAnsi="Times New Roman" w:cs="Times New Roman"/>
          <w:sz w:val="24"/>
          <w:szCs w:val="24"/>
          <w:lang w:eastAsia="ar-SA"/>
        </w:rPr>
        <w:t>]</w:t>
      </w:r>
      <w:r w:rsidR="00CC2E49" w:rsidRPr="00875EC2">
        <w:rPr>
          <w:rFonts w:ascii="Times New Roman" w:eastAsia="Times New Roman" w:hAnsi="Times New Roman" w:cs="Times New Roman"/>
          <w:sz w:val="24"/>
          <w:szCs w:val="24"/>
          <w:lang w:eastAsia="ar-SA"/>
        </w:rPr>
        <w:t xml:space="preserve">ny link in a perceptual chain may be a joining of two perceptual chains, and any two perceptual chains that are joined may or may not reach back to the same object.” </w:t>
      </w:r>
      <w:r w:rsidR="002A452F" w:rsidRPr="00875EC2">
        <w:rPr>
          <w:rFonts w:ascii="Times New Roman" w:eastAsia="Times New Roman" w:hAnsi="Times New Roman" w:cs="Times New Roman"/>
          <w:sz w:val="24"/>
          <w:szCs w:val="24"/>
          <w:lang w:eastAsia="ar-SA"/>
        </w:rPr>
        <w:t xml:space="preserve">Thus, </w:t>
      </w:r>
      <w:r w:rsidR="00BE1E73" w:rsidRPr="00875EC2">
        <w:rPr>
          <w:rFonts w:ascii="Times New Roman" w:eastAsia="Times New Roman" w:hAnsi="Times New Roman" w:cs="Times New Roman"/>
          <w:sz w:val="24"/>
          <w:szCs w:val="24"/>
          <w:lang w:eastAsia="ar-SA"/>
        </w:rPr>
        <w:t>“</w:t>
      </w:r>
      <w:r w:rsidR="002A452F" w:rsidRPr="00875EC2">
        <w:rPr>
          <w:rFonts w:ascii="Times New Roman" w:eastAsia="Times New Roman" w:hAnsi="Times New Roman" w:cs="Times New Roman"/>
          <w:sz w:val="24"/>
          <w:szCs w:val="24"/>
          <w:lang w:eastAsia="ar-SA"/>
        </w:rPr>
        <w:t>what has traditionally been thought to be an ambiguity special to uses of pronouns (</w:t>
      </w:r>
      <w:r w:rsidR="002A452F" w:rsidRPr="00506980">
        <w:rPr>
          <w:rFonts w:ascii="Times New Roman" w:eastAsia="Times New Roman" w:hAnsi="Times New Roman" w:cs="Times New Roman"/>
          <w:sz w:val="24"/>
          <w:szCs w:val="24"/>
          <w:lang w:eastAsia="ar-SA"/>
        </w:rPr>
        <w:t>i.e.</w:t>
      </w:r>
      <w:r w:rsidR="002A452F" w:rsidRPr="00875EC2">
        <w:rPr>
          <w:rFonts w:ascii="Times New Roman" w:eastAsia="Times New Roman" w:hAnsi="Times New Roman" w:cs="Times New Roman"/>
          <w:sz w:val="24"/>
          <w:szCs w:val="24"/>
          <w:lang w:eastAsia="ar-SA"/>
        </w:rPr>
        <w:t xml:space="preserve">, deictic </w:t>
      </w:r>
      <w:r w:rsidR="002A452F" w:rsidRPr="00875EC2">
        <w:rPr>
          <w:rFonts w:ascii="Times New Roman" w:eastAsia="Times New Roman" w:hAnsi="Times New Roman" w:cs="Times New Roman"/>
          <w:i/>
          <w:sz w:val="24"/>
          <w:szCs w:val="24"/>
          <w:lang w:eastAsia="ar-SA"/>
        </w:rPr>
        <w:t>vs.</w:t>
      </w:r>
      <w:r w:rsidR="002A452F" w:rsidRPr="00875EC2">
        <w:rPr>
          <w:rFonts w:ascii="Times New Roman" w:eastAsia="Times New Roman" w:hAnsi="Times New Roman" w:cs="Times New Roman"/>
          <w:sz w:val="24"/>
          <w:szCs w:val="24"/>
          <w:lang w:eastAsia="ar-SA"/>
        </w:rPr>
        <w:t xml:space="preserve"> anaphoric </w:t>
      </w:r>
      <w:r w:rsidR="002A452F" w:rsidRPr="00875EC2">
        <w:rPr>
          <w:rFonts w:ascii="Times New Roman" w:eastAsia="Times New Roman" w:hAnsi="Times New Roman" w:cs="Times New Roman"/>
          <w:i/>
          <w:sz w:val="24"/>
          <w:szCs w:val="24"/>
          <w:lang w:eastAsia="ar-SA"/>
        </w:rPr>
        <w:t>vs.</w:t>
      </w:r>
      <w:r w:rsidR="002A452F" w:rsidRPr="00875EC2">
        <w:rPr>
          <w:rFonts w:ascii="Times New Roman" w:eastAsia="Times New Roman" w:hAnsi="Times New Roman" w:cs="Times New Roman"/>
          <w:sz w:val="24"/>
          <w:szCs w:val="24"/>
          <w:lang w:eastAsia="ar-SA"/>
        </w:rPr>
        <w:t xml:space="preserve"> bound) is just an instance of the ambiguity to which all uses of words are subject in virtue of being links in perceptual chains.” Indeed, “[t]his unified type of ambiguity explains the various readings that pronoun-involving sentences can have, without appeal to underlying logical forms displaying differences in variables or scopes.” What is more, </w:t>
      </w:r>
      <w:r w:rsidR="00A53F39" w:rsidRPr="00875EC2">
        <w:rPr>
          <w:rFonts w:ascii="Times New Roman" w:eastAsia="Times New Roman" w:hAnsi="Times New Roman" w:cs="Times New Roman"/>
          <w:sz w:val="24"/>
          <w:szCs w:val="24"/>
          <w:lang w:eastAsia="ar-SA"/>
        </w:rPr>
        <w:t>Almog, Nichols</w:t>
      </w:r>
      <w:r>
        <w:rPr>
          <w:rFonts w:ascii="Times New Roman" w:eastAsia="Times New Roman" w:hAnsi="Times New Roman" w:cs="Times New Roman"/>
          <w:sz w:val="24"/>
          <w:szCs w:val="24"/>
          <w:lang w:eastAsia="ar-SA"/>
        </w:rPr>
        <w:t>,</w:t>
      </w:r>
      <w:r w:rsidR="00A53F39" w:rsidRPr="00875EC2">
        <w:rPr>
          <w:rFonts w:ascii="Times New Roman" w:eastAsia="Times New Roman" w:hAnsi="Times New Roman" w:cs="Times New Roman"/>
          <w:sz w:val="24"/>
          <w:szCs w:val="24"/>
          <w:lang w:eastAsia="ar-SA"/>
        </w:rPr>
        <w:t xml:space="preserve"> and Pepp claim that </w:t>
      </w:r>
      <w:r w:rsidR="002A452F" w:rsidRPr="00875EC2">
        <w:rPr>
          <w:rFonts w:ascii="Times New Roman" w:eastAsia="Times New Roman" w:hAnsi="Times New Roman" w:cs="Times New Roman"/>
          <w:sz w:val="24"/>
          <w:szCs w:val="24"/>
          <w:lang w:eastAsia="ar-SA"/>
        </w:rPr>
        <w:t>“[this] unification of nouns and pronouns and [this] conception of semantics as a science of historical facts pave the way for another, more foundational, unification in the cognitive processing of information,” that is “the integration of linguistic reference and perception.”</w:t>
      </w:r>
      <w:r w:rsidR="00A53F39" w:rsidRPr="00875EC2">
        <w:rPr>
          <w:rFonts w:ascii="Times New Roman" w:eastAsia="Times New Roman" w:hAnsi="Times New Roman" w:cs="Times New Roman"/>
          <w:sz w:val="24"/>
          <w:szCs w:val="24"/>
          <w:lang w:eastAsia="ar-SA"/>
        </w:rPr>
        <w:t xml:space="preserve"> In fact, the role of both</w:t>
      </w:r>
      <w:r w:rsidR="002A452F" w:rsidRPr="00875EC2">
        <w:rPr>
          <w:rFonts w:ascii="Times New Roman" w:eastAsia="Times New Roman" w:hAnsi="Times New Roman" w:cs="Times New Roman"/>
          <w:sz w:val="24"/>
          <w:szCs w:val="24"/>
          <w:lang w:eastAsia="ar-SA"/>
        </w:rPr>
        <w:t xml:space="preserve"> nouns and pronouns</w:t>
      </w:r>
      <w:r w:rsidR="00A53F39" w:rsidRPr="00875EC2">
        <w:rPr>
          <w:rFonts w:ascii="Times New Roman" w:eastAsia="Times New Roman" w:hAnsi="Times New Roman" w:cs="Times New Roman"/>
          <w:sz w:val="24"/>
          <w:szCs w:val="24"/>
          <w:lang w:eastAsia="ar-SA"/>
        </w:rPr>
        <w:t>, and more in general of all words, is to “</w:t>
      </w:r>
      <w:r w:rsidR="002A452F" w:rsidRPr="00875EC2">
        <w:rPr>
          <w:rFonts w:ascii="Times New Roman" w:eastAsia="Times New Roman" w:hAnsi="Times New Roman" w:cs="Times New Roman"/>
          <w:sz w:val="24"/>
          <w:szCs w:val="24"/>
          <w:lang w:eastAsia="ar-SA"/>
        </w:rPr>
        <w:t xml:space="preserve">enhance perception beyond the local </w:t>
      </w:r>
      <w:r w:rsidR="00A53F39" w:rsidRPr="00875EC2">
        <w:rPr>
          <w:rFonts w:ascii="Times New Roman" w:eastAsia="Times New Roman" w:hAnsi="Times New Roman" w:cs="Times New Roman"/>
          <w:sz w:val="24"/>
          <w:szCs w:val="24"/>
          <w:lang w:eastAsia="ar-SA"/>
        </w:rPr>
        <w:t>neighborhood accessible to our ‘naked’</w:t>
      </w:r>
      <w:r w:rsidR="002A452F" w:rsidRPr="00875EC2">
        <w:rPr>
          <w:rFonts w:ascii="Times New Roman" w:eastAsia="Times New Roman" w:hAnsi="Times New Roman" w:cs="Times New Roman"/>
          <w:sz w:val="24"/>
          <w:szCs w:val="24"/>
          <w:lang w:eastAsia="ar-SA"/>
        </w:rPr>
        <w:t xml:space="preserve"> sense organs.</w:t>
      </w:r>
      <w:r w:rsidR="00A53F39" w:rsidRPr="00875EC2">
        <w:rPr>
          <w:rFonts w:ascii="Times New Roman" w:eastAsia="Times New Roman" w:hAnsi="Times New Roman" w:cs="Times New Roman"/>
          <w:sz w:val="24"/>
          <w:szCs w:val="24"/>
          <w:lang w:eastAsia="ar-SA"/>
        </w:rPr>
        <w:t>”</w:t>
      </w:r>
      <w:r w:rsidR="002A452F" w:rsidRPr="00875EC2">
        <w:rPr>
          <w:rFonts w:ascii="Times New Roman" w:eastAsia="Times New Roman" w:hAnsi="Times New Roman" w:cs="Times New Roman"/>
          <w:sz w:val="24"/>
          <w:szCs w:val="24"/>
          <w:lang w:eastAsia="ar-SA"/>
        </w:rPr>
        <w:t xml:space="preserve"> </w:t>
      </w:r>
      <w:r w:rsidR="00A53F39" w:rsidRPr="00875EC2">
        <w:rPr>
          <w:rFonts w:ascii="Times New Roman" w:eastAsia="Times New Roman" w:hAnsi="Times New Roman" w:cs="Times New Roman"/>
          <w:sz w:val="24"/>
          <w:szCs w:val="24"/>
          <w:lang w:eastAsia="ar-SA"/>
        </w:rPr>
        <w:t xml:space="preserve">To close with a thought-provoking image, </w:t>
      </w:r>
      <w:r w:rsidR="003078D7" w:rsidRPr="00875EC2">
        <w:rPr>
          <w:rFonts w:ascii="Times New Roman" w:eastAsia="Times New Roman" w:hAnsi="Times New Roman" w:cs="Times New Roman"/>
          <w:sz w:val="24"/>
          <w:szCs w:val="24"/>
          <w:lang w:eastAsia="ar-SA"/>
        </w:rPr>
        <w:t xml:space="preserve">then, </w:t>
      </w:r>
      <w:r w:rsidR="00CC1024" w:rsidRPr="00875EC2">
        <w:rPr>
          <w:rFonts w:ascii="Times New Roman" w:eastAsia="Times New Roman" w:hAnsi="Times New Roman" w:cs="Times New Roman"/>
          <w:sz w:val="24"/>
          <w:szCs w:val="24"/>
          <w:lang w:eastAsia="ar-SA"/>
        </w:rPr>
        <w:t xml:space="preserve">we may say that </w:t>
      </w:r>
      <w:r w:rsidR="00A53F39" w:rsidRPr="00875EC2">
        <w:rPr>
          <w:rFonts w:ascii="Times New Roman" w:eastAsia="Times New Roman" w:hAnsi="Times New Roman" w:cs="Times New Roman"/>
          <w:sz w:val="24"/>
          <w:szCs w:val="24"/>
          <w:lang w:eastAsia="ar-SA"/>
        </w:rPr>
        <w:t>“[l]</w:t>
      </w:r>
      <w:r w:rsidR="002A452F" w:rsidRPr="00875EC2">
        <w:rPr>
          <w:rFonts w:ascii="Times New Roman" w:eastAsia="Times New Roman" w:hAnsi="Times New Roman" w:cs="Times New Roman"/>
          <w:sz w:val="24"/>
          <w:szCs w:val="24"/>
          <w:lang w:eastAsia="ar-SA"/>
        </w:rPr>
        <w:t>inguistic noun-scopes are no less perception-enhancers than are the light-based scopes used by Galileo.</w:t>
      </w:r>
      <w:r w:rsidR="00A53F39" w:rsidRPr="00875EC2">
        <w:rPr>
          <w:rFonts w:ascii="Times New Roman" w:eastAsia="Times New Roman" w:hAnsi="Times New Roman" w:cs="Times New Roman"/>
          <w:sz w:val="24"/>
          <w:szCs w:val="24"/>
          <w:lang w:eastAsia="ar-SA"/>
        </w:rPr>
        <w:t>”</w:t>
      </w:r>
    </w:p>
    <w:p w:rsidR="00A53F39" w:rsidRPr="00875EC2" w:rsidRDefault="00E844A5" w:rsidP="00111091">
      <w:pPr>
        <w:tabs>
          <w:tab w:val="left" w:pos="-1440"/>
          <w:tab w:val="left" w:pos="-720"/>
          <w:tab w:val="left" w:pos="0"/>
          <w:tab w:val="left" w:pos="216"/>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80"/>
          <w:tab w:val="left" w:pos="3600"/>
          <w:tab w:val="left" w:pos="4320"/>
          <w:tab w:val="left" w:pos="5040"/>
          <w:tab w:val="left" w:pos="5760"/>
          <w:tab w:val="left" w:pos="6480"/>
          <w:tab w:val="left" w:pos="7200"/>
          <w:tab w:val="left" w:pos="7920"/>
          <w:tab w:val="left" w:pos="8640"/>
          <w:tab w:val="left" w:pos="883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firstLine="339"/>
        <w:contextualSpacing/>
        <w:rPr>
          <w:rFonts w:ascii="Times New Roman" w:hAnsi="Times New Roman" w:cs="Times New Roman"/>
          <w:sz w:val="24"/>
          <w:szCs w:val="24"/>
        </w:rPr>
      </w:pPr>
      <w:r>
        <w:rPr>
          <w:rFonts w:ascii="Times New Roman" w:eastAsia="Times New Roman" w:hAnsi="Times New Roman" w:cs="Times New Roman"/>
          <w:sz w:val="24"/>
          <w:szCs w:val="24"/>
          <w:lang w:eastAsia="ar-SA"/>
        </w:rPr>
        <w:t>In the last chapter</w:t>
      </w:r>
      <w:r w:rsidR="00755E9A" w:rsidRPr="00875EC2">
        <w:rPr>
          <w:rFonts w:ascii="Times New Roman" w:eastAsia="Times New Roman" w:hAnsi="Times New Roman" w:cs="Times New Roman"/>
          <w:sz w:val="24"/>
          <w:szCs w:val="24"/>
          <w:lang w:eastAsia="ar-SA"/>
        </w:rPr>
        <w:t xml:space="preserve"> includ</w:t>
      </w:r>
      <w:r w:rsidR="0078631D" w:rsidRPr="00875EC2">
        <w:rPr>
          <w:rFonts w:ascii="Times New Roman" w:eastAsia="Times New Roman" w:hAnsi="Times New Roman" w:cs="Times New Roman"/>
          <w:sz w:val="24"/>
          <w:szCs w:val="24"/>
          <w:lang w:eastAsia="ar-SA"/>
        </w:rPr>
        <w:t>ed in this volume, “Individuals Explained Away,” Edward Keenan defends an approach to the semantics of natural language that is certainly in stark contrast with that of Almog, Nichols</w:t>
      </w:r>
      <w:r>
        <w:rPr>
          <w:rFonts w:ascii="Times New Roman" w:eastAsia="Times New Roman" w:hAnsi="Times New Roman" w:cs="Times New Roman"/>
          <w:sz w:val="24"/>
          <w:szCs w:val="24"/>
          <w:lang w:eastAsia="ar-SA"/>
        </w:rPr>
        <w:t>,</w:t>
      </w:r>
      <w:r w:rsidR="0078631D" w:rsidRPr="00875EC2">
        <w:rPr>
          <w:rFonts w:ascii="Times New Roman" w:eastAsia="Times New Roman" w:hAnsi="Times New Roman" w:cs="Times New Roman"/>
          <w:sz w:val="24"/>
          <w:szCs w:val="24"/>
          <w:lang w:eastAsia="ar-SA"/>
        </w:rPr>
        <w:t xml:space="preserve"> and Pepp.</w:t>
      </w:r>
      <w:r w:rsidR="00A662FD" w:rsidRPr="00875EC2">
        <w:rPr>
          <w:rFonts w:ascii="Times New Roman" w:eastAsia="Times New Roman" w:hAnsi="Times New Roman" w:cs="Times New Roman"/>
          <w:sz w:val="24"/>
          <w:szCs w:val="24"/>
          <w:lang w:eastAsia="ar-SA"/>
        </w:rPr>
        <w:t xml:space="preserve"> His first aim is to offer a semantic analysis of certain evalua</w:t>
      </w:r>
      <w:r w:rsidR="00D01111">
        <w:rPr>
          <w:rFonts w:ascii="Times New Roman" w:eastAsia="Times New Roman" w:hAnsi="Times New Roman" w:cs="Times New Roman"/>
          <w:sz w:val="24"/>
          <w:szCs w:val="24"/>
          <w:lang w:eastAsia="ar-SA"/>
        </w:rPr>
        <w:t>tive adjectives (e.g., “skil</w:t>
      </w:r>
      <w:r>
        <w:rPr>
          <w:rFonts w:ascii="Times New Roman" w:eastAsia="Times New Roman" w:hAnsi="Times New Roman" w:cs="Times New Roman"/>
          <w:sz w:val="24"/>
          <w:szCs w:val="24"/>
          <w:lang w:eastAsia="ar-SA"/>
        </w:rPr>
        <w:t>l</w:t>
      </w:r>
      <w:r w:rsidR="00D01111">
        <w:rPr>
          <w:rFonts w:ascii="Times New Roman" w:eastAsia="Times New Roman" w:hAnsi="Times New Roman" w:cs="Times New Roman"/>
          <w:sz w:val="24"/>
          <w:szCs w:val="24"/>
          <w:lang w:eastAsia="ar-SA"/>
        </w:rPr>
        <w:t>ful</w:t>
      </w:r>
      <w:r w:rsidR="00A662FD" w:rsidRPr="00875EC2">
        <w:rPr>
          <w:rFonts w:ascii="Times New Roman" w:eastAsia="Times New Roman" w:hAnsi="Times New Roman" w:cs="Times New Roman"/>
          <w:sz w:val="24"/>
          <w:szCs w:val="24"/>
          <w:lang w:eastAsia="ar-SA"/>
        </w:rPr>
        <w:t>”) that are used as modifiers in agentive com</w:t>
      </w:r>
      <w:r w:rsidR="00D01111">
        <w:rPr>
          <w:rFonts w:ascii="Times New Roman" w:eastAsia="Times New Roman" w:hAnsi="Times New Roman" w:cs="Times New Roman"/>
          <w:sz w:val="24"/>
          <w:szCs w:val="24"/>
          <w:lang w:eastAsia="ar-SA"/>
        </w:rPr>
        <w:t>mon noun phrases (e.g., “skil</w:t>
      </w:r>
      <w:r>
        <w:rPr>
          <w:rFonts w:ascii="Times New Roman" w:eastAsia="Times New Roman" w:hAnsi="Times New Roman" w:cs="Times New Roman"/>
          <w:sz w:val="24"/>
          <w:szCs w:val="24"/>
          <w:lang w:eastAsia="ar-SA"/>
        </w:rPr>
        <w:t>l</w:t>
      </w:r>
      <w:r w:rsidR="00D01111">
        <w:rPr>
          <w:rFonts w:ascii="Times New Roman" w:eastAsia="Times New Roman" w:hAnsi="Times New Roman" w:cs="Times New Roman"/>
          <w:sz w:val="24"/>
          <w:szCs w:val="24"/>
          <w:lang w:eastAsia="ar-SA"/>
        </w:rPr>
        <w:t>fu</w:t>
      </w:r>
      <w:r w:rsidR="00A662FD" w:rsidRPr="00875EC2">
        <w:rPr>
          <w:rFonts w:ascii="Times New Roman" w:eastAsia="Times New Roman" w:hAnsi="Times New Roman" w:cs="Times New Roman"/>
          <w:sz w:val="24"/>
          <w:szCs w:val="24"/>
          <w:lang w:eastAsia="ar-SA"/>
        </w:rPr>
        <w:t>l surgeo</w:t>
      </w:r>
      <w:r w:rsidR="00B1591F" w:rsidRPr="00875EC2">
        <w:rPr>
          <w:rFonts w:ascii="Times New Roman" w:eastAsia="Times New Roman" w:hAnsi="Times New Roman" w:cs="Times New Roman"/>
          <w:sz w:val="24"/>
          <w:szCs w:val="24"/>
          <w:lang w:eastAsia="ar-SA"/>
        </w:rPr>
        <w:t>ns”). These adjectives exhibit properties</w:t>
      </w:r>
      <w:r w:rsidR="00CC3038">
        <w:rPr>
          <w:rFonts w:ascii="Times New Roman" w:eastAsia="Times New Roman" w:hAnsi="Times New Roman" w:cs="Times New Roman"/>
          <w:sz w:val="24"/>
          <w:szCs w:val="24"/>
          <w:lang w:eastAsia="ar-SA"/>
        </w:rPr>
        <w:t xml:space="preserve"> that make</w:t>
      </w:r>
      <w:r w:rsidR="00A662FD" w:rsidRPr="00875EC2">
        <w:rPr>
          <w:rFonts w:ascii="Times New Roman" w:eastAsia="Times New Roman" w:hAnsi="Times New Roman" w:cs="Times New Roman"/>
          <w:sz w:val="24"/>
          <w:szCs w:val="24"/>
          <w:lang w:eastAsia="ar-SA"/>
        </w:rPr>
        <w:t xml:space="preserve"> them difficult to account for </w:t>
      </w:r>
      <w:r w:rsidR="0060183C" w:rsidRPr="00875EC2">
        <w:rPr>
          <w:rFonts w:ascii="Times New Roman" w:eastAsia="Times New Roman" w:hAnsi="Times New Roman" w:cs="Times New Roman"/>
          <w:sz w:val="24"/>
          <w:szCs w:val="24"/>
          <w:lang w:eastAsia="ar-SA"/>
        </w:rPr>
        <w:t>in standard model-theoretic semantics: while they are</w:t>
      </w:r>
      <w:r w:rsidR="00D01111">
        <w:rPr>
          <w:rFonts w:ascii="Times New Roman" w:eastAsia="Times New Roman" w:hAnsi="Times New Roman" w:cs="Times New Roman"/>
          <w:sz w:val="24"/>
          <w:szCs w:val="24"/>
          <w:lang w:eastAsia="ar-SA"/>
        </w:rPr>
        <w:t xml:space="preserve"> restrictive (“John is a ski</w:t>
      </w:r>
      <w:r>
        <w:rPr>
          <w:rFonts w:ascii="Times New Roman" w:eastAsia="Times New Roman" w:hAnsi="Times New Roman" w:cs="Times New Roman"/>
          <w:sz w:val="24"/>
          <w:szCs w:val="24"/>
          <w:lang w:eastAsia="ar-SA"/>
        </w:rPr>
        <w:t>l</w:t>
      </w:r>
      <w:r w:rsidR="00D01111">
        <w:rPr>
          <w:rFonts w:ascii="Times New Roman" w:eastAsia="Times New Roman" w:hAnsi="Times New Roman" w:cs="Times New Roman"/>
          <w:sz w:val="24"/>
          <w:szCs w:val="24"/>
          <w:lang w:eastAsia="ar-SA"/>
        </w:rPr>
        <w:t>lfu</w:t>
      </w:r>
      <w:r w:rsidR="0060183C" w:rsidRPr="00875EC2">
        <w:rPr>
          <w:rFonts w:ascii="Times New Roman" w:eastAsia="Times New Roman" w:hAnsi="Times New Roman" w:cs="Times New Roman"/>
          <w:sz w:val="24"/>
          <w:szCs w:val="24"/>
          <w:lang w:eastAsia="ar-SA"/>
        </w:rPr>
        <w:t xml:space="preserve">l surgeon” entails “John is a surgeon”), they are </w:t>
      </w:r>
      <w:r w:rsidR="0060183C" w:rsidRPr="00875EC2">
        <w:rPr>
          <w:rFonts w:ascii="Times New Roman" w:eastAsia="Times New Roman" w:hAnsi="Times New Roman" w:cs="Times New Roman"/>
          <w:i/>
          <w:sz w:val="24"/>
          <w:szCs w:val="24"/>
          <w:lang w:eastAsia="ar-SA"/>
        </w:rPr>
        <w:t>non-</w:t>
      </w:r>
      <w:r w:rsidR="0060183C" w:rsidRPr="00875EC2">
        <w:rPr>
          <w:rFonts w:ascii="Times New Roman" w:eastAsia="Times New Roman" w:hAnsi="Times New Roman" w:cs="Times New Roman"/>
          <w:sz w:val="24"/>
          <w:szCs w:val="24"/>
          <w:lang w:eastAsia="ar-SA"/>
        </w:rPr>
        <w:t>extensional: “</w:t>
      </w:r>
      <w:r w:rsidR="0060183C" w:rsidRPr="00875EC2">
        <w:rPr>
          <w:rFonts w:ascii="Times New Roman" w:hAnsi="Times New Roman" w:cs="Times New Roman"/>
          <w:sz w:val="24"/>
          <w:szCs w:val="24"/>
        </w:rPr>
        <w:t xml:space="preserve">[f]or p,q agentive cnp </w:t>
      </w:r>
      <w:r w:rsidR="00B1591F" w:rsidRPr="00875EC2">
        <w:rPr>
          <w:rFonts w:ascii="Times New Roman" w:hAnsi="Times New Roman" w:cs="Times New Roman"/>
          <w:sz w:val="24"/>
          <w:szCs w:val="24"/>
        </w:rPr>
        <w:t>[common noun phr</w:t>
      </w:r>
      <w:r w:rsidR="009C2B35" w:rsidRPr="00875EC2">
        <w:rPr>
          <w:rFonts w:ascii="Times New Roman" w:hAnsi="Times New Roman" w:cs="Times New Roman"/>
          <w:sz w:val="24"/>
          <w:szCs w:val="24"/>
        </w:rPr>
        <w:t xml:space="preserve">ase] </w:t>
      </w:r>
      <w:r w:rsidR="0060183C" w:rsidRPr="00875EC2">
        <w:rPr>
          <w:rFonts w:ascii="Times New Roman" w:hAnsi="Times New Roman" w:cs="Times New Roman"/>
          <w:sz w:val="24"/>
          <w:szCs w:val="24"/>
        </w:rPr>
        <w:t>interpretations and F an evaluative adjective interpretation it may happen that ext(p) = ext(q) but ext(F(p)) ≠ ext(F(q)).”</w:t>
      </w:r>
      <w:r w:rsidR="0060183C" w:rsidRPr="00875EC2">
        <w:rPr>
          <w:rFonts w:ascii="Times New Roman" w:eastAsia="Times New Roman" w:hAnsi="Times New Roman" w:cs="Times New Roman"/>
          <w:sz w:val="24"/>
          <w:szCs w:val="24"/>
          <w:lang w:eastAsia="ar-SA"/>
        </w:rPr>
        <w:t xml:space="preserve"> Thus, for instance, “</w:t>
      </w:r>
      <w:r w:rsidR="0060183C" w:rsidRPr="00875EC2">
        <w:rPr>
          <w:rFonts w:ascii="Times New Roman" w:hAnsi="Times New Roman" w:cs="Times New Roman"/>
          <w:sz w:val="24"/>
          <w:szCs w:val="24"/>
        </w:rPr>
        <w:t>[i]f the heart surgeons and the portrait painters happen to be the same individuals in some context</w:t>
      </w:r>
      <w:r>
        <w:rPr>
          <w:rFonts w:ascii="Times New Roman" w:hAnsi="Times New Roman" w:cs="Times New Roman"/>
          <w:sz w:val="24"/>
          <w:szCs w:val="24"/>
        </w:rPr>
        <w:t>,</w:t>
      </w:r>
      <w:r w:rsidR="0060183C" w:rsidRPr="00875EC2">
        <w:rPr>
          <w:rFonts w:ascii="Times New Roman" w:hAnsi="Times New Roman" w:cs="Times New Roman"/>
          <w:sz w:val="24"/>
          <w:szCs w:val="24"/>
        </w:rPr>
        <w:t xml:space="preserve"> the skillful heart surgeons and the skillful portrait painters may still be different individuals</w:t>
      </w:r>
      <w:r w:rsidR="00CE1B4A" w:rsidRPr="00875EC2">
        <w:rPr>
          <w:rFonts w:ascii="Times New Roman" w:hAnsi="Times New Roman" w:cs="Times New Roman"/>
          <w:sz w:val="24"/>
          <w:szCs w:val="24"/>
        </w:rPr>
        <w:t>.</w:t>
      </w:r>
      <w:r w:rsidR="0060183C" w:rsidRPr="00875EC2">
        <w:rPr>
          <w:rFonts w:ascii="Times New Roman" w:hAnsi="Times New Roman" w:cs="Times New Roman"/>
          <w:sz w:val="24"/>
          <w:szCs w:val="24"/>
        </w:rPr>
        <w:t>”</w:t>
      </w:r>
      <w:r w:rsidR="00CE1B4A" w:rsidRPr="00875EC2">
        <w:rPr>
          <w:rFonts w:ascii="Times New Roman" w:hAnsi="Times New Roman" w:cs="Times New Roman"/>
          <w:sz w:val="24"/>
          <w:szCs w:val="24"/>
        </w:rPr>
        <w:t xml:space="preserve"> According to Keenan, since “no cross model comparisons” are suggested by judgments in this area, “the appeal of a possible worlds approach to non-extensionality is absent.” Indeed, in providing his semantic analysis, Keenan</w:t>
      </w:r>
      <w:r w:rsidR="0060183C" w:rsidRPr="00875EC2">
        <w:rPr>
          <w:rFonts w:ascii="Times New Roman" w:hAnsi="Times New Roman" w:cs="Times New Roman"/>
          <w:sz w:val="24"/>
          <w:szCs w:val="24"/>
        </w:rPr>
        <w:t xml:space="preserve"> </w:t>
      </w:r>
      <w:r w:rsidR="00CE1B4A" w:rsidRPr="00875EC2">
        <w:rPr>
          <w:rFonts w:ascii="Times New Roman" w:hAnsi="Times New Roman" w:cs="Times New Roman"/>
          <w:sz w:val="24"/>
          <w:szCs w:val="24"/>
        </w:rPr>
        <w:t>“generalizes standard extensional model theory without adding novel entities such as possible w</w:t>
      </w:r>
      <w:r w:rsidR="00FA3A7F" w:rsidRPr="00875EC2">
        <w:rPr>
          <w:rFonts w:ascii="Times New Roman" w:hAnsi="Times New Roman" w:cs="Times New Roman"/>
          <w:sz w:val="24"/>
          <w:szCs w:val="24"/>
        </w:rPr>
        <w:t>orlds or propositions.” He proce</w:t>
      </w:r>
      <w:r w:rsidR="00CE1B4A" w:rsidRPr="00875EC2">
        <w:rPr>
          <w:rFonts w:ascii="Times New Roman" w:hAnsi="Times New Roman" w:cs="Times New Roman"/>
          <w:sz w:val="24"/>
          <w:szCs w:val="24"/>
        </w:rPr>
        <w:t xml:space="preserve">eds in two steps. First, </w:t>
      </w:r>
      <w:r w:rsidR="00EA7A56" w:rsidRPr="00875EC2">
        <w:rPr>
          <w:rFonts w:ascii="Times New Roman" w:hAnsi="Times New Roman" w:cs="Times New Roman"/>
          <w:sz w:val="24"/>
          <w:szCs w:val="24"/>
        </w:rPr>
        <w:t>he recasts standard extensional semantics (“whose ontological primitives are two: a booleanly structured set of truth values {T,F} in which sentences are interpreted, and an unstructured non-empty universe E in which proper names and individual constants are interpret</w:t>
      </w:r>
      <w:r w:rsidR="00506980">
        <w:rPr>
          <w:rFonts w:ascii="Times New Roman" w:hAnsi="Times New Roman" w:cs="Times New Roman"/>
          <w:sz w:val="24"/>
          <w:szCs w:val="24"/>
        </w:rPr>
        <w:t>ed”) in “purely b</w:t>
      </w:r>
      <w:r w:rsidR="00EA7A56" w:rsidRPr="00875EC2">
        <w:rPr>
          <w:rFonts w:ascii="Times New Roman" w:hAnsi="Times New Roman" w:cs="Times New Roman"/>
          <w:sz w:val="24"/>
          <w:szCs w:val="24"/>
        </w:rPr>
        <w:t xml:space="preserve">oolean terms.” This involves “no change in entailment relations or truth conditions of sentences,” but </w:t>
      </w:r>
      <w:r w:rsidR="00506980">
        <w:rPr>
          <w:rFonts w:ascii="Times New Roman" w:hAnsi="Times New Roman" w:cs="Times New Roman"/>
          <w:sz w:val="24"/>
          <w:szCs w:val="24"/>
        </w:rPr>
        <w:t>“</w:t>
      </w:r>
      <w:r w:rsidR="00EA7A56" w:rsidRPr="00875EC2">
        <w:rPr>
          <w:rFonts w:ascii="Times New Roman" w:hAnsi="Times New Roman" w:cs="Times New Roman"/>
          <w:sz w:val="24"/>
          <w:szCs w:val="24"/>
        </w:rPr>
        <w:t xml:space="preserve">the unstructured universe E is eliminated in favor of a booleanly structured set P of properties which provides interpretations for common nouns.” </w:t>
      </w:r>
      <w:r w:rsidR="00111091" w:rsidRPr="00875EC2">
        <w:rPr>
          <w:rFonts w:ascii="Times New Roman" w:hAnsi="Times New Roman" w:cs="Times New Roman"/>
          <w:sz w:val="24"/>
          <w:szCs w:val="24"/>
        </w:rPr>
        <w:t xml:space="preserve">In a nutshell, “interpretations for sentences </w:t>
      </w:r>
      <w:r w:rsidR="00CC1024">
        <w:rPr>
          <w:rFonts w:ascii="Times New Roman" w:hAnsi="Times New Roman" w:cs="Times New Roman"/>
          <w:sz w:val="24"/>
          <w:szCs w:val="24"/>
        </w:rPr>
        <w:t xml:space="preserve">and common nouns </w:t>
      </w:r>
      <w:r w:rsidR="00111091" w:rsidRPr="00875EC2">
        <w:rPr>
          <w:rFonts w:ascii="Times New Roman" w:hAnsi="Times New Roman" w:cs="Times New Roman"/>
          <w:sz w:val="24"/>
          <w:szCs w:val="24"/>
        </w:rPr>
        <w:t>… are both [complete and atomic] boolean lattices.” Moreover, “[i]nterpretation sets for other categories of expression also have a boolean structure</w:t>
      </w:r>
      <w:r w:rsidR="00506980">
        <w:rPr>
          <w:rFonts w:ascii="Times New Roman" w:hAnsi="Times New Roman" w:cs="Times New Roman"/>
          <w:sz w:val="24"/>
          <w:szCs w:val="24"/>
        </w:rPr>
        <w:t>,</w:t>
      </w:r>
      <w:r w:rsidR="00111091" w:rsidRPr="00875EC2">
        <w:rPr>
          <w:rFonts w:ascii="Times New Roman" w:hAnsi="Times New Roman" w:cs="Times New Roman"/>
          <w:sz w:val="24"/>
          <w:szCs w:val="24"/>
        </w:rPr>
        <w:t xml:space="preserve"> as the expressions combine quite freely with the boolean connectives </w:t>
      </w:r>
      <w:r w:rsidR="00111091" w:rsidRPr="00875EC2">
        <w:rPr>
          <w:rFonts w:ascii="Times New Roman" w:hAnsi="Times New Roman" w:cs="Times New Roman"/>
          <w:i/>
          <w:iCs/>
          <w:sz w:val="24"/>
          <w:szCs w:val="24"/>
        </w:rPr>
        <w:t>and</w:t>
      </w:r>
      <w:r w:rsidR="00111091" w:rsidRPr="00875EC2">
        <w:rPr>
          <w:rFonts w:ascii="Times New Roman" w:hAnsi="Times New Roman" w:cs="Times New Roman"/>
          <w:sz w:val="24"/>
          <w:szCs w:val="24"/>
        </w:rPr>
        <w:t xml:space="preserve">, </w:t>
      </w:r>
      <w:r w:rsidR="00111091" w:rsidRPr="00875EC2">
        <w:rPr>
          <w:rFonts w:ascii="Times New Roman" w:hAnsi="Times New Roman" w:cs="Times New Roman"/>
          <w:i/>
          <w:iCs/>
          <w:sz w:val="24"/>
          <w:szCs w:val="24"/>
        </w:rPr>
        <w:t>or</w:t>
      </w:r>
      <w:r w:rsidR="00111091" w:rsidRPr="00875EC2">
        <w:rPr>
          <w:rFonts w:ascii="Times New Roman" w:hAnsi="Times New Roman" w:cs="Times New Roman"/>
          <w:sz w:val="24"/>
          <w:szCs w:val="24"/>
        </w:rPr>
        <w:t>, ....” Therefore, “</w:t>
      </w:r>
      <w:r w:rsidR="00EA7A56" w:rsidRPr="00875EC2">
        <w:rPr>
          <w:rFonts w:ascii="Times New Roman" w:hAnsi="Times New Roman" w:cs="Times New Roman"/>
          <w:sz w:val="24"/>
          <w:szCs w:val="24"/>
        </w:rPr>
        <w:t>proper name interpretations are now derivative, defined in terms of properties and truth values</w:t>
      </w:r>
      <w:r w:rsidR="00111091" w:rsidRPr="00875EC2">
        <w:rPr>
          <w:rFonts w:ascii="Times New Roman" w:hAnsi="Times New Roman" w:cs="Times New Roman"/>
          <w:sz w:val="24"/>
          <w:szCs w:val="24"/>
        </w:rPr>
        <w:t>”</w:t>
      </w:r>
      <w:r w:rsidR="003C6BF3" w:rsidRPr="00875EC2">
        <w:rPr>
          <w:rFonts w:ascii="Times New Roman" w:hAnsi="Times New Roman" w:cs="Times New Roman"/>
          <w:sz w:val="24"/>
          <w:szCs w:val="24"/>
        </w:rPr>
        <w:t xml:space="preserve"> (a move that Keenan take</w:t>
      </w:r>
      <w:r w:rsidR="00BE1E73" w:rsidRPr="00875EC2">
        <w:rPr>
          <w:rFonts w:ascii="Times New Roman" w:hAnsi="Times New Roman" w:cs="Times New Roman"/>
          <w:sz w:val="24"/>
          <w:szCs w:val="24"/>
        </w:rPr>
        <w:t>s</w:t>
      </w:r>
      <w:r w:rsidR="003C6BF3" w:rsidRPr="00875EC2">
        <w:rPr>
          <w:rFonts w:ascii="Times New Roman" w:hAnsi="Times New Roman" w:cs="Times New Roman"/>
          <w:sz w:val="24"/>
          <w:szCs w:val="24"/>
        </w:rPr>
        <w:t xml:space="preserve"> to be supported also by the observation that “proper names are often (always?) his</w:t>
      </w:r>
      <w:r>
        <w:rPr>
          <w:rFonts w:ascii="Times New Roman" w:hAnsi="Times New Roman" w:cs="Times New Roman"/>
          <w:sz w:val="24"/>
          <w:szCs w:val="24"/>
        </w:rPr>
        <w:t>torically derived from property-</w:t>
      </w:r>
      <w:r w:rsidR="003C6BF3" w:rsidRPr="00875EC2">
        <w:rPr>
          <w:rFonts w:ascii="Times New Roman" w:hAnsi="Times New Roman" w:cs="Times New Roman"/>
          <w:sz w:val="24"/>
          <w:szCs w:val="24"/>
        </w:rPr>
        <w:t>denoting expressions”)</w:t>
      </w:r>
      <w:r w:rsidR="00111091" w:rsidRPr="00875EC2">
        <w:rPr>
          <w:rFonts w:ascii="Times New Roman" w:hAnsi="Times New Roman" w:cs="Times New Roman"/>
          <w:sz w:val="24"/>
          <w:szCs w:val="24"/>
        </w:rPr>
        <w:t xml:space="preserve">: </w:t>
      </w:r>
      <w:r w:rsidR="003C6BF3" w:rsidRPr="00875EC2">
        <w:rPr>
          <w:rFonts w:ascii="Times New Roman" w:hAnsi="Times New Roman" w:cs="Times New Roman"/>
          <w:i/>
          <w:sz w:val="24"/>
          <w:szCs w:val="24"/>
        </w:rPr>
        <w:t>individuals</w:t>
      </w:r>
      <w:r w:rsidR="003C6BF3" w:rsidRPr="00875EC2">
        <w:rPr>
          <w:rFonts w:ascii="Times New Roman" w:hAnsi="Times New Roman" w:cs="Times New Roman"/>
          <w:sz w:val="24"/>
          <w:szCs w:val="24"/>
        </w:rPr>
        <w:t xml:space="preserve"> are nothing more than “homomorphisms from the property lattice to the truth value lattice.” In the second</w:t>
      </w:r>
      <w:r w:rsidR="00012933">
        <w:rPr>
          <w:rFonts w:ascii="Times New Roman" w:hAnsi="Times New Roman" w:cs="Times New Roman"/>
          <w:sz w:val="24"/>
          <w:szCs w:val="24"/>
        </w:rPr>
        <w:t xml:space="preserve"> step, Keenan generalizes this b</w:t>
      </w:r>
      <w:r w:rsidR="003C6BF3" w:rsidRPr="00875EC2">
        <w:rPr>
          <w:rFonts w:ascii="Times New Roman" w:hAnsi="Times New Roman" w:cs="Times New Roman"/>
          <w:sz w:val="24"/>
          <w:szCs w:val="24"/>
        </w:rPr>
        <w:t>oolean construal of standard extensional semantics to non-extensional semantics</w:t>
      </w:r>
      <w:r w:rsidR="00820E57" w:rsidRPr="00875EC2">
        <w:rPr>
          <w:rFonts w:ascii="Times New Roman" w:hAnsi="Times New Roman" w:cs="Times New Roman"/>
          <w:sz w:val="24"/>
          <w:szCs w:val="24"/>
        </w:rPr>
        <w:t>, by relaxing the “atomicity requirement” on the boolean lattice whose elements provide denotations for common nouns, and shows how in this semantics it is poss</w:t>
      </w:r>
      <w:r w:rsidR="003930F4" w:rsidRPr="00875EC2">
        <w:rPr>
          <w:rFonts w:ascii="Times New Roman" w:hAnsi="Times New Roman" w:cs="Times New Roman"/>
          <w:sz w:val="24"/>
          <w:szCs w:val="24"/>
        </w:rPr>
        <w:t>ible to account for the properties</w:t>
      </w:r>
      <w:r w:rsidR="00820E57" w:rsidRPr="00875EC2">
        <w:rPr>
          <w:rFonts w:ascii="Times New Roman" w:hAnsi="Times New Roman" w:cs="Times New Roman"/>
          <w:sz w:val="24"/>
          <w:szCs w:val="24"/>
        </w:rPr>
        <w:t xml:space="preserve"> of evalu</w:t>
      </w:r>
      <w:r>
        <w:rPr>
          <w:rFonts w:ascii="Times New Roman" w:hAnsi="Times New Roman" w:cs="Times New Roman"/>
          <w:sz w:val="24"/>
          <w:szCs w:val="24"/>
        </w:rPr>
        <w:t>ative adjectives mentioned earlier</w:t>
      </w:r>
      <w:r w:rsidR="00820E57" w:rsidRPr="00875EC2">
        <w:rPr>
          <w:rFonts w:ascii="Times New Roman" w:hAnsi="Times New Roman" w:cs="Times New Roman"/>
          <w:sz w:val="24"/>
          <w:szCs w:val="24"/>
        </w:rPr>
        <w:t xml:space="preserve">. Apart from this, </w:t>
      </w:r>
      <w:r w:rsidR="00A21F91" w:rsidRPr="00875EC2">
        <w:rPr>
          <w:rFonts w:ascii="Times New Roman" w:hAnsi="Times New Roman" w:cs="Times New Roman"/>
          <w:sz w:val="24"/>
          <w:szCs w:val="24"/>
        </w:rPr>
        <w:t xml:space="preserve">it should be noted, </w:t>
      </w:r>
      <w:r w:rsidR="00820E57" w:rsidRPr="00875EC2">
        <w:rPr>
          <w:rFonts w:ascii="Times New Roman" w:hAnsi="Times New Roman" w:cs="Times New Roman"/>
          <w:sz w:val="24"/>
          <w:szCs w:val="24"/>
        </w:rPr>
        <w:t>the resulting intensional semantics is interesting from a foundational point of view. In particul</w:t>
      </w:r>
      <w:r w:rsidR="00A21F91" w:rsidRPr="00875EC2">
        <w:rPr>
          <w:rFonts w:ascii="Times New Roman" w:hAnsi="Times New Roman" w:cs="Times New Roman"/>
          <w:sz w:val="24"/>
          <w:szCs w:val="24"/>
        </w:rPr>
        <w:t>ar, as Keenan remark</w:t>
      </w:r>
      <w:r w:rsidR="00820E57" w:rsidRPr="00875EC2">
        <w:rPr>
          <w:rFonts w:ascii="Times New Roman" w:hAnsi="Times New Roman" w:cs="Times New Roman"/>
          <w:sz w:val="24"/>
          <w:szCs w:val="24"/>
        </w:rPr>
        <w:t>s, it has “</w:t>
      </w:r>
      <w:r w:rsidR="00A21F91" w:rsidRPr="00875EC2">
        <w:rPr>
          <w:rFonts w:ascii="Times New Roman" w:hAnsi="Times New Roman" w:cs="Times New Roman"/>
          <w:sz w:val="24"/>
          <w:szCs w:val="24"/>
        </w:rPr>
        <w:t>some consequences for Direct Reference Theory,</w:t>
      </w:r>
      <w:r>
        <w:rPr>
          <w:rFonts w:ascii="Times New Roman" w:hAnsi="Times New Roman" w:cs="Times New Roman"/>
          <w:sz w:val="24"/>
          <w:szCs w:val="24"/>
        </w:rPr>
        <w:t>” as “it eliminates from our naï</w:t>
      </w:r>
      <w:r w:rsidR="00A21F91" w:rsidRPr="00875EC2">
        <w:rPr>
          <w:rFonts w:ascii="Times New Roman" w:hAnsi="Times New Roman" w:cs="Times New Roman"/>
          <w:sz w:val="24"/>
          <w:szCs w:val="24"/>
        </w:rPr>
        <w:t xml:space="preserve">ve ontology a universe of objects we think of singular terms as denoting and unbound pronouns and individual variables in logic as ranging over.” Moreover, since it </w:t>
      </w:r>
      <w:r w:rsidR="00F1363C" w:rsidRPr="00F1363C">
        <w:rPr>
          <w:rFonts w:ascii="Times New Roman" w:hAnsi="Times New Roman" w:cs="Times New Roman"/>
          <w:sz w:val="24"/>
          <w:szCs w:val="24"/>
        </w:rPr>
        <w:t>gives priority to common noun interpretation rather than</w:t>
      </w:r>
      <w:r w:rsidR="00A21F91" w:rsidRPr="00F1363C">
        <w:rPr>
          <w:rFonts w:ascii="Times New Roman" w:hAnsi="Times New Roman" w:cs="Times New Roman"/>
          <w:sz w:val="24"/>
          <w:szCs w:val="24"/>
        </w:rPr>
        <w:t xml:space="preserve"> proper name interpretation,</w:t>
      </w:r>
      <w:r w:rsidR="00A21F91" w:rsidRPr="00875EC2">
        <w:rPr>
          <w:rFonts w:ascii="Times New Roman" w:hAnsi="Times New Roman" w:cs="Times New Roman"/>
          <w:sz w:val="24"/>
          <w:szCs w:val="24"/>
        </w:rPr>
        <w:t xml:space="preserve"> it can perhaps be regarded </w:t>
      </w:r>
      <w:r w:rsidR="008A5B12" w:rsidRPr="00875EC2">
        <w:rPr>
          <w:rFonts w:ascii="Times New Roman" w:hAnsi="Times New Roman" w:cs="Times New Roman"/>
          <w:sz w:val="24"/>
          <w:szCs w:val="24"/>
        </w:rPr>
        <w:t>as an ideal framework for</w:t>
      </w:r>
      <w:r w:rsidR="00A21F91" w:rsidRPr="00875EC2">
        <w:rPr>
          <w:rFonts w:ascii="Times New Roman" w:hAnsi="Times New Roman" w:cs="Times New Roman"/>
          <w:sz w:val="24"/>
          <w:szCs w:val="24"/>
        </w:rPr>
        <w:t xml:space="preserve"> </w:t>
      </w:r>
      <w:r w:rsidR="008A5B12" w:rsidRPr="00875EC2">
        <w:rPr>
          <w:rFonts w:ascii="Times New Roman" w:hAnsi="Times New Roman" w:cs="Times New Roman"/>
          <w:sz w:val="24"/>
          <w:szCs w:val="24"/>
        </w:rPr>
        <w:t>developing</w:t>
      </w:r>
      <w:r w:rsidR="00A21F91" w:rsidRPr="00875EC2">
        <w:rPr>
          <w:rFonts w:ascii="Times New Roman" w:hAnsi="Times New Roman" w:cs="Times New Roman"/>
          <w:sz w:val="24"/>
          <w:szCs w:val="24"/>
        </w:rPr>
        <w:t xml:space="preserve"> predicativism about proper names, the view </w:t>
      </w:r>
      <w:r w:rsidR="008A5B12" w:rsidRPr="00875EC2">
        <w:rPr>
          <w:rFonts w:ascii="Times New Roman" w:hAnsi="Times New Roman" w:cs="Times New Roman"/>
          <w:sz w:val="24"/>
          <w:szCs w:val="24"/>
        </w:rPr>
        <w:t>discussed in Napoli’s, Jeshion’s</w:t>
      </w:r>
      <w:r>
        <w:rPr>
          <w:rFonts w:ascii="Times New Roman" w:hAnsi="Times New Roman" w:cs="Times New Roman"/>
          <w:sz w:val="24"/>
          <w:szCs w:val="24"/>
        </w:rPr>
        <w:t>,</w:t>
      </w:r>
      <w:r w:rsidR="008A5B12" w:rsidRPr="00875EC2">
        <w:rPr>
          <w:rFonts w:ascii="Times New Roman" w:hAnsi="Times New Roman" w:cs="Times New Roman"/>
          <w:sz w:val="24"/>
          <w:szCs w:val="24"/>
        </w:rPr>
        <w:t xml:space="preserve"> and Fara’s contributions to this volume.</w:t>
      </w:r>
    </w:p>
    <w:p w:rsidR="007E23A5" w:rsidRPr="00875EC2" w:rsidRDefault="007E23A5" w:rsidP="00F9461A">
      <w:pPr>
        <w:spacing w:after="0" w:line="480" w:lineRule="auto"/>
        <w:ind w:firstLine="340"/>
        <w:rPr>
          <w:rFonts w:ascii="Times New Roman" w:hAnsi="Times New Roman" w:cs="Times New Roman"/>
          <w:sz w:val="24"/>
          <w:szCs w:val="24"/>
          <w:lang w:val="en-GB"/>
        </w:rPr>
      </w:pPr>
    </w:p>
    <w:p w:rsidR="005549CE" w:rsidRPr="003426F1" w:rsidRDefault="00A21F91" w:rsidP="006D6FE0">
      <w:pPr>
        <w:spacing w:after="0" w:line="480" w:lineRule="auto"/>
        <w:ind w:firstLine="340"/>
        <w:rPr>
          <w:rFonts w:ascii="Times New Roman" w:hAnsi="Times New Roman" w:cs="Times New Roman"/>
          <w:sz w:val="24"/>
          <w:szCs w:val="24"/>
          <w:lang w:val="en-GB"/>
        </w:rPr>
      </w:pPr>
      <w:r w:rsidRPr="00875EC2">
        <w:rPr>
          <w:rFonts w:ascii="Times New Roman" w:hAnsi="Times New Roman" w:cs="Times New Roman"/>
          <w:sz w:val="24"/>
          <w:szCs w:val="24"/>
          <w:lang w:val="en-GB"/>
        </w:rPr>
        <w:t>To conclude</w:t>
      </w:r>
      <w:r w:rsidR="00B25088" w:rsidRPr="00875EC2">
        <w:rPr>
          <w:rFonts w:ascii="Times New Roman" w:hAnsi="Times New Roman" w:cs="Times New Roman"/>
          <w:sz w:val="24"/>
          <w:szCs w:val="24"/>
          <w:lang w:val="en-GB"/>
        </w:rPr>
        <w:t>,</w:t>
      </w:r>
      <w:r w:rsidR="005549CE" w:rsidRPr="00875EC2">
        <w:rPr>
          <w:rFonts w:ascii="Times New Roman" w:hAnsi="Times New Roman" w:cs="Times New Roman"/>
          <w:sz w:val="24"/>
          <w:szCs w:val="24"/>
          <w:lang w:val="en-GB"/>
        </w:rPr>
        <w:t xml:space="preserve"> some acknowledgments. I am grateful to the University of Parma, which hosted conferences and lectures where earli</w:t>
      </w:r>
      <w:r w:rsidR="00E844A5">
        <w:rPr>
          <w:rFonts w:ascii="Times New Roman" w:hAnsi="Times New Roman" w:cs="Times New Roman"/>
          <w:sz w:val="24"/>
          <w:szCs w:val="24"/>
          <w:lang w:val="en-GB"/>
        </w:rPr>
        <w:t>er versions of many of the chapter</w:t>
      </w:r>
      <w:r w:rsidR="005549CE" w:rsidRPr="00875EC2">
        <w:rPr>
          <w:rFonts w:ascii="Times New Roman" w:hAnsi="Times New Roman" w:cs="Times New Roman"/>
          <w:sz w:val="24"/>
          <w:szCs w:val="24"/>
          <w:lang w:val="en-GB"/>
        </w:rPr>
        <w:t>s collected in this volume we</w:t>
      </w:r>
      <w:r w:rsidR="00B07C45">
        <w:rPr>
          <w:rFonts w:ascii="Times New Roman" w:hAnsi="Times New Roman" w:cs="Times New Roman"/>
          <w:sz w:val="24"/>
          <w:szCs w:val="24"/>
          <w:lang w:val="en-GB"/>
        </w:rPr>
        <w:t xml:space="preserve">re presented and discussed, to three anonymous referees for Oxford University Press for their suggestions, and </w:t>
      </w:r>
      <w:r w:rsidR="005549CE" w:rsidRPr="00875EC2">
        <w:rPr>
          <w:rFonts w:ascii="Times New Roman" w:hAnsi="Times New Roman" w:cs="Times New Roman"/>
          <w:sz w:val="24"/>
          <w:szCs w:val="24"/>
          <w:lang w:val="en-GB"/>
        </w:rPr>
        <w:t xml:space="preserve">to all the contributors for their willingness to contribute and </w:t>
      </w:r>
      <w:r w:rsidR="00BE1E73" w:rsidRPr="00875EC2">
        <w:rPr>
          <w:rFonts w:ascii="Times New Roman" w:hAnsi="Times New Roman" w:cs="Times New Roman"/>
          <w:sz w:val="24"/>
          <w:szCs w:val="24"/>
          <w:lang w:val="en-GB"/>
        </w:rPr>
        <w:t xml:space="preserve">for </w:t>
      </w:r>
      <w:r w:rsidR="005549CE" w:rsidRPr="00875EC2">
        <w:rPr>
          <w:rFonts w:ascii="Times New Roman" w:hAnsi="Times New Roman" w:cs="Times New Roman"/>
          <w:sz w:val="24"/>
          <w:szCs w:val="24"/>
          <w:lang w:val="en-GB"/>
        </w:rPr>
        <w:t>their patience. Almog, Capuano,</w:t>
      </w:r>
      <w:r w:rsidR="00DD123C" w:rsidRPr="00875EC2">
        <w:rPr>
          <w:rFonts w:ascii="Times New Roman" w:hAnsi="Times New Roman" w:cs="Times New Roman"/>
          <w:sz w:val="24"/>
          <w:szCs w:val="24"/>
          <w:lang w:val="en-GB"/>
        </w:rPr>
        <w:t xml:space="preserve"> </w:t>
      </w:r>
      <w:r w:rsidR="005549CE" w:rsidRPr="00875EC2">
        <w:rPr>
          <w:rFonts w:ascii="Times New Roman" w:hAnsi="Times New Roman" w:cs="Times New Roman"/>
          <w:sz w:val="24"/>
          <w:szCs w:val="24"/>
          <w:lang w:val="en-GB"/>
        </w:rPr>
        <w:t>Devitt,</w:t>
      </w:r>
      <w:r w:rsidR="00DD123C" w:rsidRPr="00875EC2">
        <w:rPr>
          <w:rFonts w:ascii="Times New Roman" w:hAnsi="Times New Roman" w:cs="Times New Roman"/>
          <w:sz w:val="24"/>
          <w:szCs w:val="24"/>
          <w:lang w:val="en-GB"/>
        </w:rPr>
        <w:t xml:space="preserve"> Napoli</w:t>
      </w:r>
      <w:r w:rsidR="00E844A5">
        <w:rPr>
          <w:rFonts w:ascii="Times New Roman" w:hAnsi="Times New Roman" w:cs="Times New Roman"/>
          <w:sz w:val="24"/>
          <w:szCs w:val="24"/>
          <w:lang w:val="en-GB"/>
        </w:rPr>
        <w:t>,</w:t>
      </w:r>
      <w:r w:rsidR="00DD123C" w:rsidRPr="00875EC2">
        <w:rPr>
          <w:rFonts w:ascii="Times New Roman" w:hAnsi="Times New Roman" w:cs="Times New Roman"/>
          <w:sz w:val="24"/>
          <w:szCs w:val="24"/>
          <w:lang w:val="en-GB"/>
        </w:rPr>
        <w:t xml:space="preserve"> and </w:t>
      </w:r>
      <w:r w:rsidR="005549CE" w:rsidRPr="00875EC2">
        <w:rPr>
          <w:rFonts w:ascii="Times New Roman" w:hAnsi="Times New Roman" w:cs="Times New Roman"/>
          <w:sz w:val="24"/>
          <w:szCs w:val="24"/>
          <w:lang w:val="en-GB"/>
        </w:rPr>
        <w:t>Nichols also pro</w:t>
      </w:r>
      <w:r w:rsidR="00E844A5">
        <w:rPr>
          <w:rFonts w:ascii="Times New Roman" w:hAnsi="Times New Roman" w:cs="Times New Roman"/>
          <w:sz w:val="24"/>
          <w:szCs w:val="24"/>
          <w:lang w:val="en-GB"/>
        </w:rPr>
        <w:t>vided helpful comments on this I</w:t>
      </w:r>
      <w:r w:rsidR="005549CE" w:rsidRPr="00875EC2">
        <w:rPr>
          <w:rFonts w:ascii="Times New Roman" w:hAnsi="Times New Roman" w:cs="Times New Roman"/>
          <w:sz w:val="24"/>
          <w:szCs w:val="24"/>
          <w:lang w:val="en-GB"/>
        </w:rPr>
        <w:t>ntroduction. Finally, I owe special thanks to Paolo Leonardi, who suggested and encouraged the project, and to Peter Momtchiloff, who</w:t>
      </w:r>
      <w:r w:rsidR="00012933">
        <w:rPr>
          <w:rFonts w:ascii="Times New Roman" w:hAnsi="Times New Roman" w:cs="Times New Roman"/>
          <w:sz w:val="24"/>
          <w:szCs w:val="24"/>
          <w:lang w:val="en-GB"/>
        </w:rPr>
        <w:t xml:space="preserve"> made realizing it</w:t>
      </w:r>
      <w:r w:rsidR="005549CE" w:rsidRPr="00875EC2">
        <w:rPr>
          <w:rFonts w:ascii="Times New Roman" w:hAnsi="Times New Roman" w:cs="Times New Roman"/>
          <w:sz w:val="24"/>
          <w:szCs w:val="24"/>
          <w:lang w:val="en-GB"/>
        </w:rPr>
        <w:t xml:space="preserve"> possible.</w:t>
      </w:r>
    </w:p>
    <w:sectPr w:rsidR="005549CE" w:rsidRPr="003426F1" w:rsidSect="003426F1">
      <w:footerReference w:type="default" r:id="rId7"/>
      <w:pgSz w:w="11906" w:h="16838"/>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919" w:rsidRDefault="003D4919" w:rsidP="003426F1">
      <w:pPr>
        <w:spacing w:after="0" w:line="240" w:lineRule="auto"/>
      </w:pPr>
      <w:r>
        <w:separator/>
      </w:r>
    </w:p>
  </w:endnote>
  <w:endnote w:type="continuationSeparator" w:id="0">
    <w:p w:rsidR="003D4919" w:rsidRDefault="003D4919" w:rsidP="00342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ican Typewriter">
    <w:charset w:val="00"/>
    <w:family w:val="auto"/>
    <w:pitch w:val="variable"/>
    <w:sig w:usb0="A000006F" w:usb1="00000019" w:usb2="00000000" w:usb3="00000000" w:csb0="00000111" w:csb1="00000000"/>
  </w:font>
  <w:font w:name="ヒラギノ角ゴ Pro W3">
    <w:charset w:val="80"/>
    <w:family w:val="auto"/>
    <w:pitch w:val="variable"/>
    <w:sig w:usb0="00000001"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9CE" w:rsidRDefault="007C675D" w:rsidP="003426F1">
    <w:pPr>
      <w:pStyle w:val="Pidipagina"/>
      <w:jc w:val="center"/>
    </w:pPr>
    <w:fldSimple w:instr=" PAGE   \* MERGEFORMAT ">
      <w:r w:rsidR="003D491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919" w:rsidRDefault="003D4919" w:rsidP="003426F1">
      <w:pPr>
        <w:spacing w:after="0" w:line="240" w:lineRule="auto"/>
      </w:pPr>
      <w:r>
        <w:separator/>
      </w:r>
    </w:p>
  </w:footnote>
  <w:footnote w:type="continuationSeparator" w:id="0">
    <w:p w:rsidR="003D4919" w:rsidRDefault="003D4919" w:rsidP="003426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283"/>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69C"/>
    <w:rsid w:val="00001587"/>
    <w:rsid w:val="000016F4"/>
    <w:rsid w:val="00001DCF"/>
    <w:rsid w:val="00002E59"/>
    <w:rsid w:val="00004C64"/>
    <w:rsid w:val="00007E17"/>
    <w:rsid w:val="00007E23"/>
    <w:rsid w:val="0001069C"/>
    <w:rsid w:val="00012933"/>
    <w:rsid w:val="0002135D"/>
    <w:rsid w:val="00022835"/>
    <w:rsid w:val="0002440B"/>
    <w:rsid w:val="00032A0E"/>
    <w:rsid w:val="00044A4F"/>
    <w:rsid w:val="00045664"/>
    <w:rsid w:val="00050B79"/>
    <w:rsid w:val="00053D0E"/>
    <w:rsid w:val="00057364"/>
    <w:rsid w:val="000648A1"/>
    <w:rsid w:val="00064E8B"/>
    <w:rsid w:val="00066145"/>
    <w:rsid w:val="000663A0"/>
    <w:rsid w:val="00066827"/>
    <w:rsid w:val="00071287"/>
    <w:rsid w:val="00072810"/>
    <w:rsid w:val="000733F4"/>
    <w:rsid w:val="00076E55"/>
    <w:rsid w:val="00080818"/>
    <w:rsid w:val="000808AD"/>
    <w:rsid w:val="000928E3"/>
    <w:rsid w:val="00093282"/>
    <w:rsid w:val="000975D5"/>
    <w:rsid w:val="000A3E6B"/>
    <w:rsid w:val="000A4BFF"/>
    <w:rsid w:val="000A6671"/>
    <w:rsid w:val="000B1BBA"/>
    <w:rsid w:val="000B2A62"/>
    <w:rsid w:val="000B59E3"/>
    <w:rsid w:val="000C16CF"/>
    <w:rsid w:val="000C4E77"/>
    <w:rsid w:val="000E6E74"/>
    <w:rsid w:val="000F1060"/>
    <w:rsid w:val="000F111E"/>
    <w:rsid w:val="000F2B40"/>
    <w:rsid w:val="000F3C26"/>
    <w:rsid w:val="00102169"/>
    <w:rsid w:val="00105507"/>
    <w:rsid w:val="00105D33"/>
    <w:rsid w:val="00107CA5"/>
    <w:rsid w:val="00111091"/>
    <w:rsid w:val="00112493"/>
    <w:rsid w:val="001208E1"/>
    <w:rsid w:val="001307BC"/>
    <w:rsid w:val="00132C7E"/>
    <w:rsid w:val="00133CC5"/>
    <w:rsid w:val="00135AB0"/>
    <w:rsid w:val="00141584"/>
    <w:rsid w:val="001422C4"/>
    <w:rsid w:val="001445E3"/>
    <w:rsid w:val="0014731F"/>
    <w:rsid w:val="00150BB6"/>
    <w:rsid w:val="00151D4F"/>
    <w:rsid w:val="00152E13"/>
    <w:rsid w:val="0016201E"/>
    <w:rsid w:val="00163D58"/>
    <w:rsid w:val="0016502F"/>
    <w:rsid w:val="0016773A"/>
    <w:rsid w:val="00170CB6"/>
    <w:rsid w:val="001717B8"/>
    <w:rsid w:val="00172958"/>
    <w:rsid w:val="00182F00"/>
    <w:rsid w:val="0019158E"/>
    <w:rsid w:val="00192F5C"/>
    <w:rsid w:val="00193345"/>
    <w:rsid w:val="00194C9D"/>
    <w:rsid w:val="001950C0"/>
    <w:rsid w:val="001961C1"/>
    <w:rsid w:val="001A7DA1"/>
    <w:rsid w:val="001B0902"/>
    <w:rsid w:val="001B0AAA"/>
    <w:rsid w:val="001B6E75"/>
    <w:rsid w:val="001B7840"/>
    <w:rsid w:val="001B796A"/>
    <w:rsid w:val="001C4B87"/>
    <w:rsid w:val="001C7DEA"/>
    <w:rsid w:val="001D2A7F"/>
    <w:rsid w:val="001D4C64"/>
    <w:rsid w:val="001E6B43"/>
    <w:rsid w:val="001F2804"/>
    <w:rsid w:val="001F3BE1"/>
    <w:rsid w:val="001F5F3A"/>
    <w:rsid w:val="001F7AC2"/>
    <w:rsid w:val="00211DF9"/>
    <w:rsid w:val="002134A4"/>
    <w:rsid w:val="002143FC"/>
    <w:rsid w:val="00223828"/>
    <w:rsid w:val="00225B1B"/>
    <w:rsid w:val="00226FA3"/>
    <w:rsid w:val="00230157"/>
    <w:rsid w:val="0023041B"/>
    <w:rsid w:val="00233CB3"/>
    <w:rsid w:val="00234A9E"/>
    <w:rsid w:val="00234ADC"/>
    <w:rsid w:val="00237200"/>
    <w:rsid w:val="00243FA4"/>
    <w:rsid w:val="00244B42"/>
    <w:rsid w:val="00245458"/>
    <w:rsid w:val="00245482"/>
    <w:rsid w:val="00254246"/>
    <w:rsid w:val="00256C58"/>
    <w:rsid w:val="0025766C"/>
    <w:rsid w:val="00257E51"/>
    <w:rsid w:val="00257EF4"/>
    <w:rsid w:val="00262CDD"/>
    <w:rsid w:val="00264364"/>
    <w:rsid w:val="00266694"/>
    <w:rsid w:val="00267E9E"/>
    <w:rsid w:val="00274FD6"/>
    <w:rsid w:val="00276776"/>
    <w:rsid w:val="00285D38"/>
    <w:rsid w:val="00286DE9"/>
    <w:rsid w:val="00291805"/>
    <w:rsid w:val="0029602B"/>
    <w:rsid w:val="0029613D"/>
    <w:rsid w:val="002A0F50"/>
    <w:rsid w:val="002A452F"/>
    <w:rsid w:val="002A5F30"/>
    <w:rsid w:val="002B1CBD"/>
    <w:rsid w:val="002B48A9"/>
    <w:rsid w:val="002B4FF8"/>
    <w:rsid w:val="002C56B3"/>
    <w:rsid w:val="002C5D14"/>
    <w:rsid w:val="002D24A3"/>
    <w:rsid w:val="002D3860"/>
    <w:rsid w:val="002D578E"/>
    <w:rsid w:val="002E0621"/>
    <w:rsid w:val="002E47C8"/>
    <w:rsid w:val="002E7D44"/>
    <w:rsid w:val="002F131B"/>
    <w:rsid w:val="002F14EC"/>
    <w:rsid w:val="002F4190"/>
    <w:rsid w:val="002F60C2"/>
    <w:rsid w:val="00304716"/>
    <w:rsid w:val="003059BB"/>
    <w:rsid w:val="003078D7"/>
    <w:rsid w:val="00313D15"/>
    <w:rsid w:val="00314D41"/>
    <w:rsid w:val="003212EC"/>
    <w:rsid w:val="003213A4"/>
    <w:rsid w:val="00323BB1"/>
    <w:rsid w:val="00324101"/>
    <w:rsid w:val="0033397E"/>
    <w:rsid w:val="003405CD"/>
    <w:rsid w:val="00342113"/>
    <w:rsid w:val="003426F1"/>
    <w:rsid w:val="00350D77"/>
    <w:rsid w:val="0035462C"/>
    <w:rsid w:val="0035744D"/>
    <w:rsid w:val="00357C51"/>
    <w:rsid w:val="0036682C"/>
    <w:rsid w:val="00370C77"/>
    <w:rsid w:val="00372217"/>
    <w:rsid w:val="00391249"/>
    <w:rsid w:val="00391550"/>
    <w:rsid w:val="00391C0A"/>
    <w:rsid w:val="003930F4"/>
    <w:rsid w:val="003941A1"/>
    <w:rsid w:val="00394248"/>
    <w:rsid w:val="003947EC"/>
    <w:rsid w:val="00394C13"/>
    <w:rsid w:val="00395A34"/>
    <w:rsid w:val="003A4F71"/>
    <w:rsid w:val="003A5FE9"/>
    <w:rsid w:val="003A67D7"/>
    <w:rsid w:val="003B554E"/>
    <w:rsid w:val="003B61E1"/>
    <w:rsid w:val="003B642C"/>
    <w:rsid w:val="003C6BF3"/>
    <w:rsid w:val="003D0150"/>
    <w:rsid w:val="003D28E0"/>
    <w:rsid w:val="003D3B57"/>
    <w:rsid w:val="003D4919"/>
    <w:rsid w:val="003D5D5E"/>
    <w:rsid w:val="003D7448"/>
    <w:rsid w:val="003E547F"/>
    <w:rsid w:val="003E5CDA"/>
    <w:rsid w:val="003E69F2"/>
    <w:rsid w:val="004036F8"/>
    <w:rsid w:val="004058FB"/>
    <w:rsid w:val="00405B38"/>
    <w:rsid w:val="00406AC3"/>
    <w:rsid w:val="004122CC"/>
    <w:rsid w:val="0042043A"/>
    <w:rsid w:val="004239C8"/>
    <w:rsid w:val="004258DB"/>
    <w:rsid w:val="00430566"/>
    <w:rsid w:val="00431D8E"/>
    <w:rsid w:val="0043346B"/>
    <w:rsid w:val="00436248"/>
    <w:rsid w:val="00441F45"/>
    <w:rsid w:val="00442362"/>
    <w:rsid w:val="00444ED3"/>
    <w:rsid w:val="004461FD"/>
    <w:rsid w:val="00450208"/>
    <w:rsid w:val="00453A0C"/>
    <w:rsid w:val="00453B1E"/>
    <w:rsid w:val="0045540A"/>
    <w:rsid w:val="00465032"/>
    <w:rsid w:val="00465321"/>
    <w:rsid w:val="0047041D"/>
    <w:rsid w:val="004708D8"/>
    <w:rsid w:val="00473766"/>
    <w:rsid w:val="004761FF"/>
    <w:rsid w:val="004806C5"/>
    <w:rsid w:val="00482152"/>
    <w:rsid w:val="004845B8"/>
    <w:rsid w:val="004900D2"/>
    <w:rsid w:val="00493D77"/>
    <w:rsid w:val="00497FDC"/>
    <w:rsid w:val="004A421F"/>
    <w:rsid w:val="004A43C8"/>
    <w:rsid w:val="004A4450"/>
    <w:rsid w:val="004B7AA2"/>
    <w:rsid w:val="004C2C38"/>
    <w:rsid w:val="004D0462"/>
    <w:rsid w:val="004D0690"/>
    <w:rsid w:val="004E11A4"/>
    <w:rsid w:val="004E4D1B"/>
    <w:rsid w:val="004E5216"/>
    <w:rsid w:val="004F260A"/>
    <w:rsid w:val="004F30A7"/>
    <w:rsid w:val="00500090"/>
    <w:rsid w:val="00504B87"/>
    <w:rsid w:val="00506980"/>
    <w:rsid w:val="0050753C"/>
    <w:rsid w:val="0051227D"/>
    <w:rsid w:val="005144F2"/>
    <w:rsid w:val="00514667"/>
    <w:rsid w:val="00517BCC"/>
    <w:rsid w:val="00526632"/>
    <w:rsid w:val="005345F5"/>
    <w:rsid w:val="00535CF5"/>
    <w:rsid w:val="00537931"/>
    <w:rsid w:val="005418E1"/>
    <w:rsid w:val="0054389A"/>
    <w:rsid w:val="00544F88"/>
    <w:rsid w:val="0054576B"/>
    <w:rsid w:val="00545ABD"/>
    <w:rsid w:val="00546652"/>
    <w:rsid w:val="005469BA"/>
    <w:rsid w:val="005549CE"/>
    <w:rsid w:val="00560460"/>
    <w:rsid w:val="00560D0E"/>
    <w:rsid w:val="0057242A"/>
    <w:rsid w:val="00577BDD"/>
    <w:rsid w:val="00581070"/>
    <w:rsid w:val="005820F6"/>
    <w:rsid w:val="00582A7F"/>
    <w:rsid w:val="005852F0"/>
    <w:rsid w:val="00585DA4"/>
    <w:rsid w:val="00586BA3"/>
    <w:rsid w:val="0059184E"/>
    <w:rsid w:val="00591D44"/>
    <w:rsid w:val="00592E27"/>
    <w:rsid w:val="00593D70"/>
    <w:rsid w:val="005A2AA7"/>
    <w:rsid w:val="005A4EEB"/>
    <w:rsid w:val="005A6CAB"/>
    <w:rsid w:val="005A7C90"/>
    <w:rsid w:val="005B3559"/>
    <w:rsid w:val="005B73A9"/>
    <w:rsid w:val="005C067F"/>
    <w:rsid w:val="005C18BF"/>
    <w:rsid w:val="005C18CD"/>
    <w:rsid w:val="005C1AAF"/>
    <w:rsid w:val="005C1E20"/>
    <w:rsid w:val="005C2B4A"/>
    <w:rsid w:val="005C55EA"/>
    <w:rsid w:val="005C6B23"/>
    <w:rsid w:val="005D0E1C"/>
    <w:rsid w:val="005D6026"/>
    <w:rsid w:val="005D64E9"/>
    <w:rsid w:val="005E5CC1"/>
    <w:rsid w:val="005F2BA8"/>
    <w:rsid w:val="005F5088"/>
    <w:rsid w:val="0060183C"/>
    <w:rsid w:val="006045F9"/>
    <w:rsid w:val="00606658"/>
    <w:rsid w:val="00606C46"/>
    <w:rsid w:val="006076E8"/>
    <w:rsid w:val="00610DD0"/>
    <w:rsid w:val="00613245"/>
    <w:rsid w:val="006259A7"/>
    <w:rsid w:val="0062678E"/>
    <w:rsid w:val="00630A62"/>
    <w:rsid w:val="00633957"/>
    <w:rsid w:val="00635F59"/>
    <w:rsid w:val="006425DA"/>
    <w:rsid w:val="006438A5"/>
    <w:rsid w:val="006523AA"/>
    <w:rsid w:val="006532FA"/>
    <w:rsid w:val="00653C1C"/>
    <w:rsid w:val="00653F2D"/>
    <w:rsid w:val="00655F82"/>
    <w:rsid w:val="00656F37"/>
    <w:rsid w:val="006574DA"/>
    <w:rsid w:val="00663F67"/>
    <w:rsid w:val="00664816"/>
    <w:rsid w:val="00665ED8"/>
    <w:rsid w:val="0067063F"/>
    <w:rsid w:val="006707CC"/>
    <w:rsid w:val="00672490"/>
    <w:rsid w:val="00675E91"/>
    <w:rsid w:val="006831B4"/>
    <w:rsid w:val="00687ECA"/>
    <w:rsid w:val="006903A7"/>
    <w:rsid w:val="0069151D"/>
    <w:rsid w:val="00692939"/>
    <w:rsid w:val="006A161D"/>
    <w:rsid w:val="006A3398"/>
    <w:rsid w:val="006B1AF3"/>
    <w:rsid w:val="006B27D8"/>
    <w:rsid w:val="006B36D9"/>
    <w:rsid w:val="006B3841"/>
    <w:rsid w:val="006B45B4"/>
    <w:rsid w:val="006B77AC"/>
    <w:rsid w:val="006C428A"/>
    <w:rsid w:val="006C5C7A"/>
    <w:rsid w:val="006D4A61"/>
    <w:rsid w:val="006D5EC9"/>
    <w:rsid w:val="006D6002"/>
    <w:rsid w:val="006D6FE0"/>
    <w:rsid w:val="006D7080"/>
    <w:rsid w:val="006E24D4"/>
    <w:rsid w:val="006E58D6"/>
    <w:rsid w:val="006E5C83"/>
    <w:rsid w:val="006F1556"/>
    <w:rsid w:val="006F2B8D"/>
    <w:rsid w:val="006F3626"/>
    <w:rsid w:val="0070526C"/>
    <w:rsid w:val="007069AC"/>
    <w:rsid w:val="0071211F"/>
    <w:rsid w:val="007127F2"/>
    <w:rsid w:val="00712A86"/>
    <w:rsid w:val="00733ED9"/>
    <w:rsid w:val="00734CBE"/>
    <w:rsid w:val="00736B73"/>
    <w:rsid w:val="00736DDA"/>
    <w:rsid w:val="00737DB2"/>
    <w:rsid w:val="00745A63"/>
    <w:rsid w:val="00752C0F"/>
    <w:rsid w:val="00755E9A"/>
    <w:rsid w:val="00760158"/>
    <w:rsid w:val="007625B5"/>
    <w:rsid w:val="00770090"/>
    <w:rsid w:val="007762B9"/>
    <w:rsid w:val="007806F1"/>
    <w:rsid w:val="00782533"/>
    <w:rsid w:val="00784823"/>
    <w:rsid w:val="0078631D"/>
    <w:rsid w:val="007922EE"/>
    <w:rsid w:val="00794821"/>
    <w:rsid w:val="007A24F0"/>
    <w:rsid w:val="007B07E3"/>
    <w:rsid w:val="007B3F8C"/>
    <w:rsid w:val="007C3151"/>
    <w:rsid w:val="007C4B41"/>
    <w:rsid w:val="007C5264"/>
    <w:rsid w:val="007C5DD3"/>
    <w:rsid w:val="007C675D"/>
    <w:rsid w:val="007D2D36"/>
    <w:rsid w:val="007D3D51"/>
    <w:rsid w:val="007D592A"/>
    <w:rsid w:val="007D7DB6"/>
    <w:rsid w:val="007E0438"/>
    <w:rsid w:val="007E23A5"/>
    <w:rsid w:val="007E54F1"/>
    <w:rsid w:val="007F06CF"/>
    <w:rsid w:val="008006FD"/>
    <w:rsid w:val="00801976"/>
    <w:rsid w:val="00810687"/>
    <w:rsid w:val="008106E8"/>
    <w:rsid w:val="00816B20"/>
    <w:rsid w:val="0081700B"/>
    <w:rsid w:val="00817A7E"/>
    <w:rsid w:val="00820E57"/>
    <w:rsid w:val="00831C39"/>
    <w:rsid w:val="00840473"/>
    <w:rsid w:val="00840E97"/>
    <w:rsid w:val="00842F28"/>
    <w:rsid w:val="00844A19"/>
    <w:rsid w:val="00844F50"/>
    <w:rsid w:val="00845B61"/>
    <w:rsid w:val="008466FA"/>
    <w:rsid w:val="00862B33"/>
    <w:rsid w:val="00862F06"/>
    <w:rsid w:val="0086782A"/>
    <w:rsid w:val="0087351F"/>
    <w:rsid w:val="00875EC2"/>
    <w:rsid w:val="008A3E25"/>
    <w:rsid w:val="008A4740"/>
    <w:rsid w:val="008A50CC"/>
    <w:rsid w:val="008A5B12"/>
    <w:rsid w:val="008B1FF4"/>
    <w:rsid w:val="008B4CFF"/>
    <w:rsid w:val="008B6D43"/>
    <w:rsid w:val="008B7331"/>
    <w:rsid w:val="008C06E5"/>
    <w:rsid w:val="008C5E0F"/>
    <w:rsid w:val="008E12EA"/>
    <w:rsid w:val="008E4EBB"/>
    <w:rsid w:val="008F083B"/>
    <w:rsid w:val="00902884"/>
    <w:rsid w:val="009053B2"/>
    <w:rsid w:val="00907639"/>
    <w:rsid w:val="0091749E"/>
    <w:rsid w:val="0092086E"/>
    <w:rsid w:val="009247A0"/>
    <w:rsid w:val="009263F4"/>
    <w:rsid w:val="009335B9"/>
    <w:rsid w:val="0094286A"/>
    <w:rsid w:val="00944801"/>
    <w:rsid w:val="009539F0"/>
    <w:rsid w:val="009571D4"/>
    <w:rsid w:val="0096245A"/>
    <w:rsid w:val="00965022"/>
    <w:rsid w:val="00965DA4"/>
    <w:rsid w:val="00966638"/>
    <w:rsid w:val="00967FB0"/>
    <w:rsid w:val="00970060"/>
    <w:rsid w:val="00970816"/>
    <w:rsid w:val="00970BF1"/>
    <w:rsid w:val="00973A31"/>
    <w:rsid w:val="00982976"/>
    <w:rsid w:val="00982F47"/>
    <w:rsid w:val="0098570B"/>
    <w:rsid w:val="00985C2C"/>
    <w:rsid w:val="009863CE"/>
    <w:rsid w:val="009956A3"/>
    <w:rsid w:val="009A0EC5"/>
    <w:rsid w:val="009A2234"/>
    <w:rsid w:val="009A2A74"/>
    <w:rsid w:val="009A5DA2"/>
    <w:rsid w:val="009B014E"/>
    <w:rsid w:val="009B0234"/>
    <w:rsid w:val="009C0099"/>
    <w:rsid w:val="009C1185"/>
    <w:rsid w:val="009C1861"/>
    <w:rsid w:val="009C2AAD"/>
    <w:rsid w:val="009C2B35"/>
    <w:rsid w:val="009C3F99"/>
    <w:rsid w:val="009C4846"/>
    <w:rsid w:val="009C555A"/>
    <w:rsid w:val="009C7BC5"/>
    <w:rsid w:val="009E1490"/>
    <w:rsid w:val="009E3961"/>
    <w:rsid w:val="009E3EC6"/>
    <w:rsid w:val="009E74BC"/>
    <w:rsid w:val="009F1448"/>
    <w:rsid w:val="009F4C1F"/>
    <w:rsid w:val="009F66C2"/>
    <w:rsid w:val="00A01650"/>
    <w:rsid w:val="00A0498B"/>
    <w:rsid w:val="00A04EAC"/>
    <w:rsid w:val="00A07AA6"/>
    <w:rsid w:val="00A13948"/>
    <w:rsid w:val="00A13F02"/>
    <w:rsid w:val="00A13FDA"/>
    <w:rsid w:val="00A155F0"/>
    <w:rsid w:val="00A15F24"/>
    <w:rsid w:val="00A17843"/>
    <w:rsid w:val="00A21F91"/>
    <w:rsid w:val="00A255D0"/>
    <w:rsid w:val="00A25941"/>
    <w:rsid w:val="00A30BA5"/>
    <w:rsid w:val="00A4420E"/>
    <w:rsid w:val="00A53F39"/>
    <w:rsid w:val="00A5418E"/>
    <w:rsid w:val="00A60E9C"/>
    <w:rsid w:val="00A621C4"/>
    <w:rsid w:val="00A662FD"/>
    <w:rsid w:val="00A71E78"/>
    <w:rsid w:val="00A75C2F"/>
    <w:rsid w:val="00A8076D"/>
    <w:rsid w:val="00A82C70"/>
    <w:rsid w:val="00A83168"/>
    <w:rsid w:val="00A90B89"/>
    <w:rsid w:val="00A91C89"/>
    <w:rsid w:val="00A941CF"/>
    <w:rsid w:val="00AA3D5D"/>
    <w:rsid w:val="00AB0F4D"/>
    <w:rsid w:val="00AB0FF0"/>
    <w:rsid w:val="00AB2316"/>
    <w:rsid w:val="00AB4B1F"/>
    <w:rsid w:val="00AC1A8F"/>
    <w:rsid w:val="00AC25DB"/>
    <w:rsid w:val="00AC6FC6"/>
    <w:rsid w:val="00AC7E24"/>
    <w:rsid w:val="00AD02F2"/>
    <w:rsid w:val="00AD45DC"/>
    <w:rsid w:val="00AD6A10"/>
    <w:rsid w:val="00AD6E3B"/>
    <w:rsid w:val="00AE1AE8"/>
    <w:rsid w:val="00AE1F40"/>
    <w:rsid w:val="00AE355A"/>
    <w:rsid w:val="00AE3C4E"/>
    <w:rsid w:val="00AE591E"/>
    <w:rsid w:val="00AE5AE5"/>
    <w:rsid w:val="00AE7578"/>
    <w:rsid w:val="00AF283D"/>
    <w:rsid w:val="00AF31D5"/>
    <w:rsid w:val="00AF7DA0"/>
    <w:rsid w:val="00B02653"/>
    <w:rsid w:val="00B02970"/>
    <w:rsid w:val="00B06AF6"/>
    <w:rsid w:val="00B07C45"/>
    <w:rsid w:val="00B1591F"/>
    <w:rsid w:val="00B168A0"/>
    <w:rsid w:val="00B215B2"/>
    <w:rsid w:val="00B21E77"/>
    <w:rsid w:val="00B242CD"/>
    <w:rsid w:val="00B25088"/>
    <w:rsid w:val="00B27D78"/>
    <w:rsid w:val="00B33AF5"/>
    <w:rsid w:val="00B3409F"/>
    <w:rsid w:val="00B35536"/>
    <w:rsid w:val="00B40210"/>
    <w:rsid w:val="00B46C51"/>
    <w:rsid w:val="00B51DA6"/>
    <w:rsid w:val="00B53EDC"/>
    <w:rsid w:val="00B559CF"/>
    <w:rsid w:val="00B632C8"/>
    <w:rsid w:val="00B6720C"/>
    <w:rsid w:val="00B67C96"/>
    <w:rsid w:val="00B719D5"/>
    <w:rsid w:val="00B729D7"/>
    <w:rsid w:val="00B72B77"/>
    <w:rsid w:val="00B80BF6"/>
    <w:rsid w:val="00B8267D"/>
    <w:rsid w:val="00B84626"/>
    <w:rsid w:val="00B84FE2"/>
    <w:rsid w:val="00B872D1"/>
    <w:rsid w:val="00B90CC9"/>
    <w:rsid w:val="00B92BF1"/>
    <w:rsid w:val="00B970F2"/>
    <w:rsid w:val="00BA0CED"/>
    <w:rsid w:val="00BA1EB9"/>
    <w:rsid w:val="00BB1DCF"/>
    <w:rsid w:val="00BB637F"/>
    <w:rsid w:val="00BB6C60"/>
    <w:rsid w:val="00BB72E2"/>
    <w:rsid w:val="00BB731B"/>
    <w:rsid w:val="00BB739E"/>
    <w:rsid w:val="00BC2B23"/>
    <w:rsid w:val="00BC44CE"/>
    <w:rsid w:val="00BC52AB"/>
    <w:rsid w:val="00BD31EB"/>
    <w:rsid w:val="00BD42A9"/>
    <w:rsid w:val="00BE1E73"/>
    <w:rsid w:val="00BE2674"/>
    <w:rsid w:val="00BE3A32"/>
    <w:rsid w:val="00BE7408"/>
    <w:rsid w:val="00BF0A40"/>
    <w:rsid w:val="00BF21BE"/>
    <w:rsid w:val="00BF427A"/>
    <w:rsid w:val="00BF4DDB"/>
    <w:rsid w:val="00BF515B"/>
    <w:rsid w:val="00C0187C"/>
    <w:rsid w:val="00C0236B"/>
    <w:rsid w:val="00C06922"/>
    <w:rsid w:val="00C07D1F"/>
    <w:rsid w:val="00C12567"/>
    <w:rsid w:val="00C141F9"/>
    <w:rsid w:val="00C155B3"/>
    <w:rsid w:val="00C17357"/>
    <w:rsid w:val="00C224BA"/>
    <w:rsid w:val="00C26190"/>
    <w:rsid w:val="00C33107"/>
    <w:rsid w:val="00C3357D"/>
    <w:rsid w:val="00C40B62"/>
    <w:rsid w:val="00C416DD"/>
    <w:rsid w:val="00C42A0C"/>
    <w:rsid w:val="00C50CB3"/>
    <w:rsid w:val="00C51BDB"/>
    <w:rsid w:val="00C52766"/>
    <w:rsid w:val="00C551D0"/>
    <w:rsid w:val="00C552BD"/>
    <w:rsid w:val="00C72E6B"/>
    <w:rsid w:val="00C75645"/>
    <w:rsid w:val="00C856D8"/>
    <w:rsid w:val="00C91A7C"/>
    <w:rsid w:val="00C93E23"/>
    <w:rsid w:val="00C95F0F"/>
    <w:rsid w:val="00CA6DC6"/>
    <w:rsid w:val="00CB2A0E"/>
    <w:rsid w:val="00CB3B72"/>
    <w:rsid w:val="00CB5B45"/>
    <w:rsid w:val="00CB5CAF"/>
    <w:rsid w:val="00CB6CC6"/>
    <w:rsid w:val="00CB723C"/>
    <w:rsid w:val="00CB7FBE"/>
    <w:rsid w:val="00CC1024"/>
    <w:rsid w:val="00CC2E49"/>
    <w:rsid w:val="00CC3038"/>
    <w:rsid w:val="00CC43E5"/>
    <w:rsid w:val="00CC6074"/>
    <w:rsid w:val="00CC7F21"/>
    <w:rsid w:val="00CD075C"/>
    <w:rsid w:val="00CD4740"/>
    <w:rsid w:val="00CD4C58"/>
    <w:rsid w:val="00CE1380"/>
    <w:rsid w:val="00CE1B4A"/>
    <w:rsid w:val="00CF0C0A"/>
    <w:rsid w:val="00CF2F29"/>
    <w:rsid w:val="00CF6A33"/>
    <w:rsid w:val="00D01111"/>
    <w:rsid w:val="00D02ED4"/>
    <w:rsid w:val="00D05284"/>
    <w:rsid w:val="00D22B8A"/>
    <w:rsid w:val="00D24CCB"/>
    <w:rsid w:val="00D273FC"/>
    <w:rsid w:val="00D31A1A"/>
    <w:rsid w:val="00D41F3A"/>
    <w:rsid w:val="00D42976"/>
    <w:rsid w:val="00D44A50"/>
    <w:rsid w:val="00D44E64"/>
    <w:rsid w:val="00D457BD"/>
    <w:rsid w:val="00D47D61"/>
    <w:rsid w:val="00D542CC"/>
    <w:rsid w:val="00D55B24"/>
    <w:rsid w:val="00D61052"/>
    <w:rsid w:val="00D61471"/>
    <w:rsid w:val="00D61CC5"/>
    <w:rsid w:val="00D621B8"/>
    <w:rsid w:val="00D63BD5"/>
    <w:rsid w:val="00D63E3D"/>
    <w:rsid w:val="00D70B0F"/>
    <w:rsid w:val="00D71AFC"/>
    <w:rsid w:val="00D72382"/>
    <w:rsid w:val="00D751E6"/>
    <w:rsid w:val="00D77849"/>
    <w:rsid w:val="00D81874"/>
    <w:rsid w:val="00D8201B"/>
    <w:rsid w:val="00D82150"/>
    <w:rsid w:val="00D835EB"/>
    <w:rsid w:val="00D869EA"/>
    <w:rsid w:val="00D97259"/>
    <w:rsid w:val="00DA0BC0"/>
    <w:rsid w:val="00DA6CED"/>
    <w:rsid w:val="00DB08C8"/>
    <w:rsid w:val="00DB09D1"/>
    <w:rsid w:val="00DB47EB"/>
    <w:rsid w:val="00DB5DE8"/>
    <w:rsid w:val="00DB66A3"/>
    <w:rsid w:val="00DC2BB7"/>
    <w:rsid w:val="00DC5809"/>
    <w:rsid w:val="00DC7E0F"/>
    <w:rsid w:val="00DD123C"/>
    <w:rsid w:val="00DD1AB2"/>
    <w:rsid w:val="00DD40E0"/>
    <w:rsid w:val="00DD46CD"/>
    <w:rsid w:val="00DD5451"/>
    <w:rsid w:val="00DD7C93"/>
    <w:rsid w:val="00DF14BB"/>
    <w:rsid w:val="00DF179C"/>
    <w:rsid w:val="00E03447"/>
    <w:rsid w:val="00E14ADE"/>
    <w:rsid w:val="00E15D98"/>
    <w:rsid w:val="00E16DDC"/>
    <w:rsid w:val="00E2394D"/>
    <w:rsid w:val="00E35CBC"/>
    <w:rsid w:val="00E36B17"/>
    <w:rsid w:val="00E41428"/>
    <w:rsid w:val="00E4448B"/>
    <w:rsid w:val="00E45777"/>
    <w:rsid w:val="00E45A76"/>
    <w:rsid w:val="00E52A26"/>
    <w:rsid w:val="00E57EFD"/>
    <w:rsid w:val="00E64DA9"/>
    <w:rsid w:val="00E65223"/>
    <w:rsid w:val="00E670F9"/>
    <w:rsid w:val="00E672D2"/>
    <w:rsid w:val="00E75084"/>
    <w:rsid w:val="00E844A5"/>
    <w:rsid w:val="00E84550"/>
    <w:rsid w:val="00E86790"/>
    <w:rsid w:val="00E87929"/>
    <w:rsid w:val="00E9014D"/>
    <w:rsid w:val="00E945FD"/>
    <w:rsid w:val="00E966D0"/>
    <w:rsid w:val="00EA75F5"/>
    <w:rsid w:val="00EA7A56"/>
    <w:rsid w:val="00EB4BDA"/>
    <w:rsid w:val="00EB6C84"/>
    <w:rsid w:val="00EC27B6"/>
    <w:rsid w:val="00EC7B7B"/>
    <w:rsid w:val="00EC7C8E"/>
    <w:rsid w:val="00ED1080"/>
    <w:rsid w:val="00ED418F"/>
    <w:rsid w:val="00ED48CF"/>
    <w:rsid w:val="00EF0645"/>
    <w:rsid w:val="00EF1465"/>
    <w:rsid w:val="00EF1539"/>
    <w:rsid w:val="00EF4890"/>
    <w:rsid w:val="00F008CE"/>
    <w:rsid w:val="00F01D3E"/>
    <w:rsid w:val="00F05F8D"/>
    <w:rsid w:val="00F074CE"/>
    <w:rsid w:val="00F123F8"/>
    <w:rsid w:val="00F1363C"/>
    <w:rsid w:val="00F15015"/>
    <w:rsid w:val="00F154DD"/>
    <w:rsid w:val="00F178C9"/>
    <w:rsid w:val="00F20BB9"/>
    <w:rsid w:val="00F24C30"/>
    <w:rsid w:val="00F26343"/>
    <w:rsid w:val="00F35AF5"/>
    <w:rsid w:val="00F50330"/>
    <w:rsid w:val="00F51A06"/>
    <w:rsid w:val="00F53C14"/>
    <w:rsid w:val="00F5725F"/>
    <w:rsid w:val="00F702E9"/>
    <w:rsid w:val="00F718C1"/>
    <w:rsid w:val="00F73279"/>
    <w:rsid w:val="00F75325"/>
    <w:rsid w:val="00F80F4D"/>
    <w:rsid w:val="00F86E0C"/>
    <w:rsid w:val="00F87E3D"/>
    <w:rsid w:val="00F908D7"/>
    <w:rsid w:val="00F9461A"/>
    <w:rsid w:val="00FA3A7F"/>
    <w:rsid w:val="00FB06EC"/>
    <w:rsid w:val="00FB0C8E"/>
    <w:rsid w:val="00FB1526"/>
    <w:rsid w:val="00FB322B"/>
    <w:rsid w:val="00FB6F09"/>
    <w:rsid w:val="00FD1B5C"/>
    <w:rsid w:val="00FD1C4D"/>
    <w:rsid w:val="00FD34C3"/>
    <w:rsid w:val="00FD3FBB"/>
    <w:rsid w:val="00FE2D3F"/>
    <w:rsid w:val="00FF2AC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6C60"/>
    <w:pPr>
      <w:spacing w:after="200" w:line="276" w:lineRule="auto"/>
    </w:pPr>
    <w:rPr>
      <w:rFonts w:cs="Calibri"/>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3426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3426F1"/>
  </w:style>
  <w:style w:type="paragraph" w:styleId="Pidipagina">
    <w:name w:val="footer"/>
    <w:basedOn w:val="Normale"/>
    <w:link w:val="PidipaginaCarattere"/>
    <w:uiPriority w:val="99"/>
    <w:rsid w:val="003426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426F1"/>
  </w:style>
  <w:style w:type="paragraph" w:customStyle="1" w:styleId="Typewriter2">
    <w:name w:val="Typewriter 2"/>
    <w:rsid w:val="00582A7F"/>
    <w:pPr>
      <w:spacing w:line="480" w:lineRule="auto"/>
    </w:pPr>
    <w:rPr>
      <w:rFonts w:ascii="American Typewriter" w:eastAsia="ヒラギノ角ゴ Pro W3" w:hAnsi="American Typewriter"/>
      <w:color w:val="000000"/>
      <w:sz w:val="28"/>
      <w:lang w:val="en-US" w:eastAsia="en-US"/>
    </w:rPr>
  </w:style>
  <w:style w:type="paragraph" w:styleId="Testonotaapidipagina">
    <w:name w:val="footnote text"/>
    <w:basedOn w:val="Normale"/>
    <w:link w:val="TestonotaapidipaginaCarattere"/>
    <w:uiPriority w:val="99"/>
    <w:semiHidden/>
    <w:unhideWhenUsed/>
    <w:rsid w:val="00111091"/>
    <w:pPr>
      <w:widowControl w:val="0"/>
      <w:autoSpaceDE w:val="0"/>
      <w:autoSpaceDN w:val="0"/>
      <w:adjustRightInd w:val="0"/>
      <w:spacing w:after="0" w:line="240" w:lineRule="auto"/>
    </w:pPr>
    <w:rPr>
      <w:rFonts w:ascii="Andalus" w:eastAsia="Times New Roman" w:hAnsi="Andalus"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111091"/>
    <w:rPr>
      <w:rFonts w:ascii="Andalus" w:eastAsia="Times New Roman" w:hAnsi="Andalus"/>
      <w:lang w:val="en-US"/>
    </w:rPr>
  </w:style>
  <w:style w:type="character" w:styleId="Rimandonotaapidipagina">
    <w:name w:val="footnote reference"/>
    <w:uiPriority w:val="99"/>
    <w:semiHidden/>
    <w:unhideWhenUsed/>
    <w:rsid w:val="00111091"/>
    <w:rPr>
      <w:vertAlign w:val="superscript"/>
    </w:rPr>
  </w:style>
</w:styles>
</file>

<file path=word/webSettings.xml><?xml version="1.0" encoding="utf-8"?>
<w:webSettings xmlns:r="http://schemas.openxmlformats.org/officeDocument/2006/relationships" xmlns:w="http://schemas.openxmlformats.org/wordprocessingml/2006/main">
  <w:divs>
    <w:div w:id="676004175">
      <w:bodyDiv w:val="1"/>
      <w:marLeft w:val="0"/>
      <w:marRight w:val="0"/>
      <w:marTop w:val="0"/>
      <w:marBottom w:val="0"/>
      <w:divBdr>
        <w:top w:val="none" w:sz="0" w:space="0" w:color="auto"/>
        <w:left w:val="none" w:sz="0" w:space="0" w:color="auto"/>
        <w:bottom w:val="none" w:sz="0" w:space="0" w:color="auto"/>
        <w:right w:val="none" w:sz="0" w:space="0" w:color="auto"/>
      </w:divBdr>
    </w:div>
    <w:div w:id="993484537">
      <w:bodyDiv w:val="1"/>
      <w:marLeft w:val="0"/>
      <w:marRight w:val="0"/>
      <w:marTop w:val="0"/>
      <w:marBottom w:val="0"/>
      <w:divBdr>
        <w:top w:val="none" w:sz="0" w:space="0" w:color="auto"/>
        <w:left w:val="none" w:sz="0" w:space="0" w:color="auto"/>
        <w:bottom w:val="none" w:sz="0" w:space="0" w:color="auto"/>
        <w:right w:val="none" w:sz="0" w:space="0" w:color="auto"/>
      </w:divBdr>
    </w:div>
    <w:div w:id="20098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E5B16-D774-4EF2-96E5-403BC848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6434</TotalTime>
  <Pages>1</Pages>
  <Words>9142</Words>
  <Characters>52115</Characters>
  <Application>Microsoft Office Word</Application>
  <DocSecurity>0</DocSecurity>
  <Lines>434</Lines>
  <Paragraphs>122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 Filosofia</dc:creator>
  <cp:keywords/>
  <dc:description/>
  <cp:lastModifiedBy>Dip. Filosofia</cp:lastModifiedBy>
  <cp:revision>256</cp:revision>
  <dcterms:created xsi:type="dcterms:W3CDTF">2011-12-17T14:27:00Z</dcterms:created>
  <dcterms:modified xsi:type="dcterms:W3CDTF">2015-01-03T21:47:00Z</dcterms:modified>
</cp:coreProperties>
</file>