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83C3" w14:textId="77777777" w:rsidR="00BF6FA3" w:rsidRPr="00BF6FA3" w:rsidRDefault="00BF6FA3">
      <w:pPr>
        <w:rPr>
          <w:b/>
          <w:smallCaps/>
          <w:sz w:val="36"/>
        </w:rPr>
      </w:pPr>
      <w:r w:rsidRPr="00BF6FA3">
        <w:rPr>
          <w:b/>
          <w:smallCaps/>
          <w:sz w:val="36"/>
        </w:rPr>
        <w:t>An Octave of Straw</w:t>
      </w:r>
    </w:p>
    <w:p w14:paraId="7CE99598" w14:textId="77777777" w:rsidR="00BF6FA3" w:rsidRDefault="00BF6FA3"/>
    <w:p w14:paraId="281CEC8B" w14:textId="77777777" w:rsidR="00F17024" w:rsidRDefault="00F17024">
      <w:r>
        <w:t xml:space="preserve">J. B. Kennedy, </w:t>
      </w:r>
      <w:r w:rsidRPr="00F17024">
        <w:rPr>
          <w:i/>
        </w:rPr>
        <w:t>The Musical Stru</w:t>
      </w:r>
      <w:r>
        <w:rPr>
          <w:i/>
        </w:rPr>
        <w:t>c</w:t>
      </w:r>
      <w:r w:rsidRPr="00F17024">
        <w:rPr>
          <w:i/>
        </w:rPr>
        <w:t>ture of Plato’s Dialogues</w:t>
      </w:r>
      <w:r>
        <w:t>. Durham: Acumen Publishing, 2011. ISBN978-1-84465-267-9. $29.95</w:t>
      </w:r>
    </w:p>
    <w:p w14:paraId="78AB61F1" w14:textId="77777777" w:rsidR="00F17024" w:rsidRDefault="00B44755">
      <w:r>
        <w:tab/>
      </w:r>
    </w:p>
    <w:p w14:paraId="61D94566" w14:textId="77777777" w:rsidR="008E39A8" w:rsidRDefault="00E24B83">
      <w:r>
        <w:t xml:space="preserve">Kennedy’s aim is to show that Plato wrote his dialogues </w:t>
      </w:r>
      <w:r w:rsidR="008E39A8">
        <w:t xml:space="preserve">with an underlying musical structure. Kennedy’s book was foreshadowed by a 2010 article in </w:t>
      </w:r>
      <w:r w:rsidR="008E39A8" w:rsidRPr="00A5327C">
        <w:rPr>
          <w:i/>
        </w:rPr>
        <w:t>Apeiron</w:t>
      </w:r>
      <w:r w:rsidR="008E39A8">
        <w:t xml:space="preserve"> that attracted significant attention and critical comment.</w:t>
      </w:r>
      <w:r w:rsidR="00646329">
        <w:rPr>
          <w:rStyle w:val="FootnoteReference"/>
        </w:rPr>
        <w:footnoteReference w:id="1"/>
      </w:r>
      <w:r w:rsidR="008E39A8">
        <w:t xml:space="preserve"> In this review, we want to focus on a slightly different, but related </w:t>
      </w:r>
      <w:r w:rsidR="00F17024">
        <w:t xml:space="preserve">difficulty </w:t>
      </w:r>
      <w:r w:rsidR="008E39A8">
        <w:t xml:space="preserve">about Kennedy’s general thesis – what expectations it requires us to attribute to Plato as author. </w:t>
      </w:r>
      <w:r w:rsidR="00A5327C">
        <w:t xml:space="preserve">Before we turn to this task, we will summarise the content of the book as neutrally as we can for the </w:t>
      </w:r>
      <w:r w:rsidR="00100040">
        <w:t xml:space="preserve">benefit readers who have not previously encountered the </w:t>
      </w:r>
      <w:r w:rsidR="00F17024">
        <w:t>controversy</w:t>
      </w:r>
      <w:r w:rsidR="009F2212">
        <w:t xml:space="preserve"> surrounding it</w:t>
      </w:r>
      <w:r w:rsidR="00A5327C">
        <w:t>.</w:t>
      </w:r>
    </w:p>
    <w:p w14:paraId="674834CA" w14:textId="77777777" w:rsidR="009F2212" w:rsidRDefault="00457743">
      <w:r>
        <w:tab/>
        <w:t xml:space="preserve">The book contains eight chapters and nine appendices. </w:t>
      </w:r>
      <w:r w:rsidR="00EF059B">
        <w:t xml:space="preserve">The first chapter is introductory and seeks to show that Kennedy is returning to an earlier Neoplatonic practice of looking for hidden or allegorical meanings in Plato’s dialogues. </w:t>
      </w:r>
      <w:r w:rsidR="009F2212">
        <w:t xml:space="preserve">We will review and examine the content of this chapter in some detail below. </w:t>
      </w:r>
    </w:p>
    <w:p w14:paraId="581E284F" w14:textId="77777777" w:rsidR="00DC6D20" w:rsidRDefault="00EF059B" w:rsidP="009F2212">
      <w:pPr>
        <w:ind w:firstLine="720"/>
      </w:pPr>
      <w:r>
        <w:t xml:space="preserve">Chapter Two introduces the idea </w:t>
      </w:r>
      <w:r w:rsidR="00524AC6">
        <w:t xml:space="preserve">of a musical scale underlying Plato’s compositions with specific reference to </w:t>
      </w:r>
      <w:r>
        <w:t xml:space="preserve">the </w:t>
      </w:r>
      <w:r w:rsidRPr="00524AC6">
        <w:rPr>
          <w:i/>
        </w:rPr>
        <w:t>Symposium</w:t>
      </w:r>
      <w:r w:rsidR="00524AC6">
        <w:t>.</w:t>
      </w:r>
      <w:r>
        <w:t xml:space="preserve"> </w:t>
      </w:r>
      <w:r w:rsidR="00A03ECE">
        <w:t xml:space="preserve">This structure is imposed on the number of lines in the dialogue, as determined by the standard line length used to determine the cost of copying a work. Hence, Kennedy’s project attends to stichometry – the measurement of works in terms of a </w:t>
      </w:r>
      <w:r w:rsidR="00A03ECE" w:rsidRPr="00A03ECE">
        <w:rPr>
          <w:i/>
        </w:rPr>
        <w:t>stichos</w:t>
      </w:r>
      <w:r w:rsidR="00A03ECE">
        <w:t xml:space="preserve"> or line. This feature of ancient books is hidden by the pagination that we find in editions like the Oxfo</w:t>
      </w:r>
      <w:r w:rsidR="00AB2BC4">
        <w:t>rd Classical T</w:t>
      </w:r>
      <w:r w:rsidR="00A03ECE">
        <w:t>ext</w:t>
      </w:r>
      <w:r w:rsidR="00AB2BC4">
        <w:t>s</w:t>
      </w:r>
      <w:r w:rsidR="00A03ECE">
        <w:t>. So Kennedy has used computer technology to re-format Plato’s dialogues with 35 character lines</w:t>
      </w:r>
      <w:r w:rsidR="00AB2BC4">
        <w:t xml:space="preserve"> that omit </w:t>
      </w:r>
      <w:r w:rsidR="00F17024">
        <w:t>punctuation</w:t>
      </w:r>
      <w:r w:rsidR="00AB2BC4">
        <w:t xml:space="preserve">, spaces, and indications of speaker. </w:t>
      </w:r>
      <w:r w:rsidR="00425B64">
        <w:t>These 35 character lines approximate the hexameter lines that Kennedy claims early copies of Plato’s dialogues preserved.</w:t>
      </w:r>
    </w:p>
    <w:p w14:paraId="17FD535E" w14:textId="77777777" w:rsidR="00DC6D20" w:rsidRDefault="00EF059B" w:rsidP="00DC6D20">
      <w:pPr>
        <w:ind w:firstLine="720"/>
      </w:pPr>
      <w:r>
        <w:t xml:space="preserve">The third chapter seeks to bolster the probability of </w:t>
      </w:r>
      <w:r w:rsidR="00DC6D20">
        <w:t xml:space="preserve">Kennedy’s hypothesis </w:t>
      </w:r>
      <w:r>
        <w:t xml:space="preserve">by consideration of independent lines of argument. </w:t>
      </w:r>
      <w:r w:rsidR="00524AC6">
        <w:t>Kennedy casts a wider net, by attending to the lengths o</w:t>
      </w:r>
      <w:r w:rsidR="00DC6D20">
        <w:t xml:space="preserve">f speeches in various dialogues and by appeal to the idea that different dialogues exhibit parallel passages at the same places in their respective musical structures. The final section of Chapter Three applies the hypothesis of the underlying twelve-part musical structure to the Platonic spuria and dubia. Kennedy reports that among works that are widely accepted to be spurious </w:t>
      </w:r>
      <w:r w:rsidR="00DC6D20" w:rsidRPr="00DC6D20">
        <w:rPr>
          <w:i/>
        </w:rPr>
        <w:t>On Justice</w:t>
      </w:r>
      <w:r w:rsidR="00DC6D20">
        <w:t xml:space="preserve">, </w:t>
      </w:r>
      <w:r w:rsidR="00DC6D20" w:rsidRPr="00DC6D20">
        <w:rPr>
          <w:i/>
        </w:rPr>
        <w:t>Minos</w:t>
      </w:r>
      <w:r w:rsidR="00DC6D20">
        <w:t xml:space="preserve">, </w:t>
      </w:r>
      <w:r w:rsidR="00DC6D20" w:rsidRPr="00DC6D20">
        <w:rPr>
          <w:i/>
        </w:rPr>
        <w:t>On Virtue</w:t>
      </w:r>
      <w:r w:rsidR="00DC6D20">
        <w:t xml:space="preserve"> and </w:t>
      </w:r>
      <w:r w:rsidR="00DC6D20" w:rsidRPr="00DC6D20">
        <w:rPr>
          <w:i/>
        </w:rPr>
        <w:t>Eryxias</w:t>
      </w:r>
      <w:r w:rsidR="00DC6D20">
        <w:t xml:space="preserve"> exhibit no sign of a musical structure. By contrast, </w:t>
      </w:r>
      <w:r w:rsidR="00DC6D20" w:rsidRPr="00DC6D20">
        <w:rPr>
          <w:i/>
        </w:rPr>
        <w:t>Alcibiades I</w:t>
      </w:r>
      <w:r w:rsidR="00DC6D20">
        <w:t xml:space="preserve">, </w:t>
      </w:r>
      <w:r w:rsidR="00DC6D20" w:rsidRPr="00DC6D20">
        <w:rPr>
          <w:i/>
        </w:rPr>
        <w:t>Cleitophon</w:t>
      </w:r>
      <w:r w:rsidR="00DC6D20">
        <w:t xml:space="preserve"> and the </w:t>
      </w:r>
      <w:r w:rsidR="00DC6D20" w:rsidRPr="00DC6D20">
        <w:rPr>
          <w:i/>
        </w:rPr>
        <w:t>Epinomis</w:t>
      </w:r>
      <w:r w:rsidR="00DC6D20">
        <w:t xml:space="preserve"> do. </w:t>
      </w:r>
    </w:p>
    <w:p w14:paraId="6C73E981" w14:textId="77777777" w:rsidR="00DC6D20" w:rsidRDefault="00A63A19" w:rsidP="00DC6D20">
      <w:pPr>
        <w:ind w:firstLine="720"/>
      </w:pPr>
      <w:r>
        <w:t xml:space="preserve">Chapter Four argues that there is an emphatic musical pattern in the framing material that precedes the speeches in the </w:t>
      </w:r>
      <w:r w:rsidRPr="00A5327C">
        <w:rPr>
          <w:i/>
        </w:rPr>
        <w:t>Symposium</w:t>
      </w:r>
      <w:r>
        <w:t xml:space="preserve">. Separated by exactly the same number of lines we have four incidents: Apollodorus </w:t>
      </w:r>
      <w:r w:rsidRPr="00A63A19">
        <w:rPr>
          <w:i/>
        </w:rPr>
        <w:t>halts</w:t>
      </w:r>
      <w:r>
        <w:t xml:space="preserve"> when hailed by his friend; Apollodorus and his friend </w:t>
      </w:r>
      <w:r w:rsidRPr="00A63A19">
        <w:rPr>
          <w:i/>
        </w:rPr>
        <w:t>start walking</w:t>
      </w:r>
      <w:r>
        <w:t xml:space="preserve"> toward </w:t>
      </w:r>
      <w:smartTag w:uri="urn:schemas-microsoft-com:office:smarttags" w:element="place">
        <w:smartTag w:uri="urn:schemas-microsoft-com:office:smarttags" w:element="City">
          <w:r>
            <w:t>Athens</w:t>
          </w:r>
        </w:smartTag>
      </w:smartTag>
      <w:r>
        <w:t xml:space="preserve">; Socrates departs for the party, but </w:t>
      </w:r>
      <w:r w:rsidRPr="00A63A19">
        <w:rPr>
          <w:i/>
        </w:rPr>
        <w:t>halts</w:t>
      </w:r>
      <w:r>
        <w:t xml:space="preserve"> under a porch; Socrates </w:t>
      </w:r>
      <w:r w:rsidRPr="00A63A19">
        <w:rPr>
          <w:i/>
        </w:rPr>
        <w:t>walks</w:t>
      </w:r>
      <w:r>
        <w:t xml:space="preserve"> </w:t>
      </w:r>
      <w:r w:rsidRPr="00A63A19">
        <w:rPr>
          <w:i/>
        </w:rPr>
        <w:t>in</w:t>
      </w:r>
      <w:r>
        <w:t xml:space="preserve"> late and </w:t>
      </w:r>
      <w:r w:rsidRPr="00A63A19">
        <w:rPr>
          <w:i/>
        </w:rPr>
        <w:t>seats</w:t>
      </w:r>
      <w:r>
        <w:t xml:space="preserve"> himself next to Agathon. Kennedy extracts a theory of music from Eryximachus’ speech which he believes </w:t>
      </w:r>
      <w:r w:rsidR="00F17024">
        <w:t>corresponds</w:t>
      </w:r>
      <w:r>
        <w:t xml:space="preserve"> exactly to the features of this pattern.</w:t>
      </w:r>
    </w:p>
    <w:p w14:paraId="35D1E815" w14:textId="77777777" w:rsidR="00A63A19" w:rsidRDefault="00A63A19" w:rsidP="00DC6D20">
      <w:pPr>
        <w:ind w:firstLine="720"/>
      </w:pPr>
      <w:r>
        <w:t>Chapter Five is among the longest in the bo</w:t>
      </w:r>
      <w:r w:rsidR="006E38A4">
        <w:t>ok. It goes through point by point most of the notes on the scale</w:t>
      </w:r>
      <w:r w:rsidR="00A5327C">
        <w:t xml:space="preserve"> </w:t>
      </w:r>
      <w:r w:rsidR="006E38A4">
        <w:t>that Kennedy believes Plato writes to.</w:t>
      </w:r>
      <w:r w:rsidR="00A5327C">
        <w:t xml:space="preserve"> (We will turn to the question of whether Kennedy’s textual division is properly characterised as a scale in a moment.)</w:t>
      </w:r>
      <w:r w:rsidR="006E38A4">
        <w:t xml:space="preserve"> There are twelve </w:t>
      </w:r>
      <w:r w:rsidR="00646329">
        <w:t>“</w:t>
      </w:r>
      <w:r w:rsidR="006E38A4">
        <w:t>whole notes</w:t>
      </w:r>
      <w:r w:rsidR="00646329">
        <w:t>”</w:t>
      </w:r>
      <w:r w:rsidR="006E38A4">
        <w:t xml:space="preserve"> corresponding to equal </w:t>
      </w:r>
      <w:r w:rsidR="00F17024">
        <w:t>twelfths</w:t>
      </w:r>
      <w:r w:rsidR="006E38A4">
        <w:t xml:space="preserve"> of the length of the dialogue (measured in 35 letter lines). Between each of these Kennedy locates three </w:t>
      </w:r>
      <w:r w:rsidR="00646329">
        <w:t>“</w:t>
      </w:r>
      <w:r w:rsidR="006E38A4">
        <w:t>quarter notes</w:t>
      </w:r>
      <w:r w:rsidR="00646329">
        <w:t>”</w:t>
      </w:r>
      <w:r w:rsidR="006E38A4">
        <w:t xml:space="preserve"> making out a division of each </w:t>
      </w:r>
      <w:r w:rsidR="00557DCE">
        <w:t>twelfth</w:t>
      </w:r>
      <w:r w:rsidR="006E38A4">
        <w:t xml:space="preserve"> into four equal </w:t>
      </w:r>
      <w:r w:rsidR="006E38A4">
        <w:lastRenderedPageBreak/>
        <w:t xml:space="preserve">measures. </w:t>
      </w:r>
      <w:r w:rsidR="00557DCE">
        <w:t>Whole notes and quarter notes are marked as harmonious or unharmonious</w:t>
      </w:r>
      <w:r w:rsidR="00EF3079">
        <w:t>.</w:t>
      </w:r>
      <w:r w:rsidR="00557DCE">
        <w:t xml:space="preserve"> </w:t>
      </w:r>
      <w:r w:rsidR="006E38A4">
        <w:t xml:space="preserve">Finally, there is also a </w:t>
      </w:r>
      <w:r w:rsidR="00557DCE">
        <w:t xml:space="preserve">simultaneous </w:t>
      </w:r>
      <w:r w:rsidR="006E38A4">
        <w:t>division</w:t>
      </w:r>
      <w:r w:rsidR="00557DCE">
        <w:t xml:space="preserve"> of the dialogue into sevenths corresponding, Kennedy thinks, to the seven strings of the lyre (pp. 39–40). At each seventh Kennedy believes we find extremely dissonant notions involving things that do not blend (e.g. Orpheus is present among the </w:t>
      </w:r>
      <w:r w:rsidR="00557DCE" w:rsidRPr="00646329">
        <w:rPr>
          <w:i/>
        </w:rPr>
        <w:t>dead</w:t>
      </w:r>
      <w:r w:rsidR="00557DCE">
        <w:t xml:space="preserve"> in Hades while himself still </w:t>
      </w:r>
      <w:r w:rsidR="00557DCE" w:rsidRPr="00646329">
        <w:rPr>
          <w:i/>
        </w:rPr>
        <w:t>alive</w:t>
      </w:r>
      <w:r w:rsidR="00557DCE">
        <w:t xml:space="preserve"> at </w:t>
      </w:r>
      <w:r w:rsidR="00557DCE" w:rsidRPr="00114CAD">
        <w:rPr>
          <w:i/>
        </w:rPr>
        <w:t>Symp</w:t>
      </w:r>
      <w:r w:rsidR="00557DCE">
        <w:t xml:space="preserve">. 179d2 – the first seventh and one that Kennedy regards as </w:t>
      </w:r>
      <w:r w:rsidR="00154AA0">
        <w:t xml:space="preserve">a </w:t>
      </w:r>
      <w:r w:rsidR="00557DCE">
        <w:t xml:space="preserve">particularly obvious clue to the structure of sevenths). Kennedy denotes the whole notes by numbers between 0 and 12 and intervening quarter notes </w:t>
      </w:r>
      <w:r w:rsidR="00793294">
        <w:t xml:space="preserve">by 1.1, 1.2, etc. </w:t>
      </w:r>
      <w:r w:rsidR="00557DCE">
        <w:t xml:space="preserve">Chapter Five goes carefully through the notes </w:t>
      </w:r>
      <w:r w:rsidR="00793294">
        <w:t xml:space="preserve">that occur in the </w:t>
      </w:r>
      <w:r w:rsidR="00793294" w:rsidRPr="00793294">
        <w:rPr>
          <w:i/>
        </w:rPr>
        <w:t>Symposium</w:t>
      </w:r>
      <w:r w:rsidR="00793294" w:rsidRPr="00793294">
        <w:t>’s</w:t>
      </w:r>
      <w:r w:rsidR="00793294">
        <w:t xml:space="preserve"> speeches with translation on the left-hand page </w:t>
      </w:r>
      <w:r w:rsidR="00646329">
        <w:t>(</w:t>
      </w:r>
      <w:r w:rsidR="00793294">
        <w:t>with notes and themes marked</w:t>
      </w:r>
      <w:r w:rsidR="00646329">
        <w:t>)</w:t>
      </w:r>
      <w:r w:rsidR="00793294">
        <w:t>, while the right-hand page contains commentary.</w:t>
      </w:r>
    </w:p>
    <w:p w14:paraId="50C14EF6" w14:textId="77777777" w:rsidR="00793294" w:rsidRDefault="00793294" w:rsidP="00DC6D20">
      <w:pPr>
        <w:ind w:firstLine="720"/>
      </w:pPr>
      <w:r>
        <w:t xml:space="preserve">Chapter Six carries out the same programme for Plato’s </w:t>
      </w:r>
      <w:r w:rsidRPr="002920CA">
        <w:rPr>
          <w:i/>
        </w:rPr>
        <w:t>Euthyphro</w:t>
      </w:r>
      <w:r>
        <w:t xml:space="preserve">. </w:t>
      </w:r>
      <w:r w:rsidR="002920CA">
        <w:t xml:space="preserve">Kennedy </w:t>
      </w:r>
      <w:r w:rsidR="00646329">
        <w:t xml:space="preserve">claims </w:t>
      </w:r>
      <w:r w:rsidR="002920CA">
        <w:t xml:space="preserve">that the underlying musical structure reveals that this dialogue is not genuinely aporetic. Just as the ninth and most harmonious whole note coincides with the vision of the Beautiful in the </w:t>
      </w:r>
      <w:r w:rsidR="002920CA" w:rsidRPr="002920CA">
        <w:rPr>
          <w:i/>
        </w:rPr>
        <w:t>Symposium</w:t>
      </w:r>
      <w:r w:rsidR="002920CA">
        <w:t xml:space="preserve">, so too in the </w:t>
      </w:r>
      <w:r w:rsidR="002920CA" w:rsidRPr="002920CA">
        <w:rPr>
          <w:i/>
        </w:rPr>
        <w:t>Euthyphro</w:t>
      </w:r>
      <w:r w:rsidR="002920CA">
        <w:t xml:space="preserve"> Socrates’ suggestion that the pious</w:t>
      </w:r>
      <w:r w:rsidR="00154AA0">
        <w:t xml:space="preserve"> is a species of justice (12d3)</w:t>
      </w:r>
      <w:r w:rsidR="002920CA">
        <w:t xml:space="preserve"> appears at the ninth whole note in this dialogue. </w:t>
      </w:r>
    </w:p>
    <w:p w14:paraId="22FF0B56" w14:textId="77777777" w:rsidR="009F2212" w:rsidRDefault="00154AA0" w:rsidP="00DC6D20">
      <w:pPr>
        <w:ind w:firstLine="720"/>
      </w:pPr>
      <w:r>
        <w:t xml:space="preserve">The seventh chapter seeks to show that Aristotle’s doctrine that each moral virtue is a mean between two extremes is contained in a hidden manner in Plato’s dialogues. The first step in extracting this doctrine from the musical structure of the Plato’s works is the recognition that Plato has grasped the Golden Ratio. </w:t>
      </w:r>
      <w:r w:rsidR="00715899">
        <w:t>Consider a line divided into two segments, a and b. The division occurs at the golden mean when a</w:t>
      </w:r>
      <w:r w:rsidR="00EF3079">
        <w:t xml:space="preserve"> </w:t>
      </w:r>
      <w:r w:rsidR="00715899">
        <w:t>+</w:t>
      </w:r>
      <w:r w:rsidR="00EF3079">
        <w:t xml:space="preserve"> </w:t>
      </w:r>
      <w:r w:rsidR="00715899">
        <w:t xml:space="preserve">b : a = a : b. The numerical value of the </w:t>
      </w:r>
      <w:r w:rsidR="00EF3079">
        <w:t>Golden M</w:t>
      </w:r>
      <w:r w:rsidR="00715899">
        <w:t xml:space="preserve">ean to three places is .618 or 61.8% and Kennedy observes that the </w:t>
      </w:r>
      <w:r w:rsidR="005C3961" w:rsidRPr="005C3961">
        <w:rPr>
          <w:i/>
        </w:rPr>
        <w:t>Republic</w:t>
      </w:r>
      <w:r w:rsidR="005C3961">
        <w:t xml:space="preserve">’s </w:t>
      </w:r>
      <w:r w:rsidR="00715899">
        <w:t xml:space="preserve">doubly divided line </w:t>
      </w:r>
      <w:r w:rsidR="005C3961">
        <w:t xml:space="preserve">occurs at </w:t>
      </w:r>
      <w:r w:rsidR="00715899">
        <w:t xml:space="preserve">61.8% of the way through the dialogue when it is measured in his standard lines. Similarly, there is talk of a </w:t>
      </w:r>
      <w:r w:rsidR="00715899" w:rsidRPr="005C3961">
        <w:rPr>
          <w:i/>
        </w:rPr>
        <w:t>mesos</w:t>
      </w:r>
      <w:r w:rsidR="00715899">
        <w:t xml:space="preserve"> (mean or middle) at points approximating 61.8% of the way through </w:t>
      </w:r>
      <w:r w:rsidR="00715899" w:rsidRPr="00715899">
        <w:rPr>
          <w:i/>
        </w:rPr>
        <w:t>Symposium</w:t>
      </w:r>
      <w:r w:rsidR="00715899">
        <w:t xml:space="preserve">, </w:t>
      </w:r>
      <w:r w:rsidR="00715899" w:rsidRPr="00715899">
        <w:rPr>
          <w:i/>
        </w:rPr>
        <w:t>Philebus</w:t>
      </w:r>
      <w:r w:rsidR="00715899">
        <w:t xml:space="preserve"> and </w:t>
      </w:r>
      <w:r w:rsidR="00715899" w:rsidRPr="00715899">
        <w:rPr>
          <w:i/>
        </w:rPr>
        <w:t>Phaedrus</w:t>
      </w:r>
      <w:r w:rsidR="00715899">
        <w:t xml:space="preserve">. </w:t>
      </w:r>
    </w:p>
    <w:p w14:paraId="2D629F29" w14:textId="77777777" w:rsidR="00EF3079" w:rsidRDefault="00715899" w:rsidP="00DC6D20">
      <w:pPr>
        <w:ind w:firstLine="720"/>
      </w:pPr>
      <w:r>
        <w:t xml:space="preserve">Alas Kennedy is not very explicit about </w:t>
      </w:r>
      <w:r w:rsidR="00EF3079">
        <w:t xml:space="preserve">exactly </w:t>
      </w:r>
      <w:r>
        <w:t xml:space="preserve">how allusions to the Golden Ratio in Plato’s dialogues vindicate the claim that he was covertly pointing toward the notion that we find in Aristotle that virtue is a mean. It is true, as Kennedy points out, that Aristotle himself introduces the idea that virtue is a state between two </w:t>
      </w:r>
      <w:r w:rsidR="002457C3">
        <w:t>opposed vices with a comment about Pythagoreanism (</w:t>
      </w:r>
      <w:r w:rsidR="002457C3" w:rsidRPr="002457C3">
        <w:rPr>
          <w:i/>
        </w:rPr>
        <w:t>EN</w:t>
      </w:r>
      <w:r w:rsidR="002457C3">
        <w:t xml:space="preserve"> 1106b28). But beyond this, no very definite connection between the Golden Ratio and Aristotle’s moral philosophy is spelled out. </w:t>
      </w:r>
      <w:r w:rsidR="00EF3079">
        <w:t>We believe that t</w:t>
      </w:r>
      <w:r w:rsidR="008E39A8">
        <w:t xml:space="preserve">his is a very disappointing conclusion to the book, for throughout we are led to believe that Plato’s (alleged) composition in accordance with the twelve note scale is </w:t>
      </w:r>
      <w:r w:rsidR="008E39A8" w:rsidRPr="00755F1B">
        <w:rPr>
          <w:i/>
        </w:rPr>
        <w:t>allegorical</w:t>
      </w:r>
      <w:r w:rsidR="008E39A8">
        <w:t xml:space="preserve"> – that is to say, it is intended to communicate some deeper meaning. It is not mere Pythagorean gamesmanship meant to elicit the admiration of those who can count the lines in the work and appreciate the manner in which arguments, episodes and concepts fall at the various divisions of the canon. </w:t>
      </w:r>
    </w:p>
    <w:p w14:paraId="3B80B539" w14:textId="77777777" w:rsidR="00AD4B8A" w:rsidRDefault="00AD4B8A" w:rsidP="00DC6D20">
      <w:pPr>
        <w:ind w:firstLine="720"/>
      </w:pPr>
      <w:r>
        <w:t>A final c</w:t>
      </w:r>
      <w:r w:rsidR="008E39A8">
        <w:t xml:space="preserve">hapter summarises the argument, attempts to forestall certain objections and sets the direction for future research. </w:t>
      </w:r>
    </w:p>
    <w:p w14:paraId="53B51091" w14:textId="77777777" w:rsidR="00F17024" w:rsidRDefault="00F17024" w:rsidP="008E39A8">
      <w:pPr>
        <w:pStyle w:val="NoSpacing"/>
        <w:ind w:firstLine="720"/>
        <w:rPr>
          <w:rFonts w:ascii="Times New Roman" w:hAnsi="Times New Roman"/>
          <w:sz w:val="24"/>
          <w:szCs w:val="24"/>
        </w:rPr>
      </w:pPr>
    </w:p>
    <w:p w14:paraId="644961BE" w14:textId="77777777" w:rsidR="008E39A8" w:rsidRDefault="00EF3079" w:rsidP="008E39A8">
      <w:pPr>
        <w:pStyle w:val="NoSpacing"/>
        <w:ind w:firstLine="720"/>
        <w:rPr>
          <w:rFonts w:ascii="Times New Roman" w:hAnsi="Times New Roman"/>
          <w:sz w:val="24"/>
          <w:szCs w:val="24"/>
        </w:rPr>
      </w:pPr>
      <w:r>
        <w:rPr>
          <w:rFonts w:ascii="Times New Roman" w:hAnsi="Times New Roman"/>
          <w:sz w:val="24"/>
          <w:szCs w:val="24"/>
        </w:rPr>
        <w:t xml:space="preserve">Should readers believe the major contentions of this book? </w:t>
      </w:r>
      <w:r w:rsidR="008E39A8">
        <w:rPr>
          <w:rFonts w:ascii="Times New Roman" w:hAnsi="Times New Roman"/>
          <w:sz w:val="24"/>
          <w:szCs w:val="24"/>
        </w:rPr>
        <w:t xml:space="preserve">Let us consider the expectations that Kennedy’s thesis requires that we attribute to Plato. Kennedy argues that Plato expected his dialogues to be copied in such a way that the text </w:t>
      </w:r>
      <w:r w:rsidR="009F2212">
        <w:rPr>
          <w:rFonts w:ascii="Times New Roman" w:hAnsi="Times New Roman"/>
          <w:sz w:val="24"/>
          <w:szCs w:val="24"/>
        </w:rPr>
        <w:t xml:space="preserve">would be </w:t>
      </w:r>
      <w:r w:rsidR="008E39A8">
        <w:rPr>
          <w:rFonts w:ascii="Times New Roman" w:hAnsi="Times New Roman"/>
          <w:sz w:val="24"/>
          <w:szCs w:val="24"/>
        </w:rPr>
        <w:t>laid out in regular lines of hexameter. And Pla</w:t>
      </w:r>
      <w:r w:rsidR="00084FE3">
        <w:rPr>
          <w:rFonts w:ascii="Times New Roman" w:hAnsi="Times New Roman"/>
          <w:sz w:val="24"/>
          <w:szCs w:val="24"/>
        </w:rPr>
        <w:t xml:space="preserve">to expected some of his readers – </w:t>
      </w:r>
      <w:r w:rsidR="008E39A8">
        <w:rPr>
          <w:rFonts w:ascii="Times New Roman" w:hAnsi="Times New Roman"/>
          <w:sz w:val="24"/>
          <w:szCs w:val="24"/>
        </w:rPr>
        <w:t>p</w:t>
      </w:r>
      <w:r w:rsidR="00084FE3">
        <w:rPr>
          <w:rFonts w:ascii="Times New Roman" w:hAnsi="Times New Roman"/>
          <w:sz w:val="24"/>
          <w:szCs w:val="24"/>
        </w:rPr>
        <w:t>erhaps</w:t>
      </w:r>
      <w:r w:rsidR="008E39A8">
        <w:rPr>
          <w:rFonts w:ascii="Times New Roman" w:hAnsi="Times New Roman"/>
          <w:sz w:val="24"/>
          <w:szCs w:val="24"/>
        </w:rPr>
        <w:t xml:space="preserve"> only an elect few</w:t>
      </w:r>
      <w:r w:rsidR="00084FE3">
        <w:rPr>
          <w:rFonts w:ascii="Times New Roman" w:hAnsi="Times New Roman"/>
          <w:sz w:val="24"/>
          <w:szCs w:val="24"/>
        </w:rPr>
        <w:t xml:space="preserve"> –</w:t>
      </w:r>
      <w:r w:rsidR="008E39A8">
        <w:rPr>
          <w:rFonts w:ascii="Times New Roman" w:hAnsi="Times New Roman"/>
          <w:sz w:val="24"/>
          <w:szCs w:val="24"/>
        </w:rPr>
        <w:t xml:space="preserve"> to count lines as they were reading, and to notice when they had reached one twelfth of the full length of the text, two twelfths, three twelfths, and so on. Indeed, he expected some of his readers to notice when they had reached each quarter of the way through each twelfth. Kennedy also argues that Plato expected </w:t>
      </w:r>
      <w:r w:rsidR="008E39A8">
        <w:rPr>
          <w:rFonts w:ascii="Times New Roman" w:hAnsi="Times New Roman"/>
          <w:sz w:val="24"/>
          <w:szCs w:val="24"/>
        </w:rPr>
        <w:lastRenderedPageBreak/>
        <w:t xml:space="preserve">some of his readers to be mindful, while reading the dialogues, of a correspondence between lengths of text and lengths of a vibrating string or monochord. If a string is stretched so that its vibrations will create a musical note, and if a movable bridge is placed so that the length of string that vibrates is altered, then you will find that placing the bridge at successive twelfths of the entire length will create twelve different notes. For instance, at a length of three-twelfths of the whole length the note will be two octaves above the note played by the whole string (call that note </w:t>
      </w:r>
      <w:r w:rsidR="008E39A8">
        <w:rPr>
          <w:rFonts w:ascii="Times New Roman" w:hAnsi="Times New Roman"/>
          <w:i/>
          <w:sz w:val="24"/>
          <w:szCs w:val="24"/>
        </w:rPr>
        <w:t>ut</w:t>
      </w:r>
      <w:r w:rsidR="008E39A8">
        <w:rPr>
          <w:rFonts w:ascii="Times New Roman" w:hAnsi="Times New Roman"/>
          <w:sz w:val="24"/>
          <w:szCs w:val="24"/>
        </w:rPr>
        <w:t xml:space="preserve">). At a length of six-twelfths the note will be one octave above </w:t>
      </w:r>
      <w:r w:rsidR="008E39A8">
        <w:rPr>
          <w:rFonts w:ascii="Times New Roman" w:hAnsi="Times New Roman"/>
          <w:i/>
          <w:sz w:val="24"/>
          <w:szCs w:val="24"/>
        </w:rPr>
        <w:t>ut</w:t>
      </w:r>
      <w:r w:rsidR="008E39A8">
        <w:rPr>
          <w:rFonts w:ascii="Times New Roman" w:hAnsi="Times New Roman"/>
          <w:sz w:val="24"/>
          <w:szCs w:val="24"/>
        </w:rPr>
        <w:t xml:space="preserve">. At eight-twelfths the note will be the </w:t>
      </w:r>
      <w:r w:rsidR="008E39A8">
        <w:rPr>
          <w:rFonts w:ascii="Times New Roman" w:hAnsi="Times New Roman"/>
          <w:i/>
          <w:sz w:val="24"/>
          <w:szCs w:val="24"/>
        </w:rPr>
        <w:t>sol</w:t>
      </w:r>
      <w:r w:rsidR="008E39A8">
        <w:rPr>
          <w:rFonts w:ascii="Times New Roman" w:hAnsi="Times New Roman"/>
          <w:sz w:val="24"/>
          <w:szCs w:val="24"/>
        </w:rPr>
        <w:t xml:space="preserve"> above </w:t>
      </w:r>
      <w:r w:rsidR="008E39A8">
        <w:rPr>
          <w:rFonts w:ascii="Times New Roman" w:hAnsi="Times New Roman"/>
          <w:i/>
          <w:sz w:val="24"/>
          <w:szCs w:val="24"/>
        </w:rPr>
        <w:t>ut</w:t>
      </w:r>
      <w:r w:rsidR="008E39A8">
        <w:rPr>
          <w:rFonts w:ascii="Times New Roman" w:hAnsi="Times New Roman"/>
          <w:sz w:val="24"/>
          <w:szCs w:val="24"/>
        </w:rPr>
        <w:t xml:space="preserve">; at nine-twelfths the note will be the </w:t>
      </w:r>
      <w:r w:rsidR="008E39A8">
        <w:rPr>
          <w:rFonts w:ascii="Times New Roman" w:hAnsi="Times New Roman"/>
          <w:i/>
          <w:sz w:val="24"/>
          <w:szCs w:val="24"/>
        </w:rPr>
        <w:t>fa</w:t>
      </w:r>
      <w:r w:rsidR="008E39A8">
        <w:rPr>
          <w:rFonts w:ascii="Times New Roman" w:hAnsi="Times New Roman"/>
          <w:sz w:val="24"/>
          <w:szCs w:val="24"/>
        </w:rPr>
        <w:t xml:space="preserve"> above </w:t>
      </w:r>
      <w:r w:rsidR="008E39A8">
        <w:rPr>
          <w:rFonts w:ascii="Times New Roman" w:hAnsi="Times New Roman"/>
          <w:i/>
          <w:sz w:val="24"/>
          <w:szCs w:val="24"/>
        </w:rPr>
        <w:t>ut</w:t>
      </w:r>
      <w:r w:rsidR="008E39A8">
        <w:rPr>
          <w:rFonts w:ascii="Times New Roman" w:hAnsi="Times New Roman"/>
          <w:sz w:val="24"/>
          <w:szCs w:val="24"/>
        </w:rPr>
        <w:t xml:space="preserve">. And those are the first moves that the Pythagoreans make in their </w:t>
      </w:r>
      <w:r w:rsidR="008E39A8">
        <w:rPr>
          <w:rFonts w:ascii="Times New Roman" w:hAnsi="Times New Roman"/>
          <w:i/>
          <w:sz w:val="24"/>
          <w:szCs w:val="24"/>
        </w:rPr>
        <w:t>sol-fa</w:t>
      </w:r>
      <w:r w:rsidR="008E39A8">
        <w:rPr>
          <w:rFonts w:ascii="Times New Roman" w:hAnsi="Times New Roman"/>
          <w:sz w:val="24"/>
          <w:szCs w:val="24"/>
        </w:rPr>
        <w:t xml:space="preserve"> division of the octave. The other twelfths yield notes that are perfectly harmonious “in themselves” (as it were) – and perfectly harmonious with many of the other notes that can be played at various of the other twelfths on the monochord; but many of these notes are discordant with the </w:t>
      </w:r>
      <w:r w:rsidR="008E39A8">
        <w:rPr>
          <w:rFonts w:ascii="Times New Roman" w:hAnsi="Times New Roman"/>
          <w:i/>
          <w:sz w:val="24"/>
          <w:szCs w:val="24"/>
        </w:rPr>
        <w:t>ut</w:t>
      </w:r>
      <w:r w:rsidR="008E39A8">
        <w:rPr>
          <w:rFonts w:ascii="Times New Roman" w:hAnsi="Times New Roman"/>
          <w:sz w:val="24"/>
          <w:szCs w:val="24"/>
        </w:rPr>
        <w:t xml:space="preserve"> played by the string as a whole. </w:t>
      </w:r>
    </w:p>
    <w:p w14:paraId="6E379268" w14:textId="77777777" w:rsidR="008E39A8" w:rsidRDefault="008E39A8" w:rsidP="008E39A8">
      <w:pPr>
        <w:pStyle w:val="NoSpacing"/>
        <w:ind w:firstLine="720"/>
        <w:rPr>
          <w:rFonts w:ascii="Times New Roman" w:hAnsi="Times New Roman"/>
          <w:sz w:val="24"/>
          <w:szCs w:val="24"/>
        </w:rPr>
      </w:pPr>
      <w:r>
        <w:rPr>
          <w:rFonts w:ascii="Times New Roman" w:hAnsi="Times New Roman"/>
          <w:sz w:val="24"/>
          <w:szCs w:val="24"/>
        </w:rPr>
        <w:t xml:space="preserve">Kennedy construes these notes as comprising a twelve-note “scale”; and indeed he construes equal divisions of twelfths into quarters as creating “quarter tones” within this “scale”. In fact, at three-twelfths and six-twelfths we have repetitions of the lowest-note, raised by an octave or two: so Kennedy’s twelve notes do not in fact divide the octave into a twelve-note “scale”, but only into a ten-note “scale”. But let that pass. His theory is that Plato expected some of his readers to be mindful, when reading any given passage within the dialogues, of whether the corresponding note is or is not “harmonious”; and by this he means that the reader is to be mindful </w:t>
      </w:r>
      <w:r>
        <w:rPr>
          <w:rFonts w:ascii="Times New Roman" w:hAnsi="Times New Roman"/>
          <w:i/>
          <w:sz w:val="24"/>
          <w:szCs w:val="24"/>
        </w:rPr>
        <w:t>only</w:t>
      </w:r>
      <w:r>
        <w:rPr>
          <w:rFonts w:ascii="Times New Roman" w:hAnsi="Times New Roman"/>
          <w:sz w:val="24"/>
          <w:szCs w:val="24"/>
        </w:rPr>
        <w:t xml:space="preserve"> of whether this note is harmonious with the note </w:t>
      </w:r>
      <w:r>
        <w:rPr>
          <w:rFonts w:ascii="Times New Roman" w:hAnsi="Times New Roman"/>
          <w:i/>
          <w:sz w:val="24"/>
          <w:szCs w:val="24"/>
        </w:rPr>
        <w:t>ut</w:t>
      </w:r>
      <w:r>
        <w:rPr>
          <w:rFonts w:ascii="Times New Roman" w:hAnsi="Times New Roman"/>
          <w:sz w:val="24"/>
          <w:szCs w:val="24"/>
        </w:rPr>
        <w:t xml:space="preserve"> that is played by the whole string – Kennedy pays no concern to the question of whether the note is harmonious with any of the </w:t>
      </w:r>
      <w:r>
        <w:rPr>
          <w:rFonts w:ascii="Times New Roman" w:hAnsi="Times New Roman"/>
          <w:i/>
          <w:sz w:val="24"/>
          <w:szCs w:val="24"/>
        </w:rPr>
        <w:t>other</w:t>
      </w:r>
      <w:r>
        <w:rPr>
          <w:rFonts w:ascii="Times New Roman" w:hAnsi="Times New Roman"/>
          <w:sz w:val="24"/>
          <w:szCs w:val="24"/>
        </w:rPr>
        <w:t xml:space="preserve"> notes in the neighbourhood. </w:t>
      </w:r>
    </w:p>
    <w:p w14:paraId="64F89E8F" w14:textId="77777777" w:rsidR="008E39A8" w:rsidRDefault="008E39A8" w:rsidP="008E39A8">
      <w:pPr>
        <w:pStyle w:val="NoSpacing"/>
        <w:ind w:firstLine="720"/>
        <w:rPr>
          <w:rFonts w:ascii="Times New Roman" w:hAnsi="Times New Roman"/>
          <w:sz w:val="24"/>
          <w:szCs w:val="24"/>
        </w:rPr>
      </w:pPr>
      <w:r>
        <w:rPr>
          <w:rFonts w:ascii="Times New Roman" w:hAnsi="Times New Roman"/>
          <w:sz w:val="24"/>
          <w:szCs w:val="24"/>
        </w:rPr>
        <w:t xml:space="preserve">Kennedy’s theory also assumes that Plato expected some of his readers to use these musical correspondences as a </w:t>
      </w:r>
      <w:r w:rsidR="009F2212">
        <w:rPr>
          <w:rFonts w:ascii="Times New Roman" w:hAnsi="Times New Roman"/>
          <w:sz w:val="24"/>
          <w:szCs w:val="24"/>
        </w:rPr>
        <w:t xml:space="preserve">clue to discovering </w:t>
      </w:r>
      <w:r>
        <w:rPr>
          <w:rFonts w:ascii="Times New Roman" w:hAnsi="Times New Roman"/>
          <w:sz w:val="24"/>
          <w:szCs w:val="24"/>
        </w:rPr>
        <w:t xml:space="preserve">some of Plato’s “unwritten doctrines”. </w:t>
      </w:r>
      <w:r w:rsidR="00084FE3">
        <w:rPr>
          <w:rFonts w:ascii="Times New Roman" w:hAnsi="Times New Roman"/>
          <w:sz w:val="24"/>
          <w:szCs w:val="24"/>
        </w:rPr>
        <w:t xml:space="preserve">The notion of hidden doctrines requires careful consideration. </w:t>
      </w:r>
      <w:r>
        <w:rPr>
          <w:rFonts w:ascii="Times New Roman" w:hAnsi="Times New Roman"/>
          <w:sz w:val="24"/>
          <w:szCs w:val="24"/>
        </w:rPr>
        <w:t xml:space="preserve">There are </w:t>
      </w:r>
      <w:r w:rsidR="000C0982">
        <w:rPr>
          <w:rFonts w:ascii="Times New Roman" w:hAnsi="Times New Roman"/>
          <w:sz w:val="24"/>
          <w:szCs w:val="24"/>
        </w:rPr>
        <w:t xml:space="preserve">at least </w:t>
      </w:r>
      <w:r>
        <w:rPr>
          <w:rFonts w:ascii="Times New Roman" w:hAnsi="Times New Roman"/>
          <w:sz w:val="24"/>
          <w:szCs w:val="24"/>
        </w:rPr>
        <w:t xml:space="preserve">two senses in which something might count as an “unwritten” or “secret” doctrine. It could be a doctrine that no one has ever articulated before. (But Kennedy gives no example of any possible “secret doctrine” of that kind.) Or it could be a doctrine for which the “secret” is only </w:t>
      </w:r>
      <w:r>
        <w:rPr>
          <w:rFonts w:ascii="Times New Roman" w:hAnsi="Times New Roman"/>
          <w:i/>
          <w:sz w:val="24"/>
          <w:szCs w:val="24"/>
        </w:rPr>
        <w:t>that Plato held this doctrine</w:t>
      </w:r>
      <w:r>
        <w:rPr>
          <w:rFonts w:ascii="Times New Roman" w:hAnsi="Times New Roman"/>
          <w:sz w:val="24"/>
          <w:szCs w:val="24"/>
        </w:rPr>
        <w:t xml:space="preserve">. Kennedy does give an example of a possible “secret doctrine” of this kind. In the </w:t>
      </w:r>
      <w:r>
        <w:rPr>
          <w:rFonts w:ascii="Times New Roman" w:hAnsi="Times New Roman"/>
          <w:i/>
          <w:sz w:val="24"/>
          <w:szCs w:val="24"/>
        </w:rPr>
        <w:t>Euthyphro</w:t>
      </w:r>
      <w:r>
        <w:rPr>
          <w:rFonts w:ascii="Times New Roman" w:hAnsi="Times New Roman"/>
          <w:sz w:val="24"/>
          <w:szCs w:val="24"/>
        </w:rPr>
        <w:t xml:space="preserve"> at one point Socrates suggests that “piety is a species of justice”. Kennedy suggests that readers who were mindful of musical correspondences would see that this suggestion by Socrates corresponds musically to a particularly “harmonious” note – “at the ninth note” (p.</w:t>
      </w:r>
      <w:r w:rsidR="00EF3079">
        <w:rPr>
          <w:rFonts w:ascii="Times New Roman" w:hAnsi="Times New Roman"/>
          <w:sz w:val="24"/>
          <w:szCs w:val="24"/>
        </w:rPr>
        <w:t xml:space="preserve"> </w:t>
      </w:r>
      <w:r>
        <w:rPr>
          <w:rFonts w:ascii="Times New Roman" w:hAnsi="Times New Roman"/>
          <w:sz w:val="24"/>
          <w:szCs w:val="24"/>
        </w:rPr>
        <w:t>246) – and they would conclude from this that this doctrine is one that Plato himself really does endorse. Kennedy concludes (p.</w:t>
      </w:r>
      <w:r w:rsidR="00EF3079">
        <w:rPr>
          <w:rFonts w:ascii="Times New Roman" w:hAnsi="Times New Roman"/>
          <w:sz w:val="24"/>
          <w:szCs w:val="24"/>
        </w:rPr>
        <w:t xml:space="preserve"> </w:t>
      </w:r>
      <w:r>
        <w:rPr>
          <w:rFonts w:ascii="Times New Roman" w:hAnsi="Times New Roman"/>
          <w:sz w:val="24"/>
          <w:szCs w:val="24"/>
        </w:rPr>
        <w:t xml:space="preserve">246): “It seems that, for the first time, we can hear Plato’s own voice.” </w:t>
      </w:r>
    </w:p>
    <w:p w14:paraId="30E7BAAD" w14:textId="77777777" w:rsidR="008E39A8" w:rsidRDefault="008E39A8" w:rsidP="008E39A8">
      <w:pPr>
        <w:pStyle w:val="NoSpacing"/>
        <w:ind w:firstLine="720"/>
        <w:rPr>
          <w:rFonts w:ascii="Times New Roman" w:hAnsi="Times New Roman"/>
          <w:sz w:val="24"/>
          <w:szCs w:val="24"/>
        </w:rPr>
      </w:pPr>
      <w:r>
        <w:rPr>
          <w:rFonts w:ascii="Times New Roman" w:hAnsi="Times New Roman"/>
          <w:sz w:val="24"/>
          <w:szCs w:val="24"/>
        </w:rPr>
        <w:t xml:space="preserve">Kennedy does not give any clear indication of what relevant readers Plato could have had in mind, or why he might have wanted only those readers and no one else to know the secret that he, Plato, believed the doctrine that “piety is a species of justice”. Kennedy does suggest that for some “secret doctrines” it might be well to conceal your true beliefs for fear of persecution: but that is not a plausible motive for concealing the belief that “piety is a species of justice”. </w:t>
      </w:r>
    </w:p>
    <w:p w14:paraId="44F159D0" w14:textId="77777777" w:rsidR="00EF3079" w:rsidRDefault="008627C9" w:rsidP="008E39A8">
      <w:pPr>
        <w:ind w:firstLine="720"/>
      </w:pPr>
      <w:r>
        <w:t xml:space="preserve">These considerations about Plato’s expectations as author make the material in Chapter One particularly salient. We suppose that Kennedy thinks that it is reasonable to attribute these </w:t>
      </w:r>
      <w:r w:rsidR="00EF3079">
        <w:t xml:space="preserve">expectations </w:t>
      </w:r>
      <w:r>
        <w:t xml:space="preserve">about </w:t>
      </w:r>
      <w:r w:rsidR="009F2212">
        <w:t xml:space="preserve">the </w:t>
      </w:r>
      <w:r>
        <w:t xml:space="preserve">audience </w:t>
      </w:r>
      <w:r w:rsidR="009F2212">
        <w:t xml:space="preserve">for the dialogues </w:t>
      </w:r>
      <w:r>
        <w:t xml:space="preserve">to Plato because Kennedy thinks that he is </w:t>
      </w:r>
      <w:r w:rsidRPr="000C0982">
        <w:rPr>
          <w:i/>
        </w:rPr>
        <w:t>recovering</w:t>
      </w:r>
      <w:r>
        <w:t xml:space="preserve"> a way of reading philosophical texts that has now largely been discarded. </w:t>
      </w:r>
      <w:r w:rsidR="008E39A8">
        <w:t xml:space="preserve">The first chapter provides something of a literature </w:t>
      </w:r>
      <w:r w:rsidR="008E39A8">
        <w:lastRenderedPageBreak/>
        <w:t xml:space="preserve">survey on </w:t>
      </w:r>
      <w:r w:rsidR="008E39A8" w:rsidRPr="008627C9">
        <w:rPr>
          <w:i/>
        </w:rPr>
        <w:t>philosophical allegory</w:t>
      </w:r>
      <w:r w:rsidR="008E39A8">
        <w:t xml:space="preserve">. Kennedy argues that philosophical allegory has been rehabilitated by a variety of recent trends in scholarship on ancient philosophy. </w:t>
      </w:r>
    </w:p>
    <w:p w14:paraId="7A0F47AB" w14:textId="77777777" w:rsidR="008E39A8" w:rsidRDefault="008627C9" w:rsidP="008E39A8">
      <w:pPr>
        <w:ind w:firstLine="720"/>
      </w:pPr>
      <w:r>
        <w:t>W</w:t>
      </w:r>
      <w:r w:rsidR="008E39A8">
        <w:t>e believe</w:t>
      </w:r>
      <w:r>
        <w:t>, however,</w:t>
      </w:r>
      <w:r w:rsidR="008E39A8">
        <w:t xml:space="preserve"> that Kennedy uses the phrase ‘philosophical allegory’ in two importantly different ways. </w:t>
      </w:r>
      <w:r>
        <w:t>As a result, his first chapter does not show that he is returning to a long-lost way of approaching philosophical texts.</w:t>
      </w:r>
      <w:r w:rsidR="00EF3079">
        <w:t xml:space="preserve"> </w:t>
      </w:r>
      <w:r w:rsidR="008E39A8">
        <w:t xml:space="preserve">First, there is the allegorical </w:t>
      </w:r>
      <w:r w:rsidR="008E39A8" w:rsidRPr="00A87314">
        <w:rPr>
          <w:i/>
        </w:rPr>
        <w:t>reading</w:t>
      </w:r>
      <w:r w:rsidR="008E39A8">
        <w:t xml:space="preserve"> of cryptic, semantically dense poetic texts </w:t>
      </w:r>
      <w:r w:rsidR="008E39A8" w:rsidRPr="008627C9">
        <w:rPr>
          <w:i/>
        </w:rPr>
        <w:t>by philosophers</w:t>
      </w:r>
      <w:r w:rsidR="008E39A8">
        <w:t xml:space="preserve"> so as to show that their deep content coheres with a particular philosophical view. Thus the Derveni papyrus reveals a use of allegorical reading strategies by a philosophically educated author on Orphic texts and traditions. This must be distinguished from allegorical </w:t>
      </w:r>
      <w:r w:rsidR="008E39A8" w:rsidRPr="00A87314">
        <w:rPr>
          <w:i/>
        </w:rPr>
        <w:t>writing</w:t>
      </w:r>
      <w:r w:rsidR="008E39A8">
        <w:t xml:space="preserve"> practiced by philosophers in the construction of texts that identify themselves as part of the emerging genre of the philosophical work. Viewed in light of this distinction between allegorical readings by philosophers and allegorical writings by philosophers, the sections of Chapter One look a bit disconnected. </w:t>
      </w:r>
      <w:r w:rsidR="000C0982">
        <w:t>Let us examine it in detail.</w:t>
      </w:r>
    </w:p>
    <w:p w14:paraId="373D536C" w14:textId="77777777" w:rsidR="009F2212" w:rsidRDefault="008E39A8" w:rsidP="008E39A8">
      <w:pPr>
        <w:ind w:firstLine="720"/>
      </w:pPr>
      <w:r>
        <w:t xml:space="preserve">Chapter One breaks down into eight sections. The first section cites Sedley’s work on Plato’s </w:t>
      </w:r>
      <w:r w:rsidRPr="00CB3F7F">
        <w:rPr>
          <w:i/>
        </w:rPr>
        <w:t>Cratylus</w:t>
      </w:r>
      <w:r>
        <w:t xml:space="preserve"> and the evidence of the Derveni papyrus to argue that Plato and his contemporaries took allegorical etymologies to be a potential source of wisdom. The second section reviews the evidence for associating various practitioners of allegorical reading, such as Metrodorus of Lampsacus, with the Socratic circle. Thus far we have only evidence of the utilisation of allegorical </w:t>
      </w:r>
      <w:r w:rsidRPr="00975368">
        <w:rPr>
          <w:i/>
        </w:rPr>
        <w:t>reading</w:t>
      </w:r>
      <w:r>
        <w:t xml:space="preserve"> strategies by philosophers. Kennedy goes on to argue tha</w:t>
      </w:r>
      <w:r w:rsidR="00EF3079">
        <w:t>t Plato’s dialogues themselves “</w:t>
      </w:r>
      <w:r>
        <w:t>deploy many allegorical devices and explicitly call attention to them</w:t>
      </w:r>
      <w:r w:rsidR="00EF3079">
        <w:t>”</w:t>
      </w:r>
      <w:r>
        <w:t xml:space="preserve"> (p. 7). Kennedy’s </w:t>
      </w:r>
      <w:r w:rsidR="00EF3079">
        <w:t>prime</w:t>
      </w:r>
      <w:r>
        <w:t xml:space="preserve"> example is the cave in the </w:t>
      </w:r>
      <w:r w:rsidRPr="00E23D07">
        <w:rPr>
          <w:i/>
        </w:rPr>
        <w:t>Republic</w:t>
      </w:r>
      <w:r>
        <w:t xml:space="preserve">. Section three turns to symbols and secrecy in Pythagoreanism. The Pythagorean </w:t>
      </w:r>
      <w:r w:rsidRPr="006F1FA3">
        <w:rPr>
          <w:i/>
        </w:rPr>
        <w:t>akousmata</w:t>
      </w:r>
      <w:r>
        <w:t xml:space="preserve"> certainly constitute a precedent for the transmission of a concealed content by means of another content. Section four considers political persecution as a motive for the use of allegory or symbolism for disguising the content of one’s views. Kennedy follows this observation up with the claim that the neo-Pythagorean Numenius testifies that Plato used </w:t>
      </w:r>
      <w:r w:rsidR="00EF3079">
        <w:t>“</w:t>
      </w:r>
      <w:r>
        <w:t>allegory and reserve as a result of fear of persecution</w:t>
      </w:r>
      <w:r w:rsidR="00EF3079">
        <w:t>”</w:t>
      </w:r>
      <w:r>
        <w:t xml:space="preserve"> (p. 14). </w:t>
      </w:r>
      <w:r w:rsidR="009F2212">
        <w:t>This may be, but as we noted, none of the secrets revealed by Kennedy’s reading would seem to provide any occasion for persecution.</w:t>
      </w:r>
    </w:p>
    <w:p w14:paraId="46B62A14" w14:textId="77777777" w:rsidR="009F2212" w:rsidRDefault="008E39A8" w:rsidP="008E39A8">
      <w:pPr>
        <w:ind w:firstLine="720"/>
      </w:pPr>
      <w:r>
        <w:t xml:space="preserve">Section five </w:t>
      </w:r>
      <w:r w:rsidR="009F2212">
        <w:t xml:space="preserve">of Chapter One </w:t>
      </w:r>
      <w:r>
        <w:t>addresses the question of Plato’s connection to Pythagoreanism. Kennedy notes that Plato’s immediate successors in the Academy t</w:t>
      </w:r>
      <w:r w:rsidR="00EF3079">
        <w:t>ook</w:t>
      </w:r>
      <w:r>
        <w:t xml:space="preserve"> themselves to be developing Pythagorean lines of thought. Kennedy argues that, in fact, a largely Pythagorean ontology </w:t>
      </w:r>
      <w:r w:rsidRPr="009F2212">
        <w:rPr>
          <w:i/>
        </w:rPr>
        <w:t>is</w:t>
      </w:r>
      <w:r>
        <w:t xml:space="preserve"> concealed within the dialogues. </w:t>
      </w:r>
      <w:r w:rsidR="009F2212">
        <w:t>Thus, l</w:t>
      </w:r>
      <w:r>
        <w:t xml:space="preserve">ike </w:t>
      </w:r>
      <w:r w:rsidR="009F2212">
        <w:t xml:space="preserve">Kenneth </w:t>
      </w:r>
      <w:r>
        <w:t xml:space="preserve">Sayre, he thinks that the reports of Plato’s ‘unwritten doctrines’ are in fact ways of describing the doctrines that are actually presented in the dialogues. Where Kennedy parts company from readers of Plato like Sayre and Kahn is in the </w:t>
      </w:r>
      <w:r w:rsidRPr="00100040">
        <w:rPr>
          <w:i/>
        </w:rPr>
        <w:t>manner</w:t>
      </w:r>
      <w:r>
        <w:t xml:space="preserve"> in which these doctrines are contained in the dialogues. Kennedy takes them to be concealed by the use of allegorical writing strategies. </w:t>
      </w:r>
    </w:p>
    <w:p w14:paraId="557924EB" w14:textId="77777777" w:rsidR="008627C9" w:rsidRDefault="008E39A8" w:rsidP="008E39A8">
      <w:pPr>
        <w:ind w:firstLine="720"/>
      </w:pPr>
      <w:r>
        <w:t xml:space="preserve">Section six presents a history of the notion that Plato communicates by allegorical methods. Drawing on the work of </w:t>
      </w:r>
      <w:r w:rsidR="009F2212">
        <w:t xml:space="preserve">Harold </w:t>
      </w:r>
      <w:r>
        <w:t>Tarrant Kennedy claims that Plato’s dialogues were not treated as containing a secret or disguised meaning until the time of Numenius. The tendency to ‘read below the surface’ in the dialogues came to fruition in Ne</w:t>
      </w:r>
      <w:r w:rsidR="006276AA">
        <w:t>oplatonism. The decline of the N</w:t>
      </w:r>
      <w:r>
        <w:t xml:space="preserve">eoplatonic reading of Plato, documented by Tigerstedt, also saw the rejection of the idea that Plato concealed hidden truths within his works by the use of allegory and symbol. In section seven compares this rejection of an allegorical Plato with the Protestent rejection of allegorical readings of scripture. Both are prompted by a sober, scientific approach to the interpretation of ancient texts. </w:t>
      </w:r>
    </w:p>
    <w:p w14:paraId="238A3B8A" w14:textId="77777777" w:rsidR="00100040" w:rsidRDefault="006276AA" w:rsidP="008E39A8">
      <w:pPr>
        <w:ind w:firstLine="720"/>
      </w:pPr>
      <w:r>
        <w:lastRenderedPageBreak/>
        <w:t>We believe that a</w:t>
      </w:r>
      <w:r w:rsidR="008E39A8">
        <w:t xml:space="preserve">ttitudes toward allegorical </w:t>
      </w:r>
      <w:r w:rsidR="008E39A8" w:rsidRPr="005D326B">
        <w:rPr>
          <w:i/>
        </w:rPr>
        <w:t>composition</w:t>
      </w:r>
      <w:r w:rsidR="008E39A8">
        <w:t xml:space="preserve"> among Plato’s ne</w:t>
      </w:r>
      <w:r w:rsidR="00100040">
        <w:t xml:space="preserve">ar contemporaries are important for Kennedy’s claim that Plato </w:t>
      </w:r>
      <w:r w:rsidR="003659C0">
        <w:t>wa</w:t>
      </w:r>
      <w:r w:rsidR="00100040">
        <w:t>s seeking to convey an allegorical meaning through stichometry.</w:t>
      </w:r>
      <w:r w:rsidR="008E39A8">
        <w:t xml:space="preserve"> </w:t>
      </w:r>
      <w:r w:rsidR="000B4B67">
        <w:t>His</w:t>
      </w:r>
      <w:r w:rsidR="008E39A8">
        <w:t xml:space="preserve"> </w:t>
      </w:r>
      <w:r>
        <w:t xml:space="preserve">example of the </w:t>
      </w:r>
      <w:r w:rsidR="008E39A8">
        <w:t>Derveni papyrus show</w:t>
      </w:r>
      <w:r>
        <w:t>s</w:t>
      </w:r>
      <w:r w:rsidR="008E39A8">
        <w:t xml:space="preserve"> us that there </w:t>
      </w:r>
      <w:r>
        <w:t>wa</w:t>
      </w:r>
      <w:r w:rsidR="008E39A8">
        <w:t>s a tradition of ‘philosophical allegory’ in Plato’s time</w:t>
      </w:r>
      <w:r>
        <w:t>. But</w:t>
      </w:r>
      <w:r w:rsidR="008E39A8">
        <w:t xml:space="preserve"> this mean</w:t>
      </w:r>
      <w:r>
        <w:t>t</w:t>
      </w:r>
      <w:r w:rsidR="008E39A8">
        <w:t xml:space="preserve"> philosophers engag</w:t>
      </w:r>
      <w:r w:rsidR="000B4B67">
        <w:t>ed</w:t>
      </w:r>
      <w:r w:rsidR="008E39A8">
        <w:t xml:space="preserve"> in allegorical </w:t>
      </w:r>
      <w:r w:rsidR="008E39A8" w:rsidRPr="006276AA">
        <w:rPr>
          <w:i/>
        </w:rPr>
        <w:t>readings</w:t>
      </w:r>
      <w:r w:rsidR="008E39A8">
        <w:t xml:space="preserve"> of non-philosophical texts </w:t>
      </w:r>
      <w:r w:rsidR="000B4B67">
        <w:t>– not that they composed philosophical works with hidden allegorical meanings.</w:t>
      </w:r>
    </w:p>
    <w:p w14:paraId="091AF3C1" w14:textId="77777777" w:rsidR="008E39A8" w:rsidRDefault="008E39A8" w:rsidP="008E39A8">
      <w:pPr>
        <w:ind w:firstLine="720"/>
      </w:pPr>
      <w:r>
        <w:t xml:space="preserve">The only pre-Platonic precedent that Kennedy can plausibly provide for the composition of philosophical works with deliberately disguised content that must be interpreted symbolically are the Pythagorean </w:t>
      </w:r>
      <w:r w:rsidRPr="00B35C48">
        <w:rPr>
          <w:i/>
        </w:rPr>
        <w:t>akousmata</w:t>
      </w:r>
      <w:r>
        <w:t xml:space="preserve">. It must be said that the philosophical content that is revealed by the various allegorical readings of these that are provided with antiquity is not very rich. Moreover, these are cases where the surface </w:t>
      </w:r>
      <w:r w:rsidRPr="003073FE">
        <w:rPr>
          <w:i/>
        </w:rPr>
        <w:t>semantic content</w:t>
      </w:r>
      <w:r>
        <w:t xml:space="preserve"> of the philosophical composition is designed to be given an alternative meaning. One meaning is the clue to a deeper meaning. However, the allegorical method of communication that Kennedy finds in Plato is very different in its nature. Here </w:t>
      </w:r>
      <w:r w:rsidRPr="003073FE">
        <w:rPr>
          <w:i/>
        </w:rPr>
        <w:t>broadly syntactic</w:t>
      </w:r>
      <w:r>
        <w:t xml:space="preserve"> features of the philosophical work – the number of lines between various episodes within the work – are meant to be the key to a deeper meaning. There is no known precedent for this. </w:t>
      </w:r>
    </w:p>
    <w:p w14:paraId="6A05E5B0" w14:textId="77777777" w:rsidR="008627C9" w:rsidRDefault="00084FE3" w:rsidP="008627C9">
      <w:pPr>
        <w:ind w:firstLine="720"/>
      </w:pPr>
      <w:r>
        <w:t>Now, i</w:t>
      </w:r>
      <w:r w:rsidR="008627C9">
        <w:t xml:space="preserve">t is true that Plato himself tells us a lot about how he thinks a philosopher </w:t>
      </w:r>
      <w:r w:rsidR="008627C9" w:rsidRPr="00084FE3">
        <w:rPr>
          <w:i/>
        </w:rPr>
        <w:t>should</w:t>
      </w:r>
      <w:r w:rsidR="008627C9">
        <w:t xml:space="preserve"> communicate. Recall the manner in which his Socrates contrasts philosophical speaking with the speeches and methods of the sophists in dialogues such as </w:t>
      </w:r>
      <w:r w:rsidR="008627C9" w:rsidRPr="00E02988">
        <w:rPr>
          <w:i/>
        </w:rPr>
        <w:t>Gorgias</w:t>
      </w:r>
      <w:r w:rsidR="008627C9">
        <w:t xml:space="preserve">, </w:t>
      </w:r>
      <w:r w:rsidR="008627C9" w:rsidRPr="00E02988">
        <w:rPr>
          <w:i/>
        </w:rPr>
        <w:t>Protagoras</w:t>
      </w:r>
      <w:r w:rsidR="008627C9">
        <w:t xml:space="preserve"> or </w:t>
      </w:r>
      <w:r w:rsidR="008627C9" w:rsidRPr="00E02988">
        <w:rPr>
          <w:i/>
        </w:rPr>
        <w:t>Euthydemus</w:t>
      </w:r>
      <w:r w:rsidR="008627C9">
        <w:t xml:space="preserve">. So it is possible that </w:t>
      </w:r>
      <w:r w:rsidR="00100040">
        <w:t>Plato</w:t>
      </w:r>
      <w:r w:rsidR="008627C9">
        <w:t xml:space="preserve"> could have sought to </w:t>
      </w:r>
      <w:r w:rsidR="008627C9" w:rsidRPr="00E02988">
        <w:rPr>
          <w:i/>
        </w:rPr>
        <w:t>establish</w:t>
      </w:r>
      <w:r w:rsidR="008627C9">
        <w:t xml:space="preserve"> an expectation on the part of his readers that his dialogues should be subjected to allegorical readings even if there were no pre-existing tradition that philosophers may communicate allegorically. Did he, in fact, do this? </w:t>
      </w:r>
    </w:p>
    <w:p w14:paraId="7F498213" w14:textId="77777777" w:rsidR="008627C9" w:rsidRDefault="008627C9" w:rsidP="008627C9">
      <w:pPr>
        <w:ind w:firstLine="720"/>
      </w:pPr>
      <w:r>
        <w:t xml:space="preserve">It will not do to say, as Kennedy does, that Plato provides us with an allegory in the analogy of the cave in the </w:t>
      </w:r>
      <w:r w:rsidRPr="008D23A0">
        <w:rPr>
          <w:i/>
        </w:rPr>
        <w:t>Republic</w:t>
      </w:r>
      <w:r>
        <w:t xml:space="preserve"> (p. 7). Kennedy uses the notion of allegory very widely. He follows what he regards as the broader usage that is current in classical studies where it includes </w:t>
      </w:r>
      <w:r w:rsidR="00100040">
        <w:t>“</w:t>
      </w:r>
      <w:r>
        <w:t>any language that some meaning beneath, or in tension with, its ordinary or apparent sense</w:t>
      </w:r>
      <w:r w:rsidR="00100040">
        <w:t>”</w:t>
      </w:r>
      <w:r>
        <w:t xml:space="preserve"> (p. 3). We submit that even this generous concept of allegory does not yield the conclusion that the account of the prisoners chained in the cave is allegory. It is a comparison or analogy in which certain </w:t>
      </w:r>
      <w:r w:rsidR="00F17024">
        <w:t>features of the prisoners’ situation have</w:t>
      </w:r>
      <w:r>
        <w:t xml:space="preserve"> a direct correspondence with our (alleged) epistemic situation. There is no level of meaning beneath. Rather, Plato tells the reader point by point how the prisoners’ situation compares to our own. </w:t>
      </w:r>
      <w:r w:rsidR="00084FE3">
        <w:t>No decoding is necessary.</w:t>
      </w:r>
    </w:p>
    <w:p w14:paraId="42101DBF" w14:textId="77777777" w:rsidR="000C0982" w:rsidRDefault="008627C9" w:rsidP="008627C9">
      <w:pPr>
        <w:ind w:firstLine="720"/>
      </w:pPr>
      <w:r>
        <w:t xml:space="preserve">Kennedy regards the Neoplatonists as philosophers who read Plato allegorically. In finding allegorical meaning hidden in the dialogues, Kennedy thus takes himself not to be doing something wholly unprecedented, but rather reviving a way of reading Plato that was common in antiquity. We think this is not so. </w:t>
      </w:r>
    </w:p>
    <w:p w14:paraId="7F51F230" w14:textId="77777777" w:rsidR="00A2129A" w:rsidRDefault="008627C9" w:rsidP="008627C9">
      <w:pPr>
        <w:ind w:firstLine="720"/>
      </w:pPr>
      <w:r>
        <w:t xml:space="preserve">It is indeed true that the Neoplatonists read Plato allegorically but there are important differences between their methods of allegorising Plato and Kennedy’s. In discerning an allegorical meaning in a text one comes to grasp a function from surface or apparent semantic values of the text to deeper semantic values. Thus, the Neoplatonists Numenius and Porphyry both allegorised Homer’s description of the cave of the nymphs in </w:t>
      </w:r>
      <w:r w:rsidRPr="00BA358D">
        <w:rPr>
          <w:i/>
        </w:rPr>
        <w:t>Odyssey</w:t>
      </w:r>
      <w:r>
        <w:t xml:space="preserve"> 13.112, ff. The allegory takes the form of a mapping of obvious semantic elements (the cave</w:t>
      </w:r>
      <w:r w:rsidR="006276AA">
        <w:t xml:space="preserve"> with its </w:t>
      </w:r>
      <w:r>
        <w:t>two entrances) onto hidden or allegorical semantic v</w:t>
      </w:r>
      <w:r w:rsidR="00084FE3">
        <w:t>alues (the</w:t>
      </w:r>
      <w:r w:rsidR="006276AA">
        <w:t xml:space="preserve"> visible cosmos and</w:t>
      </w:r>
      <w:r w:rsidR="00084FE3">
        <w:t xml:space="preserve"> the “</w:t>
      </w:r>
      <w:r>
        <w:t>gates</w:t>
      </w:r>
      <w:r w:rsidR="00084FE3">
        <w:t>”</w:t>
      </w:r>
      <w:r>
        <w:t xml:space="preserve"> of Capricorn and Cancer through which souls enter and leave the realm of Becoming). Kennedy’s allegorical reading of the </w:t>
      </w:r>
      <w:r w:rsidRPr="00B05057">
        <w:rPr>
          <w:i/>
        </w:rPr>
        <w:t>Symposium</w:t>
      </w:r>
      <w:r>
        <w:t xml:space="preserve">, however, is not a mapping from semantic values to semantic values. It is a mapping of </w:t>
      </w:r>
      <w:r w:rsidRPr="00BA358D">
        <w:rPr>
          <w:i/>
        </w:rPr>
        <w:t>broadly syntactic</w:t>
      </w:r>
      <w:r>
        <w:t xml:space="preserve"> values to semantic ones. </w:t>
      </w:r>
    </w:p>
    <w:p w14:paraId="05C5186C" w14:textId="77777777" w:rsidR="008627C9" w:rsidRDefault="00084FE3" w:rsidP="008627C9">
      <w:pPr>
        <w:ind w:firstLine="720"/>
        <w:rPr>
          <w:rFonts w:eastAsia="SimSun"/>
          <w:lang w:val="en-US"/>
        </w:rPr>
      </w:pPr>
      <w:r>
        <w:lastRenderedPageBreak/>
        <w:t>I</w:t>
      </w:r>
      <w:r w:rsidR="008627C9">
        <w:t>n the tradition of Neoplatonic allegorising of Plato there is only one precedent for anything even vaguely like Kennedy’s function from syntax to significance and this is in the thought of the eccentric student of Iamblichus, Theodore of Asine (early-mid 4</w:t>
      </w:r>
      <w:r w:rsidR="008627C9" w:rsidRPr="00FD6733">
        <w:rPr>
          <w:vertAlign w:val="superscript"/>
        </w:rPr>
        <w:t>th</w:t>
      </w:r>
      <w:r w:rsidR="008627C9">
        <w:t xml:space="preserve"> century </w:t>
      </w:r>
      <w:r w:rsidR="008627C9" w:rsidRPr="00FD6733">
        <w:rPr>
          <w:smallCaps/>
        </w:rPr>
        <w:t>ce</w:t>
      </w:r>
      <w:r w:rsidR="008627C9">
        <w:t xml:space="preserve">). Theodore was the only Neoplatonist associated with the Iamblichean tradition to make </w:t>
      </w:r>
      <w:r w:rsidR="008627C9">
        <w:rPr>
          <w:rFonts w:eastAsia="SimSun"/>
        </w:rPr>
        <w:t xml:space="preserve">use of </w:t>
      </w:r>
      <w:r w:rsidR="008627C9">
        <w:rPr>
          <w:rFonts w:eastAsia="SimSun"/>
          <w:i/>
          <w:iCs/>
        </w:rPr>
        <w:t>isopsê</w:t>
      </w:r>
      <w:r w:rsidR="008627C9" w:rsidRPr="004540B9">
        <w:rPr>
          <w:rFonts w:eastAsia="SimSun"/>
          <w:i/>
          <w:iCs/>
        </w:rPr>
        <w:t>phia</w:t>
      </w:r>
      <w:r w:rsidR="008627C9">
        <w:rPr>
          <w:rFonts w:eastAsia="SimSun"/>
        </w:rPr>
        <w:t xml:space="preserve"> or </w:t>
      </w:r>
      <w:r w:rsidR="008627C9" w:rsidRPr="004540B9">
        <w:rPr>
          <w:rFonts w:eastAsia="SimSun"/>
          <w:i/>
          <w:iCs/>
        </w:rPr>
        <w:t>gematria</w:t>
      </w:r>
      <w:r w:rsidR="008627C9">
        <w:rPr>
          <w:rFonts w:eastAsia="SimSun"/>
        </w:rPr>
        <w:t xml:space="preserve">. This interpretive strategy also draws conclusions about the deep meaning of Plato’s words from syntactic features. In the case of gematria, the relevant syntactic features are not the number of lines in a composition, but the fact that Greek letters can also function as numerals. So, Theodore claimed that the soul is shown </w:t>
      </w:r>
      <w:r>
        <w:rPr>
          <w:rFonts w:eastAsia="SimSun"/>
        </w:rPr>
        <w:t>to be</w:t>
      </w:r>
      <w:r w:rsidR="008627C9">
        <w:rPr>
          <w:rFonts w:eastAsia="SimSun"/>
        </w:rPr>
        <w:t xml:space="preserve"> essentially alive on the basis of the fact that </w:t>
      </w:r>
      <w:r>
        <w:rPr>
          <w:rFonts w:eastAsia="SimSun"/>
        </w:rPr>
        <w:t>the</w:t>
      </w:r>
      <w:r w:rsidR="008627C9">
        <w:rPr>
          <w:rFonts w:eastAsia="SimSun"/>
        </w:rPr>
        <w:t xml:space="preserve"> first and last letters of </w:t>
      </w:r>
      <w:r w:rsidR="008627C9">
        <w:rPr>
          <w:rFonts w:ascii="Silver Humana" w:eastAsia="SimSun" w:hAnsi="Silver Humana" w:cs="Silver Humana"/>
          <w:lang w:val="en-US" w:eastAsia="zh-CN" w:bidi="he-IL"/>
        </w:rPr>
        <w:t>ψυχή</w:t>
      </w:r>
      <w:r w:rsidR="008627C9">
        <w:rPr>
          <w:rFonts w:eastAsia="SimSun"/>
        </w:rPr>
        <w:t xml:space="preserve"> </w:t>
      </w:r>
      <w:r>
        <w:rPr>
          <w:rFonts w:eastAsia="SimSun"/>
        </w:rPr>
        <w:t xml:space="preserve">can stand for numbers </w:t>
      </w:r>
      <w:r w:rsidR="008627C9">
        <w:rPr>
          <w:rFonts w:eastAsia="SimSun"/>
        </w:rPr>
        <w:t xml:space="preserve">that, </w:t>
      </w:r>
      <w:r>
        <w:rPr>
          <w:rFonts w:eastAsia="SimSun"/>
        </w:rPr>
        <w:t>subjected to certain arithmetic operations</w:t>
      </w:r>
      <w:r w:rsidR="008627C9">
        <w:rPr>
          <w:rFonts w:eastAsia="SimSun"/>
        </w:rPr>
        <w:t>, can be turned back into letters that yield the phrase, ‘it lives.’ T</w:t>
      </w:r>
      <w:r>
        <w:rPr>
          <w:rFonts w:eastAsia="SimSun"/>
        </w:rPr>
        <w:t>hus t</w:t>
      </w:r>
      <w:r w:rsidR="008627C9">
        <w:rPr>
          <w:rFonts w:eastAsia="SimSun"/>
        </w:rPr>
        <w:t xml:space="preserve">he letter </w:t>
      </w:r>
      <w:r w:rsidR="008627C9">
        <w:rPr>
          <w:rFonts w:ascii="Silver Humana" w:eastAsia="SimSun" w:hAnsi="Silver Humana" w:cs="Silver Humana"/>
          <w:lang w:val="en-US" w:eastAsia="zh-CN" w:bidi="he-IL"/>
        </w:rPr>
        <w:t>ψ</w:t>
      </w:r>
      <w:r w:rsidR="008627C9">
        <w:rPr>
          <w:rFonts w:eastAsia="SimSun"/>
        </w:rPr>
        <w:t xml:space="preserve"> is used to represent 700. This is the ‘third heptad’ in the sequence 7, 70, 700. The numeral corresponding to the first </w:t>
      </w:r>
      <w:r>
        <w:rPr>
          <w:rFonts w:eastAsia="SimSun"/>
        </w:rPr>
        <w:t xml:space="preserve">number, 7, </w:t>
      </w:r>
      <w:r w:rsidR="008627C9">
        <w:rPr>
          <w:rFonts w:eastAsia="SimSun"/>
        </w:rPr>
        <w:t xml:space="preserve">is the letter </w:t>
      </w:r>
      <w:r w:rsidR="008627C9">
        <w:rPr>
          <w:rFonts w:ascii="Silver Humana" w:eastAsia="SimSun" w:hAnsi="Silver Humana" w:cs="Silver Humana"/>
          <w:lang w:val="en-US" w:eastAsia="zh-CN" w:bidi="he-IL"/>
        </w:rPr>
        <w:t>ζ</w:t>
      </w:r>
      <w:r w:rsidR="008627C9">
        <w:rPr>
          <w:rFonts w:eastAsia="SimSun"/>
        </w:rPr>
        <w:t xml:space="preserve">. If you combine this letter with the last letter of </w:t>
      </w:r>
      <w:r w:rsidR="008627C9">
        <w:rPr>
          <w:rFonts w:ascii="Silver Humana" w:eastAsia="SimSun" w:hAnsi="Silver Humana" w:cs="Silver Humana"/>
          <w:lang w:val="en-US" w:eastAsia="zh-CN" w:bidi="he-IL"/>
        </w:rPr>
        <w:t>ψυχή</w:t>
      </w:r>
      <w:r w:rsidR="008627C9">
        <w:rPr>
          <w:rFonts w:eastAsia="SimSun"/>
        </w:rPr>
        <w:t xml:space="preserve"> it yields </w:t>
      </w:r>
      <w:r w:rsidR="008627C9">
        <w:rPr>
          <w:rFonts w:ascii="Silver Humana" w:eastAsia="SimSun" w:hAnsi="Silver Humana" w:cs="Silver Humana"/>
          <w:lang w:val="en-US" w:eastAsia="zh-CN" w:bidi="he-IL"/>
        </w:rPr>
        <w:t>ζη –</w:t>
      </w:r>
      <w:r w:rsidR="008627C9">
        <w:rPr>
          <w:rFonts w:eastAsia="SimSun"/>
        </w:rPr>
        <w:t xml:space="preserve"> or more precisely </w:t>
      </w:r>
      <w:r w:rsidR="008627C9">
        <w:rPr>
          <w:rFonts w:ascii="Silver Humana" w:eastAsia="SimSun" w:hAnsi="Silver Humana" w:cs="Silver Humana"/>
          <w:lang w:val="en-US" w:eastAsia="zh-CN" w:bidi="he-IL"/>
        </w:rPr>
        <w:t>ζῃ</w:t>
      </w:r>
      <w:r w:rsidR="008627C9">
        <w:rPr>
          <w:rFonts w:eastAsia="SimSun"/>
          <w:lang w:val="en-US"/>
        </w:rPr>
        <w:t xml:space="preserve"> – for ‘it lives.’</w:t>
      </w:r>
    </w:p>
    <w:p w14:paraId="754699CF" w14:textId="77777777" w:rsidR="008627C9" w:rsidRDefault="008627C9" w:rsidP="008627C9">
      <w:pPr>
        <w:ind w:firstLine="720"/>
        <w:rPr>
          <w:rFonts w:eastAsia="SimSun"/>
          <w:lang w:val="en-US"/>
        </w:rPr>
      </w:pPr>
      <w:r>
        <w:rPr>
          <w:rFonts w:eastAsia="SimSun"/>
          <w:lang w:val="en-US"/>
        </w:rPr>
        <w:t xml:space="preserve">Now there are many respects in which Theodore’s </w:t>
      </w:r>
      <w:r w:rsidRPr="001B55D5">
        <w:rPr>
          <w:rFonts w:eastAsia="SimSun"/>
          <w:i/>
          <w:lang w:val="en-US"/>
        </w:rPr>
        <w:t>gematria</w:t>
      </w:r>
      <w:r>
        <w:rPr>
          <w:rFonts w:eastAsia="SimSun"/>
          <w:lang w:val="en-US"/>
        </w:rPr>
        <w:t xml:space="preserve"> does </w:t>
      </w:r>
      <w:r w:rsidRPr="001B55D5">
        <w:rPr>
          <w:rFonts w:eastAsia="SimSun"/>
          <w:i/>
          <w:lang w:val="en-US"/>
        </w:rPr>
        <w:t>not</w:t>
      </w:r>
      <w:r>
        <w:rPr>
          <w:rFonts w:eastAsia="SimSun"/>
          <w:lang w:val="en-US"/>
        </w:rPr>
        <w:t xml:space="preserve"> resemble what Kennedy is proposing. But at a very general level of description, there is a certain continuity. In both cases, </w:t>
      </w:r>
      <w:r w:rsidRPr="001B55D5">
        <w:rPr>
          <w:rFonts w:eastAsia="SimSun"/>
          <w:i/>
          <w:lang w:val="en-US"/>
        </w:rPr>
        <w:t>broadly syntactic</w:t>
      </w:r>
      <w:r>
        <w:rPr>
          <w:rFonts w:eastAsia="SimSun"/>
          <w:lang w:val="en-US"/>
        </w:rPr>
        <w:t xml:space="preserve"> features are included in the allegorical function from surface aspects of the text to </w:t>
      </w:r>
      <w:r w:rsidR="006276AA">
        <w:rPr>
          <w:rFonts w:eastAsia="SimSun"/>
          <w:lang w:val="en-US"/>
        </w:rPr>
        <w:t>the text’s</w:t>
      </w:r>
      <w:r>
        <w:rPr>
          <w:rFonts w:eastAsia="SimSun"/>
          <w:lang w:val="en-US"/>
        </w:rPr>
        <w:t xml:space="preserve"> deeper, hidden meaning. </w:t>
      </w:r>
      <w:r w:rsidR="006276AA">
        <w:rPr>
          <w:rFonts w:eastAsia="SimSun"/>
          <w:lang w:val="en-US"/>
        </w:rPr>
        <w:t>However, i</w:t>
      </w:r>
      <w:r>
        <w:rPr>
          <w:rFonts w:eastAsia="SimSun"/>
          <w:lang w:val="en-US"/>
        </w:rPr>
        <w:t xml:space="preserve">t was precisely </w:t>
      </w:r>
      <w:r w:rsidR="006276AA">
        <w:rPr>
          <w:rFonts w:eastAsia="SimSun"/>
          <w:lang w:val="en-US"/>
        </w:rPr>
        <w:t xml:space="preserve">because of the consideration of syntactic features </w:t>
      </w:r>
      <w:r>
        <w:rPr>
          <w:rFonts w:eastAsia="SimSun"/>
          <w:lang w:val="en-US"/>
        </w:rPr>
        <w:t>that Proclus</w:t>
      </w:r>
      <w:r w:rsidR="00157676">
        <w:rPr>
          <w:rFonts w:eastAsia="SimSun"/>
          <w:lang w:val="en-US"/>
        </w:rPr>
        <w:t xml:space="preserve"> and Iamblichus</w:t>
      </w:r>
      <w:r>
        <w:rPr>
          <w:rFonts w:eastAsia="SimSun"/>
          <w:lang w:val="en-US"/>
        </w:rPr>
        <w:t xml:space="preserve"> </w:t>
      </w:r>
      <w:r w:rsidR="00F17024">
        <w:rPr>
          <w:rFonts w:eastAsia="SimSun"/>
          <w:lang w:val="en-US"/>
        </w:rPr>
        <w:t>criticized</w:t>
      </w:r>
      <w:r>
        <w:rPr>
          <w:rFonts w:eastAsia="SimSun"/>
          <w:lang w:val="en-US"/>
        </w:rPr>
        <w:t xml:space="preserve"> the ideas of Theodore. While Proclus accepted that there was a sense in which names were natural, he also thought that the graphic or broadly syntactic features that Theodore appealed to were not part of the nature of a name, but rather part of its </w:t>
      </w:r>
      <w:r w:rsidRPr="005109B3">
        <w:rPr>
          <w:rFonts w:eastAsia="SimSun"/>
          <w:i/>
          <w:lang w:val="en-US"/>
        </w:rPr>
        <w:t>matter</w:t>
      </w:r>
      <w:r>
        <w:rPr>
          <w:rFonts w:eastAsia="SimSun"/>
          <w:lang w:val="en-US"/>
        </w:rPr>
        <w:t xml:space="preserve">. </w:t>
      </w:r>
      <w:r w:rsidR="00A2129A">
        <w:rPr>
          <w:rFonts w:eastAsia="SimSun"/>
          <w:lang w:val="en-US"/>
        </w:rPr>
        <w:t xml:space="preserve">Since real Platonists don’t meddle with matter, Theodore’s reading strategies were regarded as beyond the pale by the mainstream Neoplatonists </w:t>
      </w:r>
      <w:r w:rsidR="006276AA">
        <w:rPr>
          <w:rFonts w:eastAsia="SimSun"/>
          <w:lang w:val="en-US"/>
        </w:rPr>
        <w:t>(</w:t>
      </w:r>
      <w:r w:rsidR="00A2129A">
        <w:rPr>
          <w:rFonts w:eastAsia="SimSun"/>
          <w:lang w:val="en-US"/>
        </w:rPr>
        <w:t>who were themselves more than happy to see allegorical significance in many places in the dialogues</w:t>
      </w:r>
      <w:r w:rsidR="00027039">
        <w:rPr>
          <w:rFonts w:eastAsia="SimSun"/>
          <w:lang w:val="en-US"/>
        </w:rPr>
        <w:t xml:space="preserve"> where we moderns find none</w:t>
      </w:r>
      <w:r w:rsidR="006276AA">
        <w:rPr>
          <w:rFonts w:eastAsia="SimSun"/>
          <w:lang w:val="en-US"/>
        </w:rPr>
        <w:t>)</w:t>
      </w:r>
      <w:r w:rsidR="00A2129A">
        <w:rPr>
          <w:rFonts w:eastAsia="SimSun"/>
          <w:lang w:val="en-US"/>
        </w:rPr>
        <w:t>.</w:t>
      </w:r>
    </w:p>
    <w:p w14:paraId="30878B58" w14:textId="77777777" w:rsidR="008627C9" w:rsidRDefault="008627C9" w:rsidP="008627C9">
      <w:pPr>
        <w:ind w:firstLine="720"/>
      </w:pPr>
      <w:r>
        <w:t xml:space="preserve">So while Kennedy seeks to portray his allegorical reading of Plato as a return to ancient traditions for interpreting the dialogues, this is only partly true. It is correct to say that the Neoplatonists took Plato’s dialogues to have deep meanings that were concealed below the surface content (e.g. the cosmological </w:t>
      </w:r>
      <w:r w:rsidR="00F17024">
        <w:t>significance</w:t>
      </w:r>
      <w:r>
        <w:t xml:space="preserve"> of the myth of Atlantis). But the mainstream of Neoplatonic exegesis consciously </w:t>
      </w:r>
      <w:r w:rsidRPr="00DE06CC">
        <w:rPr>
          <w:i/>
        </w:rPr>
        <w:t>rejected</w:t>
      </w:r>
      <w:r>
        <w:t xml:space="preserve"> the view that Plato hid anything by means of the broadly syntactic features of the dialogues. Their allegorising attends solely to the semantic features of the work that are not subject to the contingencies of the graphic representation of the surface content – nor, we think, the contingencies of how books are copied. </w:t>
      </w:r>
      <w:r w:rsidR="00027039">
        <w:t>Kennedy might reply, “Well, so much the worse for the Neoplatonists. They missed what I found.” Fine. He can make that reply. But then he cannot invoke the Neoplatonists as a historical precedent for the application of allegorical reading strategies to Plato, for what he and they regard as legitimate allegorical methods are very different.</w:t>
      </w:r>
    </w:p>
    <w:p w14:paraId="5AF96D3C" w14:textId="77777777" w:rsidR="00734142" w:rsidRDefault="008627C9" w:rsidP="008E39A8">
      <w:pPr>
        <w:pStyle w:val="NoSpacing"/>
        <w:ind w:firstLine="720"/>
        <w:rPr>
          <w:rFonts w:ascii="Times New Roman" w:hAnsi="Times New Roman"/>
          <w:sz w:val="24"/>
          <w:szCs w:val="24"/>
        </w:rPr>
      </w:pPr>
      <w:r w:rsidRPr="008627C9">
        <w:rPr>
          <w:rFonts w:ascii="Times New Roman" w:hAnsi="Times New Roman"/>
          <w:sz w:val="24"/>
          <w:szCs w:val="24"/>
        </w:rPr>
        <w:t xml:space="preserve">We would like to conclude by considering </w:t>
      </w:r>
      <w:r w:rsidR="00157676">
        <w:rPr>
          <w:rFonts w:ascii="Times New Roman" w:hAnsi="Times New Roman"/>
          <w:sz w:val="24"/>
          <w:szCs w:val="24"/>
        </w:rPr>
        <w:t xml:space="preserve">the </w:t>
      </w:r>
      <w:r w:rsidRPr="008627C9">
        <w:rPr>
          <w:rFonts w:ascii="Times New Roman" w:hAnsi="Times New Roman"/>
          <w:sz w:val="24"/>
          <w:szCs w:val="24"/>
        </w:rPr>
        <w:t>vindication of the search for numerological allegory in a Renaissance poet, Edmund Spenser</w:t>
      </w:r>
      <w:r w:rsidR="00A5327C">
        <w:rPr>
          <w:rFonts w:ascii="Times New Roman" w:hAnsi="Times New Roman"/>
          <w:sz w:val="24"/>
          <w:szCs w:val="24"/>
        </w:rPr>
        <w:t xml:space="preserve"> that Kennedy regards as a parallel to his own case</w:t>
      </w:r>
      <w:r w:rsidRPr="008627C9">
        <w:rPr>
          <w:rFonts w:ascii="Times New Roman" w:hAnsi="Times New Roman"/>
          <w:sz w:val="24"/>
          <w:szCs w:val="24"/>
        </w:rPr>
        <w:t>. Kennedy explains how A. Kent Hieatt</w:t>
      </w:r>
      <w:r w:rsidR="00027039">
        <w:rPr>
          <w:rStyle w:val="FootnoteReference"/>
          <w:rFonts w:ascii="Times New Roman" w:hAnsi="Times New Roman"/>
          <w:sz w:val="24"/>
          <w:szCs w:val="24"/>
        </w:rPr>
        <w:footnoteReference w:id="2"/>
      </w:r>
      <w:r w:rsidRPr="008627C9">
        <w:rPr>
          <w:rFonts w:ascii="Times New Roman" w:hAnsi="Times New Roman"/>
          <w:sz w:val="24"/>
          <w:szCs w:val="24"/>
        </w:rPr>
        <w:t xml:space="preserve"> discovered for the first time that ther</w:t>
      </w:r>
      <w:r w:rsidR="00A5327C">
        <w:rPr>
          <w:rFonts w:ascii="Times New Roman" w:hAnsi="Times New Roman"/>
          <w:sz w:val="24"/>
          <w:szCs w:val="24"/>
        </w:rPr>
        <w:t>e</w:t>
      </w:r>
      <w:r w:rsidRPr="008627C9">
        <w:rPr>
          <w:rFonts w:ascii="Times New Roman" w:hAnsi="Times New Roman"/>
          <w:sz w:val="24"/>
          <w:szCs w:val="24"/>
        </w:rPr>
        <w:t xml:space="preserve"> are astronomically </w:t>
      </w:r>
      <w:r w:rsidR="00F17024" w:rsidRPr="008627C9">
        <w:rPr>
          <w:rFonts w:ascii="Times New Roman" w:hAnsi="Times New Roman"/>
          <w:sz w:val="24"/>
          <w:szCs w:val="24"/>
        </w:rPr>
        <w:t>significant</w:t>
      </w:r>
      <w:r w:rsidRPr="008627C9">
        <w:rPr>
          <w:rFonts w:ascii="Times New Roman" w:hAnsi="Times New Roman"/>
          <w:sz w:val="24"/>
          <w:szCs w:val="24"/>
        </w:rPr>
        <w:t xml:space="preserve"> numbers encoded into the number of lines and stanzas in Spenser’s </w:t>
      </w:r>
      <w:r w:rsidRPr="008627C9">
        <w:rPr>
          <w:rFonts w:ascii="Times New Roman" w:hAnsi="Times New Roman"/>
          <w:i/>
          <w:sz w:val="24"/>
          <w:szCs w:val="24"/>
        </w:rPr>
        <w:t>Epithalamion</w:t>
      </w:r>
      <w:r w:rsidRPr="008627C9">
        <w:rPr>
          <w:rFonts w:ascii="Times New Roman" w:hAnsi="Times New Roman"/>
          <w:sz w:val="24"/>
          <w:szCs w:val="24"/>
        </w:rPr>
        <w:t>.</w:t>
      </w:r>
      <w:r w:rsidRPr="008627C9">
        <w:rPr>
          <w:sz w:val="24"/>
          <w:szCs w:val="24"/>
        </w:rPr>
        <w:t xml:space="preserve"> </w:t>
      </w:r>
      <w:r w:rsidR="008E39A8">
        <w:rPr>
          <w:rFonts w:ascii="Times New Roman" w:hAnsi="Times New Roman"/>
          <w:sz w:val="24"/>
          <w:szCs w:val="24"/>
        </w:rPr>
        <w:t xml:space="preserve">The methodology </w:t>
      </w:r>
      <w:r w:rsidR="00734142">
        <w:rPr>
          <w:rFonts w:ascii="Times New Roman" w:hAnsi="Times New Roman"/>
          <w:sz w:val="24"/>
          <w:szCs w:val="24"/>
        </w:rPr>
        <w:t>Kennedy</w:t>
      </w:r>
      <w:r w:rsidR="008E39A8">
        <w:rPr>
          <w:rFonts w:ascii="Times New Roman" w:hAnsi="Times New Roman"/>
          <w:sz w:val="24"/>
          <w:szCs w:val="24"/>
        </w:rPr>
        <w:t xml:space="preserve"> uses to support this theory is, in its abstract form, one that Hieatt </w:t>
      </w:r>
      <w:r w:rsidR="00734142">
        <w:rPr>
          <w:rFonts w:ascii="Times New Roman" w:hAnsi="Times New Roman"/>
          <w:sz w:val="24"/>
          <w:szCs w:val="24"/>
        </w:rPr>
        <w:t xml:space="preserve">used in </w:t>
      </w:r>
      <w:r w:rsidR="008E39A8">
        <w:rPr>
          <w:rFonts w:ascii="Times New Roman" w:hAnsi="Times New Roman"/>
          <w:sz w:val="24"/>
          <w:szCs w:val="24"/>
        </w:rPr>
        <w:t xml:space="preserve">disclosing hidden calendrical patterns in Edmund Spenser’s </w:t>
      </w:r>
      <w:r w:rsidR="008E39A8">
        <w:rPr>
          <w:rFonts w:ascii="Times New Roman" w:hAnsi="Times New Roman"/>
          <w:i/>
          <w:sz w:val="24"/>
          <w:szCs w:val="24"/>
        </w:rPr>
        <w:t>Epithalamion</w:t>
      </w:r>
      <w:r w:rsidR="008E39A8">
        <w:rPr>
          <w:rFonts w:ascii="Times New Roman" w:hAnsi="Times New Roman"/>
          <w:sz w:val="24"/>
          <w:szCs w:val="24"/>
        </w:rPr>
        <w:t xml:space="preserve">. </w:t>
      </w:r>
    </w:p>
    <w:p w14:paraId="2DE06E77" w14:textId="77777777" w:rsidR="008E39A8" w:rsidRDefault="008E39A8" w:rsidP="008E39A8">
      <w:pPr>
        <w:pStyle w:val="NoSpacing"/>
        <w:ind w:firstLine="720"/>
        <w:rPr>
          <w:rFonts w:ascii="Times New Roman" w:hAnsi="Times New Roman"/>
          <w:sz w:val="24"/>
          <w:szCs w:val="24"/>
        </w:rPr>
      </w:pPr>
      <w:r>
        <w:rPr>
          <w:rFonts w:ascii="Times New Roman" w:hAnsi="Times New Roman"/>
          <w:sz w:val="24"/>
          <w:szCs w:val="24"/>
        </w:rPr>
        <w:lastRenderedPageBreak/>
        <w:t>Hieatt laid out the 365 “long-lines” of the poem alongside the days of the year, and then superimposed this pattern over the 24 hours of the day</w:t>
      </w:r>
      <w:r w:rsidR="00A5327C">
        <w:rPr>
          <w:rFonts w:ascii="Times New Roman" w:hAnsi="Times New Roman"/>
          <w:sz w:val="24"/>
          <w:szCs w:val="24"/>
        </w:rPr>
        <w:t>.</w:t>
      </w:r>
      <w:r>
        <w:rPr>
          <w:rFonts w:ascii="Times New Roman" w:hAnsi="Times New Roman"/>
          <w:sz w:val="24"/>
          <w:szCs w:val="24"/>
        </w:rPr>
        <w:t xml:space="preserve"> </w:t>
      </w:r>
      <w:r w:rsidR="00A5327C">
        <w:rPr>
          <w:rFonts w:ascii="Times New Roman" w:hAnsi="Times New Roman"/>
          <w:sz w:val="24"/>
          <w:szCs w:val="24"/>
        </w:rPr>
        <w:t>H</w:t>
      </w:r>
      <w:r>
        <w:rPr>
          <w:rFonts w:ascii="Times New Roman" w:hAnsi="Times New Roman"/>
          <w:sz w:val="24"/>
          <w:szCs w:val="24"/>
        </w:rPr>
        <w:t xml:space="preserve">e </w:t>
      </w:r>
      <w:r w:rsidR="00A5327C">
        <w:rPr>
          <w:rFonts w:ascii="Times New Roman" w:hAnsi="Times New Roman"/>
          <w:sz w:val="24"/>
          <w:szCs w:val="24"/>
        </w:rPr>
        <w:t xml:space="preserve">then </w:t>
      </w:r>
      <w:r>
        <w:rPr>
          <w:rFonts w:ascii="Times New Roman" w:hAnsi="Times New Roman"/>
          <w:sz w:val="24"/>
          <w:szCs w:val="24"/>
        </w:rPr>
        <w:t>pointed out some striking coincidences. It was relatively obvious, for at least some of these coincidences, that Spenser must have deliberately contrived the</w:t>
      </w:r>
      <w:r w:rsidR="00A5327C">
        <w:rPr>
          <w:rFonts w:ascii="Times New Roman" w:hAnsi="Times New Roman"/>
          <w:sz w:val="24"/>
          <w:szCs w:val="24"/>
        </w:rPr>
        <w:t>m.</w:t>
      </w:r>
      <w:r>
        <w:rPr>
          <w:rFonts w:ascii="Times New Roman" w:hAnsi="Times New Roman"/>
          <w:sz w:val="24"/>
          <w:szCs w:val="24"/>
        </w:rPr>
        <w:t xml:space="preserve"> Hieatt was somewhat bewildered. He did not know of any other poet who had done anything quite like this; he did not know what audience Spenser might have had in mind; and he could only speculate on what Spenser’s motives might have been. </w:t>
      </w:r>
      <w:r w:rsidR="00157676">
        <w:rPr>
          <w:rFonts w:ascii="Times New Roman" w:hAnsi="Times New Roman"/>
          <w:sz w:val="24"/>
          <w:szCs w:val="24"/>
        </w:rPr>
        <w:t xml:space="preserve">In fact, subsequent research has </w:t>
      </w:r>
      <w:r w:rsidR="004C094C">
        <w:rPr>
          <w:rFonts w:ascii="Times New Roman" w:hAnsi="Times New Roman"/>
          <w:sz w:val="24"/>
          <w:szCs w:val="24"/>
        </w:rPr>
        <w:t>discovered that several poets of this era incorporated mathematical patterns into their sonnet sequences.</w:t>
      </w:r>
      <w:r w:rsidR="00027039">
        <w:rPr>
          <w:rStyle w:val="FootnoteReference"/>
          <w:rFonts w:ascii="Times New Roman" w:hAnsi="Times New Roman"/>
          <w:sz w:val="24"/>
          <w:szCs w:val="24"/>
        </w:rPr>
        <w:footnoteReference w:id="3"/>
      </w:r>
      <w:r w:rsidR="004C094C">
        <w:rPr>
          <w:rFonts w:ascii="Times New Roman" w:hAnsi="Times New Roman"/>
          <w:sz w:val="24"/>
          <w:szCs w:val="24"/>
        </w:rPr>
        <w:t xml:space="preserve"> Thus Spenser could have had a reasonable expectation that some among his audience would see what Hieatt later discovered.</w:t>
      </w:r>
    </w:p>
    <w:p w14:paraId="15FA92A4" w14:textId="77777777" w:rsidR="00A5327C" w:rsidRDefault="00A5327C" w:rsidP="00A5327C">
      <w:pPr>
        <w:pStyle w:val="NoSpacing"/>
        <w:ind w:firstLine="720"/>
        <w:rPr>
          <w:rFonts w:ascii="Times New Roman" w:hAnsi="Times New Roman"/>
          <w:sz w:val="24"/>
          <w:szCs w:val="24"/>
        </w:rPr>
      </w:pPr>
      <w:r>
        <w:rPr>
          <w:rFonts w:ascii="Times New Roman" w:hAnsi="Times New Roman"/>
          <w:sz w:val="24"/>
          <w:szCs w:val="24"/>
        </w:rPr>
        <w:t xml:space="preserve">Kennedy argues in a similar way that the patterns he detects in Plato’s dialogues, beginning with the </w:t>
      </w:r>
      <w:r>
        <w:rPr>
          <w:rFonts w:ascii="Times New Roman" w:hAnsi="Times New Roman"/>
          <w:i/>
          <w:sz w:val="24"/>
          <w:szCs w:val="24"/>
        </w:rPr>
        <w:t>Symposium</w:t>
      </w:r>
      <w:r>
        <w:rPr>
          <w:rFonts w:ascii="Times New Roman" w:hAnsi="Times New Roman"/>
          <w:sz w:val="24"/>
          <w:szCs w:val="24"/>
        </w:rPr>
        <w:t xml:space="preserve"> and the </w:t>
      </w:r>
      <w:r>
        <w:rPr>
          <w:rFonts w:ascii="Times New Roman" w:hAnsi="Times New Roman"/>
          <w:i/>
          <w:sz w:val="24"/>
          <w:szCs w:val="24"/>
        </w:rPr>
        <w:t>Euthyphro</w:t>
      </w:r>
      <w:r>
        <w:rPr>
          <w:rFonts w:ascii="Times New Roman" w:hAnsi="Times New Roman"/>
          <w:sz w:val="24"/>
          <w:szCs w:val="24"/>
        </w:rPr>
        <w:t xml:space="preserve">, were probably placed there deliberately. The method is, as he says (p.46) “inductive”. He lays out Plato’s text, divided into lines of hexameter, and marks the “twelfths” (and the “quarters” within each of these) and he points out repeated patterns in the text that align with those “twelfths”. He then asserts (p.46) that: </w:t>
      </w:r>
    </w:p>
    <w:p w14:paraId="48D85506" w14:textId="77777777" w:rsidR="00A5327C" w:rsidRDefault="00A5327C" w:rsidP="00A5327C">
      <w:pPr>
        <w:pStyle w:val="NoSpacing"/>
        <w:rPr>
          <w:rFonts w:ascii="Times New Roman" w:hAnsi="Times New Roman"/>
          <w:sz w:val="24"/>
          <w:szCs w:val="24"/>
        </w:rPr>
      </w:pPr>
    </w:p>
    <w:p w14:paraId="2E42B0E8" w14:textId="77777777" w:rsidR="00A5327C" w:rsidRDefault="00A5327C" w:rsidP="00A5327C">
      <w:pPr>
        <w:pStyle w:val="NoSpacing"/>
        <w:ind w:left="720"/>
        <w:rPr>
          <w:rFonts w:ascii="Times New Roman" w:hAnsi="Times New Roman"/>
          <w:sz w:val="24"/>
          <w:szCs w:val="24"/>
        </w:rPr>
      </w:pPr>
      <w:r>
        <w:rPr>
          <w:rFonts w:ascii="Times New Roman" w:hAnsi="Times New Roman"/>
          <w:sz w:val="24"/>
          <w:szCs w:val="24"/>
        </w:rPr>
        <w:t xml:space="preserve">A sceptic must find some repeated fault with the counts or with the observations, or reject the match between theory and evidence as a “mere coincidence”. Persistently resorting to the last strategy amounts to “empty scepticism”. </w:t>
      </w:r>
    </w:p>
    <w:p w14:paraId="4F897312" w14:textId="77777777" w:rsidR="00A5327C" w:rsidRDefault="00A5327C" w:rsidP="00A5327C">
      <w:pPr>
        <w:pStyle w:val="NoSpacing"/>
        <w:rPr>
          <w:rFonts w:ascii="Times New Roman" w:hAnsi="Times New Roman"/>
          <w:sz w:val="24"/>
          <w:szCs w:val="24"/>
        </w:rPr>
      </w:pPr>
      <w:r>
        <w:rPr>
          <w:rFonts w:ascii="Times New Roman" w:hAnsi="Times New Roman"/>
          <w:sz w:val="24"/>
          <w:szCs w:val="24"/>
        </w:rPr>
        <w:t xml:space="preserve"> </w:t>
      </w:r>
    </w:p>
    <w:p w14:paraId="67105B9E" w14:textId="77777777" w:rsidR="00A5327C" w:rsidRDefault="00A5327C" w:rsidP="00A5327C">
      <w:pPr>
        <w:pStyle w:val="NoSpacing"/>
        <w:ind w:firstLine="720"/>
        <w:rPr>
          <w:rFonts w:ascii="Times New Roman" w:hAnsi="Times New Roman"/>
          <w:sz w:val="24"/>
          <w:szCs w:val="24"/>
        </w:rPr>
      </w:pPr>
      <w:r>
        <w:rPr>
          <w:rFonts w:ascii="Times New Roman" w:hAnsi="Times New Roman"/>
          <w:sz w:val="24"/>
          <w:szCs w:val="24"/>
        </w:rPr>
        <w:t xml:space="preserve">We are not persuaded. It is quite probable that there will be </w:t>
      </w:r>
      <w:r w:rsidRPr="00E661FB">
        <w:rPr>
          <w:rFonts w:ascii="Times New Roman" w:hAnsi="Times New Roman"/>
          <w:i/>
          <w:sz w:val="24"/>
          <w:szCs w:val="24"/>
        </w:rPr>
        <w:t>many</w:t>
      </w:r>
      <w:r>
        <w:rPr>
          <w:rFonts w:ascii="Times New Roman" w:hAnsi="Times New Roman"/>
          <w:sz w:val="24"/>
          <w:szCs w:val="24"/>
        </w:rPr>
        <w:t xml:space="preserve"> patterns that happen to “match” Plato’s text by chance alone. It is quite probable that, after thousands of years of searching, someone like Kennedy will have stumbled on one of these patterns. It is not “empty scepticism” to resist hasty acceptance of a conclusion that seems, on several indirect grounds, to be </w:t>
      </w:r>
      <w:r w:rsidRPr="00107B60">
        <w:rPr>
          <w:rFonts w:ascii="Times New Roman" w:hAnsi="Times New Roman"/>
          <w:sz w:val="24"/>
          <w:szCs w:val="24"/>
        </w:rPr>
        <w:t>extraordinarily</w:t>
      </w:r>
      <w:r>
        <w:rPr>
          <w:rFonts w:ascii="Times New Roman" w:hAnsi="Times New Roman"/>
          <w:i/>
          <w:sz w:val="24"/>
          <w:szCs w:val="24"/>
        </w:rPr>
        <w:t xml:space="preserve"> </w:t>
      </w:r>
      <w:r w:rsidRPr="00107B60">
        <w:rPr>
          <w:rFonts w:ascii="Times New Roman" w:hAnsi="Times New Roman"/>
          <w:sz w:val="24"/>
          <w:szCs w:val="24"/>
        </w:rPr>
        <w:t>unlikely</w:t>
      </w:r>
      <w:r>
        <w:rPr>
          <w:rFonts w:ascii="Times New Roman" w:hAnsi="Times New Roman"/>
          <w:sz w:val="24"/>
          <w:szCs w:val="24"/>
        </w:rPr>
        <w:t xml:space="preserve">. It can be reasonable to think that (say) an extraordinarily long run of “black” at a casino </w:t>
      </w:r>
      <w:r w:rsidRPr="00107B60">
        <w:rPr>
          <w:rFonts w:ascii="Times New Roman" w:hAnsi="Times New Roman"/>
          <w:i/>
          <w:sz w:val="24"/>
          <w:szCs w:val="24"/>
        </w:rPr>
        <w:t>probably</w:t>
      </w:r>
      <w:r>
        <w:rPr>
          <w:rFonts w:ascii="Times New Roman" w:hAnsi="Times New Roman"/>
          <w:i/>
          <w:sz w:val="24"/>
          <w:szCs w:val="24"/>
        </w:rPr>
        <w:t xml:space="preserve"> was</w:t>
      </w:r>
      <w:r>
        <w:rPr>
          <w:rFonts w:ascii="Times New Roman" w:hAnsi="Times New Roman"/>
          <w:sz w:val="24"/>
          <w:szCs w:val="24"/>
        </w:rPr>
        <w:t xml:space="preserve"> “sheer chance” – if you can find no one who had a </w:t>
      </w:r>
      <w:r w:rsidRPr="004C094C">
        <w:rPr>
          <w:rFonts w:ascii="Times New Roman" w:hAnsi="Times New Roman"/>
          <w:i/>
          <w:sz w:val="24"/>
          <w:szCs w:val="24"/>
        </w:rPr>
        <w:t>motive</w:t>
      </w:r>
      <w:r>
        <w:rPr>
          <w:rFonts w:ascii="Times New Roman" w:hAnsi="Times New Roman"/>
          <w:sz w:val="24"/>
          <w:szCs w:val="24"/>
        </w:rPr>
        <w:t xml:space="preserve"> for rigging the system in this way, and no credible </w:t>
      </w:r>
      <w:r w:rsidRPr="004F7E76">
        <w:rPr>
          <w:rFonts w:ascii="Times New Roman" w:hAnsi="Times New Roman"/>
          <w:sz w:val="24"/>
          <w:szCs w:val="24"/>
        </w:rPr>
        <w:t>opportunity</w:t>
      </w:r>
      <w:r>
        <w:rPr>
          <w:rFonts w:ascii="Times New Roman" w:hAnsi="Times New Roman"/>
          <w:sz w:val="24"/>
          <w:szCs w:val="24"/>
        </w:rPr>
        <w:t xml:space="preserve"> for doing so. </w:t>
      </w:r>
      <w:r w:rsidR="004C094C">
        <w:rPr>
          <w:rFonts w:ascii="Times New Roman" w:hAnsi="Times New Roman"/>
          <w:sz w:val="24"/>
          <w:szCs w:val="24"/>
        </w:rPr>
        <w:t>This is why we have been so insistent on the question of an audience for Plato’s (alleged) musical structure in the dialogue.</w:t>
      </w:r>
    </w:p>
    <w:p w14:paraId="7997B3AE" w14:textId="77777777" w:rsidR="00A2129A" w:rsidRDefault="00A5327C" w:rsidP="00A5327C">
      <w:pPr>
        <w:pStyle w:val="NoSpacing"/>
        <w:ind w:firstLine="720"/>
        <w:rPr>
          <w:rFonts w:ascii="Times New Roman" w:hAnsi="Times New Roman"/>
          <w:sz w:val="24"/>
          <w:szCs w:val="24"/>
        </w:rPr>
      </w:pPr>
      <w:r>
        <w:rPr>
          <w:rFonts w:ascii="Times New Roman" w:hAnsi="Times New Roman"/>
          <w:sz w:val="24"/>
          <w:szCs w:val="24"/>
        </w:rPr>
        <w:t xml:space="preserve">It is interesting to compare Kennedy’s application of Hieatt’s method with Hieatt’s own application of the method to Spenser’s </w:t>
      </w:r>
      <w:r>
        <w:rPr>
          <w:rFonts w:ascii="Times New Roman" w:hAnsi="Times New Roman"/>
          <w:i/>
          <w:sz w:val="24"/>
          <w:szCs w:val="24"/>
        </w:rPr>
        <w:t>Epithalamion</w:t>
      </w:r>
      <w:r>
        <w:rPr>
          <w:rFonts w:ascii="Times New Roman" w:hAnsi="Times New Roman"/>
          <w:sz w:val="24"/>
          <w:szCs w:val="24"/>
        </w:rPr>
        <w:t xml:space="preserve">. It is not so extraordinarily unlikely for someone to weave </w:t>
      </w:r>
      <w:r w:rsidRPr="006276AA">
        <w:rPr>
          <w:rFonts w:ascii="Times New Roman" w:hAnsi="Times New Roman"/>
          <w:i/>
          <w:sz w:val="24"/>
          <w:szCs w:val="24"/>
        </w:rPr>
        <w:t>calendrical</w:t>
      </w:r>
      <w:r>
        <w:rPr>
          <w:rFonts w:ascii="Times New Roman" w:hAnsi="Times New Roman"/>
          <w:sz w:val="24"/>
          <w:szCs w:val="24"/>
        </w:rPr>
        <w:t xml:space="preserve"> patterns into a poem</w:t>
      </w:r>
      <w:r w:rsidR="004C094C">
        <w:rPr>
          <w:rFonts w:ascii="Times New Roman" w:hAnsi="Times New Roman"/>
          <w:sz w:val="24"/>
          <w:szCs w:val="24"/>
        </w:rPr>
        <w:t xml:space="preserve"> </w:t>
      </w:r>
      <w:r w:rsidR="000C0982">
        <w:rPr>
          <w:rFonts w:ascii="Times New Roman" w:hAnsi="Times New Roman"/>
          <w:sz w:val="24"/>
          <w:szCs w:val="24"/>
        </w:rPr>
        <w:t>written for a bride on her wedding day.</w:t>
      </w:r>
      <w:r>
        <w:rPr>
          <w:rFonts w:ascii="Times New Roman" w:hAnsi="Times New Roman"/>
          <w:sz w:val="24"/>
          <w:szCs w:val="24"/>
        </w:rPr>
        <w:t xml:space="preserve"> </w:t>
      </w:r>
      <w:r w:rsidR="00A2129A">
        <w:rPr>
          <w:rFonts w:ascii="Times New Roman" w:hAnsi="Times New Roman"/>
          <w:sz w:val="24"/>
          <w:szCs w:val="24"/>
        </w:rPr>
        <w:t xml:space="preserve">The structure of the calendar is well known to all readers and is recommended by the theme of the wedding poem since one’s wedding day is </w:t>
      </w:r>
      <w:r w:rsidR="00FF4FE2">
        <w:rPr>
          <w:rFonts w:ascii="Times New Roman" w:hAnsi="Times New Roman"/>
          <w:sz w:val="24"/>
          <w:szCs w:val="24"/>
        </w:rPr>
        <w:t>commemorated</w:t>
      </w:r>
      <w:r w:rsidR="00A2129A">
        <w:rPr>
          <w:rFonts w:ascii="Times New Roman" w:hAnsi="Times New Roman"/>
          <w:sz w:val="24"/>
          <w:szCs w:val="24"/>
        </w:rPr>
        <w:t xml:space="preserve"> annually. </w:t>
      </w:r>
    </w:p>
    <w:p w14:paraId="4BD52102" w14:textId="77777777" w:rsidR="00A5327C" w:rsidRDefault="00A5327C" w:rsidP="00A5327C">
      <w:pPr>
        <w:pStyle w:val="NoSpacing"/>
        <w:ind w:firstLine="720"/>
        <w:rPr>
          <w:rFonts w:ascii="Times New Roman" w:hAnsi="Times New Roman"/>
          <w:sz w:val="24"/>
          <w:szCs w:val="24"/>
        </w:rPr>
      </w:pPr>
      <w:r>
        <w:rPr>
          <w:rFonts w:ascii="Times New Roman" w:hAnsi="Times New Roman"/>
          <w:sz w:val="24"/>
          <w:szCs w:val="24"/>
        </w:rPr>
        <w:t xml:space="preserve">It is much more difficult to believe that Plato matched his texts against the “twelve” (really ten) note “scale” comprising the notes that are derived from dividing the monochord into twelve equal parts. Kennedy’s twelve note “scale” is </w:t>
      </w:r>
      <w:r w:rsidRPr="000B593F">
        <w:rPr>
          <w:rFonts w:ascii="Times New Roman" w:hAnsi="Times New Roman"/>
          <w:sz w:val="24"/>
          <w:szCs w:val="24"/>
        </w:rPr>
        <w:t>not</w:t>
      </w:r>
      <w:r>
        <w:rPr>
          <w:rFonts w:ascii="Times New Roman" w:hAnsi="Times New Roman"/>
          <w:sz w:val="24"/>
          <w:szCs w:val="24"/>
        </w:rPr>
        <w:t xml:space="preserve"> something of independent Pythagorean (or other) musicological interest. It is relatively remote from the </w:t>
      </w:r>
      <w:r>
        <w:rPr>
          <w:rFonts w:ascii="Times New Roman" w:hAnsi="Times New Roman"/>
          <w:i/>
          <w:sz w:val="24"/>
          <w:szCs w:val="24"/>
        </w:rPr>
        <w:t>sol-fa</w:t>
      </w:r>
      <w:r>
        <w:rPr>
          <w:rFonts w:ascii="Times New Roman" w:hAnsi="Times New Roman"/>
          <w:sz w:val="24"/>
          <w:szCs w:val="24"/>
        </w:rPr>
        <w:t xml:space="preserve"> scale that Plato describes in his </w:t>
      </w:r>
      <w:r>
        <w:rPr>
          <w:rFonts w:ascii="Times New Roman" w:hAnsi="Times New Roman"/>
          <w:i/>
          <w:sz w:val="24"/>
          <w:szCs w:val="24"/>
        </w:rPr>
        <w:t>Timaeus</w:t>
      </w:r>
      <w:r>
        <w:rPr>
          <w:rFonts w:ascii="Times New Roman" w:hAnsi="Times New Roman"/>
          <w:sz w:val="24"/>
          <w:szCs w:val="24"/>
        </w:rPr>
        <w:t>. Kennedy is not mistaken in thinking that, in practical terms, dividing a monochord into twelfths might be useful in demonstrating the harmoniousness of the Pythagorean ratios for the octave, fifths, and fourths. But it is a big jump from this to</w:t>
      </w:r>
      <w:r w:rsidR="006276AA">
        <w:rPr>
          <w:rFonts w:ascii="Times New Roman" w:hAnsi="Times New Roman"/>
          <w:sz w:val="24"/>
          <w:szCs w:val="24"/>
        </w:rPr>
        <w:t xml:space="preserve"> Kennedy’s claim that</w:t>
      </w:r>
      <w:r>
        <w:rPr>
          <w:rFonts w:ascii="Times New Roman" w:hAnsi="Times New Roman"/>
          <w:sz w:val="24"/>
          <w:szCs w:val="24"/>
        </w:rPr>
        <w:t xml:space="preserve">: “This leads naturally to the idea of a scale of twelve notes produced by lengths of </w:t>
      </w:r>
      <w:r>
        <w:rPr>
          <w:rFonts w:ascii="Times New Roman" w:hAnsi="Times New Roman"/>
          <w:sz w:val="24"/>
          <w:szCs w:val="24"/>
        </w:rPr>
        <w:lastRenderedPageBreak/>
        <w:t xml:space="preserve">string corresponding to the integers from one to twelve (see Appendices 1, 2).” However, Appendices 1 and 2 do not help: they furnish no further articulation of the musical properties of this “scale”, nor any reasons for thinking this set of twelve (or ten) notes might be of any musical interest as a “scale”, nor any evidence that anyone else in history has ever found this “scale” to be of any musical significance. </w:t>
      </w:r>
      <w:r w:rsidR="00FF4FE2">
        <w:rPr>
          <w:rFonts w:ascii="Times New Roman" w:hAnsi="Times New Roman"/>
          <w:sz w:val="24"/>
          <w:szCs w:val="24"/>
        </w:rPr>
        <w:t xml:space="preserve">The sole exception seems to be a division of the canon deriving from Thrasyllus that is preserved in Theon of Smyrna. However this is a very small section of Theon’s discussion and the material in Theon’s work is directed toward the purpose of affording students the basic concepts to understand the genuine scale that is presented in Plato’s </w:t>
      </w:r>
      <w:r w:rsidR="00FF4FE2" w:rsidRPr="00FF4FE2">
        <w:rPr>
          <w:rFonts w:ascii="Times New Roman" w:hAnsi="Times New Roman"/>
          <w:i/>
          <w:sz w:val="24"/>
          <w:szCs w:val="24"/>
        </w:rPr>
        <w:t>Timaeus</w:t>
      </w:r>
      <w:r w:rsidR="00FF4FE2">
        <w:rPr>
          <w:rFonts w:ascii="Times New Roman" w:hAnsi="Times New Roman"/>
          <w:sz w:val="24"/>
          <w:szCs w:val="24"/>
        </w:rPr>
        <w:t xml:space="preserve">. </w:t>
      </w:r>
      <w:r w:rsidR="000C0982">
        <w:rPr>
          <w:rFonts w:ascii="Times New Roman" w:hAnsi="Times New Roman"/>
          <w:sz w:val="24"/>
          <w:szCs w:val="24"/>
        </w:rPr>
        <w:t xml:space="preserve">If there is a musical structure to be found underlying Plato’s dialogues, we suspect that it will be this scale – not Kennedy’s division of the canon – that provides that structure. </w:t>
      </w:r>
    </w:p>
    <w:p w14:paraId="4A601AE0" w14:textId="77777777" w:rsidR="004F7E76" w:rsidRDefault="004C094C" w:rsidP="00A5327C">
      <w:pPr>
        <w:pStyle w:val="NoSpacing"/>
        <w:ind w:firstLine="720"/>
        <w:rPr>
          <w:rFonts w:ascii="Times New Roman" w:hAnsi="Times New Roman"/>
          <w:sz w:val="24"/>
          <w:szCs w:val="24"/>
        </w:rPr>
      </w:pPr>
      <w:r>
        <w:rPr>
          <w:rFonts w:ascii="Times New Roman" w:hAnsi="Times New Roman"/>
          <w:sz w:val="24"/>
          <w:szCs w:val="24"/>
        </w:rPr>
        <w:t xml:space="preserve">When </w:t>
      </w:r>
      <w:r w:rsidR="00A5327C">
        <w:rPr>
          <w:rFonts w:ascii="Times New Roman" w:hAnsi="Times New Roman"/>
          <w:sz w:val="24"/>
          <w:szCs w:val="24"/>
        </w:rPr>
        <w:t xml:space="preserve">Kennedy first published </w:t>
      </w:r>
      <w:r w:rsidR="004F7E76">
        <w:rPr>
          <w:rFonts w:ascii="Times New Roman" w:hAnsi="Times New Roman"/>
          <w:sz w:val="24"/>
          <w:szCs w:val="24"/>
        </w:rPr>
        <w:t xml:space="preserve">his preliminary study for this book in </w:t>
      </w:r>
      <w:r w:rsidR="00A5327C">
        <w:rPr>
          <w:rFonts w:ascii="Times New Roman" w:hAnsi="Times New Roman"/>
          <w:sz w:val="24"/>
          <w:szCs w:val="24"/>
        </w:rPr>
        <w:t>2010, the musical wing of his theor</w:t>
      </w:r>
      <w:r>
        <w:rPr>
          <w:rFonts w:ascii="Times New Roman" w:hAnsi="Times New Roman"/>
          <w:sz w:val="24"/>
          <w:szCs w:val="24"/>
        </w:rPr>
        <w:t xml:space="preserve">y received criticisms </w:t>
      </w:r>
      <w:r w:rsidR="006276AA">
        <w:rPr>
          <w:rFonts w:ascii="Times New Roman" w:hAnsi="Times New Roman"/>
          <w:sz w:val="24"/>
          <w:szCs w:val="24"/>
        </w:rPr>
        <w:t xml:space="preserve">of </w:t>
      </w:r>
      <w:r>
        <w:rPr>
          <w:rFonts w:ascii="Times New Roman" w:hAnsi="Times New Roman"/>
          <w:sz w:val="24"/>
          <w:szCs w:val="24"/>
        </w:rPr>
        <w:t xml:space="preserve">this </w:t>
      </w:r>
      <w:r w:rsidR="006276AA">
        <w:rPr>
          <w:rFonts w:ascii="Times New Roman" w:hAnsi="Times New Roman"/>
          <w:sz w:val="24"/>
          <w:szCs w:val="24"/>
        </w:rPr>
        <w:t xml:space="preserve">sort </w:t>
      </w:r>
      <w:r w:rsidR="00E71B5E">
        <w:rPr>
          <w:rFonts w:ascii="Times New Roman" w:hAnsi="Times New Roman"/>
          <w:sz w:val="24"/>
          <w:szCs w:val="24"/>
        </w:rPr>
        <w:t xml:space="preserve">from </w:t>
      </w:r>
      <w:r w:rsidR="00A5327C">
        <w:rPr>
          <w:rFonts w:ascii="Times New Roman" w:hAnsi="Times New Roman"/>
          <w:sz w:val="24"/>
          <w:szCs w:val="24"/>
        </w:rPr>
        <w:t>McKay and Rehding (2011). In his book Kennedy has done little to allay th</w:t>
      </w:r>
      <w:r>
        <w:rPr>
          <w:rFonts w:ascii="Times New Roman" w:hAnsi="Times New Roman"/>
          <w:sz w:val="24"/>
          <w:szCs w:val="24"/>
        </w:rPr>
        <w:t>is</w:t>
      </w:r>
      <w:r w:rsidR="00A5327C">
        <w:rPr>
          <w:rFonts w:ascii="Times New Roman" w:hAnsi="Times New Roman"/>
          <w:sz w:val="24"/>
          <w:szCs w:val="24"/>
        </w:rPr>
        <w:t xml:space="preserve"> concern. He just sticks by his argument-from-coincidences for the conclusion that Plato did use the “scale” Kennedy describes, and he hopes that further scholarship will reveal a hitherto neglected role of this “scale” (including its “quarter-tones”) in the development of musical theory. </w:t>
      </w:r>
      <w:r w:rsidR="004F7E76">
        <w:rPr>
          <w:rFonts w:ascii="Times New Roman" w:hAnsi="Times New Roman"/>
          <w:sz w:val="24"/>
          <w:szCs w:val="24"/>
        </w:rPr>
        <w:t>Considerations about the potential audience for Plato’s (alleged) musical allegory show that the eccentricity of Kennedy’s division of the canon is crucial to his case. If Plato were indeed building a musical structure into his dialogues, it would have to be a structure that he could be confident his readers would recognise if they looked for it. There is simply no reason to think that they would be looking for Kennedy’s twelve-fold division of the monochord.</w:t>
      </w:r>
    </w:p>
    <w:p w14:paraId="63F3D259" w14:textId="77777777" w:rsidR="000C0982" w:rsidRDefault="004F7E76" w:rsidP="00A5327C">
      <w:pPr>
        <w:pStyle w:val="NoSpacing"/>
        <w:ind w:firstLine="720"/>
        <w:rPr>
          <w:rFonts w:ascii="Times New Roman" w:hAnsi="Times New Roman"/>
          <w:sz w:val="24"/>
          <w:szCs w:val="24"/>
        </w:rPr>
      </w:pPr>
      <w:r>
        <w:rPr>
          <w:rFonts w:ascii="Times New Roman" w:hAnsi="Times New Roman"/>
          <w:sz w:val="24"/>
          <w:szCs w:val="24"/>
        </w:rPr>
        <w:t xml:space="preserve"> We would like to close this unfortunately negative review with some thoughts about digital humanities and the study of Platonism. </w:t>
      </w:r>
      <w:r w:rsidR="00491678">
        <w:rPr>
          <w:rFonts w:ascii="Times New Roman" w:hAnsi="Times New Roman"/>
          <w:sz w:val="24"/>
          <w:szCs w:val="24"/>
        </w:rPr>
        <w:t>It seems not unlikely to us that there will be some conservative scholars who reject the very idea that the utilisation of computing technology can teach us anything about Plato and Platonism. Readers of this sort, we fear, may seize upon the shortcomings of this book to dismiss all this new-fangled whizz-bangery</w:t>
      </w:r>
      <w:r w:rsidR="00904AF5">
        <w:rPr>
          <w:rFonts w:ascii="Times New Roman" w:hAnsi="Times New Roman"/>
          <w:sz w:val="24"/>
          <w:szCs w:val="24"/>
        </w:rPr>
        <w:t>.</w:t>
      </w:r>
      <w:r w:rsidR="00491678">
        <w:rPr>
          <w:rFonts w:ascii="Times New Roman" w:hAnsi="Times New Roman"/>
          <w:sz w:val="24"/>
          <w:szCs w:val="24"/>
        </w:rPr>
        <w:t xml:space="preserve"> We are not those readers and we think it would be terrible if anyone used this case to dismiss the value of digital humanities initiatives. Nor are we positivists or sceptics who snort at the very idea that authors may include many layers of significance in their works. Bigelow is presently completing a project that argues that Shakespeare’s sonnets exemplify </w:t>
      </w:r>
      <w:r w:rsidR="00FF4FE2">
        <w:rPr>
          <w:rFonts w:ascii="Times New Roman" w:hAnsi="Times New Roman"/>
          <w:sz w:val="24"/>
          <w:szCs w:val="24"/>
        </w:rPr>
        <w:t xml:space="preserve">similar </w:t>
      </w:r>
      <w:r w:rsidR="00491678">
        <w:rPr>
          <w:rFonts w:ascii="Times New Roman" w:hAnsi="Times New Roman"/>
          <w:sz w:val="24"/>
          <w:szCs w:val="24"/>
        </w:rPr>
        <w:t>mathematical pattern</w:t>
      </w:r>
      <w:r w:rsidR="00FF4FE2">
        <w:rPr>
          <w:rFonts w:ascii="Times New Roman" w:hAnsi="Times New Roman"/>
          <w:sz w:val="24"/>
          <w:szCs w:val="24"/>
        </w:rPr>
        <w:t>-</w:t>
      </w:r>
      <w:r w:rsidR="00491678">
        <w:rPr>
          <w:rFonts w:ascii="Times New Roman" w:hAnsi="Times New Roman"/>
          <w:sz w:val="24"/>
          <w:szCs w:val="24"/>
        </w:rPr>
        <w:t xml:space="preserve">making </w:t>
      </w:r>
      <w:r w:rsidR="00FF4FE2">
        <w:rPr>
          <w:rFonts w:ascii="Times New Roman" w:hAnsi="Times New Roman"/>
          <w:sz w:val="24"/>
          <w:szCs w:val="24"/>
        </w:rPr>
        <w:t xml:space="preserve">to </w:t>
      </w:r>
      <w:r w:rsidR="00491678">
        <w:rPr>
          <w:rFonts w:ascii="Times New Roman" w:hAnsi="Times New Roman"/>
          <w:sz w:val="24"/>
          <w:szCs w:val="24"/>
        </w:rPr>
        <w:t xml:space="preserve">that </w:t>
      </w:r>
      <w:r w:rsidR="00FF4FE2">
        <w:rPr>
          <w:rFonts w:ascii="Times New Roman" w:hAnsi="Times New Roman"/>
          <w:sz w:val="24"/>
          <w:szCs w:val="24"/>
        </w:rPr>
        <w:t xml:space="preserve">which </w:t>
      </w:r>
      <w:r w:rsidR="00491678">
        <w:rPr>
          <w:rFonts w:ascii="Times New Roman" w:hAnsi="Times New Roman"/>
          <w:sz w:val="24"/>
          <w:szCs w:val="24"/>
        </w:rPr>
        <w:t xml:space="preserve">we find in the work of Spenser and the </w:t>
      </w:r>
      <w:r w:rsidR="00FF4FE2">
        <w:rPr>
          <w:rFonts w:ascii="Times New Roman" w:hAnsi="Times New Roman"/>
          <w:sz w:val="24"/>
          <w:szCs w:val="24"/>
        </w:rPr>
        <w:t xml:space="preserve">circle of </w:t>
      </w:r>
      <w:r w:rsidR="00491678">
        <w:rPr>
          <w:rFonts w:ascii="Times New Roman" w:hAnsi="Times New Roman"/>
          <w:sz w:val="24"/>
          <w:szCs w:val="24"/>
        </w:rPr>
        <w:t xml:space="preserve">Sir Philip Sidney. Baltzly is a participant in a research project that </w:t>
      </w:r>
      <w:r w:rsidR="00904AF5">
        <w:rPr>
          <w:rFonts w:ascii="Times New Roman" w:hAnsi="Times New Roman"/>
          <w:sz w:val="24"/>
          <w:szCs w:val="24"/>
        </w:rPr>
        <w:t>uses computing technology to generate similarity measures on the use of ‘function words’ among 2000 word blocks of Plato’s text. Prelim</w:t>
      </w:r>
      <w:r w:rsidR="00E558EA">
        <w:rPr>
          <w:rFonts w:ascii="Times New Roman" w:hAnsi="Times New Roman"/>
          <w:sz w:val="24"/>
          <w:szCs w:val="24"/>
        </w:rPr>
        <w:t xml:space="preserve">inary results suggest that there is a distinctive ‘mythic register’ that </w:t>
      </w:r>
      <w:r w:rsidR="001966D7">
        <w:rPr>
          <w:rFonts w:ascii="Times New Roman" w:hAnsi="Times New Roman"/>
          <w:sz w:val="24"/>
          <w:szCs w:val="24"/>
        </w:rPr>
        <w:t xml:space="preserve">Plato utilises </w:t>
      </w:r>
      <w:r w:rsidR="00E558EA">
        <w:rPr>
          <w:rFonts w:ascii="Times New Roman" w:hAnsi="Times New Roman"/>
          <w:sz w:val="24"/>
          <w:szCs w:val="24"/>
        </w:rPr>
        <w:t>when he is relating a myth.</w:t>
      </w:r>
      <w:r w:rsidR="00E558EA">
        <w:rPr>
          <w:rStyle w:val="FootnoteReference"/>
          <w:rFonts w:ascii="Times New Roman" w:hAnsi="Times New Roman"/>
          <w:sz w:val="24"/>
          <w:szCs w:val="24"/>
        </w:rPr>
        <w:footnoteReference w:id="4"/>
      </w:r>
      <w:r w:rsidR="00B5517B">
        <w:rPr>
          <w:rFonts w:ascii="Times New Roman" w:hAnsi="Times New Roman"/>
          <w:sz w:val="24"/>
          <w:szCs w:val="24"/>
        </w:rPr>
        <w:t xml:space="preserve"> Thus</w:t>
      </w:r>
      <w:r w:rsidR="00E558EA">
        <w:rPr>
          <w:rFonts w:ascii="Times New Roman" w:hAnsi="Times New Roman"/>
          <w:sz w:val="24"/>
          <w:szCs w:val="24"/>
        </w:rPr>
        <w:t xml:space="preserve"> we are neither sceptics about the</w:t>
      </w:r>
      <w:r w:rsidR="00B5517B">
        <w:rPr>
          <w:rFonts w:ascii="Times New Roman" w:hAnsi="Times New Roman"/>
          <w:sz w:val="24"/>
          <w:szCs w:val="24"/>
        </w:rPr>
        <w:t xml:space="preserve"> notion that well-known texts might hide certain rather</w:t>
      </w:r>
      <w:r w:rsidR="00E558EA">
        <w:rPr>
          <w:rFonts w:ascii="Times New Roman" w:hAnsi="Times New Roman"/>
          <w:sz w:val="24"/>
          <w:szCs w:val="24"/>
        </w:rPr>
        <w:t xml:space="preserve"> unobvious features nor </w:t>
      </w:r>
      <w:r w:rsidR="00B5517B">
        <w:rPr>
          <w:rFonts w:ascii="Times New Roman" w:hAnsi="Times New Roman"/>
          <w:sz w:val="24"/>
          <w:szCs w:val="24"/>
        </w:rPr>
        <w:t xml:space="preserve">are we </w:t>
      </w:r>
      <w:r w:rsidR="001966D7">
        <w:rPr>
          <w:rFonts w:ascii="Times New Roman" w:hAnsi="Times New Roman"/>
          <w:sz w:val="24"/>
          <w:szCs w:val="24"/>
        </w:rPr>
        <w:t>L</w:t>
      </w:r>
      <w:r w:rsidR="00E558EA">
        <w:rPr>
          <w:rFonts w:ascii="Times New Roman" w:hAnsi="Times New Roman"/>
          <w:sz w:val="24"/>
          <w:szCs w:val="24"/>
        </w:rPr>
        <w:t xml:space="preserve">uddites about the </w:t>
      </w:r>
      <w:r w:rsidR="00F17024">
        <w:rPr>
          <w:rFonts w:ascii="Times New Roman" w:hAnsi="Times New Roman"/>
          <w:sz w:val="24"/>
          <w:szCs w:val="24"/>
        </w:rPr>
        <w:t>possibilities</w:t>
      </w:r>
      <w:r w:rsidR="00E558EA">
        <w:rPr>
          <w:rFonts w:ascii="Times New Roman" w:hAnsi="Times New Roman"/>
          <w:sz w:val="24"/>
          <w:szCs w:val="24"/>
        </w:rPr>
        <w:t xml:space="preserve"> that the digital humanities might ho</w:t>
      </w:r>
      <w:r w:rsidR="00B5517B">
        <w:rPr>
          <w:rFonts w:ascii="Times New Roman" w:hAnsi="Times New Roman"/>
          <w:sz w:val="24"/>
          <w:szCs w:val="24"/>
        </w:rPr>
        <w:t xml:space="preserve">ld for ancient philosophy. </w:t>
      </w:r>
    </w:p>
    <w:p w14:paraId="1BD98B68" w14:textId="77777777" w:rsidR="00A5327C" w:rsidRDefault="00B5517B" w:rsidP="00A5327C">
      <w:pPr>
        <w:pStyle w:val="NoSpacing"/>
        <w:ind w:firstLine="720"/>
        <w:rPr>
          <w:rFonts w:ascii="Times New Roman" w:hAnsi="Times New Roman"/>
          <w:sz w:val="24"/>
          <w:szCs w:val="24"/>
        </w:rPr>
      </w:pPr>
      <w:r>
        <w:rPr>
          <w:rFonts w:ascii="Times New Roman" w:hAnsi="Times New Roman"/>
          <w:sz w:val="24"/>
          <w:szCs w:val="24"/>
        </w:rPr>
        <w:t>We approached the prospect of reviewing Kennedy’s book with excitement and optimism, but we’ve left rather disappointed.</w:t>
      </w:r>
      <w:r w:rsidR="001966D7">
        <w:rPr>
          <w:rFonts w:ascii="Times New Roman" w:hAnsi="Times New Roman"/>
          <w:sz w:val="24"/>
          <w:szCs w:val="24"/>
        </w:rPr>
        <w:t xml:space="preserve"> The case doesn’t hang together, we think, because it requires us to suppose that Plato composed to a pattern that his readers wouldn’t be looking for. They wouldn’t be looking for it musically, because it is not musically significant. Moreover, if he expected them to be looking for </w:t>
      </w:r>
      <w:r w:rsidR="00F37BB9">
        <w:rPr>
          <w:rFonts w:ascii="Times New Roman" w:hAnsi="Times New Roman"/>
          <w:sz w:val="24"/>
          <w:szCs w:val="24"/>
        </w:rPr>
        <w:t xml:space="preserve">such a </w:t>
      </w:r>
      <w:r w:rsidR="00F37BB9">
        <w:rPr>
          <w:rFonts w:ascii="Times New Roman" w:hAnsi="Times New Roman"/>
          <w:sz w:val="24"/>
          <w:szCs w:val="24"/>
        </w:rPr>
        <w:lastRenderedPageBreak/>
        <w:t xml:space="preserve">pattern </w:t>
      </w:r>
      <w:r w:rsidR="001966D7">
        <w:rPr>
          <w:rFonts w:ascii="Times New Roman" w:hAnsi="Times New Roman"/>
          <w:sz w:val="24"/>
          <w:szCs w:val="24"/>
        </w:rPr>
        <w:t>in the stichometry, then the evidence available to us suggests that his expectations we</w:t>
      </w:r>
      <w:r w:rsidR="00F37BB9">
        <w:rPr>
          <w:rFonts w:ascii="Times New Roman" w:hAnsi="Times New Roman"/>
          <w:sz w:val="24"/>
          <w:szCs w:val="24"/>
        </w:rPr>
        <w:t>nt</w:t>
      </w:r>
      <w:r w:rsidR="001966D7">
        <w:rPr>
          <w:rFonts w:ascii="Times New Roman" w:hAnsi="Times New Roman"/>
          <w:sz w:val="24"/>
          <w:szCs w:val="24"/>
        </w:rPr>
        <w:t xml:space="preserve"> wholly unfulfilled. Plato may have been a perverse writer in many ways – for instance, by disparaging philosophical writing in a philosophical text – but we think Kennedy’s hypothesis requires us to attribute a touch </w:t>
      </w:r>
      <w:r w:rsidR="00A67922">
        <w:rPr>
          <w:rFonts w:ascii="Times New Roman" w:hAnsi="Times New Roman"/>
          <w:sz w:val="24"/>
          <w:szCs w:val="24"/>
        </w:rPr>
        <w:t xml:space="preserve">too much perversity to one of our </w:t>
      </w:r>
      <w:r w:rsidR="00F17024">
        <w:rPr>
          <w:rFonts w:ascii="Times New Roman" w:hAnsi="Times New Roman"/>
          <w:sz w:val="24"/>
          <w:szCs w:val="24"/>
        </w:rPr>
        <w:t>favourite</w:t>
      </w:r>
      <w:r w:rsidR="00A67922">
        <w:rPr>
          <w:rFonts w:ascii="Times New Roman" w:hAnsi="Times New Roman"/>
          <w:sz w:val="24"/>
          <w:szCs w:val="24"/>
        </w:rPr>
        <w:t xml:space="preserve"> authors</w:t>
      </w:r>
      <w:r w:rsidR="001966D7">
        <w:rPr>
          <w:rFonts w:ascii="Times New Roman" w:hAnsi="Times New Roman"/>
          <w:sz w:val="24"/>
          <w:szCs w:val="24"/>
        </w:rPr>
        <w:t>.</w:t>
      </w:r>
    </w:p>
    <w:p w14:paraId="03C5DDEA" w14:textId="77777777" w:rsidR="00E71B5E" w:rsidRPr="00D61FFD" w:rsidRDefault="00E71B5E" w:rsidP="00A5327C">
      <w:pPr>
        <w:pStyle w:val="NoSpacing"/>
        <w:ind w:firstLine="720"/>
        <w:rPr>
          <w:rFonts w:ascii="Times New Roman" w:hAnsi="Times New Roman"/>
          <w:sz w:val="24"/>
          <w:szCs w:val="24"/>
        </w:rPr>
      </w:pPr>
    </w:p>
    <w:p w14:paraId="58DF1846" w14:textId="77777777" w:rsidR="00A5327C" w:rsidRDefault="00F37BB9" w:rsidP="00F37BB9">
      <w:pPr>
        <w:pStyle w:val="NoSpacing"/>
        <w:jc w:val="right"/>
        <w:rPr>
          <w:rFonts w:ascii="Times New Roman" w:hAnsi="Times New Roman"/>
          <w:sz w:val="24"/>
          <w:szCs w:val="24"/>
        </w:rPr>
      </w:pPr>
      <w:r>
        <w:rPr>
          <w:rFonts w:ascii="Times New Roman" w:hAnsi="Times New Roman"/>
          <w:sz w:val="24"/>
          <w:szCs w:val="24"/>
        </w:rPr>
        <w:t>Dirk Baltzly and John Bigelow</w:t>
      </w:r>
    </w:p>
    <w:p w14:paraId="01B30D1A" w14:textId="77777777" w:rsidR="00F37BB9" w:rsidRDefault="00F37BB9" w:rsidP="00F37BB9">
      <w:pPr>
        <w:pStyle w:val="NoSpacing"/>
        <w:jc w:val="right"/>
        <w:rPr>
          <w:rFonts w:ascii="Times New Roman" w:hAnsi="Times New Roman"/>
          <w:sz w:val="24"/>
          <w:szCs w:val="24"/>
        </w:rPr>
      </w:pPr>
      <w:r>
        <w:rPr>
          <w:rFonts w:ascii="Times New Roman" w:hAnsi="Times New Roman"/>
          <w:sz w:val="24"/>
          <w:szCs w:val="24"/>
        </w:rPr>
        <w:t>Department of Philosophy</w:t>
      </w:r>
    </w:p>
    <w:p w14:paraId="4D0A3F7D" w14:textId="77777777" w:rsidR="00F37BB9" w:rsidRPr="00811337" w:rsidRDefault="00F37BB9" w:rsidP="00F37BB9">
      <w:pPr>
        <w:pStyle w:val="NoSpacing"/>
        <w:jc w:val="right"/>
        <w:rPr>
          <w:rFonts w:ascii="Times New Roman" w:hAnsi="Times New Roman"/>
          <w:sz w:val="24"/>
          <w:szCs w:val="24"/>
        </w:rPr>
      </w:pPr>
      <w:r>
        <w:rPr>
          <w:rFonts w:ascii="Times New Roman" w:hAnsi="Times New Roman"/>
          <w:sz w:val="24"/>
          <w:szCs w:val="24"/>
        </w:rPr>
        <w:t>Monash University, Melbourne</w:t>
      </w:r>
    </w:p>
    <w:sectPr w:rsidR="00F37BB9" w:rsidRPr="008113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6893" w14:textId="77777777" w:rsidR="004C65DA" w:rsidRDefault="004C65DA" w:rsidP="00E558EA">
      <w:r>
        <w:separator/>
      </w:r>
    </w:p>
  </w:endnote>
  <w:endnote w:type="continuationSeparator" w:id="0">
    <w:p w14:paraId="565106FF" w14:textId="77777777" w:rsidR="004C65DA" w:rsidRDefault="004C65DA" w:rsidP="00E5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lver Humana">
    <w:panose1 w:val="020B0402000000000000"/>
    <w:charset w:val="00"/>
    <w:family w:val="swiss"/>
    <w:pitch w:val="variable"/>
    <w:sig w:usb0="00000207"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7112" w14:textId="77777777" w:rsidR="004C65DA" w:rsidRDefault="004C65DA" w:rsidP="00E558EA">
      <w:r>
        <w:separator/>
      </w:r>
    </w:p>
  </w:footnote>
  <w:footnote w:type="continuationSeparator" w:id="0">
    <w:p w14:paraId="60192C07" w14:textId="77777777" w:rsidR="004C65DA" w:rsidRDefault="004C65DA" w:rsidP="00E558EA">
      <w:r>
        <w:continuationSeparator/>
      </w:r>
    </w:p>
  </w:footnote>
  <w:footnote w:id="1">
    <w:p w14:paraId="02B30084" w14:textId="77777777" w:rsidR="00646329" w:rsidRPr="00646329" w:rsidRDefault="00646329">
      <w:pPr>
        <w:pStyle w:val="FootnoteText"/>
      </w:pPr>
      <w:r>
        <w:rPr>
          <w:rStyle w:val="FootnoteReference"/>
        </w:rPr>
        <w:footnoteRef/>
      </w:r>
      <w:r>
        <w:t xml:space="preserve"> “Plato’s Forms, Pythagorean Mathematics and Stichometry,” </w:t>
      </w:r>
      <w:r w:rsidRPr="00646329">
        <w:rPr>
          <w:i/>
        </w:rPr>
        <w:t>Apeiron</w:t>
      </w:r>
      <w:r>
        <w:t xml:space="preserve"> 44 (2010), 1–31.</w:t>
      </w:r>
    </w:p>
  </w:footnote>
  <w:footnote w:id="2">
    <w:p w14:paraId="2827870B" w14:textId="77777777" w:rsidR="00027039" w:rsidRDefault="00027039">
      <w:pPr>
        <w:pStyle w:val="FootnoteText"/>
      </w:pPr>
      <w:r>
        <w:rPr>
          <w:rStyle w:val="FootnoteReference"/>
        </w:rPr>
        <w:footnoteRef/>
      </w:r>
      <w:r>
        <w:t xml:space="preserve"> </w:t>
      </w:r>
      <w:r w:rsidRPr="00027039">
        <w:rPr>
          <w:i/>
        </w:rPr>
        <w:t>Short Time’s Endless Monument: the Symbolism of Numbers in Edmund Spensers’ Epithalamion</w:t>
      </w:r>
      <w:r>
        <w:t>, Oxford: OUP (1960).</w:t>
      </w:r>
    </w:p>
  </w:footnote>
  <w:footnote w:id="3">
    <w:p w14:paraId="0F748898" w14:textId="77777777" w:rsidR="00027039" w:rsidRDefault="00027039">
      <w:pPr>
        <w:pStyle w:val="FootnoteText"/>
      </w:pPr>
      <w:r>
        <w:rPr>
          <w:rStyle w:val="FootnoteReference"/>
        </w:rPr>
        <w:footnoteRef/>
      </w:r>
      <w:r>
        <w:t xml:space="preserve"> T. W. N. Parker, </w:t>
      </w:r>
      <w:r w:rsidRPr="00027039">
        <w:rPr>
          <w:i/>
        </w:rPr>
        <w:t>Proportional Form in the sonnets of the Sidney Circle</w:t>
      </w:r>
      <w:r>
        <w:t>. Oxford: OUP (1998).</w:t>
      </w:r>
    </w:p>
  </w:footnote>
  <w:footnote w:id="4">
    <w:p w14:paraId="04A8E04D" w14:textId="77777777" w:rsidR="00E558EA" w:rsidRDefault="00E558EA">
      <w:pPr>
        <w:pStyle w:val="FootnoteText"/>
      </w:pPr>
      <w:r>
        <w:rPr>
          <w:rStyle w:val="FootnoteReference"/>
        </w:rPr>
        <w:footnoteRef/>
      </w:r>
      <w:r>
        <w:t xml:space="preserve"> Tarrant, Benitez and Roberts, ‘The Mythical Voice in the </w:t>
      </w:r>
      <w:r w:rsidRPr="00E558EA">
        <w:rPr>
          <w:i/>
        </w:rPr>
        <w:t>Timaeus-Critias</w:t>
      </w:r>
      <w:r>
        <w:t xml:space="preserve">: Stylometric Indicators’, </w:t>
      </w:r>
      <w:r w:rsidRPr="00E558EA">
        <w:rPr>
          <w:i/>
        </w:rPr>
        <w:t xml:space="preserve">Ancient Philosophy </w:t>
      </w:r>
      <w:r>
        <w:t>31 #1 (2011), 95–120. Baltzly is a participant with Tarrant et al in an Australian Research Council Discovery Project on this topic.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4755"/>
    <w:rsid w:val="000223A8"/>
    <w:rsid w:val="00027039"/>
    <w:rsid w:val="000407D5"/>
    <w:rsid w:val="000426E4"/>
    <w:rsid w:val="00047F3C"/>
    <w:rsid w:val="00081838"/>
    <w:rsid w:val="00084FE3"/>
    <w:rsid w:val="000920DE"/>
    <w:rsid w:val="000A0802"/>
    <w:rsid w:val="000A1DA0"/>
    <w:rsid w:val="000B4B67"/>
    <w:rsid w:val="000C0982"/>
    <w:rsid w:val="000D0F5D"/>
    <w:rsid w:val="000E41A2"/>
    <w:rsid w:val="00100040"/>
    <w:rsid w:val="00112BAD"/>
    <w:rsid w:val="00114CAD"/>
    <w:rsid w:val="00135468"/>
    <w:rsid w:val="00154AA0"/>
    <w:rsid w:val="00157676"/>
    <w:rsid w:val="0017240C"/>
    <w:rsid w:val="0017625D"/>
    <w:rsid w:val="0019065F"/>
    <w:rsid w:val="001966D7"/>
    <w:rsid w:val="00197034"/>
    <w:rsid w:val="001A40C0"/>
    <w:rsid w:val="001A464A"/>
    <w:rsid w:val="001B024F"/>
    <w:rsid w:val="001B55D5"/>
    <w:rsid w:val="001B5BCA"/>
    <w:rsid w:val="001C4AC1"/>
    <w:rsid w:val="0020004C"/>
    <w:rsid w:val="0021382D"/>
    <w:rsid w:val="0021423E"/>
    <w:rsid w:val="0022715B"/>
    <w:rsid w:val="00227CE8"/>
    <w:rsid w:val="00233152"/>
    <w:rsid w:val="002457C3"/>
    <w:rsid w:val="00263169"/>
    <w:rsid w:val="0029092A"/>
    <w:rsid w:val="002920CA"/>
    <w:rsid w:val="002A1E3D"/>
    <w:rsid w:val="002C39E5"/>
    <w:rsid w:val="002D3CD3"/>
    <w:rsid w:val="002F616E"/>
    <w:rsid w:val="002F6EF8"/>
    <w:rsid w:val="00302859"/>
    <w:rsid w:val="0030645F"/>
    <w:rsid w:val="003073FE"/>
    <w:rsid w:val="00320481"/>
    <w:rsid w:val="00334184"/>
    <w:rsid w:val="00340B67"/>
    <w:rsid w:val="003454F2"/>
    <w:rsid w:val="00352B0F"/>
    <w:rsid w:val="00355378"/>
    <w:rsid w:val="003659C0"/>
    <w:rsid w:val="00377947"/>
    <w:rsid w:val="003915CA"/>
    <w:rsid w:val="003A0334"/>
    <w:rsid w:val="003A42CD"/>
    <w:rsid w:val="003B0C8B"/>
    <w:rsid w:val="003B1F7B"/>
    <w:rsid w:val="003B6531"/>
    <w:rsid w:val="00404600"/>
    <w:rsid w:val="0040493E"/>
    <w:rsid w:val="00425B64"/>
    <w:rsid w:val="00432DFE"/>
    <w:rsid w:val="00457743"/>
    <w:rsid w:val="004643D9"/>
    <w:rsid w:val="00473E34"/>
    <w:rsid w:val="0048096F"/>
    <w:rsid w:val="00490D07"/>
    <w:rsid w:val="00491678"/>
    <w:rsid w:val="00493691"/>
    <w:rsid w:val="004A0554"/>
    <w:rsid w:val="004B4892"/>
    <w:rsid w:val="004C094C"/>
    <w:rsid w:val="004C65DA"/>
    <w:rsid w:val="004C7018"/>
    <w:rsid w:val="004D0443"/>
    <w:rsid w:val="004D3A12"/>
    <w:rsid w:val="004D7F74"/>
    <w:rsid w:val="004F7E76"/>
    <w:rsid w:val="005109B3"/>
    <w:rsid w:val="00511853"/>
    <w:rsid w:val="0051396C"/>
    <w:rsid w:val="005205E6"/>
    <w:rsid w:val="00524AC6"/>
    <w:rsid w:val="00525DC6"/>
    <w:rsid w:val="00541299"/>
    <w:rsid w:val="00545314"/>
    <w:rsid w:val="00556A72"/>
    <w:rsid w:val="00557DCE"/>
    <w:rsid w:val="00557DD3"/>
    <w:rsid w:val="005628E3"/>
    <w:rsid w:val="005702CA"/>
    <w:rsid w:val="00580E1F"/>
    <w:rsid w:val="00581790"/>
    <w:rsid w:val="00582191"/>
    <w:rsid w:val="00594205"/>
    <w:rsid w:val="00594837"/>
    <w:rsid w:val="005C3961"/>
    <w:rsid w:val="005C4AB9"/>
    <w:rsid w:val="005D2A67"/>
    <w:rsid w:val="005D326B"/>
    <w:rsid w:val="005E33A4"/>
    <w:rsid w:val="00600CA9"/>
    <w:rsid w:val="0061597A"/>
    <w:rsid w:val="006276AA"/>
    <w:rsid w:val="006427FB"/>
    <w:rsid w:val="00646329"/>
    <w:rsid w:val="006550EA"/>
    <w:rsid w:val="00657754"/>
    <w:rsid w:val="0069178B"/>
    <w:rsid w:val="0069450B"/>
    <w:rsid w:val="006A5F63"/>
    <w:rsid w:val="006A77B5"/>
    <w:rsid w:val="006B7451"/>
    <w:rsid w:val="006C1425"/>
    <w:rsid w:val="006C4B62"/>
    <w:rsid w:val="006C6789"/>
    <w:rsid w:val="006C78DE"/>
    <w:rsid w:val="006C7FEC"/>
    <w:rsid w:val="006D47AE"/>
    <w:rsid w:val="006D559E"/>
    <w:rsid w:val="006E2AE2"/>
    <w:rsid w:val="006E38A4"/>
    <w:rsid w:val="006F1FA3"/>
    <w:rsid w:val="006F2A8B"/>
    <w:rsid w:val="006F7D4F"/>
    <w:rsid w:val="00701C11"/>
    <w:rsid w:val="00707C04"/>
    <w:rsid w:val="00715899"/>
    <w:rsid w:val="007266BF"/>
    <w:rsid w:val="00734142"/>
    <w:rsid w:val="007421DA"/>
    <w:rsid w:val="007555F7"/>
    <w:rsid w:val="00755F1B"/>
    <w:rsid w:val="007648B1"/>
    <w:rsid w:val="007653CE"/>
    <w:rsid w:val="007876D0"/>
    <w:rsid w:val="00793294"/>
    <w:rsid w:val="007A06F9"/>
    <w:rsid w:val="007A6CF6"/>
    <w:rsid w:val="007E72EC"/>
    <w:rsid w:val="007F3860"/>
    <w:rsid w:val="00805285"/>
    <w:rsid w:val="0082194F"/>
    <w:rsid w:val="00824605"/>
    <w:rsid w:val="0083106F"/>
    <w:rsid w:val="008627C9"/>
    <w:rsid w:val="00866C02"/>
    <w:rsid w:val="00867F2E"/>
    <w:rsid w:val="008716A1"/>
    <w:rsid w:val="00871D37"/>
    <w:rsid w:val="008720AB"/>
    <w:rsid w:val="008775E0"/>
    <w:rsid w:val="00882072"/>
    <w:rsid w:val="00883C47"/>
    <w:rsid w:val="00883D33"/>
    <w:rsid w:val="0089424A"/>
    <w:rsid w:val="008D23A0"/>
    <w:rsid w:val="008D7F89"/>
    <w:rsid w:val="008E1A82"/>
    <w:rsid w:val="008E39A8"/>
    <w:rsid w:val="008E7B3C"/>
    <w:rsid w:val="00900A78"/>
    <w:rsid w:val="00904AF5"/>
    <w:rsid w:val="00926539"/>
    <w:rsid w:val="009612C3"/>
    <w:rsid w:val="0096213F"/>
    <w:rsid w:val="00963C59"/>
    <w:rsid w:val="00975368"/>
    <w:rsid w:val="009939C5"/>
    <w:rsid w:val="0099674D"/>
    <w:rsid w:val="009B7BFD"/>
    <w:rsid w:val="009D2E7C"/>
    <w:rsid w:val="009F078C"/>
    <w:rsid w:val="009F14F1"/>
    <w:rsid w:val="009F2212"/>
    <w:rsid w:val="009F58F0"/>
    <w:rsid w:val="00A03ECE"/>
    <w:rsid w:val="00A053E3"/>
    <w:rsid w:val="00A1013F"/>
    <w:rsid w:val="00A1401D"/>
    <w:rsid w:val="00A14278"/>
    <w:rsid w:val="00A2129A"/>
    <w:rsid w:val="00A25647"/>
    <w:rsid w:val="00A412E1"/>
    <w:rsid w:val="00A5327C"/>
    <w:rsid w:val="00A61CA2"/>
    <w:rsid w:val="00A631F9"/>
    <w:rsid w:val="00A63A19"/>
    <w:rsid w:val="00A6660B"/>
    <w:rsid w:val="00A67922"/>
    <w:rsid w:val="00A75D0C"/>
    <w:rsid w:val="00A87314"/>
    <w:rsid w:val="00A90E39"/>
    <w:rsid w:val="00AA3B9D"/>
    <w:rsid w:val="00AA4287"/>
    <w:rsid w:val="00AB2BC4"/>
    <w:rsid w:val="00AB3433"/>
    <w:rsid w:val="00AC35E7"/>
    <w:rsid w:val="00AC6079"/>
    <w:rsid w:val="00AD4B8A"/>
    <w:rsid w:val="00AE2201"/>
    <w:rsid w:val="00AE3D95"/>
    <w:rsid w:val="00B05057"/>
    <w:rsid w:val="00B234EB"/>
    <w:rsid w:val="00B324B5"/>
    <w:rsid w:val="00B35C48"/>
    <w:rsid w:val="00B35F13"/>
    <w:rsid w:val="00B43F5D"/>
    <w:rsid w:val="00B44755"/>
    <w:rsid w:val="00B54D55"/>
    <w:rsid w:val="00B5517B"/>
    <w:rsid w:val="00B63C5C"/>
    <w:rsid w:val="00B76687"/>
    <w:rsid w:val="00B85400"/>
    <w:rsid w:val="00BA358D"/>
    <w:rsid w:val="00BA4016"/>
    <w:rsid w:val="00BA4DB0"/>
    <w:rsid w:val="00BC3510"/>
    <w:rsid w:val="00BC4C63"/>
    <w:rsid w:val="00BD648A"/>
    <w:rsid w:val="00BE1138"/>
    <w:rsid w:val="00BE4B3B"/>
    <w:rsid w:val="00BF314F"/>
    <w:rsid w:val="00BF6FA3"/>
    <w:rsid w:val="00C24509"/>
    <w:rsid w:val="00C2705B"/>
    <w:rsid w:val="00C61E9A"/>
    <w:rsid w:val="00C62551"/>
    <w:rsid w:val="00CA5BCB"/>
    <w:rsid w:val="00CA6FD8"/>
    <w:rsid w:val="00CB3F7F"/>
    <w:rsid w:val="00CE3A00"/>
    <w:rsid w:val="00CF696E"/>
    <w:rsid w:val="00D055C6"/>
    <w:rsid w:val="00D06703"/>
    <w:rsid w:val="00D2471C"/>
    <w:rsid w:val="00D35073"/>
    <w:rsid w:val="00D3531E"/>
    <w:rsid w:val="00D37AAB"/>
    <w:rsid w:val="00D51A07"/>
    <w:rsid w:val="00D75A86"/>
    <w:rsid w:val="00D97144"/>
    <w:rsid w:val="00DB0EE8"/>
    <w:rsid w:val="00DB63F8"/>
    <w:rsid w:val="00DC6D20"/>
    <w:rsid w:val="00DD6115"/>
    <w:rsid w:val="00DE06CC"/>
    <w:rsid w:val="00E02988"/>
    <w:rsid w:val="00E23D07"/>
    <w:rsid w:val="00E24B83"/>
    <w:rsid w:val="00E30C17"/>
    <w:rsid w:val="00E43799"/>
    <w:rsid w:val="00E45FE2"/>
    <w:rsid w:val="00E558EA"/>
    <w:rsid w:val="00E64CF3"/>
    <w:rsid w:val="00E71B5E"/>
    <w:rsid w:val="00E75A84"/>
    <w:rsid w:val="00E83324"/>
    <w:rsid w:val="00EA452C"/>
    <w:rsid w:val="00EC5D9E"/>
    <w:rsid w:val="00ED4AEF"/>
    <w:rsid w:val="00ED6BCC"/>
    <w:rsid w:val="00EE647E"/>
    <w:rsid w:val="00EE72D0"/>
    <w:rsid w:val="00EF059B"/>
    <w:rsid w:val="00EF3079"/>
    <w:rsid w:val="00F04273"/>
    <w:rsid w:val="00F1084F"/>
    <w:rsid w:val="00F14C1C"/>
    <w:rsid w:val="00F17024"/>
    <w:rsid w:val="00F309D1"/>
    <w:rsid w:val="00F340E0"/>
    <w:rsid w:val="00F37BB9"/>
    <w:rsid w:val="00F51E19"/>
    <w:rsid w:val="00F67C44"/>
    <w:rsid w:val="00F92DC5"/>
    <w:rsid w:val="00FA10CE"/>
    <w:rsid w:val="00FA743B"/>
    <w:rsid w:val="00FB3AD2"/>
    <w:rsid w:val="00FD6733"/>
    <w:rsid w:val="00FD7B5F"/>
    <w:rsid w:val="00FE153B"/>
    <w:rsid w:val="00FF3F29"/>
    <w:rsid w:val="00FF4FE2"/>
    <w:rsid w:val="00FF6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25C0B297"/>
  <w15:chartTrackingRefBased/>
  <w15:docId w15:val="{E6CBF26C-EF5E-4DC5-94E3-E2CF5EF8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8E39A8"/>
    <w:rPr>
      <w:rFonts w:ascii="Calibri" w:eastAsia="Calibri" w:hAnsi="Calibri"/>
      <w:sz w:val="22"/>
      <w:szCs w:val="22"/>
      <w:lang w:eastAsia="en-US"/>
    </w:rPr>
  </w:style>
  <w:style w:type="paragraph" w:styleId="FootnoteText">
    <w:name w:val="footnote text"/>
    <w:basedOn w:val="Normal"/>
    <w:link w:val="FootnoteTextChar"/>
    <w:rsid w:val="00E558EA"/>
    <w:rPr>
      <w:sz w:val="20"/>
      <w:szCs w:val="20"/>
    </w:rPr>
  </w:style>
  <w:style w:type="character" w:customStyle="1" w:styleId="FootnoteTextChar">
    <w:name w:val="Footnote Text Char"/>
    <w:link w:val="FootnoteText"/>
    <w:rsid w:val="00E558EA"/>
    <w:rPr>
      <w:lang w:eastAsia="en-AU"/>
    </w:rPr>
  </w:style>
  <w:style w:type="character" w:styleId="FootnoteReference">
    <w:name w:val="footnote reference"/>
    <w:rsid w:val="00E55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5028</Words>
  <Characters>25984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While Kennedy’s book has been the subject of several reviews already, for the benefit of readers who are not already acquainted with its structure and central claims we summarise them first</vt:lpstr>
    </vt:vector>
  </TitlesOfParts>
  <Company>Philosophy, Monash University</Company>
  <LinksUpToDate>false</LinksUpToDate>
  <CharactersWithSpaces>30951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Kennedy’s book has been the subject of several reviews already, for the benefit of readers who are not already acquainted with its structure and central claims we summarise them first</dc:title>
  <dc:subject/>
  <dc:creator>Dirk Baltzly</dc:creator>
  <cp:keywords/>
  <cp:lastModifiedBy>Dirk Baltzly</cp:lastModifiedBy>
  <cp:revision>2</cp:revision>
  <dcterms:created xsi:type="dcterms:W3CDTF">2024-01-20T06:23:00Z</dcterms:created>
  <dcterms:modified xsi:type="dcterms:W3CDTF">2024-01-20T06:23:00Z</dcterms:modified>
</cp:coreProperties>
</file>