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90DAA" w14:textId="23B3A414" w:rsidR="00453B7A" w:rsidRDefault="00453B7A" w:rsidP="00E67DE4">
      <w:pPr>
        <w:spacing w:after="200" w:line="288" w:lineRule="auto"/>
        <w:jc w:val="center"/>
        <w:rPr>
          <w:rFonts w:ascii="Cambria" w:hAnsi="Cambria"/>
          <w:b/>
          <w:sz w:val="24"/>
          <w:szCs w:val="24"/>
        </w:rPr>
      </w:pPr>
      <w:r>
        <w:rPr>
          <w:rFonts w:ascii="Cambria" w:hAnsi="Cambria"/>
          <w:b/>
          <w:sz w:val="24"/>
          <w:szCs w:val="24"/>
        </w:rPr>
        <w:t>State Sovereignty, Associational Interests, and Collective Religious Liberty</w:t>
      </w:r>
    </w:p>
    <w:p w14:paraId="2417170F" w14:textId="77777777" w:rsidR="00F97F39" w:rsidRPr="000F3B6D" w:rsidRDefault="00F97F39" w:rsidP="004E2D20">
      <w:pPr>
        <w:spacing w:after="200" w:line="288" w:lineRule="auto"/>
        <w:jc w:val="both"/>
        <w:rPr>
          <w:rFonts w:ascii="Cambria" w:hAnsi="Cambria"/>
          <w:sz w:val="24"/>
          <w:szCs w:val="24"/>
        </w:rPr>
      </w:pPr>
      <w:bookmarkStart w:id="0" w:name="_GoBack"/>
      <w:bookmarkEnd w:id="0"/>
    </w:p>
    <w:p w14:paraId="7B5BD291" w14:textId="520D3A8B" w:rsidR="00094CDF"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Chapter 5 of</w:t>
      </w:r>
      <w:r w:rsidR="0029334E" w:rsidRPr="000F3B6D">
        <w:rPr>
          <w:rFonts w:ascii="Cambria" w:hAnsi="Cambria"/>
          <w:sz w:val="24"/>
          <w:szCs w:val="24"/>
        </w:rPr>
        <w:t xml:space="preserve"> Cécile Laborde’s excellent book</w:t>
      </w:r>
      <w:r w:rsidRPr="000F3B6D">
        <w:rPr>
          <w:rFonts w:ascii="Cambria" w:hAnsi="Cambria"/>
          <w:sz w:val="24"/>
          <w:szCs w:val="24"/>
        </w:rPr>
        <w:t xml:space="preserve"> </w:t>
      </w:r>
      <w:r w:rsidRPr="000F3B6D">
        <w:rPr>
          <w:rFonts w:ascii="Cambria" w:hAnsi="Cambria"/>
          <w:i/>
          <w:sz w:val="24"/>
          <w:szCs w:val="24"/>
        </w:rPr>
        <w:t>Liberalism’s Religion</w:t>
      </w:r>
      <w:r w:rsidRPr="000F3B6D">
        <w:rPr>
          <w:rFonts w:ascii="Cambria" w:hAnsi="Cambria"/>
          <w:sz w:val="24"/>
          <w:szCs w:val="24"/>
        </w:rPr>
        <w:t xml:space="preserve"> is focused upon </w:t>
      </w:r>
      <w:r w:rsidR="00FB431B" w:rsidRPr="000F3B6D">
        <w:rPr>
          <w:rFonts w:ascii="Cambria" w:hAnsi="Cambria"/>
          <w:sz w:val="24"/>
          <w:szCs w:val="24"/>
        </w:rPr>
        <w:t xml:space="preserve">the </w:t>
      </w:r>
      <w:r w:rsidRPr="000F3B6D">
        <w:rPr>
          <w:rFonts w:ascii="Cambria" w:hAnsi="Cambria"/>
          <w:sz w:val="24"/>
          <w:szCs w:val="24"/>
        </w:rPr>
        <w:t xml:space="preserve">freedom </w:t>
      </w:r>
      <w:r w:rsidR="00FB431B" w:rsidRPr="000F3B6D">
        <w:rPr>
          <w:rFonts w:ascii="Cambria" w:hAnsi="Cambria"/>
          <w:sz w:val="24"/>
          <w:szCs w:val="24"/>
        </w:rPr>
        <w:t xml:space="preserve">and autonomy </w:t>
      </w:r>
      <w:r w:rsidRPr="000F3B6D">
        <w:rPr>
          <w:rFonts w:ascii="Cambria" w:hAnsi="Cambria"/>
          <w:sz w:val="24"/>
          <w:szCs w:val="24"/>
        </w:rPr>
        <w:t>of religious association</w:t>
      </w:r>
      <w:r w:rsidR="00FB431B" w:rsidRPr="000F3B6D">
        <w:rPr>
          <w:rFonts w:ascii="Cambria" w:hAnsi="Cambria"/>
          <w:sz w:val="24"/>
          <w:szCs w:val="24"/>
        </w:rPr>
        <w:t>s</w:t>
      </w:r>
      <w:r w:rsidRPr="000F3B6D">
        <w:rPr>
          <w:rFonts w:ascii="Cambria" w:hAnsi="Cambria"/>
          <w:sz w:val="24"/>
          <w:szCs w:val="24"/>
        </w:rPr>
        <w:t xml:space="preserve"> within liberal democratic societies.</w:t>
      </w:r>
      <w:r w:rsidR="0029334E" w:rsidRPr="000F3B6D">
        <w:rPr>
          <w:rStyle w:val="FootnoteReference"/>
          <w:rFonts w:ascii="Cambria" w:hAnsi="Cambria"/>
          <w:sz w:val="24"/>
          <w:szCs w:val="24"/>
        </w:rPr>
        <w:footnoteReference w:id="1"/>
      </w:r>
      <w:r w:rsidRPr="000F3B6D">
        <w:rPr>
          <w:rFonts w:ascii="Cambria" w:hAnsi="Cambria"/>
          <w:sz w:val="24"/>
          <w:szCs w:val="24"/>
        </w:rPr>
        <w:t xml:space="preserve"> </w:t>
      </w:r>
      <w:r w:rsidR="0029334E" w:rsidRPr="000F3B6D">
        <w:rPr>
          <w:rFonts w:ascii="Cambria" w:hAnsi="Cambria"/>
          <w:sz w:val="24"/>
          <w:szCs w:val="24"/>
        </w:rPr>
        <w:t>Laborde</w:t>
      </w:r>
      <w:r w:rsidR="00094CDF" w:rsidRPr="000F3B6D">
        <w:rPr>
          <w:rFonts w:ascii="Cambria" w:hAnsi="Cambria"/>
          <w:sz w:val="24"/>
          <w:szCs w:val="24"/>
        </w:rPr>
        <w:t xml:space="preserve"> makes two main arguments.</w:t>
      </w:r>
    </w:p>
    <w:p w14:paraId="303613E9" w14:textId="7B1A582E" w:rsidR="00094CDF"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First, she rejects theories of ‘sphere sovereignty’ or ‘religious institutionalism’, according to which associations </w:t>
      </w:r>
      <w:r w:rsidR="00691F85" w:rsidRPr="000F3B6D">
        <w:rPr>
          <w:rFonts w:ascii="Cambria" w:hAnsi="Cambria"/>
          <w:sz w:val="24"/>
          <w:szCs w:val="24"/>
        </w:rPr>
        <w:t>like</w:t>
      </w:r>
      <w:r w:rsidRPr="000F3B6D">
        <w:rPr>
          <w:rFonts w:ascii="Cambria" w:hAnsi="Cambria"/>
          <w:sz w:val="24"/>
          <w:szCs w:val="24"/>
        </w:rPr>
        <w:t xml:space="preserve"> churches have a pre-political authority and jurisdiction that limits the state’s jurisdiction</w:t>
      </w:r>
      <w:r w:rsidR="00402090">
        <w:rPr>
          <w:rFonts w:ascii="Cambria" w:hAnsi="Cambria"/>
          <w:sz w:val="24"/>
          <w:szCs w:val="24"/>
        </w:rPr>
        <w:t xml:space="preserve"> (161–171)</w:t>
      </w:r>
      <w:r w:rsidRPr="000F3B6D">
        <w:rPr>
          <w:rFonts w:ascii="Cambria" w:hAnsi="Cambria"/>
          <w:sz w:val="24"/>
          <w:szCs w:val="24"/>
        </w:rPr>
        <w:t xml:space="preserve">. </w:t>
      </w:r>
      <w:r w:rsidR="0029334E" w:rsidRPr="000F3B6D">
        <w:rPr>
          <w:rFonts w:ascii="Cambria" w:hAnsi="Cambria"/>
          <w:sz w:val="24"/>
          <w:szCs w:val="24"/>
        </w:rPr>
        <w:t>She</w:t>
      </w:r>
      <w:r w:rsidRPr="000F3B6D">
        <w:rPr>
          <w:rFonts w:ascii="Cambria" w:hAnsi="Cambria"/>
          <w:sz w:val="24"/>
          <w:szCs w:val="24"/>
        </w:rPr>
        <w:t xml:space="preserve"> insists that the state is the sole sovereign, and has the unique authority to define both its own jurisdiction and the rights and freedoms of all other associations. Controversies over the state</w:t>
      </w:r>
      <w:r w:rsidR="00FB431B" w:rsidRPr="000F3B6D">
        <w:rPr>
          <w:rFonts w:ascii="Cambria" w:hAnsi="Cambria"/>
          <w:sz w:val="24"/>
          <w:szCs w:val="24"/>
        </w:rPr>
        <w:t>’s</w:t>
      </w:r>
      <w:r w:rsidRPr="000F3B6D">
        <w:rPr>
          <w:rFonts w:ascii="Cambria" w:hAnsi="Cambria"/>
          <w:sz w:val="24"/>
          <w:szCs w:val="24"/>
        </w:rPr>
        <w:t xml:space="preserve"> </w:t>
      </w:r>
      <w:r w:rsidRPr="000F3B6D">
        <w:rPr>
          <w:rFonts w:ascii="Cambria" w:hAnsi="Cambria"/>
          <w:i/>
          <w:sz w:val="24"/>
          <w:szCs w:val="24"/>
        </w:rPr>
        <w:t>legitimate</w:t>
      </w:r>
      <w:r w:rsidRPr="000F3B6D">
        <w:rPr>
          <w:rFonts w:ascii="Cambria" w:hAnsi="Cambria"/>
          <w:sz w:val="24"/>
          <w:szCs w:val="24"/>
        </w:rPr>
        <w:t xml:space="preserve"> jurisdictional authority are no</w:t>
      </w:r>
      <w:r w:rsidR="00094CDF" w:rsidRPr="000F3B6D">
        <w:rPr>
          <w:rFonts w:ascii="Cambria" w:hAnsi="Cambria"/>
          <w:sz w:val="24"/>
          <w:szCs w:val="24"/>
        </w:rPr>
        <w:t>n-starters.</w:t>
      </w:r>
    </w:p>
    <w:p w14:paraId="24DC6A8D" w14:textId="3CB5C7A2"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Second, </w:t>
      </w:r>
      <w:r w:rsidR="0029334E" w:rsidRPr="000F3B6D">
        <w:rPr>
          <w:rFonts w:ascii="Cambria" w:hAnsi="Cambria"/>
          <w:sz w:val="24"/>
          <w:szCs w:val="24"/>
        </w:rPr>
        <w:t>Laborde</w:t>
      </w:r>
      <w:r w:rsidRPr="000F3B6D">
        <w:rPr>
          <w:rFonts w:ascii="Cambria" w:hAnsi="Cambria"/>
          <w:sz w:val="24"/>
          <w:szCs w:val="24"/>
        </w:rPr>
        <w:t xml:space="preserve"> develops </w:t>
      </w:r>
      <w:r w:rsidR="00150024" w:rsidRPr="000F3B6D">
        <w:rPr>
          <w:rFonts w:ascii="Cambria" w:hAnsi="Cambria"/>
          <w:sz w:val="24"/>
          <w:szCs w:val="24"/>
        </w:rPr>
        <w:t xml:space="preserve">a view of </w:t>
      </w:r>
      <w:r w:rsidR="00150024" w:rsidRPr="000F3B6D">
        <w:rPr>
          <w:rFonts w:ascii="Cambria" w:hAnsi="Cambria"/>
          <w:i/>
          <w:sz w:val="24"/>
          <w:szCs w:val="24"/>
        </w:rPr>
        <w:t xml:space="preserve">justice </w:t>
      </w:r>
      <w:r w:rsidR="00150024" w:rsidRPr="000F3B6D">
        <w:rPr>
          <w:rFonts w:ascii="Cambria" w:hAnsi="Cambria"/>
          <w:sz w:val="24"/>
          <w:szCs w:val="24"/>
        </w:rPr>
        <w:t xml:space="preserve">in this area: of </w:t>
      </w:r>
      <w:r w:rsidRPr="000F3B6D">
        <w:rPr>
          <w:rFonts w:ascii="Cambria" w:hAnsi="Cambria"/>
          <w:sz w:val="24"/>
          <w:szCs w:val="24"/>
        </w:rPr>
        <w:t>the rights and freedoms that religious groups ought to be granted</w:t>
      </w:r>
      <w:r w:rsidR="00402090">
        <w:rPr>
          <w:rFonts w:ascii="Cambria" w:hAnsi="Cambria"/>
          <w:sz w:val="24"/>
          <w:szCs w:val="24"/>
        </w:rPr>
        <w:t xml:space="preserve"> (171–196)</w:t>
      </w:r>
      <w:r w:rsidRPr="000F3B6D">
        <w:rPr>
          <w:rFonts w:ascii="Cambria" w:hAnsi="Cambria"/>
          <w:sz w:val="24"/>
          <w:szCs w:val="24"/>
        </w:rPr>
        <w:t xml:space="preserve">. In keeping with her </w:t>
      </w:r>
      <w:r w:rsidR="0029334E" w:rsidRPr="000F3B6D">
        <w:rPr>
          <w:rFonts w:ascii="Cambria" w:hAnsi="Cambria"/>
          <w:sz w:val="24"/>
          <w:szCs w:val="24"/>
        </w:rPr>
        <w:t>‘</w:t>
      </w:r>
      <w:r w:rsidRPr="000F3B6D">
        <w:rPr>
          <w:rFonts w:ascii="Cambria" w:hAnsi="Cambria"/>
          <w:sz w:val="24"/>
          <w:szCs w:val="24"/>
        </w:rPr>
        <w:t>disaggregation approach</w:t>
      </w:r>
      <w:r w:rsidR="0029334E" w:rsidRPr="000F3B6D">
        <w:rPr>
          <w:rFonts w:ascii="Cambria" w:hAnsi="Cambria"/>
          <w:sz w:val="24"/>
          <w:szCs w:val="24"/>
        </w:rPr>
        <w:t>’</w:t>
      </w:r>
      <w:r w:rsidRPr="000F3B6D">
        <w:rPr>
          <w:rFonts w:ascii="Cambria" w:hAnsi="Cambria"/>
          <w:sz w:val="24"/>
          <w:szCs w:val="24"/>
        </w:rPr>
        <w:t>,</w:t>
      </w:r>
      <w:r w:rsidR="0029334E" w:rsidRPr="000F3B6D">
        <w:rPr>
          <w:rStyle w:val="FootnoteReference"/>
          <w:rFonts w:ascii="Cambria" w:hAnsi="Cambria"/>
          <w:sz w:val="24"/>
          <w:szCs w:val="24"/>
        </w:rPr>
        <w:footnoteReference w:id="2"/>
      </w:r>
      <w:r w:rsidRPr="000F3B6D">
        <w:rPr>
          <w:rFonts w:ascii="Cambria" w:hAnsi="Cambria"/>
          <w:sz w:val="24"/>
          <w:szCs w:val="24"/>
        </w:rPr>
        <w:t xml:space="preserve"> </w:t>
      </w:r>
      <w:r w:rsidR="0029334E" w:rsidRPr="000F3B6D">
        <w:rPr>
          <w:rFonts w:ascii="Cambria" w:hAnsi="Cambria"/>
          <w:sz w:val="24"/>
          <w:szCs w:val="24"/>
        </w:rPr>
        <w:t>she</w:t>
      </w:r>
      <w:r w:rsidRPr="000F3B6D">
        <w:rPr>
          <w:rFonts w:ascii="Cambria" w:hAnsi="Cambria"/>
          <w:sz w:val="24"/>
          <w:szCs w:val="24"/>
        </w:rPr>
        <w:t xml:space="preserve"> argues that groups’ rights are derived from the liberal value of freedom of association. What matters is not what makes groups ‘religious’, but the specific interests and relationships promoted and protected by </w:t>
      </w:r>
      <w:r w:rsidR="009F6854" w:rsidRPr="000F3B6D">
        <w:rPr>
          <w:rFonts w:ascii="Cambria" w:hAnsi="Cambria"/>
          <w:sz w:val="24"/>
          <w:szCs w:val="24"/>
        </w:rPr>
        <w:t>associations</w:t>
      </w:r>
      <w:r w:rsidR="00E17662" w:rsidRPr="000F3B6D">
        <w:rPr>
          <w:rFonts w:ascii="Cambria" w:hAnsi="Cambria"/>
          <w:sz w:val="24"/>
          <w:szCs w:val="24"/>
        </w:rPr>
        <w:t>,</w:t>
      </w:r>
      <w:r w:rsidRPr="000F3B6D">
        <w:rPr>
          <w:rFonts w:ascii="Cambria" w:hAnsi="Cambria"/>
          <w:sz w:val="24"/>
          <w:szCs w:val="24"/>
        </w:rPr>
        <w:t xml:space="preserve"> </w:t>
      </w:r>
      <w:r w:rsidR="00E17662" w:rsidRPr="000F3B6D">
        <w:rPr>
          <w:rFonts w:ascii="Cambria" w:hAnsi="Cambria"/>
          <w:sz w:val="24"/>
          <w:szCs w:val="24"/>
        </w:rPr>
        <w:t>which</w:t>
      </w:r>
      <w:r w:rsidRPr="000F3B6D">
        <w:rPr>
          <w:rFonts w:ascii="Cambria" w:hAnsi="Cambria"/>
          <w:sz w:val="24"/>
          <w:szCs w:val="24"/>
        </w:rPr>
        <w:t xml:space="preserve"> can ground various rights</w:t>
      </w:r>
      <w:r w:rsidR="00657416" w:rsidRPr="000F3B6D">
        <w:rPr>
          <w:rFonts w:ascii="Cambria" w:hAnsi="Cambria"/>
          <w:sz w:val="24"/>
          <w:szCs w:val="24"/>
        </w:rPr>
        <w:t>.</w:t>
      </w:r>
      <w:r w:rsidR="00FF4668" w:rsidRPr="000F3B6D">
        <w:rPr>
          <w:rFonts w:ascii="Cambria" w:hAnsi="Cambria"/>
          <w:sz w:val="24"/>
          <w:szCs w:val="24"/>
        </w:rPr>
        <w:t xml:space="preserve"> </w:t>
      </w:r>
      <w:r w:rsidR="00E17662" w:rsidRPr="000F3B6D">
        <w:rPr>
          <w:rFonts w:ascii="Cambria" w:hAnsi="Cambria"/>
          <w:sz w:val="24"/>
          <w:szCs w:val="24"/>
        </w:rPr>
        <w:t>Laborde</w:t>
      </w:r>
      <w:r w:rsidRPr="000F3B6D">
        <w:rPr>
          <w:rFonts w:ascii="Cambria" w:hAnsi="Cambria"/>
          <w:sz w:val="24"/>
          <w:szCs w:val="24"/>
        </w:rPr>
        <w:t xml:space="preserve"> argues that two kinds of interests can justify special associational rights. </w:t>
      </w:r>
      <w:r w:rsidR="007718F5" w:rsidRPr="000F3B6D">
        <w:rPr>
          <w:rFonts w:ascii="Cambria" w:hAnsi="Cambria"/>
          <w:sz w:val="24"/>
          <w:szCs w:val="24"/>
        </w:rPr>
        <w:t>‘</w:t>
      </w:r>
      <w:r w:rsidRPr="000F3B6D">
        <w:rPr>
          <w:rFonts w:ascii="Cambria" w:hAnsi="Cambria"/>
          <w:sz w:val="24"/>
          <w:szCs w:val="24"/>
        </w:rPr>
        <w:t>Coherence interests</w:t>
      </w:r>
      <w:r w:rsidR="007718F5" w:rsidRPr="000F3B6D">
        <w:rPr>
          <w:rFonts w:ascii="Cambria" w:hAnsi="Cambria"/>
          <w:sz w:val="24"/>
          <w:szCs w:val="24"/>
        </w:rPr>
        <w:t>’</w:t>
      </w:r>
      <w:r w:rsidRPr="000F3B6D">
        <w:rPr>
          <w:rFonts w:ascii="Cambria" w:hAnsi="Cambria"/>
          <w:sz w:val="24"/>
          <w:szCs w:val="24"/>
        </w:rPr>
        <w:t xml:space="preserve"> justify </w:t>
      </w:r>
      <w:r w:rsidR="00E17662" w:rsidRPr="000F3B6D">
        <w:rPr>
          <w:rFonts w:ascii="Cambria" w:hAnsi="Cambria"/>
          <w:sz w:val="24"/>
          <w:szCs w:val="24"/>
        </w:rPr>
        <w:t xml:space="preserve">groups’ </w:t>
      </w:r>
      <w:r w:rsidRPr="000F3B6D">
        <w:rPr>
          <w:rFonts w:ascii="Cambria" w:hAnsi="Cambria"/>
          <w:sz w:val="24"/>
          <w:szCs w:val="24"/>
        </w:rPr>
        <w:t xml:space="preserve">rights to choose their own membership and leadership, leading to some </w:t>
      </w:r>
      <w:r w:rsidR="006033D0" w:rsidRPr="000F3B6D">
        <w:rPr>
          <w:rFonts w:ascii="Cambria" w:hAnsi="Cambria"/>
          <w:sz w:val="24"/>
          <w:szCs w:val="24"/>
        </w:rPr>
        <w:t xml:space="preserve">legal </w:t>
      </w:r>
      <w:r w:rsidRPr="000F3B6D">
        <w:rPr>
          <w:rFonts w:ascii="Cambria" w:hAnsi="Cambria"/>
          <w:sz w:val="24"/>
          <w:szCs w:val="24"/>
        </w:rPr>
        <w:t xml:space="preserve">exemptions. </w:t>
      </w:r>
      <w:r w:rsidR="007718F5" w:rsidRPr="000F3B6D">
        <w:rPr>
          <w:rFonts w:ascii="Cambria" w:hAnsi="Cambria"/>
          <w:sz w:val="24"/>
          <w:szCs w:val="24"/>
        </w:rPr>
        <w:t>‘</w:t>
      </w:r>
      <w:r w:rsidRPr="000F3B6D">
        <w:rPr>
          <w:rFonts w:ascii="Cambria" w:hAnsi="Cambria"/>
          <w:sz w:val="24"/>
          <w:szCs w:val="24"/>
        </w:rPr>
        <w:t>Competence interests</w:t>
      </w:r>
      <w:r w:rsidR="007718F5" w:rsidRPr="000F3B6D">
        <w:rPr>
          <w:rFonts w:ascii="Cambria" w:hAnsi="Cambria"/>
          <w:sz w:val="24"/>
          <w:szCs w:val="24"/>
        </w:rPr>
        <w:t>’</w:t>
      </w:r>
      <w:r w:rsidRPr="000F3B6D">
        <w:rPr>
          <w:rFonts w:ascii="Cambria" w:hAnsi="Cambria"/>
          <w:sz w:val="24"/>
          <w:szCs w:val="24"/>
        </w:rPr>
        <w:t xml:space="preserve"> justify a degree of judicial deference in relation to groups’ decisions.</w:t>
      </w:r>
    </w:p>
    <w:p w14:paraId="36F05D5E" w14:textId="782459A2" w:rsidR="00F97F39" w:rsidRPr="000F3B6D" w:rsidRDefault="007718F5" w:rsidP="004E2D20">
      <w:pPr>
        <w:spacing w:after="200" w:line="288" w:lineRule="auto"/>
        <w:jc w:val="both"/>
        <w:rPr>
          <w:rFonts w:ascii="Cambria" w:hAnsi="Cambria"/>
          <w:sz w:val="24"/>
          <w:szCs w:val="24"/>
        </w:rPr>
      </w:pPr>
      <w:r w:rsidRPr="000F3B6D">
        <w:rPr>
          <w:rFonts w:ascii="Cambria" w:hAnsi="Cambria"/>
          <w:sz w:val="24"/>
          <w:szCs w:val="24"/>
        </w:rPr>
        <w:t>In this paper I will</w:t>
      </w:r>
      <w:r w:rsidR="002F1F30" w:rsidRPr="000F3B6D">
        <w:rPr>
          <w:rFonts w:ascii="Cambria" w:hAnsi="Cambria"/>
          <w:sz w:val="24"/>
          <w:szCs w:val="24"/>
        </w:rPr>
        <w:t xml:space="preserve"> consider these two arguments in turn. With regard to </w:t>
      </w:r>
      <w:r w:rsidR="00657416" w:rsidRPr="000F3B6D">
        <w:rPr>
          <w:rFonts w:ascii="Cambria" w:hAnsi="Cambria"/>
          <w:sz w:val="24"/>
          <w:szCs w:val="24"/>
        </w:rPr>
        <w:t xml:space="preserve">the </w:t>
      </w:r>
      <w:r w:rsidRPr="000F3B6D">
        <w:rPr>
          <w:rFonts w:ascii="Cambria" w:hAnsi="Cambria"/>
          <w:sz w:val="24"/>
          <w:szCs w:val="24"/>
        </w:rPr>
        <w:t>first, I</w:t>
      </w:r>
      <w:r w:rsidR="002F1F30" w:rsidRPr="000F3B6D">
        <w:rPr>
          <w:rFonts w:ascii="Cambria" w:hAnsi="Cambria"/>
          <w:sz w:val="24"/>
          <w:szCs w:val="24"/>
        </w:rPr>
        <w:t xml:space="preserve"> argue that </w:t>
      </w:r>
      <w:r w:rsidRPr="000F3B6D">
        <w:rPr>
          <w:rFonts w:ascii="Cambria" w:hAnsi="Cambria"/>
          <w:sz w:val="24"/>
          <w:szCs w:val="24"/>
        </w:rPr>
        <w:t>Laborde</w:t>
      </w:r>
      <w:r w:rsidR="002F1F30" w:rsidRPr="000F3B6D">
        <w:rPr>
          <w:rFonts w:ascii="Cambria" w:hAnsi="Cambria"/>
          <w:sz w:val="24"/>
          <w:szCs w:val="24"/>
        </w:rPr>
        <w:t xml:space="preserve"> makes things too easy for herself, by downplaying the extent to which disputes about how the state ought to exercise its sovereignty can cause fundamental disagreements about the legitimacy of state action.</w:t>
      </w:r>
      <w:r w:rsidRPr="000F3B6D">
        <w:rPr>
          <w:rFonts w:ascii="Cambria" w:hAnsi="Cambria"/>
          <w:sz w:val="24"/>
          <w:szCs w:val="24"/>
        </w:rPr>
        <w:t xml:space="preserve"> With regard to the second, I</w:t>
      </w:r>
      <w:r w:rsidR="002F1F30" w:rsidRPr="000F3B6D">
        <w:rPr>
          <w:rFonts w:ascii="Cambria" w:hAnsi="Cambria"/>
          <w:sz w:val="24"/>
          <w:szCs w:val="24"/>
        </w:rPr>
        <w:t xml:space="preserve"> argue that </w:t>
      </w:r>
      <w:r w:rsidRPr="000F3B6D">
        <w:rPr>
          <w:rFonts w:ascii="Cambria" w:hAnsi="Cambria"/>
          <w:sz w:val="24"/>
          <w:szCs w:val="24"/>
        </w:rPr>
        <w:t>Laborde’s</w:t>
      </w:r>
      <w:r w:rsidR="002F1F30" w:rsidRPr="000F3B6D">
        <w:rPr>
          <w:rFonts w:ascii="Cambria" w:hAnsi="Cambria"/>
          <w:sz w:val="24"/>
          <w:szCs w:val="24"/>
        </w:rPr>
        <w:t xml:space="preserve"> view of justice is too narrow and provides insufficient protection fo</w:t>
      </w:r>
      <w:r w:rsidRPr="000F3B6D">
        <w:rPr>
          <w:rFonts w:ascii="Cambria" w:hAnsi="Cambria"/>
          <w:sz w:val="24"/>
          <w:szCs w:val="24"/>
        </w:rPr>
        <w:t>r religious group freedoms. I</w:t>
      </w:r>
      <w:r w:rsidR="002F1F30" w:rsidRPr="000F3B6D">
        <w:rPr>
          <w:rFonts w:ascii="Cambria" w:hAnsi="Cambria"/>
          <w:sz w:val="24"/>
          <w:szCs w:val="24"/>
        </w:rPr>
        <w:t xml:space="preserve"> also consider how we might fill in the details of an account of judicial deference.</w:t>
      </w:r>
    </w:p>
    <w:p w14:paraId="2C3898D5" w14:textId="67FFBCF4" w:rsidR="008F100F" w:rsidRPr="000F3B6D" w:rsidRDefault="008F100F" w:rsidP="008F100F">
      <w:pPr>
        <w:spacing w:after="200" w:line="288" w:lineRule="auto"/>
        <w:jc w:val="both"/>
        <w:rPr>
          <w:rFonts w:ascii="Cambria" w:hAnsi="Cambria"/>
          <w:b/>
          <w:sz w:val="24"/>
          <w:szCs w:val="24"/>
        </w:rPr>
      </w:pPr>
      <w:r w:rsidRPr="000F3B6D">
        <w:rPr>
          <w:rFonts w:ascii="Cambria" w:hAnsi="Cambria"/>
          <w:sz w:val="24"/>
          <w:szCs w:val="24"/>
        </w:rPr>
        <w:t xml:space="preserve">As will become clear, I agree with much of what Laborde says about collective religious liberty, so will not be offering any fundamental critique. </w:t>
      </w:r>
      <w:r w:rsidRPr="000F3B6D">
        <w:rPr>
          <w:rFonts w:ascii="Cambria" w:hAnsi="Cambria"/>
          <w:sz w:val="24"/>
          <w:szCs w:val="24"/>
        </w:rPr>
        <w:lastRenderedPageBreak/>
        <w:t>But my discussion will highlight various important points of disagreement</w:t>
      </w:r>
      <w:r w:rsidR="00D504E9">
        <w:rPr>
          <w:rFonts w:ascii="Cambria" w:hAnsi="Cambria"/>
          <w:sz w:val="24"/>
          <w:szCs w:val="24"/>
        </w:rPr>
        <w:t xml:space="preserve">, which </w:t>
      </w:r>
      <w:r w:rsidR="00CC560A">
        <w:rPr>
          <w:rFonts w:ascii="Cambria" w:hAnsi="Cambria"/>
          <w:sz w:val="24"/>
          <w:szCs w:val="24"/>
        </w:rPr>
        <w:t>would</w:t>
      </w:r>
      <w:r w:rsidR="00A45DF6">
        <w:rPr>
          <w:rFonts w:ascii="Cambria" w:hAnsi="Cambria"/>
          <w:sz w:val="24"/>
          <w:szCs w:val="24"/>
        </w:rPr>
        <w:t xml:space="preserve"> </w:t>
      </w:r>
      <w:r w:rsidR="00D504E9">
        <w:rPr>
          <w:rFonts w:ascii="Cambria" w:hAnsi="Cambria"/>
          <w:sz w:val="24"/>
          <w:szCs w:val="24"/>
        </w:rPr>
        <w:t>make a significant difference in practice.</w:t>
      </w:r>
    </w:p>
    <w:p w14:paraId="08AB5A1B" w14:textId="77777777" w:rsidR="008F100F" w:rsidRPr="000F3B6D" w:rsidRDefault="008F100F" w:rsidP="008F100F">
      <w:pPr>
        <w:spacing w:after="200" w:line="288" w:lineRule="auto"/>
        <w:jc w:val="both"/>
        <w:rPr>
          <w:rFonts w:ascii="Cambria" w:hAnsi="Cambria"/>
          <w:b/>
          <w:sz w:val="24"/>
          <w:szCs w:val="24"/>
        </w:rPr>
      </w:pPr>
    </w:p>
    <w:p w14:paraId="2BABA725" w14:textId="3191B989" w:rsidR="00F97F39" w:rsidRPr="00A67553" w:rsidRDefault="002F1F30" w:rsidP="00A67553">
      <w:pPr>
        <w:pStyle w:val="ListParagraph"/>
        <w:numPr>
          <w:ilvl w:val="0"/>
          <w:numId w:val="3"/>
        </w:numPr>
        <w:spacing w:after="200" w:line="288" w:lineRule="auto"/>
        <w:jc w:val="both"/>
        <w:rPr>
          <w:rFonts w:ascii="Cambria" w:hAnsi="Cambria"/>
          <w:b/>
          <w:sz w:val="24"/>
          <w:szCs w:val="24"/>
        </w:rPr>
      </w:pPr>
      <w:r w:rsidRPr="00A67553">
        <w:rPr>
          <w:rFonts w:ascii="Cambria" w:hAnsi="Cambria"/>
          <w:b/>
          <w:sz w:val="24"/>
          <w:szCs w:val="24"/>
        </w:rPr>
        <w:t>Authority, Jurisdiction, and Sovereignty</w:t>
      </w:r>
    </w:p>
    <w:p w14:paraId="7337FBBF" w14:textId="5F0EC4BD"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Much recent discussion of the freedom and autonomy of religious groups has concerned the question of whether such groups enjoy some degree of sovereignty, or independent authority, such that they in some sense lie outside of the state’s jurisdiction and limit its reach. Advocates see this view as a proper recognition of social institutions’ independent</w:t>
      </w:r>
      <w:r w:rsidR="001E2C49" w:rsidRPr="000F3B6D">
        <w:rPr>
          <w:rFonts w:ascii="Cambria" w:hAnsi="Cambria"/>
          <w:sz w:val="24"/>
          <w:szCs w:val="24"/>
        </w:rPr>
        <w:t>, pre-political,</w:t>
      </w:r>
      <w:r w:rsidRPr="000F3B6D">
        <w:rPr>
          <w:rFonts w:ascii="Cambria" w:hAnsi="Cambria"/>
          <w:sz w:val="24"/>
          <w:szCs w:val="24"/>
        </w:rPr>
        <w:t xml:space="preserve"> existence. Critics </w:t>
      </w:r>
      <w:r w:rsidR="005F1100" w:rsidRPr="000F3B6D">
        <w:rPr>
          <w:rFonts w:ascii="Cambria" w:hAnsi="Cambria"/>
          <w:sz w:val="24"/>
          <w:szCs w:val="24"/>
        </w:rPr>
        <w:t xml:space="preserve">usually </w:t>
      </w:r>
      <w:r w:rsidR="009F6854" w:rsidRPr="000F3B6D">
        <w:rPr>
          <w:rFonts w:ascii="Cambria" w:hAnsi="Cambria"/>
          <w:sz w:val="24"/>
          <w:szCs w:val="24"/>
        </w:rPr>
        <w:t xml:space="preserve">see it as </w:t>
      </w:r>
      <w:r w:rsidRPr="000F3B6D">
        <w:rPr>
          <w:rFonts w:ascii="Cambria" w:hAnsi="Cambria"/>
          <w:sz w:val="24"/>
          <w:szCs w:val="24"/>
        </w:rPr>
        <w:t>fundamental</w:t>
      </w:r>
      <w:r w:rsidR="009F6854" w:rsidRPr="000F3B6D">
        <w:rPr>
          <w:rFonts w:ascii="Cambria" w:hAnsi="Cambria"/>
          <w:sz w:val="24"/>
          <w:szCs w:val="24"/>
        </w:rPr>
        <w:t>ly</w:t>
      </w:r>
      <w:r w:rsidRPr="000F3B6D">
        <w:rPr>
          <w:rFonts w:ascii="Cambria" w:hAnsi="Cambria"/>
          <w:sz w:val="24"/>
          <w:szCs w:val="24"/>
        </w:rPr>
        <w:t xml:space="preserve"> </w:t>
      </w:r>
      <w:r w:rsidR="009F6854" w:rsidRPr="000F3B6D">
        <w:rPr>
          <w:rFonts w:ascii="Cambria" w:hAnsi="Cambria"/>
          <w:sz w:val="24"/>
          <w:szCs w:val="24"/>
        </w:rPr>
        <w:t>opposed</w:t>
      </w:r>
      <w:r w:rsidRPr="000F3B6D">
        <w:rPr>
          <w:rFonts w:ascii="Cambria" w:hAnsi="Cambria"/>
          <w:sz w:val="24"/>
          <w:szCs w:val="24"/>
        </w:rPr>
        <w:t xml:space="preserve"> to liberal democratic principles.</w:t>
      </w:r>
      <w:r w:rsidR="008F100F" w:rsidRPr="000F3B6D">
        <w:rPr>
          <w:rStyle w:val="FootnoteReference"/>
          <w:rFonts w:ascii="Cambria" w:hAnsi="Cambria"/>
          <w:sz w:val="24"/>
          <w:szCs w:val="24"/>
        </w:rPr>
        <w:footnoteReference w:id="3"/>
      </w:r>
    </w:p>
    <w:p w14:paraId="3739275D" w14:textId="29602E7E" w:rsidR="00F97F39" w:rsidRPr="000F3B6D" w:rsidRDefault="008F100F" w:rsidP="004E2D20">
      <w:pPr>
        <w:spacing w:after="200" w:line="288" w:lineRule="auto"/>
        <w:jc w:val="both"/>
        <w:rPr>
          <w:rFonts w:ascii="Cambria" w:hAnsi="Cambria"/>
          <w:sz w:val="24"/>
          <w:szCs w:val="24"/>
        </w:rPr>
      </w:pPr>
      <w:r w:rsidRPr="000F3B6D">
        <w:rPr>
          <w:rFonts w:ascii="Cambria" w:hAnsi="Cambria"/>
          <w:sz w:val="24"/>
          <w:szCs w:val="24"/>
        </w:rPr>
        <w:t>Laborde</w:t>
      </w:r>
      <w:r w:rsidR="002F1F30" w:rsidRPr="000F3B6D">
        <w:rPr>
          <w:rFonts w:ascii="Cambria" w:hAnsi="Cambria"/>
          <w:sz w:val="24"/>
          <w:szCs w:val="24"/>
        </w:rPr>
        <w:t xml:space="preserve"> sides with the critics in insisting on t</w:t>
      </w:r>
      <w:r w:rsidR="00432B6D" w:rsidRPr="000F3B6D">
        <w:rPr>
          <w:rFonts w:ascii="Cambria" w:hAnsi="Cambria"/>
          <w:sz w:val="24"/>
          <w:szCs w:val="24"/>
        </w:rPr>
        <w:t>he state’s sole sovereignty. Only</w:t>
      </w:r>
      <w:r w:rsidR="002F1F30" w:rsidRPr="000F3B6D">
        <w:rPr>
          <w:rFonts w:ascii="Cambria" w:hAnsi="Cambria"/>
          <w:sz w:val="24"/>
          <w:szCs w:val="24"/>
        </w:rPr>
        <w:t xml:space="preserve"> the state represents the interests of a</w:t>
      </w:r>
      <w:r w:rsidRPr="000F3B6D">
        <w:rPr>
          <w:rFonts w:ascii="Cambria" w:hAnsi="Cambria"/>
          <w:sz w:val="24"/>
          <w:szCs w:val="24"/>
        </w:rPr>
        <w:t xml:space="preserve">ll individuals qua individuals, so </w:t>
      </w:r>
      <w:r w:rsidR="002F1F30" w:rsidRPr="000F3B6D">
        <w:rPr>
          <w:rFonts w:ascii="Cambria" w:hAnsi="Cambria"/>
          <w:sz w:val="24"/>
          <w:szCs w:val="24"/>
        </w:rPr>
        <w:t>only it can provide an authoritative resolution to conflicts about justice</w:t>
      </w:r>
      <w:r w:rsidR="004E2D20" w:rsidRPr="000F3B6D">
        <w:rPr>
          <w:rFonts w:ascii="Cambria" w:hAnsi="Cambria"/>
          <w:sz w:val="24"/>
          <w:szCs w:val="24"/>
        </w:rPr>
        <w:t>—</w:t>
      </w:r>
      <w:r w:rsidR="002F1F30" w:rsidRPr="000F3B6D">
        <w:rPr>
          <w:rFonts w:ascii="Cambria" w:hAnsi="Cambria"/>
          <w:sz w:val="24"/>
          <w:szCs w:val="24"/>
        </w:rPr>
        <w:t>including about the scope and boundar</w:t>
      </w:r>
      <w:r w:rsidR="00D155CA" w:rsidRPr="000F3B6D">
        <w:rPr>
          <w:rFonts w:ascii="Cambria" w:hAnsi="Cambria"/>
          <w:sz w:val="24"/>
          <w:szCs w:val="24"/>
        </w:rPr>
        <w:t>ies of religious group freedom.</w:t>
      </w:r>
      <w:r w:rsidR="00FF4668" w:rsidRPr="000F3B6D">
        <w:rPr>
          <w:rFonts w:ascii="Cambria" w:hAnsi="Cambria"/>
          <w:sz w:val="24"/>
          <w:szCs w:val="24"/>
        </w:rPr>
        <w:t xml:space="preserve"> </w:t>
      </w:r>
      <w:r w:rsidR="002F1F30" w:rsidRPr="000F3B6D">
        <w:rPr>
          <w:rFonts w:ascii="Cambria" w:hAnsi="Cambria"/>
          <w:sz w:val="24"/>
          <w:szCs w:val="24"/>
        </w:rPr>
        <w:t>The state has ‘competence-competence’</w:t>
      </w:r>
      <w:r w:rsidR="004E2D20" w:rsidRPr="000F3B6D">
        <w:rPr>
          <w:rFonts w:ascii="Cambria" w:hAnsi="Cambria"/>
          <w:sz w:val="24"/>
          <w:szCs w:val="24"/>
        </w:rPr>
        <w:t>—</w:t>
      </w:r>
      <w:r w:rsidR="002F1F30" w:rsidRPr="000F3B6D">
        <w:rPr>
          <w:rFonts w:ascii="Cambria" w:hAnsi="Cambria"/>
          <w:sz w:val="24"/>
          <w:szCs w:val="24"/>
        </w:rPr>
        <w:t>“the competence to decide the respective areas of competence of associations within it”</w:t>
      </w:r>
      <w:r w:rsidR="000618B8">
        <w:rPr>
          <w:rFonts w:ascii="Cambria" w:hAnsi="Cambria"/>
          <w:sz w:val="24"/>
          <w:szCs w:val="24"/>
        </w:rPr>
        <w:t xml:space="preserve"> (162)</w:t>
      </w:r>
      <w:r w:rsidR="002F1F30" w:rsidRPr="000F3B6D">
        <w:rPr>
          <w:rFonts w:ascii="Cambria" w:hAnsi="Cambria"/>
          <w:sz w:val="24"/>
          <w:szCs w:val="24"/>
        </w:rPr>
        <w:t xml:space="preserve">. It determines what counts as public and private, as within the domain of church and state, as religious and secular. Its jurisdiction </w:t>
      </w:r>
      <w:r w:rsidR="00C72E96" w:rsidRPr="000F3B6D">
        <w:rPr>
          <w:rFonts w:ascii="Cambria" w:hAnsi="Cambria"/>
          <w:sz w:val="24"/>
          <w:szCs w:val="24"/>
        </w:rPr>
        <w:t>is not</w:t>
      </w:r>
      <w:r w:rsidR="002F1F30" w:rsidRPr="000F3B6D">
        <w:rPr>
          <w:rFonts w:ascii="Cambria" w:hAnsi="Cambria"/>
          <w:sz w:val="24"/>
          <w:szCs w:val="24"/>
        </w:rPr>
        <w:t xml:space="preserve"> externally limited by the claims of independent ‘spheres’. And it has authority “to define </w:t>
      </w:r>
      <w:r w:rsidR="002F1F30" w:rsidRPr="000F3B6D">
        <w:rPr>
          <w:rFonts w:ascii="Cambria" w:hAnsi="Cambria"/>
          <w:i/>
          <w:sz w:val="24"/>
          <w:szCs w:val="24"/>
        </w:rPr>
        <w:t>its own</w:t>
      </w:r>
      <w:r w:rsidR="002F1F30" w:rsidRPr="000F3B6D">
        <w:rPr>
          <w:rFonts w:ascii="Cambria" w:hAnsi="Cambria"/>
          <w:sz w:val="24"/>
          <w:szCs w:val="24"/>
        </w:rPr>
        <w:t xml:space="preserve"> sphere of competence, as well as that of other institutions</w:t>
      </w:r>
      <w:r w:rsidR="000618B8">
        <w:rPr>
          <w:rFonts w:ascii="Cambria" w:hAnsi="Cambria"/>
          <w:sz w:val="24"/>
          <w:szCs w:val="24"/>
        </w:rPr>
        <w:t>” (165, emphasis added).</w:t>
      </w:r>
      <w:r w:rsidR="00FF4668" w:rsidRPr="000F3B6D">
        <w:rPr>
          <w:rFonts w:ascii="Cambria" w:hAnsi="Cambria"/>
          <w:sz w:val="24"/>
          <w:szCs w:val="24"/>
        </w:rPr>
        <w:t xml:space="preserve"> </w:t>
      </w:r>
      <w:r w:rsidR="00CF7C61" w:rsidRPr="000F3B6D">
        <w:rPr>
          <w:rFonts w:ascii="Cambria" w:hAnsi="Cambria"/>
          <w:sz w:val="24"/>
          <w:szCs w:val="24"/>
        </w:rPr>
        <w:t>Laborde</w:t>
      </w:r>
      <w:r w:rsidR="002F1F30" w:rsidRPr="000F3B6D">
        <w:rPr>
          <w:rFonts w:ascii="Cambria" w:hAnsi="Cambria"/>
          <w:sz w:val="24"/>
          <w:szCs w:val="24"/>
        </w:rPr>
        <w:t xml:space="preserve"> argues that </w:t>
      </w:r>
      <w:r w:rsidR="002F1F30" w:rsidRPr="000F3B6D">
        <w:rPr>
          <w:rFonts w:ascii="Cambria" w:hAnsi="Cambria"/>
          <w:i/>
          <w:sz w:val="24"/>
          <w:szCs w:val="24"/>
        </w:rPr>
        <w:t xml:space="preserve">this </w:t>
      </w:r>
      <w:r w:rsidR="002F1F30" w:rsidRPr="000F3B6D">
        <w:rPr>
          <w:rFonts w:ascii="Cambria" w:hAnsi="Cambria"/>
          <w:sz w:val="24"/>
          <w:szCs w:val="24"/>
        </w:rPr>
        <w:t>is</w:t>
      </w:r>
      <w:r w:rsidR="001E2C49" w:rsidRPr="000F3B6D">
        <w:rPr>
          <w:rFonts w:ascii="Cambria" w:hAnsi="Cambria"/>
          <w:sz w:val="24"/>
          <w:szCs w:val="24"/>
        </w:rPr>
        <w:t xml:space="preserve"> in fact</w:t>
      </w:r>
      <w:r w:rsidR="002F1F30" w:rsidRPr="000F3B6D">
        <w:rPr>
          <w:rFonts w:ascii="Cambria" w:hAnsi="Cambria"/>
          <w:sz w:val="24"/>
          <w:szCs w:val="24"/>
        </w:rPr>
        <w:t xml:space="preserve"> the truly radical claim made by liberal political theory: “The radicalism of liberalism… lies in the fact that it assumes state sovereignty: the state’s prerogative decisively to fix and enforce the terms of the social contract</w:t>
      </w:r>
      <w:r w:rsidR="000618B8">
        <w:rPr>
          <w:rFonts w:ascii="Cambria" w:hAnsi="Cambria"/>
          <w:sz w:val="24"/>
          <w:szCs w:val="24"/>
        </w:rPr>
        <w:t>” (163).</w:t>
      </w:r>
    </w:p>
    <w:p w14:paraId="14800E61" w14:textId="1557CBD6"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Despite this </w:t>
      </w:r>
      <w:r w:rsidR="00D517FC" w:rsidRPr="000F3B6D">
        <w:rPr>
          <w:rFonts w:ascii="Cambria" w:hAnsi="Cambria"/>
          <w:sz w:val="24"/>
          <w:szCs w:val="24"/>
        </w:rPr>
        <w:t xml:space="preserve">claim </w:t>
      </w:r>
      <w:r w:rsidRPr="000F3B6D">
        <w:rPr>
          <w:rFonts w:ascii="Cambria" w:hAnsi="Cambria"/>
          <w:sz w:val="24"/>
          <w:szCs w:val="24"/>
        </w:rPr>
        <w:t xml:space="preserve">being radical, </w:t>
      </w:r>
      <w:r w:rsidR="00D517FC" w:rsidRPr="000F3B6D">
        <w:rPr>
          <w:rFonts w:ascii="Cambria" w:hAnsi="Cambria"/>
          <w:sz w:val="24"/>
          <w:szCs w:val="24"/>
        </w:rPr>
        <w:t>Laborde</w:t>
      </w:r>
      <w:r w:rsidRPr="000F3B6D">
        <w:rPr>
          <w:rFonts w:ascii="Cambria" w:hAnsi="Cambria"/>
          <w:sz w:val="24"/>
          <w:szCs w:val="24"/>
        </w:rPr>
        <w:t xml:space="preserve"> argues that no one in the contemporary debate </w:t>
      </w:r>
      <w:r w:rsidRPr="000F3B6D">
        <w:rPr>
          <w:rFonts w:ascii="Cambria" w:hAnsi="Cambria"/>
          <w:i/>
          <w:sz w:val="24"/>
          <w:szCs w:val="24"/>
        </w:rPr>
        <w:t>actually</w:t>
      </w:r>
      <w:r w:rsidRPr="000F3B6D">
        <w:rPr>
          <w:rFonts w:ascii="Cambria" w:hAnsi="Cambria"/>
          <w:sz w:val="24"/>
          <w:szCs w:val="24"/>
        </w:rPr>
        <w:t xml:space="preserve"> denies it. Talk of religious groups’ jurisdictional authority</w:t>
      </w:r>
      <w:r w:rsidR="00D517FC" w:rsidRPr="000F3B6D">
        <w:rPr>
          <w:rFonts w:ascii="Cambria" w:hAnsi="Cambria"/>
          <w:sz w:val="24"/>
          <w:szCs w:val="24"/>
        </w:rPr>
        <w:t xml:space="preserve"> turns out to be rhetorical. It i</w:t>
      </w:r>
      <w:r w:rsidRPr="000F3B6D">
        <w:rPr>
          <w:rFonts w:ascii="Cambria" w:hAnsi="Cambria"/>
          <w:sz w:val="24"/>
          <w:szCs w:val="24"/>
        </w:rPr>
        <w:t xml:space="preserve">s a way to emphasise the normative force of groups’ rightful claims to </w:t>
      </w:r>
      <w:r w:rsidR="00691F85" w:rsidRPr="000F3B6D">
        <w:rPr>
          <w:rFonts w:ascii="Cambria" w:hAnsi="Cambria"/>
          <w:sz w:val="24"/>
          <w:szCs w:val="24"/>
        </w:rPr>
        <w:t>autonomy</w:t>
      </w:r>
      <w:r w:rsidRPr="000F3B6D">
        <w:rPr>
          <w:rFonts w:ascii="Cambria" w:hAnsi="Cambria"/>
          <w:sz w:val="24"/>
          <w:szCs w:val="24"/>
        </w:rPr>
        <w:t>, but is</w:t>
      </w:r>
      <w:r w:rsidR="00CC560A">
        <w:rPr>
          <w:rFonts w:ascii="Cambria" w:hAnsi="Cambria"/>
          <w:sz w:val="24"/>
          <w:szCs w:val="24"/>
        </w:rPr>
        <w:t xml:space="preserve"> no</w:t>
      </w:r>
      <w:r w:rsidRPr="000F3B6D">
        <w:rPr>
          <w:rFonts w:ascii="Cambria" w:hAnsi="Cambria"/>
          <w:sz w:val="24"/>
          <w:szCs w:val="24"/>
        </w:rPr>
        <w:t xml:space="preserve">t </w:t>
      </w:r>
      <w:r w:rsidRPr="000F3B6D">
        <w:rPr>
          <w:rFonts w:ascii="Cambria" w:hAnsi="Cambria"/>
          <w:i/>
          <w:sz w:val="24"/>
          <w:szCs w:val="24"/>
        </w:rPr>
        <w:t>really</w:t>
      </w:r>
      <w:r w:rsidRPr="000F3B6D">
        <w:rPr>
          <w:rFonts w:ascii="Cambria" w:hAnsi="Cambria"/>
          <w:sz w:val="24"/>
          <w:szCs w:val="24"/>
        </w:rPr>
        <w:t xml:space="preserve"> a denial of the state’s competence-competence. Religious institutionalism’s apparent threat to the authority of the liberal democratic state is </w:t>
      </w:r>
      <w:r w:rsidR="00FF4668" w:rsidRPr="000F3B6D">
        <w:rPr>
          <w:rFonts w:ascii="Cambria" w:hAnsi="Cambria"/>
          <w:sz w:val="24"/>
          <w:szCs w:val="24"/>
        </w:rPr>
        <w:t>little more than</w:t>
      </w:r>
      <w:r w:rsidRPr="000F3B6D">
        <w:rPr>
          <w:rFonts w:ascii="Cambria" w:hAnsi="Cambria"/>
          <w:sz w:val="24"/>
          <w:szCs w:val="24"/>
        </w:rPr>
        <w:t xml:space="preserve"> rhetoric.</w:t>
      </w:r>
      <w:r w:rsidR="00FF4668" w:rsidRPr="000F3B6D">
        <w:rPr>
          <w:rFonts w:ascii="Cambria" w:hAnsi="Cambria"/>
          <w:sz w:val="24"/>
          <w:szCs w:val="24"/>
        </w:rPr>
        <w:t xml:space="preserve"> </w:t>
      </w:r>
      <w:r w:rsidRPr="000F3B6D">
        <w:rPr>
          <w:rFonts w:ascii="Cambria" w:hAnsi="Cambria"/>
          <w:sz w:val="24"/>
          <w:szCs w:val="24"/>
        </w:rPr>
        <w:t xml:space="preserve">In reality, the dispute is one </w:t>
      </w:r>
      <w:r w:rsidRPr="000F3B6D">
        <w:rPr>
          <w:rFonts w:ascii="Cambria" w:hAnsi="Cambria"/>
          <w:i/>
          <w:sz w:val="24"/>
          <w:szCs w:val="24"/>
        </w:rPr>
        <w:t xml:space="preserve">within </w:t>
      </w:r>
      <w:r w:rsidRPr="000F3B6D">
        <w:rPr>
          <w:rFonts w:ascii="Cambria" w:hAnsi="Cambria"/>
          <w:sz w:val="24"/>
          <w:szCs w:val="24"/>
        </w:rPr>
        <w:t xml:space="preserve">liberalism, about the just use of state authority. While the state’s sovereignty isn’t </w:t>
      </w:r>
      <w:r w:rsidRPr="000F3B6D">
        <w:rPr>
          <w:rFonts w:ascii="Cambria" w:hAnsi="Cambria"/>
          <w:i/>
          <w:sz w:val="24"/>
          <w:szCs w:val="24"/>
        </w:rPr>
        <w:t xml:space="preserve">externally </w:t>
      </w:r>
      <w:r w:rsidRPr="000F3B6D">
        <w:rPr>
          <w:rFonts w:ascii="Cambria" w:hAnsi="Cambria"/>
          <w:sz w:val="24"/>
          <w:szCs w:val="24"/>
        </w:rPr>
        <w:t xml:space="preserve">limited by other institutions’ jurisdictions, it is </w:t>
      </w:r>
      <w:r w:rsidRPr="000F3B6D">
        <w:rPr>
          <w:rFonts w:ascii="Cambria" w:hAnsi="Cambria"/>
          <w:i/>
          <w:sz w:val="24"/>
          <w:szCs w:val="24"/>
        </w:rPr>
        <w:t>internally</w:t>
      </w:r>
      <w:r w:rsidRPr="000F3B6D">
        <w:rPr>
          <w:rFonts w:ascii="Cambria" w:hAnsi="Cambria"/>
          <w:sz w:val="24"/>
          <w:szCs w:val="24"/>
        </w:rPr>
        <w:t xml:space="preserve"> limited by liberal </w:t>
      </w:r>
      <w:r w:rsidRPr="000F3B6D">
        <w:rPr>
          <w:rFonts w:ascii="Cambria" w:hAnsi="Cambria"/>
          <w:sz w:val="24"/>
          <w:szCs w:val="24"/>
        </w:rPr>
        <w:lastRenderedPageBreak/>
        <w:t>democratic principles themselves. The real debate is about what those principles demand with regard to the freedom of religious groups.</w:t>
      </w:r>
    </w:p>
    <w:p w14:paraId="500A77FD" w14:textId="26D91F1F" w:rsidR="007661B7" w:rsidRPr="000F3B6D" w:rsidRDefault="007661B7" w:rsidP="004E2D20">
      <w:pPr>
        <w:spacing w:after="200" w:line="288" w:lineRule="auto"/>
        <w:jc w:val="both"/>
        <w:rPr>
          <w:rFonts w:ascii="Cambria" w:hAnsi="Cambria"/>
          <w:sz w:val="24"/>
          <w:szCs w:val="24"/>
        </w:rPr>
      </w:pPr>
      <w:r w:rsidRPr="000F3B6D">
        <w:rPr>
          <w:rFonts w:ascii="Cambria" w:hAnsi="Cambria"/>
          <w:sz w:val="24"/>
          <w:szCs w:val="24"/>
        </w:rPr>
        <w:t xml:space="preserve">I am unsure whether Laborde is right about this. </w:t>
      </w:r>
      <w:r w:rsidR="00DD7207">
        <w:rPr>
          <w:rFonts w:ascii="Cambria" w:hAnsi="Cambria"/>
          <w:sz w:val="24"/>
          <w:szCs w:val="24"/>
        </w:rPr>
        <w:t>I</w:t>
      </w:r>
      <w:r w:rsidRPr="000F3B6D">
        <w:rPr>
          <w:rFonts w:ascii="Cambria" w:hAnsi="Cambria"/>
          <w:sz w:val="24"/>
          <w:szCs w:val="24"/>
        </w:rPr>
        <w:t>t is certainly possible that some religious institutionalists do reject the claim that the state enjoys competence-competence. Laborde’s helpful conceptualisation might lead some theorists to be clearer that this is indeed the implication of their view.</w:t>
      </w:r>
    </w:p>
    <w:p w14:paraId="1870398F" w14:textId="77777777" w:rsidR="00163A45" w:rsidRDefault="007661B7" w:rsidP="004E2D20">
      <w:pPr>
        <w:spacing w:after="200" w:line="288" w:lineRule="auto"/>
        <w:jc w:val="both"/>
        <w:rPr>
          <w:rFonts w:ascii="Cambria" w:hAnsi="Cambria"/>
          <w:sz w:val="24"/>
          <w:szCs w:val="24"/>
        </w:rPr>
      </w:pPr>
      <w:r w:rsidRPr="000F3B6D">
        <w:rPr>
          <w:rFonts w:ascii="Cambria" w:hAnsi="Cambria"/>
          <w:sz w:val="24"/>
          <w:szCs w:val="24"/>
        </w:rPr>
        <w:t>Even if Laborde is correct that (nearly) all contemporary theorists accept the state’s competence-competence, however, the upshot of this is less straightforward than she suggests</w:t>
      </w:r>
      <w:r w:rsidR="00A6005B">
        <w:rPr>
          <w:rFonts w:ascii="Cambria" w:hAnsi="Cambria"/>
          <w:sz w:val="24"/>
          <w:szCs w:val="24"/>
        </w:rPr>
        <w:t xml:space="preserve">. </w:t>
      </w:r>
      <w:r w:rsidR="00FF4668" w:rsidRPr="000F3B6D">
        <w:rPr>
          <w:rFonts w:ascii="Cambria" w:hAnsi="Cambria"/>
          <w:sz w:val="24"/>
          <w:szCs w:val="24"/>
        </w:rPr>
        <w:t>Laborde</w:t>
      </w:r>
      <w:r w:rsidR="002F1F30" w:rsidRPr="000F3B6D">
        <w:rPr>
          <w:rFonts w:ascii="Cambria" w:hAnsi="Cambria"/>
          <w:sz w:val="24"/>
          <w:szCs w:val="24"/>
        </w:rPr>
        <w:t xml:space="preserve"> is clear that state sovereignty does</w:t>
      </w:r>
      <w:r w:rsidR="00A6005B">
        <w:rPr>
          <w:rFonts w:ascii="Cambria" w:hAnsi="Cambria"/>
          <w:sz w:val="24"/>
          <w:szCs w:val="24"/>
        </w:rPr>
        <w:t xml:space="preserve"> no</w:t>
      </w:r>
      <w:r w:rsidR="002F1F30" w:rsidRPr="000F3B6D">
        <w:rPr>
          <w:rFonts w:ascii="Cambria" w:hAnsi="Cambria"/>
          <w:sz w:val="24"/>
          <w:szCs w:val="24"/>
        </w:rPr>
        <w:t>t mean that anything goes. The internal limits on sovereignty mean that state a</w:t>
      </w:r>
      <w:r w:rsidR="001E2C49" w:rsidRPr="000F3B6D">
        <w:rPr>
          <w:rFonts w:ascii="Cambria" w:hAnsi="Cambria"/>
          <w:sz w:val="24"/>
          <w:szCs w:val="24"/>
        </w:rPr>
        <w:t xml:space="preserve">ctions can be unjust </w:t>
      </w:r>
      <w:r w:rsidR="002F1F30" w:rsidRPr="000F3B6D">
        <w:rPr>
          <w:rFonts w:ascii="Cambria" w:hAnsi="Cambria"/>
          <w:i/>
          <w:sz w:val="24"/>
          <w:szCs w:val="24"/>
        </w:rPr>
        <w:t>and</w:t>
      </w:r>
      <w:r w:rsidR="002F1F30" w:rsidRPr="000F3B6D">
        <w:rPr>
          <w:rFonts w:ascii="Cambria" w:hAnsi="Cambria"/>
          <w:sz w:val="24"/>
          <w:szCs w:val="24"/>
        </w:rPr>
        <w:t xml:space="preserve"> that they can be </w:t>
      </w:r>
      <w:r w:rsidR="002F1F30" w:rsidRPr="000F3B6D">
        <w:rPr>
          <w:rFonts w:ascii="Cambria" w:hAnsi="Cambria"/>
          <w:i/>
          <w:sz w:val="24"/>
          <w:szCs w:val="24"/>
        </w:rPr>
        <w:t>illegitimate</w:t>
      </w:r>
      <w:r w:rsidR="002F1F30" w:rsidRPr="000F3B6D">
        <w:rPr>
          <w:rFonts w:ascii="Cambria" w:hAnsi="Cambria"/>
          <w:sz w:val="24"/>
          <w:szCs w:val="24"/>
        </w:rPr>
        <w:t>. Recognising competence-competence does not make all of the state’s actions legitimate by definition.</w:t>
      </w:r>
      <w:r w:rsidR="00FF4668" w:rsidRPr="000F3B6D">
        <w:rPr>
          <w:rFonts w:ascii="Cambria" w:hAnsi="Cambria"/>
          <w:sz w:val="24"/>
          <w:szCs w:val="24"/>
        </w:rPr>
        <w:t xml:space="preserve"> </w:t>
      </w:r>
      <w:r w:rsidR="002F1F30" w:rsidRPr="000F3B6D">
        <w:rPr>
          <w:rFonts w:ascii="Cambria" w:hAnsi="Cambria"/>
          <w:sz w:val="24"/>
          <w:szCs w:val="24"/>
        </w:rPr>
        <w:t>If the state violates basic rights</w:t>
      </w:r>
      <w:r w:rsidR="00205368">
        <w:rPr>
          <w:rFonts w:ascii="Cambria" w:hAnsi="Cambria"/>
          <w:sz w:val="24"/>
          <w:szCs w:val="24"/>
        </w:rPr>
        <w:t>,</w:t>
      </w:r>
      <w:r w:rsidR="002F1F30" w:rsidRPr="000F3B6D">
        <w:rPr>
          <w:rFonts w:ascii="Cambria" w:hAnsi="Cambria"/>
          <w:sz w:val="24"/>
          <w:szCs w:val="24"/>
        </w:rPr>
        <w:t xml:space="preserve"> or completely denies groups’ any self-determination</w:t>
      </w:r>
      <w:r w:rsidR="00205368">
        <w:rPr>
          <w:rFonts w:ascii="Cambria" w:hAnsi="Cambria"/>
          <w:sz w:val="24"/>
          <w:szCs w:val="24"/>
        </w:rPr>
        <w:t>,</w:t>
      </w:r>
      <w:r w:rsidR="002F1F30" w:rsidRPr="000F3B6D">
        <w:rPr>
          <w:rFonts w:ascii="Cambria" w:hAnsi="Cambria"/>
          <w:sz w:val="24"/>
          <w:szCs w:val="24"/>
        </w:rPr>
        <w:t xml:space="preserve"> then it acts illegitimately. There is no legitimate sovereignty claim here. But there is still a legitimate sovereignty claim when the state acts in ways that so</w:t>
      </w:r>
      <w:r w:rsidR="00FF4668" w:rsidRPr="000F3B6D">
        <w:rPr>
          <w:rFonts w:ascii="Cambria" w:hAnsi="Cambria"/>
          <w:sz w:val="24"/>
          <w:szCs w:val="24"/>
        </w:rPr>
        <w:t>me people consider unjust but that do no</w:t>
      </w:r>
      <w:r w:rsidR="002F1F30" w:rsidRPr="000F3B6D">
        <w:rPr>
          <w:rFonts w:ascii="Cambria" w:hAnsi="Cambria"/>
          <w:sz w:val="24"/>
          <w:szCs w:val="24"/>
        </w:rPr>
        <w:t>t violate basic rights.</w:t>
      </w:r>
      <w:r w:rsidR="00FF4668" w:rsidRPr="000F3B6D">
        <w:rPr>
          <w:rFonts w:ascii="Cambria" w:hAnsi="Cambria"/>
          <w:sz w:val="24"/>
          <w:szCs w:val="24"/>
        </w:rPr>
        <w:t xml:space="preserve"> Laborde</w:t>
      </w:r>
      <w:r w:rsidR="002F1F30" w:rsidRPr="000F3B6D">
        <w:rPr>
          <w:rFonts w:ascii="Cambria" w:hAnsi="Cambria"/>
          <w:sz w:val="24"/>
          <w:szCs w:val="24"/>
        </w:rPr>
        <w:t xml:space="preserve"> argues that </w:t>
      </w:r>
      <w:r w:rsidR="00FF4668" w:rsidRPr="000F3B6D">
        <w:rPr>
          <w:rFonts w:ascii="Cambria" w:hAnsi="Cambria"/>
          <w:sz w:val="24"/>
          <w:szCs w:val="24"/>
        </w:rPr>
        <w:t xml:space="preserve">the </w:t>
      </w:r>
      <w:r w:rsidR="002F1F30" w:rsidRPr="000F3B6D">
        <w:rPr>
          <w:rFonts w:ascii="Cambria" w:hAnsi="Cambria"/>
          <w:sz w:val="24"/>
          <w:szCs w:val="24"/>
        </w:rPr>
        <w:t xml:space="preserve">questions that </w:t>
      </w:r>
      <w:r w:rsidR="00FF4668" w:rsidRPr="000F3B6D">
        <w:rPr>
          <w:rFonts w:ascii="Cambria" w:hAnsi="Cambria"/>
          <w:sz w:val="24"/>
          <w:szCs w:val="24"/>
        </w:rPr>
        <w:t xml:space="preserve">are of </w:t>
      </w:r>
      <w:r w:rsidR="002F1F30" w:rsidRPr="000F3B6D">
        <w:rPr>
          <w:rFonts w:ascii="Cambria" w:hAnsi="Cambria"/>
          <w:sz w:val="24"/>
          <w:szCs w:val="24"/>
        </w:rPr>
        <w:t xml:space="preserve">concern </w:t>
      </w:r>
      <w:r w:rsidR="00FF4668" w:rsidRPr="000F3B6D">
        <w:rPr>
          <w:rFonts w:ascii="Cambria" w:hAnsi="Cambria"/>
          <w:sz w:val="24"/>
          <w:szCs w:val="24"/>
        </w:rPr>
        <w:t xml:space="preserve">to </w:t>
      </w:r>
      <w:r w:rsidR="002F1F30" w:rsidRPr="000F3B6D">
        <w:rPr>
          <w:rFonts w:ascii="Cambria" w:hAnsi="Cambria"/>
          <w:sz w:val="24"/>
          <w:szCs w:val="24"/>
        </w:rPr>
        <w:t>religious institutionalists</w:t>
      </w:r>
      <w:r w:rsidR="004E2D20" w:rsidRPr="000F3B6D">
        <w:rPr>
          <w:rFonts w:ascii="Cambria" w:hAnsi="Cambria"/>
          <w:sz w:val="24"/>
          <w:szCs w:val="24"/>
        </w:rPr>
        <w:t>—</w:t>
      </w:r>
      <w:r w:rsidR="002F1F30" w:rsidRPr="000F3B6D">
        <w:rPr>
          <w:rFonts w:ascii="Cambria" w:hAnsi="Cambria"/>
          <w:sz w:val="24"/>
          <w:szCs w:val="24"/>
        </w:rPr>
        <w:t>such as the application of anti-discrimination legislation to churches</w:t>
      </w:r>
      <w:r w:rsidR="004E2D20" w:rsidRPr="000F3B6D">
        <w:rPr>
          <w:rFonts w:ascii="Cambria" w:hAnsi="Cambria"/>
          <w:sz w:val="24"/>
          <w:szCs w:val="24"/>
        </w:rPr>
        <w:t>—</w:t>
      </w:r>
      <w:r w:rsidR="002F1F30" w:rsidRPr="000F3B6D">
        <w:rPr>
          <w:rFonts w:ascii="Cambria" w:hAnsi="Cambria"/>
          <w:sz w:val="24"/>
          <w:szCs w:val="24"/>
        </w:rPr>
        <w:t>fall i</w:t>
      </w:r>
      <w:r w:rsidR="00FF4668" w:rsidRPr="000F3B6D">
        <w:rPr>
          <w:rFonts w:ascii="Cambria" w:hAnsi="Cambria"/>
          <w:sz w:val="24"/>
          <w:szCs w:val="24"/>
        </w:rPr>
        <w:t>nto this latter category. They are</w:t>
      </w:r>
      <w:r w:rsidR="002F1F30" w:rsidRPr="000F3B6D">
        <w:rPr>
          <w:rFonts w:ascii="Cambria" w:hAnsi="Cambria"/>
          <w:sz w:val="24"/>
          <w:szCs w:val="24"/>
        </w:rPr>
        <w:t xml:space="preserve"> not cases where the state acts </w:t>
      </w:r>
      <w:r w:rsidR="002F1F30" w:rsidRPr="000F3B6D">
        <w:rPr>
          <w:rFonts w:ascii="Cambria" w:hAnsi="Cambria"/>
          <w:i/>
          <w:sz w:val="24"/>
          <w:szCs w:val="24"/>
        </w:rPr>
        <w:t>ultra vires</w:t>
      </w:r>
      <w:r w:rsidR="002F1F30" w:rsidRPr="000F3B6D">
        <w:rPr>
          <w:rFonts w:ascii="Cambria" w:hAnsi="Cambria"/>
          <w:sz w:val="24"/>
          <w:szCs w:val="24"/>
        </w:rPr>
        <w:t>, but ones where there is reasonable disagreement about justice.</w:t>
      </w:r>
    </w:p>
    <w:p w14:paraId="7FA3CD19" w14:textId="245CDED2"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But some religious inst</w:t>
      </w:r>
      <w:r w:rsidR="00205368">
        <w:rPr>
          <w:rFonts w:ascii="Cambria" w:hAnsi="Cambria"/>
          <w:sz w:val="24"/>
          <w:szCs w:val="24"/>
        </w:rPr>
        <w:t xml:space="preserve">itutionalists would go further. They </w:t>
      </w:r>
      <w:r w:rsidRPr="000F3B6D">
        <w:rPr>
          <w:rFonts w:ascii="Cambria" w:hAnsi="Cambria"/>
          <w:sz w:val="24"/>
          <w:szCs w:val="24"/>
        </w:rPr>
        <w:t xml:space="preserve">hold that various state actions toward religious groups are </w:t>
      </w:r>
      <w:r w:rsidRPr="000F3B6D">
        <w:rPr>
          <w:rFonts w:ascii="Cambria" w:hAnsi="Cambria"/>
          <w:i/>
          <w:sz w:val="24"/>
          <w:szCs w:val="24"/>
        </w:rPr>
        <w:t>illegitimate</w:t>
      </w:r>
      <w:r w:rsidRPr="000F3B6D">
        <w:rPr>
          <w:rFonts w:ascii="Cambria" w:hAnsi="Cambria"/>
          <w:sz w:val="24"/>
          <w:szCs w:val="24"/>
        </w:rPr>
        <w:t xml:space="preserve">, not merely unjust. The state acts </w:t>
      </w:r>
      <w:r w:rsidRPr="000F3B6D">
        <w:rPr>
          <w:rFonts w:ascii="Cambria" w:hAnsi="Cambria"/>
          <w:i/>
          <w:sz w:val="24"/>
          <w:szCs w:val="24"/>
        </w:rPr>
        <w:t>illegitimately</w:t>
      </w:r>
      <w:r w:rsidRPr="000F3B6D">
        <w:rPr>
          <w:rFonts w:ascii="Cambria" w:hAnsi="Cambria"/>
          <w:sz w:val="24"/>
          <w:szCs w:val="24"/>
        </w:rPr>
        <w:t xml:space="preserve"> when it fails to grant accommodations, or interferes in the internal life of churches. Such a disagreement about legitimacy is consistent with affirming competence-competence. Even if the state is the only institution that can ultimately settle the bounds, there is a limit to what bounds are legitimate</w:t>
      </w:r>
      <w:r w:rsidR="004E2D20" w:rsidRPr="000F3B6D">
        <w:rPr>
          <w:rFonts w:ascii="Cambria" w:hAnsi="Cambria"/>
          <w:sz w:val="24"/>
          <w:szCs w:val="24"/>
        </w:rPr>
        <w:t>—</w:t>
      </w:r>
      <w:r w:rsidRPr="000F3B6D">
        <w:rPr>
          <w:rFonts w:ascii="Cambria" w:hAnsi="Cambria"/>
          <w:sz w:val="24"/>
          <w:szCs w:val="24"/>
        </w:rPr>
        <w:t xml:space="preserve">and some religious institutionalists disagree with </w:t>
      </w:r>
      <w:r w:rsidR="007661B7" w:rsidRPr="000F3B6D">
        <w:rPr>
          <w:rFonts w:ascii="Cambria" w:hAnsi="Cambria"/>
          <w:sz w:val="24"/>
          <w:szCs w:val="24"/>
        </w:rPr>
        <w:t>Laborde</w:t>
      </w:r>
      <w:r w:rsidRPr="000F3B6D">
        <w:rPr>
          <w:rFonts w:ascii="Cambria" w:hAnsi="Cambria"/>
          <w:sz w:val="24"/>
          <w:szCs w:val="24"/>
        </w:rPr>
        <w:t xml:space="preserve"> about </w:t>
      </w:r>
      <w:r w:rsidRPr="000F3B6D">
        <w:rPr>
          <w:rFonts w:ascii="Cambria" w:hAnsi="Cambria"/>
          <w:i/>
          <w:sz w:val="24"/>
          <w:szCs w:val="24"/>
        </w:rPr>
        <w:t>those</w:t>
      </w:r>
      <w:r w:rsidRPr="000F3B6D">
        <w:rPr>
          <w:rFonts w:ascii="Cambria" w:hAnsi="Cambria"/>
          <w:sz w:val="24"/>
          <w:szCs w:val="24"/>
        </w:rPr>
        <w:t xml:space="preserve"> limits.</w:t>
      </w:r>
    </w:p>
    <w:p w14:paraId="5E444A1F" w14:textId="78138999"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Consider the application of anti-discrimination legislation to churches. </w:t>
      </w:r>
      <w:r w:rsidR="007661B7" w:rsidRPr="000F3B6D">
        <w:rPr>
          <w:rFonts w:ascii="Cambria" w:hAnsi="Cambria"/>
          <w:sz w:val="24"/>
          <w:szCs w:val="24"/>
        </w:rPr>
        <w:t>Laborde</w:t>
      </w:r>
      <w:r w:rsidRPr="000F3B6D">
        <w:rPr>
          <w:rFonts w:ascii="Cambria" w:hAnsi="Cambria"/>
          <w:sz w:val="24"/>
          <w:szCs w:val="24"/>
        </w:rPr>
        <w:t xml:space="preserve"> says that in </w:t>
      </w:r>
      <w:r w:rsidRPr="000F3B6D">
        <w:rPr>
          <w:rFonts w:ascii="Cambria" w:hAnsi="Cambria"/>
          <w:i/>
          <w:sz w:val="24"/>
          <w:szCs w:val="24"/>
        </w:rPr>
        <w:t>Secularia</w:t>
      </w:r>
      <w:r w:rsidRPr="000F3B6D">
        <w:rPr>
          <w:rFonts w:ascii="Cambria" w:hAnsi="Cambria"/>
          <w:sz w:val="24"/>
          <w:szCs w:val="24"/>
        </w:rPr>
        <w:t>, one of her ideal-type state</w:t>
      </w:r>
      <w:r w:rsidR="00000950" w:rsidRPr="000F3B6D">
        <w:rPr>
          <w:rFonts w:ascii="Cambria" w:hAnsi="Cambria"/>
          <w:sz w:val="24"/>
          <w:szCs w:val="24"/>
        </w:rPr>
        <w:t>s that meet</w:t>
      </w:r>
      <w:r w:rsidRPr="000F3B6D">
        <w:rPr>
          <w:rFonts w:ascii="Cambria" w:hAnsi="Cambria"/>
          <w:sz w:val="24"/>
          <w:szCs w:val="24"/>
        </w:rPr>
        <w:t xml:space="preserve"> the demands of minimal secularism, “anti-discrimination norms constrain the autonomy of religious groups”</w:t>
      </w:r>
      <w:r w:rsidR="000618B8">
        <w:rPr>
          <w:rFonts w:ascii="Cambria" w:hAnsi="Cambria"/>
          <w:sz w:val="24"/>
          <w:szCs w:val="24"/>
        </w:rPr>
        <w:t xml:space="preserve"> (151)</w:t>
      </w:r>
      <w:r w:rsidRPr="000F3B6D">
        <w:rPr>
          <w:rFonts w:ascii="Cambria" w:hAnsi="Cambria"/>
          <w:sz w:val="24"/>
          <w:szCs w:val="24"/>
        </w:rPr>
        <w:t>.</w:t>
      </w:r>
      <w:r w:rsidR="007661B7" w:rsidRPr="000F3B6D">
        <w:rPr>
          <w:rFonts w:ascii="Cambria" w:hAnsi="Cambria"/>
          <w:sz w:val="24"/>
          <w:szCs w:val="24"/>
        </w:rPr>
        <w:t xml:space="preserve"> It i</w:t>
      </w:r>
      <w:r w:rsidRPr="000F3B6D">
        <w:rPr>
          <w:rFonts w:ascii="Cambria" w:hAnsi="Cambria"/>
          <w:sz w:val="24"/>
          <w:szCs w:val="24"/>
        </w:rPr>
        <w:t>s not completely clear what this means. It might mean that churches are</w:t>
      </w:r>
      <w:r w:rsidR="00163A45">
        <w:rPr>
          <w:rFonts w:ascii="Cambria" w:hAnsi="Cambria"/>
          <w:sz w:val="24"/>
          <w:szCs w:val="24"/>
        </w:rPr>
        <w:t xml:space="preserve"> no</w:t>
      </w:r>
      <w:r w:rsidRPr="000F3B6D">
        <w:rPr>
          <w:rFonts w:ascii="Cambria" w:hAnsi="Cambria"/>
          <w:sz w:val="24"/>
          <w:szCs w:val="24"/>
        </w:rPr>
        <w:t>t permitted to discriminate on grounds of religion in their choice of ministers. After all, other organisations are</w:t>
      </w:r>
      <w:r w:rsidR="00163A45">
        <w:rPr>
          <w:rFonts w:ascii="Cambria" w:hAnsi="Cambria"/>
          <w:sz w:val="24"/>
          <w:szCs w:val="24"/>
        </w:rPr>
        <w:t xml:space="preserve"> no</w:t>
      </w:r>
      <w:r w:rsidRPr="000F3B6D">
        <w:rPr>
          <w:rFonts w:ascii="Cambria" w:hAnsi="Cambria"/>
          <w:sz w:val="24"/>
          <w:szCs w:val="24"/>
        </w:rPr>
        <w:t>t permitted to discriminate on such grounds. This would be a severe restriction of religious freedom, however</w:t>
      </w:r>
      <w:r w:rsidR="004E2D20" w:rsidRPr="000F3B6D">
        <w:rPr>
          <w:rFonts w:ascii="Cambria" w:hAnsi="Cambria"/>
          <w:sz w:val="24"/>
          <w:szCs w:val="24"/>
        </w:rPr>
        <w:t>—</w:t>
      </w:r>
      <w:r w:rsidRPr="000F3B6D">
        <w:rPr>
          <w:rFonts w:ascii="Cambria" w:hAnsi="Cambria"/>
          <w:sz w:val="24"/>
          <w:szCs w:val="24"/>
        </w:rPr>
        <w:t xml:space="preserve">which many religious institutionalists would certainly consider </w:t>
      </w:r>
      <w:r w:rsidRPr="000F3B6D">
        <w:rPr>
          <w:rFonts w:ascii="Cambria" w:hAnsi="Cambria"/>
          <w:i/>
          <w:sz w:val="24"/>
          <w:szCs w:val="24"/>
        </w:rPr>
        <w:t>illegitimate</w:t>
      </w:r>
      <w:r w:rsidRPr="000F3B6D">
        <w:rPr>
          <w:rFonts w:ascii="Cambria" w:hAnsi="Cambria"/>
          <w:sz w:val="24"/>
          <w:szCs w:val="24"/>
        </w:rPr>
        <w:t xml:space="preserve">, not merely </w:t>
      </w:r>
      <w:r w:rsidRPr="000F3B6D">
        <w:rPr>
          <w:rFonts w:ascii="Cambria" w:hAnsi="Cambria"/>
          <w:sz w:val="24"/>
          <w:szCs w:val="24"/>
        </w:rPr>
        <w:lastRenderedPageBreak/>
        <w:t>unjust.</w:t>
      </w:r>
      <w:r w:rsidR="00163A45">
        <w:rPr>
          <w:rFonts w:ascii="Cambria" w:hAnsi="Cambria"/>
          <w:sz w:val="24"/>
          <w:szCs w:val="24"/>
        </w:rPr>
        <w:t xml:space="preserve"> </w:t>
      </w:r>
      <w:r w:rsidRPr="000F3B6D">
        <w:rPr>
          <w:rFonts w:ascii="Cambria" w:hAnsi="Cambria"/>
          <w:sz w:val="24"/>
          <w:szCs w:val="24"/>
        </w:rPr>
        <w:t xml:space="preserve">Perhaps </w:t>
      </w:r>
      <w:r w:rsidR="007661B7" w:rsidRPr="000F3B6D">
        <w:rPr>
          <w:rFonts w:ascii="Cambria" w:hAnsi="Cambria"/>
          <w:sz w:val="24"/>
          <w:szCs w:val="24"/>
        </w:rPr>
        <w:t>Laborde</w:t>
      </w:r>
      <w:r w:rsidRPr="000F3B6D">
        <w:rPr>
          <w:rFonts w:ascii="Cambria" w:hAnsi="Cambria"/>
          <w:sz w:val="24"/>
          <w:szCs w:val="24"/>
        </w:rPr>
        <w:t xml:space="preserve"> does not have this in mind, however. She notes at one point that it is a </w:t>
      </w:r>
      <w:r w:rsidR="00477540" w:rsidRPr="000F3B6D">
        <w:rPr>
          <w:rFonts w:ascii="Cambria" w:hAnsi="Cambria"/>
          <w:sz w:val="24"/>
          <w:szCs w:val="24"/>
        </w:rPr>
        <w:t>category</w:t>
      </w:r>
      <w:r w:rsidRPr="000F3B6D">
        <w:rPr>
          <w:rFonts w:ascii="Cambria" w:hAnsi="Cambria"/>
          <w:sz w:val="24"/>
          <w:szCs w:val="24"/>
        </w:rPr>
        <w:t xml:space="preserve"> mistake to complain about religious groups discriminating on religious grounds</w:t>
      </w:r>
      <w:r w:rsidR="004E2D20" w:rsidRPr="000F3B6D">
        <w:rPr>
          <w:rFonts w:ascii="Cambria" w:hAnsi="Cambria"/>
          <w:sz w:val="24"/>
          <w:szCs w:val="24"/>
        </w:rPr>
        <w:t>—</w:t>
      </w:r>
      <w:r w:rsidRPr="000F3B6D">
        <w:rPr>
          <w:rFonts w:ascii="Cambria" w:hAnsi="Cambria"/>
          <w:sz w:val="24"/>
          <w:szCs w:val="24"/>
        </w:rPr>
        <w:t>thi</w:t>
      </w:r>
      <w:r w:rsidR="007661B7" w:rsidRPr="000F3B6D">
        <w:rPr>
          <w:rFonts w:ascii="Cambria" w:hAnsi="Cambria"/>
          <w:sz w:val="24"/>
          <w:szCs w:val="24"/>
        </w:rPr>
        <w:t>s is necessary if they a</w:t>
      </w:r>
      <w:r w:rsidRPr="000F3B6D">
        <w:rPr>
          <w:rFonts w:ascii="Cambria" w:hAnsi="Cambria"/>
          <w:sz w:val="24"/>
          <w:szCs w:val="24"/>
        </w:rPr>
        <w:t>re to be religious associations at all</w:t>
      </w:r>
      <w:r w:rsidR="000618B8">
        <w:rPr>
          <w:rFonts w:ascii="Cambria" w:hAnsi="Cambria"/>
          <w:sz w:val="24"/>
          <w:szCs w:val="24"/>
        </w:rPr>
        <w:t xml:space="preserve"> (179)</w:t>
      </w:r>
      <w:r w:rsidRPr="000F3B6D">
        <w:rPr>
          <w:rFonts w:ascii="Cambria" w:hAnsi="Cambria"/>
          <w:sz w:val="24"/>
          <w:szCs w:val="24"/>
        </w:rPr>
        <w:t xml:space="preserve">. So perhaps the anti-discrimination norms in </w:t>
      </w:r>
      <w:r w:rsidRPr="000F3B6D">
        <w:rPr>
          <w:rFonts w:ascii="Cambria" w:hAnsi="Cambria"/>
          <w:i/>
          <w:sz w:val="24"/>
          <w:szCs w:val="24"/>
        </w:rPr>
        <w:t>Secularia</w:t>
      </w:r>
      <w:r w:rsidRPr="000F3B6D">
        <w:rPr>
          <w:rFonts w:ascii="Cambria" w:hAnsi="Cambria"/>
          <w:sz w:val="24"/>
          <w:szCs w:val="24"/>
        </w:rPr>
        <w:t xml:space="preserve"> are laws against discrimination on other grounds</w:t>
      </w:r>
      <w:r w:rsidR="004E2D20" w:rsidRPr="000F3B6D">
        <w:rPr>
          <w:rFonts w:ascii="Cambria" w:hAnsi="Cambria"/>
          <w:sz w:val="24"/>
          <w:szCs w:val="24"/>
        </w:rPr>
        <w:t>—</w:t>
      </w:r>
      <w:r w:rsidR="00000950" w:rsidRPr="000F3B6D">
        <w:rPr>
          <w:rFonts w:ascii="Cambria" w:hAnsi="Cambria"/>
          <w:sz w:val="24"/>
          <w:szCs w:val="24"/>
        </w:rPr>
        <w:t>race, gender, sexuality.</w:t>
      </w:r>
      <w:r w:rsidR="007661B7" w:rsidRPr="000F3B6D">
        <w:rPr>
          <w:rFonts w:ascii="Cambria" w:hAnsi="Cambria"/>
          <w:sz w:val="24"/>
          <w:szCs w:val="24"/>
        </w:rPr>
        <w:t xml:space="preserve"> </w:t>
      </w:r>
      <w:r w:rsidRPr="000F3B6D">
        <w:rPr>
          <w:rFonts w:ascii="Cambria" w:hAnsi="Cambria"/>
          <w:sz w:val="24"/>
          <w:szCs w:val="24"/>
        </w:rPr>
        <w:t>Even then, however, religious institutionalists might consider the application of such laws to churches an illegitimate violation of basic rights of religio</w:t>
      </w:r>
      <w:r w:rsidR="00447226" w:rsidRPr="000F3B6D">
        <w:rPr>
          <w:rFonts w:ascii="Cambria" w:hAnsi="Cambria"/>
          <w:sz w:val="24"/>
          <w:szCs w:val="24"/>
        </w:rPr>
        <w:t>us freedom. G</w:t>
      </w:r>
      <w:r w:rsidRPr="000F3B6D">
        <w:rPr>
          <w:rFonts w:ascii="Cambria" w:hAnsi="Cambria"/>
          <w:sz w:val="24"/>
          <w:szCs w:val="24"/>
        </w:rPr>
        <w:t xml:space="preserve">roups </w:t>
      </w:r>
      <w:r w:rsidR="00447226" w:rsidRPr="000F3B6D">
        <w:rPr>
          <w:rFonts w:ascii="Cambria" w:hAnsi="Cambria"/>
          <w:sz w:val="24"/>
          <w:szCs w:val="24"/>
        </w:rPr>
        <w:t xml:space="preserve">should be able to </w:t>
      </w:r>
      <w:r w:rsidRPr="000F3B6D">
        <w:rPr>
          <w:rFonts w:ascii="Cambria" w:hAnsi="Cambria"/>
          <w:sz w:val="24"/>
          <w:szCs w:val="24"/>
        </w:rPr>
        <w:t>choos</w:t>
      </w:r>
      <w:r w:rsidR="00447226" w:rsidRPr="000F3B6D">
        <w:rPr>
          <w:rFonts w:ascii="Cambria" w:hAnsi="Cambria"/>
          <w:sz w:val="24"/>
          <w:szCs w:val="24"/>
        </w:rPr>
        <w:t>e</w:t>
      </w:r>
      <w:r w:rsidRPr="000F3B6D">
        <w:rPr>
          <w:rFonts w:ascii="Cambria" w:hAnsi="Cambria"/>
          <w:sz w:val="24"/>
          <w:szCs w:val="24"/>
        </w:rPr>
        <w:t xml:space="preserve"> their membership and leadership based on their </w:t>
      </w:r>
      <w:r w:rsidR="001E2C49" w:rsidRPr="000F3B6D">
        <w:rPr>
          <w:rFonts w:ascii="Cambria" w:hAnsi="Cambria"/>
          <w:sz w:val="24"/>
          <w:szCs w:val="24"/>
        </w:rPr>
        <w:t xml:space="preserve">own </w:t>
      </w:r>
      <w:r w:rsidRPr="000F3B6D">
        <w:rPr>
          <w:rFonts w:ascii="Cambria" w:hAnsi="Cambria"/>
          <w:sz w:val="24"/>
          <w:szCs w:val="24"/>
        </w:rPr>
        <w:t xml:space="preserve">beliefs and </w:t>
      </w:r>
      <w:r w:rsidR="007832C3" w:rsidRPr="000F3B6D">
        <w:rPr>
          <w:rFonts w:ascii="Cambria" w:hAnsi="Cambria"/>
          <w:sz w:val="24"/>
          <w:szCs w:val="24"/>
        </w:rPr>
        <w:t xml:space="preserve">values, </w:t>
      </w:r>
      <w:r w:rsidR="00000950" w:rsidRPr="000F3B6D">
        <w:rPr>
          <w:rFonts w:ascii="Cambria" w:hAnsi="Cambria"/>
          <w:sz w:val="24"/>
          <w:szCs w:val="24"/>
        </w:rPr>
        <w:t>and this should</w:t>
      </w:r>
      <w:r w:rsidR="007832C3" w:rsidRPr="000F3B6D">
        <w:rPr>
          <w:rFonts w:ascii="Cambria" w:hAnsi="Cambria"/>
          <w:sz w:val="24"/>
          <w:szCs w:val="24"/>
        </w:rPr>
        <w:t xml:space="preserve"> no</w:t>
      </w:r>
      <w:r w:rsidR="00000950" w:rsidRPr="000F3B6D">
        <w:rPr>
          <w:rFonts w:ascii="Cambria" w:hAnsi="Cambria"/>
          <w:sz w:val="24"/>
          <w:szCs w:val="24"/>
        </w:rPr>
        <w:t>t be considered invidious discrimination.</w:t>
      </w:r>
      <w:r w:rsidR="008A7556">
        <w:rPr>
          <w:rFonts w:ascii="Cambria" w:hAnsi="Cambria"/>
          <w:sz w:val="24"/>
          <w:szCs w:val="24"/>
        </w:rPr>
        <w:t xml:space="preserve"> </w:t>
      </w:r>
      <w:r w:rsidRPr="000F3B6D">
        <w:rPr>
          <w:rFonts w:ascii="Cambria" w:hAnsi="Cambria"/>
          <w:sz w:val="24"/>
          <w:szCs w:val="24"/>
        </w:rPr>
        <w:t xml:space="preserve">If so, then agreement on competence-competence </w:t>
      </w:r>
      <w:r w:rsidR="007832C3" w:rsidRPr="000F3B6D">
        <w:rPr>
          <w:rFonts w:ascii="Cambria" w:hAnsi="Cambria"/>
          <w:sz w:val="24"/>
          <w:szCs w:val="24"/>
        </w:rPr>
        <w:t>does not</w:t>
      </w:r>
      <w:r w:rsidRPr="000F3B6D">
        <w:rPr>
          <w:rFonts w:ascii="Cambria" w:hAnsi="Cambria"/>
          <w:sz w:val="24"/>
          <w:szCs w:val="24"/>
        </w:rPr>
        <w:t xml:space="preserve"> reduce the dispute between religious institutionalists and their critics to reasonable disagreement about justice. The disagreement can be about </w:t>
      </w:r>
      <w:r w:rsidRPr="000F3B6D">
        <w:rPr>
          <w:rFonts w:ascii="Cambria" w:hAnsi="Cambria"/>
          <w:i/>
          <w:sz w:val="24"/>
          <w:szCs w:val="24"/>
        </w:rPr>
        <w:t>legitimacy</w:t>
      </w:r>
      <w:r w:rsidRPr="000F3B6D">
        <w:rPr>
          <w:rFonts w:ascii="Cambria" w:hAnsi="Cambria"/>
          <w:sz w:val="24"/>
          <w:szCs w:val="24"/>
        </w:rPr>
        <w:t xml:space="preserve">. One can affirm the state’s competence-competence while holding that there are </w:t>
      </w:r>
      <w:r w:rsidR="00432B6D" w:rsidRPr="000F3B6D">
        <w:rPr>
          <w:rFonts w:ascii="Cambria" w:hAnsi="Cambria"/>
          <w:sz w:val="24"/>
          <w:szCs w:val="24"/>
        </w:rPr>
        <w:t>tighter</w:t>
      </w:r>
      <w:r w:rsidRPr="000F3B6D">
        <w:rPr>
          <w:rFonts w:ascii="Cambria" w:hAnsi="Cambria"/>
          <w:sz w:val="24"/>
          <w:szCs w:val="24"/>
        </w:rPr>
        <w:t xml:space="preserve"> restrictions on its legitimate actions than </w:t>
      </w:r>
      <w:r w:rsidR="007832C3" w:rsidRPr="000F3B6D">
        <w:rPr>
          <w:rFonts w:ascii="Cambria" w:hAnsi="Cambria"/>
          <w:sz w:val="24"/>
          <w:szCs w:val="24"/>
        </w:rPr>
        <w:t>Laborde</w:t>
      </w:r>
      <w:r w:rsidRPr="000F3B6D">
        <w:rPr>
          <w:rFonts w:ascii="Cambria" w:hAnsi="Cambria"/>
          <w:sz w:val="24"/>
          <w:szCs w:val="24"/>
        </w:rPr>
        <w:t xml:space="preserve"> </w:t>
      </w:r>
      <w:r w:rsidR="00432B6D" w:rsidRPr="000F3B6D">
        <w:rPr>
          <w:rFonts w:ascii="Cambria" w:hAnsi="Cambria"/>
          <w:sz w:val="24"/>
          <w:szCs w:val="24"/>
        </w:rPr>
        <w:t>believes</w:t>
      </w:r>
      <w:r w:rsidRPr="000F3B6D">
        <w:rPr>
          <w:rFonts w:ascii="Cambria" w:hAnsi="Cambria"/>
          <w:sz w:val="24"/>
          <w:szCs w:val="24"/>
        </w:rPr>
        <w:t>.</w:t>
      </w:r>
    </w:p>
    <w:p w14:paraId="7CDC7B19" w14:textId="22456EC7"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Indeed, this is what ‘sphere sovereignty’ traditionally denoted, on one interpretation. The originator of the term, Abraham Kuyper, recognised the state’s proper role in regulating the various spheres</w:t>
      </w:r>
      <w:r w:rsidR="001075C4" w:rsidRPr="000F3B6D">
        <w:rPr>
          <w:rFonts w:ascii="Cambria" w:hAnsi="Cambria"/>
          <w:sz w:val="24"/>
          <w:szCs w:val="24"/>
        </w:rPr>
        <w:t xml:space="preserve"> within society</w:t>
      </w:r>
      <w:r w:rsidRPr="000F3B6D">
        <w:rPr>
          <w:rFonts w:ascii="Cambria" w:hAnsi="Cambria"/>
          <w:sz w:val="24"/>
          <w:szCs w:val="24"/>
        </w:rPr>
        <w:t>. He recognised the state’s unique meta-jurisdictional authority. But he held that it must respect groups’ autonomy. It “may never become an octopus, which stifles the whole of life.”</w:t>
      </w:r>
      <w:r w:rsidRPr="000F3B6D">
        <w:rPr>
          <w:rFonts w:ascii="Cambria" w:hAnsi="Cambria"/>
          <w:sz w:val="24"/>
          <w:szCs w:val="24"/>
          <w:vertAlign w:val="superscript"/>
        </w:rPr>
        <w:footnoteReference w:id="4"/>
      </w:r>
      <w:r w:rsidRPr="000F3B6D">
        <w:rPr>
          <w:rFonts w:ascii="Cambria" w:hAnsi="Cambria"/>
          <w:sz w:val="24"/>
          <w:szCs w:val="24"/>
        </w:rPr>
        <w:t xml:space="preserve"> The ‘octopus state’ acts illegitimately, violating groups’ and citizens’ rights.</w:t>
      </w:r>
    </w:p>
    <w:p w14:paraId="316B673E" w14:textId="7DDA2E57"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This point also </w:t>
      </w:r>
      <w:r w:rsidR="00315B4F" w:rsidRPr="000F3B6D">
        <w:rPr>
          <w:rFonts w:ascii="Cambria" w:hAnsi="Cambria"/>
          <w:sz w:val="24"/>
          <w:szCs w:val="24"/>
        </w:rPr>
        <w:t>applies in the other direction</w:t>
      </w:r>
      <w:r w:rsidRPr="000F3B6D">
        <w:rPr>
          <w:rFonts w:ascii="Cambria" w:hAnsi="Cambria"/>
          <w:sz w:val="24"/>
          <w:szCs w:val="24"/>
        </w:rPr>
        <w:t xml:space="preserve">. In </w:t>
      </w:r>
      <w:r w:rsidRPr="000F3B6D">
        <w:rPr>
          <w:rFonts w:ascii="Cambria" w:hAnsi="Cambria"/>
          <w:i/>
          <w:sz w:val="24"/>
          <w:szCs w:val="24"/>
        </w:rPr>
        <w:t>Divinitia</w:t>
      </w:r>
      <w:r w:rsidRPr="000F3B6D">
        <w:rPr>
          <w:rFonts w:ascii="Cambria" w:hAnsi="Cambria"/>
          <w:sz w:val="24"/>
          <w:szCs w:val="24"/>
        </w:rPr>
        <w:t xml:space="preserve">, </w:t>
      </w:r>
      <w:r w:rsidR="00163A45">
        <w:rPr>
          <w:rFonts w:ascii="Cambria" w:hAnsi="Cambria"/>
          <w:sz w:val="24"/>
          <w:szCs w:val="24"/>
        </w:rPr>
        <w:t>Laborde’s</w:t>
      </w:r>
      <w:r w:rsidRPr="000F3B6D">
        <w:rPr>
          <w:rFonts w:ascii="Cambria" w:hAnsi="Cambria"/>
          <w:sz w:val="24"/>
          <w:szCs w:val="24"/>
        </w:rPr>
        <w:t xml:space="preserve"> other ideal-type, “religious groups enjoy extende</w:t>
      </w:r>
      <w:r w:rsidR="000618B8">
        <w:rPr>
          <w:rFonts w:ascii="Cambria" w:hAnsi="Cambria"/>
          <w:sz w:val="24"/>
          <w:szCs w:val="24"/>
        </w:rPr>
        <w:t>d rights of collective autonomy</w:t>
      </w:r>
      <w:r w:rsidRPr="000F3B6D">
        <w:rPr>
          <w:rFonts w:ascii="Cambria" w:hAnsi="Cambria"/>
          <w:sz w:val="24"/>
          <w:szCs w:val="24"/>
        </w:rPr>
        <w:t>”</w:t>
      </w:r>
      <w:r w:rsidR="000618B8">
        <w:rPr>
          <w:rFonts w:ascii="Cambria" w:hAnsi="Cambria"/>
          <w:sz w:val="24"/>
          <w:szCs w:val="24"/>
        </w:rPr>
        <w:t xml:space="preserve"> (151).</w:t>
      </w:r>
      <w:r w:rsidR="00315B4F" w:rsidRPr="000F3B6D">
        <w:rPr>
          <w:rFonts w:ascii="Cambria" w:hAnsi="Cambria"/>
          <w:sz w:val="24"/>
          <w:szCs w:val="24"/>
        </w:rPr>
        <w:t xml:space="preserve"> Again, it i</w:t>
      </w:r>
      <w:r w:rsidRPr="000F3B6D">
        <w:rPr>
          <w:rFonts w:ascii="Cambria" w:hAnsi="Cambria"/>
          <w:sz w:val="24"/>
          <w:szCs w:val="24"/>
        </w:rPr>
        <w:t>s not clear how extensive these rights are. But presumably they could be extensive enough that some liberal egalitarian</w:t>
      </w:r>
      <w:r w:rsidR="0026059A" w:rsidRPr="000F3B6D">
        <w:rPr>
          <w:rFonts w:ascii="Cambria" w:hAnsi="Cambria"/>
          <w:sz w:val="24"/>
          <w:szCs w:val="24"/>
        </w:rPr>
        <w:t xml:space="preserve"> critic</w:t>
      </w:r>
      <w:r w:rsidRPr="000F3B6D">
        <w:rPr>
          <w:rFonts w:ascii="Cambria" w:hAnsi="Cambria"/>
          <w:sz w:val="24"/>
          <w:szCs w:val="24"/>
        </w:rPr>
        <w:t xml:space="preserve">s </w:t>
      </w:r>
      <w:r w:rsidR="0026059A" w:rsidRPr="000F3B6D">
        <w:rPr>
          <w:rFonts w:ascii="Cambria" w:hAnsi="Cambria"/>
          <w:sz w:val="24"/>
          <w:szCs w:val="24"/>
        </w:rPr>
        <w:t xml:space="preserve">of religious institutionalism </w:t>
      </w:r>
      <w:r w:rsidRPr="000F3B6D">
        <w:rPr>
          <w:rFonts w:ascii="Cambria" w:hAnsi="Cambria"/>
          <w:sz w:val="24"/>
          <w:szCs w:val="24"/>
        </w:rPr>
        <w:t xml:space="preserve">consider them </w:t>
      </w:r>
      <w:r w:rsidR="0026059A" w:rsidRPr="000F3B6D">
        <w:rPr>
          <w:rFonts w:ascii="Cambria" w:hAnsi="Cambria"/>
          <w:sz w:val="24"/>
          <w:szCs w:val="24"/>
        </w:rPr>
        <w:t>to be </w:t>
      </w:r>
      <w:r w:rsidRPr="000F3B6D">
        <w:rPr>
          <w:rFonts w:ascii="Cambria" w:hAnsi="Cambria"/>
          <w:sz w:val="24"/>
          <w:szCs w:val="24"/>
        </w:rPr>
        <w:t>illegitimate, due to inadequately protecting individual freedom and equality of opportunity. Indeed, some hold that this point is reached by accommodations already given in the UK and US</w:t>
      </w:r>
      <w:r w:rsidR="002B30A2" w:rsidRPr="000F3B6D">
        <w:rPr>
          <w:rFonts w:ascii="Cambria" w:hAnsi="Cambria"/>
          <w:sz w:val="24"/>
          <w:szCs w:val="24"/>
        </w:rPr>
        <w:t xml:space="preserve">, </w:t>
      </w:r>
      <w:r w:rsidRPr="000F3B6D">
        <w:rPr>
          <w:rFonts w:ascii="Cambria" w:hAnsi="Cambria"/>
          <w:sz w:val="24"/>
          <w:szCs w:val="24"/>
        </w:rPr>
        <w:t>such as allowing churches to discriminate on grounds of gender in their ministerial employment decisions.</w:t>
      </w:r>
      <w:r w:rsidR="00AD7C20" w:rsidRPr="000F3B6D">
        <w:rPr>
          <w:rFonts w:ascii="Cambria" w:hAnsi="Cambria"/>
          <w:sz w:val="24"/>
          <w:szCs w:val="24"/>
        </w:rPr>
        <w:t xml:space="preserve"> Again, the disagre</w:t>
      </w:r>
      <w:r w:rsidR="00C32AFE" w:rsidRPr="000F3B6D">
        <w:rPr>
          <w:rFonts w:ascii="Cambria" w:hAnsi="Cambria"/>
          <w:sz w:val="24"/>
          <w:szCs w:val="24"/>
        </w:rPr>
        <w:t>ement here is about legitimacy.</w:t>
      </w:r>
    </w:p>
    <w:p w14:paraId="3A62A2C5" w14:textId="77777777" w:rsidR="006F38BB" w:rsidRPr="000F3B6D" w:rsidRDefault="002F1F30" w:rsidP="006F38BB">
      <w:pPr>
        <w:spacing w:after="200" w:line="288" w:lineRule="auto"/>
        <w:jc w:val="both"/>
        <w:rPr>
          <w:rFonts w:ascii="Cambria" w:hAnsi="Cambria"/>
          <w:b/>
          <w:sz w:val="24"/>
          <w:szCs w:val="24"/>
        </w:rPr>
      </w:pPr>
      <w:r w:rsidRPr="000F3B6D">
        <w:rPr>
          <w:rFonts w:ascii="Cambria" w:hAnsi="Cambria"/>
          <w:sz w:val="24"/>
          <w:szCs w:val="24"/>
        </w:rPr>
        <w:t xml:space="preserve">In sum, </w:t>
      </w:r>
      <w:r w:rsidR="003D6C93" w:rsidRPr="000F3B6D">
        <w:rPr>
          <w:rFonts w:ascii="Cambria" w:hAnsi="Cambria"/>
          <w:sz w:val="24"/>
          <w:szCs w:val="24"/>
        </w:rPr>
        <w:t>Laborde</w:t>
      </w:r>
      <w:r w:rsidRPr="000F3B6D">
        <w:rPr>
          <w:rFonts w:ascii="Cambria" w:hAnsi="Cambria"/>
          <w:sz w:val="24"/>
          <w:szCs w:val="24"/>
        </w:rPr>
        <w:t xml:space="preserve"> makes it too easy for herself by suggesting that recognising competence-competence means </w:t>
      </w:r>
      <w:r w:rsidR="00513A77" w:rsidRPr="000F3B6D">
        <w:rPr>
          <w:rFonts w:ascii="Cambria" w:hAnsi="Cambria"/>
          <w:sz w:val="24"/>
          <w:szCs w:val="24"/>
        </w:rPr>
        <w:t xml:space="preserve">that </w:t>
      </w:r>
      <w:r w:rsidRPr="000F3B6D">
        <w:rPr>
          <w:rFonts w:ascii="Cambria" w:hAnsi="Cambria"/>
          <w:sz w:val="24"/>
          <w:szCs w:val="24"/>
        </w:rPr>
        <w:t xml:space="preserve">everyone in this debate can agree that their disagreements lie within the domain of reasonable disagreements about justice, </w:t>
      </w:r>
      <w:r w:rsidR="00084EF9" w:rsidRPr="000F3B6D">
        <w:rPr>
          <w:rFonts w:ascii="Cambria" w:hAnsi="Cambria"/>
          <w:sz w:val="24"/>
          <w:szCs w:val="24"/>
        </w:rPr>
        <w:t>such that all of</w:t>
      </w:r>
      <w:r w:rsidRPr="000F3B6D">
        <w:rPr>
          <w:rFonts w:ascii="Cambria" w:hAnsi="Cambria"/>
          <w:sz w:val="24"/>
          <w:szCs w:val="24"/>
        </w:rPr>
        <w:t xml:space="preserve"> their proposals are within the range of legitimate settlements. Much of the disagreement is over the range </w:t>
      </w:r>
      <w:r w:rsidRPr="000F3B6D">
        <w:rPr>
          <w:rFonts w:ascii="Cambria" w:hAnsi="Cambria"/>
          <w:sz w:val="24"/>
          <w:szCs w:val="24"/>
        </w:rPr>
        <w:lastRenderedPageBreak/>
        <w:t>of legitimate settlements itself. Agreement on competence-competence</w:t>
      </w:r>
      <w:r w:rsidR="002C7948" w:rsidRPr="000F3B6D">
        <w:rPr>
          <w:rFonts w:ascii="Cambria" w:hAnsi="Cambria"/>
          <w:sz w:val="24"/>
          <w:szCs w:val="24"/>
        </w:rPr>
        <w:t xml:space="preserve">, if it indeed obtains, </w:t>
      </w:r>
      <w:r w:rsidRPr="000F3B6D">
        <w:rPr>
          <w:rFonts w:ascii="Cambria" w:hAnsi="Cambria"/>
          <w:sz w:val="24"/>
          <w:szCs w:val="24"/>
        </w:rPr>
        <w:t>does</w:t>
      </w:r>
      <w:r w:rsidR="00704819" w:rsidRPr="000F3B6D">
        <w:rPr>
          <w:rFonts w:ascii="Cambria" w:hAnsi="Cambria"/>
          <w:sz w:val="24"/>
          <w:szCs w:val="24"/>
        </w:rPr>
        <w:t xml:space="preserve"> no</w:t>
      </w:r>
      <w:r w:rsidRPr="000F3B6D">
        <w:rPr>
          <w:rFonts w:ascii="Cambria" w:hAnsi="Cambria"/>
          <w:sz w:val="24"/>
          <w:szCs w:val="24"/>
        </w:rPr>
        <w:t>t detract from the depth or sharpness of that disagreement.</w:t>
      </w:r>
    </w:p>
    <w:p w14:paraId="4C4F8950" w14:textId="77777777" w:rsidR="006F38BB" w:rsidRPr="000F3B6D" w:rsidRDefault="006F38BB" w:rsidP="006F38BB">
      <w:pPr>
        <w:spacing w:after="200" w:line="288" w:lineRule="auto"/>
        <w:jc w:val="both"/>
        <w:rPr>
          <w:rFonts w:ascii="Cambria" w:hAnsi="Cambria"/>
          <w:b/>
          <w:sz w:val="24"/>
          <w:szCs w:val="24"/>
        </w:rPr>
      </w:pPr>
    </w:p>
    <w:p w14:paraId="7D1AB861" w14:textId="76E73C9F" w:rsidR="006F38BB" w:rsidRPr="00A67553" w:rsidRDefault="002F1F30" w:rsidP="00A67553">
      <w:pPr>
        <w:pStyle w:val="ListParagraph"/>
        <w:numPr>
          <w:ilvl w:val="0"/>
          <w:numId w:val="3"/>
        </w:numPr>
        <w:spacing w:after="200" w:line="288" w:lineRule="auto"/>
        <w:jc w:val="both"/>
        <w:rPr>
          <w:rFonts w:ascii="Cambria" w:hAnsi="Cambria"/>
          <w:b/>
          <w:sz w:val="24"/>
          <w:szCs w:val="24"/>
        </w:rPr>
      </w:pPr>
      <w:r w:rsidRPr="00A67553">
        <w:rPr>
          <w:rFonts w:ascii="Cambria" w:hAnsi="Cambria"/>
          <w:b/>
          <w:sz w:val="24"/>
          <w:szCs w:val="24"/>
        </w:rPr>
        <w:t>Coherence Interests</w:t>
      </w:r>
    </w:p>
    <w:p w14:paraId="09DDBF65" w14:textId="31B2662B" w:rsidR="000A3A1C" w:rsidRPr="000F3B6D" w:rsidRDefault="001E2C49" w:rsidP="004E2D20">
      <w:pPr>
        <w:spacing w:after="200" w:line="288" w:lineRule="auto"/>
        <w:jc w:val="both"/>
        <w:rPr>
          <w:rFonts w:ascii="Cambria" w:hAnsi="Cambria"/>
          <w:sz w:val="24"/>
          <w:szCs w:val="24"/>
        </w:rPr>
      </w:pPr>
      <w:r w:rsidRPr="000F3B6D">
        <w:rPr>
          <w:rFonts w:ascii="Cambria" w:hAnsi="Cambria"/>
          <w:sz w:val="24"/>
          <w:szCs w:val="24"/>
        </w:rPr>
        <w:t>Let’s</w:t>
      </w:r>
      <w:r w:rsidR="002F1F30" w:rsidRPr="000F3B6D">
        <w:rPr>
          <w:rFonts w:ascii="Cambria" w:hAnsi="Cambria"/>
          <w:sz w:val="24"/>
          <w:szCs w:val="24"/>
        </w:rPr>
        <w:t xml:space="preserve"> turn to </w:t>
      </w:r>
      <w:r w:rsidR="00FE0420" w:rsidRPr="000F3B6D">
        <w:rPr>
          <w:rFonts w:ascii="Cambria" w:hAnsi="Cambria"/>
          <w:sz w:val="24"/>
          <w:szCs w:val="24"/>
        </w:rPr>
        <w:t>Laborde’s</w:t>
      </w:r>
      <w:r w:rsidR="002F1F30" w:rsidRPr="000F3B6D">
        <w:rPr>
          <w:rFonts w:ascii="Cambria" w:hAnsi="Cambria"/>
          <w:sz w:val="24"/>
          <w:szCs w:val="24"/>
        </w:rPr>
        <w:t xml:space="preserve"> own view of justice in this area</w:t>
      </w:r>
      <w:r w:rsidR="004E2D20" w:rsidRPr="000F3B6D">
        <w:rPr>
          <w:rFonts w:ascii="Cambria" w:hAnsi="Cambria"/>
          <w:sz w:val="24"/>
          <w:szCs w:val="24"/>
        </w:rPr>
        <w:t>—</w:t>
      </w:r>
      <w:r w:rsidR="00E8676A" w:rsidRPr="000F3B6D">
        <w:rPr>
          <w:rFonts w:ascii="Cambria" w:hAnsi="Cambria"/>
          <w:sz w:val="24"/>
          <w:szCs w:val="24"/>
        </w:rPr>
        <w:t xml:space="preserve">her view </w:t>
      </w:r>
      <w:r w:rsidR="002F1F30" w:rsidRPr="000F3B6D">
        <w:rPr>
          <w:rFonts w:ascii="Cambria" w:hAnsi="Cambria"/>
          <w:sz w:val="24"/>
          <w:szCs w:val="24"/>
        </w:rPr>
        <w:t xml:space="preserve">of the rights that the state ought to grant </w:t>
      </w:r>
      <w:r w:rsidR="00E25486" w:rsidRPr="000F3B6D">
        <w:rPr>
          <w:rFonts w:ascii="Cambria" w:hAnsi="Cambria"/>
          <w:sz w:val="24"/>
          <w:szCs w:val="24"/>
        </w:rPr>
        <w:t xml:space="preserve">to </w:t>
      </w:r>
      <w:r w:rsidR="002F1F30" w:rsidRPr="000F3B6D">
        <w:rPr>
          <w:rFonts w:ascii="Cambria" w:hAnsi="Cambria"/>
          <w:sz w:val="24"/>
          <w:szCs w:val="24"/>
        </w:rPr>
        <w:t>religious groups.</w:t>
      </w:r>
      <w:r w:rsidR="000A3A1C" w:rsidRPr="000F3B6D">
        <w:rPr>
          <w:rFonts w:ascii="Cambria" w:hAnsi="Cambria"/>
          <w:sz w:val="24"/>
          <w:szCs w:val="24"/>
        </w:rPr>
        <w:t xml:space="preserve"> </w:t>
      </w:r>
      <w:r w:rsidRPr="000F3B6D">
        <w:rPr>
          <w:rFonts w:ascii="Cambria" w:hAnsi="Cambria"/>
          <w:sz w:val="24"/>
          <w:szCs w:val="24"/>
        </w:rPr>
        <w:t xml:space="preserve">As I </w:t>
      </w:r>
      <w:r w:rsidR="00F71F4E" w:rsidRPr="000F3B6D">
        <w:rPr>
          <w:rFonts w:ascii="Cambria" w:hAnsi="Cambria"/>
          <w:sz w:val="24"/>
          <w:szCs w:val="24"/>
        </w:rPr>
        <w:t>noted</w:t>
      </w:r>
      <w:r w:rsidRPr="000F3B6D">
        <w:rPr>
          <w:rFonts w:ascii="Cambria" w:hAnsi="Cambria"/>
          <w:sz w:val="24"/>
          <w:szCs w:val="24"/>
        </w:rPr>
        <w:t xml:space="preserve">, </w:t>
      </w:r>
      <w:r w:rsidR="00E25486" w:rsidRPr="000F3B6D">
        <w:rPr>
          <w:rFonts w:ascii="Cambria" w:hAnsi="Cambria"/>
          <w:sz w:val="24"/>
          <w:szCs w:val="24"/>
        </w:rPr>
        <w:t>Laborde’s</w:t>
      </w:r>
      <w:r w:rsidR="002F1F30" w:rsidRPr="000F3B6D">
        <w:rPr>
          <w:rFonts w:ascii="Cambria" w:hAnsi="Cambria"/>
          <w:sz w:val="24"/>
          <w:szCs w:val="24"/>
        </w:rPr>
        <w:t xml:space="preserve"> account centres on two associational interests: coherence and competence interests. Respect for these interests is required if </w:t>
      </w:r>
      <w:r w:rsidRPr="000F3B6D">
        <w:rPr>
          <w:rFonts w:ascii="Cambria" w:hAnsi="Cambria"/>
          <w:sz w:val="24"/>
          <w:szCs w:val="24"/>
        </w:rPr>
        <w:t>we</w:t>
      </w:r>
      <w:r w:rsidR="002F1F30" w:rsidRPr="000F3B6D">
        <w:rPr>
          <w:rFonts w:ascii="Cambria" w:hAnsi="Cambria"/>
          <w:sz w:val="24"/>
          <w:szCs w:val="24"/>
        </w:rPr>
        <w:t xml:space="preserve"> are to adequately protect citizens’ interest </w:t>
      </w:r>
      <w:r w:rsidR="00432B6D" w:rsidRPr="000F3B6D">
        <w:rPr>
          <w:rFonts w:ascii="Cambria" w:hAnsi="Cambria"/>
          <w:sz w:val="24"/>
          <w:szCs w:val="24"/>
        </w:rPr>
        <w:t>in freedom of association. Non-r</w:t>
      </w:r>
      <w:r w:rsidR="002F1F30" w:rsidRPr="000F3B6D">
        <w:rPr>
          <w:rFonts w:ascii="Cambria" w:hAnsi="Cambria"/>
          <w:sz w:val="24"/>
          <w:szCs w:val="24"/>
        </w:rPr>
        <w:t xml:space="preserve">eligious groups can also have these interests, and thus merit similar rights as religious groups. </w:t>
      </w:r>
      <w:r w:rsidR="000A3A1C" w:rsidRPr="000F3B6D">
        <w:rPr>
          <w:rFonts w:ascii="Cambria" w:hAnsi="Cambria"/>
          <w:sz w:val="24"/>
          <w:szCs w:val="24"/>
        </w:rPr>
        <w:t>But I focus exclusively on religious groups here, and discuss the two interests in turn, in this and the next section of the paper.</w:t>
      </w:r>
      <w:r w:rsidR="004D3F0C">
        <w:rPr>
          <w:rStyle w:val="FootnoteReference"/>
          <w:rFonts w:ascii="Cambria" w:hAnsi="Cambria"/>
          <w:sz w:val="24"/>
          <w:szCs w:val="24"/>
        </w:rPr>
        <w:footnoteReference w:id="5"/>
      </w:r>
    </w:p>
    <w:p w14:paraId="0C703CC6" w14:textId="3442E9A8" w:rsidR="00F97F39" w:rsidRPr="000F3B6D" w:rsidRDefault="00163A45" w:rsidP="004E2D20">
      <w:pPr>
        <w:spacing w:after="200" w:line="288" w:lineRule="auto"/>
        <w:jc w:val="both"/>
        <w:rPr>
          <w:rFonts w:ascii="Cambria" w:hAnsi="Cambria"/>
          <w:sz w:val="24"/>
          <w:szCs w:val="24"/>
        </w:rPr>
      </w:pPr>
      <w:r>
        <w:rPr>
          <w:rFonts w:ascii="Cambria" w:hAnsi="Cambria"/>
          <w:sz w:val="24"/>
          <w:szCs w:val="24"/>
        </w:rPr>
        <w:t>“C</w:t>
      </w:r>
      <w:r w:rsidR="002F1F30" w:rsidRPr="000F3B6D">
        <w:rPr>
          <w:rFonts w:ascii="Cambria" w:hAnsi="Cambria"/>
          <w:sz w:val="24"/>
          <w:szCs w:val="24"/>
        </w:rPr>
        <w:t>oherence interests refer to associations ability to live by their own stan</w:t>
      </w:r>
      <w:r w:rsidR="000618B8">
        <w:rPr>
          <w:rFonts w:ascii="Cambria" w:hAnsi="Cambria"/>
          <w:sz w:val="24"/>
          <w:szCs w:val="24"/>
        </w:rPr>
        <w:t>dards, purposes and commitments</w:t>
      </w:r>
      <w:r w:rsidR="002F1F30" w:rsidRPr="000F3B6D">
        <w:rPr>
          <w:rFonts w:ascii="Cambria" w:hAnsi="Cambria"/>
          <w:sz w:val="24"/>
          <w:szCs w:val="24"/>
        </w:rPr>
        <w:t>”</w:t>
      </w:r>
      <w:r w:rsidR="000618B8">
        <w:rPr>
          <w:rFonts w:ascii="Cambria" w:hAnsi="Cambria"/>
          <w:sz w:val="24"/>
          <w:szCs w:val="24"/>
        </w:rPr>
        <w:t xml:space="preserve"> (175).</w:t>
      </w:r>
      <w:r w:rsidR="002F1F30" w:rsidRPr="000F3B6D">
        <w:rPr>
          <w:rFonts w:ascii="Cambria" w:hAnsi="Cambria"/>
          <w:sz w:val="24"/>
          <w:szCs w:val="24"/>
        </w:rPr>
        <w:t xml:space="preserve"> They “are interests that associations have in sustaining their integrity, that is, their ability to maintain a structure through which their members can pursue the purpose</w:t>
      </w:r>
      <w:r w:rsidR="000618B8">
        <w:rPr>
          <w:rFonts w:ascii="Cambria" w:hAnsi="Cambria"/>
          <w:sz w:val="24"/>
          <w:szCs w:val="24"/>
        </w:rPr>
        <w:t xml:space="preserve"> for which they have associated</w:t>
      </w:r>
      <w:r w:rsidR="002F1F30" w:rsidRPr="000F3B6D">
        <w:rPr>
          <w:rFonts w:ascii="Cambria" w:hAnsi="Cambria"/>
          <w:sz w:val="24"/>
          <w:szCs w:val="24"/>
        </w:rPr>
        <w:t>”</w:t>
      </w:r>
      <w:r w:rsidR="000618B8">
        <w:rPr>
          <w:rFonts w:ascii="Cambria" w:hAnsi="Cambria"/>
          <w:sz w:val="24"/>
          <w:szCs w:val="24"/>
        </w:rPr>
        <w:t xml:space="preserve"> (178).</w:t>
      </w:r>
      <w:r w:rsidR="002F1F30" w:rsidRPr="000F3B6D">
        <w:rPr>
          <w:rFonts w:ascii="Cambria" w:hAnsi="Cambria"/>
          <w:sz w:val="24"/>
          <w:szCs w:val="24"/>
        </w:rPr>
        <w:t xml:space="preserve"> This includes associations being able to refuse or rescind membership, choose their own leadership and internal structures, and enforce their ethos and standards on members. These freedoms enable individuals to form groups that reflect their sh</w:t>
      </w:r>
      <w:r w:rsidR="00000950" w:rsidRPr="000F3B6D">
        <w:rPr>
          <w:rFonts w:ascii="Cambria" w:hAnsi="Cambria"/>
          <w:sz w:val="24"/>
          <w:szCs w:val="24"/>
        </w:rPr>
        <w:t>ared values, ends, or purposes.</w:t>
      </w:r>
    </w:p>
    <w:p w14:paraId="48D828B5" w14:textId="61A444DD" w:rsidR="00F97F39" w:rsidRPr="000F3B6D" w:rsidRDefault="00F440A4" w:rsidP="004E2D20">
      <w:pPr>
        <w:spacing w:after="200" w:line="288" w:lineRule="auto"/>
        <w:jc w:val="both"/>
        <w:rPr>
          <w:rFonts w:ascii="Cambria" w:hAnsi="Cambria"/>
          <w:sz w:val="24"/>
          <w:szCs w:val="24"/>
        </w:rPr>
      </w:pPr>
      <w:r w:rsidRPr="000F3B6D">
        <w:rPr>
          <w:rFonts w:ascii="Cambria" w:hAnsi="Cambria"/>
          <w:sz w:val="24"/>
          <w:szCs w:val="24"/>
        </w:rPr>
        <w:t>C</w:t>
      </w:r>
      <w:r w:rsidR="002F1F30" w:rsidRPr="000F3B6D">
        <w:rPr>
          <w:rFonts w:ascii="Cambria" w:hAnsi="Cambria"/>
          <w:sz w:val="24"/>
          <w:szCs w:val="24"/>
        </w:rPr>
        <w:t>oherence interests can justify exemptions from some anti-discrimination laws. “When discrimination is grounded in a religious doctrine… courts should treat it as a case of permi</w:t>
      </w:r>
      <w:r w:rsidR="000618B8">
        <w:rPr>
          <w:rFonts w:ascii="Cambria" w:hAnsi="Cambria"/>
          <w:sz w:val="24"/>
          <w:szCs w:val="24"/>
        </w:rPr>
        <w:t>ssible religious discrimination</w:t>
      </w:r>
      <w:r w:rsidR="002F1F30" w:rsidRPr="000F3B6D">
        <w:rPr>
          <w:rFonts w:ascii="Cambria" w:hAnsi="Cambria"/>
          <w:sz w:val="24"/>
          <w:szCs w:val="24"/>
        </w:rPr>
        <w:t>”</w:t>
      </w:r>
      <w:r w:rsidR="000618B8">
        <w:rPr>
          <w:rFonts w:ascii="Cambria" w:hAnsi="Cambria"/>
          <w:sz w:val="24"/>
          <w:szCs w:val="24"/>
        </w:rPr>
        <w:t xml:space="preserve"> (180).</w:t>
      </w:r>
      <w:r w:rsidR="002F1F30" w:rsidRPr="000F3B6D">
        <w:rPr>
          <w:rFonts w:ascii="Cambria" w:hAnsi="Cambria"/>
          <w:sz w:val="24"/>
          <w:szCs w:val="24"/>
        </w:rPr>
        <w:t xml:space="preserve"> The Catholic Church should be permitted to appoint </w:t>
      </w:r>
      <w:r w:rsidR="00942189" w:rsidRPr="000F3B6D">
        <w:rPr>
          <w:rFonts w:ascii="Cambria" w:hAnsi="Cambria"/>
          <w:sz w:val="24"/>
          <w:szCs w:val="24"/>
        </w:rPr>
        <w:t xml:space="preserve">only </w:t>
      </w:r>
      <w:r w:rsidR="002F1F30" w:rsidRPr="000F3B6D">
        <w:rPr>
          <w:rFonts w:ascii="Cambria" w:hAnsi="Cambria"/>
          <w:sz w:val="24"/>
          <w:szCs w:val="24"/>
        </w:rPr>
        <w:t xml:space="preserve">men as priests, and the Jews’ Free School should be permitted to reject students </w:t>
      </w:r>
      <w:r w:rsidR="00942189" w:rsidRPr="000F3B6D">
        <w:rPr>
          <w:rFonts w:ascii="Cambria" w:hAnsi="Cambria"/>
          <w:sz w:val="24"/>
          <w:szCs w:val="24"/>
        </w:rPr>
        <w:t>that it doe</w:t>
      </w:r>
      <w:r w:rsidR="00AC2E4E">
        <w:rPr>
          <w:rFonts w:ascii="Cambria" w:hAnsi="Cambria"/>
          <w:sz w:val="24"/>
          <w:szCs w:val="24"/>
        </w:rPr>
        <w:t>s</w:t>
      </w:r>
      <w:r w:rsidR="00942189" w:rsidRPr="000F3B6D">
        <w:rPr>
          <w:rFonts w:ascii="Cambria" w:hAnsi="Cambria"/>
          <w:sz w:val="24"/>
          <w:szCs w:val="24"/>
        </w:rPr>
        <w:t xml:space="preserve"> no</w:t>
      </w:r>
      <w:r w:rsidR="002F1F30" w:rsidRPr="000F3B6D">
        <w:rPr>
          <w:rFonts w:ascii="Cambria" w:hAnsi="Cambria"/>
          <w:sz w:val="24"/>
          <w:szCs w:val="24"/>
        </w:rPr>
        <w:t>t consider Jewish.</w:t>
      </w:r>
    </w:p>
    <w:p w14:paraId="084B8578" w14:textId="27AD280B"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Coherence interests thus justify deep associational rights, such as formal exemptions. But </w:t>
      </w:r>
      <w:r w:rsidR="00FE5BE7" w:rsidRPr="000F3B6D">
        <w:rPr>
          <w:rFonts w:ascii="Cambria" w:hAnsi="Cambria"/>
          <w:sz w:val="24"/>
          <w:szCs w:val="24"/>
        </w:rPr>
        <w:t>Laborde</w:t>
      </w:r>
      <w:r w:rsidRPr="000F3B6D">
        <w:rPr>
          <w:rFonts w:ascii="Cambria" w:hAnsi="Cambria"/>
          <w:sz w:val="24"/>
          <w:szCs w:val="24"/>
        </w:rPr>
        <w:t xml:space="preserve"> stresses that these rights are </w:t>
      </w:r>
      <w:r w:rsidRPr="000F3B6D">
        <w:rPr>
          <w:rFonts w:ascii="Cambria" w:hAnsi="Cambria"/>
          <w:i/>
          <w:sz w:val="24"/>
          <w:szCs w:val="24"/>
        </w:rPr>
        <w:t>narrow</w:t>
      </w:r>
      <w:r w:rsidRPr="000F3B6D">
        <w:rPr>
          <w:rFonts w:ascii="Cambria" w:hAnsi="Cambria"/>
          <w:sz w:val="24"/>
          <w:szCs w:val="24"/>
        </w:rPr>
        <w:t>, enjoyed only with regard to a strictly delimited range of activities.</w:t>
      </w:r>
      <w:r w:rsidR="00FE5BE7" w:rsidRPr="000F3B6D">
        <w:rPr>
          <w:rFonts w:ascii="Cambria" w:hAnsi="Cambria"/>
          <w:sz w:val="24"/>
          <w:szCs w:val="24"/>
        </w:rPr>
        <w:t xml:space="preserve"> </w:t>
      </w:r>
      <w:r w:rsidRPr="000F3B6D">
        <w:rPr>
          <w:rFonts w:ascii="Cambria" w:hAnsi="Cambria"/>
          <w:sz w:val="24"/>
          <w:szCs w:val="24"/>
        </w:rPr>
        <w:t xml:space="preserve">Indeed, I </w:t>
      </w:r>
      <w:r w:rsidR="00AC2E4E">
        <w:rPr>
          <w:rFonts w:ascii="Cambria" w:hAnsi="Cambria"/>
          <w:sz w:val="24"/>
          <w:szCs w:val="24"/>
        </w:rPr>
        <w:t>will argue that</w:t>
      </w:r>
      <w:r w:rsidRPr="000F3B6D">
        <w:rPr>
          <w:rFonts w:ascii="Cambria" w:hAnsi="Cambria"/>
          <w:sz w:val="24"/>
          <w:szCs w:val="24"/>
        </w:rPr>
        <w:t xml:space="preserve"> </w:t>
      </w:r>
      <w:r w:rsidR="00FE5BE7" w:rsidRPr="000F3B6D">
        <w:rPr>
          <w:rFonts w:ascii="Cambria" w:hAnsi="Cambria"/>
          <w:sz w:val="24"/>
          <w:szCs w:val="24"/>
        </w:rPr>
        <w:t>she</w:t>
      </w:r>
      <w:r w:rsidRPr="000F3B6D">
        <w:rPr>
          <w:rFonts w:ascii="Cambria" w:hAnsi="Cambria"/>
          <w:sz w:val="24"/>
          <w:szCs w:val="24"/>
        </w:rPr>
        <w:t xml:space="preserve"> construes these rights </w:t>
      </w:r>
      <w:r w:rsidRPr="000F3B6D">
        <w:rPr>
          <w:rFonts w:ascii="Cambria" w:hAnsi="Cambria"/>
          <w:i/>
          <w:sz w:val="24"/>
          <w:szCs w:val="24"/>
        </w:rPr>
        <w:t>too</w:t>
      </w:r>
      <w:r w:rsidRPr="000F3B6D">
        <w:rPr>
          <w:rFonts w:ascii="Cambria" w:hAnsi="Cambria"/>
          <w:sz w:val="24"/>
          <w:szCs w:val="24"/>
        </w:rPr>
        <w:t xml:space="preserve"> narrowly, due to the conditions </w:t>
      </w:r>
      <w:r w:rsidR="00FE5BE7" w:rsidRPr="000F3B6D">
        <w:rPr>
          <w:rFonts w:ascii="Cambria" w:hAnsi="Cambria"/>
          <w:sz w:val="24"/>
          <w:szCs w:val="24"/>
        </w:rPr>
        <w:lastRenderedPageBreak/>
        <w:t xml:space="preserve">that </w:t>
      </w:r>
      <w:r w:rsidRPr="000F3B6D">
        <w:rPr>
          <w:rFonts w:ascii="Cambria" w:hAnsi="Cambria"/>
          <w:sz w:val="24"/>
          <w:szCs w:val="24"/>
        </w:rPr>
        <w:t>she holds need to be met for a group’s actions to be protected by these rights.</w:t>
      </w:r>
    </w:p>
    <w:p w14:paraId="544C0D55" w14:textId="45470D15" w:rsidR="00F97F39" w:rsidRPr="000F3B6D" w:rsidRDefault="004333F3" w:rsidP="004E2D20">
      <w:pPr>
        <w:spacing w:after="200" w:line="288" w:lineRule="auto"/>
        <w:jc w:val="both"/>
        <w:rPr>
          <w:rFonts w:ascii="Cambria" w:hAnsi="Cambria"/>
          <w:sz w:val="24"/>
          <w:szCs w:val="24"/>
        </w:rPr>
      </w:pPr>
      <w:r w:rsidRPr="000F3B6D">
        <w:rPr>
          <w:rFonts w:ascii="Cambria" w:hAnsi="Cambria"/>
          <w:sz w:val="24"/>
          <w:szCs w:val="24"/>
        </w:rPr>
        <w:t>Laborde</w:t>
      </w:r>
      <w:r w:rsidR="002F1F30" w:rsidRPr="000F3B6D">
        <w:rPr>
          <w:rFonts w:ascii="Cambria" w:hAnsi="Cambria"/>
          <w:sz w:val="24"/>
          <w:szCs w:val="24"/>
        </w:rPr>
        <w:t xml:space="preserve"> says that groups with coherence interests are voluntary associations whose primary mode of association is identificatory. These interests ground </w:t>
      </w:r>
      <w:r w:rsidR="002F1F30" w:rsidRPr="000F3B6D">
        <w:rPr>
          <w:rFonts w:ascii="Cambria" w:hAnsi="Cambria"/>
          <w:i/>
          <w:sz w:val="24"/>
          <w:szCs w:val="24"/>
        </w:rPr>
        <w:t>rights</w:t>
      </w:r>
      <w:r w:rsidR="002F1F30" w:rsidRPr="000F3B6D">
        <w:rPr>
          <w:rFonts w:ascii="Cambria" w:hAnsi="Cambria"/>
          <w:sz w:val="24"/>
          <w:szCs w:val="24"/>
        </w:rPr>
        <w:t xml:space="preserve"> only when the particular issue in question implicates identificatory coherence</w:t>
      </w:r>
      <w:r w:rsidR="004E2D20" w:rsidRPr="000F3B6D">
        <w:rPr>
          <w:rFonts w:ascii="Cambria" w:hAnsi="Cambria"/>
          <w:sz w:val="24"/>
          <w:szCs w:val="24"/>
        </w:rPr>
        <w:t>—</w:t>
      </w:r>
      <w:r w:rsidR="002F1F30" w:rsidRPr="000F3B6D">
        <w:rPr>
          <w:rFonts w:ascii="Cambria" w:hAnsi="Cambria"/>
          <w:sz w:val="24"/>
          <w:szCs w:val="24"/>
        </w:rPr>
        <w:t>when it reflects the purpose of the association and its members. This has several implications that tightly circumscribe the scope of the rights.</w:t>
      </w:r>
      <w:r w:rsidR="00595A01" w:rsidRPr="000F3B6D">
        <w:rPr>
          <w:rFonts w:ascii="Cambria" w:hAnsi="Cambria"/>
          <w:sz w:val="24"/>
          <w:szCs w:val="24"/>
        </w:rPr>
        <w:t xml:space="preserve"> I will</w:t>
      </w:r>
      <w:r w:rsidR="00766992" w:rsidRPr="000F3B6D">
        <w:rPr>
          <w:rFonts w:ascii="Cambria" w:hAnsi="Cambria"/>
          <w:sz w:val="24"/>
          <w:szCs w:val="24"/>
        </w:rPr>
        <w:t xml:space="preserve"> </w:t>
      </w:r>
      <w:r w:rsidR="00AC2E4E">
        <w:rPr>
          <w:rFonts w:ascii="Cambria" w:hAnsi="Cambria"/>
          <w:sz w:val="24"/>
          <w:szCs w:val="24"/>
        </w:rPr>
        <w:t>consider</w:t>
      </w:r>
      <w:r w:rsidR="00766992" w:rsidRPr="000F3B6D">
        <w:rPr>
          <w:rFonts w:ascii="Cambria" w:hAnsi="Cambria"/>
          <w:sz w:val="24"/>
          <w:szCs w:val="24"/>
        </w:rPr>
        <w:t xml:space="preserve"> three.</w:t>
      </w:r>
    </w:p>
    <w:p w14:paraId="080EB997" w14:textId="41E435A5" w:rsidR="009D0DF5"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First, a group i</w:t>
      </w:r>
      <w:r w:rsidR="001E2C49" w:rsidRPr="000F3B6D">
        <w:rPr>
          <w:rFonts w:ascii="Cambria" w:hAnsi="Cambria"/>
          <w:sz w:val="24"/>
          <w:szCs w:val="24"/>
        </w:rPr>
        <w:t>s an identificatory association</w:t>
      </w:r>
      <w:r w:rsidRPr="000F3B6D">
        <w:rPr>
          <w:rFonts w:ascii="Cambria" w:hAnsi="Cambria"/>
          <w:sz w:val="24"/>
          <w:szCs w:val="24"/>
        </w:rPr>
        <w:t xml:space="preserve"> only if the individuals that make it up share its aims</w:t>
      </w:r>
      <w:r w:rsidR="00553B59" w:rsidRPr="000F3B6D">
        <w:rPr>
          <w:rFonts w:ascii="Cambria" w:hAnsi="Cambria"/>
          <w:sz w:val="24"/>
          <w:szCs w:val="24"/>
        </w:rPr>
        <w:t>.</w:t>
      </w:r>
      <w:r w:rsidR="001E2C49" w:rsidRPr="000F3B6D">
        <w:rPr>
          <w:rFonts w:ascii="Cambria" w:hAnsi="Cambria"/>
          <w:sz w:val="24"/>
          <w:szCs w:val="24"/>
        </w:rPr>
        <w:t xml:space="preserve"> </w:t>
      </w:r>
      <w:r w:rsidRPr="000F3B6D">
        <w:rPr>
          <w:rFonts w:ascii="Cambria" w:hAnsi="Cambria"/>
          <w:sz w:val="24"/>
          <w:szCs w:val="24"/>
        </w:rPr>
        <w:t>“Identificatory associations implicate the identity of their members”</w:t>
      </w:r>
      <w:r w:rsidR="000618B8">
        <w:rPr>
          <w:rFonts w:ascii="Cambria" w:hAnsi="Cambria"/>
          <w:sz w:val="24"/>
          <w:szCs w:val="24"/>
        </w:rPr>
        <w:t xml:space="preserve"> (184),</w:t>
      </w:r>
      <w:r w:rsidRPr="000F3B6D">
        <w:rPr>
          <w:rFonts w:ascii="Cambria" w:hAnsi="Cambria"/>
          <w:sz w:val="24"/>
          <w:szCs w:val="24"/>
        </w:rPr>
        <w:t xml:space="preserve"> allowing members to effectively </w:t>
      </w:r>
      <w:r w:rsidR="00F17C89" w:rsidRPr="000F3B6D">
        <w:rPr>
          <w:rFonts w:ascii="Cambria" w:hAnsi="Cambria"/>
          <w:sz w:val="24"/>
          <w:szCs w:val="24"/>
        </w:rPr>
        <w:t>pursue</w:t>
      </w:r>
      <w:r w:rsidRPr="000F3B6D">
        <w:rPr>
          <w:rFonts w:ascii="Cambria" w:hAnsi="Cambria"/>
          <w:sz w:val="24"/>
          <w:szCs w:val="24"/>
        </w:rPr>
        <w:t xml:space="preserve"> their values or ideals.</w:t>
      </w:r>
      <w:r w:rsidR="009D0DF5" w:rsidRPr="000F3B6D">
        <w:rPr>
          <w:rFonts w:ascii="Cambria" w:hAnsi="Cambria"/>
          <w:sz w:val="24"/>
          <w:szCs w:val="24"/>
        </w:rPr>
        <w:t xml:space="preserve"> </w:t>
      </w:r>
      <w:r w:rsidRPr="000F3B6D">
        <w:rPr>
          <w:rFonts w:ascii="Cambria" w:hAnsi="Cambria"/>
          <w:sz w:val="24"/>
          <w:szCs w:val="24"/>
        </w:rPr>
        <w:t>This explains why most for-profit organisations do</w:t>
      </w:r>
      <w:r w:rsidR="00AC2E4E">
        <w:rPr>
          <w:rFonts w:ascii="Cambria" w:hAnsi="Cambria"/>
          <w:sz w:val="24"/>
          <w:szCs w:val="24"/>
        </w:rPr>
        <w:t xml:space="preserve"> no</w:t>
      </w:r>
      <w:r w:rsidRPr="000F3B6D">
        <w:rPr>
          <w:rFonts w:ascii="Cambria" w:hAnsi="Cambria"/>
          <w:sz w:val="24"/>
          <w:szCs w:val="24"/>
        </w:rPr>
        <w:t>t merit exemptions</w:t>
      </w:r>
      <w:r w:rsidR="009D0DF5" w:rsidRPr="000F3B6D">
        <w:rPr>
          <w:rFonts w:ascii="Cambria" w:hAnsi="Cambria"/>
          <w:sz w:val="24"/>
          <w:szCs w:val="24"/>
        </w:rPr>
        <w:t>. They a</w:t>
      </w:r>
      <w:r w:rsidRPr="000F3B6D">
        <w:rPr>
          <w:rFonts w:ascii="Cambria" w:hAnsi="Cambria"/>
          <w:sz w:val="24"/>
          <w:szCs w:val="24"/>
        </w:rPr>
        <w:t>re usually impersonal organisa</w:t>
      </w:r>
      <w:r w:rsidR="00F17C89" w:rsidRPr="000F3B6D">
        <w:rPr>
          <w:rFonts w:ascii="Cambria" w:hAnsi="Cambria"/>
          <w:sz w:val="24"/>
          <w:szCs w:val="24"/>
        </w:rPr>
        <w:t>tions, where owners and employee</w:t>
      </w:r>
      <w:r w:rsidRPr="000F3B6D">
        <w:rPr>
          <w:rFonts w:ascii="Cambria" w:hAnsi="Cambria"/>
          <w:sz w:val="24"/>
          <w:szCs w:val="24"/>
        </w:rPr>
        <w:t>s are</w:t>
      </w:r>
      <w:r w:rsidR="009D0DF5" w:rsidRPr="000F3B6D">
        <w:rPr>
          <w:rFonts w:ascii="Cambria" w:hAnsi="Cambria"/>
          <w:sz w:val="24"/>
          <w:szCs w:val="24"/>
        </w:rPr>
        <w:t xml:space="preserve"> no</w:t>
      </w:r>
      <w:r w:rsidRPr="000F3B6D">
        <w:rPr>
          <w:rFonts w:ascii="Cambria" w:hAnsi="Cambria"/>
          <w:sz w:val="24"/>
          <w:szCs w:val="24"/>
        </w:rPr>
        <w:t>t united by a common ideal or conception of the good.</w:t>
      </w:r>
    </w:p>
    <w:p w14:paraId="56DC83B4" w14:textId="02B2C96E"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But not all members of apparently identificatory associations will necessarily share the same aim or purpose</w:t>
      </w:r>
      <w:r w:rsidR="00901FEE" w:rsidRPr="000F3B6D">
        <w:rPr>
          <w:rFonts w:ascii="Cambria" w:hAnsi="Cambria"/>
          <w:sz w:val="24"/>
          <w:szCs w:val="24"/>
        </w:rPr>
        <w:t xml:space="preserve"> either</w:t>
      </w:r>
      <w:r w:rsidRPr="000F3B6D">
        <w:rPr>
          <w:rFonts w:ascii="Cambria" w:hAnsi="Cambria"/>
          <w:sz w:val="24"/>
          <w:szCs w:val="24"/>
        </w:rPr>
        <w:t>. People join churches for all kinds of reasons</w:t>
      </w:r>
      <w:r w:rsidR="004E2D20" w:rsidRPr="000F3B6D">
        <w:rPr>
          <w:rFonts w:ascii="Cambria" w:hAnsi="Cambria"/>
          <w:sz w:val="24"/>
          <w:szCs w:val="24"/>
        </w:rPr>
        <w:t>—</w:t>
      </w:r>
      <w:r w:rsidRPr="000F3B6D">
        <w:rPr>
          <w:rFonts w:ascii="Cambria" w:hAnsi="Cambria"/>
          <w:sz w:val="24"/>
          <w:szCs w:val="24"/>
        </w:rPr>
        <w:t>social opportunities, a sense of belonging, in search of a partner, habit, boredom; as well, of course, as to engage in religious worship. Their identity might not be implicated in the group in any significant way.</w:t>
      </w:r>
      <w:r w:rsidR="0041519F" w:rsidRPr="000F3B6D">
        <w:rPr>
          <w:rFonts w:ascii="Cambria" w:hAnsi="Cambria"/>
          <w:sz w:val="24"/>
          <w:szCs w:val="24"/>
        </w:rPr>
        <w:t xml:space="preserve"> </w:t>
      </w:r>
      <w:r w:rsidRPr="000F3B6D">
        <w:rPr>
          <w:rFonts w:ascii="Cambria" w:hAnsi="Cambria"/>
          <w:sz w:val="24"/>
          <w:szCs w:val="24"/>
        </w:rPr>
        <w:t>Can the groups’ standards nonetheless be imposed on such individuals? Can they be required to comply with those standards, and be disciplined or expelled if they don’t?</w:t>
      </w:r>
    </w:p>
    <w:p w14:paraId="22008558" w14:textId="6578D55C"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I think </w:t>
      </w:r>
      <w:r w:rsidR="0041519F" w:rsidRPr="000F3B6D">
        <w:rPr>
          <w:rFonts w:ascii="Cambria" w:hAnsi="Cambria"/>
          <w:sz w:val="24"/>
          <w:szCs w:val="24"/>
        </w:rPr>
        <w:t>that Laborde</w:t>
      </w:r>
      <w:r w:rsidRPr="000F3B6D">
        <w:rPr>
          <w:rFonts w:ascii="Cambria" w:hAnsi="Cambria"/>
          <w:sz w:val="24"/>
          <w:szCs w:val="24"/>
        </w:rPr>
        <w:t xml:space="preserve"> would say ‘yes’, on the grounds that such individuals are still volu</w:t>
      </w:r>
      <w:r w:rsidR="0041519F" w:rsidRPr="000F3B6D">
        <w:rPr>
          <w:rFonts w:ascii="Cambria" w:hAnsi="Cambria"/>
          <w:sz w:val="24"/>
          <w:szCs w:val="24"/>
        </w:rPr>
        <w:t>ntarily part of the group. They ha</w:t>
      </w:r>
      <w:r w:rsidRPr="000F3B6D">
        <w:rPr>
          <w:rFonts w:ascii="Cambria" w:hAnsi="Cambria"/>
          <w:sz w:val="24"/>
          <w:szCs w:val="24"/>
        </w:rPr>
        <w:t>ve chosen to join, even if their reasons do not align with its central purposes. This voluntary choice makes them subject to its structure and ethos.</w:t>
      </w:r>
      <w:r w:rsidR="0041519F" w:rsidRPr="000F3B6D">
        <w:rPr>
          <w:rFonts w:ascii="Cambria" w:hAnsi="Cambria"/>
          <w:sz w:val="24"/>
          <w:szCs w:val="24"/>
        </w:rPr>
        <w:t xml:space="preserve"> </w:t>
      </w:r>
      <w:r w:rsidRPr="000F3B6D">
        <w:rPr>
          <w:rFonts w:ascii="Cambria" w:hAnsi="Cambria"/>
          <w:sz w:val="24"/>
          <w:szCs w:val="24"/>
        </w:rPr>
        <w:t xml:space="preserve">This seems right. But it means </w:t>
      </w:r>
      <w:r w:rsidR="0065139C" w:rsidRPr="000F3B6D">
        <w:rPr>
          <w:rFonts w:ascii="Cambria" w:hAnsi="Cambria"/>
          <w:sz w:val="24"/>
          <w:szCs w:val="24"/>
        </w:rPr>
        <w:t xml:space="preserve">the idea that all members identify with the aims of the group or have their identity implicated by membership is no longer doing the key work in delimiting </w:t>
      </w:r>
      <w:r w:rsidRPr="000F3B6D">
        <w:rPr>
          <w:rFonts w:ascii="Cambria" w:hAnsi="Cambria"/>
          <w:sz w:val="24"/>
          <w:szCs w:val="24"/>
        </w:rPr>
        <w:t xml:space="preserve">scope of the group’s rights. This might trouble </w:t>
      </w:r>
      <w:r w:rsidR="0065139C" w:rsidRPr="000F3B6D">
        <w:rPr>
          <w:rFonts w:ascii="Cambria" w:hAnsi="Cambria"/>
          <w:sz w:val="24"/>
          <w:szCs w:val="24"/>
        </w:rPr>
        <w:t>Laborde</w:t>
      </w:r>
      <w:r w:rsidRPr="000F3B6D">
        <w:rPr>
          <w:rFonts w:ascii="Cambria" w:hAnsi="Cambria"/>
          <w:sz w:val="24"/>
          <w:szCs w:val="24"/>
        </w:rPr>
        <w:t xml:space="preserve">, since </w:t>
      </w:r>
      <w:r w:rsidR="006962D3" w:rsidRPr="000F3B6D">
        <w:rPr>
          <w:rFonts w:ascii="Cambria" w:hAnsi="Cambria"/>
          <w:sz w:val="24"/>
          <w:szCs w:val="24"/>
        </w:rPr>
        <w:t xml:space="preserve">it was </w:t>
      </w:r>
      <w:r w:rsidRPr="000F3B6D">
        <w:rPr>
          <w:rFonts w:ascii="Cambria" w:hAnsi="Cambria"/>
          <w:sz w:val="24"/>
          <w:szCs w:val="24"/>
        </w:rPr>
        <w:t xml:space="preserve">this identificatory aspect </w:t>
      </w:r>
      <w:r w:rsidR="006962D3" w:rsidRPr="000F3B6D">
        <w:rPr>
          <w:rFonts w:ascii="Cambria" w:hAnsi="Cambria"/>
          <w:sz w:val="24"/>
          <w:szCs w:val="24"/>
        </w:rPr>
        <w:t xml:space="preserve">that </w:t>
      </w:r>
      <w:r w:rsidRPr="000F3B6D">
        <w:rPr>
          <w:rFonts w:ascii="Cambria" w:hAnsi="Cambria"/>
          <w:sz w:val="24"/>
          <w:szCs w:val="24"/>
        </w:rPr>
        <w:t xml:space="preserve">was </w:t>
      </w:r>
      <w:r w:rsidR="006962D3" w:rsidRPr="000F3B6D">
        <w:rPr>
          <w:rFonts w:ascii="Cambria" w:hAnsi="Cambria"/>
          <w:sz w:val="24"/>
          <w:szCs w:val="24"/>
        </w:rPr>
        <w:t xml:space="preserve">meant to </w:t>
      </w:r>
      <w:r w:rsidRPr="000F3B6D">
        <w:rPr>
          <w:rFonts w:ascii="Cambria" w:hAnsi="Cambria"/>
          <w:sz w:val="24"/>
          <w:szCs w:val="24"/>
        </w:rPr>
        <w:t xml:space="preserve">prevent kinds of groups </w:t>
      </w:r>
      <w:r w:rsidR="006962D3" w:rsidRPr="000F3B6D">
        <w:rPr>
          <w:rFonts w:ascii="Cambria" w:hAnsi="Cambria"/>
          <w:sz w:val="24"/>
          <w:szCs w:val="24"/>
        </w:rPr>
        <w:t xml:space="preserve">that </w:t>
      </w:r>
      <w:r w:rsidRPr="000F3B6D">
        <w:rPr>
          <w:rFonts w:ascii="Cambria" w:hAnsi="Cambria"/>
          <w:sz w:val="24"/>
          <w:szCs w:val="24"/>
        </w:rPr>
        <w:t>she does</w:t>
      </w:r>
      <w:r w:rsidR="006962D3" w:rsidRPr="000F3B6D">
        <w:rPr>
          <w:rFonts w:ascii="Cambria" w:hAnsi="Cambria"/>
          <w:sz w:val="24"/>
          <w:szCs w:val="24"/>
        </w:rPr>
        <w:t xml:space="preserve"> </w:t>
      </w:r>
      <w:r w:rsidR="005A6563" w:rsidRPr="000F3B6D">
        <w:rPr>
          <w:rFonts w:ascii="Cambria" w:hAnsi="Cambria"/>
          <w:sz w:val="24"/>
          <w:szCs w:val="24"/>
        </w:rPr>
        <w:t>no</w:t>
      </w:r>
      <w:r w:rsidRPr="000F3B6D">
        <w:rPr>
          <w:rFonts w:ascii="Cambria" w:hAnsi="Cambria"/>
          <w:sz w:val="24"/>
          <w:szCs w:val="24"/>
        </w:rPr>
        <w:t>t think ought to have those rights from enjoying them.</w:t>
      </w:r>
    </w:p>
    <w:p w14:paraId="09084C46" w14:textId="79555D19"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Alternatively, one might say that the group cannot enforce its standards on members who do</w:t>
      </w:r>
      <w:r w:rsidR="00453B50" w:rsidRPr="000F3B6D">
        <w:rPr>
          <w:rFonts w:ascii="Cambria" w:hAnsi="Cambria"/>
          <w:sz w:val="24"/>
          <w:szCs w:val="24"/>
        </w:rPr>
        <w:t xml:space="preserve"> no</w:t>
      </w:r>
      <w:r w:rsidRPr="000F3B6D">
        <w:rPr>
          <w:rFonts w:ascii="Cambria" w:hAnsi="Cambria"/>
          <w:sz w:val="24"/>
          <w:szCs w:val="24"/>
        </w:rPr>
        <w:t>t share its self-defined centra</w:t>
      </w:r>
      <w:r w:rsidR="00856EAD" w:rsidRPr="000F3B6D">
        <w:rPr>
          <w:rFonts w:ascii="Cambria" w:hAnsi="Cambria"/>
          <w:sz w:val="24"/>
          <w:szCs w:val="24"/>
        </w:rPr>
        <w:t xml:space="preserve">l purpose. Or even that </w:t>
      </w:r>
      <w:r w:rsidRPr="000F3B6D">
        <w:rPr>
          <w:rFonts w:ascii="Cambria" w:hAnsi="Cambria"/>
          <w:sz w:val="24"/>
          <w:szCs w:val="24"/>
        </w:rPr>
        <w:t xml:space="preserve">groups containing such members </w:t>
      </w:r>
      <w:r w:rsidR="00C81A7A" w:rsidRPr="000F3B6D">
        <w:rPr>
          <w:rFonts w:ascii="Cambria" w:hAnsi="Cambria"/>
          <w:sz w:val="24"/>
          <w:szCs w:val="24"/>
        </w:rPr>
        <w:t>no longer</w:t>
      </w:r>
      <w:r w:rsidRPr="000F3B6D">
        <w:rPr>
          <w:rFonts w:ascii="Cambria" w:hAnsi="Cambria"/>
          <w:sz w:val="24"/>
          <w:szCs w:val="24"/>
        </w:rPr>
        <w:t xml:space="preserve"> qualify as identificatory associations, </w:t>
      </w:r>
      <w:r w:rsidR="00C81A7A" w:rsidRPr="000F3B6D">
        <w:rPr>
          <w:rFonts w:ascii="Cambria" w:hAnsi="Cambria"/>
          <w:sz w:val="24"/>
          <w:szCs w:val="24"/>
        </w:rPr>
        <w:t>and thus</w:t>
      </w:r>
      <w:r w:rsidRPr="000F3B6D">
        <w:rPr>
          <w:rFonts w:ascii="Cambria" w:hAnsi="Cambria"/>
          <w:sz w:val="24"/>
          <w:szCs w:val="24"/>
        </w:rPr>
        <w:t xml:space="preserve"> lack coherence interests. But this would surely be too narrow. It would mean that internally diverse groups</w:t>
      </w:r>
      <w:r w:rsidR="004E2D20" w:rsidRPr="000F3B6D">
        <w:rPr>
          <w:rFonts w:ascii="Cambria" w:hAnsi="Cambria"/>
          <w:sz w:val="24"/>
          <w:szCs w:val="24"/>
        </w:rPr>
        <w:t>—</w:t>
      </w:r>
      <w:r w:rsidRPr="000F3B6D">
        <w:rPr>
          <w:rFonts w:ascii="Cambria" w:hAnsi="Cambria"/>
          <w:sz w:val="24"/>
          <w:szCs w:val="24"/>
        </w:rPr>
        <w:t>practically all groups</w:t>
      </w:r>
      <w:r w:rsidR="004E2D20" w:rsidRPr="000F3B6D">
        <w:rPr>
          <w:rFonts w:ascii="Cambria" w:hAnsi="Cambria"/>
          <w:sz w:val="24"/>
          <w:szCs w:val="24"/>
        </w:rPr>
        <w:t>—</w:t>
      </w:r>
      <w:r w:rsidRPr="000F3B6D">
        <w:rPr>
          <w:rFonts w:ascii="Cambria" w:hAnsi="Cambria"/>
          <w:sz w:val="24"/>
          <w:szCs w:val="24"/>
        </w:rPr>
        <w:t>would not qualify for exemptions.</w:t>
      </w:r>
    </w:p>
    <w:p w14:paraId="52836D9D" w14:textId="61BAD65B"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lastRenderedPageBreak/>
        <w:t>A</w:t>
      </w:r>
      <w:r w:rsidR="0068653D" w:rsidRPr="000F3B6D">
        <w:rPr>
          <w:rFonts w:ascii="Cambria" w:hAnsi="Cambria"/>
          <w:sz w:val="24"/>
          <w:szCs w:val="24"/>
        </w:rPr>
        <w:t xml:space="preserve"> middle way might be possible. Perhaps a</w:t>
      </w:r>
      <w:r w:rsidRPr="000F3B6D">
        <w:rPr>
          <w:rFonts w:ascii="Cambria" w:hAnsi="Cambria"/>
          <w:sz w:val="24"/>
          <w:szCs w:val="24"/>
        </w:rPr>
        <w:t xml:space="preserve">ssociations count as identificatory as long as </w:t>
      </w:r>
      <w:r w:rsidR="00E0691E" w:rsidRPr="000F3B6D">
        <w:rPr>
          <w:rFonts w:ascii="Cambria" w:hAnsi="Cambria"/>
          <w:sz w:val="24"/>
          <w:szCs w:val="24"/>
        </w:rPr>
        <w:t>many</w:t>
      </w:r>
      <w:r w:rsidRPr="000F3B6D">
        <w:rPr>
          <w:rFonts w:ascii="Cambria" w:hAnsi="Cambria"/>
          <w:sz w:val="24"/>
          <w:szCs w:val="24"/>
        </w:rPr>
        <w:t xml:space="preserve"> members share their central purpose, and the groups’ standards can then be enforced on all who voluntary join. We then face questions of </w:t>
      </w:r>
      <w:r w:rsidR="00E0691E" w:rsidRPr="000F3B6D">
        <w:rPr>
          <w:rFonts w:ascii="Cambria" w:hAnsi="Cambria"/>
          <w:sz w:val="24"/>
          <w:szCs w:val="24"/>
        </w:rPr>
        <w:t xml:space="preserve">how many members must share the purpose, and indeed who defines that purpose, </w:t>
      </w:r>
      <w:r w:rsidR="00AC2E4E">
        <w:rPr>
          <w:rFonts w:ascii="Cambria" w:hAnsi="Cambria"/>
          <w:sz w:val="24"/>
          <w:szCs w:val="24"/>
        </w:rPr>
        <w:t>in the face</w:t>
      </w:r>
      <w:r w:rsidRPr="000F3B6D">
        <w:rPr>
          <w:rFonts w:ascii="Cambria" w:hAnsi="Cambria"/>
          <w:sz w:val="24"/>
          <w:szCs w:val="24"/>
        </w:rPr>
        <w:t xml:space="preserve"> of diversity and internal dissent. Here we run into co</w:t>
      </w:r>
      <w:r w:rsidR="0068653D" w:rsidRPr="000F3B6D">
        <w:rPr>
          <w:rFonts w:ascii="Cambria" w:hAnsi="Cambria"/>
          <w:sz w:val="24"/>
          <w:szCs w:val="24"/>
        </w:rPr>
        <w:t>mpetence interests, which I discuss in the next section</w:t>
      </w:r>
      <w:r w:rsidRPr="000F3B6D">
        <w:rPr>
          <w:rFonts w:ascii="Cambria" w:hAnsi="Cambria"/>
          <w:sz w:val="24"/>
          <w:szCs w:val="24"/>
        </w:rPr>
        <w:t>.</w:t>
      </w:r>
      <w:r w:rsidR="0068653D" w:rsidRPr="000F3B6D">
        <w:rPr>
          <w:rStyle w:val="FootnoteReference"/>
          <w:rFonts w:ascii="Cambria" w:hAnsi="Cambria"/>
          <w:sz w:val="24"/>
          <w:szCs w:val="24"/>
        </w:rPr>
        <w:footnoteReference w:id="6"/>
      </w:r>
    </w:p>
    <w:p w14:paraId="1710F24F" w14:textId="0DDE634A" w:rsidR="00F97F39" w:rsidRPr="000F3B6D" w:rsidRDefault="00043348" w:rsidP="004E2D20">
      <w:pPr>
        <w:spacing w:after="200" w:line="288" w:lineRule="auto"/>
        <w:jc w:val="both"/>
        <w:rPr>
          <w:rFonts w:ascii="Cambria" w:hAnsi="Cambria"/>
          <w:sz w:val="24"/>
          <w:szCs w:val="24"/>
        </w:rPr>
      </w:pPr>
      <w:r w:rsidRPr="000F3B6D">
        <w:rPr>
          <w:rFonts w:ascii="Cambria" w:hAnsi="Cambria"/>
          <w:sz w:val="24"/>
          <w:szCs w:val="24"/>
        </w:rPr>
        <w:t>The second implication</w:t>
      </w:r>
      <w:r w:rsidR="002F1F30" w:rsidRPr="000F3B6D">
        <w:rPr>
          <w:rFonts w:ascii="Cambria" w:hAnsi="Cambria"/>
          <w:sz w:val="24"/>
          <w:szCs w:val="24"/>
        </w:rPr>
        <w:t xml:space="preserve"> of the focus on identificatory association</w:t>
      </w:r>
      <w:r w:rsidR="00D6403F" w:rsidRPr="000F3B6D">
        <w:rPr>
          <w:rFonts w:ascii="Cambria" w:hAnsi="Cambria"/>
          <w:sz w:val="24"/>
          <w:szCs w:val="24"/>
        </w:rPr>
        <w:t xml:space="preserve"> </w:t>
      </w:r>
      <w:r w:rsidR="002F1F30" w:rsidRPr="000F3B6D">
        <w:rPr>
          <w:rFonts w:ascii="Cambria" w:hAnsi="Cambria"/>
          <w:sz w:val="24"/>
          <w:szCs w:val="24"/>
        </w:rPr>
        <w:t xml:space="preserve">is that there must be a fit between an association’s purpose and the people </w:t>
      </w:r>
      <w:r w:rsidR="001B6433" w:rsidRPr="000F3B6D">
        <w:rPr>
          <w:rFonts w:ascii="Cambria" w:hAnsi="Cambria"/>
          <w:sz w:val="24"/>
          <w:szCs w:val="24"/>
        </w:rPr>
        <w:t xml:space="preserve">that </w:t>
      </w:r>
      <w:r w:rsidR="002F1F30" w:rsidRPr="000F3B6D">
        <w:rPr>
          <w:rFonts w:ascii="Cambria" w:hAnsi="Cambria"/>
          <w:sz w:val="24"/>
          <w:szCs w:val="24"/>
        </w:rPr>
        <w:t>it intends to serve. “As soon as an organisation claims to serve the public, it is not ‘religious’ in the sense that matters to standing in exempt</w:t>
      </w:r>
      <w:r w:rsidR="000618B8">
        <w:rPr>
          <w:rFonts w:ascii="Cambria" w:hAnsi="Cambria"/>
          <w:sz w:val="24"/>
          <w:szCs w:val="24"/>
        </w:rPr>
        <w:t>ions from discrimination claims</w:t>
      </w:r>
      <w:r w:rsidR="002F1F30" w:rsidRPr="000F3B6D">
        <w:rPr>
          <w:rFonts w:ascii="Cambria" w:hAnsi="Cambria"/>
          <w:sz w:val="24"/>
          <w:szCs w:val="24"/>
        </w:rPr>
        <w:t>”</w:t>
      </w:r>
      <w:r w:rsidR="000618B8">
        <w:rPr>
          <w:rFonts w:ascii="Cambria" w:hAnsi="Cambria"/>
          <w:sz w:val="24"/>
          <w:szCs w:val="24"/>
        </w:rPr>
        <w:t xml:space="preserve"> (185).</w:t>
      </w:r>
    </w:p>
    <w:p w14:paraId="002C851D" w14:textId="169B6775"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On one reading, this is surely too restrictive. Many religious groups see serving their local community as a central part of their purpose, and engage in various </w:t>
      </w:r>
      <w:r w:rsidR="0035185B" w:rsidRPr="000F3B6D">
        <w:rPr>
          <w:rFonts w:ascii="Cambria" w:hAnsi="Cambria"/>
          <w:sz w:val="24"/>
          <w:szCs w:val="24"/>
        </w:rPr>
        <w:t>social projects to this end. It i</w:t>
      </w:r>
      <w:r w:rsidRPr="000F3B6D">
        <w:rPr>
          <w:rFonts w:ascii="Cambria" w:hAnsi="Cambria"/>
          <w:sz w:val="24"/>
          <w:szCs w:val="24"/>
        </w:rPr>
        <w:t xml:space="preserve">s not clear why having a desire to serve the public would mean losing all claims to associational autonomy rights. I do not see why a church would lose its right to appoint </w:t>
      </w:r>
      <w:r w:rsidR="0084370C" w:rsidRPr="000F3B6D">
        <w:rPr>
          <w:rFonts w:ascii="Cambria" w:hAnsi="Cambria"/>
          <w:sz w:val="24"/>
          <w:szCs w:val="24"/>
        </w:rPr>
        <w:t xml:space="preserve">only </w:t>
      </w:r>
      <w:r w:rsidRPr="000F3B6D">
        <w:rPr>
          <w:rFonts w:ascii="Cambria" w:hAnsi="Cambria"/>
          <w:sz w:val="24"/>
          <w:szCs w:val="24"/>
        </w:rPr>
        <w:t xml:space="preserve">male priests if it adopted </w:t>
      </w:r>
      <w:r w:rsidR="00D6403F" w:rsidRPr="000F3B6D">
        <w:rPr>
          <w:rFonts w:ascii="Cambria" w:hAnsi="Cambria"/>
          <w:sz w:val="24"/>
          <w:szCs w:val="24"/>
        </w:rPr>
        <w:t xml:space="preserve">this </w:t>
      </w:r>
      <w:r w:rsidRPr="000F3B6D">
        <w:rPr>
          <w:rFonts w:ascii="Cambria" w:hAnsi="Cambria"/>
          <w:sz w:val="24"/>
          <w:szCs w:val="24"/>
        </w:rPr>
        <w:t>attitude</w:t>
      </w:r>
      <w:r w:rsidR="00E72BC3" w:rsidRPr="000F3B6D">
        <w:rPr>
          <w:rFonts w:ascii="Cambria" w:hAnsi="Cambria"/>
          <w:sz w:val="24"/>
          <w:szCs w:val="24"/>
        </w:rPr>
        <w:t>,</w:t>
      </w:r>
      <w:r w:rsidRPr="000F3B6D">
        <w:rPr>
          <w:rFonts w:ascii="Cambria" w:hAnsi="Cambria"/>
          <w:sz w:val="24"/>
          <w:szCs w:val="24"/>
        </w:rPr>
        <w:t xml:space="preserve"> or started running a soup kitchen.</w:t>
      </w:r>
    </w:p>
    <w:p w14:paraId="333D7880" w14:textId="0B37DB0B"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Perhaps this </w:t>
      </w:r>
      <w:r w:rsidR="00E72BC3" w:rsidRPr="000F3B6D">
        <w:rPr>
          <w:rFonts w:ascii="Cambria" w:hAnsi="Cambria"/>
          <w:sz w:val="24"/>
          <w:szCs w:val="24"/>
        </w:rPr>
        <w:t>is not</w:t>
      </w:r>
      <w:r w:rsidRPr="000F3B6D">
        <w:rPr>
          <w:rFonts w:ascii="Cambria" w:hAnsi="Cambria"/>
          <w:sz w:val="24"/>
          <w:szCs w:val="24"/>
        </w:rPr>
        <w:t xml:space="preserve"> what </w:t>
      </w:r>
      <w:r w:rsidR="00E72BC3" w:rsidRPr="000F3B6D">
        <w:rPr>
          <w:rFonts w:ascii="Cambria" w:hAnsi="Cambria"/>
          <w:sz w:val="24"/>
          <w:szCs w:val="24"/>
        </w:rPr>
        <w:t>Laborde</w:t>
      </w:r>
      <w:r w:rsidRPr="000F3B6D">
        <w:rPr>
          <w:rFonts w:ascii="Cambria" w:hAnsi="Cambria"/>
          <w:sz w:val="24"/>
          <w:szCs w:val="24"/>
        </w:rPr>
        <w:t xml:space="preserve"> has in mind. She focuses on businesses and charities that are open to the public at large, denying that they should be able to refuse to serve certain kinds of people. Groups cannot discriminate in carrying out their external activities.</w:t>
      </w:r>
      <w:r w:rsidR="00E72BC3" w:rsidRPr="000F3B6D">
        <w:rPr>
          <w:rFonts w:ascii="Cambria" w:hAnsi="Cambria"/>
          <w:sz w:val="24"/>
          <w:szCs w:val="24"/>
        </w:rPr>
        <w:t xml:space="preserve"> </w:t>
      </w:r>
      <w:r w:rsidRPr="000F3B6D">
        <w:rPr>
          <w:rFonts w:ascii="Cambria" w:hAnsi="Cambria"/>
          <w:sz w:val="24"/>
          <w:szCs w:val="24"/>
        </w:rPr>
        <w:t>This is still a bit quick</w:t>
      </w:r>
      <w:r w:rsidR="00E72BC3" w:rsidRPr="000F3B6D">
        <w:rPr>
          <w:rFonts w:ascii="Cambria" w:hAnsi="Cambria"/>
          <w:sz w:val="24"/>
          <w:szCs w:val="24"/>
        </w:rPr>
        <w:t>, however</w:t>
      </w:r>
      <w:r w:rsidRPr="000F3B6D">
        <w:rPr>
          <w:rFonts w:ascii="Cambria" w:hAnsi="Cambria"/>
          <w:sz w:val="24"/>
          <w:szCs w:val="24"/>
        </w:rPr>
        <w:t xml:space="preserve">. Surely Catholic hospitals that do not wish to provide abortion services and family-run bakeries that do not want to provide cakes endorsing gay marriage have at least </w:t>
      </w:r>
      <w:r w:rsidRPr="000F3B6D">
        <w:rPr>
          <w:rFonts w:ascii="Cambria" w:hAnsi="Cambria"/>
          <w:i/>
          <w:sz w:val="24"/>
          <w:szCs w:val="24"/>
        </w:rPr>
        <w:t>some</w:t>
      </w:r>
      <w:r w:rsidRPr="000F3B6D">
        <w:rPr>
          <w:rFonts w:ascii="Cambria" w:hAnsi="Cambria"/>
          <w:sz w:val="24"/>
          <w:szCs w:val="24"/>
        </w:rPr>
        <w:t xml:space="preserve"> coherence-interest-based claim</w:t>
      </w:r>
      <w:r w:rsidR="004E2D20" w:rsidRPr="000F3B6D">
        <w:rPr>
          <w:rFonts w:ascii="Cambria" w:hAnsi="Cambria"/>
          <w:sz w:val="24"/>
          <w:szCs w:val="24"/>
        </w:rPr>
        <w:t>—</w:t>
      </w:r>
      <w:r w:rsidRPr="000F3B6D">
        <w:rPr>
          <w:rFonts w:ascii="Cambria" w:hAnsi="Cambria"/>
          <w:sz w:val="24"/>
          <w:szCs w:val="24"/>
        </w:rPr>
        <w:t>whether or not it is ultimately weight</w:t>
      </w:r>
      <w:r w:rsidR="00D6403F" w:rsidRPr="000F3B6D">
        <w:rPr>
          <w:rFonts w:ascii="Cambria" w:hAnsi="Cambria"/>
          <w:sz w:val="24"/>
          <w:szCs w:val="24"/>
        </w:rPr>
        <w:t>y enough to justify exemptions.</w:t>
      </w:r>
      <w:r w:rsidR="00BA7D1F" w:rsidRPr="000F3B6D">
        <w:rPr>
          <w:rStyle w:val="FootnoteReference"/>
          <w:rFonts w:ascii="Cambria" w:hAnsi="Cambria"/>
          <w:sz w:val="24"/>
          <w:szCs w:val="24"/>
        </w:rPr>
        <w:footnoteReference w:id="7"/>
      </w:r>
      <w:r w:rsidR="008B6FFC" w:rsidRPr="000F3B6D">
        <w:rPr>
          <w:rFonts w:ascii="Cambria" w:hAnsi="Cambria"/>
          <w:sz w:val="24"/>
          <w:szCs w:val="24"/>
        </w:rPr>
        <w:t xml:space="preserve"> </w:t>
      </w:r>
      <w:r w:rsidRPr="000F3B6D">
        <w:rPr>
          <w:rFonts w:ascii="Cambria" w:hAnsi="Cambria"/>
          <w:sz w:val="24"/>
          <w:szCs w:val="24"/>
        </w:rPr>
        <w:t>There are costs to third parties here, of course</w:t>
      </w:r>
      <w:r w:rsidR="008B6FFC" w:rsidRPr="000F3B6D">
        <w:rPr>
          <w:rFonts w:ascii="Cambria" w:hAnsi="Cambria"/>
          <w:sz w:val="24"/>
          <w:szCs w:val="24"/>
        </w:rPr>
        <w:t>, which must be balanced against the groups’ claim. But that i</w:t>
      </w:r>
      <w:r w:rsidRPr="000F3B6D">
        <w:rPr>
          <w:rFonts w:ascii="Cambria" w:hAnsi="Cambria"/>
          <w:sz w:val="24"/>
          <w:szCs w:val="24"/>
        </w:rPr>
        <w:t>s also true for central exercises of associational freedom</w:t>
      </w:r>
      <w:r w:rsidR="00D6403F" w:rsidRPr="000F3B6D">
        <w:rPr>
          <w:rFonts w:ascii="Cambria" w:hAnsi="Cambria"/>
          <w:sz w:val="24"/>
          <w:szCs w:val="24"/>
        </w:rPr>
        <w:t>, such as refusing membership. So i</w:t>
      </w:r>
      <w:r w:rsidR="00F2195A" w:rsidRPr="000F3B6D">
        <w:rPr>
          <w:rFonts w:ascii="Cambria" w:hAnsi="Cambria"/>
          <w:sz w:val="24"/>
          <w:szCs w:val="24"/>
        </w:rPr>
        <w:t>t i</w:t>
      </w:r>
      <w:r w:rsidRPr="000F3B6D">
        <w:rPr>
          <w:rFonts w:ascii="Cambria" w:hAnsi="Cambria"/>
          <w:sz w:val="24"/>
          <w:szCs w:val="24"/>
        </w:rPr>
        <w:t xml:space="preserve">s not clear why groups should lack </w:t>
      </w:r>
      <w:r w:rsidRPr="000F3B6D">
        <w:rPr>
          <w:rFonts w:ascii="Cambria" w:hAnsi="Cambria"/>
          <w:i/>
          <w:sz w:val="24"/>
          <w:szCs w:val="24"/>
        </w:rPr>
        <w:t>any</w:t>
      </w:r>
      <w:r w:rsidRPr="000F3B6D">
        <w:rPr>
          <w:rFonts w:ascii="Cambria" w:hAnsi="Cambria"/>
          <w:sz w:val="24"/>
          <w:szCs w:val="24"/>
        </w:rPr>
        <w:t xml:space="preserve"> </w:t>
      </w:r>
      <w:r w:rsidR="00AC2E4E">
        <w:rPr>
          <w:rFonts w:ascii="Cambria" w:hAnsi="Cambria"/>
          <w:sz w:val="24"/>
          <w:szCs w:val="24"/>
        </w:rPr>
        <w:t>claim for exemptions with regard to</w:t>
      </w:r>
      <w:r w:rsidRPr="000F3B6D">
        <w:rPr>
          <w:rFonts w:ascii="Cambria" w:hAnsi="Cambria"/>
          <w:sz w:val="24"/>
          <w:szCs w:val="24"/>
        </w:rPr>
        <w:t xml:space="preserve"> act</w:t>
      </w:r>
      <w:r w:rsidR="00AB4D87" w:rsidRPr="000F3B6D">
        <w:rPr>
          <w:rFonts w:ascii="Cambria" w:hAnsi="Cambria"/>
          <w:sz w:val="24"/>
          <w:szCs w:val="24"/>
        </w:rPr>
        <w:t>ivities serving people that do no</w:t>
      </w:r>
      <w:r w:rsidRPr="000F3B6D">
        <w:rPr>
          <w:rFonts w:ascii="Cambria" w:hAnsi="Cambria"/>
          <w:sz w:val="24"/>
          <w:szCs w:val="24"/>
        </w:rPr>
        <w:t>t share their purposes.</w:t>
      </w:r>
    </w:p>
    <w:p w14:paraId="57A34AFF" w14:textId="5F91E87B"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lastRenderedPageBreak/>
        <w:t xml:space="preserve">The third implication is that there must be a fit between the association’s </w:t>
      </w:r>
      <w:r w:rsidRPr="000F3B6D">
        <w:rPr>
          <w:rFonts w:ascii="Cambria" w:hAnsi="Cambria"/>
          <w:i/>
          <w:sz w:val="24"/>
          <w:szCs w:val="24"/>
        </w:rPr>
        <w:t>main</w:t>
      </w:r>
      <w:r w:rsidRPr="000F3B6D">
        <w:rPr>
          <w:rFonts w:ascii="Cambria" w:hAnsi="Cambria"/>
          <w:sz w:val="24"/>
          <w:szCs w:val="24"/>
        </w:rPr>
        <w:t xml:space="preserve"> </w:t>
      </w:r>
      <w:r w:rsidRPr="00AC2E4E">
        <w:rPr>
          <w:rFonts w:ascii="Cambria" w:hAnsi="Cambria"/>
          <w:i/>
          <w:sz w:val="24"/>
          <w:szCs w:val="24"/>
        </w:rPr>
        <w:t>purpose</w:t>
      </w:r>
      <w:r w:rsidRPr="000F3B6D">
        <w:rPr>
          <w:rFonts w:ascii="Cambria" w:hAnsi="Cambria"/>
          <w:sz w:val="24"/>
          <w:szCs w:val="24"/>
        </w:rPr>
        <w:t xml:space="preserve"> and the specific activity</w:t>
      </w:r>
      <w:r w:rsidR="00385388" w:rsidRPr="000F3B6D">
        <w:rPr>
          <w:rFonts w:ascii="Cambria" w:hAnsi="Cambria"/>
          <w:sz w:val="24"/>
          <w:szCs w:val="24"/>
        </w:rPr>
        <w:t xml:space="preserve"> in question</w:t>
      </w:r>
      <w:r w:rsidRPr="000F3B6D">
        <w:rPr>
          <w:rFonts w:ascii="Cambria" w:hAnsi="Cambria"/>
          <w:sz w:val="24"/>
          <w:szCs w:val="24"/>
        </w:rPr>
        <w:t xml:space="preserve">. Coherence-based claims to exemptions </w:t>
      </w:r>
      <w:r w:rsidR="00043348" w:rsidRPr="000F3B6D">
        <w:rPr>
          <w:rFonts w:ascii="Cambria" w:hAnsi="Cambria"/>
          <w:sz w:val="24"/>
          <w:szCs w:val="24"/>
        </w:rPr>
        <w:t xml:space="preserve">become </w:t>
      </w:r>
      <w:r w:rsidRPr="000F3B6D">
        <w:rPr>
          <w:rFonts w:ascii="Cambria" w:hAnsi="Cambria"/>
          <w:sz w:val="24"/>
          <w:szCs w:val="24"/>
        </w:rPr>
        <w:t xml:space="preserve">weaker as a practice becomes more distant from the </w:t>
      </w:r>
      <w:r w:rsidR="00043348" w:rsidRPr="000F3B6D">
        <w:rPr>
          <w:rFonts w:ascii="Cambria" w:hAnsi="Cambria"/>
          <w:sz w:val="24"/>
          <w:szCs w:val="24"/>
        </w:rPr>
        <w:t>group’s</w:t>
      </w:r>
      <w:r w:rsidRPr="000F3B6D">
        <w:rPr>
          <w:rFonts w:ascii="Cambria" w:hAnsi="Cambria"/>
          <w:sz w:val="24"/>
          <w:szCs w:val="24"/>
        </w:rPr>
        <w:t xml:space="preserve"> core purpose. For example, religious employers cannot discriminate on religious, or any other, grounds in relation to employees </w:t>
      </w:r>
      <w:r w:rsidR="002F5445" w:rsidRPr="000F3B6D">
        <w:rPr>
          <w:rFonts w:ascii="Cambria" w:hAnsi="Cambria"/>
          <w:sz w:val="24"/>
          <w:szCs w:val="24"/>
        </w:rPr>
        <w:t xml:space="preserve">who do </w:t>
      </w:r>
      <w:r w:rsidRPr="000F3B6D">
        <w:rPr>
          <w:rFonts w:ascii="Cambria" w:hAnsi="Cambria"/>
          <w:sz w:val="24"/>
          <w:szCs w:val="24"/>
        </w:rPr>
        <w:t xml:space="preserve">not </w:t>
      </w:r>
      <w:r w:rsidR="007A432F" w:rsidRPr="000F3B6D">
        <w:rPr>
          <w:rFonts w:ascii="Cambria" w:hAnsi="Cambria"/>
          <w:sz w:val="24"/>
          <w:szCs w:val="24"/>
        </w:rPr>
        <w:t>undertake</w:t>
      </w:r>
      <w:r w:rsidRPr="000F3B6D">
        <w:rPr>
          <w:rFonts w:ascii="Cambria" w:hAnsi="Cambria"/>
          <w:sz w:val="24"/>
          <w:szCs w:val="24"/>
        </w:rPr>
        <w:t xml:space="preserve"> religious work.</w:t>
      </w:r>
    </w:p>
    <w:p w14:paraId="2E810A87" w14:textId="620B2D87" w:rsidR="00F97F39" w:rsidRPr="000F3B6D" w:rsidRDefault="00AC2E4E" w:rsidP="004E2D20">
      <w:pPr>
        <w:spacing w:after="200" w:line="288" w:lineRule="auto"/>
        <w:jc w:val="both"/>
        <w:rPr>
          <w:rFonts w:ascii="Cambria" w:hAnsi="Cambria"/>
          <w:i/>
          <w:sz w:val="24"/>
          <w:szCs w:val="24"/>
        </w:rPr>
      </w:pPr>
      <w:r>
        <w:rPr>
          <w:rFonts w:ascii="Cambria" w:hAnsi="Cambria"/>
          <w:sz w:val="24"/>
          <w:szCs w:val="24"/>
        </w:rPr>
        <w:t xml:space="preserve">In my view, </w:t>
      </w:r>
      <w:r w:rsidR="00612ACD" w:rsidRPr="000F3B6D">
        <w:rPr>
          <w:rFonts w:ascii="Cambria" w:hAnsi="Cambria"/>
          <w:sz w:val="24"/>
          <w:szCs w:val="24"/>
        </w:rPr>
        <w:t>Laborde</w:t>
      </w:r>
      <w:r w:rsidR="002F1F30" w:rsidRPr="000F3B6D">
        <w:rPr>
          <w:rFonts w:ascii="Cambria" w:hAnsi="Cambria"/>
          <w:sz w:val="24"/>
          <w:szCs w:val="24"/>
        </w:rPr>
        <w:t xml:space="preserve"> is right that the strength of a group’s claim varies depending on the centrality of the activity in question, but </w:t>
      </w:r>
      <w:r w:rsidR="00612ACD" w:rsidRPr="000F3B6D">
        <w:rPr>
          <w:rFonts w:ascii="Cambria" w:hAnsi="Cambria"/>
          <w:sz w:val="24"/>
          <w:szCs w:val="24"/>
        </w:rPr>
        <w:t xml:space="preserve">she </w:t>
      </w:r>
      <w:r w:rsidR="002F1F30" w:rsidRPr="000F3B6D">
        <w:rPr>
          <w:rFonts w:ascii="Cambria" w:hAnsi="Cambria"/>
          <w:sz w:val="24"/>
          <w:szCs w:val="24"/>
        </w:rPr>
        <w:t xml:space="preserve">overlooks some </w:t>
      </w:r>
      <w:r w:rsidR="00612ACD" w:rsidRPr="000F3B6D">
        <w:rPr>
          <w:rFonts w:ascii="Cambria" w:hAnsi="Cambria"/>
          <w:sz w:val="24"/>
          <w:szCs w:val="24"/>
        </w:rPr>
        <w:t xml:space="preserve">important </w:t>
      </w:r>
      <w:r w:rsidR="002F1F30" w:rsidRPr="000F3B6D">
        <w:rPr>
          <w:rFonts w:ascii="Cambria" w:hAnsi="Cambria"/>
          <w:sz w:val="24"/>
          <w:szCs w:val="24"/>
        </w:rPr>
        <w:t>difficulties. What counts as a core activity</w:t>
      </w:r>
      <w:r w:rsidR="00000950" w:rsidRPr="000F3B6D">
        <w:rPr>
          <w:rFonts w:ascii="Cambria" w:hAnsi="Cambria"/>
          <w:sz w:val="24"/>
          <w:szCs w:val="24"/>
        </w:rPr>
        <w:t>, or as ‘religious work’?</w:t>
      </w:r>
      <w:r w:rsidR="00043348" w:rsidRPr="000F3B6D">
        <w:rPr>
          <w:rFonts w:ascii="Cambria" w:hAnsi="Cambria"/>
          <w:sz w:val="24"/>
          <w:szCs w:val="24"/>
        </w:rPr>
        <w:t xml:space="preserve"> What if</w:t>
      </w:r>
      <w:r w:rsidR="002F1F30" w:rsidRPr="000F3B6D">
        <w:rPr>
          <w:rFonts w:ascii="Cambria" w:hAnsi="Cambria"/>
          <w:sz w:val="24"/>
          <w:szCs w:val="24"/>
        </w:rPr>
        <w:t xml:space="preserve"> a group sees an apparently secular job as imbued with religious significance?</w:t>
      </w:r>
    </w:p>
    <w:p w14:paraId="1D67C791" w14:textId="68DEDA0F"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Consider the case of </w:t>
      </w:r>
      <w:r w:rsidRPr="000F3B6D">
        <w:rPr>
          <w:rFonts w:ascii="Cambria" w:hAnsi="Cambria"/>
          <w:i/>
          <w:sz w:val="24"/>
          <w:szCs w:val="24"/>
        </w:rPr>
        <w:t>Obst v. Germany</w:t>
      </w:r>
      <w:r w:rsidRPr="000F3B6D">
        <w:rPr>
          <w:rFonts w:ascii="Cambria" w:hAnsi="Cambria"/>
          <w:sz w:val="24"/>
          <w:szCs w:val="24"/>
        </w:rPr>
        <w:t>, decided by the European Court of Human Rights in 2010.</w:t>
      </w:r>
      <w:r w:rsidRPr="000F3B6D">
        <w:rPr>
          <w:rFonts w:ascii="Cambria" w:hAnsi="Cambria"/>
          <w:sz w:val="24"/>
          <w:szCs w:val="24"/>
          <w:vertAlign w:val="superscript"/>
        </w:rPr>
        <w:footnoteReference w:id="8"/>
      </w:r>
      <w:r w:rsidRPr="000F3B6D">
        <w:rPr>
          <w:rFonts w:ascii="Cambria" w:hAnsi="Cambria"/>
          <w:sz w:val="24"/>
          <w:szCs w:val="24"/>
        </w:rPr>
        <w:t xml:space="preserve"> Michael Obst was the Mormon </w:t>
      </w:r>
      <w:r w:rsidR="008337AE" w:rsidRPr="000F3B6D">
        <w:rPr>
          <w:rFonts w:ascii="Cambria" w:hAnsi="Cambria"/>
          <w:sz w:val="24"/>
          <w:szCs w:val="24"/>
        </w:rPr>
        <w:t>Church</w:t>
      </w:r>
      <w:r w:rsidRPr="000F3B6D">
        <w:rPr>
          <w:rFonts w:ascii="Cambria" w:hAnsi="Cambria"/>
          <w:sz w:val="24"/>
          <w:szCs w:val="24"/>
        </w:rPr>
        <w:t>’s European Director for public affairs. He was dismissed for having a</w:t>
      </w:r>
      <w:r w:rsidR="00043348" w:rsidRPr="000F3B6D">
        <w:rPr>
          <w:rFonts w:ascii="Cambria" w:hAnsi="Cambria"/>
          <w:sz w:val="24"/>
          <w:szCs w:val="24"/>
        </w:rPr>
        <w:t>n</w:t>
      </w:r>
      <w:r w:rsidRPr="000F3B6D">
        <w:rPr>
          <w:rFonts w:ascii="Cambria" w:hAnsi="Cambria"/>
          <w:sz w:val="24"/>
          <w:szCs w:val="24"/>
        </w:rPr>
        <w:t xml:space="preserve"> </w:t>
      </w:r>
      <w:r w:rsidR="00043348" w:rsidRPr="000F3B6D">
        <w:rPr>
          <w:rFonts w:ascii="Cambria" w:hAnsi="Cambria"/>
          <w:sz w:val="24"/>
          <w:szCs w:val="24"/>
        </w:rPr>
        <w:t>extra-marital</w:t>
      </w:r>
      <w:r w:rsidRPr="000F3B6D">
        <w:rPr>
          <w:rFonts w:ascii="Cambria" w:hAnsi="Cambria"/>
          <w:sz w:val="24"/>
          <w:szCs w:val="24"/>
        </w:rPr>
        <w:t xml:space="preserve"> affair</w:t>
      </w:r>
      <w:r w:rsidR="007B5BB0" w:rsidRPr="000F3B6D">
        <w:rPr>
          <w:rFonts w:ascii="Cambria" w:hAnsi="Cambria"/>
          <w:sz w:val="24"/>
          <w:szCs w:val="24"/>
        </w:rPr>
        <w:t xml:space="preserve">, </w:t>
      </w:r>
      <w:r w:rsidRPr="000F3B6D">
        <w:rPr>
          <w:rFonts w:ascii="Cambria" w:hAnsi="Cambria"/>
          <w:sz w:val="24"/>
          <w:szCs w:val="24"/>
        </w:rPr>
        <w:t>a serious sin within the church. He contested his dismissal under Article 8 of the European Convention of Human Rights</w:t>
      </w:r>
      <w:r w:rsidR="007B5BB0" w:rsidRPr="000F3B6D">
        <w:rPr>
          <w:rFonts w:ascii="Cambria" w:hAnsi="Cambria"/>
          <w:sz w:val="24"/>
          <w:szCs w:val="24"/>
        </w:rPr>
        <w:t xml:space="preserve">, </w:t>
      </w:r>
      <w:r w:rsidRPr="000F3B6D">
        <w:rPr>
          <w:rFonts w:ascii="Cambria" w:hAnsi="Cambria"/>
          <w:sz w:val="24"/>
          <w:szCs w:val="24"/>
        </w:rPr>
        <w:t>the right to respect for private life.</w:t>
      </w:r>
      <w:r w:rsidR="007B5BB0" w:rsidRPr="000F3B6D">
        <w:rPr>
          <w:rFonts w:ascii="Cambria" w:hAnsi="Cambria"/>
          <w:sz w:val="24"/>
          <w:szCs w:val="24"/>
        </w:rPr>
        <w:t xml:space="preserve"> </w:t>
      </w:r>
      <w:r w:rsidRPr="000F3B6D">
        <w:rPr>
          <w:rFonts w:ascii="Cambria" w:hAnsi="Cambria"/>
          <w:sz w:val="24"/>
          <w:szCs w:val="24"/>
        </w:rPr>
        <w:t>The Court found in favour of the church. Obst had a high profile public role, and kn</w:t>
      </w:r>
      <w:r w:rsidR="00AC2E4E">
        <w:rPr>
          <w:rFonts w:ascii="Cambria" w:hAnsi="Cambria"/>
          <w:sz w:val="24"/>
          <w:szCs w:val="24"/>
        </w:rPr>
        <w:t>ew he was expected to follow the church’s</w:t>
      </w:r>
      <w:r w:rsidRPr="000F3B6D">
        <w:rPr>
          <w:rFonts w:ascii="Cambria" w:hAnsi="Cambria"/>
          <w:sz w:val="24"/>
          <w:szCs w:val="24"/>
        </w:rPr>
        <w:t xml:space="preserve"> teaching</w:t>
      </w:r>
      <w:r w:rsidR="004E2D20" w:rsidRPr="000F3B6D">
        <w:rPr>
          <w:rFonts w:ascii="Cambria" w:hAnsi="Cambria"/>
          <w:sz w:val="24"/>
          <w:szCs w:val="24"/>
        </w:rPr>
        <w:t>—</w:t>
      </w:r>
      <w:r w:rsidRPr="000F3B6D">
        <w:rPr>
          <w:rFonts w:ascii="Cambria" w:hAnsi="Cambria"/>
          <w:sz w:val="24"/>
          <w:szCs w:val="24"/>
        </w:rPr>
        <w:t>indeed, this was stated in his contract. The church was therefore permitted to dismiss him on the otherwise impermissible grounds of adultery.</w:t>
      </w:r>
    </w:p>
    <w:p w14:paraId="315FD912" w14:textId="06D0E119" w:rsidR="00F97F39" w:rsidRPr="000F3B6D" w:rsidRDefault="00B74F9B" w:rsidP="004E2D20">
      <w:pPr>
        <w:spacing w:after="200" w:line="288" w:lineRule="auto"/>
        <w:jc w:val="both"/>
        <w:rPr>
          <w:rFonts w:ascii="Cambria" w:hAnsi="Cambria"/>
          <w:sz w:val="24"/>
          <w:szCs w:val="24"/>
        </w:rPr>
      </w:pPr>
      <w:r w:rsidRPr="000F3B6D">
        <w:rPr>
          <w:rFonts w:ascii="Cambria" w:hAnsi="Cambria"/>
          <w:sz w:val="24"/>
          <w:szCs w:val="24"/>
        </w:rPr>
        <w:t>I am un</w:t>
      </w:r>
      <w:r w:rsidR="002F1F30" w:rsidRPr="000F3B6D">
        <w:rPr>
          <w:rFonts w:ascii="Cambria" w:hAnsi="Cambria"/>
          <w:sz w:val="24"/>
          <w:szCs w:val="24"/>
        </w:rPr>
        <w:t xml:space="preserve">sure what </w:t>
      </w:r>
      <w:r w:rsidRPr="000F3B6D">
        <w:rPr>
          <w:rFonts w:ascii="Cambria" w:hAnsi="Cambria"/>
          <w:sz w:val="24"/>
          <w:szCs w:val="24"/>
        </w:rPr>
        <w:t>Laborde</w:t>
      </w:r>
      <w:r w:rsidR="002F1F30" w:rsidRPr="000F3B6D">
        <w:rPr>
          <w:rFonts w:ascii="Cambria" w:hAnsi="Cambria"/>
          <w:sz w:val="24"/>
          <w:szCs w:val="24"/>
        </w:rPr>
        <w:t xml:space="preserve"> would make of this case. Obst’s role included representing the church in public, so his actions</w:t>
      </w:r>
      <w:r w:rsidRPr="000F3B6D">
        <w:rPr>
          <w:rFonts w:ascii="Cambria" w:hAnsi="Cambria"/>
          <w:sz w:val="24"/>
          <w:szCs w:val="24"/>
        </w:rPr>
        <w:t xml:space="preserve"> certainly</w:t>
      </w:r>
      <w:r w:rsidR="002F1F30" w:rsidRPr="000F3B6D">
        <w:rPr>
          <w:rFonts w:ascii="Cambria" w:hAnsi="Cambria"/>
          <w:sz w:val="24"/>
          <w:szCs w:val="24"/>
        </w:rPr>
        <w:t xml:space="preserve"> reflected on the church. The church argued in court that its ability to carry out its mission in accordance with its beliefs would be undermined if it could</w:t>
      </w:r>
      <w:r w:rsidRPr="000F3B6D">
        <w:rPr>
          <w:rFonts w:ascii="Cambria" w:hAnsi="Cambria"/>
          <w:sz w:val="24"/>
          <w:szCs w:val="24"/>
        </w:rPr>
        <w:t xml:space="preserve"> no</w:t>
      </w:r>
      <w:r w:rsidR="002F1F30" w:rsidRPr="000F3B6D">
        <w:rPr>
          <w:rFonts w:ascii="Cambria" w:hAnsi="Cambria"/>
          <w:sz w:val="24"/>
          <w:szCs w:val="24"/>
        </w:rPr>
        <w:t>t make the loyalty of its employees a condition of employment.</w:t>
      </w:r>
      <w:r w:rsidR="002F1F30" w:rsidRPr="000F3B6D">
        <w:rPr>
          <w:rFonts w:ascii="Cambria" w:hAnsi="Cambria"/>
          <w:sz w:val="24"/>
          <w:szCs w:val="24"/>
          <w:vertAlign w:val="superscript"/>
        </w:rPr>
        <w:footnoteReference w:id="9"/>
      </w:r>
      <w:r w:rsidR="002F1F30" w:rsidRPr="000F3B6D">
        <w:rPr>
          <w:rFonts w:ascii="Cambria" w:hAnsi="Cambria"/>
          <w:sz w:val="24"/>
          <w:szCs w:val="24"/>
        </w:rPr>
        <w:t xml:space="preserve"> But Obst’s role was</w:t>
      </w:r>
      <w:r w:rsidR="00C71008" w:rsidRPr="000F3B6D">
        <w:rPr>
          <w:rFonts w:ascii="Cambria" w:hAnsi="Cambria"/>
          <w:sz w:val="24"/>
          <w:szCs w:val="24"/>
        </w:rPr>
        <w:t xml:space="preserve"> no</w:t>
      </w:r>
      <w:r w:rsidR="002F1F30" w:rsidRPr="000F3B6D">
        <w:rPr>
          <w:rFonts w:ascii="Cambria" w:hAnsi="Cambria"/>
          <w:sz w:val="24"/>
          <w:szCs w:val="24"/>
        </w:rPr>
        <w:t xml:space="preserve">t obviously ‘religious’. He was a public relations director, not a minister. Does this mean </w:t>
      </w:r>
      <w:r w:rsidR="00C35691" w:rsidRPr="000F3B6D">
        <w:rPr>
          <w:rFonts w:ascii="Cambria" w:hAnsi="Cambria"/>
          <w:sz w:val="24"/>
          <w:szCs w:val="24"/>
        </w:rPr>
        <w:t xml:space="preserve">that </w:t>
      </w:r>
      <w:r w:rsidR="005E5A41" w:rsidRPr="000F3B6D">
        <w:rPr>
          <w:rFonts w:ascii="Cambria" w:hAnsi="Cambria"/>
          <w:sz w:val="24"/>
          <w:szCs w:val="24"/>
        </w:rPr>
        <w:t>his activities were no</w:t>
      </w:r>
      <w:r w:rsidR="002F1F30" w:rsidRPr="000F3B6D">
        <w:rPr>
          <w:rFonts w:ascii="Cambria" w:hAnsi="Cambria"/>
          <w:sz w:val="24"/>
          <w:szCs w:val="24"/>
        </w:rPr>
        <w:t>t sufficiently tied to the church’s main purpose to ground a claim to exemption in his case?</w:t>
      </w:r>
    </w:p>
    <w:p w14:paraId="191592EF" w14:textId="77777777" w:rsidR="002476AB"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Another European Court case, </w:t>
      </w:r>
      <w:r w:rsidRPr="000F3B6D">
        <w:rPr>
          <w:rFonts w:ascii="Cambria" w:hAnsi="Cambria"/>
          <w:i/>
          <w:sz w:val="24"/>
          <w:szCs w:val="24"/>
        </w:rPr>
        <w:t>Siebenhaar v. Germany</w:t>
      </w:r>
      <w:r w:rsidRPr="000F3B6D">
        <w:rPr>
          <w:rFonts w:ascii="Cambria" w:hAnsi="Cambria"/>
          <w:sz w:val="24"/>
          <w:szCs w:val="24"/>
        </w:rPr>
        <w:t>, involved a childcare assistant at a Protestant kindergarten, who was dismissed for being an active member of the Universal Church.</w:t>
      </w:r>
      <w:r w:rsidR="000F3B6D" w:rsidRPr="000F3B6D">
        <w:rPr>
          <w:rStyle w:val="FootnoteReference"/>
          <w:rFonts w:ascii="Cambria" w:hAnsi="Cambria"/>
          <w:sz w:val="24"/>
          <w:szCs w:val="24"/>
        </w:rPr>
        <w:footnoteReference w:id="10"/>
      </w:r>
      <w:r w:rsidRPr="000F3B6D">
        <w:rPr>
          <w:rFonts w:ascii="Cambria" w:hAnsi="Cambria"/>
          <w:sz w:val="24"/>
          <w:szCs w:val="24"/>
        </w:rPr>
        <w:t xml:space="preserve"> Again, the employer won. Siebenhaar had made a commitment to the religious ethos of the Protestant Church, and should have know</w:t>
      </w:r>
      <w:r w:rsidR="00E243A7" w:rsidRPr="000F3B6D">
        <w:rPr>
          <w:rFonts w:ascii="Cambria" w:hAnsi="Cambria"/>
          <w:sz w:val="24"/>
          <w:szCs w:val="24"/>
        </w:rPr>
        <w:t>n</w:t>
      </w:r>
      <w:r w:rsidRPr="000F3B6D">
        <w:rPr>
          <w:rFonts w:ascii="Cambria" w:hAnsi="Cambria"/>
          <w:sz w:val="24"/>
          <w:szCs w:val="24"/>
        </w:rPr>
        <w:t xml:space="preserve"> that involvement in the Universal Church was incompatible with this.</w:t>
      </w:r>
      <w:r w:rsidR="000F3B6D" w:rsidRPr="000F3B6D">
        <w:rPr>
          <w:rFonts w:ascii="Cambria" w:hAnsi="Cambria"/>
          <w:sz w:val="24"/>
          <w:szCs w:val="24"/>
        </w:rPr>
        <w:t xml:space="preserve"> But it i</w:t>
      </w:r>
      <w:r w:rsidRPr="000F3B6D">
        <w:rPr>
          <w:rFonts w:ascii="Cambria" w:hAnsi="Cambria"/>
          <w:sz w:val="24"/>
          <w:szCs w:val="24"/>
        </w:rPr>
        <w:t xml:space="preserve">s not clear that being a </w:t>
      </w:r>
      <w:r w:rsidRPr="000F3B6D">
        <w:rPr>
          <w:rFonts w:ascii="Cambria" w:hAnsi="Cambria"/>
          <w:sz w:val="24"/>
          <w:szCs w:val="24"/>
        </w:rPr>
        <w:lastRenderedPageBreak/>
        <w:t xml:space="preserve">childcare assistant constitutes ‘religious work’, in </w:t>
      </w:r>
      <w:r w:rsidR="000F3B6D">
        <w:rPr>
          <w:rFonts w:ascii="Cambria" w:hAnsi="Cambria"/>
          <w:sz w:val="24"/>
          <w:szCs w:val="24"/>
        </w:rPr>
        <w:t>Laborde’s</w:t>
      </w:r>
      <w:r w:rsidRPr="000F3B6D">
        <w:rPr>
          <w:rFonts w:ascii="Cambria" w:hAnsi="Cambria"/>
          <w:sz w:val="24"/>
          <w:szCs w:val="24"/>
        </w:rPr>
        <w:t xml:space="preserve"> view, or that the kindergarten is part of the church’s ‘core purpose’. So she might well disagree with the court. Importantly, this would not merely be a disagreement with the ultimate judgment, but with the idea that the groups in these examples had any claim at all.</w:t>
      </w:r>
    </w:p>
    <w:p w14:paraId="18A05842" w14:textId="6A3EDD8A" w:rsidR="00F97F39" w:rsidRPr="000F3B6D" w:rsidRDefault="00AC2E4E" w:rsidP="004E2D20">
      <w:pPr>
        <w:spacing w:after="200" w:line="288" w:lineRule="auto"/>
        <w:jc w:val="both"/>
        <w:rPr>
          <w:rFonts w:ascii="Cambria" w:hAnsi="Cambria"/>
          <w:sz w:val="24"/>
          <w:szCs w:val="24"/>
        </w:rPr>
      </w:pPr>
      <w:r>
        <w:rPr>
          <w:rFonts w:ascii="Cambria" w:hAnsi="Cambria"/>
          <w:sz w:val="24"/>
          <w:szCs w:val="24"/>
        </w:rPr>
        <w:t>This</w:t>
      </w:r>
      <w:r w:rsidR="002F1F30" w:rsidRPr="000F3B6D">
        <w:rPr>
          <w:rFonts w:ascii="Cambria" w:hAnsi="Cambria"/>
          <w:sz w:val="24"/>
          <w:szCs w:val="24"/>
        </w:rPr>
        <w:t xml:space="preserve"> would be too narrow. We should</w:t>
      </w:r>
      <w:r w:rsidR="00E17E52">
        <w:rPr>
          <w:rFonts w:ascii="Cambria" w:hAnsi="Cambria"/>
          <w:sz w:val="24"/>
          <w:szCs w:val="24"/>
        </w:rPr>
        <w:t xml:space="preserve"> no</w:t>
      </w:r>
      <w:r w:rsidR="002F1F30" w:rsidRPr="000F3B6D">
        <w:rPr>
          <w:rFonts w:ascii="Cambria" w:hAnsi="Cambria"/>
          <w:sz w:val="24"/>
          <w:szCs w:val="24"/>
        </w:rPr>
        <w:t>t narrowly construe which activities are covered by coherence interests, or which employees do ‘religious work’. Religious associations often engage in a wide range of activities that they see as part of their purposes</w:t>
      </w:r>
      <w:r w:rsidR="004E2D20" w:rsidRPr="000F3B6D">
        <w:rPr>
          <w:rFonts w:ascii="Cambria" w:hAnsi="Cambria"/>
          <w:sz w:val="24"/>
          <w:szCs w:val="24"/>
        </w:rPr>
        <w:t>—</w:t>
      </w:r>
      <w:r w:rsidR="002F1F30" w:rsidRPr="000F3B6D">
        <w:rPr>
          <w:rFonts w:ascii="Cambria" w:hAnsi="Cambria"/>
          <w:sz w:val="24"/>
          <w:szCs w:val="24"/>
        </w:rPr>
        <w:t>which can themselves be multi</w:t>
      </w:r>
      <w:r w:rsidR="004804C6" w:rsidRPr="000F3B6D">
        <w:rPr>
          <w:rFonts w:ascii="Cambria" w:hAnsi="Cambria"/>
          <w:sz w:val="24"/>
          <w:szCs w:val="24"/>
        </w:rPr>
        <w:t>farious.</w:t>
      </w:r>
      <w:r w:rsidR="00367529">
        <w:rPr>
          <w:rFonts w:ascii="Cambria" w:hAnsi="Cambria"/>
          <w:sz w:val="24"/>
          <w:szCs w:val="24"/>
        </w:rPr>
        <w:t xml:space="preserve"> </w:t>
      </w:r>
      <w:r w:rsidR="002476AB">
        <w:rPr>
          <w:rFonts w:ascii="Cambria" w:hAnsi="Cambria"/>
          <w:sz w:val="24"/>
          <w:szCs w:val="24"/>
        </w:rPr>
        <w:t>In sum</w:t>
      </w:r>
      <w:r w:rsidR="00367529">
        <w:rPr>
          <w:rFonts w:ascii="Cambria" w:hAnsi="Cambria"/>
          <w:sz w:val="24"/>
          <w:szCs w:val="24"/>
        </w:rPr>
        <w:t xml:space="preserve">, while </w:t>
      </w:r>
      <w:r w:rsidR="002476AB">
        <w:rPr>
          <w:rFonts w:ascii="Cambria" w:hAnsi="Cambria"/>
          <w:sz w:val="24"/>
          <w:szCs w:val="24"/>
        </w:rPr>
        <w:t>Laborde’s</w:t>
      </w:r>
      <w:r w:rsidR="002F1F30" w:rsidRPr="000F3B6D">
        <w:rPr>
          <w:rFonts w:ascii="Cambria" w:hAnsi="Cambria"/>
          <w:sz w:val="24"/>
          <w:szCs w:val="24"/>
        </w:rPr>
        <w:t xml:space="preserve"> concept of coherence interests is </w:t>
      </w:r>
      <w:r w:rsidR="008337AE" w:rsidRPr="000F3B6D">
        <w:rPr>
          <w:rFonts w:ascii="Cambria" w:hAnsi="Cambria"/>
          <w:sz w:val="24"/>
          <w:szCs w:val="24"/>
        </w:rPr>
        <w:t>useful</w:t>
      </w:r>
      <w:r w:rsidR="002F1F30" w:rsidRPr="000F3B6D">
        <w:rPr>
          <w:rFonts w:ascii="Cambria" w:hAnsi="Cambria"/>
          <w:sz w:val="24"/>
          <w:szCs w:val="24"/>
        </w:rPr>
        <w:t xml:space="preserve">, </w:t>
      </w:r>
      <w:r w:rsidR="00367529">
        <w:rPr>
          <w:rFonts w:ascii="Cambria" w:hAnsi="Cambria"/>
          <w:sz w:val="24"/>
          <w:szCs w:val="24"/>
        </w:rPr>
        <w:t>it should not</w:t>
      </w:r>
      <w:r w:rsidR="002F1F30" w:rsidRPr="000F3B6D">
        <w:rPr>
          <w:rFonts w:ascii="Cambria" w:hAnsi="Cambria"/>
          <w:sz w:val="24"/>
          <w:szCs w:val="24"/>
        </w:rPr>
        <w:t xml:space="preserve"> be tied to such a narrowly-defined </w:t>
      </w:r>
      <w:r w:rsidR="00E243A7" w:rsidRPr="000F3B6D">
        <w:rPr>
          <w:rFonts w:ascii="Cambria" w:hAnsi="Cambria"/>
          <w:sz w:val="24"/>
          <w:szCs w:val="24"/>
        </w:rPr>
        <w:t>conception</w:t>
      </w:r>
      <w:r w:rsidR="00901FEE" w:rsidRPr="000F3B6D">
        <w:rPr>
          <w:rFonts w:ascii="Cambria" w:hAnsi="Cambria"/>
          <w:sz w:val="24"/>
          <w:szCs w:val="24"/>
        </w:rPr>
        <w:t xml:space="preserve"> of identificatory association</w:t>
      </w:r>
      <w:r w:rsidR="002F1F30" w:rsidRPr="000F3B6D">
        <w:rPr>
          <w:rFonts w:ascii="Cambria" w:hAnsi="Cambria"/>
          <w:sz w:val="24"/>
          <w:szCs w:val="24"/>
        </w:rPr>
        <w:t xml:space="preserve"> or coherence-relevant activities.</w:t>
      </w:r>
      <w:r w:rsidR="00367529">
        <w:rPr>
          <w:rFonts w:ascii="Cambria" w:hAnsi="Cambria"/>
          <w:sz w:val="24"/>
          <w:szCs w:val="24"/>
        </w:rPr>
        <w:t xml:space="preserve"> </w:t>
      </w:r>
      <w:r w:rsidR="002476AB">
        <w:rPr>
          <w:rFonts w:ascii="Cambria" w:hAnsi="Cambria"/>
          <w:sz w:val="24"/>
          <w:szCs w:val="24"/>
        </w:rPr>
        <w:t>T</w:t>
      </w:r>
      <w:r w:rsidR="00367529">
        <w:rPr>
          <w:rFonts w:ascii="Cambria" w:hAnsi="Cambria"/>
          <w:sz w:val="24"/>
          <w:szCs w:val="24"/>
        </w:rPr>
        <w:t xml:space="preserve">he churches in both </w:t>
      </w:r>
      <w:r w:rsidR="00367529">
        <w:rPr>
          <w:rFonts w:ascii="Cambria" w:hAnsi="Cambria"/>
          <w:i/>
          <w:sz w:val="24"/>
          <w:szCs w:val="24"/>
        </w:rPr>
        <w:t>Obst</w:t>
      </w:r>
      <w:r w:rsidR="00367529">
        <w:rPr>
          <w:rFonts w:ascii="Cambria" w:hAnsi="Cambria"/>
          <w:sz w:val="24"/>
          <w:szCs w:val="24"/>
        </w:rPr>
        <w:t xml:space="preserve"> and </w:t>
      </w:r>
      <w:r w:rsidR="00367529">
        <w:rPr>
          <w:rFonts w:ascii="Cambria" w:hAnsi="Cambria"/>
          <w:i/>
          <w:sz w:val="24"/>
          <w:szCs w:val="24"/>
        </w:rPr>
        <w:t>Sibenhaar</w:t>
      </w:r>
      <w:r w:rsidR="00367529">
        <w:rPr>
          <w:rFonts w:ascii="Cambria" w:hAnsi="Cambria"/>
          <w:sz w:val="24"/>
          <w:szCs w:val="24"/>
        </w:rPr>
        <w:t xml:space="preserve"> had clear coherence interests at stake in the dismissal of these employees. </w:t>
      </w:r>
      <w:r w:rsidR="002F1F30" w:rsidRPr="000F3B6D">
        <w:rPr>
          <w:rFonts w:ascii="Cambria" w:hAnsi="Cambria"/>
          <w:sz w:val="24"/>
          <w:szCs w:val="24"/>
        </w:rPr>
        <w:t xml:space="preserve">This </w:t>
      </w:r>
      <w:r w:rsidR="00367529">
        <w:rPr>
          <w:rFonts w:ascii="Cambria" w:hAnsi="Cambria"/>
          <w:sz w:val="24"/>
          <w:szCs w:val="24"/>
        </w:rPr>
        <w:t>is not</w:t>
      </w:r>
      <w:r w:rsidR="002F1F30" w:rsidRPr="000F3B6D">
        <w:rPr>
          <w:rFonts w:ascii="Cambria" w:hAnsi="Cambria"/>
          <w:sz w:val="24"/>
          <w:szCs w:val="24"/>
        </w:rPr>
        <w:t xml:space="preserve"> to say that groups should get exemptions in every case they have coherence interests, under my </w:t>
      </w:r>
      <w:r w:rsidR="00851755" w:rsidRPr="000F3B6D">
        <w:rPr>
          <w:rFonts w:ascii="Cambria" w:hAnsi="Cambria"/>
          <w:sz w:val="24"/>
          <w:szCs w:val="24"/>
        </w:rPr>
        <w:t>broader</w:t>
      </w:r>
      <w:r w:rsidR="002F1F30" w:rsidRPr="000F3B6D">
        <w:rPr>
          <w:rFonts w:ascii="Cambria" w:hAnsi="Cambria"/>
          <w:sz w:val="24"/>
          <w:szCs w:val="24"/>
        </w:rPr>
        <w:t xml:space="preserve"> construal. Balancing judgments are needed. But we should recognise groups’ </w:t>
      </w:r>
      <w:r w:rsidR="002F1F30" w:rsidRPr="000F3B6D">
        <w:rPr>
          <w:rFonts w:ascii="Cambria" w:hAnsi="Cambria"/>
          <w:i/>
          <w:sz w:val="24"/>
          <w:szCs w:val="24"/>
        </w:rPr>
        <w:t>pro tanto</w:t>
      </w:r>
      <w:r w:rsidR="002F1F30" w:rsidRPr="000F3B6D">
        <w:rPr>
          <w:rFonts w:ascii="Cambria" w:hAnsi="Cambria"/>
          <w:sz w:val="24"/>
          <w:szCs w:val="24"/>
        </w:rPr>
        <w:t xml:space="preserve"> claims in a wider range of cases than </w:t>
      </w:r>
      <w:r w:rsidR="00367529">
        <w:rPr>
          <w:rFonts w:ascii="Cambria" w:hAnsi="Cambria"/>
          <w:sz w:val="24"/>
          <w:szCs w:val="24"/>
        </w:rPr>
        <w:t>Laborde</w:t>
      </w:r>
      <w:r w:rsidR="002F1F30" w:rsidRPr="000F3B6D">
        <w:rPr>
          <w:rFonts w:ascii="Cambria" w:hAnsi="Cambria"/>
          <w:sz w:val="24"/>
          <w:szCs w:val="24"/>
        </w:rPr>
        <w:t xml:space="preserve"> seems to countenance.</w:t>
      </w:r>
    </w:p>
    <w:p w14:paraId="5A66A5DB" w14:textId="39097E29"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Much of </w:t>
      </w:r>
      <w:r w:rsidR="00367529">
        <w:rPr>
          <w:rFonts w:ascii="Cambria" w:hAnsi="Cambria"/>
          <w:sz w:val="24"/>
          <w:szCs w:val="24"/>
        </w:rPr>
        <w:t xml:space="preserve">the </w:t>
      </w:r>
      <w:r w:rsidRPr="000F3B6D">
        <w:rPr>
          <w:rFonts w:ascii="Cambria" w:hAnsi="Cambria"/>
          <w:sz w:val="24"/>
          <w:szCs w:val="24"/>
        </w:rPr>
        <w:t xml:space="preserve">discussion </w:t>
      </w:r>
      <w:r w:rsidR="00367529">
        <w:rPr>
          <w:rFonts w:ascii="Cambria" w:hAnsi="Cambria"/>
          <w:sz w:val="24"/>
          <w:szCs w:val="24"/>
        </w:rPr>
        <w:t xml:space="preserve">in this section </w:t>
      </w:r>
      <w:r w:rsidRPr="000F3B6D">
        <w:rPr>
          <w:rFonts w:ascii="Cambria" w:hAnsi="Cambria"/>
          <w:sz w:val="24"/>
          <w:szCs w:val="24"/>
        </w:rPr>
        <w:t xml:space="preserve">points towards questions of who is </w:t>
      </w:r>
      <w:r w:rsidR="004804C6" w:rsidRPr="000F3B6D">
        <w:rPr>
          <w:rFonts w:ascii="Cambria" w:hAnsi="Cambria"/>
          <w:sz w:val="24"/>
          <w:szCs w:val="24"/>
        </w:rPr>
        <w:t>to decide. Who defines a group’s</w:t>
      </w:r>
      <w:r w:rsidRPr="000F3B6D">
        <w:rPr>
          <w:rFonts w:ascii="Cambria" w:hAnsi="Cambria"/>
          <w:sz w:val="24"/>
          <w:szCs w:val="24"/>
        </w:rPr>
        <w:t xml:space="preserve"> purposes, or decides which activities reflect those purpos</w:t>
      </w:r>
      <w:r w:rsidR="00851755" w:rsidRPr="000F3B6D">
        <w:rPr>
          <w:rFonts w:ascii="Cambria" w:hAnsi="Cambria"/>
          <w:sz w:val="24"/>
          <w:szCs w:val="24"/>
        </w:rPr>
        <w:t>es, or which employee</w:t>
      </w:r>
      <w:r w:rsidRPr="000F3B6D">
        <w:rPr>
          <w:rFonts w:ascii="Cambria" w:hAnsi="Cambria"/>
          <w:sz w:val="24"/>
          <w:szCs w:val="24"/>
        </w:rPr>
        <w:t xml:space="preserve">s do </w:t>
      </w:r>
      <w:r w:rsidR="008F66C3">
        <w:rPr>
          <w:rFonts w:ascii="Cambria" w:hAnsi="Cambria"/>
          <w:sz w:val="24"/>
          <w:szCs w:val="24"/>
        </w:rPr>
        <w:t>relevantly ‘religious’ work? It i</w:t>
      </w:r>
      <w:r w:rsidRPr="000F3B6D">
        <w:rPr>
          <w:rFonts w:ascii="Cambria" w:hAnsi="Cambria"/>
          <w:sz w:val="24"/>
          <w:szCs w:val="24"/>
        </w:rPr>
        <w:t xml:space="preserve">s here </w:t>
      </w:r>
      <w:r w:rsidR="008F66C3">
        <w:rPr>
          <w:rFonts w:ascii="Cambria" w:hAnsi="Cambria"/>
          <w:sz w:val="24"/>
          <w:szCs w:val="24"/>
        </w:rPr>
        <w:t xml:space="preserve">that </w:t>
      </w:r>
      <w:r w:rsidRPr="000F3B6D">
        <w:rPr>
          <w:rFonts w:ascii="Cambria" w:hAnsi="Cambria"/>
          <w:sz w:val="24"/>
          <w:szCs w:val="24"/>
        </w:rPr>
        <w:t xml:space="preserve">we should turn to </w:t>
      </w:r>
      <w:r w:rsidR="008F66C3">
        <w:rPr>
          <w:rFonts w:ascii="Cambria" w:hAnsi="Cambria"/>
          <w:sz w:val="24"/>
          <w:szCs w:val="24"/>
        </w:rPr>
        <w:t>Laborde’s</w:t>
      </w:r>
      <w:r w:rsidRPr="000F3B6D">
        <w:rPr>
          <w:rFonts w:ascii="Cambria" w:hAnsi="Cambria"/>
          <w:sz w:val="24"/>
          <w:szCs w:val="24"/>
        </w:rPr>
        <w:t xml:space="preserve"> second associational interest: competence interests.</w:t>
      </w:r>
    </w:p>
    <w:p w14:paraId="2EF5A025" w14:textId="77777777" w:rsidR="00F97F39" w:rsidRPr="000F3B6D" w:rsidRDefault="00F97F39" w:rsidP="004E2D20">
      <w:pPr>
        <w:spacing w:after="200" w:line="288" w:lineRule="auto"/>
        <w:jc w:val="both"/>
        <w:rPr>
          <w:rFonts w:ascii="Cambria" w:hAnsi="Cambria"/>
          <w:sz w:val="24"/>
          <w:szCs w:val="24"/>
        </w:rPr>
      </w:pPr>
    </w:p>
    <w:p w14:paraId="200D8043" w14:textId="56834325" w:rsidR="00F97F39" w:rsidRPr="008F66C3" w:rsidRDefault="002F1F30" w:rsidP="00A67553">
      <w:pPr>
        <w:pStyle w:val="ListParagraph"/>
        <w:numPr>
          <w:ilvl w:val="0"/>
          <w:numId w:val="3"/>
        </w:numPr>
        <w:spacing w:after="200" w:line="288" w:lineRule="auto"/>
        <w:jc w:val="both"/>
        <w:rPr>
          <w:rFonts w:ascii="Cambria" w:hAnsi="Cambria"/>
          <w:b/>
          <w:sz w:val="24"/>
          <w:szCs w:val="24"/>
        </w:rPr>
      </w:pPr>
      <w:r w:rsidRPr="008F66C3">
        <w:rPr>
          <w:rFonts w:ascii="Cambria" w:hAnsi="Cambria"/>
          <w:b/>
          <w:sz w:val="24"/>
          <w:szCs w:val="24"/>
        </w:rPr>
        <w:t>Competence Interests</w:t>
      </w:r>
    </w:p>
    <w:p w14:paraId="05719A94" w14:textId="12842E0F" w:rsidR="00851755"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Competence interests relate to “associations’ ability to interpret their own stan</w:t>
      </w:r>
      <w:r w:rsidR="000618B8">
        <w:rPr>
          <w:rFonts w:ascii="Cambria" w:hAnsi="Cambria"/>
          <w:sz w:val="24"/>
          <w:szCs w:val="24"/>
        </w:rPr>
        <w:t>dards, purposes and commitments</w:t>
      </w:r>
      <w:r w:rsidRPr="000F3B6D">
        <w:rPr>
          <w:rFonts w:ascii="Cambria" w:hAnsi="Cambria"/>
          <w:sz w:val="24"/>
          <w:szCs w:val="24"/>
        </w:rPr>
        <w:t>”</w:t>
      </w:r>
      <w:r w:rsidR="000618B8">
        <w:rPr>
          <w:rFonts w:ascii="Cambria" w:hAnsi="Cambria"/>
          <w:sz w:val="24"/>
          <w:szCs w:val="24"/>
        </w:rPr>
        <w:t xml:space="preserve"> (175).</w:t>
      </w:r>
      <w:r w:rsidRPr="000F3B6D">
        <w:rPr>
          <w:rFonts w:ascii="Cambria" w:hAnsi="Cambria"/>
          <w:sz w:val="24"/>
          <w:szCs w:val="24"/>
        </w:rPr>
        <w:t xml:space="preserve"> Associations’ decisions are often based upon reason</w:t>
      </w:r>
      <w:r w:rsidR="00883272" w:rsidRPr="000F3B6D">
        <w:rPr>
          <w:rFonts w:ascii="Cambria" w:hAnsi="Cambria"/>
          <w:sz w:val="24"/>
          <w:szCs w:val="24"/>
        </w:rPr>
        <w:t>s</w:t>
      </w:r>
      <w:r w:rsidRPr="000F3B6D">
        <w:rPr>
          <w:rFonts w:ascii="Cambria" w:hAnsi="Cambria"/>
          <w:sz w:val="24"/>
          <w:szCs w:val="24"/>
        </w:rPr>
        <w:t xml:space="preserve"> grounded in their distinctive doctrines, beliefs, or expertise. When disputes about these decisions arise, courts should avoid adjudicating on doctrinal or theological questions. Religious groups have a right to judicial deference to their own understanding of the relevant reli</w:t>
      </w:r>
      <w:r w:rsidR="00851755" w:rsidRPr="000F3B6D">
        <w:rPr>
          <w:rFonts w:ascii="Cambria" w:hAnsi="Cambria"/>
          <w:sz w:val="24"/>
          <w:szCs w:val="24"/>
        </w:rPr>
        <w:t>gious reasons.</w:t>
      </w:r>
    </w:p>
    <w:p w14:paraId="7822A3BA" w14:textId="0BE54AF6"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The rights justified by competence interests are broad. They apply whenever associations’ distinctive expertise or beliefs are behind their decision. But they are also shallow. Courts should defer to groups’ judgments of religious reasons, but this does</w:t>
      </w:r>
      <w:r w:rsidR="00F94822">
        <w:rPr>
          <w:rFonts w:ascii="Cambria" w:hAnsi="Cambria"/>
          <w:sz w:val="24"/>
          <w:szCs w:val="24"/>
        </w:rPr>
        <w:t xml:space="preserve"> no</w:t>
      </w:r>
      <w:r w:rsidRPr="000F3B6D">
        <w:rPr>
          <w:rFonts w:ascii="Cambria" w:hAnsi="Cambria"/>
          <w:sz w:val="24"/>
          <w:szCs w:val="24"/>
        </w:rPr>
        <w:t>t prelude various kinds of examination of associations’ decisions that can be undertaken without entanglement in theological questions. Competence interests do</w:t>
      </w:r>
      <w:r w:rsidR="00AA2776">
        <w:rPr>
          <w:rFonts w:ascii="Cambria" w:hAnsi="Cambria"/>
          <w:sz w:val="24"/>
          <w:szCs w:val="24"/>
        </w:rPr>
        <w:t xml:space="preserve"> no</w:t>
      </w:r>
      <w:r w:rsidRPr="000F3B6D">
        <w:rPr>
          <w:rFonts w:ascii="Cambria" w:hAnsi="Cambria"/>
          <w:sz w:val="24"/>
          <w:szCs w:val="24"/>
        </w:rPr>
        <w:t xml:space="preserve">t </w:t>
      </w:r>
      <w:r w:rsidRPr="000F3B6D">
        <w:rPr>
          <w:rFonts w:ascii="Cambria" w:hAnsi="Cambria"/>
          <w:sz w:val="24"/>
          <w:szCs w:val="24"/>
        </w:rPr>
        <w:lastRenderedPageBreak/>
        <w:t>ground jurisdictional immunity</w:t>
      </w:r>
      <w:r w:rsidR="00AA2776">
        <w:rPr>
          <w:rFonts w:ascii="Cambria" w:hAnsi="Cambria"/>
          <w:sz w:val="24"/>
          <w:szCs w:val="24"/>
        </w:rPr>
        <w:t xml:space="preserve">, </w:t>
      </w:r>
      <w:r w:rsidRPr="000F3B6D">
        <w:rPr>
          <w:rFonts w:ascii="Cambria" w:hAnsi="Cambria"/>
          <w:sz w:val="24"/>
          <w:szCs w:val="24"/>
        </w:rPr>
        <w:t>only a level of judicial deference on certain questions.</w:t>
      </w:r>
    </w:p>
    <w:p w14:paraId="6ABB4E57" w14:textId="67EA64D9" w:rsidR="00C3500D" w:rsidRPr="000F3B6D" w:rsidRDefault="00883272" w:rsidP="004E2D20">
      <w:pPr>
        <w:spacing w:after="200" w:line="288" w:lineRule="auto"/>
        <w:jc w:val="both"/>
        <w:rPr>
          <w:rFonts w:ascii="Cambria" w:hAnsi="Cambria"/>
          <w:sz w:val="24"/>
          <w:szCs w:val="24"/>
        </w:rPr>
      </w:pPr>
      <w:r w:rsidRPr="000F3B6D">
        <w:rPr>
          <w:rFonts w:ascii="Cambria" w:hAnsi="Cambria"/>
          <w:sz w:val="24"/>
          <w:szCs w:val="24"/>
        </w:rPr>
        <w:t>One crucial question</w:t>
      </w:r>
      <w:r w:rsidR="002F1F30" w:rsidRPr="000F3B6D">
        <w:rPr>
          <w:rFonts w:ascii="Cambria" w:hAnsi="Cambria"/>
          <w:sz w:val="24"/>
          <w:szCs w:val="24"/>
        </w:rPr>
        <w:t xml:space="preserve"> here is what this judicial deference amounts to. What kinds of examination of religious associations’ decisions are and are not permitted? </w:t>
      </w:r>
      <w:r w:rsidR="003F7602">
        <w:rPr>
          <w:rFonts w:ascii="Cambria" w:hAnsi="Cambria"/>
          <w:sz w:val="24"/>
          <w:szCs w:val="24"/>
        </w:rPr>
        <w:t>Laborde’s</w:t>
      </w:r>
      <w:r w:rsidR="002F1F30" w:rsidRPr="000F3B6D">
        <w:rPr>
          <w:rFonts w:ascii="Cambria" w:hAnsi="Cambria"/>
          <w:sz w:val="24"/>
          <w:szCs w:val="24"/>
        </w:rPr>
        <w:t xml:space="preserve"> comments here are very quick. She </w:t>
      </w:r>
      <w:r w:rsidR="00C3500D" w:rsidRPr="000F3B6D">
        <w:rPr>
          <w:rFonts w:ascii="Cambria" w:hAnsi="Cambria"/>
          <w:sz w:val="24"/>
          <w:szCs w:val="24"/>
        </w:rPr>
        <w:t xml:space="preserve">briefly mentions some kinds of judicial examination </w:t>
      </w:r>
      <w:r w:rsidR="0037591F">
        <w:rPr>
          <w:rFonts w:ascii="Cambria" w:hAnsi="Cambria"/>
          <w:sz w:val="24"/>
          <w:szCs w:val="24"/>
        </w:rPr>
        <w:t xml:space="preserve">that </w:t>
      </w:r>
      <w:r w:rsidR="00C3500D" w:rsidRPr="000F3B6D">
        <w:rPr>
          <w:rFonts w:ascii="Cambria" w:hAnsi="Cambria"/>
          <w:sz w:val="24"/>
          <w:szCs w:val="24"/>
        </w:rPr>
        <w:t xml:space="preserve">she deems permissible. But the account is underdeveloped, leaving </w:t>
      </w:r>
      <w:r w:rsidR="00467FE6">
        <w:rPr>
          <w:rFonts w:ascii="Cambria" w:hAnsi="Cambria"/>
          <w:sz w:val="24"/>
          <w:szCs w:val="24"/>
        </w:rPr>
        <w:t xml:space="preserve">the reader with </w:t>
      </w:r>
      <w:r w:rsidR="00C3500D" w:rsidRPr="000F3B6D">
        <w:rPr>
          <w:rFonts w:ascii="Cambria" w:hAnsi="Cambria"/>
          <w:sz w:val="24"/>
          <w:szCs w:val="24"/>
        </w:rPr>
        <w:t xml:space="preserve">many questions </w:t>
      </w:r>
      <w:r w:rsidR="00486F22">
        <w:rPr>
          <w:rFonts w:ascii="Cambria" w:hAnsi="Cambria"/>
          <w:sz w:val="24"/>
          <w:szCs w:val="24"/>
        </w:rPr>
        <w:t>concerning</w:t>
      </w:r>
      <w:r w:rsidR="00C3500D" w:rsidRPr="000F3B6D">
        <w:rPr>
          <w:rFonts w:ascii="Cambria" w:hAnsi="Cambria"/>
          <w:sz w:val="24"/>
          <w:szCs w:val="24"/>
        </w:rPr>
        <w:t xml:space="preserve"> what these kinds of examination amount to, and what k</w:t>
      </w:r>
      <w:r w:rsidR="00E52B22" w:rsidRPr="000F3B6D">
        <w:rPr>
          <w:rFonts w:ascii="Cambria" w:hAnsi="Cambria"/>
          <w:sz w:val="24"/>
          <w:szCs w:val="24"/>
        </w:rPr>
        <w:t>inds of examination are barred.</w:t>
      </w:r>
    </w:p>
    <w:p w14:paraId="4172466E" w14:textId="7B2DAAF7" w:rsidR="00851755" w:rsidRPr="000F3B6D" w:rsidRDefault="00486F22" w:rsidP="004E2D20">
      <w:pPr>
        <w:spacing w:after="200" w:line="288" w:lineRule="auto"/>
        <w:jc w:val="both"/>
        <w:rPr>
          <w:rFonts w:ascii="Cambria" w:hAnsi="Cambria"/>
          <w:sz w:val="24"/>
          <w:szCs w:val="24"/>
        </w:rPr>
      </w:pPr>
      <w:r>
        <w:rPr>
          <w:rFonts w:ascii="Cambria" w:hAnsi="Cambria"/>
          <w:sz w:val="24"/>
          <w:szCs w:val="24"/>
        </w:rPr>
        <w:t>In</w:t>
      </w:r>
      <w:r w:rsidR="002F1F30" w:rsidRPr="000F3B6D">
        <w:rPr>
          <w:rFonts w:ascii="Cambria" w:hAnsi="Cambria"/>
          <w:sz w:val="24"/>
          <w:szCs w:val="24"/>
        </w:rPr>
        <w:t xml:space="preserve"> this final section </w:t>
      </w:r>
      <w:r w:rsidR="00F60A1D">
        <w:rPr>
          <w:rFonts w:ascii="Cambria" w:hAnsi="Cambria"/>
          <w:sz w:val="24"/>
          <w:szCs w:val="24"/>
        </w:rPr>
        <w:t>I will</w:t>
      </w:r>
      <w:r w:rsidR="002F1F30" w:rsidRPr="000F3B6D">
        <w:rPr>
          <w:rFonts w:ascii="Cambria" w:hAnsi="Cambria"/>
          <w:sz w:val="24"/>
          <w:szCs w:val="24"/>
        </w:rPr>
        <w:t xml:space="preserve"> </w:t>
      </w:r>
      <w:r w:rsidR="00F60A1D">
        <w:rPr>
          <w:rFonts w:ascii="Cambria" w:hAnsi="Cambria"/>
          <w:sz w:val="24"/>
          <w:szCs w:val="24"/>
        </w:rPr>
        <w:t xml:space="preserve">briefly </w:t>
      </w:r>
      <w:r w:rsidR="002F1F30" w:rsidRPr="000F3B6D">
        <w:rPr>
          <w:rFonts w:ascii="Cambria" w:hAnsi="Cambria"/>
          <w:sz w:val="24"/>
          <w:szCs w:val="24"/>
        </w:rPr>
        <w:t xml:space="preserve">sketch a more systematic </w:t>
      </w:r>
      <w:r>
        <w:rPr>
          <w:rFonts w:ascii="Cambria" w:hAnsi="Cambria"/>
          <w:sz w:val="24"/>
          <w:szCs w:val="24"/>
        </w:rPr>
        <w:t>account of</w:t>
      </w:r>
      <w:r w:rsidR="002F1F30" w:rsidRPr="000F3B6D">
        <w:rPr>
          <w:rFonts w:ascii="Cambria" w:hAnsi="Cambria"/>
          <w:sz w:val="24"/>
          <w:szCs w:val="24"/>
        </w:rPr>
        <w:t xml:space="preserve"> possible kinds of judicial examination</w:t>
      </w:r>
      <w:r w:rsidR="00F440A4" w:rsidRPr="000F3B6D">
        <w:rPr>
          <w:rFonts w:ascii="Cambria" w:hAnsi="Cambria"/>
          <w:sz w:val="24"/>
          <w:szCs w:val="24"/>
        </w:rPr>
        <w:t>,</w:t>
      </w:r>
      <w:r w:rsidR="00C3500D" w:rsidRPr="000F3B6D">
        <w:rPr>
          <w:rFonts w:ascii="Cambria" w:hAnsi="Cambria"/>
          <w:sz w:val="24"/>
          <w:szCs w:val="24"/>
        </w:rPr>
        <w:t xml:space="preserve"> in a case where a former employee brings </w:t>
      </w:r>
      <w:r w:rsidR="00F440A4" w:rsidRPr="000F3B6D">
        <w:rPr>
          <w:rFonts w:ascii="Cambria" w:hAnsi="Cambria"/>
          <w:sz w:val="24"/>
          <w:szCs w:val="24"/>
        </w:rPr>
        <w:t xml:space="preserve">a </w:t>
      </w:r>
      <w:r w:rsidR="00851755" w:rsidRPr="000F3B6D">
        <w:rPr>
          <w:rFonts w:ascii="Cambria" w:hAnsi="Cambria"/>
          <w:sz w:val="24"/>
          <w:szCs w:val="24"/>
        </w:rPr>
        <w:t>complaint</w:t>
      </w:r>
      <w:r w:rsidR="00C3500D" w:rsidRPr="000F3B6D">
        <w:rPr>
          <w:rFonts w:ascii="Cambria" w:hAnsi="Cambria"/>
          <w:sz w:val="24"/>
          <w:szCs w:val="24"/>
        </w:rPr>
        <w:t xml:space="preserve"> against </w:t>
      </w:r>
      <w:r w:rsidR="00F440A4" w:rsidRPr="000F3B6D">
        <w:rPr>
          <w:rFonts w:ascii="Cambria" w:hAnsi="Cambria"/>
          <w:sz w:val="24"/>
          <w:szCs w:val="24"/>
        </w:rPr>
        <w:t xml:space="preserve">her </w:t>
      </w:r>
      <w:r>
        <w:rPr>
          <w:rFonts w:ascii="Cambria" w:hAnsi="Cambria"/>
          <w:sz w:val="24"/>
          <w:szCs w:val="24"/>
        </w:rPr>
        <w:t>dismissal, and</w:t>
      </w:r>
      <w:r w:rsidR="004A6BD5">
        <w:rPr>
          <w:rFonts w:ascii="Cambria" w:hAnsi="Cambria"/>
          <w:sz w:val="24"/>
          <w:szCs w:val="24"/>
        </w:rPr>
        <w:t xml:space="preserve"> wi</w:t>
      </w:r>
      <w:r w:rsidR="00C3500D" w:rsidRPr="000F3B6D">
        <w:rPr>
          <w:rFonts w:ascii="Cambria" w:hAnsi="Cambria"/>
          <w:sz w:val="24"/>
          <w:szCs w:val="24"/>
        </w:rPr>
        <w:t xml:space="preserve">ll consider the permissibility of each </w:t>
      </w:r>
      <w:r w:rsidR="002F1F30" w:rsidRPr="000F3B6D">
        <w:rPr>
          <w:rFonts w:ascii="Cambria" w:hAnsi="Cambria"/>
          <w:sz w:val="24"/>
          <w:szCs w:val="24"/>
        </w:rPr>
        <w:t>at the bar of respect for coher</w:t>
      </w:r>
      <w:r w:rsidR="000E1CD6" w:rsidRPr="000F3B6D">
        <w:rPr>
          <w:rFonts w:ascii="Cambria" w:hAnsi="Cambria"/>
          <w:sz w:val="24"/>
          <w:szCs w:val="24"/>
        </w:rPr>
        <w:t>ence and competence interests.</w:t>
      </w:r>
      <w:r>
        <w:rPr>
          <w:rStyle w:val="FootnoteReference"/>
          <w:rFonts w:ascii="Cambria" w:hAnsi="Cambria"/>
          <w:sz w:val="24"/>
          <w:szCs w:val="24"/>
        </w:rPr>
        <w:footnoteReference w:id="11"/>
      </w:r>
      <w:r w:rsidR="003C18D3">
        <w:rPr>
          <w:rFonts w:ascii="Cambria" w:hAnsi="Cambria"/>
          <w:sz w:val="24"/>
          <w:szCs w:val="24"/>
        </w:rPr>
        <w:t xml:space="preserve"> </w:t>
      </w:r>
      <w:r w:rsidR="004A6BD5">
        <w:rPr>
          <w:rFonts w:ascii="Cambria" w:hAnsi="Cambria"/>
          <w:sz w:val="24"/>
          <w:szCs w:val="24"/>
        </w:rPr>
        <w:t>I am</w:t>
      </w:r>
      <w:r w:rsidR="002F1F30" w:rsidRPr="000F3B6D">
        <w:rPr>
          <w:rFonts w:ascii="Cambria" w:hAnsi="Cambria"/>
          <w:sz w:val="24"/>
          <w:szCs w:val="24"/>
        </w:rPr>
        <w:t xml:space="preserve"> not sure whether </w:t>
      </w:r>
      <w:r w:rsidR="004A6BD5">
        <w:rPr>
          <w:rFonts w:ascii="Cambria" w:hAnsi="Cambria"/>
          <w:sz w:val="24"/>
          <w:szCs w:val="24"/>
        </w:rPr>
        <w:t>Laborde</w:t>
      </w:r>
      <w:r w:rsidR="00404DAB" w:rsidRPr="000F3B6D">
        <w:rPr>
          <w:rFonts w:ascii="Cambria" w:hAnsi="Cambria"/>
          <w:sz w:val="24"/>
          <w:szCs w:val="24"/>
        </w:rPr>
        <w:t xml:space="preserve"> would </w:t>
      </w:r>
      <w:r w:rsidR="002F1F30" w:rsidRPr="000F3B6D">
        <w:rPr>
          <w:rFonts w:ascii="Cambria" w:hAnsi="Cambria"/>
          <w:sz w:val="24"/>
          <w:szCs w:val="24"/>
        </w:rPr>
        <w:t xml:space="preserve">agree with </w:t>
      </w:r>
      <w:r w:rsidR="003C18D3">
        <w:rPr>
          <w:rFonts w:ascii="Cambria" w:hAnsi="Cambria"/>
          <w:sz w:val="24"/>
          <w:szCs w:val="24"/>
        </w:rPr>
        <w:t>my</w:t>
      </w:r>
      <w:r w:rsidR="002F1F30" w:rsidRPr="000F3B6D">
        <w:rPr>
          <w:rFonts w:ascii="Cambria" w:hAnsi="Cambria"/>
          <w:sz w:val="24"/>
          <w:szCs w:val="24"/>
        </w:rPr>
        <w:t xml:space="preserve"> </w:t>
      </w:r>
      <w:r w:rsidR="001D606E">
        <w:rPr>
          <w:rFonts w:ascii="Cambria" w:hAnsi="Cambria"/>
          <w:sz w:val="24"/>
          <w:szCs w:val="24"/>
        </w:rPr>
        <w:t>judgments</w:t>
      </w:r>
      <w:r w:rsidR="002F1F30" w:rsidRPr="000F3B6D">
        <w:rPr>
          <w:rFonts w:ascii="Cambria" w:hAnsi="Cambria"/>
          <w:sz w:val="24"/>
          <w:szCs w:val="24"/>
        </w:rPr>
        <w:t xml:space="preserve"> here</w:t>
      </w:r>
      <w:r>
        <w:rPr>
          <w:rFonts w:ascii="Cambria" w:hAnsi="Cambria"/>
          <w:sz w:val="24"/>
          <w:szCs w:val="24"/>
        </w:rPr>
        <w:t xml:space="preserve">. </w:t>
      </w:r>
      <w:r w:rsidR="002F1F30" w:rsidRPr="000F3B6D">
        <w:rPr>
          <w:rFonts w:ascii="Cambria" w:hAnsi="Cambria"/>
          <w:sz w:val="24"/>
          <w:szCs w:val="24"/>
        </w:rPr>
        <w:t>I suspect</w:t>
      </w:r>
      <w:r w:rsidR="003C18D3">
        <w:rPr>
          <w:rFonts w:ascii="Cambria" w:hAnsi="Cambria"/>
          <w:sz w:val="24"/>
          <w:szCs w:val="24"/>
        </w:rPr>
        <w:t xml:space="preserve"> that I am</w:t>
      </w:r>
      <w:r w:rsidR="002F1F30" w:rsidRPr="000F3B6D">
        <w:rPr>
          <w:rFonts w:ascii="Cambria" w:hAnsi="Cambria"/>
          <w:sz w:val="24"/>
          <w:szCs w:val="24"/>
        </w:rPr>
        <w:t xml:space="preserve"> generally a little more cautious about judicial scrutiny, and thus more protective of religious group auton</w:t>
      </w:r>
      <w:r w:rsidR="00041D3E" w:rsidRPr="000F3B6D">
        <w:rPr>
          <w:rFonts w:ascii="Cambria" w:hAnsi="Cambria"/>
          <w:sz w:val="24"/>
          <w:szCs w:val="24"/>
        </w:rPr>
        <w:t>omy.</w:t>
      </w:r>
      <w:r w:rsidR="00C27967" w:rsidRPr="000F3B6D">
        <w:rPr>
          <w:rFonts w:ascii="Cambria" w:hAnsi="Cambria"/>
          <w:sz w:val="24"/>
          <w:szCs w:val="24"/>
        </w:rPr>
        <w:t xml:space="preserve"> But hopefully </w:t>
      </w:r>
      <w:r w:rsidR="00AB382F" w:rsidRPr="000F3B6D">
        <w:rPr>
          <w:rFonts w:ascii="Cambria" w:hAnsi="Cambria"/>
          <w:sz w:val="24"/>
          <w:szCs w:val="24"/>
        </w:rPr>
        <w:t>my</w:t>
      </w:r>
      <w:r w:rsidR="00C27967" w:rsidRPr="000F3B6D">
        <w:rPr>
          <w:rFonts w:ascii="Cambria" w:hAnsi="Cambria"/>
          <w:sz w:val="24"/>
          <w:szCs w:val="24"/>
        </w:rPr>
        <w:t xml:space="preserve"> framework </w:t>
      </w:r>
      <w:r w:rsidR="00AB382F" w:rsidRPr="000F3B6D">
        <w:rPr>
          <w:rFonts w:ascii="Cambria" w:hAnsi="Cambria"/>
          <w:sz w:val="24"/>
          <w:szCs w:val="24"/>
        </w:rPr>
        <w:t>can help</w:t>
      </w:r>
      <w:r w:rsidR="00C27967" w:rsidRPr="000F3B6D">
        <w:rPr>
          <w:rFonts w:ascii="Cambria" w:hAnsi="Cambria"/>
          <w:sz w:val="24"/>
          <w:szCs w:val="24"/>
        </w:rPr>
        <w:t xml:space="preserve"> us identify what is at stake.</w:t>
      </w:r>
    </w:p>
    <w:p w14:paraId="77761EBE" w14:textId="77777777" w:rsidR="00DE56FB"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First, consider </w:t>
      </w:r>
      <w:r w:rsidRPr="000F3B6D">
        <w:rPr>
          <w:rFonts w:ascii="Cambria" w:hAnsi="Cambria"/>
          <w:i/>
          <w:sz w:val="24"/>
          <w:szCs w:val="24"/>
        </w:rPr>
        <w:t>procedural</w:t>
      </w:r>
      <w:r w:rsidRPr="000F3B6D">
        <w:rPr>
          <w:rFonts w:ascii="Cambria" w:hAnsi="Cambria"/>
          <w:sz w:val="24"/>
          <w:szCs w:val="24"/>
        </w:rPr>
        <w:t xml:space="preserve"> examination of an association’s decision. </w:t>
      </w:r>
      <w:r w:rsidR="002D10D1">
        <w:rPr>
          <w:rFonts w:ascii="Cambria" w:hAnsi="Cambria"/>
          <w:sz w:val="24"/>
          <w:szCs w:val="24"/>
        </w:rPr>
        <w:t>Laborde</w:t>
      </w:r>
      <w:r w:rsidRPr="000F3B6D">
        <w:rPr>
          <w:rFonts w:ascii="Cambria" w:hAnsi="Cambria"/>
          <w:sz w:val="24"/>
          <w:szCs w:val="24"/>
        </w:rPr>
        <w:t xml:space="preserve"> mentions the European Court case </w:t>
      </w:r>
      <w:r w:rsidRPr="000F3B6D">
        <w:rPr>
          <w:rFonts w:ascii="Cambria" w:hAnsi="Cambria"/>
          <w:i/>
          <w:sz w:val="24"/>
          <w:szCs w:val="24"/>
        </w:rPr>
        <w:t>Lombardi Vallauri v. Italy</w:t>
      </w:r>
      <w:r w:rsidR="00A90745">
        <w:rPr>
          <w:rFonts w:ascii="Cambria" w:hAnsi="Cambria"/>
          <w:sz w:val="24"/>
          <w:szCs w:val="24"/>
        </w:rPr>
        <w:t>,</w:t>
      </w:r>
      <w:r w:rsidRPr="000F3B6D">
        <w:rPr>
          <w:rFonts w:ascii="Cambria" w:hAnsi="Cambria"/>
          <w:sz w:val="24"/>
          <w:szCs w:val="24"/>
          <w:vertAlign w:val="superscript"/>
        </w:rPr>
        <w:footnoteReference w:id="12"/>
      </w:r>
      <w:r w:rsidR="00A90745">
        <w:rPr>
          <w:rFonts w:ascii="Cambria" w:hAnsi="Cambria"/>
          <w:sz w:val="24"/>
          <w:szCs w:val="24"/>
        </w:rPr>
        <w:t xml:space="preserve"> where</w:t>
      </w:r>
      <w:r w:rsidR="008D523A" w:rsidRPr="000F3B6D">
        <w:rPr>
          <w:rFonts w:ascii="Cambria" w:hAnsi="Cambria"/>
          <w:sz w:val="24"/>
          <w:szCs w:val="24"/>
        </w:rPr>
        <w:t xml:space="preserve"> Court ruled</w:t>
      </w:r>
      <w:r w:rsidRPr="000F3B6D">
        <w:rPr>
          <w:rFonts w:ascii="Cambria" w:hAnsi="Cambria"/>
          <w:sz w:val="24"/>
          <w:szCs w:val="24"/>
        </w:rPr>
        <w:t xml:space="preserve"> that the dismissal of a professor at a Catholic university for deviating from Catholic orthodoxy had violated his rights, because the decision-making procedure had fallen short of basic procedural fairness</w:t>
      </w:r>
      <w:r w:rsidR="000618B8">
        <w:rPr>
          <w:rFonts w:ascii="Cambria" w:hAnsi="Cambria"/>
          <w:sz w:val="24"/>
          <w:szCs w:val="24"/>
        </w:rPr>
        <w:t xml:space="preserve"> (194)</w:t>
      </w:r>
      <w:r w:rsidRPr="000F3B6D">
        <w:rPr>
          <w:rFonts w:ascii="Cambria" w:hAnsi="Cambria"/>
          <w:sz w:val="24"/>
          <w:szCs w:val="24"/>
        </w:rPr>
        <w:t>. Professor Lombardi Vallauri was given no reasons for the decision, and had no chance to defend himself.</w:t>
      </w:r>
    </w:p>
    <w:p w14:paraId="315F62AB" w14:textId="65F68734" w:rsidR="00F97F39" w:rsidRPr="000F3B6D" w:rsidRDefault="009839D7" w:rsidP="004E2D20">
      <w:pPr>
        <w:spacing w:after="200" w:line="288" w:lineRule="auto"/>
        <w:jc w:val="both"/>
        <w:rPr>
          <w:rFonts w:ascii="Cambria" w:hAnsi="Cambria"/>
          <w:sz w:val="24"/>
          <w:szCs w:val="24"/>
        </w:rPr>
      </w:pPr>
      <w:r>
        <w:rPr>
          <w:rFonts w:ascii="Cambria" w:hAnsi="Cambria"/>
          <w:sz w:val="24"/>
          <w:szCs w:val="24"/>
        </w:rPr>
        <w:t>T</w:t>
      </w:r>
      <w:r w:rsidR="002F1F30" w:rsidRPr="000F3B6D">
        <w:rPr>
          <w:rFonts w:ascii="Cambria" w:hAnsi="Cambria"/>
          <w:sz w:val="24"/>
          <w:szCs w:val="24"/>
        </w:rPr>
        <w:t xml:space="preserve">he Court here checked whether the associations’ decision-making satisfied </w:t>
      </w:r>
      <w:r w:rsidR="002F1F30" w:rsidRPr="000F3B6D">
        <w:rPr>
          <w:rFonts w:ascii="Cambria" w:hAnsi="Cambria"/>
          <w:i/>
          <w:sz w:val="24"/>
          <w:szCs w:val="24"/>
        </w:rPr>
        <w:t>independent</w:t>
      </w:r>
      <w:r w:rsidR="002F1F30" w:rsidRPr="000F3B6D">
        <w:rPr>
          <w:rFonts w:ascii="Cambria" w:hAnsi="Cambria"/>
          <w:sz w:val="24"/>
          <w:szCs w:val="24"/>
        </w:rPr>
        <w:t xml:space="preserve"> standards of procedural fairness</w:t>
      </w:r>
      <w:r w:rsidR="004E2D20" w:rsidRPr="000F3B6D">
        <w:rPr>
          <w:rFonts w:ascii="Cambria" w:hAnsi="Cambria"/>
          <w:sz w:val="24"/>
          <w:szCs w:val="24"/>
        </w:rPr>
        <w:t>—</w:t>
      </w:r>
      <w:r w:rsidR="002F1F30" w:rsidRPr="000F3B6D">
        <w:rPr>
          <w:rFonts w:ascii="Cambria" w:hAnsi="Cambria"/>
          <w:sz w:val="24"/>
          <w:szCs w:val="24"/>
        </w:rPr>
        <w:t>standards of evidence, transparency, fair warning, right to reply, and so on.</w:t>
      </w:r>
      <w:r w:rsidR="00DE56FB">
        <w:rPr>
          <w:rFonts w:ascii="Cambria" w:hAnsi="Cambria"/>
          <w:sz w:val="24"/>
          <w:szCs w:val="24"/>
        </w:rPr>
        <w:t xml:space="preserve"> </w:t>
      </w:r>
      <w:r w:rsidR="002F1F30" w:rsidRPr="000F3B6D">
        <w:rPr>
          <w:rFonts w:ascii="Cambria" w:hAnsi="Cambria"/>
          <w:sz w:val="24"/>
          <w:szCs w:val="24"/>
        </w:rPr>
        <w:t xml:space="preserve">There is a range of possibilities with regard to how strict are the standards imposed in such examinations. The </w:t>
      </w:r>
      <w:r w:rsidR="002F1F30" w:rsidRPr="009A3559">
        <w:rPr>
          <w:rFonts w:ascii="Cambria" w:hAnsi="Cambria"/>
          <w:i/>
          <w:sz w:val="24"/>
          <w:szCs w:val="24"/>
        </w:rPr>
        <w:t>Lombardi Vallauri</w:t>
      </w:r>
      <w:r w:rsidR="002F1F30" w:rsidRPr="000F3B6D">
        <w:rPr>
          <w:rFonts w:ascii="Cambria" w:hAnsi="Cambria"/>
          <w:sz w:val="24"/>
          <w:szCs w:val="24"/>
        </w:rPr>
        <w:t xml:space="preserve"> case was rather extreme</w:t>
      </w:r>
      <w:r w:rsidR="004E2D20" w:rsidRPr="000F3B6D">
        <w:rPr>
          <w:rFonts w:ascii="Cambria" w:hAnsi="Cambria"/>
          <w:sz w:val="24"/>
          <w:szCs w:val="24"/>
        </w:rPr>
        <w:t>—</w:t>
      </w:r>
      <w:r w:rsidR="002F1F30" w:rsidRPr="000F3B6D">
        <w:rPr>
          <w:rFonts w:ascii="Cambria" w:hAnsi="Cambria"/>
          <w:sz w:val="24"/>
          <w:szCs w:val="24"/>
        </w:rPr>
        <w:t>the decision flouted even the most minimal standard</w:t>
      </w:r>
      <w:r w:rsidR="009A3559">
        <w:rPr>
          <w:rFonts w:ascii="Cambria" w:hAnsi="Cambria"/>
          <w:sz w:val="24"/>
          <w:szCs w:val="24"/>
        </w:rPr>
        <w:t>s</w:t>
      </w:r>
      <w:r w:rsidR="002F1F30" w:rsidRPr="000F3B6D">
        <w:rPr>
          <w:rFonts w:ascii="Cambria" w:hAnsi="Cambria"/>
          <w:sz w:val="24"/>
          <w:szCs w:val="24"/>
        </w:rPr>
        <w:t xml:space="preserve"> of procedural fairness. Many cases are less </w:t>
      </w:r>
      <w:r w:rsidR="009C5B69" w:rsidRPr="000F3B6D">
        <w:rPr>
          <w:rFonts w:ascii="Cambria" w:hAnsi="Cambria"/>
          <w:sz w:val="24"/>
          <w:szCs w:val="24"/>
        </w:rPr>
        <w:t>clear-cut</w:t>
      </w:r>
      <w:r w:rsidR="002F1F30" w:rsidRPr="000F3B6D">
        <w:rPr>
          <w:rFonts w:ascii="Cambria" w:hAnsi="Cambria"/>
          <w:sz w:val="24"/>
          <w:szCs w:val="24"/>
        </w:rPr>
        <w:t>: the association gives an employee rather less time to formulate their response to the allegat</w:t>
      </w:r>
      <w:r w:rsidR="009C5B69">
        <w:rPr>
          <w:rFonts w:ascii="Cambria" w:hAnsi="Cambria"/>
          <w:sz w:val="24"/>
          <w:szCs w:val="24"/>
        </w:rPr>
        <w:t>ions than we might think fair; r</w:t>
      </w:r>
      <w:r w:rsidR="002F1F30" w:rsidRPr="000F3B6D">
        <w:rPr>
          <w:rFonts w:ascii="Cambria" w:hAnsi="Cambria"/>
          <w:sz w:val="24"/>
          <w:szCs w:val="24"/>
        </w:rPr>
        <w:t>easons for th</w:t>
      </w:r>
      <w:r w:rsidR="00301E6D">
        <w:rPr>
          <w:rFonts w:ascii="Cambria" w:hAnsi="Cambria"/>
          <w:sz w:val="24"/>
          <w:szCs w:val="24"/>
        </w:rPr>
        <w:t>e decision are given, but there i</w:t>
      </w:r>
      <w:r w:rsidR="002F1F30" w:rsidRPr="000F3B6D">
        <w:rPr>
          <w:rFonts w:ascii="Cambria" w:hAnsi="Cambria"/>
          <w:sz w:val="24"/>
          <w:szCs w:val="24"/>
        </w:rPr>
        <w:t xml:space="preserve">s little transparency regarding how the decision was made. Since </w:t>
      </w:r>
      <w:r w:rsidR="00A44365">
        <w:rPr>
          <w:rFonts w:ascii="Cambria" w:hAnsi="Cambria"/>
          <w:sz w:val="24"/>
          <w:szCs w:val="24"/>
        </w:rPr>
        <w:t>Laborde</w:t>
      </w:r>
      <w:r w:rsidR="002F1F30" w:rsidRPr="000F3B6D">
        <w:rPr>
          <w:rFonts w:ascii="Cambria" w:hAnsi="Cambria"/>
          <w:sz w:val="24"/>
          <w:szCs w:val="24"/>
        </w:rPr>
        <w:t xml:space="preserve"> only c</w:t>
      </w:r>
      <w:r w:rsidR="00A44365">
        <w:rPr>
          <w:rFonts w:ascii="Cambria" w:hAnsi="Cambria"/>
          <w:sz w:val="24"/>
          <w:szCs w:val="24"/>
        </w:rPr>
        <w:t>omments on the extreme case, it i</w:t>
      </w:r>
      <w:r w:rsidR="002F1F30" w:rsidRPr="000F3B6D">
        <w:rPr>
          <w:rFonts w:ascii="Cambria" w:hAnsi="Cambria"/>
          <w:sz w:val="24"/>
          <w:szCs w:val="24"/>
        </w:rPr>
        <w:t>s not clear how strict a standard she</w:t>
      </w:r>
      <w:r w:rsidR="008F7CC7" w:rsidRPr="000F3B6D">
        <w:rPr>
          <w:rFonts w:ascii="Cambria" w:hAnsi="Cambria"/>
          <w:sz w:val="24"/>
          <w:szCs w:val="24"/>
        </w:rPr>
        <w:t xml:space="preserve"> believes courts </w:t>
      </w:r>
      <w:r w:rsidR="008F7CC7" w:rsidRPr="000F3B6D">
        <w:rPr>
          <w:rFonts w:ascii="Cambria" w:hAnsi="Cambria"/>
          <w:sz w:val="24"/>
          <w:szCs w:val="24"/>
        </w:rPr>
        <w:lastRenderedPageBreak/>
        <w:t>should impose.</w:t>
      </w:r>
      <w:r w:rsidR="00942CB8">
        <w:rPr>
          <w:rFonts w:ascii="Cambria" w:hAnsi="Cambria"/>
          <w:sz w:val="24"/>
          <w:szCs w:val="24"/>
        </w:rPr>
        <w:t xml:space="preserve"> </w:t>
      </w:r>
      <w:r w:rsidR="002F1F30" w:rsidRPr="000F3B6D">
        <w:rPr>
          <w:rFonts w:ascii="Cambria" w:hAnsi="Cambria"/>
          <w:sz w:val="24"/>
          <w:szCs w:val="24"/>
        </w:rPr>
        <w:t>My view is that this standard should be very minimal, to avoid violating competence interests. Only egregious ca</w:t>
      </w:r>
      <w:r w:rsidR="00041D3E" w:rsidRPr="000F3B6D">
        <w:rPr>
          <w:rFonts w:ascii="Cambria" w:hAnsi="Cambria"/>
          <w:sz w:val="24"/>
          <w:szCs w:val="24"/>
        </w:rPr>
        <w:t xml:space="preserve">ses such as the </w:t>
      </w:r>
      <w:r w:rsidR="00041D3E" w:rsidRPr="00942CB8">
        <w:rPr>
          <w:rFonts w:ascii="Cambria" w:hAnsi="Cambria"/>
          <w:i/>
          <w:sz w:val="24"/>
          <w:szCs w:val="24"/>
        </w:rPr>
        <w:t>Lombardi</w:t>
      </w:r>
      <w:r w:rsidR="002F1F30" w:rsidRPr="00942CB8">
        <w:rPr>
          <w:rFonts w:ascii="Cambria" w:hAnsi="Cambria"/>
          <w:i/>
          <w:sz w:val="24"/>
          <w:szCs w:val="24"/>
        </w:rPr>
        <w:t xml:space="preserve"> Vallauri</w:t>
      </w:r>
      <w:r w:rsidR="002F1F30" w:rsidRPr="000F3B6D">
        <w:rPr>
          <w:rFonts w:ascii="Cambria" w:hAnsi="Cambria"/>
          <w:sz w:val="24"/>
          <w:szCs w:val="24"/>
        </w:rPr>
        <w:t xml:space="preserve"> decision would be impugned.</w:t>
      </w:r>
    </w:p>
    <w:p w14:paraId="79D2E7E2" w14:textId="2F8BB51E"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Another kind of procedural examination</w:t>
      </w:r>
      <w:r w:rsidR="00157E17" w:rsidRPr="000F3B6D">
        <w:rPr>
          <w:rFonts w:ascii="Cambria" w:hAnsi="Cambria"/>
          <w:sz w:val="24"/>
          <w:szCs w:val="24"/>
        </w:rPr>
        <w:t xml:space="preserve">, which </w:t>
      </w:r>
      <w:r w:rsidR="00942CB8">
        <w:rPr>
          <w:rFonts w:ascii="Cambria" w:hAnsi="Cambria"/>
          <w:sz w:val="24"/>
          <w:szCs w:val="24"/>
        </w:rPr>
        <w:t>Laborde</w:t>
      </w:r>
      <w:r w:rsidR="00157E17" w:rsidRPr="000F3B6D">
        <w:rPr>
          <w:rFonts w:ascii="Cambria" w:hAnsi="Cambria"/>
          <w:sz w:val="24"/>
          <w:szCs w:val="24"/>
        </w:rPr>
        <w:t xml:space="preserve"> does</w:t>
      </w:r>
      <w:r w:rsidR="00942CB8">
        <w:rPr>
          <w:rFonts w:ascii="Cambria" w:hAnsi="Cambria"/>
          <w:sz w:val="24"/>
          <w:szCs w:val="24"/>
        </w:rPr>
        <w:t xml:space="preserve"> no</w:t>
      </w:r>
      <w:r w:rsidR="00157E17" w:rsidRPr="000F3B6D">
        <w:rPr>
          <w:rFonts w:ascii="Cambria" w:hAnsi="Cambria"/>
          <w:sz w:val="24"/>
          <w:szCs w:val="24"/>
        </w:rPr>
        <w:t>t mention,</w:t>
      </w:r>
      <w:r w:rsidRPr="000F3B6D">
        <w:rPr>
          <w:rFonts w:ascii="Cambria" w:hAnsi="Cambria"/>
          <w:sz w:val="24"/>
          <w:szCs w:val="24"/>
        </w:rPr>
        <w:t xml:space="preserve"> </w:t>
      </w:r>
      <w:r w:rsidR="00B51751" w:rsidRPr="000F3B6D">
        <w:rPr>
          <w:rFonts w:ascii="Cambria" w:hAnsi="Cambria"/>
          <w:sz w:val="24"/>
          <w:szCs w:val="24"/>
        </w:rPr>
        <w:t xml:space="preserve">is the court checking that </w:t>
      </w:r>
      <w:r w:rsidR="00A82B12" w:rsidRPr="000F3B6D">
        <w:rPr>
          <w:rFonts w:ascii="Cambria" w:hAnsi="Cambria"/>
          <w:sz w:val="24"/>
          <w:szCs w:val="24"/>
        </w:rPr>
        <w:t xml:space="preserve">the </w:t>
      </w:r>
      <w:r w:rsidRPr="000F3B6D">
        <w:rPr>
          <w:rFonts w:ascii="Cambria" w:hAnsi="Cambria"/>
          <w:sz w:val="24"/>
          <w:szCs w:val="24"/>
        </w:rPr>
        <w:t xml:space="preserve">association followed its own stated </w:t>
      </w:r>
      <w:r w:rsidR="003A6F36" w:rsidRPr="000F3B6D">
        <w:rPr>
          <w:rFonts w:ascii="Cambria" w:hAnsi="Cambria"/>
          <w:sz w:val="24"/>
          <w:szCs w:val="24"/>
        </w:rPr>
        <w:t xml:space="preserve">disciplinary </w:t>
      </w:r>
      <w:r w:rsidRPr="000F3B6D">
        <w:rPr>
          <w:rFonts w:ascii="Cambria" w:hAnsi="Cambria"/>
          <w:sz w:val="24"/>
          <w:szCs w:val="24"/>
        </w:rPr>
        <w:t>procedures</w:t>
      </w:r>
      <w:r w:rsidR="004E2D20" w:rsidRPr="000F3B6D">
        <w:rPr>
          <w:rFonts w:ascii="Cambria" w:hAnsi="Cambria"/>
          <w:sz w:val="24"/>
          <w:szCs w:val="24"/>
        </w:rPr>
        <w:t>—</w:t>
      </w:r>
      <w:r w:rsidRPr="000F3B6D">
        <w:rPr>
          <w:rFonts w:ascii="Cambria" w:hAnsi="Cambria"/>
          <w:sz w:val="24"/>
          <w:szCs w:val="24"/>
        </w:rPr>
        <w:t xml:space="preserve">that it abided by the procedures it </w:t>
      </w:r>
      <w:r w:rsidR="008F24E2">
        <w:rPr>
          <w:rFonts w:ascii="Cambria" w:hAnsi="Cambria"/>
          <w:sz w:val="24"/>
          <w:szCs w:val="24"/>
        </w:rPr>
        <w:t xml:space="preserve">has </w:t>
      </w:r>
      <w:r w:rsidRPr="000F3B6D">
        <w:rPr>
          <w:rFonts w:ascii="Cambria" w:hAnsi="Cambria"/>
          <w:sz w:val="24"/>
          <w:szCs w:val="24"/>
        </w:rPr>
        <w:t>set for itself.</w:t>
      </w:r>
      <w:r w:rsidR="008F24E2">
        <w:rPr>
          <w:rFonts w:ascii="Cambria" w:hAnsi="Cambria"/>
          <w:sz w:val="24"/>
          <w:szCs w:val="24"/>
        </w:rPr>
        <w:t xml:space="preserve"> </w:t>
      </w:r>
      <w:r w:rsidRPr="000F3B6D">
        <w:rPr>
          <w:rFonts w:ascii="Cambria" w:hAnsi="Cambria"/>
          <w:sz w:val="24"/>
          <w:szCs w:val="24"/>
        </w:rPr>
        <w:t>This might look straightforward</w:t>
      </w:r>
      <w:r w:rsidR="00F90175">
        <w:rPr>
          <w:rFonts w:ascii="Cambria" w:hAnsi="Cambria"/>
          <w:sz w:val="24"/>
          <w:szCs w:val="24"/>
        </w:rPr>
        <w:t xml:space="preserve">; for example, </w:t>
      </w:r>
      <w:r w:rsidRPr="000F3B6D">
        <w:rPr>
          <w:rFonts w:ascii="Cambria" w:hAnsi="Cambria"/>
          <w:sz w:val="24"/>
          <w:szCs w:val="24"/>
        </w:rPr>
        <w:t xml:space="preserve">the employee has a legitimate complaint if she was not granted the stated </w:t>
      </w:r>
      <w:r w:rsidR="00041D3E" w:rsidRPr="000F3B6D">
        <w:rPr>
          <w:rFonts w:ascii="Cambria" w:hAnsi="Cambria"/>
          <w:sz w:val="24"/>
          <w:szCs w:val="24"/>
        </w:rPr>
        <w:t>two</w:t>
      </w:r>
      <w:r w:rsidRPr="000F3B6D">
        <w:rPr>
          <w:rFonts w:ascii="Cambria" w:hAnsi="Cambria"/>
          <w:sz w:val="24"/>
          <w:szCs w:val="24"/>
        </w:rPr>
        <w:t xml:space="preserve"> weeks to respond to accusations of malpractice. But matters quickly become complicated here, because assessing whether an association followed its procedures </w:t>
      </w:r>
      <w:r w:rsidR="00D83A93">
        <w:rPr>
          <w:rFonts w:ascii="Cambria" w:hAnsi="Cambria"/>
          <w:sz w:val="24"/>
          <w:szCs w:val="24"/>
        </w:rPr>
        <w:t xml:space="preserve">partially </w:t>
      </w:r>
      <w:r w:rsidRPr="000F3B6D">
        <w:rPr>
          <w:rFonts w:ascii="Cambria" w:hAnsi="Cambria"/>
          <w:sz w:val="24"/>
          <w:szCs w:val="24"/>
        </w:rPr>
        <w:t>involves assessing whether it applied its stated grounds for dismissal. And those grounds will inev</w:t>
      </w:r>
      <w:r w:rsidR="00A82B12" w:rsidRPr="000F3B6D">
        <w:rPr>
          <w:rFonts w:ascii="Cambria" w:hAnsi="Cambria"/>
          <w:sz w:val="24"/>
          <w:szCs w:val="24"/>
        </w:rPr>
        <w:t>itably reflect the association’s</w:t>
      </w:r>
      <w:r w:rsidR="00B03706">
        <w:rPr>
          <w:rFonts w:ascii="Cambria" w:hAnsi="Cambria"/>
          <w:sz w:val="24"/>
          <w:szCs w:val="24"/>
        </w:rPr>
        <w:t xml:space="preserve"> particular beliefs and values, a</w:t>
      </w:r>
      <w:r w:rsidRPr="000F3B6D">
        <w:rPr>
          <w:rFonts w:ascii="Cambria" w:hAnsi="Cambria"/>
          <w:sz w:val="24"/>
          <w:szCs w:val="24"/>
        </w:rPr>
        <w:t>nd thus implic</w:t>
      </w:r>
      <w:r w:rsidR="00A82B12" w:rsidRPr="000F3B6D">
        <w:rPr>
          <w:rFonts w:ascii="Cambria" w:hAnsi="Cambria"/>
          <w:sz w:val="24"/>
          <w:szCs w:val="24"/>
        </w:rPr>
        <w:t xml:space="preserve">ate their competence interests. </w:t>
      </w:r>
      <w:r w:rsidRPr="000F3B6D">
        <w:rPr>
          <w:rFonts w:ascii="Cambria" w:hAnsi="Cambria"/>
          <w:sz w:val="24"/>
          <w:szCs w:val="24"/>
        </w:rPr>
        <w:t>If ‘moral failure’ is listed as a ground for dismissal, then it is hard for the court to assess whether the church has followed its procedures without assessing whether the employee h</w:t>
      </w:r>
      <w:r w:rsidR="002F0A54">
        <w:rPr>
          <w:rFonts w:ascii="Cambria" w:hAnsi="Cambria"/>
          <w:sz w:val="24"/>
          <w:szCs w:val="24"/>
        </w:rPr>
        <w:t>as fallen short morally. But it i</w:t>
      </w:r>
      <w:r w:rsidRPr="000F3B6D">
        <w:rPr>
          <w:rFonts w:ascii="Cambria" w:hAnsi="Cambria"/>
          <w:sz w:val="24"/>
          <w:szCs w:val="24"/>
        </w:rPr>
        <w:t xml:space="preserve">s hard to do </w:t>
      </w:r>
      <w:r w:rsidR="002F0A54">
        <w:rPr>
          <w:rFonts w:ascii="Cambria" w:hAnsi="Cambria"/>
          <w:i/>
          <w:sz w:val="24"/>
          <w:szCs w:val="24"/>
        </w:rPr>
        <w:t>that</w:t>
      </w:r>
      <w:r w:rsidRPr="000F3B6D">
        <w:rPr>
          <w:rFonts w:ascii="Cambria" w:hAnsi="Cambria"/>
          <w:sz w:val="24"/>
          <w:szCs w:val="24"/>
        </w:rPr>
        <w:t xml:space="preserve"> without infringing competence interests, by making judgments about what ought to count as moral failure.</w:t>
      </w:r>
    </w:p>
    <w:p w14:paraId="23219380" w14:textId="5930C873"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We could make further distinctions. Perhaps the court can assess whether the association has good evidence for the claimed moral failure, while accepting at face value the association’s view of what counts as moral failure. For example, the court </w:t>
      </w:r>
      <w:r w:rsidR="00805D91" w:rsidRPr="000F3B6D">
        <w:rPr>
          <w:rFonts w:ascii="Cambria" w:hAnsi="Cambria"/>
          <w:sz w:val="24"/>
          <w:szCs w:val="24"/>
        </w:rPr>
        <w:t xml:space="preserve">could accept that adultery is grounds for dismissal in the Mormon </w:t>
      </w:r>
      <w:r w:rsidR="00B47F5E" w:rsidRPr="000F3B6D">
        <w:rPr>
          <w:rFonts w:ascii="Cambria" w:hAnsi="Cambria"/>
          <w:sz w:val="24"/>
          <w:szCs w:val="24"/>
        </w:rPr>
        <w:t>Church</w:t>
      </w:r>
      <w:r w:rsidR="00805D91" w:rsidRPr="000F3B6D">
        <w:rPr>
          <w:rFonts w:ascii="Cambria" w:hAnsi="Cambria"/>
          <w:sz w:val="24"/>
          <w:szCs w:val="24"/>
        </w:rPr>
        <w:t>, but check that they had good evidence that Obst was having an affair.</w:t>
      </w:r>
      <w:r w:rsidR="008D648D">
        <w:rPr>
          <w:rFonts w:ascii="Cambria" w:hAnsi="Cambria"/>
          <w:sz w:val="24"/>
          <w:szCs w:val="24"/>
        </w:rPr>
        <w:t xml:space="preserve"> </w:t>
      </w:r>
      <w:r w:rsidRPr="000F3B6D">
        <w:rPr>
          <w:rFonts w:ascii="Cambria" w:hAnsi="Cambria"/>
          <w:sz w:val="24"/>
          <w:szCs w:val="24"/>
        </w:rPr>
        <w:t xml:space="preserve">The challenge, of course, is whether courts can </w:t>
      </w:r>
      <w:r w:rsidR="00B47F5E">
        <w:rPr>
          <w:rFonts w:ascii="Cambria" w:hAnsi="Cambria"/>
          <w:sz w:val="24"/>
          <w:szCs w:val="24"/>
        </w:rPr>
        <w:t xml:space="preserve">limit themselves to identifying and assessing the matters that are within their competence, without also explicitly or implicitly interpreting or assessing groups’ doctrines or values in ways that violate competence interests. </w:t>
      </w:r>
      <w:r w:rsidR="009E111F">
        <w:rPr>
          <w:rFonts w:ascii="Cambria" w:hAnsi="Cambria"/>
          <w:sz w:val="24"/>
          <w:szCs w:val="24"/>
        </w:rPr>
        <w:t>I wil</w:t>
      </w:r>
      <w:r w:rsidR="00035DB8" w:rsidRPr="000F3B6D">
        <w:rPr>
          <w:rFonts w:ascii="Cambria" w:hAnsi="Cambria"/>
          <w:sz w:val="24"/>
          <w:szCs w:val="24"/>
        </w:rPr>
        <w:t xml:space="preserve">l </w:t>
      </w:r>
      <w:r w:rsidRPr="000F3B6D">
        <w:rPr>
          <w:rFonts w:ascii="Cambria" w:hAnsi="Cambria"/>
          <w:sz w:val="24"/>
          <w:szCs w:val="24"/>
        </w:rPr>
        <w:t>return to this point at the end.</w:t>
      </w:r>
    </w:p>
    <w:p w14:paraId="42C044F1" w14:textId="7FF202F5" w:rsidR="00F97F39" w:rsidRPr="000F3B6D" w:rsidRDefault="004F21CD" w:rsidP="004E2D20">
      <w:pPr>
        <w:spacing w:after="200" w:line="288" w:lineRule="auto"/>
        <w:jc w:val="both"/>
        <w:rPr>
          <w:rFonts w:ascii="Cambria" w:hAnsi="Cambria"/>
          <w:sz w:val="24"/>
          <w:szCs w:val="24"/>
        </w:rPr>
      </w:pPr>
      <w:r>
        <w:rPr>
          <w:rFonts w:ascii="Cambria" w:hAnsi="Cambria"/>
          <w:sz w:val="24"/>
          <w:szCs w:val="24"/>
        </w:rPr>
        <w:t>Before that,</w:t>
      </w:r>
      <w:r w:rsidR="00940B7B" w:rsidRPr="000F3B6D">
        <w:rPr>
          <w:rFonts w:ascii="Cambria" w:hAnsi="Cambria"/>
          <w:sz w:val="24"/>
          <w:szCs w:val="24"/>
        </w:rPr>
        <w:t xml:space="preserve"> </w:t>
      </w:r>
      <w:r w:rsidR="002F1F30" w:rsidRPr="000F3B6D">
        <w:rPr>
          <w:rFonts w:ascii="Cambria" w:hAnsi="Cambria"/>
          <w:sz w:val="24"/>
          <w:szCs w:val="24"/>
        </w:rPr>
        <w:t xml:space="preserve">we should consider whether courts should be permitted to engage in any kind of </w:t>
      </w:r>
      <w:r w:rsidR="002F1F30" w:rsidRPr="000F3B6D">
        <w:rPr>
          <w:rFonts w:ascii="Cambria" w:hAnsi="Cambria"/>
          <w:i/>
          <w:sz w:val="24"/>
          <w:szCs w:val="24"/>
        </w:rPr>
        <w:t xml:space="preserve">substantive </w:t>
      </w:r>
      <w:r w:rsidR="002F1F30" w:rsidRPr="000F3B6D">
        <w:rPr>
          <w:rFonts w:ascii="Cambria" w:hAnsi="Cambria"/>
          <w:sz w:val="24"/>
          <w:szCs w:val="24"/>
        </w:rPr>
        <w:t>examination of associations’ decisions. We can distinguish three kinds of substantive examination.</w:t>
      </w:r>
      <w:r w:rsidR="000E4534">
        <w:rPr>
          <w:rFonts w:ascii="Cambria" w:hAnsi="Cambria"/>
          <w:sz w:val="24"/>
          <w:szCs w:val="24"/>
        </w:rPr>
        <w:t xml:space="preserve"> </w:t>
      </w:r>
      <w:r w:rsidR="002F1F30" w:rsidRPr="000F3B6D">
        <w:rPr>
          <w:rFonts w:ascii="Cambria" w:hAnsi="Cambria"/>
          <w:sz w:val="24"/>
          <w:szCs w:val="24"/>
        </w:rPr>
        <w:t xml:space="preserve">The most basic involves asking whether the stated reasons for dismissal were pretexual. Did the association actually dismiss the employee because she deviated from orthodoxy in her teaching, or was the real reason simply gender discrimination? </w:t>
      </w:r>
      <w:r w:rsidR="00CF49D1">
        <w:rPr>
          <w:rFonts w:ascii="Cambria" w:hAnsi="Cambria"/>
          <w:sz w:val="24"/>
          <w:szCs w:val="24"/>
        </w:rPr>
        <w:t>Laborde</w:t>
      </w:r>
      <w:r w:rsidR="002F1F30" w:rsidRPr="000F3B6D">
        <w:rPr>
          <w:rFonts w:ascii="Cambria" w:hAnsi="Cambria"/>
          <w:sz w:val="24"/>
          <w:szCs w:val="24"/>
        </w:rPr>
        <w:t xml:space="preserve"> explicitly endorses this kind of assessment, noting that it parallels the sincerity tests commonly applied in cases of individual c</w:t>
      </w:r>
      <w:r w:rsidR="003469A4">
        <w:rPr>
          <w:rFonts w:ascii="Cambria" w:hAnsi="Cambria"/>
          <w:sz w:val="24"/>
          <w:szCs w:val="24"/>
        </w:rPr>
        <w:t>laims to exemption</w:t>
      </w:r>
      <w:r w:rsidR="000618B8">
        <w:rPr>
          <w:rFonts w:ascii="Cambria" w:hAnsi="Cambria"/>
          <w:sz w:val="24"/>
          <w:szCs w:val="24"/>
        </w:rPr>
        <w:t xml:space="preserve"> (193)</w:t>
      </w:r>
      <w:r w:rsidR="003469A4">
        <w:rPr>
          <w:rFonts w:ascii="Cambria" w:hAnsi="Cambria"/>
          <w:sz w:val="24"/>
          <w:szCs w:val="24"/>
        </w:rPr>
        <w:t>. I think she i</w:t>
      </w:r>
      <w:r w:rsidR="002F1F30" w:rsidRPr="000F3B6D">
        <w:rPr>
          <w:rFonts w:ascii="Cambria" w:hAnsi="Cambria"/>
          <w:sz w:val="24"/>
          <w:szCs w:val="24"/>
        </w:rPr>
        <w:t>s right here</w:t>
      </w:r>
      <w:r w:rsidR="004E2D20" w:rsidRPr="000F3B6D">
        <w:rPr>
          <w:rFonts w:ascii="Cambria" w:hAnsi="Cambria"/>
          <w:sz w:val="24"/>
          <w:szCs w:val="24"/>
        </w:rPr>
        <w:t>—</w:t>
      </w:r>
      <w:r w:rsidR="002F1F30" w:rsidRPr="000F3B6D">
        <w:rPr>
          <w:rFonts w:ascii="Cambria" w:hAnsi="Cambria"/>
          <w:sz w:val="24"/>
          <w:szCs w:val="24"/>
        </w:rPr>
        <w:t>again, as long as the standard imposed is fairly minimal.</w:t>
      </w:r>
      <w:r w:rsidR="003469A4">
        <w:rPr>
          <w:rFonts w:ascii="Cambria" w:hAnsi="Cambria"/>
          <w:sz w:val="24"/>
          <w:szCs w:val="24"/>
        </w:rPr>
        <w:t xml:space="preserve"> </w:t>
      </w:r>
      <w:r w:rsidR="002F1F30" w:rsidRPr="000F3B6D">
        <w:rPr>
          <w:rFonts w:ascii="Cambria" w:hAnsi="Cambria"/>
          <w:sz w:val="24"/>
          <w:szCs w:val="24"/>
        </w:rPr>
        <w:t xml:space="preserve">The burden of proof for the association should be low. And courts </w:t>
      </w:r>
      <w:r w:rsidR="003469A4">
        <w:rPr>
          <w:rFonts w:ascii="Cambria" w:hAnsi="Cambria"/>
          <w:sz w:val="24"/>
          <w:szCs w:val="24"/>
        </w:rPr>
        <w:t>should not</w:t>
      </w:r>
      <w:r w:rsidR="002F1F30" w:rsidRPr="000F3B6D">
        <w:rPr>
          <w:rFonts w:ascii="Cambria" w:hAnsi="Cambria"/>
          <w:sz w:val="24"/>
          <w:szCs w:val="24"/>
        </w:rPr>
        <w:t xml:space="preserve"> engage in complicated judgments regarding precisely what considerations motivated the decisions of each individual involved. But they should be alert to cases where the religious reasons for a decision were only produced subsequent to the employee lodging a complai</w:t>
      </w:r>
      <w:r w:rsidR="0099028C">
        <w:rPr>
          <w:rFonts w:ascii="Cambria" w:hAnsi="Cambria"/>
          <w:sz w:val="24"/>
          <w:szCs w:val="24"/>
        </w:rPr>
        <w:t>nt and there i</w:t>
      </w:r>
      <w:r w:rsidR="002F1F30" w:rsidRPr="000F3B6D">
        <w:rPr>
          <w:rFonts w:ascii="Cambria" w:hAnsi="Cambria"/>
          <w:sz w:val="24"/>
          <w:szCs w:val="24"/>
        </w:rPr>
        <w:t>s clear evidence that other reasons were actually behind the decision.</w:t>
      </w:r>
    </w:p>
    <w:p w14:paraId="411BFBB4" w14:textId="14169B44"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A second kind of substantive examination is evaluating the reasons for dismissal. There are two versions of this.</w:t>
      </w:r>
      <w:r w:rsidR="00893472">
        <w:rPr>
          <w:rFonts w:ascii="Cambria" w:hAnsi="Cambria"/>
          <w:sz w:val="24"/>
          <w:szCs w:val="24"/>
        </w:rPr>
        <w:t xml:space="preserve"> First, t</w:t>
      </w:r>
      <w:r w:rsidRPr="000F3B6D">
        <w:rPr>
          <w:rFonts w:ascii="Cambria" w:hAnsi="Cambria"/>
          <w:sz w:val="24"/>
          <w:szCs w:val="24"/>
        </w:rPr>
        <w:t>he court could ask whether the reasons for dismissal are good reasons from the perspective of the association itself. Are they justified by its doctrines?</w:t>
      </w:r>
      <w:r w:rsidR="00893472">
        <w:rPr>
          <w:rFonts w:ascii="Cambria" w:hAnsi="Cambria"/>
          <w:sz w:val="24"/>
          <w:szCs w:val="24"/>
        </w:rPr>
        <w:t xml:space="preserve"> </w:t>
      </w:r>
      <w:r w:rsidR="00627835" w:rsidRPr="000F3B6D">
        <w:rPr>
          <w:rFonts w:ascii="Cambria" w:hAnsi="Cambria"/>
          <w:sz w:val="24"/>
          <w:szCs w:val="24"/>
        </w:rPr>
        <w:t xml:space="preserve">A very minimal form of </w:t>
      </w:r>
      <w:r w:rsidR="00150EDE" w:rsidRPr="000F3B6D">
        <w:rPr>
          <w:rFonts w:ascii="Cambria" w:hAnsi="Cambria"/>
          <w:sz w:val="24"/>
          <w:szCs w:val="24"/>
        </w:rPr>
        <w:t xml:space="preserve">such </w:t>
      </w:r>
      <w:r w:rsidR="00627835" w:rsidRPr="000F3B6D">
        <w:rPr>
          <w:rFonts w:ascii="Cambria" w:hAnsi="Cambria"/>
          <w:sz w:val="24"/>
          <w:szCs w:val="24"/>
        </w:rPr>
        <w:t>assessment</w:t>
      </w:r>
      <w:r w:rsidR="004342D3">
        <w:rPr>
          <w:rFonts w:ascii="Cambria" w:hAnsi="Cambria"/>
          <w:sz w:val="24"/>
          <w:szCs w:val="24"/>
        </w:rPr>
        <w:t>—</w:t>
      </w:r>
      <w:r w:rsidR="00627835" w:rsidRPr="000F3B6D">
        <w:rPr>
          <w:rFonts w:ascii="Cambria" w:hAnsi="Cambria"/>
          <w:sz w:val="24"/>
          <w:szCs w:val="24"/>
        </w:rPr>
        <w:t>requiring the association to show that its decision reflected its values</w:t>
      </w:r>
      <w:r w:rsidR="004342D3">
        <w:rPr>
          <w:rFonts w:ascii="Cambria" w:hAnsi="Cambria"/>
          <w:sz w:val="24"/>
          <w:szCs w:val="24"/>
        </w:rPr>
        <w:t>—</w:t>
      </w:r>
      <w:r w:rsidR="004735B7" w:rsidRPr="000F3B6D">
        <w:rPr>
          <w:rFonts w:ascii="Cambria" w:hAnsi="Cambria"/>
          <w:sz w:val="24"/>
          <w:szCs w:val="24"/>
        </w:rPr>
        <w:t>can</w:t>
      </w:r>
      <w:r w:rsidR="00627835" w:rsidRPr="000F3B6D">
        <w:rPr>
          <w:rFonts w:ascii="Cambria" w:hAnsi="Cambria"/>
          <w:sz w:val="24"/>
          <w:szCs w:val="24"/>
        </w:rPr>
        <w:t xml:space="preserve"> be acceptable. </w:t>
      </w:r>
      <w:r w:rsidRPr="000F3B6D">
        <w:rPr>
          <w:rFonts w:ascii="Cambria" w:hAnsi="Cambria"/>
          <w:sz w:val="24"/>
          <w:szCs w:val="24"/>
        </w:rPr>
        <w:t>But</w:t>
      </w:r>
      <w:r w:rsidR="009202DF">
        <w:rPr>
          <w:rFonts w:ascii="Cambria" w:hAnsi="Cambria"/>
          <w:sz w:val="24"/>
          <w:szCs w:val="24"/>
        </w:rPr>
        <w:t>, again,</w:t>
      </w:r>
      <w:r w:rsidRPr="000F3B6D">
        <w:rPr>
          <w:rFonts w:ascii="Cambria" w:hAnsi="Cambria"/>
          <w:sz w:val="24"/>
          <w:szCs w:val="24"/>
        </w:rPr>
        <w:t xml:space="preserve"> the burden of proof must be low. And the court must not engage in any detailed evaluation of whether the reasons offered are </w:t>
      </w:r>
      <w:r w:rsidRPr="000F3B6D">
        <w:rPr>
          <w:rFonts w:ascii="Cambria" w:hAnsi="Cambria"/>
          <w:i/>
          <w:sz w:val="24"/>
          <w:szCs w:val="24"/>
        </w:rPr>
        <w:t>really</w:t>
      </w:r>
      <w:r w:rsidRPr="000F3B6D">
        <w:rPr>
          <w:rFonts w:ascii="Cambria" w:hAnsi="Cambria"/>
          <w:sz w:val="24"/>
          <w:szCs w:val="24"/>
        </w:rPr>
        <w:t xml:space="preserve"> justified by group’s doctrines, or whether the best understanding of its theology supports the decision. This is the kind of theological interpretation and adjudic</w:t>
      </w:r>
      <w:r w:rsidR="00AE2888" w:rsidRPr="000F3B6D">
        <w:rPr>
          <w:rFonts w:ascii="Cambria" w:hAnsi="Cambria"/>
          <w:sz w:val="24"/>
          <w:szCs w:val="24"/>
        </w:rPr>
        <w:t>ation that i</w:t>
      </w:r>
      <w:r w:rsidRPr="000F3B6D">
        <w:rPr>
          <w:rFonts w:ascii="Cambria" w:hAnsi="Cambria"/>
          <w:sz w:val="24"/>
          <w:szCs w:val="24"/>
        </w:rPr>
        <w:t>s very clearly ruled out by respect for competence interests.</w:t>
      </w:r>
      <w:r w:rsidR="00163AB9">
        <w:rPr>
          <w:rFonts w:ascii="Cambria" w:hAnsi="Cambria"/>
          <w:sz w:val="24"/>
          <w:szCs w:val="24"/>
        </w:rPr>
        <w:t xml:space="preserve"> </w:t>
      </w:r>
      <w:r w:rsidR="00893472">
        <w:rPr>
          <w:rFonts w:ascii="Cambria" w:hAnsi="Cambria"/>
          <w:sz w:val="24"/>
          <w:szCs w:val="24"/>
        </w:rPr>
        <w:t xml:space="preserve">Second, a </w:t>
      </w:r>
      <w:r w:rsidRPr="000F3B6D">
        <w:rPr>
          <w:rFonts w:ascii="Cambria" w:hAnsi="Cambria"/>
          <w:sz w:val="24"/>
          <w:szCs w:val="24"/>
        </w:rPr>
        <w:t xml:space="preserve">different question the court could ask is whether </w:t>
      </w:r>
      <w:r w:rsidRPr="000F3B6D">
        <w:rPr>
          <w:rFonts w:ascii="Cambria" w:hAnsi="Cambria"/>
          <w:i/>
          <w:sz w:val="24"/>
          <w:szCs w:val="24"/>
        </w:rPr>
        <w:t xml:space="preserve">it </w:t>
      </w:r>
      <w:r w:rsidRPr="000F3B6D">
        <w:rPr>
          <w:rFonts w:ascii="Cambria" w:hAnsi="Cambria"/>
          <w:sz w:val="24"/>
          <w:szCs w:val="24"/>
        </w:rPr>
        <w:t>considers the reasons for dismissal good ones, based on its own values. This would</w:t>
      </w:r>
      <w:r w:rsidR="00F80751">
        <w:rPr>
          <w:rFonts w:ascii="Cambria" w:hAnsi="Cambria"/>
          <w:sz w:val="24"/>
          <w:szCs w:val="24"/>
        </w:rPr>
        <w:t xml:space="preserve"> no</w:t>
      </w:r>
      <w:r w:rsidRPr="000F3B6D">
        <w:rPr>
          <w:rFonts w:ascii="Cambria" w:hAnsi="Cambria"/>
          <w:sz w:val="24"/>
          <w:szCs w:val="24"/>
        </w:rPr>
        <w:t xml:space="preserve">t </w:t>
      </w:r>
      <w:r w:rsidR="00F80751">
        <w:rPr>
          <w:rFonts w:ascii="Cambria" w:hAnsi="Cambria"/>
          <w:sz w:val="24"/>
          <w:szCs w:val="24"/>
        </w:rPr>
        <w:t xml:space="preserve">directly </w:t>
      </w:r>
      <w:r w:rsidRPr="000F3B6D">
        <w:rPr>
          <w:rFonts w:ascii="Cambria" w:hAnsi="Cambria"/>
          <w:sz w:val="24"/>
          <w:szCs w:val="24"/>
        </w:rPr>
        <w:t xml:space="preserve">violate competence interests. But it is ruled out by associations’ </w:t>
      </w:r>
      <w:r w:rsidRPr="000F3B6D">
        <w:rPr>
          <w:rFonts w:ascii="Cambria" w:hAnsi="Cambria"/>
          <w:i/>
          <w:sz w:val="24"/>
          <w:szCs w:val="24"/>
        </w:rPr>
        <w:t>coherence</w:t>
      </w:r>
      <w:r w:rsidRPr="000F3B6D">
        <w:rPr>
          <w:rFonts w:ascii="Cambria" w:hAnsi="Cambria"/>
          <w:sz w:val="24"/>
          <w:szCs w:val="24"/>
        </w:rPr>
        <w:t xml:space="preserve"> interests. In effect</w:t>
      </w:r>
      <w:r w:rsidR="00F0272E">
        <w:rPr>
          <w:rFonts w:ascii="Cambria" w:hAnsi="Cambria"/>
          <w:sz w:val="24"/>
          <w:szCs w:val="24"/>
        </w:rPr>
        <w:t>,</w:t>
      </w:r>
      <w:r w:rsidRPr="000F3B6D">
        <w:rPr>
          <w:rFonts w:ascii="Cambria" w:hAnsi="Cambria"/>
          <w:sz w:val="24"/>
          <w:szCs w:val="24"/>
        </w:rPr>
        <w:t xml:space="preserve"> it denies that associations are permitted to form around their own purposes and standards. Preventing</w:t>
      </w:r>
      <w:r w:rsidR="003E2698">
        <w:rPr>
          <w:rFonts w:ascii="Cambria" w:hAnsi="Cambria"/>
          <w:sz w:val="24"/>
          <w:szCs w:val="24"/>
        </w:rPr>
        <w:t xml:space="preserve"> </w:t>
      </w:r>
      <w:r w:rsidR="004C6316">
        <w:rPr>
          <w:rFonts w:ascii="Cambria" w:hAnsi="Cambria"/>
          <w:sz w:val="24"/>
          <w:szCs w:val="24"/>
        </w:rPr>
        <w:t>such state actions</w:t>
      </w:r>
      <w:r w:rsidR="006C483F">
        <w:rPr>
          <w:rFonts w:ascii="Cambria" w:hAnsi="Cambria"/>
          <w:sz w:val="24"/>
          <w:szCs w:val="24"/>
        </w:rPr>
        <w:t xml:space="preserve"> </w:t>
      </w:r>
      <w:r w:rsidRPr="000F3B6D">
        <w:rPr>
          <w:rFonts w:ascii="Cambria" w:hAnsi="Cambria"/>
          <w:sz w:val="24"/>
          <w:szCs w:val="24"/>
        </w:rPr>
        <w:t>is at the heart of protecting religious groups’ legitimate autonomy.</w:t>
      </w:r>
    </w:p>
    <w:p w14:paraId="6993F21E" w14:textId="0A8FD7B4" w:rsidR="00F97F39" w:rsidRPr="000F3B6D" w:rsidRDefault="00DF7944" w:rsidP="004E2D20">
      <w:pPr>
        <w:spacing w:after="200" w:line="288" w:lineRule="auto"/>
        <w:jc w:val="both"/>
        <w:rPr>
          <w:rFonts w:ascii="Cambria" w:hAnsi="Cambria"/>
          <w:sz w:val="24"/>
          <w:szCs w:val="24"/>
        </w:rPr>
      </w:pPr>
      <w:r w:rsidRPr="000F3B6D">
        <w:rPr>
          <w:rFonts w:ascii="Cambria" w:hAnsi="Cambria"/>
          <w:sz w:val="24"/>
          <w:szCs w:val="24"/>
        </w:rPr>
        <w:t>Applying this</w:t>
      </w:r>
      <w:r w:rsidR="002F1F30" w:rsidRPr="000F3B6D">
        <w:rPr>
          <w:rFonts w:ascii="Cambria" w:hAnsi="Cambria"/>
          <w:sz w:val="24"/>
          <w:szCs w:val="24"/>
        </w:rPr>
        <w:t xml:space="preserve"> to the cases of </w:t>
      </w:r>
      <w:r w:rsidR="002F1F30" w:rsidRPr="0037140B">
        <w:rPr>
          <w:rFonts w:ascii="Cambria" w:hAnsi="Cambria"/>
          <w:i/>
          <w:sz w:val="24"/>
          <w:szCs w:val="24"/>
        </w:rPr>
        <w:t>Obst</w:t>
      </w:r>
      <w:r w:rsidR="002F1F30" w:rsidRPr="000F3B6D">
        <w:rPr>
          <w:rFonts w:ascii="Cambria" w:hAnsi="Cambria"/>
          <w:sz w:val="24"/>
          <w:szCs w:val="24"/>
        </w:rPr>
        <w:t xml:space="preserve"> and </w:t>
      </w:r>
      <w:r w:rsidR="002F1F30" w:rsidRPr="0037140B">
        <w:rPr>
          <w:rFonts w:ascii="Cambria" w:hAnsi="Cambria"/>
          <w:i/>
          <w:sz w:val="24"/>
          <w:szCs w:val="24"/>
        </w:rPr>
        <w:t>Siebenhaar</w:t>
      </w:r>
      <w:r w:rsidR="002F1F30" w:rsidRPr="000F3B6D">
        <w:rPr>
          <w:rFonts w:ascii="Cambria" w:hAnsi="Cambria"/>
          <w:sz w:val="24"/>
          <w:szCs w:val="24"/>
        </w:rPr>
        <w:t xml:space="preserve">, I think </w:t>
      </w:r>
      <w:r w:rsidR="00977220">
        <w:rPr>
          <w:rFonts w:ascii="Cambria" w:hAnsi="Cambria"/>
          <w:sz w:val="24"/>
          <w:szCs w:val="24"/>
        </w:rPr>
        <w:t xml:space="preserve">that </w:t>
      </w:r>
      <w:r w:rsidR="002F1F30" w:rsidRPr="000F3B6D">
        <w:rPr>
          <w:rFonts w:ascii="Cambria" w:hAnsi="Cambria"/>
          <w:sz w:val="24"/>
          <w:szCs w:val="24"/>
        </w:rPr>
        <w:t>the European Court was right to recognise strong associational claims here, in the light of the churches’ own understanding of the role of these employees and the nature of their work. Deferring to competence interests means recognising strong coherence-interest-based claims in these cases.</w:t>
      </w:r>
    </w:p>
    <w:p w14:paraId="619BFBC8" w14:textId="77777777" w:rsidR="00487256"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There is also a third kind of substantive examination: evaluating whether the association took into account countervailing considerations, such as the rights and interests of the employee. </w:t>
      </w:r>
      <w:r w:rsidR="003B425A">
        <w:rPr>
          <w:rFonts w:ascii="Cambria" w:hAnsi="Cambria"/>
          <w:sz w:val="24"/>
          <w:szCs w:val="24"/>
        </w:rPr>
        <w:t>Laborde</w:t>
      </w:r>
      <w:r w:rsidRPr="000F3B6D">
        <w:rPr>
          <w:rFonts w:ascii="Cambria" w:hAnsi="Cambria"/>
          <w:sz w:val="24"/>
          <w:szCs w:val="24"/>
        </w:rPr>
        <w:t xml:space="preserve"> endorses this kind of examination, noting that the European Court requires there to have been a weighing process that took into account employees’ Convention rights and future employment prospects</w:t>
      </w:r>
      <w:r w:rsidR="000618B8">
        <w:rPr>
          <w:rFonts w:ascii="Cambria" w:hAnsi="Cambria"/>
          <w:sz w:val="24"/>
          <w:szCs w:val="24"/>
        </w:rPr>
        <w:t xml:space="preserve"> (194)</w:t>
      </w:r>
      <w:r w:rsidRPr="000F3B6D">
        <w:rPr>
          <w:rFonts w:ascii="Cambria" w:hAnsi="Cambria"/>
          <w:sz w:val="24"/>
          <w:szCs w:val="24"/>
        </w:rPr>
        <w:t>.</w:t>
      </w:r>
      <w:r w:rsidR="00634DE2">
        <w:rPr>
          <w:rFonts w:ascii="Cambria" w:hAnsi="Cambria"/>
          <w:sz w:val="24"/>
          <w:szCs w:val="24"/>
        </w:rPr>
        <w:t xml:space="preserve"> </w:t>
      </w:r>
      <w:r w:rsidRPr="000F3B6D">
        <w:rPr>
          <w:rFonts w:ascii="Cambria" w:hAnsi="Cambria"/>
          <w:sz w:val="24"/>
          <w:szCs w:val="24"/>
        </w:rPr>
        <w:t>But we need to be careful here. The European Cour</w:t>
      </w:r>
      <w:r w:rsidR="006E7D5A">
        <w:rPr>
          <w:rFonts w:ascii="Cambria" w:hAnsi="Cambria"/>
          <w:sz w:val="24"/>
          <w:szCs w:val="24"/>
        </w:rPr>
        <w:t>t has indeed checked that there ha</w:t>
      </w:r>
      <w:r w:rsidRPr="000F3B6D">
        <w:rPr>
          <w:rFonts w:ascii="Cambria" w:hAnsi="Cambria"/>
          <w:sz w:val="24"/>
          <w:szCs w:val="24"/>
        </w:rPr>
        <w:t xml:space="preserve">s been </w:t>
      </w:r>
      <w:r w:rsidRPr="000F3B6D">
        <w:rPr>
          <w:rFonts w:ascii="Cambria" w:hAnsi="Cambria"/>
          <w:i/>
          <w:sz w:val="24"/>
          <w:szCs w:val="24"/>
        </w:rPr>
        <w:t>some</w:t>
      </w:r>
      <w:r w:rsidRPr="000F3B6D">
        <w:rPr>
          <w:rFonts w:ascii="Cambria" w:hAnsi="Cambria"/>
          <w:sz w:val="24"/>
          <w:szCs w:val="24"/>
        </w:rPr>
        <w:t xml:space="preserve"> kind of weighing. For example, it ruled against </w:t>
      </w:r>
      <w:r w:rsidR="00041D3E" w:rsidRPr="000F3B6D">
        <w:rPr>
          <w:rFonts w:ascii="Cambria" w:hAnsi="Cambria"/>
          <w:sz w:val="24"/>
          <w:szCs w:val="24"/>
        </w:rPr>
        <w:t>a Catholic church that dismissed</w:t>
      </w:r>
      <w:r w:rsidRPr="000F3B6D">
        <w:rPr>
          <w:rFonts w:ascii="Cambria" w:hAnsi="Cambria"/>
          <w:sz w:val="24"/>
          <w:szCs w:val="24"/>
        </w:rPr>
        <w:t xml:space="preserve"> its organist for leaving his wife and starting a new relationship, on the grounds that his interests had not been taken into account.</w:t>
      </w:r>
      <w:r w:rsidRPr="000F3B6D">
        <w:rPr>
          <w:rFonts w:ascii="Cambria" w:hAnsi="Cambria"/>
          <w:sz w:val="24"/>
          <w:szCs w:val="24"/>
          <w:vertAlign w:val="superscript"/>
        </w:rPr>
        <w:footnoteReference w:id="13"/>
      </w:r>
      <w:bookmarkStart w:id="1" w:name="Laborde_conference_paper"/>
      <w:r w:rsidR="00B03140">
        <w:rPr>
          <w:rFonts w:ascii="Cambria" w:hAnsi="Cambria"/>
          <w:sz w:val="24"/>
          <w:szCs w:val="24"/>
        </w:rPr>
        <w:t xml:space="preserve"> </w:t>
      </w:r>
      <w:r w:rsidRPr="000F3B6D">
        <w:rPr>
          <w:rFonts w:ascii="Cambria" w:hAnsi="Cambria"/>
          <w:sz w:val="24"/>
          <w:szCs w:val="24"/>
        </w:rPr>
        <w:t>But</w:t>
      </w:r>
      <w:bookmarkEnd w:id="1"/>
      <w:r w:rsidRPr="000F3B6D">
        <w:rPr>
          <w:rFonts w:ascii="Cambria" w:hAnsi="Cambria"/>
          <w:sz w:val="24"/>
          <w:szCs w:val="24"/>
        </w:rPr>
        <w:t xml:space="preserve"> the Court has not sought to establish whether the balance struck by associations is all-things-considered justified. It has not engaged in a weighing process itself. Associations have a wide margin of appreciation here</w:t>
      </w:r>
      <w:r w:rsidR="004E2D20" w:rsidRPr="000F3B6D">
        <w:rPr>
          <w:rFonts w:ascii="Cambria" w:hAnsi="Cambria"/>
          <w:sz w:val="24"/>
          <w:szCs w:val="24"/>
        </w:rPr>
        <w:t>—</w:t>
      </w:r>
      <w:r w:rsidRPr="000F3B6D">
        <w:rPr>
          <w:rFonts w:ascii="Cambria" w:hAnsi="Cambria"/>
          <w:sz w:val="24"/>
          <w:szCs w:val="24"/>
        </w:rPr>
        <w:t xml:space="preserve">they must take employees’ interests into account, but the Court </w:t>
      </w:r>
      <w:r w:rsidR="004948C8">
        <w:rPr>
          <w:rFonts w:ascii="Cambria" w:hAnsi="Cambria"/>
          <w:sz w:val="24"/>
          <w:szCs w:val="24"/>
        </w:rPr>
        <w:t>will not</w:t>
      </w:r>
      <w:r w:rsidRPr="000F3B6D">
        <w:rPr>
          <w:rFonts w:ascii="Cambria" w:hAnsi="Cambria"/>
          <w:sz w:val="24"/>
          <w:szCs w:val="24"/>
        </w:rPr>
        <w:t xml:space="preserve"> judge whether their balancing of those interests against the reasons for </w:t>
      </w:r>
      <w:r w:rsidR="00684C28" w:rsidRPr="000F3B6D">
        <w:rPr>
          <w:rFonts w:ascii="Cambria" w:hAnsi="Cambria"/>
          <w:sz w:val="24"/>
          <w:szCs w:val="24"/>
        </w:rPr>
        <w:t xml:space="preserve">dismissal was overall justified, since this would </w:t>
      </w:r>
      <w:r w:rsidR="00683DC3" w:rsidRPr="000F3B6D">
        <w:rPr>
          <w:rFonts w:ascii="Cambria" w:hAnsi="Cambria"/>
          <w:sz w:val="24"/>
          <w:szCs w:val="24"/>
        </w:rPr>
        <w:t>infringe coherence and competence interests.</w:t>
      </w:r>
    </w:p>
    <w:p w14:paraId="5AC9FC85" w14:textId="381723E3"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I think this </w:t>
      </w:r>
      <w:r w:rsidR="003456FD">
        <w:rPr>
          <w:rFonts w:ascii="Cambria" w:hAnsi="Cambria"/>
          <w:sz w:val="24"/>
          <w:szCs w:val="24"/>
        </w:rPr>
        <w:t xml:space="preserve">approach, which places strict limits on substantive examination, </w:t>
      </w:r>
      <w:r w:rsidRPr="000F3B6D">
        <w:rPr>
          <w:rFonts w:ascii="Cambria" w:hAnsi="Cambria"/>
          <w:sz w:val="24"/>
          <w:szCs w:val="24"/>
        </w:rPr>
        <w:t xml:space="preserve">is </w:t>
      </w:r>
      <w:r w:rsidR="003456FD">
        <w:rPr>
          <w:rFonts w:ascii="Cambria" w:hAnsi="Cambria"/>
          <w:sz w:val="24"/>
          <w:szCs w:val="24"/>
        </w:rPr>
        <w:t>correct. The aim is no</w:t>
      </w:r>
      <w:r w:rsidRPr="000F3B6D">
        <w:rPr>
          <w:rFonts w:ascii="Cambria" w:hAnsi="Cambria"/>
          <w:sz w:val="24"/>
          <w:szCs w:val="24"/>
        </w:rPr>
        <w:t>t to assess whether the association interpreted its doctrines correctly, had objectively good reasons for its decision, or accurately weighed those reasons against the employee’s interests. Instead, the aim is to check that its stated reasons were</w:t>
      </w:r>
      <w:r w:rsidR="007A1BD9">
        <w:rPr>
          <w:rFonts w:ascii="Cambria" w:hAnsi="Cambria"/>
          <w:sz w:val="24"/>
          <w:szCs w:val="24"/>
        </w:rPr>
        <w:t xml:space="preserve"> no</w:t>
      </w:r>
      <w:r w:rsidRPr="000F3B6D">
        <w:rPr>
          <w:rFonts w:ascii="Cambria" w:hAnsi="Cambria"/>
          <w:sz w:val="24"/>
          <w:szCs w:val="24"/>
        </w:rPr>
        <w:t>t mere pretext, and that it engaged in some basic balancing of relevant interests.</w:t>
      </w:r>
    </w:p>
    <w:p w14:paraId="3C4C7ACF" w14:textId="26A8CE3D" w:rsidR="00F97F39" w:rsidRPr="000F3B6D" w:rsidRDefault="002F1F30" w:rsidP="004E2D20">
      <w:pPr>
        <w:spacing w:after="200" w:line="288" w:lineRule="auto"/>
        <w:jc w:val="both"/>
        <w:rPr>
          <w:rFonts w:ascii="Cambria" w:hAnsi="Cambria"/>
          <w:sz w:val="24"/>
          <w:szCs w:val="24"/>
        </w:rPr>
      </w:pPr>
      <w:r w:rsidRPr="000F3B6D">
        <w:rPr>
          <w:rFonts w:ascii="Cambria" w:hAnsi="Cambria"/>
          <w:sz w:val="24"/>
          <w:szCs w:val="24"/>
        </w:rPr>
        <w:t xml:space="preserve">This brings us back to the practical concern I touched upon earlier. To what extent can courts make the kinds of judgments </w:t>
      </w:r>
      <w:r w:rsidR="00D318D2">
        <w:rPr>
          <w:rFonts w:ascii="Cambria" w:hAnsi="Cambria"/>
          <w:sz w:val="24"/>
          <w:szCs w:val="24"/>
        </w:rPr>
        <w:t xml:space="preserve">that the framework I have sketched </w:t>
      </w:r>
      <w:r w:rsidRPr="000F3B6D">
        <w:rPr>
          <w:rFonts w:ascii="Cambria" w:hAnsi="Cambria"/>
          <w:sz w:val="24"/>
          <w:szCs w:val="24"/>
        </w:rPr>
        <w:t>deem</w:t>
      </w:r>
      <w:r w:rsidR="00D318D2">
        <w:rPr>
          <w:rFonts w:ascii="Cambria" w:hAnsi="Cambria"/>
          <w:sz w:val="24"/>
          <w:szCs w:val="24"/>
        </w:rPr>
        <w:t>s</w:t>
      </w:r>
      <w:r w:rsidRPr="000F3B6D">
        <w:rPr>
          <w:rFonts w:ascii="Cambria" w:hAnsi="Cambria"/>
          <w:sz w:val="24"/>
          <w:szCs w:val="24"/>
        </w:rPr>
        <w:t xml:space="preserve"> permissible without slipping into objectionable forms of assessment? </w:t>
      </w:r>
      <w:r w:rsidR="00D318D2">
        <w:rPr>
          <w:rFonts w:ascii="Cambria" w:hAnsi="Cambria"/>
          <w:sz w:val="24"/>
          <w:szCs w:val="24"/>
        </w:rPr>
        <w:t>For example, c</w:t>
      </w:r>
      <w:r w:rsidRPr="000F3B6D">
        <w:rPr>
          <w:rFonts w:ascii="Cambria" w:hAnsi="Cambria"/>
          <w:sz w:val="24"/>
          <w:szCs w:val="24"/>
        </w:rPr>
        <w:t>an the requirement that associations give reasons be maintained without becoming a requirement that they give reasons the court considered sufficient or just? Will the requirement of minimal balancing inevitably result in the court imposing its own balance?</w:t>
      </w:r>
      <w:r w:rsidR="00D318D2">
        <w:rPr>
          <w:rFonts w:ascii="Cambria" w:hAnsi="Cambria"/>
          <w:sz w:val="24"/>
          <w:szCs w:val="24"/>
        </w:rPr>
        <w:t xml:space="preserve"> </w:t>
      </w:r>
      <w:r w:rsidRPr="000F3B6D">
        <w:rPr>
          <w:rFonts w:ascii="Cambria" w:hAnsi="Cambria"/>
          <w:sz w:val="24"/>
          <w:szCs w:val="24"/>
        </w:rPr>
        <w:t xml:space="preserve">These questions obviously cannot be answered in the abstract. Recent European Court jurisprudence suggests </w:t>
      </w:r>
      <w:r w:rsidR="00D318D2">
        <w:rPr>
          <w:rFonts w:ascii="Cambria" w:hAnsi="Cambria"/>
          <w:sz w:val="24"/>
          <w:szCs w:val="24"/>
        </w:rPr>
        <w:t xml:space="preserve">that </w:t>
      </w:r>
      <w:r w:rsidRPr="000F3B6D">
        <w:rPr>
          <w:rFonts w:ascii="Cambria" w:hAnsi="Cambria"/>
          <w:sz w:val="24"/>
          <w:szCs w:val="24"/>
        </w:rPr>
        <w:t xml:space="preserve">courts can make these distinctions, and thus adjudicate such cases without violating coherence or competence interests. But </w:t>
      </w:r>
      <w:r w:rsidR="00262EBF">
        <w:rPr>
          <w:rFonts w:ascii="Cambria" w:hAnsi="Cambria"/>
          <w:sz w:val="24"/>
          <w:szCs w:val="24"/>
        </w:rPr>
        <w:t>it i</w:t>
      </w:r>
      <w:r w:rsidR="006F1409" w:rsidRPr="000F3B6D">
        <w:rPr>
          <w:rFonts w:ascii="Cambria" w:hAnsi="Cambria"/>
          <w:sz w:val="24"/>
          <w:szCs w:val="24"/>
        </w:rPr>
        <w:t>s</w:t>
      </w:r>
      <w:r w:rsidR="00370755" w:rsidRPr="000F3B6D">
        <w:rPr>
          <w:rFonts w:ascii="Cambria" w:hAnsi="Cambria"/>
          <w:sz w:val="24"/>
          <w:szCs w:val="24"/>
        </w:rPr>
        <w:t xml:space="preserve"> </w:t>
      </w:r>
      <w:r w:rsidR="00A82B12" w:rsidRPr="000F3B6D">
        <w:rPr>
          <w:rFonts w:ascii="Cambria" w:hAnsi="Cambria"/>
          <w:sz w:val="24"/>
          <w:szCs w:val="24"/>
        </w:rPr>
        <w:t xml:space="preserve">too </w:t>
      </w:r>
      <w:r w:rsidR="00370755" w:rsidRPr="000F3B6D">
        <w:rPr>
          <w:rFonts w:ascii="Cambria" w:hAnsi="Cambria"/>
          <w:sz w:val="24"/>
          <w:szCs w:val="24"/>
        </w:rPr>
        <w:t>soon</w:t>
      </w:r>
      <w:r w:rsidRPr="000F3B6D">
        <w:rPr>
          <w:rFonts w:ascii="Cambria" w:hAnsi="Cambria"/>
          <w:sz w:val="24"/>
          <w:szCs w:val="24"/>
        </w:rPr>
        <w:t xml:space="preserve"> to know whether this can be maintained over time.</w:t>
      </w:r>
    </w:p>
    <w:p w14:paraId="527DCF90" w14:textId="1F42459D" w:rsidR="00F97F39" w:rsidRPr="000F3B6D" w:rsidRDefault="001D606E" w:rsidP="004E2D20">
      <w:pPr>
        <w:spacing w:after="200" w:line="288" w:lineRule="auto"/>
        <w:jc w:val="both"/>
        <w:rPr>
          <w:rFonts w:ascii="Cambria" w:hAnsi="Cambria"/>
          <w:sz w:val="24"/>
          <w:szCs w:val="24"/>
        </w:rPr>
      </w:pPr>
      <w:r>
        <w:rPr>
          <w:rFonts w:ascii="Cambria" w:hAnsi="Cambria"/>
          <w:sz w:val="24"/>
          <w:szCs w:val="24"/>
        </w:rPr>
        <w:t>A final question, therefore,</w:t>
      </w:r>
      <w:r w:rsidR="002F1F30" w:rsidRPr="000F3B6D">
        <w:rPr>
          <w:rFonts w:ascii="Cambria" w:hAnsi="Cambria"/>
          <w:sz w:val="24"/>
          <w:szCs w:val="24"/>
        </w:rPr>
        <w:t xml:space="preserve"> is which way we should hedge things, if courts are likely to overstep the bounds. Should we place stricter limits on court examinations than are ideally required, in order to ensure protection for associational freedom? Or should we hedge in favour of employees, in order to more effectively fight discrimination and wrongful dismissal?</w:t>
      </w:r>
      <w:r w:rsidR="00CC36B5">
        <w:rPr>
          <w:rFonts w:ascii="Cambria" w:hAnsi="Cambria"/>
          <w:sz w:val="24"/>
          <w:szCs w:val="24"/>
        </w:rPr>
        <w:t xml:space="preserve"> Laborde</w:t>
      </w:r>
      <w:r w:rsidR="002F1F30" w:rsidRPr="000F3B6D">
        <w:rPr>
          <w:rFonts w:ascii="Cambria" w:hAnsi="Cambria"/>
          <w:sz w:val="24"/>
          <w:szCs w:val="24"/>
        </w:rPr>
        <w:t xml:space="preserve"> and I might lean in different directions here. I would tend toward limiting courts in the name of associational freedom. Indeed, I think that even a strict jurisdictional bar such as the US ‘ministerial exception’ might be acceptable for really core cases of a church dismissing a minister. </w:t>
      </w:r>
      <w:r w:rsidR="00DE1878">
        <w:rPr>
          <w:rFonts w:ascii="Cambria" w:hAnsi="Cambria"/>
          <w:sz w:val="24"/>
          <w:szCs w:val="24"/>
        </w:rPr>
        <w:t>Laborde</w:t>
      </w:r>
      <w:r w:rsidR="002F1F30" w:rsidRPr="000F3B6D">
        <w:rPr>
          <w:rFonts w:ascii="Cambria" w:hAnsi="Cambria"/>
          <w:sz w:val="24"/>
          <w:szCs w:val="24"/>
        </w:rPr>
        <w:t xml:space="preserve"> would probably think this goes too far.</w:t>
      </w:r>
    </w:p>
    <w:p w14:paraId="2907B7EA" w14:textId="426D91A3" w:rsidR="00F97F39" w:rsidRDefault="00E030EC" w:rsidP="004E2D20">
      <w:pPr>
        <w:spacing w:after="200" w:line="288" w:lineRule="auto"/>
        <w:jc w:val="both"/>
        <w:rPr>
          <w:rFonts w:ascii="Cambria" w:hAnsi="Cambria"/>
          <w:sz w:val="24"/>
          <w:szCs w:val="24"/>
        </w:rPr>
      </w:pPr>
      <w:r>
        <w:rPr>
          <w:rFonts w:ascii="Cambria" w:hAnsi="Cambria"/>
          <w:sz w:val="24"/>
          <w:szCs w:val="24"/>
        </w:rPr>
        <w:t>This final comment supports what I said at the outset: that while I do not have fundamental disagreement</w:t>
      </w:r>
      <w:r w:rsidR="00487256">
        <w:rPr>
          <w:rFonts w:ascii="Cambria" w:hAnsi="Cambria"/>
          <w:sz w:val="24"/>
          <w:szCs w:val="24"/>
        </w:rPr>
        <w:t>s</w:t>
      </w:r>
      <w:r>
        <w:rPr>
          <w:rFonts w:ascii="Cambria" w:hAnsi="Cambria"/>
          <w:sz w:val="24"/>
          <w:szCs w:val="24"/>
        </w:rPr>
        <w:t xml:space="preserve"> with Laborde’s approach to collective religious liberty, the differences I have highlighted in how we interpret coherence interests and operationalize respect for competence interests might prove very significant in practice. </w:t>
      </w:r>
      <w:r w:rsidR="002F1F30" w:rsidRPr="000F3B6D">
        <w:rPr>
          <w:rFonts w:ascii="Cambria" w:hAnsi="Cambria"/>
          <w:sz w:val="24"/>
          <w:szCs w:val="24"/>
        </w:rPr>
        <w:t xml:space="preserve">While her ideal state would look a lot like </w:t>
      </w:r>
      <w:r w:rsidR="002F1F30" w:rsidRPr="000F3B6D">
        <w:rPr>
          <w:rFonts w:ascii="Cambria" w:hAnsi="Cambria"/>
          <w:i/>
          <w:sz w:val="24"/>
          <w:szCs w:val="24"/>
        </w:rPr>
        <w:t>Secularia</w:t>
      </w:r>
      <w:r w:rsidR="002F1F30" w:rsidRPr="000F3B6D">
        <w:rPr>
          <w:rFonts w:ascii="Cambria" w:hAnsi="Cambria"/>
          <w:sz w:val="24"/>
          <w:szCs w:val="24"/>
        </w:rPr>
        <w:t xml:space="preserve"> in this domain, mine </w:t>
      </w:r>
      <w:r w:rsidR="00C74FB9" w:rsidRPr="000F3B6D">
        <w:rPr>
          <w:rFonts w:ascii="Cambria" w:hAnsi="Cambria"/>
          <w:sz w:val="24"/>
          <w:szCs w:val="24"/>
        </w:rPr>
        <w:t xml:space="preserve">will be </w:t>
      </w:r>
      <w:r w:rsidR="00361664">
        <w:rPr>
          <w:rFonts w:ascii="Cambria" w:hAnsi="Cambria"/>
          <w:sz w:val="24"/>
          <w:szCs w:val="24"/>
        </w:rPr>
        <w:t xml:space="preserve">somewhat </w:t>
      </w:r>
      <w:r w:rsidR="00C74FB9" w:rsidRPr="000F3B6D">
        <w:rPr>
          <w:rFonts w:ascii="Cambria" w:hAnsi="Cambria"/>
          <w:sz w:val="24"/>
          <w:szCs w:val="24"/>
        </w:rPr>
        <w:t xml:space="preserve">further along the spectrum toward </w:t>
      </w:r>
      <w:r w:rsidR="00C74FB9" w:rsidRPr="000F3B6D">
        <w:rPr>
          <w:rFonts w:ascii="Cambria" w:hAnsi="Cambria"/>
          <w:i/>
          <w:sz w:val="24"/>
          <w:szCs w:val="24"/>
        </w:rPr>
        <w:t>Divinitia</w:t>
      </w:r>
      <w:r w:rsidR="00C74FB9" w:rsidRPr="000F3B6D">
        <w:rPr>
          <w:rFonts w:ascii="Cambria" w:hAnsi="Cambria"/>
          <w:sz w:val="24"/>
          <w:szCs w:val="24"/>
        </w:rPr>
        <w:t>.</w:t>
      </w:r>
    </w:p>
    <w:p w14:paraId="43965BD0" w14:textId="77777777" w:rsidR="00F744A9" w:rsidRDefault="00F744A9" w:rsidP="004E2D20">
      <w:pPr>
        <w:spacing w:after="200" w:line="288" w:lineRule="auto"/>
        <w:jc w:val="both"/>
        <w:rPr>
          <w:rFonts w:ascii="Cambria" w:hAnsi="Cambria"/>
          <w:sz w:val="24"/>
          <w:szCs w:val="24"/>
        </w:rPr>
      </w:pPr>
    </w:p>
    <w:p w14:paraId="7A4D264E" w14:textId="73FF78AF" w:rsidR="00F744A9" w:rsidRDefault="00F744A9" w:rsidP="004E2D20">
      <w:pPr>
        <w:spacing w:after="200" w:line="288" w:lineRule="auto"/>
        <w:jc w:val="both"/>
        <w:rPr>
          <w:rFonts w:ascii="Cambria" w:hAnsi="Cambria"/>
          <w:b/>
          <w:sz w:val="24"/>
          <w:szCs w:val="24"/>
        </w:rPr>
      </w:pPr>
      <w:r>
        <w:rPr>
          <w:rFonts w:ascii="Cambria" w:hAnsi="Cambria"/>
          <w:b/>
          <w:sz w:val="24"/>
          <w:szCs w:val="24"/>
        </w:rPr>
        <w:t>Acknowledgments</w:t>
      </w:r>
    </w:p>
    <w:p w14:paraId="7CC3862D" w14:textId="063EF1B4" w:rsidR="00F744A9" w:rsidRDefault="000923E3" w:rsidP="004E2D20">
      <w:pPr>
        <w:spacing w:after="200" w:line="288" w:lineRule="auto"/>
        <w:jc w:val="both"/>
        <w:rPr>
          <w:rFonts w:ascii="Cambria" w:hAnsi="Cambria"/>
          <w:sz w:val="24"/>
          <w:szCs w:val="24"/>
        </w:rPr>
      </w:pPr>
      <w:r>
        <w:rPr>
          <w:rFonts w:ascii="Cambria" w:hAnsi="Cambria"/>
          <w:sz w:val="24"/>
          <w:szCs w:val="24"/>
        </w:rPr>
        <w:t>[Removed for peer review.]</w:t>
      </w:r>
    </w:p>
    <w:p w14:paraId="385D33D4" w14:textId="77777777" w:rsidR="00F744A9" w:rsidRDefault="00F744A9" w:rsidP="004E2D20">
      <w:pPr>
        <w:spacing w:after="200" w:line="288" w:lineRule="auto"/>
        <w:jc w:val="both"/>
        <w:rPr>
          <w:rFonts w:ascii="Cambria" w:hAnsi="Cambria"/>
          <w:sz w:val="24"/>
          <w:szCs w:val="24"/>
        </w:rPr>
      </w:pPr>
    </w:p>
    <w:p w14:paraId="6A9A1A04" w14:textId="4CBE9A19" w:rsidR="00F744A9" w:rsidRDefault="00F744A9" w:rsidP="004E2D20">
      <w:pPr>
        <w:spacing w:after="200" w:line="288" w:lineRule="auto"/>
        <w:jc w:val="both"/>
        <w:rPr>
          <w:rFonts w:ascii="Cambria" w:hAnsi="Cambria"/>
          <w:b/>
          <w:sz w:val="24"/>
          <w:szCs w:val="24"/>
        </w:rPr>
      </w:pPr>
      <w:r>
        <w:rPr>
          <w:rFonts w:ascii="Cambria" w:hAnsi="Cambria"/>
          <w:b/>
          <w:sz w:val="24"/>
          <w:szCs w:val="24"/>
        </w:rPr>
        <w:t>References</w:t>
      </w:r>
    </w:p>
    <w:p w14:paraId="502D1B7A" w14:textId="77777777" w:rsidR="00F23280" w:rsidRPr="00F23280" w:rsidRDefault="00F23280" w:rsidP="00F23280">
      <w:pPr>
        <w:spacing w:after="200" w:line="288" w:lineRule="auto"/>
        <w:jc w:val="both"/>
        <w:rPr>
          <w:rFonts w:ascii="Cambria" w:hAnsi="Cambria"/>
          <w:sz w:val="24"/>
          <w:szCs w:val="24"/>
          <w:lang w:val="en-US"/>
        </w:rPr>
      </w:pPr>
      <w:r w:rsidRPr="00F23280">
        <w:rPr>
          <w:rFonts w:ascii="Cambria" w:hAnsi="Cambria"/>
          <w:sz w:val="24"/>
          <w:szCs w:val="24"/>
          <w:lang w:val="en-US"/>
        </w:rPr>
        <w:t xml:space="preserve">Laborde, Cécile. 2015. “Religion in the Law: The Disaggregation Approach,” </w:t>
      </w:r>
      <w:r w:rsidRPr="00F23280">
        <w:rPr>
          <w:rFonts w:ascii="Cambria" w:hAnsi="Cambria"/>
          <w:i/>
          <w:sz w:val="24"/>
          <w:szCs w:val="24"/>
          <w:lang w:val="en-US"/>
        </w:rPr>
        <w:t>Law and Philosophy</w:t>
      </w:r>
      <w:r w:rsidRPr="00F23280">
        <w:rPr>
          <w:rFonts w:ascii="Cambria" w:hAnsi="Cambria"/>
          <w:sz w:val="24"/>
          <w:szCs w:val="24"/>
          <w:lang w:val="en-US"/>
        </w:rPr>
        <w:t xml:space="preserve"> 34(6): 581–600.</w:t>
      </w:r>
    </w:p>
    <w:p w14:paraId="6D840889" w14:textId="77777777" w:rsidR="00F23280" w:rsidRPr="00F23280" w:rsidRDefault="00F23280" w:rsidP="00F23280">
      <w:pPr>
        <w:spacing w:after="200" w:line="288" w:lineRule="auto"/>
        <w:jc w:val="both"/>
        <w:rPr>
          <w:rFonts w:ascii="Cambria" w:hAnsi="Cambria"/>
          <w:sz w:val="24"/>
          <w:szCs w:val="24"/>
          <w:lang w:val="en-US"/>
        </w:rPr>
      </w:pPr>
      <w:r w:rsidRPr="00F23280">
        <w:rPr>
          <w:rFonts w:ascii="Cambria" w:hAnsi="Cambria"/>
          <w:sz w:val="24"/>
          <w:szCs w:val="24"/>
          <w:lang w:val="en-US"/>
        </w:rPr>
        <w:t xml:space="preserve">Laborde, Cécile. 2017. </w:t>
      </w:r>
      <w:r w:rsidRPr="00F23280">
        <w:rPr>
          <w:rFonts w:ascii="Cambria" w:hAnsi="Cambria"/>
          <w:i/>
          <w:sz w:val="24"/>
          <w:szCs w:val="24"/>
          <w:lang w:val="en-US"/>
        </w:rPr>
        <w:t>Liberalism’s Religion</w:t>
      </w:r>
      <w:r w:rsidRPr="00F23280">
        <w:rPr>
          <w:rFonts w:ascii="Cambria" w:hAnsi="Cambria"/>
          <w:sz w:val="24"/>
          <w:szCs w:val="24"/>
          <w:lang w:val="en-US"/>
        </w:rPr>
        <w:t>. Cambridge, Mass.: Harvard University Press.</w:t>
      </w:r>
    </w:p>
    <w:p w14:paraId="7D485B37" w14:textId="77777777" w:rsidR="00F23280" w:rsidRPr="00F23280" w:rsidRDefault="00F23280" w:rsidP="00F23280">
      <w:pPr>
        <w:spacing w:after="200" w:line="288" w:lineRule="auto"/>
        <w:jc w:val="both"/>
        <w:rPr>
          <w:rFonts w:ascii="Cambria" w:hAnsi="Cambria"/>
          <w:sz w:val="24"/>
          <w:szCs w:val="24"/>
          <w:lang w:val="en-US"/>
        </w:rPr>
      </w:pPr>
      <w:r w:rsidRPr="00F23280">
        <w:rPr>
          <w:rFonts w:ascii="Cambria" w:hAnsi="Cambria"/>
          <w:sz w:val="24"/>
          <w:szCs w:val="24"/>
          <w:lang w:val="en-US"/>
        </w:rPr>
        <w:t xml:space="preserve">Schwartzman, Micah, Chad Flanders, and Zoë Robinson, eds.. 2016. </w:t>
      </w:r>
      <w:r w:rsidRPr="00F23280">
        <w:rPr>
          <w:rFonts w:ascii="Cambria" w:hAnsi="Cambria"/>
          <w:i/>
          <w:sz w:val="24"/>
          <w:szCs w:val="24"/>
          <w:lang w:val="en-US"/>
        </w:rPr>
        <w:t>The Rise of Corporate Religious Liberty</w:t>
      </w:r>
      <w:r w:rsidRPr="00F23280">
        <w:rPr>
          <w:rFonts w:ascii="Cambria" w:hAnsi="Cambria"/>
          <w:sz w:val="24"/>
          <w:szCs w:val="24"/>
          <w:lang w:val="en-US"/>
        </w:rPr>
        <w:t>. New York, NY: Oxford University Press.</w:t>
      </w:r>
    </w:p>
    <w:p w14:paraId="1EC3B19A" w14:textId="465C49D8" w:rsidR="004D3F0C" w:rsidRDefault="004D3F0C" w:rsidP="00F23280">
      <w:pPr>
        <w:spacing w:after="200" w:line="288" w:lineRule="auto"/>
        <w:jc w:val="both"/>
        <w:rPr>
          <w:rFonts w:ascii="Cambria" w:hAnsi="Cambria"/>
          <w:sz w:val="24"/>
          <w:szCs w:val="24"/>
          <w:lang w:val="en-US"/>
        </w:rPr>
      </w:pPr>
      <w:r>
        <w:rPr>
          <w:rFonts w:ascii="Cambria" w:hAnsi="Cambria"/>
          <w:sz w:val="24"/>
          <w:szCs w:val="24"/>
          <w:lang w:val="en-US"/>
        </w:rPr>
        <w:t>Shorten, Andrew. Forthcoming.</w:t>
      </w:r>
      <w:r w:rsidRPr="004D3F0C">
        <w:rPr>
          <w:rFonts w:ascii="Cambria" w:hAnsi="Cambria"/>
          <w:sz w:val="24"/>
          <w:szCs w:val="24"/>
          <w:lang w:val="en-US"/>
        </w:rPr>
        <w:t xml:space="preserve"> “May Churches Discriminate?” </w:t>
      </w:r>
      <w:r w:rsidRPr="004D3F0C">
        <w:rPr>
          <w:rFonts w:ascii="Cambria" w:hAnsi="Cambria"/>
          <w:i/>
          <w:sz w:val="24"/>
          <w:szCs w:val="24"/>
          <w:lang w:val="en-US"/>
        </w:rPr>
        <w:t>Journal of Applied Philosophy</w:t>
      </w:r>
      <w:r w:rsidRPr="004D3F0C">
        <w:rPr>
          <w:rFonts w:ascii="Cambria" w:hAnsi="Cambria"/>
          <w:sz w:val="24"/>
          <w:szCs w:val="24"/>
          <w:lang w:val="en-US"/>
        </w:rPr>
        <w:t>.</w:t>
      </w:r>
    </w:p>
    <w:p w14:paraId="5BE0391A" w14:textId="548112C6" w:rsidR="00F23280" w:rsidRPr="00F23280" w:rsidRDefault="00F23280" w:rsidP="00F23280">
      <w:pPr>
        <w:spacing w:after="200" w:line="288" w:lineRule="auto"/>
        <w:jc w:val="both"/>
        <w:rPr>
          <w:rFonts w:ascii="Cambria" w:hAnsi="Cambria"/>
          <w:sz w:val="24"/>
          <w:szCs w:val="24"/>
          <w:lang w:val="en-US"/>
        </w:rPr>
      </w:pPr>
      <w:r w:rsidRPr="00F23280">
        <w:rPr>
          <w:rFonts w:ascii="Cambria" w:hAnsi="Cambria"/>
          <w:sz w:val="24"/>
          <w:szCs w:val="24"/>
        </w:rPr>
        <w:t xml:space="preserve">Wolterstorff, Nicholas. 2012. </w:t>
      </w:r>
      <w:r w:rsidRPr="00F23280">
        <w:rPr>
          <w:rFonts w:ascii="Cambria" w:hAnsi="Cambria"/>
          <w:i/>
          <w:sz w:val="24"/>
          <w:szCs w:val="24"/>
        </w:rPr>
        <w:t xml:space="preserve">The Mighty and The Almighty: </w:t>
      </w:r>
      <w:r w:rsidRPr="00F23280">
        <w:rPr>
          <w:rFonts w:ascii="Cambria" w:hAnsi="Cambria"/>
          <w:i/>
          <w:sz w:val="24"/>
          <w:szCs w:val="24"/>
          <w:lang w:val="en-US"/>
        </w:rPr>
        <w:t>An Essay in Political Theology</w:t>
      </w:r>
      <w:r w:rsidRPr="00F23280">
        <w:rPr>
          <w:rFonts w:ascii="Cambria" w:hAnsi="Cambria"/>
          <w:sz w:val="24"/>
          <w:szCs w:val="24"/>
          <w:lang w:val="en-US"/>
        </w:rPr>
        <w:t>.</w:t>
      </w:r>
      <w:r w:rsidRPr="00F23280">
        <w:rPr>
          <w:rFonts w:ascii="Cambria" w:hAnsi="Cambria"/>
          <w:i/>
          <w:sz w:val="24"/>
          <w:szCs w:val="24"/>
          <w:lang w:val="en-US"/>
        </w:rPr>
        <w:t xml:space="preserve"> </w:t>
      </w:r>
      <w:r w:rsidRPr="00F23280">
        <w:rPr>
          <w:rFonts w:ascii="Cambria" w:hAnsi="Cambria"/>
          <w:sz w:val="24"/>
          <w:szCs w:val="24"/>
          <w:lang w:val="en-US"/>
        </w:rPr>
        <w:t>Cambridge: Cambridge University Press.</w:t>
      </w:r>
    </w:p>
    <w:p w14:paraId="43FB787B" w14:textId="77777777" w:rsidR="00F23280" w:rsidRPr="00F23280" w:rsidRDefault="00F23280" w:rsidP="00F23280">
      <w:pPr>
        <w:spacing w:after="200" w:line="288" w:lineRule="auto"/>
        <w:jc w:val="both"/>
        <w:rPr>
          <w:rFonts w:ascii="Cambria" w:hAnsi="Cambria"/>
          <w:sz w:val="24"/>
          <w:szCs w:val="24"/>
          <w:lang w:val="en-US"/>
        </w:rPr>
      </w:pPr>
    </w:p>
    <w:p w14:paraId="2149DEF4" w14:textId="0657AC7C" w:rsidR="00F23280" w:rsidRPr="00F23280" w:rsidRDefault="00F23280" w:rsidP="00F23280">
      <w:pPr>
        <w:spacing w:after="200" w:line="288" w:lineRule="auto"/>
        <w:jc w:val="both"/>
        <w:rPr>
          <w:rFonts w:ascii="Cambria" w:hAnsi="Cambria"/>
          <w:sz w:val="24"/>
          <w:szCs w:val="24"/>
          <w:lang w:val="en-US"/>
        </w:rPr>
      </w:pPr>
      <w:r w:rsidRPr="00F23280">
        <w:rPr>
          <w:rFonts w:ascii="Cambria" w:hAnsi="Cambria"/>
          <w:sz w:val="24"/>
          <w:szCs w:val="24"/>
          <w:lang w:val="en-US"/>
        </w:rPr>
        <w:t>Court cases</w:t>
      </w:r>
      <w:r>
        <w:rPr>
          <w:rFonts w:ascii="Cambria" w:hAnsi="Cambria"/>
          <w:sz w:val="24"/>
          <w:szCs w:val="24"/>
          <w:lang w:val="en-US"/>
        </w:rPr>
        <w:t>:</w:t>
      </w:r>
    </w:p>
    <w:p w14:paraId="2BEC87D0" w14:textId="77777777" w:rsidR="00F23280" w:rsidRPr="00F23280" w:rsidRDefault="00F23280" w:rsidP="00F23280">
      <w:pPr>
        <w:spacing w:after="200" w:line="288" w:lineRule="auto"/>
        <w:jc w:val="both"/>
        <w:rPr>
          <w:rFonts w:ascii="Cambria" w:hAnsi="Cambria"/>
          <w:sz w:val="24"/>
          <w:szCs w:val="24"/>
        </w:rPr>
      </w:pPr>
      <w:r w:rsidRPr="00F23280">
        <w:rPr>
          <w:rFonts w:ascii="Cambria" w:hAnsi="Cambria"/>
          <w:i/>
          <w:sz w:val="24"/>
          <w:szCs w:val="24"/>
        </w:rPr>
        <w:t>Lombardi Vallauri v. Italy</w:t>
      </w:r>
      <w:r w:rsidRPr="00F23280">
        <w:rPr>
          <w:rFonts w:ascii="Cambria" w:hAnsi="Cambria"/>
          <w:sz w:val="24"/>
          <w:szCs w:val="24"/>
        </w:rPr>
        <w:t>, App no 39128/05 (ECtHR, 20 October 2009).</w:t>
      </w:r>
    </w:p>
    <w:p w14:paraId="19CC1462" w14:textId="77777777" w:rsidR="00F23280" w:rsidRPr="00F23280" w:rsidRDefault="00F23280" w:rsidP="00F23280">
      <w:pPr>
        <w:spacing w:after="200" w:line="288" w:lineRule="auto"/>
        <w:jc w:val="both"/>
        <w:rPr>
          <w:rFonts w:ascii="Cambria" w:hAnsi="Cambria"/>
          <w:sz w:val="24"/>
          <w:szCs w:val="24"/>
        </w:rPr>
      </w:pPr>
      <w:r w:rsidRPr="00F23280">
        <w:rPr>
          <w:rFonts w:ascii="Cambria" w:hAnsi="Cambria"/>
          <w:i/>
          <w:sz w:val="24"/>
          <w:szCs w:val="24"/>
        </w:rPr>
        <w:t>Obst v. Germany</w:t>
      </w:r>
      <w:r w:rsidRPr="00F23280">
        <w:rPr>
          <w:rFonts w:ascii="Cambria" w:hAnsi="Cambria"/>
          <w:sz w:val="24"/>
          <w:szCs w:val="24"/>
        </w:rPr>
        <w:t>, App no 425/03 (ECtHR, 23 September 2010).</w:t>
      </w:r>
    </w:p>
    <w:p w14:paraId="4536B9F6" w14:textId="77777777" w:rsidR="00F23280" w:rsidRPr="00F23280" w:rsidRDefault="00F23280" w:rsidP="00F23280">
      <w:pPr>
        <w:spacing w:after="200" w:line="288" w:lineRule="auto"/>
        <w:jc w:val="both"/>
        <w:rPr>
          <w:rFonts w:ascii="Cambria" w:hAnsi="Cambria"/>
          <w:sz w:val="24"/>
          <w:szCs w:val="24"/>
        </w:rPr>
      </w:pPr>
      <w:r w:rsidRPr="00F23280">
        <w:rPr>
          <w:rFonts w:ascii="Cambria" w:hAnsi="Cambria"/>
          <w:i/>
          <w:sz w:val="24"/>
          <w:szCs w:val="24"/>
        </w:rPr>
        <w:t>Siebenhaar v. Germany</w:t>
      </w:r>
      <w:r w:rsidRPr="00F23280">
        <w:rPr>
          <w:rFonts w:ascii="Cambria" w:hAnsi="Cambria"/>
          <w:sz w:val="24"/>
          <w:szCs w:val="24"/>
        </w:rPr>
        <w:t>, App no 18136/02 (ECtHR, 3 February 2011).</w:t>
      </w:r>
    </w:p>
    <w:p w14:paraId="2053BC07" w14:textId="77777777" w:rsidR="00F23280" w:rsidRDefault="00F23280" w:rsidP="00F23280">
      <w:pPr>
        <w:spacing w:after="200" w:line="288" w:lineRule="auto"/>
        <w:jc w:val="both"/>
        <w:rPr>
          <w:rFonts w:ascii="Cambria" w:hAnsi="Cambria"/>
          <w:sz w:val="24"/>
          <w:szCs w:val="24"/>
        </w:rPr>
      </w:pPr>
      <w:r w:rsidRPr="00F23280">
        <w:rPr>
          <w:rFonts w:ascii="Cambria" w:hAnsi="Cambria"/>
          <w:i/>
          <w:sz w:val="24"/>
          <w:szCs w:val="24"/>
        </w:rPr>
        <w:t>Scüth v. Germany</w:t>
      </w:r>
      <w:r w:rsidRPr="00F23280">
        <w:rPr>
          <w:rFonts w:ascii="Cambria" w:hAnsi="Cambria"/>
          <w:sz w:val="24"/>
          <w:szCs w:val="24"/>
        </w:rPr>
        <w:t xml:space="preserve"> (2011) 52 EHRR 32.</w:t>
      </w:r>
    </w:p>
    <w:p w14:paraId="23C3918F" w14:textId="2C22FF3F" w:rsidR="00F23280" w:rsidRPr="00F23280" w:rsidRDefault="00F23280" w:rsidP="00F23280">
      <w:pPr>
        <w:spacing w:after="200" w:line="288" w:lineRule="auto"/>
        <w:jc w:val="both"/>
        <w:rPr>
          <w:rFonts w:ascii="Cambria" w:hAnsi="Cambria"/>
          <w:iCs/>
          <w:sz w:val="24"/>
          <w:szCs w:val="24"/>
        </w:rPr>
      </w:pPr>
      <w:r w:rsidRPr="00F23280">
        <w:rPr>
          <w:rFonts w:ascii="Cambria" w:hAnsi="Cambria"/>
          <w:i/>
          <w:iCs/>
          <w:sz w:val="24"/>
          <w:szCs w:val="24"/>
        </w:rPr>
        <w:t>Masterpiece Cakeshop v Colorado Civil Rights Commission</w:t>
      </w:r>
      <w:r w:rsidRPr="00F23280">
        <w:rPr>
          <w:rFonts w:ascii="Cambria" w:hAnsi="Cambria"/>
          <w:iCs/>
          <w:sz w:val="24"/>
          <w:szCs w:val="24"/>
        </w:rPr>
        <w:t>, 584 U.S. ___ (2018).</w:t>
      </w:r>
    </w:p>
    <w:p w14:paraId="34E4E8AA" w14:textId="77777777" w:rsidR="00F744A9" w:rsidRPr="00F744A9" w:rsidRDefault="00F744A9" w:rsidP="004E2D20">
      <w:pPr>
        <w:spacing w:after="200" w:line="288" w:lineRule="auto"/>
        <w:jc w:val="both"/>
        <w:rPr>
          <w:rFonts w:ascii="Cambria" w:hAnsi="Cambria"/>
          <w:sz w:val="24"/>
          <w:szCs w:val="24"/>
        </w:rPr>
      </w:pPr>
    </w:p>
    <w:sectPr w:rsidR="00F744A9" w:rsidRPr="00F744A9" w:rsidSect="00A82B12">
      <w:footerReference w:type="default" r:id="rId9"/>
      <w:pgSz w:w="11900" w:h="16840"/>
      <w:pgMar w:top="1417" w:right="2098" w:bottom="1417" w:left="209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60AB" w14:textId="77777777" w:rsidR="00385E69" w:rsidRDefault="00385E69">
      <w:r>
        <w:separator/>
      </w:r>
    </w:p>
  </w:endnote>
  <w:endnote w:type="continuationSeparator" w:id="0">
    <w:p w14:paraId="1FA188A4" w14:textId="77777777" w:rsidR="00385E69" w:rsidRDefault="0038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thelas-Regular">
    <w:altName w:val="Athelas Regular"/>
    <w:charset w:val="00"/>
    <w:family w:val="auto"/>
    <w:pitch w:val="default"/>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B8406" w14:textId="77777777" w:rsidR="00385E69" w:rsidRPr="00E56FE6" w:rsidRDefault="00385E69" w:rsidP="00A67553">
    <w:pPr>
      <w:jc w:val="right"/>
      <w:rPr>
        <w:rFonts w:ascii="Cambria" w:hAnsi="Cambria"/>
        <w:szCs w:val="24"/>
      </w:rPr>
    </w:pPr>
    <w:r w:rsidRPr="00E56FE6">
      <w:rPr>
        <w:rFonts w:ascii="Cambria" w:hAnsi="Cambria"/>
        <w:szCs w:val="24"/>
      </w:rPr>
      <w:fldChar w:fldCharType="begin"/>
    </w:r>
    <w:r w:rsidRPr="00E56FE6">
      <w:rPr>
        <w:rFonts w:ascii="Cambria" w:hAnsi="Cambria"/>
        <w:szCs w:val="24"/>
      </w:rPr>
      <w:instrText>PAGE</w:instrText>
    </w:r>
    <w:r w:rsidRPr="00E56FE6">
      <w:rPr>
        <w:rFonts w:ascii="Cambria" w:hAnsi="Cambria"/>
        <w:szCs w:val="24"/>
      </w:rPr>
      <w:fldChar w:fldCharType="separate"/>
    </w:r>
    <w:r w:rsidR="00A7056C">
      <w:rPr>
        <w:rFonts w:ascii="Cambria" w:hAnsi="Cambria"/>
        <w:noProof/>
        <w:szCs w:val="24"/>
      </w:rPr>
      <w:t>10</w:t>
    </w:r>
    <w:r w:rsidRPr="00E56FE6">
      <w:rPr>
        <w:rFonts w:ascii="Cambria" w:hAnsi="Cambria"/>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745EE" w14:textId="77777777" w:rsidR="00385E69" w:rsidRDefault="00385E69">
      <w:r>
        <w:separator/>
      </w:r>
    </w:p>
  </w:footnote>
  <w:footnote w:type="continuationSeparator" w:id="0">
    <w:p w14:paraId="2BAF83D5" w14:textId="77777777" w:rsidR="00385E69" w:rsidRDefault="00385E69">
      <w:r>
        <w:continuationSeparator/>
      </w:r>
    </w:p>
  </w:footnote>
  <w:footnote w:id="1">
    <w:p w14:paraId="608BB6BE" w14:textId="76586377" w:rsidR="00385E69" w:rsidRPr="004D3F0C" w:rsidRDefault="00385E69">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sidRPr="004D3F0C">
        <w:rPr>
          <w:rFonts w:ascii="Cambria" w:hAnsi="Cambria"/>
          <w:sz w:val="20"/>
          <w:szCs w:val="20"/>
          <w:lang w:val="en-US"/>
        </w:rPr>
        <w:t xml:space="preserve">Cécile Laborde, </w:t>
      </w:r>
      <w:r w:rsidRPr="004D3F0C">
        <w:rPr>
          <w:rFonts w:ascii="Cambria" w:hAnsi="Cambria"/>
          <w:i/>
          <w:sz w:val="20"/>
          <w:szCs w:val="20"/>
          <w:lang w:val="en-US"/>
        </w:rPr>
        <w:t>Liberalism’s Religion</w:t>
      </w:r>
      <w:r w:rsidRPr="004D3F0C">
        <w:rPr>
          <w:rFonts w:ascii="Cambria" w:hAnsi="Cambria"/>
          <w:sz w:val="20"/>
          <w:szCs w:val="20"/>
          <w:lang w:val="en-US"/>
        </w:rPr>
        <w:t xml:space="preserve"> (Cambridge, Mass.: Harvard University Press, 2017). All page references in parenthesis in the main text are to this book.</w:t>
      </w:r>
    </w:p>
  </w:footnote>
  <w:footnote w:id="2">
    <w:p w14:paraId="1B502CE9" w14:textId="6CCCCC79" w:rsidR="00385E69" w:rsidRPr="004D3F0C" w:rsidRDefault="00385E69">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sidRPr="004D3F0C">
        <w:rPr>
          <w:rFonts w:ascii="Cambria" w:hAnsi="Cambria"/>
          <w:sz w:val="20"/>
          <w:szCs w:val="20"/>
          <w:lang w:val="en-US"/>
        </w:rPr>
        <w:t xml:space="preserve">Developed throughout Part II of ibid. See also Cécile Laborde, “Religion in the Law: The Disaggregation Approach,” </w:t>
      </w:r>
      <w:r w:rsidRPr="004D3F0C">
        <w:rPr>
          <w:rFonts w:ascii="Cambria" w:hAnsi="Cambria"/>
          <w:i/>
          <w:sz w:val="20"/>
          <w:szCs w:val="20"/>
          <w:lang w:val="en-US"/>
        </w:rPr>
        <w:t>Law and Philosophy</w:t>
      </w:r>
      <w:r w:rsidRPr="004D3F0C">
        <w:rPr>
          <w:rFonts w:ascii="Cambria" w:hAnsi="Cambria"/>
          <w:sz w:val="20"/>
          <w:szCs w:val="20"/>
          <w:lang w:val="en-US"/>
        </w:rPr>
        <w:t xml:space="preserve"> 34(6) (2015): 581–600.</w:t>
      </w:r>
    </w:p>
  </w:footnote>
  <w:footnote w:id="3">
    <w:p w14:paraId="549E64EB" w14:textId="5900D619" w:rsidR="00385E69" w:rsidRPr="004D3F0C" w:rsidRDefault="00385E69" w:rsidP="008F100F">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sidRPr="004D3F0C">
        <w:rPr>
          <w:rFonts w:ascii="Cambria" w:hAnsi="Cambria"/>
          <w:sz w:val="20"/>
          <w:szCs w:val="20"/>
          <w:lang w:val="en-US"/>
        </w:rPr>
        <w:t xml:space="preserve">This debate is well reflected in the contributions to Micah Schwartzman, Chad Flanders, and Zoë Robinson, eds., </w:t>
      </w:r>
      <w:r w:rsidRPr="004D3F0C">
        <w:rPr>
          <w:rFonts w:ascii="Cambria" w:hAnsi="Cambria"/>
          <w:i/>
          <w:sz w:val="20"/>
          <w:szCs w:val="20"/>
          <w:lang w:val="en-US"/>
        </w:rPr>
        <w:t>The Rise of Corporate Religious Liberty</w:t>
      </w:r>
      <w:r w:rsidRPr="004D3F0C">
        <w:rPr>
          <w:rFonts w:ascii="Cambria" w:hAnsi="Cambria"/>
          <w:sz w:val="20"/>
          <w:szCs w:val="20"/>
          <w:lang w:val="en-US"/>
        </w:rPr>
        <w:t xml:space="preserve"> (New York, NY: Oxford University Press, 2016).</w:t>
      </w:r>
    </w:p>
  </w:footnote>
  <w:footnote w:id="4">
    <w:p w14:paraId="0F72D11B" w14:textId="5C5430E6" w:rsidR="00385E69" w:rsidRPr="004D3F0C" w:rsidRDefault="00385E69" w:rsidP="001075C4">
      <w:pPr>
        <w:rPr>
          <w:rFonts w:ascii="Cambria" w:hAnsi="Cambria"/>
          <w:lang w:val="en-US"/>
        </w:rPr>
      </w:pPr>
      <w:r w:rsidRPr="004D3F0C">
        <w:rPr>
          <w:rFonts w:ascii="Cambria" w:hAnsi="Cambria"/>
          <w:vertAlign w:val="superscript"/>
        </w:rPr>
        <w:footnoteRef/>
      </w:r>
      <w:r w:rsidRPr="004D3F0C">
        <w:rPr>
          <w:rFonts w:ascii="Cambria" w:hAnsi="Cambria"/>
        </w:rPr>
        <w:t xml:space="preserve"> Quoted in Nicholas Wolterstorff, </w:t>
      </w:r>
      <w:r w:rsidRPr="004D3F0C">
        <w:rPr>
          <w:rFonts w:ascii="Cambria" w:hAnsi="Cambria"/>
          <w:i/>
        </w:rPr>
        <w:t xml:space="preserve">The Mighty and The Almighty: </w:t>
      </w:r>
      <w:r w:rsidRPr="004D3F0C">
        <w:rPr>
          <w:rFonts w:ascii="Cambria" w:hAnsi="Cambria"/>
          <w:i/>
          <w:lang w:val="en-US"/>
        </w:rPr>
        <w:t xml:space="preserve">An Essay in Political Theology </w:t>
      </w:r>
      <w:r w:rsidRPr="004D3F0C">
        <w:rPr>
          <w:rFonts w:ascii="Cambria" w:hAnsi="Cambria"/>
          <w:lang w:val="en-US"/>
        </w:rPr>
        <w:t>(Cambridge: Cambridge University Press, 2012)</w:t>
      </w:r>
      <w:r w:rsidRPr="004D3F0C">
        <w:rPr>
          <w:rFonts w:ascii="Cambria" w:hAnsi="Cambria"/>
        </w:rPr>
        <w:t>, p. 162.</w:t>
      </w:r>
    </w:p>
  </w:footnote>
  <w:footnote w:id="5">
    <w:p w14:paraId="24063BF1" w14:textId="7DBDB4E8" w:rsidR="00385E69" w:rsidRPr="004D3F0C" w:rsidRDefault="00385E69">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sidRPr="004D3F0C">
        <w:rPr>
          <w:rFonts w:ascii="Cambria" w:hAnsi="Cambria"/>
          <w:sz w:val="20"/>
          <w:szCs w:val="20"/>
          <w:lang w:val="en-US"/>
        </w:rPr>
        <w:t xml:space="preserve">For a somewhat different critique of Laborde’s account of these two interests, see Andrew Shorten, “May Churches Discriminate?” </w:t>
      </w:r>
      <w:r w:rsidRPr="004D3F0C">
        <w:rPr>
          <w:rFonts w:ascii="Cambria" w:hAnsi="Cambria"/>
          <w:i/>
          <w:sz w:val="20"/>
          <w:szCs w:val="20"/>
          <w:lang w:val="en-US"/>
        </w:rPr>
        <w:t xml:space="preserve">Journal of Applied Philosophy </w:t>
      </w:r>
      <w:r w:rsidRPr="004D3F0C">
        <w:rPr>
          <w:rFonts w:ascii="Cambria" w:hAnsi="Cambria"/>
          <w:sz w:val="20"/>
          <w:szCs w:val="20"/>
          <w:lang w:val="en-US"/>
        </w:rPr>
        <w:t>(forthcoming). Shorten notes some of the same ambiguities that I discuss here, but generally seems worried that Laborde’s account will grant too many collective exemptions, while I have the opposite concern.</w:t>
      </w:r>
    </w:p>
  </w:footnote>
  <w:footnote w:id="6">
    <w:p w14:paraId="169E2812" w14:textId="4A5BEE87" w:rsidR="00385E69" w:rsidRPr="004D3F0C" w:rsidRDefault="00385E69" w:rsidP="000923E3">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sidRPr="004D3F0C">
        <w:rPr>
          <w:rFonts w:ascii="Cambria" w:hAnsi="Cambria"/>
          <w:sz w:val="20"/>
          <w:szCs w:val="20"/>
          <w:lang w:val="en-US"/>
        </w:rPr>
        <w:t xml:space="preserve">I further discuss the issue of justifying </w:t>
      </w:r>
      <w:r>
        <w:rPr>
          <w:rFonts w:ascii="Cambria" w:hAnsi="Cambria"/>
          <w:sz w:val="20"/>
          <w:szCs w:val="20"/>
          <w:lang w:val="en-US"/>
        </w:rPr>
        <w:t xml:space="preserve">collective </w:t>
      </w:r>
      <w:r w:rsidRPr="004D3F0C">
        <w:rPr>
          <w:rFonts w:ascii="Cambria" w:hAnsi="Cambria"/>
          <w:sz w:val="20"/>
          <w:szCs w:val="20"/>
          <w:lang w:val="en-US"/>
        </w:rPr>
        <w:t>exemptions in the face of internal dissent in my</w:t>
      </w:r>
      <w:r>
        <w:rPr>
          <w:rFonts w:ascii="Cambria" w:hAnsi="Cambria"/>
          <w:sz w:val="20"/>
          <w:szCs w:val="20"/>
          <w:lang w:val="en-US"/>
        </w:rPr>
        <w:t xml:space="preserve"> [self-citation redacted].</w:t>
      </w:r>
    </w:p>
  </w:footnote>
  <w:footnote w:id="7">
    <w:p w14:paraId="2A212AC8" w14:textId="262C60B8" w:rsidR="00385E69" w:rsidRPr="004D3F0C" w:rsidRDefault="00385E69">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sidRPr="004D3F0C">
        <w:rPr>
          <w:rFonts w:ascii="Cambria" w:hAnsi="Cambria"/>
          <w:sz w:val="20"/>
          <w:szCs w:val="20"/>
          <w:lang w:val="en-US"/>
        </w:rPr>
        <w:t xml:space="preserve">This was certainly the view of the US Supreme Court in </w:t>
      </w:r>
      <w:r w:rsidRPr="004D3F0C">
        <w:rPr>
          <w:rFonts w:ascii="Cambria" w:hAnsi="Cambria"/>
          <w:i/>
          <w:iCs/>
          <w:sz w:val="20"/>
          <w:szCs w:val="20"/>
        </w:rPr>
        <w:t>Masterpiece Cakeshop v Colorado Civil Rights Commission</w:t>
      </w:r>
      <w:r w:rsidRPr="004D3F0C">
        <w:rPr>
          <w:rFonts w:ascii="Cambria" w:hAnsi="Cambria"/>
          <w:iCs/>
          <w:sz w:val="20"/>
          <w:szCs w:val="20"/>
        </w:rPr>
        <w:t xml:space="preserve">, 584 U.S. ___ (2018). The Court argued that baker Jack Phillips had </w:t>
      </w:r>
      <w:r w:rsidRPr="004D3F0C">
        <w:rPr>
          <w:rFonts w:ascii="Cambria" w:hAnsi="Cambria"/>
          <w:i/>
          <w:iCs/>
          <w:sz w:val="20"/>
          <w:szCs w:val="20"/>
        </w:rPr>
        <w:t>some</w:t>
      </w:r>
      <w:r w:rsidRPr="004D3F0C">
        <w:rPr>
          <w:rFonts w:ascii="Cambria" w:hAnsi="Cambria"/>
          <w:iCs/>
          <w:sz w:val="20"/>
          <w:szCs w:val="20"/>
        </w:rPr>
        <w:t xml:space="preserve"> claim to an exemption, which must be weighed against the countervailing considerations in a fair and unbiased way. The Colorado Civil Rights Commission lost the case due to its apparent failure to do this.</w:t>
      </w:r>
    </w:p>
  </w:footnote>
  <w:footnote w:id="8">
    <w:p w14:paraId="1B4158EF" w14:textId="77777777" w:rsidR="00385E69" w:rsidRPr="004D3F0C" w:rsidRDefault="00385E69">
      <w:pPr>
        <w:rPr>
          <w:rFonts w:ascii="Cambria" w:hAnsi="Cambria"/>
        </w:rPr>
      </w:pPr>
      <w:r w:rsidRPr="004D3F0C">
        <w:rPr>
          <w:rFonts w:ascii="Cambria" w:hAnsi="Cambria"/>
          <w:vertAlign w:val="superscript"/>
        </w:rPr>
        <w:footnoteRef/>
      </w:r>
      <w:r w:rsidRPr="004D3F0C">
        <w:rPr>
          <w:rFonts w:ascii="Cambria" w:hAnsi="Cambria"/>
        </w:rPr>
        <w:t xml:space="preserve"> App no 425/03 (ECtHR, 23 September 2010).</w:t>
      </w:r>
    </w:p>
  </w:footnote>
  <w:footnote w:id="9">
    <w:p w14:paraId="34FD8179" w14:textId="77777777" w:rsidR="00385E69" w:rsidRPr="004D3F0C" w:rsidRDefault="00385E69">
      <w:pPr>
        <w:rPr>
          <w:rFonts w:ascii="Cambria" w:hAnsi="Cambria"/>
        </w:rPr>
      </w:pPr>
      <w:r w:rsidRPr="004D3F0C">
        <w:rPr>
          <w:rFonts w:ascii="Cambria" w:hAnsi="Cambria"/>
          <w:vertAlign w:val="superscript"/>
        </w:rPr>
        <w:footnoteRef/>
      </w:r>
      <w:r w:rsidRPr="004D3F0C">
        <w:rPr>
          <w:rFonts w:ascii="Cambria" w:hAnsi="Cambria"/>
        </w:rPr>
        <w:t xml:space="preserve"> This argument was made on behalf of the church by Professor Gerhard Robbers, a prominent German legal theorist.</w:t>
      </w:r>
    </w:p>
  </w:footnote>
  <w:footnote w:id="10">
    <w:p w14:paraId="5F68A9F5" w14:textId="441B5D7B" w:rsidR="00385E69" w:rsidRPr="004D3F0C" w:rsidRDefault="00385E69">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App no 18136/02 (ECtHR, 3 February 2011).</w:t>
      </w:r>
    </w:p>
  </w:footnote>
  <w:footnote w:id="11">
    <w:p w14:paraId="01F47673" w14:textId="77777777" w:rsidR="00385E69" w:rsidRPr="004D3F0C" w:rsidRDefault="00385E69" w:rsidP="00486F22">
      <w:pPr>
        <w:pStyle w:val="FootnoteText"/>
        <w:rPr>
          <w:rFonts w:ascii="Cambria" w:hAnsi="Cambria"/>
          <w:sz w:val="20"/>
          <w:szCs w:val="20"/>
          <w:lang w:val="en-US"/>
        </w:rPr>
      </w:pPr>
      <w:r w:rsidRPr="004D3F0C">
        <w:rPr>
          <w:rStyle w:val="FootnoteReference"/>
          <w:rFonts w:ascii="Cambria" w:hAnsi="Cambria"/>
          <w:sz w:val="20"/>
          <w:szCs w:val="20"/>
        </w:rPr>
        <w:footnoteRef/>
      </w:r>
      <w:r w:rsidRPr="004D3F0C">
        <w:rPr>
          <w:rFonts w:ascii="Cambria" w:hAnsi="Cambria"/>
          <w:sz w:val="20"/>
          <w:szCs w:val="20"/>
        </w:rPr>
        <w:t xml:space="preserve"> </w:t>
      </w:r>
      <w:r>
        <w:rPr>
          <w:rFonts w:ascii="Cambria" w:hAnsi="Cambria"/>
          <w:sz w:val="20"/>
          <w:szCs w:val="20"/>
        </w:rPr>
        <w:t xml:space="preserve">My comments here are all-too-quick, and my judgments clearly require much more argumentative support. </w:t>
      </w:r>
      <w:r w:rsidRPr="004D3F0C">
        <w:rPr>
          <w:rFonts w:ascii="Cambria" w:hAnsi="Cambria"/>
          <w:sz w:val="20"/>
          <w:szCs w:val="20"/>
          <w:lang w:val="en-US"/>
        </w:rPr>
        <w:t xml:space="preserve">I develop and defend </w:t>
      </w:r>
      <w:r>
        <w:rPr>
          <w:rFonts w:ascii="Cambria" w:hAnsi="Cambria"/>
          <w:sz w:val="20"/>
          <w:szCs w:val="20"/>
          <w:lang w:val="en-US"/>
        </w:rPr>
        <w:t>the</w:t>
      </w:r>
      <w:r w:rsidRPr="004D3F0C">
        <w:rPr>
          <w:rFonts w:ascii="Cambria" w:hAnsi="Cambria"/>
          <w:sz w:val="20"/>
          <w:szCs w:val="20"/>
          <w:lang w:val="en-US"/>
        </w:rPr>
        <w:t xml:space="preserve"> account in much more detail in my </w:t>
      </w:r>
      <w:r>
        <w:rPr>
          <w:rFonts w:ascii="Cambria" w:hAnsi="Cambria"/>
          <w:sz w:val="20"/>
          <w:szCs w:val="20"/>
          <w:lang w:val="en-US"/>
        </w:rPr>
        <w:t>[self-citation redacted].</w:t>
      </w:r>
    </w:p>
  </w:footnote>
  <w:footnote w:id="12">
    <w:p w14:paraId="0D0D88CA" w14:textId="3D0B4C1D" w:rsidR="00385E69" w:rsidRPr="004D3F0C" w:rsidRDefault="00385E69">
      <w:pPr>
        <w:rPr>
          <w:rFonts w:ascii="Cambria" w:hAnsi="Cambria"/>
        </w:rPr>
      </w:pPr>
      <w:r w:rsidRPr="004D3F0C">
        <w:rPr>
          <w:rFonts w:ascii="Cambria" w:hAnsi="Cambria"/>
          <w:vertAlign w:val="superscript"/>
        </w:rPr>
        <w:footnoteRef/>
      </w:r>
      <w:r w:rsidRPr="004D3F0C">
        <w:rPr>
          <w:rFonts w:ascii="Cambria" w:hAnsi="Cambria"/>
        </w:rPr>
        <w:t xml:space="preserve"> App no 39128/05 (ECtHR, 20 October 2009).</w:t>
      </w:r>
    </w:p>
  </w:footnote>
  <w:footnote w:id="13">
    <w:p w14:paraId="5B456F3E" w14:textId="77777777" w:rsidR="00385E69" w:rsidRPr="004D3F0C" w:rsidRDefault="00385E69">
      <w:pPr>
        <w:rPr>
          <w:rFonts w:ascii="Cambria" w:hAnsi="Cambria"/>
        </w:rPr>
      </w:pPr>
      <w:r w:rsidRPr="004D3F0C">
        <w:rPr>
          <w:rFonts w:ascii="Cambria" w:hAnsi="Cambria"/>
          <w:vertAlign w:val="superscript"/>
        </w:rPr>
        <w:footnoteRef/>
      </w:r>
      <w:r w:rsidRPr="004D3F0C">
        <w:rPr>
          <w:rFonts w:ascii="Cambria" w:hAnsi="Cambria"/>
        </w:rPr>
        <w:t xml:space="preserve"> </w:t>
      </w:r>
      <w:r w:rsidRPr="004D3F0C">
        <w:rPr>
          <w:rFonts w:ascii="Cambria" w:hAnsi="Cambria"/>
          <w:i/>
        </w:rPr>
        <w:t>Scüth v. Germany</w:t>
      </w:r>
      <w:r w:rsidRPr="004D3F0C">
        <w:rPr>
          <w:rFonts w:ascii="Cambria" w:hAnsi="Cambria"/>
        </w:rPr>
        <w:t xml:space="preserve"> (2011) 52 EHRR 32.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2628"/>
    <w:multiLevelType w:val="hybridMultilevel"/>
    <w:tmpl w:val="6482373A"/>
    <w:lvl w:ilvl="0" w:tplc="A3326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76FAC"/>
    <w:multiLevelType w:val="hybridMultilevel"/>
    <w:tmpl w:val="1B12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5022D"/>
    <w:multiLevelType w:val="hybridMultilevel"/>
    <w:tmpl w:val="6E3C805A"/>
    <w:lvl w:ilvl="0" w:tplc="2520A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bordersDoNotSurroundHeader/>
  <w:bordersDoNotSurroundFooter/>
  <w:defaultTabStop w:val="720"/>
  <w:hyphenationZone w:val="357"/>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39"/>
    <w:rsid w:val="00000950"/>
    <w:rsid w:val="0001222A"/>
    <w:rsid w:val="000132D4"/>
    <w:rsid w:val="00035DB8"/>
    <w:rsid w:val="000372B3"/>
    <w:rsid w:val="00041D3E"/>
    <w:rsid w:val="00043348"/>
    <w:rsid w:val="000618B8"/>
    <w:rsid w:val="00072684"/>
    <w:rsid w:val="00084EF9"/>
    <w:rsid w:val="000923E3"/>
    <w:rsid w:val="00094CDF"/>
    <w:rsid w:val="000A3A1C"/>
    <w:rsid w:val="000E1CD6"/>
    <w:rsid w:val="000E4534"/>
    <w:rsid w:val="000E6967"/>
    <w:rsid w:val="000F3B6D"/>
    <w:rsid w:val="0010014E"/>
    <w:rsid w:val="001075C4"/>
    <w:rsid w:val="00120CF1"/>
    <w:rsid w:val="00150024"/>
    <w:rsid w:val="00150EDE"/>
    <w:rsid w:val="00157E17"/>
    <w:rsid w:val="00163A45"/>
    <w:rsid w:val="00163AB9"/>
    <w:rsid w:val="001B6433"/>
    <w:rsid w:val="001D606E"/>
    <w:rsid w:val="001E2C49"/>
    <w:rsid w:val="001F3770"/>
    <w:rsid w:val="00205368"/>
    <w:rsid w:val="002476AB"/>
    <w:rsid w:val="00254110"/>
    <w:rsid w:val="0026059A"/>
    <w:rsid w:val="00262EBF"/>
    <w:rsid w:val="00265B6D"/>
    <w:rsid w:val="0029334E"/>
    <w:rsid w:val="002A238C"/>
    <w:rsid w:val="002B30A2"/>
    <w:rsid w:val="002C7948"/>
    <w:rsid w:val="002C7B36"/>
    <w:rsid w:val="002D10D1"/>
    <w:rsid w:val="002F0A54"/>
    <w:rsid w:val="002F1F30"/>
    <w:rsid w:val="002F5445"/>
    <w:rsid w:val="00301E6D"/>
    <w:rsid w:val="00315B4F"/>
    <w:rsid w:val="0032139B"/>
    <w:rsid w:val="00336D6D"/>
    <w:rsid w:val="003456FD"/>
    <w:rsid w:val="003469A4"/>
    <w:rsid w:val="0035185B"/>
    <w:rsid w:val="00361664"/>
    <w:rsid w:val="00367529"/>
    <w:rsid w:val="003703F9"/>
    <w:rsid w:val="00370755"/>
    <w:rsid w:val="0037140B"/>
    <w:rsid w:val="0037591F"/>
    <w:rsid w:val="00385388"/>
    <w:rsid w:val="00385E69"/>
    <w:rsid w:val="003A6F36"/>
    <w:rsid w:val="003B425A"/>
    <w:rsid w:val="003C18D3"/>
    <w:rsid w:val="003C22A8"/>
    <w:rsid w:val="003C7FBD"/>
    <w:rsid w:val="003D6C93"/>
    <w:rsid w:val="003E2698"/>
    <w:rsid w:val="003F7602"/>
    <w:rsid w:val="00402090"/>
    <w:rsid w:val="00404DAB"/>
    <w:rsid w:val="00411A1F"/>
    <w:rsid w:val="0041519F"/>
    <w:rsid w:val="00432B6D"/>
    <w:rsid w:val="004333F3"/>
    <w:rsid w:val="004342D3"/>
    <w:rsid w:val="00443058"/>
    <w:rsid w:val="00447226"/>
    <w:rsid w:val="00453B50"/>
    <w:rsid w:val="00453B7A"/>
    <w:rsid w:val="00467FE6"/>
    <w:rsid w:val="004735B7"/>
    <w:rsid w:val="00477540"/>
    <w:rsid w:val="004804C6"/>
    <w:rsid w:val="00486F22"/>
    <w:rsid w:val="00487256"/>
    <w:rsid w:val="00491C5E"/>
    <w:rsid w:val="004948C8"/>
    <w:rsid w:val="004A6BD5"/>
    <w:rsid w:val="004C6316"/>
    <w:rsid w:val="004D3F0C"/>
    <w:rsid w:val="004E2D20"/>
    <w:rsid w:val="004F21CD"/>
    <w:rsid w:val="004F7970"/>
    <w:rsid w:val="00500AD6"/>
    <w:rsid w:val="0051118F"/>
    <w:rsid w:val="00513A77"/>
    <w:rsid w:val="00553B59"/>
    <w:rsid w:val="0059477E"/>
    <w:rsid w:val="00595A01"/>
    <w:rsid w:val="005A6563"/>
    <w:rsid w:val="005B7B8F"/>
    <w:rsid w:val="005E5A41"/>
    <w:rsid w:val="005F1100"/>
    <w:rsid w:val="005F25A4"/>
    <w:rsid w:val="006033D0"/>
    <w:rsid w:val="00612ACD"/>
    <w:rsid w:val="00627835"/>
    <w:rsid w:val="00634DE2"/>
    <w:rsid w:val="0065139C"/>
    <w:rsid w:val="00657416"/>
    <w:rsid w:val="00665780"/>
    <w:rsid w:val="00683DC3"/>
    <w:rsid w:val="00684C28"/>
    <w:rsid w:val="0068653D"/>
    <w:rsid w:val="00690C10"/>
    <w:rsid w:val="00691F85"/>
    <w:rsid w:val="006962D3"/>
    <w:rsid w:val="006A5633"/>
    <w:rsid w:val="006A6DEA"/>
    <w:rsid w:val="006B58D0"/>
    <w:rsid w:val="006C483F"/>
    <w:rsid w:val="006D6687"/>
    <w:rsid w:val="006E7D5A"/>
    <w:rsid w:val="006F1409"/>
    <w:rsid w:val="006F38BB"/>
    <w:rsid w:val="00703AE4"/>
    <w:rsid w:val="00704819"/>
    <w:rsid w:val="00706E78"/>
    <w:rsid w:val="0073081B"/>
    <w:rsid w:val="00747370"/>
    <w:rsid w:val="00751D74"/>
    <w:rsid w:val="007661B7"/>
    <w:rsid w:val="00766992"/>
    <w:rsid w:val="007718F5"/>
    <w:rsid w:val="00782DDE"/>
    <w:rsid w:val="007832C3"/>
    <w:rsid w:val="007A1BD9"/>
    <w:rsid w:val="007A432F"/>
    <w:rsid w:val="007B5BB0"/>
    <w:rsid w:val="007E3240"/>
    <w:rsid w:val="007F75C5"/>
    <w:rsid w:val="00805D91"/>
    <w:rsid w:val="0083146F"/>
    <w:rsid w:val="008337AE"/>
    <w:rsid w:val="00835322"/>
    <w:rsid w:val="0084370C"/>
    <w:rsid w:val="00847012"/>
    <w:rsid w:val="00851755"/>
    <w:rsid w:val="00856EAD"/>
    <w:rsid w:val="00883272"/>
    <w:rsid w:val="00893472"/>
    <w:rsid w:val="008A7556"/>
    <w:rsid w:val="008B6FFC"/>
    <w:rsid w:val="008C1681"/>
    <w:rsid w:val="008D523A"/>
    <w:rsid w:val="008D648D"/>
    <w:rsid w:val="008F100F"/>
    <w:rsid w:val="008F24E2"/>
    <w:rsid w:val="008F66C3"/>
    <w:rsid w:val="008F7CC7"/>
    <w:rsid w:val="00901FEE"/>
    <w:rsid w:val="009060F7"/>
    <w:rsid w:val="009202DF"/>
    <w:rsid w:val="00940B7B"/>
    <w:rsid w:val="00942189"/>
    <w:rsid w:val="009422D6"/>
    <w:rsid w:val="00942CB8"/>
    <w:rsid w:val="00977220"/>
    <w:rsid w:val="009839D7"/>
    <w:rsid w:val="0099028C"/>
    <w:rsid w:val="00990B9A"/>
    <w:rsid w:val="009A3559"/>
    <w:rsid w:val="009B3ED3"/>
    <w:rsid w:val="009C5B69"/>
    <w:rsid w:val="009C61C7"/>
    <w:rsid w:val="009D0DF5"/>
    <w:rsid w:val="009D1720"/>
    <w:rsid w:val="009E111F"/>
    <w:rsid w:val="009F6854"/>
    <w:rsid w:val="00A04500"/>
    <w:rsid w:val="00A14A36"/>
    <w:rsid w:val="00A4087C"/>
    <w:rsid w:val="00A44365"/>
    <w:rsid w:val="00A45DF6"/>
    <w:rsid w:val="00A521CF"/>
    <w:rsid w:val="00A579BC"/>
    <w:rsid w:val="00A6005B"/>
    <w:rsid w:val="00A67553"/>
    <w:rsid w:val="00A7056C"/>
    <w:rsid w:val="00A82B12"/>
    <w:rsid w:val="00A84F4E"/>
    <w:rsid w:val="00A90745"/>
    <w:rsid w:val="00AA2776"/>
    <w:rsid w:val="00AB382F"/>
    <w:rsid w:val="00AB4D87"/>
    <w:rsid w:val="00AC2E4E"/>
    <w:rsid w:val="00AD3EFA"/>
    <w:rsid w:val="00AD7C20"/>
    <w:rsid w:val="00AE2888"/>
    <w:rsid w:val="00AE2B22"/>
    <w:rsid w:val="00AF0831"/>
    <w:rsid w:val="00B03140"/>
    <w:rsid w:val="00B03706"/>
    <w:rsid w:val="00B37643"/>
    <w:rsid w:val="00B46C47"/>
    <w:rsid w:val="00B47F5E"/>
    <w:rsid w:val="00B51751"/>
    <w:rsid w:val="00B544B6"/>
    <w:rsid w:val="00B60B4E"/>
    <w:rsid w:val="00B74F9B"/>
    <w:rsid w:val="00BA2E9C"/>
    <w:rsid w:val="00BA7D1F"/>
    <w:rsid w:val="00BB68A9"/>
    <w:rsid w:val="00C17089"/>
    <w:rsid w:val="00C27967"/>
    <w:rsid w:val="00C32AFE"/>
    <w:rsid w:val="00C3500D"/>
    <w:rsid w:val="00C35691"/>
    <w:rsid w:val="00C71008"/>
    <w:rsid w:val="00C72C6E"/>
    <w:rsid w:val="00C72E96"/>
    <w:rsid w:val="00C74FB9"/>
    <w:rsid w:val="00C81A7A"/>
    <w:rsid w:val="00C834DD"/>
    <w:rsid w:val="00CC36B5"/>
    <w:rsid w:val="00CC3C40"/>
    <w:rsid w:val="00CC560A"/>
    <w:rsid w:val="00CD5A2C"/>
    <w:rsid w:val="00CF49D1"/>
    <w:rsid w:val="00CF7C61"/>
    <w:rsid w:val="00D155CA"/>
    <w:rsid w:val="00D318D2"/>
    <w:rsid w:val="00D368DF"/>
    <w:rsid w:val="00D41FFF"/>
    <w:rsid w:val="00D504E9"/>
    <w:rsid w:val="00D517FC"/>
    <w:rsid w:val="00D6403F"/>
    <w:rsid w:val="00D83A93"/>
    <w:rsid w:val="00DA266F"/>
    <w:rsid w:val="00DB22C7"/>
    <w:rsid w:val="00DD7207"/>
    <w:rsid w:val="00DE1878"/>
    <w:rsid w:val="00DE56FB"/>
    <w:rsid w:val="00DE7CEF"/>
    <w:rsid w:val="00DF670A"/>
    <w:rsid w:val="00DF7944"/>
    <w:rsid w:val="00E030EC"/>
    <w:rsid w:val="00E0691E"/>
    <w:rsid w:val="00E100D9"/>
    <w:rsid w:val="00E14AE1"/>
    <w:rsid w:val="00E17662"/>
    <w:rsid w:val="00E17E52"/>
    <w:rsid w:val="00E243A7"/>
    <w:rsid w:val="00E25486"/>
    <w:rsid w:val="00E52B22"/>
    <w:rsid w:val="00E56FE6"/>
    <w:rsid w:val="00E67DE4"/>
    <w:rsid w:val="00E72BC3"/>
    <w:rsid w:val="00E8676A"/>
    <w:rsid w:val="00E8771C"/>
    <w:rsid w:val="00ED76A5"/>
    <w:rsid w:val="00F0272E"/>
    <w:rsid w:val="00F17C89"/>
    <w:rsid w:val="00F2195A"/>
    <w:rsid w:val="00F23280"/>
    <w:rsid w:val="00F2701D"/>
    <w:rsid w:val="00F440A4"/>
    <w:rsid w:val="00F60A1D"/>
    <w:rsid w:val="00F71F4E"/>
    <w:rsid w:val="00F744A9"/>
    <w:rsid w:val="00F7502D"/>
    <w:rsid w:val="00F80751"/>
    <w:rsid w:val="00F90175"/>
    <w:rsid w:val="00F932F3"/>
    <w:rsid w:val="00F94822"/>
    <w:rsid w:val="00F97F39"/>
    <w:rsid w:val="00FB431B"/>
    <w:rsid w:val="00FB7E12"/>
    <w:rsid w:val="00FE0420"/>
    <w:rsid w:val="00FE5BE7"/>
    <w:rsid w:val="00FF46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4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thelas-Regular" w:eastAsia="Athelas-Regular" w:hAnsi="Athelas-Regular" w:cs="Athelas-Regular"/>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paragraph" w:styleId="Header">
    <w:name w:val="header"/>
    <w:basedOn w:val="Normal"/>
    <w:link w:val="HeaderChar"/>
    <w:uiPriority w:val="99"/>
    <w:unhideWhenUsed/>
    <w:rsid w:val="00665780"/>
    <w:pPr>
      <w:tabs>
        <w:tab w:val="center" w:pos="4320"/>
        <w:tab w:val="right" w:pos="8640"/>
      </w:tabs>
    </w:pPr>
  </w:style>
  <w:style w:type="character" w:customStyle="1" w:styleId="HeaderChar">
    <w:name w:val="Header Char"/>
    <w:basedOn w:val="DefaultParagraphFont"/>
    <w:link w:val="Header"/>
    <w:uiPriority w:val="99"/>
    <w:rsid w:val="00665780"/>
  </w:style>
  <w:style w:type="paragraph" w:styleId="Footer">
    <w:name w:val="footer"/>
    <w:basedOn w:val="Normal"/>
    <w:link w:val="FooterChar"/>
    <w:uiPriority w:val="99"/>
    <w:unhideWhenUsed/>
    <w:rsid w:val="00665780"/>
    <w:pPr>
      <w:tabs>
        <w:tab w:val="center" w:pos="4320"/>
        <w:tab w:val="right" w:pos="8640"/>
      </w:tabs>
    </w:pPr>
  </w:style>
  <w:style w:type="character" w:customStyle="1" w:styleId="FooterChar">
    <w:name w:val="Footer Char"/>
    <w:basedOn w:val="DefaultParagraphFont"/>
    <w:link w:val="Footer"/>
    <w:uiPriority w:val="99"/>
    <w:rsid w:val="00665780"/>
  </w:style>
  <w:style w:type="paragraph" w:styleId="ListParagraph">
    <w:name w:val="List Paragraph"/>
    <w:basedOn w:val="Normal"/>
    <w:uiPriority w:val="34"/>
    <w:qFormat/>
    <w:rsid w:val="00477540"/>
    <w:pPr>
      <w:ind w:left="720"/>
      <w:contextualSpacing/>
    </w:pPr>
  </w:style>
  <w:style w:type="character" w:styleId="CommentReference">
    <w:name w:val="annotation reference"/>
    <w:basedOn w:val="DefaultParagraphFont"/>
    <w:uiPriority w:val="99"/>
    <w:semiHidden/>
    <w:unhideWhenUsed/>
    <w:rsid w:val="007E3240"/>
    <w:rPr>
      <w:sz w:val="18"/>
      <w:szCs w:val="18"/>
    </w:rPr>
  </w:style>
  <w:style w:type="paragraph" w:styleId="CommentText">
    <w:name w:val="annotation text"/>
    <w:basedOn w:val="Normal"/>
    <w:link w:val="CommentTextChar"/>
    <w:uiPriority w:val="99"/>
    <w:semiHidden/>
    <w:unhideWhenUsed/>
    <w:rsid w:val="007E3240"/>
    <w:rPr>
      <w:sz w:val="24"/>
      <w:szCs w:val="24"/>
    </w:rPr>
  </w:style>
  <w:style w:type="character" w:customStyle="1" w:styleId="CommentTextChar">
    <w:name w:val="Comment Text Char"/>
    <w:basedOn w:val="DefaultParagraphFont"/>
    <w:link w:val="CommentText"/>
    <w:uiPriority w:val="99"/>
    <w:semiHidden/>
    <w:rsid w:val="007E3240"/>
    <w:rPr>
      <w:sz w:val="24"/>
      <w:szCs w:val="24"/>
    </w:rPr>
  </w:style>
  <w:style w:type="paragraph" w:styleId="CommentSubject">
    <w:name w:val="annotation subject"/>
    <w:basedOn w:val="CommentText"/>
    <w:next w:val="CommentText"/>
    <w:link w:val="CommentSubjectChar"/>
    <w:uiPriority w:val="99"/>
    <w:semiHidden/>
    <w:unhideWhenUsed/>
    <w:rsid w:val="007E3240"/>
    <w:rPr>
      <w:b/>
      <w:bCs/>
      <w:sz w:val="20"/>
      <w:szCs w:val="20"/>
    </w:rPr>
  </w:style>
  <w:style w:type="character" w:customStyle="1" w:styleId="CommentSubjectChar">
    <w:name w:val="Comment Subject Char"/>
    <w:basedOn w:val="CommentTextChar"/>
    <w:link w:val="CommentSubject"/>
    <w:uiPriority w:val="99"/>
    <w:semiHidden/>
    <w:rsid w:val="007E3240"/>
    <w:rPr>
      <w:b/>
      <w:bCs/>
      <w:sz w:val="24"/>
      <w:szCs w:val="24"/>
    </w:rPr>
  </w:style>
  <w:style w:type="paragraph" w:styleId="BalloonText">
    <w:name w:val="Balloon Text"/>
    <w:basedOn w:val="Normal"/>
    <w:link w:val="BalloonTextChar"/>
    <w:uiPriority w:val="99"/>
    <w:semiHidden/>
    <w:unhideWhenUsed/>
    <w:rsid w:val="007E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3240"/>
    <w:rPr>
      <w:rFonts w:ascii="Lucida Grande" w:hAnsi="Lucida Grande" w:cs="Lucida Grande"/>
      <w:sz w:val="18"/>
      <w:szCs w:val="18"/>
    </w:rPr>
  </w:style>
  <w:style w:type="paragraph" w:styleId="FootnoteText">
    <w:name w:val="footnote text"/>
    <w:basedOn w:val="Normal"/>
    <w:link w:val="FootnoteTextChar"/>
    <w:uiPriority w:val="99"/>
    <w:unhideWhenUsed/>
    <w:rsid w:val="0029334E"/>
    <w:rPr>
      <w:sz w:val="24"/>
      <w:szCs w:val="24"/>
    </w:rPr>
  </w:style>
  <w:style w:type="character" w:customStyle="1" w:styleId="FootnoteTextChar">
    <w:name w:val="Footnote Text Char"/>
    <w:basedOn w:val="DefaultParagraphFont"/>
    <w:link w:val="FootnoteText"/>
    <w:uiPriority w:val="99"/>
    <w:rsid w:val="0029334E"/>
    <w:rPr>
      <w:sz w:val="24"/>
      <w:szCs w:val="24"/>
    </w:rPr>
  </w:style>
  <w:style w:type="character" w:styleId="FootnoteReference">
    <w:name w:val="footnote reference"/>
    <w:basedOn w:val="DefaultParagraphFont"/>
    <w:uiPriority w:val="99"/>
    <w:unhideWhenUsed/>
    <w:rsid w:val="0029334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thelas-Regular" w:eastAsia="Athelas-Regular" w:hAnsi="Athelas-Regular" w:cs="Athelas-Regular"/>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paragraph" w:styleId="Header">
    <w:name w:val="header"/>
    <w:basedOn w:val="Normal"/>
    <w:link w:val="HeaderChar"/>
    <w:uiPriority w:val="99"/>
    <w:unhideWhenUsed/>
    <w:rsid w:val="00665780"/>
    <w:pPr>
      <w:tabs>
        <w:tab w:val="center" w:pos="4320"/>
        <w:tab w:val="right" w:pos="8640"/>
      </w:tabs>
    </w:pPr>
  </w:style>
  <w:style w:type="character" w:customStyle="1" w:styleId="HeaderChar">
    <w:name w:val="Header Char"/>
    <w:basedOn w:val="DefaultParagraphFont"/>
    <w:link w:val="Header"/>
    <w:uiPriority w:val="99"/>
    <w:rsid w:val="00665780"/>
  </w:style>
  <w:style w:type="paragraph" w:styleId="Footer">
    <w:name w:val="footer"/>
    <w:basedOn w:val="Normal"/>
    <w:link w:val="FooterChar"/>
    <w:uiPriority w:val="99"/>
    <w:unhideWhenUsed/>
    <w:rsid w:val="00665780"/>
    <w:pPr>
      <w:tabs>
        <w:tab w:val="center" w:pos="4320"/>
        <w:tab w:val="right" w:pos="8640"/>
      </w:tabs>
    </w:pPr>
  </w:style>
  <w:style w:type="character" w:customStyle="1" w:styleId="FooterChar">
    <w:name w:val="Footer Char"/>
    <w:basedOn w:val="DefaultParagraphFont"/>
    <w:link w:val="Footer"/>
    <w:uiPriority w:val="99"/>
    <w:rsid w:val="00665780"/>
  </w:style>
  <w:style w:type="paragraph" w:styleId="ListParagraph">
    <w:name w:val="List Paragraph"/>
    <w:basedOn w:val="Normal"/>
    <w:uiPriority w:val="34"/>
    <w:qFormat/>
    <w:rsid w:val="00477540"/>
    <w:pPr>
      <w:ind w:left="720"/>
      <w:contextualSpacing/>
    </w:pPr>
  </w:style>
  <w:style w:type="character" w:styleId="CommentReference">
    <w:name w:val="annotation reference"/>
    <w:basedOn w:val="DefaultParagraphFont"/>
    <w:uiPriority w:val="99"/>
    <w:semiHidden/>
    <w:unhideWhenUsed/>
    <w:rsid w:val="007E3240"/>
    <w:rPr>
      <w:sz w:val="18"/>
      <w:szCs w:val="18"/>
    </w:rPr>
  </w:style>
  <w:style w:type="paragraph" w:styleId="CommentText">
    <w:name w:val="annotation text"/>
    <w:basedOn w:val="Normal"/>
    <w:link w:val="CommentTextChar"/>
    <w:uiPriority w:val="99"/>
    <w:semiHidden/>
    <w:unhideWhenUsed/>
    <w:rsid w:val="007E3240"/>
    <w:rPr>
      <w:sz w:val="24"/>
      <w:szCs w:val="24"/>
    </w:rPr>
  </w:style>
  <w:style w:type="character" w:customStyle="1" w:styleId="CommentTextChar">
    <w:name w:val="Comment Text Char"/>
    <w:basedOn w:val="DefaultParagraphFont"/>
    <w:link w:val="CommentText"/>
    <w:uiPriority w:val="99"/>
    <w:semiHidden/>
    <w:rsid w:val="007E3240"/>
    <w:rPr>
      <w:sz w:val="24"/>
      <w:szCs w:val="24"/>
    </w:rPr>
  </w:style>
  <w:style w:type="paragraph" w:styleId="CommentSubject">
    <w:name w:val="annotation subject"/>
    <w:basedOn w:val="CommentText"/>
    <w:next w:val="CommentText"/>
    <w:link w:val="CommentSubjectChar"/>
    <w:uiPriority w:val="99"/>
    <w:semiHidden/>
    <w:unhideWhenUsed/>
    <w:rsid w:val="007E3240"/>
    <w:rPr>
      <w:b/>
      <w:bCs/>
      <w:sz w:val="20"/>
      <w:szCs w:val="20"/>
    </w:rPr>
  </w:style>
  <w:style w:type="character" w:customStyle="1" w:styleId="CommentSubjectChar">
    <w:name w:val="Comment Subject Char"/>
    <w:basedOn w:val="CommentTextChar"/>
    <w:link w:val="CommentSubject"/>
    <w:uiPriority w:val="99"/>
    <w:semiHidden/>
    <w:rsid w:val="007E3240"/>
    <w:rPr>
      <w:b/>
      <w:bCs/>
      <w:sz w:val="24"/>
      <w:szCs w:val="24"/>
    </w:rPr>
  </w:style>
  <w:style w:type="paragraph" w:styleId="BalloonText">
    <w:name w:val="Balloon Text"/>
    <w:basedOn w:val="Normal"/>
    <w:link w:val="BalloonTextChar"/>
    <w:uiPriority w:val="99"/>
    <w:semiHidden/>
    <w:unhideWhenUsed/>
    <w:rsid w:val="007E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3240"/>
    <w:rPr>
      <w:rFonts w:ascii="Lucida Grande" w:hAnsi="Lucida Grande" w:cs="Lucida Grande"/>
      <w:sz w:val="18"/>
      <w:szCs w:val="18"/>
    </w:rPr>
  </w:style>
  <w:style w:type="paragraph" w:styleId="FootnoteText">
    <w:name w:val="footnote text"/>
    <w:basedOn w:val="Normal"/>
    <w:link w:val="FootnoteTextChar"/>
    <w:uiPriority w:val="99"/>
    <w:unhideWhenUsed/>
    <w:rsid w:val="0029334E"/>
    <w:rPr>
      <w:sz w:val="24"/>
      <w:szCs w:val="24"/>
    </w:rPr>
  </w:style>
  <w:style w:type="character" w:customStyle="1" w:styleId="FootnoteTextChar">
    <w:name w:val="Footnote Text Char"/>
    <w:basedOn w:val="DefaultParagraphFont"/>
    <w:link w:val="FootnoteText"/>
    <w:uiPriority w:val="99"/>
    <w:rsid w:val="0029334E"/>
    <w:rPr>
      <w:sz w:val="24"/>
      <w:szCs w:val="24"/>
    </w:rPr>
  </w:style>
  <w:style w:type="character" w:styleId="FootnoteReference">
    <w:name w:val="footnote reference"/>
    <w:basedOn w:val="DefaultParagraphFont"/>
    <w:uiPriority w:val="99"/>
    <w:unhideWhenUsed/>
    <w:rsid w:val="00293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C914-B8E6-CB4B-BDAD-DE139728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5384</Words>
  <Characters>27676</Characters>
  <Application>Microsoft Macintosh Word</Application>
  <DocSecurity>0</DocSecurity>
  <Lines>419</Lines>
  <Paragraphs>66</Paragraphs>
  <ScaleCrop>false</ScaleCrop>
  <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papers</dc:title>
  <dc:creator/>
  <cp:lastModifiedBy/>
  <cp:revision>3</cp:revision>
  <dcterms:created xsi:type="dcterms:W3CDTF">2018-12-13T15:28:00Z</dcterms:created>
  <dcterms:modified xsi:type="dcterms:W3CDTF">2019-01-18T17:21:00Z</dcterms:modified>
</cp:coreProperties>
</file>