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F6B39" w14:textId="77777777" w:rsidR="00852938" w:rsidRDefault="00852938" w:rsidP="00852938">
      <w:pPr>
        <w:spacing w:line="360" w:lineRule="auto"/>
        <w:rPr>
          <w:b/>
          <w:iCs/>
          <w:kern w:val="22"/>
          <w:sz w:val="22"/>
          <w:szCs w:val="22"/>
        </w:rPr>
      </w:pPr>
      <w:r w:rsidRPr="00852938">
        <w:rPr>
          <w:b/>
          <w:i/>
          <w:iCs/>
          <w:kern w:val="22"/>
          <w:sz w:val="22"/>
          <w:szCs w:val="22"/>
        </w:rPr>
        <w:t>“Das Recht kann nicht ungerecht sein …” Beiträge zu Leibniz’ Philosophie der Gerechtigkeit</w:t>
      </w:r>
      <w:r w:rsidRPr="00852938">
        <w:rPr>
          <w:b/>
          <w:iCs/>
          <w:kern w:val="22"/>
          <w:sz w:val="22"/>
          <w:szCs w:val="22"/>
        </w:rPr>
        <w:t xml:space="preserve">. </w:t>
      </w:r>
    </w:p>
    <w:p w14:paraId="33F11B3C" w14:textId="77777777" w:rsidR="00852938" w:rsidRPr="00852938" w:rsidRDefault="00852938" w:rsidP="00852938">
      <w:pPr>
        <w:spacing w:line="360" w:lineRule="auto"/>
        <w:rPr>
          <w:rFonts w:cs="Times New Roman"/>
          <w:b/>
          <w:kern w:val="22"/>
          <w:sz w:val="28"/>
          <w:szCs w:val="28"/>
        </w:rPr>
      </w:pPr>
      <w:r w:rsidRPr="00852938">
        <w:rPr>
          <w:b/>
          <w:iCs/>
          <w:kern w:val="22"/>
          <w:sz w:val="22"/>
          <w:szCs w:val="22"/>
        </w:rPr>
        <w:t>E</w:t>
      </w:r>
      <w:r w:rsidRPr="00852938">
        <w:rPr>
          <w:b/>
          <w:iCs/>
          <w:kern w:val="22"/>
          <w:sz w:val="22"/>
          <w:szCs w:val="22"/>
        </w:rPr>
        <w:t>d</w:t>
      </w:r>
      <w:r w:rsidRPr="00852938">
        <w:rPr>
          <w:b/>
          <w:iCs/>
          <w:kern w:val="22"/>
          <w:sz w:val="22"/>
          <w:szCs w:val="22"/>
        </w:rPr>
        <w:t>ited by Wenchao Li (Studia Leibnitiana Sonderheft 44). Stuttgart: Steiner, 2015, 117–135.</w:t>
      </w:r>
    </w:p>
    <w:p w14:paraId="43AEA91C" w14:textId="77777777" w:rsidR="00852938" w:rsidRDefault="00852938" w:rsidP="002B2350">
      <w:pPr>
        <w:spacing w:line="360" w:lineRule="auto"/>
        <w:jc w:val="center"/>
        <w:rPr>
          <w:rFonts w:cs="Times New Roman"/>
          <w:sz w:val="28"/>
          <w:szCs w:val="28"/>
        </w:rPr>
      </w:pPr>
    </w:p>
    <w:p w14:paraId="1E9A689F" w14:textId="77777777" w:rsidR="00852938" w:rsidRDefault="008F49C8" w:rsidP="002B2350">
      <w:pPr>
        <w:spacing w:line="360" w:lineRule="auto"/>
        <w:jc w:val="center"/>
        <w:rPr>
          <w:rFonts w:cs="Times New Roman"/>
          <w:sz w:val="28"/>
          <w:szCs w:val="28"/>
        </w:rPr>
      </w:pPr>
      <w:r w:rsidRPr="002B2350">
        <w:rPr>
          <w:rFonts w:cs="Times New Roman"/>
          <w:sz w:val="28"/>
          <w:szCs w:val="28"/>
        </w:rPr>
        <w:t xml:space="preserve">Leibniz and the Early Modern Controversy over the Right of International </w:t>
      </w:r>
    </w:p>
    <w:p w14:paraId="24AC6040" w14:textId="77777777" w:rsidR="008F49C8" w:rsidRPr="002B2350" w:rsidRDefault="008F49C8" w:rsidP="002B2350">
      <w:pPr>
        <w:spacing w:line="360" w:lineRule="auto"/>
        <w:jc w:val="center"/>
        <w:rPr>
          <w:rFonts w:cs="Times New Roman"/>
          <w:sz w:val="28"/>
          <w:szCs w:val="28"/>
        </w:rPr>
      </w:pPr>
      <w:r w:rsidRPr="002B2350">
        <w:rPr>
          <w:rFonts w:cs="Times New Roman"/>
          <w:sz w:val="28"/>
          <w:szCs w:val="28"/>
        </w:rPr>
        <w:t>M</w:t>
      </w:r>
      <w:r w:rsidRPr="002B2350">
        <w:rPr>
          <w:rFonts w:cs="Times New Roman"/>
          <w:sz w:val="28"/>
          <w:szCs w:val="28"/>
        </w:rPr>
        <w:t>e</w:t>
      </w:r>
      <w:r w:rsidRPr="002B2350">
        <w:rPr>
          <w:rFonts w:cs="Times New Roman"/>
          <w:sz w:val="28"/>
          <w:szCs w:val="28"/>
        </w:rPr>
        <w:t>diation</w:t>
      </w:r>
    </w:p>
    <w:p w14:paraId="03F52B7B" w14:textId="77777777" w:rsidR="008F49C8" w:rsidRDefault="008F49C8" w:rsidP="002B2350">
      <w:pPr>
        <w:spacing w:line="360" w:lineRule="auto"/>
        <w:jc w:val="both"/>
        <w:rPr>
          <w:rFonts w:cs="Times New Roman"/>
        </w:rPr>
      </w:pPr>
    </w:p>
    <w:p w14:paraId="6F91B1F2" w14:textId="77777777" w:rsidR="002B2350" w:rsidRDefault="002B2350" w:rsidP="002B2350">
      <w:pPr>
        <w:spacing w:line="360" w:lineRule="auto"/>
        <w:jc w:val="center"/>
        <w:rPr>
          <w:rFonts w:cs="Times New Roman"/>
        </w:rPr>
      </w:pPr>
      <w:r>
        <w:rPr>
          <w:rFonts w:cs="Times New Roman"/>
        </w:rPr>
        <w:t>Andreas Blank (Paderborn)</w:t>
      </w:r>
    </w:p>
    <w:p w14:paraId="43648DD2" w14:textId="77777777" w:rsidR="002B2350" w:rsidRDefault="002B2350" w:rsidP="002B2350">
      <w:pPr>
        <w:spacing w:line="360" w:lineRule="auto"/>
        <w:jc w:val="both"/>
        <w:rPr>
          <w:rFonts w:cs="Times New Roman"/>
        </w:rPr>
      </w:pPr>
    </w:p>
    <w:p w14:paraId="03A18357" w14:textId="77777777" w:rsidR="002B2350" w:rsidRPr="002B2350" w:rsidRDefault="002B2350" w:rsidP="002B2350">
      <w:pPr>
        <w:spacing w:line="360" w:lineRule="auto"/>
        <w:jc w:val="both"/>
        <w:rPr>
          <w:rFonts w:cs="Times New Roman"/>
        </w:rPr>
      </w:pPr>
    </w:p>
    <w:p w14:paraId="6638501C" w14:textId="77777777" w:rsidR="008F49C8" w:rsidRPr="002B2350" w:rsidRDefault="008F49C8" w:rsidP="002B2350">
      <w:pPr>
        <w:spacing w:line="360" w:lineRule="auto"/>
        <w:jc w:val="center"/>
        <w:rPr>
          <w:rFonts w:cs="Times New Roman"/>
        </w:rPr>
      </w:pPr>
      <w:r w:rsidRPr="002B2350">
        <w:rPr>
          <w:rFonts w:cs="Times New Roman"/>
        </w:rPr>
        <w:t>1. Introduction</w:t>
      </w:r>
    </w:p>
    <w:p w14:paraId="19662228" w14:textId="77777777" w:rsidR="008F49C8" w:rsidRPr="002B2350" w:rsidRDefault="008F49C8" w:rsidP="002B2350">
      <w:pPr>
        <w:spacing w:line="360" w:lineRule="auto"/>
        <w:jc w:val="both"/>
        <w:rPr>
          <w:rFonts w:cs="Times New Roman"/>
        </w:rPr>
      </w:pPr>
    </w:p>
    <w:p w14:paraId="7E392627" w14:textId="77777777" w:rsidR="005021A1" w:rsidRPr="002B2350" w:rsidRDefault="008F49C8" w:rsidP="002B2350">
      <w:pPr>
        <w:pStyle w:val="Titel"/>
        <w:spacing w:line="360" w:lineRule="auto"/>
        <w:jc w:val="both"/>
        <w:rPr>
          <w:rFonts w:ascii="Times New Roman" w:eastAsia="Times New Roman" w:hAnsi="Times New Roman" w:cs="Times New Roman"/>
        </w:rPr>
      </w:pPr>
      <w:r w:rsidRPr="002B2350">
        <w:rPr>
          <w:rFonts w:ascii="Times New Roman" w:hAnsi="Times New Roman" w:cs="Times New Roman"/>
        </w:rPr>
        <w:t>Since Roman times, legal theorists have distinguished between two kinds of extra-juridical conflict resolution: arbitration and mediation.</w:t>
      </w:r>
      <w:r w:rsidR="005021A1" w:rsidRPr="002B2350">
        <w:rPr>
          <w:rFonts w:ascii="Times New Roman" w:hAnsi="Times New Roman" w:cs="Times New Roman"/>
        </w:rPr>
        <w:t xml:space="preserve"> While the basic structure of arbitration consists in the agreement between the parties in conflict to accept the verdict of an impartial interm</w:t>
      </w:r>
      <w:r w:rsidR="005021A1" w:rsidRPr="002B2350">
        <w:rPr>
          <w:rFonts w:ascii="Times New Roman" w:hAnsi="Times New Roman" w:cs="Times New Roman"/>
        </w:rPr>
        <w:t>e</w:t>
      </w:r>
      <w:r w:rsidR="005021A1" w:rsidRPr="002B2350">
        <w:rPr>
          <w:rFonts w:ascii="Times New Roman" w:hAnsi="Times New Roman" w:cs="Times New Roman"/>
        </w:rPr>
        <w:t>diary, the role of the mediator was seen not in passing a binding verdict but rather in facilita</w:t>
      </w:r>
      <w:r w:rsidR="005021A1" w:rsidRPr="002B2350">
        <w:rPr>
          <w:rFonts w:ascii="Times New Roman" w:hAnsi="Times New Roman" w:cs="Times New Roman"/>
        </w:rPr>
        <w:t>t</w:t>
      </w:r>
      <w:r w:rsidR="005021A1" w:rsidRPr="002B2350">
        <w:rPr>
          <w:rFonts w:ascii="Times New Roman" w:hAnsi="Times New Roman" w:cs="Times New Roman"/>
        </w:rPr>
        <w:t>ing the interaction between the parties in conflict—be it by carrying messages or by presiding over negotiations between delegates of the parties—or in shaping the content of an agre</w:t>
      </w:r>
      <w:r w:rsidR="005021A1" w:rsidRPr="002B2350">
        <w:rPr>
          <w:rFonts w:ascii="Times New Roman" w:hAnsi="Times New Roman" w:cs="Times New Roman"/>
        </w:rPr>
        <w:t>e</w:t>
      </w:r>
      <w:r w:rsidR="005021A1" w:rsidRPr="002B2350">
        <w:rPr>
          <w:rFonts w:ascii="Times New Roman" w:hAnsi="Times New Roman" w:cs="Times New Roman"/>
        </w:rPr>
        <w:t>ment—be it by collecting relevant information, by offering interpretations of previous agre</w:t>
      </w:r>
      <w:r w:rsidR="005021A1" w:rsidRPr="002B2350">
        <w:rPr>
          <w:rFonts w:ascii="Times New Roman" w:hAnsi="Times New Roman" w:cs="Times New Roman"/>
        </w:rPr>
        <w:t>e</w:t>
      </w:r>
      <w:r w:rsidR="005021A1" w:rsidRPr="002B2350">
        <w:rPr>
          <w:rFonts w:ascii="Times New Roman" w:hAnsi="Times New Roman" w:cs="Times New Roman"/>
        </w:rPr>
        <w:t>ments, or by providing admonition and giving advice. The distinction between the person charged with arbitration (</w:t>
      </w:r>
      <w:r w:rsidR="005021A1" w:rsidRPr="002B2350">
        <w:rPr>
          <w:rFonts w:ascii="Times New Roman" w:hAnsi="Times New Roman" w:cs="Times New Roman"/>
          <w:i/>
          <w:iCs/>
        </w:rPr>
        <w:t>arbiter</w:t>
      </w:r>
      <w:r w:rsidR="005021A1" w:rsidRPr="002B2350">
        <w:rPr>
          <w:rFonts w:ascii="Times New Roman" w:hAnsi="Times New Roman" w:cs="Times New Roman"/>
        </w:rPr>
        <w:t>) and the person charged with mediation (</w:t>
      </w:r>
      <w:r w:rsidR="005021A1" w:rsidRPr="002B2350">
        <w:rPr>
          <w:rFonts w:ascii="Times New Roman" w:hAnsi="Times New Roman" w:cs="Times New Roman"/>
          <w:i/>
          <w:iCs/>
        </w:rPr>
        <w:t>arbitrator</w:t>
      </w:r>
      <w:r w:rsidR="005021A1" w:rsidRPr="002B2350">
        <w:rPr>
          <w:rFonts w:ascii="Times New Roman" w:hAnsi="Times New Roman" w:cs="Times New Roman"/>
        </w:rPr>
        <w:t xml:space="preserve">, </w:t>
      </w:r>
      <w:r w:rsidR="005021A1" w:rsidRPr="002B2350">
        <w:rPr>
          <w:rFonts w:ascii="Times New Roman" w:hAnsi="Times New Roman" w:cs="Times New Roman"/>
          <w:i/>
          <w:iCs/>
        </w:rPr>
        <w:t>medi</w:t>
      </w:r>
      <w:r w:rsidR="005021A1" w:rsidRPr="002B2350">
        <w:rPr>
          <w:rFonts w:ascii="Times New Roman" w:hAnsi="Times New Roman" w:cs="Times New Roman"/>
          <w:i/>
          <w:iCs/>
        </w:rPr>
        <w:t>a</w:t>
      </w:r>
      <w:r w:rsidR="005021A1" w:rsidRPr="002B2350">
        <w:rPr>
          <w:rFonts w:ascii="Times New Roman" w:hAnsi="Times New Roman" w:cs="Times New Roman"/>
          <w:i/>
          <w:iCs/>
        </w:rPr>
        <w:t>tor</w:t>
      </w:r>
      <w:r w:rsidR="005021A1" w:rsidRPr="002B2350">
        <w:rPr>
          <w:rFonts w:ascii="Times New Roman" w:hAnsi="Times New Roman" w:cs="Times New Roman"/>
        </w:rPr>
        <w:t>,</w:t>
      </w:r>
      <w:r w:rsidR="005021A1" w:rsidRPr="002B2350">
        <w:rPr>
          <w:rFonts w:ascii="Times New Roman" w:hAnsi="Times New Roman" w:cs="Times New Roman"/>
          <w:i/>
          <w:iCs/>
        </w:rPr>
        <w:t xml:space="preserve"> intercessor</w:t>
      </w:r>
      <w:r w:rsidR="005021A1" w:rsidRPr="002B2350">
        <w:rPr>
          <w:rFonts w:ascii="Times New Roman" w:hAnsi="Times New Roman" w:cs="Times New Roman"/>
        </w:rPr>
        <w:t xml:space="preserve"> or </w:t>
      </w:r>
      <w:r w:rsidR="005021A1" w:rsidRPr="002B2350">
        <w:rPr>
          <w:rFonts w:ascii="Times New Roman" w:hAnsi="Times New Roman" w:cs="Times New Roman"/>
          <w:i/>
          <w:iCs/>
        </w:rPr>
        <w:t>conciliator</w:t>
      </w:r>
      <w:r w:rsidR="005021A1" w:rsidRPr="002B2350">
        <w:rPr>
          <w:rFonts w:ascii="Times New Roman" w:hAnsi="Times New Roman" w:cs="Times New Roman"/>
        </w:rPr>
        <w:t>) was extensively applied both in the practice of m</w:t>
      </w:r>
      <w:r w:rsidR="005021A1" w:rsidRPr="002B2350">
        <w:rPr>
          <w:rFonts w:ascii="Times New Roman" w:hAnsi="Times New Roman" w:cs="Times New Roman"/>
        </w:rPr>
        <w:t>e</w:t>
      </w:r>
      <w:r w:rsidR="005021A1" w:rsidRPr="002B2350">
        <w:rPr>
          <w:rFonts w:ascii="Times New Roman" w:hAnsi="Times New Roman" w:cs="Times New Roman"/>
        </w:rPr>
        <w:t xml:space="preserve">dieval civil law and in the practices of medieval </w:t>
      </w:r>
      <w:r w:rsidR="005021A1" w:rsidRPr="002B2350">
        <w:rPr>
          <w:rFonts w:ascii="Times New Roman" w:hAnsi="Times New Roman" w:cs="Times New Roman"/>
          <w:i/>
          <w:iCs/>
        </w:rPr>
        <w:t>ius gentium</w:t>
      </w:r>
      <w:r w:rsidR="005021A1" w:rsidRPr="002B2350">
        <w:rPr>
          <w:rFonts w:ascii="Times New Roman" w:hAnsi="Times New Roman" w:cs="Times New Roman"/>
        </w:rPr>
        <w:t>.</w:t>
      </w:r>
      <w:r w:rsidR="005021A1" w:rsidRPr="002B2350">
        <w:rPr>
          <w:rStyle w:val="Funotenzeichen"/>
          <w:rFonts w:ascii="Times New Roman" w:hAnsi="Times New Roman" w:cs="Times New Roman"/>
        </w:rPr>
        <w:footnoteReference w:id="1"/>
      </w:r>
      <w:r w:rsidR="005021A1" w:rsidRPr="002B2350">
        <w:rPr>
          <w:rFonts w:ascii="Times New Roman" w:hAnsi="Times New Roman" w:cs="Times New Roman"/>
        </w:rPr>
        <w:t xml:space="preserve"> Moreover, it is well doc</w:t>
      </w:r>
      <w:r w:rsidR="005021A1" w:rsidRPr="002B2350">
        <w:rPr>
          <w:rFonts w:ascii="Times New Roman" w:hAnsi="Times New Roman" w:cs="Times New Roman"/>
        </w:rPr>
        <w:t>u</w:t>
      </w:r>
      <w:r w:rsidR="005021A1" w:rsidRPr="002B2350">
        <w:rPr>
          <w:rFonts w:ascii="Times New Roman" w:hAnsi="Times New Roman" w:cs="Times New Roman"/>
        </w:rPr>
        <w:t>mented that both arbitration and mediation continued to play a significant role both in the practice of early modern civil law and in early modern international relations.</w:t>
      </w:r>
      <w:r w:rsidR="005021A1" w:rsidRPr="002B2350">
        <w:rPr>
          <w:rStyle w:val="Funotenzeichen"/>
          <w:rFonts w:ascii="Times New Roman" w:hAnsi="Times New Roman" w:cs="Times New Roman"/>
        </w:rPr>
        <w:footnoteReference w:id="2"/>
      </w:r>
      <w:r w:rsidR="005021A1" w:rsidRPr="002B2350">
        <w:rPr>
          <w:rFonts w:ascii="Times New Roman" w:hAnsi="Times New Roman" w:cs="Times New Roman"/>
        </w:rPr>
        <w:t xml:space="preserve"> On a theoretical level, however, </w:t>
      </w:r>
      <w:r w:rsidR="005021A1" w:rsidRPr="002B2350">
        <w:rPr>
          <w:rFonts w:ascii="Times New Roman" w:hAnsi="Times New Roman" w:cs="Times New Roman"/>
        </w:rPr>
        <w:lastRenderedPageBreak/>
        <w:t>the idea of extra-juridical intermediaries in civil law came to be questioned because both arb</w:t>
      </w:r>
      <w:r w:rsidR="005021A1" w:rsidRPr="002B2350">
        <w:rPr>
          <w:rFonts w:ascii="Times New Roman" w:hAnsi="Times New Roman" w:cs="Times New Roman"/>
        </w:rPr>
        <w:t>i</w:t>
      </w:r>
      <w:r w:rsidR="005021A1" w:rsidRPr="002B2350">
        <w:rPr>
          <w:rFonts w:ascii="Times New Roman" w:hAnsi="Times New Roman" w:cs="Times New Roman"/>
        </w:rPr>
        <w:t xml:space="preserve">tration and mediation, unlike regular juridical proceedings, do not </w:t>
      </w:r>
      <w:r w:rsidR="000F13C8">
        <w:rPr>
          <w:rFonts w:ascii="Times New Roman" w:hAnsi="Times New Roman" w:cs="Times New Roman"/>
        </w:rPr>
        <w:t xml:space="preserve">necessarily </w:t>
      </w:r>
      <w:r w:rsidR="005021A1" w:rsidRPr="002B2350">
        <w:rPr>
          <w:rFonts w:ascii="Times New Roman" w:hAnsi="Times New Roman" w:cs="Times New Roman"/>
        </w:rPr>
        <w:t>derive their l</w:t>
      </w:r>
      <w:r w:rsidR="005021A1" w:rsidRPr="002B2350">
        <w:rPr>
          <w:rFonts w:ascii="Times New Roman" w:hAnsi="Times New Roman" w:cs="Times New Roman"/>
        </w:rPr>
        <w:t>e</w:t>
      </w:r>
      <w:r w:rsidR="005021A1" w:rsidRPr="002B2350">
        <w:rPr>
          <w:rFonts w:ascii="Times New Roman" w:hAnsi="Times New Roman" w:cs="Times New Roman"/>
        </w:rPr>
        <w:t>gitimacy and effectiveness from acts of the sovereign. For this reason, they were seen as inst</w:t>
      </w:r>
      <w:r w:rsidR="005021A1" w:rsidRPr="002B2350">
        <w:rPr>
          <w:rFonts w:ascii="Times New Roman" w:hAnsi="Times New Roman" w:cs="Times New Roman"/>
        </w:rPr>
        <w:t>i</w:t>
      </w:r>
      <w:r w:rsidR="005021A1" w:rsidRPr="002B2350">
        <w:rPr>
          <w:rFonts w:ascii="Times New Roman" w:hAnsi="Times New Roman" w:cs="Times New Roman"/>
        </w:rPr>
        <w:t>tutions in tension with the principles of the emerging theory of absolutism that tended to r</w:t>
      </w:r>
      <w:r w:rsidR="005021A1" w:rsidRPr="002B2350">
        <w:rPr>
          <w:rFonts w:ascii="Times New Roman" w:hAnsi="Times New Roman" w:cs="Times New Roman"/>
        </w:rPr>
        <w:t>e</w:t>
      </w:r>
      <w:r w:rsidR="005021A1" w:rsidRPr="002B2350">
        <w:rPr>
          <w:rFonts w:ascii="Times New Roman" w:hAnsi="Times New Roman" w:cs="Times New Roman"/>
        </w:rPr>
        <w:t>gard all juridical power as derivate upon the legislative and sanctioning power of the sove</w:t>
      </w:r>
      <w:r w:rsidR="005021A1" w:rsidRPr="002B2350">
        <w:rPr>
          <w:rFonts w:ascii="Times New Roman" w:hAnsi="Times New Roman" w:cs="Times New Roman"/>
        </w:rPr>
        <w:t>r</w:t>
      </w:r>
      <w:r w:rsidR="005021A1" w:rsidRPr="002B2350">
        <w:rPr>
          <w:rFonts w:ascii="Times New Roman" w:hAnsi="Times New Roman" w:cs="Times New Roman"/>
        </w:rPr>
        <w:t>eign.</w:t>
      </w:r>
      <w:r w:rsidR="005021A1" w:rsidRPr="002B2350">
        <w:rPr>
          <w:rStyle w:val="Funotenzeichen"/>
          <w:rFonts w:ascii="Times New Roman" w:hAnsi="Times New Roman" w:cs="Times New Roman"/>
        </w:rPr>
        <w:footnoteReference w:id="3"/>
      </w:r>
      <w:r w:rsidR="005021A1" w:rsidRPr="002B2350">
        <w:rPr>
          <w:rFonts w:ascii="Times New Roman" w:hAnsi="Times New Roman" w:cs="Times New Roman"/>
        </w:rPr>
        <w:t xml:space="preserve"> Lik</w:t>
      </w:r>
      <w:r w:rsidR="005021A1" w:rsidRPr="002B2350">
        <w:rPr>
          <w:rFonts w:ascii="Times New Roman" w:hAnsi="Times New Roman" w:cs="Times New Roman"/>
        </w:rPr>
        <w:t>e</w:t>
      </w:r>
      <w:r w:rsidR="005021A1" w:rsidRPr="002B2350">
        <w:rPr>
          <w:rFonts w:ascii="Times New Roman" w:hAnsi="Times New Roman" w:cs="Times New Roman"/>
        </w:rPr>
        <w:t>wise, the thought that conflict resolution derives its legitimacy and effectiveness from an authority superior to the parties in conflict gave rise to a lively early modern debate about the legitimacy and effectiveness of arbitration and mediation in the law of n</w:t>
      </w:r>
      <w:r w:rsidR="005021A1" w:rsidRPr="002B2350">
        <w:rPr>
          <w:rFonts w:ascii="Times New Roman" w:hAnsi="Times New Roman" w:cs="Times New Roman"/>
        </w:rPr>
        <w:t>a</w:t>
      </w:r>
      <w:r w:rsidR="005021A1" w:rsidRPr="002B2350">
        <w:rPr>
          <w:rFonts w:ascii="Times New Roman" w:hAnsi="Times New Roman" w:cs="Times New Roman"/>
        </w:rPr>
        <w:t xml:space="preserve">tions. </w:t>
      </w:r>
    </w:p>
    <w:p w14:paraId="7179AD43" w14:textId="77777777" w:rsidR="005021A1" w:rsidRPr="002B2350" w:rsidRDefault="005021A1" w:rsidP="002B2350">
      <w:pPr>
        <w:pStyle w:val="Titel"/>
        <w:spacing w:line="360" w:lineRule="auto"/>
        <w:jc w:val="both"/>
        <w:rPr>
          <w:rFonts w:ascii="Times New Roman" w:hAnsi="Times New Roman" w:cs="Times New Roman"/>
        </w:rPr>
      </w:pPr>
      <w:r w:rsidRPr="002B2350">
        <w:rPr>
          <w:rFonts w:ascii="Times New Roman" w:eastAsia="Times New Roman" w:hAnsi="Times New Roman" w:cs="Times New Roman"/>
        </w:rPr>
        <w:tab/>
        <w:t>Late Scholastic thinkers such as Francisco de Vitoria, Ro</w:t>
      </w:r>
      <w:r w:rsidR="00E66FA9">
        <w:rPr>
          <w:rFonts w:ascii="Times New Roman" w:eastAsia="Times New Roman" w:hAnsi="Times New Roman" w:cs="Times New Roman"/>
        </w:rPr>
        <w:t>bert Bellarmin and Francisco Suá</w:t>
      </w:r>
      <w:r w:rsidRPr="002B2350">
        <w:rPr>
          <w:rFonts w:ascii="Times New Roman" w:eastAsia="Times New Roman" w:hAnsi="Times New Roman" w:cs="Times New Roman"/>
        </w:rPr>
        <w:t xml:space="preserve">rez ascribed to secular powers the duty to seek papal arbitration when military conflicts imply a danger </w:t>
      </w:r>
      <w:r w:rsidRPr="002B2350">
        <w:rPr>
          <w:rFonts w:ascii="Times New Roman" w:hAnsi="Times New Roman" w:cs="Times New Roman"/>
        </w:rPr>
        <w:t>to the Christian faith.</w:t>
      </w:r>
      <w:r w:rsidRPr="002B2350">
        <w:rPr>
          <w:rStyle w:val="Funotenzeichen"/>
          <w:rFonts w:ascii="Times New Roman" w:hAnsi="Times New Roman" w:cs="Times New Roman"/>
        </w:rPr>
        <w:footnoteReference w:id="4"/>
      </w:r>
      <w:r w:rsidRPr="002B2350">
        <w:rPr>
          <w:rFonts w:ascii="Times New Roman" w:hAnsi="Times New Roman" w:cs="Times New Roman"/>
        </w:rPr>
        <w:t xml:space="preserve"> But during the sixteenth century, the idea of papal arb</w:t>
      </w:r>
      <w:r w:rsidRPr="002B2350">
        <w:rPr>
          <w:rFonts w:ascii="Times New Roman" w:hAnsi="Times New Roman" w:cs="Times New Roman"/>
        </w:rPr>
        <w:t>i</w:t>
      </w:r>
      <w:r w:rsidRPr="002B2350">
        <w:rPr>
          <w:rFonts w:ascii="Times New Roman" w:hAnsi="Times New Roman" w:cs="Times New Roman"/>
        </w:rPr>
        <w:t>tration lost much of its influence. Alternatively, Jean Bodin advocated that international arb</w:t>
      </w:r>
      <w:r w:rsidRPr="002B2350">
        <w:rPr>
          <w:rFonts w:ascii="Times New Roman" w:hAnsi="Times New Roman" w:cs="Times New Roman"/>
        </w:rPr>
        <w:t>i</w:t>
      </w:r>
      <w:r w:rsidRPr="002B2350">
        <w:rPr>
          <w:rFonts w:ascii="Times New Roman" w:hAnsi="Times New Roman" w:cs="Times New Roman"/>
        </w:rPr>
        <w:t>tration be carried out by a sovereign who is more powerful than the parties of the conflict.</w:t>
      </w:r>
      <w:r w:rsidRPr="002B2350">
        <w:rPr>
          <w:rStyle w:val="Funotenzeichen"/>
          <w:rFonts w:ascii="Times New Roman" w:hAnsi="Times New Roman" w:cs="Times New Roman"/>
        </w:rPr>
        <w:footnoteReference w:id="5"/>
      </w:r>
      <w:r w:rsidRPr="002B2350">
        <w:rPr>
          <w:rFonts w:ascii="Times New Roman" w:hAnsi="Times New Roman" w:cs="Times New Roman"/>
        </w:rPr>
        <w:t xml:space="preserve"> Bodin’s more abstract proposal was soon followed by an extensive tract literature advocating that the French take on the role of arbiter, and later that the English monarch a</w:t>
      </w:r>
      <w:r w:rsidRPr="002B2350">
        <w:rPr>
          <w:rFonts w:ascii="Times New Roman" w:hAnsi="Times New Roman" w:cs="Times New Roman"/>
        </w:rPr>
        <w:t>l</w:t>
      </w:r>
      <w:r w:rsidRPr="002B2350">
        <w:rPr>
          <w:rFonts w:ascii="Times New Roman" w:hAnsi="Times New Roman" w:cs="Times New Roman"/>
        </w:rPr>
        <w:t>so take on the role.</w:t>
      </w:r>
      <w:r w:rsidRPr="002B2350">
        <w:rPr>
          <w:rStyle w:val="Funotenzeichen"/>
          <w:rFonts w:ascii="Times New Roman" w:hAnsi="Times New Roman" w:cs="Times New Roman"/>
        </w:rPr>
        <w:footnoteReference w:id="6"/>
      </w:r>
      <w:r w:rsidRPr="002B2350">
        <w:rPr>
          <w:rFonts w:ascii="Times New Roman" w:hAnsi="Times New Roman" w:cs="Times New Roman"/>
        </w:rPr>
        <w:t xml:space="preserve"> By contrast, Hugo Grotius argued that court</w:t>
      </w:r>
      <w:r w:rsidR="00203AFB">
        <w:rPr>
          <w:rFonts w:ascii="Times New Roman" w:hAnsi="Times New Roman" w:cs="Times New Roman"/>
        </w:rPr>
        <w:t>-like</w:t>
      </w:r>
      <w:r w:rsidRPr="002B2350">
        <w:rPr>
          <w:rFonts w:ascii="Times New Roman" w:hAnsi="Times New Roman" w:cs="Times New Roman"/>
        </w:rPr>
        <w:t xml:space="preserve"> decisions can be binding o</w:t>
      </w:r>
      <w:r w:rsidRPr="002B2350">
        <w:rPr>
          <w:rFonts w:ascii="Times New Roman" w:hAnsi="Times New Roman" w:cs="Times New Roman"/>
        </w:rPr>
        <w:t>n</w:t>
      </w:r>
      <w:r w:rsidRPr="002B2350">
        <w:rPr>
          <w:rFonts w:ascii="Times New Roman" w:hAnsi="Times New Roman" w:cs="Times New Roman"/>
        </w:rPr>
        <w:t>ly when there is a subordination relation between a ruler and his subjects, so that between equally strong powers the decisions of arbiters cannot acquire, for theoretical reasons, the binding force of court decisions.</w:t>
      </w:r>
      <w:r w:rsidRPr="002B2350">
        <w:rPr>
          <w:rStyle w:val="Funotenzeichen"/>
          <w:rFonts w:ascii="Times New Roman" w:hAnsi="Times New Roman" w:cs="Times New Roman"/>
        </w:rPr>
        <w:footnoteReference w:id="7"/>
      </w:r>
      <w:r w:rsidRPr="002B2350">
        <w:rPr>
          <w:rFonts w:ascii="Times New Roman" w:hAnsi="Times New Roman" w:cs="Times New Roman"/>
        </w:rPr>
        <w:t xml:space="preserve"> One solution to this problem was a revival of an older type of treaty-</w:t>
      </w:r>
      <w:r w:rsidRPr="002B2350">
        <w:rPr>
          <w:rFonts w:ascii="Times New Roman" w:hAnsi="Times New Roman" w:cs="Times New Roman"/>
        </w:rPr>
        <w:lastRenderedPageBreak/>
        <w:t>based arbitr</w:t>
      </w:r>
      <w:r w:rsidRPr="002B2350">
        <w:rPr>
          <w:rFonts w:ascii="Times New Roman" w:hAnsi="Times New Roman" w:cs="Times New Roman"/>
        </w:rPr>
        <w:t>a</w:t>
      </w:r>
      <w:r w:rsidRPr="002B2350">
        <w:rPr>
          <w:rFonts w:ascii="Times New Roman" w:hAnsi="Times New Roman" w:cs="Times New Roman"/>
        </w:rPr>
        <w:t>tion—a type of arbitration where the binding power of the decision did not derive from the superior power of the arbiter but rather from mutual consent of the parties in co</w:t>
      </w:r>
      <w:r w:rsidRPr="002B2350">
        <w:rPr>
          <w:rFonts w:ascii="Times New Roman" w:hAnsi="Times New Roman" w:cs="Times New Roman"/>
        </w:rPr>
        <w:t>n</w:t>
      </w:r>
      <w:r w:rsidRPr="002B2350">
        <w:rPr>
          <w:rFonts w:ascii="Times New Roman" w:hAnsi="Times New Roman" w:cs="Times New Roman"/>
        </w:rPr>
        <w:t>flict.</w:t>
      </w:r>
      <w:r w:rsidRPr="002B2350">
        <w:rPr>
          <w:rStyle w:val="Funotenzeichen"/>
          <w:rFonts w:ascii="Times New Roman" w:hAnsi="Times New Roman" w:cs="Times New Roman"/>
        </w:rPr>
        <w:footnoteReference w:id="8"/>
      </w:r>
      <w:r w:rsidRPr="002B2350">
        <w:rPr>
          <w:rFonts w:ascii="Times New Roman" w:hAnsi="Times New Roman" w:cs="Times New Roman"/>
        </w:rPr>
        <w:t xml:space="preserve"> Anot</w:t>
      </w:r>
      <w:r w:rsidRPr="002B2350">
        <w:rPr>
          <w:rFonts w:ascii="Times New Roman" w:hAnsi="Times New Roman" w:cs="Times New Roman"/>
        </w:rPr>
        <w:t>h</w:t>
      </w:r>
      <w:r w:rsidRPr="002B2350">
        <w:rPr>
          <w:rFonts w:ascii="Times New Roman" w:hAnsi="Times New Roman" w:cs="Times New Roman"/>
        </w:rPr>
        <w:t>er solution was to resort to mediation instead of resorting to arbitration because mediation does not presuppose any superiority of power on the side of the mediator. While the theory and the practices of early modern international arbitration are well researched by now, relatively little work has been done about the theory and practices of early modern intern</w:t>
      </w:r>
      <w:r w:rsidRPr="002B2350">
        <w:rPr>
          <w:rFonts w:ascii="Times New Roman" w:hAnsi="Times New Roman" w:cs="Times New Roman"/>
        </w:rPr>
        <w:t>a</w:t>
      </w:r>
      <w:r w:rsidRPr="002B2350">
        <w:rPr>
          <w:rFonts w:ascii="Times New Roman" w:hAnsi="Times New Roman" w:cs="Times New Roman"/>
        </w:rPr>
        <w:t>tional mediation.</w:t>
      </w:r>
    </w:p>
    <w:p w14:paraId="63F8D05C" w14:textId="77777777" w:rsidR="004534BD" w:rsidRPr="00604611" w:rsidRDefault="005021A1" w:rsidP="00604611">
      <w:pPr>
        <w:pStyle w:val="Titel"/>
        <w:spacing w:line="360" w:lineRule="auto"/>
        <w:ind w:firstLine="397"/>
        <w:jc w:val="both"/>
        <w:rPr>
          <w:rFonts w:ascii="Times New Roman" w:hAnsi="Times New Roman" w:cs="Times New Roman"/>
        </w:rPr>
      </w:pPr>
      <w:r w:rsidRPr="002B2350">
        <w:rPr>
          <w:rFonts w:ascii="Times New Roman" w:hAnsi="Times New Roman" w:cs="Times New Roman"/>
        </w:rPr>
        <w:t>Leibniz’s political thought is no exception to this. While his views on arbitration in rel</w:t>
      </w:r>
      <w:r w:rsidRPr="002B2350">
        <w:rPr>
          <w:rFonts w:ascii="Times New Roman" w:hAnsi="Times New Roman" w:cs="Times New Roman"/>
        </w:rPr>
        <w:t>i</w:t>
      </w:r>
      <w:r w:rsidRPr="002B2350">
        <w:rPr>
          <w:rFonts w:ascii="Times New Roman" w:hAnsi="Times New Roman" w:cs="Times New Roman"/>
        </w:rPr>
        <w:t>gious and political matters, thanks to pioneering work by Marcelo Dascal, are well doc</w:t>
      </w:r>
      <w:r w:rsidRPr="002B2350">
        <w:rPr>
          <w:rFonts w:ascii="Times New Roman" w:hAnsi="Times New Roman" w:cs="Times New Roman"/>
        </w:rPr>
        <w:t>u</w:t>
      </w:r>
      <w:r w:rsidRPr="002B2350">
        <w:rPr>
          <w:rFonts w:ascii="Times New Roman" w:hAnsi="Times New Roman" w:cs="Times New Roman"/>
        </w:rPr>
        <w:t>mented and well understood by now,</w:t>
      </w:r>
      <w:r w:rsidRPr="002B2350">
        <w:rPr>
          <w:rStyle w:val="Funotenzeichen"/>
          <w:rFonts w:ascii="Times New Roman" w:hAnsi="Times New Roman" w:cs="Times New Roman"/>
        </w:rPr>
        <w:footnoteReference w:id="9"/>
      </w:r>
      <w:r w:rsidRPr="002B2350">
        <w:rPr>
          <w:rFonts w:ascii="Times New Roman" w:hAnsi="Times New Roman" w:cs="Times New Roman"/>
        </w:rPr>
        <w:t xml:space="preserve"> Leibniz’s views on international mediation have not found much attention. This is hardly surprising: his writings concerning arbitration are n</w:t>
      </w:r>
      <w:r w:rsidRPr="002B2350">
        <w:rPr>
          <w:rFonts w:ascii="Times New Roman" w:hAnsi="Times New Roman" w:cs="Times New Roman"/>
        </w:rPr>
        <w:t>u</w:t>
      </w:r>
      <w:r w:rsidRPr="002B2350">
        <w:rPr>
          <w:rFonts w:ascii="Times New Roman" w:hAnsi="Times New Roman" w:cs="Times New Roman"/>
        </w:rPr>
        <w:t>merous and detailed, whereas there are only some thematically connected, but scattered r</w:t>
      </w:r>
      <w:r w:rsidRPr="002B2350">
        <w:rPr>
          <w:rFonts w:ascii="Times New Roman" w:hAnsi="Times New Roman" w:cs="Times New Roman"/>
        </w:rPr>
        <w:t>e</w:t>
      </w:r>
      <w:r w:rsidRPr="002B2350">
        <w:rPr>
          <w:rFonts w:ascii="Times New Roman" w:hAnsi="Times New Roman" w:cs="Times New Roman"/>
        </w:rPr>
        <w:t>marks on international mediation.</w:t>
      </w:r>
      <w:r w:rsidRPr="002B2350">
        <w:rPr>
          <w:rStyle w:val="Funotenzeichen"/>
          <w:rFonts w:ascii="Times New Roman" w:hAnsi="Times New Roman" w:cs="Times New Roman"/>
        </w:rPr>
        <w:footnoteReference w:id="10"/>
      </w:r>
      <w:r w:rsidRPr="002B2350">
        <w:rPr>
          <w:rFonts w:ascii="Times New Roman" w:hAnsi="Times New Roman" w:cs="Times New Roman"/>
        </w:rPr>
        <w:t xml:space="preserve"> Still, this article will show that something interesting can be gathered from these scattered remarks. This is so because Leibniz’s remarks about intern</w:t>
      </w:r>
      <w:r w:rsidRPr="002B2350">
        <w:rPr>
          <w:rFonts w:ascii="Times New Roman" w:hAnsi="Times New Roman" w:cs="Times New Roman"/>
        </w:rPr>
        <w:t>a</w:t>
      </w:r>
      <w:r w:rsidRPr="002B2350">
        <w:rPr>
          <w:rFonts w:ascii="Times New Roman" w:hAnsi="Times New Roman" w:cs="Times New Roman"/>
        </w:rPr>
        <w:t>tional mediation are connected to two central issues in political theory (1) the question of the nature of sovereignty, and (2) the question of the demands of international justice. Moreover, these connections turn out to offer some previously neglected insights both when read within their early modern context and when read within the context of contemporary debates about the structure of international mediation. Substantiating these claims evidently will require d</w:t>
      </w:r>
      <w:r w:rsidRPr="002B2350">
        <w:rPr>
          <w:rFonts w:ascii="Times New Roman" w:hAnsi="Times New Roman" w:cs="Times New Roman"/>
        </w:rPr>
        <w:t>e</w:t>
      </w:r>
      <w:r w:rsidRPr="002B2350">
        <w:rPr>
          <w:rFonts w:ascii="Times New Roman" w:hAnsi="Times New Roman" w:cs="Times New Roman"/>
        </w:rPr>
        <w:t>tailed consideration of two contexts—one historical, one contemporary—that display some notable similarities but also some notable differences. I will outline the contextual matters in section 2 and, subsequently, discuss how Leibniz’s remarks may provide some insightful a</w:t>
      </w:r>
      <w:r w:rsidRPr="002B2350">
        <w:rPr>
          <w:rFonts w:ascii="Times New Roman" w:hAnsi="Times New Roman" w:cs="Times New Roman"/>
        </w:rPr>
        <w:t>l</w:t>
      </w:r>
      <w:r w:rsidRPr="002B2350">
        <w:rPr>
          <w:rFonts w:ascii="Times New Roman" w:hAnsi="Times New Roman" w:cs="Times New Roman"/>
        </w:rPr>
        <w:t xml:space="preserve">ternatives to both early modern and contemporary ways of thinking about </w:t>
      </w:r>
      <w:r w:rsidRPr="00604611">
        <w:rPr>
          <w:rFonts w:ascii="Times New Roman" w:hAnsi="Times New Roman" w:cs="Times New Roman"/>
        </w:rPr>
        <w:t>international medi</w:t>
      </w:r>
      <w:r w:rsidRPr="00604611">
        <w:rPr>
          <w:rFonts w:ascii="Times New Roman" w:hAnsi="Times New Roman" w:cs="Times New Roman"/>
        </w:rPr>
        <w:t>a</w:t>
      </w:r>
      <w:r w:rsidRPr="00604611">
        <w:rPr>
          <w:rFonts w:ascii="Times New Roman" w:hAnsi="Times New Roman" w:cs="Times New Roman"/>
        </w:rPr>
        <w:t>tion in se</w:t>
      </w:r>
      <w:r w:rsidRPr="00604611">
        <w:rPr>
          <w:rFonts w:ascii="Times New Roman" w:hAnsi="Times New Roman" w:cs="Times New Roman"/>
        </w:rPr>
        <w:t>c</w:t>
      </w:r>
      <w:r w:rsidRPr="00604611">
        <w:rPr>
          <w:rFonts w:ascii="Times New Roman" w:hAnsi="Times New Roman" w:cs="Times New Roman"/>
        </w:rPr>
        <w:t xml:space="preserve">tion 3. </w:t>
      </w:r>
    </w:p>
    <w:p w14:paraId="5B5E3E59" w14:textId="77777777" w:rsidR="00604611" w:rsidRPr="00604611" w:rsidRDefault="00604611" w:rsidP="00604611">
      <w:pPr>
        <w:pStyle w:val="Textkrper"/>
        <w:rPr>
          <w:rFonts w:cs="Times New Roman"/>
        </w:rPr>
      </w:pPr>
    </w:p>
    <w:p w14:paraId="498ACFDF" w14:textId="77777777" w:rsidR="005021A1" w:rsidRPr="00604611" w:rsidRDefault="005021A1" w:rsidP="002B2350">
      <w:pPr>
        <w:pStyle w:val="Titel"/>
        <w:spacing w:line="360" w:lineRule="auto"/>
        <w:rPr>
          <w:rFonts w:ascii="Times New Roman" w:hAnsi="Times New Roman" w:cs="Times New Roman"/>
        </w:rPr>
      </w:pPr>
      <w:r w:rsidRPr="00604611">
        <w:rPr>
          <w:rFonts w:ascii="Times New Roman" w:hAnsi="Times New Roman" w:cs="Times New Roman"/>
        </w:rPr>
        <w:lastRenderedPageBreak/>
        <w:t>2. Three Types of Mediation</w:t>
      </w:r>
    </w:p>
    <w:p w14:paraId="6D557B4C" w14:textId="77777777" w:rsidR="005021A1" w:rsidRPr="002B2350" w:rsidRDefault="005021A1" w:rsidP="002B2350">
      <w:pPr>
        <w:spacing w:line="360" w:lineRule="auto"/>
        <w:jc w:val="both"/>
        <w:rPr>
          <w:rFonts w:cs="Times New Roman"/>
        </w:rPr>
      </w:pPr>
    </w:p>
    <w:p w14:paraId="0367F1EC" w14:textId="77777777" w:rsidR="005021A1" w:rsidRPr="002B2350" w:rsidRDefault="005021A1" w:rsidP="002B2350">
      <w:pPr>
        <w:spacing w:line="360" w:lineRule="auto"/>
        <w:jc w:val="both"/>
        <w:rPr>
          <w:rFonts w:cs="Times New Roman"/>
        </w:rPr>
      </w:pPr>
      <w:r w:rsidRPr="002B2350">
        <w:rPr>
          <w:rFonts w:cs="Times New Roman"/>
        </w:rPr>
        <w:t>Thomas Princen, one of the most influential contemporary thinkers on intermediaries in inte</w:t>
      </w:r>
      <w:r w:rsidRPr="002B2350">
        <w:rPr>
          <w:rFonts w:cs="Times New Roman"/>
        </w:rPr>
        <w:t>r</w:t>
      </w:r>
      <w:r w:rsidRPr="002B2350">
        <w:rPr>
          <w:rFonts w:cs="Times New Roman"/>
        </w:rPr>
        <w:t>national conflict, distinguishes two types of mediators: “neutral mediators” and “principal mediators”.</w:t>
      </w:r>
      <w:r w:rsidRPr="002B2350">
        <w:rPr>
          <w:rStyle w:val="Funotenzeichen"/>
          <w:rFonts w:cs="Times New Roman"/>
        </w:rPr>
        <w:footnoteReference w:id="11"/>
      </w:r>
      <w:r w:rsidRPr="002B2350">
        <w:rPr>
          <w:rFonts w:cs="Times New Roman"/>
        </w:rPr>
        <w:t xml:space="preserve"> Put in a nutshell, neutral mediators are those who do not have any interest in the disputed issue itself, while principal mediators are those whose interests—such as security interests, strategic interests, or interests in propagating political ideas—are influenced by the existence and outcome of the conflict. As Princen suggests, there are several reasons why m</w:t>
      </w:r>
      <w:r w:rsidRPr="002B2350">
        <w:rPr>
          <w:rFonts w:cs="Times New Roman"/>
        </w:rPr>
        <w:t>e</w:t>
      </w:r>
      <w:r w:rsidRPr="002B2350">
        <w:rPr>
          <w:rFonts w:cs="Times New Roman"/>
        </w:rPr>
        <w:t>diation by neutral mediators can be successful: such mediators can facilitate communication, provide expert advice, and pool relevant information. Still, if they are successful, the resulting agreement will always be an agreement between the parties in conflict.</w:t>
      </w:r>
      <w:r w:rsidRPr="002B2350">
        <w:rPr>
          <w:rStyle w:val="Funotenzeichen"/>
          <w:rFonts w:cs="Times New Roman"/>
        </w:rPr>
        <w:footnoteReference w:id="12"/>
      </w:r>
      <w:r w:rsidRPr="002B2350">
        <w:rPr>
          <w:rFonts w:cs="Times New Roman"/>
        </w:rPr>
        <w:t xml:space="preserve"> By contrast, princ</w:t>
      </w:r>
      <w:r w:rsidRPr="002B2350">
        <w:rPr>
          <w:rFonts w:cs="Times New Roman"/>
        </w:rPr>
        <w:t>i</w:t>
      </w:r>
      <w:r w:rsidRPr="002B2350">
        <w:rPr>
          <w:rFonts w:cs="Times New Roman"/>
        </w:rPr>
        <w:t>pal mediators are motivated to protect their own interests by promising rewards for readiness to reach agreements and threatening sanctions for refusal to reach agreements. This is why Princen argues that the efficacy of the agency of principal mediators mainly depends on their capacity to change the incentive structure of the conflict parties. Consequently, the agre</w:t>
      </w:r>
      <w:r w:rsidRPr="002B2350">
        <w:rPr>
          <w:rFonts w:cs="Times New Roman"/>
        </w:rPr>
        <w:t>e</w:t>
      </w:r>
      <w:r w:rsidRPr="002B2350">
        <w:rPr>
          <w:rFonts w:cs="Times New Roman"/>
        </w:rPr>
        <w:t>ments that can be reached i</w:t>
      </w:r>
      <w:r w:rsidRPr="002B2350">
        <w:rPr>
          <w:rFonts w:cs="Times New Roman"/>
        </w:rPr>
        <w:t>n</w:t>
      </w:r>
      <w:r w:rsidRPr="002B2350">
        <w:rPr>
          <w:rFonts w:cs="Times New Roman"/>
        </w:rPr>
        <w:t>clude not only agreements between the parties in conflict but also agreements between the principal mediator and one (or more) of the parties in conflict. In pa</w:t>
      </w:r>
      <w:r w:rsidRPr="002B2350">
        <w:rPr>
          <w:rFonts w:cs="Times New Roman"/>
        </w:rPr>
        <w:t>r</w:t>
      </w:r>
      <w:r w:rsidRPr="002B2350">
        <w:rPr>
          <w:rFonts w:cs="Times New Roman"/>
        </w:rPr>
        <w:t>ticular, the possibility of circular deals opens up the possibility of finding a solution to a co</w:t>
      </w:r>
      <w:r w:rsidRPr="002B2350">
        <w:rPr>
          <w:rFonts w:cs="Times New Roman"/>
        </w:rPr>
        <w:t>n</w:t>
      </w:r>
      <w:r w:rsidRPr="002B2350">
        <w:rPr>
          <w:rFonts w:cs="Times New Roman"/>
        </w:rPr>
        <w:t>flict because, due to tradeoffs, all parties, the principal mediator included, can regard the</w:t>
      </w:r>
      <w:r w:rsidRPr="002B2350">
        <w:rPr>
          <w:rFonts w:cs="Times New Roman"/>
        </w:rPr>
        <w:t>m</w:t>
      </w:r>
      <w:r w:rsidRPr="002B2350">
        <w:rPr>
          <w:rFonts w:cs="Times New Roman"/>
        </w:rPr>
        <w:t>selves as winners.</w:t>
      </w:r>
      <w:r w:rsidRPr="002B2350">
        <w:rPr>
          <w:rStyle w:val="Funotenzeichen"/>
          <w:rFonts w:cs="Times New Roman"/>
        </w:rPr>
        <w:footnoteReference w:id="13"/>
      </w:r>
      <w:r w:rsidRPr="002B2350">
        <w:rPr>
          <w:rFonts w:cs="Times New Roman"/>
        </w:rPr>
        <w:t xml:space="preserve"> </w:t>
      </w:r>
    </w:p>
    <w:p w14:paraId="45B8A002" w14:textId="77777777" w:rsidR="005021A1" w:rsidRPr="002B2350" w:rsidRDefault="005021A1" w:rsidP="002B2350">
      <w:pPr>
        <w:pStyle w:val="Titel"/>
        <w:spacing w:line="360" w:lineRule="auto"/>
        <w:ind w:firstLine="397"/>
        <w:jc w:val="both"/>
        <w:rPr>
          <w:rFonts w:ascii="Times New Roman" w:hAnsi="Times New Roman" w:cs="Times New Roman"/>
        </w:rPr>
      </w:pPr>
      <w:r w:rsidRPr="002B2350">
        <w:rPr>
          <w:rFonts w:ascii="Times New Roman" w:hAnsi="Times New Roman" w:cs="Times New Roman"/>
        </w:rPr>
        <w:t>Princen regards the distinction between neutral mediators and principal mediators to be dichotomous. On first sight, this seems to be highly plausible. After all, either the interests of a mediator are touched by the existence and possible outcome of a conflict, or they are not. Still, thinking in dichotomies here may be misleading in important respects. One of the co</w:t>
      </w:r>
      <w:r w:rsidRPr="002B2350">
        <w:rPr>
          <w:rFonts w:ascii="Times New Roman" w:hAnsi="Times New Roman" w:cs="Times New Roman"/>
        </w:rPr>
        <w:t>n</w:t>
      </w:r>
      <w:r w:rsidRPr="002B2350">
        <w:rPr>
          <w:rFonts w:ascii="Times New Roman" w:hAnsi="Times New Roman" w:cs="Times New Roman"/>
        </w:rPr>
        <w:t>cepts that are perspicuously absent from Princen’s sophisticated analysis of the workings of political interests in the two types of mediation is the notion of justice. But may not the pr</w:t>
      </w:r>
      <w:r w:rsidRPr="002B2350">
        <w:rPr>
          <w:rFonts w:ascii="Times New Roman" w:hAnsi="Times New Roman" w:cs="Times New Roman"/>
        </w:rPr>
        <w:t>o</w:t>
      </w:r>
      <w:r w:rsidRPr="002B2350">
        <w:rPr>
          <w:rFonts w:ascii="Times New Roman" w:hAnsi="Times New Roman" w:cs="Times New Roman"/>
        </w:rPr>
        <w:t>cedural function of neutral mediators at least raise questions of procedural justice? And may not the pursuit of their own interests implicit in the role of principal mediators raise even more substantial questions of justice? If so, focusing one-sidedly on the notion of interests may explain why so many real-world initiatives at providing mediation in international co</w:t>
      </w:r>
      <w:r w:rsidRPr="002B2350">
        <w:rPr>
          <w:rFonts w:ascii="Times New Roman" w:hAnsi="Times New Roman" w:cs="Times New Roman"/>
        </w:rPr>
        <w:t>n</w:t>
      </w:r>
      <w:r w:rsidRPr="002B2350">
        <w:rPr>
          <w:rFonts w:ascii="Times New Roman" w:hAnsi="Times New Roman" w:cs="Times New Roman"/>
        </w:rPr>
        <w:t>flict miserably fail. One of the reasons why examining early modern conceptions of intern</w:t>
      </w:r>
      <w:r w:rsidRPr="002B2350">
        <w:rPr>
          <w:rFonts w:ascii="Times New Roman" w:hAnsi="Times New Roman" w:cs="Times New Roman"/>
        </w:rPr>
        <w:t>a</w:t>
      </w:r>
      <w:r w:rsidRPr="002B2350">
        <w:rPr>
          <w:rFonts w:ascii="Times New Roman" w:hAnsi="Times New Roman" w:cs="Times New Roman"/>
        </w:rPr>
        <w:lastRenderedPageBreak/>
        <w:t>tional mediation is so interesting is that issues of justice play a crucial role there. And this may cast doubt on the adequacy of thinking about types of international mediation in terms of a dichotomy.</w:t>
      </w:r>
    </w:p>
    <w:p w14:paraId="56DF4C2F" w14:textId="77777777" w:rsidR="005021A1" w:rsidRPr="002B2350" w:rsidRDefault="005021A1" w:rsidP="002B2350">
      <w:pPr>
        <w:pStyle w:val="Titel"/>
        <w:spacing w:line="360" w:lineRule="auto"/>
        <w:ind w:firstLine="397"/>
        <w:jc w:val="both"/>
        <w:rPr>
          <w:rFonts w:ascii="Times New Roman" w:hAnsi="Times New Roman" w:cs="Times New Roman"/>
        </w:rPr>
      </w:pPr>
      <w:r w:rsidRPr="002B2350">
        <w:rPr>
          <w:rFonts w:ascii="Times New Roman" w:hAnsi="Times New Roman" w:cs="Times New Roman"/>
        </w:rPr>
        <w:t>To be sure, as far as the role of the neutral mediators goes, there are wide-ranging para</w:t>
      </w:r>
      <w:r w:rsidRPr="002B2350">
        <w:rPr>
          <w:rFonts w:ascii="Times New Roman" w:hAnsi="Times New Roman" w:cs="Times New Roman"/>
        </w:rPr>
        <w:t>l</w:t>
      </w:r>
      <w:r w:rsidRPr="002B2350">
        <w:rPr>
          <w:rFonts w:ascii="Times New Roman" w:hAnsi="Times New Roman" w:cs="Times New Roman"/>
        </w:rPr>
        <w:t>lels between Princen’s account and early modern treatments. O</w:t>
      </w:r>
      <w:r w:rsidR="001F7C38">
        <w:rPr>
          <w:rFonts w:ascii="Times New Roman" w:hAnsi="Times New Roman" w:cs="Times New Roman"/>
        </w:rPr>
        <w:t>ne o</w:t>
      </w:r>
      <w:r w:rsidRPr="002B2350">
        <w:rPr>
          <w:rFonts w:ascii="Times New Roman" w:hAnsi="Times New Roman" w:cs="Times New Roman"/>
        </w:rPr>
        <w:t>f the leading early modern th</w:t>
      </w:r>
      <w:r w:rsidR="007E563F">
        <w:rPr>
          <w:rFonts w:ascii="Times New Roman" w:hAnsi="Times New Roman" w:cs="Times New Roman"/>
        </w:rPr>
        <w:t>eoreticians of diplomacy, Abraham van Wicquefort (1606-1682</w:t>
      </w:r>
      <w:r w:rsidRPr="002B2350">
        <w:rPr>
          <w:rFonts w:ascii="Times New Roman" w:hAnsi="Times New Roman" w:cs="Times New Roman"/>
        </w:rPr>
        <w:t>)</w:t>
      </w:r>
      <w:r w:rsidRPr="002B2350">
        <w:rPr>
          <w:rStyle w:val="Funotenzeichen"/>
          <w:rFonts w:ascii="Times New Roman" w:hAnsi="Times New Roman" w:cs="Times New Roman"/>
        </w:rPr>
        <w:footnoteReference w:id="14"/>
      </w:r>
      <w:r w:rsidR="002B2350">
        <w:rPr>
          <w:rFonts w:ascii="Times New Roman" w:hAnsi="Times New Roman" w:cs="Times New Roman"/>
        </w:rPr>
        <w:t xml:space="preserve"> </w:t>
      </w:r>
      <w:r w:rsidRPr="002B2350">
        <w:rPr>
          <w:rFonts w:ascii="Times New Roman" w:hAnsi="Times New Roman" w:cs="Times New Roman"/>
        </w:rPr>
        <w:t>points out that a common u</w:t>
      </w:r>
      <w:r w:rsidRPr="002B2350">
        <w:rPr>
          <w:rFonts w:ascii="Times New Roman" w:hAnsi="Times New Roman" w:cs="Times New Roman"/>
        </w:rPr>
        <w:t>n</w:t>
      </w:r>
      <w:r w:rsidRPr="002B2350">
        <w:rPr>
          <w:rFonts w:ascii="Times New Roman" w:hAnsi="Times New Roman" w:cs="Times New Roman"/>
        </w:rPr>
        <w:t xml:space="preserve">derstanding explicitly stated in diplomatic documents </w:t>
      </w:r>
      <w:r w:rsidR="002F5BC8">
        <w:rPr>
          <w:rFonts w:ascii="Times New Roman" w:hAnsi="Times New Roman" w:cs="Times New Roman"/>
        </w:rPr>
        <w:t>of the time was that it is not</w:t>
      </w:r>
      <w:r w:rsidRPr="002B2350">
        <w:rPr>
          <w:rFonts w:ascii="Times New Roman" w:hAnsi="Times New Roman" w:cs="Times New Roman"/>
        </w:rPr>
        <w:t xml:space="preserve"> the role of mediators to judge the contents of the propo</w:t>
      </w:r>
      <w:r w:rsidR="00065369">
        <w:rPr>
          <w:rFonts w:ascii="Times New Roman" w:hAnsi="Times New Roman" w:cs="Times New Roman"/>
        </w:rPr>
        <w:t>sals of the parties in conflict</w:t>
      </w:r>
      <w:r w:rsidRPr="002B2350">
        <w:rPr>
          <w:rFonts w:ascii="Times New Roman" w:hAnsi="Times New Roman" w:cs="Times New Roman"/>
        </w:rPr>
        <w:t xml:space="preserve"> or to make pr</w:t>
      </w:r>
      <w:r w:rsidRPr="002B2350">
        <w:rPr>
          <w:rFonts w:ascii="Times New Roman" w:hAnsi="Times New Roman" w:cs="Times New Roman"/>
        </w:rPr>
        <w:t>o</w:t>
      </w:r>
      <w:r w:rsidRPr="002B2350">
        <w:rPr>
          <w:rFonts w:ascii="Times New Roman" w:hAnsi="Times New Roman" w:cs="Times New Roman"/>
        </w:rPr>
        <w:t>posals of their own. Rather, the task of mediators was seen as being restricted to reporting faithfully the positions of the parties and admonishing the pa</w:t>
      </w:r>
      <w:r w:rsidRPr="002B2350">
        <w:rPr>
          <w:rFonts w:ascii="Times New Roman" w:hAnsi="Times New Roman" w:cs="Times New Roman"/>
        </w:rPr>
        <w:t>r</w:t>
      </w:r>
      <w:r w:rsidRPr="002B2350">
        <w:rPr>
          <w:rFonts w:ascii="Times New Roman" w:hAnsi="Times New Roman" w:cs="Times New Roman"/>
        </w:rPr>
        <w:t>ties to stick to what is just and reasonable.</w:t>
      </w:r>
      <w:r w:rsidRPr="002B2350">
        <w:rPr>
          <w:rStyle w:val="Funotenzeichen"/>
          <w:rFonts w:ascii="Times New Roman" w:hAnsi="Times New Roman" w:cs="Times New Roman"/>
        </w:rPr>
        <w:footnoteReference w:id="15"/>
      </w:r>
      <w:r w:rsidRPr="002B2350">
        <w:rPr>
          <w:rFonts w:ascii="Times New Roman" w:hAnsi="Times New Roman" w:cs="Times New Roman"/>
        </w:rPr>
        <w:t xml:space="preserve"> Also, Wicquefort notes that, according to such an understan</w:t>
      </w:r>
      <w:r w:rsidRPr="002B2350">
        <w:rPr>
          <w:rFonts w:ascii="Times New Roman" w:hAnsi="Times New Roman" w:cs="Times New Roman"/>
        </w:rPr>
        <w:t>d</w:t>
      </w:r>
      <w:r w:rsidRPr="002B2350">
        <w:rPr>
          <w:rFonts w:ascii="Times New Roman" w:hAnsi="Times New Roman" w:cs="Times New Roman"/>
        </w:rPr>
        <w:t>ing, the mediators are not allowed to establish direct channels of communication with the heads of the parties in conflict but are bound to accept the channels of communication through their emissaries.</w:t>
      </w:r>
      <w:r w:rsidRPr="002B2350">
        <w:rPr>
          <w:rStyle w:val="Funotenzeichen"/>
          <w:rFonts w:ascii="Times New Roman" w:hAnsi="Times New Roman" w:cs="Times New Roman"/>
        </w:rPr>
        <w:footnoteReference w:id="16"/>
      </w:r>
      <w:r w:rsidRPr="002B2350">
        <w:rPr>
          <w:rFonts w:ascii="Times New Roman" w:hAnsi="Times New Roman" w:cs="Times New Roman"/>
        </w:rPr>
        <w:t xml:space="preserve"> One of the advantages of such a r</w:t>
      </w:r>
      <w:r w:rsidRPr="002B2350">
        <w:rPr>
          <w:rFonts w:ascii="Times New Roman" w:hAnsi="Times New Roman" w:cs="Times New Roman"/>
        </w:rPr>
        <w:t>e</w:t>
      </w:r>
      <w:r w:rsidRPr="002B2350">
        <w:rPr>
          <w:rFonts w:ascii="Times New Roman" w:hAnsi="Times New Roman" w:cs="Times New Roman"/>
        </w:rPr>
        <w:t>stricted role of the mediators was seen in procedural issues: for example, using an intermediary allows parties to make their pr</w:t>
      </w:r>
      <w:r w:rsidRPr="002B2350">
        <w:rPr>
          <w:rFonts w:ascii="Times New Roman" w:hAnsi="Times New Roman" w:cs="Times New Roman"/>
        </w:rPr>
        <w:t>o</w:t>
      </w:r>
      <w:r w:rsidRPr="002B2350">
        <w:rPr>
          <w:rFonts w:ascii="Times New Roman" w:hAnsi="Times New Roman" w:cs="Times New Roman"/>
        </w:rPr>
        <w:t>posals at the same time, thereby avoiding giving indications of wea</w:t>
      </w:r>
      <w:r w:rsidRPr="002B2350">
        <w:rPr>
          <w:rFonts w:ascii="Times New Roman" w:hAnsi="Times New Roman" w:cs="Times New Roman"/>
        </w:rPr>
        <w:t>k</w:t>
      </w:r>
      <w:r w:rsidRPr="002B2350">
        <w:rPr>
          <w:rFonts w:ascii="Times New Roman" w:hAnsi="Times New Roman" w:cs="Times New Roman"/>
        </w:rPr>
        <w:t>ness by making the first move. Another advantage of such indirect communic</w:t>
      </w:r>
      <w:r w:rsidRPr="002B2350">
        <w:rPr>
          <w:rFonts w:ascii="Times New Roman" w:hAnsi="Times New Roman" w:cs="Times New Roman"/>
        </w:rPr>
        <w:t>a</w:t>
      </w:r>
      <w:r w:rsidRPr="002B2350">
        <w:rPr>
          <w:rFonts w:ascii="Times New Roman" w:hAnsi="Times New Roman" w:cs="Times New Roman"/>
        </w:rPr>
        <w:t>tion was seen to be the possibility of rendering the positions of the parties in conflict clearer than they would be in direct negotiations fraught with emotional tension.</w:t>
      </w:r>
      <w:r w:rsidRPr="002B2350">
        <w:rPr>
          <w:rStyle w:val="Funotenzeichen"/>
          <w:rFonts w:ascii="Times New Roman" w:hAnsi="Times New Roman" w:cs="Times New Roman"/>
        </w:rPr>
        <w:footnoteReference w:id="17"/>
      </w:r>
      <w:r w:rsidRPr="002B2350">
        <w:rPr>
          <w:rFonts w:ascii="Times New Roman" w:hAnsi="Times New Roman" w:cs="Times New Roman"/>
        </w:rPr>
        <w:t xml:space="preserve"> But Wicquefort is also very much aware of the pragmatic limitations of this kind of m</w:t>
      </w:r>
      <w:r w:rsidRPr="002B2350">
        <w:rPr>
          <w:rFonts w:ascii="Times New Roman" w:hAnsi="Times New Roman" w:cs="Times New Roman"/>
        </w:rPr>
        <w:t>e</w:t>
      </w:r>
      <w:r w:rsidR="00E66FA9">
        <w:rPr>
          <w:rFonts w:ascii="Times New Roman" w:hAnsi="Times New Roman" w:cs="Times New Roman"/>
        </w:rPr>
        <w:t>diation: “[T]</w:t>
      </w:r>
      <w:r w:rsidRPr="002B2350">
        <w:rPr>
          <w:rFonts w:ascii="Times New Roman" w:hAnsi="Times New Roman" w:cs="Times New Roman"/>
        </w:rPr>
        <w:t>he mediators had a lot of trouble in Münster but little suc</w:t>
      </w:r>
      <w:r w:rsidR="00E66FA9">
        <w:rPr>
          <w:rFonts w:ascii="Times New Roman" w:hAnsi="Times New Roman" w:cs="Times New Roman"/>
        </w:rPr>
        <w:t>cess and even less honor. [...] On can truly say: i</w:t>
      </w:r>
      <w:r w:rsidRPr="002B2350">
        <w:rPr>
          <w:rFonts w:ascii="Times New Roman" w:hAnsi="Times New Roman" w:cs="Times New Roman"/>
        </w:rPr>
        <w:t xml:space="preserve">t is not the mediators who bring it about that treaties are made; rather it is </w:t>
      </w:r>
      <w:r w:rsidR="007E7BAC">
        <w:rPr>
          <w:rFonts w:ascii="Times New Roman" w:hAnsi="Times New Roman" w:cs="Times New Roman"/>
        </w:rPr>
        <w:t xml:space="preserve">only </w:t>
      </w:r>
      <w:r w:rsidRPr="002B2350">
        <w:rPr>
          <w:rFonts w:ascii="Times New Roman" w:hAnsi="Times New Roman" w:cs="Times New Roman"/>
        </w:rPr>
        <w:t>the good will of the parties […].”</w:t>
      </w:r>
      <w:r w:rsidRPr="002B2350">
        <w:rPr>
          <w:rStyle w:val="Funotenzeichen"/>
          <w:rFonts w:ascii="Times New Roman" w:hAnsi="Times New Roman" w:cs="Times New Roman"/>
        </w:rPr>
        <w:footnoteReference w:id="18"/>
      </w:r>
    </w:p>
    <w:p w14:paraId="4F7A90A6" w14:textId="77777777" w:rsidR="005021A1" w:rsidRPr="002B2350" w:rsidRDefault="005021A1" w:rsidP="002B2350">
      <w:pPr>
        <w:spacing w:line="360" w:lineRule="auto"/>
        <w:ind w:firstLine="397"/>
        <w:jc w:val="both"/>
        <w:rPr>
          <w:rFonts w:cs="Times New Roman"/>
        </w:rPr>
      </w:pPr>
      <w:r w:rsidRPr="002B2350">
        <w:rPr>
          <w:rFonts w:cs="Times New Roman"/>
        </w:rPr>
        <w:t>However, according to a diverging line of early modern thought, the requirement of i</w:t>
      </w:r>
      <w:r w:rsidRPr="002B2350">
        <w:rPr>
          <w:rFonts w:cs="Times New Roman"/>
        </w:rPr>
        <w:t>m</w:t>
      </w:r>
      <w:r w:rsidRPr="002B2350">
        <w:rPr>
          <w:rFonts w:cs="Times New Roman"/>
        </w:rPr>
        <w:t>partiality cannot be transferred from the role of arbiter to the role of mediator. On first sight, this line of argument may seem to correspond to the principal mediator as understood by Pri</w:t>
      </w:r>
      <w:r w:rsidRPr="002B2350">
        <w:rPr>
          <w:rFonts w:cs="Times New Roman"/>
        </w:rPr>
        <w:t>n</w:t>
      </w:r>
      <w:r w:rsidRPr="002B2350">
        <w:rPr>
          <w:rFonts w:cs="Times New Roman"/>
        </w:rPr>
        <w:lastRenderedPageBreak/>
        <w:t>cen. However, on closer examination some substantial divergence will become evident. The question of how the effectiveness of external threat can be integrated with the demands of ju</w:t>
      </w:r>
      <w:r w:rsidRPr="002B2350">
        <w:rPr>
          <w:rFonts w:cs="Times New Roman"/>
        </w:rPr>
        <w:t>s</w:t>
      </w:r>
      <w:r w:rsidRPr="002B2350">
        <w:rPr>
          <w:rFonts w:cs="Times New Roman"/>
        </w:rPr>
        <w:t>tice can be seen as the central problem connected with the early modern theory of the “armed mediator” (</w:t>
      </w:r>
      <w:r w:rsidRPr="002B2350">
        <w:rPr>
          <w:rFonts w:cs="Times New Roman"/>
          <w:i/>
          <w:iCs/>
        </w:rPr>
        <w:t>mediator armatus</w:t>
      </w:r>
      <w:r w:rsidRPr="002B2350">
        <w:rPr>
          <w:rFonts w:cs="Times New Roman"/>
        </w:rPr>
        <w:t>) that remained influential throughout the seventeenth and eigh</w:t>
      </w:r>
      <w:r w:rsidRPr="002B2350">
        <w:rPr>
          <w:rFonts w:cs="Times New Roman"/>
        </w:rPr>
        <w:t>t</w:t>
      </w:r>
      <w:r w:rsidRPr="002B2350">
        <w:rPr>
          <w:rFonts w:cs="Times New Roman"/>
        </w:rPr>
        <w:t>eenth centuries. While any person was seen as being capable of acting as a neutral mediator in international conflict, the function of the armed mediator required military power. The rel</w:t>
      </w:r>
      <w:r w:rsidRPr="002B2350">
        <w:rPr>
          <w:rFonts w:cs="Times New Roman"/>
        </w:rPr>
        <w:t>e</w:t>
      </w:r>
      <w:r w:rsidRPr="002B2350">
        <w:rPr>
          <w:rFonts w:cs="Times New Roman"/>
        </w:rPr>
        <w:t xml:space="preserve">vant line of thought can be found already in Bodin: </w:t>
      </w:r>
    </w:p>
    <w:p w14:paraId="2C0C0786" w14:textId="77777777" w:rsidR="005021A1" w:rsidRPr="002B2350" w:rsidRDefault="005021A1" w:rsidP="002B2350">
      <w:pPr>
        <w:spacing w:line="360" w:lineRule="auto"/>
        <w:ind w:firstLine="397"/>
        <w:jc w:val="both"/>
        <w:rPr>
          <w:rFonts w:cs="Times New Roman"/>
        </w:rPr>
      </w:pPr>
    </w:p>
    <w:p w14:paraId="648963A3" w14:textId="77777777" w:rsidR="005021A1" w:rsidRPr="002B2350" w:rsidRDefault="002B2350" w:rsidP="002B2350">
      <w:pPr>
        <w:spacing w:line="360" w:lineRule="auto"/>
        <w:jc w:val="both"/>
        <w:rPr>
          <w:rFonts w:cs="Times New Roman"/>
          <w:sz w:val="20"/>
          <w:szCs w:val="20"/>
        </w:rPr>
      </w:pPr>
      <w:r w:rsidRPr="002B2350">
        <w:rPr>
          <w:rFonts w:cs="Times New Roman"/>
          <w:sz w:val="20"/>
          <w:szCs w:val="20"/>
        </w:rPr>
        <w:t>“</w:t>
      </w:r>
      <w:r w:rsidR="005021A1" w:rsidRPr="002B2350">
        <w:rPr>
          <w:rFonts w:cs="Times New Roman"/>
          <w:sz w:val="20"/>
          <w:szCs w:val="20"/>
        </w:rPr>
        <w:t>One of the things that are most necessary for the security of treaties of peace and alliance is to nominate som</w:t>
      </w:r>
      <w:r w:rsidR="005021A1" w:rsidRPr="002B2350">
        <w:rPr>
          <w:rFonts w:cs="Times New Roman"/>
          <w:sz w:val="20"/>
          <w:szCs w:val="20"/>
        </w:rPr>
        <w:t>e</w:t>
      </w:r>
      <w:r w:rsidR="005021A1" w:rsidRPr="002B2350">
        <w:rPr>
          <w:rFonts w:cs="Times New Roman"/>
          <w:sz w:val="20"/>
          <w:szCs w:val="20"/>
        </w:rPr>
        <w:t>one greater and more powerful as a judge and arbiter for the case of infringement; such that one can have r</w:t>
      </w:r>
      <w:r w:rsidR="005021A1" w:rsidRPr="002B2350">
        <w:rPr>
          <w:rFonts w:cs="Times New Roman"/>
          <w:sz w:val="20"/>
          <w:szCs w:val="20"/>
        </w:rPr>
        <w:t>e</w:t>
      </w:r>
      <w:r w:rsidR="005021A1" w:rsidRPr="002B2350">
        <w:rPr>
          <w:rFonts w:cs="Times New Roman"/>
          <w:sz w:val="20"/>
          <w:szCs w:val="20"/>
        </w:rPr>
        <w:t>course to him as a guarantor and that he mediates the agreement between those who, because they are equal ca</w:t>
      </w:r>
      <w:r w:rsidR="005021A1" w:rsidRPr="002B2350">
        <w:rPr>
          <w:rFonts w:cs="Times New Roman"/>
          <w:sz w:val="20"/>
          <w:szCs w:val="20"/>
        </w:rPr>
        <w:t>n</w:t>
      </w:r>
      <w:r w:rsidR="005021A1" w:rsidRPr="002B2350">
        <w:rPr>
          <w:rFonts w:cs="Times New Roman"/>
          <w:sz w:val="20"/>
          <w:szCs w:val="20"/>
        </w:rPr>
        <w:t>not honestly refuse war nor demand peace.</w:t>
      </w:r>
      <w:r w:rsidRPr="002B2350">
        <w:rPr>
          <w:rFonts w:cs="Times New Roman"/>
          <w:sz w:val="20"/>
          <w:szCs w:val="20"/>
        </w:rPr>
        <w:t>”</w:t>
      </w:r>
      <w:r w:rsidR="005021A1" w:rsidRPr="002B2350">
        <w:rPr>
          <w:rStyle w:val="Funotenzeichen"/>
          <w:rFonts w:cs="Times New Roman"/>
          <w:sz w:val="20"/>
          <w:szCs w:val="20"/>
        </w:rPr>
        <w:footnoteReference w:id="19"/>
      </w:r>
      <w:r w:rsidR="005021A1" w:rsidRPr="002B2350">
        <w:rPr>
          <w:rFonts w:cs="Times New Roman"/>
          <w:sz w:val="20"/>
          <w:szCs w:val="20"/>
        </w:rPr>
        <w:t xml:space="preserve"> </w:t>
      </w:r>
    </w:p>
    <w:p w14:paraId="05C05AC1" w14:textId="77777777" w:rsidR="005021A1" w:rsidRPr="002B2350" w:rsidRDefault="005021A1" w:rsidP="002B2350">
      <w:pPr>
        <w:spacing w:line="360" w:lineRule="auto"/>
        <w:ind w:firstLine="397"/>
        <w:jc w:val="both"/>
        <w:rPr>
          <w:rFonts w:cs="Times New Roman"/>
        </w:rPr>
      </w:pPr>
    </w:p>
    <w:p w14:paraId="3F665F3A" w14:textId="77777777" w:rsidR="005021A1" w:rsidRPr="002B2350" w:rsidRDefault="005021A1" w:rsidP="00B621FD">
      <w:pPr>
        <w:spacing w:line="360" w:lineRule="auto"/>
        <w:jc w:val="both"/>
        <w:rPr>
          <w:rFonts w:cs="Times New Roman"/>
        </w:rPr>
      </w:pPr>
      <w:r w:rsidRPr="002B2350">
        <w:rPr>
          <w:rFonts w:cs="Times New Roman"/>
        </w:rPr>
        <w:t>Samuel Pufendorf takes up this line of thought and develops it in greater detail. This is the argument that he offers for why impartiality cannot be a necessary condition for international mediation:</w:t>
      </w:r>
    </w:p>
    <w:p w14:paraId="556007FD" w14:textId="77777777" w:rsidR="005021A1" w:rsidRPr="002B2350" w:rsidRDefault="005021A1" w:rsidP="002B2350">
      <w:pPr>
        <w:spacing w:line="360" w:lineRule="auto"/>
        <w:jc w:val="both"/>
        <w:rPr>
          <w:rFonts w:cs="Times New Roman"/>
        </w:rPr>
      </w:pPr>
    </w:p>
    <w:p w14:paraId="601F5F88" w14:textId="77777777" w:rsidR="005021A1" w:rsidRPr="002B2350" w:rsidRDefault="002B2350" w:rsidP="002B2350">
      <w:pPr>
        <w:spacing w:line="360" w:lineRule="auto"/>
        <w:jc w:val="both"/>
        <w:rPr>
          <w:rFonts w:cs="Times New Roman"/>
          <w:sz w:val="20"/>
          <w:szCs w:val="20"/>
        </w:rPr>
      </w:pPr>
      <w:r w:rsidRPr="002B2350">
        <w:rPr>
          <w:rFonts w:cs="Times New Roman"/>
          <w:sz w:val="20"/>
          <w:szCs w:val="20"/>
        </w:rPr>
        <w:t>“</w:t>
      </w:r>
      <w:r w:rsidR="005021A1" w:rsidRPr="002B2350">
        <w:rPr>
          <w:rFonts w:cs="Times New Roman"/>
          <w:sz w:val="20"/>
          <w:szCs w:val="20"/>
        </w:rPr>
        <w:t>Since [the mediators] undertake so holy a task, it would be the height of inhumanity to sternly repulse them, even on the claim that they seem to have some special connection with one of the parties. For it is within my power to accept what I will of their offering, and it is recognized as the chief service of friends that, when they will not themselves join with me in the quarrel, they will endeavour to bring it to an amicable conclusion.</w:t>
      </w:r>
      <w:r w:rsidRPr="002B2350">
        <w:rPr>
          <w:rFonts w:cs="Times New Roman"/>
          <w:sz w:val="20"/>
          <w:szCs w:val="20"/>
        </w:rPr>
        <w:t>”</w:t>
      </w:r>
      <w:r w:rsidR="005021A1" w:rsidRPr="002B2350">
        <w:rPr>
          <w:rStyle w:val="Funotenzeichen"/>
          <w:rFonts w:cs="Times New Roman"/>
          <w:sz w:val="20"/>
          <w:szCs w:val="20"/>
        </w:rPr>
        <w:footnoteReference w:id="20"/>
      </w:r>
      <w:r w:rsidR="005021A1" w:rsidRPr="002B2350">
        <w:rPr>
          <w:rFonts w:cs="Times New Roman"/>
          <w:sz w:val="20"/>
          <w:szCs w:val="20"/>
        </w:rPr>
        <w:t xml:space="preserve"> </w:t>
      </w:r>
    </w:p>
    <w:p w14:paraId="2EA0D074" w14:textId="77777777" w:rsidR="005021A1" w:rsidRPr="002B2350" w:rsidRDefault="005021A1" w:rsidP="002B2350">
      <w:pPr>
        <w:spacing w:line="360" w:lineRule="auto"/>
        <w:jc w:val="both"/>
        <w:rPr>
          <w:rFonts w:cs="Times New Roman"/>
        </w:rPr>
      </w:pPr>
    </w:p>
    <w:p w14:paraId="6A69C921" w14:textId="77777777" w:rsidR="005021A1" w:rsidRPr="002B2350" w:rsidRDefault="00B621FD" w:rsidP="002B2350">
      <w:pPr>
        <w:spacing w:line="360" w:lineRule="auto"/>
        <w:jc w:val="both"/>
        <w:rPr>
          <w:rFonts w:cs="Times New Roman"/>
        </w:rPr>
      </w:pPr>
      <w:r>
        <w:rPr>
          <w:rFonts w:cs="Times New Roman"/>
        </w:rPr>
        <w:t>Moreover, Pufendorf</w:t>
      </w:r>
      <w:r w:rsidR="005021A1" w:rsidRPr="002B2350">
        <w:rPr>
          <w:rFonts w:cs="Times New Roman"/>
        </w:rPr>
        <w:t xml:space="preserve"> is clear that the mediator may be motivated by his own interests: “[I]t is often much to the interest of the others that there be no war between two peoples, either b</w:t>
      </w:r>
      <w:r w:rsidR="005021A1" w:rsidRPr="002B2350">
        <w:rPr>
          <w:rFonts w:cs="Times New Roman"/>
        </w:rPr>
        <w:t>e</w:t>
      </w:r>
      <w:r w:rsidR="005021A1" w:rsidRPr="002B2350">
        <w:rPr>
          <w:rFonts w:cs="Times New Roman"/>
        </w:rPr>
        <w:t>cause some sparks from a neighboring fire may be carried to them as well, or because it may be prejudicial to them for one or both of the parties to be destroyed.”</w:t>
      </w:r>
      <w:r w:rsidR="005021A1" w:rsidRPr="002B2350">
        <w:rPr>
          <w:rStyle w:val="Funotenzeichen"/>
          <w:rFonts w:cs="Times New Roman"/>
        </w:rPr>
        <w:footnoteReference w:id="21"/>
      </w:r>
      <w:r w:rsidR="005021A1" w:rsidRPr="002B2350">
        <w:rPr>
          <w:rFonts w:cs="Times New Roman"/>
        </w:rPr>
        <w:t xml:space="preserve"> Consequently, the fi</w:t>
      </w:r>
      <w:r w:rsidR="005021A1" w:rsidRPr="002B2350">
        <w:rPr>
          <w:rFonts w:cs="Times New Roman"/>
        </w:rPr>
        <w:t>g</w:t>
      </w:r>
      <w:r w:rsidR="005021A1" w:rsidRPr="002B2350">
        <w:rPr>
          <w:rFonts w:cs="Times New Roman"/>
        </w:rPr>
        <w:t xml:space="preserve">ure of the </w:t>
      </w:r>
      <w:r w:rsidR="005021A1" w:rsidRPr="002B2350">
        <w:rPr>
          <w:rFonts w:cs="Times New Roman"/>
          <w:i/>
          <w:iCs/>
        </w:rPr>
        <w:t xml:space="preserve">mediator armatus </w:t>
      </w:r>
      <w:r w:rsidR="005021A1" w:rsidRPr="002B2350">
        <w:rPr>
          <w:rFonts w:cs="Times New Roman"/>
        </w:rPr>
        <w:t>is tied to a sense in which natural law can justify military inte</w:t>
      </w:r>
      <w:r w:rsidR="005021A1" w:rsidRPr="002B2350">
        <w:rPr>
          <w:rFonts w:cs="Times New Roman"/>
        </w:rPr>
        <w:t>r</w:t>
      </w:r>
      <w:r w:rsidR="005021A1" w:rsidRPr="002B2350">
        <w:rPr>
          <w:rFonts w:cs="Times New Roman"/>
        </w:rPr>
        <w:t xml:space="preserve">vention: </w:t>
      </w:r>
    </w:p>
    <w:p w14:paraId="7755F2C4" w14:textId="77777777" w:rsidR="005021A1" w:rsidRPr="002B2350" w:rsidRDefault="005021A1" w:rsidP="002B2350">
      <w:pPr>
        <w:spacing w:line="360" w:lineRule="auto"/>
        <w:jc w:val="both"/>
        <w:rPr>
          <w:rFonts w:cs="Times New Roman"/>
        </w:rPr>
      </w:pPr>
    </w:p>
    <w:p w14:paraId="374F4C1B" w14:textId="77777777" w:rsidR="005021A1" w:rsidRPr="002B2350" w:rsidRDefault="002B2350" w:rsidP="002B2350">
      <w:pPr>
        <w:spacing w:line="360" w:lineRule="auto"/>
        <w:jc w:val="both"/>
        <w:rPr>
          <w:rFonts w:cs="Times New Roman"/>
          <w:sz w:val="20"/>
          <w:szCs w:val="20"/>
        </w:rPr>
      </w:pPr>
      <w:r w:rsidRPr="002B2350">
        <w:rPr>
          <w:rFonts w:cs="Times New Roman"/>
          <w:sz w:val="20"/>
          <w:szCs w:val="20"/>
        </w:rPr>
        <w:lastRenderedPageBreak/>
        <w:t>“</w:t>
      </w:r>
      <w:r w:rsidR="005021A1" w:rsidRPr="002B2350">
        <w:rPr>
          <w:rFonts w:cs="Times New Roman"/>
          <w:sz w:val="20"/>
          <w:szCs w:val="20"/>
        </w:rPr>
        <w:t>It is certain that several who are especially interested in having the quarrel settled can e</w:t>
      </w:r>
      <w:r w:rsidR="005021A1" w:rsidRPr="002B2350">
        <w:rPr>
          <w:rFonts w:cs="Times New Roman"/>
          <w:sz w:val="20"/>
          <w:szCs w:val="20"/>
        </w:rPr>
        <w:t>n</w:t>
      </w:r>
      <w:r w:rsidR="005021A1" w:rsidRPr="002B2350">
        <w:rPr>
          <w:rFonts w:cs="Times New Roman"/>
          <w:sz w:val="20"/>
          <w:szCs w:val="20"/>
        </w:rPr>
        <w:t>ter a pact to co-operate in bringing together the combatants, and prescribe to one another how far each of them may join in the war. In which case it is required that no one of the</w:t>
      </w:r>
      <w:r w:rsidRPr="002B2350">
        <w:rPr>
          <w:rFonts w:cs="Times New Roman"/>
          <w:sz w:val="20"/>
          <w:szCs w:val="20"/>
        </w:rPr>
        <w:t xml:space="preserve">m is bound by a special treaty </w:t>
      </w:r>
      <w:r w:rsidR="005021A1" w:rsidRPr="002B2350">
        <w:rPr>
          <w:rFonts w:cs="Times New Roman"/>
          <w:sz w:val="20"/>
          <w:szCs w:val="20"/>
        </w:rPr>
        <w:t>to give aid to either of the combatants in case of war. […] Two or mo</w:t>
      </w:r>
      <w:r w:rsidRPr="002B2350">
        <w:rPr>
          <w:rFonts w:cs="Times New Roman"/>
          <w:sz w:val="20"/>
          <w:szCs w:val="20"/>
        </w:rPr>
        <w:t>re whose interest it is for the</w:t>
      </w:r>
      <w:r w:rsidR="005021A1" w:rsidRPr="002B2350">
        <w:rPr>
          <w:rFonts w:cs="Times New Roman"/>
          <w:sz w:val="20"/>
          <w:szCs w:val="20"/>
        </w:rPr>
        <w:t xml:space="preserve"> war to cease, upon weighing the cases of both sides, may agree on what terms they feel peace can be most fairly secured; and then they can o</w:t>
      </w:r>
      <w:r w:rsidR="005021A1" w:rsidRPr="002B2350">
        <w:rPr>
          <w:rFonts w:cs="Times New Roman"/>
          <w:sz w:val="20"/>
          <w:szCs w:val="20"/>
        </w:rPr>
        <w:t>f</w:t>
      </w:r>
      <w:r w:rsidR="005021A1" w:rsidRPr="002B2350">
        <w:rPr>
          <w:rFonts w:cs="Times New Roman"/>
          <w:sz w:val="20"/>
          <w:szCs w:val="20"/>
        </w:rPr>
        <w:t>fer these terms to the warring parties with a threat against him who refuses peace on those terms, that they are ready to join arms with him who accepts them […]. [S]ince by natural law a man is able to join arms with him who feels that an injury is being done him, esp</w:t>
      </w:r>
      <w:r w:rsidR="005021A1" w:rsidRPr="002B2350">
        <w:rPr>
          <w:rFonts w:cs="Times New Roman"/>
          <w:sz w:val="20"/>
          <w:szCs w:val="20"/>
        </w:rPr>
        <w:t>e</w:t>
      </w:r>
      <w:r w:rsidR="005021A1" w:rsidRPr="002B2350">
        <w:rPr>
          <w:rFonts w:cs="Times New Roman"/>
          <w:sz w:val="20"/>
          <w:szCs w:val="20"/>
        </w:rPr>
        <w:t>cially when such an injury will entail some damage to himself as well, by such a method he openly declares the he is desirous of equity and peace, because he himself wants others to come to fair terms, and is unwilling to go to war before the other has r</w:t>
      </w:r>
      <w:r w:rsidR="005021A1" w:rsidRPr="002B2350">
        <w:rPr>
          <w:rFonts w:cs="Times New Roman"/>
          <w:sz w:val="20"/>
          <w:szCs w:val="20"/>
        </w:rPr>
        <w:t>e</w:t>
      </w:r>
      <w:r w:rsidR="005021A1" w:rsidRPr="002B2350">
        <w:rPr>
          <w:rFonts w:cs="Times New Roman"/>
          <w:sz w:val="20"/>
          <w:szCs w:val="20"/>
        </w:rPr>
        <w:t>jected a friendly way of compromising in the quarrel.</w:t>
      </w:r>
      <w:r w:rsidRPr="002B2350">
        <w:rPr>
          <w:rFonts w:cs="Times New Roman"/>
          <w:sz w:val="20"/>
          <w:szCs w:val="20"/>
        </w:rPr>
        <w:t>”</w:t>
      </w:r>
      <w:r w:rsidR="005021A1" w:rsidRPr="002B2350">
        <w:rPr>
          <w:rStyle w:val="Funotenzeichen"/>
          <w:rFonts w:cs="Times New Roman"/>
          <w:sz w:val="20"/>
          <w:szCs w:val="20"/>
        </w:rPr>
        <w:footnoteReference w:id="22"/>
      </w:r>
      <w:r w:rsidR="005021A1" w:rsidRPr="002B2350">
        <w:rPr>
          <w:rFonts w:cs="Times New Roman"/>
          <w:sz w:val="20"/>
          <w:szCs w:val="20"/>
        </w:rPr>
        <w:t xml:space="preserve"> </w:t>
      </w:r>
    </w:p>
    <w:p w14:paraId="782767DF" w14:textId="77777777" w:rsidR="005021A1" w:rsidRPr="002B2350" w:rsidRDefault="005021A1" w:rsidP="002B2350">
      <w:pPr>
        <w:spacing w:line="360" w:lineRule="auto"/>
        <w:jc w:val="both"/>
        <w:rPr>
          <w:rFonts w:cs="Times New Roman"/>
        </w:rPr>
      </w:pPr>
      <w:r w:rsidRPr="002B2350">
        <w:rPr>
          <w:rFonts w:cs="Times New Roman"/>
        </w:rPr>
        <w:tab/>
      </w:r>
    </w:p>
    <w:p w14:paraId="1AC8BB78" w14:textId="77777777" w:rsidR="005021A1" w:rsidRPr="002B2350" w:rsidRDefault="005021A1" w:rsidP="002B2350">
      <w:pPr>
        <w:spacing w:line="360" w:lineRule="auto"/>
        <w:ind w:firstLine="397"/>
        <w:jc w:val="both"/>
        <w:rPr>
          <w:rFonts w:cs="Times New Roman"/>
        </w:rPr>
      </w:pPr>
      <w:r w:rsidRPr="002B2350">
        <w:rPr>
          <w:rFonts w:cs="Times New Roman"/>
        </w:rPr>
        <w:t>A second prominent argument for the right of armed mediation is found in a group of se</w:t>
      </w:r>
      <w:r w:rsidRPr="002B2350">
        <w:rPr>
          <w:rFonts w:cs="Times New Roman"/>
        </w:rPr>
        <w:t>v</w:t>
      </w:r>
      <w:r w:rsidRPr="002B2350">
        <w:rPr>
          <w:rFonts w:cs="Times New Roman"/>
        </w:rPr>
        <w:t>enteenth-century peace treaties. Here, the complex relation between mediation and peace guarantees becomes relevant. Clearly, mediation and peace guarantees were seen as separate institutions of the law of nations, as documented by the fact that the duties of a mediator were not necessarily tied to the duties of a peace guarantor. For example, the tre</w:t>
      </w:r>
      <w:r w:rsidR="007E563F">
        <w:rPr>
          <w:rFonts w:cs="Times New Roman"/>
        </w:rPr>
        <w:t>aties of Nijmegen (1678/79</w:t>
      </w:r>
      <w:r w:rsidR="009C5C91">
        <w:rPr>
          <w:rFonts w:cs="Times New Roman"/>
        </w:rPr>
        <w:t xml:space="preserve">) and </w:t>
      </w:r>
      <w:r w:rsidR="00065369">
        <w:rPr>
          <w:rFonts w:cs="Times New Roman"/>
        </w:rPr>
        <w:t>Rijswijk</w:t>
      </w:r>
      <w:r w:rsidR="009C5C91">
        <w:rPr>
          <w:rFonts w:cs="Times New Roman"/>
        </w:rPr>
        <w:t xml:space="preserve"> (1697</w:t>
      </w:r>
      <w:r w:rsidRPr="002B2350">
        <w:rPr>
          <w:rFonts w:cs="Times New Roman"/>
        </w:rPr>
        <w:t>) explicitly left it to the discretion of the powers acting as medi</w:t>
      </w:r>
      <w:r w:rsidRPr="002B2350">
        <w:rPr>
          <w:rFonts w:cs="Times New Roman"/>
        </w:rPr>
        <w:t>a</w:t>
      </w:r>
      <w:r w:rsidRPr="002B2350">
        <w:rPr>
          <w:rFonts w:cs="Times New Roman"/>
        </w:rPr>
        <w:t>tors to back up or not to back up the peace treaty with a peace guarantee.</w:t>
      </w:r>
      <w:r w:rsidRPr="002B2350">
        <w:rPr>
          <w:rStyle w:val="Funotenzeichen"/>
          <w:rFonts w:cs="Times New Roman"/>
        </w:rPr>
        <w:footnoteReference w:id="23"/>
      </w:r>
      <w:r w:rsidRPr="002B2350">
        <w:rPr>
          <w:rFonts w:cs="Times New Roman"/>
        </w:rPr>
        <w:t xml:space="preserve"> </w:t>
      </w:r>
      <w:r w:rsidR="00156ADF">
        <w:rPr>
          <w:rFonts w:cs="Times New Roman"/>
        </w:rPr>
        <w:t>Still,</w:t>
      </w:r>
      <w:r w:rsidRPr="002B2350">
        <w:rPr>
          <w:rFonts w:cs="Times New Roman"/>
        </w:rPr>
        <w:t xml:space="preserve"> although </w:t>
      </w:r>
      <w:r w:rsidR="00156ADF">
        <w:rPr>
          <w:rFonts w:cs="Times New Roman"/>
        </w:rPr>
        <w:t>the institution of a guarantor is</w:t>
      </w:r>
      <w:r w:rsidRPr="002B2350">
        <w:rPr>
          <w:rFonts w:cs="Times New Roman"/>
        </w:rPr>
        <w:t xml:space="preserve"> independent of the institution of a mediator, accepting the duties of a guarantor also has legal co</w:t>
      </w:r>
      <w:r w:rsidRPr="002B2350">
        <w:rPr>
          <w:rFonts w:cs="Times New Roman"/>
        </w:rPr>
        <w:t>n</w:t>
      </w:r>
      <w:r w:rsidRPr="002B2350">
        <w:rPr>
          <w:rFonts w:cs="Times New Roman"/>
        </w:rPr>
        <w:t xml:space="preserve">sequences with respect to the role of mediation.  </w:t>
      </w:r>
    </w:p>
    <w:p w14:paraId="21CC9BF9" w14:textId="77777777" w:rsidR="00E15DFB" w:rsidRDefault="005021A1" w:rsidP="002B2350">
      <w:pPr>
        <w:spacing w:line="360" w:lineRule="auto"/>
        <w:ind w:firstLine="397"/>
        <w:jc w:val="both"/>
        <w:rPr>
          <w:rFonts w:cs="Times New Roman"/>
        </w:rPr>
      </w:pPr>
      <w:r w:rsidRPr="002B2350">
        <w:rPr>
          <w:rFonts w:cs="Times New Roman"/>
        </w:rPr>
        <w:t>This connection is spelled out in two early modern tracts about peace brokering. For e</w:t>
      </w:r>
      <w:r w:rsidRPr="002B2350">
        <w:rPr>
          <w:rFonts w:cs="Times New Roman"/>
        </w:rPr>
        <w:t>x</w:t>
      </w:r>
      <w:r w:rsidRPr="002B2350">
        <w:rPr>
          <w:rFonts w:cs="Times New Roman"/>
        </w:rPr>
        <w:t xml:space="preserve">ample, a dissertation </w:t>
      </w:r>
      <w:r w:rsidRPr="002B2350">
        <w:rPr>
          <w:rFonts w:cs="Times New Roman"/>
          <w:i/>
          <w:iCs/>
        </w:rPr>
        <w:t>On Peace Guarantee</w:t>
      </w:r>
      <w:r w:rsidRPr="002B2350">
        <w:rPr>
          <w:rFonts w:cs="Times New Roman"/>
        </w:rPr>
        <w:t xml:space="preserve"> defended by Daniel von Stephani under the dire</w:t>
      </w:r>
      <w:r w:rsidRPr="002B2350">
        <w:rPr>
          <w:rFonts w:cs="Times New Roman"/>
        </w:rPr>
        <w:t>c</w:t>
      </w:r>
      <w:r w:rsidRPr="002B2350">
        <w:rPr>
          <w:rFonts w:cs="Times New Roman"/>
        </w:rPr>
        <w:t>tion of the prominent jurist Heinrich von Cocceji (1644-1719)</w:t>
      </w:r>
      <w:r w:rsidRPr="002B2350">
        <w:rPr>
          <w:rStyle w:val="Funotenzeichen"/>
          <w:rFonts w:cs="Times New Roman"/>
        </w:rPr>
        <w:footnoteReference w:id="24"/>
      </w:r>
      <w:r w:rsidRPr="002B2350">
        <w:rPr>
          <w:rFonts w:cs="Times New Roman"/>
        </w:rPr>
        <w:t xml:space="preserve"> puts it as follows: “Another question is whether a mediator can provide a guarantee? I answer: He cannot do this accor</w:t>
      </w:r>
      <w:r w:rsidRPr="002B2350">
        <w:rPr>
          <w:rFonts w:cs="Times New Roman"/>
        </w:rPr>
        <w:t>d</w:t>
      </w:r>
      <w:r w:rsidRPr="002B2350">
        <w:rPr>
          <w:rFonts w:cs="Times New Roman"/>
        </w:rPr>
        <w:t>ing to the law of peace but he can do</w:t>
      </w:r>
      <w:r w:rsidR="00E851A3">
        <w:rPr>
          <w:rFonts w:cs="Times New Roman"/>
        </w:rPr>
        <w:t xml:space="preserve"> it according to the law of war […].</w:t>
      </w:r>
      <w:r w:rsidRPr="002B2350">
        <w:rPr>
          <w:rFonts w:cs="Times New Roman"/>
        </w:rPr>
        <w:t>”</w:t>
      </w:r>
      <w:r w:rsidRPr="002B2350">
        <w:rPr>
          <w:rStyle w:val="Funotenzeichen"/>
          <w:rFonts w:cs="Times New Roman"/>
        </w:rPr>
        <w:footnoteReference w:id="25"/>
      </w:r>
      <w:r w:rsidRPr="002B2350">
        <w:rPr>
          <w:rFonts w:cs="Times New Roman"/>
        </w:rPr>
        <w:t xml:space="preserve"> As the authors a</w:t>
      </w:r>
      <w:r w:rsidRPr="002B2350">
        <w:rPr>
          <w:rFonts w:cs="Times New Roman"/>
        </w:rPr>
        <w:t>r</w:t>
      </w:r>
      <w:r w:rsidRPr="002B2350">
        <w:rPr>
          <w:rFonts w:cs="Times New Roman"/>
        </w:rPr>
        <w:t>gue, this is so because the violati</w:t>
      </w:r>
      <w:r w:rsidR="00E15DFB">
        <w:rPr>
          <w:rFonts w:cs="Times New Roman"/>
        </w:rPr>
        <w:t xml:space="preserve">on of the peace contract gives </w:t>
      </w:r>
      <w:r w:rsidRPr="002B2350">
        <w:rPr>
          <w:rFonts w:cs="Times New Roman"/>
        </w:rPr>
        <w:t>a just cause of war.</w:t>
      </w:r>
      <w:r w:rsidRPr="002B2350">
        <w:rPr>
          <w:rStyle w:val="Funotenzeichen"/>
          <w:rFonts w:cs="Times New Roman"/>
        </w:rPr>
        <w:footnoteReference w:id="26"/>
      </w:r>
      <w:r w:rsidRPr="002B2350">
        <w:rPr>
          <w:rFonts w:cs="Times New Roman"/>
        </w:rPr>
        <w:t xml:space="preserve"> Similarly, </w:t>
      </w:r>
      <w:r w:rsidR="002845CA">
        <w:rPr>
          <w:rFonts w:cs="Times New Roman"/>
        </w:rPr>
        <w:t>a dissertation on</w:t>
      </w:r>
      <w:r w:rsidRPr="002B2350">
        <w:rPr>
          <w:rFonts w:cs="Times New Roman"/>
        </w:rPr>
        <w:t xml:space="preserve"> </w:t>
      </w:r>
      <w:r w:rsidRPr="002B2350">
        <w:rPr>
          <w:rFonts w:cs="Times New Roman"/>
          <w:i/>
          <w:iCs/>
        </w:rPr>
        <w:t xml:space="preserve">On Prudence with Respect to the Office of the Peacemaker </w:t>
      </w:r>
      <w:r w:rsidR="00E04F35" w:rsidRPr="002B2350">
        <w:rPr>
          <w:rFonts w:cs="Times New Roman"/>
          <w:i/>
          <w:iCs/>
        </w:rPr>
        <w:t>between</w:t>
      </w:r>
      <w:r w:rsidRPr="002B2350">
        <w:rPr>
          <w:rFonts w:cs="Times New Roman"/>
          <w:i/>
          <w:iCs/>
        </w:rPr>
        <w:t xml:space="preserve"> Nations</w:t>
      </w:r>
      <w:r w:rsidRPr="002B2350">
        <w:rPr>
          <w:rFonts w:cs="Times New Roman"/>
        </w:rPr>
        <w:t xml:space="preserve"> </w:t>
      </w:r>
      <w:r w:rsidR="002845CA">
        <w:rPr>
          <w:rFonts w:cs="Times New Roman"/>
        </w:rPr>
        <w:lastRenderedPageBreak/>
        <w:t xml:space="preserve">defended by </w:t>
      </w:r>
      <w:r w:rsidR="00823866">
        <w:rPr>
          <w:rFonts w:cs="Times New Roman"/>
        </w:rPr>
        <w:t xml:space="preserve">Friedrich </w:t>
      </w:r>
      <w:r w:rsidR="002845CA">
        <w:rPr>
          <w:rFonts w:cs="Times New Roman"/>
        </w:rPr>
        <w:t>Wilhelm von Walrave</w:t>
      </w:r>
      <w:r w:rsidR="00823866">
        <w:rPr>
          <w:rFonts w:cs="Times New Roman"/>
        </w:rPr>
        <w:t xml:space="preserve"> and Johannes Christophorus von Schleinitz</w:t>
      </w:r>
      <w:r w:rsidR="002845CA">
        <w:rPr>
          <w:rFonts w:cs="Times New Roman"/>
        </w:rPr>
        <w:t xml:space="preserve"> u</w:t>
      </w:r>
      <w:r w:rsidR="002845CA">
        <w:rPr>
          <w:rFonts w:cs="Times New Roman"/>
        </w:rPr>
        <w:t>n</w:t>
      </w:r>
      <w:r w:rsidR="002845CA">
        <w:rPr>
          <w:rFonts w:cs="Times New Roman"/>
        </w:rPr>
        <w:t>der the d</w:t>
      </w:r>
      <w:r w:rsidR="002845CA">
        <w:rPr>
          <w:rFonts w:cs="Times New Roman"/>
        </w:rPr>
        <w:t>i</w:t>
      </w:r>
      <w:r w:rsidR="002845CA">
        <w:rPr>
          <w:rFonts w:cs="Times New Roman"/>
        </w:rPr>
        <w:t xml:space="preserve">rection of </w:t>
      </w:r>
      <w:r w:rsidR="002845CA" w:rsidRPr="002B2350">
        <w:rPr>
          <w:rFonts w:cs="Times New Roman"/>
        </w:rPr>
        <w:t>Gottlieb Samuel Treuer (1683-1743)</w:t>
      </w:r>
      <w:r w:rsidR="002845CA" w:rsidRPr="002B2350">
        <w:rPr>
          <w:rStyle w:val="Funotenzeichen"/>
          <w:rFonts w:cs="Times New Roman"/>
        </w:rPr>
        <w:footnoteReference w:id="27"/>
      </w:r>
      <w:r w:rsidR="002845CA" w:rsidRPr="002B2350">
        <w:rPr>
          <w:rFonts w:cs="Times New Roman"/>
        </w:rPr>
        <w:t xml:space="preserve"> </w:t>
      </w:r>
      <w:r w:rsidR="00E15DFB">
        <w:rPr>
          <w:rFonts w:cs="Times New Roman"/>
        </w:rPr>
        <w:t xml:space="preserve">explains: </w:t>
      </w:r>
    </w:p>
    <w:p w14:paraId="41886DD5" w14:textId="77777777" w:rsidR="00E15DFB" w:rsidRDefault="00E15DFB" w:rsidP="00E15DFB">
      <w:pPr>
        <w:spacing w:line="360" w:lineRule="auto"/>
        <w:jc w:val="both"/>
        <w:rPr>
          <w:rFonts w:cs="Times New Roman"/>
        </w:rPr>
      </w:pPr>
    </w:p>
    <w:p w14:paraId="29EA5E12" w14:textId="77777777" w:rsidR="00E15DFB" w:rsidRPr="00E15DFB" w:rsidRDefault="00E15DFB" w:rsidP="00E15DFB">
      <w:pPr>
        <w:spacing w:line="360" w:lineRule="auto"/>
        <w:jc w:val="both"/>
        <w:rPr>
          <w:rFonts w:cs="Times New Roman"/>
          <w:sz w:val="20"/>
          <w:szCs w:val="20"/>
        </w:rPr>
      </w:pPr>
      <w:r w:rsidRPr="00E15DFB">
        <w:rPr>
          <w:rFonts w:cs="Times New Roman"/>
          <w:sz w:val="20"/>
          <w:szCs w:val="20"/>
        </w:rPr>
        <w:t>“T</w:t>
      </w:r>
      <w:r w:rsidR="005021A1" w:rsidRPr="00E15DFB">
        <w:rPr>
          <w:rFonts w:cs="Times New Roman"/>
          <w:sz w:val="20"/>
          <w:szCs w:val="20"/>
        </w:rPr>
        <w:t>he justice of such armed mediation rests on the right defined by previous contracts to resume arms on the o</w:t>
      </w:r>
      <w:r w:rsidR="005021A1" w:rsidRPr="00E15DFB">
        <w:rPr>
          <w:rFonts w:cs="Times New Roman"/>
          <w:sz w:val="20"/>
          <w:szCs w:val="20"/>
        </w:rPr>
        <w:t>c</w:t>
      </w:r>
      <w:r w:rsidR="005021A1" w:rsidRPr="00E15DFB">
        <w:rPr>
          <w:rFonts w:cs="Times New Roman"/>
          <w:sz w:val="20"/>
          <w:szCs w:val="20"/>
        </w:rPr>
        <w:t>casion of a breach of peace and to protect oneself and one’s allies against damages that arise from the misuse of warfare by one pa</w:t>
      </w:r>
      <w:r w:rsidR="005021A1" w:rsidRPr="00E15DFB">
        <w:rPr>
          <w:rFonts w:cs="Times New Roman"/>
          <w:sz w:val="20"/>
          <w:szCs w:val="20"/>
        </w:rPr>
        <w:t>r</w:t>
      </w:r>
      <w:r w:rsidR="005021A1" w:rsidRPr="00E15DFB">
        <w:rPr>
          <w:rFonts w:cs="Times New Roman"/>
          <w:sz w:val="20"/>
          <w:szCs w:val="20"/>
        </w:rPr>
        <w:t>ty against the other.”</w:t>
      </w:r>
      <w:r w:rsidR="005021A1" w:rsidRPr="00E15DFB">
        <w:rPr>
          <w:rStyle w:val="Funotenzeichen"/>
          <w:rFonts w:cs="Times New Roman"/>
          <w:sz w:val="20"/>
          <w:szCs w:val="20"/>
        </w:rPr>
        <w:footnoteReference w:id="28"/>
      </w:r>
      <w:r w:rsidR="005021A1" w:rsidRPr="00E15DFB">
        <w:rPr>
          <w:rFonts w:cs="Times New Roman"/>
          <w:sz w:val="20"/>
          <w:szCs w:val="20"/>
        </w:rPr>
        <w:t xml:space="preserve"> </w:t>
      </w:r>
    </w:p>
    <w:p w14:paraId="1F279C47" w14:textId="77777777" w:rsidR="00E15DFB" w:rsidRDefault="00E15DFB" w:rsidP="00E15DFB">
      <w:pPr>
        <w:spacing w:line="360" w:lineRule="auto"/>
        <w:jc w:val="both"/>
        <w:rPr>
          <w:rFonts w:cs="Times New Roman"/>
        </w:rPr>
      </w:pPr>
    </w:p>
    <w:p w14:paraId="4DA30B10" w14:textId="77777777" w:rsidR="005021A1" w:rsidRPr="002B2350" w:rsidRDefault="005021A1" w:rsidP="00E15DFB">
      <w:pPr>
        <w:spacing w:line="360" w:lineRule="auto"/>
        <w:jc w:val="both"/>
        <w:rPr>
          <w:rFonts w:cs="Times New Roman"/>
        </w:rPr>
      </w:pPr>
      <w:r w:rsidRPr="002B2350">
        <w:rPr>
          <w:rFonts w:cs="Times New Roman"/>
        </w:rPr>
        <w:t xml:space="preserve">These passages indicate that, once a peace guarantee was given, a new legal connection with mediation was understood to arise. This is so because typically the sanctions announced by peace guarantors was not simply military intervention against those parties who breach the treaty but rather a commitment to act as a mediator in the newly arising conflict, with the threat of military intervention as a last resort. In this sense, giving a peace guarantee typically involved the consent to acting as a </w:t>
      </w:r>
      <w:r w:rsidRPr="002B2350">
        <w:rPr>
          <w:rFonts w:cs="Times New Roman"/>
          <w:i/>
          <w:iCs/>
        </w:rPr>
        <w:t xml:space="preserve">mediator armatus </w:t>
      </w:r>
      <w:r w:rsidRPr="002B2350">
        <w:rPr>
          <w:rFonts w:cs="Times New Roman"/>
        </w:rPr>
        <w:t>in the case of the breach of the peace treaty. Hence, having given a peace guarantee is the second circu</w:t>
      </w:r>
      <w:r w:rsidRPr="002B2350">
        <w:rPr>
          <w:rFonts w:cs="Times New Roman"/>
        </w:rPr>
        <w:t>m</w:t>
      </w:r>
      <w:r w:rsidRPr="002B2350">
        <w:rPr>
          <w:rFonts w:cs="Times New Roman"/>
        </w:rPr>
        <w:t>stance that gives rise to the right of acting as an armed mediator in cases of violations of a peace contract. This is the se</w:t>
      </w:r>
      <w:r w:rsidRPr="002B2350">
        <w:rPr>
          <w:rFonts w:cs="Times New Roman"/>
        </w:rPr>
        <w:t>c</w:t>
      </w:r>
      <w:r w:rsidRPr="002B2350">
        <w:rPr>
          <w:rFonts w:cs="Times New Roman"/>
        </w:rPr>
        <w:t xml:space="preserve">ond sense in which the “justice of armed mediation” becomes relevant.  </w:t>
      </w:r>
    </w:p>
    <w:p w14:paraId="02EC324B" w14:textId="77777777" w:rsidR="005021A1" w:rsidRPr="002B2350" w:rsidRDefault="00746600" w:rsidP="002B2350">
      <w:pPr>
        <w:spacing w:line="360" w:lineRule="auto"/>
        <w:jc w:val="both"/>
        <w:rPr>
          <w:rFonts w:cs="Times New Roman"/>
        </w:rPr>
      </w:pPr>
      <w:r>
        <w:rPr>
          <w:rFonts w:cs="Times New Roman"/>
        </w:rPr>
        <w:tab/>
        <w:t>S</w:t>
      </w:r>
      <w:r w:rsidR="005021A1" w:rsidRPr="002B2350">
        <w:rPr>
          <w:rFonts w:cs="Times New Roman"/>
        </w:rPr>
        <w:t>ome historical documents indicate that armed mediation based on a former peace gua</w:t>
      </w:r>
      <w:r w:rsidR="005021A1" w:rsidRPr="002B2350">
        <w:rPr>
          <w:rFonts w:cs="Times New Roman"/>
        </w:rPr>
        <w:t>r</w:t>
      </w:r>
      <w:r w:rsidR="005021A1" w:rsidRPr="002B2350">
        <w:rPr>
          <w:rFonts w:cs="Times New Roman"/>
        </w:rPr>
        <w:t>antee was understood to be bound</w:t>
      </w:r>
      <w:r>
        <w:rPr>
          <w:rFonts w:cs="Times New Roman"/>
        </w:rPr>
        <w:t xml:space="preserve"> in this way</w:t>
      </w:r>
      <w:r w:rsidR="005021A1" w:rsidRPr="002B2350">
        <w:rPr>
          <w:rFonts w:cs="Times New Roman"/>
        </w:rPr>
        <w:t xml:space="preserve"> to criteria of justice. For example,</w:t>
      </w:r>
      <w:r>
        <w:rPr>
          <w:rFonts w:cs="Times New Roman"/>
        </w:rPr>
        <w:t xml:space="preserve"> Treuer points out that</w:t>
      </w:r>
      <w:r w:rsidR="005021A1" w:rsidRPr="002B2350">
        <w:rPr>
          <w:rFonts w:cs="Times New Roman"/>
        </w:rPr>
        <w:t xml:space="preserve"> the peace guarantee that formed part of the Peace of Oliva (1660) formulated the fo</w:t>
      </w:r>
      <w:r w:rsidR="005021A1" w:rsidRPr="002B2350">
        <w:rPr>
          <w:rFonts w:cs="Times New Roman"/>
        </w:rPr>
        <w:t>l</w:t>
      </w:r>
      <w:r w:rsidR="005021A1" w:rsidRPr="002B2350">
        <w:rPr>
          <w:rFonts w:cs="Times New Roman"/>
        </w:rPr>
        <w:t xml:space="preserve">lowing obligation: </w:t>
      </w:r>
    </w:p>
    <w:p w14:paraId="3A5213AE" w14:textId="77777777" w:rsidR="005021A1" w:rsidRPr="002B2350" w:rsidRDefault="005021A1" w:rsidP="00B664DA">
      <w:pPr>
        <w:spacing w:line="360" w:lineRule="auto"/>
        <w:jc w:val="both"/>
        <w:rPr>
          <w:rFonts w:cs="Times New Roman"/>
        </w:rPr>
      </w:pPr>
    </w:p>
    <w:p w14:paraId="79C9C909" w14:textId="77777777" w:rsidR="005021A1" w:rsidRPr="002B2350" w:rsidRDefault="002B2350" w:rsidP="002B2350">
      <w:pPr>
        <w:spacing w:line="360" w:lineRule="auto"/>
        <w:jc w:val="both"/>
        <w:rPr>
          <w:rFonts w:cs="Times New Roman"/>
          <w:sz w:val="20"/>
          <w:szCs w:val="20"/>
        </w:rPr>
      </w:pPr>
      <w:r w:rsidRPr="002B2350">
        <w:rPr>
          <w:rFonts w:cs="Times New Roman"/>
          <w:sz w:val="20"/>
          <w:szCs w:val="20"/>
        </w:rPr>
        <w:t>“</w:t>
      </w:r>
      <w:r w:rsidR="005021A1" w:rsidRPr="002B2350">
        <w:rPr>
          <w:rFonts w:cs="Times New Roman"/>
          <w:sz w:val="20"/>
          <w:szCs w:val="20"/>
        </w:rPr>
        <w:t xml:space="preserve">But if it should happen that one party is subject to a grave injustice, apart from armed force, </w:t>
      </w:r>
      <w:r w:rsidR="00B664DA">
        <w:rPr>
          <w:rFonts w:cs="Times New Roman"/>
          <w:sz w:val="20"/>
          <w:szCs w:val="20"/>
        </w:rPr>
        <w:t>from one or more than one of the other</w:t>
      </w:r>
      <w:r w:rsidR="005021A1" w:rsidRPr="002B2350">
        <w:rPr>
          <w:rFonts w:cs="Times New Roman"/>
          <w:sz w:val="20"/>
          <w:szCs w:val="20"/>
        </w:rPr>
        <w:t xml:space="preserve"> parties, it is not allowed to the party that is injured in this way to have recourse</w:t>
      </w:r>
      <w:r w:rsidR="00B664DA">
        <w:rPr>
          <w:rFonts w:cs="Times New Roman"/>
          <w:sz w:val="20"/>
          <w:szCs w:val="20"/>
        </w:rPr>
        <w:t xml:space="preserve"> to armed force immediately; rather,</w:t>
      </w:r>
      <w:r w:rsidR="005021A1" w:rsidRPr="002B2350">
        <w:rPr>
          <w:rFonts w:cs="Times New Roman"/>
          <w:sz w:val="20"/>
          <w:szCs w:val="20"/>
        </w:rPr>
        <w:t xml:space="preserve"> in the first instance an am</w:t>
      </w:r>
      <w:r w:rsidR="005021A1" w:rsidRPr="002B2350">
        <w:rPr>
          <w:rFonts w:cs="Times New Roman"/>
          <w:sz w:val="20"/>
          <w:szCs w:val="20"/>
        </w:rPr>
        <w:t>i</w:t>
      </w:r>
      <w:r w:rsidR="005021A1" w:rsidRPr="002B2350">
        <w:rPr>
          <w:rFonts w:cs="Times New Roman"/>
          <w:sz w:val="20"/>
          <w:szCs w:val="20"/>
        </w:rPr>
        <w:t>cable solution of the controversy has to be sought, in such a way that</w:t>
      </w:r>
      <w:r w:rsidR="003C1876">
        <w:rPr>
          <w:rFonts w:cs="Times New Roman"/>
          <w:sz w:val="20"/>
          <w:szCs w:val="20"/>
        </w:rPr>
        <w:t>,</w:t>
      </w:r>
      <w:r w:rsidR="005021A1" w:rsidRPr="002B2350">
        <w:rPr>
          <w:rFonts w:cs="Times New Roman"/>
          <w:sz w:val="20"/>
          <w:szCs w:val="20"/>
        </w:rPr>
        <w:t xml:space="preserve"> if the injured party cannot  reach an agreement with the violating party immediately, it admonishes the other part</w:t>
      </w:r>
      <w:r w:rsidR="00746600">
        <w:rPr>
          <w:rFonts w:cs="Times New Roman"/>
          <w:sz w:val="20"/>
          <w:szCs w:val="20"/>
        </w:rPr>
        <w:t>i</w:t>
      </w:r>
      <w:r w:rsidR="003C1876">
        <w:rPr>
          <w:rFonts w:cs="Times New Roman"/>
          <w:sz w:val="20"/>
          <w:szCs w:val="20"/>
        </w:rPr>
        <w:t>es of the peace to establish</w:t>
      </w:r>
      <w:r w:rsidR="005021A1" w:rsidRPr="002B2350">
        <w:rPr>
          <w:rFonts w:cs="Times New Roman"/>
          <w:sz w:val="20"/>
          <w:szCs w:val="20"/>
        </w:rPr>
        <w:t xml:space="preserve"> a general commission </w:t>
      </w:r>
      <w:r w:rsidR="003C1876">
        <w:rPr>
          <w:rFonts w:cs="Times New Roman"/>
          <w:sz w:val="20"/>
          <w:szCs w:val="20"/>
        </w:rPr>
        <w:t xml:space="preserve">in the name </w:t>
      </w:r>
      <w:r w:rsidR="005021A1" w:rsidRPr="002B2350">
        <w:rPr>
          <w:rFonts w:cs="Times New Roman"/>
          <w:sz w:val="20"/>
          <w:szCs w:val="20"/>
        </w:rPr>
        <w:t>of al</w:t>
      </w:r>
      <w:r w:rsidR="003C1876">
        <w:rPr>
          <w:rFonts w:cs="Times New Roman"/>
          <w:sz w:val="20"/>
          <w:szCs w:val="20"/>
        </w:rPr>
        <w:t>l parti</w:t>
      </w:r>
      <w:r w:rsidR="00B664DA">
        <w:rPr>
          <w:rFonts w:cs="Times New Roman"/>
          <w:sz w:val="20"/>
          <w:szCs w:val="20"/>
        </w:rPr>
        <w:t>es</w:t>
      </w:r>
      <w:r w:rsidR="005021A1" w:rsidRPr="002B2350">
        <w:rPr>
          <w:rFonts w:cs="Times New Roman"/>
          <w:sz w:val="20"/>
          <w:szCs w:val="20"/>
        </w:rPr>
        <w:t xml:space="preserve"> […]</w:t>
      </w:r>
      <w:r w:rsidR="00B664DA">
        <w:rPr>
          <w:rFonts w:cs="Times New Roman"/>
          <w:sz w:val="20"/>
          <w:szCs w:val="20"/>
        </w:rPr>
        <w:t xml:space="preserve">, </w:t>
      </w:r>
      <w:r w:rsidR="005021A1" w:rsidRPr="002B2350">
        <w:rPr>
          <w:rFonts w:cs="Times New Roman"/>
          <w:sz w:val="20"/>
          <w:szCs w:val="20"/>
        </w:rPr>
        <w:t xml:space="preserve">in which the matter is discussed </w:t>
      </w:r>
      <w:r w:rsidR="003C1876">
        <w:rPr>
          <w:rFonts w:cs="Times New Roman"/>
          <w:sz w:val="20"/>
          <w:szCs w:val="20"/>
        </w:rPr>
        <w:t>by the deputies of all sides</w:t>
      </w:r>
      <w:r w:rsidR="00B664DA">
        <w:rPr>
          <w:rFonts w:cs="Times New Roman"/>
          <w:sz w:val="20"/>
          <w:szCs w:val="20"/>
        </w:rPr>
        <w:t xml:space="preserve"> and, if possible, brought to conclusion</w:t>
      </w:r>
      <w:r w:rsidR="003C1876">
        <w:rPr>
          <w:rFonts w:cs="Times New Roman"/>
          <w:sz w:val="20"/>
          <w:szCs w:val="20"/>
        </w:rPr>
        <w:t xml:space="preserve"> within four or, at most, some more months.</w:t>
      </w:r>
      <w:r w:rsidR="00B664DA">
        <w:rPr>
          <w:rFonts w:cs="Times New Roman"/>
          <w:sz w:val="20"/>
          <w:szCs w:val="20"/>
        </w:rPr>
        <w:t xml:space="preserve"> But if the</w:t>
      </w:r>
      <w:r w:rsidR="005021A1" w:rsidRPr="002B2350">
        <w:rPr>
          <w:rFonts w:cs="Times New Roman"/>
          <w:sz w:val="20"/>
          <w:szCs w:val="20"/>
        </w:rPr>
        <w:t xml:space="preserve"> injuring party </w:t>
      </w:r>
      <w:r w:rsidR="00B664DA">
        <w:rPr>
          <w:rFonts w:cs="Times New Roman"/>
          <w:sz w:val="20"/>
          <w:szCs w:val="20"/>
        </w:rPr>
        <w:t xml:space="preserve">obstinately </w:t>
      </w:r>
      <w:r w:rsidR="005021A1" w:rsidRPr="002B2350">
        <w:rPr>
          <w:rFonts w:cs="Times New Roman"/>
          <w:sz w:val="20"/>
          <w:szCs w:val="20"/>
        </w:rPr>
        <w:t xml:space="preserve">rejects the equitable means that are proposed, then it is allowed to </w:t>
      </w:r>
      <w:r w:rsidR="005021A1" w:rsidRPr="002B2350">
        <w:rPr>
          <w:rFonts w:cs="Times New Roman"/>
          <w:sz w:val="20"/>
          <w:szCs w:val="20"/>
        </w:rPr>
        <w:lastRenderedPageBreak/>
        <w:t>the injured party to preserve its right by force of arms</w:t>
      </w:r>
      <w:r w:rsidR="003C1876">
        <w:rPr>
          <w:rFonts w:cs="Times New Roman"/>
          <w:sz w:val="20"/>
          <w:szCs w:val="20"/>
        </w:rPr>
        <w:t xml:space="preserve"> and</w:t>
      </w:r>
      <w:r w:rsidR="005021A1" w:rsidRPr="002B2350">
        <w:rPr>
          <w:rFonts w:cs="Times New Roman"/>
          <w:sz w:val="20"/>
          <w:szCs w:val="20"/>
        </w:rPr>
        <w:t>, after a legitimate declaration of war</w:t>
      </w:r>
      <w:r w:rsidR="003C1876">
        <w:rPr>
          <w:rFonts w:cs="Times New Roman"/>
          <w:sz w:val="20"/>
          <w:szCs w:val="20"/>
        </w:rPr>
        <w:t>, to wage</w:t>
      </w:r>
      <w:r w:rsidR="005021A1" w:rsidRPr="002B2350">
        <w:rPr>
          <w:rFonts w:cs="Times New Roman"/>
          <w:sz w:val="20"/>
          <w:szCs w:val="20"/>
        </w:rPr>
        <w:t xml:space="preserve"> […]</w:t>
      </w:r>
      <w:r w:rsidR="003C1876">
        <w:rPr>
          <w:rFonts w:cs="Times New Roman"/>
          <w:sz w:val="20"/>
          <w:szCs w:val="20"/>
        </w:rPr>
        <w:t xml:space="preserve"> war against the injuring party</w:t>
      </w:r>
      <w:r w:rsidR="005021A1" w:rsidRPr="002B2350">
        <w:rPr>
          <w:rFonts w:cs="Times New Roman"/>
          <w:sz w:val="20"/>
          <w:szCs w:val="20"/>
        </w:rPr>
        <w:t>.</w:t>
      </w:r>
      <w:r w:rsidRPr="002B2350">
        <w:rPr>
          <w:rFonts w:cs="Times New Roman"/>
          <w:sz w:val="20"/>
          <w:szCs w:val="20"/>
        </w:rPr>
        <w:t>”</w:t>
      </w:r>
      <w:r w:rsidR="00746600" w:rsidRPr="002B2350">
        <w:rPr>
          <w:rStyle w:val="Funotenzeichen"/>
          <w:rFonts w:cs="Times New Roman"/>
        </w:rPr>
        <w:footnoteReference w:id="29"/>
      </w:r>
    </w:p>
    <w:p w14:paraId="4D325268" w14:textId="77777777" w:rsidR="005021A1" w:rsidRPr="002B2350" w:rsidRDefault="005021A1" w:rsidP="002B2350">
      <w:pPr>
        <w:spacing w:line="360" w:lineRule="auto"/>
        <w:jc w:val="both"/>
        <w:rPr>
          <w:rFonts w:cs="Times New Roman"/>
        </w:rPr>
      </w:pPr>
    </w:p>
    <w:p w14:paraId="1E904E9A" w14:textId="77777777" w:rsidR="005021A1" w:rsidRPr="002B2350" w:rsidRDefault="00B664DA" w:rsidP="002B2350">
      <w:pPr>
        <w:spacing w:line="360" w:lineRule="auto"/>
        <w:jc w:val="both"/>
        <w:rPr>
          <w:rFonts w:cs="Times New Roman"/>
        </w:rPr>
      </w:pPr>
      <w:r>
        <w:rPr>
          <w:rFonts w:cs="Times New Roman"/>
        </w:rPr>
        <w:t>The role of the armed mediator</w:t>
      </w:r>
      <w:r w:rsidR="005021A1" w:rsidRPr="002B2350">
        <w:rPr>
          <w:rFonts w:cs="Times New Roman"/>
        </w:rPr>
        <w:t xml:space="preserve"> clearly differs </w:t>
      </w:r>
      <w:r>
        <w:rPr>
          <w:rFonts w:cs="Times New Roman"/>
        </w:rPr>
        <w:t>from the role of the neutral mediator as unde</w:t>
      </w:r>
      <w:r>
        <w:rPr>
          <w:rFonts w:cs="Times New Roman"/>
        </w:rPr>
        <w:t>r</w:t>
      </w:r>
      <w:r>
        <w:rPr>
          <w:rFonts w:cs="Times New Roman"/>
        </w:rPr>
        <w:t>stood by Princen</w:t>
      </w:r>
      <w:r w:rsidR="004A53E8">
        <w:rPr>
          <w:rFonts w:cs="Times New Roman"/>
        </w:rPr>
        <w:t xml:space="preserve"> because the very function of armed mediation is to protect the treaty-based rights of one of the parties in conflict. At the same time, the role of the armed mediator differs also</w:t>
      </w:r>
      <w:r>
        <w:rPr>
          <w:rFonts w:cs="Times New Roman"/>
        </w:rPr>
        <w:t xml:space="preserve"> </w:t>
      </w:r>
      <w:r w:rsidR="005021A1" w:rsidRPr="002B2350">
        <w:rPr>
          <w:rFonts w:cs="Times New Roman"/>
        </w:rPr>
        <w:t xml:space="preserve">from the role of principal mediator as understood by Princen. To be sure, </w:t>
      </w:r>
      <w:r>
        <w:rPr>
          <w:rFonts w:cs="Times New Roman"/>
        </w:rPr>
        <w:t xml:space="preserve">both the threat of just military defense of the injured party and </w:t>
      </w:r>
      <w:r w:rsidR="005021A1" w:rsidRPr="002B2350">
        <w:rPr>
          <w:rFonts w:cs="Times New Roman"/>
        </w:rPr>
        <w:t>the threat of military intervention</w:t>
      </w:r>
      <w:r>
        <w:rPr>
          <w:rFonts w:cs="Times New Roman"/>
        </w:rPr>
        <w:t xml:space="preserve"> through the</w:t>
      </w:r>
      <w:r w:rsidR="005021A1" w:rsidRPr="002B2350">
        <w:rPr>
          <w:rFonts w:cs="Times New Roman"/>
        </w:rPr>
        <w:t xml:space="preserve"> armed mediator</w:t>
      </w:r>
      <w:r>
        <w:rPr>
          <w:rFonts w:cs="Times New Roman"/>
        </w:rPr>
        <w:t xml:space="preserve"> after failed mediation have</w:t>
      </w:r>
      <w:r w:rsidR="005021A1" w:rsidRPr="002B2350">
        <w:rPr>
          <w:rFonts w:cs="Times New Roman"/>
        </w:rPr>
        <w:t xml:space="preserve"> the aim of changing the incentive structure of one (or more) of the parties in co</w:t>
      </w:r>
      <w:r>
        <w:rPr>
          <w:rFonts w:cs="Times New Roman"/>
        </w:rPr>
        <w:t>nflict—avoiding military action</w:t>
      </w:r>
      <w:r w:rsidR="005021A1" w:rsidRPr="002B2350">
        <w:rPr>
          <w:rFonts w:cs="Times New Roman"/>
        </w:rPr>
        <w:t xml:space="preserve"> will play a part in their calculus of interests. But the role of the armed mediator cannot be reduced to such a calculus of inte</w:t>
      </w:r>
      <w:r w:rsidR="005021A1" w:rsidRPr="002B2350">
        <w:rPr>
          <w:rFonts w:cs="Times New Roman"/>
        </w:rPr>
        <w:t>r</w:t>
      </w:r>
      <w:r w:rsidR="005021A1" w:rsidRPr="002B2350">
        <w:rPr>
          <w:rFonts w:cs="Times New Roman"/>
        </w:rPr>
        <w:t>est. This is so for two reasons: (1) the threat of military intervention has to be bound to the criteria of just war—be it the defense of one’s own interests or those of one’s allies against unjust damage, or be it the enforcement of a peace contract. (2) Before resorting to warfare, the armed mediator is bound to pursue medi</w:t>
      </w:r>
      <w:r w:rsidR="005021A1" w:rsidRPr="002B2350">
        <w:rPr>
          <w:rFonts w:cs="Times New Roman"/>
        </w:rPr>
        <w:t>a</w:t>
      </w:r>
      <w:r w:rsidR="005021A1" w:rsidRPr="002B2350">
        <w:rPr>
          <w:rFonts w:cs="Times New Roman"/>
        </w:rPr>
        <w:t>tion which, in turn, has to respect standards of justice or equity. The early modern conception of armed mediation, hence, seems to characte</w:t>
      </w:r>
      <w:r w:rsidR="005021A1" w:rsidRPr="002B2350">
        <w:rPr>
          <w:rFonts w:cs="Times New Roman"/>
        </w:rPr>
        <w:t>r</w:t>
      </w:r>
      <w:r w:rsidR="005021A1" w:rsidRPr="002B2350">
        <w:rPr>
          <w:rFonts w:cs="Times New Roman"/>
        </w:rPr>
        <w:t>ize a third type of mediation in international conflicts</w:t>
      </w:r>
      <w:r>
        <w:rPr>
          <w:rFonts w:cs="Times New Roman"/>
        </w:rPr>
        <w:t xml:space="preserve"> that is entirely overlooked in contemp</w:t>
      </w:r>
      <w:r>
        <w:rPr>
          <w:rFonts w:cs="Times New Roman"/>
        </w:rPr>
        <w:t>o</w:t>
      </w:r>
      <w:r>
        <w:rPr>
          <w:rFonts w:cs="Times New Roman"/>
        </w:rPr>
        <w:t>rary treatments of international conflict resolution</w:t>
      </w:r>
      <w:r w:rsidR="005021A1" w:rsidRPr="002B2350">
        <w:rPr>
          <w:rFonts w:cs="Times New Roman"/>
        </w:rPr>
        <w:t>.</w:t>
      </w:r>
    </w:p>
    <w:p w14:paraId="21243639" w14:textId="77777777" w:rsidR="005021A1" w:rsidRPr="002B2350" w:rsidRDefault="005021A1" w:rsidP="002B2350">
      <w:pPr>
        <w:spacing w:line="360" w:lineRule="auto"/>
        <w:jc w:val="both"/>
        <w:rPr>
          <w:rFonts w:cs="Times New Roman"/>
        </w:rPr>
      </w:pPr>
    </w:p>
    <w:p w14:paraId="0540FF1A" w14:textId="77777777" w:rsidR="005021A1" w:rsidRPr="002B2350" w:rsidRDefault="005021A1" w:rsidP="002B2350">
      <w:pPr>
        <w:spacing w:line="360" w:lineRule="auto"/>
        <w:jc w:val="center"/>
        <w:rPr>
          <w:rFonts w:cs="Times New Roman"/>
        </w:rPr>
      </w:pPr>
      <w:r w:rsidRPr="002B2350">
        <w:rPr>
          <w:rFonts w:cs="Times New Roman"/>
        </w:rPr>
        <w:t>3. Mediation, Justice, and Sovereignty</w:t>
      </w:r>
    </w:p>
    <w:p w14:paraId="29874C7B" w14:textId="77777777" w:rsidR="005021A1" w:rsidRPr="002B2350" w:rsidRDefault="005021A1" w:rsidP="002B2350">
      <w:pPr>
        <w:spacing w:line="360" w:lineRule="auto"/>
        <w:jc w:val="both"/>
        <w:rPr>
          <w:rFonts w:cs="Times New Roman"/>
        </w:rPr>
      </w:pPr>
    </w:p>
    <w:p w14:paraId="468DE1D3" w14:textId="77777777" w:rsidR="005021A1" w:rsidRPr="002B2350" w:rsidRDefault="005021A1" w:rsidP="002B2350">
      <w:pPr>
        <w:spacing w:line="360" w:lineRule="auto"/>
        <w:jc w:val="both"/>
        <w:rPr>
          <w:rFonts w:cs="Times New Roman"/>
        </w:rPr>
      </w:pPr>
      <w:r w:rsidRPr="002B2350">
        <w:rPr>
          <w:rFonts w:cs="Times New Roman"/>
        </w:rPr>
        <w:t>Leibniz never discusses the tasks of mediators in international conflicts in much detail but r</w:t>
      </w:r>
      <w:r w:rsidRPr="002B2350">
        <w:rPr>
          <w:rFonts w:cs="Times New Roman"/>
        </w:rPr>
        <w:t>a</w:t>
      </w:r>
      <w:r w:rsidRPr="002B2350">
        <w:rPr>
          <w:rFonts w:cs="Times New Roman"/>
        </w:rPr>
        <w:t>ther seems to presuppose, and rightly so, that the institution is well-established and well-understood in his time. Still, his remarks about the role of German princes as mediators do add some crucial aspects to the early modern controversy over the right of international m</w:t>
      </w:r>
      <w:r w:rsidRPr="002B2350">
        <w:rPr>
          <w:rFonts w:cs="Times New Roman"/>
        </w:rPr>
        <w:t>e</w:t>
      </w:r>
      <w:r w:rsidRPr="002B2350">
        <w:rPr>
          <w:rFonts w:cs="Times New Roman"/>
        </w:rPr>
        <w:t>diation. These remarks are found in his discussion of the question of whether the minor Ge</w:t>
      </w:r>
      <w:r w:rsidRPr="002B2350">
        <w:rPr>
          <w:rFonts w:cs="Times New Roman"/>
        </w:rPr>
        <w:t>r</w:t>
      </w:r>
      <w:r w:rsidRPr="002B2350">
        <w:rPr>
          <w:rFonts w:cs="Times New Roman"/>
        </w:rPr>
        <w:t xml:space="preserve">man princes have the right to emit ambassadors, a topic to which Leibniz devoted one of his early </w:t>
      </w:r>
      <w:r w:rsidRPr="002B2350">
        <w:rPr>
          <w:rFonts w:cs="Times New Roman"/>
        </w:rPr>
        <w:lastRenderedPageBreak/>
        <w:t xml:space="preserve">political works, </w:t>
      </w:r>
      <w:r w:rsidRPr="002B2350">
        <w:rPr>
          <w:rFonts w:cs="Times New Roman"/>
          <w:i/>
          <w:iCs/>
        </w:rPr>
        <w:t>Caesarinus Fürstenerius de jure suprematus</w:t>
      </w:r>
      <w:r w:rsidRPr="002B2350">
        <w:rPr>
          <w:rFonts w:cs="Times New Roman"/>
        </w:rPr>
        <w:t xml:space="preserve"> (1677). The importance that the early moderns conferred to this question—documented by a long series of public</w:t>
      </w:r>
      <w:r w:rsidRPr="002B2350">
        <w:rPr>
          <w:rFonts w:cs="Times New Roman"/>
        </w:rPr>
        <w:t>a</w:t>
      </w:r>
      <w:r w:rsidRPr="002B2350">
        <w:rPr>
          <w:rFonts w:cs="Times New Roman"/>
        </w:rPr>
        <w:t>tions, some of which Leibniz consulted</w:t>
      </w:r>
      <w:r w:rsidRPr="002B2350">
        <w:rPr>
          <w:rStyle w:val="Funotenzeichen"/>
          <w:rFonts w:cs="Times New Roman"/>
        </w:rPr>
        <w:footnoteReference w:id="30"/>
      </w:r>
      <w:r w:rsidR="001E65F4">
        <w:rPr>
          <w:rFonts w:cs="Times New Roman"/>
        </w:rPr>
        <w:t>, and some of which responded to Leibniz’s work</w:t>
      </w:r>
      <w:r w:rsidR="001E65F4">
        <w:rPr>
          <w:rStyle w:val="Funotenzeichen"/>
          <w:rFonts w:cs="Times New Roman"/>
        </w:rPr>
        <w:footnoteReference w:id="31"/>
      </w:r>
      <w:r w:rsidRPr="002B2350">
        <w:rPr>
          <w:rFonts w:cs="Times New Roman"/>
        </w:rPr>
        <w:t>—may easily elude present-day readers. After all, the practical consequences of the distinction between a</w:t>
      </w:r>
      <w:r w:rsidRPr="002B2350">
        <w:rPr>
          <w:rFonts w:cs="Times New Roman"/>
        </w:rPr>
        <w:t>m</w:t>
      </w:r>
      <w:r w:rsidRPr="002B2350">
        <w:rPr>
          <w:rFonts w:cs="Times New Roman"/>
        </w:rPr>
        <w:t>bassadors and lower-level envoys were restricted to matters of protocol, i.e., to ceremonial matters and titles. This limited range of practical consequences, as Leibniz makes clear, is due to the fact that other relevant distinctions of di</w:t>
      </w:r>
      <w:r w:rsidRPr="002B2350">
        <w:rPr>
          <w:rFonts w:cs="Times New Roman"/>
        </w:rPr>
        <w:t>p</w:t>
      </w:r>
      <w:r w:rsidRPr="002B2350">
        <w:rPr>
          <w:rFonts w:cs="Times New Roman"/>
        </w:rPr>
        <w:t>lomatic function—for example, the distinction between holding a permanent office and being sent for a particular negotiation, or the distin</w:t>
      </w:r>
      <w:r w:rsidRPr="002B2350">
        <w:rPr>
          <w:rFonts w:cs="Times New Roman"/>
        </w:rPr>
        <w:t>c</w:t>
      </w:r>
      <w:r w:rsidRPr="002B2350">
        <w:rPr>
          <w:rFonts w:cs="Times New Roman"/>
        </w:rPr>
        <w:t>tion between having full power to sign agreements and being obliged to consult the prince b</w:t>
      </w:r>
      <w:r w:rsidRPr="002B2350">
        <w:rPr>
          <w:rFonts w:cs="Times New Roman"/>
        </w:rPr>
        <w:t>e</w:t>
      </w:r>
      <w:r w:rsidRPr="002B2350">
        <w:rPr>
          <w:rFonts w:cs="Times New Roman"/>
        </w:rPr>
        <w:t>fore signing agreements—do not coincide with the distinction between being an ambassador and being a lower-level envoy.</w:t>
      </w:r>
      <w:r w:rsidRPr="002B2350">
        <w:rPr>
          <w:rStyle w:val="Funotenzeichen"/>
          <w:rFonts w:cs="Times New Roman"/>
        </w:rPr>
        <w:footnoteReference w:id="32"/>
      </w:r>
      <w:r w:rsidRPr="002B2350">
        <w:rPr>
          <w:rFonts w:cs="Times New Roman"/>
        </w:rPr>
        <w:t xml:space="preserve"> Still, the difference between the different types of emissaries was seen as significant. </w:t>
      </w:r>
      <w:r w:rsidR="00E04F35" w:rsidRPr="002B2350">
        <w:rPr>
          <w:rFonts w:cs="Times New Roman"/>
        </w:rPr>
        <w:t>As Leibniz explains, onl</w:t>
      </w:r>
      <w:r w:rsidR="00E04F35">
        <w:rPr>
          <w:rFonts w:cs="Times New Roman"/>
        </w:rPr>
        <w:t>y ambassa</w:t>
      </w:r>
      <w:r w:rsidR="001C588C">
        <w:rPr>
          <w:rFonts w:cs="Times New Roman"/>
        </w:rPr>
        <w:t>dors were regarded as having</w:t>
      </w:r>
      <w:r w:rsidR="00E04F35">
        <w:rPr>
          <w:rFonts w:cs="Times New Roman"/>
        </w:rPr>
        <w:t xml:space="preserve"> “re</w:t>
      </w:r>
      <w:r w:rsidR="00E04F35">
        <w:rPr>
          <w:rFonts w:cs="Times New Roman"/>
        </w:rPr>
        <w:t>p</w:t>
      </w:r>
      <w:r w:rsidR="00E04F35">
        <w:rPr>
          <w:rFonts w:cs="Times New Roman"/>
        </w:rPr>
        <w:t>resentative character</w:t>
      </w:r>
      <w:r w:rsidR="00E04F35" w:rsidRPr="002B2350">
        <w:rPr>
          <w:rFonts w:cs="Times New Roman"/>
        </w:rPr>
        <w:t>”</w:t>
      </w:r>
      <w:r w:rsidR="00E04F35">
        <w:rPr>
          <w:rFonts w:cs="Times New Roman"/>
        </w:rPr>
        <w:t xml:space="preserve"> (</w:t>
      </w:r>
      <w:r w:rsidR="00E04F35">
        <w:rPr>
          <w:rFonts w:cs="Times New Roman"/>
          <w:i/>
        </w:rPr>
        <w:t>character repraesentatitium</w:t>
      </w:r>
      <w:r w:rsidR="00E04F35">
        <w:rPr>
          <w:rFonts w:cs="Times New Roman"/>
        </w:rPr>
        <w:t>).</w:t>
      </w:r>
      <w:r w:rsidR="00E04F35" w:rsidRPr="002B2350">
        <w:rPr>
          <w:rStyle w:val="Funotenzeichen"/>
          <w:rFonts w:cs="Times New Roman"/>
        </w:rPr>
        <w:footnoteReference w:id="33"/>
      </w:r>
      <w:r w:rsidR="00E04F35" w:rsidRPr="002B2350">
        <w:rPr>
          <w:rFonts w:cs="Times New Roman"/>
        </w:rPr>
        <w:t xml:space="preserve"> </w:t>
      </w:r>
      <w:r w:rsidRPr="002B2350">
        <w:rPr>
          <w:rFonts w:cs="Times New Roman"/>
        </w:rPr>
        <w:t>That is to say that they not only fulfil a certain function in the process of negotiation but are also regarded as placehol</w:t>
      </w:r>
      <w:r w:rsidRPr="002B2350">
        <w:rPr>
          <w:rFonts w:cs="Times New Roman"/>
        </w:rPr>
        <w:t>d</w:t>
      </w:r>
      <w:r w:rsidRPr="002B2350">
        <w:rPr>
          <w:rFonts w:cs="Times New Roman"/>
        </w:rPr>
        <w:t xml:space="preserve">ers who have </w:t>
      </w:r>
      <w:r w:rsidR="00F35470">
        <w:rPr>
          <w:rFonts w:cs="Times New Roman"/>
        </w:rPr>
        <w:t xml:space="preserve">the right </w:t>
      </w:r>
      <w:r w:rsidRPr="002B2350">
        <w:rPr>
          <w:rFonts w:cs="Times New Roman"/>
        </w:rPr>
        <w:t>to be treated</w:t>
      </w:r>
      <w:r w:rsidR="00F35470">
        <w:rPr>
          <w:rFonts w:cs="Times New Roman"/>
        </w:rPr>
        <w:t>, within the limits of custom,</w:t>
      </w:r>
      <w:r w:rsidRPr="002B2350">
        <w:rPr>
          <w:rFonts w:cs="Times New Roman"/>
        </w:rPr>
        <w:t xml:space="preserve"> as if the persons whose place they hold were present.</w:t>
      </w:r>
      <w:r w:rsidRPr="002B2350">
        <w:rPr>
          <w:rStyle w:val="Funotenzeichen"/>
          <w:rFonts w:cs="Times New Roman"/>
        </w:rPr>
        <w:footnoteReference w:id="34"/>
      </w:r>
      <w:r w:rsidRPr="002B2350">
        <w:rPr>
          <w:rFonts w:cs="Times New Roman"/>
        </w:rPr>
        <w:t xml:space="preserve"> This is why matters of pr</w:t>
      </w:r>
      <w:r w:rsidR="005B5FF6">
        <w:rPr>
          <w:rFonts w:cs="Times New Roman"/>
        </w:rPr>
        <w:t xml:space="preserve">otocol became so important: </w:t>
      </w:r>
      <w:r w:rsidRPr="002B2350">
        <w:rPr>
          <w:rFonts w:cs="Times New Roman"/>
        </w:rPr>
        <w:t>they were r</w:t>
      </w:r>
      <w:r w:rsidRPr="002B2350">
        <w:rPr>
          <w:rFonts w:cs="Times New Roman"/>
        </w:rPr>
        <w:t>e</w:t>
      </w:r>
      <w:r w:rsidRPr="002B2350">
        <w:rPr>
          <w:rFonts w:cs="Times New Roman"/>
        </w:rPr>
        <w:t>garded as external ind</w:t>
      </w:r>
      <w:r w:rsidRPr="002B2350">
        <w:rPr>
          <w:rFonts w:cs="Times New Roman"/>
        </w:rPr>
        <w:t>i</w:t>
      </w:r>
      <w:r w:rsidRPr="002B2350">
        <w:rPr>
          <w:rFonts w:cs="Times New Roman"/>
        </w:rPr>
        <w:t>cations of whether the emissary was regarded as the representative of a sovereign</w:t>
      </w:r>
      <w:r w:rsidR="005B5FF6">
        <w:rPr>
          <w:rFonts w:cs="Times New Roman"/>
        </w:rPr>
        <w:t xml:space="preserve"> or not. No wonder, then, that</w:t>
      </w:r>
      <w:r w:rsidRPr="002B2350">
        <w:rPr>
          <w:rFonts w:cs="Times New Roman"/>
        </w:rPr>
        <w:t xml:space="preserve"> smaller powers were very sensitive to the question of whether or not their emissaries were accepted as amba</w:t>
      </w:r>
      <w:r w:rsidRPr="002B2350">
        <w:rPr>
          <w:rFonts w:cs="Times New Roman"/>
        </w:rPr>
        <w:t>s</w:t>
      </w:r>
      <w:r w:rsidRPr="002B2350">
        <w:rPr>
          <w:rFonts w:cs="Times New Roman"/>
        </w:rPr>
        <w:t>sadors.</w:t>
      </w:r>
    </w:p>
    <w:p w14:paraId="4C1D3F02" w14:textId="77777777" w:rsidR="005021A1" w:rsidRPr="002B2350" w:rsidRDefault="005021A1" w:rsidP="002B2350">
      <w:pPr>
        <w:spacing w:line="360" w:lineRule="auto"/>
        <w:ind w:firstLine="397"/>
        <w:jc w:val="both"/>
        <w:rPr>
          <w:rFonts w:cs="Times New Roman"/>
        </w:rPr>
      </w:pPr>
      <w:r w:rsidRPr="002B2350">
        <w:rPr>
          <w:rFonts w:cs="Times New Roman"/>
        </w:rPr>
        <w:t xml:space="preserve">Leibniz makes it clear that the question of whether the German estates have the right of sending ambassadors is at the same time a question of honor and a question of justice. In his work on the election of the King of Poland, he spells out the political implications of honor in </w:t>
      </w:r>
      <w:r w:rsidRPr="002B2350">
        <w:rPr>
          <w:rFonts w:cs="Times New Roman"/>
        </w:rPr>
        <w:lastRenderedPageBreak/>
        <w:t>detail. He has formulated three slightly different versions of the argument,</w:t>
      </w:r>
      <w:r w:rsidRPr="002B2350">
        <w:rPr>
          <w:rStyle w:val="Funotenzeichen"/>
          <w:rFonts w:cs="Times New Roman"/>
        </w:rPr>
        <w:footnoteReference w:id="35"/>
      </w:r>
      <w:r w:rsidRPr="002B2350">
        <w:rPr>
          <w:rFonts w:cs="Times New Roman"/>
        </w:rPr>
        <w:t xml:space="preserve"> and the follo</w:t>
      </w:r>
      <w:r w:rsidRPr="002B2350">
        <w:rPr>
          <w:rFonts w:cs="Times New Roman"/>
        </w:rPr>
        <w:t>w</w:t>
      </w:r>
      <w:r w:rsidRPr="002B2350">
        <w:rPr>
          <w:rFonts w:cs="Times New Roman"/>
        </w:rPr>
        <w:t>ing is perhaps the clearest version of the three:</w:t>
      </w:r>
    </w:p>
    <w:p w14:paraId="19070406" w14:textId="77777777" w:rsidR="005021A1" w:rsidRPr="002B2350" w:rsidRDefault="005021A1" w:rsidP="002B2350">
      <w:pPr>
        <w:spacing w:line="360" w:lineRule="auto"/>
        <w:jc w:val="both"/>
        <w:rPr>
          <w:rFonts w:cs="Times New Roman"/>
        </w:rPr>
      </w:pPr>
    </w:p>
    <w:p w14:paraId="3D321AEB" w14:textId="77777777" w:rsidR="005021A1" w:rsidRPr="002B2350" w:rsidRDefault="002B2350" w:rsidP="002B2350">
      <w:pPr>
        <w:spacing w:line="360" w:lineRule="auto"/>
        <w:jc w:val="both"/>
        <w:rPr>
          <w:rFonts w:cs="Times New Roman"/>
          <w:sz w:val="20"/>
          <w:szCs w:val="20"/>
        </w:rPr>
      </w:pPr>
      <w:r>
        <w:rPr>
          <w:rFonts w:cs="Times New Roman"/>
          <w:sz w:val="20"/>
          <w:szCs w:val="20"/>
        </w:rPr>
        <w:t>“</w:t>
      </w:r>
      <w:r w:rsidR="005021A1" w:rsidRPr="002B2350">
        <w:rPr>
          <w:rFonts w:cs="Times New Roman"/>
          <w:sz w:val="20"/>
          <w:szCs w:val="20"/>
        </w:rPr>
        <w:t xml:space="preserve">Everything dishonest diminishes </w:t>
      </w:r>
      <w:r w:rsidR="005021A1" w:rsidRPr="002B2350">
        <w:rPr>
          <w:rFonts w:cs="Times New Roman"/>
          <w:i/>
          <w:iCs/>
          <w:sz w:val="20"/>
          <w:szCs w:val="20"/>
        </w:rPr>
        <w:t>honor</w:t>
      </w:r>
      <w:r w:rsidR="005021A1" w:rsidRPr="002B2350">
        <w:rPr>
          <w:rFonts w:cs="Times New Roman"/>
          <w:sz w:val="20"/>
          <w:szCs w:val="20"/>
        </w:rPr>
        <w:t>.</w:t>
      </w:r>
    </w:p>
    <w:p w14:paraId="463F80D0" w14:textId="77777777" w:rsidR="005021A1" w:rsidRPr="002B2350" w:rsidRDefault="005021A1" w:rsidP="002B2350">
      <w:pPr>
        <w:spacing w:line="360" w:lineRule="auto"/>
        <w:jc w:val="both"/>
        <w:rPr>
          <w:rFonts w:cs="Times New Roman"/>
          <w:sz w:val="20"/>
          <w:szCs w:val="20"/>
        </w:rPr>
      </w:pPr>
      <w:r w:rsidRPr="002B2350">
        <w:rPr>
          <w:rFonts w:cs="Times New Roman"/>
          <w:i/>
          <w:iCs/>
          <w:sz w:val="20"/>
          <w:szCs w:val="20"/>
        </w:rPr>
        <w:t>Honor is the reputation for power</w:t>
      </w:r>
      <w:r w:rsidRPr="002B2350">
        <w:rPr>
          <w:rFonts w:cs="Times New Roman"/>
          <w:sz w:val="20"/>
          <w:szCs w:val="20"/>
        </w:rPr>
        <w:t>.</w:t>
      </w:r>
    </w:p>
    <w:p w14:paraId="0D3D846E" w14:textId="77777777" w:rsidR="005021A1" w:rsidRPr="002B2350" w:rsidRDefault="005021A1" w:rsidP="002B2350">
      <w:pPr>
        <w:spacing w:line="360" w:lineRule="auto"/>
        <w:jc w:val="both"/>
        <w:rPr>
          <w:rFonts w:cs="Times New Roman"/>
          <w:sz w:val="20"/>
          <w:szCs w:val="20"/>
        </w:rPr>
      </w:pPr>
      <w:r w:rsidRPr="002B2350">
        <w:rPr>
          <w:rFonts w:cs="Times New Roman"/>
          <w:sz w:val="20"/>
          <w:szCs w:val="20"/>
        </w:rPr>
        <w:t xml:space="preserve">Who has a lower reputation concerning power is taken to be capable of being </w:t>
      </w:r>
      <w:r w:rsidRPr="002B2350">
        <w:rPr>
          <w:rFonts w:cs="Times New Roman"/>
          <w:i/>
          <w:iCs/>
          <w:sz w:val="20"/>
          <w:szCs w:val="20"/>
        </w:rPr>
        <w:t>injured more easily</w:t>
      </w:r>
      <w:r w:rsidRPr="002B2350">
        <w:rPr>
          <w:rFonts w:cs="Times New Roman"/>
          <w:sz w:val="20"/>
          <w:szCs w:val="20"/>
        </w:rPr>
        <w:t>.</w:t>
      </w:r>
    </w:p>
    <w:p w14:paraId="0C0E33C6" w14:textId="77777777" w:rsidR="005021A1" w:rsidRPr="002B2350" w:rsidRDefault="005021A1" w:rsidP="002B2350">
      <w:pPr>
        <w:spacing w:line="360" w:lineRule="auto"/>
        <w:jc w:val="both"/>
        <w:rPr>
          <w:rFonts w:cs="Times New Roman"/>
          <w:sz w:val="20"/>
          <w:szCs w:val="20"/>
        </w:rPr>
      </w:pPr>
      <w:r w:rsidRPr="002B2350">
        <w:rPr>
          <w:rFonts w:cs="Times New Roman"/>
          <w:sz w:val="20"/>
          <w:szCs w:val="20"/>
        </w:rPr>
        <w:t>What is taken to be easier is taken to be done with less inconvenience.</w:t>
      </w:r>
    </w:p>
    <w:p w14:paraId="17E4F52B" w14:textId="77777777" w:rsidR="005021A1" w:rsidRPr="002B2350" w:rsidRDefault="005021A1" w:rsidP="002B2350">
      <w:pPr>
        <w:spacing w:line="360" w:lineRule="auto"/>
        <w:jc w:val="both"/>
        <w:rPr>
          <w:rFonts w:cs="Times New Roman"/>
          <w:sz w:val="20"/>
          <w:szCs w:val="20"/>
        </w:rPr>
      </w:pPr>
      <w:r w:rsidRPr="002B2350">
        <w:rPr>
          <w:rFonts w:cs="Times New Roman"/>
          <w:sz w:val="20"/>
          <w:szCs w:val="20"/>
        </w:rPr>
        <w:t>That means that someone who likes to injure us is dangerous.</w:t>
      </w:r>
      <w:r w:rsidR="002B2350">
        <w:rPr>
          <w:rFonts w:cs="Times New Roman"/>
          <w:sz w:val="20"/>
          <w:szCs w:val="20"/>
        </w:rPr>
        <w:t>”</w:t>
      </w:r>
      <w:r w:rsidRPr="002B2350">
        <w:rPr>
          <w:rStyle w:val="Funotenzeichen"/>
          <w:rFonts w:cs="Times New Roman"/>
          <w:sz w:val="20"/>
          <w:szCs w:val="20"/>
        </w:rPr>
        <w:footnoteReference w:id="36"/>
      </w:r>
      <w:r w:rsidRPr="002B2350">
        <w:rPr>
          <w:rFonts w:cs="Times New Roman"/>
          <w:sz w:val="20"/>
          <w:szCs w:val="20"/>
        </w:rPr>
        <w:t xml:space="preserve"> </w:t>
      </w:r>
    </w:p>
    <w:p w14:paraId="459E3BFA" w14:textId="77777777" w:rsidR="005021A1" w:rsidRPr="002B2350" w:rsidRDefault="005021A1" w:rsidP="002B2350">
      <w:pPr>
        <w:spacing w:line="360" w:lineRule="auto"/>
        <w:jc w:val="both"/>
        <w:rPr>
          <w:rFonts w:cs="Times New Roman"/>
        </w:rPr>
      </w:pPr>
    </w:p>
    <w:p w14:paraId="626FB8FD" w14:textId="77777777" w:rsidR="005021A1" w:rsidRPr="002B2350" w:rsidRDefault="005021A1" w:rsidP="002B2350">
      <w:pPr>
        <w:spacing w:line="360" w:lineRule="auto"/>
        <w:jc w:val="both"/>
        <w:rPr>
          <w:rFonts w:cs="Times New Roman"/>
        </w:rPr>
      </w:pPr>
      <w:r w:rsidRPr="002B2350">
        <w:rPr>
          <w:rFonts w:cs="Times New Roman"/>
        </w:rPr>
        <w:t>In this way, considerations concerning honor are deductively linked with considerations co</w:t>
      </w:r>
      <w:r w:rsidRPr="002B2350">
        <w:rPr>
          <w:rFonts w:cs="Times New Roman"/>
        </w:rPr>
        <w:t>n</w:t>
      </w:r>
      <w:r w:rsidRPr="002B2350">
        <w:rPr>
          <w:rFonts w:cs="Times New Roman"/>
        </w:rPr>
        <w:t xml:space="preserve">cerning political risks. This is why there is a specifically political dimension to questions of honor. What is more, in </w:t>
      </w:r>
      <w:r w:rsidRPr="002B2350">
        <w:rPr>
          <w:rFonts w:cs="Times New Roman"/>
          <w:i/>
          <w:iCs/>
        </w:rPr>
        <w:t>Caesarinus Fürstenerius</w:t>
      </w:r>
      <w:r w:rsidRPr="002B2350">
        <w:rPr>
          <w:rFonts w:cs="Times New Roman"/>
        </w:rPr>
        <w:t xml:space="preserve"> Leibniz casts the role of honor in terms of justice. More specifically, he treats the question of the diplomatic rank of the envoys of the German princes as a matter of “distributive justice with respect to honor and rewards.”</w:t>
      </w:r>
      <w:r w:rsidRPr="002B2350">
        <w:rPr>
          <w:rStyle w:val="Funotenzeichen"/>
          <w:rFonts w:cs="Times New Roman"/>
        </w:rPr>
        <w:footnoteReference w:id="37"/>
      </w:r>
      <w:r w:rsidRPr="002B2350">
        <w:rPr>
          <w:rFonts w:cs="Times New Roman"/>
        </w:rPr>
        <w:t xml:space="preserve"> In particular, he treats the right of sending ambassadors as a matter of treating like cases in like manner:</w:t>
      </w:r>
    </w:p>
    <w:p w14:paraId="7318B393" w14:textId="77777777" w:rsidR="005021A1" w:rsidRPr="002B2350" w:rsidRDefault="005021A1" w:rsidP="002B2350">
      <w:pPr>
        <w:spacing w:line="360" w:lineRule="auto"/>
        <w:jc w:val="both"/>
        <w:rPr>
          <w:rFonts w:cs="Times New Roman"/>
        </w:rPr>
      </w:pPr>
    </w:p>
    <w:p w14:paraId="15ADFD4D" w14:textId="77777777" w:rsidR="005021A1" w:rsidRPr="002B2350" w:rsidRDefault="002B2350" w:rsidP="002B2350">
      <w:pPr>
        <w:spacing w:line="360" w:lineRule="auto"/>
        <w:jc w:val="both"/>
        <w:rPr>
          <w:rFonts w:cs="Times New Roman"/>
          <w:sz w:val="20"/>
          <w:szCs w:val="20"/>
        </w:rPr>
      </w:pPr>
      <w:r w:rsidRPr="002B2350">
        <w:rPr>
          <w:rFonts w:cs="Times New Roman"/>
          <w:sz w:val="20"/>
          <w:szCs w:val="20"/>
        </w:rPr>
        <w:t>“</w:t>
      </w:r>
      <w:r w:rsidR="005021A1" w:rsidRPr="002B2350">
        <w:rPr>
          <w:rFonts w:cs="Times New Roman"/>
          <w:sz w:val="20"/>
          <w:szCs w:val="20"/>
        </w:rPr>
        <w:t>[T]he same signs of honor have to be shown toward him and to his envoys that are shown to all those who use the same right of weapons, for the law of nature does not permit that these are treated differently due to lack of respect who have in hand the same cause as the others by means of which they vindicate from themselves the privileges of the law of n</w:t>
      </w:r>
      <w:r w:rsidR="005021A1" w:rsidRPr="002B2350">
        <w:rPr>
          <w:rFonts w:cs="Times New Roman"/>
          <w:sz w:val="20"/>
          <w:szCs w:val="20"/>
        </w:rPr>
        <w:t>a</w:t>
      </w:r>
      <w:r w:rsidR="005021A1" w:rsidRPr="002B2350">
        <w:rPr>
          <w:rFonts w:cs="Times New Roman"/>
          <w:sz w:val="20"/>
          <w:szCs w:val="20"/>
        </w:rPr>
        <w:t>tions […].</w:t>
      </w:r>
      <w:r w:rsidRPr="002B2350">
        <w:rPr>
          <w:rFonts w:cs="Times New Roman"/>
          <w:sz w:val="20"/>
          <w:szCs w:val="20"/>
        </w:rPr>
        <w:t>”</w:t>
      </w:r>
      <w:r w:rsidR="005021A1" w:rsidRPr="002B2350">
        <w:rPr>
          <w:rStyle w:val="Funotenzeichen"/>
          <w:rFonts w:cs="Times New Roman"/>
          <w:sz w:val="20"/>
          <w:szCs w:val="20"/>
        </w:rPr>
        <w:footnoteReference w:id="38"/>
      </w:r>
      <w:r w:rsidR="005021A1" w:rsidRPr="002B2350">
        <w:rPr>
          <w:rFonts w:cs="Times New Roman"/>
          <w:sz w:val="20"/>
          <w:szCs w:val="20"/>
        </w:rPr>
        <w:t xml:space="preserve"> </w:t>
      </w:r>
    </w:p>
    <w:p w14:paraId="4EDB1FDB" w14:textId="77777777" w:rsidR="005021A1" w:rsidRPr="002B2350" w:rsidRDefault="005021A1" w:rsidP="002B2350">
      <w:pPr>
        <w:spacing w:line="360" w:lineRule="auto"/>
        <w:jc w:val="both"/>
        <w:rPr>
          <w:rFonts w:cs="Times New Roman"/>
        </w:rPr>
      </w:pPr>
    </w:p>
    <w:p w14:paraId="4761E6D4" w14:textId="77777777" w:rsidR="005021A1" w:rsidRPr="002B2350" w:rsidRDefault="005021A1" w:rsidP="002B2350">
      <w:pPr>
        <w:spacing w:line="360" w:lineRule="auto"/>
        <w:jc w:val="both"/>
        <w:rPr>
          <w:rFonts w:cs="Times New Roman"/>
        </w:rPr>
      </w:pPr>
      <w:r w:rsidRPr="002B2350">
        <w:rPr>
          <w:rFonts w:cs="Times New Roman"/>
        </w:rPr>
        <w:t>Consequently, “whatever is conceded to many on the basis of some ordinary rights, such that it is also demanded by them, cannot be denied without injustice to those others who possess the same dignity.”</w:t>
      </w:r>
      <w:r w:rsidRPr="002B2350">
        <w:rPr>
          <w:rStyle w:val="Funotenzeichen"/>
          <w:rFonts w:cs="Times New Roman"/>
        </w:rPr>
        <w:footnoteReference w:id="39"/>
      </w:r>
      <w:r w:rsidRPr="002B2350">
        <w:rPr>
          <w:rFonts w:cs="Times New Roman"/>
        </w:rPr>
        <w:t xml:space="preserve"> </w:t>
      </w:r>
    </w:p>
    <w:p w14:paraId="11E13DCB" w14:textId="77777777" w:rsidR="005021A1" w:rsidRPr="002B2350" w:rsidRDefault="005021A1" w:rsidP="002B2350">
      <w:pPr>
        <w:spacing w:line="360" w:lineRule="auto"/>
        <w:ind w:firstLine="397"/>
        <w:jc w:val="both"/>
        <w:rPr>
          <w:rFonts w:cs="Times New Roman"/>
        </w:rPr>
      </w:pPr>
      <w:r w:rsidRPr="002B2350">
        <w:rPr>
          <w:rFonts w:cs="Times New Roman"/>
        </w:rPr>
        <w:t>To defend this line of thought, Leibniz considers an objection according to which matters of honor and rewards, very much like alms to the poor, should be regarded as matters of ge</w:t>
      </w:r>
      <w:r w:rsidRPr="002B2350">
        <w:rPr>
          <w:rFonts w:cs="Times New Roman"/>
        </w:rPr>
        <w:t>n</w:t>
      </w:r>
      <w:r w:rsidRPr="002B2350">
        <w:rPr>
          <w:rFonts w:cs="Times New Roman"/>
        </w:rPr>
        <w:t>erosity rather than justice, such that neglecting duties of providing honor and rewards does not give rise to legal action.</w:t>
      </w:r>
      <w:r w:rsidRPr="002B2350">
        <w:rPr>
          <w:rStyle w:val="Funotenzeichen"/>
          <w:rFonts w:cs="Times New Roman"/>
        </w:rPr>
        <w:footnoteReference w:id="40"/>
      </w:r>
      <w:r w:rsidRPr="002B2350">
        <w:rPr>
          <w:rFonts w:cs="Times New Roman"/>
        </w:rPr>
        <w:t xml:space="preserve"> He responds: “[T]his is not so when honor is paid to princes </w:t>
      </w:r>
      <w:r w:rsidR="002B2350">
        <w:rPr>
          <w:rFonts w:cs="Times New Roman"/>
        </w:rPr>
        <w:t>[</w:t>
      </w:r>
      <w:r w:rsidRPr="002B2350">
        <w:rPr>
          <w:rFonts w:cs="Times New Roman"/>
        </w:rPr>
        <w:t>…</w:t>
      </w:r>
      <w:r w:rsidR="002B2350">
        <w:rPr>
          <w:rFonts w:cs="Times New Roman"/>
        </w:rPr>
        <w:t>].</w:t>
      </w:r>
      <w:r w:rsidRPr="002B2350">
        <w:rPr>
          <w:rFonts w:cs="Times New Roman"/>
        </w:rPr>
        <w:t xml:space="preserve"> For someone who shows reverence to someone in a position of great dignity, does not give </w:t>
      </w:r>
      <w:r w:rsidRPr="002B2350">
        <w:rPr>
          <w:rFonts w:cs="Times New Roman"/>
        </w:rPr>
        <w:lastRenderedPageBreak/>
        <w:t>something that is owed out of generosity but does what is his duty.”</w:t>
      </w:r>
      <w:r w:rsidRPr="002B2350">
        <w:rPr>
          <w:rStyle w:val="Funotenzeichen"/>
          <w:rFonts w:cs="Times New Roman"/>
        </w:rPr>
        <w:footnoteReference w:id="41"/>
      </w:r>
      <w:r w:rsidRPr="002B2350">
        <w:rPr>
          <w:rFonts w:cs="Times New Roman"/>
        </w:rPr>
        <w:t xml:space="preserve"> As he argues, this is so because refusing to show the external signs of honor expresses “contempt for the offended and an almost hostile attitude. From whence arises resentment, the desire for veng</w:t>
      </w:r>
      <w:r w:rsidRPr="002B2350">
        <w:rPr>
          <w:rFonts w:cs="Times New Roman"/>
        </w:rPr>
        <w:t>e</w:t>
      </w:r>
      <w:r w:rsidRPr="002B2350">
        <w:rPr>
          <w:rFonts w:cs="Times New Roman"/>
        </w:rPr>
        <w:t>ance and at last war which the task of the law nations is to avoid.”</w:t>
      </w:r>
      <w:r w:rsidRPr="002B2350">
        <w:rPr>
          <w:rStyle w:val="Funotenzeichen"/>
          <w:rFonts w:cs="Times New Roman"/>
        </w:rPr>
        <w:footnoteReference w:id="42"/>
      </w:r>
      <w:r w:rsidRPr="002B2350">
        <w:rPr>
          <w:rFonts w:cs="Times New Roman"/>
        </w:rPr>
        <w:t xml:space="preserve"> Here a second specifically political aspect of honor comes into play: refusing to respect the signs of honor is perceived as an i</w:t>
      </w:r>
      <w:r w:rsidRPr="002B2350">
        <w:rPr>
          <w:rFonts w:cs="Times New Roman"/>
        </w:rPr>
        <w:t>n</w:t>
      </w:r>
      <w:r w:rsidRPr="002B2350">
        <w:rPr>
          <w:rFonts w:cs="Times New Roman"/>
        </w:rPr>
        <w:t>sult, with all the conflict potential that the passions triggered in this way bring with them. This is why matters of honor are part of the law of nations. As he points out: “The highest r</w:t>
      </w:r>
      <w:r w:rsidRPr="002B2350">
        <w:rPr>
          <w:rFonts w:cs="Times New Roman"/>
        </w:rPr>
        <w:t>a</w:t>
      </w:r>
      <w:r w:rsidRPr="002B2350">
        <w:rPr>
          <w:rFonts w:cs="Times New Roman"/>
        </w:rPr>
        <w:t xml:space="preserve">tionale of the law of nations is the avoidance of wars </w:t>
      </w:r>
      <w:r w:rsidR="002B2350">
        <w:rPr>
          <w:rFonts w:cs="Times New Roman"/>
        </w:rPr>
        <w:t>[</w:t>
      </w:r>
      <w:r w:rsidRPr="002B2350">
        <w:rPr>
          <w:rFonts w:cs="Times New Roman"/>
        </w:rPr>
        <w:t>…</w:t>
      </w:r>
      <w:r w:rsidR="002B2350">
        <w:rPr>
          <w:rFonts w:cs="Times New Roman"/>
        </w:rPr>
        <w:t>].</w:t>
      </w:r>
      <w:r w:rsidRPr="002B2350">
        <w:rPr>
          <w:rFonts w:cs="Times New Roman"/>
        </w:rPr>
        <w:t>”</w:t>
      </w:r>
      <w:r w:rsidRPr="002B2350">
        <w:rPr>
          <w:rStyle w:val="Funotenzeichen"/>
          <w:rFonts w:cs="Times New Roman"/>
        </w:rPr>
        <w:footnoteReference w:id="43"/>
      </w:r>
      <w:r w:rsidRPr="002B2350">
        <w:rPr>
          <w:rFonts w:cs="Times New Roman"/>
        </w:rPr>
        <w:t xml:space="preserve">  Because matters of honor are related to the origin of international conflicts, justice regarding matters of honor belongs to the law of nations. This is why for the more cultivated nations of Europe, also “the care for dignity forms part of the law of nations.”</w:t>
      </w:r>
      <w:r w:rsidRPr="002B2350">
        <w:rPr>
          <w:rStyle w:val="Funotenzeichen"/>
          <w:rFonts w:cs="Times New Roman"/>
        </w:rPr>
        <w:footnoteReference w:id="44"/>
      </w:r>
      <w:r w:rsidRPr="002B2350">
        <w:rPr>
          <w:rFonts w:cs="Times New Roman"/>
        </w:rPr>
        <w:t xml:space="preserve"> Three interrelated requirements, thus, are essential in peace negotiations: (1) that the dignity of the parties in conflict be respected; (2) that some way be found in which the passions of the parties in conflict can be made innocuous for the course of negotiations; and (3) that as far as honor is concerned, interests do not matter but rather justice.</w:t>
      </w:r>
      <w:r w:rsidRPr="002B2350">
        <w:rPr>
          <w:rStyle w:val="Funotenzeichen"/>
          <w:rFonts w:cs="Times New Roman"/>
        </w:rPr>
        <w:footnoteReference w:id="45"/>
      </w:r>
      <w:r w:rsidRPr="002B2350">
        <w:rPr>
          <w:rFonts w:cs="Times New Roman"/>
        </w:rPr>
        <w:t xml:space="preserve"> Recognizing the dignity of envoys certainly contributes to handling pa</w:t>
      </w:r>
      <w:r w:rsidRPr="002B2350">
        <w:rPr>
          <w:rFonts w:cs="Times New Roman"/>
        </w:rPr>
        <w:t>s</w:t>
      </w:r>
      <w:r w:rsidRPr="002B2350">
        <w:rPr>
          <w:rFonts w:cs="Times New Roman"/>
        </w:rPr>
        <w:t>sions, and will do so only if it is done not out of arbitrary interest but with the intention of recogni</w:t>
      </w:r>
      <w:r w:rsidRPr="002B2350">
        <w:rPr>
          <w:rFonts w:cs="Times New Roman"/>
        </w:rPr>
        <w:t>z</w:t>
      </w:r>
      <w:r w:rsidRPr="002B2350">
        <w:rPr>
          <w:rFonts w:cs="Times New Roman"/>
        </w:rPr>
        <w:t>ing the rights of the envoys and of the powers that they represent. This is why Leibniz emph</w:t>
      </w:r>
      <w:r w:rsidRPr="002B2350">
        <w:rPr>
          <w:rFonts w:cs="Times New Roman"/>
        </w:rPr>
        <w:t>a</w:t>
      </w:r>
      <w:r w:rsidRPr="002B2350">
        <w:rPr>
          <w:rFonts w:cs="Times New Roman"/>
        </w:rPr>
        <w:t>sizes that “we not talking about matters of fact but about ma</w:t>
      </w:r>
      <w:r w:rsidRPr="002B2350">
        <w:rPr>
          <w:rFonts w:cs="Times New Roman"/>
        </w:rPr>
        <w:t>t</w:t>
      </w:r>
      <w:r w:rsidRPr="002B2350">
        <w:rPr>
          <w:rFonts w:cs="Times New Roman"/>
        </w:rPr>
        <w:t>ters of right.”</w:t>
      </w:r>
      <w:r w:rsidRPr="002B2350">
        <w:rPr>
          <w:rStyle w:val="Funotenzeichen"/>
          <w:rFonts w:cs="Times New Roman"/>
        </w:rPr>
        <w:footnoteReference w:id="46"/>
      </w:r>
      <w:r w:rsidRPr="002B2350">
        <w:rPr>
          <w:rFonts w:cs="Times New Roman"/>
        </w:rPr>
        <w:t xml:space="preserve">  </w:t>
      </w:r>
    </w:p>
    <w:p w14:paraId="090C4202" w14:textId="77777777" w:rsidR="005021A1" w:rsidRPr="002B2350" w:rsidRDefault="005021A1" w:rsidP="002B2350">
      <w:pPr>
        <w:spacing w:line="360" w:lineRule="auto"/>
        <w:ind w:firstLine="397"/>
        <w:jc w:val="both"/>
        <w:rPr>
          <w:rFonts w:cs="Times New Roman"/>
        </w:rPr>
      </w:pPr>
      <w:r w:rsidRPr="002B2350">
        <w:rPr>
          <w:rFonts w:cs="Times New Roman"/>
        </w:rPr>
        <w:t xml:space="preserve">Still, the entire line of argument rests on the assumption that the German princes have the same diplomatic rights as the great European powers and, on first sight, this assumption seems to disregard the enormous power differences between the great European monarchies and the smaller principalities. To dispel this impression, the main argumentative thrust of </w:t>
      </w:r>
      <w:r w:rsidRPr="002B2350">
        <w:rPr>
          <w:rFonts w:cs="Times New Roman"/>
          <w:i/>
          <w:iCs/>
        </w:rPr>
        <w:t xml:space="preserve">Caesarinus Fürstenerius </w:t>
      </w:r>
      <w:r w:rsidRPr="002B2350">
        <w:rPr>
          <w:rFonts w:cs="Times New Roman"/>
        </w:rPr>
        <w:t>goes in the direction of establishing the relevant sense of likeness between the great monarchies and the smaller territories that bestows the same diplomatic rights to all of them. In order to establish that the authorities of smaller territories possess so</w:t>
      </w:r>
      <w:r w:rsidRPr="002B2350">
        <w:rPr>
          <w:rFonts w:cs="Times New Roman"/>
        </w:rPr>
        <w:t>v</w:t>
      </w:r>
      <w:r w:rsidRPr="002B2350">
        <w:rPr>
          <w:rFonts w:cs="Times New Roman"/>
        </w:rPr>
        <w:t>ereignty and, hence, the right of sending ambassadors as a matter of distributive justice with respect to honor, Leibniz provides a detailed analysis of the role of the smaller powers in i</w:t>
      </w:r>
      <w:r w:rsidRPr="002B2350">
        <w:rPr>
          <w:rFonts w:cs="Times New Roman"/>
        </w:rPr>
        <w:t>n</w:t>
      </w:r>
      <w:r w:rsidRPr="002B2350">
        <w:rPr>
          <w:rFonts w:cs="Times New Roman"/>
        </w:rPr>
        <w:t>ternational relations. And it is in this context that Leibniz’s considerations concerning intern</w:t>
      </w:r>
      <w:r w:rsidRPr="002B2350">
        <w:rPr>
          <w:rFonts w:cs="Times New Roman"/>
        </w:rPr>
        <w:t>a</w:t>
      </w:r>
      <w:r w:rsidRPr="002B2350">
        <w:rPr>
          <w:rFonts w:cs="Times New Roman"/>
        </w:rPr>
        <w:t>tional mediation come into play.</w:t>
      </w:r>
    </w:p>
    <w:p w14:paraId="364CEF1D" w14:textId="77777777" w:rsidR="005021A1" w:rsidRPr="002B2350" w:rsidRDefault="005021A1" w:rsidP="002B2350">
      <w:pPr>
        <w:spacing w:line="360" w:lineRule="auto"/>
        <w:ind w:firstLine="397"/>
        <w:jc w:val="both"/>
        <w:rPr>
          <w:rFonts w:cs="Times New Roman"/>
        </w:rPr>
      </w:pPr>
      <w:r w:rsidRPr="002B2350">
        <w:rPr>
          <w:rFonts w:cs="Times New Roman"/>
        </w:rPr>
        <w:lastRenderedPageBreak/>
        <w:t>To begin with, Leibniz notes that both offering and accepting mediation can be motivated by a variety of political interests. For instance,</w:t>
      </w:r>
      <w:r w:rsidR="00F57C9B">
        <w:rPr>
          <w:rFonts w:cs="Times New Roman"/>
        </w:rPr>
        <w:t xml:space="preserve"> in a piece from December 1672, Leibniz me</w:t>
      </w:r>
      <w:r w:rsidR="00F57C9B">
        <w:rPr>
          <w:rFonts w:cs="Times New Roman"/>
        </w:rPr>
        <w:t>n</w:t>
      </w:r>
      <w:r w:rsidR="00F57C9B">
        <w:rPr>
          <w:rFonts w:cs="Times New Roman"/>
        </w:rPr>
        <w:t xml:space="preserve">tions </w:t>
      </w:r>
      <w:r w:rsidRPr="002B2350">
        <w:rPr>
          <w:rFonts w:cs="Times New Roman"/>
        </w:rPr>
        <w:t>among the</w:t>
      </w:r>
      <w:r w:rsidR="00F57C9B">
        <w:rPr>
          <w:rFonts w:cs="Times New Roman"/>
        </w:rPr>
        <w:t xml:space="preserve"> reasons</w:t>
      </w:r>
      <w:r w:rsidRPr="002B2350">
        <w:rPr>
          <w:rFonts w:cs="Times New Roman"/>
        </w:rPr>
        <w:t xml:space="preserve"> for the King of England to accept the media</w:t>
      </w:r>
      <w:r w:rsidR="00F57C9B">
        <w:rPr>
          <w:rFonts w:cs="Times New Roman"/>
        </w:rPr>
        <w:t>tion of the Emperor</w:t>
      </w:r>
      <w:r w:rsidRPr="002B2350">
        <w:rPr>
          <w:rFonts w:cs="Times New Roman"/>
        </w:rPr>
        <w:t xml:space="preserve"> the interest in thereby receiving a peace guarantee.</w:t>
      </w:r>
      <w:r w:rsidRPr="002B2350">
        <w:rPr>
          <w:rStyle w:val="Funotenzeichen"/>
          <w:rFonts w:cs="Times New Roman"/>
        </w:rPr>
        <w:footnoteReference w:id="47"/>
      </w:r>
      <w:r w:rsidRPr="002B2350">
        <w:rPr>
          <w:rFonts w:cs="Times New Roman"/>
        </w:rPr>
        <w:t xml:space="preserve"> He also mentions economic interests in u</w:t>
      </w:r>
      <w:r w:rsidRPr="002B2350">
        <w:rPr>
          <w:rFonts w:cs="Times New Roman"/>
        </w:rPr>
        <w:t>s</w:t>
      </w:r>
      <w:r w:rsidRPr="002B2350">
        <w:rPr>
          <w:rFonts w:cs="Times New Roman"/>
        </w:rPr>
        <w:t>ing the Rhine as traffic route in order to obtain privileged access to the German markets for exporting goods from England and for importing other goods from Germany.</w:t>
      </w:r>
      <w:r w:rsidRPr="002B2350">
        <w:rPr>
          <w:rStyle w:val="Funotenzeichen"/>
          <w:rFonts w:cs="Times New Roman"/>
        </w:rPr>
        <w:footnoteReference w:id="48"/>
      </w:r>
      <w:r w:rsidRPr="002B2350">
        <w:rPr>
          <w:rFonts w:cs="Times New Roman"/>
        </w:rPr>
        <w:t xml:space="preserve"> Here a cr</w:t>
      </w:r>
      <w:r w:rsidRPr="002B2350">
        <w:rPr>
          <w:rFonts w:cs="Times New Roman"/>
        </w:rPr>
        <w:t>u</w:t>
      </w:r>
      <w:r w:rsidRPr="002B2350">
        <w:rPr>
          <w:rFonts w:cs="Times New Roman"/>
        </w:rPr>
        <w:t>cial aspect of the role of a mediator in international conflicts becomes visible: In addition to facil</w:t>
      </w:r>
      <w:r w:rsidRPr="002B2350">
        <w:rPr>
          <w:rFonts w:cs="Times New Roman"/>
        </w:rPr>
        <w:t>i</w:t>
      </w:r>
      <w:r w:rsidRPr="002B2350">
        <w:rPr>
          <w:rFonts w:cs="Times New Roman"/>
        </w:rPr>
        <w:t>tating communic</w:t>
      </w:r>
      <w:r w:rsidRPr="002B2350">
        <w:rPr>
          <w:rFonts w:cs="Times New Roman"/>
        </w:rPr>
        <w:t>a</w:t>
      </w:r>
      <w:r w:rsidRPr="002B2350">
        <w:rPr>
          <w:rFonts w:cs="Times New Roman"/>
        </w:rPr>
        <w:t>tion between parties in conflict, a mediator may offer to one (or more) of the parties concrete economic advantages conditional on reaching a peace agreement; and a mediator may back the peace agreement with a peace guarantee. This is why the capacity of international medi</w:t>
      </w:r>
      <w:r w:rsidRPr="002B2350">
        <w:rPr>
          <w:rFonts w:cs="Times New Roman"/>
        </w:rPr>
        <w:t>a</w:t>
      </w:r>
      <w:r w:rsidRPr="002B2350">
        <w:rPr>
          <w:rFonts w:cs="Times New Roman"/>
        </w:rPr>
        <w:t>tion becomes important for Leibniz’s discussion of whether the German princes possess sovereignty, and, therefore, the right to send a</w:t>
      </w:r>
      <w:r w:rsidRPr="002B2350">
        <w:rPr>
          <w:rFonts w:cs="Times New Roman"/>
        </w:rPr>
        <w:t>m</w:t>
      </w:r>
      <w:r w:rsidRPr="002B2350">
        <w:rPr>
          <w:rFonts w:cs="Times New Roman"/>
        </w:rPr>
        <w:t>bassadors.</w:t>
      </w:r>
    </w:p>
    <w:p w14:paraId="407E01B4" w14:textId="77777777" w:rsidR="005021A1" w:rsidRPr="002B2350" w:rsidRDefault="00AF5D80" w:rsidP="002B2350">
      <w:pPr>
        <w:spacing w:line="360" w:lineRule="auto"/>
        <w:jc w:val="both"/>
        <w:rPr>
          <w:rFonts w:cs="Times New Roman"/>
        </w:rPr>
      </w:pPr>
      <w:r>
        <w:rPr>
          <w:rFonts w:cs="Times New Roman"/>
        </w:rPr>
        <w:tab/>
        <w:t xml:space="preserve">Leibniz rejects </w:t>
      </w:r>
      <w:r w:rsidR="005021A1" w:rsidRPr="002B2350">
        <w:rPr>
          <w:rFonts w:cs="Times New Roman"/>
        </w:rPr>
        <w:t>a co</w:t>
      </w:r>
      <w:r w:rsidR="005021A1" w:rsidRPr="002B2350">
        <w:rPr>
          <w:rFonts w:cs="Times New Roman"/>
        </w:rPr>
        <w:t>n</w:t>
      </w:r>
      <w:r w:rsidR="005021A1" w:rsidRPr="002B2350">
        <w:rPr>
          <w:rFonts w:cs="Times New Roman"/>
        </w:rPr>
        <w:t>ception of sovereignty as mere</w:t>
      </w:r>
      <w:r>
        <w:rPr>
          <w:rFonts w:cs="Times New Roman"/>
        </w:rPr>
        <w:t>ly</w:t>
      </w:r>
      <w:r w:rsidR="005021A1" w:rsidRPr="002B2350">
        <w:rPr>
          <w:rFonts w:cs="Times New Roman"/>
        </w:rPr>
        <w:t xml:space="preserve"> factual, inde</w:t>
      </w:r>
      <w:r w:rsidR="004D74CD">
        <w:rPr>
          <w:rFonts w:cs="Times New Roman"/>
        </w:rPr>
        <w:t>pendent power since then a leader of a powerful band of brigands</w:t>
      </w:r>
      <w:r w:rsidR="005021A1" w:rsidRPr="002B2350">
        <w:rPr>
          <w:rFonts w:cs="Times New Roman"/>
        </w:rPr>
        <w:t xml:space="preserve"> would have to be regarded as</w:t>
      </w:r>
      <w:r w:rsidR="004D74CD">
        <w:rPr>
          <w:rFonts w:cs="Times New Roman"/>
        </w:rPr>
        <w:t xml:space="preserve"> a sovereign</w:t>
      </w:r>
      <w:r w:rsidR="005021A1" w:rsidRPr="002B2350">
        <w:rPr>
          <w:rFonts w:cs="Times New Roman"/>
        </w:rPr>
        <w:t>.</w:t>
      </w:r>
      <w:r w:rsidR="005021A1" w:rsidRPr="002B2350">
        <w:rPr>
          <w:rStyle w:val="Funotenzeichen"/>
          <w:rFonts w:cs="Times New Roman"/>
        </w:rPr>
        <w:footnoteReference w:id="49"/>
      </w:r>
      <w:r w:rsidR="005021A1" w:rsidRPr="002B2350">
        <w:rPr>
          <w:rFonts w:cs="Times New Roman"/>
        </w:rPr>
        <w:t xml:space="preserve"> Rather, he suggests that sovereignty must consist in a combination of two elements: (1) the d</w:t>
      </w:r>
      <w:r w:rsidR="005021A1" w:rsidRPr="002B2350">
        <w:rPr>
          <w:rFonts w:cs="Times New Roman"/>
        </w:rPr>
        <w:t>e</w:t>
      </w:r>
      <w:r w:rsidR="005021A1" w:rsidRPr="002B2350">
        <w:rPr>
          <w:rFonts w:cs="Times New Roman"/>
        </w:rPr>
        <w:t>mands of justice, and (2) the capability of using military force. Much of what he has to say about the function of the right to send ambassadors can be understood as an explication of the consequences of this thought.</w:t>
      </w:r>
      <w:r w:rsidR="005021A1" w:rsidRPr="002B2350">
        <w:rPr>
          <w:rStyle w:val="Funotenzeichen"/>
          <w:rFonts w:cs="Times New Roman"/>
        </w:rPr>
        <w:footnoteReference w:id="50"/>
      </w:r>
      <w:r w:rsidR="005021A1" w:rsidRPr="002B2350">
        <w:rPr>
          <w:rFonts w:cs="Times New Roman"/>
        </w:rPr>
        <w:t xml:space="preserve"> As we have seen, both elements are also crucial for early modern conceptions of the armed mediator. And, as I would like to suggest, Leibniz’s usage of the practices of international mediation and peace guarantees as an argument for the sove</w:t>
      </w:r>
      <w:r w:rsidR="005021A1" w:rsidRPr="002B2350">
        <w:rPr>
          <w:rFonts w:cs="Times New Roman"/>
        </w:rPr>
        <w:t>r</w:t>
      </w:r>
      <w:r w:rsidR="005021A1" w:rsidRPr="002B2350">
        <w:rPr>
          <w:rFonts w:cs="Times New Roman"/>
        </w:rPr>
        <w:t xml:space="preserve">eign nature of the powers involved in these practices could be best understood against the background of this theoretical development. </w:t>
      </w:r>
    </w:p>
    <w:p w14:paraId="3D142BE2" w14:textId="77777777" w:rsidR="005021A1" w:rsidRPr="002B2350" w:rsidRDefault="005021A1" w:rsidP="002B2350">
      <w:pPr>
        <w:spacing w:line="360" w:lineRule="auto"/>
        <w:jc w:val="both"/>
        <w:rPr>
          <w:rFonts w:cs="Times New Roman"/>
        </w:rPr>
      </w:pPr>
      <w:r w:rsidRPr="002B2350">
        <w:rPr>
          <w:rFonts w:cs="Times New Roman"/>
        </w:rPr>
        <w:tab/>
        <w:t>This first question that Leibniz’s conception of sovereignty raises, of course, is the que</w:t>
      </w:r>
      <w:r w:rsidRPr="002B2350">
        <w:rPr>
          <w:rFonts w:cs="Times New Roman"/>
        </w:rPr>
        <w:t>s</w:t>
      </w:r>
      <w:r w:rsidRPr="002B2350">
        <w:rPr>
          <w:rFonts w:cs="Times New Roman"/>
        </w:rPr>
        <w:t>tion concerning the relevant senses of ‘law’ and ‘justice’. Leibniz is clear that having domi</w:t>
      </w:r>
      <w:r w:rsidRPr="002B2350">
        <w:rPr>
          <w:rFonts w:cs="Times New Roman"/>
        </w:rPr>
        <w:t>n</w:t>
      </w:r>
      <w:r w:rsidRPr="002B2350">
        <w:rPr>
          <w:rFonts w:cs="Times New Roman"/>
        </w:rPr>
        <w:t>ion over justice within a given territory does not yet amount to either territorial dominion (</w:t>
      </w:r>
      <w:r w:rsidRPr="002B2350">
        <w:rPr>
          <w:rFonts w:cs="Times New Roman"/>
          <w:i/>
          <w:iCs/>
        </w:rPr>
        <w:t>s</w:t>
      </w:r>
      <w:r w:rsidRPr="002B2350">
        <w:rPr>
          <w:rFonts w:cs="Times New Roman"/>
          <w:i/>
          <w:iCs/>
        </w:rPr>
        <w:t>u</w:t>
      </w:r>
      <w:r w:rsidRPr="002B2350">
        <w:rPr>
          <w:rFonts w:cs="Times New Roman"/>
          <w:i/>
          <w:iCs/>
        </w:rPr>
        <w:t>perioritas territorialis</w:t>
      </w:r>
      <w:r w:rsidRPr="002B2350">
        <w:rPr>
          <w:rFonts w:cs="Times New Roman"/>
        </w:rPr>
        <w:t>) or to sovereignty (</w:t>
      </w:r>
      <w:r w:rsidRPr="002B2350">
        <w:rPr>
          <w:rFonts w:cs="Times New Roman"/>
          <w:i/>
          <w:iCs/>
        </w:rPr>
        <w:t>suprematus</w:t>
      </w:r>
      <w:r w:rsidRPr="002B2350">
        <w:rPr>
          <w:rFonts w:cs="Times New Roman"/>
        </w:rPr>
        <w:t>).</w:t>
      </w:r>
      <w:r w:rsidRPr="002B2350">
        <w:rPr>
          <w:rStyle w:val="Funotenzeichen"/>
          <w:rFonts w:cs="Times New Roman"/>
        </w:rPr>
        <w:footnoteReference w:id="51"/>
      </w:r>
      <w:r w:rsidRPr="002B2350">
        <w:rPr>
          <w:rFonts w:cs="Times New Roman"/>
        </w:rPr>
        <w:t xml:space="preserve"> What territorial dominion adds to dominion over jurisdiction is the capability to suppress revolts of one’s subjects through the use of military power.</w:t>
      </w:r>
      <w:r w:rsidRPr="002B2350">
        <w:rPr>
          <w:rStyle w:val="Funotenzeichen"/>
          <w:rFonts w:cs="Times New Roman"/>
        </w:rPr>
        <w:footnoteReference w:id="52"/>
      </w:r>
      <w:r w:rsidRPr="002B2350">
        <w:rPr>
          <w:rFonts w:cs="Times New Roman"/>
        </w:rPr>
        <w:t xml:space="preserve"> What sovereignty adds to both forms of dominion is the capability of affecting other commonwealths in a variety of ways: by using military means, by using non-</w:t>
      </w:r>
      <w:r w:rsidRPr="002B2350">
        <w:rPr>
          <w:rFonts w:cs="Times New Roman"/>
        </w:rPr>
        <w:lastRenderedPageBreak/>
        <w:t>military sanctions, and by playing a role in international negotiations.</w:t>
      </w:r>
      <w:r w:rsidRPr="002B2350">
        <w:rPr>
          <w:rStyle w:val="Funotenzeichen"/>
          <w:rFonts w:cs="Times New Roman"/>
        </w:rPr>
        <w:footnoteReference w:id="53"/>
      </w:r>
      <w:r w:rsidRPr="002B2350">
        <w:rPr>
          <w:rFonts w:cs="Times New Roman"/>
        </w:rPr>
        <w:t xml:space="preserve"> And what these means have in common is that they are regulated by the law of nations. Sovereignty, thus, is chara</w:t>
      </w:r>
      <w:r w:rsidRPr="002B2350">
        <w:rPr>
          <w:rFonts w:cs="Times New Roman"/>
        </w:rPr>
        <w:t>c</w:t>
      </w:r>
      <w:r w:rsidRPr="002B2350">
        <w:rPr>
          <w:rFonts w:cs="Times New Roman"/>
        </w:rPr>
        <w:t>terized as the capability of shaping international relations according to the demands of the law of nations. And it is from this perspective that Leibniz asks whether the German princes po</w:t>
      </w:r>
      <w:r w:rsidRPr="002B2350">
        <w:rPr>
          <w:rFonts w:cs="Times New Roman"/>
        </w:rPr>
        <w:t>s</w:t>
      </w:r>
      <w:r w:rsidRPr="002B2350">
        <w:rPr>
          <w:rFonts w:cs="Times New Roman"/>
        </w:rPr>
        <w:t>sess sovereignty.</w:t>
      </w:r>
    </w:p>
    <w:p w14:paraId="49E4609B" w14:textId="77777777" w:rsidR="005021A1" w:rsidRPr="002B2350" w:rsidRDefault="0090706C" w:rsidP="002B2350">
      <w:pPr>
        <w:spacing w:line="360" w:lineRule="auto"/>
        <w:ind w:firstLine="397"/>
        <w:jc w:val="both"/>
        <w:rPr>
          <w:rFonts w:cs="Times New Roman"/>
        </w:rPr>
      </w:pPr>
      <w:r>
        <w:rPr>
          <w:rFonts w:cs="Times New Roman"/>
        </w:rPr>
        <w:t>Famously, Bodin holds</w:t>
      </w:r>
      <w:r w:rsidRPr="002B2350">
        <w:rPr>
          <w:rFonts w:cs="Times New Roman"/>
        </w:rPr>
        <w:t xml:space="preserve"> that the mark of sovereign </w:t>
      </w:r>
      <w:r>
        <w:rPr>
          <w:rFonts w:cs="Times New Roman"/>
        </w:rPr>
        <w:t>power is not to depend on any other power</w:t>
      </w:r>
      <w:r w:rsidRPr="002B2350">
        <w:rPr>
          <w:rFonts w:cs="Times New Roman"/>
        </w:rPr>
        <w:t xml:space="preserve"> (besides God).</w:t>
      </w:r>
      <w:r w:rsidRPr="002B2350">
        <w:rPr>
          <w:rStyle w:val="Funotenzeichen"/>
          <w:rFonts w:cs="Times New Roman"/>
        </w:rPr>
        <w:footnoteReference w:id="54"/>
      </w:r>
      <w:r w:rsidRPr="002B2350">
        <w:rPr>
          <w:rFonts w:cs="Times New Roman"/>
        </w:rPr>
        <w:t xml:space="preserve"> </w:t>
      </w:r>
      <w:r>
        <w:rPr>
          <w:rFonts w:cs="Times New Roman"/>
        </w:rPr>
        <w:t xml:space="preserve">Independence from other powers, in Bodin’s view, is compatible with the existence of obligations arising from natural </w:t>
      </w:r>
      <w:r w:rsidR="008D79E5">
        <w:rPr>
          <w:rFonts w:cs="Times New Roman"/>
        </w:rPr>
        <w:t xml:space="preserve">and divine </w:t>
      </w:r>
      <w:r>
        <w:rPr>
          <w:rFonts w:cs="Times New Roman"/>
        </w:rPr>
        <w:t>law.</w:t>
      </w:r>
      <w:r>
        <w:rPr>
          <w:rStyle w:val="Funotenzeichen"/>
          <w:rFonts w:cs="Times New Roman"/>
        </w:rPr>
        <w:footnoteReference w:id="55"/>
      </w:r>
      <w:r>
        <w:rPr>
          <w:rFonts w:cs="Times New Roman"/>
        </w:rPr>
        <w:t xml:space="preserve"> In particular, Bodin argues that the sovereign is bound to fulfil his promises, for two reasons: (1) natural equity demands the fulfillment of agreements, and (2) the prince’s good faith is what Bodin calls the “formal guarantor” of the good faith that the citizens have with respect to each other.</w:t>
      </w:r>
      <w:r>
        <w:rPr>
          <w:rStyle w:val="Funotenzeichen"/>
          <w:rFonts w:cs="Times New Roman"/>
        </w:rPr>
        <w:footnoteReference w:id="56"/>
      </w:r>
      <w:r>
        <w:rPr>
          <w:rFonts w:cs="Times New Roman"/>
        </w:rPr>
        <w:t xml:space="preserve"> The contrast between Bodin and Leibniz, therefore, should not simply be described as a contrast between embracing absolutism and rejecting it. In fact, a</w:t>
      </w:r>
      <w:r w:rsidR="005021A1" w:rsidRPr="002B2350">
        <w:rPr>
          <w:rFonts w:cs="Times New Roman"/>
        </w:rPr>
        <w:t xml:space="preserve"> certain degree of independence matters </w:t>
      </w:r>
      <w:r>
        <w:rPr>
          <w:rFonts w:cs="Times New Roman"/>
        </w:rPr>
        <w:t xml:space="preserve">also </w:t>
      </w:r>
      <w:r w:rsidR="005021A1" w:rsidRPr="002B2350">
        <w:rPr>
          <w:rFonts w:cs="Times New Roman"/>
        </w:rPr>
        <w:t>for Leibniz’s conception of sovereignty. This becomes clear when he denies that the capability of the free cities of the Hanse to jointly set up an army to combat the Swedish forces is suff</w:t>
      </w:r>
      <w:r w:rsidR="005021A1" w:rsidRPr="002B2350">
        <w:rPr>
          <w:rFonts w:cs="Times New Roman"/>
        </w:rPr>
        <w:t>i</w:t>
      </w:r>
      <w:r w:rsidR="005021A1" w:rsidRPr="002B2350">
        <w:rPr>
          <w:rFonts w:cs="Times New Roman"/>
        </w:rPr>
        <w:t>cient to count as a mark of sovereignty of these cities.</w:t>
      </w:r>
      <w:r w:rsidR="00251E7B">
        <w:rPr>
          <w:rStyle w:val="Funotenzeichen"/>
          <w:rFonts w:cs="Times New Roman"/>
        </w:rPr>
        <w:footnoteReference w:id="57"/>
      </w:r>
      <w:r w:rsidR="005021A1" w:rsidRPr="002B2350">
        <w:rPr>
          <w:rFonts w:cs="Times New Roman"/>
        </w:rPr>
        <w:t xml:space="preserve"> At the same time, Leibniz regards the capability of smaller princes to effectively influence the course of international affairs through negotiations as a sign of sovereignty, even if these princes lack independence from the polit</w:t>
      </w:r>
      <w:r w:rsidR="005021A1" w:rsidRPr="002B2350">
        <w:rPr>
          <w:rFonts w:cs="Times New Roman"/>
        </w:rPr>
        <w:t>i</w:t>
      </w:r>
      <w:r w:rsidR="005021A1" w:rsidRPr="002B2350">
        <w:rPr>
          <w:rFonts w:cs="Times New Roman"/>
        </w:rPr>
        <w:t>cal structure of the Holy Roman Empire of the German Nation. This seems to be the crucial juncture at which Leibniz’s conception of sovereignty departs from Bodin’s. And since Lei</w:t>
      </w:r>
      <w:r w:rsidR="005021A1" w:rsidRPr="002B2350">
        <w:rPr>
          <w:rFonts w:cs="Times New Roman"/>
        </w:rPr>
        <w:t>b</w:t>
      </w:r>
      <w:r w:rsidR="005021A1" w:rsidRPr="002B2350">
        <w:rPr>
          <w:rFonts w:cs="Times New Roman"/>
        </w:rPr>
        <w:t>niz discusses Bodin’s views and also the historical material presented by Bodin at many pla</w:t>
      </w:r>
      <w:r w:rsidR="005021A1" w:rsidRPr="002B2350">
        <w:rPr>
          <w:rFonts w:cs="Times New Roman"/>
        </w:rPr>
        <w:t>c</w:t>
      </w:r>
      <w:r w:rsidR="005021A1" w:rsidRPr="002B2350">
        <w:rPr>
          <w:rFonts w:cs="Times New Roman"/>
        </w:rPr>
        <w:t xml:space="preserve">es in </w:t>
      </w:r>
      <w:r w:rsidR="005021A1" w:rsidRPr="002B2350">
        <w:rPr>
          <w:rFonts w:cs="Times New Roman"/>
          <w:i/>
          <w:iCs/>
        </w:rPr>
        <w:t>Caesarinus Fürstenerius</w:t>
      </w:r>
      <w:r w:rsidR="005021A1" w:rsidRPr="002B2350">
        <w:rPr>
          <w:rFonts w:cs="Times New Roman"/>
        </w:rPr>
        <w:t>, it will be useful to highlight some points in Bodin’s thought that make clear the novelty of Leibniz’s conception of sovereignty.</w:t>
      </w:r>
    </w:p>
    <w:p w14:paraId="595AFC8A" w14:textId="77777777" w:rsidR="005021A1" w:rsidRPr="002B2350" w:rsidRDefault="007D7F37" w:rsidP="002B2350">
      <w:pPr>
        <w:spacing w:line="360" w:lineRule="auto"/>
        <w:ind w:firstLine="397"/>
        <w:jc w:val="both"/>
        <w:rPr>
          <w:rFonts w:cs="Times New Roman"/>
        </w:rPr>
      </w:pPr>
      <w:r>
        <w:rPr>
          <w:rFonts w:cs="Times New Roman"/>
        </w:rPr>
        <w:t>Bodin’s views concerning arbitration are closely connected with an analysis of the nature of sovereignty. He</w:t>
      </w:r>
      <w:r w:rsidR="005021A1" w:rsidRPr="002B2350">
        <w:rPr>
          <w:rFonts w:cs="Times New Roman"/>
        </w:rPr>
        <w:t xml:space="preserve"> does not restrict the role of arbiters to the princes but ties the origin of the authority of arbiters to princes. Thus, in the case of controversies between aristocrats, the prince can nominate arbiters, under the condition that the parties involved agree with his choice. In such situations, delegating the task of arbitration is, in Bodin’s view, what is d</w:t>
      </w:r>
      <w:r w:rsidR="005021A1" w:rsidRPr="002B2350">
        <w:rPr>
          <w:rFonts w:cs="Times New Roman"/>
        </w:rPr>
        <w:t>e</w:t>
      </w:r>
      <w:r w:rsidR="005021A1" w:rsidRPr="002B2350">
        <w:rPr>
          <w:rFonts w:cs="Times New Roman"/>
        </w:rPr>
        <w:t xml:space="preserve">manded by political prudence because thereby the prince is able to avoid any appearance of </w:t>
      </w:r>
      <w:r w:rsidR="005021A1" w:rsidRPr="002B2350">
        <w:rPr>
          <w:rFonts w:cs="Times New Roman"/>
        </w:rPr>
        <w:lastRenderedPageBreak/>
        <w:t>partiality.</w:t>
      </w:r>
      <w:r w:rsidR="005021A1" w:rsidRPr="002B2350">
        <w:rPr>
          <w:rStyle w:val="Funotenzeichen"/>
          <w:rFonts w:cs="Times New Roman"/>
        </w:rPr>
        <w:footnoteReference w:id="58"/>
      </w:r>
      <w:r w:rsidR="005021A1" w:rsidRPr="002B2350">
        <w:rPr>
          <w:rFonts w:cs="Times New Roman"/>
        </w:rPr>
        <w:t xml:space="preserve"> </w:t>
      </w:r>
      <w:r w:rsidR="004C63C7">
        <w:rPr>
          <w:rFonts w:cs="Times New Roman"/>
        </w:rPr>
        <w:t>Generally, he holds that natural equity “lies in the arbitration of those who know how to handle the affairs of the state, and to balance wisely the individual profit against to public profit, according to the differences of time, place, and persons […].”</w:t>
      </w:r>
      <w:r w:rsidR="004C63C7">
        <w:rPr>
          <w:rStyle w:val="Funotenzeichen"/>
          <w:rFonts w:cs="Times New Roman"/>
        </w:rPr>
        <w:footnoteReference w:id="59"/>
      </w:r>
      <w:r w:rsidR="00955D7F">
        <w:rPr>
          <w:rFonts w:cs="Times New Roman"/>
        </w:rPr>
        <w:t xml:space="preserve"> </w:t>
      </w:r>
      <w:r w:rsidR="005021A1" w:rsidRPr="002B2350">
        <w:rPr>
          <w:rFonts w:cs="Times New Roman"/>
        </w:rPr>
        <w:t>The co</w:t>
      </w:r>
      <w:r w:rsidR="005021A1" w:rsidRPr="002B2350">
        <w:rPr>
          <w:rFonts w:cs="Times New Roman"/>
        </w:rPr>
        <w:t>n</w:t>
      </w:r>
      <w:r w:rsidR="005021A1" w:rsidRPr="002B2350">
        <w:rPr>
          <w:rFonts w:cs="Times New Roman"/>
        </w:rPr>
        <w:t>nection between sovereignty and arbitration is reinforced by Bodin’s reluctance to allow any function in arbitration to magistrates. Generally, he believes that arbitration is outside the power of magistrates because it is the task of the judg</w:t>
      </w:r>
      <w:r w:rsidR="008D79E5">
        <w:rPr>
          <w:rFonts w:cs="Times New Roman"/>
        </w:rPr>
        <w:t>e to pass judgment only about</w:t>
      </w:r>
      <w:r w:rsidR="005021A1" w:rsidRPr="002B2350">
        <w:rPr>
          <w:rFonts w:cs="Times New Roman"/>
        </w:rPr>
        <w:t xml:space="preserve"> fact</w:t>
      </w:r>
      <w:r w:rsidR="008D79E5">
        <w:rPr>
          <w:rFonts w:cs="Times New Roman"/>
        </w:rPr>
        <w:t>s, not about the</w:t>
      </w:r>
      <w:r w:rsidR="005021A1" w:rsidRPr="002B2350">
        <w:rPr>
          <w:rFonts w:cs="Times New Roman"/>
        </w:rPr>
        <w:t xml:space="preserve"> law</w:t>
      </w:r>
      <w:r w:rsidR="008D79E5">
        <w:rPr>
          <w:rFonts w:cs="Times New Roman"/>
        </w:rPr>
        <w:t xml:space="preserve"> itself</w:t>
      </w:r>
      <w:r w:rsidR="005021A1" w:rsidRPr="002B2350">
        <w:rPr>
          <w:rFonts w:cs="Times New Roman"/>
        </w:rPr>
        <w:t>.</w:t>
      </w:r>
      <w:r>
        <w:rPr>
          <w:rStyle w:val="Funotenzeichen"/>
          <w:rFonts w:cs="Times New Roman"/>
        </w:rPr>
        <w:footnoteReference w:id="60"/>
      </w:r>
      <w:r w:rsidR="005021A1" w:rsidRPr="002B2350">
        <w:rPr>
          <w:rFonts w:cs="Times New Roman"/>
        </w:rPr>
        <w:t xml:space="preserve"> Bodin’s position reflects a real tension between the d</w:t>
      </w:r>
      <w:r w:rsidR="005021A1" w:rsidRPr="002B2350">
        <w:rPr>
          <w:rFonts w:cs="Times New Roman"/>
        </w:rPr>
        <w:t>e</w:t>
      </w:r>
      <w:r w:rsidR="005021A1" w:rsidRPr="002B2350">
        <w:rPr>
          <w:rFonts w:cs="Times New Roman"/>
        </w:rPr>
        <w:t>mands of central powers and the customary right of regional magistrates to function in arbitrati</w:t>
      </w:r>
      <w:r>
        <w:rPr>
          <w:rFonts w:cs="Times New Roman"/>
        </w:rPr>
        <w:t>on and mediation.</w:t>
      </w:r>
      <w:r w:rsidR="005021A1" w:rsidRPr="002B2350">
        <w:rPr>
          <w:rFonts w:cs="Times New Roman"/>
        </w:rPr>
        <w:t xml:space="preserve"> Bodin recalls the following controversy: </w:t>
      </w:r>
    </w:p>
    <w:p w14:paraId="129718FF" w14:textId="77777777" w:rsidR="005021A1" w:rsidRPr="002B2350" w:rsidRDefault="005021A1" w:rsidP="002B2350">
      <w:pPr>
        <w:spacing w:line="360" w:lineRule="auto"/>
        <w:jc w:val="both"/>
        <w:rPr>
          <w:rFonts w:cs="Times New Roman"/>
        </w:rPr>
      </w:pPr>
    </w:p>
    <w:p w14:paraId="49A6A077" w14:textId="77777777" w:rsidR="005021A1" w:rsidRPr="002B2350" w:rsidRDefault="002B2350" w:rsidP="002B2350">
      <w:pPr>
        <w:spacing w:line="360" w:lineRule="auto"/>
        <w:jc w:val="both"/>
        <w:rPr>
          <w:rFonts w:cs="Times New Roman"/>
          <w:sz w:val="20"/>
          <w:szCs w:val="20"/>
        </w:rPr>
      </w:pPr>
      <w:r w:rsidRPr="002B2350">
        <w:rPr>
          <w:rFonts w:cs="Times New Roman"/>
          <w:sz w:val="20"/>
          <w:szCs w:val="20"/>
        </w:rPr>
        <w:t>“</w:t>
      </w:r>
      <w:r w:rsidR="005D5149">
        <w:rPr>
          <w:rFonts w:cs="Times New Roman"/>
          <w:sz w:val="20"/>
          <w:szCs w:val="20"/>
        </w:rPr>
        <w:t>[</w:t>
      </w:r>
      <w:r w:rsidR="005021A1" w:rsidRPr="002B2350">
        <w:rPr>
          <w:rFonts w:cs="Times New Roman"/>
          <w:sz w:val="20"/>
          <w:szCs w:val="20"/>
        </w:rPr>
        <w:t>A</w:t>
      </w:r>
      <w:r w:rsidR="005D5149">
        <w:rPr>
          <w:rFonts w:cs="Times New Roman"/>
          <w:sz w:val="20"/>
          <w:szCs w:val="20"/>
        </w:rPr>
        <w:t>]</w:t>
      </w:r>
      <w:r w:rsidR="005021A1" w:rsidRPr="002B2350">
        <w:rPr>
          <w:rFonts w:cs="Times New Roman"/>
          <w:sz w:val="20"/>
          <w:szCs w:val="20"/>
        </w:rPr>
        <w:t xml:space="preserve">fter King </w:t>
      </w:r>
      <w:r w:rsidRPr="002B2350">
        <w:rPr>
          <w:rFonts w:cs="Times New Roman"/>
          <w:sz w:val="20"/>
          <w:szCs w:val="20"/>
          <w:lang w:val="fr-FR"/>
        </w:rPr>
        <w:t>François</w:t>
      </w:r>
      <w:r w:rsidR="005021A1" w:rsidRPr="002B2350">
        <w:rPr>
          <w:rFonts w:cs="Times New Roman"/>
          <w:sz w:val="20"/>
          <w:szCs w:val="20"/>
        </w:rPr>
        <w:t xml:space="preserve"> I had acquired Savoy, the new governors and magistrates quite often judged against cu</w:t>
      </w:r>
      <w:r w:rsidR="005021A1" w:rsidRPr="002B2350">
        <w:rPr>
          <w:rFonts w:cs="Times New Roman"/>
          <w:sz w:val="20"/>
          <w:szCs w:val="20"/>
        </w:rPr>
        <w:t>s</w:t>
      </w:r>
      <w:r w:rsidR="005021A1" w:rsidRPr="002B2350">
        <w:rPr>
          <w:rFonts w:cs="Times New Roman"/>
          <w:sz w:val="20"/>
          <w:szCs w:val="20"/>
        </w:rPr>
        <w:t>tom and written law, with a view to equity. Subsequently, the estates of the country sent their deputies to the king to obtain patents containing the interdiction to the magistrate to continue to judge according to equity […].</w:t>
      </w:r>
      <w:r w:rsidRPr="002B2350">
        <w:rPr>
          <w:rFonts w:cs="Times New Roman"/>
          <w:sz w:val="20"/>
          <w:szCs w:val="20"/>
        </w:rPr>
        <w:t>”</w:t>
      </w:r>
      <w:r w:rsidR="005021A1" w:rsidRPr="002B2350">
        <w:rPr>
          <w:rStyle w:val="Funotenzeichen"/>
          <w:rFonts w:cs="Times New Roman"/>
          <w:sz w:val="20"/>
          <w:szCs w:val="20"/>
        </w:rPr>
        <w:footnoteReference w:id="61"/>
      </w:r>
      <w:r w:rsidR="005021A1" w:rsidRPr="002B2350">
        <w:rPr>
          <w:rFonts w:cs="Times New Roman"/>
          <w:sz w:val="20"/>
          <w:szCs w:val="20"/>
        </w:rPr>
        <w:t xml:space="preserve"> </w:t>
      </w:r>
    </w:p>
    <w:p w14:paraId="1866C70E" w14:textId="77777777" w:rsidR="005021A1" w:rsidRPr="002B2350" w:rsidRDefault="005021A1" w:rsidP="002B2350">
      <w:pPr>
        <w:spacing w:line="360" w:lineRule="auto"/>
        <w:jc w:val="both"/>
        <w:rPr>
          <w:rFonts w:cs="Times New Roman"/>
        </w:rPr>
      </w:pPr>
    </w:p>
    <w:p w14:paraId="39EF250D" w14:textId="77777777" w:rsidR="005021A1" w:rsidRPr="002B2350" w:rsidRDefault="005021A1" w:rsidP="002B2350">
      <w:pPr>
        <w:spacing w:line="360" w:lineRule="auto"/>
        <w:jc w:val="both"/>
        <w:rPr>
          <w:rFonts w:cs="Times New Roman"/>
        </w:rPr>
      </w:pPr>
      <w:r w:rsidRPr="002B2350">
        <w:rPr>
          <w:rFonts w:cs="Times New Roman"/>
        </w:rPr>
        <w:t>The only occasion fo</w:t>
      </w:r>
      <w:r w:rsidR="00955D7F">
        <w:rPr>
          <w:rFonts w:cs="Times New Roman"/>
        </w:rPr>
        <w:t>r magistrates to use equity</w:t>
      </w:r>
      <w:r w:rsidRPr="002B2350">
        <w:rPr>
          <w:rFonts w:cs="Times New Roman"/>
        </w:rPr>
        <w:t xml:space="preserve">, in Bodin’s view, are </w:t>
      </w:r>
      <w:r w:rsidR="00955D7F">
        <w:rPr>
          <w:rFonts w:cs="Times New Roman"/>
        </w:rPr>
        <w:t>cases which the strict application of the law lead to counterintuitive harshness or mildness,</w:t>
      </w:r>
      <w:r w:rsidR="00AB53EC">
        <w:rPr>
          <w:rFonts w:cs="Times New Roman"/>
        </w:rPr>
        <w:t xml:space="preserve"> or cases that have been forgotten by the law</w:t>
      </w:r>
      <w:r w:rsidR="00955D7F">
        <w:rPr>
          <w:rFonts w:cs="Times New Roman"/>
        </w:rPr>
        <w:t xml:space="preserve"> while equity in the sense of explicating or correcting the law should be reserved to the prince.</w:t>
      </w:r>
      <w:r w:rsidRPr="002B2350">
        <w:rPr>
          <w:rStyle w:val="Funotenzeichen"/>
          <w:rFonts w:cs="Times New Roman"/>
        </w:rPr>
        <w:footnoteReference w:id="62"/>
      </w:r>
      <w:r w:rsidRPr="002B2350">
        <w:rPr>
          <w:rFonts w:cs="Times New Roman"/>
        </w:rPr>
        <w:t xml:space="preserve"> </w:t>
      </w:r>
      <w:r w:rsidR="00AB53EC">
        <w:rPr>
          <w:rFonts w:cs="Times New Roman"/>
        </w:rPr>
        <w:t xml:space="preserve">Consequently, </w:t>
      </w:r>
      <w:r w:rsidRPr="002B2350">
        <w:rPr>
          <w:rFonts w:cs="Times New Roman"/>
        </w:rPr>
        <w:t>Bodin holds that the power to judge according t</w:t>
      </w:r>
      <w:r w:rsidR="00955D7F">
        <w:rPr>
          <w:rFonts w:cs="Times New Roman"/>
        </w:rPr>
        <w:t>o e</w:t>
      </w:r>
      <w:r w:rsidR="00955D7F">
        <w:rPr>
          <w:rFonts w:cs="Times New Roman"/>
        </w:rPr>
        <w:t>q</w:t>
      </w:r>
      <w:r w:rsidR="00955D7F">
        <w:rPr>
          <w:rFonts w:cs="Times New Roman"/>
        </w:rPr>
        <w:t xml:space="preserve">uity comes in </w:t>
      </w:r>
      <w:r w:rsidR="00AB53EC">
        <w:rPr>
          <w:rFonts w:cs="Times New Roman"/>
        </w:rPr>
        <w:t xml:space="preserve">several </w:t>
      </w:r>
      <w:r w:rsidR="00955D7F">
        <w:rPr>
          <w:rFonts w:cs="Times New Roman"/>
        </w:rPr>
        <w:t>degrees.</w:t>
      </w:r>
      <w:r w:rsidR="00AB53EC">
        <w:rPr>
          <w:rStyle w:val="Funotenzeichen"/>
          <w:rFonts w:cs="Times New Roman"/>
        </w:rPr>
        <w:footnoteReference w:id="63"/>
      </w:r>
      <w:r w:rsidR="00955D7F">
        <w:rPr>
          <w:rFonts w:cs="Times New Roman"/>
        </w:rPr>
        <w:t xml:space="preserve"> This idea follows from</w:t>
      </w:r>
      <w:r w:rsidRPr="002B2350">
        <w:rPr>
          <w:rFonts w:cs="Times New Roman"/>
        </w:rPr>
        <w:t xml:space="preserve"> the view that the origin of this power always resides in the p</w:t>
      </w:r>
      <w:r w:rsidR="00AB53EC">
        <w:rPr>
          <w:rFonts w:cs="Times New Roman"/>
        </w:rPr>
        <w:t>rince, who</w:t>
      </w:r>
      <w:r w:rsidRPr="002B2350">
        <w:rPr>
          <w:rFonts w:cs="Times New Roman"/>
        </w:rPr>
        <w:t xml:space="preserve"> can delegate it to other powers. It does not reside </w:t>
      </w:r>
      <w:r w:rsidR="00955D7F">
        <w:rPr>
          <w:rFonts w:cs="Times New Roman"/>
        </w:rPr>
        <w:t xml:space="preserve">by itself </w:t>
      </w:r>
      <w:r w:rsidRPr="002B2350">
        <w:rPr>
          <w:rFonts w:cs="Times New Roman"/>
        </w:rPr>
        <w:t>in magistrates and, hence, also cannot be delegated by magistrates to someone else.</w:t>
      </w:r>
      <w:r w:rsidRPr="002B2350">
        <w:rPr>
          <w:rStyle w:val="Funotenzeichen"/>
          <w:rFonts w:cs="Times New Roman"/>
        </w:rPr>
        <w:footnoteReference w:id="64"/>
      </w:r>
      <w:r w:rsidRPr="002B2350">
        <w:rPr>
          <w:rFonts w:cs="Times New Roman"/>
        </w:rPr>
        <w:t xml:space="preserve"> This is why Bodin maintains that even when it is held by a delegate of the prince, the power of arb</w:t>
      </w:r>
      <w:r w:rsidRPr="002B2350">
        <w:rPr>
          <w:rFonts w:cs="Times New Roman"/>
        </w:rPr>
        <w:t>i</w:t>
      </w:r>
      <w:r w:rsidRPr="002B2350">
        <w:rPr>
          <w:rFonts w:cs="Times New Roman"/>
        </w:rPr>
        <w:t>trati</w:t>
      </w:r>
      <w:r w:rsidR="007602F5">
        <w:rPr>
          <w:rFonts w:cs="Times New Roman"/>
        </w:rPr>
        <w:t>on is</w:t>
      </w:r>
      <w:r w:rsidR="00AB53EC">
        <w:rPr>
          <w:rFonts w:cs="Times New Roman"/>
        </w:rPr>
        <w:t xml:space="preserve"> </w:t>
      </w:r>
      <w:r w:rsidR="007602F5">
        <w:rPr>
          <w:rFonts w:cs="Times New Roman"/>
        </w:rPr>
        <w:t>“</w:t>
      </w:r>
      <w:r w:rsidR="00AB53EC">
        <w:rPr>
          <w:rFonts w:cs="Times New Roman"/>
        </w:rPr>
        <w:t>almost</w:t>
      </w:r>
      <w:r w:rsidR="007602F5">
        <w:rPr>
          <w:rFonts w:cs="Times New Roman"/>
        </w:rPr>
        <w:t xml:space="preserve"> an</w:t>
      </w:r>
      <w:r w:rsidR="00AB53EC">
        <w:rPr>
          <w:rFonts w:cs="Times New Roman"/>
        </w:rPr>
        <w:t xml:space="preserve"> absolute power</w:t>
      </w:r>
      <w:r w:rsidRPr="002B2350">
        <w:rPr>
          <w:rFonts w:cs="Times New Roman"/>
        </w:rPr>
        <w:t>”</w:t>
      </w:r>
      <w:r w:rsidR="007602F5">
        <w:rPr>
          <w:rFonts w:cs="Times New Roman"/>
        </w:rPr>
        <w:t xml:space="preserve"> (</w:t>
      </w:r>
      <w:r w:rsidR="007602F5" w:rsidRPr="007602F5">
        <w:rPr>
          <w:rFonts w:cs="Times New Roman"/>
          <w:i/>
        </w:rPr>
        <w:t>presque une puissance absolue</w:t>
      </w:r>
      <w:r w:rsidR="007602F5">
        <w:rPr>
          <w:rFonts w:cs="Times New Roman"/>
        </w:rPr>
        <w:t>)</w:t>
      </w:r>
      <w:r w:rsidR="00AB53EC">
        <w:rPr>
          <w:rFonts w:cs="Times New Roman"/>
        </w:rPr>
        <w:t>.</w:t>
      </w:r>
      <w:r w:rsidRPr="002B2350">
        <w:rPr>
          <w:rStyle w:val="Funotenzeichen"/>
          <w:rFonts w:cs="Times New Roman"/>
        </w:rPr>
        <w:footnoteReference w:id="65"/>
      </w:r>
      <w:r w:rsidRPr="002B2350">
        <w:rPr>
          <w:rFonts w:cs="Times New Roman"/>
        </w:rPr>
        <w:t xml:space="preserve"> </w:t>
      </w:r>
      <w:r w:rsidR="007602F5">
        <w:rPr>
          <w:rFonts w:cs="Times New Roman"/>
        </w:rPr>
        <w:t>This is why the sta</w:t>
      </w:r>
      <w:r w:rsidR="007602F5">
        <w:rPr>
          <w:rFonts w:cs="Times New Roman"/>
        </w:rPr>
        <w:t>n</w:t>
      </w:r>
      <w:r w:rsidR="007602F5">
        <w:rPr>
          <w:rFonts w:cs="Times New Roman"/>
        </w:rPr>
        <w:t>dards of natural equity to which the prince is bound is also constitutive for the</w:t>
      </w:r>
      <w:r w:rsidR="009D4841">
        <w:rPr>
          <w:rFonts w:cs="Times New Roman"/>
        </w:rPr>
        <w:t xml:space="preserve"> role of the </w:t>
      </w:r>
      <w:r w:rsidR="009D4841">
        <w:rPr>
          <w:rFonts w:cs="Times New Roman"/>
        </w:rPr>
        <w:lastRenderedPageBreak/>
        <w:t>delegates charged with</w:t>
      </w:r>
      <w:r w:rsidR="007602F5">
        <w:rPr>
          <w:rFonts w:cs="Times New Roman"/>
        </w:rPr>
        <w:t xml:space="preserve"> arbitration: “[I]n any case, it is certain that the power is limited to the arbitration of a good person and to the terms of equity, to which even </w:t>
      </w:r>
      <w:r w:rsidR="00221AEC">
        <w:rPr>
          <w:rFonts w:cs="Times New Roman"/>
        </w:rPr>
        <w:t>the prince must relate his judg</w:t>
      </w:r>
      <w:r w:rsidR="007602F5">
        <w:rPr>
          <w:rFonts w:cs="Times New Roman"/>
        </w:rPr>
        <w:t>ments.”</w:t>
      </w:r>
      <w:r w:rsidR="007602F5">
        <w:rPr>
          <w:rStyle w:val="Funotenzeichen"/>
          <w:rFonts w:cs="Times New Roman"/>
        </w:rPr>
        <w:footnoteReference w:id="66"/>
      </w:r>
      <w:r w:rsidR="007602F5">
        <w:rPr>
          <w:rFonts w:cs="Times New Roman"/>
        </w:rPr>
        <w:t xml:space="preserve"> </w:t>
      </w:r>
    </w:p>
    <w:p w14:paraId="266D29B5" w14:textId="77777777" w:rsidR="005021A1" w:rsidRPr="002B2350" w:rsidRDefault="007602F5" w:rsidP="002B2350">
      <w:pPr>
        <w:spacing w:line="360" w:lineRule="auto"/>
        <w:ind w:firstLine="397"/>
        <w:jc w:val="both"/>
        <w:rPr>
          <w:rFonts w:cs="Times New Roman"/>
        </w:rPr>
      </w:pPr>
      <w:r>
        <w:rPr>
          <w:rFonts w:cs="Times New Roman"/>
        </w:rPr>
        <w:t>As Bodin</w:t>
      </w:r>
      <w:r w:rsidR="005021A1" w:rsidRPr="002B2350">
        <w:rPr>
          <w:rFonts w:cs="Times New Roman"/>
        </w:rPr>
        <w:t xml:space="preserve"> argues, the difference between the Swiss Cantons and the estates of the Empire is that the cities can be subject to the imperial ban and the Emperor be dethroned.</w:t>
      </w:r>
      <w:r w:rsidR="005021A1" w:rsidRPr="002B2350">
        <w:rPr>
          <w:rStyle w:val="Funotenzeichen"/>
          <w:rFonts w:cs="Times New Roman"/>
        </w:rPr>
        <w:footnoteReference w:id="67"/>
      </w:r>
      <w:r w:rsidR="005021A1" w:rsidRPr="002B2350">
        <w:rPr>
          <w:rFonts w:cs="Times New Roman"/>
        </w:rPr>
        <w:t xml:space="preserve"> Hence, the sovereignty lies not in any single prince or free city of the Empire, nor does it lie in the E</w:t>
      </w:r>
      <w:r w:rsidR="005021A1" w:rsidRPr="002B2350">
        <w:rPr>
          <w:rFonts w:cs="Times New Roman"/>
        </w:rPr>
        <w:t>m</w:t>
      </w:r>
      <w:r w:rsidR="005021A1" w:rsidRPr="002B2350">
        <w:rPr>
          <w:rFonts w:cs="Times New Roman"/>
        </w:rPr>
        <w:t>peror b</w:t>
      </w:r>
      <w:r w:rsidR="004B4E2F">
        <w:rPr>
          <w:rFonts w:cs="Times New Roman"/>
        </w:rPr>
        <w:t>ut rather in the</w:t>
      </w:r>
      <w:r w:rsidR="005021A1" w:rsidRPr="002B2350">
        <w:rPr>
          <w:rFonts w:cs="Times New Roman"/>
        </w:rPr>
        <w:t xml:space="preserve"> </w:t>
      </w:r>
      <w:r w:rsidR="005021A1" w:rsidRPr="002B2350">
        <w:rPr>
          <w:rFonts w:cs="Times New Roman"/>
          <w:i/>
          <w:iCs/>
        </w:rPr>
        <w:t>Reichstag</w:t>
      </w:r>
      <w:r w:rsidR="005021A1" w:rsidRPr="002B2350">
        <w:rPr>
          <w:rFonts w:cs="Times New Roman"/>
        </w:rPr>
        <w:t>:</w:t>
      </w:r>
    </w:p>
    <w:p w14:paraId="44E5D141" w14:textId="77777777" w:rsidR="005021A1" w:rsidRPr="002B2350" w:rsidRDefault="005021A1" w:rsidP="007D7F37">
      <w:pPr>
        <w:spacing w:line="360" w:lineRule="auto"/>
        <w:jc w:val="both"/>
        <w:rPr>
          <w:rFonts w:cs="Times New Roman"/>
        </w:rPr>
      </w:pPr>
    </w:p>
    <w:p w14:paraId="3F9995E9" w14:textId="77777777" w:rsidR="005021A1" w:rsidRPr="002B2350" w:rsidRDefault="002B2350" w:rsidP="002B2350">
      <w:pPr>
        <w:spacing w:line="360" w:lineRule="auto"/>
        <w:jc w:val="both"/>
        <w:rPr>
          <w:rFonts w:cs="Times New Roman"/>
          <w:sz w:val="20"/>
          <w:szCs w:val="20"/>
        </w:rPr>
      </w:pPr>
      <w:r w:rsidRPr="002B2350">
        <w:rPr>
          <w:rFonts w:cs="Times New Roman"/>
          <w:sz w:val="20"/>
          <w:szCs w:val="20"/>
        </w:rPr>
        <w:t>“</w:t>
      </w:r>
      <w:r w:rsidR="005021A1" w:rsidRPr="002B2350">
        <w:rPr>
          <w:rFonts w:cs="Times New Roman"/>
          <w:sz w:val="20"/>
          <w:szCs w:val="20"/>
        </w:rPr>
        <w:t>Isn’t it the case that the estates of the Empire, comprising some 300 or 400 persons […], have the sovereign power—thereby depriving the emperor and all other princes and cities taken separately—to give laws to all su</w:t>
      </w:r>
      <w:r w:rsidR="005021A1" w:rsidRPr="002B2350">
        <w:rPr>
          <w:rFonts w:cs="Times New Roman"/>
          <w:sz w:val="20"/>
          <w:szCs w:val="20"/>
        </w:rPr>
        <w:t>b</w:t>
      </w:r>
      <w:r w:rsidR="005021A1" w:rsidRPr="002B2350">
        <w:rPr>
          <w:rFonts w:cs="Times New Roman"/>
          <w:sz w:val="20"/>
          <w:szCs w:val="20"/>
        </w:rPr>
        <w:t>jects of the Emperor, to decide about peace and war, to levy taxes and dues, to appoint ordinary and extraord</w:t>
      </w:r>
      <w:r w:rsidR="005021A1" w:rsidRPr="002B2350">
        <w:rPr>
          <w:rFonts w:cs="Times New Roman"/>
          <w:sz w:val="20"/>
          <w:szCs w:val="20"/>
        </w:rPr>
        <w:t>i</w:t>
      </w:r>
      <w:r w:rsidR="005021A1" w:rsidRPr="002B2350">
        <w:rPr>
          <w:rFonts w:cs="Times New Roman"/>
          <w:sz w:val="20"/>
          <w:szCs w:val="20"/>
        </w:rPr>
        <w:t>nary judges, to judge about the possessions, the honor and the life of the Emperor, of princes and of imperial cities: which are the true signs of sovereignty.</w:t>
      </w:r>
      <w:r w:rsidRPr="002B2350">
        <w:rPr>
          <w:rFonts w:cs="Times New Roman"/>
          <w:sz w:val="20"/>
          <w:szCs w:val="20"/>
        </w:rPr>
        <w:t>”</w:t>
      </w:r>
      <w:r w:rsidR="005021A1" w:rsidRPr="002B2350">
        <w:rPr>
          <w:rStyle w:val="Funotenzeichen"/>
          <w:rFonts w:cs="Times New Roman"/>
          <w:sz w:val="20"/>
          <w:szCs w:val="20"/>
        </w:rPr>
        <w:footnoteReference w:id="68"/>
      </w:r>
    </w:p>
    <w:p w14:paraId="0218E9AF" w14:textId="77777777" w:rsidR="005021A1" w:rsidRPr="002B2350" w:rsidRDefault="005021A1" w:rsidP="002B2350">
      <w:pPr>
        <w:spacing w:line="360" w:lineRule="auto"/>
        <w:jc w:val="both"/>
        <w:rPr>
          <w:rFonts w:cs="Times New Roman"/>
        </w:rPr>
      </w:pPr>
    </w:p>
    <w:p w14:paraId="10C9907B" w14:textId="77777777" w:rsidR="005021A1" w:rsidRPr="002B2350" w:rsidRDefault="005021A1" w:rsidP="002B2350">
      <w:pPr>
        <w:spacing w:line="360" w:lineRule="auto"/>
        <w:jc w:val="both"/>
        <w:rPr>
          <w:rFonts w:cs="Times New Roman"/>
        </w:rPr>
      </w:pPr>
      <w:r w:rsidRPr="002B2350">
        <w:rPr>
          <w:rFonts w:cs="Times New Roman"/>
        </w:rPr>
        <w:t>In Bodin’s view, the lack of sovereignty of estates taken singularly is confirmed by the pra</w:t>
      </w:r>
      <w:r w:rsidRPr="002B2350">
        <w:rPr>
          <w:rFonts w:cs="Times New Roman"/>
        </w:rPr>
        <w:t>c</w:t>
      </w:r>
      <w:r w:rsidRPr="002B2350">
        <w:rPr>
          <w:rFonts w:cs="Times New Roman"/>
        </w:rPr>
        <w:t xml:space="preserve">tices of the Imperial Circles to direct their requests and complaints to the </w:t>
      </w:r>
      <w:r w:rsidRPr="002B2350">
        <w:rPr>
          <w:rFonts w:cs="Times New Roman"/>
          <w:i/>
          <w:iCs/>
        </w:rPr>
        <w:t>Reichstag</w:t>
      </w:r>
      <w:r w:rsidRPr="002B2350">
        <w:rPr>
          <w:rFonts w:cs="Times New Roman"/>
        </w:rPr>
        <w:t xml:space="preserve"> and through the role of the </w:t>
      </w:r>
      <w:r w:rsidRPr="002B2350">
        <w:rPr>
          <w:rFonts w:cs="Times New Roman"/>
          <w:i/>
          <w:iCs/>
        </w:rPr>
        <w:t>Reichskammergericht</w:t>
      </w:r>
      <w:r w:rsidRPr="002B2350">
        <w:rPr>
          <w:rFonts w:cs="Times New Roman"/>
        </w:rPr>
        <w:t xml:space="preserve"> to adjudicate controversies between princes—an institution based on the authority of the estates.</w:t>
      </w:r>
      <w:r w:rsidRPr="002B2350">
        <w:rPr>
          <w:rStyle w:val="Funotenzeichen"/>
          <w:rFonts w:cs="Times New Roman"/>
        </w:rPr>
        <w:footnoteReference w:id="69"/>
      </w:r>
      <w:r w:rsidRPr="002B2350">
        <w:rPr>
          <w:rFonts w:cs="Times New Roman"/>
        </w:rPr>
        <w:t xml:space="preserve"> Bodin also argues that the Emperor is not a sovereign because he is elected by the Electors and t</w:t>
      </w:r>
      <w:r w:rsidR="007D7F37">
        <w:rPr>
          <w:rFonts w:cs="Times New Roman"/>
        </w:rPr>
        <w:t>herefore depends on their power.</w:t>
      </w:r>
      <w:r w:rsidR="007D7F37">
        <w:rPr>
          <w:rStyle w:val="Funotenzeichen"/>
          <w:rFonts w:cs="Times New Roman"/>
        </w:rPr>
        <w:footnoteReference w:id="70"/>
      </w:r>
      <w:r w:rsidR="007D7F37">
        <w:rPr>
          <w:rFonts w:cs="Times New Roman"/>
        </w:rPr>
        <w:t xml:space="preserve"> </w:t>
      </w:r>
      <w:r w:rsidRPr="002B2350">
        <w:rPr>
          <w:rFonts w:cs="Times New Roman"/>
        </w:rPr>
        <w:t>Bodin concedes that the Emperor can function as an arbiter in controversies between princes, but points out that even this function depends on the consent of the parties and that, in such a sit</w:t>
      </w:r>
      <w:r w:rsidRPr="002B2350">
        <w:rPr>
          <w:rFonts w:cs="Times New Roman"/>
        </w:rPr>
        <w:t>u</w:t>
      </w:r>
      <w:r w:rsidRPr="002B2350">
        <w:rPr>
          <w:rFonts w:cs="Times New Roman"/>
        </w:rPr>
        <w:t>ation, the Emperor acts in the quality of a placeholder for the Empire, equivalent to the role an Imperial Vicar.</w:t>
      </w:r>
      <w:r w:rsidRPr="002B2350">
        <w:rPr>
          <w:rStyle w:val="Funotenzeichen"/>
          <w:rFonts w:cs="Times New Roman"/>
        </w:rPr>
        <w:footnoteReference w:id="71"/>
      </w:r>
      <w:r w:rsidRPr="002B2350">
        <w:rPr>
          <w:rFonts w:cs="Times New Roman"/>
        </w:rPr>
        <w:t xml:space="preserve"> Bodin takes this to be insufficient for constituting sovereignty b</w:t>
      </w:r>
      <w:r w:rsidRPr="002B2350">
        <w:rPr>
          <w:rFonts w:cs="Times New Roman"/>
        </w:rPr>
        <w:t>e</w:t>
      </w:r>
      <w:r w:rsidRPr="002B2350">
        <w:rPr>
          <w:rFonts w:cs="Times New Roman"/>
        </w:rPr>
        <w:t xml:space="preserve">cause, in controversies between estates and the Emperor, the Emperor himself is subject to arbitration </w:t>
      </w:r>
      <w:r w:rsidRPr="002B2350">
        <w:rPr>
          <w:rFonts w:cs="Times New Roman"/>
        </w:rPr>
        <w:lastRenderedPageBreak/>
        <w:t>by the Elector of Saxony or the Count Palatine acting as Imperial Vicars.</w:t>
      </w:r>
      <w:r w:rsidRPr="002B2350">
        <w:rPr>
          <w:rStyle w:val="Funotenzeichen"/>
          <w:rFonts w:cs="Times New Roman"/>
        </w:rPr>
        <w:footnoteReference w:id="72"/>
      </w:r>
      <w:r w:rsidRPr="002B2350">
        <w:rPr>
          <w:rFonts w:cs="Times New Roman"/>
        </w:rPr>
        <w:t xml:space="preserve"> Ta</w:t>
      </w:r>
      <w:r w:rsidR="00AB53EC">
        <w:rPr>
          <w:rFonts w:cs="Times New Roman"/>
        </w:rPr>
        <w:t>ken together with Bodin’s view</w:t>
      </w:r>
      <w:r w:rsidR="007602F5">
        <w:rPr>
          <w:rFonts w:cs="Times New Roman"/>
        </w:rPr>
        <w:t xml:space="preserve"> that arbitration is</w:t>
      </w:r>
      <w:r w:rsidRPr="002B2350">
        <w:rPr>
          <w:rFonts w:cs="Times New Roman"/>
        </w:rPr>
        <w:t xml:space="preserve"> </w:t>
      </w:r>
      <w:r w:rsidR="00660B11">
        <w:rPr>
          <w:rFonts w:cs="Times New Roman"/>
        </w:rPr>
        <w:t>“</w:t>
      </w:r>
      <w:r w:rsidRPr="002B2350">
        <w:rPr>
          <w:rFonts w:cs="Times New Roman"/>
        </w:rPr>
        <w:t xml:space="preserve">almost </w:t>
      </w:r>
      <w:r w:rsidR="00660B11">
        <w:rPr>
          <w:rFonts w:cs="Times New Roman"/>
        </w:rPr>
        <w:t xml:space="preserve">an </w:t>
      </w:r>
      <w:r w:rsidRPr="002B2350">
        <w:rPr>
          <w:rFonts w:cs="Times New Roman"/>
        </w:rPr>
        <w:t>absolute power”</w:t>
      </w:r>
      <w:r w:rsidR="001A18CE">
        <w:rPr>
          <w:rFonts w:cs="Times New Roman"/>
        </w:rPr>
        <w:t xml:space="preserve"> </w:t>
      </w:r>
      <w:r w:rsidRPr="002B2350">
        <w:rPr>
          <w:rFonts w:cs="Times New Roman"/>
        </w:rPr>
        <w:t>that can be exerted only by soverei</w:t>
      </w:r>
      <w:r w:rsidR="00AB53EC">
        <w:rPr>
          <w:rFonts w:cs="Times New Roman"/>
        </w:rPr>
        <w:t>gns or their delegates, his claim</w:t>
      </w:r>
      <w:r w:rsidRPr="002B2350">
        <w:rPr>
          <w:rFonts w:cs="Times New Roman"/>
        </w:rPr>
        <w:t xml:space="preserve"> that, unless they act as Imperia</w:t>
      </w:r>
      <w:r w:rsidR="00AB53EC">
        <w:rPr>
          <w:rFonts w:cs="Times New Roman"/>
        </w:rPr>
        <w:t>l Vicars, the German princes can</w:t>
      </w:r>
      <w:r w:rsidRPr="002B2350">
        <w:rPr>
          <w:rFonts w:cs="Times New Roman"/>
        </w:rPr>
        <w:t>not exert functions bound to sovereignty would imply that these princes could, by definition, never act as intermediaries in international conflicts.</w:t>
      </w:r>
    </w:p>
    <w:p w14:paraId="1FB8711D" w14:textId="77777777" w:rsidR="005021A1" w:rsidRPr="00BF3CF9" w:rsidRDefault="00AB53EC" w:rsidP="002B2350">
      <w:pPr>
        <w:spacing w:line="360" w:lineRule="auto"/>
        <w:ind w:firstLine="397"/>
        <w:jc w:val="both"/>
        <w:rPr>
          <w:rFonts w:cs="Times New Roman"/>
        </w:rPr>
      </w:pPr>
      <w:r>
        <w:rPr>
          <w:rFonts w:cs="Times New Roman"/>
        </w:rPr>
        <w:t xml:space="preserve">Leibniz </w:t>
      </w:r>
      <w:r w:rsidR="00413F08">
        <w:rPr>
          <w:rFonts w:cs="Times New Roman"/>
        </w:rPr>
        <w:t>disagrees with the consequences that Bodin derives from the mutual dependence between th</w:t>
      </w:r>
      <w:r w:rsidR="0018619E">
        <w:rPr>
          <w:rFonts w:cs="Times New Roman"/>
        </w:rPr>
        <w:t>e Emperor and the single estates</w:t>
      </w:r>
      <w:r w:rsidR="00447060">
        <w:rPr>
          <w:rFonts w:cs="Times New Roman"/>
        </w:rPr>
        <w:t>. With a view to the German princes, he develops</w:t>
      </w:r>
      <w:r w:rsidR="005021A1" w:rsidRPr="002B2350">
        <w:rPr>
          <w:rFonts w:cs="Times New Roman"/>
        </w:rPr>
        <w:t xml:space="preserve"> two lines of argument that are meant to show</w:t>
      </w:r>
      <w:r w:rsidR="00447060">
        <w:rPr>
          <w:rFonts w:cs="Times New Roman"/>
        </w:rPr>
        <w:t xml:space="preserve"> that some of them</w:t>
      </w:r>
      <w:r w:rsidR="005021A1" w:rsidRPr="002B2350">
        <w:rPr>
          <w:rFonts w:cs="Times New Roman"/>
        </w:rPr>
        <w:t xml:space="preserve"> possess sovereignty. The first lin</w:t>
      </w:r>
      <w:r w:rsidR="00DE59C3">
        <w:rPr>
          <w:rFonts w:cs="Times New Roman"/>
        </w:rPr>
        <w:t>e</w:t>
      </w:r>
      <w:r w:rsidR="00077077">
        <w:rPr>
          <w:rFonts w:cs="Times New Roman"/>
        </w:rPr>
        <w:t xml:space="preserve"> of argument emphasizes the function</w:t>
      </w:r>
      <w:r w:rsidR="00DE59C3">
        <w:rPr>
          <w:rFonts w:cs="Times New Roman"/>
        </w:rPr>
        <w:t xml:space="preserve"> of the</w:t>
      </w:r>
      <w:r w:rsidR="005021A1" w:rsidRPr="002B2350">
        <w:rPr>
          <w:rFonts w:cs="Times New Roman"/>
        </w:rPr>
        <w:t xml:space="preserve"> </w:t>
      </w:r>
      <w:r w:rsidR="005021A1" w:rsidRPr="002B2350">
        <w:rPr>
          <w:rFonts w:cs="Times New Roman"/>
          <w:i/>
          <w:iCs/>
        </w:rPr>
        <w:t>Reichstag</w:t>
      </w:r>
      <w:r w:rsidR="00077077">
        <w:rPr>
          <w:rFonts w:cs="Times New Roman"/>
        </w:rPr>
        <w:t>. The</w:t>
      </w:r>
      <w:r w:rsidR="00DE59C3">
        <w:rPr>
          <w:rFonts w:cs="Times New Roman"/>
        </w:rPr>
        <w:t xml:space="preserve"> </w:t>
      </w:r>
      <w:r w:rsidR="00077077">
        <w:rPr>
          <w:rFonts w:cs="Times New Roman"/>
        </w:rPr>
        <w:t xml:space="preserve">content of the </w:t>
      </w:r>
      <w:r w:rsidR="00DE59C3">
        <w:rPr>
          <w:rFonts w:cs="Times New Roman"/>
        </w:rPr>
        <w:t>decisions</w:t>
      </w:r>
      <w:r w:rsidR="00077077">
        <w:rPr>
          <w:rFonts w:cs="Times New Roman"/>
        </w:rPr>
        <w:t xml:space="preserve"> reached there is</w:t>
      </w:r>
      <w:r w:rsidR="005021A1" w:rsidRPr="002B2350">
        <w:rPr>
          <w:rFonts w:cs="Times New Roman"/>
        </w:rPr>
        <w:t xml:space="preserve"> limited to the shape of the relations between the Empire and commo</w:t>
      </w:r>
      <w:r w:rsidR="005021A1" w:rsidRPr="002B2350">
        <w:rPr>
          <w:rFonts w:cs="Times New Roman"/>
        </w:rPr>
        <w:t>n</w:t>
      </w:r>
      <w:r w:rsidR="005021A1" w:rsidRPr="002B2350">
        <w:rPr>
          <w:rFonts w:cs="Times New Roman"/>
        </w:rPr>
        <w:t>wealths that are outside the Empire and to the shape of the relations between estates that are relevant for the well-being of the Empire.</w:t>
      </w:r>
      <w:r w:rsidR="005021A1" w:rsidRPr="002B2350">
        <w:rPr>
          <w:rStyle w:val="Funotenzeichen"/>
          <w:rFonts w:cs="Times New Roman"/>
        </w:rPr>
        <w:footnoteReference w:id="73"/>
      </w:r>
      <w:r w:rsidR="005021A1" w:rsidRPr="002B2350">
        <w:rPr>
          <w:rFonts w:cs="Times New Roman"/>
        </w:rPr>
        <w:t xml:space="preserve"> </w:t>
      </w:r>
      <w:r w:rsidR="00077077">
        <w:rPr>
          <w:rFonts w:cs="Times New Roman"/>
        </w:rPr>
        <w:t>Although Leibniz is clear that such decision</w:t>
      </w:r>
      <w:r w:rsidR="00BF3CF9">
        <w:rPr>
          <w:rFonts w:cs="Times New Roman"/>
        </w:rPr>
        <w:t>s</w:t>
      </w:r>
      <w:r w:rsidR="00077077">
        <w:rPr>
          <w:rFonts w:cs="Times New Roman"/>
        </w:rPr>
        <w:t xml:space="preserve"> create oblig</w:t>
      </w:r>
      <w:r w:rsidR="00077077">
        <w:rPr>
          <w:rFonts w:cs="Times New Roman"/>
        </w:rPr>
        <w:t>a</w:t>
      </w:r>
      <w:r w:rsidR="00077077">
        <w:rPr>
          <w:rFonts w:cs="Times New Roman"/>
        </w:rPr>
        <w:t xml:space="preserve">tions for the estates, he points out that participating in the </w:t>
      </w:r>
      <w:r w:rsidR="00077077">
        <w:rPr>
          <w:rFonts w:cs="Times New Roman"/>
          <w:i/>
        </w:rPr>
        <w:t xml:space="preserve">Reichstag </w:t>
      </w:r>
      <w:r w:rsidR="00077077">
        <w:rPr>
          <w:rFonts w:cs="Times New Roman"/>
        </w:rPr>
        <w:t>means participating in sove</w:t>
      </w:r>
      <w:r w:rsidR="00077077">
        <w:rPr>
          <w:rFonts w:cs="Times New Roman"/>
        </w:rPr>
        <w:t>r</w:t>
      </w:r>
      <w:r w:rsidR="00077077">
        <w:rPr>
          <w:rFonts w:cs="Times New Roman"/>
        </w:rPr>
        <w:t>eignty (</w:t>
      </w:r>
      <w:r w:rsidR="00077077">
        <w:rPr>
          <w:rFonts w:cs="Times New Roman"/>
          <w:i/>
        </w:rPr>
        <w:t>summa in Imperio potestas</w:t>
      </w:r>
      <w:r w:rsidR="00077077">
        <w:rPr>
          <w:rFonts w:cs="Times New Roman"/>
        </w:rPr>
        <w:t>).</w:t>
      </w:r>
      <w:r w:rsidR="00077077">
        <w:rPr>
          <w:rStyle w:val="Funotenzeichen"/>
          <w:rFonts w:cs="Times New Roman"/>
        </w:rPr>
        <w:footnoteReference w:id="74"/>
      </w:r>
      <w:r w:rsidR="00077077">
        <w:rPr>
          <w:rFonts w:cs="Times New Roman"/>
        </w:rPr>
        <w:t xml:space="preserve"> This claim seems to follow from two premises: (1) As Leibniz points out, even if the princes do not have more votes than other e</w:t>
      </w:r>
      <w:r w:rsidR="00077077">
        <w:rPr>
          <w:rFonts w:cs="Times New Roman"/>
        </w:rPr>
        <w:t>s</w:t>
      </w:r>
      <w:r w:rsidR="00077077">
        <w:rPr>
          <w:rFonts w:cs="Times New Roman"/>
        </w:rPr>
        <w:t>tates, the feudal relations of benefits and i</w:t>
      </w:r>
      <w:r w:rsidR="00077077">
        <w:rPr>
          <w:rFonts w:cs="Times New Roman"/>
        </w:rPr>
        <w:t>n</w:t>
      </w:r>
      <w:r w:rsidR="00077077">
        <w:rPr>
          <w:rFonts w:cs="Times New Roman"/>
        </w:rPr>
        <w:t xml:space="preserve">terests and regional </w:t>
      </w:r>
      <w:r w:rsidR="00BF3CF9">
        <w:rPr>
          <w:rFonts w:cs="Times New Roman"/>
        </w:rPr>
        <w:t>affinities make it easy to win over some of the smaller estates, such that the voting power of the princes can balance the voting power of the electors.</w:t>
      </w:r>
      <w:r w:rsidR="00BF3CF9">
        <w:rPr>
          <w:rStyle w:val="Funotenzeichen"/>
          <w:rFonts w:cs="Times New Roman"/>
        </w:rPr>
        <w:footnoteReference w:id="75"/>
      </w:r>
      <w:r w:rsidR="00BF3CF9">
        <w:rPr>
          <w:rFonts w:cs="Times New Roman"/>
        </w:rPr>
        <w:t xml:space="preserve"> (2) Thereby, the princes have influence on international affairs: “To be po</w:t>
      </w:r>
      <w:r w:rsidR="00BF3CF9">
        <w:rPr>
          <w:rFonts w:cs="Times New Roman"/>
        </w:rPr>
        <w:t>w</w:t>
      </w:r>
      <w:r w:rsidR="00BF3CF9">
        <w:rPr>
          <w:rFonts w:cs="Times New Roman"/>
        </w:rPr>
        <w:t xml:space="preserve">erful in the </w:t>
      </w:r>
      <w:r w:rsidR="00BF3CF9">
        <w:rPr>
          <w:rFonts w:cs="Times New Roman"/>
          <w:i/>
        </w:rPr>
        <w:t xml:space="preserve">Reichstag </w:t>
      </w:r>
      <w:r w:rsidR="00BF3CF9">
        <w:rPr>
          <w:rFonts w:cs="Times New Roman"/>
        </w:rPr>
        <w:t>is […] no small thing. For it means being powerful in some general conference of so many big princes whose consensus can do much to change the face of E</w:t>
      </w:r>
      <w:r w:rsidR="00BF3CF9">
        <w:rPr>
          <w:rFonts w:cs="Times New Roman"/>
        </w:rPr>
        <w:t>u</w:t>
      </w:r>
      <w:r w:rsidR="00BF3CF9">
        <w:rPr>
          <w:rFonts w:cs="Times New Roman"/>
        </w:rPr>
        <w:t>rope […].”</w:t>
      </w:r>
      <w:r w:rsidR="00BF3CF9">
        <w:rPr>
          <w:rStyle w:val="Funotenzeichen"/>
          <w:rFonts w:cs="Times New Roman"/>
        </w:rPr>
        <w:footnoteReference w:id="76"/>
      </w:r>
      <w:r w:rsidR="00BF3CF9">
        <w:rPr>
          <w:rFonts w:cs="Times New Roman"/>
        </w:rPr>
        <w:t xml:space="preserve"> Hence, having real influence on the decisions of the </w:t>
      </w:r>
      <w:r w:rsidR="00BF3CF9">
        <w:rPr>
          <w:rFonts w:cs="Times New Roman"/>
          <w:i/>
        </w:rPr>
        <w:t xml:space="preserve">Reichstag </w:t>
      </w:r>
      <w:r w:rsidR="00BF3CF9">
        <w:rPr>
          <w:rFonts w:cs="Times New Roman"/>
        </w:rPr>
        <w:t>is one way in which the German princes can act a</w:t>
      </w:r>
      <w:r w:rsidR="00BF3CF9">
        <w:rPr>
          <w:rFonts w:cs="Times New Roman"/>
        </w:rPr>
        <w:t>c</w:t>
      </w:r>
      <w:r w:rsidR="00BF3CF9">
        <w:rPr>
          <w:rFonts w:cs="Times New Roman"/>
        </w:rPr>
        <w:t xml:space="preserve">cording to the law of nations. But Leibniz takes this line of argument further, when he </w:t>
      </w:r>
      <w:r w:rsidR="005021A1" w:rsidRPr="002B2350">
        <w:rPr>
          <w:rFonts w:cs="Times New Roman"/>
        </w:rPr>
        <w:t>emphasizes that matters that concern only the relations b</w:t>
      </w:r>
      <w:r w:rsidR="005021A1" w:rsidRPr="002B2350">
        <w:rPr>
          <w:rFonts w:cs="Times New Roman"/>
        </w:rPr>
        <w:t>e</w:t>
      </w:r>
      <w:r w:rsidR="005021A1" w:rsidRPr="002B2350">
        <w:rPr>
          <w:rFonts w:cs="Times New Roman"/>
        </w:rPr>
        <w:t xml:space="preserve">tween rulers and subjects within a single estate are not the proper object of decisions of the </w:t>
      </w:r>
      <w:r w:rsidR="005021A1" w:rsidRPr="002B2350">
        <w:rPr>
          <w:rFonts w:cs="Times New Roman"/>
          <w:i/>
          <w:iCs/>
        </w:rPr>
        <w:t>Reic</w:t>
      </w:r>
      <w:r w:rsidR="005021A1" w:rsidRPr="002B2350">
        <w:rPr>
          <w:rFonts w:cs="Times New Roman"/>
          <w:i/>
          <w:iCs/>
        </w:rPr>
        <w:t>h</w:t>
      </w:r>
      <w:r w:rsidR="005021A1" w:rsidRPr="002B2350">
        <w:rPr>
          <w:rFonts w:cs="Times New Roman"/>
          <w:i/>
          <w:iCs/>
        </w:rPr>
        <w:t>stag</w:t>
      </w:r>
      <w:r w:rsidR="005021A1" w:rsidRPr="002B2350">
        <w:rPr>
          <w:rFonts w:cs="Times New Roman"/>
        </w:rPr>
        <w:t>.</w:t>
      </w:r>
      <w:r w:rsidR="0026776E">
        <w:rPr>
          <w:rStyle w:val="Funotenzeichen"/>
          <w:rFonts w:cs="Times New Roman"/>
        </w:rPr>
        <w:footnoteReference w:id="77"/>
      </w:r>
      <w:r w:rsidR="00077077">
        <w:rPr>
          <w:rFonts w:cs="Times New Roman"/>
        </w:rPr>
        <w:t xml:space="preserve"> Moreover, as far as no negative consequences are to be feared for the Empire, the e</w:t>
      </w:r>
      <w:r w:rsidR="00077077">
        <w:rPr>
          <w:rFonts w:cs="Times New Roman"/>
        </w:rPr>
        <w:t>s</w:t>
      </w:r>
      <w:r w:rsidR="00077077">
        <w:rPr>
          <w:rFonts w:cs="Times New Roman"/>
        </w:rPr>
        <w:t>tates</w:t>
      </w:r>
      <w:r w:rsidR="005021A1" w:rsidRPr="002B2350">
        <w:rPr>
          <w:rFonts w:cs="Times New Roman"/>
        </w:rPr>
        <w:t xml:space="preserve"> are free to build up their own relations with commonwealths outside the Empire, be it by trade, alliances, warfare or involvement in international negotiations.</w:t>
      </w:r>
      <w:r w:rsidR="005021A1" w:rsidRPr="002B2350">
        <w:rPr>
          <w:rStyle w:val="Funotenzeichen"/>
          <w:rFonts w:cs="Times New Roman"/>
        </w:rPr>
        <w:footnoteReference w:id="78"/>
      </w:r>
      <w:r w:rsidR="005021A1" w:rsidRPr="002B2350">
        <w:rPr>
          <w:rFonts w:cs="Times New Roman"/>
        </w:rPr>
        <w:t xml:space="preserve"> A</w:t>
      </w:r>
      <w:r w:rsidR="002C5B04">
        <w:rPr>
          <w:rFonts w:cs="Times New Roman"/>
        </w:rPr>
        <w:t>nd, a</w:t>
      </w:r>
      <w:r w:rsidR="005021A1" w:rsidRPr="002B2350">
        <w:rPr>
          <w:rFonts w:cs="Times New Roman"/>
        </w:rPr>
        <w:t>s Leibniz points out, Bodin provides ample documentation of alliances between</w:t>
      </w:r>
      <w:r w:rsidR="007F01FF">
        <w:rPr>
          <w:rFonts w:cs="Times New Roman"/>
        </w:rPr>
        <w:t xml:space="preserve"> German princes and other </w:t>
      </w:r>
      <w:r w:rsidR="007F01FF">
        <w:rPr>
          <w:rFonts w:cs="Times New Roman"/>
        </w:rPr>
        <w:lastRenderedPageBreak/>
        <w:t>sovereigns, such as the kings of Denmark, Sweden and Poland</w:t>
      </w:r>
      <w:r w:rsidR="005021A1" w:rsidRPr="002B2350">
        <w:rPr>
          <w:rFonts w:cs="Times New Roman"/>
        </w:rPr>
        <w:t>.</w:t>
      </w:r>
      <w:r w:rsidR="005021A1" w:rsidRPr="002B2350">
        <w:rPr>
          <w:rStyle w:val="Funotenzeichen"/>
          <w:rFonts w:cs="Times New Roman"/>
        </w:rPr>
        <w:footnoteReference w:id="79"/>
      </w:r>
      <w:r w:rsidR="005021A1" w:rsidRPr="002B2350">
        <w:rPr>
          <w:rFonts w:cs="Times New Roman"/>
        </w:rPr>
        <w:t xml:space="preserve"> </w:t>
      </w:r>
      <w:r w:rsidR="00BF3CF9">
        <w:rPr>
          <w:rFonts w:cs="Times New Roman"/>
        </w:rPr>
        <w:t xml:space="preserve">Hence, the limits of the scope of the decisions of the </w:t>
      </w:r>
      <w:r w:rsidR="00BF3CF9">
        <w:rPr>
          <w:rFonts w:cs="Times New Roman"/>
          <w:i/>
        </w:rPr>
        <w:t xml:space="preserve">Reichstag </w:t>
      </w:r>
      <w:r w:rsidR="00BF3CF9">
        <w:rPr>
          <w:rFonts w:cs="Times New Roman"/>
        </w:rPr>
        <w:t>allow the princes to pursue their own foreign pol</w:t>
      </w:r>
      <w:r w:rsidR="00BF3CF9">
        <w:rPr>
          <w:rFonts w:cs="Times New Roman"/>
        </w:rPr>
        <w:t>i</w:t>
      </w:r>
      <w:r w:rsidR="00BF3CF9">
        <w:rPr>
          <w:rFonts w:cs="Times New Roman"/>
        </w:rPr>
        <w:t>cy.</w:t>
      </w:r>
    </w:p>
    <w:p w14:paraId="01D83962" w14:textId="77777777" w:rsidR="009B6FA3" w:rsidRDefault="00DE59C3" w:rsidP="002B2350">
      <w:pPr>
        <w:spacing w:line="360" w:lineRule="auto"/>
        <w:ind w:firstLine="397"/>
        <w:jc w:val="both"/>
        <w:rPr>
          <w:rFonts w:cs="Times New Roman"/>
        </w:rPr>
      </w:pPr>
      <w:r>
        <w:rPr>
          <w:rFonts w:cs="Times New Roman"/>
        </w:rPr>
        <w:t>The second line of argument draws on the implications of the German princes being i</w:t>
      </w:r>
      <w:r>
        <w:rPr>
          <w:rFonts w:cs="Times New Roman"/>
        </w:rPr>
        <w:t>n</w:t>
      </w:r>
      <w:r>
        <w:rPr>
          <w:rFonts w:cs="Times New Roman"/>
        </w:rPr>
        <w:t>volved in international negotiations. A</w:t>
      </w:r>
      <w:r w:rsidR="005021A1" w:rsidRPr="002B2350">
        <w:rPr>
          <w:rFonts w:cs="Times New Roman"/>
        </w:rPr>
        <w:t>mong the international activities that the German prin</w:t>
      </w:r>
      <w:r w:rsidR="005021A1" w:rsidRPr="002B2350">
        <w:rPr>
          <w:rFonts w:cs="Times New Roman"/>
        </w:rPr>
        <w:t>c</w:t>
      </w:r>
      <w:r w:rsidR="005021A1" w:rsidRPr="002B2350">
        <w:rPr>
          <w:rFonts w:cs="Times New Roman"/>
        </w:rPr>
        <w:t>es develop on</w:t>
      </w:r>
      <w:r w:rsidR="00900AF0">
        <w:rPr>
          <w:rFonts w:cs="Times New Roman"/>
        </w:rPr>
        <w:t xml:space="preserve"> their own initiative there</w:t>
      </w:r>
      <w:r w:rsidR="005021A1" w:rsidRPr="002B2350">
        <w:rPr>
          <w:rFonts w:cs="Times New Roman"/>
        </w:rPr>
        <w:t xml:space="preserve"> belong their activities in international arbitration and mediation as well as their function as peace guarantors</w:t>
      </w:r>
      <w:r w:rsidR="009B6FA3">
        <w:rPr>
          <w:rFonts w:cs="Times New Roman"/>
        </w:rPr>
        <w:t xml:space="preserve">: </w:t>
      </w:r>
    </w:p>
    <w:p w14:paraId="5F1E21E4" w14:textId="77777777" w:rsidR="009B6FA3" w:rsidRDefault="009B6FA3" w:rsidP="009B6FA3">
      <w:pPr>
        <w:spacing w:line="360" w:lineRule="auto"/>
        <w:jc w:val="both"/>
        <w:rPr>
          <w:rFonts w:cs="Times New Roman"/>
        </w:rPr>
      </w:pPr>
    </w:p>
    <w:p w14:paraId="22071800" w14:textId="77777777" w:rsidR="009B6FA3" w:rsidRPr="009B6FA3" w:rsidRDefault="009B6FA3" w:rsidP="009B6FA3">
      <w:pPr>
        <w:spacing w:line="360" w:lineRule="auto"/>
        <w:jc w:val="both"/>
        <w:rPr>
          <w:rFonts w:cs="Times New Roman"/>
          <w:sz w:val="20"/>
          <w:szCs w:val="20"/>
        </w:rPr>
      </w:pPr>
      <w:r w:rsidRPr="009B6FA3">
        <w:rPr>
          <w:rFonts w:cs="Times New Roman"/>
          <w:sz w:val="20"/>
          <w:szCs w:val="20"/>
        </w:rPr>
        <w:t xml:space="preserve">“The rights of princes that relate to others and beyond the territory are the right of war and peace, the right of alliances, the right of entertaining an army, […] the right of sanctions against those who are not members of the Empire, […] the right of demanding the innocuous transit through foreign territory, the right of intervening in general treaties and councils, through which the </w:t>
      </w:r>
      <w:r w:rsidRPr="009B6FA3">
        <w:rPr>
          <w:rFonts w:cs="Times New Roman"/>
          <w:i/>
          <w:sz w:val="20"/>
          <w:szCs w:val="20"/>
        </w:rPr>
        <w:t xml:space="preserve">Respublica Christianorum </w:t>
      </w:r>
      <w:r w:rsidRPr="009B6FA3">
        <w:rPr>
          <w:rFonts w:cs="Times New Roman"/>
          <w:sz w:val="20"/>
          <w:szCs w:val="20"/>
        </w:rPr>
        <w:t>is governed, the right to offer medi</w:t>
      </w:r>
      <w:r w:rsidRPr="009B6FA3">
        <w:rPr>
          <w:rFonts w:cs="Times New Roman"/>
          <w:sz w:val="20"/>
          <w:szCs w:val="20"/>
        </w:rPr>
        <w:t>a</w:t>
      </w:r>
      <w:r w:rsidRPr="009B6FA3">
        <w:rPr>
          <w:rFonts w:cs="Times New Roman"/>
          <w:sz w:val="20"/>
          <w:szCs w:val="20"/>
        </w:rPr>
        <w:t>tion, to accept arbitration, to promise guaran</w:t>
      </w:r>
      <w:r>
        <w:rPr>
          <w:rFonts w:cs="Times New Roman"/>
          <w:sz w:val="20"/>
          <w:szCs w:val="20"/>
        </w:rPr>
        <w:t>tees, the right to assist the o</w:t>
      </w:r>
      <w:r w:rsidRPr="009B6FA3">
        <w:rPr>
          <w:rFonts w:cs="Times New Roman"/>
          <w:sz w:val="20"/>
          <w:szCs w:val="20"/>
        </w:rPr>
        <w:t>ppressed even if they are foreigner</w:t>
      </w:r>
      <w:r>
        <w:rPr>
          <w:rFonts w:cs="Times New Roman"/>
          <w:sz w:val="20"/>
          <w:szCs w:val="20"/>
        </w:rPr>
        <w:t>s</w:t>
      </w:r>
      <w:r w:rsidRPr="009B6FA3">
        <w:rPr>
          <w:rFonts w:cs="Times New Roman"/>
          <w:sz w:val="20"/>
          <w:szCs w:val="20"/>
        </w:rPr>
        <w:t xml:space="preserve"> […]</w:t>
      </w:r>
      <w:r w:rsidR="005021A1" w:rsidRPr="009B6FA3">
        <w:rPr>
          <w:rFonts w:cs="Times New Roman"/>
          <w:sz w:val="20"/>
          <w:szCs w:val="20"/>
        </w:rPr>
        <w:t>.</w:t>
      </w:r>
      <w:r w:rsidRPr="009B6FA3">
        <w:rPr>
          <w:rFonts w:cs="Times New Roman"/>
          <w:sz w:val="20"/>
          <w:szCs w:val="20"/>
        </w:rPr>
        <w:t>”</w:t>
      </w:r>
      <w:r w:rsidRPr="009B6FA3">
        <w:rPr>
          <w:rStyle w:val="Funotenzeichen"/>
          <w:rFonts w:cs="Times New Roman"/>
          <w:sz w:val="20"/>
          <w:szCs w:val="20"/>
        </w:rPr>
        <w:footnoteReference w:id="80"/>
      </w:r>
      <w:r w:rsidR="005021A1" w:rsidRPr="009B6FA3">
        <w:rPr>
          <w:rFonts w:cs="Times New Roman"/>
          <w:sz w:val="20"/>
          <w:szCs w:val="20"/>
        </w:rPr>
        <w:t xml:space="preserve"> </w:t>
      </w:r>
    </w:p>
    <w:p w14:paraId="05307F43" w14:textId="77777777" w:rsidR="009B6FA3" w:rsidRDefault="009B6FA3" w:rsidP="009B6FA3">
      <w:pPr>
        <w:spacing w:line="360" w:lineRule="auto"/>
        <w:jc w:val="both"/>
        <w:rPr>
          <w:rFonts w:cs="Times New Roman"/>
        </w:rPr>
      </w:pPr>
    </w:p>
    <w:p w14:paraId="308ED6DA" w14:textId="77777777" w:rsidR="005021A1" w:rsidRPr="002B2350" w:rsidRDefault="005021A1" w:rsidP="009B6FA3">
      <w:pPr>
        <w:spacing w:line="360" w:lineRule="auto"/>
        <w:jc w:val="both"/>
        <w:rPr>
          <w:rFonts w:cs="Times New Roman"/>
        </w:rPr>
      </w:pPr>
      <w:r w:rsidRPr="002B2350">
        <w:rPr>
          <w:rFonts w:cs="Times New Roman"/>
        </w:rPr>
        <w:t>Leibniz is clear t</w:t>
      </w:r>
      <w:r w:rsidR="008705A0">
        <w:rPr>
          <w:rFonts w:cs="Times New Roman"/>
        </w:rPr>
        <w:t xml:space="preserve">hat these activities complement the </w:t>
      </w:r>
      <w:r w:rsidRPr="002B2350">
        <w:rPr>
          <w:rFonts w:cs="Times New Roman"/>
        </w:rPr>
        <w:t>quasi-internation</w:t>
      </w:r>
      <w:r w:rsidR="008705A0">
        <w:rPr>
          <w:rFonts w:cs="Times New Roman"/>
        </w:rPr>
        <w:t>al relations within the Empire. As to the latter</w:t>
      </w:r>
      <w:r w:rsidRPr="002B2350">
        <w:rPr>
          <w:rFonts w:cs="Times New Roman"/>
        </w:rPr>
        <w:t>, he points out that the Empire has the task of offering arbitration and mediation between the estates since these are matters that are relevant for the well-being of the Empire.</w:t>
      </w:r>
      <w:r w:rsidRPr="002B2350">
        <w:rPr>
          <w:rStyle w:val="Funotenzeichen"/>
          <w:rFonts w:cs="Times New Roman"/>
        </w:rPr>
        <w:footnoteReference w:id="81"/>
      </w:r>
      <w:r w:rsidRPr="002B2350">
        <w:rPr>
          <w:rFonts w:cs="Times New Roman"/>
        </w:rPr>
        <w:t xml:space="preserve"> These relations of arbitration and medi</w:t>
      </w:r>
      <w:r w:rsidRPr="002B2350">
        <w:rPr>
          <w:rFonts w:cs="Times New Roman"/>
        </w:rPr>
        <w:t>a</w:t>
      </w:r>
      <w:r w:rsidRPr="002B2350">
        <w:rPr>
          <w:rFonts w:cs="Times New Roman"/>
        </w:rPr>
        <w:t>tion render the relations between the Empire and the Estates and the relations between Estates akin to international relations.</w:t>
      </w:r>
      <w:r w:rsidRPr="002B2350">
        <w:rPr>
          <w:rStyle w:val="Funotenzeichen"/>
          <w:rFonts w:cs="Times New Roman"/>
        </w:rPr>
        <w:footnoteReference w:id="82"/>
      </w:r>
      <w:r w:rsidR="00DE59C3">
        <w:rPr>
          <w:rFonts w:cs="Times New Roman"/>
        </w:rPr>
        <w:t xml:space="preserve"> </w:t>
      </w:r>
      <w:r w:rsidR="008705A0">
        <w:rPr>
          <w:rFonts w:cs="Times New Roman"/>
        </w:rPr>
        <w:t>But</w:t>
      </w:r>
      <w:r w:rsidRPr="002B2350">
        <w:rPr>
          <w:rFonts w:cs="Times New Roman"/>
        </w:rPr>
        <w:t xml:space="preserve"> Leibniz</w:t>
      </w:r>
      <w:r w:rsidR="008705A0">
        <w:rPr>
          <w:rFonts w:cs="Times New Roman"/>
        </w:rPr>
        <w:t xml:space="preserve"> goes beyond these quasi-international relations within the Empire when he</w:t>
      </w:r>
      <w:r w:rsidRPr="002B2350">
        <w:rPr>
          <w:rFonts w:cs="Times New Roman"/>
        </w:rPr>
        <w:t xml:space="preserve"> uses the capacity of fulfilli</w:t>
      </w:r>
      <w:r w:rsidR="008705A0">
        <w:rPr>
          <w:rFonts w:cs="Times New Roman"/>
        </w:rPr>
        <w:t>ng the function of</w:t>
      </w:r>
      <w:r w:rsidRPr="002B2350">
        <w:rPr>
          <w:rFonts w:cs="Times New Roman"/>
        </w:rPr>
        <w:t xml:space="preserve"> mediation</w:t>
      </w:r>
      <w:r w:rsidR="008705A0">
        <w:rPr>
          <w:rFonts w:cs="Times New Roman"/>
        </w:rPr>
        <w:t xml:space="preserve"> involving powers outside the Empire</w:t>
      </w:r>
      <w:r w:rsidRPr="002B2350">
        <w:rPr>
          <w:rFonts w:cs="Times New Roman"/>
        </w:rPr>
        <w:t xml:space="preserve"> as an a</w:t>
      </w:r>
      <w:r w:rsidRPr="002B2350">
        <w:rPr>
          <w:rFonts w:cs="Times New Roman"/>
        </w:rPr>
        <w:t>r</w:t>
      </w:r>
      <w:r w:rsidRPr="002B2350">
        <w:rPr>
          <w:rFonts w:cs="Times New Roman"/>
        </w:rPr>
        <w:t>gument in f</w:t>
      </w:r>
      <w:r w:rsidR="008705A0">
        <w:rPr>
          <w:rFonts w:cs="Times New Roman"/>
        </w:rPr>
        <w:t>avor of the sovereignty of the</w:t>
      </w:r>
      <w:r w:rsidRPr="002B2350">
        <w:rPr>
          <w:rFonts w:cs="Times New Roman"/>
        </w:rPr>
        <w:t xml:space="preserve"> German p</w:t>
      </w:r>
      <w:r w:rsidR="008705A0">
        <w:rPr>
          <w:rFonts w:cs="Times New Roman"/>
        </w:rPr>
        <w:t xml:space="preserve">rinces. </w:t>
      </w:r>
      <w:r w:rsidR="009B6FA3">
        <w:rPr>
          <w:rFonts w:cs="Times New Roman"/>
        </w:rPr>
        <w:t>Such mediation</w:t>
      </w:r>
      <w:r w:rsidR="008705A0">
        <w:rPr>
          <w:rFonts w:cs="Times New Roman"/>
        </w:rPr>
        <w:t xml:space="preserve"> provides</w:t>
      </w:r>
      <w:r w:rsidRPr="002B2350">
        <w:rPr>
          <w:rFonts w:cs="Times New Roman"/>
        </w:rPr>
        <w:t xml:space="preserve"> an i</w:t>
      </w:r>
      <w:r w:rsidRPr="002B2350">
        <w:rPr>
          <w:rFonts w:cs="Times New Roman"/>
        </w:rPr>
        <w:t>n</w:t>
      </w:r>
      <w:r w:rsidRPr="002B2350">
        <w:rPr>
          <w:rFonts w:cs="Times New Roman"/>
        </w:rPr>
        <w:t>stance in which the German princes can effectively intervene in international conflict resol</w:t>
      </w:r>
      <w:r w:rsidRPr="002B2350">
        <w:rPr>
          <w:rFonts w:cs="Times New Roman"/>
        </w:rPr>
        <w:t>u</w:t>
      </w:r>
      <w:r w:rsidRPr="002B2350">
        <w:rPr>
          <w:rFonts w:cs="Times New Roman"/>
        </w:rPr>
        <w:t>tion, and because this is an instance of an activity that combines the capacity of using mil</w:t>
      </w:r>
      <w:r w:rsidRPr="002B2350">
        <w:rPr>
          <w:rFonts w:cs="Times New Roman"/>
        </w:rPr>
        <w:t>i</w:t>
      </w:r>
      <w:r w:rsidRPr="002B2350">
        <w:rPr>
          <w:rFonts w:cs="Times New Roman"/>
        </w:rPr>
        <w:t>tary force with the obligation to respect demands of justice, these activities count as examples of the political agency of sovereigns, even if the actors are not independent from the instit</w:t>
      </w:r>
      <w:r w:rsidRPr="002B2350">
        <w:rPr>
          <w:rFonts w:cs="Times New Roman"/>
        </w:rPr>
        <w:t>u</w:t>
      </w:r>
      <w:r w:rsidRPr="002B2350">
        <w:rPr>
          <w:rFonts w:cs="Times New Roman"/>
        </w:rPr>
        <w:t>tions of the Empire in other respects.</w:t>
      </w:r>
    </w:p>
    <w:p w14:paraId="72D534CC" w14:textId="77777777" w:rsidR="005021A1" w:rsidRPr="002B2350" w:rsidRDefault="005021A1" w:rsidP="002B2350">
      <w:pPr>
        <w:spacing w:line="360" w:lineRule="auto"/>
        <w:ind w:firstLine="390"/>
        <w:jc w:val="both"/>
        <w:rPr>
          <w:rFonts w:cs="Times New Roman"/>
        </w:rPr>
      </w:pPr>
      <w:r w:rsidRPr="002B2350">
        <w:rPr>
          <w:rFonts w:cs="Times New Roman"/>
        </w:rPr>
        <w:t>Leibniz uses these considerations to argue that there is a kind of “fraternity” or “society” among sovereigns—a society that also comprises the German princes.</w:t>
      </w:r>
      <w:r w:rsidRPr="002B2350">
        <w:rPr>
          <w:rStyle w:val="Funotenzeichen"/>
          <w:rFonts w:cs="Times New Roman"/>
        </w:rPr>
        <w:footnoteReference w:id="83"/>
      </w:r>
      <w:r w:rsidRPr="002B2350">
        <w:rPr>
          <w:rFonts w:cs="Times New Roman"/>
        </w:rPr>
        <w:t xml:space="preserve"> What is common to the members of this fraternity or society is that each member “holds high jurisdiction and can </w:t>
      </w:r>
      <w:r w:rsidRPr="002B2350">
        <w:rPr>
          <w:rFonts w:cs="Times New Roman"/>
        </w:rPr>
        <w:lastRenderedPageBreak/>
        <w:t>bring about large effects with respect to war and peace and big politics.”</w:t>
      </w:r>
      <w:r w:rsidRPr="002B2350">
        <w:rPr>
          <w:rStyle w:val="Funotenzeichen"/>
          <w:rFonts w:cs="Times New Roman"/>
        </w:rPr>
        <w:footnoteReference w:id="84"/>
      </w:r>
      <w:r w:rsidRPr="002B2350">
        <w:rPr>
          <w:rFonts w:cs="Times New Roman"/>
        </w:rPr>
        <w:t xml:space="preserve"> Moreover, the right of fraternity or society among sovereigns derives, among other circumstances, from their role as arbiters, mediators, and guarantors: “It is now also certain that the princes of Germany can be mediators </w:t>
      </w:r>
      <w:r w:rsidR="002B2350">
        <w:rPr>
          <w:rFonts w:cs="Times New Roman"/>
        </w:rPr>
        <w:t>[</w:t>
      </w:r>
      <w:r w:rsidRPr="002B2350">
        <w:rPr>
          <w:rFonts w:cs="Times New Roman"/>
        </w:rPr>
        <w:t>…</w:t>
      </w:r>
      <w:r w:rsidR="002B2350">
        <w:rPr>
          <w:rFonts w:cs="Times New Roman"/>
        </w:rPr>
        <w:t>]</w:t>
      </w:r>
      <w:r w:rsidRPr="002B2350">
        <w:rPr>
          <w:rFonts w:cs="Times New Roman"/>
        </w:rPr>
        <w:t xml:space="preserve"> or peace brokers between kings at war; and also that they rightly provide to the parties of a peace agreement guarantee or security.”</w:t>
      </w:r>
      <w:r w:rsidRPr="002B2350">
        <w:rPr>
          <w:rStyle w:val="Funotenzeichen"/>
          <w:rFonts w:cs="Times New Roman"/>
        </w:rPr>
        <w:footnoteReference w:id="85"/>
      </w:r>
      <w:r w:rsidRPr="002B2350">
        <w:rPr>
          <w:rFonts w:cs="Times New Roman"/>
        </w:rPr>
        <w:t xml:space="preserve"> For example, Leibniz mentions that Duke Johann Frederick of Brunswick and Lüneburg has been entrusted with mediation by the Elector of Brandenburg and the bishop of Münster in their war with the Swedes</w:t>
      </w:r>
      <w:r w:rsidR="00DE06A1">
        <w:rPr>
          <w:rFonts w:cs="Times New Roman"/>
        </w:rPr>
        <w:t xml:space="preserve"> (1675-1679)</w:t>
      </w:r>
      <w:r w:rsidRPr="002B2350">
        <w:rPr>
          <w:rFonts w:cs="Times New Roman"/>
        </w:rPr>
        <w:t>.</w:t>
      </w:r>
      <w:r w:rsidRPr="002B2350">
        <w:rPr>
          <w:rStyle w:val="Funotenzeichen"/>
          <w:rFonts w:cs="Times New Roman"/>
        </w:rPr>
        <w:footnoteReference w:id="86"/>
      </w:r>
      <w:r w:rsidRPr="002B2350">
        <w:rPr>
          <w:rFonts w:cs="Times New Roman"/>
        </w:rPr>
        <w:t xml:space="preserve"> Also, Leibniz reminds us that</w:t>
      </w:r>
      <w:r w:rsidR="00DE06A1">
        <w:rPr>
          <w:rFonts w:cs="Times New Roman"/>
        </w:rPr>
        <w:t xml:space="preserve"> the ambassador of</w:t>
      </w:r>
      <w:r w:rsidRPr="002B2350">
        <w:rPr>
          <w:rFonts w:cs="Times New Roman"/>
        </w:rPr>
        <w:t xml:space="preserve"> King Henri IV accepted envoys of the German princes as ambass</w:t>
      </w:r>
      <w:r w:rsidRPr="002B2350">
        <w:rPr>
          <w:rFonts w:cs="Times New Roman"/>
        </w:rPr>
        <w:t>a</w:t>
      </w:r>
      <w:r w:rsidRPr="002B2350">
        <w:rPr>
          <w:rFonts w:cs="Times New Roman"/>
        </w:rPr>
        <w:t>dors in the group of mediators in the peace negotiations at Den Haag</w:t>
      </w:r>
      <w:r w:rsidR="00DE06A1">
        <w:rPr>
          <w:rFonts w:cs="Times New Roman"/>
        </w:rPr>
        <w:t xml:space="preserve"> (1607-1609) and even reaffirmed their status against the opposition of the Spanish a</w:t>
      </w:r>
      <w:r w:rsidR="00DE06A1">
        <w:rPr>
          <w:rFonts w:cs="Times New Roman"/>
        </w:rPr>
        <w:t>m</w:t>
      </w:r>
      <w:r w:rsidR="00DE06A1">
        <w:rPr>
          <w:rFonts w:cs="Times New Roman"/>
        </w:rPr>
        <w:t>bassador</w:t>
      </w:r>
      <w:r w:rsidRPr="002B2350">
        <w:rPr>
          <w:rFonts w:cs="Times New Roman"/>
        </w:rPr>
        <w:t>.</w:t>
      </w:r>
      <w:r w:rsidRPr="002B2350">
        <w:rPr>
          <w:rStyle w:val="Funotenzeichen"/>
          <w:rFonts w:cs="Times New Roman"/>
        </w:rPr>
        <w:footnoteReference w:id="87"/>
      </w:r>
      <w:r w:rsidRPr="002B2350">
        <w:rPr>
          <w:rFonts w:cs="Times New Roman"/>
        </w:rPr>
        <w:t xml:space="preserve"> </w:t>
      </w:r>
      <w:r w:rsidR="00251E7B">
        <w:rPr>
          <w:rFonts w:cs="Times New Roman"/>
        </w:rPr>
        <w:t>This is why Leibniz sees a place for the envoys of the German princes among the other European powers, “for example in councils, expeditions against the infidels, general peace treaties, alliances, mediations (as they are called) and guarantees.”</w:t>
      </w:r>
      <w:r w:rsidR="00251E7B">
        <w:rPr>
          <w:rStyle w:val="Funotenzeichen"/>
          <w:rFonts w:cs="Times New Roman"/>
        </w:rPr>
        <w:footnoteReference w:id="88"/>
      </w:r>
      <w:r w:rsidR="00251E7B">
        <w:rPr>
          <w:rFonts w:cs="Times New Roman"/>
        </w:rPr>
        <w:t xml:space="preserve"> In particular</w:t>
      </w:r>
      <w:r w:rsidRPr="002B2350">
        <w:rPr>
          <w:rFonts w:cs="Times New Roman"/>
        </w:rPr>
        <w:t>, Lei</w:t>
      </w:r>
      <w:r w:rsidRPr="002B2350">
        <w:rPr>
          <w:rFonts w:cs="Times New Roman"/>
        </w:rPr>
        <w:t>b</w:t>
      </w:r>
      <w:r w:rsidRPr="002B2350">
        <w:rPr>
          <w:rFonts w:cs="Times New Roman"/>
        </w:rPr>
        <w:t>niz draws an</w:t>
      </w:r>
      <w:r w:rsidR="00251E7B">
        <w:rPr>
          <w:rFonts w:cs="Times New Roman"/>
        </w:rPr>
        <w:t xml:space="preserve"> analogy between how the German princes can form part of</w:t>
      </w:r>
      <w:r w:rsidRPr="002B2350">
        <w:rPr>
          <w:rFonts w:cs="Times New Roman"/>
        </w:rPr>
        <w:t xml:space="preserve"> a kind </w:t>
      </w:r>
      <w:r w:rsidR="00251E7B">
        <w:rPr>
          <w:rFonts w:cs="Times New Roman"/>
        </w:rPr>
        <w:t xml:space="preserve">of political community and </w:t>
      </w:r>
      <w:r w:rsidRPr="002B2350">
        <w:rPr>
          <w:rFonts w:cs="Times New Roman"/>
        </w:rPr>
        <w:t xml:space="preserve">the </w:t>
      </w:r>
      <w:r w:rsidRPr="002B2350">
        <w:rPr>
          <w:rFonts w:cs="Times New Roman"/>
          <w:i/>
          <w:iCs/>
        </w:rPr>
        <w:t>Respublica Christiana</w:t>
      </w:r>
      <w:r w:rsidRPr="002B2350">
        <w:rPr>
          <w:rFonts w:cs="Times New Roman"/>
        </w:rPr>
        <w:t xml:space="preserve"> as represented in the general councils:</w:t>
      </w:r>
    </w:p>
    <w:p w14:paraId="78575A83" w14:textId="77777777" w:rsidR="005021A1" w:rsidRPr="002B2350" w:rsidRDefault="005021A1" w:rsidP="002B2350">
      <w:pPr>
        <w:spacing w:line="360" w:lineRule="auto"/>
        <w:ind w:firstLine="390"/>
        <w:jc w:val="both"/>
        <w:rPr>
          <w:rFonts w:cs="Times New Roman"/>
        </w:rPr>
      </w:pPr>
    </w:p>
    <w:p w14:paraId="4A383CB7" w14:textId="77777777" w:rsidR="005021A1" w:rsidRPr="00F04CE3" w:rsidRDefault="00F04CE3" w:rsidP="00F04CE3">
      <w:pPr>
        <w:spacing w:line="360" w:lineRule="auto"/>
        <w:jc w:val="both"/>
        <w:rPr>
          <w:rFonts w:cs="Times New Roman"/>
          <w:sz w:val="20"/>
          <w:szCs w:val="20"/>
        </w:rPr>
      </w:pPr>
      <w:r w:rsidRPr="00F04CE3">
        <w:rPr>
          <w:rFonts w:cs="Times New Roman"/>
          <w:sz w:val="20"/>
          <w:szCs w:val="20"/>
        </w:rPr>
        <w:t>“</w:t>
      </w:r>
      <w:r w:rsidR="005021A1" w:rsidRPr="00F04CE3">
        <w:rPr>
          <w:rFonts w:cs="Times New Roman"/>
          <w:sz w:val="20"/>
          <w:szCs w:val="20"/>
        </w:rPr>
        <w:t>If some assembly of the highest powers in Europe would be called together, our princes would intervene with full right, very much as in tournaments the knights. Assemblies of this kind […] have been the councils, the cr</w:t>
      </w:r>
      <w:r w:rsidR="005021A1" w:rsidRPr="00F04CE3">
        <w:rPr>
          <w:rFonts w:cs="Times New Roman"/>
          <w:sz w:val="20"/>
          <w:szCs w:val="20"/>
        </w:rPr>
        <w:t>u</w:t>
      </w:r>
      <w:r w:rsidR="005021A1" w:rsidRPr="00F04CE3">
        <w:rPr>
          <w:rFonts w:cs="Times New Roman"/>
          <w:sz w:val="20"/>
          <w:szCs w:val="20"/>
        </w:rPr>
        <w:t>sades and today they could be congresses brought together to negotiate a general peace […].</w:t>
      </w:r>
      <w:r w:rsidRPr="00F04CE3">
        <w:rPr>
          <w:rFonts w:cs="Times New Roman"/>
          <w:sz w:val="20"/>
          <w:szCs w:val="20"/>
        </w:rPr>
        <w:t>”</w:t>
      </w:r>
      <w:r w:rsidR="005021A1" w:rsidRPr="00F04CE3">
        <w:rPr>
          <w:rStyle w:val="Funotenzeichen"/>
          <w:rFonts w:cs="Times New Roman"/>
          <w:sz w:val="20"/>
          <w:szCs w:val="20"/>
        </w:rPr>
        <w:footnoteReference w:id="89"/>
      </w:r>
      <w:r w:rsidR="005021A1" w:rsidRPr="00F04CE3">
        <w:rPr>
          <w:rFonts w:cs="Times New Roman"/>
          <w:sz w:val="20"/>
          <w:szCs w:val="20"/>
        </w:rPr>
        <w:t xml:space="preserve"> </w:t>
      </w:r>
    </w:p>
    <w:p w14:paraId="6A7E0C53" w14:textId="77777777" w:rsidR="005021A1" w:rsidRPr="002B2350" w:rsidRDefault="005021A1" w:rsidP="009B6FA3">
      <w:pPr>
        <w:spacing w:line="360" w:lineRule="auto"/>
        <w:jc w:val="both"/>
        <w:rPr>
          <w:rFonts w:cs="Times New Roman"/>
        </w:rPr>
      </w:pPr>
    </w:p>
    <w:p w14:paraId="00ABAFD0" w14:textId="77777777" w:rsidR="005021A1" w:rsidRPr="002B2350" w:rsidRDefault="005021A1" w:rsidP="002B2350">
      <w:pPr>
        <w:spacing w:line="360" w:lineRule="auto"/>
        <w:ind w:firstLine="390"/>
        <w:jc w:val="both"/>
        <w:rPr>
          <w:rFonts w:cs="Times New Roman"/>
        </w:rPr>
      </w:pPr>
      <w:r w:rsidRPr="002B2350">
        <w:rPr>
          <w:rFonts w:cs="Times New Roman"/>
        </w:rPr>
        <w:t>In the context of such councils, the right of the German princes to send envoys who fully participate in deliberation and decision-making has a long-standing tradition. Moreover, Lei</w:t>
      </w:r>
      <w:r w:rsidRPr="002B2350">
        <w:rPr>
          <w:rFonts w:cs="Times New Roman"/>
        </w:rPr>
        <w:t>b</w:t>
      </w:r>
      <w:r w:rsidRPr="002B2350">
        <w:rPr>
          <w:rFonts w:cs="Times New Roman"/>
        </w:rPr>
        <w:t>niz suggests that in the realm of secular politics a general peace conference could fulfill an analogous function. If so, the right of the princes to actively intervene in the proceedings of such a peace conference functions as the basis for the right of their envoys to play an active part in the negotiations:</w:t>
      </w:r>
    </w:p>
    <w:p w14:paraId="55846201" w14:textId="77777777" w:rsidR="005021A1" w:rsidRPr="002B2350" w:rsidRDefault="005021A1" w:rsidP="002B2350">
      <w:pPr>
        <w:spacing w:line="360" w:lineRule="auto"/>
        <w:jc w:val="both"/>
        <w:rPr>
          <w:rFonts w:cs="Times New Roman"/>
        </w:rPr>
      </w:pPr>
    </w:p>
    <w:p w14:paraId="52B096FB" w14:textId="77777777" w:rsidR="005021A1" w:rsidRPr="00F04CE3" w:rsidRDefault="00F04CE3" w:rsidP="00F04CE3">
      <w:pPr>
        <w:spacing w:line="360" w:lineRule="auto"/>
        <w:jc w:val="both"/>
        <w:rPr>
          <w:rFonts w:cs="Times New Roman"/>
          <w:sz w:val="20"/>
          <w:szCs w:val="20"/>
        </w:rPr>
      </w:pPr>
      <w:r w:rsidRPr="00F04CE3">
        <w:rPr>
          <w:rFonts w:cs="Times New Roman"/>
          <w:sz w:val="20"/>
          <w:szCs w:val="20"/>
        </w:rPr>
        <w:t>“</w:t>
      </w:r>
      <w:r w:rsidR="005021A1" w:rsidRPr="00F04CE3">
        <w:rPr>
          <w:rFonts w:cs="Times New Roman"/>
          <w:sz w:val="20"/>
          <w:szCs w:val="20"/>
        </w:rPr>
        <w:t>The society, or, so to speak, the fraternity of those who are called sovereigns, is represented in some grand council or universal peace negotiation, and to the envoys who possess the right of intervention due to the autho</w:t>
      </w:r>
      <w:r w:rsidR="005021A1" w:rsidRPr="00F04CE3">
        <w:rPr>
          <w:rFonts w:cs="Times New Roman"/>
          <w:sz w:val="20"/>
          <w:szCs w:val="20"/>
        </w:rPr>
        <w:t>r</w:t>
      </w:r>
      <w:r w:rsidR="005021A1" w:rsidRPr="00F04CE3">
        <w:rPr>
          <w:rFonts w:cs="Times New Roman"/>
          <w:sz w:val="20"/>
          <w:szCs w:val="20"/>
        </w:rPr>
        <w:t>ity of their master, the full honor of their [repr</w:t>
      </w:r>
      <w:r w:rsidR="005021A1" w:rsidRPr="00F04CE3">
        <w:rPr>
          <w:rFonts w:cs="Times New Roman"/>
          <w:sz w:val="20"/>
          <w:szCs w:val="20"/>
        </w:rPr>
        <w:t>e</w:t>
      </w:r>
      <w:r w:rsidR="005021A1" w:rsidRPr="00F04CE3">
        <w:rPr>
          <w:rFonts w:cs="Times New Roman"/>
          <w:sz w:val="20"/>
          <w:szCs w:val="20"/>
        </w:rPr>
        <w:t>sentative] character is owed.</w:t>
      </w:r>
      <w:r w:rsidRPr="00F04CE3">
        <w:rPr>
          <w:rFonts w:cs="Times New Roman"/>
          <w:sz w:val="20"/>
          <w:szCs w:val="20"/>
        </w:rPr>
        <w:t>”</w:t>
      </w:r>
      <w:r w:rsidR="005021A1" w:rsidRPr="00F04CE3">
        <w:rPr>
          <w:rStyle w:val="Funotenzeichen"/>
          <w:rFonts w:cs="Times New Roman"/>
          <w:sz w:val="20"/>
          <w:szCs w:val="20"/>
        </w:rPr>
        <w:footnoteReference w:id="90"/>
      </w:r>
      <w:r w:rsidR="005021A1" w:rsidRPr="00F04CE3">
        <w:rPr>
          <w:rFonts w:cs="Times New Roman"/>
          <w:sz w:val="20"/>
          <w:szCs w:val="20"/>
        </w:rPr>
        <w:t xml:space="preserve"> </w:t>
      </w:r>
    </w:p>
    <w:p w14:paraId="5B9CFF96" w14:textId="77777777" w:rsidR="005021A1" w:rsidRPr="002B2350" w:rsidRDefault="005021A1" w:rsidP="002B2350">
      <w:pPr>
        <w:spacing w:line="360" w:lineRule="auto"/>
        <w:jc w:val="both"/>
        <w:rPr>
          <w:rFonts w:cs="Times New Roman"/>
        </w:rPr>
      </w:pPr>
    </w:p>
    <w:p w14:paraId="3106069E" w14:textId="77777777" w:rsidR="005021A1" w:rsidRPr="002B2350" w:rsidRDefault="005021A1" w:rsidP="002B2350">
      <w:pPr>
        <w:spacing w:line="360" w:lineRule="auto"/>
        <w:jc w:val="both"/>
        <w:rPr>
          <w:rFonts w:cs="Times New Roman"/>
        </w:rPr>
      </w:pPr>
      <w:r w:rsidRPr="002B2350">
        <w:rPr>
          <w:rFonts w:cs="Times New Roman"/>
        </w:rPr>
        <w:t>Clearly, such a body would constitute a kind of political association between the participating sovereigns because it would pursue some specific political goal. This seems to be a plausible view because the sam</w:t>
      </w:r>
      <w:r w:rsidRPr="002B2350">
        <w:rPr>
          <w:rFonts w:cs="Times New Roman"/>
        </w:rPr>
        <w:t>e</w:t>
      </w:r>
      <w:r w:rsidRPr="002B2350">
        <w:rPr>
          <w:rFonts w:cs="Times New Roman"/>
        </w:rPr>
        <w:t>ness of diplomatic rights and obligations of those participating in such more particular negot</w:t>
      </w:r>
      <w:r w:rsidRPr="002B2350">
        <w:rPr>
          <w:rFonts w:cs="Times New Roman"/>
        </w:rPr>
        <w:t>i</w:t>
      </w:r>
      <w:r w:rsidRPr="002B2350">
        <w:rPr>
          <w:rFonts w:cs="Times New Roman"/>
        </w:rPr>
        <w:t>ations has a specifically political function in reaching peace agreements through arbitration or med</w:t>
      </w:r>
      <w:r w:rsidRPr="002B2350">
        <w:rPr>
          <w:rFonts w:cs="Times New Roman"/>
        </w:rPr>
        <w:t>i</w:t>
      </w:r>
      <w:r w:rsidRPr="002B2350">
        <w:rPr>
          <w:rFonts w:cs="Times New Roman"/>
        </w:rPr>
        <w:t>ation. Thus, it is the conflict-solving power of the shared rights to actively take part in intern</w:t>
      </w:r>
      <w:r w:rsidRPr="002B2350">
        <w:rPr>
          <w:rFonts w:cs="Times New Roman"/>
        </w:rPr>
        <w:t>a</w:t>
      </w:r>
      <w:r w:rsidRPr="002B2350">
        <w:rPr>
          <w:rFonts w:cs="Times New Roman"/>
        </w:rPr>
        <w:t>tional negotiations that is constitutive of the political association between sovereigns.</w:t>
      </w:r>
      <w:r w:rsidR="00025BAA" w:rsidRPr="00025BAA">
        <w:rPr>
          <w:rFonts w:cs="Times New Roman"/>
        </w:rPr>
        <w:t xml:space="preserve"> </w:t>
      </w:r>
      <w:r w:rsidR="00025BAA">
        <w:rPr>
          <w:rFonts w:cs="Times New Roman"/>
        </w:rPr>
        <w:t>This may be why Leibniz argues that peace treaties, mediations, peace guarantees fulfil the same function that such a political association would fulfil more eff</w:t>
      </w:r>
      <w:r w:rsidR="00025BAA">
        <w:rPr>
          <w:rFonts w:cs="Times New Roman"/>
        </w:rPr>
        <w:t>i</w:t>
      </w:r>
      <w:r w:rsidR="00025BAA">
        <w:rPr>
          <w:rFonts w:cs="Times New Roman"/>
        </w:rPr>
        <w:t>ciently.</w:t>
      </w:r>
      <w:r w:rsidR="00025BAA" w:rsidRPr="002B2350">
        <w:rPr>
          <w:rStyle w:val="Funotenzeichen"/>
          <w:rFonts w:cs="Times New Roman"/>
        </w:rPr>
        <w:footnoteReference w:id="91"/>
      </w:r>
    </w:p>
    <w:p w14:paraId="4F38AF2B" w14:textId="77777777" w:rsidR="005021A1" w:rsidRPr="002B2350" w:rsidRDefault="005021A1" w:rsidP="002B2350">
      <w:pPr>
        <w:spacing w:line="360" w:lineRule="auto"/>
        <w:ind w:firstLine="397"/>
        <w:jc w:val="both"/>
        <w:rPr>
          <w:rFonts w:cs="Times New Roman"/>
        </w:rPr>
      </w:pPr>
      <w:r w:rsidRPr="002B2350">
        <w:rPr>
          <w:rFonts w:cs="Times New Roman"/>
        </w:rPr>
        <w:t xml:space="preserve">Taken together, the implications of the capacity of acting according to the law of nations, including the capacity of providing services in international arbitration and mediation, in Leibniz’s view, </w:t>
      </w:r>
      <w:r w:rsidR="00025BAA">
        <w:rPr>
          <w:rFonts w:cs="Times New Roman"/>
        </w:rPr>
        <w:t xml:space="preserve">thus </w:t>
      </w:r>
      <w:r w:rsidRPr="002B2350">
        <w:rPr>
          <w:rFonts w:cs="Times New Roman"/>
        </w:rPr>
        <w:t>include a bundle of strict rights: (1) The envoys of sovereigns have a right to represent the sovereign who sent them out (</w:t>
      </w:r>
      <w:r w:rsidRPr="002B2350">
        <w:rPr>
          <w:rFonts w:cs="Times New Roman"/>
          <w:i/>
          <w:iCs/>
        </w:rPr>
        <w:t>jus repraesentationis</w:t>
      </w:r>
      <w:r w:rsidRPr="002B2350">
        <w:rPr>
          <w:rFonts w:cs="Times New Roman"/>
        </w:rPr>
        <w:t>).</w:t>
      </w:r>
      <w:r w:rsidRPr="002B2350">
        <w:rPr>
          <w:rStyle w:val="Funotenzeichen"/>
          <w:rFonts w:cs="Times New Roman"/>
        </w:rPr>
        <w:footnoteReference w:id="92"/>
      </w:r>
      <w:r w:rsidRPr="002B2350">
        <w:rPr>
          <w:rFonts w:cs="Times New Roman"/>
        </w:rPr>
        <w:t xml:space="preserve"> (2) Envoys of sovereigns have a right (within the limits of custom) to the same ceremonial forms as the one whom they represent (</w:t>
      </w:r>
      <w:r w:rsidRPr="002B2350">
        <w:rPr>
          <w:rFonts w:cs="Times New Roman"/>
          <w:i/>
          <w:iCs/>
        </w:rPr>
        <w:t>jus fruendi iisdem honoribus</w:t>
      </w:r>
      <w:r w:rsidRPr="002B2350">
        <w:rPr>
          <w:rFonts w:cs="Times New Roman"/>
        </w:rPr>
        <w:t>).</w:t>
      </w:r>
      <w:r w:rsidRPr="002B2350">
        <w:rPr>
          <w:rStyle w:val="Funotenzeichen"/>
          <w:rFonts w:cs="Times New Roman"/>
        </w:rPr>
        <w:footnoteReference w:id="93"/>
      </w:r>
      <w:r w:rsidRPr="002B2350">
        <w:rPr>
          <w:rFonts w:cs="Times New Roman"/>
        </w:rPr>
        <w:t xml:space="preserve"> (3) Envoys of sovereigns have a right to intervene in international negotiation because they represent sovereigns who have this right (</w:t>
      </w:r>
      <w:r w:rsidRPr="002B2350">
        <w:rPr>
          <w:rFonts w:cs="Times New Roman"/>
          <w:i/>
          <w:iCs/>
        </w:rPr>
        <w:t>jus interveniendi</w:t>
      </w:r>
      <w:r w:rsidRPr="002B2350">
        <w:rPr>
          <w:rFonts w:cs="Times New Roman"/>
        </w:rPr>
        <w:t>).</w:t>
      </w:r>
      <w:r w:rsidRPr="002B2350">
        <w:rPr>
          <w:rStyle w:val="Funotenzeichen"/>
          <w:rFonts w:cs="Times New Roman"/>
        </w:rPr>
        <w:footnoteReference w:id="94"/>
      </w:r>
      <w:r w:rsidRPr="002B2350">
        <w:rPr>
          <w:rFonts w:cs="Times New Roman"/>
        </w:rPr>
        <w:t xml:space="preserve"> (4) Sovereigns have among each other a right of fraternity or society (</w:t>
      </w:r>
      <w:r w:rsidRPr="002B2350">
        <w:rPr>
          <w:rFonts w:cs="Times New Roman"/>
          <w:i/>
          <w:iCs/>
        </w:rPr>
        <w:t>jus fraternitatis seu societatis</w:t>
      </w:r>
      <w:r w:rsidRPr="002B2350">
        <w:rPr>
          <w:rFonts w:cs="Times New Roman"/>
        </w:rPr>
        <w:t>).</w:t>
      </w:r>
      <w:r w:rsidRPr="002B2350">
        <w:rPr>
          <w:rStyle w:val="Funotenzeichen"/>
          <w:rFonts w:cs="Times New Roman"/>
        </w:rPr>
        <w:footnoteReference w:id="95"/>
      </w:r>
    </w:p>
    <w:p w14:paraId="4CA4E14F" w14:textId="77777777" w:rsidR="001C588C" w:rsidRDefault="001C588C" w:rsidP="002B2350">
      <w:pPr>
        <w:spacing w:line="360" w:lineRule="auto"/>
        <w:jc w:val="both"/>
        <w:rPr>
          <w:rFonts w:cs="Times New Roman"/>
        </w:rPr>
      </w:pPr>
    </w:p>
    <w:p w14:paraId="6C64619F" w14:textId="77777777" w:rsidR="008F49C8" w:rsidRPr="002B2350" w:rsidRDefault="008F49C8" w:rsidP="002B2350">
      <w:pPr>
        <w:spacing w:line="360" w:lineRule="auto"/>
        <w:jc w:val="center"/>
        <w:rPr>
          <w:rFonts w:cs="Times New Roman"/>
        </w:rPr>
      </w:pPr>
      <w:r w:rsidRPr="002B2350">
        <w:rPr>
          <w:rFonts w:cs="Times New Roman"/>
        </w:rPr>
        <w:t>4. Conclusion</w:t>
      </w:r>
    </w:p>
    <w:p w14:paraId="62020D5E" w14:textId="77777777" w:rsidR="008F49C8" w:rsidRPr="002B2350" w:rsidRDefault="008F49C8" w:rsidP="002B2350">
      <w:pPr>
        <w:spacing w:line="360" w:lineRule="auto"/>
        <w:jc w:val="both"/>
        <w:rPr>
          <w:rFonts w:cs="Times New Roman"/>
        </w:rPr>
      </w:pPr>
    </w:p>
    <w:p w14:paraId="03C7ABB0" w14:textId="77777777" w:rsidR="008F49C8" w:rsidRPr="002B2350" w:rsidRDefault="008F49C8" w:rsidP="002B2350">
      <w:pPr>
        <w:spacing w:line="360" w:lineRule="auto"/>
        <w:jc w:val="both"/>
        <w:rPr>
          <w:rFonts w:cs="Times New Roman"/>
        </w:rPr>
      </w:pPr>
      <w:r w:rsidRPr="002B2350">
        <w:rPr>
          <w:rFonts w:cs="Times New Roman"/>
        </w:rPr>
        <w:t>At the beginning of this article, I suggested that contextualizing Leibniz’s scattered remarks about the role played by German princes as mediators between European powers in the co</w:t>
      </w:r>
      <w:r w:rsidRPr="002B2350">
        <w:rPr>
          <w:rFonts w:cs="Times New Roman"/>
        </w:rPr>
        <w:t>n</w:t>
      </w:r>
      <w:r w:rsidRPr="002B2350">
        <w:rPr>
          <w:rFonts w:cs="Times New Roman"/>
        </w:rPr>
        <w:t>text of the early modern debate about international mediation may indicate that these remarks are more interesting than may be obvious at first sight. By now it should be easy to substant</w:t>
      </w:r>
      <w:r w:rsidRPr="002B2350">
        <w:rPr>
          <w:rFonts w:cs="Times New Roman"/>
        </w:rPr>
        <w:t>i</w:t>
      </w:r>
      <w:r w:rsidRPr="002B2350">
        <w:rPr>
          <w:rFonts w:cs="Times New Roman"/>
        </w:rPr>
        <w:t xml:space="preserve">ate this suggestion. Consider first the early modern context. What Leibniz has in common with Bodin is the view that armed mediation has to follow the demands of the law of nations and, hence, demands that political </w:t>
      </w:r>
      <w:r w:rsidR="0007192E" w:rsidRPr="002B2350">
        <w:rPr>
          <w:rFonts w:cs="Times New Roman"/>
        </w:rPr>
        <w:t>actors act</w:t>
      </w:r>
      <w:r w:rsidRPr="002B2350">
        <w:rPr>
          <w:rFonts w:cs="Times New Roman"/>
        </w:rPr>
        <w:t xml:space="preserve"> according to the law of nations—that is, sove</w:t>
      </w:r>
      <w:r w:rsidRPr="002B2350">
        <w:rPr>
          <w:rFonts w:cs="Times New Roman"/>
        </w:rPr>
        <w:t>r</w:t>
      </w:r>
      <w:r w:rsidRPr="002B2350">
        <w:rPr>
          <w:rFonts w:cs="Times New Roman"/>
        </w:rPr>
        <w:lastRenderedPageBreak/>
        <w:t>eigns. However, his conception of sovereignty departs from Bodin’s. While Bodin regards i</w:t>
      </w:r>
      <w:r w:rsidRPr="002B2350">
        <w:rPr>
          <w:rFonts w:cs="Times New Roman"/>
        </w:rPr>
        <w:t>n</w:t>
      </w:r>
      <w:r w:rsidRPr="002B2350">
        <w:rPr>
          <w:rFonts w:cs="Times New Roman"/>
        </w:rPr>
        <w:t>dependence from external interference as the central criterion of sovereignty, Leibniz takes the capability of acting according to the law of nations to be the central criterion. This is why he allows for nested structures of sovereignty—sovereignty that is subject to higher sove</w:t>
      </w:r>
      <w:r w:rsidRPr="002B2350">
        <w:rPr>
          <w:rFonts w:cs="Times New Roman"/>
        </w:rPr>
        <w:t>r</w:t>
      </w:r>
      <w:r w:rsidRPr="002B2350">
        <w:rPr>
          <w:rFonts w:cs="Times New Roman"/>
        </w:rPr>
        <w:t xml:space="preserve">eignty in some respects such as high jurisdiction or political decisions of the </w:t>
      </w:r>
      <w:r w:rsidRPr="002B2350">
        <w:rPr>
          <w:rFonts w:cs="Times New Roman"/>
          <w:i/>
          <w:iCs/>
        </w:rPr>
        <w:t>Reichstag</w:t>
      </w:r>
      <w:r w:rsidRPr="002B2350">
        <w:rPr>
          <w:rFonts w:cs="Times New Roman"/>
        </w:rPr>
        <w:t>, as long as these relations of dependency allow effective international agency in arbitration, m</w:t>
      </w:r>
      <w:r w:rsidRPr="002B2350">
        <w:rPr>
          <w:rFonts w:cs="Times New Roman"/>
        </w:rPr>
        <w:t>e</w:t>
      </w:r>
      <w:r w:rsidRPr="002B2350">
        <w:rPr>
          <w:rFonts w:cs="Times New Roman"/>
        </w:rPr>
        <w:t>diation, forming and participating in international agreements and warfare. The figure of the armed mediator unites several aspects of acting according to the law of nations—resolution of international conflicts, the combination between mediation and the agreement to act as gua</w:t>
      </w:r>
      <w:r w:rsidRPr="002B2350">
        <w:rPr>
          <w:rFonts w:cs="Times New Roman"/>
        </w:rPr>
        <w:t>r</w:t>
      </w:r>
      <w:r w:rsidRPr="002B2350">
        <w:rPr>
          <w:rFonts w:cs="Times New Roman"/>
        </w:rPr>
        <w:t>antor, and the threat of military intervention. Leibniz’s argument from the right of armed m</w:t>
      </w:r>
      <w:r w:rsidRPr="002B2350">
        <w:rPr>
          <w:rFonts w:cs="Times New Roman"/>
        </w:rPr>
        <w:t>e</w:t>
      </w:r>
      <w:r w:rsidRPr="002B2350">
        <w:rPr>
          <w:rFonts w:cs="Times New Roman"/>
        </w:rPr>
        <w:t>diation to the right of sovereignty substantially goes beyond what is found in any other early modern contribution to the theory of international mediation.</w:t>
      </w:r>
    </w:p>
    <w:p w14:paraId="1E123EEE" w14:textId="77777777" w:rsidR="008F49C8" w:rsidRPr="002B2350" w:rsidRDefault="008F49C8" w:rsidP="002B2350">
      <w:pPr>
        <w:spacing w:line="360" w:lineRule="auto"/>
        <w:ind w:firstLine="397"/>
        <w:jc w:val="both"/>
        <w:rPr>
          <w:rFonts w:cs="Times New Roman"/>
        </w:rPr>
      </w:pPr>
      <w:r w:rsidRPr="002B2350">
        <w:rPr>
          <w:rFonts w:cs="Times New Roman"/>
        </w:rPr>
        <w:t>From a contemporary perspective, both the early modern conception of armed mediation and Leibniz’s development of this conception may shed light on some neglected aspects of the structure of international mediation. Neither the category of neutral mediator nor the category of principal mediator, as understood by Princen, seem</w:t>
      </w:r>
      <w:r w:rsidR="002B2350">
        <w:rPr>
          <w:rFonts w:cs="Times New Roman"/>
        </w:rPr>
        <w:t>s</w:t>
      </w:r>
      <w:r w:rsidRPr="002B2350">
        <w:rPr>
          <w:rFonts w:cs="Times New Roman"/>
        </w:rPr>
        <w:t xml:space="preserve"> to fit the role of the armed mediator. This is so because the armed mediator shares with the principal mediator  a stake in defending  self-interests that may be adversely affected by a conflict and the willin</w:t>
      </w:r>
      <w:r w:rsidRPr="002B2350">
        <w:rPr>
          <w:rFonts w:cs="Times New Roman"/>
        </w:rPr>
        <w:t>g</w:t>
      </w:r>
      <w:r w:rsidRPr="002B2350">
        <w:rPr>
          <w:rFonts w:cs="Times New Roman"/>
        </w:rPr>
        <w:t>ness to change the incentive structure of one (or more) conflict parties  because of the threat of military interve</w:t>
      </w:r>
      <w:r w:rsidRPr="002B2350">
        <w:rPr>
          <w:rFonts w:cs="Times New Roman"/>
        </w:rPr>
        <w:t>n</w:t>
      </w:r>
      <w:r w:rsidRPr="002B2350">
        <w:rPr>
          <w:rFonts w:cs="Times New Roman"/>
        </w:rPr>
        <w:t>tion. At the same time, neither Leibniz nor his predecessors and contemporaries regard the role of the armed mediator as being reducible to an interplay of inte</w:t>
      </w:r>
      <w:r w:rsidRPr="002B2350">
        <w:rPr>
          <w:rFonts w:cs="Times New Roman"/>
        </w:rPr>
        <w:t>r</w:t>
      </w:r>
      <w:r w:rsidRPr="002B2350">
        <w:rPr>
          <w:rFonts w:cs="Times New Roman"/>
        </w:rPr>
        <w:t xml:space="preserve">ests or the art of reaching circular deals. Rather, they bind the conditions under which an armed mediator can become active to the case in which there is a </w:t>
      </w:r>
      <w:r w:rsidRPr="002B2350">
        <w:rPr>
          <w:rFonts w:cs="Times New Roman"/>
          <w:i/>
          <w:iCs/>
        </w:rPr>
        <w:t>just</w:t>
      </w:r>
      <w:r w:rsidRPr="002B2350">
        <w:rPr>
          <w:rFonts w:cs="Times New Roman"/>
        </w:rPr>
        <w:t xml:space="preserve"> cause of war: Either a case in which the i</w:t>
      </w:r>
      <w:r w:rsidRPr="002B2350">
        <w:rPr>
          <w:rFonts w:cs="Times New Roman"/>
        </w:rPr>
        <w:t>n</w:t>
      </w:r>
      <w:r w:rsidRPr="002B2350">
        <w:rPr>
          <w:rFonts w:cs="Times New Roman"/>
        </w:rPr>
        <w:t xml:space="preserve">terests of the mediator are threatened by injury—i.e., </w:t>
      </w:r>
      <w:r w:rsidRPr="002B2350">
        <w:rPr>
          <w:rFonts w:cs="Times New Roman"/>
          <w:i/>
          <w:iCs/>
        </w:rPr>
        <w:t xml:space="preserve">unjust </w:t>
      </w:r>
      <w:r w:rsidRPr="002B2350">
        <w:rPr>
          <w:rFonts w:cs="Times New Roman"/>
        </w:rPr>
        <w:t>damage—to a party in conflict; or a case in which a peace agreement for which the mediator has accepted a request to act as guarantor is violated. Moreover, the early moderns were very clear that, before resorting to mil</w:t>
      </w:r>
      <w:r w:rsidRPr="002B2350">
        <w:rPr>
          <w:rFonts w:cs="Times New Roman"/>
        </w:rPr>
        <w:t>i</w:t>
      </w:r>
      <w:r w:rsidRPr="002B2350">
        <w:rPr>
          <w:rFonts w:cs="Times New Roman"/>
        </w:rPr>
        <w:t>tary force, the armed mediator is obliged to suggest a solution to the conflict that itself has to be shaped by considerations of justice or equity. Thus, although interests and military capabi</w:t>
      </w:r>
      <w:r w:rsidRPr="002B2350">
        <w:rPr>
          <w:rFonts w:cs="Times New Roman"/>
        </w:rPr>
        <w:t>l</w:t>
      </w:r>
      <w:r w:rsidRPr="002B2350">
        <w:rPr>
          <w:rFonts w:cs="Times New Roman"/>
        </w:rPr>
        <w:t>ities are constitutive of the role of armed mediator, the armed mediator shares with the neutral medi</w:t>
      </w:r>
      <w:r w:rsidRPr="002B2350">
        <w:rPr>
          <w:rFonts w:cs="Times New Roman"/>
        </w:rPr>
        <w:t>a</w:t>
      </w:r>
      <w:r w:rsidRPr="002B2350">
        <w:rPr>
          <w:rFonts w:cs="Times New Roman"/>
        </w:rPr>
        <w:t>tor the duty to observe the demands of justice and equ</w:t>
      </w:r>
      <w:r w:rsidRPr="002B2350">
        <w:rPr>
          <w:rFonts w:cs="Times New Roman"/>
        </w:rPr>
        <w:t>i</w:t>
      </w:r>
      <w:r w:rsidRPr="002B2350">
        <w:rPr>
          <w:rFonts w:cs="Times New Roman"/>
        </w:rPr>
        <w:t>ty. This is why the early modern figure of the armed mediator may indicate some reasons why we would do good to de-dichotomize our conception of types of international mediation. U</w:t>
      </w:r>
      <w:r w:rsidRPr="002B2350">
        <w:rPr>
          <w:rFonts w:cs="Times New Roman"/>
        </w:rPr>
        <w:t>s</w:t>
      </w:r>
      <w:r w:rsidRPr="002B2350">
        <w:rPr>
          <w:rFonts w:cs="Times New Roman"/>
        </w:rPr>
        <w:t xml:space="preserve">ing such a strategy of de-dichotomization may prove useful for </w:t>
      </w:r>
      <w:r w:rsidR="0007192E" w:rsidRPr="002B2350">
        <w:rPr>
          <w:rFonts w:cs="Times New Roman"/>
        </w:rPr>
        <w:t>integrating the</w:t>
      </w:r>
      <w:r w:rsidRPr="002B2350">
        <w:rPr>
          <w:rFonts w:cs="Times New Roman"/>
        </w:rPr>
        <w:t xml:space="preserve"> notions of justice and equity into our </w:t>
      </w:r>
      <w:r w:rsidRPr="002B2350">
        <w:rPr>
          <w:rFonts w:cs="Times New Roman"/>
        </w:rPr>
        <w:lastRenderedPageBreak/>
        <w:t>accounts of how mediators in international conflicts could act in a persuasive and effe</w:t>
      </w:r>
      <w:r w:rsidRPr="002B2350">
        <w:rPr>
          <w:rFonts w:cs="Times New Roman"/>
        </w:rPr>
        <w:t>c</w:t>
      </w:r>
      <w:r w:rsidRPr="002B2350">
        <w:rPr>
          <w:rFonts w:cs="Times New Roman"/>
        </w:rPr>
        <w:t>tive manner.</w:t>
      </w:r>
    </w:p>
    <w:p w14:paraId="3D04E895" w14:textId="77777777" w:rsidR="00EF3733" w:rsidRPr="002B2350" w:rsidRDefault="008F49C8" w:rsidP="002B2350">
      <w:pPr>
        <w:spacing w:line="360" w:lineRule="auto"/>
        <w:ind w:firstLine="397"/>
        <w:jc w:val="both"/>
        <w:rPr>
          <w:rFonts w:cs="Times New Roman"/>
        </w:rPr>
      </w:pPr>
      <w:r w:rsidRPr="002B2350">
        <w:rPr>
          <w:rFonts w:cs="Times New Roman"/>
        </w:rPr>
        <w:t>Finally, the specific turn that Leibniz gives to these considerations may indicate a further sense in which the early debate about international mediation may shed light on a justice-related issue that is overlooked in contemporary debates. As we have seen, Leibniz uses inte</w:t>
      </w:r>
      <w:r w:rsidRPr="002B2350">
        <w:rPr>
          <w:rFonts w:cs="Times New Roman"/>
        </w:rPr>
        <w:t>r</w:t>
      </w:r>
      <w:r w:rsidRPr="002B2350">
        <w:rPr>
          <w:rFonts w:cs="Times New Roman"/>
        </w:rPr>
        <w:t>national mediation as one of the activities that shows that a certain ruler is capable of acting according to the law of nations. This has the wider consequence that the right of sending a</w:t>
      </w:r>
      <w:r w:rsidRPr="002B2350">
        <w:rPr>
          <w:rFonts w:cs="Times New Roman"/>
        </w:rPr>
        <w:t>m</w:t>
      </w:r>
      <w:r w:rsidRPr="002B2350">
        <w:rPr>
          <w:rFonts w:cs="Times New Roman"/>
        </w:rPr>
        <w:t>bassadors should be based on a conception of sovereignty that neither excludes relations of political dependence nor even demands anything like a closed national territory. But Leibniz is clear that participating in international mediation is not the only criterion that counts in this respect. For example, the capacity of entering international contracts and alliances also could fulfill the same function. This tells us something about distributive justice concerning the standing of those envoys who represent parties in international negotiations (including inte</w:t>
      </w:r>
      <w:r w:rsidRPr="002B2350">
        <w:rPr>
          <w:rFonts w:cs="Times New Roman"/>
        </w:rPr>
        <w:t>r</w:t>
      </w:r>
      <w:r w:rsidRPr="002B2350">
        <w:rPr>
          <w:rFonts w:cs="Times New Roman"/>
        </w:rPr>
        <w:t xml:space="preserve">national mediation provided by some other power). Leibniz is very clear why such matters of rank and </w:t>
      </w:r>
      <w:r w:rsidR="0007192E" w:rsidRPr="002B2350">
        <w:rPr>
          <w:rFonts w:cs="Times New Roman"/>
        </w:rPr>
        <w:t>ceremony can</w:t>
      </w:r>
      <w:r w:rsidRPr="002B2350">
        <w:rPr>
          <w:rFonts w:cs="Times New Roman"/>
        </w:rPr>
        <w:t xml:space="preserve"> be politically highly relevant: they are not only symbolic matters; r</w:t>
      </w:r>
      <w:r w:rsidRPr="002B2350">
        <w:rPr>
          <w:rFonts w:cs="Times New Roman"/>
        </w:rPr>
        <w:t>a</w:t>
      </w:r>
      <w:r w:rsidRPr="002B2350">
        <w:rPr>
          <w:rFonts w:cs="Times New Roman"/>
        </w:rPr>
        <w:t xml:space="preserve">ther, by symbolizing reputation, they express very concrete political judgments concerning the </w:t>
      </w:r>
      <w:r w:rsidR="0007192E" w:rsidRPr="002B2350">
        <w:rPr>
          <w:rFonts w:cs="Times New Roman"/>
        </w:rPr>
        <w:t>ease or</w:t>
      </w:r>
      <w:r w:rsidRPr="002B2350">
        <w:rPr>
          <w:rFonts w:cs="Times New Roman"/>
        </w:rPr>
        <w:t xml:space="preserve"> difficulty of violating the rights and interests of the power represented by the e</w:t>
      </w:r>
      <w:r w:rsidRPr="002B2350">
        <w:rPr>
          <w:rFonts w:cs="Times New Roman"/>
        </w:rPr>
        <w:t>n</w:t>
      </w:r>
      <w:r w:rsidRPr="002B2350">
        <w:rPr>
          <w:rFonts w:cs="Times New Roman"/>
        </w:rPr>
        <w:t>voys. This is why Leibniz believes that recognizing envoys as ambassadors is a matter of ju</w:t>
      </w:r>
      <w:r w:rsidRPr="002B2350">
        <w:rPr>
          <w:rFonts w:cs="Times New Roman"/>
        </w:rPr>
        <w:t>s</w:t>
      </w:r>
      <w:r w:rsidRPr="002B2350">
        <w:rPr>
          <w:rFonts w:cs="Times New Roman"/>
        </w:rPr>
        <w:t>tice towards all powers that, according to his conception of divided and overlapping sove</w:t>
      </w:r>
      <w:r w:rsidRPr="002B2350">
        <w:rPr>
          <w:rFonts w:cs="Times New Roman"/>
        </w:rPr>
        <w:t>r</w:t>
      </w:r>
      <w:r w:rsidRPr="002B2350">
        <w:rPr>
          <w:rFonts w:cs="Times New Roman"/>
        </w:rPr>
        <w:t xml:space="preserve">eignty, are sovereigns. </w:t>
      </w:r>
      <w:r w:rsidR="00EF3733" w:rsidRPr="002B2350">
        <w:rPr>
          <w:rFonts w:cs="Times New Roman"/>
        </w:rPr>
        <w:t>And because all international mediation will involve negotiations with delegates of the parties in conflict, this brings in a further aspect of international justice: Intern</w:t>
      </w:r>
      <w:r w:rsidR="00EF3733" w:rsidRPr="002B2350">
        <w:rPr>
          <w:rFonts w:cs="Times New Roman"/>
        </w:rPr>
        <w:t>a</w:t>
      </w:r>
      <w:r w:rsidR="00EF3733" w:rsidRPr="002B2350">
        <w:rPr>
          <w:rFonts w:cs="Times New Roman"/>
        </w:rPr>
        <w:t>tional mediators, be they neutral mediators, armed mediators, or princ</w:t>
      </w:r>
      <w:r w:rsidR="00946398">
        <w:rPr>
          <w:rFonts w:cs="Times New Roman"/>
        </w:rPr>
        <w:t>ipal mediators, have the duty to recognize</w:t>
      </w:r>
      <w:r w:rsidR="00EF3733" w:rsidRPr="002B2350">
        <w:rPr>
          <w:rFonts w:cs="Times New Roman"/>
        </w:rPr>
        <w:t xml:space="preserve"> the envoys of those powers that possess sovereignty as ambass</w:t>
      </w:r>
      <w:r w:rsidR="00EF3733" w:rsidRPr="002B2350">
        <w:rPr>
          <w:rFonts w:cs="Times New Roman"/>
        </w:rPr>
        <w:t>a</w:t>
      </w:r>
      <w:r w:rsidR="00EF3733" w:rsidRPr="002B2350">
        <w:rPr>
          <w:rFonts w:cs="Times New Roman"/>
        </w:rPr>
        <w:t xml:space="preserve">dors since otherwise they would violate the demands of distributive justice with respect to honor. </w:t>
      </w:r>
      <w:r w:rsidRPr="002B2350">
        <w:rPr>
          <w:rFonts w:cs="Times New Roman"/>
        </w:rPr>
        <w:t>And the idea that matters of honor imply specific duties of justice may resonate with some contemporary political cultures more strongly than interest-based models of intern</w:t>
      </w:r>
      <w:r w:rsidRPr="002B2350">
        <w:rPr>
          <w:rFonts w:cs="Times New Roman"/>
        </w:rPr>
        <w:t>a</w:t>
      </w:r>
      <w:r w:rsidRPr="002B2350">
        <w:rPr>
          <w:rFonts w:cs="Times New Roman"/>
        </w:rPr>
        <w:t>tional medi</w:t>
      </w:r>
      <w:r w:rsidRPr="002B2350">
        <w:rPr>
          <w:rFonts w:cs="Times New Roman"/>
        </w:rPr>
        <w:t>a</w:t>
      </w:r>
      <w:r w:rsidRPr="002B2350">
        <w:rPr>
          <w:rFonts w:cs="Times New Roman"/>
        </w:rPr>
        <w:t>tion may be ready to recognize.</w:t>
      </w:r>
      <w:r w:rsidR="001F7C38">
        <w:rPr>
          <w:rStyle w:val="Funotenzeichen"/>
          <w:rFonts w:cs="Times New Roman"/>
        </w:rPr>
        <w:footnoteReference w:id="96"/>
      </w:r>
    </w:p>
    <w:p w14:paraId="005B77D8" w14:textId="77777777" w:rsidR="008F49C8" w:rsidRDefault="008F49C8" w:rsidP="002B2350">
      <w:pPr>
        <w:spacing w:line="360" w:lineRule="auto"/>
        <w:jc w:val="both"/>
        <w:rPr>
          <w:rFonts w:cs="Times New Roman"/>
        </w:rPr>
      </w:pPr>
    </w:p>
    <w:p w14:paraId="50115988" w14:textId="77777777" w:rsidR="00777189" w:rsidRPr="00777189" w:rsidRDefault="00777189" w:rsidP="002B2350">
      <w:pPr>
        <w:spacing w:line="360" w:lineRule="auto"/>
        <w:jc w:val="both"/>
        <w:rPr>
          <w:rFonts w:cs="Times New Roman"/>
          <w:sz w:val="20"/>
          <w:szCs w:val="20"/>
        </w:rPr>
      </w:pPr>
      <w:r>
        <w:rPr>
          <w:rFonts w:cs="Times New Roman"/>
          <w:sz w:val="20"/>
          <w:szCs w:val="20"/>
        </w:rPr>
        <w:t>PD Dr. Andreas Blank, Institut für Humanwissenschaften: Philosophie, Universität Paderborn, Warburger Str. 100, 33098 Paderborn, Germany, andreasblank@hotmail.com</w:t>
      </w:r>
    </w:p>
    <w:sectPr w:rsidR="00777189" w:rsidRPr="00777189">
      <w:footerReference w:type="default" r:id="rId6"/>
      <w:endnotePr>
        <w:numFmt w:val="decimal"/>
      </w:endnotePr>
      <w:pgSz w:w="11906" w:h="16838"/>
      <w:pgMar w:top="1417" w:right="1417" w:bottom="1134" w:left="1417" w:header="709" w:footer="709"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CA003" w14:textId="77777777" w:rsidR="00277FC5" w:rsidRDefault="00277FC5">
      <w:pPr>
        <w:spacing w:line="240" w:lineRule="auto"/>
      </w:pPr>
      <w:r>
        <w:separator/>
      </w:r>
    </w:p>
  </w:endnote>
  <w:endnote w:type="continuationSeparator" w:id="0">
    <w:p w14:paraId="3DE78655" w14:textId="77777777" w:rsidR="00277FC5" w:rsidRDefault="00277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Bold">
    <w:altName w:val="Arial"/>
    <w:panose1 w:val="020208030705050203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E1D6" w14:textId="77777777" w:rsidR="001E65F4" w:rsidRDefault="001E65F4">
    <w:pPr>
      <w:pStyle w:val="Fuzeile"/>
      <w:tabs>
        <w:tab w:val="clear" w:pos="9072"/>
        <w:tab w:val="right" w:pos="9046"/>
      </w:tabs>
      <w:jc w:val="center"/>
    </w:pPr>
    <w:r>
      <w:fldChar w:fldCharType="begin"/>
    </w:r>
    <w:r>
      <w:instrText xml:space="preserve"> PAGE </w:instrText>
    </w:r>
    <w:r>
      <w:fldChar w:fldCharType="separate"/>
    </w:r>
    <w:r w:rsidR="0036531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A72F" w14:textId="77777777" w:rsidR="00277FC5" w:rsidRDefault="00277FC5">
      <w:pPr>
        <w:spacing w:line="240" w:lineRule="auto"/>
      </w:pPr>
      <w:r>
        <w:separator/>
      </w:r>
    </w:p>
  </w:footnote>
  <w:footnote w:type="continuationSeparator" w:id="0">
    <w:p w14:paraId="11B6777F" w14:textId="77777777" w:rsidR="00277FC5" w:rsidRDefault="00277FC5">
      <w:pPr>
        <w:spacing w:line="240" w:lineRule="auto"/>
      </w:pPr>
      <w:r>
        <w:continuationSeparator/>
      </w:r>
    </w:p>
  </w:footnote>
  <w:footnote w:id="1">
    <w:p w14:paraId="27D269B8"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On arbitration and mediation in Roman and medieval civil law, see L. Martone, </w:t>
      </w:r>
      <w:r w:rsidRPr="00221AEC">
        <w:rPr>
          <w:rFonts w:cs="Times New Roman"/>
          <w:i/>
        </w:rPr>
        <w:t>Arbiter—Arbitrator. Forme di giustizia privata nell’età del diritto comune</w:t>
      </w:r>
      <w:r w:rsidRPr="00221AEC">
        <w:rPr>
          <w:rFonts w:cs="Times New Roman"/>
        </w:rPr>
        <w:t xml:space="preserve"> (Naples, 1984); on mediation in Canon law, see K. S. Bader, “Arb</w:t>
      </w:r>
      <w:r w:rsidRPr="00221AEC">
        <w:rPr>
          <w:rFonts w:cs="Times New Roman"/>
        </w:rPr>
        <w:t>i</w:t>
      </w:r>
      <w:r w:rsidRPr="00221AEC">
        <w:rPr>
          <w:rFonts w:cs="Times New Roman"/>
        </w:rPr>
        <w:t xml:space="preserve">ter arbitrator seu amicabilis compositor”, in </w:t>
      </w:r>
      <w:r w:rsidRPr="00221AEC">
        <w:rPr>
          <w:rFonts w:cs="Times New Roman"/>
          <w:i/>
        </w:rPr>
        <w:t xml:space="preserve">Zeitschrift für Rechtsgeschichte, Kanonistische Abteilung </w:t>
      </w:r>
      <w:r w:rsidRPr="00221AEC">
        <w:rPr>
          <w:rFonts w:cs="Times New Roman"/>
        </w:rPr>
        <w:t>46 (1960), pp. 239-276.</w:t>
      </w:r>
    </w:p>
  </w:footnote>
  <w:footnote w:id="2">
    <w:p w14:paraId="4E2E8E16"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w:t>
      </w:r>
      <w:r w:rsidR="001F7C38" w:rsidRPr="00221AEC">
        <w:rPr>
          <w:rFonts w:cs="Times New Roman"/>
        </w:rPr>
        <w:t>On mediation in</w:t>
      </w:r>
      <w:r w:rsidRPr="00221AEC">
        <w:rPr>
          <w:rFonts w:cs="Times New Roman"/>
        </w:rPr>
        <w:t xml:space="preserve"> early modern civil law, see R. L. Kagan, </w:t>
      </w:r>
      <w:r w:rsidRPr="00221AEC">
        <w:rPr>
          <w:rFonts w:cs="Times New Roman"/>
          <w:i/>
        </w:rPr>
        <w:t>Lawsuits and Litigants in Castile, 1500-1700</w:t>
      </w:r>
      <w:r w:rsidRPr="00221AEC">
        <w:rPr>
          <w:rFonts w:cs="Times New Roman"/>
        </w:rPr>
        <w:t xml:space="preserve"> (Chapel Hill, 1981); J. Bossy (ed.), </w:t>
      </w:r>
      <w:r w:rsidRPr="00221AEC">
        <w:rPr>
          <w:rFonts w:cs="Times New Roman"/>
          <w:i/>
        </w:rPr>
        <w:t>Disputes and Settlements. Law and Human Relations in the West</w:t>
      </w:r>
      <w:r w:rsidRPr="00221AEC">
        <w:rPr>
          <w:rFonts w:cs="Times New Roman"/>
        </w:rPr>
        <w:t xml:space="preserve"> (Cambridge, 1983).</w:t>
      </w:r>
      <w:r w:rsidR="001F7C38" w:rsidRPr="00221AEC">
        <w:rPr>
          <w:rFonts w:cs="Times New Roman"/>
        </w:rPr>
        <w:t xml:space="preserve"> On mediation </w:t>
      </w:r>
      <w:r w:rsidRPr="00221AEC">
        <w:rPr>
          <w:rFonts w:cs="Times New Roman"/>
        </w:rPr>
        <w:t xml:space="preserve">in the early modern </w:t>
      </w:r>
      <w:r w:rsidRPr="00221AEC">
        <w:rPr>
          <w:rFonts w:cs="Times New Roman"/>
          <w:i/>
        </w:rPr>
        <w:t>ius gentium</w:t>
      </w:r>
      <w:r w:rsidRPr="00221AEC">
        <w:rPr>
          <w:rFonts w:cs="Times New Roman"/>
        </w:rPr>
        <w:t xml:space="preserve">, see H. Duchhardt, “‘Friedensvermittlung’ im Völkerrecht des 17. und 18. Jahrhunderts: Von Grotius zu Vattel”, in H. Duchhardt, </w:t>
      </w:r>
      <w:r w:rsidRPr="00221AEC">
        <w:rPr>
          <w:rFonts w:cs="Times New Roman"/>
          <w:i/>
        </w:rPr>
        <w:t xml:space="preserve">Studien zur Friedensvermittlung in der Frühen Neuzeit </w:t>
      </w:r>
      <w:r w:rsidRPr="00221AEC">
        <w:rPr>
          <w:rFonts w:cs="Times New Roman"/>
        </w:rPr>
        <w:t xml:space="preserve">(Wiesbaden, 1979), pp. 89-117; J. Bossy, </w:t>
      </w:r>
      <w:r w:rsidRPr="00221AEC">
        <w:rPr>
          <w:rFonts w:cs="Times New Roman"/>
          <w:i/>
        </w:rPr>
        <w:t>Peace in the Post-Reformation. The Birkbeck Lectures 1995</w:t>
      </w:r>
      <w:r w:rsidRPr="00221AEC">
        <w:rPr>
          <w:rFonts w:cs="Times New Roman"/>
        </w:rPr>
        <w:t xml:space="preserve"> (Cambridge, 1998);</w:t>
      </w:r>
      <w:r w:rsidRPr="00221AEC">
        <w:rPr>
          <w:rFonts w:cs="Times New Roman"/>
          <w:i/>
        </w:rPr>
        <w:t xml:space="preserve"> </w:t>
      </w:r>
      <w:r w:rsidRPr="00221AEC">
        <w:rPr>
          <w:rFonts w:cs="Times New Roman"/>
        </w:rPr>
        <w:t xml:space="preserve">P. Broggio, “I Gesuiti come pacificatori in età moderna: Dalle guerre di frontiera nel nuovo mondo Americano alle lotte fazionarie nell’Europa mediterranea”, </w:t>
      </w:r>
      <w:r w:rsidRPr="00221AEC">
        <w:rPr>
          <w:rFonts w:cs="Times New Roman"/>
          <w:i/>
        </w:rPr>
        <w:t xml:space="preserve">Rivista di Storia e Letteratura Religiosa </w:t>
      </w:r>
      <w:r w:rsidRPr="00221AEC">
        <w:rPr>
          <w:rFonts w:cs="Times New Roman"/>
        </w:rPr>
        <w:t>39 (2003), 249-290.</w:t>
      </w:r>
    </w:p>
  </w:footnote>
  <w:footnote w:id="3">
    <w:p w14:paraId="6B0DBE74"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See V. I. Comparato, “Mediazione politica e Teoria dello stato. Note su Bodin e Hobbes”, </w:t>
      </w:r>
      <w:r w:rsidRPr="00221AEC">
        <w:rPr>
          <w:rFonts w:cs="Times New Roman"/>
          <w:i/>
        </w:rPr>
        <w:t>Archivio Storico Ita</w:t>
      </w:r>
      <w:r w:rsidRPr="00221AEC">
        <w:rPr>
          <w:rFonts w:cs="Times New Roman"/>
          <w:i/>
        </w:rPr>
        <w:t>l</w:t>
      </w:r>
      <w:r w:rsidRPr="00221AEC">
        <w:rPr>
          <w:rFonts w:cs="Times New Roman"/>
          <w:i/>
        </w:rPr>
        <w:t xml:space="preserve">iano </w:t>
      </w:r>
      <w:r w:rsidRPr="00221AEC">
        <w:rPr>
          <w:rFonts w:cs="Times New Roman"/>
        </w:rPr>
        <w:t>144 (1986), pp. 2-33, especially pp.</w:t>
      </w:r>
      <w:r w:rsidRPr="00221AEC">
        <w:rPr>
          <w:rFonts w:cs="Times New Roman"/>
          <w:i/>
        </w:rPr>
        <w:t xml:space="preserve"> </w:t>
      </w:r>
      <w:r w:rsidRPr="00221AEC">
        <w:rPr>
          <w:rFonts w:cs="Times New Roman"/>
        </w:rPr>
        <w:t>22-23, 26-27.</w:t>
      </w:r>
    </w:p>
  </w:footnote>
  <w:footnote w:id="4">
    <w:p w14:paraId="09504787"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F. de Vitoria, </w:t>
      </w:r>
      <w:r w:rsidRPr="00221AEC">
        <w:rPr>
          <w:rFonts w:cs="Times New Roman"/>
          <w:i/>
          <w:iCs/>
        </w:rPr>
        <w:t>Relectio de potestate ecclesiae I</w:t>
      </w:r>
      <w:r w:rsidRPr="00221AEC">
        <w:rPr>
          <w:rFonts w:cs="Times New Roman"/>
        </w:rPr>
        <w:t xml:space="preserve">, in U. Horst, H.-G. Justenhoven and J. Stüben (eds.), </w:t>
      </w:r>
      <w:r w:rsidRPr="00221AEC">
        <w:rPr>
          <w:rFonts w:cs="Times New Roman"/>
          <w:i/>
          <w:iCs/>
        </w:rPr>
        <w:t>Francisco de Vitoria, Vorlesungen</w:t>
      </w:r>
      <w:r w:rsidRPr="00221AEC">
        <w:rPr>
          <w:rFonts w:cs="Times New Roman"/>
        </w:rPr>
        <w:t xml:space="preserve">, vol. 1 (Stuttgart, 1995), pp. 162-277, pp. 250-251; R. Bellarmin, </w:t>
      </w:r>
      <w:r w:rsidRPr="00221AEC">
        <w:rPr>
          <w:rFonts w:cs="Times New Roman"/>
          <w:i/>
          <w:iCs/>
        </w:rPr>
        <w:t>De potestate Summi Pontificis in temporalibus</w:t>
      </w:r>
      <w:r w:rsidRPr="00221AEC">
        <w:rPr>
          <w:rFonts w:cs="Times New Roman"/>
        </w:rPr>
        <w:t xml:space="preserve">, in R. Bellarmin, </w:t>
      </w:r>
      <w:r w:rsidRPr="00221AEC">
        <w:rPr>
          <w:rFonts w:cs="Times New Roman"/>
          <w:i/>
          <w:iCs/>
        </w:rPr>
        <w:t>Opera omnia</w:t>
      </w:r>
      <w:r w:rsidRPr="00221AEC">
        <w:rPr>
          <w:rFonts w:cs="Times New Roman"/>
        </w:rPr>
        <w:t xml:space="preserve">, ed. J. Fèvre, vol. 12 (Paris, 1874), pp. 1-113, pp. 59-60; F. Suárez, </w:t>
      </w:r>
      <w:r w:rsidRPr="00221AEC">
        <w:rPr>
          <w:rFonts w:cs="Times New Roman"/>
          <w:i/>
          <w:iCs/>
        </w:rPr>
        <w:t>Defensio fidei</w:t>
      </w:r>
      <w:r w:rsidRPr="00221AEC">
        <w:rPr>
          <w:rFonts w:cs="Times New Roman"/>
        </w:rPr>
        <w:t xml:space="preserve">, </w:t>
      </w:r>
      <w:r w:rsidRPr="00221AEC">
        <w:rPr>
          <w:rFonts w:cs="Times New Roman"/>
          <w:i/>
          <w:iCs/>
        </w:rPr>
        <w:t>Opera omnia</w:t>
      </w:r>
      <w:r w:rsidRPr="00221AEC">
        <w:rPr>
          <w:rFonts w:cs="Times New Roman"/>
        </w:rPr>
        <w:t xml:space="preserve">, vol. 24, (Paris, 1859), pp. 310-311. On the medieval background of these ideas, see J. Gaudemet, “Le role de la papauté dans le règlement des conflits entre Etats aux XIIIe et XIVe siècles”, in </w:t>
      </w:r>
      <w:r w:rsidRPr="00221AEC">
        <w:rPr>
          <w:rFonts w:cs="Times New Roman"/>
          <w:i/>
        </w:rPr>
        <w:t>La Paix II</w:t>
      </w:r>
      <w:r w:rsidRPr="00221AEC">
        <w:rPr>
          <w:rFonts w:cs="Times New Roman"/>
        </w:rPr>
        <w:t xml:space="preserve"> (Recueils de la Société Jean Bodin, 15) (Bruxelles, 1961), pp. 79-106; J. Engel, “Zum Problem der Schlichtung von Streitigkeiten im Mittelalter”, in </w:t>
      </w:r>
      <w:r w:rsidRPr="00221AEC">
        <w:rPr>
          <w:rFonts w:cs="Times New Roman"/>
          <w:i/>
        </w:rPr>
        <w:t>XIIe Congrès International des Sciences Histor</w:t>
      </w:r>
      <w:r w:rsidRPr="00221AEC">
        <w:rPr>
          <w:rFonts w:cs="Times New Roman"/>
          <w:i/>
        </w:rPr>
        <w:t>i</w:t>
      </w:r>
      <w:r w:rsidRPr="00221AEC">
        <w:rPr>
          <w:rFonts w:cs="Times New Roman"/>
          <w:i/>
        </w:rPr>
        <w:t>ques 1965</w:t>
      </w:r>
      <w:r w:rsidRPr="00221AEC">
        <w:rPr>
          <w:rFonts w:cs="Times New Roman"/>
        </w:rPr>
        <w:t>, vol. 4 (Horn/Wien, 1965), pp. 111-129.</w:t>
      </w:r>
    </w:p>
  </w:footnote>
  <w:footnote w:id="5">
    <w:p w14:paraId="67D4C25C" w14:textId="77777777" w:rsidR="001E65F4" w:rsidRPr="00221AEC" w:rsidRDefault="001E65F4" w:rsidP="005021A1">
      <w:pPr>
        <w:spacing w:line="360" w:lineRule="auto"/>
        <w:jc w:val="both"/>
        <w:rPr>
          <w:rFonts w:cs="Times New Roman"/>
          <w:sz w:val="20"/>
          <w:szCs w:val="20"/>
        </w:rPr>
      </w:pPr>
      <w:r w:rsidRPr="00221AEC">
        <w:rPr>
          <w:rStyle w:val="Funotenzeichen"/>
          <w:rFonts w:cs="Times New Roman"/>
        </w:rPr>
        <w:footnoteRef/>
      </w:r>
      <w:r w:rsidRPr="00221AEC">
        <w:rPr>
          <w:rFonts w:cs="Times New Roman"/>
        </w:rPr>
        <w:t xml:space="preserve"> </w:t>
      </w:r>
      <w:r w:rsidR="000F13C8">
        <w:rPr>
          <w:rFonts w:cs="Times New Roman"/>
          <w:sz w:val="20"/>
          <w:szCs w:val="20"/>
        </w:rPr>
        <w:t>J.</w:t>
      </w:r>
      <w:r w:rsidRPr="00221AEC">
        <w:rPr>
          <w:rFonts w:cs="Times New Roman"/>
          <w:sz w:val="20"/>
          <w:szCs w:val="20"/>
        </w:rPr>
        <w:t xml:space="preserve"> Bodin, </w:t>
      </w:r>
      <w:r w:rsidRPr="00221AEC">
        <w:rPr>
          <w:rFonts w:cs="Times New Roman"/>
          <w:i/>
          <w:iCs/>
          <w:sz w:val="20"/>
          <w:szCs w:val="20"/>
        </w:rPr>
        <w:t>Les Six Livres de la République</w:t>
      </w:r>
      <w:r w:rsidRPr="00221AEC">
        <w:rPr>
          <w:rFonts w:cs="Times New Roman"/>
          <w:sz w:val="20"/>
          <w:szCs w:val="20"/>
        </w:rPr>
        <w:t xml:space="preserve"> (Lyon: Gabriel Cartier, 1593), pp. 182; 792; 795.</w:t>
      </w:r>
    </w:p>
  </w:footnote>
  <w:footnote w:id="6">
    <w:p w14:paraId="683125BA"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For a detailed analysis of this material, see C. Kampmann, </w:t>
      </w:r>
      <w:r w:rsidRPr="00221AEC">
        <w:rPr>
          <w:rFonts w:cs="Times New Roman"/>
          <w:i/>
          <w:iCs/>
        </w:rPr>
        <w:t>Arbiter und Friedensstiftung. Die Auseinande</w:t>
      </w:r>
      <w:r w:rsidRPr="00221AEC">
        <w:rPr>
          <w:rFonts w:cs="Times New Roman"/>
          <w:i/>
          <w:iCs/>
        </w:rPr>
        <w:t>r</w:t>
      </w:r>
      <w:r w:rsidRPr="00221AEC">
        <w:rPr>
          <w:rFonts w:cs="Times New Roman"/>
          <w:i/>
          <w:iCs/>
        </w:rPr>
        <w:t>setzung um den politischen Schiedsrichter im Europa der frühen Neuzeit</w:t>
      </w:r>
      <w:r w:rsidRPr="00221AEC">
        <w:rPr>
          <w:rFonts w:cs="Times New Roman"/>
        </w:rPr>
        <w:t xml:space="preserve"> (Paderborn, 2001), ch. 3-6.</w:t>
      </w:r>
    </w:p>
  </w:footnote>
  <w:footnote w:id="7">
    <w:p w14:paraId="40813666"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000F13C8">
        <w:rPr>
          <w:rFonts w:cs="Times New Roman"/>
        </w:rPr>
        <w:t xml:space="preserve"> H.</w:t>
      </w:r>
      <w:r w:rsidRPr="00221AEC">
        <w:rPr>
          <w:rFonts w:cs="Times New Roman"/>
        </w:rPr>
        <w:t xml:space="preserve"> Grotius, </w:t>
      </w:r>
      <w:r w:rsidRPr="00221AEC">
        <w:rPr>
          <w:rFonts w:cs="Times New Roman"/>
          <w:i/>
          <w:iCs/>
        </w:rPr>
        <w:t>De iure belli ac pacis libri tres</w:t>
      </w:r>
      <w:r w:rsidR="000F13C8">
        <w:rPr>
          <w:rFonts w:cs="Times New Roman"/>
        </w:rPr>
        <w:t>, ed. B. J. A. de Kanter and V.</w:t>
      </w:r>
      <w:r w:rsidRPr="00221AEC">
        <w:rPr>
          <w:rFonts w:cs="Times New Roman"/>
        </w:rPr>
        <w:t xml:space="preserve"> Hettinga Tromp (Leiden: Brill, 1939), pp. 15-16. On Grotius’s views</w:t>
      </w:r>
      <w:r w:rsidR="000F13C8">
        <w:rPr>
          <w:rFonts w:cs="Times New Roman"/>
        </w:rPr>
        <w:t xml:space="preserve"> on peace negotiations, see P.</w:t>
      </w:r>
      <w:r w:rsidRPr="00221AEC">
        <w:rPr>
          <w:rFonts w:cs="Times New Roman"/>
        </w:rPr>
        <w:t xml:space="preserve"> Foriers, “L’organisation de la paix chez Grotius et l’école de droit naturel”, in </w:t>
      </w:r>
      <w:r w:rsidRPr="00221AEC">
        <w:rPr>
          <w:rFonts w:cs="Times New Roman"/>
          <w:i/>
        </w:rPr>
        <w:t xml:space="preserve">La Paix II </w:t>
      </w:r>
      <w:r w:rsidR="000F13C8">
        <w:rPr>
          <w:rFonts w:cs="Times New Roman"/>
        </w:rPr>
        <w:t>(see note 4</w:t>
      </w:r>
      <w:r w:rsidRPr="00221AEC">
        <w:rPr>
          <w:rFonts w:cs="Times New Roman"/>
        </w:rPr>
        <w:t>), pp. 275-376.</w:t>
      </w:r>
    </w:p>
  </w:footnote>
  <w:footnote w:id="8">
    <w:p w14:paraId="3810BB20"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000F13C8">
        <w:rPr>
          <w:rFonts w:cs="Times New Roman"/>
        </w:rPr>
        <w:t xml:space="preserve"> See E.</w:t>
      </w:r>
      <w:r w:rsidRPr="00221AEC">
        <w:rPr>
          <w:rFonts w:cs="Times New Roman"/>
        </w:rPr>
        <w:t xml:space="preserve"> Usteri, </w:t>
      </w:r>
      <w:r w:rsidRPr="00221AEC">
        <w:rPr>
          <w:rFonts w:cs="Times New Roman"/>
          <w:i/>
          <w:iCs/>
        </w:rPr>
        <w:t>Das öffentlich-rechtliche Schiedsgericht in der schweizerischen Eidgenossenschaft des 13.-15. Jahrhunderts</w:t>
      </w:r>
      <w:r w:rsidR="000F13C8">
        <w:rPr>
          <w:rFonts w:cs="Times New Roman"/>
        </w:rPr>
        <w:t xml:space="preserve"> (Zürich, 1925). K.-H.</w:t>
      </w:r>
      <w:r w:rsidRPr="00221AEC">
        <w:rPr>
          <w:rFonts w:cs="Times New Roman"/>
        </w:rPr>
        <w:t xml:space="preserve"> Lingens, </w:t>
      </w:r>
      <w:r w:rsidRPr="00221AEC">
        <w:rPr>
          <w:rFonts w:cs="Times New Roman"/>
          <w:i/>
          <w:iCs/>
        </w:rPr>
        <w:t>Internationale Schiedsgerichtsbarkeit und Jus Publicum E</w:t>
      </w:r>
      <w:r w:rsidRPr="00221AEC">
        <w:rPr>
          <w:rFonts w:cs="Times New Roman"/>
          <w:i/>
          <w:iCs/>
        </w:rPr>
        <w:t>u</w:t>
      </w:r>
      <w:r w:rsidRPr="00221AEC">
        <w:rPr>
          <w:rFonts w:cs="Times New Roman"/>
          <w:i/>
          <w:iCs/>
        </w:rPr>
        <w:t>ropaeum 1648-1794</w:t>
      </w:r>
      <w:r w:rsidRPr="00221AEC">
        <w:rPr>
          <w:rFonts w:cs="Times New Roman"/>
        </w:rPr>
        <w:t xml:space="preserve"> (</w:t>
      </w:r>
      <w:r w:rsidRPr="000F13C8">
        <w:rPr>
          <w:rFonts w:cs="Times New Roman"/>
        </w:rPr>
        <w:t>Berlin, 1988)</w:t>
      </w:r>
      <w:r w:rsidR="000F13C8" w:rsidRPr="000F13C8">
        <w:rPr>
          <w:rFonts w:cs="Times New Roman"/>
        </w:rPr>
        <w:t xml:space="preserve">; A. Blank, </w:t>
      </w:r>
      <w:r w:rsidR="000F13C8" w:rsidRPr="000F13C8">
        <w:rPr>
          <w:iCs/>
        </w:rPr>
        <w:t xml:space="preserve">“Johannes von Felden on Usucaption, Justice, and the Society of States”, </w:t>
      </w:r>
      <w:r w:rsidR="000F13C8" w:rsidRPr="000F13C8">
        <w:rPr>
          <w:i/>
          <w:iCs/>
        </w:rPr>
        <w:t>Journal of the History of Ideas</w:t>
      </w:r>
      <w:r w:rsidR="000F13C8" w:rsidRPr="000F13C8">
        <w:rPr>
          <w:iCs/>
        </w:rPr>
        <w:t xml:space="preserve"> 74 (2013), pp. 403-423</w:t>
      </w:r>
      <w:r w:rsidRPr="000F13C8">
        <w:rPr>
          <w:rFonts w:cs="Times New Roman"/>
        </w:rPr>
        <w:t>. The most</w:t>
      </w:r>
      <w:r w:rsidRPr="00221AEC">
        <w:rPr>
          <w:rFonts w:cs="Times New Roman"/>
        </w:rPr>
        <w:t xml:space="preserve"> impressive example in this respect is possibly the agreement between Emperor and King Johann III Sobieski of Poland, 1677. On this agre</w:t>
      </w:r>
      <w:r w:rsidRPr="00221AEC">
        <w:rPr>
          <w:rFonts w:cs="Times New Roman"/>
        </w:rPr>
        <w:t>e</w:t>
      </w:r>
      <w:r w:rsidRPr="00221AEC">
        <w:rPr>
          <w:rFonts w:cs="Times New Roman"/>
        </w:rPr>
        <w:t xml:space="preserve">ment, see Lingens, </w:t>
      </w:r>
      <w:r w:rsidRPr="00221AEC">
        <w:rPr>
          <w:rFonts w:cs="Times New Roman"/>
          <w:i/>
          <w:iCs/>
        </w:rPr>
        <w:t>Internationale Schiedsgerichtsbarkeit</w:t>
      </w:r>
      <w:r w:rsidRPr="00221AEC">
        <w:rPr>
          <w:rFonts w:cs="Times New Roman"/>
        </w:rPr>
        <w:t>, pp. 31-33. The t</w:t>
      </w:r>
      <w:r w:rsidR="000F13C8">
        <w:rPr>
          <w:rFonts w:cs="Times New Roman"/>
        </w:rPr>
        <w:t>ext of the agreement is in C.</w:t>
      </w:r>
      <w:r w:rsidRPr="00221AEC">
        <w:rPr>
          <w:rFonts w:cs="Times New Roman"/>
        </w:rPr>
        <w:t xml:space="preserve"> Parry (ed.), </w:t>
      </w:r>
      <w:r w:rsidRPr="00221AEC">
        <w:rPr>
          <w:rFonts w:cs="Times New Roman"/>
          <w:i/>
          <w:iCs/>
        </w:rPr>
        <w:t>The Consolidated Treaty Series</w:t>
      </w:r>
      <w:r w:rsidRPr="00221AEC">
        <w:rPr>
          <w:rFonts w:cs="Times New Roman"/>
        </w:rPr>
        <w:t>, vol. 14 (Dobbs Ferry, 1969), pp. 209-218.</w:t>
      </w:r>
    </w:p>
  </w:footnote>
  <w:footnote w:id="9">
    <w:p w14:paraId="74E78CD2" w14:textId="77777777" w:rsidR="001E65F4" w:rsidRPr="000F13C8" w:rsidRDefault="001E65F4" w:rsidP="005021A1">
      <w:pPr>
        <w:pStyle w:val="Funotentext"/>
        <w:spacing w:line="360" w:lineRule="auto"/>
        <w:jc w:val="both"/>
        <w:rPr>
          <w:rFonts w:cs="Times New Roman"/>
        </w:rPr>
      </w:pPr>
      <w:r w:rsidRPr="000F13C8">
        <w:rPr>
          <w:rStyle w:val="Funotenzeichen"/>
          <w:rFonts w:cs="Times New Roman"/>
        </w:rPr>
        <w:footnoteRef/>
      </w:r>
      <w:r w:rsidRPr="000F13C8">
        <w:rPr>
          <w:rFonts w:cs="Times New Roman"/>
        </w:rPr>
        <w:t xml:space="preserve"> See Dascal’s introduction to G. W. Leibniz, </w:t>
      </w:r>
      <w:r w:rsidRPr="000F13C8">
        <w:rPr>
          <w:rFonts w:cs="Times New Roman"/>
          <w:i/>
        </w:rPr>
        <w:t>The Art of Controversies</w:t>
      </w:r>
      <w:r w:rsidRPr="000F13C8">
        <w:rPr>
          <w:rFonts w:cs="Times New Roman"/>
        </w:rPr>
        <w:t>, ed. M. Dascal with A. Cardoso and Q. Racionero (Dordre</w:t>
      </w:r>
      <w:r w:rsidR="000F13C8" w:rsidRPr="000F13C8">
        <w:rPr>
          <w:rFonts w:cs="Times New Roman"/>
        </w:rPr>
        <w:t xml:space="preserve">cht, 2007); see also A. Blank, </w:t>
      </w:r>
      <w:r w:rsidR="000F13C8" w:rsidRPr="000F13C8">
        <w:t>“Leibniz on Usucaption, Presumption, and International Ju</w:t>
      </w:r>
      <w:r w:rsidR="000F13C8" w:rsidRPr="000F13C8">
        <w:t>s</w:t>
      </w:r>
      <w:r w:rsidR="000F13C8" w:rsidRPr="000F13C8">
        <w:t xml:space="preserve">tice.” </w:t>
      </w:r>
      <w:r w:rsidR="000F13C8" w:rsidRPr="000F13C8">
        <w:rPr>
          <w:i/>
        </w:rPr>
        <w:t>Studia Leibnitiana</w:t>
      </w:r>
      <w:r w:rsidR="000F13C8" w:rsidRPr="000F13C8">
        <w:t xml:space="preserve"> 43 (2011): 70</w:t>
      </w:r>
      <w:r w:rsidR="000F13C8" w:rsidRPr="000F13C8">
        <w:rPr>
          <w:iCs/>
        </w:rPr>
        <w:t>–86.</w:t>
      </w:r>
      <w:r w:rsidRPr="000F13C8">
        <w:rPr>
          <w:rFonts w:cs="Times New Roman"/>
        </w:rPr>
        <w:t xml:space="preserve"> </w:t>
      </w:r>
    </w:p>
  </w:footnote>
  <w:footnote w:id="10">
    <w:p w14:paraId="72123817"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In fact, the detailed subject index to </w:t>
      </w:r>
      <w:r w:rsidRPr="00221AEC">
        <w:rPr>
          <w:rFonts w:cs="Times New Roman"/>
          <w:i/>
          <w:iCs/>
        </w:rPr>
        <w:t>The Art of Controversies</w:t>
      </w:r>
      <w:r w:rsidRPr="00221AEC">
        <w:rPr>
          <w:rFonts w:cs="Times New Roman"/>
        </w:rPr>
        <w:t xml:space="preserve"> does not enlist the term ‘mediation’ a single time.</w:t>
      </w:r>
    </w:p>
  </w:footnote>
  <w:footnote w:id="11">
    <w:p w14:paraId="3FFEC876"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T. Princen, </w:t>
      </w:r>
      <w:r w:rsidRPr="00221AEC">
        <w:rPr>
          <w:rFonts w:cs="Times New Roman"/>
          <w:i/>
        </w:rPr>
        <w:t xml:space="preserve">Intermediaries in International Conflict </w:t>
      </w:r>
      <w:r w:rsidRPr="00221AEC">
        <w:rPr>
          <w:rFonts w:cs="Times New Roman"/>
        </w:rPr>
        <w:t>(Princeton, 2014), chapter 2.</w:t>
      </w:r>
    </w:p>
  </w:footnote>
  <w:footnote w:id="12">
    <w:p w14:paraId="2C5D2552"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Ibid., pp. 25-27.</w:t>
      </w:r>
    </w:p>
  </w:footnote>
  <w:footnote w:id="13">
    <w:p w14:paraId="0C6D7516"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Ibid., pp. 23-25</w:t>
      </w:r>
    </w:p>
  </w:footnote>
  <w:footnote w:id="14">
    <w:p w14:paraId="5E318C9B"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On Wicquefort and the diplomatic practices of France, see W. J. Roosen, “The Functioning of Ambassadors under Louis XIV”, </w:t>
      </w:r>
      <w:r w:rsidRPr="00221AEC">
        <w:rPr>
          <w:rFonts w:cs="Times New Roman"/>
          <w:i/>
        </w:rPr>
        <w:t xml:space="preserve">French Historical Studies </w:t>
      </w:r>
      <w:r w:rsidRPr="00221AEC">
        <w:rPr>
          <w:rFonts w:cs="Times New Roman"/>
        </w:rPr>
        <w:t>6 (1970), pp. 311-332.</w:t>
      </w:r>
    </w:p>
  </w:footnote>
  <w:footnote w:id="15">
    <w:p w14:paraId="2DEBF851"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van Wicquefort, </w:t>
      </w:r>
      <w:r w:rsidR="00E66ED3">
        <w:rPr>
          <w:rFonts w:cs="Times New Roman"/>
          <w:i/>
        </w:rPr>
        <w:t xml:space="preserve">L’ambassadeur et ses fonctions. Seconde partie </w:t>
      </w:r>
      <w:r w:rsidR="00E66ED3">
        <w:rPr>
          <w:rFonts w:cs="Times New Roman"/>
        </w:rPr>
        <w:t>(Cologne, 1690)</w:t>
      </w:r>
      <w:r w:rsidRPr="00221AEC">
        <w:rPr>
          <w:rFonts w:cs="Times New Roman"/>
        </w:rPr>
        <w:t>, p. 122.</w:t>
      </w:r>
    </w:p>
  </w:footnote>
  <w:footnote w:id="16">
    <w:p w14:paraId="50A20561"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Ibid.</w:t>
      </w:r>
    </w:p>
  </w:footnote>
  <w:footnote w:id="17">
    <w:p w14:paraId="72B53ECA"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Ibid., p. 121.</w:t>
      </w:r>
    </w:p>
  </w:footnote>
  <w:footnote w:id="18">
    <w:p w14:paraId="2E36C272"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Ibid., p. 117: “[L]es Mediateurs eurent beaucoup de peine à Munster, mais peu de succés, &amp; encore moins d’honneur. [...] On peut dire avec verité: que ce ne sont pas les Mediateurs qui font faire les traités, &amp; que c’est la bonne disposition des parties qui les fait conclurre.” On the role of mediation in the negotiations at Münster, see B. Fassbender and A. Peters (eds.), </w:t>
      </w:r>
      <w:r w:rsidRPr="00221AEC">
        <w:rPr>
          <w:rFonts w:cs="Times New Roman"/>
          <w:i/>
        </w:rPr>
        <w:t>The Oxford Handbook of the History of International Law</w:t>
      </w:r>
      <w:r w:rsidRPr="00221AEC">
        <w:rPr>
          <w:rFonts w:cs="Times New Roman"/>
        </w:rPr>
        <w:t xml:space="preserve"> (Oxford, 2012), pp. 641-642, 823-824. Except where otherwise noted, translations are my own.</w:t>
      </w:r>
    </w:p>
  </w:footnote>
  <w:footnote w:id="19">
    <w:p w14:paraId="05CE5B05"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J. Bodin, </w:t>
      </w:r>
      <w:r w:rsidRPr="00221AEC">
        <w:rPr>
          <w:rFonts w:cs="Times New Roman"/>
          <w:i/>
          <w:iCs/>
        </w:rPr>
        <w:t>Les Six Livres de la République</w:t>
      </w:r>
      <w:r w:rsidR="00177835" w:rsidRPr="00221AEC">
        <w:rPr>
          <w:rFonts w:cs="Times New Roman"/>
          <w:iCs/>
        </w:rPr>
        <w:t xml:space="preserve"> (see note 5</w:t>
      </w:r>
      <w:r w:rsidRPr="00221AEC">
        <w:rPr>
          <w:rFonts w:cs="Times New Roman"/>
          <w:iCs/>
        </w:rPr>
        <w:t>), p.</w:t>
      </w:r>
      <w:r w:rsidRPr="00221AEC">
        <w:rPr>
          <w:rFonts w:cs="Times New Roman"/>
        </w:rPr>
        <w:t xml:space="preserve"> 796: “Et l’une des choses qui est la plus necessaire pour la seureté des traittez de paix &amp; d’alliance, est de nommer quelque plus grand &amp; puissant prince pour iuge &amp; arbitre en cas de contravention: afin d’y avoir recours comme au garand: &amp; qu’il movenne l’accord entre ceux qui pour estre egaux ne peuvent honnestement refuser la guerre, ny demander la paix.”</w:t>
      </w:r>
    </w:p>
  </w:footnote>
  <w:footnote w:id="20">
    <w:p w14:paraId="58868CDB" w14:textId="77777777" w:rsidR="001E65F4" w:rsidRPr="0018619E"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S. Pufendorf, </w:t>
      </w:r>
      <w:r w:rsidR="0018619E">
        <w:rPr>
          <w:rFonts w:cs="Times New Roman"/>
          <w:i/>
        </w:rPr>
        <w:t>De iure naturae et gentium</w:t>
      </w:r>
      <w:r w:rsidR="0018619E">
        <w:rPr>
          <w:rFonts w:cs="Times New Roman"/>
        </w:rPr>
        <w:t xml:space="preserve">. Vol. 2: </w:t>
      </w:r>
      <w:r w:rsidR="0018619E">
        <w:rPr>
          <w:rFonts w:cs="Times New Roman"/>
          <w:i/>
        </w:rPr>
        <w:t>The Translation of the Edition of 1688</w:t>
      </w:r>
      <w:r w:rsidR="0018619E">
        <w:rPr>
          <w:rFonts w:cs="Times New Roman"/>
        </w:rPr>
        <w:t xml:space="preserve"> (Oxford, 1934), V, 13, § 7, pp. 830-831. </w:t>
      </w:r>
    </w:p>
  </w:footnote>
  <w:footnote w:id="21">
    <w:p w14:paraId="3CD696AF"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0018619E">
        <w:rPr>
          <w:rFonts w:cs="Times New Roman"/>
        </w:rPr>
        <w:t xml:space="preserve"> Ibid., p. 831.</w:t>
      </w:r>
    </w:p>
  </w:footnote>
  <w:footnote w:id="22">
    <w:p w14:paraId="0F5F8B59"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0018619E">
        <w:rPr>
          <w:rFonts w:cs="Times New Roman"/>
        </w:rPr>
        <w:t xml:space="preserve"> Ibid. For the Latin text, see S. Pufendorf, </w:t>
      </w:r>
      <w:r w:rsidR="0018619E">
        <w:rPr>
          <w:rFonts w:cs="Times New Roman"/>
          <w:i/>
        </w:rPr>
        <w:t>Gesammelte Werke</w:t>
      </w:r>
      <w:r w:rsidR="0018619E">
        <w:rPr>
          <w:rFonts w:cs="Times New Roman"/>
        </w:rPr>
        <w:t xml:space="preserve">. Vol. 4.2: </w:t>
      </w:r>
      <w:r w:rsidR="0018619E">
        <w:rPr>
          <w:rFonts w:cs="Times New Roman"/>
          <w:i/>
        </w:rPr>
        <w:t>De iure naturae et gentium (Liber qui</w:t>
      </w:r>
      <w:r w:rsidR="0018619E">
        <w:rPr>
          <w:rFonts w:cs="Times New Roman"/>
          <w:i/>
        </w:rPr>
        <w:t>n</w:t>
      </w:r>
      <w:r w:rsidR="0018619E">
        <w:rPr>
          <w:rFonts w:cs="Times New Roman"/>
          <w:i/>
        </w:rPr>
        <w:t>tus-Liber octavus</w:t>
      </w:r>
      <w:r w:rsidR="0018619E">
        <w:rPr>
          <w:rFonts w:cs="Times New Roman"/>
        </w:rPr>
        <w:t>), ed. F. Böhling (Berlin, 1998).</w:t>
      </w:r>
    </w:p>
  </w:footnote>
  <w:footnote w:id="23">
    <w:p w14:paraId="5F718BA7"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Cited in Heinrich von Cocceji, Daniel von Stephani, </w:t>
      </w:r>
      <w:r w:rsidRPr="00221AEC">
        <w:rPr>
          <w:rFonts w:cs="Times New Roman"/>
          <w:i/>
          <w:iCs/>
        </w:rPr>
        <w:t>Disputatio Iuris Gentium Publici De Guarantia Pacis</w:t>
      </w:r>
      <w:r w:rsidRPr="00221AEC">
        <w:rPr>
          <w:rFonts w:cs="Times New Roman"/>
        </w:rPr>
        <w:t xml:space="preserve"> (Frankfurt an der Oder, 1703), § VIII. On the peace of Rijswijk, see H. Duchhardt, </w:t>
      </w:r>
      <w:r w:rsidRPr="00221AEC">
        <w:rPr>
          <w:rFonts w:cs="Times New Roman"/>
          <w:i/>
        </w:rPr>
        <w:t>Der Friede von Rijwijk 1697</w:t>
      </w:r>
      <w:r w:rsidRPr="00221AEC">
        <w:rPr>
          <w:rFonts w:cs="Times New Roman"/>
        </w:rPr>
        <w:t xml:space="preserve"> (Mainz, 1998). </w:t>
      </w:r>
    </w:p>
  </w:footnote>
  <w:footnote w:id="24">
    <w:p w14:paraId="220779F5"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On Cocceji, see F. A. Trendelenburg, </w:t>
      </w:r>
      <w:r w:rsidRPr="00221AEC">
        <w:rPr>
          <w:rFonts w:cs="Times New Roman"/>
          <w:i/>
        </w:rPr>
        <w:t>Friedrich der Große und sein Großkanzler Samuel von Cocceji. Ein Be</w:t>
      </w:r>
      <w:r w:rsidRPr="00221AEC">
        <w:rPr>
          <w:rFonts w:cs="Times New Roman"/>
          <w:i/>
        </w:rPr>
        <w:t>i</w:t>
      </w:r>
      <w:r w:rsidRPr="00221AEC">
        <w:rPr>
          <w:rFonts w:cs="Times New Roman"/>
          <w:i/>
        </w:rPr>
        <w:t>trag zur Geschichte der ersten Justizreform und des Naturrechts</w:t>
      </w:r>
      <w:r w:rsidRPr="00221AEC">
        <w:rPr>
          <w:rFonts w:cs="Times New Roman"/>
        </w:rPr>
        <w:t xml:space="preserve"> (Berlin, 1864).</w:t>
      </w:r>
    </w:p>
  </w:footnote>
  <w:footnote w:id="25">
    <w:p w14:paraId="13DE8240"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Cocceji/ von Stephani, </w:t>
      </w:r>
      <w:r w:rsidRPr="00221AEC">
        <w:rPr>
          <w:rFonts w:cs="Times New Roman"/>
          <w:i/>
          <w:iCs/>
        </w:rPr>
        <w:t>Disputatio Iuris Gentium Publici De Guarantia Pacis</w:t>
      </w:r>
      <w:r w:rsidRPr="00221AEC">
        <w:rPr>
          <w:rFonts w:cs="Times New Roman"/>
        </w:rPr>
        <w:t xml:space="preserve"> (note 23),</w:t>
      </w:r>
      <w:r w:rsidRPr="00221AEC">
        <w:rPr>
          <w:rFonts w:cs="Times New Roman"/>
          <w:i/>
          <w:iCs/>
        </w:rPr>
        <w:t xml:space="preserve"> </w:t>
      </w:r>
      <w:r w:rsidRPr="00221AEC">
        <w:rPr>
          <w:rFonts w:cs="Times New Roman"/>
        </w:rPr>
        <w:t>§ XIV: “Alia quaestio est, an Mediator possit saltem Guarantiam praestare? Resp. Non posse jure Pacis, sed jure belli […].”</w:t>
      </w:r>
    </w:p>
  </w:footnote>
  <w:footnote w:id="26">
    <w:p w14:paraId="5A378759"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Ibid.</w:t>
      </w:r>
    </w:p>
  </w:footnote>
  <w:footnote w:id="27">
    <w:p w14:paraId="1F5040B8" w14:textId="77777777" w:rsidR="001E65F4" w:rsidRPr="00221AEC" w:rsidRDefault="001E65F4" w:rsidP="002845CA">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On Treuer, see C. G. Jöcher, </w:t>
      </w:r>
      <w:r w:rsidRPr="00221AEC">
        <w:rPr>
          <w:rFonts w:cs="Times New Roman"/>
          <w:i/>
        </w:rPr>
        <w:t>Allgemeines Gelehrten-Lexicon</w:t>
      </w:r>
      <w:r w:rsidRPr="00221AEC">
        <w:rPr>
          <w:rFonts w:cs="Times New Roman"/>
        </w:rPr>
        <w:t xml:space="preserve"> (Leipzig, 1751), vol. 4, col. 1305-1306. </w:t>
      </w:r>
      <w:r w:rsidR="00840C16">
        <w:rPr>
          <w:rFonts w:cs="Times New Roman"/>
        </w:rPr>
        <w:t>An i</w:t>
      </w:r>
      <w:r w:rsidR="00840C16">
        <w:rPr>
          <w:rFonts w:cs="Times New Roman"/>
        </w:rPr>
        <w:t>n</w:t>
      </w:r>
      <w:r w:rsidR="00840C16">
        <w:rPr>
          <w:rFonts w:cs="Times New Roman"/>
        </w:rPr>
        <w:t>complete version of this work, which breaks off after § XVII, was published as G. S.</w:t>
      </w:r>
      <w:r w:rsidR="00840C16" w:rsidRPr="00221AEC">
        <w:rPr>
          <w:rFonts w:cs="Times New Roman"/>
        </w:rPr>
        <w:t xml:space="preserve"> Treuer</w:t>
      </w:r>
      <w:r w:rsidR="00840C16">
        <w:rPr>
          <w:rFonts w:cs="Times New Roman"/>
        </w:rPr>
        <w:t>, F. W. von Walrave</w:t>
      </w:r>
      <w:r w:rsidR="00840C16" w:rsidRPr="00221AEC">
        <w:rPr>
          <w:rFonts w:cs="Times New Roman"/>
        </w:rPr>
        <w:t xml:space="preserve">, </w:t>
      </w:r>
      <w:r w:rsidR="00840C16" w:rsidRPr="00221AEC">
        <w:rPr>
          <w:rFonts w:cs="Times New Roman"/>
          <w:i/>
          <w:iCs/>
        </w:rPr>
        <w:t>De Prudentia circa officium pacificatoris inter gentes</w:t>
      </w:r>
      <w:r w:rsidR="00840C16" w:rsidRPr="00221AEC">
        <w:rPr>
          <w:rFonts w:cs="Times New Roman"/>
        </w:rPr>
        <w:t xml:space="preserve"> </w:t>
      </w:r>
      <w:r w:rsidR="00840C16">
        <w:rPr>
          <w:rFonts w:cs="Times New Roman"/>
        </w:rPr>
        <w:t>(</w:t>
      </w:r>
      <w:r w:rsidR="00840C16" w:rsidRPr="00221AEC">
        <w:rPr>
          <w:rFonts w:cs="Times New Roman"/>
        </w:rPr>
        <w:t>Helmstedt 1727</w:t>
      </w:r>
      <w:r w:rsidR="00840C16">
        <w:rPr>
          <w:rFonts w:cs="Times New Roman"/>
        </w:rPr>
        <w:t>); the complete version was pu</w:t>
      </w:r>
      <w:r w:rsidR="00840C16">
        <w:rPr>
          <w:rFonts w:cs="Times New Roman"/>
        </w:rPr>
        <w:t>b</w:t>
      </w:r>
      <w:r w:rsidR="00840C16">
        <w:rPr>
          <w:rFonts w:cs="Times New Roman"/>
        </w:rPr>
        <w:t xml:space="preserve">lished (without mentioning Treuer, but with identical text in §§ I-XVI) as J. C. von Schleinitz, </w:t>
      </w:r>
      <w:r w:rsidR="00840C16">
        <w:rPr>
          <w:rFonts w:cs="Times New Roman"/>
          <w:i/>
        </w:rPr>
        <w:t xml:space="preserve">Commentatio de negotio pacificationis inter gentes </w:t>
      </w:r>
      <w:r w:rsidR="00840C16">
        <w:rPr>
          <w:rFonts w:cs="Times New Roman"/>
        </w:rPr>
        <w:t>(Helmstedt, 1731).</w:t>
      </w:r>
      <w:r w:rsidR="00840C16" w:rsidRPr="00221AEC">
        <w:rPr>
          <w:rFonts w:cs="Times New Roman"/>
        </w:rPr>
        <w:t xml:space="preserve"> Jöcher ascribes the authorship of this work to Treuer.</w:t>
      </w:r>
      <w:r w:rsidR="007D37E7">
        <w:rPr>
          <w:rFonts w:cs="Times New Roman"/>
        </w:rPr>
        <w:t xml:space="preserve"> The follo</w:t>
      </w:r>
      <w:r w:rsidR="007D37E7">
        <w:rPr>
          <w:rFonts w:cs="Times New Roman"/>
        </w:rPr>
        <w:t>w</w:t>
      </w:r>
      <w:r w:rsidR="007D37E7">
        <w:rPr>
          <w:rFonts w:cs="Times New Roman"/>
        </w:rPr>
        <w:t>ing references are to the complete version of the text.</w:t>
      </w:r>
    </w:p>
  </w:footnote>
  <w:footnote w:id="28">
    <w:p w14:paraId="64CF8F16"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w:t>
      </w:r>
      <w:r w:rsidR="00840C16">
        <w:rPr>
          <w:rFonts w:cs="Times New Roman"/>
        </w:rPr>
        <w:t xml:space="preserve">Ibid., </w:t>
      </w:r>
      <w:r w:rsidR="007D37E7">
        <w:rPr>
          <w:rFonts w:cs="Times New Roman"/>
        </w:rPr>
        <w:t>p. 129</w:t>
      </w:r>
      <w:r w:rsidRPr="00221AEC">
        <w:rPr>
          <w:rFonts w:cs="Times New Roman"/>
        </w:rPr>
        <w:t>: “Iustitia […] eiusmodi mediationis armatae residet vel in iure per pacta pristina quaesito ad pacem abruptam denuo armis reducendam &amp; tuendam vel in iure se suaque defendendi contra damna, quae ex abusu belli ab una vel alte</w:t>
      </w:r>
      <w:r w:rsidR="00840C16">
        <w:rPr>
          <w:rFonts w:cs="Times New Roman"/>
        </w:rPr>
        <w:t>ra parte in se proficiscuntur.”</w:t>
      </w:r>
    </w:p>
  </w:footnote>
  <w:footnote w:id="29">
    <w:p w14:paraId="09B11A55" w14:textId="77777777" w:rsidR="001E65F4" w:rsidRPr="00221AEC" w:rsidRDefault="001E65F4" w:rsidP="00746600">
      <w:pPr>
        <w:pStyle w:val="Funotentext"/>
        <w:spacing w:line="360" w:lineRule="auto"/>
        <w:jc w:val="both"/>
        <w:rPr>
          <w:rFonts w:cs="Times New Roman"/>
        </w:rPr>
      </w:pPr>
      <w:r w:rsidRPr="00221AEC">
        <w:rPr>
          <w:rStyle w:val="Funotenzeichen"/>
          <w:rFonts w:cs="Times New Roman"/>
        </w:rPr>
        <w:footnoteRef/>
      </w:r>
      <w:r w:rsidR="007D37E7">
        <w:rPr>
          <w:rFonts w:cs="Times New Roman"/>
        </w:rPr>
        <w:t xml:space="preserve"> Ibid.</w:t>
      </w:r>
      <w:r w:rsidRPr="00221AEC">
        <w:rPr>
          <w:rFonts w:cs="Times New Roman"/>
          <w:iCs/>
        </w:rPr>
        <w:t>,</w:t>
      </w:r>
      <w:r w:rsidR="007D37E7">
        <w:rPr>
          <w:rFonts w:cs="Times New Roman"/>
          <w:iCs/>
        </w:rPr>
        <w:t xml:space="preserve"> p. 148, note c</w:t>
      </w:r>
      <w:r w:rsidRPr="00221AEC">
        <w:rPr>
          <w:rFonts w:cs="Times New Roman"/>
          <w:iCs/>
        </w:rPr>
        <w:t>: “Si vero contingat unam partem ab altera vel plures a pluribus gravi aliqua iniuria citra tamen vim armorum vexari, non licebit ideo laeso ad arma subito recurrere, sed ante amicabilis componendarum huiusmodi controversiarum ratio ineunda erit, videlicet ut laesus accepta iniuria, si immediate cum laedente co</w:t>
      </w:r>
      <w:r w:rsidRPr="00221AEC">
        <w:rPr>
          <w:rFonts w:cs="Times New Roman"/>
          <w:iCs/>
        </w:rPr>
        <w:t>n</w:t>
      </w:r>
      <w:r w:rsidRPr="00221AEC">
        <w:rPr>
          <w:rFonts w:cs="Times New Roman"/>
          <w:iCs/>
        </w:rPr>
        <w:t>venire nequeat, alios paciscentes moneat, &amp; comissio generalis omnium paciscentium nomine instituatur […], in quo inter deputatos utrinque commissarios negotium discutiatur, &amp; si possible erit intra quatuor, ad summum alios menses terminatur. Si vero laedentem refractarium ad aequa quae proponentur media deprehenderit, tum laesis licebit, facta tamen prius legitima belli denunciatione, ius suum armis prosequi, &amp; be</w:t>
      </w:r>
      <w:r w:rsidRPr="00221AEC">
        <w:rPr>
          <w:rFonts w:cs="Times New Roman"/>
          <w:iCs/>
        </w:rPr>
        <w:t>l</w:t>
      </w:r>
      <w:r w:rsidRPr="00221AEC">
        <w:rPr>
          <w:rFonts w:cs="Times New Roman"/>
          <w:iCs/>
        </w:rPr>
        <w:t>lum […] laedenti inferre.”</w:t>
      </w:r>
    </w:p>
  </w:footnote>
  <w:footnote w:id="30">
    <w:p w14:paraId="6A4BF276" w14:textId="77777777" w:rsidR="001E65F4" w:rsidRPr="00221AEC" w:rsidRDefault="001E65F4" w:rsidP="00565267">
      <w:pPr>
        <w:shd w:val="clear" w:color="auto" w:fill="auto"/>
        <w:autoSpaceDE w:val="0"/>
        <w:autoSpaceDN w:val="0"/>
        <w:adjustRightInd w:val="0"/>
        <w:spacing w:line="360" w:lineRule="auto"/>
        <w:jc w:val="both"/>
        <w:rPr>
          <w:rFonts w:eastAsia="Times New Roman" w:cs="Times New Roman"/>
          <w:i/>
          <w:iCs/>
          <w:color w:val="auto"/>
          <w:kern w:val="0"/>
          <w:sz w:val="20"/>
          <w:szCs w:val="20"/>
          <w:lang w:eastAsia="de-DE"/>
        </w:rPr>
      </w:pPr>
      <w:r w:rsidRPr="00221AEC">
        <w:rPr>
          <w:rStyle w:val="Funotenzeichen"/>
          <w:rFonts w:cs="Times New Roman"/>
          <w:sz w:val="20"/>
          <w:szCs w:val="20"/>
        </w:rPr>
        <w:footnoteRef/>
      </w:r>
      <w:r w:rsidRPr="00221AEC">
        <w:rPr>
          <w:rFonts w:cs="Times New Roman"/>
          <w:sz w:val="20"/>
          <w:szCs w:val="20"/>
        </w:rPr>
        <w:t xml:space="preserve"> See J. A. Crusius, </w:t>
      </w:r>
      <w:r w:rsidRPr="00221AEC">
        <w:rPr>
          <w:rFonts w:eastAsia="Times New Roman" w:cs="Times New Roman"/>
          <w:i/>
          <w:iCs/>
          <w:color w:val="auto"/>
          <w:kern w:val="0"/>
          <w:sz w:val="20"/>
          <w:szCs w:val="20"/>
          <w:lang w:eastAsia="de-DE"/>
        </w:rPr>
        <w:t xml:space="preserve">Tractatus politico-juridico-historicus de praeeminentia, sessione, praecedentia, lib. IV. </w:t>
      </w:r>
      <w:r w:rsidRPr="00221AEC">
        <w:rPr>
          <w:rFonts w:eastAsia="Times New Roman" w:cs="Times New Roman"/>
          <w:iCs/>
          <w:color w:val="auto"/>
          <w:kern w:val="0"/>
          <w:sz w:val="20"/>
          <w:szCs w:val="20"/>
          <w:lang w:eastAsia="de-DE"/>
        </w:rPr>
        <w:t>(</w:t>
      </w:r>
      <w:r w:rsidRPr="00221AEC">
        <w:rPr>
          <w:rFonts w:eastAsia="Times New Roman" w:cs="Times New Roman"/>
          <w:color w:val="auto"/>
          <w:kern w:val="0"/>
          <w:sz w:val="20"/>
          <w:szCs w:val="20"/>
          <w:lang w:eastAsia="de-DE"/>
        </w:rPr>
        <w:t>Bremen 1666); [Anonymous]</w:t>
      </w:r>
      <w:r w:rsidR="00915DA4" w:rsidRPr="00221AEC">
        <w:rPr>
          <w:rFonts w:eastAsia="Times New Roman" w:cs="Times New Roman"/>
          <w:color w:val="auto"/>
          <w:kern w:val="0"/>
          <w:sz w:val="20"/>
          <w:szCs w:val="20"/>
          <w:lang w:eastAsia="de-DE"/>
        </w:rPr>
        <w:t>,</w:t>
      </w:r>
      <w:r w:rsidRPr="00221AEC">
        <w:rPr>
          <w:rFonts w:eastAsia="Times New Roman" w:cs="Times New Roman"/>
          <w:color w:val="auto"/>
          <w:kern w:val="0"/>
          <w:sz w:val="20"/>
          <w:szCs w:val="20"/>
          <w:lang w:eastAsia="de-DE"/>
        </w:rPr>
        <w:t xml:space="preserve"> </w:t>
      </w:r>
      <w:r w:rsidRPr="00221AEC">
        <w:rPr>
          <w:rFonts w:eastAsia="Times New Roman" w:cs="Times New Roman"/>
          <w:i/>
          <w:iCs/>
          <w:color w:val="auto"/>
          <w:kern w:val="0"/>
          <w:sz w:val="20"/>
          <w:szCs w:val="20"/>
          <w:lang w:eastAsia="de-DE"/>
        </w:rPr>
        <w:t>Lettre d’un Desinteressé à un sien Amy, touchant le titre d’Ambassadeur, avec lequel les Princes d’Allemagne desirent d’envoyer leur ministres au Congrés de Nimweguen, Et les differences, que quelques uns tachent de susciter entre les Electeurs de l’Empire et les susdits Princes. Avec une pièce en latin de la mesme matiere</w:t>
      </w:r>
      <w:r w:rsidRPr="00221AEC">
        <w:rPr>
          <w:rFonts w:eastAsia="Times New Roman" w:cs="Times New Roman"/>
          <w:color w:val="auto"/>
          <w:kern w:val="0"/>
          <w:sz w:val="20"/>
          <w:szCs w:val="20"/>
          <w:lang w:eastAsia="de-DE"/>
        </w:rPr>
        <w:t xml:space="preserve"> (Aix la Chapelle, 1677)</w:t>
      </w:r>
      <w:r w:rsidR="00565267" w:rsidRPr="00221AEC">
        <w:rPr>
          <w:rFonts w:eastAsia="Times New Roman" w:cs="Times New Roman"/>
          <w:color w:val="auto"/>
          <w:kern w:val="0"/>
          <w:sz w:val="20"/>
          <w:szCs w:val="20"/>
          <w:lang w:eastAsia="de-DE"/>
        </w:rPr>
        <w:t>; [Anonymous]</w:t>
      </w:r>
      <w:r w:rsidR="00915DA4" w:rsidRPr="00221AEC">
        <w:rPr>
          <w:rFonts w:eastAsia="Times New Roman" w:cs="Times New Roman"/>
          <w:color w:val="auto"/>
          <w:kern w:val="0"/>
          <w:sz w:val="20"/>
          <w:szCs w:val="20"/>
          <w:lang w:eastAsia="de-DE"/>
        </w:rPr>
        <w:t>,</w:t>
      </w:r>
      <w:r w:rsidR="00565267" w:rsidRPr="00221AEC">
        <w:rPr>
          <w:rFonts w:eastAsia="Times New Roman" w:cs="Times New Roman"/>
          <w:color w:val="auto"/>
          <w:kern w:val="0"/>
          <w:sz w:val="20"/>
          <w:szCs w:val="20"/>
          <w:lang w:eastAsia="de-DE"/>
        </w:rPr>
        <w:t xml:space="preserve"> </w:t>
      </w:r>
      <w:r w:rsidR="00565267" w:rsidRPr="00221AEC">
        <w:rPr>
          <w:rFonts w:eastAsia="Times New Roman" w:cs="Times New Roman"/>
          <w:i/>
          <w:iCs/>
          <w:color w:val="auto"/>
          <w:kern w:val="0"/>
          <w:sz w:val="20"/>
          <w:szCs w:val="20"/>
          <w:lang w:eastAsia="de-DE"/>
        </w:rPr>
        <w:t xml:space="preserve">Deduction de raisons en vertu desquelles le droit de donner le Caractere d’Ambassadeur appartient aux Princes de l’Empire joint </w:t>
      </w:r>
      <w:r w:rsidR="00565267" w:rsidRPr="00221AEC">
        <w:rPr>
          <w:rFonts w:eastAsia="Times New Roman" w:cs="Times New Roman"/>
          <w:iCs/>
          <w:color w:val="auto"/>
          <w:kern w:val="0"/>
          <w:sz w:val="20"/>
          <w:szCs w:val="20"/>
          <w:lang w:eastAsia="de-DE"/>
        </w:rPr>
        <w:t>(</w:t>
      </w:r>
      <w:r w:rsidR="00565267" w:rsidRPr="00221AEC">
        <w:rPr>
          <w:rFonts w:eastAsia="Times New Roman" w:cs="Times New Roman"/>
          <w:color w:val="auto"/>
          <w:kern w:val="0"/>
          <w:sz w:val="20"/>
          <w:szCs w:val="20"/>
          <w:lang w:eastAsia="de-DE"/>
        </w:rPr>
        <w:t>Cologne</w:t>
      </w:r>
      <w:r w:rsidR="007268C4" w:rsidRPr="00221AEC">
        <w:rPr>
          <w:rFonts w:eastAsia="Times New Roman" w:cs="Times New Roman"/>
          <w:color w:val="auto"/>
          <w:kern w:val="0"/>
          <w:sz w:val="20"/>
          <w:szCs w:val="20"/>
          <w:lang w:eastAsia="de-DE"/>
        </w:rPr>
        <w:t>,</w:t>
      </w:r>
      <w:r w:rsidR="00565267" w:rsidRPr="00221AEC">
        <w:rPr>
          <w:rFonts w:eastAsia="Times New Roman" w:cs="Times New Roman"/>
          <w:color w:val="auto"/>
          <w:kern w:val="0"/>
          <w:sz w:val="20"/>
          <w:szCs w:val="20"/>
          <w:lang w:eastAsia="de-DE"/>
        </w:rPr>
        <w:t xml:space="preserve"> 1677)</w:t>
      </w:r>
      <w:r w:rsidRPr="00221AEC">
        <w:rPr>
          <w:rFonts w:eastAsia="Times New Roman" w:cs="Times New Roman"/>
          <w:color w:val="auto"/>
          <w:kern w:val="0"/>
          <w:sz w:val="20"/>
          <w:szCs w:val="20"/>
          <w:lang w:eastAsia="de-DE"/>
        </w:rPr>
        <w:t xml:space="preserve">. </w:t>
      </w:r>
    </w:p>
  </w:footnote>
  <w:footnote w:id="31">
    <w:p w14:paraId="7EA192EC" w14:textId="77777777" w:rsidR="001E65F4" w:rsidRPr="00221AEC" w:rsidRDefault="001E65F4" w:rsidP="00915DA4">
      <w:pPr>
        <w:shd w:val="clear" w:color="auto" w:fill="auto"/>
        <w:autoSpaceDE w:val="0"/>
        <w:autoSpaceDN w:val="0"/>
        <w:adjustRightInd w:val="0"/>
        <w:spacing w:line="360" w:lineRule="auto"/>
        <w:jc w:val="both"/>
        <w:rPr>
          <w:rFonts w:eastAsia="Times New Roman" w:cs="Times New Roman"/>
          <w:i/>
          <w:iCs/>
          <w:color w:val="auto"/>
          <w:kern w:val="0"/>
          <w:sz w:val="20"/>
          <w:szCs w:val="20"/>
          <w:lang w:eastAsia="de-DE"/>
        </w:rPr>
      </w:pPr>
      <w:r w:rsidRPr="00221AEC">
        <w:rPr>
          <w:rStyle w:val="Funotenzeichen"/>
          <w:sz w:val="20"/>
          <w:szCs w:val="20"/>
        </w:rPr>
        <w:footnoteRef/>
      </w:r>
      <w:r w:rsidRPr="00221AEC">
        <w:rPr>
          <w:sz w:val="20"/>
          <w:szCs w:val="20"/>
        </w:rPr>
        <w:t xml:space="preserve"> See </w:t>
      </w:r>
      <w:r w:rsidR="007268C4" w:rsidRPr="00221AEC">
        <w:rPr>
          <w:sz w:val="20"/>
          <w:szCs w:val="20"/>
        </w:rPr>
        <w:t xml:space="preserve">H. Henniges, </w:t>
      </w:r>
      <w:r w:rsidR="007268C4" w:rsidRPr="00221AEC">
        <w:rPr>
          <w:rFonts w:eastAsia="Times New Roman" w:cs="Times New Roman"/>
          <w:i/>
          <w:iCs/>
          <w:color w:val="auto"/>
          <w:kern w:val="0"/>
          <w:sz w:val="20"/>
          <w:szCs w:val="20"/>
          <w:lang w:eastAsia="de-DE"/>
        </w:rPr>
        <w:t>Discursus de suprematu adversus Caesarinum Furstenerium</w:t>
      </w:r>
      <w:r w:rsidR="007268C4" w:rsidRPr="00221AEC">
        <w:rPr>
          <w:rFonts w:eastAsia="Times New Roman" w:cs="Times New Roman"/>
          <w:color w:val="auto"/>
          <w:kern w:val="0"/>
          <w:sz w:val="20"/>
          <w:szCs w:val="20"/>
          <w:lang w:eastAsia="de-DE"/>
        </w:rPr>
        <w:t xml:space="preserve"> (Hyetopoli ad Istrum, 1687)</w:t>
      </w:r>
      <w:r w:rsidR="00915DA4" w:rsidRPr="00221AEC">
        <w:rPr>
          <w:rFonts w:eastAsia="Times New Roman" w:cs="Times New Roman"/>
          <w:color w:val="auto"/>
          <w:kern w:val="0"/>
          <w:sz w:val="20"/>
          <w:szCs w:val="20"/>
          <w:lang w:eastAsia="de-DE"/>
        </w:rPr>
        <w:t xml:space="preserve">; </w:t>
      </w:r>
      <w:r w:rsidR="007268C4" w:rsidRPr="00221AEC">
        <w:rPr>
          <w:rFonts w:eastAsia="Times New Roman" w:cs="Times New Roman"/>
          <w:color w:val="auto"/>
          <w:kern w:val="0"/>
          <w:sz w:val="20"/>
          <w:szCs w:val="20"/>
          <w:lang w:eastAsia="de-DE"/>
        </w:rPr>
        <w:t>Justinus Presbeu</w:t>
      </w:r>
      <w:r w:rsidR="00915DA4" w:rsidRPr="00221AEC">
        <w:rPr>
          <w:rFonts w:eastAsia="Times New Roman" w:cs="Times New Roman"/>
          <w:color w:val="auto"/>
          <w:kern w:val="0"/>
          <w:sz w:val="20"/>
          <w:szCs w:val="20"/>
          <w:lang w:eastAsia="de-DE"/>
        </w:rPr>
        <w:t>ta [H. Henniges],</w:t>
      </w:r>
      <w:r w:rsidR="007268C4" w:rsidRPr="00221AEC">
        <w:rPr>
          <w:rFonts w:eastAsia="Times New Roman" w:cs="Times New Roman"/>
          <w:color w:val="auto"/>
          <w:kern w:val="0"/>
          <w:sz w:val="20"/>
          <w:szCs w:val="20"/>
          <w:lang w:eastAsia="de-DE"/>
        </w:rPr>
        <w:t xml:space="preserve"> </w:t>
      </w:r>
      <w:r w:rsidR="007268C4" w:rsidRPr="00221AEC">
        <w:rPr>
          <w:rFonts w:eastAsia="Times New Roman" w:cs="Times New Roman"/>
          <w:i/>
          <w:iCs/>
          <w:color w:val="auto"/>
          <w:kern w:val="0"/>
          <w:sz w:val="20"/>
          <w:szCs w:val="20"/>
          <w:lang w:eastAsia="de-DE"/>
        </w:rPr>
        <w:t>De jure legationis statuum imperii</w:t>
      </w:r>
      <w:r w:rsidR="007268C4" w:rsidRPr="00221AEC">
        <w:rPr>
          <w:rFonts w:eastAsia="Times New Roman" w:cs="Times New Roman"/>
          <w:color w:val="auto"/>
          <w:kern w:val="0"/>
          <w:sz w:val="20"/>
          <w:szCs w:val="20"/>
          <w:lang w:eastAsia="de-DE"/>
        </w:rPr>
        <w:t xml:space="preserve"> (Halle, 1701)</w:t>
      </w:r>
      <w:r w:rsidR="00915DA4" w:rsidRPr="00221AEC">
        <w:rPr>
          <w:rFonts w:eastAsia="Times New Roman" w:cs="Times New Roman"/>
          <w:color w:val="auto"/>
          <w:kern w:val="0"/>
          <w:sz w:val="20"/>
          <w:szCs w:val="20"/>
          <w:lang w:eastAsia="de-DE"/>
        </w:rPr>
        <w:t xml:space="preserve">; [G. v. Jena], </w:t>
      </w:r>
      <w:r w:rsidR="00915DA4" w:rsidRPr="00221AEC">
        <w:rPr>
          <w:rFonts w:eastAsia="Times New Roman" w:cs="Times New Roman"/>
          <w:i/>
          <w:iCs/>
          <w:color w:val="auto"/>
          <w:kern w:val="0"/>
          <w:sz w:val="20"/>
          <w:szCs w:val="20"/>
          <w:lang w:eastAsia="de-DE"/>
        </w:rPr>
        <w:t>Notae et an</w:t>
      </w:r>
      <w:r w:rsidR="00915DA4" w:rsidRPr="00221AEC">
        <w:rPr>
          <w:rFonts w:eastAsia="Times New Roman" w:cs="Times New Roman"/>
          <w:i/>
          <w:iCs/>
          <w:color w:val="auto"/>
          <w:kern w:val="0"/>
          <w:sz w:val="20"/>
          <w:szCs w:val="20"/>
          <w:lang w:eastAsia="de-DE"/>
        </w:rPr>
        <w:t>i</w:t>
      </w:r>
      <w:r w:rsidR="00915DA4" w:rsidRPr="00221AEC">
        <w:rPr>
          <w:rFonts w:eastAsia="Times New Roman" w:cs="Times New Roman"/>
          <w:i/>
          <w:iCs/>
          <w:color w:val="auto"/>
          <w:kern w:val="0"/>
          <w:sz w:val="20"/>
          <w:szCs w:val="20"/>
          <w:lang w:eastAsia="de-DE"/>
        </w:rPr>
        <w:t xml:space="preserve">madversiones in Caesarini Furstenerii Tractatum . . . inter legendum quinque abhinc annis jam anno 1667 . . . nunc vero in lucem editae </w:t>
      </w:r>
      <w:r w:rsidR="00915DA4" w:rsidRPr="00221AEC">
        <w:rPr>
          <w:rFonts w:eastAsia="Times New Roman" w:cs="Times New Roman"/>
          <w:iCs/>
          <w:color w:val="auto"/>
          <w:kern w:val="0"/>
          <w:sz w:val="20"/>
          <w:szCs w:val="20"/>
          <w:lang w:eastAsia="de-DE"/>
        </w:rPr>
        <w:t>(</w:t>
      </w:r>
      <w:r w:rsidR="00915DA4" w:rsidRPr="00221AEC">
        <w:rPr>
          <w:rFonts w:eastAsia="Times New Roman" w:cs="Times New Roman"/>
          <w:color w:val="auto"/>
          <w:kern w:val="0"/>
          <w:sz w:val="20"/>
          <w:szCs w:val="20"/>
          <w:lang w:eastAsia="de-DE"/>
        </w:rPr>
        <w:t xml:space="preserve">Coloniae Allobrogum 1682); M. Jungker, </w:t>
      </w:r>
      <w:r w:rsidR="00915DA4" w:rsidRPr="00221AEC">
        <w:rPr>
          <w:rFonts w:eastAsia="Times New Roman" w:cs="Times New Roman"/>
          <w:i/>
          <w:iCs/>
          <w:color w:val="auto"/>
          <w:kern w:val="0"/>
          <w:sz w:val="20"/>
          <w:szCs w:val="20"/>
          <w:lang w:eastAsia="de-DE"/>
        </w:rPr>
        <w:t>De legationibus summorum imperiorum libellus</w:t>
      </w:r>
      <w:r w:rsidR="00915DA4" w:rsidRPr="00221AEC">
        <w:rPr>
          <w:rFonts w:eastAsia="Times New Roman" w:cs="Times New Roman"/>
          <w:color w:val="auto"/>
          <w:kern w:val="0"/>
          <w:sz w:val="20"/>
          <w:szCs w:val="20"/>
          <w:lang w:eastAsia="de-DE"/>
        </w:rPr>
        <w:t xml:space="preserve"> (Frankfurt, 1688); J. G. Kulpis, </w:t>
      </w:r>
      <w:r w:rsidR="00915DA4" w:rsidRPr="00221AEC">
        <w:rPr>
          <w:rFonts w:eastAsia="Times New Roman" w:cs="Times New Roman"/>
          <w:i/>
          <w:iCs/>
          <w:color w:val="auto"/>
          <w:kern w:val="0"/>
          <w:sz w:val="20"/>
          <w:szCs w:val="20"/>
          <w:lang w:eastAsia="de-DE"/>
        </w:rPr>
        <w:t>Commentatio de Legationibus statuum imperii</w:t>
      </w:r>
      <w:r w:rsidR="00915DA4" w:rsidRPr="00221AEC">
        <w:rPr>
          <w:rFonts w:eastAsia="Times New Roman" w:cs="Times New Roman"/>
          <w:color w:val="auto"/>
          <w:kern w:val="0"/>
          <w:sz w:val="20"/>
          <w:szCs w:val="20"/>
          <w:lang w:eastAsia="de-DE"/>
        </w:rPr>
        <w:t xml:space="preserve"> (Giessen, 1678). </w:t>
      </w:r>
    </w:p>
  </w:footnote>
  <w:footnote w:id="32">
    <w:p w14:paraId="178E63D2"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w:t>
      </w:r>
      <w:r w:rsidR="00794F95" w:rsidRPr="00221AEC">
        <w:rPr>
          <w:rFonts w:cs="Times New Roman"/>
        </w:rPr>
        <w:t>A IV, 2, 40.</w:t>
      </w:r>
    </w:p>
  </w:footnote>
  <w:footnote w:id="33">
    <w:p w14:paraId="4C981AF9" w14:textId="77777777" w:rsidR="00E04F35" w:rsidRPr="00221AEC" w:rsidRDefault="00E04F35"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2, 42.</w:t>
      </w:r>
    </w:p>
  </w:footnote>
  <w:footnote w:id="34">
    <w:p w14:paraId="024F9854"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2, 43.</w:t>
      </w:r>
    </w:p>
  </w:footnote>
  <w:footnote w:id="35">
    <w:p w14:paraId="42938823"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One in A IV, 1, 13 (Propositio XIV) and two in A IV, 1, 5.</w:t>
      </w:r>
    </w:p>
  </w:footnote>
  <w:footnote w:id="36">
    <w:p w14:paraId="30DA7458"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1, 5.</w:t>
      </w:r>
    </w:p>
  </w:footnote>
  <w:footnote w:id="37">
    <w:p w14:paraId="47AE2557"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2, 141.</w:t>
      </w:r>
    </w:p>
  </w:footnote>
  <w:footnote w:id="38">
    <w:p w14:paraId="7EDB5E7B"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2, 140.</w:t>
      </w:r>
    </w:p>
  </w:footnote>
  <w:footnote w:id="39">
    <w:p w14:paraId="40C499C2"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2, 141.</w:t>
      </w:r>
    </w:p>
  </w:footnote>
  <w:footnote w:id="40">
    <w:p w14:paraId="514B71BB"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2, 141-142.</w:t>
      </w:r>
    </w:p>
  </w:footnote>
  <w:footnote w:id="41">
    <w:p w14:paraId="5656ECFF"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2, 142.</w:t>
      </w:r>
    </w:p>
  </w:footnote>
  <w:footnote w:id="42">
    <w:p w14:paraId="5FCED936"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Ibid.</w:t>
      </w:r>
    </w:p>
  </w:footnote>
  <w:footnote w:id="43">
    <w:p w14:paraId="1D6FE002"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2, 140.</w:t>
      </w:r>
    </w:p>
  </w:footnote>
  <w:footnote w:id="44">
    <w:p w14:paraId="67F17C13"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2, 142.</w:t>
      </w:r>
    </w:p>
  </w:footnote>
  <w:footnote w:id="45">
    <w:p w14:paraId="3631CC74"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2, 144.</w:t>
      </w:r>
    </w:p>
  </w:footnote>
  <w:footnote w:id="46">
    <w:p w14:paraId="2F7D5908"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Ibid.</w:t>
      </w:r>
    </w:p>
  </w:footnote>
  <w:footnote w:id="47">
    <w:p w14:paraId="76CD480B"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1, 512.</w:t>
      </w:r>
    </w:p>
  </w:footnote>
  <w:footnote w:id="48">
    <w:p w14:paraId="3C51BA6B"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1, 512-513.</w:t>
      </w:r>
    </w:p>
  </w:footnote>
  <w:footnote w:id="49">
    <w:p w14:paraId="26696E6B"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w:t>
      </w:r>
      <w:r w:rsidR="004D74CD" w:rsidRPr="00221AEC">
        <w:rPr>
          <w:rFonts w:cs="Times New Roman"/>
        </w:rPr>
        <w:t>A IV, 2, 17-18.</w:t>
      </w:r>
    </w:p>
  </w:footnote>
  <w:footnote w:id="50">
    <w:p w14:paraId="35BDC6A7"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w:t>
      </w:r>
      <w:r w:rsidR="00177835" w:rsidRPr="00221AEC">
        <w:rPr>
          <w:rFonts w:cs="Times New Roman"/>
        </w:rPr>
        <w:t>Ibid.</w:t>
      </w:r>
    </w:p>
  </w:footnote>
  <w:footnote w:id="51">
    <w:p w14:paraId="4C7ACEF5"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w:t>
      </w:r>
      <w:r w:rsidR="002C6A28" w:rsidRPr="00221AEC">
        <w:rPr>
          <w:rFonts w:cs="Times New Roman"/>
        </w:rPr>
        <w:t>A IV, 2, 18</w:t>
      </w:r>
      <w:r w:rsidR="004D74CD" w:rsidRPr="00221AEC">
        <w:rPr>
          <w:rFonts w:cs="Times New Roman"/>
        </w:rPr>
        <w:t>; 54-56</w:t>
      </w:r>
      <w:r w:rsidR="002C6A28" w:rsidRPr="00221AEC">
        <w:rPr>
          <w:rFonts w:cs="Times New Roman"/>
        </w:rPr>
        <w:t>.</w:t>
      </w:r>
    </w:p>
  </w:footnote>
  <w:footnote w:id="52">
    <w:p w14:paraId="1E626220"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w:t>
      </w:r>
      <w:r w:rsidR="004D74CD" w:rsidRPr="00221AEC">
        <w:rPr>
          <w:rFonts w:cs="Times New Roman"/>
        </w:rPr>
        <w:t>A IV, 2 18; 56</w:t>
      </w:r>
    </w:p>
  </w:footnote>
  <w:footnote w:id="53">
    <w:p w14:paraId="3F5B264A"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w:t>
      </w:r>
      <w:r w:rsidR="004D74CD" w:rsidRPr="00221AEC">
        <w:rPr>
          <w:rFonts w:cs="Times New Roman"/>
        </w:rPr>
        <w:t>A IV, 2, 18; 56-57.</w:t>
      </w:r>
    </w:p>
  </w:footnote>
  <w:footnote w:id="54">
    <w:p w14:paraId="26D8B55C" w14:textId="77777777" w:rsidR="001E65F4" w:rsidRPr="00221AEC" w:rsidRDefault="001E65F4" w:rsidP="0090706C">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w:t>
      </w:r>
      <w:r w:rsidR="004D74CD" w:rsidRPr="00221AEC">
        <w:rPr>
          <w:rFonts w:cs="Times New Roman"/>
        </w:rPr>
        <w:t xml:space="preserve">Bodin, </w:t>
      </w:r>
      <w:r w:rsidR="004D74CD" w:rsidRPr="00221AEC">
        <w:rPr>
          <w:rFonts w:cs="Times New Roman"/>
          <w:i/>
        </w:rPr>
        <w:t xml:space="preserve">Six Livres de la Republique </w:t>
      </w:r>
      <w:r w:rsidR="004D74CD" w:rsidRPr="00221AEC">
        <w:rPr>
          <w:rFonts w:cs="Times New Roman"/>
        </w:rPr>
        <w:t>(</w:t>
      </w:r>
      <w:r w:rsidR="00177835" w:rsidRPr="00221AEC">
        <w:rPr>
          <w:rFonts w:cs="Times New Roman"/>
        </w:rPr>
        <w:t>see note 5</w:t>
      </w:r>
      <w:r w:rsidR="004D74CD" w:rsidRPr="00221AEC">
        <w:rPr>
          <w:rFonts w:cs="Times New Roman"/>
        </w:rPr>
        <w:t>),</w:t>
      </w:r>
      <w:r w:rsidRPr="00221AEC">
        <w:rPr>
          <w:rFonts w:cs="Times New Roman"/>
        </w:rPr>
        <w:t xml:space="preserve"> pp. 161; 183; 321.</w:t>
      </w:r>
    </w:p>
  </w:footnote>
  <w:footnote w:id="55">
    <w:p w14:paraId="62B2410B" w14:textId="77777777" w:rsidR="001E65F4" w:rsidRPr="00221AEC" w:rsidRDefault="001E65F4" w:rsidP="0090706C">
      <w:pPr>
        <w:pStyle w:val="Funotentext"/>
        <w:spacing w:line="360" w:lineRule="auto"/>
      </w:pPr>
      <w:r w:rsidRPr="00221AEC">
        <w:rPr>
          <w:rStyle w:val="Funotenzeichen"/>
        </w:rPr>
        <w:footnoteRef/>
      </w:r>
      <w:r w:rsidRPr="00221AEC">
        <w:t xml:space="preserve"> Ibid., pp. 249.</w:t>
      </w:r>
    </w:p>
  </w:footnote>
  <w:footnote w:id="56">
    <w:p w14:paraId="6B762CCB" w14:textId="77777777" w:rsidR="001E65F4" w:rsidRPr="00221AEC" w:rsidRDefault="001E65F4" w:rsidP="0090706C">
      <w:pPr>
        <w:pStyle w:val="Funotentext"/>
        <w:spacing w:line="360" w:lineRule="auto"/>
        <w:jc w:val="both"/>
      </w:pPr>
      <w:r w:rsidRPr="00221AEC">
        <w:rPr>
          <w:rStyle w:val="Funotenzeichen"/>
        </w:rPr>
        <w:footnoteRef/>
      </w:r>
      <w:r w:rsidRPr="00221AEC">
        <w:t xml:space="preserve"> Ibid., p. 152.</w:t>
      </w:r>
    </w:p>
  </w:footnote>
  <w:footnote w:id="57">
    <w:p w14:paraId="2FA153DE" w14:textId="77777777" w:rsidR="00251E7B" w:rsidRPr="00221AEC" w:rsidRDefault="00251E7B" w:rsidP="00251E7B">
      <w:pPr>
        <w:pStyle w:val="Funotentext"/>
        <w:spacing w:line="360" w:lineRule="auto"/>
      </w:pPr>
      <w:r w:rsidRPr="00221AEC">
        <w:rPr>
          <w:rStyle w:val="Funotenzeichen"/>
        </w:rPr>
        <w:footnoteRef/>
      </w:r>
      <w:r w:rsidRPr="00221AEC">
        <w:t xml:space="preserve"> A IV, 2, 98-99.</w:t>
      </w:r>
    </w:p>
  </w:footnote>
  <w:footnote w:id="58">
    <w:p w14:paraId="5B1B49AF"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w:t>
      </w:r>
      <w:r w:rsidR="009D4841" w:rsidRPr="00221AEC">
        <w:rPr>
          <w:rFonts w:cs="Times New Roman"/>
        </w:rPr>
        <w:t xml:space="preserve">Bodin, </w:t>
      </w:r>
      <w:r w:rsidR="009D4841" w:rsidRPr="00221AEC">
        <w:rPr>
          <w:rFonts w:cs="Times New Roman"/>
          <w:i/>
        </w:rPr>
        <w:t xml:space="preserve">Six Livres de la Republique </w:t>
      </w:r>
      <w:r w:rsidR="009D4841" w:rsidRPr="00221AEC">
        <w:rPr>
          <w:rFonts w:cs="Times New Roman"/>
        </w:rPr>
        <w:t>(</w:t>
      </w:r>
      <w:r w:rsidR="00177835" w:rsidRPr="00221AEC">
        <w:rPr>
          <w:rFonts w:cs="Times New Roman"/>
        </w:rPr>
        <w:t>see note 5</w:t>
      </w:r>
      <w:r w:rsidR="009D4841" w:rsidRPr="00221AEC">
        <w:rPr>
          <w:rFonts w:cs="Times New Roman"/>
        </w:rPr>
        <w:t>),</w:t>
      </w:r>
      <w:r w:rsidRPr="00221AEC">
        <w:rPr>
          <w:rFonts w:cs="Times New Roman"/>
          <w:i/>
        </w:rPr>
        <w:t xml:space="preserve"> </w:t>
      </w:r>
      <w:r w:rsidRPr="00221AEC">
        <w:rPr>
          <w:rFonts w:cs="Times New Roman"/>
        </w:rPr>
        <w:t>p. 641.</w:t>
      </w:r>
    </w:p>
  </w:footnote>
  <w:footnote w:id="59">
    <w:p w14:paraId="40E696D7" w14:textId="77777777" w:rsidR="001E65F4" w:rsidRPr="00221AEC" w:rsidRDefault="001E65F4" w:rsidP="004C63C7">
      <w:pPr>
        <w:pStyle w:val="Funotentext"/>
        <w:spacing w:line="360" w:lineRule="auto"/>
        <w:jc w:val="both"/>
      </w:pPr>
      <w:r w:rsidRPr="00221AEC">
        <w:rPr>
          <w:rStyle w:val="Funotenzeichen"/>
        </w:rPr>
        <w:footnoteRef/>
      </w:r>
      <w:r w:rsidRPr="00221AEC">
        <w:t xml:space="preserve"> Ibid., 309: “equite naturelle, qui gist en l’arbitrage de ceux qui s</w:t>
      </w:r>
      <w:r w:rsidRPr="00221AEC">
        <w:rPr>
          <w:rFonts w:cs="Times New Roman"/>
        </w:rPr>
        <w:t>ç</w:t>
      </w:r>
      <w:r w:rsidRPr="00221AEC">
        <w:t xml:space="preserve">avent manier les affaires d’estat, &amp; balancer sagement le profit particulier au contrepoix du public, selon la varieté des temps, des lieux &amp; personnes […].” </w:t>
      </w:r>
    </w:p>
  </w:footnote>
  <w:footnote w:id="60">
    <w:p w14:paraId="69358EE5" w14:textId="77777777" w:rsidR="001E65F4" w:rsidRPr="00221AEC" w:rsidRDefault="001E65F4" w:rsidP="007D7F37">
      <w:pPr>
        <w:pStyle w:val="Funotentext"/>
        <w:spacing w:line="360" w:lineRule="auto"/>
      </w:pPr>
      <w:r w:rsidRPr="00221AEC">
        <w:rPr>
          <w:rStyle w:val="Funotenzeichen"/>
        </w:rPr>
        <w:footnoteRef/>
      </w:r>
      <w:r w:rsidRPr="00221AEC">
        <w:t xml:space="preserve"> Ibid., p. 439.</w:t>
      </w:r>
    </w:p>
  </w:footnote>
  <w:footnote w:id="61">
    <w:p w14:paraId="46B7CA65"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Ibid., p. 1019: “[A]pres que le Roy François I eut assugetty la Savoye, les Gouverneurs &amp; Magistrats no</w:t>
      </w:r>
      <w:r w:rsidRPr="00221AEC">
        <w:rPr>
          <w:rFonts w:cs="Times New Roman"/>
        </w:rPr>
        <w:t>u</w:t>
      </w:r>
      <w:r w:rsidRPr="00221AEC">
        <w:rPr>
          <w:rFonts w:cs="Times New Roman"/>
        </w:rPr>
        <w:t>veaux iugeoient bien souvent contre les coustumes &amp; doict escript, ayant esgard à l’equité. Alors les estats du pays envoyerent leurs deputez au Roy, pour obtenir lettres patentes, portant deffenses aux Magistrats de plus iuger d’equité […].”</w:t>
      </w:r>
    </w:p>
  </w:footnote>
  <w:footnote w:id="62">
    <w:p w14:paraId="13DC716A"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Ibid., pp. 1020-1021.</w:t>
      </w:r>
    </w:p>
  </w:footnote>
  <w:footnote w:id="63">
    <w:p w14:paraId="0AF7B87E" w14:textId="77777777" w:rsidR="001E65F4" w:rsidRPr="00221AEC" w:rsidRDefault="001E65F4" w:rsidP="00AB53EC">
      <w:pPr>
        <w:pStyle w:val="Funotentext"/>
        <w:spacing w:line="360" w:lineRule="auto"/>
      </w:pPr>
      <w:r w:rsidRPr="00221AEC">
        <w:rPr>
          <w:rStyle w:val="Funotenzeichen"/>
        </w:rPr>
        <w:footnoteRef/>
      </w:r>
      <w:r w:rsidRPr="00221AEC">
        <w:t xml:space="preserve"> Ibid., p. 1025.</w:t>
      </w:r>
    </w:p>
  </w:footnote>
  <w:footnote w:id="64">
    <w:p w14:paraId="5C6D6A1A"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Ibid., p. 1021.</w:t>
      </w:r>
    </w:p>
  </w:footnote>
  <w:footnote w:id="65">
    <w:p w14:paraId="6C8C475A"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Ibid., p. 1026.</w:t>
      </w:r>
    </w:p>
  </w:footnote>
  <w:footnote w:id="66">
    <w:p w14:paraId="5C9A34B7" w14:textId="77777777" w:rsidR="001E65F4" w:rsidRPr="00221AEC" w:rsidRDefault="001E65F4" w:rsidP="007602F5">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Ibid.: “[E]n tous cas il est certain que la puissance est limitee à l’arbitrage d’un homme de bien, &amp; aux termes d’equité à laquelle le prince mesme doit rapporter ses iugemens.“</w:t>
      </w:r>
    </w:p>
  </w:footnote>
  <w:footnote w:id="67">
    <w:p w14:paraId="22E53569"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Ibid., p. 321.</w:t>
      </w:r>
    </w:p>
  </w:footnote>
  <w:footnote w:id="68">
    <w:p w14:paraId="4E3ECA52"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Ibid., p. 320: “Or est il que les estats de l’Empire, composez de trois à quatre cens hommes […] ont la pui</w:t>
      </w:r>
      <w:r w:rsidRPr="00221AEC">
        <w:rPr>
          <w:rFonts w:cs="Times New Roman"/>
        </w:rPr>
        <w:t>s</w:t>
      </w:r>
      <w:r w:rsidRPr="00221AEC">
        <w:rPr>
          <w:rFonts w:cs="Times New Roman"/>
        </w:rPr>
        <w:t>sance souveraine, privativement à l’Empereur, &amp; à tous autres princes &amp; villes en particulier, de donner la loy à tous les sugets de l’Empereur, decerner la paix ou la guerre, mettre tailles &amp; impotst, establir iuges ordinaires &amp; extraordinaires, pour iuger des biens, de l’honneur, &amp; de la vie de l’Empereur, des princes, &amp; des villes Imperi</w:t>
      </w:r>
      <w:r w:rsidRPr="00221AEC">
        <w:rPr>
          <w:rFonts w:cs="Times New Roman"/>
        </w:rPr>
        <w:t>a</w:t>
      </w:r>
      <w:r w:rsidRPr="00221AEC">
        <w:rPr>
          <w:rFonts w:cs="Times New Roman"/>
        </w:rPr>
        <w:t>les; qui sont les vrayes marques de souveraine</w:t>
      </w:r>
      <w:r w:rsidR="004B4E2F">
        <w:rPr>
          <w:rFonts w:cs="Times New Roman"/>
        </w:rPr>
        <w:t>té.”</w:t>
      </w:r>
    </w:p>
  </w:footnote>
  <w:footnote w:id="69">
    <w:p w14:paraId="59E48913"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Ibid., pp. 183-184; 322.</w:t>
      </w:r>
    </w:p>
  </w:footnote>
  <w:footnote w:id="70">
    <w:p w14:paraId="2F6B7D36" w14:textId="77777777" w:rsidR="001E65F4" w:rsidRPr="00221AEC" w:rsidRDefault="001E65F4" w:rsidP="001A18CE">
      <w:pPr>
        <w:pStyle w:val="Funotentext"/>
        <w:spacing w:line="360" w:lineRule="auto"/>
      </w:pPr>
      <w:r w:rsidRPr="00221AEC">
        <w:rPr>
          <w:rStyle w:val="Funotenzeichen"/>
        </w:rPr>
        <w:footnoteRef/>
      </w:r>
      <w:r w:rsidRPr="00221AEC">
        <w:t xml:space="preserve"> Ibid., p. 322.</w:t>
      </w:r>
    </w:p>
  </w:footnote>
  <w:footnote w:id="71">
    <w:p w14:paraId="49AF5C41"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Ibid., p. 324.</w:t>
      </w:r>
    </w:p>
  </w:footnote>
  <w:footnote w:id="72">
    <w:p w14:paraId="67730912" w14:textId="77777777" w:rsidR="001E65F4" w:rsidRPr="00221AEC" w:rsidRDefault="001E65F4" w:rsidP="001A18CE">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Ibid., pp. 186-187.</w:t>
      </w:r>
    </w:p>
  </w:footnote>
  <w:footnote w:id="73">
    <w:p w14:paraId="432FE11D" w14:textId="77777777" w:rsidR="001E65F4" w:rsidRPr="00221AEC" w:rsidRDefault="001E65F4" w:rsidP="00BF3CF9">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w:t>
      </w:r>
      <w:r w:rsidR="009D4841" w:rsidRPr="00221AEC">
        <w:rPr>
          <w:rFonts w:cs="Times New Roman"/>
        </w:rPr>
        <w:t>A IV, 2, 26</w:t>
      </w:r>
      <w:r w:rsidR="0026776E" w:rsidRPr="00221AEC">
        <w:rPr>
          <w:rFonts w:cs="Times New Roman"/>
        </w:rPr>
        <w:t>; 164</w:t>
      </w:r>
      <w:r w:rsidR="008705A0" w:rsidRPr="00221AEC">
        <w:rPr>
          <w:rFonts w:cs="Times New Roman"/>
        </w:rPr>
        <w:t>-165</w:t>
      </w:r>
      <w:r w:rsidR="009D4841" w:rsidRPr="00221AEC">
        <w:rPr>
          <w:rFonts w:cs="Times New Roman"/>
        </w:rPr>
        <w:t>.</w:t>
      </w:r>
    </w:p>
  </w:footnote>
  <w:footnote w:id="74">
    <w:p w14:paraId="1EDBECC1" w14:textId="77777777" w:rsidR="00077077" w:rsidRPr="00221AEC" w:rsidRDefault="00077077" w:rsidP="00BF3CF9">
      <w:pPr>
        <w:pStyle w:val="Funotentext"/>
        <w:spacing w:line="360" w:lineRule="auto"/>
      </w:pPr>
      <w:r w:rsidRPr="00221AEC">
        <w:rPr>
          <w:rStyle w:val="Funotenzeichen"/>
        </w:rPr>
        <w:footnoteRef/>
      </w:r>
      <w:r w:rsidRPr="00221AEC">
        <w:t xml:space="preserve"> A IV, 2, 94.</w:t>
      </w:r>
    </w:p>
  </w:footnote>
  <w:footnote w:id="75">
    <w:p w14:paraId="76166C12" w14:textId="77777777" w:rsidR="00BF3CF9" w:rsidRPr="00221AEC" w:rsidRDefault="00BF3CF9" w:rsidP="00BF3CF9">
      <w:pPr>
        <w:pStyle w:val="Funotentext"/>
        <w:spacing w:line="360" w:lineRule="auto"/>
      </w:pPr>
      <w:r w:rsidRPr="00221AEC">
        <w:rPr>
          <w:rStyle w:val="Funotenzeichen"/>
        </w:rPr>
        <w:footnoteRef/>
      </w:r>
      <w:r w:rsidRPr="00221AEC">
        <w:t xml:space="preserve"> A IV, 2, 95.</w:t>
      </w:r>
    </w:p>
  </w:footnote>
  <w:footnote w:id="76">
    <w:p w14:paraId="553CE513" w14:textId="77777777" w:rsidR="00BF3CF9" w:rsidRPr="00221AEC" w:rsidRDefault="00BF3CF9" w:rsidP="00BF3CF9">
      <w:pPr>
        <w:pStyle w:val="Funotentext"/>
        <w:spacing w:line="360" w:lineRule="auto"/>
      </w:pPr>
      <w:r w:rsidRPr="00221AEC">
        <w:rPr>
          <w:rStyle w:val="Funotenzeichen"/>
        </w:rPr>
        <w:footnoteRef/>
      </w:r>
      <w:r w:rsidRPr="00221AEC">
        <w:t xml:space="preserve"> Ibid.</w:t>
      </w:r>
    </w:p>
  </w:footnote>
  <w:footnote w:id="77">
    <w:p w14:paraId="1C2CF188" w14:textId="77777777" w:rsidR="0026776E" w:rsidRPr="00221AEC" w:rsidRDefault="0026776E" w:rsidP="0026776E">
      <w:pPr>
        <w:pStyle w:val="Funotentext"/>
        <w:spacing w:line="360" w:lineRule="auto"/>
        <w:jc w:val="both"/>
      </w:pPr>
      <w:r w:rsidRPr="00221AEC">
        <w:rPr>
          <w:rStyle w:val="Funotenzeichen"/>
        </w:rPr>
        <w:footnoteRef/>
      </w:r>
      <w:r w:rsidRPr="00221AEC">
        <w:t xml:space="preserve"> A IV, 2, 165.</w:t>
      </w:r>
    </w:p>
  </w:footnote>
  <w:footnote w:id="78">
    <w:p w14:paraId="033AA9E7"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w:t>
      </w:r>
      <w:r w:rsidR="002C5B04" w:rsidRPr="00221AEC">
        <w:rPr>
          <w:rFonts w:cs="Times New Roman"/>
        </w:rPr>
        <w:t>Ibid.</w:t>
      </w:r>
    </w:p>
  </w:footnote>
  <w:footnote w:id="79">
    <w:p w14:paraId="7C94BEEF"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w:t>
      </w:r>
      <w:r w:rsidR="007F01FF" w:rsidRPr="00221AEC">
        <w:rPr>
          <w:rFonts w:cs="Times New Roman"/>
        </w:rPr>
        <w:t xml:space="preserve">A IV, 2, 101. Leibniz refers to Bodin, </w:t>
      </w:r>
      <w:r w:rsidR="007F01FF" w:rsidRPr="00221AEC">
        <w:rPr>
          <w:rFonts w:cs="Times New Roman"/>
          <w:i/>
        </w:rPr>
        <w:t xml:space="preserve">Six Livres de la Republique </w:t>
      </w:r>
      <w:r w:rsidR="007F01FF" w:rsidRPr="00221AEC">
        <w:rPr>
          <w:rFonts w:cs="Times New Roman"/>
        </w:rPr>
        <w:t>(see note 5), book I, chapter 7.</w:t>
      </w:r>
    </w:p>
  </w:footnote>
  <w:footnote w:id="80">
    <w:p w14:paraId="716DC39F" w14:textId="77777777" w:rsidR="009B6FA3" w:rsidRPr="00221AEC" w:rsidRDefault="009B6FA3" w:rsidP="009B6FA3">
      <w:pPr>
        <w:pStyle w:val="Funotentext"/>
        <w:spacing w:line="360" w:lineRule="auto"/>
      </w:pPr>
      <w:r w:rsidRPr="00221AEC">
        <w:rPr>
          <w:rStyle w:val="Funotenzeichen"/>
        </w:rPr>
        <w:footnoteRef/>
      </w:r>
      <w:r w:rsidRPr="00221AEC">
        <w:t xml:space="preserve"> A IV, 2, 94.</w:t>
      </w:r>
    </w:p>
  </w:footnote>
  <w:footnote w:id="81">
    <w:p w14:paraId="1AF691CA"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2, </w:t>
      </w:r>
      <w:r w:rsidR="008705A0" w:rsidRPr="00221AEC">
        <w:rPr>
          <w:rFonts w:cs="Times New Roman"/>
        </w:rPr>
        <w:t>94-95; 165</w:t>
      </w:r>
      <w:r w:rsidRPr="00221AEC">
        <w:rPr>
          <w:rFonts w:cs="Times New Roman"/>
        </w:rPr>
        <w:t>.</w:t>
      </w:r>
    </w:p>
  </w:footnote>
  <w:footnote w:id="82">
    <w:p w14:paraId="0043C2EF" w14:textId="77777777" w:rsidR="001E65F4" w:rsidRPr="00221AEC" w:rsidRDefault="001E65F4" w:rsidP="00EB5507">
      <w:pPr>
        <w:shd w:val="clear" w:color="auto" w:fill="auto"/>
        <w:autoSpaceDE w:val="0"/>
        <w:autoSpaceDN w:val="0"/>
        <w:adjustRightInd w:val="0"/>
        <w:spacing w:line="360" w:lineRule="auto"/>
        <w:jc w:val="both"/>
        <w:rPr>
          <w:rFonts w:eastAsia="Times New Roman" w:cs="Times New Roman"/>
          <w:i/>
          <w:iCs/>
          <w:color w:val="auto"/>
          <w:kern w:val="0"/>
          <w:sz w:val="20"/>
          <w:szCs w:val="20"/>
          <w:lang w:eastAsia="de-DE"/>
        </w:rPr>
      </w:pPr>
      <w:r w:rsidRPr="00221AEC">
        <w:rPr>
          <w:rStyle w:val="Funotenzeichen"/>
          <w:rFonts w:cs="Times New Roman"/>
          <w:sz w:val="20"/>
          <w:szCs w:val="20"/>
        </w:rPr>
        <w:footnoteRef/>
      </w:r>
      <w:r w:rsidRPr="00221AEC">
        <w:rPr>
          <w:rFonts w:cs="Times New Roman"/>
          <w:sz w:val="20"/>
          <w:szCs w:val="20"/>
        </w:rPr>
        <w:t xml:space="preserve"> </w:t>
      </w:r>
      <w:r w:rsidR="00584740" w:rsidRPr="00221AEC">
        <w:rPr>
          <w:rFonts w:cs="Times New Roman"/>
          <w:sz w:val="20"/>
          <w:szCs w:val="20"/>
        </w:rPr>
        <w:t xml:space="preserve">On the international aspects of the relations between the estates, see </w:t>
      </w:r>
      <w:r w:rsidR="00EB5507" w:rsidRPr="00221AEC">
        <w:rPr>
          <w:rFonts w:eastAsia="Times New Roman" w:cs="Times New Roman"/>
          <w:color w:val="auto"/>
          <w:kern w:val="0"/>
          <w:sz w:val="20"/>
          <w:szCs w:val="20"/>
          <w:lang w:eastAsia="de-DE"/>
        </w:rPr>
        <w:t xml:space="preserve">Albert Randelzhofer, </w:t>
      </w:r>
      <w:r w:rsidR="00EB5507" w:rsidRPr="00221AEC">
        <w:rPr>
          <w:rFonts w:eastAsia="Times New Roman" w:cs="Times New Roman"/>
          <w:i/>
          <w:iCs/>
          <w:color w:val="auto"/>
          <w:kern w:val="0"/>
          <w:sz w:val="20"/>
          <w:szCs w:val="20"/>
          <w:lang w:eastAsia="de-DE"/>
        </w:rPr>
        <w:t xml:space="preserve">Völkerrechtliche Aspekte des Heiligen Römischen Reiches nach 1648 </w:t>
      </w:r>
      <w:r w:rsidR="00EB5507" w:rsidRPr="00221AEC">
        <w:rPr>
          <w:rFonts w:eastAsia="Times New Roman" w:cs="Times New Roman"/>
          <w:color w:val="auto"/>
          <w:kern w:val="0"/>
          <w:sz w:val="20"/>
          <w:szCs w:val="20"/>
          <w:lang w:eastAsia="de-DE"/>
        </w:rPr>
        <w:t>(Berlin, 1967)</w:t>
      </w:r>
      <w:r w:rsidR="00DE59C3" w:rsidRPr="00221AEC">
        <w:rPr>
          <w:rFonts w:cs="Times New Roman"/>
          <w:sz w:val="20"/>
          <w:szCs w:val="20"/>
        </w:rPr>
        <w:t>.</w:t>
      </w:r>
    </w:p>
  </w:footnote>
  <w:footnote w:id="83">
    <w:p w14:paraId="429A086A"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w:t>
      </w:r>
      <w:r w:rsidR="002C6A28" w:rsidRPr="00221AEC">
        <w:rPr>
          <w:rFonts w:cs="Times New Roman"/>
        </w:rPr>
        <w:t xml:space="preserve">A IV, 2, </w:t>
      </w:r>
      <w:r w:rsidR="0026776E" w:rsidRPr="00221AEC">
        <w:rPr>
          <w:rFonts w:cs="Times New Roman"/>
        </w:rPr>
        <w:t xml:space="preserve">62; </w:t>
      </w:r>
      <w:r w:rsidR="002C6A28" w:rsidRPr="00221AEC">
        <w:rPr>
          <w:rFonts w:cs="Times New Roman"/>
        </w:rPr>
        <w:t>102-105</w:t>
      </w:r>
      <w:r w:rsidR="00BC0B95" w:rsidRPr="00221AEC">
        <w:rPr>
          <w:rFonts w:cs="Times New Roman"/>
        </w:rPr>
        <w:t>.</w:t>
      </w:r>
    </w:p>
  </w:footnote>
  <w:footnote w:id="84">
    <w:p w14:paraId="2A41B030"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2, 64.</w:t>
      </w:r>
    </w:p>
  </w:footnote>
  <w:footnote w:id="85">
    <w:p w14:paraId="3510F5F5"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2, 103.</w:t>
      </w:r>
    </w:p>
  </w:footnote>
  <w:footnote w:id="86">
    <w:p w14:paraId="66B88DA5"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2, 104.</w:t>
      </w:r>
    </w:p>
  </w:footnote>
  <w:footnote w:id="87">
    <w:p w14:paraId="511EE462"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Ibid.</w:t>
      </w:r>
    </w:p>
  </w:footnote>
  <w:footnote w:id="88">
    <w:p w14:paraId="292C5D98" w14:textId="77777777" w:rsidR="00251E7B" w:rsidRPr="00221AEC" w:rsidRDefault="00251E7B" w:rsidP="00251E7B">
      <w:pPr>
        <w:pStyle w:val="Funotentext"/>
        <w:spacing w:line="360" w:lineRule="auto"/>
      </w:pPr>
      <w:r w:rsidRPr="00221AEC">
        <w:rPr>
          <w:rStyle w:val="Funotenzeichen"/>
        </w:rPr>
        <w:footnoteRef/>
      </w:r>
      <w:r w:rsidRPr="00221AEC">
        <w:t xml:space="preserve"> A IV, 2, 19.</w:t>
      </w:r>
    </w:p>
  </w:footnote>
  <w:footnote w:id="89">
    <w:p w14:paraId="260F4977"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2, 106.</w:t>
      </w:r>
    </w:p>
  </w:footnote>
  <w:footnote w:id="90">
    <w:p w14:paraId="33822B61"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2, 64.</w:t>
      </w:r>
    </w:p>
  </w:footnote>
  <w:footnote w:id="91">
    <w:p w14:paraId="23C6F737" w14:textId="77777777" w:rsidR="00025BAA" w:rsidRPr="00221AEC" w:rsidRDefault="00025BAA" w:rsidP="00025BAA">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2, 16-17.</w:t>
      </w:r>
    </w:p>
  </w:footnote>
  <w:footnote w:id="92">
    <w:p w14:paraId="2306BDB1"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2, 43.</w:t>
      </w:r>
    </w:p>
  </w:footnote>
  <w:footnote w:id="93">
    <w:p w14:paraId="54A7F86E"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Ibid.</w:t>
      </w:r>
    </w:p>
  </w:footnote>
  <w:footnote w:id="94">
    <w:p w14:paraId="4AF27897" w14:textId="77777777" w:rsidR="001E65F4" w:rsidRPr="00221AEC" w:rsidRDefault="001E65F4" w:rsidP="005021A1">
      <w:pPr>
        <w:pStyle w:val="Funotentext"/>
        <w:spacing w:line="360" w:lineRule="auto"/>
        <w:jc w:val="both"/>
        <w:rPr>
          <w:rFonts w:cs="Times New Roman"/>
        </w:rPr>
      </w:pPr>
      <w:r w:rsidRPr="00221AEC">
        <w:rPr>
          <w:rStyle w:val="Funotenzeichen"/>
          <w:rFonts w:cs="Times New Roman"/>
        </w:rPr>
        <w:footnoteRef/>
      </w:r>
      <w:r w:rsidRPr="00221AEC">
        <w:rPr>
          <w:rFonts w:cs="Times New Roman"/>
        </w:rPr>
        <w:t xml:space="preserve"> A IV, 2, 64.</w:t>
      </w:r>
    </w:p>
  </w:footnote>
  <w:footnote w:id="95">
    <w:p w14:paraId="53091085" w14:textId="77777777" w:rsidR="001E65F4" w:rsidRPr="00221AEC" w:rsidRDefault="001E65F4" w:rsidP="005021A1">
      <w:pPr>
        <w:pStyle w:val="Funotentext"/>
        <w:spacing w:line="360" w:lineRule="auto"/>
        <w:jc w:val="both"/>
      </w:pPr>
      <w:r w:rsidRPr="00221AEC">
        <w:rPr>
          <w:rStyle w:val="Funotenzeichen"/>
          <w:rFonts w:cs="Times New Roman"/>
        </w:rPr>
        <w:footnoteRef/>
      </w:r>
      <w:r w:rsidRPr="00221AEC">
        <w:rPr>
          <w:rFonts w:cs="Times New Roman"/>
        </w:rPr>
        <w:t xml:space="preserve"> A IV, 2, 102.</w:t>
      </w:r>
    </w:p>
  </w:footnote>
  <w:footnote w:id="96">
    <w:p w14:paraId="1DCBAC17" w14:textId="77777777" w:rsidR="001F7C38" w:rsidRPr="001F7C38" w:rsidRDefault="001F7C38">
      <w:pPr>
        <w:pStyle w:val="Funotentext"/>
        <w:rPr>
          <w:lang w:val="de-DE"/>
        </w:rPr>
      </w:pPr>
      <w:r w:rsidRPr="00221AEC">
        <w:rPr>
          <w:rStyle w:val="Funotenzeichen"/>
        </w:rPr>
        <w:footnoteRef/>
      </w:r>
      <w:r w:rsidRPr="00221AEC">
        <w:t xml:space="preserve"> Heartfelt thanks to Luca Basso for his extremely helpful comments on an earlier version of this article.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33"/>
    <w:rsid w:val="00014712"/>
    <w:rsid w:val="00025BAA"/>
    <w:rsid w:val="00027302"/>
    <w:rsid w:val="00042425"/>
    <w:rsid w:val="00065369"/>
    <w:rsid w:val="0007192E"/>
    <w:rsid w:val="00077077"/>
    <w:rsid w:val="0009522B"/>
    <w:rsid w:val="000B0C1E"/>
    <w:rsid w:val="000B3BDF"/>
    <w:rsid w:val="000C734B"/>
    <w:rsid w:val="000F13C8"/>
    <w:rsid w:val="000F2F59"/>
    <w:rsid w:val="000F68CC"/>
    <w:rsid w:val="0010093D"/>
    <w:rsid w:val="0013620A"/>
    <w:rsid w:val="00156ADF"/>
    <w:rsid w:val="00177835"/>
    <w:rsid w:val="0018619E"/>
    <w:rsid w:val="001A18CE"/>
    <w:rsid w:val="001A795B"/>
    <w:rsid w:val="001C588C"/>
    <w:rsid w:val="001D08F6"/>
    <w:rsid w:val="001E65F4"/>
    <w:rsid w:val="001E68E7"/>
    <w:rsid w:val="001F7C38"/>
    <w:rsid w:val="00203AFB"/>
    <w:rsid w:val="00221AEC"/>
    <w:rsid w:val="00251E7B"/>
    <w:rsid w:val="00263204"/>
    <w:rsid w:val="0026776E"/>
    <w:rsid w:val="00277FC5"/>
    <w:rsid w:val="002845CA"/>
    <w:rsid w:val="002B2350"/>
    <w:rsid w:val="002C5B04"/>
    <w:rsid w:val="002C6A28"/>
    <w:rsid w:val="002D0C9B"/>
    <w:rsid w:val="002F5BC8"/>
    <w:rsid w:val="002F6883"/>
    <w:rsid w:val="0036531C"/>
    <w:rsid w:val="003737C8"/>
    <w:rsid w:val="003A0844"/>
    <w:rsid w:val="003A52F8"/>
    <w:rsid w:val="003C1876"/>
    <w:rsid w:val="00412D52"/>
    <w:rsid w:val="0041358A"/>
    <w:rsid w:val="00413F08"/>
    <w:rsid w:val="00436DD9"/>
    <w:rsid w:val="00447060"/>
    <w:rsid w:val="004534BD"/>
    <w:rsid w:val="00474ADF"/>
    <w:rsid w:val="004A53E8"/>
    <w:rsid w:val="004B4E2F"/>
    <w:rsid w:val="004C23DD"/>
    <w:rsid w:val="004C63C7"/>
    <w:rsid w:val="004D74CD"/>
    <w:rsid w:val="004D7720"/>
    <w:rsid w:val="005021A1"/>
    <w:rsid w:val="00531156"/>
    <w:rsid w:val="0054245E"/>
    <w:rsid w:val="00565267"/>
    <w:rsid w:val="00584740"/>
    <w:rsid w:val="00593682"/>
    <w:rsid w:val="005B5FF6"/>
    <w:rsid w:val="005C16F6"/>
    <w:rsid w:val="005C4CBF"/>
    <w:rsid w:val="005D5149"/>
    <w:rsid w:val="005F2B50"/>
    <w:rsid w:val="00604611"/>
    <w:rsid w:val="00613B7B"/>
    <w:rsid w:val="00660B11"/>
    <w:rsid w:val="006C23B9"/>
    <w:rsid w:val="006F3339"/>
    <w:rsid w:val="006F6C98"/>
    <w:rsid w:val="00717CC9"/>
    <w:rsid w:val="007268C4"/>
    <w:rsid w:val="00744910"/>
    <w:rsid w:val="00746600"/>
    <w:rsid w:val="007602F5"/>
    <w:rsid w:val="007752A4"/>
    <w:rsid w:val="00777189"/>
    <w:rsid w:val="00794F95"/>
    <w:rsid w:val="007C0F41"/>
    <w:rsid w:val="007D37E7"/>
    <w:rsid w:val="007D7F37"/>
    <w:rsid w:val="007E4997"/>
    <w:rsid w:val="007E563F"/>
    <w:rsid w:val="007E7BAC"/>
    <w:rsid w:val="007F01FF"/>
    <w:rsid w:val="00823866"/>
    <w:rsid w:val="00823B50"/>
    <w:rsid w:val="00832EFD"/>
    <w:rsid w:val="00840C16"/>
    <w:rsid w:val="00852938"/>
    <w:rsid w:val="00864C57"/>
    <w:rsid w:val="008705A0"/>
    <w:rsid w:val="00880DB2"/>
    <w:rsid w:val="008D79E5"/>
    <w:rsid w:val="008F49C8"/>
    <w:rsid w:val="00900AF0"/>
    <w:rsid w:val="0090706C"/>
    <w:rsid w:val="00915DA4"/>
    <w:rsid w:val="0094043A"/>
    <w:rsid w:val="00946398"/>
    <w:rsid w:val="00955D7F"/>
    <w:rsid w:val="00986E38"/>
    <w:rsid w:val="00994E47"/>
    <w:rsid w:val="009B6FA3"/>
    <w:rsid w:val="009C5C91"/>
    <w:rsid w:val="009D4841"/>
    <w:rsid w:val="00A1417E"/>
    <w:rsid w:val="00A15A0E"/>
    <w:rsid w:val="00A66825"/>
    <w:rsid w:val="00AB53EC"/>
    <w:rsid w:val="00AC24B2"/>
    <w:rsid w:val="00AF5D80"/>
    <w:rsid w:val="00B55439"/>
    <w:rsid w:val="00B621FD"/>
    <w:rsid w:val="00B664DA"/>
    <w:rsid w:val="00B954B5"/>
    <w:rsid w:val="00B97FC5"/>
    <w:rsid w:val="00BA3C1C"/>
    <w:rsid w:val="00BC0B95"/>
    <w:rsid w:val="00BD43D1"/>
    <w:rsid w:val="00BE6743"/>
    <w:rsid w:val="00BF3CF9"/>
    <w:rsid w:val="00C105DF"/>
    <w:rsid w:val="00CA4A87"/>
    <w:rsid w:val="00CB41EA"/>
    <w:rsid w:val="00CC78C9"/>
    <w:rsid w:val="00D02108"/>
    <w:rsid w:val="00D15377"/>
    <w:rsid w:val="00D1538B"/>
    <w:rsid w:val="00D951F4"/>
    <w:rsid w:val="00DA0DCB"/>
    <w:rsid w:val="00DE06A1"/>
    <w:rsid w:val="00DE59C3"/>
    <w:rsid w:val="00E04F35"/>
    <w:rsid w:val="00E11B9C"/>
    <w:rsid w:val="00E15DFB"/>
    <w:rsid w:val="00E401CC"/>
    <w:rsid w:val="00E66ED3"/>
    <w:rsid w:val="00E66FA9"/>
    <w:rsid w:val="00E851A3"/>
    <w:rsid w:val="00EB5507"/>
    <w:rsid w:val="00ED7896"/>
    <w:rsid w:val="00EF3733"/>
    <w:rsid w:val="00F04CE3"/>
    <w:rsid w:val="00F21CF4"/>
    <w:rsid w:val="00F35470"/>
    <w:rsid w:val="00F57C9B"/>
    <w:rsid w:val="00F90BF8"/>
    <w:rsid w:val="00F94634"/>
    <w:rsid w:val="00FC3D76"/>
    <w:rsid w:val="00FD5266"/>
    <w:rsid w:val="00FF2999"/>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49CA52"/>
  <w15:chartTrackingRefBased/>
  <w15:docId w15:val="{3840DE1D-667C-44B0-8640-4FDDB8FA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hd w:val="clear" w:color="auto" w:fill="FFFFFF"/>
      <w:spacing w:line="100" w:lineRule="atLeast"/>
    </w:pPr>
    <w:rPr>
      <w:rFonts w:eastAsia="Arial Unicode MS" w:cs="Arial Unicode MS"/>
      <w:color w:val="000000"/>
      <w:kern w:val="1"/>
      <w:sz w:val="24"/>
      <w:szCs w:val="24"/>
      <w:u w:color="000000"/>
      <w:lang w:val="en-US"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
    <w:name w:val="Default Paragraph Font"/>
  </w:style>
  <w:style w:type="character" w:styleId="Hyperlink">
    <w:name w:val="Hyperlink"/>
    <w:rPr>
      <w:color w:val="000080"/>
      <w:u w:val="single"/>
      <w:lang/>
    </w:rPr>
  </w:style>
  <w:style w:type="character" w:customStyle="1" w:styleId="Endnotenzeichen1">
    <w:name w:val="Endnotenzeichen1"/>
  </w:style>
  <w:style w:type="character" w:styleId="Endnotenzeichen">
    <w:name w:val="endnote reference"/>
    <w:rPr>
      <w:vertAlign w:val="superscript"/>
    </w:rPr>
  </w:style>
  <w:style w:type="character" w:styleId="Funotenzeichen">
    <w:name w:val="footnote reference"/>
    <w:rPr>
      <w:vertAlign w:val="superscript"/>
    </w:rPr>
  </w:style>
  <w:style w:type="character" w:customStyle="1" w:styleId="Funotenzeichen1">
    <w:name w:val="Fußnotenzeichen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HeaderFooter">
    <w:name w:val="Header &amp; Footer"/>
    <w:pPr>
      <w:shd w:val="clear" w:color="auto" w:fill="FFFFFF"/>
      <w:tabs>
        <w:tab w:val="right" w:pos="9020"/>
      </w:tabs>
      <w:spacing w:line="100" w:lineRule="atLeast"/>
    </w:pPr>
    <w:rPr>
      <w:rFonts w:ascii="Helvetica" w:eastAsia="Arial Unicode MS" w:hAnsi="Helvetica" w:cs="Arial Unicode MS"/>
      <w:color w:val="000000"/>
      <w:kern w:val="1"/>
      <w:sz w:val="24"/>
      <w:szCs w:val="24"/>
      <w:u w:color="000000"/>
      <w:lang w:val="de-DE" w:eastAsia="hi-IN" w:bidi="hi-IN"/>
    </w:rPr>
  </w:style>
  <w:style w:type="paragraph" w:styleId="Fuzeile">
    <w:name w:val="footer"/>
    <w:basedOn w:val="Standard"/>
    <w:pPr>
      <w:suppressLineNumbers/>
      <w:tabs>
        <w:tab w:val="center" w:pos="4536"/>
        <w:tab w:val="right" w:pos="9072"/>
      </w:tabs>
    </w:pPr>
  </w:style>
  <w:style w:type="paragraph" w:styleId="Titel">
    <w:name w:val="Title"/>
    <w:basedOn w:val="berschrift"/>
    <w:next w:val="Untertitel"/>
    <w:qFormat/>
    <w:pPr>
      <w:keepNext w:val="0"/>
      <w:spacing w:before="0" w:after="0"/>
      <w:jc w:val="center"/>
    </w:pPr>
    <w:rPr>
      <w:rFonts w:ascii="Times New Roman Bold" w:eastAsia="Arial Unicode MS" w:hAnsi="Times New Roman Bold" w:cs="Arial Unicode MS"/>
      <w:sz w:val="24"/>
      <w:szCs w:val="24"/>
    </w:rPr>
  </w:style>
  <w:style w:type="paragraph" w:styleId="Untertitel">
    <w:name w:val="Subtitle"/>
    <w:basedOn w:val="berschrift"/>
    <w:next w:val="Textkrper"/>
    <w:qFormat/>
    <w:pPr>
      <w:jc w:val="center"/>
    </w:pPr>
    <w:rPr>
      <w:i/>
      <w:iCs/>
    </w:rPr>
  </w:style>
  <w:style w:type="paragraph" w:customStyle="1" w:styleId="Endnotentext1">
    <w:name w:val="Endnotentext1"/>
    <w:pPr>
      <w:shd w:val="clear" w:color="auto" w:fill="FFFFFF"/>
      <w:spacing w:line="100" w:lineRule="atLeast"/>
    </w:pPr>
    <w:rPr>
      <w:color w:val="000000"/>
      <w:kern w:val="1"/>
      <w:u w:color="000000"/>
      <w:lang w:val="en-US" w:eastAsia="hi-IN" w:bidi="hi-IN"/>
    </w:rPr>
  </w:style>
  <w:style w:type="paragraph" w:styleId="Endnotentext">
    <w:name w:val="endnote text"/>
    <w:basedOn w:val="Standard"/>
    <w:pPr>
      <w:suppressLineNumbers/>
      <w:ind w:left="283" w:hanging="283"/>
    </w:pPr>
    <w:rPr>
      <w:sz w:val="20"/>
      <w:szCs w:val="20"/>
    </w:rPr>
  </w:style>
  <w:style w:type="paragraph" w:styleId="Kopfzeile">
    <w:name w:val="header"/>
    <w:basedOn w:val="Standard"/>
    <w:pPr>
      <w:suppressLineNumbers/>
      <w:tabs>
        <w:tab w:val="center" w:pos="4819"/>
        <w:tab w:val="right" w:pos="9638"/>
      </w:tabs>
    </w:pPr>
  </w:style>
  <w:style w:type="paragraph" w:styleId="Funotentext">
    <w:name w:val="footnote text"/>
    <w:basedOn w:val="Standard"/>
    <w:link w:val="FunotentextZchn"/>
    <w:uiPriority w:val="99"/>
    <w:semiHidden/>
    <w:unhideWhenUsed/>
    <w:rsid w:val="005021A1"/>
    <w:rPr>
      <w:sz w:val="20"/>
      <w:szCs w:val="20"/>
    </w:rPr>
  </w:style>
  <w:style w:type="character" w:customStyle="1" w:styleId="FunotentextZchn">
    <w:name w:val="Fußnotentext Zchn"/>
    <w:link w:val="Funotentext"/>
    <w:uiPriority w:val="99"/>
    <w:semiHidden/>
    <w:rsid w:val="005021A1"/>
    <w:rPr>
      <w:rFonts w:eastAsia="Arial Unicode MS" w:cs="Arial Unicode MS"/>
      <w:color w:val="000000"/>
      <w:kern w:val="1"/>
      <w:u w:color="000000"/>
      <w:shd w:val="clear" w:color="auto" w:fill="FFFFFF"/>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7576</Words>
  <Characters>43189</Characters>
  <Application>Microsoft Office Word</Application>
  <DocSecurity>0</DocSecurity>
  <Lines>359</Lines>
  <Paragraphs>101</Paragraphs>
  <ScaleCrop>false</ScaleCrop>
  <HeadingPairs>
    <vt:vector size="4" baseType="variant">
      <vt:variant>
        <vt:lpstr>Titel</vt:lpstr>
      </vt:variant>
      <vt:variant>
        <vt:i4>1</vt:i4>
      </vt:variant>
      <vt:variant>
        <vt:lpstr>שם</vt:lpstr>
      </vt:variant>
      <vt:variant>
        <vt:i4>1</vt:i4>
      </vt:variant>
    </vt:vector>
  </HeadingPairs>
  <TitlesOfParts>
    <vt:vector size="2" baseType="lpstr">
      <vt:lpstr>Leibniz and the Early Modern Controversy over the Right of International Me-diation</vt:lpstr>
      <vt:lpstr>Leibniz and the Early Modern Controversy over the Right of International Me-diation</vt:lpstr>
    </vt:vector>
  </TitlesOfParts>
  <Company/>
  <LinksUpToDate>false</LinksUpToDate>
  <CharactersWithSpaces>50664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Leibniz and the Early Modern Controversy over the Right of International Me-diation</dc:title>
  <dc:subject/>
  <dc:creator>Blank</dc:creator>
  <cp:keywords/>
  <cp:lastModifiedBy>andreas blank</cp:lastModifiedBy>
  <cp:revision>2</cp:revision>
  <cp:lastPrinted>1601-01-01T00:00:00Z</cp:lastPrinted>
  <dcterms:created xsi:type="dcterms:W3CDTF">2022-06-30T16:10:00Z</dcterms:created>
  <dcterms:modified xsi:type="dcterms:W3CDTF">2022-06-30T16:10:00Z</dcterms:modified>
</cp:coreProperties>
</file>