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8FDC" w14:textId="77777777" w:rsidR="003B1C55" w:rsidRDefault="003B1C55" w:rsidP="003B1C55">
      <w:pPr>
        <w:pStyle w:val="Titel"/>
        <w:spacing w:line="480" w:lineRule="auto"/>
        <w:jc w:val="left"/>
        <w:rPr>
          <w:b w:val="0"/>
          <w:bCs w:val="0"/>
          <w:sz w:val="28"/>
          <w:szCs w:val="28"/>
        </w:rPr>
      </w:pPr>
    </w:p>
    <w:p w14:paraId="764ECB5A" w14:textId="77777777" w:rsidR="003B1C55" w:rsidRPr="001B7935" w:rsidRDefault="003B1C55" w:rsidP="003B1C55">
      <w:pPr>
        <w:pStyle w:val="Titel"/>
        <w:spacing w:line="480" w:lineRule="auto"/>
        <w:rPr>
          <w:b w:val="0"/>
          <w:bCs w:val="0"/>
          <w:sz w:val="28"/>
          <w:szCs w:val="28"/>
        </w:rPr>
      </w:pPr>
      <w:r w:rsidRPr="001B7935">
        <w:rPr>
          <w:b w:val="0"/>
          <w:bCs w:val="0"/>
          <w:sz w:val="28"/>
          <w:szCs w:val="28"/>
        </w:rPr>
        <w:t>Leibniz and the Presumption of Justice</w:t>
      </w:r>
    </w:p>
    <w:p w14:paraId="47DC3322" w14:textId="77777777" w:rsidR="003B1C55" w:rsidRDefault="003B1C55" w:rsidP="003B1C55">
      <w:pPr>
        <w:pStyle w:val="Titel"/>
        <w:spacing w:line="480" w:lineRule="auto"/>
        <w:jc w:val="left"/>
      </w:pPr>
    </w:p>
    <w:p w14:paraId="65A26781" w14:textId="77777777" w:rsidR="00962E9E" w:rsidRPr="00962E9E" w:rsidRDefault="0067074E" w:rsidP="00962E9E">
      <w:pPr>
        <w:pStyle w:val="Titel"/>
        <w:spacing w:line="480" w:lineRule="auto"/>
        <w:rPr>
          <w:b w:val="0"/>
          <w:bCs w:val="0"/>
        </w:rPr>
      </w:pPr>
      <w:r>
        <w:rPr>
          <w:b w:val="0"/>
          <w:bCs w:val="0"/>
        </w:rPr>
        <w:t>Andreas Blank (</w:t>
      </w:r>
      <w:proofErr w:type="spellStart"/>
      <w:r w:rsidRPr="0067074E">
        <w:rPr>
          <w:rFonts w:cs="Arial (W1)"/>
          <w:b w:val="0"/>
          <w:bCs w:val="0"/>
        </w:rPr>
        <w:t>Wolfenbüttel</w:t>
      </w:r>
      <w:proofErr w:type="spellEnd"/>
      <w:r w:rsidR="00962E9E">
        <w:rPr>
          <w:b w:val="0"/>
          <w:bCs w:val="0"/>
        </w:rPr>
        <w:t>)</w:t>
      </w:r>
    </w:p>
    <w:p w14:paraId="2269BCFF" w14:textId="77777777" w:rsidR="00962E9E" w:rsidRDefault="00962E9E" w:rsidP="003B1C55">
      <w:pPr>
        <w:pStyle w:val="Titel"/>
        <w:spacing w:line="480" w:lineRule="auto"/>
        <w:jc w:val="left"/>
      </w:pPr>
    </w:p>
    <w:p w14:paraId="4D844326" w14:textId="77777777" w:rsidR="00962E9E" w:rsidRPr="00962E9E" w:rsidRDefault="00962E9E" w:rsidP="00962E9E">
      <w:pPr>
        <w:pStyle w:val="Titel"/>
        <w:spacing w:line="480" w:lineRule="auto"/>
        <w:rPr>
          <w:b w:val="0"/>
          <w:bCs w:val="0"/>
          <w:sz w:val="20"/>
          <w:szCs w:val="20"/>
        </w:rPr>
      </w:pPr>
      <w:r w:rsidRPr="00962E9E">
        <w:rPr>
          <w:b w:val="0"/>
          <w:bCs w:val="0"/>
          <w:sz w:val="20"/>
          <w:szCs w:val="20"/>
        </w:rPr>
        <w:t xml:space="preserve">Z u s a m </w:t>
      </w:r>
      <w:proofErr w:type="spellStart"/>
      <w:r w:rsidRPr="00962E9E">
        <w:rPr>
          <w:b w:val="0"/>
          <w:bCs w:val="0"/>
          <w:sz w:val="20"/>
          <w:szCs w:val="20"/>
        </w:rPr>
        <w:t>m</w:t>
      </w:r>
      <w:proofErr w:type="spellEnd"/>
      <w:r w:rsidRPr="00962E9E">
        <w:rPr>
          <w:b w:val="0"/>
          <w:bCs w:val="0"/>
          <w:sz w:val="20"/>
          <w:szCs w:val="20"/>
        </w:rPr>
        <w:t xml:space="preserve"> e n f a s </w:t>
      </w:r>
      <w:proofErr w:type="spellStart"/>
      <w:r w:rsidRPr="00962E9E">
        <w:rPr>
          <w:b w:val="0"/>
          <w:bCs w:val="0"/>
          <w:sz w:val="20"/>
          <w:szCs w:val="20"/>
        </w:rPr>
        <w:t>s</w:t>
      </w:r>
      <w:proofErr w:type="spellEnd"/>
      <w:r w:rsidRPr="00962E9E">
        <w:rPr>
          <w:b w:val="0"/>
          <w:bCs w:val="0"/>
          <w:sz w:val="20"/>
          <w:szCs w:val="20"/>
        </w:rPr>
        <w:t xml:space="preserve"> u n g</w:t>
      </w:r>
    </w:p>
    <w:p w14:paraId="6610F1B4" w14:textId="77777777" w:rsidR="00962E9E" w:rsidRPr="00962E9E" w:rsidRDefault="00962E9E" w:rsidP="003B1C55">
      <w:pPr>
        <w:pStyle w:val="Titel"/>
        <w:spacing w:line="480" w:lineRule="auto"/>
        <w:jc w:val="left"/>
        <w:rPr>
          <w:b w:val="0"/>
          <w:bCs w:val="0"/>
          <w:sz w:val="20"/>
          <w:szCs w:val="20"/>
        </w:rPr>
      </w:pPr>
    </w:p>
    <w:p w14:paraId="33156B9F" w14:textId="77777777" w:rsidR="00962E9E" w:rsidRPr="00F32D57" w:rsidRDefault="00962E9E" w:rsidP="00962E9E">
      <w:pPr>
        <w:pStyle w:val="Titel"/>
        <w:spacing w:line="480" w:lineRule="auto"/>
        <w:jc w:val="both"/>
        <w:rPr>
          <w:b w:val="0"/>
          <w:bCs w:val="0"/>
          <w:sz w:val="20"/>
          <w:szCs w:val="20"/>
        </w:rPr>
      </w:pPr>
      <w:r w:rsidRPr="00F32D57">
        <w:rPr>
          <w:b w:val="0"/>
          <w:bCs w:val="0"/>
          <w:sz w:val="20"/>
          <w:szCs w:val="20"/>
        </w:rPr>
        <w:t xml:space="preserve">In den </w:t>
      </w:r>
      <w:proofErr w:type="spellStart"/>
      <w:r w:rsidRPr="00F32D57">
        <w:rPr>
          <w:b w:val="0"/>
          <w:bCs w:val="0"/>
          <w:i/>
          <w:iCs/>
          <w:sz w:val="20"/>
          <w:szCs w:val="20"/>
        </w:rPr>
        <w:t>Elementa</w:t>
      </w:r>
      <w:proofErr w:type="spellEnd"/>
      <w:r w:rsidRPr="00F32D57">
        <w:rPr>
          <w:b w:val="0"/>
          <w:bCs w:val="0"/>
          <w:i/>
          <w:iCs/>
          <w:sz w:val="20"/>
          <w:szCs w:val="20"/>
        </w:rPr>
        <w:t xml:space="preserve"> </w:t>
      </w:r>
      <w:proofErr w:type="spellStart"/>
      <w:r w:rsidRPr="00F32D57">
        <w:rPr>
          <w:b w:val="0"/>
          <w:bCs w:val="0"/>
          <w:i/>
          <w:iCs/>
          <w:sz w:val="20"/>
          <w:szCs w:val="20"/>
        </w:rPr>
        <w:t>juris</w:t>
      </w:r>
      <w:proofErr w:type="spellEnd"/>
      <w:r w:rsidRPr="00F32D57">
        <w:rPr>
          <w:b w:val="0"/>
          <w:bCs w:val="0"/>
          <w:i/>
          <w:iCs/>
          <w:sz w:val="20"/>
          <w:szCs w:val="20"/>
        </w:rPr>
        <w:t xml:space="preserve"> </w:t>
      </w:r>
      <w:proofErr w:type="spellStart"/>
      <w:r w:rsidRPr="00F32D57">
        <w:rPr>
          <w:b w:val="0"/>
          <w:bCs w:val="0"/>
          <w:i/>
          <w:iCs/>
          <w:sz w:val="20"/>
          <w:szCs w:val="20"/>
        </w:rPr>
        <w:t>naturalis</w:t>
      </w:r>
      <w:proofErr w:type="spellEnd"/>
      <w:r w:rsidRPr="00F32D57">
        <w:rPr>
          <w:b w:val="0"/>
          <w:bCs w:val="0"/>
          <w:i/>
          <w:iCs/>
          <w:sz w:val="20"/>
          <w:szCs w:val="20"/>
        </w:rPr>
        <w:t xml:space="preserve"> </w:t>
      </w:r>
      <w:proofErr w:type="spellStart"/>
      <w:r w:rsidRPr="00F32D57">
        <w:rPr>
          <w:b w:val="0"/>
          <w:bCs w:val="0"/>
          <w:sz w:val="20"/>
          <w:szCs w:val="20"/>
        </w:rPr>
        <w:t>behauptet</w:t>
      </w:r>
      <w:proofErr w:type="spellEnd"/>
      <w:r w:rsidRPr="00F32D57">
        <w:rPr>
          <w:b w:val="0"/>
          <w:bCs w:val="0"/>
          <w:sz w:val="20"/>
          <w:szCs w:val="20"/>
        </w:rPr>
        <w:t xml:space="preserve"> Leibniz, </w:t>
      </w:r>
      <w:proofErr w:type="spellStart"/>
      <w:r w:rsidRPr="00F32D57">
        <w:rPr>
          <w:b w:val="0"/>
          <w:bCs w:val="0"/>
          <w:sz w:val="20"/>
          <w:szCs w:val="20"/>
        </w:rPr>
        <w:t>dass</w:t>
      </w:r>
      <w:proofErr w:type="spellEnd"/>
      <w:r w:rsidRPr="00F32D57">
        <w:rPr>
          <w:b w:val="0"/>
          <w:bCs w:val="0"/>
          <w:sz w:val="20"/>
          <w:szCs w:val="20"/>
        </w:rPr>
        <w:t xml:space="preserve"> </w:t>
      </w:r>
      <w:proofErr w:type="spellStart"/>
      <w:r w:rsidRPr="00F32D57">
        <w:rPr>
          <w:b w:val="0"/>
          <w:bCs w:val="0"/>
          <w:sz w:val="20"/>
          <w:szCs w:val="20"/>
        </w:rPr>
        <w:t>es</w:t>
      </w:r>
      <w:proofErr w:type="spellEnd"/>
      <w:r w:rsidRPr="00F32D57">
        <w:rPr>
          <w:b w:val="0"/>
          <w:bCs w:val="0"/>
          <w:sz w:val="20"/>
          <w:szCs w:val="20"/>
        </w:rPr>
        <w:t xml:space="preserve"> rational </w:t>
      </w:r>
      <w:proofErr w:type="spellStart"/>
      <w:r w:rsidRPr="00F32D57">
        <w:rPr>
          <w:b w:val="0"/>
          <w:bCs w:val="0"/>
          <w:sz w:val="20"/>
          <w:szCs w:val="20"/>
        </w:rPr>
        <w:t>ist</w:t>
      </w:r>
      <w:proofErr w:type="spellEnd"/>
      <w:r w:rsidRPr="00F32D57">
        <w:rPr>
          <w:b w:val="0"/>
          <w:bCs w:val="0"/>
          <w:sz w:val="20"/>
          <w:szCs w:val="20"/>
        </w:rPr>
        <w:t xml:space="preserve"> </w:t>
      </w:r>
      <w:proofErr w:type="spellStart"/>
      <w:r w:rsidRPr="00F32D57">
        <w:rPr>
          <w:b w:val="0"/>
          <w:bCs w:val="0"/>
          <w:sz w:val="20"/>
          <w:szCs w:val="20"/>
        </w:rPr>
        <w:t>zu</w:t>
      </w:r>
      <w:proofErr w:type="spellEnd"/>
      <w:r w:rsidRPr="00F32D57">
        <w:rPr>
          <w:b w:val="0"/>
          <w:bCs w:val="0"/>
          <w:sz w:val="20"/>
          <w:szCs w:val="20"/>
        </w:rPr>
        <w:t xml:space="preserve"> </w:t>
      </w:r>
      <w:proofErr w:type="spellStart"/>
      <w:r w:rsidRPr="00F32D57">
        <w:rPr>
          <w:b w:val="0"/>
          <w:bCs w:val="0"/>
          <w:sz w:val="20"/>
          <w:szCs w:val="20"/>
        </w:rPr>
        <w:t>präsumieren</w:t>
      </w:r>
      <w:proofErr w:type="spellEnd"/>
      <w:r w:rsidRPr="00F32D57">
        <w:rPr>
          <w:b w:val="0"/>
          <w:bCs w:val="0"/>
          <w:sz w:val="20"/>
          <w:szCs w:val="20"/>
        </w:rPr>
        <w:t xml:space="preserve"> </w:t>
      </w:r>
      <w:proofErr w:type="spellStart"/>
      <w:r w:rsidRPr="00F32D57">
        <w:rPr>
          <w:b w:val="0"/>
          <w:bCs w:val="0"/>
          <w:sz w:val="20"/>
          <w:szCs w:val="20"/>
        </w:rPr>
        <w:t>dass</w:t>
      </w:r>
      <w:proofErr w:type="spellEnd"/>
      <w:r w:rsidRPr="00F32D57">
        <w:rPr>
          <w:b w:val="0"/>
          <w:bCs w:val="0"/>
          <w:sz w:val="20"/>
          <w:szCs w:val="20"/>
        </w:rPr>
        <w:t xml:space="preserve"> </w:t>
      </w:r>
      <w:proofErr w:type="spellStart"/>
      <w:r w:rsidRPr="00F32D57">
        <w:rPr>
          <w:b w:val="0"/>
          <w:bCs w:val="0"/>
          <w:sz w:val="20"/>
          <w:szCs w:val="20"/>
        </w:rPr>
        <w:t>eine</w:t>
      </w:r>
      <w:proofErr w:type="spellEnd"/>
      <w:r w:rsidRPr="00F32D57">
        <w:rPr>
          <w:b w:val="0"/>
          <w:bCs w:val="0"/>
          <w:sz w:val="20"/>
          <w:szCs w:val="20"/>
        </w:rPr>
        <w:t xml:space="preserve"> </w:t>
      </w:r>
      <w:proofErr w:type="spellStart"/>
      <w:r w:rsidRPr="00F32D57">
        <w:rPr>
          <w:b w:val="0"/>
          <w:bCs w:val="0"/>
          <w:sz w:val="20"/>
          <w:szCs w:val="20"/>
        </w:rPr>
        <w:t>gegebene</w:t>
      </w:r>
      <w:proofErr w:type="spellEnd"/>
      <w:r w:rsidRPr="00F32D57">
        <w:rPr>
          <w:b w:val="0"/>
          <w:bCs w:val="0"/>
          <w:sz w:val="20"/>
          <w:szCs w:val="20"/>
        </w:rPr>
        <w:t xml:space="preserve"> </w:t>
      </w:r>
      <w:proofErr w:type="spellStart"/>
      <w:r w:rsidRPr="00F32D57">
        <w:rPr>
          <w:b w:val="0"/>
          <w:bCs w:val="0"/>
          <w:sz w:val="20"/>
          <w:szCs w:val="20"/>
        </w:rPr>
        <w:t>Handlung</w:t>
      </w:r>
      <w:proofErr w:type="spellEnd"/>
      <w:r w:rsidRPr="00F32D57">
        <w:rPr>
          <w:b w:val="0"/>
          <w:bCs w:val="0"/>
          <w:sz w:val="20"/>
          <w:szCs w:val="20"/>
        </w:rPr>
        <w:t xml:space="preserve"> </w:t>
      </w:r>
      <w:proofErr w:type="spellStart"/>
      <w:r w:rsidRPr="00F32D57">
        <w:rPr>
          <w:b w:val="0"/>
          <w:bCs w:val="0"/>
          <w:sz w:val="20"/>
          <w:szCs w:val="20"/>
        </w:rPr>
        <w:t>gerecht</w:t>
      </w:r>
      <w:proofErr w:type="spellEnd"/>
      <w:r w:rsidRPr="00F32D57">
        <w:rPr>
          <w:b w:val="0"/>
          <w:bCs w:val="0"/>
          <w:sz w:val="20"/>
          <w:szCs w:val="20"/>
        </w:rPr>
        <w:t xml:space="preserve"> </w:t>
      </w:r>
      <w:proofErr w:type="spellStart"/>
      <w:r w:rsidRPr="00F32D57">
        <w:rPr>
          <w:b w:val="0"/>
          <w:bCs w:val="0"/>
          <w:sz w:val="20"/>
          <w:szCs w:val="20"/>
        </w:rPr>
        <w:t>ist</w:t>
      </w:r>
      <w:proofErr w:type="spellEnd"/>
      <w:r w:rsidRPr="00F32D57">
        <w:rPr>
          <w:b w:val="0"/>
          <w:bCs w:val="0"/>
          <w:sz w:val="20"/>
          <w:szCs w:val="20"/>
        </w:rPr>
        <w:t xml:space="preserve">. </w:t>
      </w:r>
      <w:proofErr w:type="spellStart"/>
      <w:r w:rsidRPr="00F32D57">
        <w:rPr>
          <w:b w:val="0"/>
          <w:bCs w:val="0"/>
          <w:sz w:val="20"/>
          <w:szCs w:val="20"/>
        </w:rPr>
        <w:t>Diese</w:t>
      </w:r>
      <w:proofErr w:type="spellEnd"/>
      <w:r w:rsidRPr="00F32D57">
        <w:rPr>
          <w:b w:val="0"/>
          <w:bCs w:val="0"/>
          <w:sz w:val="20"/>
          <w:szCs w:val="20"/>
        </w:rPr>
        <w:t xml:space="preserve"> </w:t>
      </w:r>
      <w:proofErr w:type="spellStart"/>
      <w:r w:rsidRPr="00F32D57">
        <w:rPr>
          <w:b w:val="0"/>
          <w:bCs w:val="0"/>
          <w:sz w:val="20"/>
          <w:szCs w:val="20"/>
        </w:rPr>
        <w:t>Behauptung</w:t>
      </w:r>
      <w:proofErr w:type="spellEnd"/>
      <w:r w:rsidRPr="00F32D57">
        <w:rPr>
          <w:b w:val="0"/>
          <w:bCs w:val="0"/>
          <w:sz w:val="20"/>
          <w:szCs w:val="20"/>
        </w:rPr>
        <w:t xml:space="preserve"> </w:t>
      </w:r>
      <w:proofErr w:type="spellStart"/>
      <w:r w:rsidRPr="00F32D57">
        <w:rPr>
          <w:b w:val="0"/>
          <w:bCs w:val="0"/>
          <w:sz w:val="20"/>
          <w:szCs w:val="20"/>
        </w:rPr>
        <w:t>scheint</w:t>
      </w:r>
      <w:proofErr w:type="spellEnd"/>
      <w:r w:rsidRPr="00F32D57">
        <w:rPr>
          <w:b w:val="0"/>
          <w:bCs w:val="0"/>
          <w:sz w:val="20"/>
          <w:szCs w:val="20"/>
        </w:rPr>
        <w:t xml:space="preserve"> in </w:t>
      </w:r>
      <w:proofErr w:type="spellStart"/>
      <w:r w:rsidRPr="00F32D57">
        <w:rPr>
          <w:b w:val="0"/>
          <w:bCs w:val="0"/>
          <w:sz w:val="20"/>
          <w:szCs w:val="20"/>
        </w:rPr>
        <w:t>Widerspruch</w:t>
      </w:r>
      <w:proofErr w:type="spellEnd"/>
      <w:r w:rsidRPr="00F32D57">
        <w:rPr>
          <w:b w:val="0"/>
          <w:bCs w:val="0"/>
          <w:sz w:val="20"/>
          <w:szCs w:val="20"/>
        </w:rPr>
        <w:t xml:space="preserve"> </w:t>
      </w:r>
      <w:proofErr w:type="spellStart"/>
      <w:r w:rsidRPr="00F32D57">
        <w:rPr>
          <w:b w:val="0"/>
          <w:bCs w:val="0"/>
          <w:sz w:val="20"/>
          <w:szCs w:val="20"/>
        </w:rPr>
        <w:t>zu</w:t>
      </w:r>
      <w:proofErr w:type="spellEnd"/>
      <w:r w:rsidRPr="00F32D57">
        <w:rPr>
          <w:b w:val="0"/>
          <w:bCs w:val="0"/>
          <w:sz w:val="20"/>
          <w:szCs w:val="20"/>
        </w:rPr>
        <w:t xml:space="preserve"> </w:t>
      </w:r>
      <w:proofErr w:type="spellStart"/>
      <w:r w:rsidRPr="00F32D57">
        <w:rPr>
          <w:b w:val="0"/>
          <w:bCs w:val="0"/>
          <w:sz w:val="20"/>
          <w:szCs w:val="20"/>
        </w:rPr>
        <w:t>seiner</w:t>
      </w:r>
      <w:proofErr w:type="spellEnd"/>
      <w:r w:rsidRPr="00F32D57">
        <w:rPr>
          <w:b w:val="0"/>
          <w:bCs w:val="0"/>
          <w:sz w:val="20"/>
          <w:szCs w:val="20"/>
        </w:rPr>
        <w:t xml:space="preserve"> </w:t>
      </w:r>
      <w:proofErr w:type="spellStart"/>
      <w:r w:rsidRPr="00F32D57">
        <w:rPr>
          <w:b w:val="0"/>
          <w:bCs w:val="0"/>
          <w:sz w:val="20"/>
          <w:szCs w:val="20"/>
        </w:rPr>
        <w:t>Auffassung</w:t>
      </w:r>
      <w:proofErr w:type="spellEnd"/>
      <w:r w:rsidRPr="00F32D57">
        <w:rPr>
          <w:b w:val="0"/>
          <w:bCs w:val="0"/>
          <w:sz w:val="20"/>
          <w:szCs w:val="20"/>
        </w:rPr>
        <w:t xml:space="preserve"> </w:t>
      </w:r>
      <w:proofErr w:type="spellStart"/>
      <w:r w:rsidRPr="00F32D57">
        <w:rPr>
          <w:b w:val="0"/>
          <w:bCs w:val="0"/>
          <w:sz w:val="20"/>
          <w:szCs w:val="20"/>
        </w:rPr>
        <w:t>zu</w:t>
      </w:r>
      <w:proofErr w:type="spellEnd"/>
      <w:r w:rsidRPr="00F32D57">
        <w:rPr>
          <w:b w:val="0"/>
          <w:bCs w:val="0"/>
          <w:sz w:val="20"/>
          <w:szCs w:val="20"/>
        </w:rPr>
        <w:t xml:space="preserve"> </w:t>
      </w:r>
      <w:proofErr w:type="spellStart"/>
      <w:r w:rsidRPr="00F32D57">
        <w:rPr>
          <w:b w:val="0"/>
          <w:bCs w:val="0"/>
          <w:sz w:val="20"/>
          <w:szCs w:val="20"/>
        </w:rPr>
        <w:t>stehen</w:t>
      </w:r>
      <w:proofErr w:type="spellEnd"/>
      <w:r w:rsidRPr="00F32D57">
        <w:rPr>
          <w:b w:val="0"/>
          <w:bCs w:val="0"/>
          <w:sz w:val="20"/>
          <w:szCs w:val="20"/>
        </w:rPr>
        <w:t xml:space="preserve">, </w:t>
      </w:r>
      <w:proofErr w:type="spellStart"/>
      <w:r w:rsidRPr="00F32D57">
        <w:rPr>
          <w:b w:val="0"/>
          <w:bCs w:val="0"/>
          <w:sz w:val="20"/>
          <w:szCs w:val="20"/>
        </w:rPr>
        <w:t>dass</w:t>
      </w:r>
      <w:proofErr w:type="spellEnd"/>
      <w:r w:rsidRPr="00F32D57">
        <w:rPr>
          <w:b w:val="0"/>
          <w:bCs w:val="0"/>
          <w:sz w:val="20"/>
          <w:szCs w:val="20"/>
        </w:rPr>
        <w:t xml:space="preserve"> das, was </w:t>
      </w:r>
      <w:proofErr w:type="spellStart"/>
      <w:r w:rsidRPr="00F32D57">
        <w:rPr>
          <w:b w:val="0"/>
          <w:bCs w:val="0"/>
          <w:sz w:val="20"/>
          <w:szCs w:val="20"/>
        </w:rPr>
        <w:t>präsumiert</w:t>
      </w:r>
      <w:proofErr w:type="spellEnd"/>
      <w:r w:rsidRPr="00F32D57">
        <w:rPr>
          <w:b w:val="0"/>
          <w:bCs w:val="0"/>
          <w:sz w:val="20"/>
          <w:szCs w:val="20"/>
        </w:rPr>
        <w:t xml:space="preserve"> </w:t>
      </w:r>
      <w:proofErr w:type="spellStart"/>
      <w:r w:rsidRPr="00F32D57">
        <w:rPr>
          <w:b w:val="0"/>
          <w:bCs w:val="0"/>
          <w:sz w:val="20"/>
          <w:szCs w:val="20"/>
        </w:rPr>
        <w:t>wird</w:t>
      </w:r>
      <w:proofErr w:type="spellEnd"/>
      <w:r w:rsidRPr="00F32D57">
        <w:rPr>
          <w:b w:val="0"/>
          <w:bCs w:val="0"/>
          <w:sz w:val="20"/>
          <w:szCs w:val="20"/>
        </w:rPr>
        <w:t xml:space="preserve">, </w:t>
      </w:r>
      <w:proofErr w:type="spellStart"/>
      <w:r w:rsidRPr="00F32D57">
        <w:rPr>
          <w:b w:val="0"/>
          <w:bCs w:val="0"/>
          <w:sz w:val="20"/>
          <w:szCs w:val="20"/>
        </w:rPr>
        <w:t>einfacher</w:t>
      </w:r>
      <w:proofErr w:type="spellEnd"/>
      <w:r w:rsidRPr="00F32D57">
        <w:rPr>
          <w:b w:val="0"/>
          <w:bCs w:val="0"/>
          <w:sz w:val="20"/>
          <w:szCs w:val="20"/>
        </w:rPr>
        <w:t xml:space="preserve"> </w:t>
      </w:r>
      <w:proofErr w:type="spellStart"/>
      <w:r w:rsidRPr="00F32D57">
        <w:rPr>
          <w:b w:val="0"/>
          <w:bCs w:val="0"/>
          <w:sz w:val="20"/>
          <w:szCs w:val="20"/>
        </w:rPr>
        <w:t>ist</w:t>
      </w:r>
      <w:proofErr w:type="spellEnd"/>
      <w:r w:rsidRPr="00F32D57">
        <w:rPr>
          <w:b w:val="0"/>
          <w:bCs w:val="0"/>
          <w:sz w:val="20"/>
          <w:szCs w:val="20"/>
        </w:rPr>
        <w:t xml:space="preserve"> </w:t>
      </w:r>
      <w:proofErr w:type="spellStart"/>
      <w:r w:rsidRPr="00F32D57">
        <w:rPr>
          <w:b w:val="0"/>
          <w:bCs w:val="0"/>
          <w:sz w:val="20"/>
          <w:szCs w:val="20"/>
        </w:rPr>
        <w:t>als</w:t>
      </w:r>
      <w:proofErr w:type="spellEnd"/>
      <w:r w:rsidRPr="00F32D57">
        <w:rPr>
          <w:b w:val="0"/>
          <w:bCs w:val="0"/>
          <w:sz w:val="20"/>
          <w:szCs w:val="20"/>
        </w:rPr>
        <w:t xml:space="preserve"> </w:t>
      </w:r>
      <w:proofErr w:type="spellStart"/>
      <w:r w:rsidRPr="00F32D57">
        <w:rPr>
          <w:b w:val="0"/>
          <w:bCs w:val="0"/>
          <w:sz w:val="20"/>
          <w:szCs w:val="20"/>
        </w:rPr>
        <w:t>sein</w:t>
      </w:r>
      <w:proofErr w:type="spellEnd"/>
      <w:r w:rsidRPr="00F32D57">
        <w:rPr>
          <w:b w:val="0"/>
          <w:bCs w:val="0"/>
          <w:sz w:val="20"/>
          <w:szCs w:val="20"/>
        </w:rPr>
        <w:t xml:space="preserve"> </w:t>
      </w:r>
      <w:proofErr w:type="spellStart"/>
      <w:r w:rsidRPr="00F32D57">
        <w:rPr>
          <w:b w:val="0"/>
          <w:bCs w:val="0"/>
          <w:sz w:val="20"/>
          <w:szCs w:val="20"/>
        </w:rPr>
        <w:t>Gegenteil</w:t>
      </w:r>
      <w:proofErr w:type="spellEnd"/>
      <w:r w:rsidRPr="00F32D57">
        <w:rPr>
          <w:b w:val="0"/>
          <w:bCs w:val="0"/>
          <w:sz w:val="20"/>
          <w:szCs w:val="20"/>
        </w:rPr>
        <w:t xml:space="preserve">. </w:t>
      </w:r>
      <w:proofErr w:type="spellStart"/>
      <w:r w:rsidRPr="00F32D57">
        <w:rPr>
          <w:b w:val="0"/>
          <w:bCs w:val="0"/>
          <w:sz w:val="20"/>
          <w:szCs w:val="20"/>
        </w:rPr>
        <w:t>Nach</w:t>
      </w:r>
      <w:proofErr w:type="spellEnd"/>
      <w:r w:rsidRPr="00F32D57">
        <w:rPr>
          <w:b w:val="0"/>
          <w:bCs w:val="0"/>
          <w:sz w:val="20"/>
          <w:szCs w:val="20"/>
        </w:rPr>
        <w:t xml:space="preserve"> Leibniz </w:t>
      </w:r>
      <w:proofErr w:type="spellStart"/>
      <w:r w:rsidRPr="00F32D57">
        <w:rPr>
          <w:b w:val="0"/>
          <w:bCs w:val="0"/>
          <w:sz w:val="20"/>
          <w:szCs w:val="20"/>
        </w:rPr>
        <w:t>ist</w:t>
      </w:r>
      <w:proofErr w:type="spellEnd"/>
      <w:r w:rsidRPr="00F32D57">
        <w:rPr>
          <w:b w:val="0"/>
          <w:bCs w:val="0"/>
          <w:sz w:val="20"/>
          <w:szCs w:val="20"/>
        </w:rPr>
        <w:t xml:space="preserve"> </w:t>
      </w:r>
      <w:proofErr w:type="spellStart"/>
      <w:r w:rsidRPr="00F32D57">
        <w:rPr>
          <w:b w:val="0"/>
          <w:bCs w:val="0"/>
          <w:sz w:val="20"/>
          <w:szCs w:val="20"/>
        </w:rPr>
        <w:t>einfacher</w:t>
      </w:r>
      <w:proofErr w:type="spellEnd"/>
      <w:r w:rsidRPr="00F32D57">
        <w:rPr>
          <w:b w:val="0"/>
          <w:bCs w:val="0"/>
          <w:sz w:val="20"/>
          <w:szCs w:val="20"/>
        </w:rPr>
        <w:t xml:space="preserve">, was </w:t>
      </w:r>
      <w:proofErr w:type="spellStart"/>
      <w:r w:rsidRPr="00F32D57">
        <w:rPr>
          <w:b w:val="0"/>
          <w:bCs w:val="0"/>
          <w:sz w:val="20"/>
          <w:szCs w:val="20"/>
        </w:rPr>
        <w:t>weniger</w:t>
      </w:r>
      <w:proofErr w:type="spellEnd"/>
      <w:r w:rsidRPr="00F32D57">
        <w:rPr>
          <w:b w:val="0"/>
          <w:bCs w:val="0"/>
          <w:sz w:val="20"/>
          <w:szCs w:val="20"/>
        </w:rPr>
        <w:t xml:space="preserve"> </w:t>
      </w:r>
      <w:proofErr w:type="spellStart"/>
      <w:r w:rsidRPr="00F32D57">
        <w:rPr>
          <w:b w:val="0"/>
          <w:bCs w:val="0"/>
          <w:sz w:val="20"/>
          <w:szCs w:val="20"/>
        </w:rPr>
        <w:t>Voraussetzungen</w:t>
      </w:r>
      <w:proofErr w:type="spellEnd"/>
      <w:r w:rsidRPr="00F32D57">
        <w:rPr>
          <w:b w:val="0"/>
          <w:bCs w:val="0"/>
          <w:sz w:val="20"/>
          <w:szCs w:val="20"/>
        </w:rPr>
        <w:t xml:space="preserve"> hat </w:t>
      </w:r>
      <w:proofErr w:type="spellStart"/>
      <w:r w:rsidRPr="00F32D57">
        <w:rPr>
          <w:b w:val="0"/>
          <w:bCs w:val="0"/>
          <w:sz w:val="20"/>
          <w:szCs w:val="20"/>
        </w:rPr>
        <w:t>als</w:t>
      </w:r>
      <w:proofErr w:type="spellEnd"/>
      <w:r w:rsidRPr="00F32D57">
        <w:rPr>
          <w:b w:val="0"/>
          <w:bCs w:val="0"/>
          <w:sz w:val="20"/>
          <w:szCs w:val="20"/>
        </w:rPr>
        <w:t xml:space="preserve"> </w:t>
      </w:r>
      <w:proofErr w:type="spellStart"/>
      <w:r w:rsidRPr="00F32D57">
        <w:rPr>
          <w:b w:val="0"/>
          <w:bCs w:val="0"/>
          <w:sz w:val="20"/>
          <w:szCs w:val="20"/>
        </w:rPr>
        <w:t>etwas</w:t>
      </w:r>
      <w:proofErr w:type="spellEnd"/>
      <w:r w:rsidRPr="00F32D57">
        <w:rPr>
          <w:b w:val="0"/>
          <w:bCs w:val="0"/>
          <w:sz w:val="20"/>
          <w:szCs w:val="20"/>
        </w:rPr>
        <w:t xml:space="preserve"> </w:t>
      </w:r>
      <w:proofErr w:type="spellStart"/>
      <w:r w:rsidRPr="00F32D57">
        <w:rPr>
          <w:b w:val="0"/>
          <w:bCs w:val="0"/>
          <w:sz w:val="20"/>
          <w:szCs w:val="20"/>
        </w:rPr>
        <w:t>anderes</w:t>
      </w:r>
      <w:proofErr w:type="spellEnd"/>
      <w:r w:rsidR="007F2630">
        <w:rPr>
          <w:b w:val="0"/>
          <w:bCs w:val="0"/>
          <w:sz w:val="20"/>
          <w:szCs w:val="20"/>
        </w:rPr>
        <w:t xml:space="preserve">, </w:t>
      </w:r>
      <w:proofErr w:type="spellStart"/>
      <w:r w:rsidR="007F2630">
        <w:rPr>
          <w:b w:val="0"/>
          <w:bCs w:val="0"/>
          <w:sz w:val="20"/>
          <w:szCs w:val="20"/>
        </w:rPr>
        <w:t>wobei</w:t>
      </w:r>
      <w:proofErr w:type="spellEnd"/>
      <w:r w:rsidR="007F2630">
        <w:rPr>
          <w:b w:val="0"/>
          <w:bCs w:val="0"/>
          <w:sz w:val="20"/>
          <w:szCs w:val="20"/>
        </w:rPr>
        <w:t xml:space="preserve"> </w:t>
      </w:r>
      <w:proofErr w:type="spellStart"/>
      <w:r w:rsidR="007F2630">
        <w:rPr>
          <w:b w:val="0"/>
          <w:bCs w:val="0"/>
          <w:sz w:val="20"/>
          <w:szCs w:val="20"/>
        </w:rPr>
        <w:t>er</w:t>
      </w:r>
      <w:proofErr w:type="spellEnd"/>
      <w:r w:rsidRPr="00F32D57">
        <w:rPr>
          <w:b w:val="0"/>
          <w:bCs w:val="0"/>
          <w:sz w:val="20"/>
          <w:szCs w:val="20"/>
        </w:rPr>
        <w:t xml:space="preserve"> </w:t>
      </w:r>
      <w:proofErr w:type="spellStart"/>
      <w:r w:rsidRPr="00F32D57">
        <w:rPr>
          <w:b w:val="0"/>
          <w:bCs w:val="0"/>
          <w:sz w:val="20"/>
          <w:szCs w:val="20"/>
        </w:rPr>
        <w:t>zwischen</w:t>
      </w:r>
      <w:proofErr w:type="spellEnd"/>
      <w:r w:rsidRPr="00F32D57">
        <w:rPr>
          <w:b w:val="0"/>
          <w:bCs w:val="0"/>
          <w:sz w:val="20"/>
          <w:szCs w:val="20"/>
        </w:rPr>
        <w:t xml:space="preserve"> </w:t>
      </w:r>
      <w:proofErr w:type="spellStart"/>
      <w:r w:rsidRPr="00F32D57">
        <w:rPr>
          <w:b w:val="0"/>
          <w:bCs w:val="0"/>
          <w:sz w:val="20"/>
          <w:szCs w:val="20"/>
        </w:rPr>
        <w:t>logischen</w:t>
      </w:r>
      <w:proofErr w:type="spellEnd"/>
      <w:r w:rsidRPr="00F32D57">
        <w:rPr>
          <w:b w:val="0"/>
          <w:bCs w:val="0"/>
          <w:sz w:val="20"/>
          <w:szCs w:val="20"/>
        </w:rPr>
        <w:t xml:space="preserve"> und </w:t>
      </w:r>
      <w:proofErr w:type="spellStart"/>
      <w:r w:rsidRPr="00F32D57">
        <w:rPr>
          <w:b w:val="0"/>
          <w:bCs w:val="0"/>
          <w:sz w:val="20"/>
          <w:szCs w:val="20"/>
        </w:rPr>
        <w:t>ontologischen</w:t>
      </w:r>
      <w:proofErr w:type="spellEnd"/>
      <w:r w:rsidRPr="00F32D57">
        <w:rPr>
          <w:b w:val="0"/>
          <w:bCs w:val="0"/>
          <w:sz w:val="20"/>
          <w:szCs w:val="20"/>
        </w:rPr>
        <w:t xml:space="preserve"> </w:t>
      </w:r>
      <w:proofErr w:type="spellStart"/>
      <w:r w:rsidRPr="00F32D57">
        <w:rPr>
          <w:b w:val="0"/>
          <w:bCs w:val="0"/>
          <w:sz w:val="20"/>
          <w:szCs w:val="20"/>
        </w:rPr>
        <w:t>Voraussetzungen</w:t>
      </w:r>
      <w:proofErr w:type="spellEnd"/>
      <w:r w:rsidRPr="00F32D57">
        <w:rPr>
          <w:b w:val="0"/>
          <w:bCs w:val="0"/>
          <w:sz w:val="20"/>
          <w:szCs w:val="20"/>
        </w:rPr>
        <w:t xml:space="preserve"> </w:t>
      </w:r>
      <w:proofErr w:type="spellStart"/>
      <w:r w:rsidRPr="00F32D57">
        <w:rPr>
          <w:b w:val="0"/>
          <w:bCs w:val="0"/>
          <w:sz w:val="20"/>
          <w:szCs w:val="20"/>
        </w:rPr>
        <w:t>unterscheidet</w:t>
      </w:r>
      <w:proofErr w:type="spellEnd"/>
      <w:r w:rsidRPr="00F32D57">
        <w:rPr>
          <w:b w:val="0"/>
          <w:bCs w:val="0"/>
          <w:sz w:val="20"/>
          <w:szCs w:val="20"/>
        </w:rPr>
        <w:t xml:space="preserve">. </w:t>
      </w:r>
      <w:proofErr w:type="spellStart"/>
      <w:r w:rsidR="007F2630">
        <w:rPr>
          <w:b w:val="0"/>
          <w:bCs w:val="0"/>
          <w:sz w:val="20"/>
          <w:szCs w:val="20"/>
        </w:rPr>
        <w:t>Dieser</w:t>
      </w:r>
      <w:proofErr w:type="spellEnd"/>
      <w:r w:rsidR="007F2630">
        <w:rPr>
          <w:b w:val="0"/>
          <w:bCs w:val="0"/>
          <w:sz w:val="20"/>
          <w:szCs w:val="20"/>
        </w:rPr>
        <w:t xml:space="preserve"> </w:t>
      </w:r>
      <w:proofErr w:type="spellStart"/>
      <w:r w:rsidR="007F2630">
        <w:rPr>
          <w:b w:val="0"/>
          <w:bCs w:val="0"/>
          <w:sz w:val="20"/>
          <w:szCs w:val="20"/>
        </w:rPr>
        <w:t>Diskussionsbeitrag</w:t>
      </w:r>
      <w:proofErr w:type="spellEnd"/>
      <w:r w:rsidR="007F2630">
        <w:rPr>
          <w:b w:val="0"/>
          <w:bCs w:val="0"/>
          <w:sz w:val="20"/>
          <w:szCs w:val="20"/>
        </w:rPr>
        <w:t xml:space="preserve"> </w:t>
      </w:r>
      <w:proofErr w:type="spellStart"/>
      <w:r w:rsidR="007F2630">
        <w:rPr>
          <w:b w:val="0"/>
          <w:bCs w:val="0"/>
          <w:sz w:val="20"/>
          <w:szCs w:val="20"/>
        </w:rPr>
        <w:t>versucht</w:t>
      </w:r>
      <w:proofErr w:type="spellEnd"/>
      <w:r w:rsidR="007F2630">
        <w:rPr>
          <w:b w:val="0"/>
          <w:bCs w:val="0"/>
          <w:sz w:val="20"/>
          <w:szCs w:val="20"/>
        </w:rPr>
        <w:t xml:space="preserve"> </w:t>
      </w:r>
      <w:proofErr w:type="spellStart"/>
      <w:r w:rsidR="007F2630">
        <w:rPr>
          <w:b w:val="0"/>
          <w:bCs w:val="0"/>
          <w:sz w:val="20"/>
          <w:szCs w:val="20"/>
        </w:rPr>
        <w:t>zu</w:t>
      </w:r>
      <w:proofErr w:type="spellEnd"/>
      <w:r w:rsidR="007F2630">
        <w:rPr>
          <w:b w:val="0"/>
          <w:bCs w:val="0"/>
          <w:sz w:val="20"/>
          <w:szCs w:val="20"/>
        </w:rPr>
        <w:t xml:space="preserve"> </w:t>
      </w:r>
      <w:proofErr w:type="spellStart"/>
      <w:r w:rsidR="007F2630">
        <w:rPr>
          <w:b w:val="0"/>
          <w:bCs w:val="0"/>
          <w:sz w:val="20"/>
          <w:szCs w:val="20"/>
        </w:rPr>
        <w:t>zeigen</w:t>
      </w:r>
      <w:proofErr w:type="spellEnd"/>
      <w:r w:rsidR="007F2630">
        <w:rPr>
          <w:b w:val="0"/>
          <w:bCs w:val="0"/>
          <w:sz w:val="20"/>
          <w:szCs w:val="20"/>
        </w:rPr>
        <w:t xml:space="preserve">, </w:t>
      </w:r>
      <w:proofErr w:type="spellStart"/>
      <w:r w:rsidR="007F2630">
        <w:rPr>
          <w:b w:val="0"/>
          <w:bCs w:val="0"/>
          <w:sz w:val="20"/>
          <w:szCs w:val="20"/>
        </w:rPr>
        <w:t>dass</w:t>
      </w:r>
      <w:proofErr w:type="spellEnd"/>
      <w:r w:rsidR="007F2630">
        <w:rPr>
          <w:b w:val="0"/>
          <w:bCs w:val="0"/>
          <w:sz w:val="20"/>
          <w:szCs w:val="20"/>
        </w:rPr>
        <w:t xml:space="preserve"> </w:t>
      </w:r>
      <w:proofErr w:type="spellStart"/>
      <w:r w:rsidR="007F2630">
        <w:rPr>
          <w:b w:val="0"/>
          <w:bCs w:val="0"/>
          <w:sz w:val="20"/>
          <w:szCs w:val="20"/>
        </w:rPr>
        <w:t>Voraussetzungen</w:t>
      </w:r>
      <w:proofErr w:type="spellEnd"/>
      <w:r w:rsidR="00F32D57" w:rsidRPr="00F32D57">
        <w:rPr>
          <w:b w:val="0"/>
          <w:bCs w:val="0"/>
          <w:sz w:val="20"/>
          <w:szCs w:val="20"/>
        </w:rPr>
        <w:t xml:space="preserve"> auf </w:t>
      </w:r>
      <w:proofErr w:type="spellStart"/>
      <w:r w:rsidR="00F32D57" w:rsidRPr="00F32D57">
        <w:rPr>
          <w:b w:val="0"/>
          <w:bCs w:val="0"/>
          <w:sz w:val="20"/>
          <w:szCs w:val="20"/>
        </w:rPr>
        <w:t>der</w:t>
      </w:r>
      <w:proofErr w:type="spellEnd"/>
      <w:r w:rsidR="00F32D57" w:rsidRPr="00F32D57">
        <w:rPr>
          <w:b w:val="0"/>
          <w:bCs w:val="0"/>
          <w:sz w:val="20"/>
          <w:szCs w:val="20"/>
        </w:rPr>
        <w:t xml:space="preserve"> </w:t>
      </w:r>
      <w:proofErr w:type="spellStart"/>
      <w:r w:rsidR="00F32D57" w:rsidRPr="00F32D57">
        <w:rPr>
          <w:b w:val="0"/>
          <w:bCs w:val="0"/>
          <w:sz w:val="20"/>
          <w:szCs w:val="20"/>
        </w:rPr>
        <w:t>ontologischen</w:t>
      </w:r>
      <w:proofErr w:type="spellEnd"/>
      <w:r w:rsidR="00F32D57" w:rsidRPr="00F32D57">
        <w:rPr>
          <w:b w:val="0"/>
          <w:bCs w:val="0"/>
          <w:sz w:val="20"/>
          <w:szCs w:val="20"/>
        </w:rPr>
        <w:t xml:space="preserve"> </w:t>
      </w:r>
      <w:proofErr w:type="spellStart"/>
      <w:r w:rsidR="00F32D57" w:rsidRPr="00F32D57">
        <w:rPr>
          <w:b w:val="0"/>
          <w:bCs w:val="0"/>
          <w:sz w:val="20"/>
          <w:szCs w:val="20"/>
        </w:rPr>
        <w:t>Ebene</w:t>
      </w:r>
      <w:proofErr w:type="spellEnd"/>
      <w:r w:rsidR="00F32D57" w:rsidRPr="00F32D57">
        <w:rPr>
          <w:b w:val="0"/>
          <w:bCs w:val="0"/>
          <w:sz w:val="20"/>
          <w:szCs w:val="20"/>
        </w:rPr>
        <w:t xml:space="preserve"> </w:t>
      </w:r>
      <w:proofErr w:type="spellStart"/>
      <w:r w:rsidR="00F32D57" w:rsidRPr="00F32D57">
        <w:rPr>
          <w:b w:val="0"/>
          <w:bCs w:val="0"/>
          <w:sz w:val="20"/>
          <w:szCs w:val="20"/>
        </w:rPr>
        <w:t>eine</w:t>
      </w:r>
      <w:proofErr w:type="spellEnd"/>
      <w:r w:rsidR="00F32D57" w:rsidRPr="00F32D57">
        <w:rPr>
          <w:b w:val="0"/>
          <w:bCs w:val="0"/>
          <w:sz w:val="20"/>
          <w:szCs w:val="20"/>
        </w:rPr>
        <w:t xml:space="preserve"> oft </w:t>
      </w:r>
      <w:proofErr w:type="spellStart"/>
      <w:r w:rsidR="00F32D57" w:rsidRPr="00F32D57">
        <w:rPr>
          <w:b w:val="0"/>
          <w:bCs w:val="0"/>
          <w:sz w:val="20"/>
          <w:szCs w:val="20"/>
        </w:rPr>
        <w:t>übersehene</w:t>
      </w:r>
      <w:proofErr w:type="spellEnd"/>
      <w:r w:rsidR="00F32D57" w:rsidRPr="00F32D57">
        <w:rPr>
          <w:b w:val="0"/>
          <w:bCs w:val="0"/>
          <w:sz w:val="20"/>
          <w:szCs w:val="20"/>
        </w:rPr>
        <w:t xml:space="preserve"> </w:t>
      </w:r>
      <w:proofErr w:type="spellStart"/>
      <w:r w:rsidR="00F32D57" w:rsidRPr="00F32D57">
        <w:rPr>
          <w:b w:val="0"/>
          <w:bCs w:val="0"/>
          <w:sz w:val="20"/>
          <w:szCs w:val="20"/>
        </w:rPr>
        <w:t>Rolle</w:t>
      </w:r>
      <w:proofErr w:type="spellEnd"/>
      <w:r w:rsidR="00F32D57" w:rsidRPr="00F32D57">
        <w:rPr>
          <w:b w:val="0"/>
          <w:bCs w:val="0"/>
          <w:sz w:val="20"/>
          <w:szCs w:val="20"/>
        </w:rPr>
        <w:t xml:space="preserve"> </w:t>
      </w:r>
      <w:proofErr w:type="spellStart"/>
      <w:r w:rsidR="00F32D57" w:rsidRPr="00F32D57">
        <w:rPr>
          <w:b w:val="0"/>
          <w:bCs w:val="0"/>
          <w:sz w:val="20"/>
          <w:szCs w:val="20"/>
        </w:rPr>
        <w:t>für</w:t>
      </w:r>
      <w:proofErr w:type="spellEnd"/>
      <w:r w:rsidR="00F32D57" w:rsidRPr="00F32D57">
        <w:rPr>
          <w:b w:val="0"/>
          <w:bCs w:val="0"/>
          <w:sz w:val="20"/>
          <w:szCs w:val="20"/>
        </w:rPr>
        <w:t xml:space="preserve"> die </w:t>
      </w:r>
      <w:proofErr w:type="spellStart"/>
      <w:r w:rsidR="00F32D57" w:rsidRPr="00F32D57">
        <w:rPr>
          <w:b w:val="0"/>
          <w:bCs w:val="0"/>
          <w:sz w:val="20"/>
          <w:szCs w:val="20"/>
        </w:rPr>
        <w:t>Präsumption</w:t>
      </w:r>
      <w:proofErr w:type="spellEnd"/>
      <w:r w:rsidR="00F32D57" w:rsidRPr="00F32D57">
        <w:rPr>
          <w:b w:val="0"/>
          <w:bCs w:val="0"/>
          <w:sz w:val="20"/>
          <w:szCs w:val="20"/>
        </w:rPr>
        <w:t xml:space="preserve"> </w:t>
      </w:r>
      <w:proofErr w:type="spellStart"/>
      <w:r w:rsidR="00F32D57" w:rsidRPr="00F32D57">
        <w:rPr>
          <w:b w:val="0"/>
          <w:bCs w:val="0"/>
          <w:sz w:val="20"/>
          <w:szCs w:val="20"/>
        </w:rPr>
        <w:t>der</w:t>
      </w:r>
      <w:proofErr w:type="spellEnd"/>
      <w:r w:rsidR="00F32D57" w:rsidRPr="00F32D57">
        <w:rPr>
          <w:b w:val="0"/>
          <w:bCs w:val="0"/>
          <w:sz w:val="20"/>
          <w:szCs w:val="20"/>
        </w:rPr>
        <w:t xml:space="preserve"> </w:t>
      </w:r>
      <w:proofErr w:type="spellStart"/>
      <w:r w:rsidR="00F32D57" w:rsidRPr="00F32D57">
        <w:rPr>
          <w:b w:val="0"/>
          <w:bCs w:val="0"/>
          <w:sz w:val="20"/>
          <w:szCs w:val="20"/>
        </w:rPr>
        <w:t>Gerechtigkeit</w:t>
      </w:r>
      <w:proofErr w:type="spellEnd"/>
      <w:r w:rsidR="00F32D57" w:rsidRPr="00F32D57">
        <w:rPr>
          <w:b w:val="0"/>
          <w:bCs w:val="0"/>
          <w:sz w:val="20"/>
          <w:szCs w:val="20"/>
        </w:rPr>
        <w:t xml:space="preserve"> </w:t>
      </w:r>
      <w:proofErr w:type="spellStart"/>
      <w:r w:rsidR="00F32D57" w:rsidRPr="00F32D57">
        <w:rPr>
          <w:b w:val="0"/>
          <w:bCs w:val="0"/>
          <w:sz w:val="20"/>
          <w:szCs w:val="20"/>
        </w:rPr>
        <w:t>einer</w:t>
      </w:r>
      <w:proofErr w:type="spellEnd"/>
      <w:r w:rsidR="00F32D57" w:rsidRPr="00F32D57">
        <w:rPr>
          <w:b w:val="0"/>
          <w:bCs w:val="0"/>
          <w:sz w:val="20"/>
          <w:szCs w:val="20"/>
        </w:rPr>
        <w:t xml:space="preserve"> </w:t>
      </w:r>
      <w:proofErr w:type="spellStart"/>
      <w:r w:rsidR="00F32D57" w:rsidRPr="00F32D57">
        <w:rPr>
          <w:b w:val="0"/>
          <w:bCs w:val="0"/>
          <w:sz w:val="20"/>
          <w:szCs w:val="20"/>
        </w:rPr>
        <w:t>Handlung</w:t>
      </w:r>
      <w:proofErr w:type="spellEnd"/>
      <w:r w:rsidR="007F2630">
        <w:rPr>
          <w:b w:val="0"/>
          <w:bCs w:val="0"/>
          <w:sz w:val="20"/>
          <w:szCs w:val="20"/>
        </w:rPr>
        <w:t xml:space="preserve"> </w:t>
      </w:r>
      <w:proofErr w:type="spellStart"/>
      <w:r w:rsidR="007F2630">
        <w:rPr>
          <w:b w:val="0"/>
          <w:bCs w:val="0"/>
          <w:sz w:val="20"/>
          <w:szCs w:val="20"/>
        </w:rPr>
        <w:t>spielen</w:t>
      </w:r>
      <w:proofErr w:type="spellEnd"/>
      <w:r w:rsidR="00C263FD">
        <w:rPr>
          <w:b w:val="0"/>
          <w:bCs w:val="0"/>
          <w:sz w:val="20"/>
          <w:szCs w:val="20"/>
        </w:rPr>
        <w:t xml:space="preserve">, und </w:t>
      </w:r>
      <w:proofErr w:type="spellStart"/>
      <w:r w:rsidR="00C263FD">
        <w:rPr>
          <w:b w:val="0"/>
          <w:bCs w:val="0"/>
          <w:sz w:val="20"/>
          <w:szCs w:val="20"/>
        </w:rPr>
        <w:t>dass</w:t>
      </w:r>
      <w:proofErr w:type="spellEnd"/>
      <w:r w:rsidR="00C263FD">
        <w:rPr>
          <w:b w:val="0"/>
          <w:bCs w:val="0"/>
          <w:sz w:val="20"/>
          <w:szCs w:val="20"/>
        </w:rPr>
        <w:t xml:space="preserve"> </w:t>
      </w:r>
      <w:proofErr w:type="spellStart"/>
      <w:r w:rsidR="00C263FD">
        <w:rPr>
          <w:b w:val="0"/>
          <w:bCs w:val="0"/>
          <w:sz w:val="20"/>
          <w:szCs w:val="20"/>
        </w:rPr>
        <w:t>sich</w:t>
      </w:r>
      <w:proofErr w:type="spellEnd"/>
      <w:r w:rsidR="00C263FD">
        <w:rPr>
          <w:b w:val="0"/>
          <w:bCs w:val="0"/>
          <w:sz w:val="20"/>
          <w:szCs w:val="20"/>
        </w:rPr>
        <w:t xml:space="preserve"> </w:t>
      </w:r>
      <w:proofErr w:type="spellStart"/>
      <w:r w:rsidR="00C263FD">
        <w:rPr>
          <w:b w:val="0"/>
          <w:bCs w:val="0"/>
          <w:sz w:val="20"/>
          <w:szCs w:val="20"/>
        </w:rPr>
        <w:t>der</w:t>
      </w:r>
      <w:proofErr w:type="spellEnd"/>
      <w:r w:rsidR="00C263FD">
        <w:rPr>
          <w:b w:val="0"/>
          <w:bCs w:val="0"/>
          <w:sz w:val="20"/>
          <w:szCs w:val="20"/>
        </w:rPr>
        <w:t xml:space="preserve"> </w:t>
      </w:r>
      <w:proofErr w:type="spellStart"/>
      <w:r w:rsidR="00C263FD">
        <w:rPr>
          <w:b w:val="0"/>
          <w:bCs w:val="0"/>
          <w:sz w:val="20"/>
          <w:szCs w:val="20"/>
        </w:rPr>
        <w:t>scheinbare</w:t>
      </w:r>
      <w:proofErr w:type="spellEnd"/>
      <w:r w:rsidR="00C263FD">
        <w:rPr>
          <w:b w:val="0"/>
          <w:bCs w:val="0"/>
          <w:sz w:val="20"/>
          <w:szCs w:val="20"/>
        </w:rPr>
        <w:t xml:space="preserve"> </w:t>
      </w:r>
      <w:proofErr w:type="spellStart"/>
      <w:r w:rsidR="00C263FD">
        <w:rPr>
          <w:b w:val="0"/>
          <w:bCs w:val="0"/>
          <w:sz w:val="20"/>
          <w:szCs w:val="20"/>
        </w:rPr>
        <w:t>Widerspruch</w:t>
      </w:r>
      <w:proofErr w:type="spellEnd"/>
      <w:r w:rsidR="00C263FD">
        <w:rPr>
          <w:b w:val="0"/>
          <w:bCs w:val="0"/>
          <w:sz w:val="20"/>
          <w:szCs w:val="20"/>
        </w:rPr>
        <w:t xml:space="preserve"> auf </w:t>
      </w:r>
      <w:proofErr w:type="spellStart"/>
      <w:r w:rsidR="00C263FD">
        <w:rPr>
          <w:b w:val="0"/>
          <w:bCs w:val="0"/>
          <w:sz w:val="20"/>
          <w:szCs w:val="20"/>
        </w:rPr>
        <w:t>dieser</w:t>
      </w:r>
      <w:proofErr w:type="spellEnd"/>
      <w:r w:rsidR="00C263FD">
        <w:rPr>
          <w:b w:val="0"/>
          <w:bCs w:val="0"/>
          <w:sz w:val="20"/>
          <w:szCs w:val="20"/>
        </w:rPr>
        <w:t xml:space="preserve"> </w:t>
      </w:r>
      <w:proofErr w:type="spellStart"/>
      <w:r w:rsidR="00C263FD">
        <w:rPr>
          <w:b w:val="0"/>
          <w:bCs w:val="0"/>
          <w:sz w:val="20"/>
          <w:szCs w:val="20"/>
        </w:rPr>
        <w:t>Ebene</w:t>
      </w:r>
      <w:proofErr w:type="spellEnd"/>
      <w:r w:rsidR="00C263FD">
        <w:rPr>
          <w:b w:val="0"/>
          <w:bCs w:val="0"/>
          <w:sz w:val="20"/>
          <w:szCs w:val="20"/>
        </w:rPr>
        <w:t xml:space="preserve"> </w:t>
      </w:r>
      <w:proofErr w:type="spellStart"/>
      <w:r w:rsidR="00C263FD">
        <w:rPr>
          <w:b w:val="0"/>
          <w:bCs w:val="0"/>
          <w:sz w:val="20"/>
          <w:szCs w:val="20"/>
        </w:rPr>
        <w:t>aufloesen</w:t>
      </w:r>
      <w:proofErr w:type="spellEnd"/>
      <w:r w:rsidR="00C263FD">
        <w:rPr>
          <w:b w:val="0"/>
          <w:bCs w:val="0"/>
          <w:sz w:val="20"/>
          <w:szCs w:val="20"/>
        </w:rPr>
        <w:t xml:space="preserve"> </w:t>
      </w:r>
      <w:proofErr w:type="spellStart"/>
      <w:r w:rsidR="00C263FD">
        <w:rPr>
          <w:b w:val="0"/>
          <w:bCs w:val="0"/>
          <w:sz w:val="20"/>
          <w:szCs w:val="20"/>
        </w:rPr>
        <w:t>l</w:t>
      </w:r>
      <w:r w:rsidR="00C263FD" w:rsidRPr="00F32D57">
        <w:rPr>
          <w:b w:val="0"/>
          <w:bCs w:val="0"/>
          <w:sz w:val="20"/>
          <w:szCs w:val="20"/>
        </w:rPr>
        <w:t>ä</w:t>
      </w:r>
      <w:r w:rsidR="00C263FD">
        <w:rPr>
          <w:b w:val="0"/>
          <w:bCs w:val="0"/>
          <w:sz w:val="20"/>
          <w:szCs w:val="20"/>
        </w:rPr>
        <w:t>sst</w:t>
      </w:r>
      <w:proofErr w:type="spellEnd"/>
      <w:r w:rsidR="00F32D57" w:rsidRPr="00F32D57">
        <w:rPr>
          <w:b w:val="0"/>
          <w:bCs w:val="0"/>
          <w:sz w:val="20"/>
          <w:szCs w:val="20"/>
        </w:rPr>
        <w:t>.</w:t>
      </w:r>
      <w:r w:rsidR="00F32D57">
        <w:rPr>
          <w:b w:val="0"/>
          <w:bCs w:val="0"/>
          <w:sz w:val="20"/>
          <w:szCs w:val="20"/>
        </w:rPr>
        <w:t xml:space="preserve"> </w:t>
      </w:r>
      <w:proofErr w:type="spellStart"/>
      <w:r w:rsidR="00F32D57">
        <w:rPr>
          <w:b w:val="0"/>
          <w:bCs w:val="0"/>
          <w:sz w:val="20"/>
          <w:szCs w:val="20"/>
        </w:rPr>
        <w:t>Nach</w:t>
      </w:r>
      <w:proofErr w:type="spellEnd"/>
      <w:r w:rsidR="00F32D57">
        <w:rPr>
          <w:b w:val="0"/>
          <w:bCs w:val="0"/>
          <w:sz w:val="20"/>
          <w:szCs w:val="20"/>
        </w:rPr>
        <w:t xml:space="preserve"> Leibniz </w:t>
      </w:r>
      <w:proofErr w:type="spellStart"/>
      <w:r w:rsidR="00F32D57">
        <w:rPr>
          <w:b w:val="0"/>
          <w:bCs w:val="0"/>
          <w:sz w:val="20"/>
          <w:szCs w:val="20"/>
        </w:rPr>
        <w:t>ist</w:t>
      </w:r>
      <w:proofErr w:type="spellEnd"/>
      <w:r w:rsidR="00F32D57">
        <w:rPr>
          <w:b w:val="0"/>
          <w:bCs w:val="0"/>
          <w:sz w:val="20"/>
          <w:szCs w:val="20"/>
        </w:rPr>
        <w:t xml:space="preserve"> </w:t>
      </w:r>
      <w:proofErr w:type="spellStart"/>
      <w:r w:rsidR="00F32D57">
        <w:rPr>
          <w:b w:val="0"/>
          <w:bCs w:val="0"/>
          <w:sz w:val="20"/>
          <w:szCs w:val="20"/>
        </w:rPr>
        <w:t>eine</w:t>
      </w:r>
      <w:proofErr w:type="spellEnd"/>
      <w:r w:rsidR="00F32D57">
        <w:rPr>
          <w:b w:val="0"/>
          <w:bCs w:val="0"/>
          <w:sz w:val="20"/>
          <w:szCs w:val="20"/>
        </w:rPr>
        <w:t xml:space="preserve"> </w:t>
      </w:r>
      <w:proofErr w:type="spellStart"/>
      <w:r w:rsidR="00F32D57">
        <w:rPr>
          <w:b w:val="0"/>
          <w:bCs w:val="0"/>
          <w:sz w:val="20"/>
          <w:szCs w:val="20"/>
        </w:rPr>
        <w:t>gerechte</w:t>
      </w:r>
      <w:proofErr w:type="spellEnd"/>
      <w:r w:rsidR="00F32D57">
        <w:rPr>
          <w:b w:val="0"/>
          <w:bCs w:val="0"/>
          <w:sz w:val="20"/>
          <w:szCs w:val="20"/>
        </w:rPr>
        <w:t xml:space="preserve"> </w:t>
      </w:r>
      <w:proofErr w:type="spellStart"/>
      <w:r w:rsidR="00F32D57">
        <w:rPr>
          <w:b w:val="0"/>
          <w:bCs w:val="0"/>
          <w:sz w:val="20"/>
          <w:szCs w:val="20"/>
        </w:rPr>
        <w:t>Handlung</w:t>
      </w:r>
      <w:proofErr w:type="spellEnd"/>
      <w:r w:rsidR="00F32D57">
        <w:rPr>
          <w:b w:val="0"/>
          <w:bCs w:val="0"/>
          <w:sz w:val="20"/>
          <w:szCs w:val="20"/>
        </w:rPr>
        <w:t xml:space="preserve"> </w:t>
      </w:r>
      <w:proofErr w:type="spellStart"/>
      <w:r w:rsidR="00F32D57">
        <w:rPr>
          <w:b w:val="0"/>
          <w:bCs w:val="0"/>
          <w:sz w:val="20"/>
          <w:szCs w:val="20"/>
        </w:rPr>
        <w:t>eine</w:t>
      </w:r>
      <w:proofErr w:type="spellEnd"/>
      <w:r w:rsidR="00F32D57">
        <w:rPr>
          <w:b w:val="0"/>
          <w:bCs w:val="0"/>
          <w:sz w:val="20"/>
          <w:szCs w:val="20"/>
        </w:rPr>
        <w:t xml:space="preserve"> </w:t>
      </w:r>
      <w:proofErr w:type="spellStart"/>
      <w:r w:rsidR="00F32D57">
        <w:rPr>
          <w:b w:val="0"/>
          <w:bCs w:val="0"/>
          <w:sz w:val="20"/>
          <w:szCs w:val="20"/>
        </w:rPr>
        <w:t>spezielle</w:t>
      </w:r>
      <w:proofErr w:type="spellEnd"/>
      <w:r w:rsidR="00F32D57">
        <w:rPr>
          <w:b w:val="0"/>
          <w:bCs w:val="0"/>
          <w:sz w:val="20"/>
          <w:szCs w:val="20"/>
        </w:rPr>
        <w:t xml:space="preserve"> Art von </w:t>
      </w:r>
      <w:proofErr w:type="spellStart"/>
      <w:r w:rsidR="00F32D57">
        <w:rPr>
          <w:b w:val="0"/>
          <w:bCs w:val="0"/>
          <w:sz w:val="20"/>
          <w:szCs w:val="20"/>
        </w:rPr>
        <w:t>M</w:t>
      </w:r>
      <w:r w:rsidR="007F2630">
        <w:rPr>
          <w:b w:val="0"/>
          <w:bCs w:val="0"/>
          <w:sz w:val="20"/>
          <w:szCs w:val="20"/>
        </w:rPr>
        <w:t>oeglichkeit</w:t>
      </w:r>
      <w:proofErr w:type="spellEnd"/>
      <w:r w:rsidR="007F2630">
        <w:rPr>
          <w:b w:val="0"/>
          <w:bCs w:val="0"/>
          <w:sz w:val="20"/>
          <w:szCs w:val="20"/>
        </w:rPr>
        <w:t xml:space="preserve">: </w:t>
      </w:r>
      <w:proofErr w:type="spellStart"/>
      <w:r w:rsidR="007F2630">
        <w:rPr>
          <w:b w:val="0"/>
          <w:bCs w:val="0"/>
          <w:sz w:val="20"/>
          <w:szCs w:val="20"/>
        </w:rPr>
        <w:t>eine</w:t>
      </w:r>
      <w:proofErr w:type="spellEnd"/>
      <w:r w:rsidR="007F2630">
        <w:rPr>
          <w:b w:val="0"/>
          <w:bCs w:val="0"/>
          <w:sz w:val="20"/>
          <w:szCs w:val="20"/>
        </w:rPr>
        <w:t xml:space="preserve"> </w:t>
      </w:r>
      <w:proofErr w:type="spellStart"/>
      <w:r w:rsidR="007F2630">
        <w:rPr>
          <w:b w:val="0"/>
          <w:bCs w:val="0"/>
          <w:sz w:val="20"/>
          <w:szCs w:val="20"/>
        </w:rPr>
        <w:t>Handlung</w:t>
      </w:r>
      <w:proofErr w:type="spellEnd"/>
      <w:r w:rsidR="007F2630">
        <w:rPr>
          <w:b w:val="0"/>
          <w:bCs w:val="0"/>
          <w:sz w:val="20"/>
          <w:szCs w:val="20"/>
        </w:rPr>
        <w:t xml:space="preserve">, die </w:t>
      </w:r>
      <w:proofErr w:type="spellStart"/>
      <w:r w:rsidR="007F2630">
        <w:rPr>
          <w:b w:val="0"/>
          <w:bCs w:val="0"/>
          <w:sz w:val="20"/>
          <w:szCs w:val="20"/>
        </w:rPr>
        <w:t>f</w:t>
      </w:r>
      <w:r w:rsidR="007F2630" w:rsidRPr="00F32D57">
        <w:rPr>
          <w:b w:val="0"/>
          <w:bCs w:val="0"/>
          <w:sz w:val="20"/>
          <w:szCs w:val="20"/>
        </w:rPr>
        <w:t>ü</w:t>
      </w:r>
      <w:r w:rsidR="007F2630">
        <w:rPr>
          <w:b w:val="0"/>
          <w:bCs w:val="0"/>
          <w:sz w:val="20"/>
          <w:szCs w:val="20"/>
        </w:rPr>
        <w:t>r</w:t>
      </w:r>
      <w:proofErr w:type="spellEnd"/>
      <w:r w:rsidR="007F2630">
        <w:rPr>
          <w:b w:val="0"/>
          <w:bCs w:val="0"/>
          <w:sz w:val="20"/>
          <w:szCs w:val="20"/>
        </w:rPr>
        <w:t xml:space="preserve"> </w:t>
      </w:r>
      <w:proofErr w:type="spellStart"/>
      <w:r w:rsidR="007F2630">
        <w:rPr>
          <w:b w:val="0"/>
          <w:bCs w:val="0"/>
          <w:sz w:val="20"/>
          <w:szCs w:val="20"/>
        </w:rPr>
        <w:t>eine</w:t>
      </w:r>
      <w:proofErr w:type="spellEnd"/>
      <w:r w:rsidR="007F2630">
        <w:rPr>
          <w:b w:val="0"/>
          <w:bCs w:val="0"/>
          <w:sz w:val="20"/>
          <w:szCs w:val="20"/>
        </w:rPr>
        <w:t xml:space="preserve"> </w:t>
      </w:r>
      <w:proofErr w:type="spellStart"/>
      <w:r w:rsidR="007F2630">
        <w:rPr>
          <w:b w:val="0"/>
          <w:bCs w:val="0"/>
          <w:sz w:val="20"/>
          <w:szCs w:val="20"/>
        </w:rPr>
        <w:t>moralische</w:t>
      </w:r>
      <w:proofErr w:type="spellEnd"/>
      <w:r w:rsidR="007F2630">
        <w:rPr>
          <w:b w:val="0"/>
          <w:bCs w:val="0"/>
          <w:sz w:val="20"/>
          <w:szCs w:val="20"/>
        </w:rPr>
        <w:t xml:space="preserve"> Person </w:t>
      </w:r>
      <w:proofErr w:type="spellStart"/>
      <w:r w:rsidR="007F2630">
        <w:rPr>
          <w:b w:val="0"/>
          <w:bCs w:val="0"/>
          <w:sz w:val="20"/>
          <w:szCs w:val="20"/>
        </w:rPr>
        <w:t>moeglich</w:t>
      </w:r>
      <w:proofErr w:type="spellEnd"/>
      <w:r w:rsidR="007F2630">
        <w:rPr>
          <w:b w:val="0"/>
          <w:bCs w:val="0"/>
          <w:sz w:val="20"/>
          <w:szCs w:val="20"/>
        </w:rPr>
        <w:t xml:space="preserve"> </w:t>
      </w:r>
      <w:proofErr w:type="spellStart"/>
      <w:r w:rsidR="007F2630">
        <w:rPr>
          <w:b w:val="0"/>
          <w:bCs w:val="0"/>
          <w:sz w:val="20"/>
          <w:szCs w:val="20"/>
        </w:rPr>
        <w:t>ist</w:t>
      </w:r>
      <w:proofErr w:type="spellEnd"/>
      <w:r w:rsidR="007F2630">
        <w:rPr>
          <w:b w:val="0"/>
          <w:bCs w:val="0"/>
          <w:sz w:val="20"/>
          <w:szCs w:val="20"/>
        </w:rPr>
        <w:t>.</w:t>
      </w:r>
      <w:r w:rsidR="00B92DA2">
        <w:rPr>
          <w:b w:val="0"/>
          <w:bCs w:val="0"/>
          <w:sz w:val="20"/>
          <w:szCs w:val="20"/>
        </w:rPr>
        <w:t xml:space="preserve"> </w:t>
      </w:r>
      <w:proofErr w:type="spellStart"/>
      <w:r w:rsidR="00B92DA2">
        <w:rPr>
          <w:b w:val="0"/>
          <w:bCs w:val="0"/>
          <w:sz w:val="20"/>
          <w:szCs w:val="20"/>
        </w:rPr>
        <w:t>Ihm</w:t>
      </w:r>
      <w:proofErr w:type="spellEnd"/>
      <w:r w:rsidR="00B92DA2">
        <w:rPr>
          <w:b w:val="0"/>
          <w:bCs w:val="0"/>
          <w:sz w:val="20"/>
          <w:szCs w:val="20"/>
        </w:rPr>
        <w:t xml:space="preserve"> </w:t>
      </w:r>
      <w:proofErr w:type="spellStart"/>
      <w:r w:rsidR="00B92DA2">
        <w:rPr>
          <w:b w:val="0"/>
          <w:bCs w:val="0"/>
          <w:sz w:val="20"/>
          <w:szCs w:val="20"/>
        </w:rPr>
        <w:t>zufolge</w:t>
      </w:r>
      <w:proofErr w:type="spellEnd"/>
      <w:r w:rsidR="00B92DA2">
        <w:rPr>
          <w:b w:val="0"/>
          <w:bCs w:val="0"/>
          <w:sz w:val="20"/>
          <w:szCs w:val="20"/>
        </w:rPr>
        <w:t xml:space="preserve"> hat </w:t>
      </w:r>
      <w:proofErr w:type="spellStart"/>
      <w:r w:rsidR="00C263FD">
        <w:rPr>
          <w:b w:val="0"/>
          <w:bCs w:val="0"/>
          <w:sz w:val="20"/>
          <w:szCs w:val="20"/>
        </w:rPr>
        <w:t>aber</w:t>
      </w:r>
      <w:proofErr w:type="spellEnd"/>
      <w:r w:rsidR="00C263FD">
        <w:rPr>
          <w:b w:val="0"/>
          <w:bCs w:val="0"/>
          <w:sz w:val="20"/>
          <w:szCs w:val="20"/>
        </w:rPr>
        <w:t xml:space="preserve"> </w:t>
      </w:r>
      <w:proofErr w:type="spellStart"/>
      <w:r w:rsidR="00B92DA2">
        <w:rPr>
          <w:b w:val="0"/>
          <w:bCs w:val="0"/>
          <w:sz w:val="20"/>
          <w:szCs w:val="20"/>
        </w:rPr>
        <w:t>ein</w:t>
      </w:r>
      <w:proofErr w:type="spellEnd"/>
      <w:r w:rsidR="00B92DA2">
        <w:rPr>
          <w:b w:val="0"/>
          <w:bCs w:val="0"/>
          <w:sz w:val="20"/>
          <w:szCs w:val="20"/>
        </w:rPr>
        <w:t xml:space="preserve"> </w:t>
      </w:r>
      <w:proofErr w:type="spellStart"/>
      <w:r w:rsidR="00B92DA2">
        <w:rPr>
          <w:b w:val="0"/>
          <w:bCs w:val="0"/>
          <w:sz w:val="20"/>
          <w:szCs w:val="20"/>
        </w:rPr>
        <w:t>moegliches</w:t>
      </w:r>
      <w:proofErr w:type="spellEnd"/>
      <w:r w:rsidR="00B92DA2">
        <w:rPr>
          <w:b w:val="0"/>
          <w:bCs w:val="0"/>
          <w:sz w:val="20"/>
          <w:szCs w:val="20"/>
        </w:rPr>
        <w:t xml:space="preserve"> </w:t>
      </w:r>
      <w:proofErr w:type="spellStart"/>
      <w:r w:rsidR="00B92DA2">
        <w:rPr>
          <w:b w:val="0"/>
          <w:bCs w:val="0"/>
          <w:sz w:val="20"/>
          <w:szCs w:val="20"/>
        </w:rPr>
        <w:t>Ereignis</w:t>
      </w:r>
      <w:proofErr w:type="spellEnd"/>
      <w:r w:rsidR="00B92DA2">
        <w:rPr>
          <w:b w:val="0"/>
          <w:bCs w:val="0"/>
          <w:sz w:val="20"/>
          <w:szCs w:val="20"/>
        </w:rPr>
        <w:t xml:space="preserve"> </w:t>
      </w:r>
      <w:proofErr w:type="spellStart"/>
      <w:r w:rsidR="00B92DA2">
        <w:rPr>
          <w:b w:val="0"/>
          <w:bCs w:val="0"/>
          <w:sz w:val="20"/>
          <w:szCs w:val="20"/>
        </w:rPr>
        <w:t>weniger</w:t>
      </w:r>
      <w:proofErr w:type="spellEnd"/>
      <w:r w:rsidR="00B92DA2">
        <w:rPr>
          <w:b w:val="0"/>
          <w:bCs w:val="0"/>
          <w:sz w:val="20"/>
          <w:szCs w:val="20"/>
        </w:rPr>
        <w:t xml:space="preserve"> </w:t>
      </w:r>
      <w:proofErr w:type="spellStart"/>
      <w:r w:rsidR="00B92DA2">
        <w:rPr>
          <w:b w:val="0"/>
          <w:bCs w:val="0"/>
          <w:sz w:val="20"/>
          <w:szCs w:val="20"/>
        </w:rPr>
        <w:t>ontologische</w:t>
      </w:r>
      <w:proofErr w:type="spellEnd"/>
      <w:r w:rsidR="00B92DA2">
        <w:rPr>
          <w:b w:val="0"/>
          <w:bCs w:val="0"/>
          <w:sz w:val="20"/>
          <w:szCs w:val="20"/>
        </w:rPr>
        <w:t xml:space="preserve"> </w:t>
      </w:r>
      <w:proofErr w:type="spellStart"/>
      <w:r w:rsidR="00B92DA2">
        <w:rPr>
          <w:b w:val="0"/>
          <w:bCs w:val="0"/>
          <w:sz w:val="20"/>
          <w:szCs w:val="20"/>
        </w:rPr>
        <w:t>Voraussetzungen</w:t>
      </w:r>
      <w:proofErr w:type="spellEnd"/>
      <w:r w:rsidR="00B92DA2">
        <w:rPr>
          <w:b w:val="0"/>
          <w:bCs w:val="0"/>
          <w:sz w:val="20"/>
          <w:szCs w:val="20"/>
        </w:rPr>
        <w:t xml:space="preserve"> </w:t>
      </w:r>
      <w:proofErr w:type="spellStart"/>
      <w:r w:rsidR="00B92DA2">
        <w:rPr>
          <w:b w:val="0"/>
          <w:bCs w:val="0"/>
          <w:sz w:val="20"/>
          <w:szCs w:val="20"/>
        </w:rPr>
        <w:t>als</w:t>
      </w:r>
      <w:proofErr w:type="spellEnd"/>
      <w:r w:rsidR="00B92DA2">
        <w:rPr>
          <w:b w:val="0"/>
          <w:bCs w:val="0"/>
          <w:sz w:val="20"/>
          <w:szCs w:val="20"/>
        </w:rPr>
        <w:t xml:space="preserve"> </w:t>
      </w:r>
      <w:proofErr w:type="spellStart"/>
      <w:r w:rsidR="00B92DA2">
        <w:rPr>
          <w:b w:val="0"/>
          <w:bCs w:val="0"/>
          <w:sz w:val="20"/>
          <w:szCs w:val="20"/>
        </w:rPr>
        <w:t>ein</w:t>
      </w:r>
      <w:proofErr w:type="spellEnd"/>
      <w:r w:rsidR="00B92DA2">
        <w:rPr>
          <w:b w:val="0"/>
          <w:bCs w:val="0"/>
          <w:sz w:val="20"/>
          <w:szCs w:val="20"/>
        </w:rPr>
        <w:t xml:space="preserve"> </w:t>
      </w:r>
      <w:proofErr w:type="spellStart"/>
      <w:r w:rsidR="00B92DA2">
        <w:rPr>
          <w:b w:val="0"/>
          <w:bCs w:val="0"/>
          <w:sz w:val="20"/>
          <w:szCs w:val="20"/>
        </w:rPr>
        <w:t>unmoegliches</w:t>
      </w:r>
      <w:proofErr w:type="spellEnd"/>
      <w:r w:rsidR="00B92DA2">
        <w:rPr>
          <w:b w:val="0"/>
          <w:bCs w:val="0"/>
          <w:sz w:val="20"/>
          <w:szCs w:val="20"/>
        </w:rPr>
        <w:t xml:space="preserve"> </w:t>
      </w:r>
      <w:proofErr w:type="spellStart"/>
      <w:r w:rsidR="00B92DA2">
        <w:rPr>
          <w:b w:val="0"/>
          <w:bCs w:val="0"/>
          <w:sz w:val="20"/>
          <w:szCs w:val="20"/>
        </w:rPr>
        <w:t>Ereignis</w:t>
      </w:r>
      <w:proofErr w:type="spellEnd"/>
      <w:r w:rsidR="00B92DA2">
        <w:rPr>
          <w:b w:val="0"/>
          <w:bCs w:val="0"/>
          <w:sz w:val="20"/>
          <w:szCs w:val="20"/>
        </w:rPr>
        <w:t xml:space="preserve">, </w:t>
      </w:r>
      <w:proofErr w:type="spellStart"/>
      <w:r w:rsidR="00B92DA2">
        <w:rPr>
          <w:b w:val="0"/>
          <w:bCs w:val="0"/>
          <w:sz w:val="20"/>
          <w:szCs w:val="20"/>
        </w:rPr>
        <w:t>weil</w:t>
      </w:r>
      <w:proofErr w:type="spellEnd"/>
      <w:r w:rsidR="00B92DA2">
        <w:rPr>
          <w:b w:val="0"/>
          <w:bCs w:val="0"/>
          <w:sz w:val="20"/>
          <w:szCs w:val="20"/>
        </w:rPr>
        <w:t xml:space="preserve"> die </w:t>
      </w:r>
      <w:proofErr w:type="spellStart"/>
      <w:r w:rsidR="00B92DA2">
        <w:rPr>
          <w:b w:val="0"/>
          <w:bCs w:val="0"/>
          <w:sz w:val="20"/>
          <w:szCs w:val="20"/>
        </w:rPr>
        <w:t>ontologischen</w:t>
      </w:r>
      <w:proofErr w:type="spellEnd"/>
      <w:r w:rsidR="00B92DA2">
        <w:rPr>
          <w:b w:val="0"/>
          <w:bCs w:val="0"/>
          <w:sz w:val="20"/>
          <w:szCs w:val="20"/>
        </w:rPr>
        <w:t xml:space="preserve"> </w:t>
      </w:r>
      <w:proofErr w:type="spellStart"/>
      <w:r w:rsidR="00B92DA2">
        <w:rPr>
          <w:b w:val="0"/>
          <w:bCs w:val="0"/>
          <w:sz w:val="20"/>
          <w:szCs w:val="20"/>
        </w:rPr>
        <w:t>Voraussetzungen</w:t>
      </w:r>
      <w:proofErr w:type="spellEnd"/>
      <w:r w:rsidR="00B92DA2">
        <w:rPr>
          <w:b w:val="0"/>
          <w:bCs w:val="0"/>
          <w:sz w:val="20"/>
          <w:szCs w:val="20"/>
        </w:rPr>
        <w:t xml:space="preserve"> </w:t>
      </w:r>
      <w:proofErr w:type="spellStart"/>
      <w:r w:rsidR="00B92DA2">
        <w:rPr>
          <w:b w:val="0"/>
          <w:bCs w:val="0"/>
          <w:sz w:val="20"/>
          <w:szCs w:val="20"/>
        </w:rPr>
        <w:t>eines</w:t>
      </w:r>
      <w:proofErr w:type="spellEnd"/>
      <w:r w:rsidR="00B92DA2">
        <w:rPr>
          <w:b w:val="0"/>
          <w:bCs w:val="0"/>
          <w:sz w:val="20"/>
          <w:szCs w:val="20"/>
        </w:rPr>
        <w:t xml:space="preserve"> </w:t>
      </w:r>
      <w:proofErr w:type="spellStart"/>
      <w:r w:rsidR="00B92DA2">
        <w:rPr>
          <w:b w:val="0"/>
          <w:bCs w:val="0"/>
          <w:sz w:val="20"/>
          <w:szCs w:val="20"/>
        </w:rPr>
        <w:t>moeglichen</w:t>
      </w:r>
      <w:proofErr w:type="spellEnd"/>
      <w:r w:rsidR="00B92DA2">
        <w:rPr>
          <w:b w:val="0"/>
          <w:bCs w:val="0"/>
          <w:sz w:val="20"/>
          <w:szCs w:val="20"/>
        </w:rPr>
        <w:t xml:space="preserve"> </w:t>
      </w:r>
      <w:proofErr w:type="spellStart"/>
      <w:r w:rsidR="00B92DA2">
        <w:rPr>
          <w:b w:val="0"/>
          <w:bCs w:val="0"/>
          <w:sz w:val="20"/>
          <w:szCs w:val="20"/>
        </w:rPr>
        <w:t>Ereignisses</w:t>
      </w:r>
      <w:proofErr w:type="spellEnd"/>
      <w:r w:rsidR="00B92DA2">
        <w:rPr>
          <w:b w:val="0"/>
          <w:bCs w:val="0"/>
          <w:sz w:val="20"/>
          <w:szCs w:val="20"/>
        </w:rPr>
        <w:t xml:space="preserve"> </w:t>
      </w:r>
      <w:proofErr w:type="spellStart"/>
      <w:r w:rsidR="00B92DA2">
        <w:rPr>
          <w:b w:val="0"/>
          <w:bCs w:val="0"/>
          <w:sz w:val="20"/>
          <w:szCs w:val="20"/>
        </w:rPr>
        <w:t>ein</w:t>
      </w:r>
      <w:proofErr w:type="spellEnd"/>
      <w:r w:rsidR="00B92DA2">
        <w:rPr>
          <w:b w:val="0"/>
          <w:bCs w:val="0"/>
          <w:sz w:val="20"/>
          <w:szCs w:val="20"/>
        </w:rPr>
        <w:t xml:space="preserve"> </w:t>
      </w:r>
      <w:proofErr w:type="spellStart"/>
      <w:r w:rsidR="00B92DA2">
        <w:rPr>
          <w:b w:val="0"/>
          <w:bCs w:val="0"/>
          <w:sz w:val="20"/>
          <w:szCs w:val="20"/>
        </w:rPr>
        <w:t>Teil</w:t>
      </w:r>
      <w:proofErr w:type="spellEnd"/>
      <w:r w:rsidR="00B92DA2">
        <w:rPr>
          <w:b w:val="0"/>
          <w:bCs w:val="0"/>
          <w:sz w:val="20"/>
          <w:szCs w:val="20"/>
        </w:rPr>
        <w:t xml:space="preserve"> </w:t>
      </w:r>
      <w:proofErr w:type="spellStart"/>
      <w:r w:rsidR="00C263FD">
        <w:rPr>
          <w:b w:val="0"/>
          <w:bCs w:val="0"/>
          <w:sz w:val="20"/>
          <w:szCs w:val="20"/>
        </w:rPr>
        <w:t>der</w:t>
      </w:r>
      <w:proofErr w:type="spellEnd"/>
      <w:r w:rsidR="00C263FD">
        <w:rPr>
          <w:b w:val="0"/>
          <w:bCs w:val="0"/>
          <w:sz w:val="20"/>
          <w:szCs w:val="20"/>
        </w:rPr>
        <w:t xml:space="preserve"> </w:t>
      </w:r>
      <w:proofErr w:type="spellStart"/>
      <w:r w:rsidR="00C263FD">
        <w:rPr>
          <w:b w:val="0"/>
          <w:bCs w:val="0"/>
          <w:sz w:val="20"/>
          <w:szCs w:val="20"/>
        </w:rPr>
        <w:t>Voraussetzungen</w:t>
      </w:r>
      <w:proofErr w:type="spellEnd"/>
      <w:r w:rsidR="00B92DA2">
        <w:rPr>
          <w:b w:val="0"/>
          <w:bCs w:val="0"/>
          <w:sz w:val="20"/>
          <w:szCs w:val="20"/>
        </w:rPr>
        <w:t xml:space="preserve"> </w:t>
      </w:r>
      <w:proofErr w:type="spellStart"/>
      <w:r w:rsidR="00B92DA2">
        <w:rPr>
          <w:b w:val="0"/>
          <w:bCs w:val="0"/>
          <w:sz w:val="20"/>
          <w:szCs w:val="20"/>
        </w:rPr>
        <w:t>eines</w:t>
      </w:r>
      <w:proofErr w:type="spellEnd"/>
      <w:r w:rsidR="00B92DA2">
        <w:rPr>
          <w:b w:val="0"/>
          <w:bCs w:val="0"/>
          <w:sz w:val="20"/>
          <w:szCs w:val="20"/>
        </w:rPr>
        <w:t xml:space="preserve"> </w:t>
      </w:r>
      <w:proofErr w:type="spellStart"/>
      <w:r w:rsidR="00B92DA2">
        <w:rPr>
          <w:b w:val="0"/>
          <w:bCs w:val="0"/>
          <w:sz w:val="20"/>
          <w:szCs w:val="20"/>
        </w:rPr>
        <w:t>unmoeglichen</w:t>
      </w:r>
      <w:proofErr w:type="spellEnd"/>
      <w:r w:rsidR="00B92DA2">
        <w:rPr>
          <w:b w:val="0"/>
          <w:bCs w:val="0"/>
          <w:sz w:val="20"/>
          <w:szCs w:val="20"/>
        </w:rPr>
        <w:t xml:space="preserve"> </w:t>
      </w:r>
      <w:proofErr w:type="spellStart"/>
      <w:r w:rsidR="00B92DA2">
        <w:rPr>
          <w:b w:val="0"/>
          <w:bCs w:val="0"/>
          <w:sz w:val="20"/>
          <w:szCs w:val="20"/>
        </w:rPr>
        <w:t>Ere</w:t>
      </w:r>
      <w:r w:rsidR="008B23AE">
        <w:rPr>
          <w:b w:val="0"/>
          <w:bCs w:val="0"/>
          <w:sz w:val="20"/>
          <w:szCs w:val="20"/>
        </w:rPr>
        <w:t>i</w:t>
      </w:r>
      <w:r w:rsidR="00B92DA2">
        <w:rPr>
          <w:b w:val="0"/>
          <w:bCs w:val="0"/>
          <w:sz w:val="20"/>
          <w:szCs w:val="20"/>
        </w:rPr>
        <w:t>gnisses</w:t>
      </w:r>
      <w:proofErr w:type="spellEnd"/>
      <w:r w:rsidR="00B92DA2">
        <w:rPr>
          <w:b w:val="0"/>
          <w:bCs w:val="0"/>
          <w:sz w:val="20"/>
          <w:szCs w:val="20"/>
        </w:rPr>
        <w:t xml:space="preserve"> </w:t>
      </w:r>
      <w:proofErr w:type="spellStart"/>
      <w:r w:rsidR="00B92DA2">
        <w:rPr>
          <w:b w:val="0"/>
          <w:bCs w:val="0"/>
          <w:sz w:val="20"/>
          <w:szCs w:val="20"/>
        </w:rPr>
        <w:t>sind</w:t>
      </w:r>
      <w:proofErr w:type="spellEnd"/>
      <w:r w:rsidR="00B92DA2">
        <w:rPr>
          <w:b w:val="0"/>
          <w:bCs w:val="0"/>
          <w:sz w:val="20"/>
          <w:szCs w:val="20"/>
        </w:rPr>
        <w:t xml:space="preserve">. </w:t>
      </w:r>
      <w:r w:rsidR="007F2630">
        <w:rPr>
          <w:b w:val="0"/>
          <w:bCs w:val="0"/>
          <w:sz w:val="20"/>
          <w:szCs w:val="20"/>
        </w:rPr>
        <w:t xml:space="preserve">Die </w:t>
      </w:r>
      <w:proofErr w:type="spellStart"/>
      <w:r w:rsidR="007F2630">
        <w:rPr>
          <w:b w:val="0"/>
          <w:bCs w:val="0"/>
          <w:sz w:val="20"/>
          <w:szCs w:val="20"/>
        </w:rPr>
        <w:t>Pr</w:t>
      </w:r>
      <w:r w:rsidR="007F2630" w:rsidRPr="00F32D57">
        <w:rPr>
          <w:b w:val="0"/>
          <w:bCs w:val="0"/>
          <w:sz w:val="20"/>
          <w:szCs w:val="20"/>
        </w:rPr>
        <w:t>ä</w:t>
      </w:r>
      <w:r w:rsidR="007F2630">
        <w:rPr>
          <w:b w:val="0"/>
          <w:bCs w:val="0"/>
          <w:sz w:val="20"/>
          <w:szCs w:val="20"/>
        </w:rPr>
        <w:t>sumption</w:t>
      </w:r>
      <w:proofErr w:type="spellEnd"/>
      <w:r w:rsidR="007F2630">
        <w:rPr>
          <w:b w:val="0"/>
          <w:bCs w:val="0"/>
          <w:sz w:val="20"/>
          <w:szCs w:val="20"/>
        </w:rPr>
        <w:t xml:space="preserve"> </w:t>
      </w:r>
      <w:proofErr w:type="spellStart"/>
      <w:r w:rsidR="007F2630">
        <w:rPr>
          <w:b w:val="0"/>
          <w:bCs w:val="0"/>
          <w:sz w:val="20"/>
          <w:szCs w:val="20"/>
        </w:rPr>
        <w:t>zu</w:t>
      </w:r>
      <w:proofErr w:type="spellEnd"/>
      <w:r w:rsidR="007F2630">
        <w:rPr>
          <w:b w:val="0"/>
          <w:bCs w:val="0"/>
          <w:sz w:val="20"/>
          <w:szCs w:val="20"/>
        </w:rPr>
        <w:t xml:space="preserve"> </w:t>
      </w:r>
      <w:proofErr w:type="spellStart"/>
      <w:r w:rsidR="007F2630">
        <w:rPr>
          <w:b w:val="0"/>
          <w:bCs w:val="0"/>
          <w:sz w:val="20"/>
          <w:szCs w:val="20"/>
        </w:rPr>
        <w:t>Gunsten</w:t>
      </w:r>
      <w:proofErr w:type="spellEnd"/>
      <w:r w:rsidR="007F2630">
        <w:rPr>
          <w:b w:val="0"/>
          <w:bCs w:val="0"/>
          <w:sz w:val="20"/>
          <w:szCs w:val="20"/>
        </w:rPr>
        <w:t xml:space="preserve"> </w:t>
      </w:r>
      <w:proofErr w:type="spellStart"/>
      <w:r w:rsidR="007F2630">
        <w:rPr>
          <w:b w:val="0"/>
          <w:bCs w:val="0"/>
          <w:sz w:val="20"/>
          <w:szCs w:val="20"/>
        </w:rPr>
        <w:t>der</w:t>
      </w:r>
      <w:proofErr w:type="spellEnd"/>
      <w:r w:rsidR="007F2630">
        <w:rPr>
          <w:b w:val="0"/>
          <w:bCs w:val="0"/>
          <w:sz w:val="20"/>
          <w:szCs w:val="20"/>
        </w:rPr>
        <w:t xml:space="preserve"> </w:t>
      </w:r>
      <w:proofErr w:type="spellStart"/>
      <w:r w:rsidR="007F2630">
        <w:rPr>
          <w:b w:val="0"/>
          <w:bCs w:val="0"/>
          <w:sz w:val="20"/>
          <w:szCs w:val="20"/>
        </w:rPr>
        <w:t>Gerechtigkeit</w:t>
      </w:r>
      <w:proofErr w:type="spellEnd"/>
      <w:r w:rsidR="007F2630">
        <w:rPr>
          <w:b w:val="0"/>
          <w:bCs w:val="0"/>
          <w:sz w:val="20"/>
          <w:szCs w:val="20"/>
        </w:rPr>
        <w:t xml:space="preserve"> </w:t>
      </w:r>
      <w:proofErr w:type="spellStart"/>
      <w:r w:rsidR="007F2630">
        <w:rPr>
          <w:b w:val="0"/>
          <w:bCs w:val="0"/>
          <w:sz w:val="20"/>
          <w:szCs w:val="20"/>
        </w:rPr>
        <w:t>einer</w:t>
      </w:r>
      <w:proofErr w:type="spellEnd"/>
      <w:r w:rsidR="007F2630">
        <w:rPr>
          <w:b w:val="0"/>
          <w:bCs w:val="0"/>
          <w:sz w:val="20"/>
          <w:szCs w:val="20"/>
        </w:rPr>
        <w:t xml:space="preserve"> </w:t>
      </w:r>
      <w:proofErr w:type="spellStart"/>
      <w:r w:rsidR="007F2630">
        <w:rPr>
          <w:b w:val="0"/>
          <w:bCs w:val="0"/>
          <w:sz w:val="20"/>
          <w:szCs w:val="20"/>
        </w:rPr>
        <w:t>Handlung</w:t>
      </w:r>
      <w:proofErr w:type="spellEnd"/>
      <w:r w:rsidR="007F2630">
        <w:rPr>
          <w:b w:val="0"/>
          <w:bCs w:val="0"/>
          <w:sz w:val="20"/>
          <w:szCs w:val="20"/>
        </w:rPr>
        <w:t xml:space="preserve"> </w:t>
      </w:r>
      <w:proofErr w:type="spellStart"/>
      <w:r w:rsidR="007F2630">
        <w:rPr>
          <w:b w:val="0"/>
          <w:bCs w:val="0"/>
          <w:sz w:val="20"/>
          <w:szCs w:val="20"/>
        </w:rPr>
        <w:t>l</w:t>
      </w:r>
      <w:r w:rsidR="007F2630" w:rsidRPr="00F32D57">
        <w:rPr>
          <w:b w:val="0"/>
          <w:bCs w:val="0"/>
          <w:sz w:val="20"/>
          <w:szCs w:val="20"/>
        </w:rPr>
        <w:t>ä</w:t>
      </w:r>
      <w:r w:rsidR="007F2630">
        <w:rPr>
          <w:b w:val="0"/>
          <w:bCs w:val="0"/>
          <w:sz w:val="20"/>
          <w:szCs w:val="20"/>
        </w:rPr>
        <w:t>sst</w:t>
      </w:r>
      <w:proofErr w:type="spellEnd"/>
      <w:r w:rsidR="007F2630">
        <w:rPr>
          <w:b w:val="0"/>
          <w:bCs w:val="0"/>
          <w:sz w:val="20"/>
          <w:szCs w:val="20"/>
        </w:rPr>
        <w:t xml:space="preserve"> </w:t>
      </w:r>
      <w:proofErr w:type="spellStart"/>
      <w:r w:rsidR="007F2630">
        <w:rPr>
          <w:b w:val="0"/>
          <w:bCs w:val="0"/>
          <w:sz w:val="20"/>
          <w:szCs w:val="20"/>
        </w:rPr>
        <w:t>sich</w:t>
      </w:r>
      <w:proofErr w:type="spellEnd"/>
      <w:r w:rsidR="007F2630">
        <w:rPr>
          <w:b w:val="0"/>
          <w:bCs w:val="0"/>
          <w:sz w:val="20"/>
          <w:szCs w:val="20"/>
        </w:rPr>
        <w:t xml:space="preserve"> </w:t>
      </w:r>
      <w:proofErr w:type="spellStart"/>
      <w:r w:rsidR="007F2630">
        <w:rPr>
          <w:b w:val="0"/>
          <w:bCs w:val="0"/>
          <w:sz w:val="20"/>
          <w:szCs w:val="20"/>
        </w:rPr>
        <w:t>als</w:t>
      </w:r>
      <w:proofErr w:type="spellEnd"/>
      <w:r w:rsidR="007F2630">
        <w:rPr>
          <w:b w:val="0"/>
          <w:bCs w:val="0"/>
          <w:sz w:val="20"/>
          <w:szCs w:val="20"/>
        </w:rPr>
        <w:t xml:space="preserve"> </w:t>
      </w:r>
      <w:proofErr w:type="spellStart"/>
      <w:r w:rsidR="007F2630">
        <w:rPr>
          <w:b w:val="0"/>
          <w:bCs w:val="0"/>
          <w:sz w:val="20"/>
          <w:szCs w:val="20"/>
        </w:rPr>
        <w:t>Spezialfall</w:t>
      </w:r>
      <w:proofErr w:type="spellEnd"/>
      <w:r w:rsidR="007F2630">
        <w:rPr>
          <w:b w:val="0"/>
          <w:bCs w:val="0"/>
          <w:sz w:val="20"/>
          <w:szCs w:val="20"/>
        </w:rPr>
        <w:t xml:space="preserve"> </w:t>
      </w:r>
      <w:proofErr w:type="spellStart"/>
      <w:r w:rsidR="007F2630">
        <w:rPr>
          <w:b w:val="0"/>
          <w:bCs w:val="0"/>
          <w:sz w:val="20"/>
          <w:szCs w:val="20"/>
        </w:rPr>
        <w:t>der</w:t>
      </w:r>
      <w:proofErr w:type="spellEnd"/>
      <w:r w:rsidR="007F2630">
        <w:rPr>
          <w:b w:val="0"/>
          <w:bCs w:val="0"/>
          <w:sz w:val="20"/>
          <w:szCs w:val="20"/>
        </w:rPr>
        <w:t xml:space="preserve"> </w:t>
      </w:r>
      <w:proofErr w:type="spellStart"/>
      <w:r w:rsidR="007F2630">
        <w:rPr>
          <w:b w:val="0"/>
          <w:bCs w:val="0"/>
          <w:sz w:val="20"/>
          <w:szCs w:val="20"/>
        </w:rPr>
        <w:t>Pr</w:t>
      </w:r>
      <w:r w:rsidR="007F2630" w:rsidRPr="00F32D57">
        <w:rPr>
          <w:b w:val="0"/>
          <w:bCs w:val="0"/>
          <w:sz w:val="20"/>
          <w:szCs w:val="20"/>
        </w:rPr>
        <w:t>ä</w:t>
      </w:r>
      <w:r w:rsidR="007F2630">
        <w:rPr>
          <w:b w:val="0"/>
          <w:bCs w:val="0"/>
          <w:sz w:val="20"/>
          <w:szCs w:val="20"/>
        </w:rPr>
        <w:t>sumption</w:t>
      </w:r>
      <w:proofErr w:type="spellEnd"/>
      <w:r w:rsidR="007F2630">
        <w:rPr>
          <w:b w:val="0"/>
          <w:bCs w:val="0"/>
          <w:sz w:val="20"/>
          <w:szCs w:val="20"/>
        </w:rPr>
        <w:t xml:space="preserve"> </w:t>
      </w:r>
      <w:proofErr w:type="spellStart"/>
      <w:r w:rsidR="007F2630">
        <w:rPr>
          <w:b w:val="0"/>
          <w:bCs w:val="0"/>
          <w:sz w:val="20"/>
          <w:szCs w:val="20"/>
        </w:rPr>
        <w:t>zu</w:t>
      </w:r>
      <w:proofErr w:type="spellEnd"/>
      <w:r w:rsidR="007F2630">
        <w:rPr>
          <w:b w:val="0"/>
          <w:bCs w:val="0"/>
          <w:sz w:val="20"/>
          <w:szCs w:val="20"/>
        </w:rPr>
        <w:t xml:space="preserve"> </w:t>
      </w:r>
      <w:proofErr w:type="spellStart"/>
      <w:r w:rsidR="007F2630">
        <w:rPr>
          <w:b w:val="0"/>
          <w:bCs w:val="0"/>
          <w:sz w:val="20"/>
          <w:szCs w:val="20"/>
        </w:rPr>
        <w:t>Gunsten</w:t>
      </w:r>
      <w:proofErr w:type="spellEnd"/>
      <w:r w:rsidR="007F2630">
        <w:rPr>
          <w:b w:val="0"/>
          <w:bCs w:val="0"/>
          <w:sz w:val="20"/>
          <w:szCs w:val="20"/>
        </w:rPr>
        <w:t xml:space="preserve"> </w:t>
      </w:r>
      <w:proofErr w:type="spellStart"/>
      <w:r w:rsidR="007F2630">
        <w:rPr>
          <w:b w:val="0"/>
          <w:bCs w:val="0"/>
          <w:sz w:val="20"/>
          <w:szCs w:val="20"/>
        </w:rPr>
        <w:t>d</w:t>
      </w:r>
      <w:r w:rsidR="00B92DA2">
        <w:rPr>
          <w:b w:val="0"/>
          <w:bCs w:val="0"/>
          <w:sz w:val="20"/>
          <w:szCs w:val="20"/>
        </w:rPr>
        <w:t>er</w:t>
      </w:r>
      <w:proofErr w:type="spellEnd"/>
      <w:r w:rsidR="00B92DA2">
        <w:rPr>
          <w:b w:val="0"/>
          <w:bCs w:val="0"/>
          <w:sz w:val="20"/>
          <w:szCs w:val="20"/>
        </w:rPr>
        <w:t xml:space="preserve"> </w:t>
      </w:r>
      <w:proofErr w:type="spellStart"/>
      <w:r w:rsidR="00B92DA2">
        <w:rPr>
          <w:b w:val="0"/>
          <w:bCs w:val="0"/>
          <w:sz w:val="20"/>
          <w:szCs w:val="20"/>
        </w:rPr>
        <w:t>Moeglichkeit</w:t>
      </w:r>
      <w:proofErr w:type="spellEnd"/>
      <w:r w:rsidR="00B92DA2">
        <w:rPr>
          <w:b w:val="0"/>
          <w:bCs w:val="0"/>
          <w:sz w:val="20"/>
          <w:szCs w:val="20"/>
        </w:rPr>
        <w:t xml:space="preserve"> </w:t>
      </w:r>
      <w:proofErr w:type="spellStart"/>
      <w:r w:rsidR="00B92DA2">
        <w:rPr>
          <w:b w:val="0"/>
          <w:bCs w:val="0"/>
          <w:sz w:val="20"/>
          <w:szCs w:val="20"/>
        </w:rPr>
        <w:t>eines</w:t>
      </w:r>
      <w:proofErr w:type="spellEnd"/>
      <w:r w:rsidR="00B92DA2">
        <w:rPr>
          <w:b w:val="0"/>
          <w:bCs w:val="0"/>
          <w:sz w:val="20"/>
          <w:szCs w:val="20"/>
        </w:rPr>
        <w:t xml:space="preserve"> </w:t>
      </w:r>
      <w:proofErr w:type="spellStart"/>
      <w:r w:rsidR="00B92DA2">
        <w:rPr>
          <w:b w:val="0"/>
          <w:bCs w:val="0"/>
          <w:sz w:val="20"/>
          <w:szCs w:val="20"/>
        </w:rPr>
        <w:t>Ereignisses</w:t>
      </w:r>
      <w:proofErr w:type="spellEnd"/>
      <w:r w:rsidR="00B92DA2">
        <w:rPr>
          <w:b w:val="0"/>
          <w:bCs w:val="0"/>
          <w:sz w:val="20"/>
          <w:szCs w:val="20"/>
        </w:rPr>
        <w:t xml:space="preserve"> </w:t>
      </w:r>
      <w:proofErr w:type="spellStart"/>
      <w:r w:rsidR="00B92DA2">
        <w:rPr>
          <w:b w:val="0"/>
          <w:bCs w:val="0"/>
          <w:sz w:val="20"/>
          <w:szCs w:val="20"/>
        </w:rPr>
        <w:t>auffassen</w:t>
      </w:r>
      <w:proofErr w:type="spellEnd"/>
      <w:r w:rsidR="00B92DA2">
        <w:rPr>
          <w:b w:val="0"/>
          <w:bCs w:val="0"/>
          <w:sz w:val="20"/>
          <w:szCs w:val="20"/>
        </w:rPr>
        <w:t>.</w:t>
      </w:r>
    </w:p>
    <w:p w14:paraId="57CE7572" w14:textId="77777777" w:rsidR="00962E9E" w:rsidRDefault="00962E9E" w:rsidP="003B1C55">
      <w:pPr>
        <w:pStyle w:val="Titel"/>
        <w:spacing w:line="480" w:lineRule="auto"/>
        <w:jc w:val="left"/>
      </w:pPr>
    </w:p>
    <w:p w14:paraId="267C8995" w14:textId="77777777" w:rsidR="003B1C55" w:rsidRPr="00402E45" w:rsidRDefault="003B1C55" w:rsidP="003B1C55">
      <w:pPr>
        <w:pStyle w:val="Titel"/>
        <w:spacing w:line="480" w:lineRule="auto"/>
        <w:rPr>
          <w:b w:val="0"/>
          <w:bCs w:val="0"/>
        </w:rPr>
      </w:pPr>
      <w:r>
        <w:rPr>
          <w:b w:val="0"/>
          <w:bCs w:val="0"/>
        </w:rPr>
        <w:t>1. Introduction</w:t>
      </w:r>
    </w:p>
    <w:p w14:paraId="12B6D393" w14:textId="77777777" w:rsidR="003B1C55" w:rsidRDefault="003B1C55" w:rsidP="003B1C55">
      <w:pPr>
        <w:pStyle w:val="Titel"/>
        <w:spacing w:line="480" w:lineRule="auto"/>
        <w:jc w:val="both"/>
        <w:rPr>
          <w:b w:val="0"/>
          <w:bCs w:val="0"/>
        </w:rPr>
      </w:pPr>
      <w:r>
        <w:rPr>
          <w:b w:val="0"/>
          <w:bCs w:val="0"/>
        </w:rPr>
        <w:t xml:space="preserve"> </w:t>
      </w:r>
    </w:p>
    <w:p w14:paraId="0ADF7BF5" w14:textId="77777777" w:rsidR="003B1C55" w:rsidRDefault="003B1C55" w:rsidP="006823C8">
      <w:pPr>
        <w:pStyle w:val="Titel"/>
        <w:spacing w:line="480" w:lineRule="auto"/>
        <w:jc w:val="both"/>
        <w:rPr>
          <w:b w:val="0"/>
          <w:bCs w:val="0"/>
        </w:rPr>
      </w:pPr>
      <w:r>
        <w:rPr>
          <w:b w:val="0"/>
          <w:bCs w:val="0"/>
        </w:rPr>
        <w:t xml:space="preserve">Presumption is a </w:t>
      </w:r>
      <w:r w:rsidRPr="00C46C1F">
        <w:rPr>
          <w:b w:val="0"/>
          <w:bCs w:val="0"/>
        </w:rPr>
        <w:t>central</w:t>
      </w:r>
      <w:r>
        <w:rPr>
          <w:b w:val="0"/>
          <w:bCs w:val="0"/>
        </w:rPr>
        <w:t xml:space="preserve"> theme in early modern legal theory.</w:t>
      </w:r>
      <w:r w:rsidR="008A082C" w:rsidRPr="0051609F">
        <w:rPr>
          <w:rStyle w:val="Endnotenzeichen"/>
          <w:b w:val="0"/>
          <w:bCs w:val="0"/>
          <w:lang w:val="en-US"/>
        </w:rPr>
        <w:endnoteReference w:id="1"/>
      </w:r>
      <w:r>
        <w:rPr>
          <w:b w:val="0"/>
          <w:bCs w:val="0"/>
        </w:rPr>
        <w:t xml:space="preserve"> Leibniz’s views on presumption are particularly interesting, since he connects issues of jurisprudence with ethical and ontological questions. Like everyone in the sixteenth and seventeenth centuries, Leibniz distinguishes between presumptions that are laid down in positive law (such as the presumption that someone missing for several years is dead) from presumptions that consist </w:t>
      </w:r>
      <w:r>
        <w:rPr>
          <w:b w:val="0"/>
          <w:bCs w:val="0"/>
        </w:rPr>
        <w:lastRenderedPageBreak/>
        <w:t xml:space="preserve">in a particular kind of </w:t>
      </w:r>
      <w:r w:rsidRPr="0051609F">
        <w:rPr>
          <w:b w:val="0"/>
          <w:bCs w:val="0"/>
        </w:rPr>
        <w:t>belief.</w:t>
      </w:r>
      <w:r w:rsidRPr="0051609F">
        <w:rPr>
          <w:rStyle w:val="Endnotenzeichen"/>
          <w:b w:val="0"/>
          <w:bCs w:val="0"/>
          <w:lang w:val="en-US"/>
        </w:rPr>
        <w:endnoteReference w:id="2"/>
      </w:r>
      <w:r>
        <w:rPr>
          <w:b w:val="0"/>
          <w:bCs w:val="0"/>
        </w:rPr>
        <w:t xml:space="preserve"> While presumptions of the first kind belong to the realm of legal fictions, presumptions of the second kind are genuinely cognitive.</w:t>
      </w:r>
      <w:r w:rsidRPr="0051609F">
        <w:rPr>
          <w:rStyle w:val="Endnotenzeichen"/>
          <w:b w:val="0"/>
          <w:bCs w:val="0"/>
          <w:lang w:val="en-US"/>
        </w:rPr>
        <w:endnoteReference w:id="3"/>
      </w:r>
      <w:r>
        <w:rPr>
          <w:b w:val="0"/>
          <w:bCs w:val="0"/>
        </w:rPr>
        <w:t xml:space="preserve"> They belong to the realm of what Nicholas </w:t>
      </w:r>
      <w:proofErr w:type="spellStart"/>
      <w:r>
        <w:rPr>
          <w:b w:val="0"/>
          <w:bCs w:val="0"/>
        </w:rPr>
        <w:t>Rescher</w:t>
      </w:r>
      <w:proofErr w:type="spellEnd"/>
      <w:r>
        <w:rPr>
          <w:b w:val="0"/>
          <w:bCs w:val="0"/>
        </w:rPr>
        <w:t xml:space="preserve"> has recently called “tentative cognition”</w:t>
      </w:r>
      <w:r w:rsidRPr="0051609F">
        <w:rPr>
          <w:rStyle w:val="Endnotenzeichen"/>
          <w:b w:val="0"/>
          <w:bCs w:val="0"/>
          <w:lang w:val="en-US"/>
        </w:rPr>
        <w:endnoteReference w:id="4"/>
      </w:r>
      <w:r>
        <w:rPr>
          <w:b w:val="0"/>
          <w:bCs w:val="0"/>
        </w:rPr>
        <w:t xml:space="preserve">: they are beliefs that are held to be true (or even certain) until and unless contrary evidence forces us to revise them. Moreover, they are beliefs that guide our actions. As Hans </w:t>
      </w:r>
      <w:proofErr w:type="spellStart"/>
      <w:r>
        <w:rPr>
          <w:b w:val="0"/>
          <w:bCs w:val="0"/>
        </w:rPr>
        <w:t>Burkhardt</w:t>
      </w:r>
      <w:proofErr w:type="spellEnd"/>
      <w:r>
        <w:rPr>
          <w:b w:val="0"/>
          <w:bCs w:val="0"/>
        </w:rPr>
        <w:t xml:space="preserve"> has nicely put it: to presume </w:t>
      </w:r>
      <w:r w:rsidRPr="006823C8">
        <w:rPr>
          <w:b w:val="0"/>
          <w:bCs w:val="0"/>
        </w:rPr>
        <w:t>is</w:t>
      </w:r>
      <w:r>
        <w:rPr>
          <w:b w:val="0"/>
          <w:bCs w:val="0"/>
        </w:rPr>
        <w:t xml:space="preserve"> “to take something uncertain for certain as a precondition of acting.”</w:t>
      </w:r>
      <w:r w:rsidRPr="0051609F">
        <w:rPr>
          <w:rStyle w:val="Endnotenzeichen"/>
          <w:b w:val="0"/>
          <w:bCs w:val="0"/>
          <w:lang w:val="en-US"/>
        </w:rPr>
        <w:endnoteReference w:id="5"/>
      </w:r>
    </w:p>
    <w:p w14:paraId="3AA31968" w14:textId="77777777" w:rsidR="002B4AA3" w:rsidRDefault="003B1C55" w:rsidP="00756F2D">
      <w:pPr>
        <w:pStyle w:val="Titel"/>
        <w:spacing w:line="480" w:lineRule="auto"/>
        <w:ind w:firstLine="397"/>
        <w:jc w:val="both"/>
        <w:rPr>
          <w:b w:val="0"/>
          <w:bCs w:val="0"/>
          <w:lang w:val="en-US"/>
        </w:rPr>
      </w:pPr>
      <w:r>
        <w:rPr>
          <w:b w:val="0"/>
          <w:bCs w:val="0"/>
        </w:rPr>
        <w:t xml:space="preserve">In the fifth MS of his early </w:t>
      </w:r>
      <w:r>
        <w:rPr>
          <w:b w:val="0"/>
          <w:bCs w:val="0"/>
          <w:i/>
          <w:iCs/>
        </w:rPr>
        <w:t>Elements of Natural Law</w:t>
      </w:r>
      <w:r>
        <w:rPr>
          <w:b w:val="0"/>
          <w:bCs w:val="0"/>
        </w:rPr>
        <w:t xml:space="preserve"> (1670-71?), Leibniz makes a puzzling claim concerning one such cognitive presumption. He maintains that we should presume a given action to be just.</w:t>
      </w:r>
      <w:r w:rsidRPr="0051609F">
        <w:rPr>
          <w:rStyle w:val="Endnotenzeichen"/>
          <w:b w:val="0"/>
          <w:bCs w:val="0"/>
          <w:lang w:val="en-US"/>
        </w:rPr>
        <w:endnoteReference w:id="6"/>
      </w:r>
      <w:r>
        <w:rPr>
          <w:b w:val="0"/>
          <w:bCs w:val="0"/>
        </w:rPr>
        <w:t xml:space="preserve"> This claim is puzzling if read in conjunction with his view, expressed in the same text, that we should presume what comes about more easily.</w:t>
      </w:r>
      <w:r w:rsidRPr="0051609F">
        <w:rPr>
          <w:rStyle w:val="Endnotenzeichen"/>
          <w:b w:val="0"/>
          <w:bCs w:val="0"/>
          <w:lang w:val="en-US"/>
        </w:rPr>
        <w:endnoteReference w:id="7"/>
      </w:r>
      <w:r>
        <w:rPr>
          <w:b w:val="0"/>
          <w:bCs w:val="0"/>
        </w:rPr>
        <w:t xml:space="preserve"> </w:t>
      </w:r>
      <w:r w:rsidR="004E1061">
        <w:rPr>
          <w:b w:val="0"/>
          <w:bCs w:val="0"/>
        </w:rPr>
        <w:t>Many of his</w:t>
      </w:r>
      <w:r w:rsidR="007C7EB0">
        <w:rPr>
          <w:b w:val="0"/>
          <w:bCs w:val="0"/>
        </w:rPr>
        <w:t xml:space="preserve"> early remarks about justice suggest that it is difficult rather than easy to be just since, according to his view, </w:t>
      </w:r>
      <w:r w:rsidR="006A3920">
        <w:rPr>
          <w:b w:val="0"/>
          <w:bCs w:val="0"/>
        </w:rPr>
        <w:t>different kinds of justice involve</w:t>
      </w:r>
      <w:r w:rsidR="007C7EB0">
        <w:rPr>
          <w:b w:val="0"/>
          <w:bCs w:val="0"/>
        </w:rPr>
        <w:t xml:space="preserve"> different levels of natural law</w:t>
      </w:r>
      <w:r w:rsidR="0071015B">
        <w:rPr>
          <w:b w:val="0"/>
          <w:bCs w:val="0"/>
        </w:rPr>
        <w:t xml:space="preserve"> </w:t>
      </w:r>
      <w:r w:rsidR="0071015B">
        <w:rPr>
          <w:rFonts w:ascii="Times New (W1)" w:cs="Times New (W1)"/>
          <w:b w:val="0"/>
          <w:bCs w:val="0"/>
        </w:rPr>
        <w:t>(</w:t>
      </w:r>
      <w:r w:rsidR="0071015B">
        <w:rPr>
          <w:rFonts w:ascii="Times New (W1)" w:cs="Times New (W1)"/>
          <w:b w:val="0"/>
          <w:bCs w:val="0"/>
          <w:i/>
        </w:rPr>
        <w:t xml:space="preserve">jus </w:t>
      </w:r>
      <w:proofErr w:type="spellStart"/>
      <w:r w:rsidR="0071015B">
        <w:rPr>
          <w:rFonts w:ascii="Times New (W1)" w:cs="Times New (W1)"/>
          <w:b w:val="0"/>
          <w:bCs w:val="0"/>
          <w:i/>
        </w:rPr>
        <w:t>naturae</w:t>
      </w:r>
      <w:proofErr w:type="spellEnd"/>
      <w:r w:rsidR="0071015B">
        <w:rPr>
          <w:rFonts w:ascii="Times New (W1)" w:cs="Times New (W1)"/>
          <w:b w:val="0"/>
          <w:bCs w:val="0"/>
        </w:rPr>
        <w:t>)</w:t>
      </w:r>
      <w:r w:rsidR="00DA0A8F">
        <w:rPr>
          <w:b w:val="0"/>
          <w:bCs w:val="0"/>
        </w:rPr>
        <w:t>.</w:t>
      </w:r>
      <w:r w:rsidR="00CE5CAA">
        <w:rPr>
          <w:b w:val="0"/>
          <w:bCs w:val="0"/>
        </w:rPr>
        <w:t xml:space="preserve"> </w:t>
      </w:r>
      <w:r w:rsidR="00CE5CAA">
        <w:rPr>
          <w:rFonts w:ascii="Times New (W1)" w:cs="Times New (W1)"/>
          <w:b w:val="0"/>
          <w:bCs w:val="0"/>
        </w:rPr>
        <w:t xml:space="preserve">The first degree is </w:t>
      </w:r>
      <w:r w:rsidR="00CE5CAA">
        <w:rPr>
          <w:rFonts w:ascii="Times New (W1)" w:cs="Times New (W1)"/>
          <w:b w:val="0"/>
          <w:bCs w:val="0"/>
        </w:rPr>
        <w:t>“</w:t>
      </w:r>
      <w:r w:rsidR="00CE5CAA">
        <w:rPr>
          <w:rFonts w:ascii="Times New (W1)" w:cs="Times New (W1)"/>
          <w:b w:val="0"/>
          <w:bCs w:val="0"/>
        </w:rPr>
        <w:t>strict law</w:t>
      </w:r>
      <w:r w:rsidR="00CE5CAA">
        <w:rPr>
          <w:rFonts w:ascii="Times New (W1)" w:cs="Times New (W1)"/>
          <w:b w:val="0"/>
          <w:bCs w:val="0"/>
        </w:rPr>
        <w:t>”</w:t>
      </w:r>
      <w:r w:rsidR="00CE5CAA">
        <w:rPr>
          <w:rFonts w:ascii="Times New (W1)" w:cs="Times New (W1)"/>
          <w:b w:val="0"/>
          <w:bCs w:val="0"/>
        </w:rPr>
        <w:t xml:space="preserve"> (</w:t>
      </w:r>
      <w:r w:rsidR="00CE5CAA">
        <w:rPr>
          <w:rFonts w:ascii="Times New (W1)" w:cs="Times New (W1)"/>
          <w:b w:val="0"/>
          <w:bCs w:val="0"/>
          <w:i/>
        </w:rPr>
        <w:t xml:space="preserve">jus </w:t>
      </w:r>
      <w:proofErr w:type="spellStart"/>
      <w:r w:rsidR="00CE5CAA">
        <w:rPr>
          <w:rFonts w:ascii="Times New (W1)" w:cs="Times New (W1)"/>
          <w:b w:val="0"/>
          <w:bCs w:val="0"/>
          <w:i/>
        </w:rPr>
        <w:t>strictum</w:t>
      </w:r>
      <w:proofErr w:type="spellEnd"/>
      <w:r w:rsidR="00CE5CAA">
        <w:rPr>
          <w:rFonts w:ascii="Times New (W1)" w:cs="Times New (W1)"/>
          <w:b w:val="0"/>
          <w:bCs w:val="0"/>
        </w:rPr>
        <w:t xml:space="preserve">), centred around the maxim </w:t>
      </w:r>
      <w:r w:rsidR="00CE5CAA">
        <w:rPr>
          <w:rFonts w:ascii="Times New (W1)" w:cs="Times New (W1)"/>
          <w:b w:val="0"/>
          <w:bCs w:val="0"/>
        </w:rPr>
        <w:t>“</w:t>
      </w:r>
      <w:r w:rsidR="00CE5CAA">
        <w:rPr>
          <w:rFonts w:ascii="Times New (W1)" w:cs="Times New (W1)"/>
          <w:b w:val="0"/>
          <w:bCs w:val="0"/>
        </w:rPr>
        <w:t>Not to hurt anyone</w:t>
      </w:r>
      <w:r w:rsidR="00CE5CAA">
        <w:rPr>
          <w:rFonts w:ascii="Times New (W1)" w:cs="Times New (W1)"/>
          <w:b w:val="0"/>
          <w:bCs w:val="0"/>
        </w:rPr>
        <w:t>”</w:t>
      </w:r>
      <w:r w:rsidR="00CE5CAA">
        <w:rPr>
          <w:rFonts w:ascii="Times New (W1)" w:cs="Times New (W1)"/>
          <w:b w:val="0"/>
          <w:bCs w:val="0"/>
        </w:rPr>
        <w:t xml:space="preserve"> (</w:t>
      </w:r>
      <w:proofErr w:type="spellStart"/>
      <w:r w:rsidR="00CE5CAA">
        <w:rPr>
          <w:rFonts w:ascii="Times New (W1)" w:cs="Times New (W1)"/>
          <w:b w:val="0"/>
          <w:bCs w:val="0"/>
          <w:i/>
        </w:rPr>
        <w:t>neminem</w:t>
      </w:r>
      <w:proofErr w:type="spellEnd"/>
      <w:r w:rsidR="00CE5CAA">
        <w:rPr>
          <w:rFonts w:ascii="Times New (W1)" w:cs="Times New (W1)"/>
          <w:b w:val="0"/>
          <w:bCs w:val="0"/>
          <w:i/>
        </w:rPr>
        <w:t xml:space="preserve"> </w:t>
      </w:r>
      <w:proofErr w:type="spellStart"/>
      <w:r w:rsidR="00CE5CAA">
        <w:rPr>
          <w:rFonts w:ascii="Times New (W1)" w:cs="Times New (W1)"/>
          <w:b w:val="0"/>
          <w:bCs w:val="0"/>
          <w:i/>
        </w:rPr>
        <w:t>laedere</w:t>
      </w:r>
      <w:proofErr w:type="spellEnd"/>
      <w:r w:rsidR="00CE5CAA">
        <w:rPr>
          <w:rFonts w:ascii="Times New (W1)" w:cs="Times New (W1)"/>
          <w:b w:val="0"/>
          <w:bCs w:val="0"/>
        </w:rPr>
        <w:t>); the second degree is equity (</w:t>
      </w:r>
      <w:proofErr w:type="spellStart"/>
      <w:r w:rsidR="00CE5CAA">
        <w:rPr>
          <w:rFonts w:ascii="Times New (W1)" w:cs="Times New (W1)"/>
          <w:b w:val="0"/>
          <w:bCs w:val="0"/>
          <w:i/>
        </w:rPr>
        <w:t>aequitas</w:t>
      </w:r>
      <w:proofErr w:type="spellEnd"/>
      <w:r w:rsidR="00CE5CAA">
        <w:rPr>
          <w:rFonts w:ascii="Times New (W1)" w:cs="Times New (W1)"/>
          <w:b w:val="0"/>
          <w:bCs w:val="0"/>
        </w:rPr>
        <w:t xml:space="preserve">), centred around the maxim </w:t>
      </w:r>
      <w:r w:rsidR="00CE5CAA">
        <w:rPr>
          <w:rFonts w:ascii="Times New (W1)" w:cs="Times New (W1)"/>
          <w:b w:val="0"/>
          <w:bCs w:val="0"/>
        </w:rPr>
        <w:t>“</w:t>
      </w:r>
      <w:r w:rsidR="002B4AA3">
        <w:rPr>
          <w:rFonts w:ascii="Times New (W1)" w:cs="Times New (W1)"/>
          <w:b w:val="0"/>
          <w:bCs w:val="0"/>
        </w:rPr>
        <w:t>To give each person his or her due</w:t>
      </w:r>
      <w:r w:rsidR="00CE5CAA">
        <w:rPr>
          <w:rFonts w:ascii="Times New (W1)" w:cs="Times New (W1)"/>
          <w:b w:val="0"/>
          <w:bCs w:val="0"/>
        </w:rPr>
        <w:t>”</w:t>
      </w:r>
      <w:r w:rsidR="00CE5CAA">
        <w:rPr>
          <w:rFonts w:ascii="Times New (W1)" w:cs="Times New (W1)"/>
          <w:b w:val="0"/>
          <w:bCs w:val="0"/>
        </w:rPr>
        <w:t xml:space="preserve"> (</w:t>
      </w:r>
      <w:proofErr w:type="spellStart"/>
      <w:r w:rsidR="00CE5CAA">
        <w:rPr>
          <w:rFonts w:ascii="Times New (W1)" w:cs="Times New (W1)"/>
          <w:b w:val="0"/>
          <w:bCs w:val="0"/>
          <w:i/>
        </w:rPr>
        <w:t>suum</w:t>
      </w:r>
      <w:proofErr w:type="spellEnd"/>
      <w:r w:rsidR="00CE5CAA">
        <w:rPr>
          <w:rFonts w:ascii="Times New (W1)" w:cs="Times New (W1)"/>
          <w:b w:val="0"/>
          <w:bCs w:val="0"/>
          <w:i/>
        </w:rPr>
        <w:t xml:space="preserve"> </w:t>
      </w:r>
      <w:proofErr w:type="spellStart"/>
      <w:r w:rsidR="00CE5CAA">
        <w:rPr>
          <w:rFonts w:ascii="Times New (W1)" w:cs="Times New (W1)"/>
          <w:b w:val="0"/>
          <w:bCs w:val="0"/>
          <w:i/>
        </w:rPr>
        <w:t>cuique</w:t>
      </w:r>
      <w:proofErr w:type="spellEnd"/>
      <w:r w:rsidR="00CE5CAA">
        <w:rPr>
          <w:rFonts w:ascii="Times New (W1)" w:cs="Times New (W1)"/>
          <w:b w:val="0"/>
          <w:bCs w:val="0"/>
          <w:i/>
        </w:rPr>
        <w:t xml:space="preserve"> </w:t>
      </w:r>
      <w:proofErr w:type="spellStart"/>
      <w:r w:rsidR="00CE5CAA">
        <w:rPr>
          <w:rFonts w:ascii="Times New (W1)" w:cs="Times New (W1)"/>
          <w:b w:val="0"/>
          <w:bCs w:val="0"/>
          <w:i/>
        </w:rPr>
        <w:t>tribuere</w:t>
      </w:r>
      <w:proofErr w:type="spellEnd"/>
      <w:r w:rsidR="00CE5CAA">
        <w:rPr>
          <w:rFonts w:ascii="Times New (W1)" w:cs="Times New (W1)"/>
          <w:b w:val="0"/>
          <w:bCs w:val="0"/>
        </w:rPr>
        <w:t xml:space="preserve">); and the third degree is a precursor of what Leibniz later calls </w:t>
      </w:r>
      <w:r w:rsidR="00CE5CAA">
        <w:rPr>
          <w:rFonts w:ascii="Times New (W1)" w:cs="Times New (W1)"/>
          <w:b w:val="0"/>
          <w:bCs w:val="0"/>
        </w:rPr>
        <w:t>“</w:t>
      </w:r>
      <w:r w:rsidR="00CE5CAA">
        <w:rPr>
          <w:rFonts w:ascii="Times New (W1)" w:cs="Times New (W1)"/>
          <w:b w:val="0"/>
          <w:bCs w:val="0"/>
        </w:rPr>
        <w:t>universal justice</w:t>
      </w:r>
      <w:r w:rsidR="00CE5CAA">
        <w:rPr>
          <w:rFonts w:ascii="Times New (W1)" w:cs="Times New (W1)"/>
          <w:b w:val="0"/>
          <w:bCs w:val="0"/>
        </w:rPr>
        <w:t>”</w:t>
      </w:r>
      <w:r w:rsidR="00CE5CAA">
        <w:rPr>
          <w:rFonts w:ascii="Times New (W1)" w:cs="Times New (W1)"/>
          <w:b w:val="0"/>
          <w:bCs w:val="0"/>
        </w:rPr>
        <w:t xml:space="preserve">: </w:t>
      </w:r>
      <w:r w:rsidR="00CE5CAA">
        <w:rPr>
          <w:rFonts w:ascii="Times New (W1)" w:cs="Times New (W1)"/>
          <w:b w:val="0"/>
          <w:bCs w:val="0"/>
        </w:rPr>
        <w:t>“</w:t>
      </w:r>
      <w:r w:rsidR="00CE5CAA">
        <w:rPr>
          <w:rFonts w:ascii="Times New (W1)" w:cs="Times New (W1)"/>
          <w:b w:val="0"/>
          <w:bCs w:val="0"/>
        </w:rPr>
        <w:t>piety</w:t>
      </w:r>
      <w:r w:rsidR="00CE5CAA">
        <w:rPr>
          <w:rFonts w:ascii="Times New (W1)" w:cs="Times New (W1)"/>
          <w:b w:val="0"/>
          <w:bCs w:val="0"/>
        </w:rPr>
        <w:t>”</w:t>
      </w:r>
      <w:r w:rsidR="00CE5CAA">
        <w:rPr>
          <w:rFonts w:ascii="Times New (W1)" w:cs="Times New (W1)"/>
          <w:b w:val="0"/>
          <w:bCs w:val="0"/>
        </w:rPr>
        <w:t xml:space="preserve"> (</w:t>
      </w:r>
      <w:r w:rsidR="00CE5CAA">
        <w:rPr>
          <w:rFonts w:ascii="Times New (W1)" w:cs="Times New (W1)"/>
          <w:b w:val="0"/>
          <w:bCs w:val="0"/>
          <w:i/>
        </w:rPr>
        <w:t>pietas</w:t>
      </w:r>
      <w:r w:rsidR="00CE5CAA">
        <w:rPr>
          <w:rFonts w:ascii="Times New (W1)" w:cs="Times New (W1)"/>
          <w:b w:val="0"/>
          <w:bCs w:val="0"/>
        </w:rPr>
        <w:t xml:space="preserve">), centred around the maxim </w:t>
      </w:r>
      <w:r w:rsidR="00CE5CAA">
        <w:rPr>
          <w:rFonts w:ascii="Times New (W1)" w:cs="Times New (W1)"/>
          <w:b w:val="0"/>
          <w:bCs w:val="0"/>
        </w:rPr>
        <w:t>“</w:t>
      </w:r>
      <w:r w:rsidR="00CE5CAA">
        <w:rPr>
          <w:rFonts w:ascii="Times New (W1)" w:cs="Times New (W1)"/>
          <w:b w:val="0"/>
          <w:bCs w:val="0"/>
        </w:rPr>
        <w:t xml:space="preserve">To live </w:t>
      </w:r>
      <w:r w:rsidR="00FA7F80">
        <w:rPr>
          <w:rFonts w:ascii="Times New (W1)" w:cs="Times New (W1)"/>
          <w:b w:val="0"/>
          <w:bCs w:val="0"/>
        </w:rPr>
        <w:t>honou</w:t>
      </w:r>
      <w:r w:rsidR="00CE5CAA">
        <w:rPr>
          <w:rFonts w:ascii="Times New (W1)" w:cs="Times New (W1)"/>
          <w:b w:val="0"/>
          <w:bCs w:val="0"/>
        </w:rPr>
        <w:t>rably</w:t>
      </w:r>
      <w:r w:rsidR="00CE5CAA">
        <w:rPr>
          <w:rFonts w:ascii="Times New (W1)" w:cs="Times New (W1)"/>
          <w:b w:val="0"/>
          <w:bCs w:val="0"/>
        </w:rPr>
        <w:t>”</w:t>
      </w:r>
      <w:r w:rsidR="00CE5CAA">
        <w:rPr>
          <w:rFonts w:ascii="Times New (W1)" w:cs="Times New (W1)"/>
          <w:b w:val="0"/>
          <w:bCs w:val="0"/>
        </w:rPr>
        <w:t xml:space="preserve"> (</w:t>
      </w:r>
      <w:proofErr w:type="spellStart"/>
      <w:r w:rsidR="00CE5CAA">
        <w:rPr>
          <w:rFonts w:ascii="Times New (W1)" w:cs="Times New (W1)"/>
          <w:b w:val="0"/>
          <w:bCs w:val="0"/>
          <w:i/>
        </w:rPr>
        <w:t>honeste</w:t>
      </w:r>
      <w:proofErr w:type="spellEnd"/>
      <w:r w:rsidR="00CE5CAA">
        <w:rPr>
          <w:rFonts w:ascii="Times New (W1)" w:cs="Times New (W1)"/>
          <w:b w:val="0"/>
          <w:bCs w:val="0"/>
          <w:i/>
        </w:rPr>
        <w:t xml:space="preserve"> </w:t>
      </w:r>
      <w:proofErr w:type="spellStart"/>
      <w:r w:rsidR="00CE5CAA">
        <w:rPr>
          <w:rFonts w:ascii="Times New (W1)" w:cs="Times New (W1)"/>
          <w:b w:val="0"/>
          <w:bCs w:val="0"/>
          <w:i/>
        </w:rPr>
        <w:t>vivere</w:t>
      </w:r>
      <w:proofErr w:type="spellEnd"/>
      <w:r w:rsidR="00CE5CAA">
        <w:rPr>
          <w:rFonts w:ascii="Times New (W1)" w:cs="Times New (W1)"/>
          <w:b w:val="0"/>
          <w:bCs w:val="0"/>
        </w:rPr>
        <w:t>).</w:t>
      </w:r>
      <w:r w:rsidR="001D0C20" w:rsidRPr="0051609F">
        <w:rPr>
          <w:rStyle w:val="Endnotenzeichen"/>
          <w:b w:val="0"/>
          <w:bCs w:val="0"/>
          <w:lang w:val="en-US"/>
        </w:rPr>
        <w:endnoteReference w:id="8"/>
      </w:r>
      <w:r w:rsidR="00A21727">
        <w:rPr>
          <w:rFonts w:ascii="Times New (W1)" w:cs="Times New (W1)"/>
          <w:b w:val="0"/>
          <w:bCs w:val="0"/>
        </w:rPr>
        <w:t xml:space="preserve"> In the </w:t>
      </w:r>
      <w:r w:rsidR="00A21727">
        <w:rPr>
          <w:rFonts w:ascii="Times New (W1)" w:cs="Times New (W1)"/>
          <w:b w:val="0"/>
          <w:bCs w:val="0"/>
          <w:i/>
        </w:rPr>
        <w:t>Elements of Natural Law</w:t>
      </w:r>
      <w:r w:rsidR="00A21727">
        <w:rPr>
          <w:rFonts w:ascii="Times New (W1)" w:cs="Times New (W1)"/>
          <w:b w:val="0"/>
          <w:bCs w:val="0"/>
        </w:rPr>
        <w:t>,</w:t>
      </w:r>
      <w:r w:rsidR="004C39F3">
        <w:rPr>
          <w:rFonts w:ascii="Times New (W1)" w:cs="Times New (W1)"/>
          <w:b w:val="0"/>
          <w:bCs w:val="0"/>
        </w:rPr>
        <w:t xml:space="preserve"> </w:t>
      </w:r>
      <w:r w:rsidR="00A21727">
        <w:rPr>
          <w:b w:val="0"/>
          <w:bCs w:val="0"/>
        </w:rPr>
        <w:t>he defines what is equitable as “what is in accordance with reason with respect to the distribution of goods between persons”.</w:t>
      </w:r>
      <w:r w:rsidR="00A21727" w:rsidRPr="0051609F">
        <w:rPr>
          <w:rStyle w:val="Endnotenzeichen"/>
          <w:b w:val="0"/>
          <w:bCs w:val="0"/>
          <w:lang w:val="en-US"/>
        </w:rPr>
        <w:endnoteReference w:id="9"/>
      </w:r>
      <w:r w:rsidR="00A21727">
        <w:rPr>
          <w:b w:val="0"/>
          <w:bCs w:val="0"/>
        </w:rPr>
        <w:t xml:space="preserve"> Moreover, </w:t>
      </w:r>
      <w:r w:rsidR="002B4AA3">
        <w:rPr>
          <w:b w:val="0"/>
          <w:bCs w:val="0"/>
          <w:lang w:val="en-US"/>
        </w:rPr>
        <w:t>he</w:t>
      </w:r>
      <w:r w:rsidR="00A21727">
        <w:rPr>
          <w:b w:val="0"/>
          <w:bCs w:val="0"/>
          <w:lang w:val="en-US"/>
        </w:rPr>
        <w:t xml:space="preserve"> </w:t>
      </w:r>
      <w:r w:rsidR="002B4AA3">
        <w:rPr>
          <w:b w:val="0"/>
          <w:bCs w:val="0"/>
          <w:lang w:val="en-US"/>
        </w:rPr>
        <w:t xml:space="preserve">maintains </w:t>
      </w:r>
      <w:r w:rsidR="00A21727">
        <w:rPr>
          <w:b w:val="0"/>
          <w:bCs w:val="0"/>
          <w:lang w:val="en-US"/>
        </w:rPr>
        <w:t>th</w:t>
      </w:r>
      <w:r w:rsidR="002B4AA3">
        <w:rPr>
          <w:b w:val="0"/>
          <w:bCs w:val="0"/>
          <w:lang w:val="en-US"/>
        </w:rPr>
        <w:t>at the highest degree of natural law</w:t>
      </w:r>
      <w:r w:rsidR="00A21727">
        <w:rPr>
          <w:b w:val="0"/>
          <w:bCs w:val="0"/>
          <w:lang w:val="en-US"/>
        </w:rPr>
        <w:t>—as the “virtue of love or friendship”—involves a loving attitude towards all human beings.</w:t>
      </w:r>
      <w:r w:rsidR="00A21727" w:rsidRPr="0051609F">
        <w:rPr>
          <w:rStyle w:val="Endnotenzeichen"/>
          <w:b w:val="0"/>
          <w:bCs w:val="0"/>
          <w:lang w:val="en-US"/>
        </w:rPr>
        <w:endnoteReference w:id="10"/>
      </w:r>
      <w:r w:rsidR="002B4AA3">
        <w:rPr>
          <w:b w:val="0"/>
          <w:bCs w:val="0"/>
          <w:lang w:val="en-US"/>
        </w:rPr>
        <w:t xml:space="preserve"> This degree of natural law</w:t>
      </w:r>
      <w:r w:rsidR="00A21727">
        <w:rPr>
          <w:b w:val="0"/>
          <w:bCs w:val="0"/>
          <w:lang w:val="en-US"/>
        </w:rPr>
        <w:t xml:space="preserve"> consists in the capacity “to moderate love and hate of one human being towards another human being”</w:t>
      </w:r>
      <w:r w:rsidR="004C39F3">
        <w:rPr>
          <w:b w:val="0"/>
          <w:bCs w:val="0"/>
          <w:lang w:val="en-US"/>
        </w:rPr>
        <w:t>, a capacity that presupposes a rational assessment of the relative merit of different human beings</w:t>
      </w:r>
      <w:r w:rsidR="00A21727">
        <w:rPr>
          <w:b w:val="0"/>
          <w:bCs w:val="0"/>
          <w:lang w:val="en-US"/>
        </w:rPr>
        <w:t>.</w:t>
      </w:r>
      <w:r w:rsidR="00A21727" w:rsidRPr="0051609F">
        <w:rPr>
          <w:rStyle w:val="Endnotenzeichen"/>
          <w:b w:val="0"/>
          <w:bCs w:val="0"/>
          <w:lang w:val="en-US"/>
        </w:rPr>
        <w:endnoteReference w:id="11"/>
      </w:r>
    </w:p>
    <w:p w14:paraId="1E12757D" w14:textId="77777777" w:rsidR="000C3F21" w:rsidRDefault="00032C6B" w:rsidP="000C3F21">
      <w:pPr>
        <w:pStyle w:val="Titel"/>
        <w:spacing w:line="480" w:lineRule="auto"/>
        <w:ind w:firstLine="397"/>
        <w:jc w:val="both"/>
        <w:rPr>
          <w:b w:val="0"/>
          <w:bCs w:val="0"/>
        </w:rPr>
      </w:pPr>
      <w:r>
        <w:rPr>
          <w:b w:val="0"/>
          <w:bCs w:val="0"/>
        </w:rPr>
        <w:lastRenderedPageBreak/>
        <w:t xml:space="preserve">There may be nothing counterintuitive about the claim that a given action should be presumed to be just when this claim is made with respect to the first degree of natural law. </w:t>
      </w:r>
      <w:r w:rsidR="00756F2D">
        <w:rPr>
          <w:b w:val="0"/>
          <w:bCs w:val="0"/>
        </w:rPr>
        <w:t>One might think that it</w:t>
      </w:r>
      <w:r w:rsidR="000C3F21">
        <w:rPr>
          <w:b w:val="0"/>
          <w:bCs w:val="0"/>
        </w:rPr>
        <w:t xml:space="preserve"> comes about more easily that a </w:t>
      </w:r>
      <w:r w:rsidR="007C7EB0">
        <w:rPr>
          <w:b w:val="0"/>
          <w:bCs w:val="0"/>
        </w:rPr>
        <w:t>given action is without harming consequences for others</w:t>
      </w:r>
      <w:r w:rsidR="000C3F21">
        <w:rPr>
          <w:b w:val="0"/>
          <w:bCs w:val="0"/>
        </w:rPr>
        <w:t xml:space="preserve"> than </w:t>
      </w:r>
      <w:r w:rsidR="007C7EB0">
        <w:rPr>
          <w:b w:val="0"/>
          <w:bCs w:val="0"/>
        </w:rPr>
        <w:t>that it does cause harm to them</w:t>
      </w:r>
      <w:r w:rsidR="000C3F21">
        <w:rPr>
          <w:b w:val="0"/>
          <w:bCs w:val="0"/>
        </w:rPr>
        <w:t>.</w:t>
      </w:r>
      <w:r w:rsidR="007C7EB0">
        <w:rPr>
          <w:b w:val="0"/>
          <w:bCs w:val="0"/>
        </w:rPr>
        <w:t xml:space="preserve"> Accordingly, the burden of proof would lie with the one who undertakes to demonstrate that a given action is contrary to the first degree of natural law.</w:t>
      </w:r>
      <w:r w:rsidR="000C3F21">
        <w:rPr>
          <w:b w:val="0"/>
          <w:bCs w:val="0"/>
        </w:rPr>
        <w:t xml:space="preserve"> </w:t>
      </w:r>
      <w:r>
        <w:rPr>
          <w:b w:val="0"/>
          <w:bCs w:val="0"/>
        </w:rPr>
        <w:t>Things stand differently with the two other degrees of natural law</w:t>
      </w:r>
      <w:r w:rsidR="000C3F21">
        <w:rPr>
          <w:b w:val="0"/>
          <w:bCs w:val="0"/>
        </w:rPr>
        <w:t>, however</w:t>
      </w:r>
      <w:r>
        <w:rPr>
          <w:b w:val="0"/>
          <w:bCs w:val="0"/>
        </w:rPr>
        <w:t xml:space="preserve">. </w:t>
      </w:r>
      <w:r w:rsidR="002B4AA3">
        <w:rPr>
          <w:b w:val="0"/>
          <w:bCs w:val="0"/>
        </w:rPr>
        <w:t xml:space="preserve">In order to perform an action that fulfils the demands of the second degree of natural law, one has to be thoughtful and to care about acting rationally. But certainly, to be thoughtful is more difficult than to be thoughtless, and to care about acting rationally is more difficult than to act irrationally. </w:t>
      </w:r>
      <w:r>
        <w:rPr>
          <w:b w:val="0"/>
          <w:bCs w:val="0"/>
          <w:lang w:val="en-US"/>
        </w:rPr>
        <w:t>Something similar holds with respect to th</w:t>
      </w:r>
      <w:r w:rsidR="0071015B">
        <w:rPr>
          <w:b w:val="0"/>
          <w:bCs w:val="0"/>
          <w:lang w:val="en-US"/>
        </w:rPr>
        <w:t>e third degree of natural law. Considering</w:t>
      </w:r>
      <w:r w:rsidR="00A21727">
        <w:rPr>
          <w:b w:val="0"/>
          <w:bCs w:val="0"/>
          <w:lang w:val="en-US"/>
        </w:rPr>
        <w:t xml:space="preserve"> r</w:t>
      </w:r>
      <w:r w:rsidR="001D5A11">
        <w:rPr>
          <w:b w:val="0"/>
          <w:bCs w:val="0"/>
          <w:lang w:val="en-US"/>
        </w:rPr>
        <w:t>elative personal merit</w:t>
      </w:r>
      <w:r w:rsidR="0071015B">
        <w:rPr>
          <w:b w:val="0"/>
          <w:bCs w:val="0"/>
          <w:lang w:val="en-US"/>
        </w:rPr>
        <w:t xml:space="preserve"> rationally r</w:t>
      </w:r>
      <w:r w:rsidR="004E1061">
        <w:rPr>
          <w:b w:val="0"/>
          <w:bCs w:val="0"/>
          <w:lang w:val="en-US"/>
        </w:rPr>
        <w:t>equir</w:t>
      </w:r>
      <w:r w:rsidR="00C267B3">
        <w:rPr>
          <w:b w:val="0"/>
          <w:bCs w:val="0"/>
          <w:lang w:val="en-US"/>
        </w:rPr>
        <w:t>es more effort than not giving a thought to</w:t>
      </w:r>
      <w:r w:rsidR="004E1061">
        <w:rPr>
          <w:b w:val="0"/>
          <w:bCs w:val="0"/>
          <w:lang w:val="en-US"/>
        </w:rPr>
        <w:t xml:space="preserve"> the matter</w:t>
      </w:r>
      <w:r w:rsidR="0071015B">
        <w:rPr>
          <w:b w:val="0"/>
          <w:bCs w:val="0"/>
          <w:lang w:val="en-US"/>
        </w:rPr>
        <w:t>. Moreover, loving all human beings to some degree</w:t>
      </w:r>
      <w:r w:rsidR="0071015B">
        <w:rPr>
          <w:b w:val="0"/>
          <w:bCs w:val="0"/>
        </w:rPr>
        <w:t xml:space="preserve"> </w:t>
      </w:r>
      <w:r w:rsidR="004E1061">
        <w:rPr>
          <w:b w:val="0"/>
          <w:bCs w:val="0"/>
        </w:rPr>
        <w:t xml:space="preserve">certainly </w:t>
      </w:r>
      <w:r w:rsidR="0071015B">
        <w:rPr>
          <w:b w:val="0"/>
          <w:bCs w:val="0"/>
        </w:rPr>
        <w:t>is more difficult than loving</w:t>
      </w:r>
      <w:r w:rsidR="001D5A11">
        <w:rPr>
          <w:b w:val="0"/>
          <w:bCs w:val="0"/>
        </w:rPr>
        <w:t xml:space="preserve"> only a few human beings.</w:t>
      </w:r>
      <w:r w:rsidR="00A21727">
        <w:rPr>
          <w:b w:val="0"/>
          <w:bCs w:val="0"/>
        </w:rPr>
        <w:t xml:space="preserve"> </w:t>
      </w:r>
      <w:r w:rsidR="0071015B">
        <w:rPr>
          <w:b w:val="0"/>
          <w:bCs w:val="0"/>
        </w:rPr>
        <w:t>Hence, i</w:t>
      </w:r>
      <w:r w:rsidR="005921CF">
        <w:rPr>
          <w:b w:val="0"/>
          <w:bCs w:val="0"/>
        </w:rPr>
        <w:t xml:space="preserve">f one should presume what comes about more easily, it might appear </w:t>
      </w:r>
      <w:r w:rsidR="005921CF" w:rsidRPr="006823C8">
        <w:rPr>
          <w:b w:val="0"/>
          <w:bCs w:val="0"/>
        </w:rPr>
        <w:t>as if what</w:t>
      </w:r>
      <w:r w:rsidR="005921CF">
        <w:rPr>
          <w:b w:val="0"/>
          <w:bCs w:val="0"/>
        </w:rPr>
        <w:t xml:space="preserve"> one should presume </w:t>
      </w:r>
      <w:r w:rsidR="005921CF" w:rsidRPr="006823C8">
        <w:rPr>
          <w:b w:val="0"/>
          <w:bCs w:val="0"/>
        </w:rPr>
        <w:t xml:space="preserve">is </w:t>
      </w:r>
      <w:r w:rsidR="005921CF" w:rsidRPr="00C46C1F">
        <w:rPr>
          <w:b w:val="0"/>
          <w:bCs w:val="0"/>
        </w:rPr>
        <w:t>that</w:t>
      </w:r>
      <w:r w:rsidR="005921CF">
        <w:rPr>
          <w:b w:val="0"/>
          <w:bCs w:val="0"/>
        </w:rPr>
        <w:t xml:space="preserve">, when it comes to the two higher degrees of natural law, a given action is unjust, </w:t>
      </w:r>
      <w:r w:rsidR="005921CF" w:rsidRPr="006823C8">
        <w:rPr>
          <w:b w:val="0"/>
          <w:bCs w:val="0"/>
        </w:rPr>
        <w:t>rather than</w:t>
      </w:r>
      <w:r w:rsidR="004E1061">
        <w:rPr>
          <w:b w:val="0"/>
          <w:bCs w:val="0"/>
        </w:rPr>
        <w:t xml:space="preserve"> just.</w:t>
      </w:r>
    </w:p>
    <w:p w14:paraId="4531F38F" w14:textId="77777777" w:rsidR="003B1C55" w:rsidRDefault="00A21727" w:rsidP="000C3F21">
      <w:pPr>
        <w:pStyle w:val="Titel"/>
        <w:spacing w:line="480" w:lineRule="auto"/>
        <w:ind w:firstLine="397"/>
        <w:jc w:val="both"/>
        <w:rPr>
          <w:b w:val="0"/>
          <w:bCs w:val="0"/>
        </w:rPr>
      </w:pPr>
      <w:r>
        <w:rPr>
          <w:b w:val="0"/>
          <w:bCs w:val="0"/>
        </w:rPr>
        <w:t xml:space="preserve">Nevertheless, </w:t>
      </w:r>
      <w:r w:rsidR="004C39F3">
        <w:rPr>
          <w:b w:val="0"/>
          <w:bCs w:val="0"/>
        </w:rPr>
        <w:t>Leibniz’s</w:t>
      </w:r>
      <w:r w:rsidR="005921CF">
        <w:rPr>
          <w:b w:val="0"/>
          <w:bCs w:val="0"/>
        </w:rPr>
        <w:t xml:space="preserve"> </w:t>
      </w:r>
      <w:r w:rsidR="00460A74">
        <w:rPr>
          <w:b w:val="0"/>
          <w:bCs w:val="0"/>
        </w:rPr>
        <w:t>claim concerning the presumption of justice occurs in the context of his</w:t>
      </w:r>
      <w:r w:rsidR="005921CF">
        <w:rPr>
          <w:b w:val="0"/>
          <w:bCs w:val="0"/>
        </w:rPr>
        <w:t xml:space="preserve"> discussion</w:t>
      </w:r>
      <w:r w:rsidR="00460A74">
        <w:rPr>
          <w:b w:val="0"/>
          <w:bCs w:val="0"/>
        </w:rPr>
        <w:t xml:space="preserve"> of justice as “the habit of loving everyone”</w:t>
      </w:r>
      <w:r w:rsidR="005921CF">
        <w:rPr>
          <w:b w:val="0"/>
          <w:bCs w:val="0"/>
        </w:rPr>
        <w:t>—hence, in the context of his conception of the highest degree of natural law.</w:t>
      </w:r>
      <w:r w:rsidR="00460A74" w:rsidRPr="0051609F">
        <w:rPr>
          <w:rStyle w:val="Endnotenzeichen"/>
          <w:b w:val="0"/>
          <w:bCs w:val="0"/>
          <w:lang w:val="en-US"/>
        </w:rPr>
        <w:endnoteReference w:id="12"/>
      </w:r>
      <w:r>
        <w:rPr>
          <w:b w:val="0"/>
          <w:bCs w:val="0"/>
        </w:rPr>
        <w:t xml:space="preserve"> </w:t>
      </w:r>
      <w:r w:rsidR="003B1C55">
        <w:rPr>
          <w:b w:val="0"/>
          <w:bCs w:val="0"/>
        </w:rPr>
        <w:t>I</w:t>
      </w:r>
      <w:r w:rsidR="005921CF">
        <w:rPr>
          <w:b w:val="0"/>
          <w:bCs w:val="0"/>
        </w:rPr>
        <w:t xml:space="preserve">s </w:t>
      </w:r>
      <w:r w:rsidR="00B86365">
        <w:rPr>
          <w:b w:val="0"/>
          <w:bCs w:val="0"/>
        </w:rPr>
        <w:t xml:space="preserve">Leibniz confused when he places the presumption of justice </w:t>
      </w:r>
      <w:r w:rsidR="009452B6">
        <w:rPr>
          <w:b w:val="0"/>
          <w:bCs w:val="0"/>
        </w:rPr>
        <w:t>into this context rather than</w:t>
      </w:r>
      <w:r w:rsidR="00B86365">
        <w:rPr>
          <w:b w:val="0"/>
          <w:bCs w:val="0"/>
        </w:rPr>
        <w:t xml:space="preserve"> the context of “strict law”</w:t>
      </w:r>
      <w:r w:rsidR="003B1C55">
        <w:rPr>
          <w:b w:val="0"/>
          <w:bCs w:val="0"/>
        </w:rPr>
        <w:t xml:space="preserve">? In what follows, I will argue that </w:t>
      </w:r>
      <w:r w:rsidR="003B1C55" w:rsidRPr="006823C8">
        <w:rPr>
          <w:b w:val="0"/>
          <w:bCs w:val="0"/>
        </w:rPr>
        <w:t>he</w:t>
      </w:r>
      <w:r w:rsidR="003B1C55">
        <w:rPr>
          <w:b w:val="0"/>
          <w:bCs w:val="0"/>
        </w:rPr>
        <w:t xml:space="preserve"> is not. To see this more clearly, it will be helpful to set up the problem in a more technical way. Section 2 sketches some of the technical notions involved in Leibniz’s views on presumptions (such as the notions of condition, requisite, and easiness) and describes how these technical notions provide a solution </w:t>
      </w:r>
      <w:r w:rsidR="003B1C55" w:rsidRPr="006823C8">
        <w:rPr>
          <w:b w:val="0"/>
          <w:bCs w:val="0"/>
        </w:rPr>
        <w:t>for</w:t>
      </w:r>
      <w:r w:rsidR="003B1C55">
        <w:rPr>
          <w:b w:val="0"/>
          <w:bCs w:val="0"/>
        </w:rPr>
        <w:t xml:space="preserve"> another presumption discussed by Leibniz, the presumption of possibility, but seem to fail in the case of the presumption of justice. Section 3, then, uses the technical framework outlined in section 2 to </w:t>
      </w:r>
      <w:r w:rsidR="003B1C55">
        <w:rPr>
          <w:b w:val="0"/>
          <w:bCs w:val="0"/>
        </w:rPr>
        <w:lastRenderedPageBreak/>
        <w:t>suggest a solution: According to Leibniz, the presumption of justice is a special case of</w:t>
      </w:r>
      <w:r w:rsidR="00460A74">
        <w:rPr>
          <w:b w:val="0"/>
          <w:bCs w:val="0"/>
        </w:rPr>
        <w:t xml:space="preserve"> the presumption of possibility</w:t>
      </w:r>
      <w:r w:rsidR="005921CF">
        <w:rPr>
          <w:b w:val="0"/>
          <w:bCs w:val="0"/>
        </w:rPr>
        <w:t xml:space="preserve">. It is </w:t>
      </w:r>
      <w:r w:rsidR="00460A74">
        <w:rPr>
          <w:b w:val="0"/>
          <w:bCs w:val="0"/>
        </w:rPr>
        <w:t>a presumption concerning what is possible for a person embody</w:t>
      </w:r>
      <w:r w:rsidR="005921CF">
        <w:rPr>
          <w:b w:val="0"/>
          <w:bCs w:val="0"/>
        </w:rPr>
        <w:t xml:space="preserve">ing the highest degree of natural law: </w:t>
      </w:r>
      <w:r w:rsidR="00460A74">
        <w:rPr>
          <w:b w:val="0"/>
          <w:bCs w:val="0"/>
        </w:rPr>
        <w:t>the “good person” (</w:t>
      </w:r>
      <w:proofErr w:type="spellStart"/>
      <w:r w:rsidR="00460A74">
        <w:rPr>
          <w:rFonts w:ascii="Times New (W1)" w:cs="Times New (W1)"/>
          <w:b w:val="0"/>
          <w:bCs w:val="0"/>
          <w:i/>
        </w:rPr>
        <w:t>vir</w:t>
      </w:r>
      <w:proofErr w:type="spellEnd"/>
      <w:r w:rsidR="00460A74">
        <w:rPr>
          <w:rFonts w:ascii="Times New (W1)" w:cs="Times New (W1)"/>
          <w:b w:val="0"/>
          <w:bCs w:val="0"/>
          <w:i/>
        </w:rPr>
        <w:t xml:space="preserve"> bonus</w:t>
      </w:r>
      <w:r w:rsidR="00460A74">
        <w:rPr>
          <w:b w:val="0"/>
          <w:bCs w:val="0"/>
        </w:rPr>
        <w:t>)</w:t>
      </w:r>
      <w:r w:rsidR="000C3F21">
        <w:rPr>
          <w:b w:val="0"/>
          <w:bCs w:val="0"/>
        </w:rPr>
        <w:t>.</w:t>
      </w:r>
      <w:r w:rsidR="00460A74">
        <w:rPr>
          <w:b w:val="0"/>
          <w:bCs w:val="0"/>
        </w:rPr>
        <w:t xml:space="preserve"> Because the presumption of justice is a special case of the presumption of possibility</w:t>
      </w:r>
      <w:r w:rsidR="003B1C55">
        <w:rPr>
          <w:b w:val="0"/>
          <w:bCs w:val="0"/>
        </w:rPr>
        <w:t xml:space="preserve">, there is no confusion in this respect on Leibniz’s part. </w:t>
      </w:r>
    </w:p>
    <w:p w14:paraId="285982CD" w14:textId="77777777" w:rsidR="003B1C55" w:rsidRDefault="003B1C55" w:rsidP="003B1C55">
      <w:pPr>
        <w:pStyle w:val="Titel"/>
        <w:spacing w:line="480" w:lineRule="auto"/>
        <w:jc w:val="both"/>
        <w:rPr>
          <w:b w:val="0"/>
          <w:bCs w:val="0"/>
        </w:rPr>
      </w:pPr>
    </w:p>
    <w:p w14:paraId="0CFBC1C0" w14:textId="77777777" w:rsidR="003B1C55" w:rsidRPr="00402E45" w:rsidRDefault="003B1C55" w:rsidP="003B1C55">
      <w:pPr>
        <w:pStyle w:val="Titel"/>
        <w:spacing w:line="480" w:lineRule="auto"/>
        <w:rPr>
          <w:b w:val="0"/>
          <w:bCs w:val="0"/>
        </w:rPr>
      </w:pPr>
      <w:r>
        <w:rPr>
          <w:b w:val="0"/>
          <w:bCs w:val="0"/>
        </w:rPr>
        <w:t>2. The Problem</w:t>
      </w:r>
    </w:p>
    <w:p w14:paraId="31449CF8" w14:textId="77777777" w:rsidR="003B1C55" w:rsidRDefault="003B1C55" w:rsidP="003B1C55">
      <w:pPr>
        <w:pStyle w:val="Titel"/>
        <w:spacing w:line="480" w:lineRule="auto"/>
        <w:jc w:val="both"/>
        <w:rPr>
          <w:b w:val="0"/>
          <w:bCs w:val="0"/>
        </w:rPr>
      </w:pPr>
    </w:p>
    <w:p w14:paraId="3046B51B" w14:textId="77777777" w:rsidR="003B1C55" w:rsidRDefault="003B1C55" w:rsidP="00FC40DF">
      <w:pPr>
        <w:pStyle w:val="Titel"/>
        <w:spacing w:line="480" w:lineRule="auto"/>
        <w:jc w:val="both"/>
        <w:rPr>
          <w:b w:val="0"/>
          <w:bCs w:val="0"/>
        </w:rPr>
      </w:pPr>
      <w:r>
        <w:rPr>
          <w:b w:val="0"/>
          <w:bCs w:val="0"/>
        </w:rPr>
        <w:t xml:space="preserve">The </w:t>
      </w:r>
      <w:r w:rsidRPr="006823C8">
        <w:rPr>
          <w:b w:val="0"/>
          <w:bCs w:val="0"/>
        </w:rPr>
        <w:t>notion</w:t>
      </w:r>
      <w:r>
        <w:rPr>
          <w:b w:val="0"/>
          <w:bCs w:val="0"/>
        </w:rPr>
        <w:t xml:space="preserve"> of easiness, which plays a crucial role in Leibniz’s explanation of the epistemic asymmetry involved in forming a presumption in favour of a particular state of affairs, is closely connected to his account of dependency relations. </w:t>
      </w:r>
      <w:r w:rsidR="00865A4C">
        <w:rPr>
          <w:b w:val="0"/>
          <w:bCs w:val="0"/>
        </w:rPr>
        <w:t xml:space="preserve">In the fifth MS of the </w:t>
      </w:r>
      <w:r w:rsidR="00865A4C">
        <w:rPr>
          <w:b w:val="0"/>
          <w:bCs w:val="0"/>
          <w:i/>
          <w:iCs/>
        </w:rPr>
        <w:t>Elements of Natural Law</w:t>
      </w:r>
      <w:r w:rsidR="00865A4C">
        <w:rPr>
          <w:b w:val="0"/>
          <w:bCs w:val="0"/>
        </w:rPr>
        <w:t>, the connection is stated as follows: “Easier … is that in which there are smaller or fewer things than in the opposite, [i.e.] that whose requisites are a part of the requisites of the opposite.”</w:t>
      </w:r>
      <w:r w:rsidR="00865A4C" w:rsidRPr="0051609F">
        <w:rPr>
          <w:rStyle w:val="Endnotenzeichen"/>
          <w:b w:val="0"/>
          <w:bCs w:val="0"/>
          <w:lang w:val="en-US"/>
        </w:rPr>
        <w:endnoteReference w:id="13"/>
      </w:r>
      <w:r w:rsidR="00865A4C">
        <w:rPr>
          <w:b w:val="0"/>
          <w:bCs w:val="0"/>
        </w:rPr>
        <w:t xml:space="preserve"> Throughout his early writings, Leibniz uses the relation between a condition and what is conditioned by it to account for several different dependency relations. </w:t>
      </w:r>
      <w:r>
        <w:rPr>
          <w:b w:val="0"/>
          <w:bCs w:val="0"/>
        </w:rPr>
        <w:t>His views are intricate,</w:t>
      </w:r>
      <w:r w:rsidRPr="0051609F">
        <w:rPr>
          <w:rStyle w:val="Endnotenzeichen"/>
          <w:b w:val="0"/>
          <w:bCs w:val="0"/>
          <w:lang w:val="en-US"/>
        </w:rPr>
        <w:endnoteReference w:id="14"/>
      </w:r>
      <w:r>
        <w:rPr>
          <w:b w:val="0"/>
          <w:bCs w:val="0"/>
        </w:rPr>
        <w:t xml:space="preserve"> but for </w:t>
      </w:r>
      <w:r w:rsidRPr="006823C8">
        <w:rPr>
          <w:b w:val="0"/>
          <w:bCs w:val="0"/>
        </w:rPr>
        <w:t>the</w:t>
      </w:r>
      <w:r>
        <w:rPr>
          <w:b w:val="0"/>
          <w:bCs w:val="0"/>
        </w:rPr>
        <w:t xml:space="preserve"> present purposes it </w:t>
      </w:r>
      <w:r w:rsidRPr="006823C8">
        <w:rPr>
          <w:b w:val="0"/>
          <w:bCs w:val="0"/>
        </w:rPr>
        <w:t>will</w:t>
      </w:r>
      <w:r>
        <w:rPr>
          <w:b w:val="0"/>
          <w:bCs w:val="0"/>
        </w:rPr>
        <w:t xml:space="preserve"> suffice</w:t>
      </w:r>
      <w:r w:rsidRPr="00C46C1F">
        <w:rPr>
          <w:b w:val="0"/>
          <w:bCs w:val="0"/>
        </w:rPr>
        <w:t xml:space="preserve"> </w:t>
      </w:r>
      <w:r>
        <w:rPr>
          <w:b w:val="0"/>
          <w:bCs w:val="0"/>
        </w:rPr>
        <w:t xml:space="preserve">to </w:t>
      </w:r>
      <w:r w:rsidR="00CB591D">
        <w:rPr>
          <w:b w:val="0"/>
          <w:bCs w:val="0"/>
        </w:rPr>
        <w:t>put them</w:t>
      </w:r>
      <w:r>
        <w:rPr>
          <w:b w:val="0"/>
          <w:bCs w:val="0"/>
        </w:rPr>
        <w:t xml:space="preserve"> </w:t>
      </w:r>
      <w:r w:rsidR="00CB591D">
        <w:rPr>
          <w:b w:val="0"/>
          <w:bCs w:val="0"/>
        </w:rPr>
        <w:t>into</w:t>
      </w:r>
      <w:r>
        <w:rPr>
          <w:b w:val="0"/>
          <w:bCs w:val="0"/>
        </w:rPr>
        <w:t xml:space="preserve"> a nutshell. Formally, the relation between a condition (</w:t>
      </w:r>
      <w:proofErr w:type="spellStart"/>
      <w:r>
        <w:rPr>
          <w:b w:val="0"/>
          <w:bCs w:val="0"/>
          <w:i/>
          <w:iCs/>
        </w:rPr>
        <w:t>conditio</w:t>
      </w:r>
      <w:proofErr w:type="spellEnd"/>
      <w:r>
        <w:rPr>
          <w:b w:val="0"/>
          <w:bCs w:val="0"/>
        </w:rPr>
        <w:t>) and what is conditioned (</w:t>
      </w:r>
      <w:proofErr w:type="spellStart"/>
      <w:r>
        <w:rPr>
          <w:b w:val="0"/>
          <w:bCs w:val="0"/>
          <w:i/>
          <w:iCs/>
        </w:rPr>
        <w:t>conditionatum</w:t>
      </w:r>
      <w:proofErr w:type="spellEnd"/>
      <w:r>
        <w:rPr>
          <w:b w:val="0"/>
          <w:bCs w:val="0"/>
        </w:rPr>
        <w:t>) is explained in a way such that from non-A (the negation of the condition) there follows non-B (the negation of the conditioned).</w:t>
      </w:r>
      <w:r w:rsidRPr="0051609F">
        <w:rPr>
          <w:rStyle w:val="Endnotenzeichen"/>
          <w:b w:val="0"/>
          <w:bCs w:val="0"/>
          <w:lang w:val="en-US"/>
        </w:rPr>
        <w:endnoteReference w:id="15"/>
      </w:r>
      <w:r>
        <w:rPr>
          <w:b w:val="0"/>
          <w:bCs w:val="0"/>
        </w:rPr>
        <w:t xml:space="preserve"> Leibniz applies this formal structure both to logical and ontological relations. </w:t>
      </w:r>
      <w:r w:rsidR="00CB591D">
        <w:rPr>
          <w:b w:val="0"/>
          <w:bCs w:val="0"/>
        </w:rPr>
        <w:t xml:space="preserve">On the </w:t>
      </w:r>
      <w:r w:rsidR="00CB591D" w:rsidRPr="00CB591D">
        <w:rPr>
          <w:b w:val="0"/>
          <w:bCs w:val="0"/>
        </w:rPr>
        <w:t xml:space="preserve">logical </w:t>
      </w:r>
      <w:r w:rsidR="00CB591D">
        <w:rPr>
          <w:b w:val="0"/>
          <w:bCs w:val="0"/>
        </w:rPr>
        <w:t>level</w:t>
      </w:r>
      <w:r w:rsidRPr="00CB591D">
        <w:rPr>
          <w:b w:val="0"/>
          <w:bCs w:val="0"/>
        </w:rPr>
        <w:t xml:space="preserve">, </w:t>
      </w:r>
      <w:r w:rsidR="00CB591D">
        <w:rPr>
          <w:b w:val="0"/>
          <w:bCs w:val="0"/>
        </w:rPr>
        <w:t>this formal structure</w:t>
      </w:r>
      <w:r w:rsidRPr="00CB591D">
        <w:rPr>
          <w:b w:val="0"/>
          <w:bCs w:val="0"/>
        </w:rPr>
        <w:t xml:space="preserve"> characterises the re</w:t>
      </w:r>
      <w:r w:rsidR="00CB591D">
        <w:rPr>
          <w:b w:val="0"/>
          <w:bCs w:val="0"/>
        </w:rPr>
        <w:t>lation between two propositions</w:t>
      </w:r>
      <w:r w:rsidRPr="00CB591D">
        <w:rPr>
          <w:b w:val="0"/>
          <w:bCs w:val="0"/>
        </w:rPr>
        <w:t xml:space="preserve"> when the truth of one proposition is a necessary condition of the truth of the other</w:t>
      </w:r>
      <w:r w:rsidR="00CB591D">
        <w:rPr>
          <w:b w:val="0"/>
          <w:bCs w:val="0"/>
        </w:rPr>
        <w:t>.</w:t>
      </w:r>
      <w:r w:rsidRPr="00CB591D">
        <w:rPr>
          <w:rStyle w:val="Endnotenzeichen"/>
          <w:b w:val="0"/>
          <w:bCs w:val="0"/>
          <w:lang w:val="en-US"/>
        </w:rPr>
        <w:endnoteReference w:id="16"/>
      </w:r>
      <w:r w:rsidRPr="00CB591D">
        <w:rPr>
          <w:b w:val="0"/>
          <w:bCs w:val="0"/>
        </w:rPr>
        <w:t xml:space="preserve"> </w:t>
      </w:r>
      <w:r w:rsidR="00CB591D">
        <w:rPr>
          <w:b w:val="0"/>
          <w:bCs w:val="0"/>
        </w:rPr>
        <w:t xml:space="preserve">Likewise, </w:t>
      </w:r>
      <w:r w:rsidRPr="00CB591D">
        <w:rPr>
          <w:b w:val="0"/>
          <w:bCs w:val="0"/>
        </w:rPr>
        <w:t>when one concept cannot be thought without the other</w:t>
      </w:r>
      <w:r w:rsidR="00CB591D">
        <w:rPr>
          <w:b w:val="0"/>
          <w:bCs w:val="0"/>
        </w:rPr>
        <w:t>, the same formal structure characterises the relation between two concepts</w:t>
      </w:r>
      <w:r w:rsidRPr="00CB591D">
        <w:rPr>
          <w:b w:val="0"/>
          <w:bCs w:val="0"/>
        </w:rPr>
        <w:t>.</w:t>
      </w:r>
      <w:r w:rsidRPr="00CB591D">
        <w:rPr>
          <w:rStyle w:val="Endnotenzeichen"/>
          <w:b w:val="0"/>
          <w:bCs w:val="0"/>
          <w:lang w:val="en-US"/>
        </w:rPr>
        <w:endnoteReference w:id="17"/>
      </w:r>
      <w:r w:rsidR="00CB591D">
        <w:rPr>
          <w:b w:val="0"/>
          <w:bCs w:val="0"/>
        </w:rPr>
        <w:t xml:space="preserve"> </w:t>
      </w:r>
      <w:r>
        <w:rPr>
          <w:b w:val="0"/>
          <w:bCs w:val="0"/>
        </w:rPr>
        <w:t xml:space="preserve">On the ontological level, Leibniz thinks of requisites as conditions of existence. In this sense, “[a] </w:t>
      </w:r>
      <w:r>
        <w:rPr>
          <w:b w:val="0"/>
          <w:bCs w:val="0"/>
          <w:i/>
          <w:iCs/>
        </w:rPr>
        <w:t xml:space="preserve">requisite </w:t>
      </w:r>
      <w:r>
        <w:rPr>
          <w:b w:val="0"/>
          <w:bCs w:val="0"/>
        </w:rPr>
        <w:t>is something that, if it is not given, a thing does not exist either.”</w:t>
      </w:r>
      <w:r w:rsidRPr="0051609F">
        <w:rPr>
          <w:rStyle w:val="Endnotenzeichen"/>
          <w:b w:val="0"/>
          <w:bCs w:val="0"/>
          <w:lang w:val="en-US"/>
        </w:rPr>
        <w:endnoteReference w:id="18"/>
      </w:r>
      <w:r>
        <w:rPr>
          <w:b w:val="0"/>
          <w:bCs w:val="0"/>
        </w:rPr>
        <w:t xml:space="preserve"> </w:t>
      </w:r>
      <w:r>
        <w:rPr>
          <w:b w:val="0"/>
          <w:bCs w:val="0"/>
        </w:rPr>
        <w:lastRenderedPageBreak/>
        <w:t>He distinguishes between mediate requisites—roughly: causal antecedents—of a thing or an event</w:t>
      </w:r>
      <w:r w:rsidRPr="0051609F">
        <w:rPr>
          <w:rStyle w:val="Endnotenzeichen"/>
          <w:b w:val="0"/>
          <w:bCs w:val="0"/>
          <w:lang w:val="en-US"/>
        </w:rPr>
        <w:endnoteReference w:id="19"/>
      </w:r>
      <w:r>
        <w:rPr>
          <w:b w:val="0"/>
          <w:bCs w:val="0"/>
        </w:rPr>
        <w:t xml:space="preserve"> and immediate requisites—roughly: parts or constituents—of a thing or an event.</w:t>
      </w:r>
      <w:r w:rsidRPr="0051609F">
        <w:rPr>
          <w:rStyle w:val="Endnotenzeichen"/>
          <w:b w:val="0"/>
          <w:bCs w:val="0"/>
          <w:lang w:val="en-US"/>
        </w:rPr>
        <w:endnoteReference w:id="20"/>
      </w:r>
      <w:r w:rsidR="00FC40DF">
        <w:rPr>
          <w:b w:val="0"/>
          <w:bCs w:val="0"/>
        </w:rPr>
        <w:t xml:space="preserve"> Mediate and immediate requisites</w:t>
      </w:r>
      <w:r>
        <w:rPr>
          <w:b w:val="0"/>
          <w:bCs w:val="0"/>
        </w:rPr>
        <w:t xml:space="preserve"> are ontological conditions: conditions for the existence of a thing or an event. Both logical and ontological conditions play a role in Leibniz’s conception of easiness. On the ontological level, a thing or an event is easier than another thing or event if its existence depends on fewer conditions. On the logical level, a concept or a proposition is easier than another concept or proposition if it depends on fewer logical conditions.</w:t>
      </w:r>
    </w:p>
    <w:p w14:paraId="239E8C93" w14:textId="77777777" w:rsidR="003B1C55" w:rsidRDefault="003B1C55" w:rsidP="003B1C55">
      <w:pPr>
        <w:pStyle w:val="Titel"/>
        <w:spacing w:line="480" w:lineRule="auto"/>
        <w:jc w:val="both"/>
        <w:rPr>
          <w:b w:val="0"/>
          <w:bCs w:val="0"/>
        </w:rPr>
      </w:pPr>
      <w:r>
        <w:rPr>
          <w:b w:val="0"/>
          <w:bCs w:val="0"/>
        </w:rPr>
        <w:tab/>
        <w:t xml:space="preserve">This conceptual apparatus underlies Leibniz’s claim that we should presume the possibility of a given </w:t>
      </w:r>
      <w:r w:rsidR="00FC40DF">
        <w:rPr>
          <w:b w:val="0"/>
          <w:bCs w:val="0"/>
        </w:rPr>
        <w:t>entity (</w:t>
      </w:r>
      <w:r>
        <w:rPr>
          <w:b w:val="0"/>
          <w:bCs w:val="0"/>
        </w:rPr>
        <w:t>thing</w:t>
      </w:r>
      <w:r w:rsidR="00FC40DF">
        <w:rPr>
          <w:b w:val="0"/>
          <w:bCs w:val="0"/>
        </w:rPr>
        <w:t xml:space="preserve"> or event)</w:t>
      </w:r>
      <w:r>
        <w:rPr>
          <w:b w:val="0"/>
          <w:bCs w:val="0"/>
        </w:rPr>
        <w:t>. He argues:</w:t>
      </w:r>
    </w:p>
    <w:p w14:paraId="1483ACFC" w14:textId="77777777" w:rsidR="003B1C55" w:rsidRDefault="003B1C55" w:rsidP="003B1C55">
      <w:pPr>
        <w:pStyle w:val="Titel"/>
        <w:spacing w:line="480" w:lineRule="auto"/>
        <w:jc w:val="both"/>
        <w:rPr>
          <w:b w:val="0"/>
          <w:bCs w:val="0"/>
        </w:rPr>
      </w:pPr>
    </w:p>
    <w:p w14:paraId="1A900143" w14:textId="77777777" w:rsidR="003B1C55" w:rsidRPr="00736432" w:rsidRDefault="003B1C55" w:rsidP="003B1C55">
      <w:pPr>
        <w:pStyle w:val="Titel"/>
        <w:spacing w:line="480" w:lineRule="auto"/>
        <w:jc w:val="both"/>
        <w:rPr>
          <w:b w:val="0"/>
          <w:bCs w:val="0"/>
          <w:sz w:val="20"/>
          <w:szCs w:val="20"/>
        </w:rPr>
      </w:pPr>
      <w:r w:rsidRPr="00736432">
        <w:rPr>
          <w:b w:val="0"/>
          <w:bCs w:val="0"/>
          <w:sz w:val="20"/>
          <w:szCs w:val="20"/>
        </w:rPr>
        <w:t>“For it is easier for something to turn out</w:t>
      </w:r>
      <w:r>
        <w:rPr>
          <w:b w:val="0"/>
          <w:bCs w:val="0"/>
          <w:sz w:val="20"/>
          <w:szCs w:val="20"/>
        </w:rPr>
        <w:t xml:space="preserve"> to be possible than impossible.</w:t>
      </w:r>
      <w:r w:rsidRPr="00736432">
        <w:rPr>
          <w:b w:val="0"/>
          <w:bCs w:val="0"/>
          <w:sz w:val="20"/>
          <w:szCs w:val="20"/>
        </w:rPr>
        <w:t xml:space="preserve"> For nothing is required for the possible but that it be supp</w:t>
      </w:r>
      <w:r>
        <w:rPr>
          <w:b w:val="0"/>
          <w:bCs w:val="0"/>
          <w:sz w:val="20"/>
          <w:szCs w:val="20"/>
        </w:rPr>
        <w:t>o</w:t>
      </w:r>
      <w:r w:rsidRPr="00736432">
        <w:rPr>
          <w:b w:val="0"/>
          <w:bCs w:val="0"/>
          <w:sz w:val="20"/>
          <w:szCs w:val="20"/>
        </w:rPr>
        <w:t>sed; for the impossible, however, it is required that while it is supp</w:t>
      </w:r>
      <w:r>
        <w:rPr>
          <w:b w:val="0"/>
          <w:bCs w:val="0"/>
          <w:sz w:val="20"/>
          <w:szCs w:val="20"/>
        </w:rPr>
        <w:t>o</w:t>
      </w:r>
      <w:r w:rsidRPr="00736432">
        <w:rPr>
          <w:b w:val="0"/>
          <w:bCs w:val="0"/>
          <w:sz w:val="20"/>
          <w:szCs w:val="20"/>
        </w:rPr>
        <w:t>sed, its opposite be supp</w:t>
      </w:r>
      <w:r>
        <w:rPr>
          <w:b w:val="0"/>
          <w:bCs w:val="0"/>
          <w:sz w:val="20"/>
          <w:szCs w:val="20"/>
        </w:rPr>
        <w:t>o</w:t>
      </w:r>
      <w:r w:rsidRPr="00736432">
        <w:rPr>
          <w:b w:val="0"/>
          <w:bCs w:val="0"/>
          <w:sz w:val="20"/>
          <w:szCs w:val="20"/>
        </w:rPr>
        <w:t>sed at the same time. Therefore, more things are required for the impossible than for the possible. […] Indeed, the requis</w:t>
      </w:r>
      <w:r>
        <w:rPr>
          <w:b w:val="0"/>
          <w:bCs w:val="0"/>
          <w:sz w:val="20"/>
          <w:szCs w:val="20"/>
        </w:rPr>
        <w:t>i</w:t>
      </w:r>
      <w:r w:rsidRPr="00736432">
        <w:rPr>
          <w:b w:val="0"/>
          <w:bCs w:val="0"/>
          <w:sz w:val="20"/>
          <w:szCs w:val="20"/>
        </w:rPr>
        <w:t>tes [</w:t>
      </w:r>
      <w:proofErr w:type="spellStart"/>
      <w:r w:rsidRPr="00736432">
        <w:rPr>
          <w:b w:val="0"/>
          <w:bCs w:val="0"/>
          <w:i/>
          <w:iCs/>
          <w:sz w:val="20"/>
          <w:szCs w:val="20"/>
        </w:rPr>
        <w:t>requisita</w:t>
      </w:r>
      <w:proofErr w:type="spellEnd"/>
      <w:r w:rsidRPr="00736432">
        <w:rPr>
          <w:b w:val="0"/>
          <w:bCs w:val="0"/>
          <w:sz w:val="20"/>
          <w:szCs w:val="20"/>
        </w:rPr>
        <w:t>] or suppositions [</w:t>
      </w:r>
      <w:proofErr w:type="spellStart"/>
      <w:r w:rsidRPr="00736432">
        <w:rPr>
          <w:b w:val="0"/>
          <w:bCs w:val="0"/>
          <w:i/>
          <w:iCs/>
          <w:sz w:val="20"/>
          <w:szCs w:val="20"/>
        </w:rPr>
        <w:t>supposita</w:t>
      </w:r>
      <w:proofErr w:type="spellEnd"/>
      <w:r w:rsidRPr="00736432">
        <w:rPr>
          <w:b w:val="0"/>
          <w:bCs w:val="0"/>
          <w:sz w:val="20"/>
          <w:szCs w:val="20"/>
        </w:rPr>
        <w:t xml:space="preserve">] of the possible are contained in the suppositions of the opposite, and not conversely. That is </w:t>
      </w:r>
      <w:r w:rsidRPr="00736432">
        <w:rPr>
          <w:b w:val="0"/>
          <w:bCs w:val="0"/>
          <w:i/>
          <w:iCs/>
          <w:sz w:val="20"/>
          <w:szCs w:val="20"/>
        </w:rPr>
        <w:t>presumed</w:t>
      </w:r>
      <w:r w:rsidRPr="00736432">
        <w:rPr>
          <w:b w:val="0"/>
          <w:bCs w:val="0"/>
          <w:sz w:val="20"/>
          <w:szCs w:val="20"/>
        </w:rPr>
        <w:t>, however, whose suppositions are also the suppositions of the opposite, and not conversely.”</w:t>
      </w:r>
      <w:r w:rsidRPr="00736432">
        <w:rPr>
          <w:rStyle w:val="Endnotenzeichen"/>
          <w:b w:val="0"/>
          <w:bCs w:val="0"/>
          <w:sz w:val="20"/>
          <w:szCs w:val="20"/>
          <w:lang w:val="en-US"/>
        </w:rPr>
        <w:endnoteReference w:id="21"/>
      </w:r>
    </w:p>
    <w:p w14:paraId="218D2648" w14:textId="77777777" w:rsidR="003B1C55" w:rsidRDefault="003B1C55" w:rsidP="003B1C55">
      <w:pPr>
        <w:pStyle w:val="Titel"/>
        <w:spacing w:line="480" w:lineRule="auto"/>
        <w:jc w:val="both"/>
        <w:rPr>
          <w:b w:val="0"/>
          <w:bCs w:val="0"/>
        </w:rPr>
      </w:pPr>
    </w:p>
    <w:p w14:paraId="3F0261D0" w14:textId="77777777" w:rsidR="003B1C55" w:rsidRPr="00093399" w:rsidRDefault="003B1C55" w:rsidP="00093399">
      <w:pPr>
        <w:pStyle w:val="Titel"/>
        <w:spacing w:line="480" w:lineRule="auto"/>
        <w:ind w:firstLine="397"/>
        <w:jc w:val="both"/>
        <w:rPr>
          <w:b w:val="0"/>
          <w:bCs w:val="0"/>
        </w:rPr>
      </w:pPr>
      <w:r>
        <w:rPr>
          <w:b w:val="0"/>
          <w:bCs w:val="0"/>
        </w:rPr>
        <w:t xml:space="preserve">It might be helpful to distinguish in this passage </w:t>
      </w:r>
      <w:r w:rsidRPr="002E727A">
        <w:rPr>
          <w:b w:val="0"/>
          <w:bCs w:val="0"/>
        </w:rPr>
        <w:t>between</w:t>
      </w:r>
      <w:r>
        <w:rPr>
          <w:b w:val="0"/>
          <w:bCs w:val="0"/>
        </w:rPr>
        <w:t xml:space="preserve"> the two levels </w:t>
      </w:r>
      <w:r w:rsidRPr="002E727A">
        <w:rPr>
          <w:b w:val="0"/>
          <w:bCs w:val="0"/>
        </w:rPr>
        <w:t>of</w:t>
      </w:r>
      <w:r>
        <w:rPr>
          <w:b w:val="0"/>
          <w:bCs w:val="0"/>
        </w:rPr>
        <w:t xml:space="preserve"> dependency relations. In the first half of the quotation, the dependency relation at stake is one between suppositions that we make: Leibniz tells us that we have to make one supposition in order to be able to make another supposition. Possibly, when Leibniz speaks of “supposing” a </w:t>
      </w:r>
      <w:r w:rsidR="00FC40DF">
        <w:rPr>
          <w:b w:val="0"/>
          <w:bCs w:val="0"/>
        </w:rPr>
        <w:t>particular possible or impossible entity</w:t>
      </w:r>
      <w:r>
        <w:rPr>
          <w:b w:val="0"/>
          <w:bCs w:val="0"/>
        </w:rPr>
        <w:t>, what he means is somethi</w:t>
      </w:r>
      <w:r w:rsidR="00FC40DF">
        <w:rPr>
          <w:b w:val="0"/>
          <w:bCs w:val="0"/>
        </w:rPr>
        <w:t>ng like “forming a concept” of this possible or impossible entity</w:t>
      </w:r>
      <w:r>
        <w:rPr>
          <w:b w:val="0"/>
          <w:bCs w:val="0"/>
        </w:rPr>
        <w:t>. In this case, his claim would be that in</w:t>
      </w:r>
      <w:r w:rsidR="00FC40DF">
        <w:rPr>
          <w:b w:val="0"/>
          <w:bCs w:val="0"/>
        </w:rPr>
        <w:t xml:space="preserve"> order to form the concept of a particular impossible entity</w:t>
      </w:r>
      <w:r>
        <w:rPr>
          <w:b w:val="0"/>
          <w:bCs w:val="0"/>
        </w:rPr>
        <w:t xml:space="preserve"> we first have to form the concept of a</w:t>
      </w:r>
      <w:r w:rsidR="00FC40DF">
        <w:rPr>
          <w:b w:val="0"/>
          <w:bCs w:val="0"/>
        </w:rPr>
        <w:t xml:space="preserve"> particular possible entity</w:t>
      </w:r>
      <w:r>
        <w:rPr>
          <w:b w:val="0"/>
          <w:bCs w:val="0"/>
        </w:rPr>
        <w:t>. I</w:t>
      </w:r>
      <w:r w:rsidR="00FC40DF">
        <w:rPr>
          <w:b w:val="0"/>
          <w:bCs w:val="0"/>
        </w:rPr>
        <w:t>n this sense, the concept of this possible entity</w:t>
      </w:r>
      <w:r>
        <w:rPr>
          <w:b w:val="0"/>
          <w:bCs w:val="0"/>
        </w:rPr>
        <w:t xml:space="preserve"> would be a condition of the</w:t>
      </w:r>
      <w:r w:rsidR="00FC40DF">
        <w:rPr>
          <w:b w:val="0"/>
          <w:bCs w:val="0"/>
        </w:rPr>
        <w:t xml:space="preserve"> concept of the impossible entity</w:t>
      </w:r>
      <w:r>
        <w:rPr>
          <w:b w:val="0"/>
          <w:bCs w:val="0"/>
        </w:rPr>
        <w:t xml:space="preserve">, not the other way round. So far, Leibniz formulates a claim </w:t>
      </w:r>
      <w:r>
        <w:rPr>
          <w:b w:val="0"/>
          <w:bCs w:val="0"/>
        </w:rPr>
        <w:lastRenderedPageBreak/>
        <w:t xml:space="preserve">about conceptual dependency. In the second half of the quotation, he shifts to the level </w:t>
      </w:r>
      <w:r w:rsidRPr="002E727A">
        <w:rPr>
          <w:b w:val="0"/>
          <w:bCs w:val="0"/>
        </w:rPr>
        <w:t>of</w:t>
      </w:r>
      <w:r>
        <w:rPr>
          <w:b w:val="0"/>
          <w:bCs w:val="0"/>
        </w:rPr>
        <w:t xml:space="preserve"> ontological dependency: we are told that a</w:t>
      </w:r>
      <w:r w:rsidR="00FC40DF">
        <w:rPr>
          <w:b w:val="0"/>
          <w:bCs w:val="0"/>
        </w:rPr>
        <w:t xml:space="preserve"> given possible entity</w:t>
      </w:r>
      <w:r>
        <w:rPr>
          <w:b w:val="0"/>
          <w:bCs w:val="0"/>
        </w:rPr>
        <w:t xml:space="preserve"> has fewer ontological req</w:t>
      </w:r>
      <w:r w:rsidR="00FC40DF">
        <w:rPr>
          <w:b w:val="0"/>
          <w:bCs w:val="0"/>
        </w:rPr>
        <w:t>uisites than an impossible entity</w:t>
      </w:r>
      <w:r>
        <w:rPr>
          <w:b w:val="0"/>
          <w:bCs w:val="0"/>
        </w:rPr>
        <w:t>. This claim becomes intelligible against the background of Leibniz’s conception of possibility as conceivability: everything that is logically consistent is possible, or conversely: if something is impossible, it involves a logical contradiction.</w:t>
      </w:r>
      <w:r w:rsidRPr="0051609F">
        <w:rPr>
          <w:rStyle w:val="Endnotenzeichen"/>
          <w:b w:val="0"/>
          <w:bCs w:val="0"/>
          <w:lang w:val="en-US"/>
        </w:rPr>
        <w:endnoteReference w:id="22"/>
      </w:r>
      <w:r>
        <w:rPr>
          <w:b w:val="0"/>
          <w:bCs w:val="0"/>
        </w:rPr>
        <w:t xml:space="preserve"> </w:t>
      </w:r>
      <w:r w:rsidR="00FC40DF">
        <w:rPr>
          <w:b w:val="0"/>
          <w:bCs w:val="0"/>
        </w:rPr>
        <w:t>Hence, to every impossible entity</w:t>
      </w:r>
      <w:r>
        <w:rPr>
          <w:b w:val="0"/>
          <w:bCs w:val="0"/>
        </w:rPr>
        <w:t xml:space="preserve"> there corresp</w:t>
      </w:r>
      <w:r w:rsidR="00FC40DF">
        <w:rPr>
          <w:b w:val="0"/>
          <w:bCs w:val="0"/>
        </w:rPr>
        <w:t>onds at least one possible entity</w:t>
      </w:r>
      <w:r>
        <w:rPr>
          <w:b w:val="0"/>
          <w:bCs w:val="0"/>
        </w:rPr>
        <w:t xml:space="preserve"> that has the same ontological re</w:t>
      </w:r>
      <w:r w:rsidR="00FC40DF">
        <w:rPr>
          <w:b w:val="0"/>
          <w:bCs w:val="0"/>
        </w:rPr>
        <w:t>quisites as the impossible entity</w:t>
      </w:r>
      <w:r>
        <w:rPr>
          <w:b w:val="0"/>
          <w:bCs w:val="0"/>
        </w:rPr>
        <w:t xml:space="preserve"> except those that are responsible for the contradiction. In other w</w:t>
      </w:r>
      <w:r w:rsidR="00FC40DF">
        <w:rPr>
          <w:b w:val="0"/>
          <w:bCs w:val="0"/>
        </w:rPr>
        <w:t>ords: For every impossible entity</w:t>
      </w:r>
      <w:r>
        <w:rPr>
          <w:b w:val="0"/>
          <w:bCs w:val="0"/>
        </w:rPr>
        <w:t xml:space="preserve"> ther</w:t>
      </w:r>
      <w:r w:rsidR="00FC40DF">
        <w:rPr>
          <w:b w:val="0"/>
          <w:bCs w:val="0"/>
        </w:rPr>
        <w:t>e is at least one possible entity</w:t>
      </w:r>
      <w:r>
        <w:rPr>
          <w:b w:val="0"/>
          <w:bCs w:val="0"/>
        </w:rPr>
        <w:t xml:space="preserve"> whose ontological requisites are a proper part of the ontological requisites </w:t>
      </w:r>
      <w:r w:rsidRPr="002E727A">
        <w:rPr>
          <w:b w:val="0"/>
          <w:bCs w:val="0"/>
        </w:rPr>
        <w:t>of</w:t>
      </w:r>
      <w:r>
        <w:rPr>
          <w:b w:val="0"/>
          <w:bCs w:val="0"/>
        </w:rPr>
        <w:t xml:space="preserve"> the</w:t>
      </w:r>
      <w:r w:rsidR="00FC40DF">
        <w:rPr>
          <w:b w:val="0"/>
          <w:bCs w:val="0"/>
        </w:rPr>
        <w:t xml:space="preserve"> impossible entity</w:t>
      </w:r>
      <w:r>
        <w:rPr>
          <w:b w:val="0"/>
          <w:bCs w:val="0"/>
        </w:rPr>
        <w:t xml:space="preserve">. In this sense, to be possible is easier than </w:t>
      </w:r>
      <w:r w:rsidR="00FC40DF">
        <w:rPr>
          <w:b w:val="0"/>
          <w:bCs w:val="0"/>
        </w:rPr>
        <w:t>to be impossible. Hence, an entity</w:t>
      </w:r>
      <w:r>
        <w:rPr>
          <w:b w:val="0"/>
          <w:bCs w:val="0"/>
        </w:rPr>
        <w:t xml:space="preserve"> should be presumed possible rather than impossible. Moreover, as </w:t>
      </w:r>
      <w:proofErr w:type="spellStart"/>
      <w:r>
        <w:rPr>
          <w:b w:val="0"/>
          <w:bCs w:val="0"/>
        </w:rPr>
        <w:t>Burkhardt</w:t>
      </w:r>
      <w:proofErr w:type="spellEnd"/>
      <w:r>
        <w:rPr>
          <w:b w:val="0"/>
          <w:bCs w:val="0"/>
        </w:rPr>
        <w:t xml:space="preserve"> and Robert M. Adams have noted, in the case of the presumption of possibility the work is done on the level of ontological requisites.</w:t>
      </w:r>
      <w:r w:rsidRPr="0051609F">
        <w:rPr>
          <w:rStyle w:val="Endnotenzeichen"/>
          <w:b w:val="0"/>
          <w:bCs w:val="0"/>
          <w:lang w:val="en-US"/>
        </w:rPr>
        <w:endnoteReference w:id="23"/>
      </w:r>
      <w:r>
        <w:rPr>
          <w:b w:val="0"/>
          <w:bCs w:val="0"/>
        </w:rPr>
        <w:t xml:space="preserve"> The level of logical dependency follows suit:</w:t>
      </w:r>
      <w:r w:rsidR="00093399">
        <w:rPr>
          <w:b w:val="0"/>
          <w:bCs w:val="0"/>
        </w:rPr>
        <w:t xml:space="preserve"> If the requisites of a possible entity are a proper part of the requisites of an impossible entity, then </w:t>
      </w:r>
      <w:r w:rsidR="008D4FC2">
        <w:rPr>
          <w:b w:val="0"/>
          <w:bCs w:val="0"/>
        </w:rPr>
        <w:t>the requisites of the concept of a possible entity are a proper part of the requisites of the concept of an impossible entity</w:t>
      </w:r>
      <w:r>
        <w:rPr>
          <w:b w:val="0"/>
          <w:bCs w:val="0"/>
        </w:rPr>
        <w:t>.</w:t>
      </w:r>
      <w:r w:rsidR="00093399">
        <w:rPr>
          <w:b w:val="0"/>
          <w:bCs w:val="0"/>
        </w:rPr>
        <w:t xml:space="preserve"> </w:t>
      </w:r>
      <w:r w:rsidR="008D4FC2">
        <w:rPr>
          <w:b w:val="0"/>
          <w:bCs w:val="0"/>
        </w:rPr>
        <w:t>T</w:t>
      </w:r>
      <w:r w:rsidR="00093399">
        <w:rPr>
          <w:b w:val="0"/>
          <w:bCs w:val="0"/>
        </w:rPr>
        <w:t xml:space="preserve">he supposition of the possible entity is easier than the supposition of the impossible entity </w:t>
      </w:r>
      <w:r w:rsidR="00093399">
        <w:rPr>
          <w:b w:val="0"/>
          <w:bCs w:val="0"/>
          <w:i/>
          <w:iCs/>
        </w:rPr>
        <w:t xml:space="preserve">because </w:t>
      </w:r>
      <w:r w:rsidR="00093399">
        <w:rPr>
          <w:b w:val="0"/>
          <w:bCs w:val="0"/>
        </w:rPr>
        <w:t>the possible entity is easier than the impossible entity.</w:t>
      </w:r>
    </w:p>
    <w:p w14:paraId="596F313E" w14:textId="77777777" w:rsidR="003B1C55" w:rsidRPr="00402E45" w:rsidRDefault="003B1C55" w:rsidP="002E727A">
      <w:pPr>
        <w:pStyle w:val="Titel"/>
        <w:spacing w:line="480" w:lineRule="auto"/>
        <w:jc w:val="both"/>
        <w:rPr>
          <w:b w:val="0"/>
          <w:bCs w:val="0"/>
        </w:rPr>
      </w:pPr>
      <w:r>
        <w:rPr>
          <w:b w:val="0"/>
          <w:bCs w:val="0"/>
        </w:rPr>
        <w:tab/>
        <w:t>With respect to the presumption of justice, Leibniz writes: “An action is more easily just than unjust”, to which he adds: “An action is presumed just.”</w:t>
      </w:r>
      <w:r w:rsidRPr="0051609F">
        <w:rPr>
          <w:rStyle w:val="Endnotenzeichen"/>
          <w:b w:val="0"/>
          <w:bCs w:val="0"/>
          <w:lang w:val="en-US"/>
        </w:rPr>
        <w:endnoteReference w:id="24"/>
      </w:r>
      <w:r>
        <w:rPr>
          <w:b w:val="0"/>
          <w:bCs w:val="0"/>
        </w:rPr>
        <w:t xml:space="preserve"> </w:t>
      </w:r>
      <w:proofErr w:type="spellStart"/>
      <w:r>
        <w:rPr>
          <w:b w:val="0"/>
          <w:bCs w:val="0"/>
        </w:rPr>
        <w:t>Burkhardt</w:t>
      </w:r>
      <w:proofErr w:type="spellEnd"/>
      <w:r>
        <w:rPr>
          <w:b w:val="0"/>
          <w:bCs w:val="0"/>
        </w:rPr>
        <w:t xml:space="preserve"> suggests that Leibniz here “conceives the unjust action as a privation of the just action.”</w:t>
      </w:r>
      <w:r w:rsidRPr="0051609F">
        <w:rPr>
          <w:rStyle w:val="Endnotenzeichen"/>
          <w:b w:val="0"/>
          <w:bCs w:val="0"/>
          <w:lang w:val="en-US"/>
        </w:rPr>
        <w:endnoteReference w:id="25"/>
      </w:r>
      <w:r>
        <w:rPr>
          <w:b w:val="0"/>
          <w:bCs w:val="0"/>
        </w:rPr>
        <w:t xml:space="preserve"> Indee</w:t>
      </w:r>
      <w:r w:rsidR="002E727A">
        <w:rPr>
          <w:b w:val="0"/>
          <w:bCs w:val="0"/>
        </w:rPr>
        <w:t xml:space="preserve">d, such an interpretation does </w:t>
      </w:r>
      <w:r>
        <w:rPr>
          <w:b w:val="0"/>
          <w:bCs w:val="0"/>
        </w:rPr>
        <w:t>capture Leibniz’s remarks about depende</w:t>
      </w:r>
      <w:r w:rsidR="00FC40DF">
        <w:rPr>
          <w:b w:val="0"/>
          <w:bCs w:val="0"/>
        </w:rPr>
        <w:t>ncy on the logical level. Moreover, in the manuscript variants, Leibniz</w:t>
      </w:r>
      <w:r w:rsidRPr="00051EF8">
        <w:rPr>
          <w:b w:val="0"/>
          <w:bCs w:val="0"/>
        </w:rPr>
        <w:t xml:space="preserve"> emphasizes the relevance of logical dependency relations for the presumption of justice. For example, </w:t>
      </w:r>
      <w:r>
        <w:rPr>
          <w:b w:val="0"/>
          <w:bCs w:val="0"/>
        </w:rPr>
        <w:t xml:space="preserve">he </w:t>
      </w:r>
      <w:r w:rsidRPr="00051EF8">
        <w:rPr>
          <w:b w:val="0"/>
          <w:bCs w:val="0"/>
        </w:rPr>
        <w:t>writes: “Presumed is what is presupposed by its opposite, and not conversely.”</w:t>
      </w:r>
      <w:r w:rsidRPr="00051EF8">
        <w:rPr>
          <w:rStyle w:val="Endnotenzeichen"/>
          <w:b w:val="0"/>
          <w:bCs w:val="0"/>
          <w:lang w:val="en-US"/>
        </w:rPr>
        <w:endnoteReference w:id="26"/>
      </w:r>
      <w:r>
        <w:rPr>
          <w:b w:val="0"/>
          <w:bCs w:val="0"/>
        </w:rPr>
        <w:t xml:space="preserve"> If an unjust action is a privation of a just action, one first would have to form the concept of the just action in order to </w:t>
      </w:r>
      <w:r>
        <w:rPr>
          <w:b w:val="0"/>
          <w:bCs w:val="0"/>
        </w:rPr>
        <w:lastRenderedPageBreak/>
        <w:t>understand the unjust action as a privation. In this sense, the supposition of the unjust action would depend on the supposition of the just action. Due to this relation of logical dependency, the supposition of the just action would be easier than the supposition of the unjust action and should, consequently, be favoured by presumption.</w:t>
      </w:r>
      <w:r w:rsidR="00FC40DF">
        <w:rPr>
          <w:b w:val="0"/>
          <w:bCs w:val="0"/>
        </w:rPr>
        <w:t xml:space="preserve"> In addition, there is at least one variant to the manuscript that suggests that in the case of the presumption of justice the relevant logical contradiction occurs on the level of logical conditions and consists in the fact that in the case of the unjust action one has to make two mutually inconsistent suppositions: the supposition of the unjust action </w:t>
      </w:r>
      <w:r w:rsidR="00FC40DF">
        <w:rPr>
          <w:b w:val="0"/>
          <w:bCs w:val="0"/>
          <w:i/>
          <w:iCs/>
        </w:rPr>
        <w:t xml:space="preserve">and </w:t>
      </w:r>
      <w:r w:rsidR="00FC40DF">
        <w:rPr>
          <w:b w:val="0"/>
          <w:bCs w:val="0"/>
        </w:rPr>
        <w:t>the supposition of the just action.</w:t>
      </w:r>
      <w:r w:rsidR="00FC40DF" w:rsidRPr="00051EF8">
        <w:rPr>
          <w:rStyle w:val="Endnotenzeichen"/>
          <w:b w:val="0"/>
          <w:bCs w:val="0"/>
          <w:lang w:val="en-US"/>
        </w:rPr>
        <w:endnoteReference w:id="27"/>
      </w:r>
      <w:r>
        <w:rPr>
          <w:b w:val="0"/>
          <w:bCs w:val="0"/>
        </w:rPr>
        <w:t xml:space="preserve"> </w:t>
      </w:r>
      <w:r w:rsidRPr="00051EF8">
        <w:rPr>
          <w:b w:val="0"/>
          <w:bCs w:val="0"/>
        </w:rPr>
        <w:t>However, unwelcome</w:t>
      </w:r>
      <w:r>
        <w:rPr>
          <w:b w:val="0"/>
          <w:bCs w:val="0"/>
        </w:rPr>
        <w:t xml:space="preserve"> consequences follow from interpreting an unjust action as a privation of a just action. If B is a privation of A, one would think that something is missing in B that is present in A.</w:t>
      </w:r>
      <w:r w:rsidR="00865A4C" w:rsidRPr="0051609F">
        <w:rPr>
          <w:rStyle w:val="Endnotenzeichen"/>
          <w:b w:val="0"/>
          <w:bCs w:val="0"/>
          <w:lang w:val="en-US"/>
        </w:rPr>
        <w:endnoteReference w:id="28"/>
      </w:r>
      <w:r>
        <w:rPr>
          <w:b w:val="0"/>
          <w:bCs w:val="0"/>
        </w:rPr>
        <w:t xml:space="preserve"> In this case, an unjust action would have </w:t>
      </w:r>
      <w:r w:rsidRPr="00E60E86">
        <w:rPr>
          <w:b w:val="0"/>
          <w:bCs w:val="0"/>
          <w:i/>
          <w:iCs/>
        </w:rPr>
        <w:t>fewer</w:t>
      </w:r>
      <w:r>
        <w:rPr>
          <w:b w:val="0"/>
          <w:bCs w:val="0"/>
        </w:rPr>
        <w:t xml:space="preserve"> requisites than a just action. But then, on the level of ontological requisites it would seem </w:t>
      </w:r>
      <w:r w:rsidRPr="002E727A">
        <w:rPr>
          <w:b w:val="0"/>
          <w:bCs w:val="0"/>
        </w:rPr>
        <w:t>that</w:t>
      </w:r>
      <w:r>
        <w:rPr>
          <w:b w:val="0"/>
          <w:bCs w:val="0"/>
        </w:rPr>
        <w:t xml:space="preserve"> the unjust action </w:t>
      </w:r>
      <w:r w:rsidRPr="002E727A">
        <w:rPr>
          <w:b w:val="0"/>
          <w:bCs w:val="0"/>
        </w:rPr>
        <w:t>is easier than</w:t>
      </w:r>
      <w:r>
        <w:rPr>
          <w:b w:val="0"/>
          <w:bCs w:val="0"/>
        </w:rPr>
        <w:t xml:space="preserve"> the just action and should therefore be presumed. But that is exac</w:t>
      </w:r>
      <w:r w:rsidR="00334B55">
        <w:rPr>
          <w:b w:val="0"/>
          <w:bCs w:val="0"/>
        </w:rPr>
        <w:t>tly what already the consideration</w:t>
      </w:r>
      <w:r w:rsidR="00EB22E6">
        <w:rPr>
          <w:b w:val="0"/>
          <w:bCs w:val="0"/>
        </w:rPr>
        <w:t>s</w:t>
      </w:r>
      <w:r>
        <w:rPr>
          <w:b w:val="0"/>
          <w:bCs w:val="0"/>
        </w:rPr>
        <w:t xml:space="preserve"> </w:t>
      </w:r>
      <w:r w:rsidR="0067074E">
        <w:rPr>
          <w:b w:val="0"/>
          <w:bCs w:val="0"/>
        </w:rPr>
        <w:t>concerning</w:t>
      </w:r>
      <w:r w:rsidR="00472498">
        <w:rPr>
          <w:b w:val="0"/>
          <w:bCs w:val="0"/>
        </w:rPr>
        <w:t xml:space="preserve"> Leibniz’s early views about the two higher degrees of natural law</w:t>
      </w:r>
      <w:r w:rsidR="00EB22E6">
        <w:rPr>
          <w:b w:val="0"/>
          <w:bCs w:val="0"/>
        </w:rPr>
        <w:t xml:space="preserve"> mentioned </w:t>
      </w:r>
      <w:r>
        <w:rPr>
          <w:b w:val="0"/>
          <w:bCs w:val="0"/>
        </w:rPr>
        <w:t>at the beginning of this paper</w:t>
      </w:r>
      <w:r w:rsidR="00334B55">
        <w:rPr>
          <w:b w:val="0"/>
          <w:bCs w:val="0"/>
        </w:rPr>
        <w:t xml:space="preserve"> seem to</w:t>
      </w:r>
      <w:r w:rsidR="00EB22E6">
        <w:rPr>
          <w:b w:val="0"/>
          <w:bCs w:val="0"/>
        </w:rPr>
        <w:t xml:space="preserve"> tell</w:t>
      </w:r>
      <w:r>
        <w:rPr>
          <w:b w:val="0"/>
          <w:bCs w:val="0"/>
        </w:rPr>
        <w:t xml:space="preserve"> us</w:t>
      </w:r>
      <w:r w:rsidR="00EB22E6">
        <w:rPr>
          <w:b w:val="0"/>
          <w:bCs w:val="0"/>
        </w:rPr>
        <w:t xml:space="preserve">: </w:t>
      </w:r>
      <w:r w:rsidR="00334B55">
        <w:rPr>
          <w:b w:val="0"/>
          <w:bCs w:val="0"/>
        </w:rPr>
        <w:t>act</w:t>
      </w:r>
      <w:r w:rsidR="00EB22E6">
        <w:rPr>
          <w:b w:val="0"/>
          <w:bCs w:val="0"/>
        </w:rPr>
        <w:t>ing justly seems to be more</w:t>
      </w:r>
      <w:r w:rsidR="00334B55">
        <w:rPr>
          <w:b w:val="0"/>
          <w:bCs w:val="0"/>
        </w:rPr>
        <w:t xml:space="preserve"> demanding</w:t>
      </w:r>
      <w:r w:rsidR="00EB22E6">
        <w:rPr>
          <w:b w:val="0"/>
          <w:bCs w:val="0"/>
        </w:rPr>
        <w:t xml:space="preserve"> than acting unjustly</w:t>
      </w:r>
      <w:r>
        <w:rPr>
          <w:b w:val="0"/>
          <w:bCs w:val="0"/>
        </w:rPr>
        <w:t xml:space="preserve">! Even within his elaborate framework of logical and ontological </w:t>
      </w:r>
      <w:r w:rsidR="00334B55">
        <w:rPr>
          <w:b w:val="0"/>
          <w:bCs w:val="0"/>
        </w:rPr>
        <w:t>conditions, Leibniz appears</w:t>
      </w:r>
      <w:r>
        <w:rPr>
          <w:b w:val="0"/>
          <w:bCs w:val="0"/>
        </w:rPr>
        <w:t xml:space="preserve"> to be in trouble—or even more so, since the level of logical conditions seems to give a recommendation about what to presume that is contrary to the recommendation given by the level of ontological conditions.</w:t>
      </w:r>
    </w:p>
    <w:p w14:paraId="19C0F8B5" w14:textId="77777777" w:rsidR="003B1C55" w:rsidRPr="00402E45" w:rsidRDefault="003B1C55" w:rsidP="003B1C55">
      <w:pPr>
        <w:pStyle w:val="Titel"/>
        <w:spacing w:line="480" w:lineRule="auto"/>
        <w:jc w:val="both"/>
        <w:rPr>
          <w:b w:val="0"/>
          <w:bCs w:val="0"/>
        </w:rPr>
      </w:pPr>
    </w:p>
    <w:p w14:paraId="1B1201C9" w14:textId="77777777" w:rsidR="003B1C55" w:rsidRPr="00402E45" w:rsidRDefault="003B1C55" w:rsidP="003B1C55">
      <w:pPr>
        <w:pStyle w:val="Titel"/>
        <w:spacing w:line="480" w:lineRule="auto"/>
        <w:rPr>
          <w:b w:val="0"/>
          <w:bCs w:val="0"/>
        </w:rPr>
      </w:pPr>
      <w:smartTag w:uri="urn:schemas-microsoft-com:office:smarttags" w:element="metricconverter">
        <w:smartTagPr>
          <w:attr w:name="ProductID" w:val="3. A"/>
        </w:smartTagPr>
        <w:r>
          <w:rPr>
            <w:b w:val="0"/>
            <w:bCs w:val="0"/>
          </w:rPr>
          <w:t>3. A</w:t>
        </w:r>
      </w:smartTag>
      <w:r>
        <w:rPr>
          <w:b w:val="0"/>
          <w:bCs w:val="0"/>
        </w:rPr>
        <w:t xml:space="preserve"> Solution</w:t>
      </w:r>
    </w:p>
    <w:p w14:paraId="1CDB412E" w14:textId="77777777" w:rsidR="003B1C55" w:rsidRDefault="003B1C55" w:rsidP="003B1C55">
      <w:pPr>
        <w:pStyle w:val="Titel"/>
        <w:spacing w:line="480" w:lineRule="auto"/>
        <w:jc w:val="both"/>
        <w:rPr>
          <w:b w:val="0"/>
          <w:bCs w:val="0"/>
        </w:rPr>
      </w:pPr>
    </w:p>
    <w:p w14:paraId="22604E4A" w14:textId="77777777" w:rsidR="003B1C55" w:rsidRDefault="003B1C55" w:rsidP="00B3767D">
      <w:pPr>
        <w:pStyle w:val="Titel"/>
        <w:spacing w:line="480" w:lineRule="auto"/>
        <w:jc w:val="both"/>
        <w:rPr>
          <w:b w:val="0"/>
          <w:bCs w:val="0"/>
        </w:rPr>
      </w:pPr>
      <w:r>
        <w:rPr>
          <w:b w:val="0"/>
          <w:bCs w:val="0"/>
        </w:rPr>
        <w:t xml:space="preserve">In reality, in the case of the presumption of </w:t>
      </w:r>
      <w:r w:rsidRPr="002E727A">
        <w:rPr>
          <w:b w:val="0"/>
          <w:bCs w:val="0"/>
        </w:rPr>
        <w:t>justice</w:t>
      </w:r>
      <w:r>
        <w:rPr>
          <w:b w:val="0"/>
          <w:bCs w:val="0"/>
        </w:rPr>
        <w:t xml:space="preserve"> the logical and ontological levels of dependency do not fall apart any more than in the case of the presumption of possibility. This is so because Leibniz regards the presumption of justice as a special case of the presumption </w:t>
      </w:r>
      <w:r>
        <w:rPr>
          <w:b w:val="0"/>
          <w:bCs w:val="0"/>
        </w:rPr>
        <w:lastRenderedPageBreak/>
        <w:t>of possibility. Indeed, what Leibniz says about the presumption of possibility is presented as an explanation of the presumption of justice. In his remarks on the presumption of possibility, he gives the following argument that starts from one of the sentences already quoted above: “[M]ore things are required for the impossible than for the possible. Therefore it is easier for an action to be just than to be unjust.”</w:t>
      </w:r>
      <w:r w:rsidRPr="0051609F">
        <w:rPr>
          <w:rStyle w:val="Endnotenzeichen"/>
          <w:b w:val="0"/>
          <w:bCs w:val="0"/>
          <w:lang w:val="en-US"/>
        </w:rPr>
        <w:endnoteReference w:id="29"/>
      </w:r>
      <w:r>
        <w:rPr>
          <w:b w:val="0"/>
          <w:bCs w:val="0"/>
        </w:rPr>
        <w:t xml:space="preserve"> On first sight, of course, the two presumptions are different: the one is concerned with the justice of an action, the other with the possibility of a thing. What connects the two presumptions, however, is Leibniz’s </w:t>
      </w:r>
      <w:r w:rsidRPr="002E727A">
        <w:rPr>
          <w:b w:val="0"/>
          <w:bCs w:val="0"/>
        </w:rPr>
        <w:t xml:space="preserve">modal </w:t>
      </w:r>
      <w:r>
        <w:rPr>
          <w:b w:val="0"/>
          <w:bCs w:val="0"/>
        </w:rPr>
        <w:t xml:space="preserve">approach to virtue ethics. For Leibniz, </w:t>
      </w:r>
      <w:r w:rsidRPr="002E727A">
        <w:rPr>
          <w:b w:val="0"/>
          <w:bCs w:val="0"/>
        </w:rPr>
        <w:t>as</w:t>
      </w:r>
      <w:r>
        <w:rPr>
          <w:b w:val="0"/>
          <w:bCs w:val="0"/>
        </w:rPr>
        <w:t xml:space="preserve"> for Aristotle, it is not the just action that makes an </w:t>
      </w:r>
      <w:r w:rsidR="00B3767D">
        <w:rPr>
          <w:b w:val="0"/>
          <w:bCs w:val="0"/>
        </w:rPr>
        <w:t>agent</w:t>
      </w:r>
      <w:r>
        <w:rPr>
          <w:b w:val="0"/>
          <w:bCs w:val="0"/>
        </w:rPr>
        <w:t xml:space="preserve"> just. Rather, just actions are those that can be done by just persons. It is the moral quality of a person (the embodiment of particular virtues) that defines the just person and hence, indirectly, the just action. Aristotle puts it thus: </w:t>
      </w:r>
    </w:p>
    <w:p w14:paraId="63A838C9" w14:textId="77777777" w:rsidR="003B1C55" w:rsidRDefault="003B1C55" w:rsidP="003B1C55">
      <w:pPr>
        <w:pStyle w:val="Titel"/>
        <w:spacing w:line="480" w:lineRule="auto"/>
        <w:jc w:val="both"/>
        <w:rPr>
          <w:b w:val="0"/>
          <w:bCs w:val="0"/>
        </w:rPr>
      </w:pPr>
    </w:p>
    <w:p w14:paraId="479750EF" w14:textId="77777777" w:rsidR="003B1C55" w:rsidRPr="0009296D" w:rsidRDefault="003B1C55" w:rsidP="003B1C55">
      <w:pPr>
        <w:pStyle w:val="Titel"/>
        <w:spacing w:line="480" w:lineRule="auto"/>
        <w:jc w:val="both"/>
        <w:rPr>
          <w:b w:val="0"/>
          <w:bCs w:val="0"/>
          <w:sz w:val="20"/>
          <w:szCs w:val="20"/>
        </w:rPr>
      </w:pPr>
      <w:r w:rsidRPr="0009296D">
        <w:rPr>
          <w:b w:val="0"/>
          <w:bCs w:val="0"/>
          <w:sz w:val="20"/>
          <w:szCs w:val="20"/>
        </w:rPr>
        <w:t xml:space="preserve"> “[A]</w:t>
      </w:r>
      <w:proofErr w:type="spellStart"/>
      <w:r w:rsidRPr="0009296D">
        <w:rPr>
          <w:b w:val="0"/>
          <w:bCs w:val="0"/>
          <w:sz w:val="20"/>
          <w:szCs w:val="20"/>
        </w:rPr>
        <w:t>lthough</w:t>
      </w:r>
      <w:proofErr w:type="spellEnd"/>
      <w:r w:rsidRPr="0009296D">
        <w:rPr>
          <w:b w:val="0"/>
          <w:bCs w:val="0"/>
          <w:sz w:val="20"/>
          <w:szCs w:val="20"/>
        </w:rPr>
        <w:t xml:space="preserve"> actions are entitled just and temperate when they are such acts as just and temperate men would do, the agent is just and temperate not when he does these acts merely, but when he does them in the way in which just and temperate men do them.”</w:t>
      </w:r>
      <w:r w:rsidRPr="0009296D">
        <w:rPr>
          <w:rStyle w:val="Endnotenzeichen"/>
          <w:b w:val="0"/>
          <w:bCs w:val="0"/>
          <w:sz w:val="20"/>
          <w:szCs w:val="20"/>
          <w:lang w:val="en-US"/>
        </w:rPr>
        <w:endnoteReference w:id="30"/>
      </w:r>
    </w:p>
    <w:p w14:paraId="1308B978" w14:textId="77777777" w:rsidR="003B1C55" w:rsidRDefault="003B1C55" w:rsidP="003B1C55">
      <w:pPr>
        <w:pStyle w:val="Titel"/>
        <w:spacing w:line="480" w:lineRule="auto"/>
        <w:ind w:firstLine="397"/>
        <w:jc w:val="both"/>
        <w:rPr>
          <w:b w:val="0"/>
          <w:bCs w:val="0"/>
        </w:rPr>
      </w:pPr>
    </w:p>
    <w:p w14:paraId="50BFDF80" w14:textId="77777777" w:rsidR="003B1C55" w:rsidRDefault="003B1C55" w:rsidP="002E727A">
      <w:pPr>
        <w:pStyle w:val="Titel"/>
        <w:spacing w:line="480" w:lineRule="auto"/>
        <w:ind w:firstLine="397"/>
        <w:jc w:val="both"/>
        <w:rPr>
          <w:b w:val="0"/>
          <w:bCs w:val="0"/>
        </w:rPr>
      </w:pPr>
      <w:r>
        <w:rPr>
          <w:b w:val="0"/>
          <w:bCs w:val="0"/>
        </w:rPr>
        <w:t xml:space="preserve">Leibniz expresses a similar thought in </w:t>
      </w:r>
      <w:r w:rsidR="002E727A">
        <w:rPr>
          <w:b w:val="0"/>
          <w:bCs w:val="0"/>
        </w:rPr>
        <w:t>modal</w:t>
      </w:r>
      <w:r>
        <w:rPr>
          <w:b w:val="0"/>
          <w:bCs w:val="0"/>
        </w:rPr>
        <w:t xml:space="preserve"> terms: According to him, a just action is “an actio</w:t>
      </w:r>
      <w:r w:rsidR="003A28CF">
        <w:rPr>
          <w:b w:val="0"/>
          <w:bCs w:val="0"/>
        </w:rPr>
        <w:t>n that is possible for</w:t>
      </w:r>
      <w:r>
        <w:rPr>
          <w:b w:val="0"/>
          <w:bCs w:val="0"/>
        </w:rPr>
        <w:t xml:space="preserve"> a good person (</w:t>
      </w:r>
      <w:proofErr w:type="spellStart"/>
      <w:r>
        <w:rPr>
          <w:b w:val="0"/>
          <w:bCs w:val="0"/>
          <w:i/>
          <w:iCs/>
        </w:rPr>
        <w:t>vir</w:t>
      </w:r>
      <w:proofErr w:type="spellEnd"/>
      <w:r>
        <w:rPr>
          <w:b w:val="0"/>
          <w:bCs w:val="0"/>
          <w:i/>
          <w:iCs/>
        </w:rPr>
        <w:t xml:space="preserve"> bonus</w:t>
      </w:r>
      <w:r>
        <w:rPr>
          <w:b w:val="0"/>
          <w:bCs w:val="0"/>
        </w:rPr>
        <w:t>)”.</w:t>
      </w:r>
      <w:r w:rsidRPr="0051609F">
        <w:rPr>
          <w:rStyle w:val="Endnotenzeichen"/>
          <w:b w:val="0"/>
          <w:bCs w:val="0"/>
          <w:lang w:val="en-US"/>
        </w:rPr>
        <w:endnoteReference w:id="31"/>
      </w:r>
      <w:r>
        <w:rPr>
          <w:b w:val="0"/>
          <w:bCs w:val="0"/>
        </w:rPr>
        <w:t xml:space="preserve"> To be sure, as far as the characterisation of the moral quality embodied by a good person goes, Leibniz’s views depart from Aristotle’s. At the early stage of his thought represented in the </w:t>
      </w:r>
      <w:r>
        <w:rPr>
          <w:b w:val="0"/>
          <w:bCs w:val="0"/>
          <w:i/>
          <w:iCs/>
        </w:rPr>
        <w:t>Elements of Natural Law</w:t>
      </w:r>
      <w:r>
        <w:rPr>
          <w:b w:val="0"/>
          <w:bCs w:val="0"/>
        </w:rPr>
        <w:t xml:space="preserve">, Leibniz has </w:t>
      </w:r>
      <w:r w:rsidRPr="002E727A">
        <w:rPr>
          <w:b w:val="0"/>
          <w:bCs w:val="0"/>
        </w:rPr>
        <w:t>not yet fully</w:t>
      </w:r>
      <w:r>
        <w:rPr>
          <w:b w:val="0"/>
          <w:bCs w:val="0"/>
        </w:rPr>
        <w:t xml:space="preserve"> arrived at his later, famous defin</w:t>
      </w:r>
      <w:r w:rsidR="00172587">
        <w:rPr>
          <w:b w:val="0"/>
          <w:bCs w:val="0"/>
        </w:rPr>
        <w:t xml:space="preserve">ition of </w:t>
      </w:r>
      <w:r w:rsidR="009444DE">
        <w:rPr>
          <w:b w:val="0"/>
          <w:bCs w:val="0"/>
        </w:rPr>
        <w:t xml:space="preserve">universal </w:t>
      </w:r>
      <w:r w:rsidR="00172587">
        <w:rPr>
          <w:b w:val="0"/>
          <w:bCs w:val="0"/>
        </w:rPr>
        <w:t>justice as the “charity</w:t>
      </w:r>
      <w:r>
        <w:rPr>
          <w:b w:val="0"/>
          <w:bCs w:val="0"/>
        </w:rPr>
        <w:t xml:space="preserve"> of the wise” (</w:t>
      </w:r>
      <w:r>
        <w:rPr>
          <w:b w:val="0"/>
          <w:bCs w:val="0"/>
          <w:i/>
          <w:iCs/>
        </w:rPr>
        <w:t xml:space="preserve">caritas </w:t>
      </w:r>
      <w:proofErr w:type="spellStart"/>
      <w:r>
        <w:rPr>
          <w:b w:val="0"/>
          <w:bCs w:val="0"/>
          <w:i/>
          <w:iCs/>
        </w:rPr>
        <w:t>sapientis</w:t>
      </w:r>
      <w:proofErr w:type="spellEnd"/>
      <w:r>
        <w:rPr>
          <w:b w:val="0"/>
          <w:bCs w:val="0"/>
        </w:rPr>
        <w:t>).</w:t>
      </w:r>
      <w:r w:rsidR="00865A4C" w:rsidRPr="0051609F">
        <w:rPr>
          <w:rStyle w:val="Endnotenzeichen"/>
          <w:b w:val="0"/>
          <w:bCs w:val="0"/>
          <w:lang w:val="en-US"/>
        </w:rPr>
        <w:endnoteReference w:id="32"/>
      </w:r>
      <w:r w:rsidR="009444DE">
        <w:rPr>
          <w:b w:val="0"/>
          <w:bCs w:val="0"/>
        </w:rPr>
        <w:t xml:space="preserve"> Nevertheless,</w:t>
      </w:r>
      <w:r>
        <w:rPr>
          <w:b w:val="0"/>
          <w:bCs w:val="0"/>
        </w:rPr>
        <w:t xml:space="preserve"> </w:t>
      </w:r>
      <w:r w:rsidR="009444DE">
        <w:rPr>
          <w:b w:val="0"/>
          <w:bCs w:val="0"/>
          <w:i/>
          <w:iCs/>
        </w:rPr>
        <w:t>c</w:t>
      </w:r>
      <w:r>
        <w:rPr>
          <w:b w:val="0"/>
          <w:bCs w:val="0"/>
          <w:i/>
          <w:iCs/>
        </w:rPr>
        <w:t xml:space="preserve">aritas </w:t>
      </w:r>
      <w:r>
        <w:rPr>
          <w:b w:val="0"/>
          <w:bCs w:val="0"/>
        </w:rPr>
        <w:t>is implicit in his definition of justice as “the habit of loving everyone”</w:t>
      </w:r>
      <w:r w:rsidRPr="0051609F">
        <w:rPr>
          <w:rStyle w:val="Endnotenzeichen"/>
          <w:b w:val="0"/>
          <w:bCs w:val="0"/>
          <w:lang w:val="en-US"/>
        </w:rPr>
        <w:endnoteReference w:id="33"/>
      </w:r>
      <w:r>
        <w:rPr>
          <w:b w:val="0"/>
          <w:bCs w:val="0"/>
        </w:rPr>
        <w:t xml:space="preserve"> and of the good person as “the person who loves everyone.”</w:t>
      </w:r>
      <w:r w:rsidRPr="0051609F">
        <w:rPr>
          <w:rStyle w:val="Endnotenzeichen"/>
          <w:b w:val="0"/>
          <w:bCs w:val="0"/>
          <w:lang w:val="en-US"/>
        </w:rPr>
        <w:endnoteReference w:id="34"/>
      </w:r>
      <w:r w:rsidR="003A28CF">
        <w:rPr>
          <w:b w:val="0"/>
          <w:bCs w:val="0"/>
        </w:rPr>
        <w:t xml:space="preserve"> A</w:t>
      </w:r>
      <w:r>
        <w:rPr>
          <w:b w:val="0"/>
          <w:bCs w:val="0"/>
        </w:rPr>
        <w:t xml:space="preserve">s the variants to the manuscript document, Leibniz </w:t>
      </w:r>
      <w:r w:rsidR="009444DE">
        <w:rPr>
          <w:b w:val="0"/>
          <w:bCs w:val="0"/>
        </w:rPr>
        <w:t xml:space="preserve">also considered including </w:t>
      </w:r>
      <w:r>
        <w:rPr>
          <w:b w:val="0"/>
          <w:bCs w:val="0"/>
        </w:rPr>
        <w:t>prudence (</w:t>
      </w:r>
      <w:proofErr w:type="spellStart"/>
      <w:r>
        <w:rPr>
          <w:b w:val="0"/>
          <w:bCs w:val="0"/>
          <w:i/>
          <w:iCs/>
        </w:rPr>
        <w:t>prudentia</w:t>
      </w:r>
      <w:proofErr w:type="spellEnd"/>
      <w:r>
        <w:rPr>
          <w:b w:val="0"/>
          <w:bCs w:val="0"/>
        </w:rPr>
        <w:t>) in the definition of the good person.</w:t>
      </w:r>
      <w:r w:rsidRPr="0051609F">
        <w:rPr>
          <w:rStyle w:val="Endnotenzeichen"/>
          <w:b w:val="0"/>
          <w:bCs w:val="0"/>
          <w:lang w:val="en-US"/>
        </w:rPr>
        <w:endnoteReference w:id="35"/>
      </w:r>
      <w:r>
        <w:rPr>
          <w:b w:val="0"/>
          <w:bCs w:val="0"/>
        </w:rPr>
        <w:t xml:space="preserve"> In any case, in one respect his opinion is clear: A just action is a special kind of possibility: something that is possible for a </w:t>
      </w:r>
      <w:r>
        <w:rPr>
          <w:b w:val="0"/>
          <w:bCs w:val="0"/>
        </w:rPr>
        <w:lastRenderedPageBreak/>
        <w:t>good person.</w:t>
      </w:r>
      <w:r w:rsidRPr="0051609F">
        <w:rPr>
          <w:rStyle w:val="Endnotenzeichen"/>
          <w:b w:val="0"/>
          <w:bCs w:val="0"/>
          <w:lang w:val="en-US"/>
        </w:rPr>
        <w:endnoteReference w:id="36"/>
      </w:r>
      <w:r>
        <w:rPr>
          <w:b w:val="0"/>
          <w:bCs w:val="0"/>
        </w:rPr>
        <w:t xml:space="preserve"> In the manuscript variants to the passage about the presumption of justice, he explains:</w:t>
      </w:r>
    </w:p>
    <w:p w14:paraId="6BEE0019" w14:textId="77777777" w:rsidR="003B1C55" w:rsidRDefault="003B1C55" w:rsidP="003B1C55">
      <w:pPr>
        <w:pStyle w:val="Titel"/>
        <w:spacing w:line="480" w:lineRule="auto"/>
        <w:ind w:firstLine="397"/>
        <w:jc w:val="both"/>
        <w:rPr>
          <w:b w:val="0"/>
          <w:bCs w:val="0"/>
        </w:rPr>
      </w:pPr>
    </w:p>
    <w:p w14:paraId="2486ADAE" w14:textId="77777777" w:rsidR="003B1C55" w:rsidRPr="001254BF" w:rsidRDefault="003B1C55" w:rsidP="003B1C55">
      <w:pPr>
        <w:pStyle w:val="Titel"/>
        <w:spacing w:line="480" w:lineRule="auto"/>
        <w:jc w:val="both"/>
        <w:rPr>
          <w:b w:val="0"/>
          <w:bCs w:val="0"/>
          <w:sz w:val="20"/>
          <w:szCs w:val="20"/>
        </w:rPr>
      </w:pPr>
      <w:r>
        <w:rPr>
          <w:b w:val="0"/>
          <w:bCs w:val="0"/>
          <w:sz w:val="20"/>
          <w:szCs w:val="20"/>
        </w:rPr>
        <w:t>“The just is easier than the u</w:t>
      </w:r>
      <w:r w:rsidRPr="001254BF">
        <w:rPr>
          <w:b w:val="0"/>
          <w:bCs w:val="0"/>
          <w:sz w:val="20"/>
          <w:szCs w:val="20"/>
        </w:rPr>
        <w:t xml:space="preserve">njust. For easier is what is more possible, or what requires fewer things for its existence. </w:t>
      </w:r>
      <w:r>
        <w:rPr>
          <w:b w:val="0"/>
          <w:bCs w:val="0"/>
          <w:sz w:val="20"/>
          <w:szCs w:val="20"/>
        </w:rPr>
        <w:t>Yet</w:t>
      </w:r>
      <w:r w:rsidRPr="001254BF">
        <w:rPr>
          <w:b w:val="0"/>
          <w:bCs w:val="0"/>
          <w:sz w:val="20"/>
          <w:szCs w:val="20"/>
        </w:rPr>
        <w:t xml:space="preserve"> in order for something to be just, it is required that it is possible, in or</w:t>
      </w:r>
      <w:r>
        <w:rPr>
          <w:b w:val="0"/>
          <w:bCs w:val="0"/>
          <w:sz w:val="20"/>
          <w:szCs w:val="20"/>
        </w:rPr>
        <w:t>der to be u</w:t>
      </w:r>
      <w:r w:rsidRPr="001254BF">
        <w:rPr>
          <w:b w:val="0"/>
          <w:bCs w:val="0"/>
          <w:sz w:val="20"/>
          <w:szCs w:val="20"/>
        </w:rPr>
        <w:t>njust it is required that it is impossible for a good person. But fewer things are required for the possible than for the impossible.”</w:t>
      </w:r>
      <w:r w:rsidRPr="001254BF">
        <w:rPr>
          <w:rStyle w:val="Endnotenzeichen"/>
          <w:b w:val="0"/>
          <w:bCs w:val="0"/>
          <w:sz w:val="20"/>
          <w:szCs w:val="20"/>
          <w:lang w:val="en-US"/>
        </w:rPr>
        <w:endnoteReference w:id="37"/>
      </w:r>
    </w:p>
    <w:p w14:paraId="5DC1A395" w14:textId="77777777" w:rsidR="003B1C55" w:rsidRDefault="003B1C55" w:rsidP="003B1C55">
      <w:pPr>
        <w:pStyle w:val="Titel"/>
        <w:spacing w:line="480" w:lineRule="auto"/>
        <w:ind w:firstLine="397"/>
        <w:jc w:val="both"/>
        <w:rPr>
          <w:b w:val="0"/>
          <w:bCs w:val="0"/>
        </w:rPr>
      </w:pPr>
    </w:p>
    <w:p w14:paraId="68AD6DE2" w14:textId="77777777" w:rsidR="003B1C55" w:rsidRPr="00E1740A" w:rsidRDefault="003B1C55" w:rsidP="002E727A">
      <w:pPr>
        <w:pStyle w:val="Titel"/>
        <w:spacing w:line="480" w:lineRule="auto"/>
        <w:ind w:firstLine="397"/>
        <w:jc w:val="both"/>
        <w:rPr>
          <w:b w:val="0"/>
          <w:bCs w:val="0"/>
        </w:rPr>
      </w:pPr>
      <w:r>
        <w:rPr>
          <w:b w:val="0"/>
          <w:bCs w:val="0"/>
        </w:rPr>
        <w:t>It should be clear now that the logic of the presumption of justice is closely analogous to the logic of the presumption of possibility. The presumption of justice amounts to the claim that it is easier for an acti</w:t>
      </w:r>
      <w:r w:rsidR="003A28CF">
        <w:rPr>
          <w:b w:val="0"/>
          <w:bCs w:val="0"/>
        </w:rPr>
        <w:t xml:space="preserve">on to be possible for </w:t>
      </w:r>
      <w:r>
        <w:rPr>
          <w:b w:val="0"/>
          <w:bCs w:val="0"/>
        </w:rPr>
        <w:t>a good person tha</w:t>
      </w:r>
      <w:r w:rsidR="003A28CF">
        <w:rPr>
          <w:b w:val="0"/>
          <w:bCs w:val="0"/>
        </w:rPr>
        <w:t>n to be impossible for</w:t>
      </w:r>
      <w:r>
        <w:rPr>
          <w:b w:val="0"/>
          <w:bCs w:val="0"/>
        </w:rPr>
        <w:t xml:space="preserve"> a good person. Again, the background of this claim is Leibniz’s conception of possibility as non-contradiction. An action </w:t>
      </w:r>
      <w:r w:rsidR="003A28CF">
        <w:rPr>
          <w:b w:val="0"/>
          <w:bCs w:val="0"/>
        </w:rPr>
        <w:t>that is impossible for</w:t>
      </w:r>
      <w:r>
        <w:rPr>
          <w:b w:val="0"/>
          <w:bCs w:val="0"/>
        </w:rPr>
        <w:t xml:space="preserve"> a good p</w:t>
      </w:r>
      <w:r w:rsidR="003A28CF">
        <w:rPr>
          <w:b w:val="0"/>
          <w:bCs w:val="0"/>
        </w:rPr>
        <w:t>erson is an action that, if performed</w:t>
      </w:r>
      <w:r>
        <w:rPr>
          <w:b w:val="0"/>
          <w:bCs w:val="0"/>
        </w:rPr>
        <w:t xml:space="preserve"> by a good person, involves a logical contradiction. Among its ontological requisites, there is at least one that accounts for the occurrence of this contradiction. Hence, for every action </w:t>
      </w:r>
      <w:r w:rsidR="003A28CF">
        <w:rPr>
          <w:b w:val="0"/>
          <w:bCs w:val="0"/>
        </w:rPr>
        <w:t>that is impossible for</w:t>
      </w:r>
      <w:r>
        <w:rPr>
          <w:b w:val="0"/>
          <w:bCs w:val="0"/>
        </w:rPr>
        <w:t xml:space="preserve"> a good person there is at least one actio</w:t>
      </w:r>
      <w:r w:rsidR="003A28CF">
        <w:rPr>
          <w:b w:val="0"/>
          <w:bCs w:val="0"/>
        </w:rPr>
        <w:t>n that is possible for</w:t>
      </w:r>
      <w:r>
        <w:rPr>
          <w:b w:val="0"/>
          <w:bCs w:val="0"/>
        </w:rPr>
        <w:t xml:space="preserve"> a good person that has the same ontological requisites except the ones that are responsible for the contradiction. In this sense, for every unjust action there is at least one just action that is easier than the unjust one. In the manuscript variants, Leibniz </w:t>
      </w:r>
      <w:r w:rsidRPr="00FD51FA">
        <w:rPr>
          <w:b w:val="0"/>
          <w:bCs w:val="0"/>
        </w:rPr>
        <w:t>emphasises that “in a presumption we demonstrate from the nature of the thing that it is easier”, or, equivalently, “When we presume something, we demonstrate from its nature that it is easier</w:t>
      </w:r>
      <w:r w:rsidR="003A28CF">
        <w:rPr>
          <w:b w:val="0"/>
          <w:bCs w:val="0"/>
        </w:rPr>
        <w:t>.</w:t>
      </w:r>
      <w:r w:rsidRPr="00FD51FA">
        <w:rPr>
          <w:b w:val="0"/>
          <w:bCs w:val="0"/>
        </w:rPr>
        <w:t>”</w:t>
      </w:r>
      <w:r w:rsidRPr="00FD51FA">
        <w:rPr>
          <w:rStyle w:val="Endnotenzeichen"/>
          <w:b w:val="0"/>
          <w:bCs w:val="0"/>
          <w:lang w:val="en-US"/>
        </w:rPr>
        <w:endnoteReference w:id="38"/>
      </w:r>
      <w:r w:rsidRPr="00FD51FA">
        <w:rPr>
          <w:b w:val="0"/>
          <w:bCs w:val="0"/>
        </w:rPr>
        <w:t xml:space="preserve"> These remarks</w:t>
      </w:r>
      <w:r>
        <w:rPr>
          <w:b w:val="0"/>
          <w:bCs w:val="0"/>
        </w:rPr>
        <w:t xml:space="preserve"> suggest that also in the case of the presumption of justice the work is done </w:t>
      </w:r>
      <w:r w:rsidRPr="002E727A">
        <w:rPr>
          <w:b w:val="0"/>
          <w:bCs w:val="0"/>
        </w:rPr>
        <w:t>on</w:t>
      </w:r>
      <w:r>
        <w:rPr>
          <w:b w:val="0"/>
          <w:bCs w:val="0"/>
        </w:rPr>
        <w:t xml:space="preserve"> the level </w:t>
      </w:r>
      <w:r w:rsidRPr="002E727A">
        <w:rPr>
          <w:b w:val="0"/>
          <w:bCs w:val="0"/>
        </w:rPr>
        <w:t>of</w:t>
      </w:r>
      <w:r>
        <w:rPr>
          <w:b w:val="0"/>
          <w:bCs w:val="0"/>
        </w:rPr>
        <w:t xml:space="preserve"> ontological requisites and that the level of logical dependency between concepts or “suppositions” follows suit. As in the case of the presumption of possibility, the constituents of the concept of a just action are a proper part of the concept of an unjust action, </w:t>
      </w:r>
      <w:r w:rsidRPr="00B81894">
        <w:rPr>
          <w:b w:val="0"/>
          <w:bCs w:val="0"/>
          <w:i/>
          <w:iCs/>
        </w:rPr>
        <w:t>because</w:t>
      </w:r>
      <w:r>
        <w:rPr>
          <w:b w:val="0"/>
          <w:bCs w:val="0"/>
        </w:rPr>
        <w:t xml:space="preserve"> the ontological requisites of a just action are a proper part of the requisites of an unjust action. Hence, there is </w:t>
      </w:r>
      <w:r>
        <w:rPr>
          <w:b w:val="0"/>
          <w:bCs w:val="0"/>
        </w:rPr>
        <w:lastRenderedPageBreak/>
        <w:t xml:space="preserve">no discrepancy between the recommendations </w:t>
      </w:r>
      <w:r w:rsidRPr="002E727A">
        <w:rPr>
          <w:b w:val="0"/>
          <w:bCs w:val="0"/>
        </w:rPr>
        <w:t xml:space="preserve">given </w:t>
      </w:r>
      <w:r w:rsidR="002E727A">
        <w:rPr>
          <w:b w:val="0"/>
          <w:bCs w:val="0"/>
        </w:rPr>
        <w:t>on</w:t>
      </w:r>
      <w:r>
        <w:rPr>
          <w:b w:val="0"/>
          <w:bCs w:val="0"/>
        </w:rPr>
        <w:t xml:space="preserve"> the logical and ontological levels of dependency. The presumptions recommended on the logical and ontological levels agree because the unjust action </w:t>
      </w:r>
      <w:r w:rsidRPr="002E727A">
        <w:rPr>
          <w:b w:val="0"/>
          <w:bCs w:val="0"/>
        </w:rPr>
        <w:t>has</w:t>
      </w:r>
      <w:r>
        <w:rPr>
          <w:b w:val="0"/>
          <w:bCs w:val="0"/>
        </w:rPr>
        <w:t xml:space="preserve"> not </w:t>
      </w:r>
      <w:r>
        <w:rPr>
          <w:b w:val="0"/>
          <w:bCs w:val="0"/>
          <w:i/>
          <w:iCs/>
        </w:rPr>
        <w:t>fewer</w:t>
      </w:r>
      <w:r w:rsidR="002E727A" w:rsidRPr="002E727A">
        <w:rPr>
          <w:b w:val="0"/>
          <w:bCs w:val="0"/>
        </w:rPr>
        <w:t xml:space="preserve">, </w:t>
      </w:r>
      <w:r>
        <w:rPr>
          <w:b w:val="0"/>
          <w:bCs w:val="0"/>
        </w:rPr>
        <w:t xml:space="preserve">but </w:t>
      </w:r>
      <w:r w:rsidRPr="009E0318">
        <w:rPr>
          <w:b w:val="0"/>
          <w:bCs w:val="0"/>
          <w:i/>
          <w:iCs/>
        </w:rPr>
        <w:t>more</w:t>
      </w:r>
      <w:r w:rsidR="002E727A">
        <w:rPr>
          <w:b w:val="0"/>
          <w:bCs w:val="0"/>
        </w:rPr>
        <w:t xml:space="preserve">, </w:t>
      </w:r>
      <w:r>
        <w:rPr>
          <w:b w:val="0"/>
          <w:bCs w:val="0"/>
        </w:rPr>
        <w:t>ontological requisites than the just action.</w:t>
      </w:r>
    </w:p>
    <w:p w14:paraId="605D6060" w14:textId="77777777" w:rsidR="00A072A1" w:rsidRDefault="00A072A1" w:rsidP="003B1C55">
      <w:pPr>
        <w:pStyle w:val="Titel"/>
        <w:spacing w:line="480" w:lineRule="auto"/>
        <w:jc w:val="both"/>
        <w:rPr>
          <w:b w:val="0"/>
          <w:bCs w:val="0"/>
        </w:rPr>
      </w:pPr>
    </w:p>
    <w:p w14:paraId="79472494" w14:textId="77777777" w:rsidR="003B1C55" w:rsidRDefault="003B1C55" w:rsidP="003B1C55">
      <w:pPr>
        <w:pStyle w:val="Titel"/>
        <w:spacing w:line="480" w:lineRule="auto"/>
        <w:rPr>
          <w:b w:val="0"/>
          <w:bCs w:val="0"/>
        </w:rPr>
      </w:pPr>
      <w:r>
        <w:rPr>
          <w:b w:val="0"/>
          <w:bCs w:val="0"/>
        </w:rPr>
        <w:t>4. Conclusion</w:t>
      </w:r>
    </w:p>
    <w:p w14:paraId="39533C93" w14:textId="77777777" w:rsidR="003B1C55" w:rsidRDefault="003B1C55" w:rsidP="003B1C55">
      <w:pPr>
        <w:pStyle w:val="Titel"/>
        <w:spacing w:line="480" w:lineRule="auto"/>
        <w:jc w:val="both"/>
        <w:rPr>
          <w:b w:val="0"/>
          <w:bCs w:val="0"/>
        </w:rPr>
      </w:pPr>
    </w:p>
    <w:p w14:paraId="4947A227" w14:textId="77777777" w:rsidR="00CB5DBB" w:rsidRDefault="00A072A1" w:rsidP="00B06FE7">
      <w:pPr>
        <w:pStyle w:val="Titel"/>
        <w:spacing w:line="480" w:lineRule="auto"/>
        <w:jc w:val="both"/>
        <w:rPr>
          <w:b w:val="0"/>
          <w:bCs w:val="0"/>
        </w:rPr>
      </w:pPr>
      <w:r>
        <w:rPr>
          <w:b w:val="0"/>
          <w:bCs w:val="0"/>
        </w:rPr>
        <w:t>T</w:t>
      </w:r>
      <w:r w:rsidR="00B06FE7">
        <w:rPr>
          <w:b w:val="0"/>
          <w:bCs w:val="0"/>
        </w:rPr>
        <w:t>his paper</w:t>
      </w:r>
      <w:r>
        <w:rPr>
          <w:b w:val="0"/>
          <w:bCs w:val="0"/>
        </w:rPr>
        <w:t xml:space="preserve"> </w:t>
      </w:r>
      <w:r w:rsidR="003B1C55">
        <w:rPr>
          <w:b w:val="0"/>
          <w:bCs w:val="0"/>
        </w:rPr>
        <w:t>discusse</w:t>
      </w:r>
      <w:r>
        <w:rPr>
          <w:b w:val="0"/>
          <w:bCs w:val="0"/>
        </w:rPr>
        <w:t>s</w:t>
      </w:r>
      <w:r w:rsidR="003B1C55">
        <w:rPr>
          <w:b w:val="0"/>
          <w:bCs w:val="0"/>
        </w:rPr>
        <w:t xml:space="preserve"> </w:t>
      </w:r>
      <w:r w:rsidR="003B1C55" w:rsidRPr="002E727A">
        <w:rPr>
          <w:b w:val="0"/>
          <w:bCs w:val="0"/>
        </w:rPr>
        <w:t>what seemed to be</w:t>
      </w:r>
      <w:r w:rsidR="003B1C55">
        <w:rPr>
          <w:b w:val="0"/>
          <w:bCs w:val="0"/>
        </w:rPr>
        <w:t xml:space="preserve"> a discrepancy between the intuition that</w:t>
      </w:r>
      <w:r w:rsidR="001D3FD6">
        <w:rPr>
          <w:b w:val="0"/>
          <w:bCs w:val="0"/>
        </w:rPr>
        <w:t xml:space="preserve">, according to Leibniz’s conception of </w:t>
      </w:r>
      <w:r w:rsidR="00157F5F">
        <w:rPr>
          <w:b w:val="0"/>
          <w:bCs w:val="0"/>
        </w:rPr>
        <w:t>the highest degree of natural law</w:t>
      </w:r>
      <w:r w:rsidR="001D3FD6">
        <w:rPr>
          <w:b w:val="0"/>
          <w:bCs w:val="0"/>
        </w:rPr>
        <w:t>,</w:t>
      </w:r>
      <w:r w:rsidR="003B1C55">
        <w:rPr>
          <w:b w:val="0"/>
          <w:bCs w:val="0"/>
        </w:rPr>
        <w:t xml:space="preserve"> a just action is more difficult than</w:t>
      </w:r>
      <w:r w:rsidR="001D3FD6">
        <w:rPr>
          <w:b w:val="0"/>
          <w:bCs w:val="0"/>
        </w:rPr>
        <w:t xml:space="preserve"> an unjust action, and his</w:t>
      </w:r>
      <w:r w:rsidR="003B1C55">
        <w:rPr>
          <w:b w:val="0"/>
          <w:bCs w:val="0"/>
        </w:rPr>
        <w:t xml:space="preserve"> contention that we should presume a given action to be just because a just actio</w:t>
      </w:r>
      <w:r w:rsidR="00B06FE7">
        <w:rPr>
          <w:b w:val="0"/>
          <w:bCs w:val="0"/>
        </w:rPr>
        <w:t>n is easier than an unjust one. A</w:t>
      </w:r>
      <w:r w:rsidR="003B1C55">
        <w:rPr>
          <w:b w:val="0"/>
          <w:bCs w:val="0"/>
        </w:rPr>
        <w:t xml:space="preserve">lready at the stage of the </w:t>
      </w:r>
      <w:r w:rsidR="003B1C55">
        <w:rPr>
          <w:b w:val="0"/>
          <w:bCs w:val="0"/>
          <w:i/>
          <w:iCs/>
        </w:rPr>
        <w:t xml:space="preserve">Elements of Natural Law </w:t>
      </w:r>
      <w:r w:rsidR="003B1C55">
        <w:rPr>
          <w:b w:val="0"/>
          <w:bCs w:val="0"/>
        </w:rPr>
        <w:t>Leibniz has</w:t>
      </w:r>
      <w:r w:rsidR="003B1C55" w:rsidRPr="00C35E1A">
        <w:rPr>
          <w:b w:val="0"/>
          <w:bCs w:val="0"/>
        </w:rPr>
        <w:t xml:space="preserve"> </w:t>
      </w:r>
      <w:r w:rsidR="003B1C55" w:rsidRPr="002E727A">
        <w:rPr>
          <w:b w:val="0"/>
          <w:bCs w:val="0"/>
        </w:rPr>
        <w:t>an extremely</w:t>
      </w:r>
      <w:r w:rsidR="003B1C55">
        <w:rPr>
          <w:b w:val="0"/>
          <w:bCs w:val="0"/>
        </w:rPr>
        <w:t xml:space="preserve"> demanding view of what constitutes</w:t>
      </w:r>
      <w:r w:rsidR="00235CB0">
        <w:rPr>
          <w:b w:val="0"/>
          <w:bCs w:val="0"/>
        </w:rPr>
        <w:t xml:space="preserve"> the highest degree of</w:t>
      </w:r>
      <w:r w:rsidR="00157F5F">
        <w:rPr>
          <w:b w:val="0"/>
          <w:bCs w:val="0"/>
        </w:rPr>
        <w:t xml:space="preserve"> natural law</w:t>
      </w:r>
      <w:r w:rsidR="003B1C55">
        <w:rPr>
          <w:b w:val="0"/>
          <w:bCs w:val="0"/>
        </w:rPr>
        <w:t>, involving the view that an attitude of loving all human beings is what accounts for the univ</w:t>
      </w:r>
      <w:r w:rsidR="00B06FE7">
        <w:rPr>
          <w:b w:val="0"/>
          <w:bCs w:val="0"/>
        </w:rPr>
        <w:t xml:space="preserve">ersality of justice. </w:t>
      </w:r>
      <w:r w:rsidR="00644EFD">
        <w:rPr>
          <w:b w:val="0"/>
          <w:bCs w:val="0"/>
        </w:rPr>
        <w:t>Moreover, it is with respect to this highest degree of justice that he formulates his claim that we should presume a given action to be just. I</w:t>
      </w:r>
      <w:r w:rsidR="00B06FE7">
        <w:rPr>
          <w:b w:val="0"/>
          <w:bCs w:val="0"/>
        </w:rPr>
        <w:t>t is</w:t>
      </w:r>
      <w:r w:rsidR="003B1C55">
        <w:rPr>
          <w:b w:val="0"/>
          <w:bCs w:val="0"/>
        </w:rPr>
        <w:t xml:space="preserve"> obvious that</w:t>
      </w:r>
      <w:r w:rsidR="00B06FE7">
        <w:rPr>
          <w:b w:val="0"/>
          <w:bCs w:val="0"/>
        </w:rPr>
        <w:t>, according to his view,</w:t>
      </w:r>
      <w:r w:rsidR="003B1C55">
        <w:rPr>
          <w:b w:val="0"/>
          <w:bCs w:val="0"/>
        </w:rPr>
        <w:t xml:space="preserve"> to </w:t>
      </w:r>
      <w:r w:rsidR="003B1C55">
        <w:rPr>
          <w:b w:val="0"/>
          <w:bCs w:val="0"/>
          <w:i/>
          <w:iCs/>
        </w:rPr>
        <w:t xml:space="preserve">be </w:t>
      </w:r>
      <w:r w:rsidR="00B06FE7">
        <w:rPr>
          <w:b w:val="0"/>
          <w:bCs w:val="0"/>
        </w:rPr>
        <w:t xml:space="preserve">a just person (in the sense of being a person exemplifying universal justice) </w:t>
      </w:r>
      <w:r w:rsidR="003B1C55">
        <w:rPr>
          <w:b w:val="0"/>
          <w:bCs w:val="0"/>
        </w:rPr>
        <w:t>has more requisites than to be an unjust person</w:t>
      </w:r>
      <w:r w:rsidR="00B06FE7">
        <w:rPr>
          <w:b w:val="0"/>
          <w:bCs w:val="0"/>
        </w:rPr>
        <w:t>.</w:t>
      </w:r>
      <w:r w:rsidR="003B1C55">
        <w:rPr>
          <w:b w:val="0"/>
          <w:bCs w:val="0"/>
        </w:rPr>
        <w:t xml:space="preserve"> </w:t>
      </w:r>
      <w:r w:rsidR="00B06FE7">
        <w:rPr>
          <w:b w:val="0"/>
          <w:bCs w:val="0"/>
        </w:rPr>
        <w:t>Nevertheless, h</w:t>
      </w:r>
      <w:r w:rsidR="003B1C55">
        <w:rPr>
          <w:b w:val="0"/>
          <w:bCs w:val="0"/>
        </w:rPr>
        <w:t xml:space="preserve">aving his </w:t>
      </w:r>
      <w:r w:rsidR="003B1C55" w:rsidRPr="00ED216A">
        <w:rPr>
          <w:b w:val="0"/>
          <w:bCs w:val="0"/>
        </w:rPr>
        <w:t>modal</w:t>
      </w:r>
      <w:r w:rsidR="003B1C55">
        <w:rPr>
          <w:b w:val="0"/>
          <w:bCs w:val="0"/>
        </w:rPr>
        <w:t xml:space="preserve"> version of virtue ethics in mind, the </w:t>
      </w:r>
      <w:r w:rsidR="00B06FE7">
        <w:rPr>
          <w:b w:val="0"/>
          <w:bCs w:val="0"/>
        </w:rPr>
        <w:t xml:space="preserve">seeming discrepancy between the difficulty of </w:t>
      </w:r>
      <w:r w:rsidR="00B06FE7" w:rsidRPr="00F1145F">
        <w:rPr>
          <w:rFonts w:ascii="Times New (W1)" w:cs="Times New (W1)"/>
          <w:b w:val="0"/>
          <w:bCs w:val="0"/>
        </w:rPr>
        <w:t>being</w:t>
      </w:r>
      <w:r w:rsidR="003B1C55">
        <w:rPr>
          <w:b w:val="0"/>
          <w:bCs w:val="0"/>
        </w:rPr>
        <w:t xml:space="preserve"> </w:t>
      </w:r>
      <w:r w:rsidR="00B06FE7">
        <w:rPr>
          <w:b w:val="0"/>
          <w:bCs w:val="0"/>
        </w:rPr>
        <w:t xml:space="preserve">a just person </w:t>
      </w:r>
      <w:r w:rsidR="003B1C55">
        <w:rPr>
          <w:b w:val="0"/>
          <w:bCs w:val="0"/>
        </w:rPr>
        <w:t>and Leibniz’s views about the presumption of</w:t>
      </w:r>
      <w:r w:rsidR="00F1145F">
        <w:rPr>
          <w:b w:val="0"/>
          <w:bCs w:val="0"/>
        </w:rPr>
        <w:t xml:space="preserve"> the </w:t>
      </w:r>
      <w:r w:rsidR="003B1C55">
        <w:rPr>
          <w:b w:val="0"/>
          <w:bCs w:val="0"/>
        </w:rPr>
        <w:t>justice</w:t>
      </w:r>
      <w:r w:rsidR="00F1145F">
        <w:rPr>
          <w:b w:val="0"/>
          <w:bCs w:val="0"/>
        </w:rPr>
        <w:t xml:space="preserve"> of a given action</w:t>
      </w:r>
      <w:r w:rsidR="003B1C55">
        <w:rPr>
          <w:b w:val="0"/>
          <w:bCs w:val="0"/>
        </w:rPr>
        <w:t xml:space="preserve"> disappears. </w:t>
      </w:r>
      <w:r w:rsidR="00B06FE7">
        <w:rPr>
          <w:b w:val="0"/>
          <w:bCs w:val="0"/>
        </w:rPr>
        <w:t xml:space="preserve">Leibniz maintains that it is not just actions that make a person just. Rather, he holds that what is possible for a just person defines what a just action is. </w:t>
      </w:r>
      <w:r w:rsidR="003B1C55">
        <w:rPr>
          <w:b w:val="0"/>
          <w:bCs w:val="0"/>
        </w:rPr>
        <w:t>Just actions are one kind of possible events: actions</w:t>
      </w:r>
      <w:r w:rsidR="003A28CF">
        <w:rPr>
          <w:b w:val="0"/>
          <w:bCs w:val="0"/>
        </w:rPr>
        <w:t xml:space="preserve"> that are possible for</w:t>
      </w:r>
      <w:r w:rsidR="00E8751D">
        <w:rPr>
          <w:b w:val="0"/>
          <w:bCs w:val="0"/>
        </w:rPr>
        <w:t xml:space="preserve"> </w:t>
      </w:r>
      <w:r w:rsidR="003B1C55">
        <w:rPr>
          <w:b w:val="0"/>
          <w:bCs w:val="0"/>
        </w:rPr>
        <w:t>persons</w:t>
      </w:r>
      <w:r w:rsidR="00E8751D">
        <w:rPr>
          <w:b w:val="0"/>
          <w:bCs w:val="0"/>
        </w:rPr>
        <w:t xml:space="preserve"> that exemplify the “virtue of love or friendship”</w:t>
      </w:r>
      <w:r w:rsidR="003B1C55">
        <w:rPr>
          <w:b w:val="0"/>
          <w:bCs w:val="0"/>
        </w:rPr>
        <w:t>. This is why Leibniz regards the presumption of justice as a special case of</w:t>
      </w:r>
      <w:r w:rsidR="003A28CF">
        <w:rPr>
          <w:b w:val="0"/>
          <w:bCs w:val="0"/>
        </w:rPr>
        <w:t xml:space="preserve"> the presumption of possibility, a case in which</w:t>
      </w:r>
      <w:r w:rsidR="003B1C55">
        <w:rPr>
          <w:b w:val="0"/>
          <w:bCs w:val="0"/>
        </w:rPr>
        <w:t xml:space="preserve"> the ontological requisites of something possible</w:t>
      </w:r>
      <w:r w:rsidR="00E8751D">
        <w:rPr>
          <w:b w:val="0"/>
          <w:bCs w:val="0"/>
        </w:rPr>
        <w:t xml:space="preserve"> (i.e., an ac</w:t>
      </w:r>
      <w:r w:rsidR="00353568">
        <w:rPr>
          <w:b w:val="0"/>
          <w:bCs w:val="0"/>
        </w:rPr>
        <w:t>tion that is possible for a “good</w:t>
      </w:r>
      <w:r w:rsidR="00E8751D">
        <w:rPr>
          <w:b w:val="0"/>
          <w:bCs w:val="0"/>
        </w:rPr>
        <w:t xml:space="preserve"> person</w:t>
      </w:r>
      <w:r w:rsidR="00353568">
        <w:rPr>
          <w:b w:val="0"/>
          <w:bCs w:val="0"/>
        </w:rPr>
        <w:t>”</w:t>
      </w:r>
      <w:r w:rsidR="00E8751D">
        <w:rPr>
          <w:b w:val="0"/>
          <w:bCs w:val="0"/>
        </w:rPr>
        <w:t>)</w:t>
      </w:r>
      <w:r w:rsidR="003B1C55">
        <w:rPr>
          <w:b w:val="0"/>
          <w:bCs w:val="0"/>
        </w:rPr>
        <w:t xml:space="preserve"> are a proper part of the ontological requisites of something impossible</w:t>
      </w:r>
      <w:r w:rsidR="00E8751D">
        <w:rPr>
          <w:b w:val="0"/>
          <w:bCs w:val="0"/>
        </w:rPr>
        <w:t xml:space="preserve"> (i.e., an action that is impossible for a </w:t>
      </w:r>
      <w:r w:rsidR="00353568">
        <w:rPr>
          <w:b w:val="0"/>
          <w:bCs w:val="0"/>
        </w:rPr>
        <w:t>“good</w:t>
      </w:r>
      <w:r w:rsidR="00E8751D">
        <w:rPr>
          <w:b w:val="0"/>
          <w:bCs w:val="0"/>
        </w:rPr>
        <w:t xml:space="preserve"> </w:t>
      </w:r>
      <w:r w:rsidR="00E8751D">
        <w:rPr>
          <w:b w:val="0"/>
          <w:bCs w:val="0"/>
        </w:rPr>
        <w:lastRenderedPageBreak/>
        <w:t>person</w:t>
      </w:r>
      <w:r w:rsidR="00353568">
        <w:rPr>
          <w:b w:val="0"/>
          <w:bCs w:val="0"/>
        </w:rPr>
        <w:t>”</w:t>
      </w:r>
      <w:r w:rsidR="00E8751D">
        <w:rPr>
          <w:b w:val="0"/>
          <w:bCs w:val="0"/>
        </w:rPr>
        <w:t>)</w:t>
      </w:r>
      <w:r w:rsidR="003B1C55">
        <w:rPr>
          <w:b w:val="0"/>
          <w:bCs w:val="0"/>
        </w:rPr>
        <w:t>. In this sense, a just action has fewer ontological requisites than an unjust one</w:t>
      </w:r>
      <w:r w:rsidR="00E8751D">
        <w:rPr>
          <w:b w:val="0"/>
          <w:bCs w:val="0"/>
        </w:rPr>
        <w:t xml:space="preserve"> and, hence, a given action should be presumed to be just</w:t>
      </w:r>
      <w:r w:rsidR="003B1C55">
        <w:rPr>
          <w:b w:val="0"/>
          <w:bCs w:val="0"/>
        </w:rPr>
        <w:t>.</w:t>
      </w:r>
    </w:p>
    <w:p w14:paraId="5C248856" w14:textId="77777777" w:rsidR="00CB5DBB" w:rsidRDefault="00CB5DBB" w:rsidP="00EA3BC1">
      <w:pPr>
        <w:pStyle w:val="Titel"/>
        <w:spacing w:line="480" w:lineRule="auto"/>
        <w:ind w:firstLine="397"/>
        <w:jc w:val="both"/>
        <w:rPr>
          <w:b w:val="0"/>
          <w:bCs w:val="0"/>
        </w:rPr>
      </w:pPr>
      <w:r>
        <w:rPr>
          <w:b w:val="0"/>
          <w:bCs w:val="0"/>
        </w:rPr>
        <w:t xml:space="preserve">Three caveats are in place. First, even if there is a presumption in favour of the justice of a given action, further evidence can show that the action in fact is not just. Presumption does not </w:t>
      </w:r>
      <w:r>
        <w:rPr>
          <w:b w:val="0"/>
          <w:bCs w:val="0"/>
          <w:i/>
          <w:iCs/>
        </w:rPr>
        <w:t xml:space="preserve">decide </w:t>
      </w:r>
      <w:r>
        <w:rPr>
          <w:b w:val="0"/>
          <w:bCs w:val="0"/>
        </w:rPr>
        <w:t>the case in favour of the justice of an action. This, of course, is a consequence of the very nature of presumptions: they are cognitive states that are tentative, i.e., they are held for true (or certain) unless and until additional evidence forces us to give them up. Second, Leibniz is explicit that presumption concerns the degree to which some thing or event is easy in itself, not the degree to which it is probable. As he explains, the degree of probability is a matter of the easiness of co-existing with all other things or events in the universe.</w:t>
      </w:r>
      <w:r w:rsidR="00EA3BC1" w:rsidRPr="00FD51FA">
        <w:rPr>
          <w:rStyle w:val="Endnotenzeichen"/>
          <w:b w:val="0"/>
          <w:bCs w:val="0"/>
          <w:lang w:val="en-US"/>
        </w:rPr>
        <w:endnoteReference w:id="39"/>
      </w:r>
      <w:r>
        <w:rPr>
          <w:b w:val="0"/>
          <w:bCs w:val="0"/>
        </w:rPr>
        <w:t xml:space="preserve"> Presumption does not tell us anything about the easiness of co-existing and, hence, nothing about how frequently something will come about. In th</w:t>
      </w:r>
      <w:r w:rsidR="00BC1703">
        <w:rPr>
          <w:b w:val="0"/>
          <w:bCs w:val="0"/>
        </w:rPr>
        <w:t>is sense, the presumption of justice</w:t>
      </w:r>
      <w:r>
        <w:rPr>
          <w:b w:val="0"/>
          <w:bCs w:val="0"/>
        </w:rPr>
        <w:t xml:space="preserve"> does not </w:t>
      </w:r>
      <w:r w:rsidR="008B4C80">
        <w:rPr>
          <w:b w:val="0"/>
          <w:bCs w:val="0"/>
        </w:rPr>
        <w:t>entail</w:t>
      </w:r>
      <w:r>
        <w:rPr>
          <w:b w:val="0"/>
          <w:bCs w:val="0"/>
        </w:rPr>
        <w:t xml:space="preserve"> the (</w:t>
      </w:r>
      <w:r w:rsidR="00235CB0">
        <w:rPr>
          <w:b w:val="0"/>
          <w:bCs w:val="0"/>
        </w:rPr>
        <w:t xml:space="preserve">perhaps </w:t>
      </w:r>
      <w:r>
        <w:rPr>
          <w:b w:val="0"/>
          <w:bCs w:val="0"/>
        </w:rPr>
        <w:t xml:space="preserve">counterintuitive) </w:t>
      </w:r>
      <w:r w:rsidR="008B4C80">
        <w:rPr>
          <w:b w:val="0"/>
          <w:bCs w:val="0"/>
        </w:rPr>
        <w:t>assumption</w:t>
      </w:r>
      <w:r>
        <w:rPr>
          <w:b w:val="0"/>
          <w:bCs w:val="0"/>
        </w:rPr>
        <w:t xml:space="preserve"> that just actions oc</w:t>
      </w:r>
      <w:r w:rsidR="001B3F92">
        <w:rPr>
          <w:b w:val="0"/>
          <w:bCs w:val="0"/>
        </w:rPr>
        <w:t>cur more frequently</w:t>
      </w:r>
      <w:r>
        <w:rPr>
          <w:b w:val="0"/>
          <w:bCs w:val="0"/>
        </w:rPr>
        <w:t xml:space="preserve"> than unjust actions. Third</w:t>
      </w:r>
      <w:r w:rsidR="003B1C55">
        <w:rPr>
          <w:b w:val="0"/>
          <w:bCs w:val="0"/>
        </w:rPr>
        <w:t xml:space="preserve">, Leibniz’s views on the presumption of justice </w:t>
      </w:r>
      <w:r w:rsidR="001B3F92">
        <w:rPr>
          <w:b w:val="0"/>
          <w:bCs w:val="0"/>
        </w:rPr>
        <w:t xml:space="preserve">heavily </w:t>
      </w:r>
      <w:r w:rsidR="003B1C55">
        <w:rPr>
          <w:b w:val="0"/>
          <w:bCs w:val="0"/>
        </w:rPr>
        <w:t xml:space="preserve">depend on his conception of possibility as conceivability and his </w:t>
      </w:r>
      <w:r w:rsidR="003B1C55" w:rsidRPr="00ED216A">
        <w:rPr>
          <w:b w:val="0"/>
          <w:bCs w:val="0"/>
        </w:rPr>
        <w:t>modal</w:t>
      </w:r>
      <w:r w:rsidR="003B1C55">
        <w:rPr>
          <w:b w:val="0"/>
          <w:bCs w:val="0"/>
        </w:rPr>
        <w:t xml:space="preserve"> approach to virtue ethics—two areas of his philosophy which might well face difficulties of their own.</w:t>
      </w:r>
      <w:r w:rsidR="003B1C55" w:rsidRPr="00FD51FA">
        <w:rPr>
          <w:rStyle w:val="Endnotenzeichen"/>
          <w:b w:val="0"/>
          <w:bCs w:val="0"/>
          <w:lang w:val="en-US"/>
        </w:rPr>
        <w:endnoteReference w:id="40"/>
      </w:r>
      <w:r w:rsidR="003B1C55">
        <w:rPr>
          <w:b w:val="0"/>
          <w:bCs w:val="0"/>
        </w:rPr>
        <w:t xml:space="preserve"> However, within the framework of his overall views on possibility and </w:t>
      </w:r>
      <w:r w:rsidR="00D87B43">
        <w:rPr>
          <w:b w:val="0"/>
          <w:bCs w:val="0"/>
        </w:rPr>
        <w:t xml:space="preserve">virtue </w:t>
      </w:r>
      <w:r w:rsidR="003B1C55">
        <w:rPr>
          <w:b w:val="0"/>
          <w:bCs w:val="0"/>
        </w:rPr>
        <w:t>ethics, his views on the presumption of justice are far less inconsistent than might be evident on first sight.</w:t>
      </w:r>
    </w:p>
    <w:p w14:paraId="008F20BD" w14:textId="77777777" w:rsidR="00020D0D" w:rsidRDefault="00020D0D" w:rsidP="00EA3BC1">
      <w:pPr>
        <w:pStyle w:val="Titel"/>
        <w:spacing w:line="480" w:lineRule="auto"/>
        <w:ind w:firstLine="397"/>
        <w:jc w:val="both"/>
        <w:rPr>
          <w:b w:val="0"/>
          <w:bCs w:val="0"/>
        </w:rPr>
      </w:pPr>
    </w:p>
    <w:p w14:paraId="0DE7AFCE" w14:textId="77777777" w:rsidR="00A07442" w:rsidRPr="0067074E" w:rsidRDefault="0067074E" w:rsidP="0067074E">
      <w:pPr>
        <w:pStyle w:val="Titel"/>
        <w:spacing w:line="480" w:lineRule="auto"/>
        <w:jc w:val="both"/>
        <w:rPr>
          <w:b w:val="0"/>
          <w:bCs w:val="0"/>
          <w:sz w:val="20"/>
        </w:rPr>
      </w:pPr>
      <w:r w:rsidRPr="0067074E">
        <w:rPr>
          <w:b w:val="0"/>
          <w:bCs w:val="0"/>
          <w:sz w:val="20"/>
        </w:rPr>
        <w:t xml:space="preserve">Dr. Andreas Blank, Herzog August </w:t>
      </w:r>
      <w:proofErr w:type="spellStart"/>
      <w:r w:rsidRPr="0067074E">
        <w:rPr>
          <w:b w:val="0"/>
          <w:bCs w:val="0"/>
          <w:sz w:val="20"/>
        </w:rPr>
        <w:t>Bibliothek</w:t>
      </w:r>
      <w:proofErr w:type="spellEnd"/>
      <w:r>
        <w:rPr>
          <w:b w:val="0"/>
          <w:bCs w:val="0"/>
          <w:sz w:val="20"/>
        </w:rPr>
        <w:t xml:space="preserve"> </w:t>
      </w:r>
      <w:proofErr w:type="spellStart"/>
      <w:r w:rsidRPr="0067074E">
        <w:rPr>
          <w:rFonts w:cs="Arial"/>
          <w:b w:val="0"/>
          <w:bCs w:val="0"/>
          <w:sz w:val="20"/>
        </w:rPr>
        <w:t>Wolfenbüttel</w:t>
      </w:r>
      <w:proofErr w:type="spellEnd"/>
      <w:r w:rsidRPr="0067074E">
        <w:rPr>
          <w:b w:val="0"/>
          <w:bCs w:val="0"/>
          <w:sz w:val="20"/>
        </w:rPr>
        <w:t xml:space="preserve">, </w:t>
      </w:r>
      <w:proofErr w:type="spellStart"/>
      <w:r w:rsidRPr="0067074E">
        <w:rPr>
          <w:b w:val="0"/>
          <w:bCs w:val="0"/>
          <w:sz w:val="20"/>
        </w:rPr>
        <w:t>Leibnizstr</w:t>
      </w:r>
      <w:proofErr w:type="spellEnd"/>
      <w:r w:rsidRPr="0067074E">
        <w:rPr>
          <w:b w:val="0"/>
          <w:bCs w:val="0"/>
          <w:sz w:val="20"/>
        </w:rPr>
        <w:t xml:space="preserve">. 6, D-38300 </w:t>
      </w:r>
      <w:proofErr w:type="spellStart"/>
      <w:r w:rsidRPr="0067074E">
        <w:rPr>
          <w:rFonts w:cs="Arial"/>
          <w:b w:val="0"/>
          <w:bCs w:val="0"/>
          <w:sz w:val="20"/>
        </w:rPr>
        <w:t>Wolfenbüttel</w:t>
      </w:r>
      <w:proofErr w:type="spellEnd"/>
      <w:r w:rsidRPr="0067074E">
        <w:rPr>
          <w:rFonts w:cs="Arial"/>
          <w:b w:val="0"/>
          <w:bCs w:val="0"/>
          <w:sz w:val="20"/>
        </w:rPr>
        <w:t xml:space="preserve">, </w:t>
      </w:r>
      <w:smartTag w:uri="urn:schemas-microsoft-com:office:smarttags" w:element="place">
        <w:smartTag w:uri="urn:schemas-microsoft-com:office:smarttags" w:element="country-region">
          <w:r w:rsidRPr="0067074E">
            <w:rPr>
              <w:rFonts w:cs="Arial"/>
              <w:b w:val="0"/>
              <w:bCs w:val="0"/>
              <w:sz w:val="20"/>
            </w:rPr>
            <w:t>Germany</w:t>
          </w:r>
        </w:smartTag>
      </w:smartTag>
      <w:r w:rsidR="00946180">
        <w:rPr>
          <w:rFonts w:cs="Arial"/>
          <w:b w:val="0"/>
          <w:bCs w:val="0"/>
          <w:sz w:val="20"/>
        </w:rPr>
        <w:t>, andreasblank@hotmail.com</w:t>
      </w:r>
      <w:r w:rsidRPr="0067074E">
        <w:rPr>
          <w:rFonts w:cs="Arial"/>
          <w:b w:val="0"/>
          <w:bCs w:val="0"/>
          <w:sz w:val="20"/>
        </w:rPr>
        <w:t>.</w:t>
      </w:r>
    </w:p>
    <w:p w14:paraId="0C502DB5" w14:textId="77777777" w:rsidR="00A07442" w:rsidRDefault="00A07442" w:rsidP="0067074E">
      <w:pPr>
        <w:pStyle w:val="Titel"/>
        <w:spacing w:line="480" w:lineRule="auto"/>
        <w:jc w:val="both"/>
        <w:rPr>
          <w:b w:val="0"/>
          <w:bCs w:val="0"/>
        </w:rPr>
      </w:pPr>
    </w:p>
    <w:p w14:paraId="7AF63CC0" w14:textId="77777777" w:rsidR="00A07442" w:rsidRDefault="00A07442" w:rsidP="00EA3BC1">
      <w:pPr>
        <w:pStyle w:val="Titel"/>
        <w:spacing w:line="480" w:lineRule="auto"/>
        <w:ind w:firstLine="397"/>
        <w:jc w:val="both"/>
        <w:rPr>
          <w:b w:val="0"/>
          <w:bCs w:val="0"/>
        </w:rPr>
      </w:pPr>
    </w:p>
    <w:p w14:paraId="53857897" w14:textId="77777777" w:rsidR="00157F5F" w:rsidRDefault="00157F5F" w:rsidP="00EA3BC1">
      <w:pPr>
        <w:pStyle w:val="Titel"/>
        <w:spacing w:line="480" w:lineRule="auto"/>
        <w:ind w:firstLine="397"/>
        <w:jc w:val="both"/>
        <w:rPr>
          <w:b w:val="0"/>
          <w:bCs w:val="0"/>
        </w:rPr>
      </w:pPr>
    </w:p>
    <w:sectPr w:rsidR="00157F5F" w:rsidSect="003B1C55">
      <w:footerReference w:type="even" r:id="rId7"/>
      <w:footerReference w:type="default" r:id="rId8"/>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158A" w14:textId="77777777" w:rsidR="00612417" w:rsidRDefault="00612417"/>
  </w:endnote>
  <w:endnote w:type="continuationSeparator" w:id="0">
    <w:p w14:paraId="0FF57226" w14:textId="77777777" w:rsidR="00612417" w:rsidRDefault="00612417"/>
  </w:endnote>
  <w:endnote w:id="1">
    <w:p w14:paraId="47D83EC2" w14:textId="77777777" w:rsidR="008E6AD0" w:rsidRPr="003233B4" w:rsidRDefault="008E6AD0" w:rsidP="00235CB0">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Earlier versions of this paper profited from extremely helpful comments by </w:t>
      </w:r>
      <w:proofErr w:type="spellStart"/>
      <w:r>
        <w:rPr>
          <w:b w:val="0"/>
          <w:bCs w:val="0"/>
          <w:sz w:val="20"/>
          <w:szCs w:val="20"/>
          <w:lang w:val="en-US"/>
        </w:rPr>
        <w:t>Mogens</w:t>
      </w:r>
      <w:proofErr w:type="spellEnd"/>
      <w:r>
        <w:rPr>
          <w:b w:val="0"/>
          <w:bCs w:val="0"/>
          <w:sz w:val="20"/>
          <w:szCs w:val="20"/>
          <w:lang w:val="en-US"/>
        </w:rPr>
        <w:t xml:space="preserve"> </w:t>
      </w:r>
      <w:proofErr w:type="spellStart"/>
      <w:r>
        <w:rPr>
          <w:b w:val="0"/>
          <w:bCs w:val="0"/>
          <w:sz w:val="20"/>
          <w:szCs w:val="20"/>
          <w:lang w:val="en-US"/>
        </w:rPr>
        <w:t>Laerke</w:t>
      </w:r>
      <w:proofErr w:type="spellEnd"/>
      <w:r>
        <w:rPr>
          <w:b w:val="0"/>
          <w:bCs w:val="0"/>
          <w:sz w:val="20"/>
          <w:szCs w:val="20"/>
          <w:lang w:val="en-US"/>
        </w:rPr>
        <w:t xml:space="preserve">, </w:t>
      </w:r>
      <w:proofErr w:type="spellStart"/>
      <w:r>
        <w:rPr>
          <w:b w:val="0"/>
          <w:bCs w:val="0"/>
          <w:sz w:val="20"/>
          <w:szCs w:val="20"/>
          <w:lang w:val="en-US"/>
        </w:rPr>
        <w:t>Ohad</w:t>
      </w:r>
      <w:proofErr w:type="spellEnd"/>
      <w:r>
        <w:rPr>
          <w:b w:val="0"/>
          <w:bCs w:val="0"/>
          <w:sz w:val="20"/>
          <w:szCs w:val="20"/>
          <w:lang w:val="en-US"/>
        </w:rPr>
        <w:t xml:space="preserve"> </w:t>
      </w:r>
      <w:proofErr w:type="spellStart"/>
      <w:r>
        <w:rPr>
          <w:b w:val="0"/>
          <w:bCs w:val="0"/>
          <w:sz w:val="20"/>
          <w:szCs w:val="20"/>
          <w:lang w:val="en-US"/>
        </w:rPr>
        <w:t>Nachtomy</w:t>
      </w:r>
      <w:proofErr w:type="spellEnd"/>
      <w:r>
        <w:rPr>
          <w:b w:val="0"/>
          <w:bCs w:val="0"/>
          <w:sz w:val="20"/>
          <w:szCs w:val="20"/>
          <w:lang w:val="en-US"/>
        </w:rPr>
        <w:t xml:space="preserve">, Lucas Thorpe, Jennie </w:t>
      </w:r>
      <w:proofErr w:type="spellStart"/>
      <w:r>
        <w:rPr>
          <w:b w:val="0"/>
          <w:bCs w:val="0"/>
          <w:sz w:val="20"/>
          <w:szCs w:val="20"/>
          <w:lang w:val="en-US"/>
        </w:rPr>
        <w:t>Uleman</w:t>
      </w:r>
      <w:proofErr w:type="spellEnd"/>
      <w:r>
        <w:rPr>
          <w:b w:val="0"/>
          <w:bCs w:val="0"/>
          <w:sz w:val="20"/>
          <w:szCs w:val="20"/>
          <w:lang w:val="en-US"/>
        </w:rPr>
        <w:t xml:space="preserve">, and an anonymous referee for the </w:t>
      </w:r>
      <w:proofErr w:type="spellStart"/>
      <w:r>
        <w:rPr>
          <w:rFonts w:ascii="Times New (W1)" w:cs="Times New (W1)"/>
          <w:b w:val="0"/>
          <w:bCs w:val="0"/>
          <w:i/>
          <w:sz w:val="20"/>
          <w:szCs w:val="20"/>
          <w:lang w:val="en-US"/>
        </w:rPr>
        <w:t>Studia</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Leibnitiana</w:t>
      </w:r>
      <w:proofErr w:type="spellEnd"/>
      <w:r>
        <w:rPr>
          <w:b w:val="0"/>
          <w:bCs w:val="0"/>
          <w:sz w:val="20"/>
          <w:szCs w:val="20"/>
          <w:lang w:val="en-US"/>
        </w:rPr>
        <w:t xml:space="preserve">.  </w:t>
      </w:r>
    </w:p>
  </w:endnote>
  <w:endnote w:id="2">
    <w:p w14:paraId="4DEC851F" w14:textId="77777777" w:rsidR="008E6AD0" w:rsidRPr="006664B7" w:rsidRDefault="008E6AD0" w:rsidP="003B1C55">
      <w:pPr>
        <w:pStyle w:val="Titel"/>
        <w:spacing w:line="480" w:lineRule="auto"/>
        <w:jc w:val="both"/>
        <w:rPr>
          <w:b w:val="0"/>
          <w:bCs w:val="0"/>
          <w:sz w:val="20"/>
          <w:szCs w:val="20"/>
          <w:lang w:val="en-US"/>
        </w:rPr>
      </w:pPr>
      <w:r w:rsidRPr="0051609F">
        <w:rPr>
          <w:rStyle w:val="Endnotenzeichen"/>
          <w:b w:val="0"/>
          <w:bCs w:val="0"/>
          <w:sz w:val="20"/>
          <w:szCs w:val="20"/>
          <w:lang w:val="en-US"/>
        </w:rPr>
        <w:endnoteRef/>
      </w:r>
      <w:r w:rsidRPr="0051609F">
        <w:rPr>
          <w:b w:val="0"/>
          <w:bCs w:val="0"/>
          <w:i/>
          <w:iCs/>
          <w:sz w:val="20"/>
          <w:szCs w:val="20"/>
          <w:lang w:val="en-US"/>
        </w:rPr>
        <w:t xml:space="preserve"> </w:t>
      </w:r>
      <w:r w:rsidRPr="0051609F">
        <w:rPr>
          <w:b w:val="0"/>
          <w:bCs w:val="0"/>
          <w:sz w:val="20"/>
          <w:szCs w:val="20"/>
        </w:rPr>
        <w:t xml:space="preserve">The most detailed early modern discussion of presumption is found in Jacopo </w:t>
      </w:r>
      <w:proofErr w:type="spellStart"/>
      <w:r w:rsidRPr="0051609F">
        <w:rPr>
          <w:b w:val="0"/>
          <w:bCs w:val="0"/>
          <w:sz w:val="20"/>
          <w:szCs w:val="20"/>
          <w:lang w:val="en-US"/>
        </w:rPr>
        <w:t>Menocchio</w:t>
      </w:r>
      <w:proofErr w:type="spellEnd"/>
      <w:r w:rsidRPr="0051609F">
        <w:rPr>
          <w:b w:val="0"/>
          <w:bCs w:val="0"/>
          <w:sz w:val="20"/>
          <w:szCs w:val="20"/>
          <w:lang w:val="en-US"/>
        </w:rPr>
        <w:t xml:space="preserve">, </w:t>
      </w:r>
      <w:r w:rsidRPr="0051609F">
        <w:rPr>
          <w:b w:val="0"/>
          <w:bCs w:val="0"/>
          <w:i/>
          <w:iCs/>
          <w:sz w:val="20"/>
          <w:szCs w:val="20"/>
          <w:lang w:val="en-US"/>
        </w:rPr>
        <w:t xml:space="preserve">De </w:t>
      </w:r>
      <w:proofErr w:type="spellStart"/>
      <w:r w:rsidRPr="0051609F">
        <w:rPr>
          <w:b w:val="0"/>
          <w:bCs w:val="0"/>
          <w:i/>
          <w:iCs/>
          <w:sz w:val="20"/>
          <w:szCs w:val="20"/>
          <w:lang w:val="en-US"/>
        </w:rPr>
        <w:t>praesumptionibus</w:t>
      </w:r>
      <w:proofErr w:type="spellEnd"/>
      <w:r w:rsidRPr="0051609F">
        <w:rPr>
          <w:b w:val="0"/>
          <w:bCs w:val="0"/>
          <w:i/>
          <w:iCs/>
          <w:sz w:val="20"/>
          <w:szCs w:val="20"/>
          <w:lang w:val="en-US"/>
        </w:rPr>
        <w:t xml:space="preserve">, </w:t>
      </w:r>
      <w:proofErr w:type="spellStart"/>
      <w:r w:rsidRPr="0051609F">
        <w:rPr>
          <w:b w:val="0"/>
          <w:bCs w:val="0"/>
          <w:i/>
          <w:iCs/>
          <w:sz w:val="20"/>
          <w:szCs w:val="20"/>
          <w:lang w:val="en-US"/>
        </w:rPr>
        <w:t>coniecturis</w:t>
      </w:r>
      <w:proofErr w:type="spellEnd"/>
      <w:r w:rsidRPr="0051609F">
        <w:rPr>
          <w:b w:val="0"/>
          <w:bCs w:val="0"/>
          <w:i/>
          <w:iCs/>
          <w:sz w:val="20"/>
          <w:szCs w:val="20"/>
          <w:lang w:val="en-US"/>
        </w:rPr>
        <w:t xml:space="preserve">, </w:t>
      </w:r>
      <w:proofErr w:type="spellStart"/>
      <w:r w:rsidRPr="0051609F">
        <w:rPr>
          <w:b w:val="0"/>
          <w:bCs w:val="0"/>
          <w:i/>
          <w:iCs/>
          <w:sz w:val="20"/>
          <w:szCs w:val="20"/>
          <w:lang w:val="en-US"/>
        </w:rPr>
        <w:t>signis</w:t>
      </w:r>
      <w:proofErr w:type="spellEnd"/>
      <w:r w:rsidRPr="0051609F">
        <w:rPr>
          <w:b w:val="0"/>
          <w:bCs w:val="0"/>
          <w:i/>
          <w:iCs/>
          <w:sz w:val="20"/>
          <w:szCs w:val="20"/>
          <w:lang w:val="en-US"/>
        </w:rPr>
        <w:t xml:space="preserve"> et </w:t>
      </w:r>
      <w:proofErr w:type="spellStart"/>
      <w:r w:rsidRPr="0051609F">
        <w:rPr>
          <w:b w:val="0"/>
          <w:bCs w:val="0"/>
          <w:i/>
          <w:iCs/>
          <w:sz w:val="20"/>
          <w:szCs w:val="20"/>
          <w:lang w:val="en-US"/>
        </w:rPr>
        <w:t>indiciis</w:t>
      </w:r>
      <w:proofErr w:type="spellEnd"/>
      <w:r w:rsidRPr="0051609F">
        <w:rPr>
          <w:b w:val="0"/>
          <w:bCs w:val="0"/>
          <w:sz w:val="20"/>
          <w:szCs w:val="20"/>
          <w:lang w:val="en-US"/>
        </w:rPr>
        <w:t xml:space="preserve">, 3 vols., </w:t>
      </w:r>
      <w:proofErr w:type="spellStart"/>
      <w:r w:rsidRPr="0051609F">
        <w:rPr>
          <w:b w:val="0"/>
          <w:bCs w:val="0"/>
          <w:sz w:val="20"/>
          <w:szCs w:val="20"/>
          <w:lang w:val="en-US"/>
        </w:rPr>
        <w:t>Coloniae</w:t>
      </w:r>
      <w:proofErr w:type="spellEnd"/>
      <w:r w:rsidRPr="0051609F">
        <w:rPr>
          <w:b w:val="0"/>
          <w:bCs w:val="0"/>
          <w:sz w:val="20"/>
          <w:szCs w:val="20"/>
          <w:lang w:val="en-US"/>
        </w:rPr>
        <w:t xml:space="preserve"> </w:t>
      </w:r>
      <w:proofErr w:type="spellStart"/>
      <w:r w:rsidRPr="0051609F">
        <w:rPr>
          <w:b w:val="0"/>
          <w:bCs w:val="0"/>
          <w:sz w:val="20"/>
          <w:szCs w:val="20"/>
          <w:lang w:val="en-US"/>
        </w:rPr>
        <w:t>Agrippinae</w:t>
      </w:r>
      <w:proofErr w:type="spellEnd"/>
      <w:r w:rsidRPr="0051609F">
        <w:rPr>
          <w:b w:val="0"/>
          <w:bCs w:val="0"/>
          <w:sz w:val="20"/>
          <w:szCs w:val="20"/>
          <w:lang w:val="en-US"/>
        </w:rPr>
        <w:t>, 1587-1590. Other works dealing extensi</w:t>
      </w:r>
      <w:r>
        <w:rPr>
          <w:b w:val="0"/>
          <w:bCs w:val="0"/>
          <w:sz w:val="20"/>
          <w:szCs w:val="20"/>
          <w:lang w:val="en-US"/>
        </w:rPr>
        <w:t xml:space="preserve">vely with presumption include </w:t>
      </w:r>
      <w:proofErr w:type="spellStart"/>
      <w:r>
        <w:rPr>
          <w:b w:val="0"/>
          <w:bCs w:val="0"/>
          <w:sz w:val="20"/>
          <w:szCs w:val="20"/>
          <w:lang w:val="en-US"/>
        </w:rPr>
        <w:t>Nicolaus</w:t>
      </w:r>
      <w:proofErr w:type="spellEnd"/>
      <w:r w:rsidRPr="0051609F">
        <w:rPr>
          <w:b w:val="0"/>
          <w:bCs w:val="0"/>
          <w:sz w:val="20"/>
          <w:szCs w:val="20"/>
          <w:lang w:val="en-US"/>
        </w:rPr>
        <w:t xml:space="preserve"> </w:t>
      </w:r>
      <w:proofErr w:type="spellStart"/>
      <w:r w:rsidRPr="0051609F">
        <w:rPr>
          <w:b w:val="0"/>
          <w:bCs w:val="0"/>
          <w:sz w:val="20"/>
          <w:szCs w:val="20"/>
          <w:lang w:val="en-US"/>
        </w:rPr>
        <w:t>Everardus</w:t>
      </w:r>
      <w:proofErr w:type="spellEnd"/>
      <w:r w:rsidRPr="0051609F">
        <w:rPr>
          <w:b w:val="0"/>
          <w:bCs w:val="0"/>
          <w:sz w:val="20"/>
          <w:szCs w:val="20"/>
          <w:lang w:val="en-US"/>
        </w:rPr>
        <w:t xml:space="preserve">, </w:t>
      </w:r>
      <w:r w:rsidRPr="0051609F">
        <w:rPr>
          <w:b w:val="0"/>
          <w:bCs w:val="0"/>
          <w:i/>
          <w:iCs/>
          <w:sz w:val="20"/>
          <w:szCs w:val="20"/>
          <w:lang w:val="en-US"/>
        </w:rPr>
        <w:t xml:space="preserve">Centum </w:t>
      </w:r>
      <w:proofErr w:type="spellStart"/>
      <w:r w:rsidRPr="0051609F">
        <w:rPr>
          <w:b w:val="0"/>
          <w:bCs w:val="0"/>
          <w:i/>
          <w:iCs/>
          <w:sz w:val="20"/>
          <w:szCs w:val="20"/>
          <w:lang w:val="en-US"/>
        </w:rPr>
        <w:t>modi</w:t>
      </w:r>
      <w:proofErr w:type="spellEnd"/>
      <w:r w:rsidRPr="0051609F">
        <w:rPr>
          <w:b w:val="0"/>
          <w:bCs w:val="0"/>
          <w:i/>
          <w:iCs/>
          <w:sz w:val="20"/>
          <w:szCs w:val="20"/>
          <w:lang w:val="en-US"/>
        </w:rPr>
        <w:t xml:space="preserve"> </w:t>
      </w:r>
      <w:proofErr w:type="spellStart"/>
      <w:r w:rsidRPr="0051609F">
        <w:rPr>
          <w:b w:val="0"/>
          <w:bCs w:val="0"/>
          <w:i/>
          <w:iCs/>
          <w:sz w:val="20"/>
          <w:szCs w:val="20"/>
          <w:lang w:val="en-US"/>
        </w:rPr>
        <w:t>argumentandi</w:t>
      </w:r>
      <w:proofErr w:type="spellEnd"/>
      <w:r>
        <w:rPr>
          <w:b w:val="0"/>
          <w:bCs w:val="0"/>
          <w:sz w:val="20"/>
          <w:szCs w:val="20"/>
          <w:lang w:val="en-US"/>
        </w:rPr>
        <w:t xml:space="preserve">, </w:t>
      </w:r>
      <w:proofErr w:type="spellStart"/>
      <w:r>
        <w:rPr>
          <w:b w:val="0"/>
          <w:bCs w:val="0"/>
          <w:sz w:val="20"/>
          <w:szCs w:val="20"/>
          <w:lang w:val="en-US"/>
        </w:rPr>
        <w:t>Venedig</w:t>
      </w:r>
      <w:proofErr w:type="spellEnd"/>
      <w:r>
        <w:rPr>
          <w:b w:val="0"/>
          <w:bCs w:val="0"/>
          <w:sz w:val="20"/>
          <w:szCs w:val="20"/>
          <w:lang w:val="en-US"/>
        </w:rPr>
        <w:t xml:space="preserve"> 1539; Andrea</w:t>
      </w:r>
      <w:r w:rsidRPr="0051609F">
        <w:rPr>
          <w:b w:val="0"/>
          <w:bCs w:val="0"/>
          <w:sz w:val="20"/>
          <w:szCs w:val="20"/>
          <w:lang w:val="en-US"/>
        </w:rPr>
        <w:t xml:space="preserve"> </w:t>
      </w:r>
      <w:proofErr w:type="spellStart"/>
      <w:r w:rsidRPr="0051609F">
        <w:rPr>
          <w:b w:val="0"/>
          <w:bCs w:val="0"/>
          <w:sz w:val="20"/>
          <w:szCs w:val="20"/>
          <w:lang w:val="en-US"/>
        </w:rPr>
        <w:t>Alciato</w:t>
      </w:r>
      <w:proofErr w:type="spellEnd"/>
      <w:r w:rsidRPr="0051609F">
        <w:rPr>
          <w:b w:val="0"/>
          <w:bCs w:val="0"/>
          <w:sz w:val="20"/>
          <w:szCs w:val="20"/>
          <w:lang w:val="en-US"/>
        </w:rPr>
        <w:t xml:space="preserve">, </w:t>
      </w:r>
      <w:r w:rsidRPr="0051609F">
        <w:rPr>
          <w:b w:val="0"/>
          <w:bCs w:val="0"/>
          <w:i/>
          <w:iCs/>
          <w:sz w:val="20"/>
          <w:szCs w:val="20"/>
          <w:lang w:val="en-US"/>
        </w:rPr>
        <w:t xml:space="preserve">De </w:t>
      </w:r>
      <w:proofErr w:type="spellStart"/>
      <w:r w:rsidRPr="0051609F">
        <w:rPr>
          <w:b w:val="0"/>
          <w:bCs w:val="0"/>
          <w:i/>
          <w:iCs/>
          <w:sz w:val="20"/>
          <w:szCs w:val="20"/>
          <w:lang w:val="en-US"/>
        </w:rPr>
        <w:t>praesumptionibus</w:t>
      </w:r>
      <w:proofErr w:type="spellEnd"/>
      <w:r w:rsidRPr="0051609F">
        <w:rPr>
          <w:b w:val="0"/>
          <w:bCs w:val="0"/>
          <w:sz w:val="20"/>
          <w:szCs w:val="20"/>
          <w:lang w:val="en-US"/>
        </w:rPr>
        <w:t xml:space="preserve">, Lyon 1542; </w:t>
      </w:r>
      <w:r>
        <w:rPr>
          <w:b w:val="0"/>
          <w:bCs w:val="0"/>
          <w:sz w:val="20"/>
          <w:szCs w:val="20"/>
          <w:lang w:val="en-US"/>
        </w:rPr>
        <w:t xml:space="preserve">Johannes </w:t>
      </w:r>
      <w:proofErr w:type="spellStart"/>
      <w:r>
        <w:rPr>
          <w:b w:val="0"/>
          <w:bCs w:val="0"/>
          <w:sz w:val="20"/>
          <w:szCs w:val="20"/>
          <w:lang w:val="en-US"/>
        </w:rPr>
        <w:t>Oldendorp</w:t>
      </w:r>
      <w:proofErr w:type="spellEnd"/>
      <w:r w:rsidRPr="0051609F">
        <w:rPr>
          <w:b w:val="0"/>
          <w:bCs w:val="0"/>
          <w:sz w:val="20"/>
          <w:szCs w:val="20"/>
          <w:lang w:val="en-US"/>
        </w:rPr>
        <w:t xml:space="preserve">, </w:t>
      </w:r>
      <w:r w:rsidRPr="0051609F">
        <w:rPr>
          <w:b w:val="0"/>
          <w:bCs w:val="0"/>
          <w:i/>
          <w:iCs/>
          <w:sz w:val="20"/>
          <w:szCs w:val="20"/>
          <w:lang w:val="en-US"/>
        </w:rPr>
        <w:t xml:space="preserve">De </w:t>
      </w:r>
      <w:proofErr w:type="spellStart"/>
      <w:r w:rsidRPr="0051609F">
        <w:rPr>
          <w:b w:val="0"/>
          <w:bCs w:val="0"/>
          <w:i/>
          <w:iCs/>
          <w:sz w:val="20"/>
          <w:szCs w:val="20"/>
          <w:lang w:val="en-US"/>
        </w:rPr>
        <w:t>praesumptionibus</w:t>
      </w:r>
      <w:proofErr w:type="spellEnd"/>
      <w:r>
        <w:rPr>
          <w:b w:val="0"/>
          <w:bCs w:val="0"/>
          <w:sz w:val="20"/>
          <w:szCs w:val="20"/>
          <w:lang w:val="en-US"/>
        </w:rPr>
        <w:t>, in Johannes</w:t>
      </w:r>
      <w:r w:rsidRPr="0051609F">
        <w:rPr>
          <w:b w:val="0"/>
          <w:bCs w:val="0"/>
          <w:sz w:val="20"/>
          <w:szCs w:val="20"/>
          <w:lang w:val="en-US"/>
        </w:rPr>
        <w:t xml:space="preserve"> </w:t>
      </w:r>
      <w:proofErr w:type="spellStart"/>
      <w:r w:rsidRPr="0051609F">
        <w:rPr>
          <w:b w:val="0"/>
          <w:bCs w:val="0"/>
          <w:sz w:val="20"/>
          <w:szCs w:val="20"/>
          <w:lang w:val="en-US"/>
        </w:rPr>
        <w:t>Oldendorp</w:t>
      </w:r>
      <w:proofErr w:type="spellEnd"/>
      <w:r w:rsidRPr="0051609F">
        <w:rPr>
          <w:b w:val="0"/>
          <w:bCs w:val="0"/>
          <w:sz w:val="20"/>
          <w:szCs w:val="20"/>
          <w:lang w:val="en-US"/>
        </w:rPr>
        <w:t xml:space="preserve">, </w:t>
      </w:r>
      <w:r w:rsidRPr="0051609F">
        <w:rPr>
          <w:b w:val="0"/>
          <w:bCs w:val="0"/>
          <w:i/>
          <w:iCs/>
          <w:sz w:val="20"/>
          <w:szCs w:val="20"/>
          <w:lang w:val="en-US"/>
        </w:rPr>
        <w:t>Opera</w:t>
      </w:r>
      <w:r w:rsidRPr="0051609F">
        <w:rPr>
          <w:b w:val="0"/>
          <w:bCs w:val="0"/>
          <w:sz w:val="20"/>
          <w:szCs w:val="20"/>
          <w:lang w:val="en-US"/>
        </w:rPr>
        <w:t xml:space="preserve">, 2 vols., Basel 1559. </w:t>
      </w:r>
      <w:proofErr w:type="spellStart"/>
      <w:r w:rsidRPr="0051609F">
        <w:rPr>
          <w:b w:val="0"/>
          <w:bCs w:val="0"/>
          <w:sz w:val="20"/>
          <w:szCs w:val="20"/>
          <w:lang w:val="en-US"/>
        </w:rPr>
        <w:t>F</w:t>
      </w:r>
      <w:r>
        <w:rPr>
          <w:b w:val="0"/>
          <w:bCs w:val="0"/>
          <w:sz w:val="20"/>
          <w:szCs w:val="20"/>
          <w:lang w:val="en-US"/>
        </w:rPr>
        <w:t>ranciscus</w:t>
      </w:r>
      <w:proofErr w:type="spellEnd"/>
      <w:r w:rsidRPr="0051609F">
        <w:rPr>
          <w:b w:val="0"/>
          <w:bCs w:val="0"/>
          <w:sz w:val="20"/>
          <w:szCs w:val="20"/>
          <w:lang w:val="en-US"/>
        </w:rPr>
        <w:t xml:space="preserve"> </w:t>
      </w:r>
      <w:proofErr w:type="spellStart"/>
      <w:r w:rsidRPr="0051609F">
        <w:rPr>
          <w:b w:val="0"/>
          <w:bCs w:val="0"/>
          <w:sz w:val="20"/>
          <w:szCs w:val="20"/>
          <w:lang w:val="en-US"/>
        </w:rPr>
        <w:t>Mantica</w:t>
      </w:r>
      <w:proofErr w:type="spellEnd"/>
      <w:r w:rsidRPr="0051609F">
        <w:rPr>
          <w:b w:val="0"/>
          <w:bCs w:val="0"/>
          <w:sz w:val="20"/>
          <w:szCs w:val="20"/>
          <w:lang w:val="en-US"/>
        </w:rPr>
        <w:t xml:space="preserve">, </w:t>
      </w:r>
      <w:proofErr w:type="spellStart"/>
      <w:r w:rsidRPr="0051609F">
        <w:rPr>
          <w:b w:val="0"/>
          <w:bCs w:val="0"/>
          <w:i/>
          <w:iCs/>
          <w:sz w:val="20"/>
          <w:szCs w:val="20"/>
          <w:lang w:val="en-US"/>
        </w:rPr>
        <w:t>Tractatus</w:t>
      </w:r>
      <w:proofErr w:type="spellEnd"/>
      <w:r w:rsidRPr="0051609F">
        <w:rPr>
          <w:b w:val="0"/>
          <w:bCs w:val="0"/>
          <w:i/>
          <w:iCs/>
          <w:sz w:val="20"/>
          <w:szCs w:val="20"/>
          <w:lang w:val="en-US"/>
        </w:rPr>
        <w:t xml:space="preserve"> de </w:t>
      </w:r>
      <w:proofErr w:type="spellStart"/>
      <w:r w:rsidRPr="0051609F">
        <w:rPr>
          <w:b w:val="0"/>
          <w:bCs w:val="0"/>
          <w:i/>
          <w:iCs/>
          <w:sz w:val="20"/>
          <w:szCs w:val="20"/>
          <w:lang w:val="en-US"/>
        </w:rPr>
        <w:t>coniecturis</w:t>
      </w:r>
      <w:proofErr w:type="spellEnd"/>
      <w:r w:rsidRPr="0051609F">
        <w:rPr>
          <w:b w:val="0"/>
          <w:bCs w:val="0"/>
          <w:i/>
          <w:iCs/>
          <w:sz w:val="20"/>
          <w:szCs w:val="20"/>
          <w:lang w:val="en-US"/>
        </w:rPr>
        <w:t xml:space="preserve"> </w:t>
      </w:r>
      <w:proofErr w:type="spellStart"/>
      <w:r w:rsidRPr="0051609F">
        <w:rPr>
          <w:b w:val="0"/>
          <w:bCs w:val="0"/>
          <w:i/>
          <w:iCs/>
          <w:sz w:val="20"/>
          <w:szCs w:val="20"/>
          <w:lang w:val="en-US"/>
        </w:rPr>
        <w:t>ul</w:t>
      </w:r>
      <w:r>
        <w:rPr>
          <w:b w:val="0"/>
          <w:bCs w:val="0"/>
          <w:i/>
          <w:iCs/>
          <w:sz w:val="20"/>
          <w:szCs w:val="20"/>
          <w:lang w:val="en-US"/>
        </w:rPr>
        <w:t>tima</w:t>
      </w:r>
      <w:r w:rsidRPr="0051609F">
        <w:rPr>
          <w:b w:val="0"/>
          <w:bCs w:val="0"/>
          <w:i/>
          <w:iCs/>
          <w:sz w:val="20"/>
          <w:szCs w:val="20"/>
          <w:lang w:val="en-US"/>
        </w:rPr>
        <w:t>rum</w:t>
      </w:r>
      <w:proofErr w:type="spellEnd"/>
      <w:r w:rsidRPr="0051609F">
        <w:rPr>
          <w:b w:val="0"/>
          <w:bCs w:val="0"/>
          <w:i/>
          <w:iCs/>
          <w:sz w:val="20"/>
          <w:szCs w:val="20"/>
          <w:lang w:val="en-US"/>
        </w:rPr>
        <w:t xml:space="preserve"> </w:t>
      </w:r>
      <w:proofErr w:type="spellStart"/>
      <w:r w:rsidRPr="0051609F">
        <w:rPr>
          <w:b w:val="0"/>
          <w:bCs w:val="0"/>
          <w:i/>
          <w:iCs/>
          <w:sz w:val="20"/>
          <w:szCs w:val="20"/>
          <w:lang w:val="en-US"/>
        </w:rPr>
        <w:t>voluntatum</w:t>
      </w:r>
      <w:proofErr w:type="spellEnd"/>
      <w:r>
        <w:rPr>
          <w:b w:val="0"/>
          <w:bCs w:val="0"/>
          <w:sz w:val="20"/>
          <w:szCs w:val="20"/>
          <w:lang w:val="en-US"/>
        </w:rPr>
        <w:t>, Frankfurt 1580; Diego Rodrigo</w:t>
      </w:r>
      <w:r w:rsidRPr="0051609F">
        <w:rPr>
          <w:b w:val="0"/>
          <w:bCs w:val="0"/>
          <w:sz w:val="20"/>
          <w:szCs w:val="20"/>
          <w:lang w:val="en-US"/>
        </w:rPr>
        <w:t xml:space="preserve"> </w:t>
      </w:r>
      <w:proofErr w:type="spellStart"/>
      <w:r w:rsidRPr="0051609F">
        <w:rPr>
          <w:b w:val="0"/>
          <w:bCs w:val="0"/>
          <w:sz w:val="20"/>
          <w:szCs w:val="20"/>
          <w:lang w:val="en-US"/>
        </w:rPr>
        <w:t>Alvaradus</w:t>
      </w:r>
      <w:proofErr w:type="spellEnd"/>
      <w:r w:rsidRPr="0051609F">
        <w:rPr>
          <w:b w:val="0"/>
          <w:bCs w:val="0"/>
          <w:sz w:val="20"/>
          <w:szCs w:val="20"/>
          <w:lang w:val="en-US"/>
        </w:rPr>
        <w:t xml:space="preserve">, </w:t>
      </w:r>
      <w:r w:rsidRPr="0051609F">
        <w:rPr>
          <w:b w:val="0"/>
          <w:bCs w:val="0"/>
          <w:i/>
          <w:iCs/>
          <w:sz w:val="20"/>
          <w:szCs w:val="20"/>
          <w:lang w:val="en-US"/>
        </w:rPr>
        <w:t xml:space="preserve">De </w:t>
      </w:r>
      <w:proofErr w:type="spellStart"/>
      <w:r w:rsidRPr="0051609F">
        <w:rPr>
          <w:b w:val="0"/>
          <w:bCs w:val="0"/>
          <w:i/>
          <w:iCs/>
          <w:sz w:val="20"/>
          <w:szCs w:val="20"/>
          <w:lang w:val="en-US"/>
        </w:rPr>
        <w:t>coniecturata</w:t>
      </w:r>
      <w:proofErr w:type="spellEnd"/>
      <w:r w:rsidRPr="0051609F">
        <w:rPr>
          <w:b w:val="0"/>
          <w:bCs w:val="0"/>
          <w:i/>
          <w:iCs/>
          <w:sz w:val="20"/>
          <w:szCs w:val="20"/>
          <w:lang w:val="en-US"/>
        </w:rPr>
        <w:t xml:space="preserve"> </w:t>
      </w:r>
      <w:proofErr w:type="spellStart"/>
      <w:r w:rsidRPr="006664B7">
        <w:rPr>
          <w:b w:val="0"/>
          <w:bCs w:val="0"/>
          <w:i/>
          <w:iCs/>
          <w:sz w:val="20"/>
          <w:szCs w:val="20"/>
          <w:lang w:val="en-US"/>
        </w:rPr>
        <w:t>mente</w:t>
      </w:r>
      <w:proofErr w:type="spellEnd"/>
      <w:r w:rsidRPr="006664B7">
        <w:rPr>
          <w:b w:val="0"/>
          <w:bCs w:val="0"/>
          <w:i/>
          <w:iCs/>
          <w:sz w:val="20"/>
          <w:szCs w:val="20"/>
          <w:lang w:val="en-US"/>
        </w:rPr>
        <w:t xml:space="preserve"> </w:t>
      </w:r>
      <w:proofErr w:type="spellStart"/>
      <w:r w:rsidRPr="006664B7">
        <w:rPr>
          <w:b w:val="0"/>
          <w:bCs w:val="0"/>
          <w:i/>
          <w:iCs/>
          <w:sz w:val="20"/>
          <w:szCs w:val="20"/>
          <w:lang w:val="en-US"/>
        </w:rPr>
        <w:t>defuncti</w:t>
      </w:r>
      <w:proofErr w:type="spellEnd"/>
      <w:r w:rsidRPr="006664B7">
        <w:rPr>
          <w:b w:val="0"/>
          <w:bCs w:val="0"/>
          <w:i/>
          <w:iCs/>
          <w:sz w:val="20"/>
          <w:szCs w:val="20"/>
          <w:lang w:val="en-US"/>
        </w:rPr>
        <w:t xml:space="preserve"> ad </w:t>
      </w:r>
      <w:proofErr w:type="spellStart"/>
      <w:r w:rsidRPr="006664B7">
        <w:rPr>
          <w:b w:val="0"/>
          <w:bCs w:val="0"/>
          <w:i/>
          <w:iCs/>
          <w:sz w:val="20"/>
          <w:szCs w:val="20"/>
          <w:lang w:val="en-US"/>
        </w:rPr>
        <w:t>methodum</w:t>
      </w:r>
      <w:proofErr w:type="spellEnd"/>
      <w:r w:rsidRPr="006664B7">
        <w:rPr>
          <w:b w:val="0"/>
          <w:bCs w:val="0"/>
          <w:i/>
          <w:iCs/>
          <w:sz w:val="20"/>
          <w:szCs w:val="20"/>
          <w:lang w:val="en-US"/>
        </w:rPr>
        <w:t xml:space="preserve"> </w:t>
      </w:r>
      <w:proofErr w:type="spellStart"/>
      <w:r w:rsidRPr="006664B7">
        <w:rPr>
          <w:b w:val="0"/>
          <w:bCs w:val="0"/>
          <w:i/>
          <w:iCs/>
          <w:sz w:val="20"/>
          <w:szCs w:val="20"/>
          <w:lang w:val="en-US"/>
        </w:rPr>
        <w:t>redigenda</w:t>
      </w:r>
      <w:proofErr w:type="spellEnd"/>
      <w:r w:rsidRPr="006664B7">
        <w:rPr>
          <w:b w:val="0"/>
          <w:bCs w:val="0"/>
          <w:i/>
          <w:iCs/>
          <w:sz w:val="20"/>
          <w:szCs w:val="20"/>
          <w:lang w:val="en-US"/>
        </w:rPr>
        <w:t xml:space="preserve"> </w:t>
      </w:r>
      <w:proofErr w:type="spellStart"/>
      <w:r w:rsidRPr="006664B7">
        <w:rPr>
          <w:b w:val="0"/>
          <w:bCs w:val="0"/>
          <w:i/>
          <w:iCs/>
          <w:sz w:val="20"/>
          <w:szCs w:val="20"/>
          <w:lang w:val="en-US"/>
        </w:rPr>
        <w:t>libri</w:t>
      </w:r>
      <w:proofErr w:type="spellEnd"/>
      <w:r w:rsidRPr="006664B7">
        <w:rPr>
          <w:b w:val="0"/>
          <w:bCs w:val="0"/>
          <w:i/>
          <w:iCs/>
          <w:sz w:val="20"/>
          <w:szCs w:val="20"/>
          <w:lang w:val="en-US"/>
        </w:rPr>
        <w:t xml:space="preserve"> IV</w:t>
      </w:r>
      <w:r w:rsidRPr="006664B7">
        <w:rPr>
          <w:b w:val="0"/>
          <w:bCs w:val="0"/>
          <w:sz w:val="20"/>
          <w:szCs w:val="20"/>
          <w:lang w:val="en-US"/>
        </w:rPr>
        <w:t xml:space="preserve">, Frankfurt, 1599; Antoine </w:t>
      </w:r>
      <w:proofErr w:type="spellStart"/>
      <w:r w:rsidRPr="006664B7">
        <w:rPr>
          <w:b w:val="0"/>
          <w:bCs w:val="0"/>
          <w:sz w:val="20"/>
          <w:szCs w:val="20"/>
          <w:lang w:val="en-US"/>
        </w:rPr>
        <w:t>Favre</w:t>
      </w:r>
      <w:proofErr w:type="spellEnd"/>
      <w:r w:rsidRPr="006664B7">
        <w:rPr>
          <w:b w:val="0"/>
          <w:bCs w:val="0"/>
          <w:sz w:val="20"/>
          <w:szCs w:val="20"/>
          <w:lang w:val="en-US"/>
        </w:rPr>
        <w:t>,</w:t>
      </w:r>
      <w:r w:rsidRPr="006664B7">
        <w:rPr>
          <w:b w:val="0"/>
          <w:bCs w:val="0"/>
          <w:i/>
          <w:iCs/>
          <w:sz w:val="20"/>
          <w:szCs w:val="20"/>
          <w:lang w:val="en-US"/>
        </w:rPr>
        <w:t xml:space="preserve"> </w:t>
      </w:r>
      <w:proofErr w:type="spellStart"/>
      <w:r w:rsidRPr="006664B7">
        <w:rPr>
          <w:b w:val="0"/>
          <w:bCs w:val="0"/>
          <w:i/>
          <w:iCs/>
          <w:sz w:val="20"/>
          <w:szCs w:val="20"/>
          <w:lang w:val="en-US"/>
        </w:rPr>
        <w:t>Coniecturarum</w:t>
      </w:r>
      <w:proofErr w:type="spellEnd"/>
      <w:r w:rsidRPr="006664B7">
        <w:rPr>
          <w:b w:val="0"/>
          <w:bCs w:val="0"/>
          <w:i/>
          <w:iCs/>
          <w:sz w:val="20"/>
          <w:szCs w:val="20"/>
          <w:lang w:val="en-US"/>
        </w:rPr>
        <w:t xml:space="preserve"> </w:t>
      </w:r>
      <w:proofErr w:type="spellStart"/>
      <w:r w:rsidRPr="006664B7">
        <w:rPr>
          <w:b w:val="0"/>
          <w:bCs w:val="0"/>
          <w:i/>
          <w:iCs/>
          <w:sz w:val="20"/>
          <w:szCs w:val="20"/>
          <w:lang w:val="en-US"/>
        </w:rPr>
        <w:t>iuris</w:t>
      </w:r>
      <w:proofErr w:type="spellEnd"/>
      <w:r w:rsidRPr="006664B7">
        <w:rPr>
          <w:b w:val="0"/>
          <w:bCs w:val="0"/>
          <w:i/>
          <w:iCs/>
          <w:sz w:val="20"/>
          <w:szCs w:val="20"/>
          <w:lang w:val="en-US"/>
        </w:rPr>
        <w:t xml:space="preserve"> </w:t>
      </w:r>
      <w:proofErr w:type="spellStart"/>
      <w:r w:rsidRPr="006664B7">
        <w:rPr>
          <w:b w:val="0"/>
          <w:bCs w:val="0"/>
          <w:i/>
          <w:iCs/>
          <w:sz w:val="20"/>
          <w:szCs w:val="20"/>
          <w:lang w:val="en-US"/>
        </w:rPr>
        <w:t>civilis</w:t>
      </w:r>
      <w:proofErr w:type="spellEnd"/>
      <w:r w:rsidRPr="006664B7">
        <w:rPr>
          <w:b w:val="0"/>
          <w:bCs w:val="0"/>
          <w:i/>
          <w:iCs/>
          <w:sz w:val="20"/>
          <w:szCs w:val="20"/>
          <w:lang w:val="en-US"/>
        </w:rPr>
        <w:t xml:space="preserve"> </w:t>
      </w:r>
      <w:proofErr w:type="spellStart"/>
      <w:r w:rsidRPr="006664B7">
        <w:rPr>
          <w:b w:val="0"/>
          <w:bCs w:val="0"/>
          <w:i/>
          <w:iCs/>
          <w:sz w:val="20"/>
          <w:szCs w:val="20"/>
          <w:lang w:val="en-US"/>
        </w:rPr>
        <w:t>libri</w:t>
      </w:r>
      <w:proofErr w:type="spellEnd"/>
      <w:r w:rsidRPr="006664B7">
        <w:rPr>
          <w:b w:val="0"/>
          <w:bCs w:val="0"/>
          <w:i/>
          <w:iCs/>
          <w:sz w:val="20"/>
          <w:szCs w:val="20"/>
          <w:lang w:val="en-US"/>
        </w:rPr>
        <w:t xml:space="preserve"> </w:t>
      </w:r>
      <w:proofErr w:type="spellStart"/>
      <w:r w:rsidRPr="006664B7">
        <w:rPr>
          <w:b w:val="0"/>
          <w:bCs w:val="0"/>
          <w:i/>
          <w:iCs/>
          <w:sz w:val="20"/>
          <w:szCs w:val="20"/>
          <w:lang w:val="en-US"/>
        </w:rPr>
        <w:t>viginti</w:t>
      </w:r>
      <w:proofErr w:type="spellEnd"/>
      <w:r w:rsidRPr="006664B7">
        <w:rPr>
          <w:b w:val="0"/>
          <w:bCs w:val="0"/>
          <w:sz w:val="20"/>
          <w:szCs w:val="20"/>
          <w:lang w:val="en-US"/>
        </w:rPr>
        <w:t xml:space="preserve">, </w:t>
      </w:r>
      <w:proofErr w:type="spellStart"/>
      <w:r w:rsidRPr="006664B7">
        <w:rPr>
          <w:b w:val="0"/>
          <w:bCs w:val="0"/>
          <w:sz w:val="20"/>
          <w:szCs w:val="20"/>
          <w:lang w:val="en-US"/>
        </w:rPr>
        <w:t>Aurelianae</w:t>
      </w:r>
      <w:proofErr w:type="spellEnd"/>
      <w:r w:rsidRPr="006664B7">
        <w:rPr>
          <w:b w:val="0"/>
          <w:bCs w:val="0"/>
          <w:sz w:val="20"/>
          <w:szCs w:val="20"/>
          <w:lang w:val="en-US"/>
        </w:rPr>
        <w:t xml:space="preserve"> </w:t>
      </w:r>
      <w:proofErr w:type="spellStart"/>
      <w:r w:rsidRPr="006664B7">
        <w:rPr>
          <w:b w:val="0"/>
          <w:bCs w:val="0"/>
          <w:sz w:val="20"/>
          <w:szCs w:val="20"/>
          <w:lang w:val="en-US"/>
        </w:rPr>
        <w:t>Allobrogrum</w:t>
      </w:r>
      <w:proofErr w:type="spellEnd"/>
      <w:r w:rsidRPr="006664B7">
        <w:rPr>
          <w:b w:val="0"/>
          <w:bCs w:val="0"/>
          <w:sz w:val="20"/>
          <w:szCs w:val="20"/>
          <w:lang w:val="en-US"/>
        </w:rPr>
        <w:t xml:space="preserve"> 1609.</w:t>
      </w:r>
      <w:r>
        <w:rPr>
          <w:b w:val="0"/>
          <w:bCs w:val="0"/>
          <w:sz w:val="20"/>
          <w:szCs w:val="20"/>
          <w:lang w:val="en-US"/>
        </w:rPr>
        <w:t xml:space="preserve"> </w:t>
      </w:r>
    </w:p>
  </w:endnote>
  <w:endnote w:id="3">
    <w:p w14:paraId="05BBDEA4" w14:textId="77777777" w:rsidR="008E6AD0" w:rsidRPr="00774F8B" w:rsidRDefault="008E6AD0" w:rsidP="003B1C55">
      <w:pPr>
        <w:pStyle w:val="Titel"/>
        <w:spacing w:line="480" w:lineRule="auto"/>
        <w:jc w:val="both"/>
        <w:rPr>
          <w:b w:val="0"/>
          <w:bCs w:val="0"/>
          <w:sz w:val="20"/>
          <w:szCs w:val="20"/>
          <w:lang w:val="en-US"/>
        </w:rPr>
      </w:pPr>
      <w:r w:rsidRPr="006664B7">
        <w:rPr>
          <w:rStyle w:val="Endnotenzeichen"/>
          <w:b w:val="0"/>
          <w:bCs w:val="0"/>
          <w:sz w:val="20"/>
          <w:szCs w:val="20"/>
          <w:lang w:val="en-US"/>
        </w:rPr>
        <w:endnoteRef/>
      </w:r>
      <w:r w:rsidRPr="006664B7">
        <w:rPr>
          <w:b w:val="0"/>
          <w:bCs w:val="0"/>
          <w:sz w:val="20"/>
          <w:szCs w:val="20"/>
          <w:lang w:val="en-US"/>
        </w:rPr>
        <w:t xml:space="preserve"> </w:t>
      </w:r>
      <w:r w:rsidRPr="00774F8B">
        <w:rPr>
          <w:b w:val="0"/>
          <w:bCs w:val="0"/>
          <w:sz w:val="20"/>
          <w:szCs w:val="20"/>
          <w:lang w:val="en-US"/>
        </w:rPr>
        <w:t xml:space="preserve">For example, Leibniz writes: “A </w:t>
      </w:r>
      <w:r w:rsidRPr="00774F8B">
        <w:rPr>
          <w:b w:val="0"/>
          <w:bCs w:val="0"/>
          <w:i/>
          <w:sz w:val="20"/>
          <w:szCs w:val="20"/>
          <w:lang w:val="en-US"/>
        </w:rPr>
        <w:t xml:space="preserve">presumption </w:t>
      </w:r>
      <w:r w:rsidRPr="00774F8B">
        <w:rPr>
          <w:b w:val="0"/>
          <w:bCs w:val="0"/>
          <w:sz w:val="20"/>
          <w:szCs w:val="20"/>
          <w:lang w:val="en-US"/>
        </w:rPr>
        <w:t>is what is held true until the contrary is proven”, and makes the following exception: “A pre</w:t>
      </w:r>
      <w:r w:rsidRPr="00774F8B">
        <w:rPr>
          <w:b w:val="0"/>
          <w:bCs w:val="0"/>
          <w:sz w:val="20"/>
          <w:szCs w:val="20"/>
          <w:lang w:val="en-US"/>
        </w:rPr>
        <w:softHyphen/>
        <w:t>sumption in law and according to law is a fiction</w:t>
      </w:r>
      <w:r>
        <w:rPr>
          <w:b w:val="0"/>
          <w:bCs w:val="0"/>
          <w:sz w:val="20"/>
          <w:szCs w:val="20"/>
          <w:lang w:val="en-US"/>
        </w:rPr>
        <w:t>” (</w:t>
      </w:r>
      <w:proofErr w:type="spellStart"/>
      <w:r>
        <w:rPr>
          <w:b w:val="0"/>
          <w:bCs w:val="0"/>
          <w:sz w:val="20"/>
          <w:szCs w:val="20"/>
          <w:lang w:val="en-US"/>
        </w:rPr>
        <w:t>Definitionum</w:t>
      </w:r>
      <w:proofErr w:type="spellEnd"/>
      <w:r>
        <w:rPr>
          <w:b w:val="0"/>
          <w:bCs w:val="0"/>
          <w:sz w:val="20"/>
          <w:szCs w:val="20"/>
          <w:lang w:val="en-US"/>
        </w:rPr>
        <w:t xml:space="preserve"> </w:t>
      </w:r>
      <w:proofErr w:type="spellStart"/>
      <w:r>
        <w:rPr>
          <w:b w:val="0"/>
          <w:bCs w:val="0"/>
          <w:sz w:val="20"/>
          <w:szCs w:val="20"/>
          <w:lang w:val="en-US"/>
        </w:rPr>
        <w:t>juris</w:t>
      </w:r>
      <w:proofErr w:type="spellEnd"/>
      <w:r>
        <w:rPr>
          <w:b w:val="0"/>
          <w:bCs w:val="0"/>
          <w:sz w:val="20"/>
          <w:szCs w:val="20"/>
          <w:lang w:val="en-US"/>
        </w:rPr>
        <w:t xml:space="preserve"> specimen [Spring–Summer 1676?]</w:t>
      </w:r>
      <w:r w:rsidRPr="00774F8B">
        <w:rPr>
          <w:b w:val="0"/>
          <w:bCs w:val="0"/>
          <w:sz w:val="20"/>
          <w:szCs w:val="20"/>
          <w:lang w:val="en-US"/>
        </w:rPr>
        <w:t>; A VI, 3, 631; A VI, 3, 631, note 152</w:t>
      </w:r>
      <w:r>
        <w:rPr>
          <w:b w:val="0"/>
          <w:bCs w:val="0"/>
          <w:sz w:val="20"/>
          <w:szCs w:val="20"/>
          <w:lang w:val="en-US"/>
        </w:rPr>
        <w:t>; unless otherwise noted, translations are my own</w:t>
      </w:r>
      <w:r w:rsidRPr="00774F8B">
        <w:rPr>
          <w:b w:val="0"/>
          <w:bCs w:val="0"/>
          <w:sz w:val="20"/>
          <w:szCs w:val="20"/>
          <w:lang w:val="en-US"/>
        </w:rPr>
        <w:t xml:space="preserve">). On legal fictions in sixteenth century thought, see Ian </w:t>
      </w:r>
      <w:proofErr w:type="spellStart"/>
      <w:r w:rsidRPr="00774F8B">
        <w:rPr>
          <w:b w:val="0"/>
          <w:bCs w:val="0"/>
          <w:sz w:val="20"/>
          <w:szCs w:val="20"/>
          <w:lang w:val="en-US"/>
        </w:rPr>
        <w:t>Maclean</w:t>
      </w:r>
      <w:proofErr w:type="spellEnd"/>
      <w:r w:rsidRPr="00774F8B">
        <w:rPr>
          <w:b w:val="0"/>
          <w:bCs w:val="0"/>
          <w:sz w:val="20"/>
          <w:szCs w:val="20"/>
          <w:lang w:val="en-US"/>
        </w:rPr>
        <w:t xml:space="preserve">, </w:t>
      </w:r>
      <w:r w:rsidRPr="00774F8B">
        <w:rPr>
          <w:b w:val="0"/>
          <w:bCs w:val="0"/>
          <w:i/>
          <w:iCs/>
          <w:sz w:val="20"/>
          <w:szCs w:val="20"/>
          <w:lang w:val="en-US"/>
        </w:rPr>
        <w:t>Interpretation and Meaning in the Renaissance. The Case of Law</w:t>
      </w:r>
      <w:r w:rsidRPr="00774F8B">
        <w:rPr>
          <w:b w:val="0"/>
          <w:bCs w:val="0"/>
          <w:sz w:val="20"/>
          <w:szCs w:val="20"/>
          <w:lang w:val="en-US"/>
        </w:rPr>
        <w:t xml:space="preserve">, </w:t>
      </w:r>
      <w:smartTag w:uri="urn:schemas-microsoft-com:office:smarttags" w:element="place">
        <w:smartTag w:uri="urn:schemas-microsoft-com:office:smarttags" w:element="City">
          <w:r w:rsidRPr="00774F8B">
            <w:rPr>
              <w:b w:val="0"/>
              <w:bCs w:val="0"/>
              <w:sz w:val="20"/>
              <w:szCs w:val="20"/>
              <w:lang w:val="en-US"/>
            </w:rPr>
            <w:t>Cambridge</w:t>
          </w:r>
        </w:smartTag>
      </w:smartTag>
      <w:r w:rsidRPr="00774F8B">
        <w:rPr>
          <w:b w:val="0"/>
          <w:bCs w:val="0"/>
          <w:sz w:val="20"/>
          <w:szCs w:val="20"/>
          <w:lang w:val="en-US"/>
        </w:rPr>
        <w:t xml:space="preserve"> 1992, pp. 101-103. </w:t>
      </w:r>
      <w:r>
        <w:rPr>
          <w:b w:val="0"/>
          <w:bCs w:val="0"/>
          <w:sz w:val="20"/>
          <w:szCs w:val="20"/>
          <w:lang w:val="en-US"/>
        </w:rPr>
        <w:t>On Leibniz’s views on legal fictions, see Peter Koenig, “</w:t>
      </w:r>
      <w:proofErr w:type="spellStart"/>
      <w:r>
        <w:rPr>
          <w:b w:val="0"/>
          <w:bCs w:val="0"/>
          <w:sz w:val="20"/>
          <w:szCs w:val="20"/>
          <w:lang w:val="en-US"/>
        </w:rPr>
        <w:t>Das</w:t>
      </w:r>
      <w:proofErr w:type="spellEnd"/>
      <w:r>
        <w:rPr>
          <w:b w:val="0"/>
          <w:bCs w:val="0"/>
          <w:sz w:val="20"/>
          <w:szCs w:val="20"/>
          <w:lang w:val="en-US"/>
        </w:rPr>
        <w:t xml:space="preserve"> System des </w:t>
      </w:r>
      <w:proofErr w:type="spellStart"/>
      <w:r>
        <w:rPr>
          <w:b w:val="0"/>
          <w:bCs w:val="0"/>
          <w:sz w:val="20"/>
          <w:szCs w:val="20"/>
          <w:lang w:val="en-US"/>
        </w:rPr>
        <w:t>Rechts</w:t>
      </w:r>
      <w:proofErr w:type="spellEnd"/>
      <w:r>
        <w:rPr>
          <w:b w:val="0"/>
          <w:bCs w:val="0"/>
          <w:sz w:val="20"/>
          <w:szCs w:val="20"/>
          <w:lang w:val="en-US"/>
        </w:rPr>
        <w:t xml:space="preserve"> und die </w:t>
      </w:r>
      <w:proofErr w:type="spellStart"/>
      <w:r>
        <w:rPr>
          <w:b w:val="0"/>
          <w:bCs w:val="0"/>
          <w:sz w:val="20"/>
          <w:szCs w:val="20"/>
          <w:lang w:val="en-US"/>
        </w:rPr>
        <w:t>Lehre</w:t>
      </w:r>
      <w:proofErr w:type="spellEnd"/>
      <w:r>
        <w:rPr>
          <w:b w:val="0"/>
          <w:bCs w:val="0"/>
          <w:sz w:val="20"/>
          <w:szCs w:val="20"/>
          <w:lang w:val="en-US"/>
        </w:rPr>
        <w:t xml:space="preserve"> von den </w:t>
      </w:r>
      <w:proofErr w:type="spellStart"/>
      <w:r>
        <w:rPr>
          <w:b w:val="0"/>
          <w:bCs w:val="0"/>
          <w:sz w:val="20"/>
          <w:szCs w:val="20"/>
          <w:lang w:val="en-US"/>
        </w:rPr>
        <w:t>Fiktionen</w:t>
      </w:r>
      <w:proofErr w:type="spellEnd"/>
      <w:r>
        <w:rPr>
          <w:b w:val="0"/>
          <w:bCs w:val="0"/>
          <w:sz w:val="20"/>
          <w:szCs w:val="20"/>
          <w:lang w:val="en-US"/>
        </w:rPr>
        <w:t xml:space="preserve"> </w:t>
      </w:r>
      <w:proofErr w:type="spellStart"/>
      <w:r>
        <w:rPr>
          <w:b w:val="0"/>
          <w:bCs w:val="0"/>
          <w:sz w:val="20"/>
          <w:szCs w:val="20"/>
          <w:lang w:val="en-US"/>
        </w:rPr>
        <w:t>bei</w:t>
      </w:r>
      <w:proofErr w:type="spellEnd"/>
      <w:r>
        <w:rPr>
          <w:b w:val="0"/>
          <w:bCs w:val="0"/>
          <w:sz w:val="20"/>
          <w:szCs w:val="20"/>
          <w:lang w:val="en-US"/>
        </w:rPr>
        <w:t xml:space="preserve"> Leibniz”, in Jan Schroeder (ed.), </w:t>
      </w:r>
      <w:proofErr w:type="spellStart"/>
      <w:r>
        <w:rPr>
          <w:rFonts w:ascii="Times New (W1)" w:cs="Times New (W1)"/>
          <w:b w:val="0"/>
          <w:bCs w:val="0"/>
          <w:i/>
          <w:sz w:val="20"/>
          <w:szCs w:val="20"/>
          <w:lang w:val="en-US"/>
        </w:rPr>
        <w:t>Entwicklung</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der</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Methodenlehre</w:t>
      </w:r>
      <w:proofErr w:type="spellEnd"/>
      <w:r>
        <w:rPr>
          <w:rFonts w:ascii="Times New (W1)" w:cs="Times New (W1)"/>
          <w:b w:val="0"/>
          <w:bCs w:val="0"/>
          <w:i/>
          <w:sz w:val="20"/>
          <w:szCs w:val="20"/>
          <w:lang w:val="en-US"/>
        </w:rPr>
        <w:t xml:space="preserve"> in </w:t>
      </w:r>
      <w:proofErr w:type="spellStart"/>
      <w:r>
        <w:rPr>
          <w:rFonts w:ascii="Times New (W1)" w:cs="Times New (W1)"/>
          <w:b w:val="0"/>
          <w:bCs w:val="0"/>
          <w:i/>
          <w:sz w:val="20"/>
          <w:szCs w:val="20"/>
          <w:lang w:val="en-US"/>
        </w:rPr>
        <w:t>Rechtswissenschaft</w:t>
      </w:r>
      <w:proofErr w:type="spellEnd"/>
      <w:r>
        <w:rPr>
          <w:rFonts w:ascii="Times New (W1)" w:cs="Times New (W1)"/>
          <w:b w:val="0"/>
          <w:bCs w:val="0"/>
          <w:i/>
          <w:sz w:val="20"/>
          <w:szCs w:val="20"/>
          <w:lang w:val="en-US"/>
        </w:rPr>
        <w:t xml:space="preserve"> und </w:t>
      </w:r>
      <w:proofErr w:type="spellStart"/>
      <w:r>
        <w:rPr>
          <w:rFonts w:ascii="Times New (W1)" w:cs="Times New (W1)"/>
          <w:b w:val="0"/>
          <w:bCs w:val="0"/>
          <w:i/>
          <w:sz w:val="20"/>
          <w:szCs w:val="20"/>
          <w:lang w:val="en-US"/>
        </w:rPr>
        <w:t>Philosophie</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vom</w:t>
      </w:r>
      <w:proofErr w:type="spellEnd"/>
      <w:r>
        <w:rPr>
          <w:rFonts w:ascii="Times New (W1)" w:cs="Times New (W1)"/>
          <w:b w:val="0"/>
          <w:bCs w:val="0"/>
          <w:i/>
          <w:sz w:val="20"/>
          <w:szCs w:val="20"/>
          <w:lang w:val="en-US"/>
        </w:rPr>
        <w:t xml:space="preserve"> 16, </w:t>
      </w:r>
      <w:proofErr w:type="spellStart"/>
      <w:r>
        <w:rPr>
          <w:rFonts w:ascii="Times New (W1)" w:cs="Times New (W1)"/>
          <w:b w:val="0"/>
          <w:bCs w:val="0"/>
          <w:i/>
          <w:sz w:val="20"/>
          <w:szCs w:val="20"/>
          <w:lang w:val="en-US"/>
        </w:rPr>
        <w:t>bis</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zum</w:t>
      </w:r>
      <w:proofErr w:type="spellEnd"/>
      <w:r>
        <w:rPr>
          <w:rFonts w:ascii="Times New (W1)" w:cs="Times New (W1)"/>
          <w:b w:val="0"/>
          <w:bCs w:val="0"/>
          <w:i/>
          <w:sz w:val="20"/>
          <w:szCs w:val="20"/>
          <w:lang w:val="en-US"/>
        </w:rPr>
        <w:t xml:space="preserve"> 18. </w:t>
      </w:r>
      <w:proofErr w:type="spellStart"/>
      <w:r>
        <w:rPr>
          <w:rFonts w:ascii="Times New (W1)" w:cs="Times New (W1)"/>
          <w:b w:val="0"/>
          <w:bCs w:val="0"/>
          <w:i/>
          <w:sz w:val="20"/>
          <w:szCs w:val="20"/>
          <w:lang w:val="en-US"/>
        </w:rPr>
        <w:t>Jahrhundert</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Beitraege</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zu</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einem</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interdisziplinaeren</w:t>
      </w:r>
      <w:proofErr w:type="spellEnd"/>
      <w:r>
        <w:rPr>
          <w:rFonts w:ascii="Times New (W1)" w:cs="Times New (W1)"/>
          <w:b w:val="0"/>
          <w:bCs w:val="0"/>
          <w:i/>
          <w:sz w:val="20"/>
          <w:szCs w:val="20"/>
          <w:lang w:val="en-US"/>
        </w:rPr>
        <w:t xml:space="preserve"> Symposium in </w:t>
      </w:r>
      <w:proofErr w:type="spellStart"/>
      <w:r>
        <w:rPr>
          <w:rFonts w:ascii="Times New (W1)" w:cs="Times New (W1)"/>
          <w:b w:val="0"/>
          <w:bCs w:val="0"/>
          <w:i/>
          <w:sz w:val="20"/>
          <w:szCs w:val="20"/>
          <w:lang w:val="en-US"/>
        </w:rPr>
        <w:t>Tuebingen</w:t>
      </w:r>
      <w:proofErr w:type="spellEnd"/>
      <w:r>
        <w:rPr>
          <w:rFonts w:ascii="Times New (W1)" w:cs="Times New (W1)"/>
          <w:b w:val="0"/>
          <w:bCs w:val="0"/>
          <w:i/>
          <w:sz w:val="20"/>
          <w:szCs w:val="20"/>
          <w:lang w:val="en-US"/>
        </w:rPr>
        <w:t>, 18.-20. April 1996</w:t>
      </w:r>
      <w:r>
        <w:rPr>
          <w:rFonts w:ascii="Times New (W1)" w:cs="Times New (W1)"/>
          <w:b w:val="0"/>
          <w:bCs w:val="0"/>
          <w:sz w:val="20"/>
          <w:szCs w:val="20"/>
          <w:lang w:val="en-US"/>
        </w:rPr>
        <w:t xml:space="preserve">, </w:t>
      </w:r>
      <w:smartTag w:uri="urn:schemas-microsoft-com:office:smarttags" w:element="place">
        <w:smartTag w:uri="urn:schemas-microsoft-com:office:smarttags" w:element="City">
          <w:r>
            <w:rPr>
              <w:rFonts w:ascii="Times New (W1)" w:cs="Times New (W1)"/>
              <w:b w:val="0"/>
              <w:bCs w:val="0"/>
              <w:sz w:val="20"/>
              <w:szCs w:val="20"/>
              <w:lang w:val="en-US"/>
            </w:rPr>
            <w:t>Stuttgart</w:t>
          </w:r>
        </w:smartTag>
      </w:smartTag>
      <w:r>
        <w:rPr>
          <w:rFonts w:ascii="Times New (W1)" w:cs="Times New (W1)"/>
          <w:b w:val="0"/>
          <w:bCs w:val="0"/>
          <w:sz w:val="20"/>
          <w:szCs w:val="20"/>
          <w:lang w:val="en-US"/>
        </w:rPr>
        <w:t xml:space="preserve"> 1998, pp. 137-161, especially pp. 144-155. </w:t>
      </w:r>
      <w:r w:rsidRPr="00774F8B">
        <w:rPr>
          <w:b w:val="0"/>
          <w:bCs w:val="0"/>
          <w:sz w:val="20"/>
          <w:szCs w:val="20"/>
          <w:lang w:val="en-US"/>
        </w:rPr>
        <w:t xml:space="preserve">For recent discussions of presumptions as legal fictions, see </w:t>
      </w:r>
      <w:proofErr w:type="spellStart"/>
      <w:r w:rsidRPr="00774F8B">
        <w:rPr>
          <w:b w:val="0"/>
          <w:bCs w:val="0"/>
          <w:sz w:val="20"/>
          <w:szCs w:val="20"/>
          <w:lang w:val="en-US"/>
        </w:rPr>
        <w:t>Chaim</w:t>
      </w:r>
      <w:proofErr w:type="spellEnd"/>
      <w:r w:rsidRPr="00774F8B">
        <w:rPr>
          <w:b w:val="0"/>
          <w:bCs w:val="0"/>
          <w:sz w:val="20"/>
          <w:szCs w:val="20"/>
          <w:lang w:val="en-US"/>
        </w:rPr>
        <w:t xml:space="preserve"> Perelman, </w:t>
      </w:r>
      <w:r w:rsidRPr="00774F8B">
        <w:rPr>
          <w:b w:val="0"/>
          <w:bCs w:val="0"/>
          <w:i/>
          <w:iCs/>
          <w:sz w:val="20"/>
          <w:szCs w:val="20"/>
          <w:lang w:val="en-US"/>
        </w:rPr>
        <w:t>Justice, Law, and Argument</w:t>
      </w:r>
      <w:r w:rsidRPr="00774F8B">
        <w:rPr>
          <w:b w:val="0"/>
          <w:bCs w:val="0"/>
          <w:sz w:val="20"/>
          <w:szCs w:val="20"/>
          <w:lang w:val="en-US"/>
        </w:rPr>
        <w:t xml:space="preserve">, </w:t>
      </w:r>
      <w:proofErr w:type="spellStart"/>
      <w:r w:rsidRPr="00774F8B">
        <w:rPr>
          <w:b w:val="0"/>
          <w:bCs w:val="0"/>
          <w:sz w:val="20"/>
          <w:szCs w:val="20"/>
          <w:lang w:val="en-US"/>
        </w:rPr>
        <w:t>Dordrecht</w:t>
      </w:r>
      <w:proofErr w:type="spellEnd"/>
      <w:r w:rsidRPr="00774F8B">
        <w:rPr>
          <w:b w:val="0"/>
          <w:bCs w:val="0"/>
          <w:sz w:val="20"/>
          <w:szCs w:val="20"/>
          <w:lang w:val="en-US"/>
        </w:rPr>
        <w:t xml:space="preserve"> 1980; Edna </w:t>
      </w:r>
      <w:proofErr w:type="spellStart"/>
      <w:r w:rsidRPr="00774F8B">
        <w:rPr>
          <w:b w:val="0"/>
          <w:bCs w:val="0"/>
          <w:sz w:val="20"/>
          <w:szCs w:val="20"/>
          <w:lang w:val="en-US"/>
        </w:rPr>
        <w:t>Ullmann-Margalit</w:t>
      </w:r>
      <w:proofErr w:type="spellEnd"/>
      <w:r w:rsidRPr="00774F8B">
        <w:rPr>
          <w:b w:val="0"/>
          <w:bCs w:val="0"/>
          <w:sz w:val="20"/>
          <w:szCs w:val="20"/>
          <w:lang w:val="en-US"/>
        </w:rPr>
        <w:t xml:space="preserve">, “On Presumption”, </w:t>
      </w:r>
      <w:r w:rsidRPr="00774F8B">
        <w:rPr>
          <w:b w:val="0"/>
          <w:bCs w:val="0"/>
          <w:i/>
          <w:iCs/>
          <w:sz w:val="20"/>
          <w:szCs w:val="20"/>
          <w:lang w:val="en-US"/>
        </w:rPr>
        <w:t>Journal of Philosophy</w:t>
      </w:r>
      <w:r w:rsidRPr="00774F8B">
        <w:rPr>
          <w:b w:val="0"/>
          <w:bCs w:val="0"/>
          <w:sz w:val="20"/>
          <w:szCs w:val="20"/>
          <w:lang w:val="en-US"/>
        </w:rPr>
        <w:t xml:space="preserve"> 80 (1983), pp. 142-163.</w:t>
      </w:r>
    </w:p>
  </w:endnote>
  <w:endnote w:id="4">
    <w:p w14:paraId="1358EE08" w14:textId="77777777" w:rsidR="008E6AD0" w:rsidRPr="00774F8B" w:rsidRDefault="008E6AD0" w:rsidP="003B1C55">
      <w:pPr>
        <w:pStyle w:val="Titel"/>
        <w:spacing w:line="480" w:lineRule="auto"/>
        <w:jc w:val="both"/>
        <w:rPr>
          <w:b w:val="0"/>
          <w:bCs w:val="0"/>
          <w:sz w:val="20"/>
          <w:szCs w:val="20"/>
          <w:lang w:val="en-US"/>
        </w:rPr>
      </w:pPr>
      <w:r w:rsidRPr="00774F8B">
        <w:rPr>
          <w:rStyle w:val="Endnotenzeichen"/>
          <w:b w:val="0"/>
          <w:bCs w:val="0"/>
          <w:sz w:val="20"/>
          <w:szCs w:val="20"/>
          <w:lang w:val="en-US"/>
        </w:rPr>
        <w:endnoteRef/>
      </w:r>
      <w:r w:rsidRPr="00774F8B">
        <w:rPr>
          <w:b w:val="0"/>
          <w:bCs w:val="0"/>
          <w:sz w:val="20"/>
          <w:szCs w:val="20"/>
          <w:lang w:val="en-US"/>
        </w:rPr>
        <w:t xml:space="preserve"> See Nicholas </w:t>
      </w:r>
      <w:proofErr w:type="spellStart"/>
      <w:r w:rsidRPr="00774F8B">
        <w:rPr>
          <w:b w:val="0"/>
          <w:bCs w:val="0"/>
          <w:sz w:val="20"/>
          <w:szCs w:val="20"/>
          <w:lang w:val="en-US"/>
        </w:rPr>
        <w:t>Rescher</w:t>
      </w:r>
      <w:proofErr w:type="spellEnd"/>
      <w:r w:rsidRPr="00774F8B">
        <w:rPr>
          <w:b w:val="0"/>
          <w:bCs w:val="0"/>
          <w:sz w:val="20"/>
          <w:szCs w:val="20"/>
          <w:lang w:val="en-US"/>
        </w:rPr>
        <w:t xml:space="preserve">, </w:t>
      </w:r>
      <w:r w:rsidRPr="00774F8B">
        <w:rPr>
          <w:b w:val="0"/>
          <w:bCs w:val="0"/>
          <w:i/>
          <w:iCs/>
          <w:sz w:val="20"/>
          <w:szCs w:val="20"/>
          <w:lang w:val="en-US"/>
        </w:rPr>
        <w:t>Presumption and the Practices of Tentative Cognition</w:t>
      </w:r>
      <w:r w:rsidRPr="00774F8B">
        <w:rPr>
          <w:b w:val="0"/>
          <w:bCs w:val="0"/>
          <w:sz w:val="20"/>
          <w:szCs w:val="20"/>
          <w:lang w:val="en-US"/>
        </w:rPr>
        <w:t>, Cambridge 2006.</w:t>
      </w:r>
    </w:p>
  </w:endnote>
  <w:endnote w:id="5">
    <w:p w14:paraId="55B06213"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Hans </w:t>
      </w:r>
      <w:proofErr w:type="spellStart"/>
      <w:r w:rsidRPr="003233B4">
        <w:rPr>
          <w:b w:val="0"/>
          <w:bCs w:val="0"/>
          <w:sz w:val="20"/>
          <w:szCs w:val="20"/>
          <w:lang w:val="en-US"/>
        </w:rPr>
        <w:t>Burkhardt</w:t>
      </w:r>
      <w:proofErr w:type="spellEnd"/>
      <w:r w:rsidRPr="003233B4">
        <w:rPr>
          <w:b w:val="0"/>
          <w:bCs w:val="0"/>
          <w:sz w:val="20"/>
          <w:szCs w:val="20"/>
          <w:lang w:val="en-US"/>
        </w:rPr>
        <w:t xml:space="preserve">, </w:t>
      </w:r>
      <w:proofErr w:type="spellStart"/>
      <w:r w:rsidRPr="003233B4">
        <w:rPr>
          <w:b w:val="0"/>
          <w:bCs w:val="0"/>
          <w:i/>
          <w:iCs/>
          <w:sz w:val="20"/>
          <w:szCs w:val="20"/>
          <w:lang w:val="en-US"/>
        </w:rPr>
        <w:t>Logik</w:t>
      </w:r>
      <w:proofErr w:type="spellEnd"/>
      <w:r w:rsidRPr="003233B4">
        <w:rPr>
          <w:b w:val="0"/>
          <w:bCs w:val="0"/>
          <w:i/>
          <w:iCs/>
          <w:sz w:val="20"/>
          <w:szCs w:val="20"/>
          <w:lang w:val="en-US"/>
        </w:rPr>
        <w:t xml:space="preserve"> und </w:t>
      </w:r>
      <w:proofErr w:type="spellStart"/>
      <w:r w:rsidRPr="003233B4">
        <w:rPr>
          <w:b w:val="0"/>
          <w:bCs w:val="0"/>
          <w:i/>
          <w:iCs/>
          <w:sz w:val="20"/>
          <w:szCs w:val="20"/>
          <w:lang w:val="en-US"/>
        </w:rPr>
        <w:t>Semiotik</w:t>
      </w:r>
      <w:proofErr w:type="spellEnd"/>
      <w:r w:rsidRPr="003233B4">
        <w:rPr>
          <w:b w:val="0"/>
          <w:bCs w:val="0"/>
          <w:i/>
          <w:iCs/>
          <w:sz w:val="20"/>
          <w:szCs w:val="20"/>
          <w:lang w:val="en-US"/>
        </w:rPr>
        <w:t xml:space="preserve"> in </w:t>
      </w:r>
      <w:proofErr w:type="spellStart"/>
      <w:r w:rsidRPr="003233B4">
        <w:rPr>
          <w:b w:val="0"/>
          <w:bCs w:val="0"/>
          <w:i/>
          <w:iCs/>
          <w:sz w:val="20"/>
          <w:szCs w:val="20"/>
          <w:lang w:val="en-US"/>
        </w:rPr>
        <w:t>der</w:t>
      </w:r>
      <w:proofErr w:type="spellEnd"/>
      <w:r w:rsidRPr="003233B4">
        <w:rPr>
          <w:b w:val="0"/>
          <w:bCs w:val="0"/>
          <w:i/>
          <w:iCs/>
          <w:sz w:val="20"/>
          <w:szCs w:val="20"/>
          <w:lang w:val="en-US"/>
        </w:rPr>
        <w:t xml:space="preserve"> </w:t>
      </w:r>
      <w:proofErr w:type="spellStart"/>
      <w:r w:rsidRPr="003233B4">
        <w:rPr>
          <w:b w:val="0"/>
          <w:bCs w:val="0"/>
          <w:i/>
          <w:iCs/>
          <w:sz w:val="20"/>
          <w:szCs w:val="20"/>
          <w:lang w:val="en-US"/>
        </w:rPr>
        <w:t>Philosophie</w:t>
      </w:r>
      <w:proofErr w:type="spellEnd"/>
      <w:r w:rsidRPr="003233B4">
        <w:rPr>
          <w:b w:val="0"/>
          <w:bCs w:val="0"/>
          <w:i/>
          <w:iCs/>
          <w:sz w:val="20"/>
          <w:szCs w:val="20"/>
          <w:lang w:val="en-US"/>
        </w:rPr>
        <w:t xml:space="preserve"> von Leibniz</w:t>
      </w:r>
      <w:r w:rsidRPr="003233B4">
        <w:rPr>
          <w:b w:val="0"/>
          <w:bCs w:val="0"/>
          <w:sz w:val="20"/>
          <w:szCs w:val="20"/>
          <w:lang w:val="en-US"/>
        </w:rPr>
        <w:t xml:space="preserve">, </w:t>
      </w:r>
      <w:smartTag w:uri="urn:schemas-microsoft-com:office:smarttags" w:element="place">
        <w:smartTag w:uri="urn:schemas-microsoft-com:office:smarttags" w:element="City">
          <w:r w:rsidRPr="003233B4">
            <w:rPr>
              <w:b w:val="0"/>
              <w:bCs w:val="0"/>
              <w:sz w:val="20"/>
              <w:szCs w:val="20"/>
              <w:lang w:val="en-US"/>
            </w:rPr>
            <w:t>Munich</w:t>
          </w:r>
        </w:smartTag>
      </w:smartTag>
      <w:r w:rsidRPr="003233B4">
        <w:rPr>
          <w:b w:val="0"/>
          <w:bCs w:val="0"/>
          <w:sz w:val="20"/>
          <w:szCs w:val="20"/>
          <w:lang w:val="en-US"/>
        </w:rPr>
        <w:t xml:space="preserve"> 1980, p. 426. Leibniz puts it thus: “To </w:t>
      </w:r>
      <w:r w:rsidRPr="003233B4">
        <w:rPr>
          <w:b w:val="0"/>
          <w:bCs w:val="0"/>
          <w:i/>
          <w:iCs/>
          <w:sz w:val="20"/>
          <w:szCs w:val="20"/>
          <w:lang w:val="en-US"/>
        </w:rPr>
        <w:t xml:space="preserve">presume </w:t>
      </w:r>
      <w:r w:rsidRPr="003233B4">
        <w:rPr>
          <w:b w:val="0"/>
          <w:bCs w:val="0"/>
          <w:sz w:val="20"/>
          <w:szCs w:val="20"/>
          <w:lang w:val="en-US"/>
        </w:rPr>
        <w:t xml:space="preserve">is to hold for certain until the opposite is proved … </w:t>
      </w:r>
      <w:r w:rsidRPr="003233B4">
        <w:rPr>
          <w:b w:val="0"/>
          <w:bCs w:val="0"/>
          <w:i/>
          <w:iCs/>
          <w:sz w:val="20"/>
          <w:szCs w:val="20"/>
          <w:lang w:val="en-US"/>
        </w:rPr>
        <w:t xml:space="preserve">For certain </w:t>
      </w:r>
      <w:r w:rsidRPr="003233B4">
        <w:rPr>
          <w:b w:val="0"/>
          <w:bCs w:val="0"/>
          <w:sz w:val="20"/>
          <w:szCs w:val="20"/>
          <w:lang w:val="en-US"/>
        </w:rPr>
        <w:t xml:space="preserve">is what we follow in action as if it were certain” (from the variants to the Fifth MS of the </w:t>
      </w:r>
      <w:proofErr w:type="spellStart"/>
      <w:r w:rsidRPr="003233B4">
        <w:rPr>
          <w:b w:val="0"/>
          <w:bCs w:val="0"/>
          <w:i/>
          <w:iCs/>
          <w:sz w:val="20"/>
          <w:szCs w:val="20"/>
          <w:lang w:val="en-US"/>
        </w:rPr>
        <w:t>Elementa</w:t>
      </w:r>
      <w:proofErr w:type="spellEnd"/>
      <w:r w:rsidRPr="003233B4">
        <w:rPr>
          <w:b w:val="0"/>
          <w:bCs w:val="0"/>
          <w:i/>
          <w:iCs/>
          <w:sz w:val="20"/>
          <w:szCs w:val="20"/>
          <w:lang w:val="en-US"/>
        </w:rPr>
        <w:t xml:space="preserve"> </w:t>
      </w:r>
      <w:proofErr w:type="spellStart"/>
      <w:r w:rsidRPr="003233B4">
        <w:rPr>
          <w:b w:val="0"/>
          <w:bCs w:val="0"/>
          <w:i/>
          <w:iCs/>
          <w:sz w:val="20"/>
          <w:szCs w:val="20"/>
          <w:lang w:val="en-US"/>
        </w:rPr>
        <w:t>Juris</w:t>
      </w:r>
      <w:proofErr w:type="spellEnd"/>
      <w:r w:rsidRPr="003233B4">
        <w:rPr>
          <w:b w:val="0"/>
          <w:bCs w:val="0"/>
          <w:i/>
          <w:iCs/>
          <w:sz w:val="20"/>
          <w:szCs w:val="20"/>
          <w:lang w:val="en-US"/>
        </w:rPr>
        <w:t xml:space="preserve"> </w:t>
      </w:r>
      <w:proofErr w:type="spellStart"/>
      <w:r w:rsidRPr="003233B4">
        <w:rPr>
          <w:b w:val="0"/>
          <w:bCs w:val="0"/>
          <w:i/>
          <w:iCs/>
          <w:sz w:val="20"/>
          <w:szCs w:val="20"/>
          <w:lang w:val="en-US"/>
        </w:rPr>
        <w:t>Naturalis</w:t>
      </w:r>
      <w:proofErr w:type="spellEnd"/>
      <w:r w:rsidRPr="003233B4">
        <w:rPr>
          <w:b w:val="0"/>
          <w:bCs w:val="0"/>
          <w:sz w:val="20"/>
          <w:szCs w:val="20"/>
          <w:lang w:val="en-US"/>
        </w:rPr>
        <w:t xml:space="preserve">, A VI, 2, 567; translation from Robert M. Adams, </w:t>
      </w:r>
      <w:r w:rsidRPr="003233B4">
        <w:rPr>
          <w:b w:val="0"/>
          <w:bCs w:val="0"/>
          <w:i/>
          <w:iCs/>
          <w:sz w:val="20"/>
          <w:szCs w:val="20"/>
          <w:lang w:val="en-US"/>
        </w:rPr>
        <w:t>Leibniz. Determinist, Idealist, Theist</w:t>
      </w:r>
      <w:r>
        <w:rPr>
          <w:b w:val="0"/>
          <w:bCs w:val="0"/>
          <w:sz w:val="20"/>
          <w:szCs w:val="20"/>
          <w:lang w:val="en-US"/>
        </w:rPr>
        <w:t xml:space="preserve">, </w:t>
      </w:r>
      <w:smartTag w:uri="urn:schemas-microsoft-com:office:smarttags" w:element="place">
        <w:smartTag w:uri="urn:schemas-microsoft-com:office:smarttags" w:element="State">
          <w:r>
            <w:rPr>
              <w:b w:val="0"/>
              <w:bCs w:val="0"/>
              <w:sz w:val="20"/>
              <w:szCs w:val="20"/>
              <w:lang w:val="en-US"/>
            </w:rPr>
            <w:t>New York</w:t>
          </w:r>
        </w:smartTag>
      </w:smartTag>
      <w:r w:rsidRPr="003233B4">
        <w:rPr>
          <w:b w:val="0"/>
          <w:bCs w:val="0"/>
          <w:sz w:val="20"/>
          <w:szCs w:val="20"/>
          <w:lang w:val="en-US"/>
        </w:rPr>
        <w:t xml:space="preserve"> 1994, p. 202).</w:t>
      </w:r>
      <w:r>
        <w:rPr>
          <w:b w:val="0"/>
          <w:bCs w:val="0"/>
          <w:sz w:val="20"/>
          <w:szCs w:val="20"/>
          <w:lang w:val="en-US"/>
        </w:rPr>
        <w:t xml:space="preserve"> On the role of truth and certainty in Leibniz’s view of presumption, see </w:t>
      </w:r>
      <w:proofErr w:type="spellStart"/>
      <w:r>
        <w:rPr>
          <w:b w:val="0"/>
          <w:bCs w:val="0"/>
          <w:sz w:val="20"/>
          <w:szCs w:val="20"/>
          <w:lang w:val="en-US"/>
        </w:rPr>
        <w:t>Ezequiel</w:t>
      </w:r>
      <w:proofErr w:type="spellEnd"/>
      <w:r>
        <w:rPr>
          <w:b w:val="0"/>
          <w:bCs w:val="0"/>
          <w:sz w:val="20"/>
          <w:szCs w:val="20"/>
          <w:lang w:val="en-US"/>
        </w:rPr>
        <w:t xml:space="preserve"> de </w:t>
      </w:r>
      <w:proofErr w:type="spellStart"/>
      <w:r>
        <w:rPr>
          <w:b w:val="0"/>
          <w:bCs w:val="0"/>
          <w:sz w:val="20"/>
          <w:szCs w:val="20"/>
          <w:lang w:val="en-US"/>
        </w:rPr>
        <w:t>Olaso</w:t>
      </w:r>
      <w:proofErr w:type="spellEnd"/>
      <w:r>
        <w:rPr>
          <w:b w:val="0"/>
          <w:bCs w:val="0"/>
          <w:sz w:val="20"/>
          <w:szCs w:val="20"/>
          <w:lang w:val="en-US"/>
        </w:rPr>
        <w:t xml:space="preserve">, “Leibniz et </w:t>
      </w:r>
      <w:proofErr w:type="spellStart"/>
      <w:r>
        <w:rPr>
          <w:b w:val="0"/>
          <w:bCs w:val="0"/>
          <w:sz w:val="20"/>
          <w:szCs w:val="20"/>
          <w:lang w:val="en-US"/>
        </w:rPr>
        <w:t>l’art</w:t>
      </w:r>
      <w:proofErr w:type="spellEnd"/>
      <w:r>
        <w:rPr>
          <w:b w:val="0"/>
          <w:bCs w:val="0"/>
          <w:sz w:val="20"/>
          <w:szCs w:val="20"/>
          <w:lang w:val="en-US"/>
        </w:rPr>
        <w:t xml:space="preserve"> de disputer”, </w:t>
      </w:r>
      <w:proofErr w:type="spellStart"/>
      <w:r>
        <w:rPr>
          <w:b w:val="0"/>
          <w:bCs w:val="0"/>
          <w:i/>
          <w:iCs/>
          <w:sz w:val="20"/>
          <w:szCs w:val="20"/>
          <w:lang w:val="en-US"/>
        </w:rPr>
        <w:t>Studia</w:t>
      </w:r>
      <w:proofErr w:type="spellEnd"/>
      <w:r>
        <w:rPr>
          <w:b w:val="0"/>
          <w:bCs w:val="0"/>
          <w:i/>
          <w:iCs/>
          <w:sz w:val="20"/>
          <w:szCs w:val="20"/>
          <w:lang w:val="en-US"/>
        </w:rPr>
        <w:t xml:space="preserve"> </w:t>
      </w:r>
      <w:proofErr w:type="spellStart"/>
      <w:r>
        <w:rPr>
          <w:b w:val="0"/>
          <w:bCs w:val="0"/>
          <w:i/>
          <w:iCs/>
          <w:sz w:val="20"/>
          <w:szCs w:val="20"/>
          <w:lang w:val="en-US"/>
        </w:rPr>
        <w:t>Leibnitiana</w:t>
      </w:r>
      <w:proofErr w:type="spellEnd"/>
      <w:r>
        <w:rPr>
          <w:b w:val="0"/>
          <w:bCs w:val="0"/>
          <w:i/>
          <w:iCs/>
          <w:sz w:val="20"/>
          <w:szCs w:val="20"/>
          <w:lang w:val="en-US"/>
        </w:rPr>
        <w:t xml:space="preserve"> </w:t>
      </w:r>
      <w:proofErr w:type="spellStart"/>
      <w:r>
        <w:rPr>
          <w:b w:val="0"/>
          <w:bCs w:val="0"/>
          <w:i/>
          <w:iCs/>
          <w:sz w:val="20"/>
          <w:szCs w:val="20"/>
          <w:lang w:val="en-US"/>
        </w:rPr>
        <w:t>Supplementa</w:t>
      </w:r>
      <w:proofErr w:type="spellEnd"/>
      <w:r>
        <w:rPr>
          <w:b w:val="0"/>
          <w:bCs w:val="0"/>
          <w:i/>
          <w:iCs/>
          <w:sz w:val="20"/>
          <w:szCs w:val="20"/>
          <w:lang w:val="en-US"/>
        </w:rPr>
        <w:t xml:space="preserve"> </w:t>
      </w:r>
      <w:r>
        <w:rPr>
          <w:b w:val="0"/>
          <w:bCs w:val="0"/>
          <w:sz w:val="20"/>
          <w:szCs w:val="20"/>
          <w:lang w:val="en-US"/>
        </w:rPr>
        <w:t xml:space="preserve">15 (1975), pp. 207-228. The action-guiding function of presumption explains the important role that Leibniz assigns to presumption in his views on the nature of controversies; see Marcelo </w:t>
      </w:r>
      <w:proofErr w:type="spellStart"/>
      <w:r>
        <w:rPr>
          <w:b w:val="0"/>
          <w:bCs w:val="0"/>
          <w:sz w:val="20"/>
          <w:szCs w:val="20"/>
          <w:lang w:val="en-US"/>
        </w:rPr>
        <w:t>Dascal</w:t>
      </w:r>
      <w:proofErr w:type="spellEnd"/>
      <w:r>
        <w:rPr>
          <w:b w:val="0"/>
          <w:bCs w:val="0"/>
          <w:sz w:val="20"/>
          <w:szCs w:val="20"/>
          <w:lang w:val="en-US"/>
        </w:rPr>
        <w:t xml:space="preserve">, “Introductory Essay”, in </w:t>
      </w:r>
      <w:r w:rsidRPr="00D7030D">
        <w:rPr>
          <w:b w:val="0"/>
          <w:bCs w:val="0"/>
          <w:sz w:val="20"/>
          <w:szCs w:val="20"/>
          <w:lang w:val="en-US"/>
        </w:rPr>
        <w:t>Gottfried Wilhelm Leibniz</w:t>
      </w:r>
      <w:r>
        <w:rPr>
          <w:b w:val="0"/>
          <w:bCs w:val="0"/>
          <w:sz w:val="20"/>
          <w:szCs w:val="20"/>
          <w:lang w:val="en-US"/>
        </w:rPr>
        <w:t>,</w:t>
      </w:r>
      <w:r w:rsidRPr="00D7030D">
        <w:rPr>
          <w:b w:val="0"/>
          <w:bCs w:val="0"/>
          <w:i/>
          <w:iCs/>
          <w:sz w:val="20"/>
          <w:szCs w:val="20"/>
          <w:lang w:val="en-US"/>
        </w:rPr>
        <w:t xml:space="preserve"> The</w:t>
      </w:r>
      <w:r>
        <w:rPr>
          <w:b w:val="0"/>
          <w:bCs w:val="0"/>
          <w:i/>
          <w:iCs/>
          <w:sz w:val="20"/>
          <w:szCs w:val="20"/>
          <w:lang w:val="en-US"/>
        </w:rPr>
        <w:t xml:space="preserve"> Art of Controversies</w:t>
      </w:r>
      <w:r>
        <w:rPr>
          <w:b w:val="0"/>
          <w:bCs w:val="0"/>
          <w:sz w:val="20"/>
          <w:szCs w:val="20"/>
          <w:lang w:val="en-US"/>
        </w:rPr>
        <w:t xml:space="preserve">, translated and edited by Marcelo </w:t>
      </w:r>
      <w:proofErr w:type="spellStart"/>
      <w:r>
        <w:rPr>
          <w:b w:val="0"/>
          <w:bCs w:val="0"/>
          <w:sz w:val="20"/>
          <w:szCs w:val="20"/>
          <w:lang w:val="en-US"/>
        </w:rPr>
        <w:t>Dascal</w:t>
      </w:r>
      <w:proofErr w:type="spellEnd"/>
      <w:r>
        <w:rPr>
          <w:b w:val="0"/>
          <w:bCs w:val="0"/>
          <w:sz w:val="20"/>
          <w:szCs w:val="20"/>
          <w:lang w:val="en-US"/>
        </w:rPr>
        <w:t xml:space="preserve"> with </w:t>
      </w:r>
      <w:proofErr w:type="spellStart"/>
      <w:r>
        <w:rPr>
          <w:b w:val="0"/>
          <w:bCs w:val="0"/>
          <w:sz w:val="20"/>
          <w:szCs w:val="20"/>
          <w:lang w:val="en-US"/>
        </w:rPr>
        <w:t>Quintin</w:t>
      </w:r>
      <w:proofErr w:type="spellEnd"/>
      <w:r>
        <w:rPr>
          <w:b w:val="0"/>
          <w:bCs w:val="0"/>
          <w:sz w:val="20"/>
          <w:szCs w:val="20"/>
          <w:lang w:val="en-US"/>
        </w:rPr>
        <w:t xml:space="preserve"> </w:t>
      </w:r>
      <w:proofErr w:type="spellStart"/>
      <w:r>
        <w:rPr>
          <w:b w:val="0"/>
          <w:bCs w:val="0"/>
          <w:sz w:val="20"/>
          <w:szCs w:val="20"/>
          <w:lang w:val="en-US"/>
        </w:rPr>
        <w:t>Racionero</w:t>
      </w:r>
      <w:proofErr w:type="spellEnd"/>
      <w:r>
        <w:rPr>
          <w:b w:val="0"/>
          <w:bCs w:val="0"/>
          <w:sz w:val="20"/>
          <w:szCs w:val="20"/>
          <w:lang w:val="en-US"/>
        </w:rPr>
        <w:t xml:space="preserve"> and </w:t>
      </w:r>
      <w:proofErr w:type="spellStart"/>
      <w:r>
        <w:rPr>
          <w:b w:val="0"/>
          <w:bCs w:val="0"/>
          <w:sz w:val="20"/>
          <w:szCs w:val="20"/>
          <w:lang w:val="en-US"/>
        </w:rPr>
        <w:t>Adelino</w:t>
      </w:r>
      <w:proofErr w:type="spellEnd"/>
      <w:r>
        <w:rPr>
          <w:b w:val="0"/>
          <w:bCs w:val="0"/>
          <w:sz w:val="20"/>
          <w:szCs w:val="20"/>
          <w:lang w:val="en-US"/>
        </w:rPr>
        <w:t xml:space="preserve"> </w:t>
      </w:r>
      <w:proofErr w:type="spellStart"/>
      <w:r>
        <w:rPr>
          <w:b w:val="0"/>
          <w:bCs w:val="0"/>
          <w:sz w:val="20"/>
          <w:szCs w:val="20"/>
          <w:lang w:val="en-US"/>
        </w:rPr>
        <w:t>Cardoso</w:t>
      </w:r>
      <w:proofErr w:type="spellEnd"/>
      <w:r>
        <w:rPr>
          <w:b w:val="0"/>
          <w:bCs w:val="0"/>
          <w:sz w:val="20"/>
          <w:szCs w:val="20"/>
          <w:lang w:val="en-US"/>
        </w:rPr>
        <w:t xml:space="preserve">, </w:t>
      </w:r>
      <w:proofErr w:type="spellStart"/>
      <w:r>
        <w:rPr>
          <w:b w:val="0"/>
          <w:bCs w:val="0"/>
          <w:sz w:val="20"/>
          <w:szCs w:val="20"/>
          <w:lang w:val="en-US"/>
        </w:rPr>
        <w:t>Dordrecht</w:t>
      </w:r>
      <w:proofErr w:type="spellEnd"/>
      <w:r>
        <w:rPr>
          <w:b w:val="0"/>
          <w:bCs w:val="0"/>
          <w:sz w:val="20"/>
          <w:szCs w:val="20"/>
          <w:lang w:val="en-US"/>
        </w:rPr>
        <w:t xml:space="preserve"> 2006, pp. xxiv, xxxv, </w:t>
      </w:r>
      <w:proofErr w:type="spellStart"/>
      <w:r>
        <w:rPr>
          <w:b w:val="0"/>
          <w:bCs w:val="0"/>
          <w:sz w:val="20"/>
          <w:szCs w:val="20"/>
          <w:lang w:val="en-US"/>
        </w:rPr>
        <w:t>lxix</w:t>
      </w:r>
      <w:proofErr w:type="spellEnd"/>
      <w:r>
        <w:rPr>
          <w:b w:val="0"/>
          <w:bCs w:val="0"/>
          <w:sz w:val="20"/>
          <w:szCs w:val="20"/>
          <w:lang w:val="en-US"/>
        </w:rPr>
        <w:t xml:space="preserve">. On the problems arising from applying presumptions to the realm of metaphysics, see Robert M. Adams, “Presumption and the Necessary Existence of God”, </w:t>
      </w:r>
      <w:proofErr w:type="spellStart"/>
      <w:r>
        <w:rPr>
          <w:b w:val="0"/>
          <w:bCs w:val="0"/>
          <w:i/>
          <w:iCs/>
          <w:sz w:val="20"/>
          <w:szCs w:val="20"/>
          <w:lang w:val="en-US"/>
        </w:rPr>
        <w:t>Nous</w:t>
      </w:r>
      <w:proofErr w:type="spellEnd"/>
      <w:r>
        <w:rPr>
          <w:b w:val="0"/>
          <w:bCs w:val="0"/>
          <w:i/>
          <w:iCs/>
          <w:sz w:val="20"/>
          <w:szCs w:val="20"/>
          <w:lang w:val="en-US"/>
        </w:rPr>
        <w:t xml:space="preserve"> </w:t>
      </w:r>
      <w:r>
        <w:rPr>
          <w:b w:val="0"/>
          <w:bCs w:val="0"/>
          <w:sz w:val="20"/>
          <w:szCs w:val="20"/>
          <w:lang w:val="en-US"/>
        </w:rPr>
        <w:t xml:space="preserve">22 (1988), pp. 19-32.  </w:t>
      </w:r>
    </w:p>
  </w:endnote>
  <w:endnote w:id="6">
    <w:p w14:paraId="6AAF6371"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A VI, 1, 471.</w:t>
      </w:r>
    </w:p>
  </w:endnote>
  <w:endnote w:id="7">
    <w:p w14:paraId="6586DF82"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“Presumption is in favor of the smaller, in favor of negation, in favor of possibility …; against the bigger, against the factual, against difficulty …” (ibid.). </w:t>
      </w:r>
    </w:p>
  </w:endnote>
  <w:endnote w:id="8">
    <w:p w14:paraId="023968EE" w14:textId="77777777" w:rsidR="008E6AD0" w:rsidRPr="003233B4" w:rsidRDefault="008E6AD0" w:rsidP="001D0C20">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Nova </w:t>
      </w:r>
      <w:proofErr w:type="spellStart"/>
      <w:r>
        <w:rPr>
          <w:b w:val="0"/>
          <w:bCs w:val="0"/>
          <w:sz w:val="20"/>
          <w:szCs w:val="20"/>
          <w:lang w:val="en-US"/>
        </w:rPr>
        <w:t>methodus</w:t>
      </w:r>
      <w:proofErr w:type="spellEnd"/>
      <w:r>
        <w:rPr>
          <w:b w:val="0"/>
          <w:bCs w:val="0"/>
          <w:sz w:val="20"/>
          <w:szCs w:val="20"/>
          <w:lang w:val="en-US"/>
        </w:rPr>
        <w:t xml:space="preserve"> </w:t>
      </w:r>
      <w:proofErr w:type="spellStart"/>
      <w:r>
        <w:rPr>
          <w:b w:val="0"/>
          <w:bCs w:val="0"/>
          <w:sz w:val="20"/>
          <w:szCs w:val="20"/>
          <w:lang w:val="en-US"/>
        </w:rPr>
        <w:t>discendae</w:t>
      </w:r>
      <w:proofErr w:type="spellEnd"/>
      <w:r>
        <w:rPr>
          <w:b w:val="0"/>
          <w:bCs w:val="0"/>
          <w:sz w:val="20"/>
          <w:szCs w:val="20"/>
          <w:lang w:val="en-US"/>
        </w:rPr>
        <w:t xml:space="preserve"> </w:t>
      </w:r>
      <w:proofErr w:type="spellStart"/>
      <w:r>
        <w:rPr>
          <w:b w:val="0"/>
          <w:bCs w:val="0"/>
          <w:sz w:val="20"/>
          <w:szCs w:val="20"/>
          <w:lang w:val="en-US"/>
        </w:rPr>
        <w:t>docendaeque</w:t>
      </w:r>
      <w:proofErr w:type="spellEnd"/>
      <w:r>
        <w:rPr>
          <w:b w:val="0"/>
          <w:bCs w:val="0"/>
          <w:sz w:val="20"/>
          <w:szCs w:val="20"/>
          <w:lang w:val="en-US"/>
        </w:rPr>
        <w:t xml:space="preserve"> </w:t>
      </w:r>
      <w:proofErr w:type="spellStart"/>
      <w:r>
        <w:rPr>
          <w:b w:val="0"/>
          <w:bCs w:val="0"/>
          <w:sz w:val="20"/>
          <w:szCs w:val="20"/>
          <w:lang w:val="en-US"/>
        </w:rPr>
        <w:t>jurisprudentiae</w:t>
      </w:r>
      <w:proofErr w:type="spellEnd"/>
      <w:r>
        <w:rPr>
          <w:b w:val="0"/>
          <w:bCs w:val="0"/>
          <w:sz w:val="20"/>
          <w:szCs w:val="20"/>
          <w:lang w:val="en-US"/>
        </w:rPr>
        <w:t>, part II, sec. 73-75; A VI, 1, 343-345.</w:t>
      </w:r>
    </w:p>
  </w:endnote>
  <w:endnote w:id="9">
    <w:p w14:paraId="6F7B18BF" w14:textId="77777777" w:rsidR="008E6AD0" w:rsidRPr="003233B4" w:rsidRDefault="008E6AD0" w:rsidP="00385324">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Ibid.</w:t>
      </w:r>
    </w:p>
  </w:endnote>
  <w:endnote w:id="10">
    <w:p w14:paraId="6071509F" w14:textId="77777777" w:rsidR="008E6AD0" w:rsidRPr="005812ED" w:rsidRDefault="008E6AD0" w:rsidP="00A21727">
      <w:pPr>
        <w:pStyle w:val="Titel"/>
        <w:spacing w:line="480" w:lineRule="auto"/>
        <w:jc w:val="both"/>
        <w:rPr>
          <w:rFonts w:ascii="Times New (W1)" w:cs="Times New (W1)"/>
          <w:b w:val="0"/>
          <w:bCs w:val="0"/>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sidRPr="00385324">
        <w:rPr>
          <w:rFonts w:ascii="Times New (W1)" w:cs="Times New (W1)"/>
          <w:b w:val="0"/>
          <w:bCs w:val="0"/>
          <w:sz w:val="20"/>
          <w:szCs w:val="20"/>
          <w:lang w:val="en-US"/>
        </w:rPr>
        <w:t>Ibid</w:t>
      </w:r>
      <w:r w:rsidRPr="00385324">
        <w:rPr>
          <w:b w:val="0"/>
          <w:bCs w:val="0"/>
          <w:sz w:val="20"/>
          <w:szCs w:val="20"/>
          <w:lang w:val="en-US"/>
        </w:rPr>
        <w:t>.</w:t>
      </w:r>
      <w:r>
        <w:rPr>
          <w:b w:val="0"/>
          <w:bCs w:val="0"/>
          <w:sz w:val="20"/>
          <w:szCs w:val="20"/>
          <w:lang w:val="en-US"/>
        </w:rPr>
        <w:t xml:space="preserve"> On Leibniz’s reasons to include love into his conception of justice, see Hubertus </w:t>
      </w:r>
      <w:proofErr w:type="spellStart"/>
      <w:r>
        <w:rPr>
          <w:b w:val="0"/>
          <w:bCs w:val="0"/>
          <w:sz w:val="20"/>
          <w:szCs w:val="20"/>
          <w:lang w:val="en-US"/>
        </w:rPr>
        <w:t>Busche</w:t>
      </w:r>
      <w:proofErr w:type="spellEnd"/>
      <w:r>
        <w:rPr>
          <w:b w:val="0"/>
          <w:bCs w:val="0"/>
          <w:sz w:val="20"/>
          <w:szCs w:val="20"/>
          <w:lang w:val="en-US"/>
        </w:rPr>
        <w:t xml:space="preserve">, </w:t>
      </w:r>
      <w:r>
        <w:rPr>
          <w:rFonts w:ascii="Times New (W1)" w:cs="Times New (W1)"/>
          <w:b w:val="0"/>
          <w:bCs w:val="0"/>
          <w:i/>
          <w:sz w:val="20"/>
          <w:szCs w:val="20"/>
          <w:lang w:val="en-US"/>
        </w:rPr>
        <w:t>Leibniz</w:t>
      </w:r>
      <w:r>
        <w:rPr>
          <w:rFonts w:ascii="Times New (W1)" w:cs="Times New (W1)"/>
          <w:b w:val="0"/>
          <w:bCs w:val="0"/>
          <w:i/>
          <w:sz w:val="20"/>
          <w:szCs w:val="20"/>
          <w:lang w:val="en-US"/>
        </w:rPr>
        <w:t>’</w:t>
      </w:r>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Weg</w:t>
      </w:r>
      <w:proofErr w:type="spellEnd"/>
      <w:r>
        <w:rPr>
          <w:rFonts w:ascii="Times New (W1)" w:cs="Times New (W1)"/>
          <w:b w:val="0"/>
          <w:bCs w:val="0"/>
          <w:i/>
          <w:sz w:val="20"/>
          <w:szCs w:val="20"/>
          <w:lang w:val="en-US"/>
        </w:rPr>
        <w:t xml:space="preserve"> ins </w:t>
      </w:r>
      <w:proofErr w:type="spellStart"/>
      <w:r>
        <w:rPr>
          <w:rFonts w:ascii="Times New (W1)" w:cs="Times New (W1)"/>
          <w:b w:val="0"/>
          <w:bCs w:val="0"/>
          <w:i/>
          <w:sz w:val="20"/>
          <w:szCs w:val="20"/>
          <w:lang w:val="en-US"/>
        </w:rPr>
        <w:t>perspektivische</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Universum</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Eine</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Harmonie</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im</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Zeitalter</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der</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Berechnung</w:t>
      </w:r>
      <w:proofErr w:type="spellEnd"/>
      <w:r>
        <w:rPr>
          <w:rFonts w:ascii="Times New (W1)" w:cs="Times New (W1)"/>
          <w:b w:val="0"/>
          <w:bCs w:val="0"/>
          <w:sz w:val="20"/>
          <w:szCs w:val="20"/>
          <w:lang w:val="en-US"/>
        </w:rPr>
        <w:t xml:space="preserve">, </w:t>
      </w:r>
      <w:smartTag w:uri="urn:schemas-microsoft-com:office:smarttags" w:element="place">
        <w:smartTag w:uri="urn:schemas-microsoft-com:office:smarttags" w:element="State">
          <w:r>
            <w:rPr>
              <w:rFonts w:ascii="Times New (W1)" w:cs="Times New (W1)"/>
              <w:b w:val="0"/>
              <w:bCs w:val="0"/>
              <w:sz w:val="20"/>
              <w:szCs w:val="20"/>
              <w:lang w:val="en-US"/>
            </w:rPr>
            <w:t>Hamburg</w:t>
          </w:r>
        </w:smartTag>
      </w:smartTag>
      <w:r>
        <w:rPr>
          <w:rFonts w:ascii="Times New (W1)" w:cs="Times New (W1)"/>
          <w:b w:val="0"/>
          <w:bCs w:val="0"/>
          <w:sz w:val="20"/>
          <w:szCs w:val="20"/>
          <w:lang w:val="en-US"/>
        </w:rPr>
        <w:t xml:space="preserve"> 1997, pp. 307-310; Ursula </w:t>
      </w:r>
      <w:proofErr w:type="spellStart"/>
      <w:r>
        <w:rPr>
          <w:rFonts w:ascii="Times New (W1)" w:cs="Times New (W1)"/>
          <w:b w:val="0"/>
          <w:bCs w:val="0"/>
          <w:sz w:val="20"/>
          <w:szCs w:val="20"/>
          <w:lang w:val="en-US"/>
        </w:rPr>
        <w:t>Goldenbaum</w:t>
      </w:r>
      <w:proofErr w:type="spellEnd"/>
      <w:r>
        <w:rPr>
          <w:rFonts w:ascii="Times New (W1)" w:cs="Times New (W1)"/>
          <w:b w:val="0"/>
          <w:bCs w:val="0"/>
          <w:sz w:val="20"/>
          <w:szCs w:val="20"/>
          <w:lang w:val="en-US"/>
        </w:rPr>
        <w:t xml:space="preserve">, </w:t>
      </w:r>
      <w:r>
        <w:rPr>
          <w:rFonts w:ascii="Times New (W1)" w:cs="Times New (W1)"/>
          <w:b w:val="0"/>
          <w:bCs w:val="0"/>
          <w:sz w:val="20"/>
          <w:szCs w:val="20"/>
          <w:lang w:val="en-US"/>
        </w:rPr>
        <w:t>“</w:t>
      </w:r>
      <w:r>
        <w:rPr>
          <w:rFonts w:ascii="Times New (W1)" w:cs="Times New (W1)"/>
          <w:b w:val="0"/>
          <w:bCs w:val="0"/>
          <w:sz w:val="20"/>
          <w:szCs w:val="20"/>
          <w:lang w:val="en-US"/>
        </w:rPr>
        <w:t xml:space="preserve">All you need is love, love </w:t>
      </w:r>
      <w:r>
        <w:rPr>
          <w:rFonts w:ascii="Times New (W1)" w:cs="Times New (W1)"/>
          <w:b w:val="0"/>
          <w:bCs w:val="0"/>
          <w:sz w:val="20"/>
          <w:szCs w:val="20"/>
          <w:lang w:val="en-US"/>
        </w:rPr>
        <w:t>…</w:t>
      </w:r>
      <w:r>
        <w:rPr>
          <w:rFonts w:ascii="Times New (W1)" w:cs="Times New (W1)"/>
          <w:b w:val="0"/>
          <w:bCs w:val="0"/>
          <w:sz w:val="20"/>
          <w:szCs w:val="20"/>
          <w:lang w:val="en-US"/>
        </w:rPr>
        <w:t xml:space="preserve"> Leibniz</w:t>
      </w:r>
      <w:r>
        <w:rPr>
          <w:rFonts w:ascii="Times New (W1)" w:cs="Times New (W1)"/>
          <w:b w:val="0"/>
          <w:bCs w:val="0"/>
          <w:sz w:val="20"/>
          <w:szCs w:val="20"/>
          <w:lang w:val="en-US"/>
        </w:rPr>
        <w:t>’</w:t>
      </w:r>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Vermittlung</w:t>
      </w:r>
      <w:proofErr w:type="spellEnd"/>
      <w:r>
        <w:rPr>
          <w:rFonts w:ascii="Times New (W1)" w:cs="Times New (W1)"/>
          <w:b w:val="0"/>
          <w:bCs w:val="0"/>
          <w:sz w:val="20"/>
          <w:szCs w:val="20"/>
          <w:lang w:val="en-US"/>
        </w:rPr>
        <w:t xml:space="preserve"> von Hobbes</w:t>
      </w:r>
      <w:r>
        <w:rPr>
          <w:rFonts w:ascii="Times New (W1)" w:cs="Times New (W1)"/>
          <w:b w:val="0"/>
          <w:bCs w:val="0"/>
          <w:sz w:val="20"/>
          <w:szCs w:val="20"/>
          <w:lang w:val="en-US"/>
        </w:rPr>
        <w:t>’</w:t>
      </w:r>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Naturrecht</w:t>
      </w:r>
      <w:proofErr w:type="spellEnd"/>
      <w:r>
        <w:rPr>
          <w:rFonts w:ascii="Times New (W1)" w:cs="Times New (W1)"/>
          <w:b w:val="0"/>
          <w:bCs w:val="0"/>
          <w:sz w:val="20"/>
          <w:szCs w:val="20"/>
          <w:lang w:val="en-US"/>
        </w:rPr>
        <w:t xml:space="preserve"> und </w:t>
      </w:r>
      <w:proofErr w:type="spellStart"/>
      <w:r>
        <w:rPr>
          <w:rFonts w:ascii="Times New (W1)" w:cs="Times New (W1)"/>
          <w:b w:val="0"/>
          <w:bCs w:val="0"/>
          <w:sz w:val="20"/>
          <w:szCs w:val="20"/>
          <w:lang w:val="en-US"/>
        </w:rPr>
        <w:t>christlicher</w:t>
      </w:r>
      <w:proofErr w:type="spellEnd"/>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Naechstenliebe</w:t>
      </w:r>
      <w:proofErr w:type="spellEnd"/>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als</w:t>
      </w:r>
      <w:proofErr w:type="spellEnd"/>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Grundlage</w:t>
      </w:r>
      <w:proofErr w:type="spellEnd"/>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seiner</w:t>
      </w:r>
      <w:proofErr w:type="spellEnd"/>
      <w:r>
        <w:rPr>
          <w:rFonts w:ascii="Times New (W1)" w:cs="Times New (W1)"/>
          <w:b w:val="0"/>
          <w:bCs w:val="0"/>
          <w:sz w:val="20"/>
          <w:szCs w:val="20"/>
          <w:lang w:val="en-US"/>
        </w:rPr>
        <w:t xml:space="preserve"> Definition </w:t>
      </w:r>
      <w:proofErr w:type="spellStart"/>
      <w:r>
        <w:rPr>
          <w:rFonts w:ascii="Times New (W1)" w:cs="Times New (W1)"/>
          <w:b w:val="0"/>
          <w:bCs w:val="0"/>
          <w:sz w:val="20"/>
          <w:szCs w:val="20"/>
          <w:lang w:val="en-US"/>
        </w:rPr>
        <w:t>der</w:t>
      </w:r>
      <w:proofErr w:type="spellEnd"/>
      <w:r>
        <w:rPr>
          <w:rFonts w:ascii="Times New (W1)" w:cs="Times New (W1)"/>
          <w:b w:val="0"/>
          <w:bCs w:val="0"/>
          <w:sz w:val="20"/>
          <w:szCs w:val="20"/>
          <w:lang w:val="en-US"/>
        </w:rPr>
        <w:t xml:space="preserve"> </w:t>
      </w:r>
      <w:proofErr w:type="spellStart"/>
      <w:r>
        <w:rPr>
          <w:rFonts w:ascii="Times New (W1)" w:cs="Times New (W1)"/>
          <w:b w:val="0"/>
          <w:bCs w:val="0"/>
          <w:sz w:val="20"/>
          <w:szCs w:val="20"/>
          <w:lang w:val="en-US"/>
        </w:rPr>
        <w:t>Gerechtigkeit</w:t>
      </w:r>
      <w:proofErr w:type="spellEnd"/>
      <w:r>
        <w:rPr>
          <w:rFonts w:ascii="Times New (W1)" w:cs="Times New (W1)"/>
          <w:b w:val="0"/>
          <w:bCs w:val="0"/>
          <w:sz w:val="20"/>
          <w:szCs w:val="20"/>
          <w:lang w:val="en-US"/>
        </w:rPr>
        <w:t>”</w:t>
      </w:r>
      <w:r>
        <w:rPr>
          <w:rFonts w:ascii="Times New (W1)" w:cs="Times New (W1)"/>
          <w:b w:val="0"/>
          <w:bCs w:val="0"/>
          <w:sz w:val="20"/>
          <w:szCs w:val="20"/>
          <w:lang w:val="en-US"/>
        </w:rPr>
        <w:t xml:space="preserve">, in G. Abel, H.-J. </w:t>
      </w:r>
      <w:proofErr w:type="spellStart"/>
      <w:r>
        <w:rPr>
          <w:rFonts w:ascii="Times New (W1)" w:cs="Times New (W1)"/>
          <w:b w:val="0"/>
          <w:bCs w:val="0"/>
          <w:sz w:val="20"/>
          <w:szCs w:val="20"/>
          <w:lang w:val="en-US"/>
        </w:rPr>
        <w:t>Engfer</w:t>
      </w:r>
      <w:proofErr w:type="spellEnd"/>
      <w:r>
        <w:rPr>
          <w:rFonts w:ascii="Times New (W1)" w:cs="Times New (W1)"/>
          <w:b w:val="0"/>
          <w:bCs w:val="0"/>
          <w:sz w:val="20"/>
          <w:szCs w:val="20"/>
          <w:lang w:val="en-US"/>
        </w:rPr>
        <w:t xml:space="preserve">, and C. </w:t>
      </w:r>
      <w:proofErr w:type="spellStart"/>
      <w:r>
        <w:rPr>
          <w:rFonts w:ascii="Times New (W1)" w:cs="Times New (W1)"/>
          <w:b w:val="0"/>
          <w:bCs w:val="0"/>
          <w:sz w:val="20"/>
          <w:szCs w:val="20"/>
          <w:lang w:val="en-US"/>
        </w:rPr>
        <w:t>Hubig</w:t>
      </w:r>
      <w:proofErr w:type="spellEnd"/>
      <w:r>
        <w:rPr>
          <w:rFonts w:ascii="Times New (W1)" w:cs="Times New (W1)"/>
          <w:b w:val="0"/>
          <w:bCs w:val="0"/>
          <w:sz w:val="20"/>
          <w:szCs w:val="20"/>
          <w:lang w:val="en-US"/>
        </w:rPr>
        <w:t xml:space="preserve"> (eds.), </w:t>
      </w:r>
      <w:proofErr w:type="spellStart"/>
      <w:r>
        <w:rPr>
          <w:rFonts w:ascii="Times New (W1)" w:cs="Times New (W1)"/>
          <w:b w:val="0"/>
          <w:bCs w:val="0"/>
          <w:i/>
          <w:sz w:val="20"/>
          <w:szCs w:val="20"/>
          <w:lang w:val="en-US"/>
        </w:rPr>
        <w:t>Neuzeitliches</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Denken</w:t>
      </w:r>
      <w:proofErr w:type="spellEnd"/>
      <w:r>
        <w:rPr>
          <w:rFonts w:ascii="Times New (W1)" w:cs="Times New (W1)"/>
          <w:b w:val="0"/>
          <w:bCs w:val="0"/>
          <w:i/>
          <w:sz w:val="20"/>
          <w:szCs w:val="20"/>
          <w:lang w:val="en-US"/>
        </w:rPr>
        <w:t xml:space="preserve">. Festschrift </w:t>
      </w:r>
      <w:proofErr w:type="spellStart"/>
      <w:r>
        <w:rPr>
          <w:rFonts w:ascii="Times New (W1)" w:cs="Times New (W1)"/>
          <w:b w:val="0"/>
          <w:bCs w:val="0"/>
          <w:i/>
          <w:sz w:val="20"/>
          <w:szCs w:val="20"/>
          <w:lang w:val="en-US"/>
        </w:rPr>
        <w:t>fuer</w:t>
      </w:r>
      <w:proofErr w:type="spellEnd"/>
      <w:r>
        <w:rPr>
          <w:rFonts w:ascii="Times New (W1)" w:cs="Times New (W1)"/>
          <w:b w:val="0"/>
          <w:bCs w:val="0"/>
          <w:i/>
          <w:sz w:val="20"/>
          <w:szCs w:val="20"/>
          <w:lang w:val="en-US"/>
        </w:rPr>
        <w:t xml:space="preserve"> Hans Poser </w:t>
      </w:r>
      <w:proofErr w:type="spellStart"/>
      <w:r>
        <w:rPr>
          <w:rFonts w:ascii="Times New (W1)" w:cs="Times New (W1)"/>
          <w:b w:val="0"/>
          <w:bCs w:val="0"/>
          <w:i/>
          <w:sz w:val="20"/>
          <w:szCs w:val="20"/>
          <w:lang w:val="en-US"/>
        </w:rPr>
        <w:t>zum</w:t>
      </w:r>
      <w:proofErr w:type="spellEnd"/>
      <w:r>
        <w:rPr>
          <w:rFonts w:ascii="Times New (W1)" w:cs="Times New (W1)"/>
          <w:b w:val="0"/>
          <w:bCs w:val="0"/>
          <w:i/>
          <w:sz w:val="20"/>
          <w:szCs w:val="20"/>
          <w:lang w:val="en-US"/>
        </w:rPr>
        <w:t xml:space="preserve"> 65. </w:t>
      </w:r>
      <w:proofErr w:type="spellStart"/>
      <w:smartTag w:uri="urn:schemas-microsoft-com:office:smarttags" w:element="place">
        <w:smartTag w:uri="urn:schemas-microsoft-com:office:smarttags" w:element="City">
          <w:r>
            <w:rPr>
              <w:rFonts w:ascii="Times New (W1)" w:cs="Times New (W1)"/>
              <w:b w:val="0"/>
              <w:bCs w:val="0"/>
              <w:i/>
              <w:sz w:val="20"/>
              <w:szCs w:val="20"/>
              <w:lang w:val="en-US"/>
            </w:rPr>
            <w:t>Geburtstag</w:t>
          </w:r>
        </w:smartTag>
        <w:proofErr w:type="spellEnd"/>
        <w:r>
          <w:rPr>
            <w:rFonts w:ascii="Times New (W1)" w:cs="Times New (W1)"/>
            <w:b w:val="0"/>
            <w:bCs w:val="0"/>
            <w:sz w:val="20"/>
            <w:szCs w:val="20"/>
            <w:lang w:val="en-US"/>
          </w:rPr>
          <w:t xml:space="preserve">, </w:t>
        </w:r>
        <w:smartTag w:uri="urn:schemas-microsoft-com:office:smarttags" w:element="State">
          <w:r>
            <w:rPr>
              <w:rFonts w:ascii="Times New (W1)" w:cs="Times New (W1)"/>
              <w:b w:val="0"/>
              <w:bCs w:val="0"/>
              <w:sz w:val="20"/>
              <w:szCs w:val="20"/>
              <w:lang w:val="en-US"/>
            </w:rPr>
            <w:t>Berlin</w:t>
          </w:r>
        </w:smartTag>
      </w:smartTag>
      <w:r>
        <w:rPr>
          <w:rFonts w:ascii="Times New (W1)" w:cs="Times New (W1)"/>
          <w:b w:val="0"/>
          <w:bCs w:val="0"/>
          <w:sz w:val="20"/>
          <w:szCs w:val="20"/>
          <w:lang w:val="en-US"/>
        </w:rPr>
        <w:t>—</w:t>
      </w:r>
      <w:r>
        <w:rPr>
          <w:rFonts w:ascii="Times New (W1)" w:cs="Times New (W1)"/>
          <w:b w:val="0"/>
          <w:bCs w:val="0"/>
          <w:sz w:val="20"/>
          <w:szCs w:val="20"/>
          <w:lang w:val="en-US"/>
        </w:rPr>
        <w:t>New York 2002, pp. 209-231.</w:t>
      </w:r>
    </w:p>
  </w:endnote>
  <w:endnote w:id="11">
    <w:p w14:paraId="762ED0A1" w14:textId="77777777" w:rsidR="008E6AD0" w:rsidRPr="003233B4" w:rsidRDefault="008E6AD0" w:rsidP="00385324">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proofErr w:type="spellStart"/>
      <w:r>
        <w:rPr>
          <w:b w:val="0"/>
          <w:bCs w:val="0"/>
          <w:sz w:val="20"/>
          <w:szCs w:val="20"/>
          <w:lang w:val="en-US"/>
        </w:rPr>
        <w:t>Elementa</w:t>
      </w:r>
      <w:proofErr w:type="spellEnd"/>
      <w:r>
        <w:rPr>
          <w:b w:val="0"/>
          <w:bCs w:val="0"/>
          <w:sz w:val="20"/>
          <w:szCs w:val="20"/>
          <w:lang w:val="en-US"/>
        </w:rPr>
        <w:t xml:space="preserve"> </w:t>
      </w:r>
      <w:proofErr w:type="spellStart"/>
      <w:r>
        <w:rPr>
          <w:b w:val="0"/>
          <w:bCs w:val="0"/>
          <w:sz w:val="20"/>
          <w:szCs w:val="20"/>
          <w:lang w:val="en-US"/>
        </w:rPr>
        <w:t>juris</w:t>
      </w:r>
      <w:proofErr w:type="spellEnd"/>
      <w:r>
        <w:rPr>
          <w:b w:val="0"/>
          <w:bCs w:val="0"/>
          <w:sz w:val="20"/>
          <w:szCs w:val="20"/>
          <w:lang w:val="en-US"/>
        </w:rPr>
        <w:t xml:space="preserve"> </w:t>
      </w:r>
      <w:proofErr w:type="spellStart"/>
      <w:r>
        <w:rPr>
          <w:b w:val="0"/>
          <w:bCs w:val="0"/>
          <w:sz w:val="20"/>
          <w:szCs w:val="20"/>
          <w:lang w:val="en-US"/>
        </w:rPr>
        <w:t>naturalis</w:t>
      </w:r>
      <w:proofErr w:type="spellEnd"/>
      <w:r>
        <w:rPr>
          <w:b w:val="0"/>
          <w:bCs w:val="0"/>
          <w:sz w:val="20"/>
          <w:szCs w:val="20"/>
          <w:lang w:val="en-US"/>
        </w:rPr>
        <w:t>, Third MS, A VI, 1, 455.</w:t>
      </w:r>
    </w:p>
  </w:endnote>
  <w:endnote w:id="12">
    <w:p w14:paraId="7D06ADC4" w14:textId="77777777" w:rsidR="008E6AD0" w:rsidRPr="00865A4C" w:rsidRDefault="008E6AD0" w:rsidP="00460A74">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865A4C">
        <w:rPr>
          <w:b w:val="0"/>
          <w:bCs w:val="0"/>
          <w:sz w:val="20"/>
          <w:szCs w:val="20"/>
          <w:lang w:val="en-US"/>
        </w:rPr>
        <w:t>Elementa</w:t>
      </w:r>
      <w:proofErr w:type="spellEnd"/>
      <w:r w:rsidRPr="00865A4C">
        <w:rPr>
          <w:b w:val="0"/>
          <w:bCs w:val="0"/>
          <w:sz w:val="20"/>
          <w:szCs w:val="20"/>
          <w:lang w:val="en-US"/>
        </w:rPr>
        <w:t xml:space="preserve"> </w:t>
      </w:r>
      <w:proofErr w:type="spellStart"/>
      <w:r w:rsidRPr="00865A4C">
        <w:rPr>
          <w:b w:val="0"/>
          <w:bCs w:val="0"/>
          <w:sz w:val="20"/>
          <w:szCs w:val="20"/>
          <w:lang w:val="en-US"/>
        </w:rPr>
        <w:t>juris</w:t>
      </w:r>
      <w:proofErr w:type="spellEnd"/>
      <w:r w:rsidRPr="00865A4C">
        <w:rPr>
          <w:b w:val="0"/>
          <w:bCs w:val="0"/>
          <w:sz w:val="20"/>
          <w:szCs w:val="20"/>
          <w:lang w:val="en-US"/>
        </w:rPr>
        <w:t xml:space="preserve"> </w:t>
      </w:r>
      <w:proofErr w:type="spellStart"/>
      <w:r w:rsidRPr="00865A4C">
        <w:rPr>
          <w:b w:val="0"/>
          <w:bCs w:val="0"/>
          <w:sz w:val="20"/>
          <w:szCs w:val="20"/>
          <w:lang w:val="en-US"/>
        </w:rPr>
        <w:t>naturalis</w:t>
      </w:r>
      <w:proofErr w:type="spellEnd"/>
      <w:r w:rsidRPr="00865A4C">
        <w:rPr>
          <w:b w:val="0"/>
          <w:bCs w:val="0"/>
          <w:sz w:val="20"/>
          <w:szCs w:val="20"/>
          <w:lang w:val="en-US"/>
        </w:rPr>
        <w:t>, Fifth MS; A VI, 1, 465.</w:t>
      </w:r>
    </w:p>
  </w:endnote>
  <w:endnote w:id="13">
    <w:p w14:paraId="04452D05" w14:textId="77777777" w:rsidR="008E6AD0" w:rsidRPr="003233B4" w:rsidRDefault="008E6AD0" w:rsidP="00865A4C">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A VI, 1, 472.</w:t>
      </w:r>
    </w:p>
  </w:endnote>
  <w:endnote w:id="14">
    <w:p w14:paraId="6CDCD32F"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For detailed discussions of Leibniz’s views on logical and ontological dependence, see </w:t>
      </w:r>
      <w:smartTag w:uri="urn:schemas-microsoft-com:office:smarttags" w:element="place">
        <w:r>
          <w:rPr>
            <w:b w:val="0"/>
            <w:bCs w:val="0"/>
            <w:sz w:val="20"/>
            <w:szCs w:val="20"/>
            <w:lang w:val="en-US"/>
          </w:rPr>
          <w:t>Adams</w:t>
        </w:r>
      </w:smartTag>
      <w:r>
        <w:rPr>
          <w:b w:val="0"/>
          <w:bCs w:val="0"/>
          <w:sz w:val="20"/>
          <w:szCs w:val="20"/>
          <w:lang w:val="en-US"/>
        </w:rPr>
        <w:t xml:space="preserve">, </w:t>
      </w:r>
      <w:r>
        <w:rPr>
          <w:b w:val="0"/>
          <w:bCs w:val="0"/>
          <w:i/>
          <w:iCs/>
          <w:sz w:val="20"/>
          <w:szCs w:val="20"/>
          <w:lang w:val="en-US"/>
        </w:rPr>
        <w:t>Leibniz</w:t>
      </w:r>
      <w:r>
        <w:rPr>
          <w:b w:val="0"/>
          <w:bCs w:val="0"/>
          <w:sz w:val="20"/>
          <w:szCs w:val="20"/>
          <w:lang w:val="en-US"/>
        </w:rPr>
        <w:t xml:space="preserve">, pp. 115-119; Francesco </w:t>
      </w:r>
      <w:proofErr w:type="spellStart"/>
      <w:r>
        <w:rPr>
          <w:b w:val="0"/>
          <w:bCs w:val="0"/>
          <w:sz w:val="20"/>
          <w:szCs w:val="20"/>
          <w:lang w:val="en-US"/>
        </w:rPr>
        <w:t>Piro</w:t>
      </w:r>
      <w:proofErr w:type="spellEnd"/>
      <w:r>
        <w:rPr>
          <w:b w:val="0"/>
          <w:bCs w:val="0"/>
          <w:sz w:val="20"/>
          <w:szCs w:val="20"/>
          <w:lang w:val="en-US"/>
        </w:rPr>
        <w:t xml:space="preserve">, </w:t>
      </w:r>
      <w:proofErr w:type="spellStart"/>
      <w:r>
        <w:rPr>
          <w:b w:val="0"/>
          <w:bCs w:val="0"/>
          <w:i/>
          <w:iCs/>
          <w:sz w:val="20"/>
          <w:szCs w:val="20"/>
          <w:lang w:val="en-US"/>
        </w:rPr>
        <w:t>Spontaneita</w:t>
      </w:r>
      <w:proofErr w:type="spellEnd"/>
      <w:r>
        <w:rPr>
          <w:b w:val="0"/>
          <w:bCs w:val="0"/>
          <w:i/>
          <w:iCs/>
          <w:sz w:val="20"/>
          <w:szCs w:val="20"/>
          <w:lang w:val="en-US"/>
        </w:rPr>
        <w:t xml:space="preserve"> e </w:t>
      </w:r>
      <w:proofErr w:type="spellStart"/>
      <w:r>
        <w:rPr>
          <w:b w:val="0"/>
          <w:bCs w:val="0"/>
          <w:i/>
          <w:iCs/>
          <w:sz w:val="20"/>
          <w:szCs w:val="20"/>
          <w:lang w:val="en-US"/>
        </w:rPr>
        <w:t>ragion</w:t>
      </w:r>
      <w:proofErr w:type="spellEnd"/>
      <w:r>
        <w:rPr>
          <w:b w:val="0"/>
          <w:bCs w:val="0"/>
          <w:i/>
          <w:iCs/>
          <w:sz w:val="20"/>
          <w:szCs w:val="20"/>
          <w:lang w:val="en-US"/>
        </w:rPr>
        <w:t xml:space="preserve"> </w:t>
      </w:r>
      <w:proofErr w:type="spellStart"/>
      <w:r>
        <w:rPr>
          <w:b w:val="0"/>
          <w:bCs w:val="0"/>
          <w:i/>
          <w:iCs/>
          <w:sz w:val="20"/>
          <w:szCs w:val="20"/>
          <w:lang w:val="en-US"/>
        </w:rPr>
        <w:t>sufficiente</w:t>
      </w:r>
      <w:proofErr w:type="spellEnd"/>
      <w:r>
        <w:rPr>
          <w:b w:val="0"/>
          <w:bCs w:val="0"/>
          <w:i/>
          <w:iCs/>
          <w:sz w:val="20"/>
          <w:szCs w:val="20"/>
          <w:lang w:val="en-US"/>
        </w:rPr>
        <w:t xml:space="preserve">. </w:t>
      </w:r>
      <w:proofErr w:type="spellStart"/>
      <w:r>
        <w:rPr>
          <w:b w:val="0"/>
          <w:bCs w:val="0"/>
          <w:i/>
          <w:iCs/>
          <w:sz w:val="20"/>
          <w:szCs w:val="20"/>
          <w:lang w:val="en-US"/>
        </w:rPr>
        <w:t>Determinismo</w:t>
      </w:r>
      <w:proofErr w:type="spellEnd"/>
      <w:r>
        <w:rPr>
          <w:b w:val="0"/>
          <w:bCs w:val="0"/>
          <w:i/>
          <w:iCs/>
          <w:sz w:val="20"/>
          <w:szCs w:val="20"/>
          <w:lang w:val="en-US"/>
        </w:rPr>
        <w:t xml:space="preserve"> e </w:t>
      </w:r>
      <w:proofErr w:type="spellStart"/>
      <w:r>
        <w:rPr>
          <w:b w:val="0"/>
          <w:bCs w:val="0"/>
          <w:i/>
          <w:iCs/>
          <w:sz w:val="20"/>
          <w:szCs w:val="20"/>
          <w:lang w:val="en-US"/>
        </w:rPr>
        <w:t>filosofia</w:t>
      </w:r>
      <w:proofErr w:type="spellEnd"/>
      <w:r>
        <w:rPr>
          <w:b w:val="0"/>
          <w:bCs w:val="0"/>
          <w:i/>
          <w:iCs/>
          <w:sz w:val="20"/>
          <w:szCs w:val="20"/>
          <w:lang w:val="en-US"/>
        </w:rPr>
        <w:t xml:space="preserve"> </w:t>
      </w:r>
      <w:proofErr w:type="spellStart"/>
      <w:r>
        <w:rPr>
          <w:b w:val="0"/>
          <w:bCs w:val="0"/>
          <w:i/>
          <w:iCs/>
          <w:sz w:val="20"/>
          <w:szCs w:val="20"/>
          <w:lang w:val="en-US"/>
        </w:rPr>
        <w:t>dell’azione</w:t>
      </w:r>
      <w:proofErr w:type="spellEnd"/>
      <w:r>
        <w:rPr>
          <w:b w:val="0"/>
          <w:bCs w:val="0"/>
          <w:i/>
          <w:iCs/>
          <w:sz w:val="20"/>
          <w:szCs w:val="20"/>
          <w:lang w:val="en-US"/>
        </w:rPr>
        <w:t xml:space="preserve"> in Leibniz</w:t>
      </w:r>
      <w:r>
        <w:rPr>
          <w:b w:val="0"/>
          <w:bCs w:val="0"/>
          <w:sz w:val="20"/>
          <w:szCs w:val="20"/>
          <w:lang w:val="en-US"/>
        </w:rPr>
        <w:t xml:space="preserve">, Roma 2002, pp. 38-54; Stefano </w:t>
      </w:r>
      <w:proofErr w:type="spellStart"/>
      <w:r>
        <w:rPr>
          <w:b w:val="0"/>
          <w:bCs w:val="0"/>
          <w:sz w:val="20"/>
          <w:szCs w:val="20"/>
          <w:lang w:val="en-US"/>
        </w:rPr>
        <w:t>di</w:t>
      </w:r>
      <w:proofErr w:type="spellEnd"/>
      <w:r>
        <w:rPr>
          <w:b w:val="0"/>
          <w:bCs w:val="0"/>
          <w:sz w:val="20"/>
          <w:szCs w:val="20"/>
          <w:lang w:val="en-US"/>
        </w:rPr>
        <w:t xml:space="preserve"> Bella, “Il ‘</w:t>
      </w:r>
      <w:proofErr w:type="spellStart"/>
      <w:r>
        <w:rPr>
          <w:b w:val="0"/>
          <w:bCs w:val="0"/>
          <w:sz w:val="20"/>
          <w:szCs w:val="20"/>
          <w:lang w:val="en-US"/>
        </w:rPr>
        <w:t>Requisitum</w:t>
      </w:r>
      <w:proofErr w:type="spellEnd"/>
      <w:r>
        <w:rPr>
          <w:b w:val="0"/>
          <w:bCs w:val="0"/>
          <w:sz w:val="20"/>
          <w:szCs w:val="20"/>
          <w:lang w:val="en-US"/>
        </w:rPr>
        <w:t xml:space="preserve">’ </w:t>
      </w:r>
      <w:proofErr w:type="spellStart"/>
      <w:r>
        <w:rPr>
          <w:b w:val="0"/>
          <w:bCs w:val="0"/>
          <w:sz w:val="20"/>
          <w:szCs w:val="20"/>
          <w:lang w:val="en-US"/>
        </w:rPr>
        <w:t>leibniziano</w:t>
      </w:r>
      <w:proofErr w:type="spellEnd"/>
      <w:r>
        <w:rPr>
          <w:b w:val="0"/>
          <w:bCs w:val="0"/>
          <w:sz w:val="20"/>
          <w:szCs w:val="20"/>
          <w:lang w:val="en-US"/>
        </w:rPr>
        <w:t xml:space="preserve"> come ‘pars’ e come ‘ratio’: </w:t>
      </w:r>
      <w:proofErr w:type="spellStart"/>
      <w:r>
        <w:rPr>
          <w:b w:val="0"/>
          <w:bCs w:val="0"/>
          <w:sz w:val="20"/>
          <w:szCs w:val="20"/>
          <w:lang w:val="en-US"/>
        </w:rPr>
        <w:t>tra</w:t>
      </w:r>
      <w:proofErr w:type="spellEnd"/>
      <w:r>
        <w:rPr>
          <w:b w:val="0"/>
          <w:bCs w:val="0"/>
          <w:sz w:val="20"/>
          <w:szCs w:val="20"/>
          <w:lang w:val="en-US"/>
        </w:rPr>
        <w:t xml:space="preserve"> </w:t>
      </w:r>
      <w:proofErr w:type="spellStart"/>
      <w:r>
        <w:rPr>
          <w:b w:val="0"/>
          <w:bCs w:val="0"/>
          <w:sz w:val="20"/>
          <w:szCs w:val="20"/>
          <w:lang w:val="en-US"/>
        </w:rPr>
        <w:t>inerenza</w:t>
      </w:r>
      <w:proofErr w:type="spellEnd"/>
      <w:r>
        <w:rPr>
          <w:b w:val="0"/>
          <w:bCs w:val="0"/>
          <w:sz w:val="20"/>
          <w:szCs w:val="20"/>
          <w:lang w:val="en-US"/>
        </w:rPr>
        <w:t xml:space="preserve"> e </w:t>
      </w:r>
      <w:proofErr w:type="spellStart"/>
      <w:r>
        <w:rPr>
          <w:b w:val="0"/>
          <w:bCs w:val="0"/>
          <w:sz w:val="20"/>
          <w:szCs w:val="20"/>
          <w:lang w:val="en-US"/>
        </w:rPr>
        <w:t>causalita</w:t>
      </w:r>
      <w:proofErr w:type="spellEnd"/>
      <w:r>
        <w:rPr>
          <w:b w:val="0"/>
          <w:bCs w:val="0"/>
          <w:sz w:val="20"/>
          <w:szCs w:val="20"/>
          <w:lang w:val="en-US"/>
        </w:rPr>
        <w:t xml:space="preserve">”, </w:t>
      </w:r>
      <w:r>
        <w:rPr>
          <w:b w:val="0"/>
          <w:bCs w:val="0"/>
          <w:i/>
          <w:iCs/>
          <w:sz w:val="20"/>
          <w:szCs w:val="20"/>
          <w:lang w:val="en-US"/>
        </w:rPr>
        <w:t xml:space="preserve">Lexicon </w:t>
      </w:r>
      <w:proofErr w:type="spellStart"/>
      <w:r>
        <w:rPr>
          <w:b w:val="0"/>
          <w:bCs w:val="0"/>
          <w:i/>
          <w:iCs/>
          <w:sz w:val="20"/>
          <w:szCs w:val="20"/>
          <w:lang w:val="en-US"/>
        </w:rPr>
        <w:t>Philosophicum</w:t>
      </w:r>
      <w:proofErr w:type="spellEnd"/>
      <w:r>
        <w:rPr>
          <w:b w:val="0"/>
          <w:bCs w:val="0"/>
          <w:i/>
          <w:iCs/>
          <w:sz w:val="20"/>
          <w:szCs w:val="20"/>
          <w:lang w:val="en-US"/>
        </w:rPr>
        <w:t xml:space="preserve">. </w:t>
      </w:r>
      <w:proofErr w:type="spellStart"/>
      <w:r>
        <w:rPr>
          <w:b w:val="0"/>
          <w:bCs w:val="0"/>
          <w:i/>
          <w:iCs/>
          <w:sz w:val="20"/>
          <w:szCs w:val="20"/>
          <w:lang w:val="en-US"/>
        </w:rPr>
        <w:t>Quaderni</w:t>
      </w:r>
      <w:proofErr w:type="spellEnd"/>
      <w:r>
        <w:rPr>
          <w:b w:val="0"/>
          <w:bCs w:val="0"/>
          <w:i/>
          <w:iCs/>
          <w:sz w:val="20"/>
          <w:szCs w:val="20"/>
          <w:lang w:val="en-US"/>
        </w:rPr>
        <w:t xml:space="preserve"> </w:t>
      </w:r>
      <w:proofErr w:type="spellStart"/>
      <w:r>
        <w:rPr>
          <w:b w:val="0"/>
          <w:bCs w:val="0"/>
          <w:i/>
          <w:iCs/>
          <w:sz w:val="20"/>
          <w:szCs w:val="20"/>
          <w:lang w:val="en-US"/>
        </w:rPr>
        <w:t>di</w:t>
      </w:r>
      <w:proofErr w:type="spellEnd"/>
      <w:r>
        <w:rPr>
          <w:b w:val="0"/>
          <w:bCs w:val="0"/>
          <w:i/>
          <w:iCs/>
          <w:sz w:val="20"/>
          <w:szCs w:val="20"/>
          <w:lang w:val="en-US"/>
        </w:rPr>
        <w:t xml:space="preserve"> </w:t>
      </w:r>
      <w:proofErr w:type="spellStart"/>
      <w:r>
        <w:rPr>
          <w:b w:val="0"/>
          <w:bCs w:val="0"/>
          <w:i/>
          <w:iCs/>
          <w:sz w:val="20"/>
          <w:szCs w:val="20"/>
          <w:lang w:val="en-US"/>
        </w:rPr>
        <w:t>terminologia</w:t>
      </w:r>
      <w:proofErr w:type="spellEnd"/>
      <w:r>
        <w:rPr>
          <w:b w:val="0"/>
          <w:bCs w:val="0"/>
          <w:i/>
          <w:iCs/>
          <w:sz w:val="20"/>
          <w:szCs w:val="20"/>
          <w:lang w:val="en-US"/>
        </w:rPr>
        <w:t xml:space="preserve"> </w:t>
      </w:r>
      <w:proofErr w:type="spellStart"/>
      <w:r>
        <w:rPr>
          <w:b w:val="0"/>
          <w:bCs w:val="0"/>
          <w:i/>
          <w:iCs/>
          <w:sz w:val="20"/>
          <w:szCs w:val="20"/>
          <w:lang w:val="en-US"/>
        </w:rPr>
        <w:t>filosofica</w:t>
      </w:r>
      <w:proofErr w:type="spellEnd"/>
      <w:r>
        <w:rPr>
          <w:b w:val="0"/>
          <w:bCs w:val="0"/>
          <w:i/>
          <w:iCs/>
          <w:sz w:val="20"/>
          <w:szCs w:val="20"/>
          <w:lang w:val="en-US"/>
        </w:rPr>
        <w:t xml:space="preserve"> e </w:t>
      </w:r>
      <w:proofErr w:type="spellStart"/>
      <w:r>
        <w:rPr>
          <w:b w:val="0"/>
          <w:bCs w:val="0"/>
          <w:i/>
          <w:iCs/>
          <w:sz w:val="20"/>
          <w:szCs w:val="20"/>
          <w:lang w:val="en-US"/>
        </w:rPr>
        <w:t>storia</w:t>
      </w:r>
      <w:proofErr w:type="spellEnd"/>
      <w:r>
        <w:rPr>
          <w:b w:val="0"/>
          <w:bCs w:val="0"/>
          <w:i/>
          <w:iCs/>
          <w:sz w:val="20"/>
          <w:szCs w:val="20"/>
          <w:lang w:val="en-US"/>
        </w:rPr>
        <w:t xml:space="preserve"> </w:t>
      </w:r>
      <w:proofErr w:type="spellStart"/>
      <w:r>
        <w:rPr>
          <w:b w:val="0"/>
          <w:bCs w:val="0"/>
          <w:i/>
          <w:iCs/>
          <w:sz w:val="20"/>
          <w:szCs w:val="20"/>
          <w:lang w:val="en-US"/>
        </w:rPr>
        <w:t>delle</w:t>
      </w:r>
      <w:proofErr w:type="spellEnd"/>
      <w:r>
        <w:rPr>
          <w:b w:val="0"/>
          <w:bCs w:val="0"/>
          <w:i/>
          <w:iCs/>
          <w:sz w:val="20"/>
          <w:szCs w:val="20"/>
          <w:lang w:val="en-US"/>
        </w:rPr>
        <w:t xml:space="preserve"> </w:t>
      </w:r>
      <w:proofErr w:type="spellStart"/>
      <w:r>
        <w:rPr>
          <w:b w:val="0"/>
          <w:bCs w:val="0"/>
          <w:i/>
          <w:iCs/>
          <w:sz w:val="20"/>
          <w:szCs w:val="20"/>
          <w:lang w:val="en-US"/>
        </w:rPr>
        <w:t>idee</w:t>
      </w:r>
      <w:proofErr w:type="spellEnd"/>
      <w:r>
        <w:rPr>
          <w:b w:val="0"/>
          <w:bCs w:val="0"/>
          <w:i/>
          <w:iCs/>
          <w:sz w:val="20"/>
          <w:szCs w:val="20"/>
          <w:lang w:val="en-US"/>
        </w:rPr>
        <w:t xml:space="preserve"> del </w:t>
      </w:r>
      <w:proofErr w:type="spellStart"/>
      <w:r>
        <w:rPr>
          <w:b w:val="0"/>
          <w:bCs w:val="0"/>
          <w:i/>
          <w:iCs/>
          <w:sz w:val="20"/>
          <w:szCs w:val="20"/>
          <w:lang w:val="en-US"/>
        </w:rPr>
        <w:t>Lessico</w:t>
      </w:r>
      <w:proofErr w:type="spellEnd"/>
      <w:r>
        <w:rPr>
          <w:b w:val="0"/>
          <w:bCs w:val="0"/>
          <w:i/>
          <w:iCs/>
          <w:sz w:val="20"/>
          <w:szCs w:val="20"/>
          <w:lang w:val="en-US"/>
        </w:rPr>
        <w:t xml:space="preserve"> </w:t>
      </w:r>
      <w:proofErr w:type="spellStart"/>
      <w:r>
        <w:rPr>
          <w:b w:val="0"/>
          <w:bCs w:val="0"/>
          <w:i/>
          <w:iCs/>
          <w:sz w:val="20"/>
          <w:szCs w:val="20"/>
          <w:lang w:val="en-US"/>
        </w:rPr>
        <w:t>Intellettuale</w:t>
      </w:r>
      <w:proofErr w:type="spellEnd"/>
      <w:r>
        <w:rPr>
          <w:b w:val="0"/>
          <w:bCs w:val="0"/>
          <w:i/>
          <w:iCs/>
          <w:sz w:val="20"/>
          <w:szCs w:val="20"/>
          <w:lang w:val="en-US"/>
        </w:rPr>
        <w:t xml:space="preserve"> </w:t>
      </w:r>
      <w:proofErr w:type="spellStart"/>
      <w:r>
        <w:rPr>
          <w:b w:val="0"/>
          <w:bCs w:val="0"/>
          <w:i/>
          <w:iCs/>
          <w:sz w:val="20"/>
          <w:szCs w:val="20"/>
          <w:lang w:val="en-US"/>
        </w:rPr>
        <w:t>Europeo</w:t>
      </w:r>
      <w:proofErr w:type="spellEnd"/>
      <w:r>
        <w:rPr>
          <w:b w:val="0"/>
          <w:bCs w:val="0"/>
          <w:sz w:val="20"/>
          <w:szCs w:val="20"/>
          <w:lang w:val="en-US"/>
        </w:rPr>
        <w:t xml:space="preserve">, vol. 5, Roma 1991, 129-152; idem, </w:t>
      </w:r>
      <w:r>
        <w:rPr>
          <w:b w:val="0"/>
          <w:bCs w:val="0"/>
          <w:i/>
          <w:iCs/>
          <w:sz w:val="20"/>
          <w:szCs w:val="20"/>
          <w:lang w:val="en-US"/>
        </w:rPr>
        <w:t>The Science of the Individual: Leibniz’s Ontology of Individual Substance</w:t>
      </w:r>
      <w:r>
        <w:rPr>
          <w:b w:val="0"/>
          <w:bCs w:val="0"/>
          <w:sz w:val="20"/>
          <w:szCs w:val="20"/>
          <w:lang w:val="en-US"/>
        </w:rPr>
        <w:t xml:space="preserve">, </w:t>
      </w:r>
      <w:proofErr w:type="spellStart"/>
      <w:r>
        <w:rPr>
          <w:b w:val="0"/>
          <w:bCs w:val="0"/>
          <w:sz w:val="20"/>
          <w:szCs w:val="20"/>
          <w:lang w:val="en-US"/>
        </w:rPr>
        <w:t>Dordrecht</w:t>
      </w:r>
      <w:proofErr w:type="spellEnd"/>
      <w:r>
        <w:rPr>
          <w:b w:val="0"/>
          <w:bCs w:val="0"/>
          <w:sz w:val="20"/>
          <w:szCs w:val="20"/>
          <w:lang w:val="en-US"/>
        </w:rPr>
        <w:t xml:space="preserve"> 2005, pp. 72-98;</w:t>
      </w:r>
      <w:r>
        <w:rPr>
          <w:b w:val="0"/>
          <w:bCs w:val="0"/>
          <w:i/>
          <w:iCs/>
          <w:sz w:val="20"/>
          <w:szCs w:val="20"/>
          <w:lang w:val="en-US"/>
        </w:rPr>
        <w:t xml:space="preserve"> </w:t>
      </w:r>
      <w:r>
        <w:rPr>
          <w:b w:val="0"/>
          <w:bCs w:val="0"/>
          <w:sz w:val="20"/>
          <w:szCs w:val="20"/>
          <w:lang w:val="en-US"/>
        </w:rPr>
        <w:t xml:space="preserve">idem, “Leibniz’s Theory of Conditions: A Framework for Ontological Dependence”, </w:t>
      </w:r>
      <w:r>
        <w:rPr>
          <w:b w:val="0"/>
          <w:bCs w:val="0"/>
          <w:i/>
          <w:iCs/>
          <w:sz w:val="20"/>
          <w:szCs w:val="20"/>
          <w:lang w:val="en-US"/>
        </w:rPr>
        <w:t xml:space="preserve">Leibniz Review </w:t>
      </w:r>
      <w:r>
        <w:rPr>
          <w:b w:val="0"/>
          <w:bCs w:val="0"/>
          <w:sz w:val="20"/>
          <w:szCs w:val="20"/>
          <w:lang w:val="en-US"/>
        </w:rPr>
        <w:t>15 (2005), pp. 67-93.</w:t>
      </w:r>
    </w:p>
  </w:endnote>
  <w:endnote w:id="15">
    <w:p w14:paraId="6E9E9F04"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See, e.g., </w:t>
      </w:r>
      <w:proofErr w:type="spellStart"/>
      <w:r>
        <w:rPr>
          <w:b w:val="0"/>
          <w:bCs w:val="0"/>
          <w:sz w:val="20"/>
          <w:szCs w:val="20"/>
          <w:lang w:val="en-US"/>
        </w:rPr>
        <w:t>Enumeratio</w:t>
      </w:r>
      <w:proofErr w:type="spellEnd"/>
      <w:r>
        <w:rPr>
          <w:b w:val="0"/>
          <w:bCs w:val="0"/>
          <w:sz w:val="20"/>
          <w:szCs w:val="20"/>
          <w:lang w:val="en-US"/>
        </w:rPr>
        <w:t xml:space="preserve"> </w:t>
      </w:r>
      <w:proofErr w:type="spellStart"/>
      <w:r>
        <w:rPr>
          <w:b w:val="0"/>
          <w:bCs w:val="0"/>
          <w:sz w:val="20"/>
          <w:szCs w:val="20"/>
          <w:lang w:val="en-US"/>
        </w:rPr>
        <w:t>terminorum</w:t>
      </w:r>
      <w:proofErr w:type="spellEnd"/>
      <w:r>
        <w:rPr>
          <w:b w:val="0"/>
          <w:bCs w:val="0"/>
          <w:sz w:val="20"/>
          <w:szCs w:val="20"/>
          <w:lang w:val="en-US"/>
        </w:rPr>
        <w:t xml:space="preserve"> </w:t>
      </w:r>
      <w:proofErr w:type="spellStart"/>
      <w:r>
        <w:rPr>
          <w:b w:val="0"/>
          <w:bCs w:val="0"/>
          <w:sz w:val="20"/>
          <w:szCs w:val="20"/>
          <w:lang w:val="en-US"/>
        </w:rPr>
        <w:t>simpliciorum</w:t>
      </w:r>
      <w:proofErr w:type="spellEnd"/>
      <w:r>
        <w:rPr>
          <w:b w:val="0"/>
          <w:bCs w:val="0"/>
          <w:sz w:val="20"/>
          <w:szCs w:val="20"/>
          <w:lang w:val="en-US"/>
        </w:rPr>
        <w:t xml:space="preserve"> [summer 1680-winter 1684/85?]; A VI, 4, 389.  </w:t>
      </w:r>
    </w:p>
  </w:endnote>
  <w:endnote w:id="16">
    <w:p w14:paraId="564760DA"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Ibid.</w:t>
      </w:r>
    </w:p>
  </w:endnote>
  <w:endnote w:id="17">
    <w:p w14:paraId="0B5B638A"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For example, Leibniz writes: “A </w:t>
      </w:r>
      <w:r>
        <w:rPr>
          <w:b w:val="0"/>
          <w:bCs w:val="0"/>
          <w:i/>
          <w:iCs/>
          <w:sz w:val="20"/>
          <w:szCs w:val="20"/>
          <w:lang w:val="en-US"/>
        </w:rPr>
        <w:t xml:space="preserve">requisite </w:t>
      </w:r>
      <w:r>
        <w:rPr>
          <w:b w:val="0"/>
          <w:bCs w:val="0"/>
          <w:sz w:val="20"/>
          <w:szCs w:val="20"/>
          <w:lang w:val="en-US"/>
        </w:rPr>
        <w:t>is something that, if it is not thought, something else cannot be thought either” (</w:t>
      </w:r>
      <w:proofErr w:type="spellStart"/>
      <w:r>
        <w:rPr>
          <w:b w:val="0"/>
          <w:bCs w:val="0"/>
          <w:sz w:val="20"/>
          <w:szCs w:val="20"/>
          <w:lang w:val="en-US"/>
        </w:rPr>
        <w:t>Vorarbeiten</w:t>
      </w:r>
      <w:proofErr w:type="spellEnd"/>
      <w:r>
        <w:rPr>
          <w:b w:val="0"/>
          <w:bCs w:val="0"/>
          <w:sz w:val="20"/>
          <w:szCs w:val="20"/>
          <w:lang w:val="en-US"/>
        </w:rPr>
        <w:t xml:space="preserve"> </w:t>
      </w:r>
      <w:proofErr w:type="spellStart"/>
      <w:r>
        <w:rPr>
          <w:b w:val="0"/>
          <w:bCs w:val="0"/>
          <w:sz w:val="20"/>
          <w:szCs w:val="20"/>
          <w:lang w:val="en-US"/>
        </w:rPr>
        <w:t>zu</w:t>
      </w:r>
      <w:proofErr w:type="spellEnd"/>
      <w:r>
        <w:rPr>
          <w:b w:val="0"/>
          <w:bCs w:val="0"/>
          <w:sz w:val="20"/>
          <w:szCs w:val="20"/>
          <w:lang w:val="en-US"/>
        </w:rPr>
        <w:t xml:space="preserve"> den </w:t>
      </w:r>
      <w:proofErr w:type="spellStart"/>
      <w:r>
        <w:rPr>
          <w:b w:val="0"/>
          <w:bCs w:val="0"/>
          <w:sz w:val="20"/>
          <w:szCs w:val="20"/>
          <w:lang w:val="en-US"/>
        </w:rPr>
        <w:t>Elementa</w:t>
      </w:r>
      <w:proofErr w:type="spellEnd"/>
      <w:r>
        <w:rPr>
          <w:b w:val="0"/>
          <w:bCs w:val="0"/>
          <w:sz w:val="20"/>
          <w:szCs w:val="20"/>
          <w:lang w:val="en-US"/>
        </w:rPr>
        <w:t xml:space="preserve"> de </w:t>
      </w:r>
      <w:proofErr w:type="spellStart"/>
      <w:r>
        <w:rPr>
          <w:b w:val="0"/>
          <w:bCs w:val="0"/>
          <w:sz w:val="20"/>
          <w:szCs w:val="20"/>
          <w:lang w:val="en-US"/>
        </w:rPr>
        <w:t>mente</w:t>
      </w:r>
      <w:proofErr w:type="spellEnd"/>
      <w:r>
        <w:rPr>
          <w:b w:val="0"/>
          <w:bCs w:val="0"/>
          <w:sz w:val="20"/>
          <w:szCs w:val="20"/>
          <w:lang w:val="en-US"/>
        </w:rPr>
        <w:t xml:space="preserve"> et </w:t>
      </w:r>
      <w:proofErr w:type="spellStart"/>
      <w:r>
        <w:rPr>
          <w:b w:val="0"/>
          <w:bCs w:val="0"/>
          <w:sz w:val="20"/>
          <w:szCs w:val="20"/>
          <w:lang w:val="en-US"/>
        </w:rPr>
        <w:t>corpore</w:t>
      </w:r>
      <w:proofErr w:type="spellEnd"/>
      <w:r>
        <w:rPr>
          <w:b w:val="0"/>
          <w:bCs w:val="0"/>
          <w:sz w:val="20"/>
          <w:szCs w:val="20"/>
          <w:lang w:val="en-US"/>
        </w:rPr>
        <w:t xml:space="preserve"> [spring-autumn 1671?]; A VI, 2, 283).  </w:t>
      </w:r>
    </w:p>
  </w:endnote>
  <w:endnote w:id="18">
    <w:p w14:paraId="4C065E87"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proofErr w:type="spellStart"/>
      <w:r>
        <w:rPr>
          <w:b w:val="0"/>
          <w:bCs w:val="0"/>
          <w:sz w:val="20"/>
          <w:szCs w:val="20"/>
          <w:lang w:val="en-US"/>
        </w:rPr>
        <w:t>Demonstratio</w:t>
      </w:r>
      <w:proofErr w:type="spellEnd"/>
      <w:r>
        <w:rPr>
          <w:b w:val="0"/>
          <w:bCs w:val="0"/>
          <w:sz w:val="20"/>
          <w:szCs w:val="20"/>
          <w:lang w:val="en-US"/>
        </w:rPr>
        <w:t xml:space="preserve"> </w:t>
      </w:r>
      <w:proofErr w:type="spellStart"/>
      <w:r>
        <w:rPr>
          <w:b w:val="0"/>
          <w:bCs w:val="0"/>
          <w:sz w:val="20"/>
          <w:szCs w:val="20"/>
          <w:lang w:val="en-US"/>
        </w:rPr>
        <w:t>propositionum</w:t>
      </w:r>
      <w:proofErr w:type="spellEnd"/>
      <w:r>
        <w:rPr>
          <w:b w:val="0"/>
          <w:bCs w:val="0"/>
          <w:sz w:val="20"/>
          <w:szCs w:val="20"/>
          <w:lang w:val="en-US"/>
        </w:rPr>
        <w:t xml:space="preserve"> </w:t>
      </w:r>
      <w:proofErr w:type="spellStart"/>
      <w:r>
        <w:rPr>
          <w:b w:val="0"/>
          <w:bCs w:val="0"/>
          <w:sz w:val="20"/>
          <w:szCs w:val="20"/>
          <w:lang w:val="en-US"/>
        </w:rPr>
        <w:t>primarum</w:t>
      </w:r>
      <w:proofErr w:type="spellEnd"/>
      <w:r>
        <w:rPr>
          <w:b w:val="0"/>
          <w:bCs w:val="0"/>
          <w:sz w:val="20"/>
          <w:szCs w:val="20"/>
          <w:lang w:val="en-US"/>
        </w:rPr>
        <w:t xml:space="preserve"> [autumn 1671-beginning 1672?]; A VI, 2, 483.  </w:t>
      </w:r>
    </w:p>
  </w:endnote>
  <w:endnote w:id="19">
    <w:p w14:paraId="2B654021"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On causal requisites, see </w:t>
      </w:r>
      <w:proofErr w:type="spellStart"/>
      <w:r>
        <w:rPr>
          <w:b w:val="0"/>
          <w:bCs w:val="0"/>
          <w:sz w:val="20"/>
          <w:szCs w:val="20"/>
          <w:lang w:val="en-US"/>
        </w:rPr>
        <w:t>Vorarbeiten</w:t>
      </w:r>
      <w:proofErr w:type="spellEnd"/>
      <w:r>
        <w:rPr>
          <w:b w:val="0"/>
          <w:bCs w:val="0"/>
          <w:sz w:val="20"/>
          <w:szCs w:val="20"/>
          <w:lang w:val="en-US"/>
        </w:rPr>
        <w:t xml:space="preserve"> </w:t>
      </w:r>
      <w:proofErr w:type="spellStart"/>
      <w:r>
        <w:rPr>
          <w:b w:val="0"/>
          <w:bCs w:val="0"/>
          <w:sz w:val="20"/>
          <w:szCs w:val="20"/>
          <w:lang w:val="en-US"/>
        </w:rPr>
        <w:t>zur</w:t>
      </w:r>
      <w:proofErr w:type="spellEnd"/>
      <w:r>
        <w:rPr>
          <w:b w:val="0"/>
          <w:bCs w:val="0"/>
          <w:sz w:val="20"/>
          <w:szCs w:val="20"/>
          <w:lang w:val="en-US"/>
        </w:rPr>
        <w:t xml:space="preserve"> </w:t>
      </w:r>
      <w:proofErr w:type="spellStart"/>
      <w:r>
        <w:rPr>
          <w:b w:val="0"/>
          <w:bCs w:val="0"/>
          <w:sz w:val="20"/>
          <w:szCs w:val="20"/>
          <w:lang w:val="en-US"/>
        </w:rPr>
        <w:t>Characteristica</w:t>
      </w:r>
      <w:proofErr w:type="spellEnd"/>
      <w:r>
        <w:rPr>
          <w:b w:val="0"/>
          <w:bCs w:val="0"/>
          <w:sz w:val="20"/>
          <w:szCs w:val="20"/>
          <w:lang w:val="en-US"/>
        </w:rPr>
        <w:t xml:space="preserve"> </w:t>
      </w:r>
      <w:proofErr w:type="spellStart"/>
      <w:r>
        <w:rPr>
          <w:b w:val="0"/>
          <w:bCs w:val="0"/>
          <w:sz w:val="20"/>
          <w:szCs w:val="20"/>
          <w:lang w:val="en-US"/>
        </w:rPr>
        <w:t>universalis</w:t>
      </w:r>
      <w:proofErr w:type="spellEnd"/>
      <w:r>
        <w:rPr>
          <w:b w:val="0"/>
          <w:bCs w:val="0"/>
          <w:sz w:val="20"/>
          <w:szCs w:val="20"/>
          <w:lang w:val="en-US"/>
        </w:rPr>
        <w:t xml:space="preserve"> [second half 1671-spring 1672?]; A VI, 2, 489. </w:t>
      </w:r>
    </w:p>
  </w:endnote>
  <w:endnote w:id="20">
    <w:p w14:paraId="6659F8B8" w14:textId="77777777" w:rsidR="008E6AD0" w:rsidRPr="003233B4"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On qualities as requisites of a thing, see ibid., A VI, 2, 499. </w:t>
      </w:r>
    </w:p>
  </w:endnote>
  <w:endnote w:id="21">
    <w:p w14:paraId="24A796AB" w14:textId="77777777" w:rsidR="008E6AD0" w:rsidRPr="00B15078" w:rsidRDefault="008E6AD0" w:rsidP="003B1C55">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proofErr w:type="spellStart"/>
      <w:r w:rsidRPr="004B58EF">
        <w:rPr>
          <w:b w:val="0"/>
          <w:bCs w:val="0"/>
          <w:sz w:val="20"/>
          <w:szCs w:val="20"/>
          <w:lang w:val="en-US"/>
        </w:rPr>
        <w:t>Elementa</w:t>
      </w:r>
      <w:proofErr w:type="spellEnd"/>
      <w:r w:rsidRPr="004B58EF">
        <w:rPr>
          <w:b w:val="0"/>
          <w:bCs w:val="0"/>
          <w:sz w:val="20"/>
          <w:szCs w:val="20"/>
          <w:lang w:val="en-US"/>
        </w:rPr>
        <w:t xml:space="preserve"> </w:t>
      </w:r>
      <w:proofErr w:type="spellStart"/>
      <w:r w:rsidRPr="004B58EF">
        <w:rPr>
          <w:b w:val="0"/>
          <w:bCs w:val="0"/>
          <w:sz w:val="20"/>
          <w:szCs w:val="20"/>
          <w:lang w:val="en-US"/>
        </w:rPr>
        <w:t>juris</w:t>
      </w:r>
      <w:proofErr w:type="spellEnd"/>
      <w:r w:rsidRPr="004B58EF">
        <w:rPr>
          <w:b w:val="0"/>
          <w:bCs w:val="0"/>
          <w:sz w:val="20"/>
          <w:szCs w:val="20"/>
          <w:lang w:val="en-US"/>
        </w:rPr>
        <w:t xml:space="preserve"> </w:t>
      </w:r>
      <w:proofErr w:type="spellStart"/>
      <w:r w:rsidRPr="004B58EF">
        <w:rPr>
          <w:b w:val="0"/>
          <w:bCs w:val="0"/>
          <w:sz w:val="20"/>
          <w:szCs w:val="20"/>
          <w:lang w:val="en-US"/>
        </w:rPr>
        <w:t>naturalis</w:t>
      </w:r>
      <w:proofErr w:type="spellEnd"/>
      <w:r>
        <w:rPr>
          <w:b w:val="0"/>
          <w:bCs w:val="0"/>
          <w:sz w:val="20"/>
          <w:szCs w:val="20"/>
          <w:lang w:val="en-US"/>
        </w:rPr>
        <w:t xml:space="preserve">, Fifth MS; A VI, 1, 471; translation from Adams, </w:t>
      </w:r>
      <w:r>
        <w:rPr>
          <w:b w:val="0"/>
          <w:bCs w:val="0"/>
          <w:i/>
          <w:iCs/>
          <w:sz w:val="20"/>
          <w:szCs w:val="20"/>
          <w:lang w:val="en-US"/>
        </w:rPr>
        <w:t>Leibniz</w:t>
      </w:r>
      <w:r>
        <w:rPr>
          <w:b w:val="0"/>
          <w:bCs w:val="0"/>
          <w:sz w:val="20"/>
          <w:szCs w:val="20"/>
          <w:lang w:val="en-US"/>
        </w:rPr>
        <w:t xml:space="preserve">, p. 204, with one sentence </w:t>
      </w:r>
      <w:r w:rsidRPr="00B15078">
        <w:rPr>
          <w:b w:val="0"/>
          <w:bCs w:val="0"/>
          <w:sz w:val="20"/>
          <w:szCs w:val="20"/>
          <w:lang w:val="en-US"/>
        </w:rPr>
        <w:t xml:space="preserve">added. </w:t>
      </w:r>
    </w:p>
  </w:endnote>
  <w:endnote w:id="22">
    <w:p w14:paraId="4C4BE035"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See </w:t>
      </w:r>
      <w:proofErr w:type="spellStart"/>
      <w:r w:rsidRPr="00B15078">
        <w:rPr>
          <w:b w:val="0"/>
          <w:bCs w:val="0"/>
          <w:sz w:val="20"/>
          <w:szCs w:val="20"/>
          <w:lang w:val="en-US"/>
        </w:rPr>
        <w:t>Specimina</w:t>
      </w:r>
      <w:proofErr w:type="spellEnd"/>
      <w:r w:rsidRPr="00B15078">
        <w:rPr>
          <w:b w:val="0"/>
          <w:bCs w:val="0"/>
          <w:sz w:val="20"/>
          <w:szCs w:val="20"/>
          <w:lang w:val="en-US"/>
        </w:rPr>
        <w:t xml:space="preserve"> </w:t>
      </w:r>
      <w:proofErr w:type="spellStart"/>
      <w:r w:rsidRPr="00B15078">
        <w:rPr>
          <w:b w:val="0"/>
          <w:bCs w:val="0"/>
          <w:sz w:val="20"/>
          <w:szCs w:val="20"/>
          <w:lang w:val="en-US"/>
        </w:rPr>
        <w:t>juris</w:t>
      </w:r>
      <w:proofErr w:type="spellEnd"/>
      <w:r w:rsidRPr="00B15078">
        <w:rPr>
          <w:b w:val="0"/>
          <w:bCs w:val="0"/>
          <w:sz w:val="20"/>
          <w:szCs w:val="20"/>
          <w:lang w:val="en-US"/>
        </w:rPr>
        <w:t xml:space="preserve"> [1667–69]; A VI, 1, 398; A VI, 1, 405; </w:t>
      </w:r>
      <w:proofErr w:type="spellStart"/>
      <w:r w:rsidRPr="00B15078">
        <w:rPr>
          <w:b w:val="0"/>
          <w:bCs w:val="0"/>
          <w:sz w:val="20"/>
          <w:szCs w:val="20"/>
          <w:lang w:val="en-US"/>
        </w:rPr>
        <w:t>Vorarbeiten</w:t>
      </w:r>
      <w:proofErr w:type="spellEnd"/>
      <w:r w:rsidRPr="00B15078">
        <w:rPr>
          <w:b w:val="0"/>
          <w:bCs w:val="0"/>
          <w:sz w:val="20"/>
          <w:szCs w:val="20"/>
          <w:lang w:val="en-US"/>
        </w:rPr>
        <w:t xml:space="preserve"> </w:t>
      </w:r>
      <w:proofErr w:type="spellStart"/>
      <w:r w:rsidRPr="00B15078">
        <w:rPr>
          <w:b w:val="0"/>
          <w:bCs w:val="0"/>
          <w:sz w:val="20"/>
          <w:szCs w:val="20"/>
          <w:lang w:val="en-US"/>
        </w:rPr>
        <w:t>zur</w:t>
      </w:r>
      <w:proofErr w:type="spellEnd"/>
      <w:r w:rsidRPr="00B15078">
        <w:rPr>
          <w:b w:val="0"/>
          <w:bCs w:val="0"/>
          <w:sz w:val="20"/>
          <w:szCs w:val="20"/>
          <w:lang w:val="en-US"/>
        </w:rPr>
        <w:t xml:space="preserve"> </w:t>
      </w:r>
      <w:proofErr w:type="spellStart"/>
      <w:r w:rsidRPr="00B15078">
        <w:rPr>
          <w:b w:val="0"/>
          <w:bCs w:val="0"/>
          <w:sz w:val="20"/>
          <w:szCs w:val="20"/>
          <w:lang w:val="en-US"/>
        </w:rPr>
        <w:t>Characteristica</w:t>
      </w:r>
      <w:proofErr w:type="spellEnd"/>
      <w:r w:rsidRPr="00B15078">
        <w:rPr>
          <w:b w:val="0"/>
          <w:bCs w:val="0"/>
          <w:sz w:val="20"/>
          <w:szCs w:val="20"/>
          <w:lang w:val="en-US"/>
        </w:rPr>
        <w:t xml:space="preserve"> </w:t>
      </w:r>
      <w:proofErr w:type="spellStart"/>
      <w:r w:rsidRPr="00B15078">
        <w:rPr>
          <w:b w:val="0"/>
          <w:bCs w:val="0"/>
          <w:sz w:val="20"/>
          <w:szCs w:val="20"/>
          <w:lang w:val="en-US"/>
        </w:rPr>
        <w:t>Universalis</w:t>
      </w:r>
      <w:proofErr w:type="spellEnd"/>
      <w:r w:rsidRPr="00B15078">
        <w:rPr>
          <w:b w:val="0"/>
          <w:bCs w:val="0"/>
          <w:sz w:val="20"/>
          <w:szCs w:val="20"/>
          <w:lang w:val="en-US"/>
        </w:rPr>
        <w:t xml:space="preserve">; A VI, 2, 487, note 3; A VI, 2, 495 and 495, note 46; </w:t>
      </w:r>
      <w:proofErr w:type="spellStart"/>
      <w:r w:rsidRPr="00B15078">
        <w:rPr>
          <w:b w:val="0"/>
          <w:bCs w:val="0"/>
          <w:sz w:val="20"/>
          <w:szCs w:val="20"/>
          <w:lang w:val="en-US"/>
        </w:rPr>
        <w:t>Confessio</w:t>
      </w:r>
      <w:proofErr w:type="spellEnd"/>
      <w:r w:rsidRPr="00B15078">
        <w:rPr>
          <w:b w:val="0"/>
          <w:bCs w:val="0"/>
          <w:sz w:val="20"/>
          <w:szCs w:val="20"/>
          <w:lang w:val="en-US"/>
        </w:rPr>
        <w:t xml:space="preserve"> </w:t>
      </w:r>
      <w:proofErr w:type="spellStart"/>
      <w:r w:rsidRPr="00B15078">
        <w:rPr>
          <w:b w:val="0"/>
          <w:bCs w:val="0"/>
          <w:sz w:val="20"/>
          <w:szCs w:val="20"/>
          <w:lang w:val="en-US"/>
        </w:rPr>
        <w:t>Philosophi</w:t>
      </w:r>
      <w:proofErr w:type="spellEnd"/>
      <w:r w:rsidRPr="00B15078">
        <w:rPr>
          <w:b w:val="0"/>
          <w:bCs w:val="0"/>
          <w:sz w:val="20"/>
          <w:szCs w:val="20"/>
          <w:lang w:val="en-US"/>
        </w:rPr>
        <w:t xml:space="preserve"> [Autumn 1672–Wi</w:t>
      </w:r>
      <w:r>
        <w:rPr>
          <w:b w:val="0"/>
          <w:bCs w:val="0"/>
          <w:sz w:val="20"/>
          <w:szCs w:val="20"/>
          <w:lang w:val="en-US"/>
        </w:rPr>
        <w:t>nter 1672/73?]; A VI, 3, 127.</w:t>
      </w:r>
    </w:p>
  </w:endnote>
  <w:endnote w:id="23">
    <w:p w14:paraId="15E5330A"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Pr>
          <w:b w:val="0"/>
          <w:bCs w:val="0"/>
          <w:sz w:val="20"/>
          <w:szCs w:val="20"/>
          <w:lang w:val="en-US"/>
        </w:rPr>
        <w:t>Burkhardt</w:t>
      </w:r>
      <w:proofErr w:type="spellEnd"/>
      <w:r>
        <w:rPr>
          <w:b w:val="0"/>
          <w:bCs w:val="0"/>
          <w:sz w:val="20"/>
          <w:szCs w:val="20"/>
          <w:lang w:val="en-US"/>
        </w:rPr>
        <w:t xml:space="preserve">, </w:t>
      </w:r>
      <w:proofErr w:type="spellStart"/>
      <w:r>
        <w:rPr>
          <w:b w:val="0"/>
          <w:bCs w:val="0"/>
          <w:i/>
          <w:iCs/>
          <w:sz w:val="20"/>
          <w:szCs w:val="20"/>
          <w:lang w:val="en-US"/>
        </w:rPr>
        <w:t>Logik</w:t>
      </w:r>
      <w:proofErr w:type="spellEnd"/>
      <w:r>
        <w:rPr>
          <w:b w:val="0"/>
          <w:bCs w:val="0"/>
          <w:i/>
          <w:iCs/>
          <w:sz w:val="20"/>
          <w:szCs w:val="20"/>
          <w:lang w:val="en-US"/>
        </w:rPr>
        <w:t xml:space="preserve"> und </w:t>
      </w:r>
      <w:proofErr w:type="spellStart"/>
      <w:r>
        <w:rPr>
          <w:b w:val="0"/>
          <w:bCs w:val="0"/>
          <w:i/>
          <w:iCs/>
          <w:sz w:val="20"/>
          <w:szCs w:val="20"/>
          <w:lang w:val="en-US"/>
        </w:rPr>
        <w:t>Semiotik</w:t>
      </w:r>
      <w:proofErr w:type="spellEnd"/>
      <w:r>
        <w:rPr>
          <w:b w:val="0"/>
          <w:bCs w:val="0"/>
          <w:i/>
          <w:iCs/>
          <w:sz w:val="20"/>
          <w:szCs w:val="20"/>
          <w:lang w:val="en-US"/>
        </w:rPr>
        <w:t xml:space="preserve"> in </w:t>
      </w:r>
      <w:proofErr w:type="spellStart"/>
      <w:r>
        <w:rPr>
          <w:b w:val="0"/>
          <w:bCs w:val="0"/>
          <w:i/>
          <w:iCs/>
          <w:sz w:val="20"/>
          <w:szCs w:val="20"/>
          <w:lang w:val="en-US"/>
        </w:rPr>
        <w:t>der</w:t>
      </w:r>
      <w:proofErr w:type="spellEnd"/>
      <w:r>
        <w:rPr>
          <w:b w:val="0"/>
          <w:bCs w:val="0"/>
          <w:i/>
          <w:iCs/>
          <w:sz w:val="20"/>
          <w:szCs w:val="20"/>
          <w:lang w:val="en-US"/>
        </w:rPr>
        <w:t xml:space="preserve"> </w:t>
      </w:r>
      <w:proofErr w:type="spellStart"/>
      <w:r>
        <w:rPr>
          <w:b w:val="0"/>
          <w:bCs w:val="0"/>
          <w:i/>
          <w:iCs/>
          <w:sz w:val="20"/>
          <w:szCs w:val="20"/>
          <w:lang w:val="en-US"/>
        </w:rPr>
        <w:t>Philosophie</w:t>
      </w:r>
      <w:proofErr w:type="spellEnd"/>
      <w:r>
        <w:rPr>
          <w:b w:val="0"/>
          <w:bCs w:val="0"/>
          <w:i/>
          <w:iCs/>
          <w:sz w:val="20"/>
          <w:szCs w:val="20"/>
          <w:lang w:val="en-US"/>
        </w:rPr>
        <w:t xml:space="preserve"> von Leibniz</w:t>
      </w:r>
      <w:r>
        <w:rPr>
          <w:b w:val="0"/>
          <w:bCs w:val="0"/>
          <w:sz w:val="20"/>
          <w:szCs w:val="20"/>
          <w:lang w:val="en-US"/>
        </w:rPr>
        <w:t xml:space="preserve">, pp. 425-426; Adams, </w:t>
      </w:r>
      <w:r>
        <w:rPr>
          <w:b w:val="0"/>
          <w:bCs w:val="0"/>
          <w:i/>
          <w:iCs/>
          <w:sz w:val="20"/>
          <w:szCs w:val="20"/>
          <w:lang w:val="en-US"/>
        </w:rPr>
        <w:t>Leibniz</w:t>
      </w:r>
      <w:r>
        <w:rPr>
          <w:b w:val="0"/>
          <w:bCs w:val="0"/>
          <w:sz w:val="20"/>
          <w:szCs w:val="20"/>
          <w:lang w:val="en-US"/>
        </w:rPr>
        <w:t>, p. 205</w:t>
      </w:r>
      <w:r w:rsidRPr="00B15078">
        <w:rPr>
          <w:b w:val="0"/>
          <w:bCs w:val="0"/>
          <w:sz w:val="20"/>
          <w:szCs w:val="20"/>
          <w:lang w:val="en-US"/>
        </w:rPr>
        <w:t xml:space="preserve">.   </w:t>
      </w:r>
    </w:p>
  </w:endnote>
  <w:endnote w:id="24">
    <w:p w14:paraId="14E3BBAF"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4B58EF">
        <w:rPr>
          <w:b w:val="0"/>
          <w:bCs w:val="0"/>
          <w:sz w:val="20"/>
          <w:szCs w:val="20"/>
          <w:lang w:val="en-US"/>
        </w:rPr>
        <w:t>Elementa</w:t>
      </w:r>
      <w:proofErr w:type="spellEnd"/>
      <w:r w:rsidRPr="004B58EF">
        <w:rPr>
          <w:b w:val="0"/>
          <w:bCs w:val="0"/>
          <w:sz w:val="20"/>
          <w:szCs w:val="20"/>
          <w:lang w:val="en-US"/>
        </w:rPr>
        <w:t xml:space="preserve"> </w:t>
      </w:r>
      <w:proofErr w:type="spellStart"/>
      <w:r w:rsidRPr="004B58EF">
        <w:rPr>
          <w:b w:val="0"/>
          <w:bCs w:val="0"/>
          <w:sz w:val="20"/>
          <w:szCs w:val="20"/>
          <w:lang w:val="en-US"/>
        </w:rPr>
        <w:t>juris</w:t>
      </w:r>
      <w:proofErr w:type="spellEnd"/>
      <w:r w:rsidRPr="004B58EF">
        <w:rPr>
          <w:b w:val="0"/>
          <w:bCs w:val="0"/>
          <w:sz w:val="20"/>
          <w:szCs w:val="20"/>
          <w:lang w:val="en-US"/>
        </w:rPr>
        <w:t xml:space="preserve"> </w:t>
      </w:r>
      <w:proofErr w:type="spellStart"/>
      <w:r w:rsidRPr="004B58EF">
        <w:rPr>
          <w:b w:val="0"/>
          <w:bCs w:val="0"/>
          <w:sz w:val="20"/>
          <w:szCs w:val="20"/>
          <w:lang w:val="en-US"/>
        </w:rPr>
        <w:t>naturalis</w:t>
      </w:r>
      <w:proofErr w:type="spellEnd"/>
      <w:r>
        <w:rPr>
          <w:b w:val="0"/>
          <w:bCs w:val="0"/>
          <w:sz w:val="20"/>
          <w:szCs w:val="20"/>
          <w:lang w:val="en-US"/>
        </w:rPr>
        <w:t>, Fifth MS; A VI, 1, 471.</w:t>
      </w:r>
    </w:p>
  </w:endnote>
  <w:endnote w:id="25">
    <w:p w14:paraId="7FA3F320"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Pr>
          <w:b w:val="0"/>
          <w:bCs w:val="0"/>
          <w:sz w:val="20"/>
          <w:szCs w:val="20"/>
          <w:lang w:val="en-US"/>
        </w:rPr>
        <w:t>Burkhardt</w:t>
      </w:r>
      <w:proofErr w:type="spellEnd"/>
      <w:r>
        <w:rPr>
          <w:b w:val="0"/>
          <w:bCs w:val="0"/>
          <w:sz w:val="20"/>
          <w:szCs w:val="20"/>
          <w:lang w:val="en-US"/>
        </w:rPr>
        <w:t xml:space="preserve">, </w:t>
      </w:r>
      <w:proofErr w:type="spellStart"/>
      <w:r>
        <w:rPr>
          <w:b w:val="0"/>
          <w:bCs w:val="0"/>
          <w:i/>
          <w:iCs/>
          <w:sz w:val="20"/>
          <w:szCs w:val="20"/>
          <w:lang w:val="en-US"/>
        </w:rPr>
        <w:t>Logik</w:t>
      </w:r>
      <w:proofErr w:type="spellEnd"/>
      <w:r>
        <w:rPr>
          <w:b w:val="0"/>
          <w:bCs w:val="0"/>
          <w:i/>
          <w:iCs/>
          <w:sz w:val="20"/>
          <w:szCs w:val="20"/>
          <w:lang w:val="en-US"/>
        </w:rPr>
        <w:t xml:space="preserve"> und </w:t>
      </w:r>
      <w:proofErr w:type="spellStart"/>
      <w:r>
        <w:rPr>
          <w:b w:val="0"/>
          <w:bCs w:val="0"/>
          <w:i/>
          <w:iCs/>
          <w:sz w:val="20"/>
          <w:szCs w:val="20"/>
          <w:lang w:val="en-US"/>
        </w:rPr>
        <w:t>Semiotik</w:t>
      </w:r>
      <w:proofErr w:type="spellEnd"/>
      <w:r>
        <w:rPr>
          <w:b w:val="0"/>
          <w:bCs w:val="0"/>
          <w:i/>
          <w:iCs/>
          <w:sz w:val="20"/>
          <w:szCs w:val="20"/>
          <w:lang w:val="en-US"/>
        </w:rPr>
        <w:t xml:space="preserve"> in </w:t>
      </w:r>
      <w:proofErr w:type="spellStart"/>
      <w:r>
        <w:rPr>
          <w:b w:val="0"/>
          <w:bCs w:val="0"/>
          <w:i/>
          <w:iCs/>
          <w:sz w:val="20"/>
          <w:szCs w:val="20"/>
          <w:lang w:val="en-US"/>
        </w:rPr>
        <w:t>der</w:t>
      </w:r>
      <w:proofErr w:type="spellEnd"/>
      <w:r>
        <w:rPr>
          <w:b w:val="0"/>
          <w:bCs w:val="0"/>
          <w:i/>
          <w:iCs/>
          <w:sz w:val="20"/>
          <w:szCs w:val="20"/>
          <w:lang w:val="en-US"/>
        </w:rPr>
        <w:t xml:space="preserve"> </w:t>
      </w:r>
      <w:proofErr w:type="spellStart"/>
      <w:r>
        <w:rPr>
          <w:b w:val="0"/>
          <w:bCs w:val="0"/>
          <w:i/>
          <w:iCs/>
          <w:sz w:val="20"/>
          <w:szCs w:val="20"/>
          <w:lang w:val="en-US"/>
        </w:rPr>
        <w:t>Philosophie</w:t>
      </w:r>
      <w:proofErr w:type="spellEnd"/>
      <w:r>
        <w:rPr>
          <w:b w:val="0"/>
          <w:bCs w:val="0"/>
          <w:i/>
          <w:iCs/>
          <w:sz w:val="20"/>
          <w:szCs w:val="20"/>
          <w:lang w:val="en-US"/>
        </w:rPr>
        <w:t xml:space="preserve"> von Leibniz</w:t>
      </w:r>
      <w:r>
        <w:rPr>
          <w:b w:val="0"/>
          <w:bCs w:val="0"/>
          <w:sz w:val="20"/>
          <w:szCs w:val="20"/>
          <w:lang w:val="en-US"/>
        </w:rPr>
        <w:t>, p. 426.</w:t>
      </w:r>
    </w:p>
  </w:endnote>
  <w:endnote w:id="26">
    <w:p w14:paraId="4FB30890"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A VI, 2, 567.</w:t>
      </w:r>
    </w:p>
  </w:endnote>
  <w:endnote w:id="27">
    <w:p w14:paraId="225C528F" w14:textId="77777777" w:rsidR="008E6AD0" w:rsidRPr="00B15078" w:rsidRDefault="008E6AD0" w:rsidP="00FC40DF">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Ibid.</w:t>
      </w:r>
    </w:p>
  </w:endnote>
  <w:endnote w:id="28">
    <w:p w14:paraId="4AD7EE0C" w14:textId="77777777" w:rsidR="008E6AD0" w:rsidRPr="003233B4" w:rsidRDefault="008E6AD0" w:rsidP="00865A4C">
      <w:pPr>
        <w:pStyle w:val="Titel"/>
        <w:spacing w:line="480" w:lineRule="auto"/>
        <w:jc w:val="both"/>
        <w:rPr>
          <w:b w:val="0"/>
          <w:bCs w:val="0"/>
          <w:i/>
          <w:iCs/>
          <w:sz w:val="20"/>
          <w:szCs w:val="20"/>
          <w:lang w:val="en-US"/>
        </w:rPr>
      </w:pPr>
      <w:r w:rsidRPr="003233B4">
        <w:rPr>
          <w:rStyle w:val="Endnotenzeichen"/>
          <w:b w:val="0"/>
          <w:bCs w:val="0"/>
          <w:sz w:val="20"/>
          <w:szCs w:val="20"/>
          <w:lang w:val="en-US"/>
        </w:rPr>
        <w:endnoteRef/>
      </w:r>
      <w:r w:rsidRPr="003233B4">
        <w:rPr>
          <w:b w:val="0"/>
          <w:bCs w:val="0"/>
          <w:sz w:val="20"/>
          <w:szCs w:val="20"/>
          <w:lang w:val="en-US"/>
        </w:rPr>
        <w:t xml:space="preserve"> </w:t>
      </w:r>
      <w:r>
        <w:rPr>
          <w:b w:val="0"/>
          <w:bCs w:val="0"/>
          <w:sz w:val="20"/>
          <w:szCs w:val="20"/>
          <w:lang w:val="en-US"/>
        </w:rPr>
        <w:t xml:space="preserve">For example, Rudolph </w:t>
      </w:r>
      <w:proofErr w:type="spellStart"/>
      <w:r>
        <w:rPr>
          <w:b w:val="0"/>
          <w:bCs w:val="0"/>
          <w:sz w:val="20"/>
          <w:szCs w:val="20"/>
          <w:lang w:val="en-US"/>
        </w:rPr>
        <w:t>Goclenius</w:t>
      </w:r>
      <w:proofErr w:type="spellEnd"/>
      <w:r>
        <w:rPr>
          <w:b w:val="0"/>
          <w:bCs w:val="0"/>
          <w:sz w:val="20"/>
          <w:szCs w:val="20"/>
          <w:lang w:val="en-US"/>
        </w:rPr>
        <w:t xml:space="preserve"> writes in his widely used </w:t>
      </w:r>
      <w:proofErr w:type="spellStart"/>
      <w:r>
        <w:rPr>
          <w:rFonts w:ascii="Times New (W1)" w:cs="Times New (W1)"/>
          <w:b w:val="0"/>
          <w:bCs w:val="0"/>
          <w:i/>
          <w:sz w:val="20"/>
          <w:szCs w:val="20"/>
          <w:lang w:val="en-US"/>
        </w:rPr>
        <w:t>Lexion</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philosophicum</w:t>
      </w:r>
      <w:proofErr w:type="spellEnd"/>
      <w:r>
        <w:rPr>
          <w:rFonts w:ascii="Times New (W1)" w:cs="Times New (W1)"/>
          <w:b w:val="0"/>
          <w:bCs w:val="0"/>
          <w:i/>
          <w:sz w:val="20"/>
          <w:szCs w:val="20"/>
          <w:lang w:val="en-US"/>
        </w:rPr>
        <w:t xml:space="preserve"> </w:t>
      </w:r>
      <w:r>
        <w:rPr>
          <w:rFonts w:ascii="Times New (W1)" w:cs="Times New (W1)"/>
          <w:b w:val="0"/>
          <w:bCs w:val="0"/>
          <w:sz w:val="20"/>
          <w:szCs w:val="20"/>
          <w:lang w:val="en-US"/>
        </w:rPr>
        <w:t xml:space="preserve">(Marburg, 1613, p. 875) that a privation in the proper sense is </w:t>
      </w:r>
      <w:r>
        <w:rPr>
          <w:rFonts w:ascii="Times New (W1)" w:cs="Times New (W1)"/>
          <w:b w:val="0"/>
          <w:bCs w:val="0"/>
          <w:sz w:val="20"/>
          <w:szCs w:val="20"/>
          <w:lang w:val="en-US"/>
        </w:rPr>
        <w:t>“</w:t>
      </w:r>
      <w:r>
        <w:rPr>
          <w:rFonts w:ascii="Times New (W1)" w:cs="Times New (W1)"/>
          <w:b w:val="0"/>
          <w:bCs w:val="0"/>
          <w:sz w:val="20"/>
          <w:szCs w:val="20"/>
          <w:lang w:val="en-US"/>
        </w:rPr>
        <w:t>the absence of a habit or a form</w:t>
      </w:r>
      <w:r>
        <w:rPr>
          <w:rFonts w:ascii="Times New (W1)" w:cs="Times New (W1)"/>
          <w:b w:val="0"/>
          <w:bCs w:val="0"/>
          <w:sz w:val="20"/>
          <w:szCs w:val="20"/>
          <w:lang w:val="en-US"/>
        </w:rPr>
        <w:t>”</w:t>
      </w:r>
      <w:r>
        <w:rPr>
          <w:rFonts w:ascii="Times New (W1)" w:cs="Times New (W1)"/>
          <w:b w:val="0"/>
          <w:bCs w:val="0"/>
          <w:sz w:val="20"/>
          <w:szCs w:val="20"/>
          <w:lang w:val="en-US"/>
        </w:rPr>
        <w:t xml:space="preserve"> (</w:t>
      </w:r>
      <w:proofErr w:type="spellStart"/>
      <w:r>
        <w:rPr>
          <w:rFonts w:ascii="Times New (W1)" w:cs="Times New (W1)"/>
          <w:b w:val="0"/>
          <w:bCs w:val="0"/>
          <w:i/>
          <w:sz w:val="20"/>
          <w:szCs w:val="20"/>
          <w:lang w:val="en-US"/>
        </w:rPr>
        <w:t>habitus</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seu</w:t>
      </w:r>
      <w:proofErr w:type="spellEnd"/>
      <w:r>
        <w:rPr>
          <w:rFonts w:ascii="Times New (W1)" w:cs="Times New (W1)"/>
          <w:b w:val="0"/>
          <w:bCs w:val="0"/>
          <w:i/>
          <w:sz w:val="20"/>
          <w:szCs w:val="20"/>
          <w:lang w:val="en-US"/>
        </w:rPr>
        <w:t xml:space="preserve"> </w:t>
      </w:r>
      <w:proofErr w:type="spellStart"/>
      <w:r>
        <w:rPr>
          <w:rFonts w:ascii="Times New (W1)" w:cs="Times New (W1)"/>
          <w:b w:val="0"/>
          <w:bCs w:val="0"/>
          <w:i/>
          <w:sz w:val="20"/>
          <w:szCs w:val="20"/>
          <w:lang w:val="en-US"/>
        </w:rPr>
        <w:t>formae</w:t>
      </w:r>
      <w:proofErr w:type="spellEnd"/>
      <w:r>
        <w:rPr>
          <w:rFonts w:ascii="Times New (W1)" w:cs="Times New (W1)"/>
          <w:b w:val="0"/>
          <w:bCs w:val="0"/>
          <w:i/>
          <w:sz w:val="20"/>
          <w:szCs w:val="20"/>
          <w:lang w:val="en-US"/>
        </w:rPr>
        <w:t xml:space="preserve"> absentia</w:t>
      </w:r>
      <w:r>
        <w:rPr>
          <w:rFonts w:ascii="Times New (W1)" w:cs="Times New (W1)"/>
          <w:b w:val="0"/>
          <w:bCs w:val="0"/>
          <w:sz w:val="20"/>
          <w:szCs w:val="20"/>
          <w:lang w:val="en-US"/>
        </w:rPr>
        <w:t>).</w:t>
      </w:r>
      <w:r>
        <w:rPr>
          <w:b w:val="0"/>
          <w:bCs w:val="0"/>
          <w:sz w:val="20"/>
          <w:szCs w:val="20"/>
          <w:lang w:val="en-US"/>
        </w:rPr>
        <w:t xml:space="preserve"> Leibniz uses the concept of privation in the following way: “GOD punishes no-one in a way other than by means of privation [</w:t>
      </w:r>
      <w:r>
        <w:rPr>
          <w:b w:val="0"/>
          <w:bCs w:val="0"/>
          <w:i/>
          <w:iCs/>
          <w:sz w:val="20"/>
          <w:szCs w:val="20"/>
          <w:lang w:val="en-US"/>
        </w:rPr>
        <w:t>privative</w:t>
      </w:r>
      <w:r>
        <w:rPr>
          <w:b w:val="0"/>
          <w:bCs w:val="0"/>
          <w:sz w:val="20"/>
          <w:szCs w:val="20"/>
          <w:lang w:val="en-US"/>
        </w:rPr>
        <w:t>], insofar as he does not give felicity to this person” (</w:t>
      </w:r>
      <w:proofErr w:type="spellStart"/>
      <w:r>
        <w:rPr>
          <w:b w:val="0"/>
          <w:bCs w:val="0"/>
          <w:sz w:val="20"/>
          <w:szCs w:val="20"/>
          <w:lang w:val="en-US"/>
        </w:rPr>
        <w:t>Demonstrationum</w:t>
      </w:r>
      <w:proofErr w:type="spellEnd"/>
      <w:r>
        <w:rPr>
          <w:b w:val="0"/>
          <w:bCs w:val="0"/>
          <w:sz w:val="20"/>
          <w:szCs w:val="20"/>
          <w:lang w:val="en-US"/>
        </w:rPr>
        <w:t xml:space="preserve"> </w:t>
      </w:r>
      <w:proofErr w:type="spellStart"/>
      <w:r>
        <w:rPr>
          <w:b w:val="0"/>
          <w:bCs w:val="0"/>
          <w:sz w:val="20"/>
          <w:szCs w:val="20"/>
          <w:lang w:val="en-US"/>
        </w:rPr>
        <w:t>catholicarum</w:t>
      </w:r>
      <w:proofErr w:type="spellEnd"/>
      <w:r>
        <w:rPr>
          <w:b w:val="0"/>
          <w:bCs w:val="0"/>
          <w:sz w:val="20"/>
          <w:szCs w:val="20"/>
          <w:lang w:val="en-US"/>
        </w:rPr>
        <w:t xml:space="preserve"> conspectus [1668-1669?]; A VI, 1, 499).</w:t>
      </w:r>
    </w:p>
  </w:endnote>
  <w:endnote w:id="29">
    <w:p w14:paraId="58D421BE"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4B58EF">
        <w:rPr>
          <w:b w:val="0"/>
          <w:bCs w:val="0"/>
          <w:sz w:val="20"/>
          <w:szCs w:val="20"/>
          <w:lang w:val="en-US"/>
        </w:rPr>
        <w:t>Elementa</w:t>
      </w:r>
      <w:proofErr w:type="spellEnd"/>
      <w:r w:rsidRPr="004B58EF">
        <w:rPr>
          <w:b w:val="0"/>
          <w:bCs w:val="0"/>
          <w:sz w:val="20"/>
          <w:szCs w:val="20"/>
          <w:lang w:val="en-US"/>
        </w:rPr>
        <w:t xml:space="preserve"> </w:t>
      </w:r>
      <w:proofErr w:type="spellStart"/>
      <w:r w:rsidRPr="004B58EF">
        <w:rPr>
          <w:b w:val="0"/>
          <w:bCs w:val="0"/>
          <w:sz w:val="20"/>
          <w:szCs w:val="20"/>
          <w:lang w:val="en-US"/>
        </w:rPr>
        <w:t>juris</w:t>
      </w:r>
      <w:proofErr w:type="spellEnd"/>
      <w:r w:rsidRPr="004B58EF">
        <w:rPr>
          <w:b w:val="0"/>
          <w:bCs w:val="0"/>
          <w:sz w:val="20"/>
          <w:szCs w:val="20"/>
          <w:lang w:val="en-US"/>
        </w:rPr>
        <w:t xml:space="preserve"> </w:t>
      </w:r>
      <w:proofErr w:type="spellStart"/>
      <w:r w:rsidRPr="004B58EF">
        <w:rPr>
          <w:b w:val="0"/>
          <w:bCs w:val="0"/>
          <w:sz w:val="20"/>
          <w:szCs w:val="20"/>
          <w:lang w:val="en-US"/>
        </w:rPr>
        <w:t>naturalis</w:t>
      </w:r>
      <w:proofErr w:type="spellEnd"/>
      <w:r>
        <w:rPr>
          <w:b w:val="0"/>
          <w:bCs w:val="0"/>
          <w:sz w:val="20"/>
          <w:szCs w:val="20"/>
          <w:lang w:val="en-US"/>
        </w:rPr>
        <w:t>, Fifth MS; A VI, 1, 471.</w:t>
      </w:r>
    </w:p>
  </w:endnote>
  <w:endnote w:id="30">
    <w:p w14:paraId="5D1F58A1"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Pr>
          <w:b w:val="0"/>
          <w:bCs w:val="0"/>
          <w:i/>
          <w:iCs/>
          <w:sz w:val="20"/>
          <w:szCs w:val="20"/>
          <w:lang w:val="en-US"/>
        </w:rPr>
        <w:t>Nicomachean</w:t>
      </w:r>
      <w:proofErr w:type="spellEnd"/>
      <w:r>
        <w:rPr>
          <w:b w:val="0"/>
          <w:bCs w:val="0"/>
          <w:i/>
          <w:iCs/>
          <w:sz w:val="20"/>
          <w:szCs w:val="20"/>
          <w:lang w:val="en-US"/>
        </w:rPr>
        <w:t xml:space="preserve"> Ethics</w:t>
      </w:r>
      <w:r>
        <w:rPr>
          <w:b w:val="0"/>
          <w:bCs w:val="0"/>
          <w:sz w:val="20"/>
          <w:szCs w:val="20"/>
          <w:lang w:val="en-US"/>
        </w:rPr>
        <w:t xml:space="preserve">, 1105b6-9, translated by H. </w:t>
      </w:r>
      <w:proofErr w:type="spellStart"/>
      <w:r>
        <w:rPr>
          <w:b w:val="0"/>
          <w:bCs w:val="0"/>
          <w:sz w:val="20"/>
          <w:szCs w:val="20"/>
          <w:lang w:val="en-US"/>
        </w:rPr>
        <w:t>Rackham</w:t>
      </w:r>
      <w:proofErr w:type="spellEnd"/>
      <w:r>
        <w:rPr>
          <w:b w:val="0"/>
          <w:bCs w:val="0"/>
          <w:sz w:val="20"/>
          <w:szCs w:val="20"/>
          <w:lang w:val="en-US"/>
        </w:rPr>
        <w:t>, Cambridge/London 1982, pp. 85-87.</w:t>
      </w:r>
    </w:p>
  </w:endnote>
  <w:endnote w:id="31">
    <w:p w14:paraId="1697F3D4"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4B58EF">
        <w:rPr>
          <w:b w:val="0"/>
          <w:bCs w:val="0"/>
          <w:sz w:val="20"/>
          <w:szCs w:val="20"/>
          <w:lang w:val="en-US"/>
        </w:rPr>
        <w:t>Elementa</w:t>
      </w:r>
      <w:proofErr w:type="spellEnd"/>
      <w:r w:rsidRPr="004B58EF">
        <w:rPr>
          <w:b w:val="0"/>
          <w:bCs w:val="0"/>
          <w:sz w:val="20"/>
          <w:szCs w:val="20"/>
          <w:lang w:val="en-US"/>
        </w:rPr>
        <w:t xml:space="preserve"> </w:t>
      </w:r>
      <w:proofErr w:type="spellStart"/>
      <w:r w:rsidRPr="004B58EF">
        <w:rPr>
          <w:b w:val="0"/>
          <w:bCs w:val="0"/>
          <w:sz w:val="20"/>
          <w:szCs w:val="20"/>
          <w:lang w:val="en-US"/>
        </w:rPr>
        <w:t>juris</w:t>
      </w:r>
      <w:proofErr w:type="spellEnd"/>
      <w:r w:rsidRPr="004B58EF">
        <w:rPr>
          <w:b w:val="0"/>
          <w:bCs w:val="0"/>
          <w:sz w:val="20"/>
          <w:szCs w:val="20"/>
          <w:lang w:val="en-US"/>
        </w:rPr>
        <w:t xml:space="preserve"> </w:t>
      </w:r>
      <w:proofErr w:type="spellStart"/>
      <w:r w:rsidRPr="004B58EF">
        <w:rPr>
          <w:b w:val="0"/>
          <w:bCs w:val="0"/>
          <w:sz w:val="20"/>
          <w:szCs w:val="20"/>
          <w:lang w:val="en-US"/>
        </w:rPr>
        <w:t>naturalis</w:t>
      </w:r>
      <w:proofErr w:type="spellEnd"/>
      <w:r>
        <w:rPr>
          <w:b w:val="0"/>
          <w:bCs w:val="0"/>
          <w:sz w:val="20"/>
          <w:szCs w:val="20"/>
          <w:lang w:val="en-US"/>
        </w:rPr>
        <w:t>, Fifth MS; A VI, 1, 476; see also Sixth MS; A VI, 1, 480.</w:t>
      </w:r>
    </w:p>
  </w:endnote>
  <w:endnote w:id="32">
    <w:p w14:paraId="5E71CF99" w14:textId="77777777" w:rsidR="008E6AD0" w:rsidRPr="007953DF" w:rsidRDefault="008E6AD0" w:rsidP="00865A4C">
      <w:pPr>
        <w:pStyle w:val="Titel"/>
        <w:spacing w:line="480" w:lineRule="auto"/>
        <w:jc w:val="both"/>
        <w:rPr>
          <w:b w:val="0"/>
          <w:bCs w:val="0"/>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 xml:space="preserve">One of the earliest places in which this definition occurs is De </w:t>
      </w:r>
      <w:proofErr w:type="spellStart"/>
      <w:r>
        <w:rPr>
          <w:b w:val="0"/>
          <w:bCs w:val="0"/>
          <w:sz w:val="20"/>
          <w:szCs w:val="20"/>
          <w:lang w:val="en-US"/>
        </w:rPr>
        <w:t>legum</w:t>
      </w:r>
      <w:proofErr w:type="spellEnd"/>
      <w:r>
        <w:rPr>
          <w:b w:val="0"/>
          <w:bCs w:val="0"/>
          <w:sz w:val="20"/>
          <w:szCs w:val="20"/>
          <w:lang w:val="en-US"/>
        </w:rPr>
        <w:t xml:space="preserve"> </w:t>
      </w:r>
      <w:proofErr w:type="spellStart"/>
      <w:r>
        <w:rPr>
          <w:b w:val="0"/>
          <w:bCs w:val="0"/>
          <w:sz w:val="20"/>
          <w:szCs w:val="20"/>
          <w:lang w:val="en-US"/>
        </w:rPr>
        <w:t>rationibus</w:t>
      </w:r>
      <w:proofErr w:type="spellEnd"/>
      <w:r>
        <w:rPr>
          <w:b w:val="0"/>
          <w:bCs w:val="0"/>
          <w:sz w:val="20"/>
          <w:szCs w:val="20"/>
          <w:lang w:val="en-US"/>
        </w:rPr>
        <w:t xml:space="preserve"> </w:t>
      </w:r>
      <w:proofErr w:type="spellStart"/>
      <w:r>
        <w:rPr>
          <w:b w:val="0"/>
          <w:bCs w:val="0"/>
          <w:sz w:val="20"/>
          <w:szCs w:val="20"/>
          <w:lang w:val="en-US"/>
        </w:rPr>
        <w:t>inquirendis</w:t>
      </w:r>
      <w:proofErr w:type="spellEnd"/>
      <w:r>
        <w:rPr>
          <w:b w:val="0"/>
          <w:bCs w:val="0"/>
          <w:sz w:val="20"/>
          <w:szCs w:val="20"/>
          <w:lang w:val="en-US"/>
        </w:rPr>
        <w:t xml:space="preserve"> (summer-winter 1678/79?); A VI, 4, 2777. Other pieces containing closely similar definitions of justice include </w:t>
      </w:r>
      <w:proofErr w:type="spellStart"/>
      <w:r>
        <w:rPr>
          <w:b w:val="0"/>
          <w:bCs w:val="0"/>
          <w:sz w:val="20"/>
          <w:szCs w:val="20"/>
          <w:lang w:val="en-US"/>
        </w:rPr>
        <w:t>Modalia</w:t>
      </w:r>
      <w:proofErr w:type="spellEnd"/>
      <w:r>
        <w:rPr>
          <w:b w:val="0"/>
          <w:bCs w:val="0"/>
          <w:sz w:val="20"/>
          <w:szCs w:val="20"/>
          <w:lang w:val="en-US"/>
        </w:rPr>
        <w:t xml:space="preserve"> et </w:t>
      </w:r>
      <w:proofErr w:type="spellStart"/>
      <w:r>
        <w:rPr>
          <w:b w:val="0"/>
          <w:bCs w:val="0"/>
          <w:sz w:val="20"/>
          <w:szCs w:val="20"/>
          <w:lang w:val="en-US"/>
        </w:rPr>
        <w:t>elementa</w:t>
      </w:r>
      <w:proofErr w:type="spellEnd"/>
      <w:r>
        <w:rPr>
          <w:b w:val="0"/>
          <w:bCs w:val="0"/>
          <w:sz w:val="20"/>
          <w:szCs w:val="20"/>
          <w:lang w:val="en-US"/>
        </w:rPr>
        <w:t xml:space="preserve"> </w:t>
      </w:r>
      <w:proofErr w:type="spellStart"/>
      <w:r>
        <w:rPr>
          <w:b w:val="0"/>
          <w:bCs w:val="0"/>
          <w:sz w:val="20"/>
          <w:szCs w:val="20"/>
          <w:lang w:val="en-US"/>
        </w:rPr>
        <w:t>juris</w:t>
      </w:r>
      <w:proofErr w:type="spellEnd"/>
      <w:r>
        <w:rPr>
          <w:b w:val="0"/>
          <w:bCs w:val="0"/>
          <w:sz w:val="20"/>
          <w:szCs w:val="20"/>
          <w:lang w:val="en-US"/>
        </w:rPr>
        <w:t xml:space="preserve"> </w:t>
      </w:r>
      <w:proofErr w:type="spellStart"/>
      <w:r>
        <w:rPr>
          <w:b w:val="0"/>
          <w:bCs w:val="0"/>
          <w:sz w:val="20"/>
          <w:szCs w:val="20"/>
          <w:lang w:val="en-US"/>
        </w:rPr>
        <w:t>naturalis</w:t>
      </w:r>
      <w:proofErr w:type="spellEnd"/>
      <w:r>
        <w:rPr>
          <w:b w:val="0"/>
          <w:bCs w:val="0"/>
          <w:sz w:val="20"/>
          <w:szCs w:val="20"/>
          <w:lang w:val="en-US"/>
        </w:rPr>
        <w:t xml:space="preserve"> (summer 1678-winter 1680/81?); A VI, 4, 2758 and 2761; De </w:t>
      </w:r>
      <w:proofErr w:type="spellStart"/>
      <w:r>
        <w:rPr>
          <w:b w:val="0"/>
          <w:bCs w:val="0"/>
          <w:sz w:val="20"/>
          <w:szCs w:val="20"/>
          <w:lang w:val="en-US"/>
        </w:rPr>
        <w:t>cogitationum</w:t>
      </w:r>
      <w:proofErr w:type="spellEnd"/>
      <w:r>
        <w:rPr>
          <w:b w:val="0"/>
          <w:bCs w:val="0"/>
          <w:sz w:val="20"/>
          <w:szCs w:val="20"/>
          <w:lang w:val="en-US"/>
        </w:rPr>
        <w:t xml:space="preserve"> </w:t>
      </w:r>
      <w:proofErr w:type="spellStart"/>
      <w:r>
        <w:rPr>
          <w:b w:val="0"/>
          <w:bCs w:val="0"/>
          <w:sz w:val="20"/>
          <w:szCs w:val="20"/>
          <w:lang w:val="en-US"/>
        </w:rPr>
        <w:t>analysi</w:t>
      </w:r>
      <w:proofErr w:type="spellEnd"/>
      <w:r>
        <w:rPr>
          <w:b w:val="0"/>
          <w:bCs w:val="0"/>
          <w:sz w:val="20"/>
          <w:szCs w:val="20"/>
          <w:lang w:val="en-US"/>
        </w:rPr>
        <w:t xml:space="preserve"> (summer 1678-winter 1680/81?); A VI, 4, 2767. On Leibniz’s theory of justice as </w:t>
      </w:r>
      <w:r>
        <w:rPr>
          <w:b w:val="0"/>
          <w:bCs w:val="0"/>
          <w:i/>
          <w:iCs/>
          <w:sz w:val="20"/>
          <w:szCs w:val="20"/>
          <w:lang w:val="en-US"/>
        </w:rPr>
        <w:t xml:space="preserve">caritas </w:t>
      </w:r>
      <w:proofErr w:type="spellStart"/>
      <w:r>
        <w:rPr>
          <w:b w:val="0"/>
          <w:bCs w:val="0"/>
          <w:i/>
          <w:iCs/>
          <w:sz w:val="20"/>
          <w:szCs w:val="20"/>
          <w:lang w:val="en-US"/>
        </w:rPr>
        <w:t>sapientis</w:t>
      </w:r>
      <w:proofErr w:type="spellEnd"/>
      <w:r>
        <w:rPr>
          <w:b w:val="0"/>
          <w:bCs w:val="0"/>
          <w:sz w:val="20"/>
          <w:szCs w:val="20"/>
          <w:lang w:val="en-US"/>
        </w:rPr>
        <w:t xml:space="preserve">, see Gaston </w:t>
      </w:r>
      <w:proofErr w:type="spellStart"/>
      <w:r>
        <w:rPr>
          <w:b w:val="0"/>
          <w:bCs w:val="0"/>
          <w:sz w:val="20"/>
          <w:szCs w:val="20"/>
          <w:lang w:val="en-US"/>
        </w:rPr>
        <w:t>Grua</w:t>
      </w:r>
      <w:proofErr w:type="spellEnd"/>
      <w:r>
        <w:rPr>
          <w:b w:val="0"/>
          <w:bCs w:val="0"/>
          <w:sz w:val="20"/>
          <w:szCs w:val="20"/>
          <w:lang w:val="en-US"/>
        </w:rPr>
        <w:t xml:space="preserve">, </w:t>
      </w:r>
      <w:r>
        <w:rPr>
          <w:b w:val="0"/>
          <w:bCs w:val="0"/>
          <w:i/>
          <w:iCs/>
          <w:sz w:val="20"/>
          <w:szCs w:val="20"/>
          <w:lang w:val="en-US"/>
        </w:rPr>
        <w:t xml:space="preserve">Jurisprudence </w:t>
      </w:r>
      <w:proofErr w:type="spellStart"/>
      <w:r>
        <w:rPr>
          <w:b w:val="0"/>
          <w:bCs w:val="0"/>
          <w:i/>
          <w:iCs/>
          <w:sz w:val="20"/>
          <w:szCs w:val="20"/>
          <w:lang w:val="en-US"/>
        </w:rPr>
        <w:t>universelle</w:t>
      </w:r>
      <w:proofErr w:type="spellEnd"/>
      <w:r>
        <w:rPr>
          <w:b w:val="0"/>
          <w:bCs w:val="0"/>
          <w:i/>
          <w:iCs/>
          <w:sz w:val="20"/>
          <w:szCs w:val="20"/>
          <w:lang w:val="en-US"/>
        </w:rPr>
        <w:t xml:space="preserve"> et </w:t>
      </w:r>
      <w:proofErr w:type="spellStart"/>
      <w:r>
        <w:rPr>
          <w:b w:val="0"/>
          <w:bCs w:val="0"/>
          <w:i/>
          <w:iCs/>
          <w:sz w:val="20"/>
          <w:szCs w:val="20"/>
          <w:lang w:val="en-US"/>
        </w:rPr>
        <w:t>Theodicee</w:t>
      </w:r>
      <w:proofErr w:type="spellEnd"/>
      <w:r>
        <w:rPr>
          <w:b w:val="0"/>
          <w:bCs w:val="0"/>
          <w:i/>
          <w:iCs/>
          <w:sz w:val="20"/>
          <w:szCs w:val="20"/>
          <w:lang w:val="en-US"/>
        </w:rPr>
        <w:t xml:space="preserve"> </w:t>
      </w:r>
      <w:proofErr w:type="spellStart"/>
      <w:r>
        <w:rPr>
          <w:b w:val="0"/>
          <w:bCs w:val="0"/>
          <w:i/>
          <w:iCs/>
          <w:sz w:val="20"/>
          <w:szCs w:val="20"/>
          <w:lang w:val="en-US"/>
        </w:rPr>
        <w:t>selon</w:t>
      </w:r>
      <w:proofErr w:type="spellEnd"/>
      <w:r>
        <w:rPr>
          <w:b w:val="0"/>
          <w:bCs w:val="0"/>
          <w:i/>
          <w:iCs/>
          <w:sz w:val="20"/>
          <w:szCs w:val="20"/>
          <w:lang w:val="en-US"/>
        </w:rPr>
        <w:t xml:space="preserve"> Leibniz</w:t>
      </w:r>
      <w:r>
        <w:rPr>
          <w:b w:val="0"/>
          <w:bCs w:val="0"/>
          <w:sz w:val="20"/>
          <w:szCs w:val="20"/>
          <w:lang w:val="en-US"/>
        </w:rPr>
        <w:t xml:space="preserve">, Paris 1953; Patrick Riley, </w:t>
      </w:r>
      <w:r>
        <w:rPr>
          <w:b w:val="0"/>
          <w:bCs w:val="0"/>
          <w:i/>
          <w:iCs/>
          <w:sz w:val="20"/>
          <w:szCs w:val="20"/>
          <w:lang w:val="en-US"/>
        </w:rPr>
        <w:t>Leibniz’s Universal Jurisprudence. Justice as the Charity of the Wise</w:t>
      </w:r>
      <w:r>
        <w:rPr>
          <w:b w:val="0"/>
          <w:bCs w:val="0"/>
          <w:sz w:val="20"/>
          <w:szCs w:val="20"/>
          <w:lang w:val="en-US"/>
        </w:rPr>
        <w:t xml:space="preserve">, </w:t>
      </w:r>
      <w:smartTag w:uri="urn:schemas-microsoft-com:office:smarttags" w:element="place">
        <w:smartTag w:uri="urn:schemas-microsoft-com:office:smarttags" w:element="City">
          <w:r>
            <w:rPr>
              <w:b w:val="0"/>
              <w:bCs w:val="0"/>
              <w:sz w:val="20"/>
              <w:szCs w:val="20"/>
              <w:lang w:val="en-US"/>
            </w:rPr>
            <w:t>Cambridge</w:t>
          </w:r>
        </w:smartTag>
        <w:r>
          <w:rPr>
            <w:b w:val="0"/>
            <w:bCs w:val="0"/>
            <w:sz w:val="20"/>
            <w:szCs w:val="20"/>
            <w:lang w:val="en-US"/>
          </w:rPr>
          <w:t xml:space="preserve">, </w:t>
        </w:r>
        <w:smartTag w:uri="urn:schemas-microsoft-com:office:smarttags" w:element="State">
          <w:r>
            <w:rPr>
              <w:b w:val="0"/>
              <w:bCs w:val="0"/>
              <w:sz w:val="20"/>
              <w:szCs w:val="20"/>
              <w:lang w:val="en-US"/>
            </w:rPr>
            <w:t>Mass.</w:t>
          </w:r>
        </w:smartTag>
      </w:smartTag>
      <w:r>
        <w:rPr>
          <w:b w:val="0"/>
          <w:bCs w:val="0"/>
          <w:sz w:val="20"/>
          <w:szCs w:val="20"/>
          <w:lang w:val="en-US"/>
        </w:rPr>
        <w:t xml:space="preserve">, and </w:t>
      </w:r>
      <w:smartTag w:uri="urn:schemas-microsoft-com:office:smarttags" w:element="place">
        <w:smartTag w:uri="urn:schemas-microsoft-com:office:smarttags" w:element="City">
          <w:r>
            <w:rPr>
              <w:b w:val="0"/>
              <w:bCs w:val="0"/>
              <w:sz w:val="20"/>
              <w:szCs w:val="20"/>
              <w:lang w:val="en-US"/>
            </w:rPr>
            <w:t>London</w:t>
          </w:r>
        </w:smartTag>
      </w:smartTag>
      <w:r>
        <w:rPr>
          <w:b w:val="0"/>
          <w:bCs w:val="0"/>
          <w:sz w:val="20"/>
          <w:szCs w:val="20"/>
          <w:lang w:val="en-US"/>
        </w:rPr>
        <w:t xml:space="preserve"> 1996.</w:t>
      </w:r>
    </w:p>
  </w:endnote>
  <w:endnote w:id="33">
    <w:p w14:paraId="4F361AA4" w14:textId="77777777" w:rsidR="008E6AD0" w:rsidRPr="00865A4C"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865A4C">
        <w:rPr>
          <w:b w:val="0"/>
          <w:bCs w:val="0"/>
          <w:sz w:val="20"/>
          <w:szCs w:val="20"/>
          <w:lang w:val="en-US"/>
        </w:rPr>
        <w:t>Elementa</w:t>
      </w:r>
      <w:proofErr w:type="spellEnd"/>
      <w:r w:rsidRPr="00865A4C">
        <w:rPr>
          <w:b w:val="0"/>
          <w:bCs w:val="0"/>
          <w:sz w:val="20"/>
          <w:szCs w:val="20"/>
          <w:lang w:val="en-US"/>
        </w:rPr>
        <w:t xml:space="preserve"> </w:t>
      </w:r>
      <w:proofErr w:type="spellStart"/>
      <w:r w:rsidRPr="00865A4C">
        <w:rPr>
          <w:b w:val="0"/>
          <w:bCs w:val="0"/>
          <w:sz w:val="20"/>
          <w:szCs w:val="20"/>
          <w:lang w:val="en-US"/>
        </w:rPr>
        <w:t>juris</w:t>
      </w:r>
      <w:proofErr w:type="spellEnd"/>
      <w:r w:rsidRPr="00865A4C">
        <w:rPr>
          <w:b w:val="0"/>
          <w:bCs w:val="0"/>
          <w:sz w:val="20"/>
          <w:szCs w:val="20"/>
          <w:lang w:val="en-US"/>
        </w:rPr>
        <w:t xml:space="preserve"> </w:t>
      </w:r>
      <w:proofErr w:type="spellStart"/>
      <w:r w:rsidRPr="00865A4C">
        <w:rPr>
          <w:b w:val="0"/>
          <w:bCs w:val="0"/>
          <w:sz w:val="20"/>
          <w:szCs w:val="20"/>
          <w:lang w:val="en-US"/>
        </w:rPr>
        <w:t>naturalis</w:t>
      </w:r>
      <w:proofErr w:type="spellEnd"/>
      <w:r w:rsidRPr="00865A4C">
        <w:rPr>
          <w:b w:val="0"/>
          <w:bCs w:val="0"/>
          <w:sz w:val="20"/>
          <w:szCs w:val="20"/>
          <w:lang w:val="en-US"/>
        </w:rPr>
        <w:t>, Fifth MS; A VI, 1, 465.</w:t>
      </w:r>
    </w:p>
  </w:endnote>
  <w:endnote w:id="34">
    <w:p w14:paraId="69A8DB4B" w14:textId="77777777" w:rsidR="008E6AD0" w:rsidRPr="00865A4C" w:rsidRDefault="008E6AD0" w:rsidP="001D4623">
      <w:pPr>
        <w:pStyle w:val="Titel"/>
        <w:spacing w:line="480" w:lineRule="auto"/>
        <w:jc w:val="both"/>
        <w:rPr>
          <w:b w:val="0"/>
          <w:bCs w:val="0"/>
          <w:i/>
          <w:iCs/>
          <w:sz w:val="20"/>
          <w:szCs w:val="20"/>
          <w:lang w:val="en-US"/>
        </w:rPr>
      </w:pPr>
      <w:r w:rsidRPr="00865A4C">
        <w:rPr>
          <w:rStyle w:val="Endnotenzeichen"/>
          <w:b w:val="0"/>
          <w:bCs w:val="0"/>
          <w:sz w:val="20"/>
          <w:szCs w:val="20"/>
          <w:lang w:val="en-US"/>
        </w:rPr>
        <w:endnoteRef/>
      </w:r>
      <w:r w:rsidRPr="00865A4C">
        <w:rPr>
          <w:b w:val="0"/>
          <w:bCs w:val="0"/>
          <w:sz w:val="20"/>
          <w:szCs w:val="20"/>
          <w:lang w:val="en-US"/>
        </w:rPr>
        <w:t xml:space="preserve"> Ibid.; A VI, 1, 466. On the role of love in Leibniz’s early theory of justice, see Albert </w:t>
      </w:r>
      <w:proofErr w:type="spellStart"/>
      <w:r w:rsidRPr="00865A4C">
        <w:rPr>
          <w:b w:val="0"/>
          <w:bCs w:val="0"/>
          <w:sz w:val="20"/>
          <w:szCs w:val="20"/>
          <w:lang w:val="en-US"/>
        </w:rPr>
        <w:t>Heinekamp</w:t>
      </w:r>
      <w:proofErr w:type="spellEnd"/>
      <w:r w:rsidRPr="00865A4C">
        <w:rPr>
          <w:b w:val="0"/>
          <w:bCs w:val="0"/>
          <w:sz w:val="20"/>
          <w:szCs w:val="20"/>
          <w:lang w:val="en-US"/>
        </w:rPr>
        <w:t>, “</w:t>
      </w:r>
      <w:proofErr w:type="spellStart"/>
      <w:r w:rsidRPr="00865A4C">
        <w:rPr>
          <w:b w:val="0"/>
          <w:bCs w:val="0"/>
          <w:sz w:val="20"/>
          <w:szCs w:val="20"/>
          <w:lang w:val="en-US"/>
        </w:rPr>
        <w:t>Das</w:t>
      </w:r>
      <w:proofErr w:type="spellEnd"/>
      <w:r w:rsidRPr="00865A4C">
        <w:rPr>
          <w:b w:val="0"/>
          <w:bCs w:val="0"/>
          <w:sz w:val="20"/>
          <w:szCs w:val="20"/>
          <w:lang w:val="en-US"/>
        </w:rPr>
        <w:t xml:space="preserve"> </w:t>
      </w:r>
      <w:proofErr w:type="spellStart"/>
      <w:r w:rsidRPr="00865A4C">
        <w:rPr>
          <w:b w:val="0"/>
          <w:bCs w:val="0"/>
          <w:sz w:val="20"/>
          <w:szCs w:val="20"/>
          <w:lang w:val="en-US"/>
        </w:rPr>
        <w:t>Glück</w:t>
      </w:r>
      <w:proofErr w:type="spellEnd"/>
      <w:r w:rsidRPr="00865A4C">
        <w:rPr>
          <w:b w:val="0"/>
          <w:bCs w:val="0"/>
          <w:sz w:val="20"/>
          <w:szCs w:val="20"/>
          <w:lang w:val="en-US"/>
        </w:rPr>
        <w:t xml:space="preserve"> </w:t>
      </w:r>
      <w:proofErr w:type="spellStart"/>
      <w:r w:rsidRPr="00865A4C">
        <w:rPr>
          <w:b w:val="0"/>
          <w:bCs w:val="0"/>
          <w:sz w:val="20"/>
          <w:szCs w:val="20"/>
          <w:lang w:val="en-US"/>
        </w:rPr>
        <w:t>als</w:t>
      </w:r>
      <w:proofErr w:type="spellEnd"/>
      <w:r w:rsidRPr="00865A4C">
        <w:rPr>
          <w:b w:val="0"/>
          <w:bCs w:val="0"/>
          <w:sz w:val="20"/>
          <w:szCs w:val="20"/>
          <w:lang w:val="en-US"/>
        </w:rPr>
        <w:t xml:space="preserve"> </w:t>
      </w:r>
      <w:proofErr w:type="spellStart"/>
      <w:r w:rsidRPr="00865A4C">
        <w:rPr>
          <w:b w:val="0"/>
          <w:bCs w:val="0"/>
          <w:sz w:val="20"/>
          <w:szCs w:val="20"/>
          <w:lang w:val="en-US"/>
        </w:rPr>
        <w:t>höchstes</w:t>
      </w:r>
      <w:proofErr w:type="spellEnd"/>
      <w:r w:rsidRPr="00865A4C">
        <w:rPr>
          <w:b w:val="0"/>
          <w:bCs w:val="0"/>
          <w:sz w:val="20"/>
          <w:szCs w:val="20"/>
          <w:lang w:val="en-US"/>
        </w:rPr>
        <w:t xml:space="preserve"> Gut in Leibniz’ </w:t>
      </w:r>
      <w:proofErr w:type="spellStart"/>
      <w:r w:rsidRPr="00865A4C">
        <w:rPr>
          <w:b w:val="0"/>
          <w:bCs w:val="0"/>
          <w:sz w:val="20"/>
          <w:szCs w:val="20"/>
          <w:lang w:val="en-US"/>
        </w:rPr>
        <w:t>Philosophie</w:t>
      </w:r>
      <w:proofErr w:type="spellEnd"/>
      <w:r w:rsidRPr="00865A4C">
        <w:rPr>
          <w:b w:val="0"/>
          <w:bCs w:val="0"/>
          <w:sz w:val="20"/>
          <w:szCs w:val="20"/>
          <w:lang w:val="en-US"/>
        </w:rPr>
        <w:t xml:space="preserve">”, in </w:t>
      </w:r>
      <w:r w:rsidRPr="00865A4C">
        <w:rPr>
          <w:b w:val="0"/>
          <w:bCs w:val="0"/>
          <w:i/>
          <w:iCs/>
          <w:sz w:val="20"/>
          <w:szCs w:val="20"/>
          <w:lang w:val="en-US"/>
        </w:rPr>
        <w:t xml:space="preserve">The Leibniz Renaissance. International Workshop, </w:t>
      </w:r>
      <w:proofErr w:type="spellStart"/>
      <w:r w:rsidRPr="00865A4C">
        <w:rPr>
          <w:b w:val="0"/>
          <w:bCs w:val="0"/>
          <w:i/>
          <w:iCs/>
          <w:sz w:val="20"/>
          <w:szCs w:val="20"/>
          <w:lang w:val="en-US"/>
        </w:rPr>
        <w:t>Firenze</w:t>
      </w:r>
      <w:proofErr w:type="spellEnd"/>
      <w:r w:rsidRPr="00865A4C">
        <w:rPr>
          <w:b w:val="0"/>
          <w:bCs w:val="0"/>
          <w:i/>
          <w:iCs/>
          <w:sz w:val="20"/>
          <w:szCs w:val="20"/>
          <w:lang w:val="en-US"/>
        </w:rPr>
        <w:t xml:space="preserve">, 2-5 </w:t>
      </w:r>
      <w:proofErr w:type="spellStart"/>
      <w:r w:rsidRPr="00865A4C">
        <w:rPr>
          <w:b w:val="0"/>
          <w:bCs w:val="0"/>
          <w:i/>
          <w:iCs/>
          <w:sz w:val="20"/>
          <w:szCs w:val="20"/>
          <w:lang w:val="en-US"/>
        </w:rPr>
        <w:t>giugno</w:t>
      </w:r>
      <w:proofErr w:type="spellEnd"/>
      <w:r w:rsidRPr="00865A4C">
        <w:rPr>
          <w:b w:val="0"/>
          <w:bCs w:val="0"/>
          <w:i/>
          <w:iCs/>
          <w:sz w:val="20"/>
          <w:szCs w:val="20"/>
          <w:lang w:val="en-US"/>
        </w:rPr>
        <w:t xml:space="preserve"> 1986</w:t>
      </w:r>
      <w:r w:rsidRPr="00865A4C">
        <w:rPr>
          <w:b w:val="0"/>
          <w:bCs w:val="0"/>
          <w:sz w:val="20"/>
          <w:szCs w:val="20"/>
          <w:lang w:val="en-US"/>
        </w:rPr>
        <w:t xml:space="preserve">, </w:t>
      </w:r>
      <w:proofErr w:type="spellStart"/>
      <w:r w:rsidRPr="00865A4C">
        <w:rPr>
          <w:b w:val="0"/>
          <w:bCs w:val="0"/>
          <w:sz w:val="20"/>
          <w:szCs w:val="20"/>
          <w:lang w:val="en-US"/>
        </w:rPr>
        <w:t>Florenz</w:t>
      </w:r>
      <w:proofErr w:type="spellEnd"/>
      <w:r w:rsidRPr="00865A4C">
        <w:rPr>
          <w:b w:val="0"/>
          <w:bCs w:val="0"/>
          <w:sz w:val="20"/>
          <w:szCs w:val="20"/>
          <w:lang w:val="en-US"/>
        </w:rPr>
        <w:t xml:space="preserve">: Leo S. </w:t>
      </w:r>
      <w:proofErr w:type="spellStart"/>
      <w:r w:rsidRPr="00865A4C">
        <w:rPr>
          <w:b w:val="0"/>
          <w:bCs w:val="0"/>
          <w:sz w:val="20"/>
          <w:szCs w:val="20"/>
          <w:lang w:val="en-US"/>
        </w:rPr>
        <w:t>Olschki</w:t>
      </w:r>
      <w:proofErr w:type="spellEnd"/>
      <w:r w:rsidRPr="00865A4C">
        <w:rPr>
          <w:b w:val="0"/>
          <w:bCs w:val="0"/>
          <w:sz w:val="20"/>
          <w:szCs w:val="20"/>
          <w:lang w:val="en-US"/>
        </w:rPr>
        <w:t xml:space="preserve">, 1989, pp. 99–125, especially pp. 101–106; Hubertus </w:t>
      </w:r>
      <w:proofErr w:type="spellStart"/>
      <w:r w:rsidRPr="00865A4C">
        <w:rPr>
          <w:b w:val="0"/>
          <w:bCs w:val="0"/>
          <w:sz w:val="20"/>
          <w:szCs w:val="20"/>
          <w:lang w:val="en-US"/>
        </w:rPr>
        <w:t>Busche</w:t>
      </w:r>
      <w:proofErr w:type="spellEnd"/>
      <w:r w:rsidRPr="00865A4C">
        <w:rPr>
          <w:b w:val="0"/>
          <w:bCs w:val="0"/>
          <w:sz w:val="20"/>
          <w:szCs w:val="20"/>
          <w:lang w:val="en-US"/>
        </w:rPr>
        <w:t xml:space="preserve">, </w:t>
      </w:r>
      <w:r w:rsidRPr="00865A4C">
        <w:rPr>
          <w:b w:val="0"/>
          <w:bCs w:val="0"/>
          <w:i/>
          <w:iCs/>
          <w:sz w:val="20"/>
          <w:szCs w:val="20"/>
          <w:lang w:val="en-US"/>
        </w:rPr>
        <w:t xml:space="preserve">Leibniz’ </w:t>
      </w:r>
      <w:proofErr w:type="spellStart"/>
      <w:r w:rsidRPr="00865A4C">
        <w:rPr>
          <w:b w:val="0"/>
          <w:bCs w:val="0"/>
          <w:i/>
          <w:iCs/>
          <w:sz w:val="20"/>
          <w:szCs w:val="20"/>
          <w:lang w:val="en-US"/>
        </w:rPr>
        <w:t>Weg</w:t>
      </w:r>
      <w:proofErr w:type="spellEnd"/>
      <w:r w:rsidRPr="00865A4C">
        <w:rPr>
          <w:b w:val="0"/>
          <w:bCs w:val="0"/>
          <w:i/>
          <w:iCs/>
          <w:sz w:val="20"/>
          <w:szCs w:val="20"/>
          <w:lang w:val="en-US"/>
        </w:rPr>
        <w:t xml:space="preserve"> ins </w:t>
      </w:r>
      <w:proofErr w:type="spellStart"/>
      <w:r w:rsidRPr="00865A4C">
        <w:rPr>
          <w:b w:val="0"/>
          <w:bCs w:val="0"/>
          <w:i/>
          <w:iCs/>
          <w:sz w:val="20"/>
          <w:szCs w:val="20"/>
          <w:lang w:val="en-US"/>
        </w:rPr>
        <w:t>perspektivische</w:t>
      </w:r>
      <w:proofErr w:type="spellEnd"/>
      <w:r w:rsidRPr="00865A4C">
        <w:rPr>
          <w:b w:val="0"/>
          <w:bCs w:val="0"/>
          <w:i/>
          <w:iCs/>
          <w:sz w:val="20"/>
          <w:szCs w:val="20"/>
          <w:lang w:val="en-US"/>
        </w:rPr>
        <w:t xml:space="preserve"> </w:t>
      </w:r>
      <w:proofErr w:type="spellStart"/>
      <w:r w:rsidRPr="00865A4C">
        <w:rPr>
          <w:b w:val="0"/>
          <w:bCs w:val="0"/>
          <w:i/>
          <w:iCs/>
          <w:sz w:val="20"/>
          <w:szCs w:val="20"/>
          <w:lang w:val="en-US"/>
        </w:rPr>
        <w:t>Universum</w:t>
      </w:r>
      <w:proofErr w:type="spellEnd"/>
      <w:r w:rsidRPr="00865A4C">
        <w:rPr>
          <w:b w:val="0"/>
          <w:bCs w:val="0"/>
          <w:i/>
          <w:iCs/>
          <w:sz w:val="20"/>
          <w:szCs w:val="20"/>
          <w:lang w:val="en-US"/>
        </w:rPr>
        <w:t xml:space="preserve">. </w:t>
      </w:r>
      <w:proofErr w:type="spellStart"/>
      <w:r w:rsidRPr="00865A4C">
        <w:rPr>
          <w:b w:val="0"/>
          <w:bCs w:val="0"/>
          <w:i/>
          <w:iCs/>
          <w:sz w:val="20"/>
          <w:szCs w:val="20"/>
          <w:lang w:val="en-US"/>
        </w:rPr>
        <w:t>Eine</w:t>
      </w:r>
      <w:proofErr w:type="spellEnd"/>
      <w:r w:rsidRPr="00865A4C">
        <w:rPr>
          <w:b w:val="0"/>
          <w:bCs w:val="0"/>
          <w:i/>
          <w:iCs/>
          <w:sz w:val="20"/>
          <w:szCs w:val="20"/>
          <w:lang w:val="en-US"/>
        </w:rPr>
        <w:t xml:space="preserve"> </w:t>
      </w:r>
      <w:proofErr w:type="spellStart"/>
      <w:r w:rsidRPr="00865A4C">
        <w:rPr>
          <w:b w:val="0"/>
          <w:bCs w:val="0"/>
          <w:i/>
          <w:iCs/>
          <w:sz w:val="20"/>
          <w:szCs w:val="20"/>
          <w:lang w:val="en-US"/>
        </w:rPr>
        <w:t>Harmonie</w:t>
      </w:r>
      <w:proofErr w:type="spellEnd"/>
      <w:r w:rsidRPr="00865A4C">
        <w:rPr>
          <w:b w:val="0"/>
          <w:bCs w:val="0"/>
          <w:i/>
          <w:iCs/>
          <w:sz w:val="20"/>
          <w:szCs w:val="20"/>
          <w:lang w:val="en-US"/>
        </w:rPr>
        <w:t xml:space="preserve"> </w:t>
      </w:r>
      <w:proofErr w:type="spellStart"/>
      <w:r w:rsidRPr="00865A4C">
        <w:rPr>
          <w:b w:val="0"/>
          <w:bCs w:val="0"/>
          <w:i/>
          <w:iCs/>
          <w:sz w:val="20"/>
          <w:szCs w:val="20"/>
          <w:lang w:val="en-US"/>
        </w:rPr>
        <w:t>im</w:t>
      </w:r>
      <w:proofErr w:type="spellEnd"/>
      <w:r w:rsidRPr="00865A4C">
        <w:rPr>
          <w:b w:val="0"/>
          <w:bCs w:val="0"/>
          <w:i/>
          <w:iCs/>
          <w:sz w:val="20"/>
          <w:szCs w:val="20"/>
          <w:lang w:val="en-US"/>
        </w:rPr>
        <w:t xml:space="preserve"> </w:t>
      </w:r>
      <w:proofErr w:type="spellStart"/>
      <w:r w:rsidRPr="00865A4C">
        <w:rPr>
          <w:b w:val="0"/>
          <w:bCs w:val="0"/>
          <w:i/>
          <w:iCs/>
          <w:sz w:val="20"/>
          <w:szCs w:val="20"/>
          <w:lang w:val="en-US"/>
        </w:rPr>
        <w:t>Zeitalter</w:t>
      </w:r>
      <w:proofErr w:type="spellEnd"/>
      <w:r w:rsidRPr="00865A4C">
        <w:rPr>
          <w:b w:val="0"/>
          <w:bCs w:val="0"/>
          <w:i/>
          <w:iCs/>
          <w:sz w:val="20"/>
          <w:szCs w:val="20"/>
          <w:lang w:val="en-US"/>
        </w:rPr>
        <w:t xml:space="preserve"> </w:t>
      </w:r>
      <w:proofErr w:type="spellStart"/>
      <w:r w:rsidRPr="00865A4C">
        <w:rPr>
          <w:b w:val="0"/>
          <w:bCs w:val="0"/>
          <w:i/>
          <w:iCs/>
          <w:sz w:val="20"/>
          <w:szCs w:val="20"/>
          <w:lang w:val="en-US"/>
        </w:rPr>
        <w:t>der</w:t>
      </w:r>
      <w:proofErr w:type="spellEnd"/>
      <w:r w:rsidRPr="00865A4C">
        <w:rPr>
          <w:b w:val="0"/>
          <w:bCs w:val="0"/>
          <w:i/>
          <w:iCs/>
          <w:sz w:val="20"/>
          <w:szCs w:val="20"/>
          <w:lang w:val="en-US"/>
        </w:rPr>
        <w:t xml:space="preserve"> </w:t>
      </w:r>
      <w:proofErr w:type="spellStart"/>
      <w:r w:rsidRPr="00865A4C">
        <w:rPr>
          <w:b w:val="0"/>
          <w:bCs w:val="0"/>
          <w:i/>
          <w:iCs/>
          <w:sz w:val="20"/>
          <w:szCs w:val="20"/>
          <w:lang w:val="en-US"/>
        </w:rPr>
        <w:t>Berechnung</w:t>
      </w:r>
      <w:proofErr w:type="spellEnd"/>
      <w:r w:rsidRPr="00865A4C">
        <w:rPr>
          <w:b w:val="0"/>
          <w:bCs w:val="0"/>
          <w:sz w:val="20"/>
          <w:szCs w:val="20"/>
          <w:lang w:val="en-US"/>
        </w:rPr>
        <w:t xml:space="preserve">, </w:t>
      </w:r>
      <w:smartTag w:uri="urn:schemas-microsoft-com:office:smarttags" w:element="place">
        <w:smartTag w:uri="urn:schemas-microsoft-com:office:smarttags" w:element="State">
          <w:r w:rsidRPr="00865A4C">
            <w:rPr>
              <w:b w:val="0"/>
              <w:bCs w:val="0"/>
              <w:sz w:val="20"/>
              <w:szCs w:val="20"/>
              <w:lang w:val="en-US"/>
            </w:rPr>
            <w:t>Hamburg</w:t>
          </w:r>
        </w:smartTag>
      </w:smartTag>
      <w:r w:rsidRPr="00865A4C">
        <w:rPr>
          <w:b w:val="0"/>
          <w:bCs w:val="0"/>
          <w:sz w:val="20"/>
          <w:szCs w:val="20"/>
          <w:lang w:val="en-US"/>
        </w:rPr>
        <w:t xml:space="preserve">: </w:t>
      </w:r>
      <w:proofErr w:type="spellStart"/>
      <w:r w:rsidRPr="00865A4C">
        <w:rPr>
          <w:b w:val="0"/>
          <w:bCs w:val="0"/>
          <w:sz w:val="20"/>
          <w:szCs w:val="20"/>
          <w:lang w:val="en-US"/>
        </w:rPr>
        <w:t>Meiner</w:t>
      </w:r>
      <w:proofErr w:type="spellEnd"/>
      <w:r w:rsidRPr="00865A4C">
        <w:rPr>
          <w:b w:val="0"/>
          <w:bCs w:val="0"/>
          <w:sz w:val="20"/>
          <w:szCs w:val="20"/>
          <w:lang w:val="en-US"/>
        </w:rPr>
        <w:t xml:space="preserve">, 1997, pp. 307-310; Ursula </w:t>
      </w:r>
      <w:proofErr w:type="spellStart"/>
      <w:r w:rsidRPr="00865A4C">
        <w:rPr>
          <w:b w:val="0"/>
          <w:bCs w:val="0"/>
          <w:sz w:val="20"/>
          <w:szCs w:val="20"/>
          <w:lang w:val="en-US"/>
        </w:rPr>
        <w:t>Goldenbaum</w:t>
      </w:r>
      <w:proofErr w:type="spellEnd"/>
      <w:r w:rsidRPr="00865A4C">
        <w:rPr>
          <w:b w:val="0"/>
          <w:bCs w:val="0"/>
          <w:sz w:val="20"/>
          <w:szCs w:val="20"/>
          <w:lang w:val="en-US"/>
        </w:rPr>
        <w:t xml:space="preserve">, “All you need is love, love … Leibniz’ </w:t>
      </w:r>
      <w:proofErr w:type="spellStart"/>
      <w:r w:rsidRPr="00865A4C">
        <w:rPr>
          <w:b w:val="0"/>
          <w:bCs w:val="0"/>
          <w:sz w:val="20"/>
          <w:szCs w:val="20"/>
          <w:lang w:val="en-US"/>
        </w:rPr>
        <w:t>Vermittlung</w:t>
      </w:r>
      <w:proofErr w:type="spellEnd"/>
      <w:r w:rsidRPr="00865A4C">
        <w:rPr>
          <w:b w:val="0"/>
          <w:bCs w:val="0"/>
          <w:sz w:val="20"/>
          <w:szCs w:val="20"/>
          <w:lang w:val="en-US"/>
        </w:rPr>
        <w:t xml:space="preserve"> von Hobbes’ </w:t>
      </w:r>
      <w:proofErr w:type="spellStart"/>
      <w:r w:rsidRPr="00865A4C">
        <w:rPr>
          <w:b w:val="0"/>
          <w:bCs w:val="0"/>
          <w:sz w:val="20"/>
          <w:szCs w:val="20"/>
          <w:lang w:val="en-US"/>
        </w:rPr>
        <w:t>Naturrecht</w:t>
      </w:r>
      <w:proofErr w:type="spellEnd"/>
      <w:r w:rsidRPr="00865A4C">
        <w:rPr>
          <w:b w:val="0"/>
          <w:bCs w:val="0"/>
          <w:sz w:val="20"/>
          <w:szCs w:val="20"/>
          <w:lang w:val="en-US"/>
        </w:rPr>
        <w:t xml:space="preserve"> und </w:t>
      </w:r>
      <w:proofErr w:type="spellStart"/>
      <w:r w:rsidRPr="00865A4C">
        <w:rPr>
          <w:b w:val="0"/>
          <w:bCs w:val="0"/>
          <w:sz w:val="20"/>
          <w:szCs w:val="20"/>
          <w:lang w:val="en-US"/>
        </w:rPr>
        <w:t>christlicher</w:t>
      </w:r>
      <w:proofErr w:type="spellEnd"/>
      <w:r w:rsidRPr="00865A4C">
        <w:rPr>
          <w:b w:val="0"/>
          <w:bCs w:val="0"/>
          <w:sz w:val="20"/>
          <w:szCs w:val="20"/>
          <w:lang w:val="en-US"/>
        </w:rPr>
        <w:t xml:space="preserve"> </w:t>
      </w:r>
      <w:proofErr w:type="spellStart"/>
      <w:r w:rsidRPr="00865A4C">
        <w:rPr>
          <w:b w:val="0"/>
          <w:bCs w:val="0"/>
          <w:sz w:val="20"/>
          <w:szCs w:val="20"/>
          <w:lang w:val="en-US"/>
        </w:rPr>
        <w:t>Nächsten</w:t>
      </w:r>
      <w:r w:rsidRPr="00865A4C">
        <w:rPr>
          <w:b w:val="0"/>
          <w:bCs w:val="0"/>
          <w:sz w:val="20"/>
          <w:szCs w:val="20"/>
          <w:lang w:val="en-US"/>
        </w:rPr>
        <w:softHyphen/>
        <w:t>liebe</w:t>
      </w:r>
      <w:proofErr w:type="spellEnd"/>
      <w:r w:rsidRPr="00865A4C">
        <w:rPr>
          <w:b w:val="0"/>
          <w:bCs w:val="0"/>
          <w:sz w:val="20"/>
          <w:szCs w:val="20"/>
          <w:lang w:val="en-US"/>
        </w:rPr>
        <w:t xml:space="preserve"> </w:t>
      </w:r>
      <w:proofErr w:type="spellStart"/>
      <w:r w:rsidRPr="00865A4C">
        <w:rPr>
          <w:b w:val="0"/>
          <w:bCs w:val="0"/>
          <w:sz w:val="20"/>
          <w:szCs w:val="20"/>
          <w:lang w:val="en-US"/>
        </w:rPr>
        <w:t>als</w:t>
      </w:r>
      <w:proofErr w:type="spellEnd"/>
      <w:r w:rsidRPr="00865A4C">
        <w:rPr>
          <w:b w:val="0"/>
          <w:bCs w:val="0"/>
          <w:sz w:val="20"/>
          <w:szCs w:val="20"/>
          <w:lang w:val="en-US"/>
        </w:rPr>
        <w:t xml:space="preserve"> </w:t>
      </w:r>
      <w:proofErr w:type="spellStart"/>
      <w:r w:rsidRPr="00865A4C">
        <w:rPr>
          <w:b w:val="0"/>
          <w:bCs w:val="0"/>
          <w:sz w:val="20"/>
          <w:szCs w:val="20"/>
          <w:lang w:val="en-US"/>
        </w:rPr>
        <w:t>Grundlage</w:t>
      </w:r>
      <w:proofErr w:type="spellEnd"/>
      <w:r w:rsidRPr="00865A4C">
        <w:rPr>
          <w:b w:val="0"/>
          <w:bCs w:val="0"/>
          <w:sz w:val="20"/>
          <w:szCs w:val="20"/>
          <w:lang w:val="en-US"/>
        </w:rPr>
        <w:t xml:space="preserve"> </w:t>
      </w:r>
      <w:proofErr w:type="spellStart"/>
      <w:r w:rsidRPr="00865A4C">
        <w:rPr>
          <w:b w:val="0"/>
          <w:bCs w:val="0"/>
          <w:sz w:val="20"/>
          <w:szCs w:val="20"/>
          <w:lang w:val="en-US"/>
        </w:rPr>
        <w:t>seiner</w:t>
      </w:r>
      <w:proofErr w:type="spellEnd"/>
      <w:r w:rsidRPr="00865A4C">
        <w:rPr>
          <w:b w:val="0"/>
          <w:bCs w:val="0"/>
          <w:sz w:val="20"/>
          <w:szCs w:val="20"/>
          <w:lang w:val="en-US"/>
        </w:rPr>
        <w:t xml:space="preserve"> Definition </w:t>
      </w:r>
      <w:proofErr w:type="spellStart"/>
      <w:r w:rsidRPr="00865A4C">
        <w:rPr>
          <w:b w:val="0"/>
          <w:bCs w:val="0"/>
          <w:sz w:val="20"/>
          <w:szCs w:val="20"/>
          <w:lang w:val="en-US"/>
        </w:rPr>
        <w:t>der</w:t>
      </w:r>
      <w:proofErr w:type="spellEnd"/>
      <w:r w:rsidRPr="00865A4C">
        <w:rPr>
          <w:b w:val="0"/>
          <w:bCs w:val="0"/>
          <w:sz w:val="20"/>
          <w:szCs w:val="20"/>
          <w:lang w:val="en-US"/>
        </w:rPr>
        <w:t xml:space="preserve"> </w:t>
      </w:r>
      <w:proofErr w:type="spellStart"/>
      <w:r w:rsidRPr="00865A4C">
        <w:rPr>
          <w:b w:val="0"/>
          <w:bCs w:val="0"/>
          <w:sz w:val="20"/>
          <w:szCs w:val="20"/>
          <w:lang w:val="en-US"/>
        </w:rPr>
        <w:t>Gerechtigkeit</w:t>
      </w:r>
      <w:proofErr w:type="spellEnd"/>
      <w:r w:rsidRPr="00865A4C">
        <w:rPr>
          <w:b w:val="0"/>
          <w:bCs w:val="0"/>
          <w:sz w:val="20"/>
          <w:szCs w:val="20"/>
          <w:lang w:val="en-US"/>
        </w:rPr>
        <w:t xml:space="preserve">”, in G. Abel, H.-J. </w:t>
      </w:r>
      <w:proofErr w:type="spellStart"/>
      <w:r w:rsidRPr="00865A4C">
        <w:rPr>
          <w:b w:val="0"/>
          <w:bCs w:val="0"/>
          <w:sz w:val="20"/>
          <w:szCs w:val="20"/>
          <w:lang w:val="en-US"/>
        </w:rPr>
        <w:t>Engfer</w:t>
      </w:r>
      <w:proofErr w:type="spellEnd"/>
      <w:r w:rsidRPr="00865A4C">
        <w:rPr>
          <w:b w:val="0"/>
          <w:bCs w:val="0"/>
          <w:sz w:val="20"/>
          <w:szCs w:val="20"/>
          <w:lang w:val="en-US"/>
        </w:rPr>
        <w:t xml:space="preserve">, and C. </w:t>
      </w:r>
      <w:proofErr w:type="spellStart"/>
      <w:r w:rsidRPr="00865A4C">
        <w:rPr>
          <w:b w:val="0"/>
          <w:bCs w:val="0"/>
          <w:sz w:val="20"/>
          <w:szCs w:val="20"/>
          <w:lang w:val="en-US"/>
        </w:rPr>
        <w:t>Hubig</w:t>
      </w:r>
      <w:proofErr w:type="spellEnd"/>
      <w:r w:rsidRPr="00865A4C">
        <w:rPr>
          <w:b w:val="0"/>
          <w:bCs w:val="0"/>
          <w:sz w:val="20"/>
          <w:szCs w:val="20"/>
          <w:lang w:val="en-US"/>
        </w:rPr>
        <w:t xml:space="preserve"> (eds.), </w:t>
      </w:r>
      <w:proofErr w:type="spellStart"/>
      <w:r w:rsidRPr="00865A4C">
        <w:rPr>
          <w:b w:val="0"/>
          <w:bCs w:val="0"/>
          <w:i/>
          <w:iCs/>
          <w:sz w:val="20"/>
          <w:szCs w:val="20"/>
          <w:lang w:val="en-US"/>
        </w:rPr>
        <w:t>Neuzeitliches</w:t>
      </w:r>
      <w:proofErr w:type="spellEnd"/>
      <w:r w:rsidRPr="00865A4C">
        <w:rPr>
          <w:b w:val="0"/>
          <w:bCs w:val="0"/>
          <w:i/>
          <w:iCs/>
          <w:sz w:val="20"/>
          <w:szCs w:val="20"/>
          <w:lang w:val="en-US"/>
        </w:rPr>
        <w:t xml:space="preserve"> </w:t>
      </w:r>
      <w:proofErr w:type="spellStart"/>
      <w:r w:rsidRPr="00865A4C">
        <w:rPr>
          <w:b w:val="0"/>
          <w:bCs w:val="0"/>
          <w:i/>
          <w:iCs/>
          <w:sz w:val="20"/>
          <w:szCs w:val="20"/>
          <w:lang w:val="en-US"/>
        </w:rPr>
        <w:t>Denken</w:t>
      </w:r>
      <w:proofErr w:type="spellEnd"/>
      <w:r w:rsidRPr="00865A4C">
        <w:rPr>
          <w:b w:val="0"/>
          <w:bCs w:val="0"/>
          <w:i/>
          <w:iCs/>
          <w:sz w:val="20"/>
          <w:szCs w:val="20"/>
          <w:lang w:val="en-US"/>
        </w:rPr>
        <w:t xml:space="preserve">. Festschrift </w:t>
      </w:r>
      <w:proofErr w:type="spellStart"/>
      <w:r w:rsidRPr="00865A4C">
        <w:rPr>
          <w:b w:val="0"/>
          <w:bCs w:val="0"/>
          <w:i/>
          <w:iCs/>
          <w:sz w:val="20"/>
          <w:szCs w:val="20"/>
          <w:lang w:val="en-US"/>
        </w:rPr>
        <w:t>für</w:t>
      </w:r>
      <w:proofErr w:type="spellEnd"/>
      <w:r w:rsidRPr="00865A4C">
        <w:rPr>
          <w:b w:val="0"/>
          <w:bCs w:val="0"/>
          <w:i/>
          <w:iCs/>
          <w:sz w:val="20"/>
          <w:szCs w:val="20"/>
          <w:lang w:val="en-US"/>
        </w:rPr>
        <w:t xml:space="preserve"> Hans Poser </w:t>
      </w:r>
      <w:proofErr w:type="spellStart"/>
      <w:r w:rsidRPr="00865A4C">
        <w:rPr>
          <w:b w:val="0"/>
          <w:bCs w:val="0"/>
          <w:i/>
          <w:iCs/>
          <w:sz w:val="20"/>
          <w:szCs w:val="20"/>
          <w:lang w:val="en-US"/>
        </w:rPr>
        <w:t>zum</w:t>
      </w:r>
      <w:proofErr w:type="spellEnd"/>
      <w:r w:rsidRPr="00865A4C">
        <w:rPr>
          <w:b w:val="0"/>
          <w:bCs w:val="0"/>
          <w:i/>
          <w:iCs/>
          <w:sz w:val="20"/>
          <w:szCs w:val="20"/>
          <w:lang w:val="en-US"/>
        </w:rPr>
        <w:t xml:space="preserve"> 65. </w:t>
      </w:r>
      <w:proofErr w:type="spellStart"/>
      <w:r w:rsidRPr="00865A4C">
        <w:rPr>
          <w:b w:val="0"/>
          <w:bCs w:val="0"/>
          <w:i/>
          <w:iCs/>
          <w:sz w:val="20"/>
          <w:szCs w:val="20"/>
          <w:lang w:val="en-US"/>
        </w:rPr>
        <w:t>Geburtstag</w:t>
      </w:r>
      <w:proofErr w:type="spellEnd"/>
      <w:r w:rsidRPr="00865A4C">
        <w:rPr>
          <w:b w:val="0"/>
          <w:bCs w:val="0"/>
          <w:sz w:val="20"/>
          <w:szCs w:val="20"/>
          <w:lang w:val="en-US"/>
        </w:rPr>
        <w:t xml:space="preserve">. </w:t>
      </w:r>
      <w:smartTag w:uri="urn:schemas-microsoft-com:office:smarttags" w:element="place">
        <w:smartTag w:uri="urn:schemas-microsoft-com:office:smarttags" w:element="State">
          <w:r w:rsidRPr="00865A4C">
            <w:rPr>
              <w:b w:val="0"/>
              <w:bCs w:val="0"/>
              <w:sz w:val="20"/>
              <w:szCs w:val="20"/>
              <w:lang w:val="en-US"/>
            </w:rPr>
            <w:t>Berlin</w:t>
          </w:r>
        </w:smartTag>
      </w:smartTag>
      <w:r w:rsidRPr="00865A4C">
        <w:rPr>
          <w:b w:val="0"/>
          <w:bCs w:val="0"/>
          <w:sz w:val="20"/>
          <w:szCs w:val="20"/>
          <w:lang w:val="en-US"/>
        </w:rPr>
        <w:t>—</w:t>
      </w:r>
      <w:smartTag w:uri="urn:schemas-microsoft-com:office:smarttags" w:element="place">
        <w:smartTag w:uri="urn:schemas-microsoft-com:office:smarttags" w:element="State">
          <w:r w:rsidRPr="00865A4C">
            <w:rPr>
              <w:b w:val="0"/>
              <w:bCs w:val="0"/>
              <w:sz w:val="20"/>
              <w:szCs w:val="20"/>
              <w:lang w:val="en-US"/>
            </w:rPr>
            <w:t>New York</w:t>
          </w:r>
        </w:smartTag>
      </w:smartTag>
      <w:r w:rsidRPr="00865A4C">
        <w:rPr>
          <w:b w:val="0"/>
          <w:bCs w:val="0"/>
          <w:sz w:val="20"/>
          <w:szCs w:val="20"/>
          <w:lang w:val="en-US"/>
        </w:rPr>
        <w:t xml:space="preserve">: De </w:t>
      </w:r>
      <w:proofErr w:type="spellStart"/>
      <w:r w:rsidRPr="00865A4C">
        <w:rPr>
          <w:b w:val="0"/>
          <w:bCs w:val="0"/>
          <w:sz w:val="20"/>
          <w:szCs w:val="20"/>
          <w:lang w:val="en-US"/>
        </w:rPr>
        <w:t>Gruyter</w:t>
      </w:r>
      <w:proofErr w:type="spellEnd"/>
      <w:r w:rsidRPr="00865A4C">
        <w:rPr>
          <w:b w:val="0"/>
          <w:bCs w:val="0"/>
          <w:sz w:val="20"/>
          <w:szCs w:val="20"/>
          <w:lang w:val="en-US"/>
        </w:rPr>
        <w:t xml:space="preserve">, 2002, pp. 209–231. On Leibniz’s attitude towards Aristotelian ethics, see Francesco </w:t>
      </w:r>
      <w:proofErr w:type="spellStart"/>
      <w:r w:rsidRPr="00865A4C">
        <w:rPr>
          <w:b w:val="0"/>
          <w:bCs w:val="0"/>
          <w:sz w:val="20"/>
          <w:szCs w:val="20"/>
          <w:lang w:val="en-US"/>
        </w:rPr>
        <w:t>Piro</w:t>
      </w:r>
      <w:proofErr w:type="spellEnd"/>
      <w:r w:rsidRPr="00865A4C">
        <w:rPr>
          <w:b w:val="0"/>
          <w:bCs w:val="0"/>
          <w:sz w:val="20"/>
          <w:szCs w:val="20"/>
          <w:lang w:val="en-US"/>
        </w:rPr>
        <w:t xml:space="preserve">, “Leibniz et </w:t>
      </w:r>
      <w:proofErr w:type="spellStart"/>
      <w:r w:rsidRPr="00865A4C">
        <w:rPr>
          <w:b w:val="0"/>
          <w:bCs w:val="0"/>
          <w:sz w:val="20"/>
          <w:szCs w:val="20"/>
          <w:lang w:val="en-US"/>
        </w:rPr>
        <w:t>l’Et</w:t>
      </w:r>
      <w:r>
        <w:rPr>
          <w:b w:val="0"/>
          <w:bCs w:val="0"/>
          <w:sz w:val="20"/>
          <w:szCs w:val="20"/>
          <w:lang w:val="en-US"/>
        </w:rPr>
        <w:t>h</w:t>
      </w:r>
      <w:r w:rsidRPr="00865A4C">
        <w:rPr>
          <w:b w:val="0"/>
          <w:bCs w:val="0"/>
          <w:sz w:val="20"/>
          <w:szCs w:val="20"/>
          <w:lang w:val="en-US"/>
        </w:rPr>
        <w:t>ique</w:t>
      </w:r>
      <w:proofErr w:type="spellEnd"/>
      <w:r w:rsidRPr="00865A4C">
        <w:rPr>
          <w:b w:val="0"/>
          <w:bCs w:val="0"/>
          <w:sz w:val="20"/>
          <w:szCs w:val="20"/>
          <w:lang w:val="en-US"/>
        </w:rPr>
        <w:t xml:space="preserve"> a </w:t>
      </w:r>
      <w:proofErr w:type="spellStart"/>
      <w:r w:rsidRPr="00865A4C">
        <w:rPr>
          <w:b w:val="0"/>
          <w:bCs w:val="0"/>
          <w:sz w:val="20"/>
          <w:szCs w:val="20"/>
          <w:lang w:val="en-US"/>
        </w:rPr>
        <w:t>Nicomaque</w:t>
      </w:r>
      <w:proofErr w:type="spellEnd"/>
      <w:r w:rsidRPr="00865A4C">
        <w:rPr>
          <w:b w:val="0"/>
          <w:bCs w:val="0"/>
          <w:sz w:val="20"/>
          <w:szCs w:val="20"/>
          <w:lang w:val="en-US"/>
        </w:rPr>
        <w:t xml:space="preserve">”, in </w:t>
      </w:r>
      <w:proofErr w:type="spellStart"/>
      <w:r w:rsidRPr="00865A4C">
        <w:rPr>
          <w:b w:val="0"/>
          <w:bCs w:val="0"/>
          <w:sz w:val="20"/>
          <w:szCs w:val="20"/>
          <w:lang w:val="en-US"/>
        </w:rPr>
        <w:t>Renato</w:t>
      </w:r>
      <w:proofErr w:type="spellEnd"/>
      <w:r w:rsidRPr="00865A4C">
        <w:rPr>
          <w:b w:val="0"/>
          <w:bCs w:val="0"/>
          <w:sz w:val="20"/>
          <w:szCs w:val="20"/>
          <w:lang w:val="en-US"/>
        </w:rPr>
        <w:t xml:space="preserve"> </w:t>
      </w:r>
      <w:proofErr w:type="spellStart"/>
      <w:r w:rsidRPr="00865A4C">
        <w:rPr>
          <w:b w:val="0"/>
          <w:bCs w:val="0"/>
          <w:sz w:val="20"/>
          <w:szCs w:val="20"/>
          <w:lang w:val="en-US"/>
        </w:rPr>
        <w:t>Cristin</w:t>
      </w:r>
      <w:proofErr w:type="spellEnd"/>
      <w:r w:rsidRPr="00865A4C">
        <w:rPr>
          <w:b w:val="0"/>
          <w:bCs w:val="0"/>
          <w:sz w:val="20"/>
          <w:szCs w:val="20"/>
          <w:lang w:val="en-US"/>
        </w:rPr>
        <w:t xml:space="preserve"> (</w:t>
      </w:r>
      <w:proofErr w:type="spellStart"/>
      <w:r w:rsidRPr="00865A4C">
        <w:rPr>
          <w:b w:val="0"/>
          <w:bCs w:val="0"/>
          <w:sz w:val="20"/>
          <w:szCs w:val="20"/>
          <w:lang w:val="en-US"/>
        </w:rPr>
        <w:t>Hrsg</w:t>
      </w:r>
      <w:proofErr w:type="spellEnd"/>
      <w:r w:rsidRPr="00865A4C">
        <w:rPr>
          <w:b w:val="0"/>
          <w:bCs w:val="0"/>
          <w:sz w:val="20"/>
          <w:szCs w:val="20"/>
          <w:lang w:val="en-US"/>
        </w:rPr>
        <w:t xml:space="preserve">.), </w:t>
      </w:r>
      <w:r w:rsidRPr="00865A4C">
        <w:rPr>
          <w:b w:val="0"/>
          <w:bCs w:val="0"/>
          <w:i/>
          <w:iCs/>
          <w:sz w:val="20"/>
          <w:szCs w:val="20"/>
          <w:lang w:val="en-US"/>
        </w:rPr>
        <w:t xml:space="preserve">Leibniz und die </w:t>
      </w:r>
      <w:proofErr w:type="spellStart"/>
      <w:r w:rsidRPr="00865A4C">
        <w:rPr>
          <w:b w:val="0"/>
          <w:bCs w:val="0"/>
          <w:i/>
          <w:iCs/>
          <w:sz w:val="20"/>
          <w:szCs w:val="20"/>
          <w:lang w:val="en-US"/>
        </w:rPr>
        <w:t>Frage</w:t>
      </w:r>
      <w:proofErr w:type="spellEnd"/>
      <w:r w:rsidRPr="00865A4C">
        <w:rPr>
          <w:b w:val="0"/>
          <w:bCs w:val="0"/>
          <w:i/>
          <w:iCs/>
          <w:sz w:val="20"/>
          <w:szCs w:val="20"/>
          <w:lang w:val="en-US"/>
        </w:rPr>
        <w:t xml:space="preserve"> </w:t>
      </w:r>
      <w:proofErr w:type="spellStart"/>
      <w:r w:rsidRPr="001D4623">
        <w:rPr>
          <w:b w:val="0"/>
          <w:bCs w:val="0"/>
          <w:i/>
          <w:iCs/>
          <w:sz w:val="20"/>
          <w:szCs w:val="20"/>
          <w:lang w:val="en-US"/>
        </w:rPr>
        <w:t>nach</w:t>
      </w:r>
      <w:proofErr w:type="spellEnd"/>
      <w:r w:rsidRPr="001D4623">
        <w:rPr>
          <w:b w:val="0"/>
          <w:bCs w:val="0"/>
          <w:i/>
          <w:iCs/>
          <w:sz w:val="20"/>
          <w:szCs w:val="20"/>
          <w:lang w:val="en-US"/>
        </w:rPr>
        <w:t xml:space="preserve"> </w:t>
      </w:r>
      <w:proofErr w:type="spellStart"/>
      <w:r w:rsidRPr="001D4623">
        <w:rPr>
          <w:b w:val="0"/>
          <w:bCs w:val="0"/>
          <w:i/>
          <w:iCs/>
          <w:sz w:val="20"/>
          <w:szCs w:val="20"/>
          <w:lang w:val="en-US"/>
        </w:rPr>
        <w:t>der</w:t>
      </w:r>
      <w:proofErr w:type="spellEnd"/>
      <w:r w:rsidRPr="001D4623">
        <w:rPr>
          <w:b w:val="0"/>
          <w:bCs w:val="0"/>
          <w:i/>
          <w:iCs/>
          <w:sz w:val="20"/>
          <w:szCs w:val="20"/>
          <w:lang w:val="en-US"/>
        </w:rPr>
        <w:t xml:space="preserve"> </w:t>
      </w:r>
      <w:proofErr w:type="spellStart"/>
      <w:r w:rsidRPr="001D4623">
        <w:rPr>
          <w:b w:val="0"/>
          <w:bCs w:val="0"/>
          <w:i/>
          <w:iCs/>
          <w:sz w:val="20"/>
          <w:szCs w:val="20"/>
          <w:lang w:val="en-US"/>
        </w:rPr>
        <w:t>Subjektivit</w:t>
      </w:r>
      <w:r w:rsidRPr="001D4623">
        <w:rPr>
          <w:b w:val="0"/>
          <w:bCs w:val="0"/>
          <w:i/>
          <w:iCs/>
          <w:sz w:val="20"/>
          <w:szCs w:val="20"/>
        </w:rPr>
        <w:t>ä</w:t>
      </w:r>
      <w:proofErr w:type="spellEnd"/>
      <w:r w:rsidRPr="001D4623">
        <w:rPr>
          <w:b w:val="0"/>
          <w:bCs w:val="0"/>
          <w:i/>
          <w:iCs/>
          <w:sz w:val="20"/>
          <w:szCs w:val="20"/>
          <w:lang w:val="en-US"/>
        </w:rPr>
        <w:t>t</w:t>
      </w:r>
      <w:r w:rsidRPr="00865A4C">
        <w:rPr>
          <w:b w:val="0"/>
          <w:bCs w:val="0"/>
          <w:sz w:val="20"/>
          <w:szCs w:val="20"/>
          <w:lang w:val="en-US"/>
        </w:rPr>
        <w:t>, Stuttgart 1994, pp. 179-196.</w:t>
      </w:r>
    </w:p>
  </w:endnote>
  <w:endnote w:id="35">
    <w:p w14:paraId="0DF1C4A9"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 xml:space="preserve">See A VI, 2, 565 (variants to A VI, 1, 465). For a different attempt to include prudence into the definition of justice, see </w:t>
      </w:r>
      <w:proofErr w:type="spellStart"/>
      <w:r>
        <w:rPr>
          <w:b w:val="0"/>
          <w:bCs w:val="0"/>
          <w:sz w:val="20"/>
          <w:szCs w:val="20"/>
          <w:lang w:val="en-US"/>
        </w:rPr>
        <w:t>Elementa</w:t>
      </w:r>
      <w:proofErr w:type="spellEnd"/>
      <w:r>
        <w:rPr>
          <w:b w:val="0"/>
          <w:bCs w:val="0"/>
          <w:sz w:val="20"/>
          <w:szCs w:val="20"/>
          <w:lang w:val="en-US"/>
        </w:rPr>
        <w:t xml:space="preserve"> </w:t>
      </w:r>
      <w:proofErr w:type="spellStart"/>
      <w:r>
        <w:rPr>
          <w:b w:val="0"/>
          <w:bCs w:val="0"/>
          <w:sz w:val="20"/>
          <w:szCs w:val="20"/>
          <w:lang w:val="en-US"/>
        </w:rPr>
        <w:t>juris</w:t>
      </w:r>
      <w:proofErr w:type="spellEnd"/>
      <w:r>
        <w:rPr>
          <w:b w:val="0"/>
          <w:bCs w:val="0"/>
          <w:sz w:val="20"/>
          <w:szCs w:val="20"/>
          <w:lang w:val="en-US"/>
        </w:rPr>
        <w:t xml:space="preserve"> </w:t>
      </w:r>
      <w:proofErr w:type="spellStart"/>
      <w:r>
        <w:rPr>
          <w:b w:val="0"/>
          <w:bCs w:val="0"/>
          <w:sz w:val="20"/>
          <w:szCs w:val="20"/>
          <w:lang w:val="en-US"/>
        </w:rPr>
        <w:t>naturalis</w:t>
      </w:r>
      <w:proofErr w:type="spellEnd"/>
      <w:r>
        <w:rPr>
          <w:b w:val="0"/>
          <w:bCs w:val="0"/>
          <w:sz w:val="20"/>
          <w:szCs w:val="20"/>
          <w:lang w:val="en-US"/>
        </w:rPr>
        <w:t>, Second MS, A VI, 1, 459.</w:t>
      </w:r>
    </w:p>
  </w:endnote>
  <w:endnote w:id="36">
    <w:p w14:paraId="0F1236E7"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sidRPr="004B58EF">
        <w:rPr>
          <w:b w:val="0"/>
          <w:bCs w:val="0"/>
          <w:sz w:val="20"/>
          <w:szCs w:val="20"/>
          <w:lang w:val="en-US"/>
        </w:rPr>
        <w:t>Elementa</w:t>
      </w:r>
      <w:proofErr w:type="spellEnd"/>
      <w:r w:rsidRPr="004B58EF">
        <w:rPr>
          <w:b w:val="0"/>
          <w:bCs w:val="0"/>
          <w:sz w:val="20"/>
          <w:szCs w:val="20"/>
          <w:lang w:val="en-US"/>
        </w:rPr>
        <w:t xml:space="preserve"> </w:t>
      </w:r>
      <w:proofErr w:type="spellStart"/>
      <w:r w:rsidRPr="004B58EF">
        <w:rPr>
          <w:b w:val="0"/>
          <w:bCs w:val="0"/>
          <w:sz w:val="20"/>
          <w:szCs w:val="20"/>
          <w:lang w:val="en-US"/>
        </w:rPr>
        <w:t>juris</w:t>
      </w:r>
      <w:proofErr w:type="spellEnd"/>
      <w:r w:rsidRPr="004B58EF">
        <w:rPr>
          <w:b w:val="0"/>
          <w:bCs w:val="0"/>
          <w:sz w:val="20"/>
          <w:szCs w:val="20"/>
          <w:lang w:val="en-US"/>
        </w:rPr>
        <w:t xml:space="preserve"> </w:t>
      </w:r>
      <w:proofErr w:type="spellStart"/>
      <w:r w:rsidRPr="004B58EF">
        <w:rPr>
          <w:b w:val="0"/>
          <w:bCs w:val="0"/>
          <w:sz w:val="20"/>
          <w:szCs w:val="20"/>
          <w:lang w:val="en-US"/>
        </w:rPr>
        <w:t>naturalis</w:t>
      </w:r>
      <w:proofErr w:type="spellEnd"/>
      <w:r>
        <w:rPr>
          <w:b w:val="0"/>
          <w:bCs w:val="0"/>
          <w:sz w:val="20"/>
          <w:szCs w:val="20"/>
          <w:lang w:val="en-US"/>
        </w:rPr>
        <w:t>, Fifth MS; A VI, 1, 470.</w:t>
      </w:r>
    </w:p>
  </w:endnote>
  <w:endnote w:id="37">
    <w:p w14:paraId="48D0F58A"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A VI, 2, 567.</w:t>
      </w:r>
    </w:p>
  </w:endnote>
  <w:endnote w:id="38">
    <w:p w14:paraId="13687CC3" w14:textId="77777777" w:rsidR="008E6AD0" w:rsidRPr="00B15078" w:rsidRDefault="008E6AD0" w:rsidP="003B1C55">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Ibid.</w:t>
      </w:r>
    </w:p>
  </w:endnote>
  <w:endnote w:id="39">
    <w:p w14:paraId="2A86FF36" w14:textId="77777777" w:rsidR="008E6AD0" w:rsidRPr="00B15078" w:rsidRDefault="008E6AD0" w:rsidP="00EA3BC1">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proofErr w:type="spellStart"/>
      <w:r>
        <w:rPr>
          <w:b w:val="0"/>
          <w:bCs w:val="0"/>
          <w:sz w:val="20"/>
          <w:szCs w:val="20"/>
          <w:lang w:val="en-US"/>
        </w:rPr>
        <w:t>Elementa</w:t>
      </w:r>
      <w:proofErr w:type="spellEnd"/>
      <w:r>
        <w:rPr>
          <w:b w:val="0"/>
          <w:bCs w:val="0"/>
          <w:sz w:val="20"/>
          <w:szCs w:val="20"/>
          <w:lang w:val="en-US"/>
        </w:rPr>
        <w:t xml:space="preserve"> </w:t>
      </w:r>
      <w:proofErr w:type="spellStart"/>
      <w:r>
        <w:rPr>
          <w:b w:val="0"/>
          <w:bCs w:val="0"/>
          <w:sz w:val="20"/>
          <w:szCs w:val="20"/>
          <w:lang w:val="en-US"/>
        </w:rPr>
        <w:t>juris</w:t>
      </w:r>
      <w:proofErr w:type="spellEnd"/>
      <w:r>
        <w:rPr>
          <w:b w:val="0"/>
          <w:bCs w:val="0"/>
          <w:sz w:val="20"/>
          <w:szCs w:val="20"/>
          <w:lang w:val="en-US"/>
        </w:rPr>
        <w:t xml:space="preserve"> </w:t>
      </w:r>
      <w:proofErr w:type="spellStart"/>
      <w:r>
        <w:rPr>
          <w:b w:val="0"/>
          <w:bCs w:val="0"/>
          <w:sz w:val="20"/>
          <w:szCs w:val="20"/>
          <w:lang w:val="en-US"/>
        </w:rPr>
        <w:t>naturalis</w:t>
      </w:r>
      <w:proofErr w:type="spellEnd"/>
      <w:r>
        <w:rPr>
          <w:b w:val="0"/>
          <w:bCs w:val="0"/>
          <w:sz w:val="20"/>
          <w:szCs w:val="20"/>
          <w:lang w:val="en-US"/>
        </w:rPr>
        <w:t>, Fifth MS; A VI, 1, 472.</w:t>
      </w:r>
    </w:p>
  </w:endnote>
  <w:endnote w:id="40">
    <w:p w14:paraId="17F98134" w14:textId="77777777" w:rsidR="008E6AD0" w:rsidRPr="00B15078" w:rsidRDefault="008E6AD0" w:rsidP="001D4623">
      <w:pPr>
        <w:pStyle w:val="Titel"/>
        <w:spacing w:line="480" w:lineRule="auto"/>
        <w:jc w:val="both"/>
        <w:rPr>
          <w:b w:val="0"/>
          <w:bCs w:val="0"/>
          <w:i/>
          <w:iCs/>
          <w:sz w:val="20"/>
          <w:szCs w:val="20"/>
          <w:lang w:val="en-US"/>
        </w:rPr>
      </w:pPr>
      <w:r w:rsidRPr="00B15078">
        <w:rPr>
          <w:rStyle w:val="Endnotenzeichen"/>
          <w:b w:val="0"/>
          <w:bCs w:val="0"/>
          <w:sz w:val="20"/>
          <w:szCs w:val="20"/>
          <w:lang w:val="en-US"/>
        </w:rPr>
        <w:endnoteRef/>
      </w:r>
      <w:r w:rsidRPr="00B15078">
        <w:rPr>
          <w:b w:val="0"/>
          <w:bCs w:val="0"/>
          <w:sz w:val="20"/>
          <w:szCs w:val="20"/>
          <w:lang w:val="en-US"/>
        </w:rPr>
        <w:t xml:space="preserve"> </w:t>
      </w:r>
      <w:r>
        <w:rPr>
          <w:b w:val="0"/>
          <w:bCs w:val="0"/>
          <w:sz w:val="20"/>
          <w:szCs w:val="20"/>
          <w:lang w:val="en-US"/>
        </w:rPr>
        <w:t xml:space="preserve">For a recent discussion of possibility as conceivability, see Stephen </w:t>
      </w:r>
      <w:proofErr w:type="spellStart"/>
      <w:r>
        <w:rPr>
          <w:b w:val="0"/>
          <w:bCs w:val="0"/>
          <w:sz w:val="20"/>
          <w:szCs w:val="20"/>
          <w:lang w:val="en-US"/>
        </w:rPr>
        <w:t>Yablo</w:t>
      </w:r>
      <w:proofErr w:type="spellEnd"/>
      <w:r>
        <w:rPr>
          <w:b w:val="0"/>
          <w:bCs w:val="0"/>
          <w:sz w:val="20"/>
          <w:szCs w:val="20"/>
          <w:lang w:val="en-US"/>
        </w:rPr>
        <w:t xml:space="preserve">, “Is conceivability a guide to possibility?” </w:t>
      </w:r>
      <w:r>
        <w:rPr>
          <w:b w:val="0"/>
          <w:bCs w:val="0"/>
          <w:i/>
          <w:iCs/>
          <w:sz w:val="20"/>
          <w:szCs w:val="20"/>
          <w:lang w:val="en-US"/>
        </w:rPr>
        <w:t xml:space="preserve">Philosophy and Phenomenological Research </w:t>
      </w:r>
      <w:r>
        <w:rPr>
          <w:b w:val="0"/>
          <w:bCs w:val="0"/>
          <w:sz w:val="20"/>
          <w:szCs w:val="20"/>
          <w:lang w:val="en-US"/>
        </w:rPr>
        <w:t xml:space="preserve">53 (1993), pp. 1-42; for an alternative approach to virtue ethics, see Nomi </w:t>
      </w:r>
      <w:proofErr w:type="spellStart"/>
      <w:r>
        <w:rPr>
          <w:b w:val="0"/>
          <w:bCs w:val="0"/>
          <w:sz w:val="20"/>
          <w:szCs w:val="20"/>
          <w:lang w:val="en-US"/>
        </w:rPr>
        <w:t>Arpaly</w:t>
      </w:r>
      <w:proofErr w:type="spellEnd"/>
      <w:r>
        <w:rPr>
          <w:b w:val="0"/>
          <w:bCs w:val="0"/>
          <w:sz w:val="20"/>
          <w:szCs w:val="20"/>
          <w:lang w:val="en-US"/>
        </w:rPr>
        <w:t xml:space="preserve">, </w:t>
      </w:r>
      <w:r>
        <w:rPr>
          <w:b w:val="0"/>
          <w:bCs w:val="0"/>
          <w:i/>
          <w:iCs/>
          <w:sz w:val="20"/>
          <w:szCs w:val="20"/>
          <w:lang w:val="en-US"/>
        </w:rPr>
        <w:t>Unprincipled Virtue: An Inquiry into Moral Agency</w:t>
      </w:r>
      <w:r>
        <w:rPr>
          <w:b w:val="0"/>
          <w:bCs w:val="0"/>
          <w:sz w:val="20"/>
          <w:szCs w:val="20"/>
          <w:lang w:val="en-US"/>
        </w:rPr>
        <w:t>, Oxford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Times New (W1)">
    <w:altName w:val="Ebrima"/>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F296" w14:textId="77777777" w:rsidR="008E6AD0" w:rsidRDefault="008E6AD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33</w:t>
    </w:r>
    <w:r>
      <w:rPr>
        <w:rStyle w:val="Seitenzahl"/>
      </w:rPr>
      <w:fldChar w:fldCharType="end"/>
    </w:r>
  </w:p>
  <w:p w14:paraId="1D3B4620" w14:textId="77777777" w:rsidR="008E6AD0" w:rsidRDefault="008E6A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433D" w14:textId="77777777" w:rsidR="008E6AD0" w:rsidRDefault="008E6AD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76B6B">
      <w:rPr>
        <w:rStyle w:val="Seitenzahl"/>
        <w:noProof/>
      </w:rPr>
      <w:t>1</w:t>
    </w:r>
    <w:r>
      <w:rPr>
        <w:rStyle w:val="Seitenzahl"/>
      </w:rPr>
      <w:fldChar w:fldCharType="end"/>
    </w:r>
  </w:p>
  <w:p w14:paraId="64177059" w14:textId="77777777" w:rsidR="008E6AD0" w:rsidRDefault="008E6A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6228" w14:textId="77777777" w:rsidR="00612417" w:rsidRDefault="00612417">
      <w:r>
        <w:separator/>
      </w:r>
    </w:p>
  </w:footnote>
  <w:footnote w:type="continuationSeparator" w:id="0">
    <w:p w14:paraId="55EAB44E" w14:textId="77777777" w:rsidR="00612417" w:rsidRDefault="0061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6DAA"/>
    <w:multiLevelType w:val="hybridMultilevel"/>
    <w:tmpl w:val="40AC6580"/>
    <w:lvl w:ilvl="0" w:tplc="0262A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D6384"/>
    <w:multiLevelType w:val="hybridMultilevel"/>
    <w:tmpl w:val="42FABF5E"/>
    <w:lvl w:ilvl="0" w:tplc="27AE96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1347884">
    <w:abstractNumId w:val="1"/>
  </w:num>
  <w:num w:numId="2" w16cid:durableId="199441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96"/>
    <w:rsid w:val="00020D0D"/>
    <w:rsid w:val="00032C6B"/>
    <w:rsid w:val="0005756A"/>
    <w:rsid w:val="00077F8F"/>
    <w:rsid w:val="00093399"/>
    <w:rsid w:val="000C3F21"/>
    <w:rsid w:val="00104CCA"/>
    <w:rsid w:val="001243EB"/>
    <w:rsid w:val="00157F5F"/>
    <w:rsid w:val="00172587"/>
    <w:rsid w:val="001B3F92"/>
    <w:rsid w:val="001B7935"/>
    <w:rsid w:val="001C0787"/>
    <w:rsid w:val="001D0C20"/>
    <w:rsid w:val="001D3FD6"/>
    <w:rsid w:val="001D4623"/>
    <w:rsid w:val="001D5A11"/>
    <w:rsid w:val="00203CA3"/>
    <w:rsid w:val="00227D8F"/>
    <w:rsid w:val="00235CB0"/>
    <w:rsid w:val="00291B14"/>
    <w:rsid w:val="002A7506"/>
    <w:rsid w:val="002A7865"/>
    <w:rsid w:val="002B4AA3"/>
    <w:rsid w:val="002E727A"/>
    <w:rsid w:val="002F0D38"/>
    <w:rsid w:val="003163BA"/>
    <w:rsid w:val="00333526"/>
    <w:rsid w:val="00334B55"/>
    <w:rsid w:val="0035215E"/>
    <w:rsid w:val="00353568"/>
    <w:rsid w:val="0036797A"/>
    <w:rsid w:val="00385324"/>
    <w:rsid w:val="0039191C"/>
    <w:rsid w:val="003A28CF"/>
    <w:rsid w:val="003B1C55"/>
    <w:rsid w:val="003B2E9D"/>
    <w:rsid w:val="003B59D0"/>
    <w:rsid w:val="003F1A2B"/>
    <w:rsid w:val="0041407D"/>
    <w:rsid w:val="004161DD"/>
    <w:rsid w:val="00417E85"/>
    <w:rsid w:val="004274BA"/>
    <w:rsid w:val="00460A74"/>
    <w:rsid w:val="00472498"/>
    <w:rsid w:val="00472A96"/>
    <w:rsid w:val="00475619"/>
    <w:rsid w:val="004800D7"/>
    <w:rsid w:val="00485E2F"/>
    <w:rsid w:val="004A1ADB"/>
    <w:rsid w:val="004C39F3"/>
    <w:rsid w:val="004D207E"/>
    <w:rsid w:val="004E1061"/>
    <w:rsid w:val="00527CD7"/>
    <w:rsid w:val="00563A23"/>
    <w:rsid w:val="00574802"/>
    <w:rsid w:val="005812ED"/>
    <w:rsid w:val="00583738"/>
    <w:rsid w:val="005921CF"/>
    <w:rsid w:val="005A5520"/>
    <w:rsid w:val="005E5191"/>
    <w:rsid w:val="0061224A"/>
    <w:rsid w:val="00612417"/>
    <w:rsid w:val="00617D72"/>
    <w:rsid w:val="00644EFD"/>
    <w:rsid w:val="0067074E"/>
    <w:rsid w:val="00680F8D"/>
    <w:rsid w:val="006823C8"/>
    <w:rsid w:val="00687AEC"/>
    <w:rsid w:val="006A3920"/>
    <w:rsid w:val="006B74CA"/>
    <w:rsid w:val="006E74AC"/>
    <w:rsid w:val="0071015B"/>
    <w:rsid w:val="00725C82"/>
    <w:rsid w:val="0075214D"/>
    <w:rsid w:val="00756F2D"/>
    <w:rsid w:val="00776C05"/>
    <w:rsid w:val="00796958"/>
    <w:rsid w:val="007A0C20"/>
    <w:rsid w:val="007C7EB0"/>
    <w:rsid w:val="007F2630"/>
    <w:rsid w:val="00814B62"/>
    <w:rsid w:val="00852B42"/>
    <w:rsid w:val="00865079"/>
    <w:rsid w:val="00865A4C"/>
    <w:rsid w:val="008A082C"/>
    <w:rsid w:val="008B23AE"/>
    <w:rsid w:val="008B4C80"/>
    <w:rsid w:val="008D4FC2"/>
    <w:rsid w:val="008E6AD0"/>
    <w:rsid w:val="008F369D"/>
    <w:rsid w:val="00904B58"/>
    <w:rsid w:val="009444DE"/>
    <w:rsid w:val="009452B6"/>
    <w:rsid w:val="00946180"/>
    <w:rsid w:val="00962E9E"/>
    <w:rsid w:val="009D28A5"/>
    <w:rsid w:val="009F2471"/>
    <w:rsid w:val="00A072A1"/>
    <w:rsid w:val="00A07442"/>
    <w:rsid w:val="00A21727"/>
    <w:rsid w:val="00A260DB"/>
    <w:rsid w:val="00A34B91"/>
    <w:rsid w:val="00A363ED"/>
    <w:rsid w:val="00A64F04"/>
    <w:rsid w:val="00A82FEF"/>
    <w:rsid w:val="00AD31BA"/>
    <w:rsid w:val="00AD75D0"/>
    <w:rsid w:val="00B06FE7"/>
    <w:rsid w:val="00B115FF"/>
    <w:rsid w:val="00B1422D"/>
    <w:rsid w:val="00B3767D"/>
    <w:rsid w:val="00B76B6B"/>
    <w:rsid w:val="00B86365"/>
    <w:rsid w:val="00B924BF"/>
    <w:rsid w:val="00B92DA2"/>
    <w:rsid w:val="00BB1EA1"/>
    <w:rsid w:val="00BC1703"/>
    <w:rsid w:val="00C06FFC"/>
    <w:rsid w:val="00C263FD"/>
    <w:rsid w:val="00C267B3"/>
    <w:rsid w:val="00C359F2"/>
    <w:rsid w:val="00C84EB7"/>
    <w:rsid w:val="00CA1032"/>
    <w:rsid w:val="00CB591D"/>
    <w:rsid w:val="00CB5DBB"/>
    <w:rsid w:val="00CC313C"/>
    <w:rsid w:val="00CE44B3"/>
    <w:rsid w:val="00CE5CAA"/>
    <w:rsid w:val="00D0058F"/>
    <w:rsid w:val="00D13D13"/>
    <w:rsid w:val="00D1525F"/>
    <w:rsid w:val="00D23119"/>
    <w:rsid w:val="00D50646"/>
    <w:rsid w:val="00D87B43"/>
    <w:rsid w:val="00D9601B"/>
    <w:rsid w:val="00DA0A8F"/>
    <w:rsid w:val="00DB142C"/>
    <w:rsid w:val="00DC7B5D"/>
    <w:rsid w:val="00DD58D1"/>
    <w:rsid w:val="00DE1596"/>
    <w:rsid w:val="00DE3AFF"/>
    <w:rsid w:val="00E037FE"/>
    <w:rsid w:val="00E35EF0"/>
    <w:rsid w:val="00E408C4"/>
    <w:rsid w:val="00E66707"/>
    <w:rsid w:val="00E8751D"/>
    <w:rsid w:val="00EA3BC1"/>
    <w:rsid w:val="00EA4E97"/>
    <w:rsid w:val="00EA583D"/>
    <w:rsid w:val="00EB22E6"/>
    <w:rsid w:val="00ED216A"/>
    <w:rsid w:val="00EF7764"/>
    <w:rsid w:val="00F1145F"/>
    <w:rsid w:val="00F2079B"/>
    <w:rsid w:val="00F27A30"/>
    <w:rsid w:val="00F32D57"/>
    <w:rsid w:val="00F77D84"/>
    <w:rsid w:val="00FA7F80"/>
    <w:rsid w:val="00FC40DF"/>
    <w:rsid w:val="00FC5A26"/>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2DB05C6"/>
  <w15:chartTrackingRefBased/>
  <w15:docId w15:val="{3EB9672F-16AA-49C7-8AFB-0893C6A0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basedOn w:val="Standard"/>
    <w:semiHidden/>
    <w:rPr>
      <w:sz w:val="20"/>
      <w:szCs w:val="20"/>
    </w:rPr>
  </w:style>
  <w:style w:type="character" w:styleId="Endnotenzeichen">
    <w:name w:val="endnote reference"/>
    <w:basedOn w:val="Absatz-Standardschriftart"/>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rPr>
      <w:sz w:val="20"/>
      <w:szCs w:val="20"/>
    </w:rPr>
  </w:style>
  <w:style w:type="character" w:styleId="Hyperlink">
    <w:name w:val="Hyperlink"/>
    <w:basedOn w:val="Absatz-Standardschriftart"/>
    <w:rPr>
      <w:color w:val="0000FF"/>
      <w:u w:val="single"/>
    </w:rPr>
  </w:style>
  <w:style w:type="paragraph" w:styleId="Textkrper">
    <w:name w:val="Body Text"/>
    <w:basedOn w:val="Standard"/>
    <w:rsid w:val="009974D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3404</Words>
  <Characters>19409</Characters>
  <Application>Microsoft Office Word</Application>
  <DocSecurity>0</DocSecurity>
  <Lines>161</Lines>
  <Paragraphs>45</Paragraphs>
  <ScaleCrop>false</ScaleCrop>
  <HeadingPairs>
    <vt:vector size="2" baseType="variant">
      <vt:variant>
        <vt:lpstr>שם</vt:lpstr>
      </vt:variant>
      <vt:variant>
        <vt:i4>1</vt:i4>
      </vt:variant>
    </vt:vector>
  </HeadingPairs>
  <TitlesOfParts>
    <vt:vector size="1" baseType="lpstr">
      <vt:lpstr>Leibniz on Justice as a Common Concept: A Rejoinder to Patrick Riley</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dc:description/>
  <cp:lastModifiedBy>andreas blank</cp:lastModifiedBy>
  <cp:revision>2</cp:revision>
  <cp:lastPrinted>2007-08-15T12:04:00Z</cp:lastPrinted>
  <dcterms:created xsi:type="dcterms:W3CDTF">2022-06-30T23:15:00Z</dcterms:created>
  <dcterms:modified xsi:type="dcterms:W3CDTF">2022-06-30T23:15:00Z</dcterms:modified>
</cp:coreProperties>
</file>