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1AC9" w14:textId="77777777" w:rsidR="00F560BC" w:rsidRPr="001413B5" w:rsidRDefault="006709F7" w:rsidP="001413B5">
      <w:pPr>
        <w:spacing w:after="0" w:line="360" w:lineRule="auto"/>
        <w:jc w:val="both"/>
        <w:rPr>
          <w:rFonts w:ascii="Times New Roman" w:hAnsi="Times New Roman"/>
          <w:sz w:val="28"/>
          <w:szCs w:val="28"/>
        </w:rPr>
      </w:pPr>
      <w:r w:rsidRPr="001413B5">
        <w:rPr>
          <w:rFonts w:ascii="Times New Roman" w:hAnsi="Times New Roman"/>
          <w:sz w:val="28"/>
          <w:szCs w:val="28"/>
        </w:rPr>
        <w:t>Leibniz</w:t>
      </w:r>
      <w:r w:rsidR="00351591" w:rsidRPr="001413B5">
        <w:rPr>
          <w:rFonts w:ascii="Times New Roman" w:hAnsi="Times New Roman"/>
          <w:sz w:val="28"/>
          <w:szCs w:val="28"/>
        </w:rPr>
        <w:t xml:space="preserve"> und Besold über</w:t>
      </w:r>
      <w:r w:rsidR="009E5AE6" w:rsidRPr="001413B5">
        <w:rPr>
          <w:rFonts w:ascii="Times New Roman" w:hAnsi="Times New Roman"/>
          <w:sz w:val="28"/>
          <w:szCs w:val="28"/>
        </w:rPr>
        <w:t xml:space="preserve"> Naturrecht und Bündnisrecht</w:t>
      </w:r>
    </w:p>
    <w:p w14:paraId="30A441F3" w14:textId="77777777" w:rsidR="00F560BC" w:rsidRPr="001413B5" w:rsidRDefault="00F560BC" w:rsidP="001413B5">
      <w:pPr>
        <w:spacing w:after="0" w:line="360" w:lineRule="auto"/>
        <w:jc w:val="both"/>
        <w:rPr>
          <w:rFonts w:ascii="Times New Roman" w:hAnsi="Times New Roman"/>
          <w:sz w:val="24"/>
          <w:szCs w:val="24"/>
        </w:rPr>
      </w:pPr>
    </w:p>
    <w:p w14:paraId="2882D235" w14:textId="77777777" w:rsidR="00F560BC" w:rsidRPr="001413B5" w:rsidRDefault="00F560BC" w:rsidP="001413B5">
      <w:pPr>
        <w:spacing w:after="0" w:line="360" w:lineRule="auto"/>
        <w:jc w:val="both"/>
        <w:rPr>
          <w:rFonts w:ascii="Times New Roman" w:hAnsi="Times New Roman"/>
          <w:sz w:val="24"/>
          <w:szCs w:val="24"/>
        </w:rPr>
      </w:pPr>
      <w:r w:rsidRPr="001413B5">
        <w:rPr>
          <w:rFonts w:ascii="Times New Roman" w:hAnsi="Times New Roman"/>
          <w:sz w:val="24"/>
          <w:szCs w:val="24"/>
        </w:rPr>
        <w:t>Andreas Blank</w:t>
      </w:r>
      <w:r w:rsidR="00FE79F1" w:rsidRPr="001413B5">
        <w:rPr>
          <w:rFonts w:ascii="Times New Roman" w:hAnsi="Times New Roman"/>
          <w:sz w:val="24"/>
          <w:szCs w:val="24"/>
        </w:rPr>
        <w:t xml:space="preserve"> (Klagenfurt)</w:t>
      </w:r>
    </w:p>
    <w:p w14:paraId="3DC7074E" w14:textId="77777777" w:rsidR="00EE5EDC" w:rsidRPr="001413B5" w:rsidRDefault="00EE5EDC" w:rsidP="001413B5">
      <w:pPr>
        <w:spacing w:after="0" w:line="360" w:lineRule="auto"/>
        <w:jc w:val="both"/>
        <w:rPr>
          <w:rFonts w:ascii="Times New Roman" w:hAnsi="Times New Roman"/>
          <w:sz w:val="24"/>
          <w:szCs w:val="24"/>
        </w:rPr>
      </w:pPr>
    </w:p>
    <w:p w14:paraId="17702330" w14:textId="77777777" w:rsidR="00A61E45" w:rsidRPr="001413B5" w:rsidRDefault="00A61E45" w:rsidP="001413B5">
      <w:pPr>
        <w:spacing w:after="0" w:line="360" w:lineRule="auto"/>
        <w:jc w:val="both"/>
        <w:rPr>
          <w:rFonts w:ascii="Times New Roman" w:hAnsi="Times New Roman"/>
          <w:sz w:val="24"/>
          <w:szCs w:val="24"/>
        </w:rPr>
      </w:pPr>
      <w:r w:rsidRPr="001413B5">
        <w:rPr>
          <w:rFonts w:ascii="Times New Roman" w:hAnsi="Times New Roman"/>
          <w:sz w:val="24"/>
          <w:szCs w:val="24"/>
        </w:rPr>
        <w:t xml:space="preserve">1. </w:t>
      </w:r>
      <w:r w:rsidR="00795C69" w:rsidRPr="001413B5">
        <w:rPr>
          <w:rFonts w:ascii="Times New Roman" w:hAnsi="Times New Roman"/>
          <w:sz w:val="24"/>
          <w:szCs w:val="24"/>
        </w:rPr>
        <w:t>Einleitung</w:t>
      </w:r>
    </w:p>
    <w:p w14:paraId="4402B8D6" w14:textId="77777777" w:rsidR="00A61E45" w:rsidRPr="001413B5" w:rsidRDefault="00A61E45" w:rsidP="001413B5">
      <w:pPr>
        <w:spacing w:after="0" w:line="360" w:lineRule="auto"/>
        <w:jc w:val="both"/>
        <w:rPr>
          <w:rFonts w:ascii="Times New Roman" w:hAnsi="Times New Roman"/>
          <w:sz w:val="24"/>
          <w:szCs w:val="24"/>
        </w:rPr>
      </w:pPr>
    </w:p>
    <w:p w14:paraId="3779BFC3" w14:textId="77777777" w:rsidR="001413B5" w:rsidRPr="001413B5" w:rsidRDefault="00AD054B" w:rsidP="001413B5">
      <w:pPr>
        <w:spacing w:after="0" w:line="360" w:lineRule="auto"/>
        <w:jc w:val="both"/>
        <w:rPr>
          <w:rFonts w:ascii="Times New Roman" w:hAnsi="Times New Roman"/>
          <w:sz w:val="24"/>
          <w:szCs w:val="24"/>
        </w:rPr>
      </w:pPr>
      <w:r w:rsidRPr="001413B5">
        <w:rPr>
          <w:rFonts w:ascii="Times New Roman" w:hAnsi="Times New Roman"/>
          <w:sz w:val="24"/>
          <w:szCs w:val="24"/>
        </w:rPr>
        <w:t xml:space="preserve">In </w:t>
      </w:r>
      <w:r w:rsidR="001B0CB8" w:rsidRPr="001413B5">
        <w:rPr>
          <w:rFonts w:ascii="Times New Roman" w:hAnsi="Times New Roman"/>
          <w:sz w:val="24"/>
          <w:szCs w:val="24"/>
        </w:rPr>
        <w:t>Leibniz</w:t>
      </w:r>
      <w:r w:rsidR="00A61E45" w:rsidRPr="001413B5">
        <w:rPr>
          <w:rFonts w:ascii="Times New Roman" w:hAnsi="Times New Roman"/>
          <w:sz w:val="24"/>
          <w:szCs w:val="24"/>
        </w:rPr>
        <w:t>’</w:t>
      </w:r>
      <w:r w:rsidR="001B0CB8" w:rsidRPr="001413B5">
        <w:rPr>
          <w:rFonts w:ascii="Times New Roman" w:hAnsi="Times New Roman"/>
          <w:sz w:val="24"/>
          <w:szCs w:val="24"/>
        </w:rPr>
        <w:t xml:space="preserve"> frühe</w:t>
      </w:r>
      <w:r w:rsidRPr="001413B5">
        <w:rPr>
          <w:rFonts w:ascii="Times New Roman" w:hAnsi="Times New Roman"/>
          <w:sz w:val="24"/>
          <w:szCs w:val="24"/>
        </w:rPr>
        <w:t>n</w:t>
      </w:r>
      <w:r w:rsidR="001B0CB8" w:rsidRPr="001413B5">
        <w:rPr>
          <w:rFonts w:ascii="Times New Roman" w:hAnsi="Times New Roman"/>
          <w:sz w:val="24"/>
          <w:szCs w:val="24"/>
        </w:rPr>
        <w:t xml:space="preserve"> Überlegunge</w:t>
      </w:r>
      <w:r w:rsidRPr="001413B5">
        <w:rPr>
          <w:rFonts w:ascii="Times New Roman" w:hAnsi="Times New Roman"/>
          <w:sz w:val="24"/>
          <w:szCs w:val="24"/>
        </w:rPr>
        <w:t>n zum Souveränitätsbegriff</w:t>
      </w:r>
      <w:r w:rsidR="00082BF7" w:rsidRPr="001413B5">
        <w:rPr>
          <w:rFonts w:ascii="Times New Roman" w:hAnsi="Times New Roman"/>
          <w:sz w:val="24"/>
          <w:szCs w:val="24"/>
        </w:rPr>
        <w:t xml:space="preserve"> wird</w:t>
      </w:r>
      <w:r w:rsidR="001B0CB8" w:rsidRPr="001413B5">
        <w:rPr>
          <w:rFonts w:ascii="Times New Roman" w:hAnsi="Times New Roman"/>
          <w:sz w:val="24"/>
          <w:szCs w:val="24"/>
        </w:rPr>
        <w:t xml:space="preserve"> die Frage, ob die deutschen Fürsten,</w:t>
      </w:r>
      <w:r w:rsidR="00A61E45" w:rsidRPr="001413B5">
        <w:rPr>
          <w:rFonts w:ascii="Times New Roman" w:hAnsi="Times New Roman"/>
          <w:sz w:val="24"/>
          <w:szCs w:val="24"/>
        </w:rPr>
        <w:t xml:space="preserve"> die nicht den Rang von Kurfürsten einnehmen, Gesandte im Rang von Botschaftern entsenden dürfen, als eine Frage der distributiven Gerechtigkeit in Bezug auf Ehre auffasst.</w:t>
      </w:r>
      <w:r w:rsidR="001413B5" w:rsidRPr="001413B5">
        <w:rPr>
          <w:rStyle w:val="Funotenzeichen"/>
          <w:rFonts w:ascii="Times New Roman" w:hAnsi="Times New Roman"/>
          <w:sz w:val="24"/>
          <w:szCs w:val="24"/>
        </w:rPr>
        <w:footnoteReference w:id="1"/>
      </w:r>
      <w:r w:rsidR="001413B5" w:rsidRPr="001413B5">
        <w:rPr>
          <w:rFonts w:ascii="Times New Roman" w:hAnsi="Times New Roman"/>
          <w:sz w:val="24"/>
          <w:szCs w:val="24"/>
        </w:rPr>
        <w:t xml:space="preserve"> Diese Auffassung erg</w:t>
      </w:r>
      <w:r w:rsidR="00681D58">
        <w:rPr>
          <w:rFonts w:ascii="Times New Roman" w:hAnsi="Times New Roman"/>
          <w:sz w:val="24"/>
          <w:szCs w:val="24"/>
        </w:rPr>
        <w:t>ibt sich aus der Prämisse, Botschafter untersch</w:t>
      </w:r>
      <w:r w:rsidR="001413B5" w:rsidRPr="001413B5">
        <w:rPr>
          <w:rFonts w:ascii="Times New Roman" w:hAnsi="Times New Roman"/>
          <w:sz w:val="24"/>
          <w:szCs w:val="24"/>
        </w:rPr>
        <w:t>i</w:t>
      </w:r>
      <w:r w:rsidR="00681D58">
        <w:rPr>
          <w:rFonts w:ascii="Times New Roman" w:hAnsi="Times New Roman"/>
          <w:sz w:val="24"/>
          <w:szCs w:val="24"/>
        </w:rPr>
        <w:t>e</w:t>
      </w:r>
      <w:r w:rsidR="001413B5" w:rsidRPr="001413B5">
        <w:rPr>
          <w:rFonts w:ascii="Times New Roman" w:hAnsi="Times New Roman"/>
          <w:sz w:val="24"/>
          <w:szCs w:val="24"/>
        </w:rPr>
        <w:t xml:space="preserve">den sich von anderen Gesandten dadurch, dass sie „repräsentativen Charakter“ besitzen—d.h., sie repräsentieren einen Souverän und haben deshalb das Recht auf dieselben Ehrbezeugungen, wie </w:t>
      </w:r>
      <w:r w:rsidR="00681D58">
        <w:rPr>
          <w:rFonts w:ascii="Times New Roman" w:hAnsi="Times New Roman"/>
          <w:sz w:val="24"/>
          <w:szCs w:val="24"/>
        </w:rPr>
        <w:t>der Souverän, der sie entsendet.</w:t>
      </w:r>
      <w:r w:rsidR="001413B5" w:rsidRPr="001413B5">
        <w:rPr>
          <w:rStyle w:val="Funotenzeichen"/>
          <w:rFonts w:ascii="Times New Roman" w:hAnsi="Times New Roman"/>
          <w:sz w:val="24"/>
          <w:szCs w:val="24"/>
        </w:rPr>
        <w:footnoteReference w:id="2"/>
      </w:r>
      <w:r w:rsidR="001413B5" w:rsidRPr="001413B5">
        <w:rPr>
          <w:rFonts w:ascii="Times New Roman" w:hAnsi="Times New Roman"/>
          <w:sz w:val="24"/>
          <w:szCs w:val="24"/>
        </w:rPr>
        <w:t xml:space="preserve"> In diesem Sinn ist die Bereitschaft, die Gesandten der deutschen Fürsten als Botschafter </w:t>
      </w:r>
      <w:r w:rsidR="00B47C0E">
        <w:rPr>
          <w:rFonts w:ascii="Times New Roman" w:hAnsi="Times New Roman"/>
          <w:sz w:val="24"/>
          <w:szCs w:val="24"/>
        </w:rPr>
        <w:t>an</w:t>
      </w:r>
      <w:r w:rsidR="001413B5" w:rsidRPr="001413B5">
        <w:rPr>
          <w:rFonts w:ascii="Times New Roman" w:hAnsi="Times New Roman"/>
          <w:sz w:val="24"/>
          <w:szCs w:val="24"/>
        </w:rPr>
        <w:t>zu</w:t>
      </w:r>
      <w:r w:rsidR="00B47C0E">
        <w:rPr>
          <w:rFonts w:ascii="Times New Roman" w:hAnsi="Times New Roman"/>
          <w:sz w:val="24"/>
          <w:szCs w:val="24"/>
        </w:rPr>
        <w:t>erkennen zugleich</w:t>
      </w:r>
      <w:r w:rsidR="001413B5" w:rsidRPr="001413B5">
        <w:rPr>
          <w:rFonts w:ascii="Times New Roman" w:hAnsi="Times New Roman"/>
          <w:sz w:val="24"/>
          <w:szCs w:val="24"/>
        </w:rPr>
        <w:t xml:space="preserve"> Ausdruck der Bereitschaft, die deutschen Fürsten als Souveräne zu betrachten. Und wie Leibniz in seinen Überlegungen zur p</w:t>
      </w:r>
      <w:r w:rsidR="002B0695">
        <w:rPr>
          <w:rFonts w:ascii="Times New Roman" w:hAnsi="Times New Roman"/>
          <w:sz w:val="24"/>
          <w:szCs w:val="24"/>
        </w:rPr>
        <w:t>olnischen Königswahl bemerkt</w:t>
      </w:r>
      <w:r w:rsidR="001413B5" w:rsidRPr="001413B5">
        <w:rPr>
          <w:rFonts w:ascii="Times New Roman" w:hAnsi="Times New Roman"/>
          <w:sz w:val="24"/>
          <w:szCs w:val="24"/>
        </w:rPr>
        <w:t>, haben solche Fragen der Ehre eine unmittelbare politische Relevanz:</w:t>
      </w:r>
    </w:p>
    <w:p w14:paraId="54BE6365" w14:textId="77777777" w:rsidR="001413B5" w:rsidRPr="001413B5" w:rsidRDefault="001413B5" w:rsidP="001413B5">
      <w:pPr>
        <w:spacing w:after="0" w:line="360" w:lineRule="auto"/>
        <w:jc w:val="both"/>
        <w:rPr>
          <w:rFonts w:ascii="Times New Roman" w:hAnsi="Times New Roman"/>
          <w:sz w:val="24"/>
          <w:szCs w:val="24"/>
        </w:rPr>
      </w:pPr>
    </w:p>
    <w:p w14:paraId="26F80571" w14:textId="77777777" w:rsidR="001413B5" w:rsidRPr="001413B5" w:rsidRDefault="001413B5" w:rsidP="00D84548">
      <w:pPr>
        <w:spacing w:after="0" w:line="360" w:lineRule="auto"/>
        <w:jc w:val="both"/>
        <w:rPr>
          <w:rFonts w:ascii="Times New Roman" w:hAnsi="Times New Roman"/>
          <w:sz w:val="20"/>
          <w:szCs w:val="20"/>
        </w:rPr>
      </w:pPr>
      <w:r w:rsidRPr="001413B5">
        <w:rPr>
          <w:rFonts w:ascii="Times New Roman" w:hAnsi="Times New Roman"/>
          <w:sz w:val="20"/>
          <w:szCs w:val="20"/>
        </w:rPr>
        <w:t xml:space="preserve">„Alles Unehrenhafte vermindert </w:t>
      </w:r>
      <w:r w:rsidRPr="001413B5">
        <w:rPr>
          <w:rFonts w:ascii="Times New Roman" w:hAnsi="Times New Roman"/>
          <w:i/>
          <w:sz w:val="20"/>
          <w:szCs w:val="20"/>
        </w:rPr>
        <w:t>Ehre</w:t>
      </w:r>
      <w:r w:rsidRPr="001413B5">
        <w:rPr>
          <w:rFonts w:ascii="Times New Roman" w:hAnsi="Times New Roman"/>
          <w:sz w:val="20"/>
          <w:szCs w:val="20"/>
        </w:rPr>
        <w:t>.</w:t>
      </w:r>
    </w:p>
    <w:p w14:paraId="13F57B2C" w14:textId="77777777" w:rsidR="001413B5" w:rsidRPr="001413B5" w:rsidRDefault="001413B5" w:rsidP="00D84548">
      <w:pPr>
        <w:spacing w:after="0" w:line="360" w:lineRule="auto"/>
        <w:jc w:val="both"/>
        <w:rPr>
          <w:rFonts w:ascii="Times New Roman" w:hAnsi="Times New Roman"/>
          <w:sz w:val="20"/>
          <w:szCs w:val="20"/>
        </w:rPr>
      </w:pPr>
      <w:r w:rsidRPr="001413B5">
        <w:rPr>
          <w:rFonts w:ascii="Times New Roman" w:hAnsi="Times New Roman"/>
          <w:i/>
          <w:sz w:val="20"/>
          <w:szCs w:val="20"/>
        </w:rPr>
        <w:t>Ehre ist die Reputation in Bezug auf Macht</w:t>
      </w:r>
      <w:r w:rsidRPr="001413B5">
        <w:rPr>
          <w:rFonts w:ascii="Times New Roman" w:hAnsi="Times New Roman"/>
          <w:sz w:val="20"/>
          <w:szCs w:val="20"/>
        </w:rPr>
        <w:t>.</w:t>
      </w:r>
    </w:p>
    <w:p w14:paraId="4B830686" w14:textId="77777777" w:rsidR="001413B5" w:rsidRPr="001413B5" w:rsidRDefault="001413B5" w:rsidP="00D84548">
      <w:pPr>
        <w:spacing w:after="0" w:line="360" w:lineRule="auto"/>
        <w:jc w:val="both"/>
        <w:rPr>
          <w:rFonts w:ascii="Times New Roman" w:hAnsi="Times New Roman"/>
          <w:sz w:val="20"/>
          <w:szCs w:val="20"/>
        </w:rPr>
      </w:pPr>
      <w:r w:rsidRPr="001413B5">
        <w:rPr>
          <w:rFonts w:ascii="Times New Roman" w:hAnsi="Times New Roman"/>
          <w:sz w:val="20"/>
          <w:szCs w:val="20"/>
        </w:rPr>
        <w:t xml:space="preserve">Wer eine geringere Reputation in Bezug auf Macht hat wird für fähig gehalten, </w:t>
      </w:r>
      <w:r w:rsidRPr="001413B5">
        <w:rPr>
          <w:rFonts w:ascii="Times New Roman" w:hAnsi="Times New Roman"/>
          <w:i/>
          <w:sz w:val="20"/>
          <w:szCs w:val="20"/>
        </w:rPr>
        <w:t>leichter verletzt zu werden</w:t>
      </w:r>
      <w:r w:rsidRPr="001413B5">
        <w:rPr>
          <w:rFonts w:ascii="Times New Roman" w:hAnsi="Times New Roman"/>
          <w:sz w:val="20"/>
          <w:szCs w:val="20"/>
        </w:rPr>
        <w:t>.</w:t>
      </w:r>
    </w:p>
    <w:p w14:paraId="7C9E1DB7" w14:textId="77777777" w:rsidR="001413B5" w:rsidRPr="001413B5" w:rsidRDefault="001413B5" w:rsidP="00D84548">
      <w:pPr>
        <w:spacing w:after="0" w:line="360" w:lineRule="auto"/>
        <w:jc w:val="both"/>
        <w:rPr>
          <w:rFonts w:ascii="Times New Roman" w:hAnsi="Times New Roman"/>
          <w:sz w:val="20"/>
          <w:szCs w:val="20"/>
        </w:rPr>
      </w:pPr>
      <w:r w:rsidRPr="001413B5">
        <w:rPr>
          <w:rFonts w:ascii="Times New Roman" w:hAnsi="Times New Roman"/>
          <w:sz w:val="20"/>
          <w:szCs w:val="20"/>
        </w:rPr>
        <w:t>Was für leichter gehalten wird, wird für mit geringerem Aufwand verbunden gehalten.</w:t>
      </w:r>
    </w:p>
    <w:p w14:paraId="58E6E9EB" w14:textId="77777777" w:rsidR="001413B5" w:rsidRPr="001413B5" w:rsidRDefault="001413B5" w:rsidP="00D84548">
      <w:pPr>
        <w:spacing w:after="0" w:line="360" w:lineRule="auto"/>
        <w:jc w:val="both"/>
        <w:rPr>
          <w:rFonts w:ascii="Times New Roman" w:hAnsi="Times New Roman"/>
          <w:sz w:val="20"/>
          <w:szCs w:val="20"/>
        </w:rPr>
      </w:pPr>
      <w:r w:rsidRPr="001413B5">
        <w:rPr>
          <w:rFonts w:ascii="Times New Roman" w:hAnsi="Times New Roman"/>
          <w:sz w:val="20"/>
          <w:szCs w:val="20"/>
        </w:rPr>
        <w:t>Dies bedeutet, dass jemand, der uns gern verletzen würde, gefährlich ist.“</w:t>
      </w:r>
      <w:r w:rsidRPr="001413B5">
        <w:rPr>
          <w:rStyle w:val="Funotenzeichen"/>
          <w:rFonts w:ascii="Times New Roman" w:hAnsi="Times New Roman"/>
          <w:sz w:val="20"/>
          <w:szCs w:val="20"/>
        </w:rPr>
        <w:footnoteReference w:id="3"/>
      </w:r>
      <w:r w:rsidRPr="001413B5">
        <w:rPr>
          <w:rFonts w:ascii="Times New Roman" w:hAnsi="Times New Roman"/>
          <w:sz w:val="20"/>
          <w:szCs w:val="20"/>
        </w:rPr>
        <w:t xml:space="preserve"> </w:t>
      </w:r>
    </w:p>
    <w:p w14:paraId="2DA8C0B4" w14:textId="77777777" w:rsidR="001413B5" w:rsidRPr="001413B5" w:rsidRDefault="001413B5" w:rsidP="001413B5">
      <w:pPr>
        <w:spacing w:after="0" w:line="360" w:lineRule="auto"/>
        <w:jc w:val="both"/>
        <w:rPr>
          <w:rFonts w:ascii="Times New Roman" w:hAnsi="Times New Roman"/>
          <w:sz w:val="24"/>
          <w:szCs w:val="24"/>
        </w:rPr>
      </w:pPr>
    </w:p>
    <w:p w14:paraId="3DF5752F"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ab/>
      </w:r>
      <w:r w:rsidR="00960648">
        <w:rPr>
          <w:rFonts w:ascii="Times New Roman" w:hAnsi="Times New Roman"/>
          <w:sz w:val="24"/>
          <w:szCs w:val="24"/>
        </w:rPr>
        <w:t>In Bezug auf seine Prämisse, dass auch Fürsten, die nicht Kurfürsten sind, Souveränität besitzen, ist Leibniz mit einer erheblichen Beweislast konfrontiert.</w:t>
      </w:r>
      <w:r w:rsidRPr="001413B5">
        <w:rPr>
          <w:rFonts w:ascii="Times New Roman" w:hAnsi="Times New Roman"/>
          <w:sz w:val="24"/>
          <w:szCs w:val="24"/>
        </w:rPr>
        <w:t xml:space="preserve"> Denn, was diese Prämisse besagt, wurde von führenden politischen Denkern </w:t>
      </w:r>
      <w:r w:rsidR="00960648">
        <w:rPr>
          <w:rFonts w:ascii="Times New Roman" w:hAnsi="Times New Roman"/>
          <w:sz w:val="24"/>
          <w:szCs w:val="24"/>
        </w:rPr>
        <w:t xml:space="preserve">der frühen Neuzeit </w:t>
      </w:r>
      <w:r w:rsidRPr="001413B5">
        <w:rPr>
          <w:rFonts w:ascii="Times New Roman" w:hAnsi="Times New Roman"/>
          <w:sz w:val="24"/>
          <w:szCs w:val="24"/>
        </w:rPr>
        <w:t>entweder bestritten, wie im Fall von Jean Bodin,</w:t>
      </w:r>
      <w:r w:rsidRPr="001413B5">
        <w:rPr>
          <w:rStyle w:val="Funotenzeichen"/>
          <w:rFonts w:ascii="Times New Roman" w:hAnsi="Times New Roman"/>
          <w:sz w:val="24"/>
          <w:szCs w:val="24"/>
        </w:rPr>
        <w:footnoteReference w:id="4"/>
      </w:r>
      <w:r w:rsidRPr="001413B5">
        <w:rPr>
          <w:rFonts w:ascii="Times New Roman" w:hAnsi="Times New Roman"/>
          <w:sz w:val="24"/>
          <w:szCs w:val="24"/>
        </w:rPr>
        <w:t xml:space="preserve"> oder als Ausdruck einer regellosen politischen Entwicklung verstanden, wie im Fall von Pufendorf.</w:t>
      </w:r>
      <w:r w:rsidRPr="001413B5">
        <w:rPr>
          <w:rStyle w:val="Funotenzeichen"/>
          <w:rFonts w:ascii="Times New Roman" w:hAnsi="Times New Roman"/>
          <w:sz w:val="24"/>
          <w:szCs w:val="24"/>
        </w:rPr>
        <w:footnoteReference w:id="5"/>
      </w:r>
      <w:r w:rsidRPr="001413B5">
        <w:rPr>
          <w:rFonts w:ascii="Times New Roman" w:hAnsi="Times New Roman"/>
          <w:sz w:val="24"/>
          <w:szCs w:val="24"/>
        </w:rPr>
        <w:t xml:space="preserve"> Leibniz’ Strategie besteht deshalb darin, Felder von </w:t>
      </w:r>
      <w:r w:rsidR="00960648">
        <w:rPr>
          <w:rFonts w:ascii="Times New Roman" w:hAnsi="Times New Roman"/>
          <w:sz w:val="24"/>
          <w:szCs w:val="24"/>
        </w:rPr>
        <w:t xml:space="preserve">politischen </w:t>
      </w:r>
      <w:r w:rsidR="00B47C0E">
        <w:rPr>
          <w:rFonts w:ascii="Times New Roman" w:hAnsi="Times New Roman"/>
          <w:sz w:val="24"/>
          <w:szCs w:val="24"/>
        </w:rPr>
        <w:t>Aktivitäten</w:t>
      </w:r>
      <w:r w:rsidR="00960648">
        <w:rPr>
          <w:rFonts w:ascii="Times New Roman" w:hAnsi="Times New Roman"/>
          <w:sz w:val="24"/>
          <w:szCs w:val="24"/>
        </w:rPr>
        <w:t xml:space="preserve"> </w:t>
      </w:r>
      <w:r w:rsidRPr="001413B5">
        <w:rPr>
          <w:rFonts w:ascii="Times New Roman" w:hAnsi="Times New Roman"/>
          <w:sz w:val="24"/>
          <w:szCs w:val="24"/>
        </w:rPr>
        <w:t>zu identifizieren, die zwei Bedingungen erfüllen müssen: (1) Sie müssen dem Völkerre</w:t>
      </w:r>
      <w:r w:rsidR="00B47C0E">
        <w:rPr>
          <w:rFonts w:ascii="Times New Roman" w:hAnsi="Times New Roman"/>
          <w:sz w:val="24"/>
          <w:szCs w:val="24"/>
        </w:rPr>
        <w:t xml:space="preserve">cht angehören, </w:t>
      </w:r>
      <w:r w:rsidRPr="001413B5">
        <w:rPr>
          <w:rFonts w:ascii="Times New Roman" w:hAnsi="Times New Roman"/>
          <w:sz w:val="24"/>
          <w:szCs w:val="24"/>
        </w:rPr>
        <w:t xml:space="preserve">wobei Leibniz als Kriterium für den Bereich des </w:t>
      </w:r>
      <w:r w:rsidRPr="001413B5">
        <w:rPr>
          <w:rFonts w:ascii="Times New Roman" w:hAnsi="Times New Roman"/>
          <w:sz w:val="24"/>
          <w:szCs w:val="24"/>
        </w:rPr>
        <w:lastRenderedPageBreak/>
        <w:t>Völkerrechts unter anderen die naturrechtlich begründete Funktion der Bewahrung von Sicherheit und Frieden anführt; und (2) es muss historisch dokumentiert sein, dass deutsche Fürsten, die keine Kurfürsten sind, nicht nur in zahlreichen Fällen an diesen Aktivitäten teilgenommen haben, sondern dass ihnen auch ein Recht zur Teilnahme an diesen Aktivitäten zugesprochen wurde. Aus diesem Grund enthält Leibn</w:t>
      </w:r>
      <w:r w:rsidR="00B47C0E">
        <w:rPr>
          <w:rFonts w:ascii="Times New Roman" w:hAnsi="Times New Roman"/>
          <w:sz w:val="24"/>
          <w:szCs w:val="24"/>
        </w:rPr>
        <w:t>iz’ Text eine Fülle von Hinweisen auf</w:t>
      </w:r>
      <w:r w:rsidRPr="001413B5">
        <w:rPr>
          <w:rFonts w:ascii="Times New Roman" w:hAnsi="Times New Roman"/>
          <w:sz w:val="24"/>
          <w:szCs w:val="24"/>
        </w:rPr>
        <w:t xml:space="preserve"> historische Ereignisse und </w:t>
      </w:r>
      <w:r w:rsidR="00B47C0E">
        <w:rPr>
          <w:rFonts w:ascii="Times New Roman" w:hAnsi="Times New Roman"/>
          <w:sz w:val="24"/>
          <w:szCs w:val="24"/>
        </w:rPr>
        <w:t xml:space="preserve">historische </w:t>
      </w:r>
      <w:r w:rsidRPr="001413B5">
        <w:rPr>
          <w:rFonts w:ascii="Times New Roman" w:hAnsi="Times New Roman"/>
          <w:sz w:val="24"/>
          <w:szCs w:val="24"/>
        </w:rPr>
        <w:t>Rechtsdokumente. Ein Feld von Aktivitäten, das Leibniz auf diese Weise zu identifizieren sucht, betrifft die Rolle der deutschen Fürsten in internationalen Mediationen; ein anderes Beispiel betrifft die Rolle der deutschen Fürsten in internationalen Bündnissen. Da ich das erstere Thema an anderer Stelle diskutiert habe,</w:t>
      </w:r>
      <w:r w:rsidRPr="001413B5">
        <w:rPr>
          <w:rStyle w:val="Funotenzeichen"/>
          <w:rFonts w:ascii="Times New Roman" w:hAnsi="Times New Roman"/>
          <w:sz w:val="24"/>
          <w:szCs w:val="24"/>
        </w:rPr>
        <w:footnoteReference w:id="6"/>
      </w:r>
      <w:r w:rsidRPr="001413B5">
        <w:rPr>
          <w:rFonts w:ascii="Times New Roman" w:hAnsi="Times New Roman"/>
          <w:sz w:val="24"/>
          <w:szCs w:val="24"/>
        </w:rPr>
        <w:t xml:space="preserve"> konzentriere ich mich hier auf das letztere. </w:t>
      </w:r>
    </w:p>
    <w:p w14:paraId="0C9D63F8"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Da die Relevanz der naturrechtlichen Überlegungen, die sich im frühen Leibniz finden, für seine Behandlung des Bündnisrechts weniger offensichtlich sind, als in anderen Bereichen seiner politischen Theorie, werde ich einen komparativen Ansatz wählen und Le</w:t>
      </w:r>
      <w:r w:rsidR="00956F03">
        <w:rPr>
          <w:rFonts w:ascii="Times New Roman" w:hAnsi="Times New Roman"/>
          <w:sz w:val="24"/>
          <w:szCs w:val="24"/>
        </w:rPr>
        <w:t>ibniz’ Auffassungen mit denjenigen von Christoph Besold (1577-1638</w:t>
      </w:r>
      <w:r w:rsidRPr="001413B5">
        <w:rPr>
          <w:rFonts w:ascii="Times New Roman" w:hAnsi="Times New Roman"/>
          <w:sz w:val="24"/>
          <w:szCs w:val="24"/>
        </w:rPr>
        <w:t>)</w:t>
      </w:r>
      <w:r w:rsidR="00EC6959">
        <w:rPr>
          <w:rFonts w:ascii="Times New Roman" w:hAnsi="Times New Roman"/>
          <w:sz w:val="24"/>
          <w:szCs w:val="24"/>
        </w:rPr>
        <w:t xml:space="preserve"> </w:t>
      </w:r>
      <w:r w:rsidR="00EC6959" w:rsidRPr="001413B5">
        <w:rPr>
          <w:rFonts w:ascii="Times New Roman" w:hAnsi="Times New Roman"/>
          <w:sz w:val="24"/>
          <w:szCs w:val="24"/>
        </w:rPr>
        <w:t>vergleichen, der das Bündnisrecht zu einem prominenten Gegenstand in der protestantischen Naturrechtstradition gemacht hat.</w:t>
      </w:r>
      <w:r w:rsidRPr="001413B5">
        <w:rPr>
          <w:rStyle w:val="Funotenzeichen"/>
          <w:rFonts w:ascii="Times New Roman" w:hAnsi="Times New Roman"/>
          <w:sz w:val="24"/>
          <w:szCs w:val="24"/>
        </w:rPr>
        <w:footnoteReference w:id="7"/>
      </w:r>
      <w:r w:rsidRPr="001413B5">
        <w:rPr>
          <w:rFonts w:ascii="Times New Roman" w:hAnsi="Times New Roman"/>
          <w:sz w:val="24"/>
          <w:szCs w:val="24"/>
        </w:rPr>
        <w:t xml:space="preserve"> Im </w:t>
      </w:r>
      <w:r w:rsidRPr="001413B5">
        <w:rPr>
          <w:rFonts w:ascii="Times New Roman" w:hAnsi="Times New Roman"/>
          <w:i/>
          <w:sz w:val="24"/>
          <w:szCs w:val="24"/>
        </w:rPr>
        <w:t xml:space="preserve">Caesarinus Fürstenerius </w:t>
      </w:r>
      <w:r w:rsidRPr="001413B5">
        <w:rPr>
          <w:rFonts w:ascii="Times New Roman" w:hAnsi="Times New Roman"/>
          <w:sz w:val="24"/>
          <w:szCs w:val="24"/>
        </w:rPr>
        <w:t xml:space="preserve">bezieht sich Leibniz explizit nur auf eines der </w:t>
      </w:r>
      <w:r w:rsidRPr="001413B5">
        <w:rPr>
          <w:rFonts w:ascii="Times New Roman" w:hAnsi="Times New Roman"/>
          <w:i/>
          <w:sz w:val="24"/>
          <w:szCs w:val="24"/>
        </w:rPr>
        <w:t xml:space="preserve">Consilia </w:t>
      </w:r>
      <w:r w:rsidRPr="001413B5">
        <w:rPr>
          <w:rFonts w:ascii="Times New Roman" w:hAnsi="Times New Roman"/>
          <w:sz w:val="24"/>
          <w:szCs w:val="24"/>
        </w:rPr>
        <w:t>Besolds,</w:t>
      </w:r>
      <w:r w:rsidRPr="001413B5">
        <w:rPr>
          <w:rStyle w:val="Funotenzeichen"/>
          <w:rFonts w:ascii="Times New Roman" w:hAnsi="Times New Roman"/>
          <w:sz w:val="24"/>
          <w:szCs w:val="24"/>
        </w:rPr>
        <w:footnoteReference w:id="8"/>
      </w:r>
      <w:r w:rsidRPr="001413B5">
        <w:rPr>
          <w:rFonts w:ascii="Times New Roman" w:hAnsi="Times New Roman"/>
          <w:sz w:val="24"/>
          <w:szCs w:val="24"/>
        </w:rPr>
        <w:t xml:space="preserve"> nicht aber auf die hier einschlägigen politischen Abhandlungen. Deshalb möchte ich die Frage nach mehr oder weniger direkten Abhängigkeitsbeziehungen offenlassen und stattdessen Parallelen in den Argumentationsstrategien hervorheben. Wie bei Leibniz finden sich bei Besold verfassungsrechtliche, völkerrechtliche und naturrechtliche Überlegungen zu den Grundlagen des Bündnisrechts. Zu klären wird sein, weshalb beide Denker es nicht bei verfassungsrechtlichen und völkerrechtlichen Klärungen belassen, sondern darüber hinaus auch naturrechtliche Argumente anführen. Durch die Parallelen zwischen Besolds und Leibniz’ Argumentationsstrategien, so ist meine Hoffnung, tritt auch die entscheidende Rolle naturrechtlicher Überlegungen in Leibniz’ Überlegungen zum Bündnisrecht deutlicher hervor.</w:t>
      </w:r>
    </w:p>
    <w:p w14:paraId="0D10D70C"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 xml:space="preserve">Allerdings sollte gleich zu Beginn hervorgehoben werden, dass auch ein tiefgreifender Unterschied zwischen Besold und Leibniz besteht: Während Leibniz das Bündnisrecht auf die </w:t>
      </w:r>
      <w:r w:rsidRPr="001413B5">
        <w:rPr>
          <w:rFonts w:ascii="Times New Roman" w:hAnsi="Times New Roman"/>
          <w:sz w:val="24"/>
          <w:szCs w:val="24"/>
        </w:rPr>
        <w:lastRenderedPageBreak/>
        <w:t>mächtigeren Fürsten beschränkt und die kleineren Territorien und Reichsstädte von diesem Recht ausschließt, sieht Besold einen weiteren Umfang der Trägerschaft eines naturrechtlich begründeten Bündnisrechts, der nicht nur alle reichsunmittelbaren Stände, sondern auch diejenigen Städte der Hanse einschließt, die diesen Status nicht besitzen. Um die Stärken und Schwächen von Leibniz’ Auffassungen in Bezug auf die Träger des Bündnisrechts einschätzen zu können, wird es deshalb nützlich sein, mit einem systematischen Problem zu begin</w:t>
      </w:r>
      <w:r w:rsidR="004F5E04">
        <w:rPr>
          <w:rFonts w:ascii="Times New Roman" w:hAnsi="Times New Roman"/>
          <w:sz w:val="24"/>
          <w:szCs w:val="24"/>
        </w:rPr>
        <w:t>nen, welches</w:t>
      </w:r>
      <w:r w:rsidR="00956F03">
        <w:rPr>
          <w:rFonts w:ascii="Times New Roman" w:hAnsi="Times New Roman"/>
          <w:sz w:val="24"/>
          <w:szCs w:val="24"/>
        </w:rPr>
        <w:t xml:space="preserve"> Heinrich Henniges (1645-1711</w:t>
      </w:r>
      <w:r w:rsidRPr="001413B5">
        <w:rPr>
          <w:rFonts w:ascii="Times New Roman" w:hAnsi="Times New Roman"/>
          <w:sz w:val="24"/>
          <w:szCs w:val="24"/>
        </w:rPr>
        <w:t>), einer der Kritiker von Leibniz’ Souveränitätsauffassung, diagnostiziert hat.</w:t>
      </w:r>
      <w:r w:rsidRPr="001413B5">
        <w:rPr>
          <w:rStyle w:val="Funotenzeichen"/>
          <w:rFonts w:ascii="Times New Roman" w:hAnsi="Times New Roman"/>
          <w:sz w:val="24"/>
          <w:szCs w:val="24"/>
        </w:rPr>
        <w:footnoteReference w:id="9"/>
      </w:r>
    </w:p>
    <w:p w14:paraId="5A169271" w14:textId="77777777" w:rsidR="001413B5" w:rsidRPr="001413B5" w:rsidRDefault="001413B5" w:rsidP="001413B5">
      <w:pPr>
        <w:spacing w:after="0" w:line="360" w:lineRule="auto"/>
        <w:jc w:val="both"/>
        <w:rPr>
          <w:rFonts w:ascii="Times New Roman" w:hAnsi="Times New Roman"/>
          <w:sz w:val="24"/>
          <w:szCs w:val="24"/>
        </w:rPr>
      </w:pPr>
    </w:p>
    <w:p w14:paraId="2EFCE3E6"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2. Ein systematisches Problem mit Leibniz’ Souveränitätsbegriff</w:t>
      </w:r>
    </w:p>
    <w:p w14:paraId="36BFC925" w14:textId="77777777" w:rsidR="001413B5" w:rsidRPr="001413B5" w:rsidRDefault="001413B5" w:rsidP="001413B5">
      <w:pPr>
        <w:spacing w:after="0" w:line="360" w:lineRule="auto"/>
        <w:jc w:val="both"/>
        <w:rPr>
          <w:rFonts w:ascii="Times New Roman" w:hAnsi="Times New Roman"/>
          <w:sz w:val="24"/>
          <w:szCs w:val="24"/>
        </w:rPr>
      </w:pPr>
    </w:p>
    <w:p w14:paraId="76945B11"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Henniges was Professor für Rechtswissenschaften in Frankfurt/Oder und als Berater und Diplomat im Dienste des Kurfürsten von Brandenburg tätig.</w:t>
      </w:r>
      <w:r w:rsidRPr="001413B5">
        <w:rPr>
          <w:rStyle w:val="Funotenzeichen"/>
          <w:rFonts w:ascii="Times New Roman" w:hAnsi="Times New Roman"/>
          <w:sz w:val="24"/>
          <w:szCs w:val="24"/>
        </w:rPr>
        <w:footnoteReference w:id="10"/>
      </w:r>
      <w:r w:rsidRPr="001413B5">
        <w:rPr>
          <w:rFonts w:ascii="Times New Roman" w:hAnsi="Times New Roman"/>
          <w:sz w:val="24"/>
          <w:szCs w:val="24"/>
        </w:rPr>
        <w:t xml:space="preserve"> Deshalb überrascht es nicht, dass er das ausschließliche Gesandtschaftsrecht der Kurfürsten verteidigt. Im Zuge dieser Verteidigung entwickelt er den Einwand, dass Leibniz nicht hinreichend erläutert, wo die Grenze </w:t>
      </w:r>
      <w:r w:rsidRPr="00500448">
        <w:rPr>
          <w:rFonts w:ascii="Times New Roman" w:hAnsi="Times New Roman"/>
          <w:sz w:val="24"/>
          <w:szCs w:val="24"/>
        </w:rPr>
        <w:t>zwischen Souveränität (</w:t>
      </w:r>
      <w:r w:rsidRPr="00500448">
        <w:rPr>
          <w:rFonts w:ascii="Times New Roman" w:hAnsi="Times New Roman"/>
          <w:i/>
          <w:sz w:val="24"/>
          <w:szCs w:val="24"/>
        </w:rPr>
        <w:t>suprematus</w:t>
      </w:r>
      <w:r w:rsidRPr="00500448">
        <w:rPr>
          <w:rFonts w:ascii="Times New Roman" w:hAnsi="Times New Roman"/>
          <w:sz w:val="24"/>
          <w:szCs w:val="24"/>
        </w:rPr>
        <w:t>) und Landeshoheit (</w:t>
      </w:r>
      <w:r w:rsidRPr="00500448">
        <w:rPr>
          <w:rFonts w:ascii="Times New Roman" w:hAnsi="Times New Roman"/>
          <w:i/>
          <w:sz w:val="24"/>
          <w:szCs w:val="24"/>
        </w:rPr>
        <w:t>superioritas</w:t>
      </w:r>
      <w:r w:rsidRPr="00500448">
        <w:rPr>
          <w:rFonts w:ascii="Times New Roman" w:hAnsi="Times New Roman"/>
          <w:sz w:val="24"/>
          <w:szCs w:val="24"/>
        </w:rPr>
        <w:t>) liegt. Wie Leibniz die Unterscheidung auffasst, bes</w:t>
      </w:r>
      <w:r w:rsidR="00500448" w:rsidRPr="00500448">
        <w:rPr>
          <w:rFonts w:ascii="Times New Roman" w:hAnsi="Times New Roman"/>
          <w:sz w:val="24"/>
          <w:szCs w:val="24"/>
        </w:rPr>
        <w:t>chränkt sich Landeshoheit auf</w:t>
      </w:r>
      <w:r w:rsidR="00500448" w:rsidRPr="00500448">
        <w:rPr>
          <w:rFonts w:ascii="Times New Roman" w:hAnsi="Times New Roman"/>
        </w:rPr>
        <w:t xml:space="preserve"> Gerichtsbarkeit und die Fähigkeit eine Revolte von Untertanen durch militärische Gewalt zu unterdrücken,</w:t>
      </w:r>
      <w:r w:rsidR="00500448" w:rsidRPr="00500448">
        <w:rPr>
          <w:rStyle w:val="Funotenzeichen"/>
          <w:rFonts w:ascii="Times New Roman" w:hAnsi="Times New Roman"/>
        </w:rPr>
        <w:footnoteReference w:id="11"/>
      </w:r>
      <w:r w:rsidR="00500448" w:rsidRPr="00500448">
        <w:rPr>
          <w:rFonts w:ascii="Times New Roman" w:hAnsi="Times New Roman"/>
        </w:rPr>
        <w:t xml:space="preserve"> während Souveränität die Fähigkeit mit einschließt, andere politische Gemeinschaften in verschiedenen Weisen zu beeinflussen: durch militärische Mittel, durch nicht-militärische Sanktionen, und durch Mitwirkung in internationalen Verhandlungen.</w:t>
      </w:r>
      <w:r w:rsidR="00500448" w:rsidRPr="00500448">
        <w:rPr>
          <w:rStyle w:val="Funotenzeichen"/>
          <w:rFonts w:ascii="Times New Roman" w:hAnsi="Times New Roman"/>
        </w:rPr>
        <w:footnoteReference w:id="12"/>
      </w:r>
      <w:r w:rsidR="00500448" w:rsidRPr="00500448">
        <w:rPr>
          <w:rFonts w:ascii="Times New Roman" w:hAnsi="Times New Roman"/>
        </w:rPr>
        <w:t xml:space="preserve"> </w:t>
      </w:r>
      <w:r w:rsidRPr="00500448">
        <w:rPr>
          <w:rFonts w:ascii="Times New Roman" w:hAnsi="Times New Roman"/>
          <w:sz w:val="24"/>
          <w:szCs w:val="24"/>
        </w:rPr>
        <w:t>He</w:t>
      </w:r>
      <w:r w:rsidR="00500448" w:rsidRPr="00500448">
        <w:rPr>
          <w:rFonts w:ascii="Times New Roman" w:hAnsi="Times New Roman"/>
          <w:sz w:val="24"/>
          <w:szCs w:val="24"/>
        </w:rPr>
        <w:t>nniges</w:t>
      </w:r>
      <w:r w:rsidR="00500448">
        <w:rPr>
          <w:rFonts w:ascii="Times New Roman" w:hAnsi="Times New Roman"/>
          <w:sz w:val="24"/>
          <w:szCs w:val="24"/>
        </w:rPr>
        <w:t xml:space="preserve"> argumentiert, dass das</w:t>
      </w:r>
      <w:r w:rsidRPr="001413B5">
        <w:rPr>
          <w:rFonts w:ascii="Times New Roman" w:hAnsi="Times New Roman"/>
          <w:sz w:val="24"/>
          <w:szCs w:val="24"/>
        </w:rPr>
        <w:t xml:space="preserve"> Problem</w:t>
      </w:r>
      <w:r w:rsidR="00500448">
        <w:rPr>
          <w:rFonts w:ascii="Times New Roman" w:hAnsi="Times New Roman"/>
          <w:sz w:val="24"/>
          <w:szCs w:val="24"/>
        </w:rPr>
        <w:t xml:space="preserve"> der Grenze zwischen Souveränität und Landeshoheit</w:t>
      </w:r>
      <w:r w:rsidRPr="001413B5">
        <w:rPr>
          <w:rFonts w:ascii="Times New Roman" w:hAnsi="Times New Roman"/>
          <w:sz w:val="24"/>
          <w:szCs w:val="24"/>
        </w:rPr>
        <w:t xml:space="preserve"> schwerwiegend ist. Denn wenn man die von Leibniz erwähnten Variablen betrachtet—Größe des Territoriums, das Steueraufkommen, die finanziellen Möglichkeiten, eine Armee zu unterhalten, die Praxis, Bündnisse einzugehen, und die Praxis, Gesandtschaften zu entsenden—dann sind Städte (wie etwa Hamburg, Nürnberg, Frankfurt, Lübeck, Ulm und Köln) und Reichsritter (wie die Grafen von Oldenburg) in einer vergleichbaren Position. In diesem Fall wäre es von Leibniz’ Standpunkt aus inkohärent, diesen Reichsständen die Souveränität abzusprechen.</w:t>
      </w:r>
      <w:r w:rsidRPr="001413B5">
        <w:rPr>
          <w:rStyle w:val="Funotenzeichen"/>
          <w:rFonts w:ascii="Times New Roman" w:hAnsi="Times New Roman"/>
          <w:sz w:val="24"/>
          <w:szCs w:val="24"/>
        </w:rPr>
        <w:footnoteReference w:id="13"/>
      </w:r>
      <w:r w:rsidRPr="001413B5">
        <w:rPr>
          <w:rFonts w:ascii="Times New Roman" w:hAnsi="Times New Roman"/>
          <w:sz w:val="24"/>
          <w:szCs w:val="24"/>
        </w:rPr>
        <w:t xml:space="preserve"> Wenn man also, wie Leibniz dies tut, den Fürsten das Gesandtschaftsrecht zuspricht, kann man den Städten und Reichsrittern dasselbe Recht nicht vorenthalten. Natürlich lehnen sowohl Leibniz also auch </w:t>
      </w:r>
      <w:r w:rsidRPr="001413B5">
        <w:rPr>
          <w:rFonts w:ascii="Times New Roman" w:hAnsi="Times New Roman"/>
          <w:sz w:val="24"/>
          <w:szCs w:val="24"/>
        </w:rPr>
        <w:lastRenderedPageBreak/>
        <w:t xml:space="preserve">Henniges diese Konsequenz ab. Deshalb kann Henniges’ Überlegung als eine </w:t>
      </w:r>
      <w:r w:rsidR="00B47C0E">
        <w:rPr>
          <w:rFonts w:ascii="Times New Roman" w:hAnsi="Times New Roman"/>
          <w:i/>
          <w:sz w:val="24"/>
          <w:szCs w:val="24"/>
        </w:rPr>
        <w:t>re</w:t>
      </w:r>
      <w:r w:rsidRPr="001413B5">
        <w:rPr>
          <w:rFonts w:ascii="Times New Roman" w:hAnsi="Times New Roman"/>
          <w:i/>
          <w:sz w:val="24"/>
          <w:szCs w:val="24"/>
        </w:rPr>
        <w:t>ductio ad absurdum</w:t>
      </w:r>
      <w:r w:rsidRPr="001413B5">
        <w:rPr>
          <w:rFonts w:ascii="Times New Roman" w:hAnsi="Times New Roman"/>
          <w:sz w:val="24"/>
          <w:szCs w:val="24"/>
        </w:rPr>
        <w:t xml:space="preserve"> verstanden werden. Aber</w:t>
      </w:r>
      <w:r w:rsidR="00D645A4">
        <w:rPr>
          <w:rFonts w:ascii="Times New Roman" w:hAnsi="Times New Roman"/>
          <w:sz w:val="24"/>
          <w:szCs w:val="24"/>
        </w:rPr>
        <w:t xml:space="preserve"> ist</w:t>
      </w:r>
      <w:r w:rsidRPr="001413B5">
        <w:rPr>
          <w:rFonts w:ascii="Times New Roman" w:hAnsi="Times New Roman"/>
          <w:sz w:val="24"/>
          <w:szCs w:val="24"/>
        </w:rPr>
        <w:t xml:space="preserve"> die Konsequenz tatsächlich so absurd, wie sie Henniges erscheint?</w:t>
      </w:r>
    </w:p>
    <w:p w14:paraId="34769815"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ab/>
        <w:t>Leibniz scheint das Problem dadurch umgehen zu wollen, indem er Fälle, in denen ein Gesandtschaftsrecht eindeutig zugesprochen werden kann, von Fällen unterscheidet, in denen ein Gesandtschaftsrecht nach allgemeinem Konsens nicht in Frage kommt, während er die Behandlung von möglichen Fällen, die zwischen diesen klaren Fällen liegen, offenlässt. Zu den klaren Fällen der ersteren Art rechnet er alle freien Völker, wie etwa die Venezianer, die Niederländer, und die Schweizer.</w:t>
      </w:r>
      <w:r w:rsidRPr="001413B5">
        <w:rPr>
          <w:rStyle w:val="Funotenzeichen"/>
          <w:rFonts w:ascii="Times New Roman" w:hAnsi="Times New Roman"/>
          <w:sz w:val="24"/>
          <w:szCs w:val="24"/>
        </w:rPr>
        <w:footnoteReference w:id="14"/>
      </w:r>
      <w:r w:rsidRPr="001413B5">
        <w:rPr>
          <w:rFonts w:ascii="Times New Roman" w:hAnsi="Times New Roman"/>
          <w:sz w:val="24"/>
          <w:szCs w:val="24"/>
        </w:rPr>
        <w:t xml:space="preserve"> Zu den klaren Fällen der letzteren Art gehören Neapel und die Lombardei, die Leibniz als bloße Provinzen des Spanischen Königreichs betrachtet.</w:t>
      </w:r>
      <w:r w:rsidRPr="001413B5">
        <w:rPr>
          <w:rStyle w:val="Funotenzeichen"/>
          <w:rFonts w:ascii="Times New Roman" w:hAnsi="Times New Roman"/>
          <w:sz w:val="24"/>
          <w:szCs w:val="24"/>
        </w:rPr>
        <w:footnoteReference w:id="15"/>
      </w:r>
      <w:r w:rsidRPr="001413B5">
        <w:rPr>
          <w:rFonts w:ascii="Times New Roman" w:hAnsi="Times New Roman"/>
          <w:sz w:val="24"/>
          <w:szCs w:val="24"/>
        </w:rPr>
        <w:t xml:space="preserve"> In seiner Antwort auf Henniges macht er von der Idee Gebrauch, dass, wie bei vagen Begriffen wie arm und reich, kahl und nicht kahl, kein präziser Punkt festgelegt werden kann, an dem die Grenze zwischen Souveränität und Landesherrschaft liegt. Dennoch besteht Leibniz darauf, dass es in einer Vielzahl von Fällen </w:t>
      </w:r>
      <w:r w:rsidR="00B47C0E">
        <w:rPr>
          <w:rFonts w:ascii="Times New Roman" w:hAnsi="Times New Roman"/>
          <w:sz w:val="24"/>
          <w:szCs w:val="24"/>
        </w:rPr>
        <w:t>einen Konsens darüber gebe</w:t>
      </w:r>
      <w:r w:rsidRPr="001413B5">
        <w:rPr>
          <w:rFonts w:ascii="Times New Roman" w:hAnsi="Times New Roman"/>
          <w:sz w:val="24"/>
          <w:szCs w:val="24"/>
        </w:rPr>
        <w:t>, ob ein politisches Gebilde unter den Begriff der Souveränität fällt oder nicht. In dieser Weise hofft Leibniz die Konsequenz zu verhindern, dass sich graduelle Abstufungen von Souveränitätsrechten nach den graduellen Abstufungen in Bezug auf Macht treffen lassen.</w:t>
      </w:r>
      <w:r w:rsidRPr="001413B5">
        <w:rPr>
          <w:rStyle w:val="Funotenzeichen"/>
          <w:rFonts w:ascii="Times New Roman" w:hAnsi="Times New Roman"/>
          <w:sz w:val="24"/>
          <w:szCs w:val="24"/>
        </w:rPr>
        <w:footnoteReference w:id="16"/>
      </w:r>
    </w:p>
    <w:p w14:paraId="44B52FAD" w14:textId="77777777" w:rsidR="001413B5" w:rsidRPr="001413B5" w:rsidRDefault="001413B5" w:rsidP="000965F6">
      <w:pPr>
        <w:spacing w:after="0" w:line="360" w:lineRule="auto"/>
        <w:ind w:firstLine="708"/>
        <w:jc w:val="both"/>
        <w:rPr>
          <w:rFonts w:ascii="Times New Roman" w:hAnsi="Times New Roman"/>
          <w:sz w:val="24"/>
          <w:szCs w:val="24"/>
        </w:rPr>
      </w:pPr>
      <w:r w:rsidRPr="001413B5">
        <w:rPr>
          <w:rFonts w:ascii="Times New Roman" w:hAnsi="Times New Roman"/>
          <w:sz w:val="24"/>
          <w:szCs w:val="24"/>
        </w:rPr>
        <w:t>Diese Erwiderung scheint allerdings erheb</w:t>
      </w:r>
      <w:r w:rsidR="00B47C0E">
        <w:rPr>
          <w:rFonts w:ascii="Times New Roman" w:hAnsi="Times New Roman"/>
          <w:sz w:val="24"/>
          <w:szCs w:val="24"/>
        </w:rPr>
        <w:t>liche Schwächen aufzuweisen: Denn</w:t>
      </w:r>
      <w:r w:rsidRPr="001413B5">
        <w:rPr>
          <w:rFonts w:ascii="Times New Roman" w:hAnsi="Times New Roman"/>
          <w:sz w:val="24"/>
          <w:szCs w:val="24"/>
        </w:rPr>
        <w:t xml:space="preserve"> Henniges’ Punkt ist es nicht, dass Leibniz’ Auffassungen zum Souveränitätsbegriff auf eine graduelle Abstufung von Souveränitätsrechten hinausläuft. In Gegenteil argumentiert er, dass wenn den Fürsten das (volle) Gesandtschaftsrecht zugesprochen wird, auch den Städten und Ritten das (volle) Gesandtschaftsrecht zugespro</w:t>
      </w:r>
      <w:r w:rsidR="000965F6">
        <w:rPr>
          <w:rFonts w:ascii="Times New Roman" w:hAnsi="Times New Roman"/>
          <w:sz w:val="24"/>
          <w:szCs w:val="24"/>
        </w:rPr>
        <w:t>chen werden sollte</w:t>
      </w:r>
      <w:r w:rsidRPr="001413B5">
        <w:rPr>
          <w:rFonts w:ascii="Times New Roman" w:hAnsi="Times New Roman"/>
          <w:sz w:val="24"/>
          <w:szCs w:val="24"/>
        </w:rPr>
        <w:t xml:space="preserve">. </w:t>
      </w:r>
      <w:r w:rsidR="00B47C0E">
        <w:rPr>
          <w:rFonts w:ascii="Times New Roman" w:hAnsi="Times New Roman"/>
          <w:sz w:val="24"/>
          <w:szCs w:val="24"/>
        </w:rPr>
        <w:t>Auch lässt</w:t>
      </w:r>
      <w:r w:rsidRPr="001413B5">
        <w:rPr>
          <w:rFonts w:ascii="Times New Roman" w:hAnsi="Times New Roman"/>
          <w:sz w:val="24"/>
          <w:szCs w:val="24"/>
        </w:rPr>
        <w:t xml:space="preserve"> sich durch einen Blick in Besolds staatsrechtliche Abhandlungen und e</w:t>
      </w:r>
      <w:r w:rsidR="00B47C0E">
        <w:rPr>
          <w:rFonts w:ascii="Times New Roman" w:hAnsi="Times New Roman"/>
          <w:sz w:val="24"/>
          <w:szCs w:val="24"/>
        </w:rPr>
        <w:t>inige ihrer Quellen zeigen</w:t>
      </w:r>
      <w:r w:rsidRPr="001413B5">
        <w:rPr>
          <w:rFonts w:ascii="Times New Roman" w:hAnsi="Times New Roman"/>
          <w:sz w:val="24"/>
          <w:szCs w:val="24"/>
        </w:rPr>
        <w:t>,</w:t>
      </w:r>
      <w:r w:rsidR="00B47C0E">
        <w:rPr>
          <w:rFonts w:ascii="Times New Roman" w:hAnsi="Times New Roman"/>
          <w:sz w:val="24"/>
          <w:szCs w:val="24"/>
        </w:rPr>
        <w:t xml:space="preserve"> dass </w:t>
      </w:r>
      <w:r w:rsidRPr="001413B5">
        <w:rPr>
          <w:rFonts w:ascii="Times New Roman" w:hAnsi="Times New Roman"/>
          <w:sz w:val="24"/>
          <w:szCs w:val="24"/>
        </w:rPr>
        <w:t>in der politischen Theorie des 17. Jahrhunderts auch keinesfalls ein Konsens</w:t>
      </w:r>
      <w:r w:rsidR="00B47C0E">
        <w:rPr>
          <w:rFonts w:ascii="Times New Roman" w:hAnsi="Times New Roman"/>
          <w:sz w:val="24"/>
          <w:szCs w:val="24"/>
        </w:rPr>
        <w:t xml:space="preserve"> bestand</w:t>
      </w:r>
      <w:r w:rsidRPr="001413B5">
        <w:rPr>
          <w:rFonts w:ascii="Times New Roman" w:hAnsi="Times New Roman"/>
          <w:sz w:val="24"/>
          <w:szCs w:val="24"/>
        </w:rPr>
        <w:t xml:space="preserve">, dass den Städten und Rittern </w:t>
      </w:r>
      <w:r w:rsidR="00B47C0E">
        <w:rPr>
          <w:rFonts w:ascii="Times New Roman" w:hAnsi="Times New Roman"/>
          <w:sz w:val="24"/>
          <w:szCs w:val="24"/>
        </w:rPr>
        <w:t>kein Gesandtschaftsrecht zustehe</w:t>
      </w:r>
      <w:r w:rsidR="000965F6">
        <w:rPr>
          <w:rFonts w:ascii="Times New Roman" w:hAnsi="Times New Roman"/>
          <w:sz w:val="24"/>
          <w:szCs w:val="24"/>
        </w:rPr>
        <w:t xml:space="preserve">. </w:t>
      </w:r>
      <w:r w:rsidRPr="001413B5">
        <w:rPr>
          <w:rFonts w:ascii="Times New Roman" w:hAnsi="Times New Roman"/>
          <w:sz w:val="24"/>
          <w:szCs w:val="24"/>
        </w:rPr>
        <w:t>Der Einwand von Henniges macht deshalb auf ein interessantes Proble</w:t>
      </w:r>
      <w:r w:rsidR="000965F6">
        <w:rPr>
          <w:rFonts w:ascii="Times New Roman" w:hAnsi="Times New Roman"/>
          <w:sz w:val="24"/>
          <w:szCs w:val="24"/>
        </w:rPr>
        <w:t>m in Leibniz’ Denken aufmerksam. Hier</w:t>
      </w:r>
      <w:r w:rsidR="00B47C0E">
        <w:rPr>
          <w:rFonts w:ascii="Times New Roman" w:hAnsi="Times New Roman"/>
          <w:sz w:val="24"/>
          <w:szCs w:val="24"/>
        </w:rPr>
        <w:t xml:space="preserve"> wird</w:t>
      </w:r>
      <w:r w:rsidR="000965F6">
        <w:rPr>
          <w:rFonts w:ascii="Times New Roman" w:hAnsi="Times New Roman"/>
          <w:sz w:val="24"/>
          <w:szCs w:val="24"/>
        </w:rPr>
        <w:t xml:space="preserve"> es</w:t>
      </w:r>
      <w:r w:rsidR="00B47C0E">
        <w:rPr>
          <w:rFonts w:ascii="Times New Roman" w:hAnsi="Times New Roman"/>
          <w:sz w:val="24"/>
          <w:szCs w:val="24"/>
        </w:rPr>
        <w:t xml:space="preserve"> von V</w:t>
      </w:r>
      <w:r w:rsidR="000965F6">
        <w:rPr>
          <w:rFonts w:ascii="Times New Roman" w:hAnsi="Times New Roman"/>
          <w:sz w:val="24"/>
          <w:szCs w:val="24"/>
        </w:rPr>
        <w:t xml:space="preserve">orteil sein, die </w:t>
      </w:r>
      <w:r w:rsidR="00B47C0E">
        <w:rPr>
          <w:rFonts w:ascii="Times New Roman" w:hAnsi="Times New Roman"/>
          <w:sz w:val="24"/>
          <w:szCs w:val="24"/>
        </w:rPr>
        <w:t>Parallelen zwischen Leibniz</w:t>
      </w:r>
      <w:r w:rsidR="000965F6">
        <w:rPr>
          <w:rFonts w:ascii="Times New Roman" w:hAnsi="Times New Roman"/>
          <w:sz w:val="24"/>
          <w:szCs w:val="24"/>
        </w:rPr>
        <w:t>’</w:t>
      </w:r>
      <w:r w:rsidR="00B47C0E">
        <w:rPr>
          <w:rFonts w:ascii="Times New Roman" w:hAnsi="Times New Roman"/>
          <w:sz w:val="24"/>
          <w:szCs w:val="24"/>
        </w:rPr>
        <w:t xml:space="preserve"> und</w:t>
      </w:r>
      <w:r w:rsidRPr="001413B5">
        <w:rPr>
          <w:rFonts w:ascii="Times New Roman" w:hAnsi="Times New Roman"/>
          <w:sz w:val="24"/>
          <w:szCs w:val="24"/>
        </w:rPr>
        <w:t xml:space="preserve"> Besold</w:t>
      </w:r>
      <w:r w:rsidR="000965F6">
        <w:rPr>
          <w:rFonts w:ascii="Times New Roman" w:hAnsi="Times New Roman"/>
          <w:sz w:val="24"/>
          <w:szCs w:val="24"/>
        </w:rPr>
        <w:t>s Überlegungen zu den</w:t>
      </w:r>
      <w:r w:rsidRPr="001413B5">
        <w:rPr>
          <w:rFonts w:ascii="Times New Roman" w:hAnsi="Times New Roman"/>
          <w:sz w:val="24"/>
          <w:szCs w:val="24"/>
        </w:rPr>
        <w:t xml:space="preserve"> verfassungsrechtlichen, völkerrechtlichen und naturrechtlichen Grun</w:t>
      </w:r>
      <w:r w:rsidR="000965F6">
        <w:rPr>
          <w:rFonts w:ascii="Times New Roman" w:hAnsi="Times New Roman"/>
          <w:sz w:val="24"/>
          <w:szCs w:val="24"/>
        </w:rPr>
        <w:t>dlagen des Bündnisrechts in den Blick zu nehmen, denn in diesen Überlegungen finden sich argumentative Ressourcen</w:t>
      </w:r>
      <w:r w:rsidRPr="001413B5">
        <w:rPr>
          <w:rFonts w:ascii="Times New Roman" w:hAnsi="Times New Roman"/>
          <w:sz w:val="24"/>
          <w:szCs w:val="24"/>
        </w:rPr>
        <w:t>,</w:t>
      </w:r>
      <w:r w:rsidR="000965F6">
        <w:rPr>
          <w:rFonts w:ascii="Times New Roman" w:hAnsi="Times New Roman"/>
          <w:sz w:val="24"/>
          <w:szCs w:val="24"/>
        </w:rPr>
        <w:t xml:space="preserve"> </w:t>
      </w:r>
      <w:r w:rsidR="000965F6">
        <w:rPr>
          <w:rFonts w:ascii="Times New Roman" w:hAnsi="Times New Roman"/>
          <w:sz w:val="24"/>
          <w:szCs w:val="24"/>
        </w:rPr>
        <w:lastRenderedPageBreak/>
        <w:t xml:space="preserve">die geeignet sind, </w:t>
      </w:r>
      <w:r w:rsidRPr="001413B5">
        <w:rPr>
          <w:rFonts w:ascii="Times New Roman" w:hAnsi="Times New Roman"/>
          <w:sz w:val="24"/>
          <w:szCs w:val="24"/>
        </w:rPr>
        <w:t xml:space="preserve">Henniges’ Einwand in einer überzeugenderen Weise zu erwidern, als dies Leibniz tatsächlich gelungen ist.  </w:t>
      </w:r>
    </w:p>
    <w:p w14:paraId="75F2D5B6" w14:textId="77777777" w:rsidR="001413B5" w:rsidRPr="001413B5" w:rsidRDefault="001413B5" w:rsidP="001413B5">
      <w:pPr>
        <w:spacing w:after="0" w:line="360" w:lineRule="auto"/>
        <w:jc w:val="both"/>
        <w:rPr>
          <w:rFonts w:ascii="Times New Roman" w:hAnsi="Times New Roman"/>
          <w:sz w:val="24"/>
          <w:szCs w:val="24"/>
        </w:rPr>
      </w:pPr>
    </w:p>
    <w:p w14:paraId="7FFDAD76"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3. Bündnisrecht und Verfassungsrecht</w:t>
      </w:r>
    </w:p>
    <w:p w14:paraId="41F47BEE" w14:textId="77777777" w:rsidR="001413B5" w:rsidRPr="001413B5" w:rsidRDefault="001413B5" w:rsidP="001413B5">
      <w:pPr>
        <w:spacing w:after="0" w:line="360" w:lineRule="auto"/>
        <w:jc w:val="both"/>
        <w:rPr>
          <w:rFonts w:ascii="Times New Roman" w:hAnsi="Times New Roman"/>
          <w:sz w:val="24"/>
          <w:szCs w:val="24"/>
        </w:rPr>
      </w:pPr>
    </w:p>
    <w:p w14:paraId="5B43413C"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Leibniz ist der Überzeugung, dass Reichsstädte keine Souveränität besitzen und dass sie auch keine Souveränität beanspruchen. Sein Argument ist, dass nur Gemeinwesen Souveränität besitzen, die durch militärische Macht und Bündnisse auf d</w:t>
      </w:r>
      <w:r w:rsidR="00E146C2">
        <w:rPr>
          <w:rFonts w:ascii="Times New Roman" w:hAnsi="Times New Roman"/>
          <w:sz w:val="24"/>
          <w:szCs w:val="24"/>
        </w:rPr>
        <w:t>ie höchste europäische Politik</w:t>
      </w:r>
      <w:r w:rsidRPr="001413B5">
        <w:rPr>
          <w:rFonts w:ascii="Times New Roman" w:hAnsi="Times New Roman"/>
          <w:sz w:val="24"/>
          <w:szCs w:val="24"/>
        </w:rPr>
        <w:t xml:space="preserve"> Einfluss nehmen können.</w:t>
      </w:r>
      <w:r w:rsidRPr="001413B5">
        <w:rPr>
          <w:rStyle w:val="Funotenzeichen"/>
          <w:rFonts w:ascii="Times New Roman" w:hAnsi="Times New Roman"/>
          <w:sz w:val="24"/>
          <w:szCs w:val="24"/>
        </w:rPr>
        <w:footnoteReference w:id="17"/>
      </w:r>
      <w:r w:rsidRPr="001413B5">
        <w:rPr>
          <w:rFonts w:ascii="Times New Roman" w:hAnsi="Times New Roman"/>
          <w:sz w:val="24"/>
          <w:szCs w:val="24"/>
        </w:rPr>
        <w:t xml:space="preserve"> </w:t>
      </w:r>
      <w:r w:rsidR="00B47C0E">
        <w:rPr>
          <w:rFonts w:ascii="Times New Roman" w:hAnsi="Times New Roman"/>
          <w:sz w:val="24"/>
          <w:szCs w:val="24"/>
        </w:rPr>
        <w:t>Jed</w:t>
      </w:r>
      <w:r w:rsidRPr="001413B5">
        <w:rPr>
          <w:rFonts w:ascii="Times New Roman" w:hAnsi="Times New Roman"/>
          <w:sz w:val="24"/>
          <w:szCs w:val="24"/>
        </w:rPr>
        <w:t>och stellt sich hier die Frage, ob nur die größten Mächte eine solche Einflussmöglichkeit besitzen. Gerade durch Bündnisse scheinen sich kleineren Mächten Möglichkeiten zu eröffnen, auf die europäische Politik einen Grad an Einfluss zu nehmen, der ihnen außerhalb von Bündnissen unmöglich wäre. Leibniz erwähnt in diesem Zusammenhang Städtebündnisse wie die Hanse,</w:t>
      </w:r>
      <w:r w:rsidRPr="001413B5">
        <w:rPr>
          <w:rStyle w:val="Funotenzeichen"/>
          <w:rFonts w:ascii="Times New Roman" w:hAnsi="Times New Roman"/>
          <w:sz w:val="24"/>
          <w:szCs w:val="24"/>
        </w:rPr>
        <w:footnoteReference w:id="18"/>
      </w:r>
      <w:r w:rsidRPr="001413B5">
        <w:rPr>
          <w:rFonts w:ascii="Times New Roman" w:hAnsi="Times New Roman"/>
          <w:sz w:val="24"/>
          <w:szCs w:val="24"/>
        </w:rPr>
        <w:t xml:space="preserve"> wendet aber ein, dass Hansestädte keine Souveränität besitzen, weil einige von ihnen keine freien Reichsstädte sind. Auch argumentiert er, dass selbst freie Reichsstädte nicht souverän seien, weil sie nicht die Würde von Fürsten besitzen und weil sie nur in Bündnissen mit anderen Ständen Krieg führen können. Doch der erste Teil dieses Arguments scheint eine </w:t>
      </w:r>
      <w:r w:rsidRPr="001413B5">
        <w:rPr>
          <w:rFonts w:ascii="Times New Roman" w:hAnsi="Times New Roman"/>
          <w:i/>
          <w:sz w:val="24"/>
          <w:szCs w:val="24"/>
        </w:rPr>
        <w:t xml:space="preserve">petitio principii </w:t>
      </w:r>
      <w:r w:rsidRPr="001413B5">
        <w:rPr>
          <w:rFonts w:ascii="Times New Roman" w:hAnsi="Times New Roman"/>
          <w:sz w:val="24"/>
          <w:szCs w:val="24"/>
        </w:rPr>
        <w:t xml:space="preserve">zu begehen, denn es ist ja gerade die Frage, ob der Unterschied an verfassungsrechtlicher Würde so weit geht, dass die Reichsstädte kein Bündnisrecht besitzen. Gegen den zweiten Teil </w:t>
      </w:r>
      <w:r w:rsidR="00B47C0E">
        <w:rPr>
          <w:rFonts w:ascii="Times New Roman" w:hAnsi="Times New Roman"/>
          <w:sz w:val="24"/>
          <w:szCs w:val="24"/>
        </w:rPr>
        <w:t>des Arguments könnte eingewendet</w:t>
      </w:r>
      <w:r w:rsidRPr="001413B5">
        <w:rPr>
          <w:rFonts w:ascii="Times New Roman" w:hAnsi="Times New Roman"/>
          <w:sz w:val="24"/>
          <w:szCs w:val="24"/>
        </w:rPr>
        <w:t xml:space="preserve"> werden, dass, auch wenn die Reichsstädte nur im Bündnis mit anderen Krieg führen können, diese Bündnisse dennoch legitime </w:t>
      </w:r>
      <w:r w:rsidR="00B47C0E">
        <w:rPr>
          <w:rFonts w:ascii="Times New Roman" w:hAnsi="Times New Roman"/>
          <w:sz w:val="24"/>
          <w:szCs w:val="24"/>
        </w:rPr>
        <w:t xml:space="preserve">völkerrechtliche </w:t>
      </w:r>
      <w:r w:rsidRPr="001413B5">
        <w:rPr>
          <w:rFonts w:ascii="Times New Roman" w:hAnsi="Times New Roman"/>
          <w:sz w:val="24"/>
          <w:szCs w:val="24"/>
        </w:rPr>
        <w:t>Funktionen erfüllen könnten.</w:t>
      </w:r>
      <w:r w:rsidRPr="001413B5">
        <w:rPr>
          <w:rStyle w:val="Funotenzeichen"/>
          <w:rFonts w:ascii="Times New Roman" w:hAnsi="Times New Roman"/>
          <w:sz w:val="24"/>
          <w:szCs w:val="24"/>
        </w:rPr>
        <w:footnoteReference w:id="19"/>
      </w:r>
      <w:r w:rsidRPr="001413B5">
        <w:rPr>
          <w:rFonts w:ascii="Times New Roman" w:hAnsi="Times New Roman"/>
          <w:sz w:val="24"/>
          <w:szCs w:val="24"/>
        </w:rPr>
        <w:t xml:space="preserve">  </w:t>
      </w:r>
    </w:p>
    <w:p w14:paraId="3E2A8A97" w14:textId="77777777" w:rsidR="001413B5" w:rsidRPr="001413B5" w:rsidRDefault="00BE2223" w:rsidP="001413B5">
      <w:pPr>
        <w:spacing w:after="0" w:line="360" w:lineRule="auto"/>
        <w:jc w:val="both"/>
        <w:rPr>
          <w:rFonts w:ascii="Times New Roman" w:hAnsi="Times New Roman"/>
          <w:sz w:val="24"/>
          <w:szCs w:val="24"/>
        </w:rPr>
      </w:pPr>
      <w:r>
        <w:rPr>
          <w:rFonts w:ascii="Times New Roman" w:hAnsi="Times New Roman"/>
          <w:sz w:val="24"/>
          <w:szCs w:val="24"/>
        </w:rPr>
        <w:tab/>
        <w:t>Ob Städtebündnisse solche</w:t>
      </w:r>
      <w:r w:rsidR="001413B5" w:rsidRPr="001413B5">
        <w:rPr>
          <w:rFonts w:ascii="Times New Roman" w:hAnsi="Times New Roman"/>
          <w:sz w:val="24"/>
          <w:szCs w:val="24"/>
        </w:rPr>
        <w:t xml:space="preserve"> Funktionen erfüllen können, ist eine zentrale Frage für Christoph Besold. In seinen Überlegungen, wie auch in den Überlegungen von Leibniz, finden sich verfassungsrechtliche, völkerrechtliche und naturrechtliche Elemente, und, wie sich zeigen wird, bestehen enge argumentative Verknüpfungen zwischen diesen Elementen. Beginnen wir mit einigen verfassungsrechtlichen Elementen, bei denen sich Besold und Leibniz in ähnlicher Weise auf historische Fakten und historische Rechtsdokumente stützen. Zu den historischen Fakten, die bei beiden Denkern erwähnt werden, gehören Entwicklungen der mittelalterlichen Geschichte, wi</w:t>
      </w:r>
      <w:r w:rsidR="00C71A1C">
        <w:rPr>
          <w:rFonts w:ascii="Times New Roman" w:hAnsi="Times New Roman"/>
          <w:sz w:val="24"/>
          <w:szCs w:val="24"/>
        </w:rPr>
        <w:t xml:space="preserve">e </w:t>
      </w:r>
      <w:r w:rsidR="006002E6">
        <w:rPr>
          <w:rFonts w:ascii="Times New Roman" w:hAnsi="Times New Roman"/>
          <w:sz w:val="24"/>
          <w:szCs w:val="24"/>
        </w:rPr>
        <w:t>der Rheinische Städtebund (1254)</w:t>
      </w:r>
      <w:r w:rsidR="006002E6" w:rsidRPr="001413B5">
        <w:rPr>
          <w:rFonts w:ascii="Times New Roman" w:hAnsi="Times New Roman"/>
          <w:sz w:val="24"/>
          <w:szCs w:val="24"/>
        </w:rPr>
        <w:t xml:space="preserve">, </w:t>
      </w:r>
      <w:r w:rsidR="00C71A1C">
        <w:rPr>
          <w:rFonts w:ascii="Times New Roman" w:hAnsi="Times New Roman"/>
          <w:sz w:val="24"/>
          <w:szCs w:val="24"/>
        </w:rPr>
        <w:t xml:space="preserve">der Wendische </w:t>
      </w:r>
      <w:r w:rsidR="00C71A1C">
        <w:rPr>
          <w:rFonts w:ascii="Times New Roman" w:hAnsi="Times New Roman"/>
          <w:sz w:val="24"/>
          <w:szCs w:val="24"/>
        </w:rPr>
        <w:lastRenderedPageBreak/>
        <w:t>Städtebund (1259</w:t>
      </w:r>
      <w:r w:rsidR="006002E6">
        <w:rPr>
          <w:rFonts w:ascii="Times New Roman" w:hAnsi="Times New Roman"/>
          <w:sz w:val="24"/>
          <w:szCs w:val="24"/>
        </w:rPr>
        <w:t xml:space="preserve">), </w:t>
      </w:r>
      <w:r w:rsidR="001413B5" w:rsidRPr="001413B5">
        <w:rPr>
          <w:rFonts w:ascii="Times New Roman" w:hAnsi="Times New Roman"/>
          <w:sz w:val="24"/>
          <w:szCs w:val="24"/>
        </w:rPr>
        <w:t>die H</w:t>
      </w:r>
      <w:r w:rsidR="00EC6959">
        <w:rPr>
          <w:rFonts w:ascii="Times New Roman" w:hAnsi="Times New Roman"/>
          <w:sz w:val="24"/>
          <w:szCs w:val="24"/>
        </w:rPr>
        <w:t>anse und der Schwäbische B</w:t>
      </w:r>
      <w:r w:rsidR="001413B5" w:rsidRPr="001413B5">
        <w:rPr>
          <w:rFonts w:ascii="Times New Roman" w:hAnsi="Times New Roman"/>
          <w:sz w:val="24"/>
          <w:szCs w:val="24"/>
        </w:rPr>
        <w:t>und</w:t>
      </w:r>
      <w:r w:rsidR="006002E6">
        <w:rPr>
          <w:rFonts w:ascii="Times New Roman" w:hAnsi="Times New Roman"/>
          <w:sz w:val="24"/>
          <w:szCs w:val="24"/>
        </w:rPr>
        <w:t xml:space="preserve"> (1488</w:t>
      </w:r>
      <w:r w:rsidR="00EC6959">
        <w:rPr>
          <w:rFonts w:ascii="Times New Roman" w:hAnsi="Times New Roman"/>
          <w:sz w:val="24"/>
          <w:szCs w:val="24"/>
        </w:rPr>
        <w:t>)</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20"/>
      </w:r>
      <w:r w:rsidR="001413B5" w:rsidRPr="001413B5">
        <w:rPr>
          <w:rFonts w:ascii="Times New Roman" w:hAnsi="Times New Roman"/>
          <w:sz w:val="24"/>
          <w:szCs w:val="24"/>
        </w:rPr>
        <w:t xml:space="preserve"> Entwicklun</w:t>
      </w:r>
      <w:r w:rsidR="00C71A1C">
        <w:rPr>
          <w:rFonts w:ascii="Times New Roman" w:hAnsi="Times New Roman"/>
          <w:sz w:val="24"/>
          <w:szCs w:val="24"/>
        </w:rPr>
        <w:t>gen der Reformationszeit wie der</w:t>
      </w:r>
      <w:r w:rsidR="001413B5" w:rsidRPr="001413B5">
        <w:rPr>
          <w:rFonts w:ascii="Times New Roman" w:hAnsi="Times New Roman"/>
          <w:sz w:val="24"/>
          <w:szCs w:val="24"/>
        </w:rPr>
        <w:t xml:space="preserve"> Schmalka</w:t>
      </w:r>
      <w:r w:rsidR="00C71A1C">
        <w:rPr>
          <w:rFonts w:ascii="Times New Roman" w:hAnsi="Times New Roman"/>
          <w:sz w:val="24"/>
          <w:szCs w:val="24"/>
        </w:rPr>
        <w:t>ldische Bund (1531)</w:t>
      </w:r>
      <w:r w:rsidR="001413B5" w:rsidRPr="001413B5">
        <w:rPr>
          <w:rFonts w:ascii="Times New Roman" w:hAnsi="Times New Roman"/>
          <w:sz w:val="24"/>
          <w:szCs w:val="24"/>
        </w:rPr>
        <w:t xml:space="preserve"> und die Union der  Evangelischen Kurfürsten, Fürsten und Stände zur Verteidigung der Religionsfreiheit (1610) dokumentieren, dass in der politischen Praxis eine Vielzahl von Reichsstädten Teil von Bündnissen innerhalb der Reichs waren..</w:t>
      </w:r>
      <w:r w:rsidR="001413B5" w:rsidRPr="001413B5">
        <w:rPr>
          <w:rStyle w:val="Funotenzeichen"/>
          <w:rFonts w:ascii="Times New Roman" w:hAnsi="Times New Roman"/>
          <w:sz w:val="24"/>
          <w:szCs w:val="24"/>
        </w:rPr>
        <w:footnoteReference w:id="21"/>
      </w:r>
      <w:r w:rsidR="0063272C">
        <w:rPr>
          <w:rFonts w:ascii="Times New Roman" w:hAnsi="Times New Roman"/>
          <w:sz w:val="24"/>
          <w:szCs w:val="24"/>
        </w:rPr>
        <w:t xml:space="preserve"> Auch die Beteiligung von Reichsstädten an</w:t>
      </w:r>
      <w:r w:rsidR="001413B5" w:rsidRPr="001413B5">
        <w:rPr>
          <w:rFonts w:ascii="Times New Roman" w:hAnsi="Times New Roman"/>
          <w:sz w:val="24"/>
          <w:szCs w:val="24"/>
        </w:rPr>
        <w:t xml:space="preserve"> Beziehungen zu Mächten außerhalb des Reichs w</w:t>
      </w:r>
      <w:r w:rsidR="00B47C0E">
        <w:rPr>
          <w:rFonts w:ascii="Times New Roman" w:hAnsi="Times New Roman"/>
          <w:sz w:val="24"/>
          <w:szCs w:val="24"/>
        </w:rPr>
        <w:t>ird hervorgehoben, etwa durch</w:t>
      </w:r>
      <w:r w:rsidR="0063272C">
        <w:rPr>
          <w:rFonts w:ascii="Times New Roman" w:hAnsi="Times New Roman"/>
          <w:sz w:val="24"/>
          <w:szCs w:val="24"/>
        </w:rPr>
        <w:t xml:space="preserve"> </w:t>
      </w:r>
      <w:r w:rsidR="00B366EA">
        <w:rPr>
          <w:rFonts w:ascii="Times New Roman" w:hAnsi="Times New Roman"/>
          <w:sz w:val="24"/>
          <w:szCs w:val="24"/>
        </w:rPr>
        <w:t xml:space="preserve">den </w:t>
      </w:r>
      <w:r w:rsidR="0063272C">
        <w:rPr>
          <w:rFonts w:ascii="Times New Roman" w:hAnsi="Times New Roman"/>
          <w:sz w:val="24"/>
          <w:szCs w:val="24"/>
        </w:rPr>
        <w:t>Beitritt von Franz I. von Frankreich zum</w:t>
      </w:r>
      <w:r w:rsidR="001413B5" w:rsidRPr="001413B5">
        <w:rPr>
          <w:rFonts w:ascii="Times New Roman" w:hAnsi="Times New Roman"/>
          <w:sz w:val="24"/>
          <w:szCs w:val="24"/>
        </w:rPr>
        <w:t xml:space="preserve"> Schmalkaldi</w:t>
      </w:r>
      <w:r w:rsidR="0063272C">
        <w:rPr>
          <w:rFonts w:ascii="Times New Roman" w:hAnsi="Times New Roman"/>
          <w:sz w:val="24"/>
          <w:szCs w:val="24"/>
        </w:rPr>
        <w:t>schen Bund (1532)</w:t>
      </w:r>
      <w:r w:rsidR="001413B5" w:rsidRPr="001413B5">
        <w:rPr>
          <w:rStyle w:val="Funotenzeichen"/>
          <w:rFonts w:ascii="Times New Roman" w:hAnsi="Times New Roman"/>
          <w:sz w:val="24"/>
          <w:szCs w:val="24"/>
        </w:rPr>
        <w:footnoteReference w:id="22"/>
      </w:r>
      <w:r w:rsidR="00B366EA">
        <w:rPr>
          <w:rFonts w:ascii="Times New Roman" w:hAnsi="Times New Roman"/>
          <w:sz w:val="24"/>
          <w:szCs w:val="24"/>
        </w:rPr>
        <w:t xml:space="preserve"> oder</w:t>
      </w:r>
      <w:r w:rsidR="00B47C0E">
        <w:rPr>
          <w:rFonts w:ascii="Times New Roman" w:hAnsi="Times New Roman"/>
          <w:sz w:val="24"/>
          <w:szCs w:val="24"/>
        </w:rPr>
        <w:t xml:space="preserve"> durch</w:t>
      </w:r>
      <w:r w:rsidR="00B366EA">
        <w:rPr>
          <w:rFonts w:ascii="Times New Roman" w:hAnsi="Times New Roman"/>
          <w:sz w:val="24"/>
          <w:szCs w:val="24"/>
        </w:rPr>
        <w:t xml:space="preserve"> den</w:t>
      </w:r>
      <w:r w:rsidR="0063272C">
        <w:rPr>
          <w:rFonts w:ascii="Times New Roman" w:hAnsi="Times New Roman"/>
          <w:sz w:val="24"/>
          <w:szCs w:val="24"/>
        </w:rPr>
        <w:t xml:space="preserve"> Vertrag von Chambord (1552</w:t>
      </w:r>
      <w:r w:rsidR="001413B5" w:rsidRPr="001413B5">
        <w:rPr>
          <w:rFonts w:ascii="Times New Roman" w:hAnsi="Times New Roman"/>
          <w:sz w:val="24"/>
          <w:szCs w:val="24"/>
        </w:rPr>
        <w:t>)</w:t>
      </w:r>
      <w:r w:rsidR="0063272C">
        <w:rPr>
          <w:rFonts w:ascii="Times New Roman" w:hAnsi="Times New Roman"/>
          <w:sz w:val="24"/>
          <w:szCs w:val="24"/>
        </w:rPr>
        <w:t>, in dem sie unter Führung von Moritz von Sachsen</w:t>
      </w:r>
      <w:r w:rsidR="00C71A1C">
        <w:rPr>
          <w:rFonts w:ascii="Times New Roman" w:hAnsi="Times New Roman"/>
          <w:sz w:val="24"/>
          <w:szCs w:val="24"/>
        </w:rPr>
        <w:t xml:space="preserve"> ein Bündnis mit Heinrich II.</w:t>
      </w:r>
      <w:r w:rsidR="001413B5" w:rsidRPr="001413B5">
        <w:rPr>
          <w:rFonts w:ascii="Times New Roman" w:hAnsi="Times New Roman"/>
          <w:sz w:val="24"/>
          <w:szCs w:val="24"/>
        </w:rPr>
        <w:t xml:space="preserve"> von Frankreich ei</w:t>
      </w:r>
      <w:r w:rsidR="0063272C">
        <w:rPr>
          <w:rFonts w:ascii="Times New Roman" w:hAnsi="Times New Roman"/>
          <w:sz w:val="24"/>
          <w:szCs w:val="24"/>
        </w:rPr>
        <w:t>ngegangen sind</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23"/>
      </w:r>
    </w:p>
    <w:p w14:paraId="01139D00"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Besold bleibt allerdings nicht bei diesen historischen Fakten</w:t>
      </w:r>
      <w:r w:rsidR="007F0EF9">
        <w:rPr>
          <w:rFonts w:ascii="Times New Roman" w:hAnsi="Times New Roman"/>
          <w:sz w:val="24"/>
          <w:szCs w:val="24"/>
        </w:rPr>
        <w:t xml:space="preserve"> stehen, von denen sich die meisten auch bei Leibniz </w:t>
      </w:r>
      <w:r w:rsidR="00B366EA">
        <w:rPr>
          <w:rFonts w:ascii="Times New Roman" w:hAnsi="Times New Roman"/>
          <w:sz w:val="24"/>
          <w:szCs w:val="24"/>
        </w:rPr>
        <w:t xml:space="preserve">erwähnt </w:t>
      </w:r>
      <w:r w:rsidR="007F0EF9">
        <w:rPr>
          <w:rFonts w:ascii="Times New Roman" w:hAnsi="Times New Roman"/>
          <w:sz w:val="24"/>
          <w:szCs w:val="24"/>
        </w:rPr>
        <w:t>finden,</w:t>
      </w:r>
      <w:r w:rsidR="007F0EF9">
        <w:rPr>
          <w:rStyle w:val="Funotenzeichen"/>
          <w:rFonts w:ascii="Times New Roman" w:hAnsi="Times New Roman"/>
          <w:sz w:val="24"/>
          <w:szCs w:val="24"/>
        </w:rPr>
        <w:footnoteReference w:id="24"/>
      </w:r>
      <w:r w:rsidRPr="001413B5">
        <w:rPr>
          <w:rFonts w:ascii="Times New Roman" w:hAnsi="Times New Roman"/>
          <w:sz w:val="24"/>
          <w:szCs w:val="24"/>
        </w:rPr>
        <w:t xml:space="preserve"> sondern wirft die Frage auf, ob diese Bündnisse nach Recht und Billigkeit geschlossen wurden. Zunä</w:t>
      </w:r>
      <w:r w:rsidR="00B366EA">
        <w:rPr>
          <w:rFonts w:ascii="Times New Roman" w:hAnsi="Times New Roman"/>
          <w:sz w:val="24"/>
          <w:szCs w:val="24"/>
        </w:rPr>
        <w:t>chst stellt er fest, dass es den</w:t>
      </w:r>
      <w:r w:rsidRPr="001413B5">
        <w:rPr>
          <w:rFonts w:ascii="Times New Roman" w:hAnsi="Times New Roman"/>
          <w:sz w:val="24"/>
          <w:szCs w:val="24"/>
        </w:rPr>
        <w:t>jenigen Gemeinwesen, die in einem absoluten Sinn frei sind, wie die Schweizer und Rhätoromanen, vollkommen freisteht, Bündnisse zu schließen.</w:t>
      </w:r>
      <w:r w:rsidRPr="001413B5">
        <w:rPr>
          <w:rStyle w:val="Funotenzeichen"/>
          <w:rFonts w:ascii="Times New Roman" w:hAnsi="Times New Roman"/>
          <w:sz w:val="24"/>
          <w:szCs w:val="24"/>
        </w:rPr>
        <w:footnoteReference w:id="25"/>
      </w:r>
      <w:r w:rsidRPr="001413B5">
        <w:rPr>
          <w:rFonts w:ascii="Times New Roman" w:hAnsi="Times New Roman"/>
          <w:sz w:val="24"/>
          <w:szCs w:val="24"/>
        </w:rPr>
        <w:t xml:space="preserve"> Besold betrachtet es auch als nicht kontrovers, da</w:t>
      </w:r>
      <w:r w:rsidR="00B366EA">
        <w:rPr>
          <w:rFonts w:ascii="Times New Roman" w:hAnsi="Times New Roman"/>
          <w:sz w:val="24"/>
          <w:szCs w:val="24"/>
        </w:rPr>
        <w:t xml:space="preserve">ss dies </w:t>
      </w:r>
      <w:r w:rsidRPr="001413B5">
        <w:rPr>
          <w:rFonts w:ascii="Times New Roman" w:hAnsi="Times New Roman"/>
          <w:sz w:val="24"/>
          <w:szCs w:val="24"/>
        </w:rPr>
        <w:t>für alle Fürsten</w:t>
      </w:r>
      <w:r w:rsidR="00B366EA">
        <w:rPr>
          <w:rFonts w:ascii="Times New Roman" w:hAnsi="Times New Roman"/>
          <w:sz w:val="24"/>
          <w:szCs w:val="24"/>
        </w:rPr>
        <w:t xml:space="preserve"> gelte</w:t>
      </w:r>
      <w:r w:rsidRPr="001413B5">
        <w:rPr>
          <w:rFonts w:ascii="Times New Roman" w:hAnsi="Times New Roman"/>
          <w:sz w:val="24"/>
          <w:szCs w:val="24"/>
        </w:rPr>
        <w:t>, die aufgrund von Recht und Gebrauch Herrschaft ausüben.</w:t>
      </w:r>
      <w:r w:rsidRPr="001413B5">
        <w:rPr>
          <w:rStyle w:val="Funotenzeichen"/>
          <w:rFonts w:ascii="Times New Roman" w:hAnsi="Times New Roman"/>
          <w:sz w:val="24"/>
          <w:szCs w:val="24"/>
        </w:rPr>
        <w:footnoteReference w:id="26"/>
      </w:r>
      <w:r w:rsidRPr="001413B5">
        <w:rPr>
          <w:rFonts w:ascii="Times New Roman" w:hAnsi="Times New Roman"/>
          <w:sz w:val="24"/>
          <w:szCs w:val="24"/>
        </w:rPr>
        <w:t xml:space="preserve"> Darüber hinaus weist er auf verfassungsrechtliche Einschränkungen, die sich aus </w:t>
      </w:r>
      <w:r w:rsidRPr="001413B5">
        <w:rPr>
          <w:rFonts w:ascii="Times New Roman" w:hAnsi="Times New Roman"/>
          <w:i/>
          <w:sz w:val="24"/>
          <w:szCs w:val="24"/>
        </w:rPr>
        <w:t xml:space="preserve">leges fundamentales </w:t>
      </w:r>
      <w:r w:rsidR="00B366EA">
        <w:rPr>
          <w:rFonts w:ascii="Times New Roman" w:hAnsi="Times New Roman"/>
          <w:sz w:val="24"/>
          <w:szCs w:val="24"/>
        </w:rPr>
        <w:t xml:space="preserve">ergeben können. </w:t>
      </w:r>
      <w:r w:rsidRPr="001413B5">
        <w:rPr>
          <w:rFonts w:ascii="Times New Roman" w:hAnsi="Times New Roman"/>
          <w:sz w:val="24"/>
          <w:szCs w:val="24"/>
        </w:rPr>
        <w:t>So kann etwa das Bündnisrecht von Königen an die Zustimmung der Stände gebunden sein, wie in den Fällen von Kastilien, Aragon, Polen und Ungarn; dasselbe gilt vom Kaiser, der als permanenter Reichsvikar betrachtet werden kann.</w:t>
      </w:r>
      <w:r w:rsidRPr="001413B5">
        <w:rPr>
          <w:rStyle w:val="Funotenzeichen"/>
          <w:rFonts w:ascii="Times New Roman" w:hAnsi="Times New Roman"/>
          <w:sz w:val="24"/>
          <w:szCs w:val="24"/>
        </w:rPr>
        <w:footnoteReference w:id="27"/>
      </w:r>
      <w:r w:rsidRPr="001413B5">
        <w:rPr>
          <w:rFonts w:ascii="Times New Roman" w:hAnsi="Times New Roman"/>
          <w:sz w:val="24"/>
          <w:szCs w:val="24"/>
        </w:rPr>
        <w:t xml:space="preserve"> Problematisch hingegen ist der Status der weniger mächtigen Reichsstände.</w:t>
      </w:r>
    </w:p>
    <w:p w14:paraId="687AA9D1"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 xml:space="preserve">Das in dieser Hinsicht vielleicht prominenteste Rechtsdokument ist die </w:t>
      </w:r>
      <w:r w:rsidRPr="001413B5">
        <w:rPr>
          <w:rFonts w:ascii="Times New Roman" w:hAnsi="Times New Roman"/>
          <w:i/>
          <w:sz w:val="24"/>
          <w:szCs w:val="24"/>
        </w:rPr>
        <w:t>Bulla Aurea</w:t>
      </w:r>
      <w:r w:rsidR="00ED455C">
        <w:rPr>
          <w:rFonts w:ascii="Times New Roman" w:hAnsi="Times New Roman"/>
          <w:sz w:val="24"/>
          <w:szCs w:val="24"/>
        </w:rPr>
        <w:t xml:space="preserve"> Kaiser Karls</w:t>
      </w:r>
      <w:r w:rsidRPr="001413B5">
        <w:rPr>
          <w:rFonts w:ascii="Times New Roman" w:hAnsi="Times New Roman"/>
          <w:sz w:val="24"/>
          <w:szCs w:val="24"/>
        </w:rPr>
        <w:t xml:space="preserve"> IV</w:t>
      </w:r>
      <w:r w:rsidR="00ED455C">
        <w:rPr>
          <w:rFonts w:ascii="Times New Roman" w:hAnsi="Times New Roman"/>
          <w:sz w:val="24"/>
          <w:szCs w:val="24"/>
        </w:rPr>
        <w:t>.</w:t>
      </w:r>
      <w:r w:rsidRPr="001413B5">
        <w:rPr>
          <w:rFonts w:ascii="Times New Roman" w:hAnsi="Times New Roman"/>
          <w:sz w:val="24"/>
          <w:szCs w:val="24"/>
        </w:rPr>
        <w:t xml:space="preserve">, die den Reichsständen verbietet, an Verschwörungen gegen das Reich teilzunehmen, dabei aber diejenigen Bündnisse ausnimmt, „welche Fürsten und Städte und andere Reichsstände wegen des allgemeinen Friedens der Provinzen und Territorien untereinander abschließen. Diese behalten wir unserer besonderen Entscheidung vor und </w:t>
      </w:r>
      <w:r w:rsidRPr="001413B5">
        <w:rPr>
          <w:rFonts w:ascii="Times New Roman" w:hAnsi="Times New Roman"/>
          <w:sz w:val="24"/>
          <w:szCs w:val="24"/>
        </w:rPr>
        <w:lastRenderedPageBreak/>
        <w:t>bestimmen, dass sie in Kraft bleiben sollen, bis wir etwas anderes verfügen.“</w:t>
      </w:r>
      <w:r w:rsidRPr="001413B5">
        <w:rPr>
          <w:rStyle w:val="Funotenzeichen"/>
          <w:rFonts w:ascii="Times New Roman" w:hAnsi="Times New Roman"/>
          <w:sz w:val="24"/>
          <w:szCs w:val="24"/>
        </w:rPr>
        <w:footnoteReference w:id="28"/>
      </w:r>
      <w:r w:rsidRPr="001413B5">
        <w:rPr>
          <w:rFonts w:ascii="Times New Roman" w:hAnsi="Times New Roman"/>
          <w:sz w:val="24"/>
          <w:szCs w:val="24"/>
        </w:rPr>
        <w:t xml:space="preserve"> Die Interpretation dieser Passage ist in der deutschen Staatsrechtsliteratur des 16. Jahrhunderts umstritten. </w:t>
      </w:r>
      <w:r w:rsidR="00ED455C">
        <w:rPr>
          <w:rFonts w:ascii="Times New Roman" w:hAnsi="Times New Roman"/>
          <w:sz w:val="24"/>
          <w:szCs w:val="24"/>
        </w:rPr>
        <w:t xml:space="preserve">So </w:t>
      </w:r>
      <w:r w:rsidRPr="001413B5">
        <w:rPr>
          <w:rFonts w:ascii="Times New Roman" w:hAnsi="Times New Roman"/>
          <w:sz w:val="24"/>
          <w:szCs w:val="24"/>
        </w:rPr>
        <w:t>zieht Eberhard von Wey</w:t>
      </w:r>
      <w:r w:rsidR="00956F03">
        <w:rPr>
          <w:rFonts w:ascii="Times New Roman" w:hAnsi="Times New Roman"/>
          <w:sz w:val="24"/>
          <w:szCs w:val="24"/>
        </w:rPr>
        <w:t>he (Waremundus ab Erenberg, 1553-1637</w:t>
      </w:r>
      <w:r w:rsidRPr="001413B5">
        <w:rPr>
          <w:rFonts w:ascii="Times New Roman" w:hAnsi="Times New Roman"/>
          <w:sz w:val="24"/>
          <w:szCs w:val="24"/>
        </w:rPr>
        <w:t>) die Überlegung in Erwägung, dass das Bündnis der Hansestädte als Verschwörung bezeichnet werden sollte, weil mehrere Verbündete ihrerseits anderer Herrschaft unterstanden und nicht dem Kaiser, sondern Fürsten tributpflichtig waren.</w:t>
      </w:r>
      <w:r w:rsidRPr="001413B5">
        <w:rPr>
          <w:rStyle w:val="Funotenzeichen"/>
          <w:rFonts w:ascii="Times New Roman" w:hAnsi="Times New Roman"/>
          <w:sz w:val="24"/>
          <w:szCs w:val="24"/>
        </w:rPr>
        <w:footnoteReference w:id="29"/>
      </w:r>
      <w:r w:rsidRPr="001413B5">
        <w:rPr>
          <w:rFonts w:ascii="Times New Roman" w:hAnsi="Times New Roman"/>
          <w:sz w:val="24"/>
          <w:szCs w:val="24"/>
        </w:rPr>
        <w:t xml:space="preserve"> </w:t>
      </w:r>
    </w:p>
    <w:p w14:paraId="44D1A632"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 xml:space="preserve">Besold nimmt eine differenzierte Haltung zur Frage der Relevanz von Freiheit für das Bündnisrecht ein. Freiheit von der Herrschaft von Fürsten ein zentrales Element in seinem Argument zugunsten des Bündnisrechts der </w:t>
      </w:r>
      <w:r w:rsidR="002B0695">
        <w:rPr>
          <w:rFonts w:ascii="Times New Roman" w:hAnsi="Times New Roman"/>
          <w:sz w:val="24"/>
          <w:szCs w:val="24"/>
        </w:rPr>
        <w:t>Reichsstädte. Er ist sich bewusst, dass</w:t>
      </w:r>
      <w:r w:rsidRPr="001413B5">
        <w:rPr>
          <w:rFonts w:ascii="Times New Roman" w:hAnsi="Times New Roman"/>
          <w:sz w:val="24"/>
          <w:szCs w:val="24"/>
        </w:rPr>
        <w:t xml:space="preserve"> sich nur in Deutschland Städte</w:t>
      </w:r>
      <w:r w:rsidR="002B0695">
        <w:rPr>
          <w:rFonts w:ascii="Times New Roman" w:hAnsi="Times New Roman"/>
          <w:sz w:val="24"/>
          <w:szCs w:val="24"/>
        </w:rPr>
        <w:t xml:space="preserve"> finden, welche</w:t>
      </w:r>
      <w:r w:rsidRPr="001413B5">
        <w:rPr>
          <w:rFonts w:ascii="Times New Roman" w:hAnsi="Times New Roman"/>
          <w:sz w:val="24"/>
          <w:szCs w:val="24"/>
        </w:rPr>
        <w:t xml:space="preserve"> die Form</w:t>
      </w:r>
      <w:r w:rsidR="002B0695">
        <w:rPr>
          <w:rFonts w:ascii="Times New Roman" w:hAnsi="Times New Roman"/>
          <w:sz w:val="24"/>
          <w:szCs w:val="24"/>
        </w:rPr>
        <w:t xml:space="preserve"> von freien Gemeinwesen bewahrt</w:t>
      </w:r>
      <w:r w:rsidRPr="001413B5">
        <w:rPr>
          <w:rFonts w:ascii="Times New Roman" w:hAnsi="Times New Roman"/>
          <w:sz w:val="24"/>
          <w:szCs w:val="24"/>
        </w:rPr>
        <w:t xml:space="preserve"> haben.</w:t>
      </w:r>
      <w:r w:rsidRPr="001413B5">
        <w:rPr>
          <w:rStyle w:val="Funotenzeichen"/>
          <w:rFonts w:ascii="Times New Roman" w:hAnsi="Times New Roman"/>
          <w:sz w:val="24"/>
          <w:szCs w:val="24"/>
        </w:rPr>
        <w:footnoteReference w:id="30"/>
      </w:r>
      <w:r w:rsidRPr="001413B5">
        <w:rPr>
          <w:rFonts w:ascii="Times New Roman" w:hAnsi="Times New Roman"/>
          <w:sz w:val="24"/>
          <w:szCs w:val="24"/>
        </w:rPr>
        <w:t xml:space="preserve"> Diese Einsicht wendet er unmittelbar auf das Bündnisrecht der Städte an: Wie er argumentiert, haben alle Gemeinweisen, die ihre Freiheit nicht aufgegeben haben, das Recht, Bündnisse einzugehen.</w:t>
      </w:r>
      <w:r w:rsidRPr="001413B5">
        <w:rPr>
          <w:rStyle w:val="Funotenzeichen"/>
          <w:rFonts w:ascii="Times New Roman" w:hAnsi="Times New Roman"/>
          <w:sz w:val="24"/>
          <w:szCs w:val="24"/>
        </w:rPr>
        <w:footnoteReference w:id="31"/>
      </w:r>
      <w:r w:rsidRPr="001413B5">
        <w:rPr>
          <w:rFonts w:ascii="Times New Roman" w:hAnsi="Times New Roman"/>
          <w:sz w:val="24"/>
          <w:szCs w:val="24"/>
        </w:rPr>
        <w:t xml:space="preserve"> In seinen Augen ist dies der entscheidende Unterschied zwischen dem der Struktur des Deutschen Reichs und dem Römischen Reich in der Antike, in der es keine Städte gab, die die Möglichkeit besaßen, ebenbürtige Bündnisse einzugehen, auch wenn die Römer Bündnisse als Herrschaftsmittel einsetzten.</w:t>
      </w:r>
      <w:r w:rsidRPr="001413B5">
        <w:rPr>
          <w:rStyle w:val="Funotenzeichen"/>
          <w:rFonts w:ascii="Times New Roman" w:hAnsi="Times New Roman"/>
          <w:sz w:val="24"/>
          <w:szCs w:val="24"/>
        </w:rPr>
        <w:footnoteReference w:id="32"/>
      </w:r>
      <w:r w:rsidRPr="001413B5">
        <w:rPr>
          <w:rFonts w:ascii="Times New Roman" w:hAnsi="Times New Roman"/>
          <w:sz w:val="24"/>
          <w:szCs w:val="24"/>
        </w:rPr>
        <w:t xml:space="preserve"> </w:t>
      </w:r>
    </w:p>
    <w:p w14:paraId="39E1A75A"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ab/>
        <w:t>Hingegen betrachtet Besold die Freiheit von Fürstenherrschaft nicht als eine notwendige Bedingung für das Bündnisrecht. Vielmehr weist darauf hin, dass die Hanse ist durch einzelne Akte kaiserliche Zustimmung legitimiert ist. So setzte sich Kaiser Karl IV. nach dem Ausschluss von Brauschweig aus der Hanse (1377) für die Wiederaufnahme der Stadt einges</w:t>
      </w:r>
      <w:r w:rsidR="00ED455C">
        <w:rPr>
          <w:rFonts w:ascii="Times New Roman" w:hAnsi="Times New Roman"/>
          <w:sz w:val="24"/>
          <w:szCs w:val="24"/>
        </w:rPr>
        <w:t>etzt. Köln wurde in der Zeit</w:t>
      </w:r>
      <w:r w:rsidRPr="001413B5">
        <w:rPr>
          <w:rFonts w:ascii="Times New Roman" w:hAnsi="Times New Roman"/>
          <w:sz w:val="24"/>
          <w:szCs w:val="24"/>
        </w:rPr>
        <w:t xml:space="preserve"> Kaiser Friedrich</w:t>
      </w:r>
      <w:r w:rsidR="00ED455C">
        <w:rPr>
          <w:rFonts w:ascii="Times New Roman" w:hAnsi="Times New Roman"/>
          <w:sz w:val="24"/>
          <w:szCs w:val="24"/>
        </w:rPr>
        <w:t>s</w:t>
      </w:r>
      <w:r w:rsidRPr="001413B5">
        <w:rPr>
          <w:rFonts w:ascii="Times New Roman" w:hAnsi="Times New Roman"/>
          <w:sz w:val="24"/>
          <w:szCs w:val="24"/>
        </w:rPr>
        <w:t xml:space="preserve"> III</w:t>
      </w:r>
      <w:r w:rsidR="00ED455C">
        <w:rPr>
          <w:rFonts w:ascii="Times New Roman" w:hAnsi="Times New Roman"/>
          <w:sz w:val="24"/>
          <w:szCs w:val="24"/>
        </w:rPr>
        <w:t>.</w:t>
      </w:r>
      <w:r w:rsidRPr="001413B5">
        <w:rPr>
          <w:rFonts w:ascii="Times New Roman" w:hAnsi="Times New Roman"/>
          <w:sz w:val="24"/>
          <w:szCs w:val="24"/>
        </w:rPr>
        <w:t xml:space="preserve"> ausgeschlossen und mit Unterstützung Karls IV</w:t>
      </w:r>
      <w:r w:rsidR="00ED455C">
        <w:rPr>
          <w:rFonts w:ascii="Times New Roman" w:hAnsi="Times New Roman"/>
          <w:sz w:val="24"/>
          <w:szCs w:val="24"/>
        </w:rPr>
        <w:t>.</w:t>
      </w:r>
      <w:r w:rsidRPr="001413B5">
        <w:rPr>
          <w:rFonts w:ascii="Times New Roman" w:hAnsi="Times New Roman"/>
          <w:sz w:val="24"/>
          <w:szCs w:val="24"/>
        </w:rPr>
        <w:t xml:space="preserve"> erneut aufgenommen. Bremen wur</w:t>
      </w:r>
      <w:r w:rsidR="00B366EA">
        <w:rPr>
          <w:rFonts w:ascii="Times New Roman" w:hAnsi="Times New Roman"/>
          <w:sz w:val="24"/>
          <w:szCs w:val="24"/>
        </w:rPr>
        <w:t>de 1562 ausgeschlossen und auf Anraten</w:t>
      </w:r>
      <w:r w:rsidRPr="001413B5">
        <w:rPr>
          <w:rFonts w:ascii="Times New Roman" w:hAnsi="Times New Roman"/>
          <w:sz w:val="24"/>
          <w:szCs w:val="24"/>
        </w:rPr>
        <w:t xml:space="preserve"> Ferdinand</w:t>
      </w:r>
      <w:r w:rsidR="00B366EA">
        <w:rPr>
          <w:rFonts w:ascii="Times New Roman" w:hAnsi="Times New Roman"/>
          <w:sz w:val="24"/>
          <w:szCs w:val="24"/>
        </w:rPr>
        <w:t>s</w:t>
      </w:r>
      <w:r w:rsidRPr="001413B5">
        <w:rPr>
          <w:rFonts w:ascii="Times New Roman" w:hAnsi="Times New Roman"/>
          <w:sz w:val="24"/>
          <w:szCs w:val="24"/>
        </w:rPr>
        <w:t xml:space="preserve"> I</w:t>
      </w:r>
      <w:r w:rsidR="00ED455C">
        <w:rPr>
          <w:rFonts w:ascii="Times New Roman" w:hAnsi="Times New Roman"/>
          <w:sz w:val="24"/>
          <w:szCs w:val="24"/>
        </w:rPr>
        <w:t>.</w:t>
      </w:r>
      <w:r w:rsidRPr="001413B5">
        <w:rPr>
          <w:rFonts w:ascii="Times New Roman" w:hAnsi="Times New Roman"/>
          <w:sz w:val="24"/>
          <w:szCs w:val="24"/>
        </w:rPr>
        <w:t xml:space="preserve"> und Maximilian</w:t>
      </w:r>
      <w:r w:rsidR="00B366EA">
        <w:rPr>
          <w:rFonts w:ascii="Times New Roman" w:hAnsi="Times New Roman"/>
          <w:sz w:val="24"/>
          <w:szCs w:val="24"/>
        </w:rPr>
        <w:t>s</w:t>
      </w:r>
      <w:r w:rsidRPr="001413B5">
        <w:rPr>
          <w:rFonts w:ascii="Times New Roman" w:hAnsi="Times New Roman"/>
          <w:sz w:val="24"/>
          <w:szCs w:val="24"/>
        </w:rPr>
        <w:t xml:space="preserve"> II</w:t>
      </w:r>
      <w:r w:rsidR="00ED455C">
        <w:rPr>
          <w:rFonts w:ascii="Times New Roman" w:hAnsi="Times New Roman"/>
          <w:sz w:val="24"/>
          <w:szCs w:val="24"/>
        </w:rPr>
        <w:t>.</w:t>
      </w:r>
      <w:r w:rsidRPr="001413B5">
        <w:rPr>
          <w:rFonts w:ascii="Times New Roman" w:hAnsi="Times New Roman"/>
          <w:sz w:val="24"/>
          <w:szCs w:val="24"/>
        </w:rPr>
        <w:t xml:space="preserve"> erneut aufgenommen.</w:t>
      </w:r>
      <w:r w:rsidRPr="001413B5">
        <w:rPr>
          <w:rStyle w:val="Funotenzeichen"/>
          <w:rFonts w:ascii="Times New Roman" w:hAnsi="Times New Roman"/>
          <w:sz w:val="24"/>
          <w:szCs w:val="24"/>
        </w:rPr>
        <w:footnoteReference w:id="33"/>
      </w:r>
      <w:r w:rsidRPr="001413B5">
        <w:rPr>
          <w:rFonts w:ascii="Times New Roman" w:hAnsi="Times New Roman"/>
          <w:sz w:val="24"/>
          <w:szCs w:val="24"/>
        </w:rPr>
        <w:t xml:space="preserve"> </w:t>
      </w:r>
      <w:r w:rsidR="00B366EA">
        <w:rPr>
          <w:rFonts w:ascii="Times New Roman" w:hAnsi="Times New Roman"/>
          <w:sz w:val="24"/>
          <w:szCs w:val="24"/>
        </w:rPr>
        <w:t>Auch weist Besold darauf hin, dass die Hanse</w:t>
      </w:r>
      <w:r w:rsidRPr="001413B5">
        <w:rPr>
          <w:rFonts w:ascii="Times New Roman" w:hAnsi="Times New Roman"/>
          <w:sz w:val="24"/>
          <w:szCs w:val="24"/>
        </w:rPr>
        <w:t xml:space="preserve"> aufgrund einer langen Serie von Reichsabschieden zur Türkensteuer herangezogen</w:t>
      </w:r>
      <w:r w:rsidR="00B366EA">
        <w:rPr>
          <w:rFonts w:ascii="Times New Roman" w:hAnsi="Times New Roman"/>
          <w:sz w:val="24"/>
          <w:szCs w:val="24"/>
        </w:rPr>
        <w:t xml:space="preserve"> wurde</w:t>
      </w:r>
      <w:r w:rsidRPr="001413B5">
        <w:rPr>
          <w:rFonts w:ascii="Times New Roman" w:hAnsi="Times New Roman"/>
          <w:sz w:val="24"/>
          <w:szCs w:val="24"/>
        </w:rPr>
        <w:t>.</w:t>
      </w:r>
      <w:r w:rsidRPr="001413B5">
        <w:rPr>
          <w:rStyle w:val="Funotenzeichen"/>
          <w:rFonts w:ascii="Times New Roman" w:hAnsi="Times New Roman"/>
          <w:sz w:val="24"/>
          <w:szCs w:val="24"/>
        </w:rPr>
        <w:footnoteReference w:id="34"/>
      </w:r>
    </w:p>
    <w:p w14:paraId="20DE03B6"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ab/>
        <w:t>Auch Leibniz ist der Auffassung, dass in Bezug auf das Bündnisrecht der Städte die Frage der Tatsachen von der Frage des Rechts unterschieden werden sollte</w:t>
      </w:r>
      <w:r w:rsidR="00392B1D">
        <w:rPr>
          <w:rFonts w:ascii="Times New Roman" w:hAnsi="Times New Roman"/>
          <w:sz w:val="24"/>
          <w:szCs w:val="24"/>
        </w:rPr>
        <w:t>.</w:t>
      </w:r>
      <w:r w:rsidRPr="001413B5">
        <w:rPr>
          <w:rFonts w:ascii="Times New Roman" w:hAnsi="Times New Roman"/>
          <w:sz w:val="24"/>
          <w:szCs w:val="24"/>
        </w:rPr>
        <w:t xml:space="preserve"> Aber wie Besold </w:t>
      </w:r>
      <w:r w:rsidRPr="001413B5">
        <w:rPr>
          <w:rFonts w:ascii="Times New Roman" w:hAnsi="Times New Roman"/>
          <w:sz w:val="24"/>
          <w:szCs w:val="24"/>
        </w:rPr>
        <w:lastRenderedPageBreak/>
        <w:t xml:space="preserve">ist er sich bewusst, dass die </w:t>
      </w:r>
      <w:r w:rsidRPr="001413B5">
        <w:rPr>
          <w:rFonts w:ascii="Times New Roman" w:hAnsi="Times New Roman"/>
          <w:i/>
          <w:sz w:val="24"/>
          <w:szCs w:val="24"/>
        </w:rPr>
        <w:t>Bulla Aurea</w:t>
      </w:r>
      <w:r w:rsidRPr="001413B5">
        <w:rPr>
          <w:rFonts w:ascii="Times New Roman" w:hAnsi="Times New Roman"/>
          <w:sz w:val="24"/>
          <w:szCs w:val="24"/>
        </w:rPr>
        <w:t xml:space="preserve"> den Fürsten und Städten Bündnisse erlaubt, deren Ziel der allgemeine Frieden der Provinzen und Territorien ist.</w:t>
      </w:r>
      <w:r w:rsidRPr="001413B5">
        <w:rPr>
          <w:rStyle w:val="Funotenzeichen"/>
          <w:rFonts w:ascii="Times New Roman" w:hAnsi="Times New Roman"/>
          <w:sz w:val="24"/>
          <w:szCs w:val="24"/>
        </w:rPr>
        <w:footnoteReference w:id="35"/>
      </w:r>
      <w:r w:rsidRPr="001413B5">
        <w:rPr>
          <w:rFonts w:ascii="Times New Roman" w:hAnsi="Times New Roman"/>
          <w:sz w:val="24"/>
          <w:szCs w:val="24"/>
        </w:rPr>
        <w:t xml:space="preserve"> Darüber hinaus weist er darauf hin, dass diese verfassungsrechtliche Grundlage des Bündnisrechts in der Zwischenzeit auch eine entscheidende völkerrechtliche Bestätigung gefunden hat, denn der Westfälische Frieden schreibt allen Reichsständen das Recht zu, sowohl untereinander als auch mit äußeren Mächten Bündnisse zur eigenen Erhaltung und Sicherheit zu schließen, sofern diese Bündnisse dem Frieden im Reich nicht schaden.</w:t>
      </w:r>
      <w:r w:rsidRPr="001413B5">
        <w:rPr>
          <w:rStyle w:val="Funotenzeichen"/>
          <w:rFonts w:ascii="Times New Roman" w:hAnsi="Times New Roman"/>
          <w:sz w:val="24"/>
          <w:szCs w:val="24"/>
        </w:rPr>
        <w:footnoteReference w:id="36"/>
      </w:r>
      <w:r w:rsidRPr="001413B5">
        <w:rPr>
          <w:rFonts w:ascii="Times New Roman" w:hAnsi="Times New Roman"/>
          <w:sz w:val="24"/>
          <w:szCs w:val="24"/>
        </w:rPr>
        <w:t xml:space="preserve"> Leibniz kann also nicht übersehen haben, dass das Bündnisrecht der Städte von grundlegenden verfassungsrechtlichen und völkerrechtlichen Dokumenten gestützt wird. Was also kann seine Auffassung stützen, dass die Bündnisse der Reichs- und Hansestädte illegitim sind? In Frage kommen zwei weitere Argumentationsstränge, die bei L</w:t>
      </w:r>
      <w:r w:rsidR="007774D0">
        <w:rPr>
          <w:rFonts w:ascii="Times New Roman" w:hAnsi="Times New Roman"/>
          <w:sz w:val="24"/>
          <w:szCs w:val="24"/>
        </w:rPr>
        <w:t>eibniz kurz angedeutet werden: D</w:t>
      </w:r>
      <w:r w:rsidRPr="001413B5">
        <w:rPr>
          <w:rFonts w:ascii="Times New Roman" w:hAnsi="Times New Roman"/>
          <w:sz w:val="24"/>
          <w:szCs w:val="24"/>
        </w:rPr>
        <w:t xml:space="preserve">er eine betrifft die Rolle der Verjährung bei der Erwerbung von Rechten des </w:t>
      </w:r>
      <w:r w:rsidR="00B366EA">
        <w:rPr>
          <w:rFonts w:ascii="Times New Roman" w:hAnsi="Times New Roman"/>
          <w:i/>
          <w:sz w:val="24"/>
          <w:szCs w:val="24"/>
        </w:rPr>
        <w:t xml:space="preserve">jus </w:t>
      </w:r>
      <w:proofErr w:type="spellStart"/>
      <w:r w:rsidR="00B366EA">
        <w:rPr>
          <w:rFonts w:ascii="Times New Roman" w:hAnsi="Times New Roman"/>
          <w:i/>
          <w:sz w:val="24"/>
          <w:szCs w:val="24"/>
        </w:rPr>
        <w:t>g</w:t>
      </w:r>
      <w:r w:rsidRPr="001413B5">
        <w:rPr>
          <w:rFonts w:ascii="Times New Roman" w:hAnsi="Times New Roman"/>
          <w:i/>
          <w:sz w:val="24"/>
          <w:szCs w:val="24"/>
        </w:rPr>
        <w:t>entium</w:t>
      </w:r>
      <w:proofErr w:type="spellEnd"/>
      <w:r w:rsidRPr="001413B5">
        <w:rPr>
          <w:rFonts w:ascii="Times New Roman" w:hAnsi="Times New Roman"/>
          <w:sz w:val="24"/>
          <w:szCs w:val="24"/>
        </w:rPr>
        <w:t xml:space="preserve">, der andere betrifft die naturrechtlichen Funktionen von Bündnissen. Beide Argumentationsstränge haben enge Parallelen in detaillierteren Überlegungen Besolds, und diese Parallelen machen deutlich, dass Leibniz’ eigene Prämissen den Schluss nahelegen, dass </w:t>
      </w:r>
      <w:r w:rsidR="00B366EA">
        <w:rPr>
          <w:rFonts w:ascii="Times New Roman" w:hAnsi="Times New Roman"/>
          <w:sz w:val="24"/>
          <w:szCs w:val="24"/>
        </w:rPr>
        <w:t xml:space="preserve">auch </w:t>
      </w:r>
      <w:r w:rsidRPr="001413B5">
        <w:rPr>
          <w:rFonts w:ascii="Times New Roman" w:hAnsi="Times New Roman"/>
          <w:sz w:val="24"/>
          <w:szCs w:val="24"/>
        </w:rPr>
        <w:t xml:space="preserve">Städte legitime Bündnispartner sein können.  </w:t>
      </w:r>
    </w:p>
    <w:p w14:paraId="004112B2" w14:textId="77777777" w:rsidR="001413B5" w:rsidRPr="001413B5" w:rsidRDefault="001413B5" w:rsidP="001413B5">
      <w:pPr>
        <w:spacing w:after="0" w:line="360" w:lineRule="auto"/>
        <w:jc w:val="both"/>
        <w:rPr>
          <w:rFonts w:ascii="Times New Roman" w:hAnsi="Times New Roman"/>
          <w:sz w:val="24"/>
          <w:szCs w:val="24"/>
        </w:rPr>
      </w:pPr>
    </w:p>
    <w:p w14:paraId="5B76E545" w14:textId="77777777" w:rsidR="001413B5" w:rsidRPr="001413B5" w:rsidRDefault="007774D0" w:rsidP="001413B5">
      <w:pPr>
        <w:spacing w:after="0" w:line="360" w:lineRule="auto"/>
        <w:jc w:val="both"/>
        <w:rPr>
          <w:rFonts w:ascii="Times New Roman" w:hAnsi="Times New Roman"/>
          <w:sz w:val="24"/>
          <w:szCs w:val="24"/>
        </w:rPr>
      </w:pPr>
      <w:r>
        <w:rPr>
          <w:rFonts w:ascii="Times New Roman" w:hAnsi="Times New Roman"/>
          <w:sz w:val="24"/>
          <w:szCs w:val="24"/>
        </w:rPr>
        <w:t>4. Bündnisrecht und Verjährung</w:t>
      </w:r>
    </w:p>
    <w:p w14:paraId="7B466128" w14:textId="77777777" w:rsidR="001413B5" w:rsidRPr="001413B5" w:rsidRDefault="001413B5" w:rsidP="001413B5">
      <w:pPr>
        <w:spacing w:after="0" w:line="360" w:lineRule="auto"/>
        <w:jc w:val="both"/>
        <w:rPr>
          <w:rFonts w:ascii="Times New Roman" w:hAnsi="Times New Roman"/>
          <w:sz w:val="24"/>
          <w:szCs w:val="24"/>
        </w:rPr>
      </w:pPr>
    </w:p>
    <w:p w14:paraId="560A22A2" w14:textId="77777777" w:rsidR="001413B5" w:rsidRPr="001413B5" w:rsidRDefault="00B366EA" w:rsidP="001413B5">
      <w:pPr>
        <w:spacing w:after="0" w:line="360" w:lineRule="auto"/>
        <w:jc w:val="both"/>
        <w:rPr>
          <w:rFonts w:ascii="Times New Roman" w:hAnsi="Times New Roman"/>
          <w:sz w:val="24"/>
          <w:szCs w:val="24"/>
        </w:rPr>
      </w:pPr>
      <w:r>
        <w:rPr>
          <w:rFonts w:ascii="Times New Roman" w:hAnsi="Times New Roman"/>
          <w:sz w:val="24"/>
          <w:szCs w:val="24"/>
        </w:rPr>
        <w:t>Besold hebt hervor</w:t>
      </w:r>
      <w:r w:rsidR="001413B5" w:rsidRPr="001413B5">
        <w:rPr>
          <w:rFonts w:ascii="Times New Roman" w:hAnsi="Times New Roman"/>
          <w:sz w:val="24"/>
          <w:szCs w:val="24"/>
        </w:rPr>
        <w:t>, dass sich der rechtliche Status der Reichsstädte aus mehr als einer Quelle speist. Einerseits sind vom Kaiser verliehene Privilegien grundlegend, wie die Befreiung der Städte von Reichssteuern,</w:t>
      </w:r>
      <w:r w:rsidR="001413B5" w:rsidRPr="001413B5">
        <w:rPr>
          <w:rStyle w:val="Funotenzeichen"/>
          <w:rFonts w:ascii="Times New Roman" w:hAnsi="Times New Roman"/>
          <w:sz w:val="24"/>
          <w:szCs w:val="24"/>
        </w:rPr>
        <w:footnoteReference w:id="37"/>
      </w:r>
      <w:r w:rsidR="001413B5" w:rsidRPr="001413B5">
        <w:rPr>
          <w:rFonts w:ascii="Times New Roman" w:hAnsi="Times New Roman"/>
          <w:sz w:val="24"/>
          <w:szCs w:val="24"/>
        </w:rPr>
        <w:t xml:space="preserve"> die Gewährung von Gerichts- und Besteuerungsrechten,</w:t>
      </w:r>
      <w:r w:rsidR="001413B5" w:rsidRPr="001413B5">
        <w:rPr>
          <w:rStyle w:val="Funotenzeichen"/>
          <w:rFonts w:ascii="Times New Roman" w:hAnsi="Times New Roman"/>
          <w:sz w:val="24"/>
          <w:szCs w:val="24"/>
        </w:rPr>
        <w:footnoteReference w:id="38"/>
      </w:r>
      <w:r w:rsidR="001413B5" w:rsidRPr="001413B5">
        <w:rPr>
          <w:rFonts w:ascii="Times New Roman" w:hAnsi="Times New Roman"/>
          <w:sz w:val="24"/>
          <w:szCs w:val="24"/>
        </w:rPr>
        <w:t xml:space="preserve"> die Gewährung von Lehensrechten,</w:t>
      </w:r>
      <w:r w:rsidR="001413B5" w:rsidRPr="001413B5">
        <w:rPr>
          <w:rStyle w:val="Funotenzeichen"/>
          <w:rFonts w:ascii="Times New Roman" w:hAnsi="Times New Roman"/>
          <w:sz w:val="24"/>
          <w:szCs w:val="24"/>
        </w:rPr>
        <w:footnoteReference w:id="39"/>
      </w:r>
      <w:r w:rsidR="001413B5" w:rsidRPr="001413B5">
        <w:rPr>
          <w:rFonts w:ascii="Times New Roman" w:hAnsi="Times New Roman"/>
          <w:sz w:val="24"/>
          <w:szCs w:val="24"/>
        </w:rPr>
        <w:t xml:space="preserve"> und die Gewährung des Recht auf freien Abzug.</w:t>
      </w:r>
      <w:r w:rsidR="001413B5" w:rsidRPr="001413B5">
        <w:rPr>
          <w:rStyle w:val="Funotenzeichen"/>
          <w:rFonts w:ascii="Times New Roman" w:hAnsi="Times New Roman"/>
          <w:sz w:val="24"/>
          <w:szCs w:val="24"/>
        </w:rPr>
        <w:footnoteReference w:id="40"/>
      </w:r>
      <w:r w:rsidR="001413B5" w:rsidRPr="001413B5">
        <w:rPr>
          <w:rFonts w:ascii="Times New Roman" w:hAnsi="Times New Roman"/>
          <w:sz w:val="24"/>
          <w:szCs w:val="24"/>
        </w:rPr>
        <w:t xml:space="preserve"> Andererseits kann eine stillschweigende Erweiterung (</w:t>
      </w:r>
      <w:r w:rsidR="001413B5" w:rsidRPr="001413B5">
        <w:rPr>
          <w:rFonts w:ascii="Times New Roman" w:hAnsi="Times New Roman"/>
          <w:i/>
          <w:sz w:val="24"/>
          <w:szCs w:val="24"/>
        </w:rPr>
        <w:t>latenter incrementa</w:t>
      </w:r>
      <w:r w:rsidR="001413B5" w:rsidRPr="001413B5">
        <w:rPr>
          <w:rFonts w:ascii="Times New Roman" w:hAnsi="Times New Roman"/>
          <w:sz w:val="24"/>
          <w:szCs w:val="24"/>
        </w:rPr>
        <w:t>) dieser Rechte über längere Zeiträume hinweg stattfinden.</w:t>
      </w:r>
      <w:r w:rsidR="001413B5" w:rsidRPr="001413B5">
        <w:rPr>
          <w:rStyle w:val="Funotenzeichen"/>
          <w:rFonts w:ascii="Times New Roman" w:hAnsi="Times New Roman"/>
          <w:sz w:val="24"/>
          <w:szCs w:val="24"/>
        </w:rPr>
        <w:footnoteReference w:id="41"/>
      </w:r>
      <w:r w:rsidR="001413B5" w:rsidRPr="001413B5">
        <w:rPr>
          <w:rFonts w:ascii="Times New Roman" w:hAnsi="Times New Roman"/>
          <w:sz w:val="24"/>
          <w:szCs w:val="24"/>
        </w:rPr>
        <w:t xml:space="preserve"> Er vertritt die Auffassung, dass hier ist die Rechtsfigur der Verjährung aufgrund des unvordenklichen Beginns einer Praxis (</w:t>
      </w:r>
      <w:r w:rsidR="001413B5" w:rsidRPr="001413B5">
        <w:rPr>
          <w:rFonts w:ascii="Times New Roman" w:hAnsi="Times New Roman"/>
          <w:i/>
          <w:sz w:val="24"/>
          <w:szCs w:val="24"/>
        </w:rPr>
        <w:t>praescriptio immemoriali temporis</w:t>
      </w:r>
      <w:r w:rsidR="001413B5" w:rsidRPr="001413B5">
        <w:rPr>
          <w:rFonts w:ascii="Times New Roman" w:hAnsi="Times New Roman"/>
          <w:sz w:val="24"/>
          <w:szCs w:val="24"/>
        </w:rPr>
        <w:t>)</w:t>
      </w:r>
      <w:r w:rsidR="001413B5" w:rsidRPr="001413B5">
        <w:rPr>
          <w:rFonts w:ascii="Times New Roman" w:hAnsi="Times New Roman"/>
          <w:i/>
          <w:sz w:val="24"/>
          <w:szCs w:val="24"/>
        </w:rPr>
        <w:t xml:space="preserve"> </w:t>
      </w:r>
      <w:r w:rsidR="001413B5" w:rsidRPr="001413B5">
        <w:rPr>
          <w:rFonts w:ascii="Times New Roman" w:hAnsi="Times New Roman"/>
          <w:sz w:val="24"/>
          <w:szCs w:val="24"/>
        </w:rPr>
        <w:t>entscheidend.</w:t>
      </w:r>
      <w:r w:rsidR="001413B5" w:rsidRPr="001413B5">
        <w:rPr>
          <w:rStyle w:val="Funotenzeichen"/>
          <w:rFonts w:ascii="Times New Roman" w:hAnsi="Times New Roman"/>
          <w:sz w:val="24"/>
          <w:szCs w:val="24"/>
        </w:rPr>
        <w:footnoteReference w:id="42"/>
      </w:r>
      <w:r w:rsidR="001413B5" w:rsidRPr="001413B5">
        <w:rPr>
          <w:rFonts w:ascii="Times New Roman" w:hAnsi="Times New Roman"/>
          <w:sz w:val="24"/>
          <w:szCs w:val="24"/>
        </w:rPr>
        <w:t xml:space="preserve"> Der Kerngedanke der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besteht in der </w:t>
      </w:r>
      <w:r w:rsidR="001413B5" w:rsidRPr="001413B5">
        <w:rPr>
          <w:rFonts w:ascii="Times New Roman" w:hAnsi="Times New Roman"/>
          <w:sz w:val="24"/>
          <w:szCs w:val="24"/>
        </w:rPr>
        <w:lastRenderedPageBreak/>
        <w:t>Auffassung, dass es im öffentlichen Interesse liegt, Konflikte dadurch zu beenden, dass nach einer festgelegten Zeit keine rechtlichen Verfahren mehr angestrengt werden kommen.</w:t>
      </w:r>
      <w:r w:rsidR="001413B5" w:rsidRPr="001413B5">
        <w:rPr>
          <w:rStyle w:val="Funotenzeichen"/>
          <w:rFonts w:ascii="Times New Roman" w:hAnsi="Times New Roman"/>
          <w:sz w:val="24"/>
          <w:szCs w:val="24"/>
        </w:rPr>
        <w:footnoteReference w:id="43"/>
      </w:r>
      <w:r w:rsidR="001413B5" w:rsidRPr="001413B5">
        <w:rPr>
          <w:rFonts w:ascii="Times New Roman" w:hAnsi="Times New Roman"/>
          <w:sz w:val="24"/>
          <w:szCs w:val="24"/>
        </w:rPr>
        <w:t xml:space="preserve"> Für den argumentativen Hintergrund der These, dass Herrschaftsrechte nach einer Zeit, in der keine Erinnerung mehr an eine gegenteilige Situation mehr besteht, gegenüber den eigenen Untertanen der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unterliegen können, beruft sich Besold auf </w:t>
      </w:r>
      <w:r w:rsidR="00BB0C03">
        <w:rPr>
          <w:rFonts w:ascii="Times New Roman" w:hAnsi="Times New Roman"/>
          <w:sz w:val="24"/>
          <w:szCs w:val="24"/>
        </w:rPr>
        <w:t>ein einflussreiches, zuerst 1511 erschienenes Werk des</w:t>
      </w:r>
      <w:r w:rsidR="001413B5" w:rsidRPr="001413B5">
        <w:rPr>
          <w:rFonts w:ascii="Times New Roman" w:hAnsi="Times New Roman"/>
          <w:sz w:val="24"/>
          <w:szCs w:val="24"/>
        </w:rPr>
        <w:t xml:space="preserve"> italie</w:t>
      </w:r>
      <w:r w:rsidR="00956F03">
        <w:rPr>
          <w:rFonts w:ascii="Times New Roman" w:hAnsi="Times New Roman"/>
          <w:sz w:val="24"/>
          <w:szCs w:val="24"/>
        </w:rPr>
        <w:t>nischen Juristen Giovanni Francesco Balbo</w:t>
      </w:r>
      <w:r w:rsidR="001413B5" w:rsidRPr="001413B5">
        <w:rPr>
          <w:rStyle w:val="Funotenzeichen"/>
          <w:rFonts w:ascii="Times New Roman" w:hAnsi="Times New Roman"/>
          <w:sz w:val="24"/>
          <w:szCs w:val="24"/>
        </w:rPr>
        <w:footnoteReference w:id="44"/>
      </w:r>
      <w:r w:rsidR="001413B5" w:rsidRPr="001413B5">
        <w:rPr>
          <w:rFonts w:ascii="Times New Roman" w:hAnsi="Times New Roman"/>
          <w:sz w:val="24"/>
          <w:szCs w:val="24"/>
        </w:rPr>
        <w:t>—ein Hinweis, den es sich lohnt, etwas weiter zu verfolgen.</w:t>
      </w:r>
    </w:p>
    <w:p w14:paraId="5DDF784B" w14:textId="77777777" w:rsidR="001413B5" w:rsidRPr="001413B5" w:rsidRDefault="00956F03" w:rsidP="001413B5">
      <w:pPr>
        <w:spacing w:after="0" w:line="360" w:lineRule="auto"/>
        <w:jc w:val="both"/>
        <w:rPr>
          <w:rFonts w:ascii="Times New Roman" w:hAnsi="Times New Roman"/>
          <w:sz w:val="24"/>
          <w:szCs w:val="24"/>
        </w:rPr>
      </w:pPr>
      <w:r>
        <w:rPr>
          <w:rFonts w:ascii="Times New Roman" w:hAnsi="Times New Roman"/>
          <w:sz w:val="24"/>
          <w:szCs w:val="24"/>
        </w:rPr>
        <w:tab/>
        <w:t>Balbo</w:t>
      </w:r>
      <w:r w:rsidR="002B0695">
        <w:rPr>
          <w:rFonts w:ascii="Times New Roman" w:hAnsi="Times New Roman"/>
          <w:sz w:val="24"/>
          <w:szCs w:val="24"/>
        </w:rPr>
        <w:t xml:space="preserve"> macht klar</w:t>
      </w:r>
      <w:r w:rsidR="001413B5" w:rsidRPr="001413B5">
        <w:rPr>
          <w:rFonts w:ascii="Times New Roman" w:hAnsi="Times New Roman"/>
          <w:sz w:val="24"/>
          <w:szCs w:val="24"/>
        </w:rPr>
        <w:t xml:space="preserve">, dass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nicht durch das bloße Verstreichen von Zeit zustande kommt. Hinzukommen muss entweder ein Rechtstitel oder eine andere wirksame Ursache (</w:t>
      </w:r>
      <w:r w:rsidR="001413B5" w:rsidRPr="001413B5">
        <w:rPr>
          <w:rFonts w:ascii="Times New Roman" w:hAnsi="Times New Roman"/>
          <w:i/>
          <w:sz w:val="24"/>
          <w:szCs w:val="24"/>
        </w:rPr>
        <w:t>causa efficax</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45"/>
      </w:r>
      <w:r w:rsidR="001413B5" w:rsidRPr="001413B5">
        <w:rPr>
          <w:rFonts w:ascii="Times New Roman" w:hAnsi="Times New Roman"/>
          <w:sz w:val="24"/>
          <w:szCs w:val="24"/>
        </w:rPr>
        <w:t xml:space="preserve"> Eine solche Ursache kann in der Zustimmung liegen, die aufgrund einer lange währenden Duldung präsumiert wird.</w:t>
      </w:r>
      <w:r w:rsidR="001413B5" w:rsidRPr="001413B5">
        <w:rPr>
          <w:rStyle w:val="Funotenzeichen"/>
          <w:rFonts w:ascii="Times New Roman" w:hAnsi="Times New Roman"/>
          <w:sz w:val="24"/>
          <w:szCs w:val="24"/>
        </w:rPr>
        <w:footnoteReference w:id="46"/>
      </w:r>
      <w:r w:rsidR="001413B5" w:rsidRPr="001413B5">
        <w:rPr>
          <w:rFonts w:ascii="Times New Roman" w:hAnsi="Times New Roman"/>
          <w:sz w:val="24"/>
          <w:szCs w:val="24"/>
        </w:rPr>
        <w:t xml:space="preserve"> Die Rechtswirkung einer lange währenden Duldung besteht darin, dass das Bestehen eines Titels präsumiert wird.</w:t>
      </w:r>
      <w:r w:rsidR="001413B5" w:rsidRPr="001413B5">
        <w:rPr>
          <w:rStyle w:val="Funotenzeichen"/>
          <w:rFonts w:ascii="Times New Roman" w:hAnsi="Times New Roman"/>
          <w:sz w:val="24"/>
          <w:szCs w:val="24"/>
        </w:rPr>
        <w:footnoteReference w:id="47"/>
      </w:r>
      <w:r w:rsidR="001413B5" w:rsidRPr="001413B5">
        <w:rPr>
          <w:rFonts w:ascii="Times New Roman" w:hAnsi="Times New Roman"/>
          <w:sz w:val="24"/>
          <w:szCs w:val="24"/>
        </w:rPr>
        <w:t xml:space="preserve"> In dieser Weise beruht die Präsumption, dass ein Titel besteht, auf einer anderen Präsumption, nämlich, dass eine lange währende Duldung besteht. Bei allen aus dem Verfließen einer langen Zeit aufkommenden Präsumptionen handelt es sich aber nicht um </w:t>
      </w:r>
      <w:r w:rsidR="001413B5" w:rsidRPr="001413B5">
        <w:rPr>
          <w:rFonts w:ascii="Times New Roman" w:hAnsi="Times New Roman"/>
          <w:i/>
          <w:sz w:val="24"/>
          <w:szCs w:val="24"/>
        </w:rPr>
        <w:t>praesumptiones iuris et de iure</w:t>
      </w:r>
      <w:r w:rsidR="001413B5" w:rsidRPr="001413B5">
        <w:rPr>
          <w:rFonts w:ascii="Times New Roman" w:hAnsi="Times New Roman"/>
          <w:sz w:val="24"/>
          <w:szCs w:val="24"/>
        </w:rPr>
        <w:t>, die keinen Beweis des Gegenteils zuließen. Vielmehr können verschiedene Faktoren als Gegenbeweis zählen: das Eingeständnis, dass kein Rechtstitel vorliegt, das Eingeständnis, dass aus Irrtum aus den falschen Gründen gehandelt wurde.</w:t>
      </w:r>
      <w:r w:rsidR="001413B5" w:rsidRPr="001413B5">
        <w:rPr>
          <w:rStyle w:val="Funotenzeichen"/>
          <w:rFonts w:ascii="Times New Roman" w:hAnsi="Times New Roman"/>
          <w:sz w:val="24"/>
          <w:szCs w:val="24"/>
        </w:rPr>
        <w:footnoteReference w:id="48"/>
      </w:r>
      <w:r w:rsidR="001413B5" w:rsidRPr="001413B5">
        <w:rPr>
          <w:rFonts w:ascii="Times New Roman" w:hAnsi="Times New Roman"/>
          <w:sz w:val="24"/>
          <w:szCs w:val="24"/>
        </w:rPr>
        <w:t xml:space="preserve"> Hier besteht eine wichtige Einschränkung: aus lange anhaltender Duldung wird nur dann das Bestehen eines Rechtstitels präsumiert, wenn dadurch der anderen Partei kein größerer Schaden entsteht.</w:t>
      </w:r>
      <w:r w:rsidR="001413B5" w:rsidRPr="001413B5">
        <w:rPr>
          <w:rStyle w:val="Funotenzeichen"/>
          <w:rFonts w:ascii="Times New Roman" w:hAnsi="Times New Roman"/>
          <w:sz w:val="24"/>
          <w:szCs w:val="24"/>
        </w:rPr>
        <w:footnoteReference w:id="49"/>
      </w:r>
      <w:r w:rsidR="001413B5" w:rsidRPr="001413B5">
        <w:rPr>
          <w:rFonts w:ascii="Times New Roman" w:hAnsi="Times New Roman"/>
          <w:sz w:val="24"/>
          <w:szCs w:val="24"/>
        </w:rPr>
        <w:t xml:space="preserve"> Denn hier wie eine andere Präsumption schwerer, nämlich die Präsumption, dass niemand den eigenen Besitz aufgeben möchte.</w:t>
      </w:r>
      <w:r w:rsidR="001413B5" w:rsidRPr="001413B5">
        <w:rPr>
          <w:rStyle w:val="Funotenzeichen"/>
          <w:rFonts w:ascii="Times New Roman" w:hAnsi="Times New Roman"/>
          <w:sz w:val="24"/>
          <w:szCs w:val="24"/>
        </w:rPr>
        <w:footnoteReference w:id="50"/>
      </w:r>
      <w:r>
        <w:rPr>
          <w:rFonts w:ascii="Times New Roman" w:hAnsi="Times New Roman"/>
          <w:sz w:val="24"/>
          <w:szCs w:val="24"/>
        </w:rPr>
        <w:t xml:space="preserve"> Wie Balbo</w:t>
      </w:r>
      <w:r w:rsidR="001413B5" w:rsidRPr="001413B5">
        <w:rPr>
          <w:rFonts w:ascii="Times New Roman" w:hAnsi="Times New Roman"/>
          <w:sz w:val="24"/>
          <w:szCs w:val="24"/>
        </w:rPr>
        <w:t xml:space="preserve"> hervorhebt, handelt es sich dabei um eine </w:t>
      </w:r>
      <w:r w:rsidR="001413B5" w:rsidRPr="001413B5">
        <w:rPr>
          <w:rFonts w:ascii="Times New Roman" w:hAnsi="Times New Roman"/>
          <w:i/>
          <w:sz w:val="24"/>
          <w:szCs w:val="24"/>
        </w:rPr>
        <w:t>praesumptio iuris</w:t>
      </w:r>
      <w:r w:rsidR="001413B5" w:rsidRPr="001413B5">
        <w:rPr>
          <w:rFonts w:ascii="Times New Roman" w:hAnsi="Times New Roman"/>
          <w:sz w:val="24"/>
          <w:szCs w:val="24"/>
        </w:rPr>
        <w:t>, d.h. eine Präsumption, die schon im Römischen Recht niedergelegt ist und ihre Geltung aus dem Gesetz erhält.</w:t>
      </w:r>
      <w:r w:rsidR="001413B5" w:rsidRPr="001413B5">
        <w:rPr>
          <w:rStyle w:val="Funotenzeichen"/>
          <w:rFonts w:ascii="Times New Roman" w:hAnsi="Times New Roman"/>
          <w:sz w:val="24"/>
          <w:szCs w:val="24"/>
        </w:rPr>
        <w:footnoteReference w:id="51"/>
      </w:r>
      <w:r w:rsidR="001413B5" w:rsidRPr="001413B5">
        <w:rPr>
          <w:rFonts w:ascii="Times New Roman" w:hAnsi="Times New Roman"/>
          <w:sz w:val="24"/>
          <w:szCs w:val="24"/>
        </w:rPr>
        <w:t xml:space="preserve"> Deshalb kann eine Ausnahme zugunsten der Präsumption der Duldung nur dann gemacht werden, wenn 30 oder 40 Jahre verflossen sind.</w:t>
      </w:r>
      <w:r w:rsidR="001413B5" w:rsidRPr="001413B5">
        <w:rPr>
          <w:rStyle w:val="Funotenzeichen"/>
          <w:rFonts w:ascii="Times New Roman" w:hAnsi="Times New Roman"/>
          <w:sz w:val="24"/>
          <w:szCs w:val="24"/>
        </w:rPr>
        <w:footnoteReference w:id="52"/>
      </w:r>
      <w:r w:rsidR="001413B5" w:rsidRPr="001413B5">
        <w:rPr>
          <w:rFonts w:ascii="Times New Roman" w:hAnsi="Times New Roman"/>
          <w:sz w:val="24"/>
          <w:szCs w:val="24"/>
        </w:rPr>
        <w:t xml:space="preserve"> </w:t>
      </w:r>
      <w:r>
        <w:rPr>
          <w:rFonts w:ascii="Times New Roman" w:hAnsi="Times New Roman"/>
          <w:sz w:val="24"/>
          <w:szCs w:val="24"/>
        </w:rPr>
        <w:t xml:space="preserve">Dann aber, so </w:t>
      </w:r>
      <w:r>
        <w:rPr>
          <w:rFonts w:ascii="Times New Roman" w:hAnsi="Times New Roman"/>
          <w:sz w:val="24"/>
          <w:szCs w:val="24"/>
        </w:rPr>
        <w:lastRenderedPageBreak/>
        <w:t>argumentiert Balbo</w:t>
      </w:r>
      <w:r w:rsidR="00FE1898">
        <w:rPr>
          <w:rFonts w:ascii="Times New Roman" w:hAnsi="Times New Roman"/>
          <w:sz w:val="24"/>
          <w:szCs w:val="24"/>
        </w:rPr>
        <w:t xml:space="preserve">, erhält eine Praxis </w:t>
      </w:r>
      <w:r w:rsidR="001413B5" w:rsidRPr="001413B5">
        <w:rPr>
          <w:rFonts w:ascii="Times New Roman" w:hAnsi="Times New Roman"/>
          <w:sz w:val="24"/>
          <w:szCs w:val="24"/>
        </w:rPr>
        <w:t>den Charakter eines Privilegs.</w:t>
      </w:r>
      <w:r w:rsidR="001413B5" w:rsidRPr="001413B5">
        <w:rPr>
          <w:rStyle w:val="Funotenzeichen"/>
          <w:rFonts w:ascii="Times New Roman" w:hAnsi="Times New Roman"/>
          <w:sz w:val="24"/>
          <w:szCs w:val="24"/>
        </w:rPr>
        <w:footnoteReference w:id="53"/>
      </w:r>
      <w:r w:rsidR="001413B5" w:rsidRPr="001413B5">
        <w:rPr>
          <w:rFonts w:ascii="Times New Roman" w:hAnsi="Times New Roman"/>
          <w:sz w:val="24"/>
          <w:szCs w:val="24"/>
        </w:rPr>
        <w:t xml:space="preserve"> Deshalb können Herrschaftsrechte der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unterliegen, wenn eine Duldung vorliegt, welche die selbe Rechtskraft wie das explizite Verleihen eines Pri</w:t>
      </w:r>
      <w:r w:rsidR="00FE1898">
        <w:rPr>
          <w:rFonts w:ascii="Times New Roman" w:hAnsi="Times New Roman"/>
          <w:sz w:val="24"/>
          <w:szCs w:val="24"/>
        </w:rPr>
        <w:t>vilegs hat: „[D]</w:t>
      </w:r>
      <w:proofErr w:type="spellStart"/>
      <w:r w:rsidR="001413B5" w:rsidRPr="001413B5">
        <w:rPr>
          <w:rFonts w:ascii="Times New Roman" w:hAnsi="Times New Roman"/>
          <w:sz w:val="24"/>
          <w:szCs w:val="24"/>
        </w:rPr>
        <w:t>as</w:t>
      </w:r>
      <w:proofErr w:type="spellEnd"/>
      <w:r w:rsidR="001413B5" w:rsidRPr="001413B5">
        <w:rPr>
          <w:rFonts w:ascii="Times New Roman" w:hAnsi="Times New Roman"/>
          <w:sz w:val="24"/>
          <w:szCs w:val="24"/>
        </w:rPr>
        <w:t xml:space="preserve"> Verfließen einer unvordenklichen Zeit vermag so viel</w:t>
      </w:r>
      <w:r w:rsidR="00313965">
        <w:rPr>
          <w:rFonts w:ascii="Times New Roman" w:hAnsi="Times New Roman"/>
          <w:sz w:val="24"/>
          <w:szCs w:val="24"/>
        </w:rPr>
        <w:t>,</w:t>
      </w:r>
      <w:r w:rsidR="001413B5" w:rsidRPr="001413B5">
        <w:rPr>
          <w:rFonts w:ascii="Times New Roman" w:hAnsi="Times New Roman"/>
          <w:sz w:val="24"/>
          <w:szCs w:val="24"/>
        </w:rPr>
        <w:t xml:space="preserve"> wie der Kaiser</w:t>
      </w:r>
      <w:r w:rsidR="00313965">
        <w:rPr>
          <w:rFonts w:ascii="Times New Roman" w:hAnsi="Times New Roman"/>
          <w:sz w:val="24"/>
          <w:szCs w:val="24"/>
        </w:rPr>
        <w:t xml:space="preserve"> vermag</w:t>
      </w:r>
      <w:r w:rsidR="001413B5" w:rsidRPr="001413B5">
        <w:rPr>
          <w:rFonts w:ascii="Times New Roman" w:hAnsi="Times New Roman"/>
          <w:sz w:val="24"/>
          <w:szCs w:val="24"/>
        </w:rPr>
        <w:t>, wenn ein Grund vorliegt.“</w:t>
      </w:r>
      <w:r w:rsidR="001413B5" w:rsidRPr="001413B5">
        <w:rPr>
          <w:rStyle w:val="Funotenzeichen"/>
          <w:rFonts w:ascii="Times New Roman" w:hAnsi="Times New Roman"/>
          <w:sz w:val="24"/>
          <w:szCs w:val="24"/>
        </w:rPr>
        <w:footnoteReference w:id="54"/>
      </w:r>
      <w:r w:rsidR="001413B5" w:rsidRPr="001413B5">
        <w:rPr>
          <w:rFonts w:ascii="Times New Roman" w:hAnsi="Times New Roman"/>
          <w:sz w:val="24"/>
          <w:szCs w:val="24"/>
        </w:rPr>
        <w:t xml:space="preserve"> </w:t>
      </w:r>
    </w:p>
    <w:p w14:paraId="6116AE1C" w14:textId="77777777" w:rsidR="001413B5" w:rsidRPr="001413B5" w:rsidRDefault="00956F03" w:rsidP="001413B5">
      <w:pPr>
        <w:spacing w:after="0" w:line="360" w:lineRule="auto"/>
        <w:jc w:val="both"/>
        <w:rPr>
          <w:rFonts w:ascii="Times New Roman" w:hAnsi="Times New Roman"/>
          <w:sz w:val="24"/>
          <w:szCs w:val="24"/>
        </w:rPr>
      </w:pPr>
      <w:r>
        <w:rPr>
          <w:rFonts w:ascii="Times New Roman" w:hAnsi="Times New Roman"/>
          <w:sz w:val="24"/>
          <w:szCs w:val="24"/>
        </w:rPr>
        <w:tab/>
        <w:t>Balbo</w:t>
      </w:r>
      <w:r w:rsidR="002B0695">
        <w:rPr>
          <w:rFonts w:ascii="Times New Roman" w:hAnsi="Times New Roman"/>
          <w:sz w:val="24"/>
          <w:szCs w:val="24"/>
        </w:rPr>
        <w:t xml:space="preserve"> erwähnt aber auch</w:t>
      </w:r>
      <w:r w:rsidR="001413B5" w:rsidRPr="001413B5">
        <w:rPr>
          <w:rFonts w:ascii="Times New Roman" w:hAnsi="Times New Roman"/>
          <w:sz w:val="24"/>
          <w:szCs w:val="24"/>
        </w:rPr>
        <w:t xml:space="preserve">, dass der Umfang der Herrschaftsrechte, die gegenüber den Untertanen der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unterliegen, in der mittelalterlichen Rechtstheorie umstritten war. Nach der Auffassung von</w:t>
      </w:r>
      <w:r w:rsidR="00BB0C03">
        <w:rPr>
          <w:rFonts w:ascii="Times New Roman" w:hAnsi="Times New Roman"/>
          <w:sz w:val="24"/>
          <w:szCs w:val="24"/>
        </w:rPr>
        <w:t xml:space="preserve"> Bartolus von Sassoferrato (1313-1357</w:t>
      </w:r>
      <w:r w:rsidR="001413B5" w:rsidRPr="001413B5">
        <w:rPr>
          <w:rFonts w:ascii="Times New Roman" w:hAnsi="Times New Roman"/>
          <w:sz w:val="24"/>
          <w:szCs w:val="24"/>
        </w:rPr>
        <w:t xml:space="preserve">) bezieht sich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auch auf volle Freiheit, die in keiner Weise der Herrschaft des Kaisers unterliegt.</w:t>
      </w:r>
      <w:r w:rsidR="001413B5" w:rsidRPr="001413B5">
        <w:rPr>
          <w:rStyle w:val="Funotenzeichen"/>
          <w:rFonts w:ascii="Times New Roman" w:hAnsi="Times New Roman"/>
          <w:sz w:val="24"/>
          <w:szCs w:val="24"/>
        </w:rPr>
        <w:footnoteReference w:id="55"/>
      </w:r>
      <w:r w:rsidR="001413B5" w:rsidRPr="001413B5">
        <w:rPr>
          <w:rFonts w:ascii="Times New Roman" w:hAnsi="Times New Roman"/>
          <w:sz w:val="24"/>
          <w:szCs w:val="24"/>
        </w:rPr>
        <w:t xml:space="preserve"> Weil der Kaiser dem Volk alle Herrschaftsrechte durch ein Privileg erteilen kann, so lautet das Argument, unterliegen diese Rechte auch der </w:t>
      </w:r>
      <w:r w:rsidR="001413B5" w:rsidRPr="001413B5">
        <w:rPr>
          <w:rFonts w:ascii="Times New Roman" w:hAnsi="Times New Roman"/>
          <w:i/>
          <w:sz w:val="24"/>
          <w:szCs w:val="24"/>
        </w:rPr>
        <w:t>praescriptio</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56"/>
      </w:r>
      <w:r w:rsidR="001413B5" w:rsidRPr="001413B5">
        <w:rPr>
          <w:rFonts w:ascii="Times New Roman" w:hAnsi="Times New Roman"/>
          <w:sz w:val="24"/>
          <w:szCs w:val="24"/>
        </w:rPr>
        <w:t xml:space="preserve"> Nach der gegenteiligen Auffassung von Panormitano (Niccolò de </w:t>
      </w:r>
      <w:proofErr w:type="spellStart"/>
      <w:r w:rsidR="001413B5" w:rsidRPr="001413B5">
        <w:rPr>
          <w:rFonts w:ascii="Times New Roman" w:hAnsi="Times New Roman"/>
          <w:sz w:val="24"/>
          <w:szCs w:val="24"/>
        </w:rPr>
        <w:t>Tudes</w:t>
      </w:r>
      <w:r w:rsidR="00BB0C03">
        <w:rPr>
          <w:rFonts w:ascii="Times New Roman" w:hAnsi="Times New Roman"/>
          <w:sz w:val="24"/>
          <w:szCs w:val="24"/>
        </w:rPr>
        <w:t>chis</w:t>
      </w:r>
      <w:proofErr w:type="spellEnd"/>
      <w:r w:rsidR="00BB0C03">
        <w:rPr>
          <w:rFonts w:ascii="Times New Roman" w:hAnsi="Times New Roman"/>
          <w:sz w:val="24"/>
          <w:szCs w:val="24"/>
        </w:rPr>
        <w:t>, 1396-1445</w:t>
      </w:r>
      <w:r>
        <w:rPr>
          <w:rFonts w:ascii="Times New Roman" w:hAnsi="Times New Roman"/>
          <w:sz w:val="24"/>
          <w:szCs w:val="24"/>
        </w:rPr>
        <w:t>), der sich Balbo</w:t>
      </w:r>
      <w:r w:rsidR="001413B5" w:rsidRPr="001413B5">
        <w:rPr>
          <w:rFonts w:ascii="Times New Roman" w:hAnsi="Times New Roman"/>
          <w:sz w:val="24"/>
          <w:szCs w:val="24"/>
        </w:rPr>
        <w:t xml:space="preserve"> anschließt, unterliegen hingegen diejenigen Rechte, die die Zeichen von Souveränität sind, nicht der </w:t>
      </w:r>
      <w:r w:rsidR="001413B5" w:rsidRPr="001413B5">
        <w:rPr>
          <w:rFonts w:ascii="Times New Roman" w:hAnsi="Times New Roman"/>
          <w:i/>
          <w:sz w:val="24"/>
          <w:szCs w:val="24"/>
        </w:rPr>
        <w:t>praescriptio</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57"/>
      </w:r>
      <w:r w:rsidR="001413B5" w:rsidRPr="001413B5">
        <w:rPr>
          <w:rFonts w:ascii="Times New Roman" w:hAnsi="Times New Roman"/>
          <w:sz w:val="24"/>
          <w:szCs w:val="24"/>
        </w:rPr>
        <w:t xml:space="preserve"> </w:t>
      </w:r>
      <w:r w:rsidR="00FE1898">
        <w:rPr>
          <w:rFonts w:ascii="Times New Roman" w:hAnsi="Times New Roman"/>
          <w:sz w:val="24"/>
          <w:szCs w:val="24"/>
        </w:rPr>
        <w:t>Was deshalb</w:t>
      </w:r>
      <w:r w:rsidR="001413B5" w:rsidRPr="001413B5">
        <w:rPr>
          <w:rFonts w:ascii="Times New Roman" w:hAnsi="Times New Roman"/>
          <w:sz w:val="24"/>
          <w:szCs w:val="24"/>
        </w:rPr>
        <w:t xml:space="preserve"> nicht stattfinden kann, ist eine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gegenüber der Herrschaft des Kaisers im Sinne einer vollständigen Exemtion gegenüber der kaiserlichen Jurisdiktion. Folglich können Rechte des Reiches nur dann der </w:t>
      </w:r>
      <w:r w:rsidR="001413B5" w:rsidRPr="001413B5">
        <w:rPr>
          <w:rFonts w:ascii="Times New Roman" w:hAnsi="Times New Roman"/>
          <w:i/>
          <w:sz w:val="24"/>
          <w:szCs w:val="24"/>
        </w:rPr>
        <w:t>praescriptio</w:t>
      </w:r>
      <w:r w:rsidR="001413B5" w:rsidRPr="001413B5">
        <w:rPr>
          <w:rFonts w:ascii="Times New Roman" w:hAnsi="Times New Roman"/>
          <w:sz w:val="24"/>
          <w:szCs w:val="24"/>
        </w:rPr>
        <w:t xml:space="preserve"> unterliegen, solange Souveränität unangetastet bleibt (</w:t>
      </w:r>
      <w:r w:rsidR="001413B5" w:rsidRPr="001413B5">
        <w:rPr>
          <w:rFonts w:ascii="Times New Roman" w:hAnsi="Times New Roman"/>
          <w:i/>
          <w:sz w:val="24"/>
          <w:szCs w:val="24"/>
        </w:rPr>
        <w:t>salva superioritate</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58"/>
      </w:r>
      <w:r w:rsidR="001413B5" w:rsidRPr="001413B5">
        <w:rPr>
          <w:rFonts w:ascii="Times New Roman" w:hAnsi="Times New Roman"/>
          <w:sz w:val="24"/>
          <w:szCs w:val="24"/>
        </w:rPr>
        <w:t xml:space="preserve"> </w:t>
      </w:r>
    </w:p>
    <w:p w14:paraId="3E225258"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t>Zur Begründu</w:t>
      </w:r>
      <w:r w:rsidR="00956F03">
        <w:rPr>
          <w:rFonts w:ascii="Times New Roman" w:hAnsi="Times New Roman"/>
          <w:sz w:val="24"/>
          <w:szCs w:val="24"/>
        </w:rPr>
        <w:t>ng dieser Auffassung weist Balbo</w:t>
      </w:r>
      <w:r w:rsidRPr="001413B5">
        <w:rPr>
          <w:rFonts w:ascii="Times New Roman" w:hAnsi="Times New Roman"/>
          <w:sz w:val="24"/>
          <w:szCs w:val="24"/>
        </w:rPr>
        <w:t xml:space="preserve"> auf die Unterscheidung zwischen privativer und akkumulativer praescriptio hin (</w:t>
      </w:r>
      <w:r w:rsidRPr="001413B5">
        <w:rPr>
          <w:rFonts w:ascii="Times New Roman" w:hAnsi="Times New Roman"/>
          <w:i/>
          <w:sz w:val="24"/>
          <w:szCs w:val="24"/>
        </w:rPr>
        <w:t>praescribi privative</w:t>
      </w:r>
      <w:r w:rsidRPr="001413B5">
        <w:rPr>
          <w:rFonts w:ascii="Times New Roman" w:hAnsi="Times New Roman"/>
          <w:sz w:val="24"/>
          <w:szCs w:val="24"/>
        </w:rPr>
        <w:t xml:space="preserve"> vs. </w:t>
      </w:r>
      <w:r w:rsidRPr="001413B5">
        <w:rPr>
          <w:rFonts w:ascii="Times New Roman" w:hAnsi="Times New Roman"/>
          <w:i/>
          <w:sz w:val="24"/>
          <w:szCs w:val="24"/>
        </w:rPr>
        <w:t xml:space="preserve">praescribi </w:t>
      </w:r>
      <w:proofErr w:type="spellStart"/>
      <w:r w:rsidRPr="001413B5">
        <w:rPr>
          <w:rFonts w:ascii="Times New Roman" w:hAnsi="Times New Roman"/>
          <w:i/>
          <w:sz w:val="24"/>
          <w:szCs w:val="24"/>
        </w:rPr>
        <w:t>cumulative</w:t>
      </w:r>
      <w:proofErr w:type="spellEnd"/>
      <w:r w:rsidR="00FE1898">
        <w:rPr>
          <w:rFonts w:ascii="Times New Roman" w:hAnsi="Times New Roman"/>
          <w:sz w:val="24"/>
          <w:szCs w:val="24"/>
        </w:rPr>
        <w:t>). Nur i</w:t>
      </w:r>
      <w:r w:rsidRPr="001413B5">
        <w:rPr>
          <w:rFonts w:ascii="Times New Roman" w:hAnsi="Times New Roman"/>
          <w:sz w:val="24"/>
          <w:szCs w:val="24"/>
        </w:rPr>
        <w:t xml:space="preserve">m Falle der privativen </w:t>
      </w:r>
      <w:r w:rsidRPr="001413B5">
        <w:rPr>
          <w:rFonts w:ascii="Times New Roman" w:hAnsi="Times New Roman"/>
          <w:i/>
          <w:sz w:val="24"/>
          <w:szCs w:val="24"/>
        </w:rPr>
        <w:t>praescriptio</w:t>
      </w:r>
      <w:r w:rsidRPr="001413B5">
        <w:rPr>
          <w:rFonts w:ascii="Times New Roman" w:hAnsi="Times New Roman"/>
          <w:sz w:val="24"/>
          <w:szCs w:val="24"/>
        </w:rPr>
        <w:t xml:space="preserve"> kann das vom Untertan ausgeübte Recht nicht mehr vom Kaiser ausgeübt wer</w:t>
      </w:r>
      <w:r w:rsidR="00FE1898">
        <w:rPr>
          <w:rFonts w:ascii="Times New Roman" w:hAnsi="Times New Roman"/>
          <w:sz w:val="24"/>
          <w:szCs w:val="24"/>
        </w:rPr>
        <w:t>den</w:t>
      </w:r>
      <w:r w:rsidR="00956F03">
        <w:rPr>
          <w:rFonts w:ascii="Times New Roman" w:hAnsi="Times New Roman"/>
          <w:sz w:val="24"/>
          <w:szCs w:val="24"/>
        </w:rPr>
        <w:t>. Nach der Auffassung von Balbo</w:t>
      </w:r>
      <w:r w:rsidRPr="001413B5">
        <w:rPr>
          <w:rFonts w:ascii="Times New Roman" w:hAnsi="Times New Roman"/>
          <w:sz w:val="24"/>
          <w:szCs w:val="24"/>
        </w:rPr>
        <w:t xml:space="preserve"> fallen Herrschaftsrechte immer unter die Kategorie der privativen </w:t>
      </w:r>
      <w:r w:rsidRPr="001413B5">
        <w:rPr>
          <w:rFonts w:ascii="Times New Roman" w:hAnsi="Times New Roman"/>
          <w:i/>
          <w:sz w:val="24"/>
          <w:szCs w:val="24"/>
        </w:rPr>
        <w:t>praescriptio</w:t>
      </w:r>
      <w:r w:rsidRPr="001413B5">
        <w:rPr>
          <w:rFonts w:ascii="Times New Roman" w:hAnsi="Times New Roman"/>
          <w:sz w:val="24"/>
          <w:szCs w:val="24"/>
        </w:rPr>
        <w:t>.</w:t>
      </w:r>
      <w:r w:rsidRPr="001413B5">
        <w:rPr>
          <w:rStyle w:val="Funotenzeichen"/>
          <w:rFonts w:ascii="Times New Roman" w:hAnsi="Times New Roman"/>
          <w:sz w:val="24"/>
          <w:szCs w:val="24"/>
        </w:rPr>
        <w:footnoteReference w:id="59"/>
      </w:r>
      <w:r w:rsidRPr="001413B5">
        <w:rPr>
          <w:rFonts w:ascii="Times New Roman" w:hAnsi="Times New Roman"/>
          <w:sz w:val="24"/>
          <w:szCs w:val="24"/>
        </w:rPr>
        <w:t xml:space="preserve"> Dies ist sicher plausibel für die Ausübung praktischer Gewaltmittel (</w:t>
      </w:r>
      <w:r w:rsidRPr="001413B5">
        <w:rPr>
          <w:rFonts w:ascii="Times New Roman" w:hAnsi="Times New Roman"/>
          <w:i/>
          <w:sz w:val="24"/>
          <w:szCs w:val="24"/>
        </w:rPr>
        <w:t>merum imperium</w:t>
      </w:r>
      <w:r w:rsidRPr="001413B5">
        <w:rPr>
          <w:rFonts w:ascii="Times New Roman" w:hAnsi="Times New Roman"/>
          <w:sz w:val="24"/>
          <w:szCs w:val="24"/>
        </w:rPr>
        <w:t>) und für die Ausübung von Geric</w:t>
      </w:r>
      <w:r w:rsidR="00FE1898">
        <w:rPr>
          <w:rFonts w:ascii="Times New Roman" w:hAnsi="Times New Roman"/>
          <w:sz w:val="24"/>
          <w:szCs w:val="24"/>
        </w:rPr>
        <w:t>htsrechten, die für denselben Fall auf derselben Instanzenebene</w:t>
      </w:r>
      <w:r w:rsidRPr="001413B5">
        <w:rPr>
          <w:rFonts w:ascii="Times New Roman" w:hAnsi="Times New Roman"/>
          <w:sz w:val="24"/>
          <w:szCs w:val="24"/>
        </w:rPr>
        <w:t xml:space="preserve"> nicht sinnvoll bei mehr als einer Autorität liegen kann.</w:t>
      </w:r>
      <w:r w:rsidRPr="001413B5">
        <w:rPr>
          <w:rStyle w:val="Funotenzeichen"/>
          <w:rFonts w:ascii="Times New Roman" w:hAnsi="Times New Roman"/>
          <w:sz w:val="24"/>
          <w:szCs w:val="24"/>
        </w:rPr>
        <w:footnoteReference w:id="60"/>
      </w:r>
      <w:r w:rsidR="00956F03">
        <w:rPr>
          <w:rFonts w:ascii="Times New Roman" w:hAnsi="Times New Roman"/>
          <w:sz w:val="24"/>
          <w:szCs w:val="24"/>
        </w:rPr>
        <w:t xml:space="preserve"> Balbo</w:t>
      </w:r>
      <w:r w:rsidRPr="001413B5">
        <w:rPr>
          <w:rFonts w:ascii="Times New Roman" w:hAnsi="Times New Roman"/>
          <w:sz w:val="24"/>
          <w:szCs w:val="24"/>
        </w:rPr>
        <w:t xml:space="preserve">s Ablehnung der Idee, dass sich auf Rechte, die Souveränität repräsentieren der </w:t>
      </w:r>
      <w:r w:rsidRPr="001413B5">
        <w:rPr>
          <w:rFonts w:ascii="Times New Roman" w:hAnsi="Times New Roman"/>
          <w:i/>
          <w:sz w:val="24"/>
          <w:szCs w:val="24"/>
        </w:rPr>
        <w:t>praescriptio</w:t>
      </w:r>
      <w:r w:rsidRPr="001413B5">
        <w:rPr>
          <w:rFonts w:ascii="Times New Roman" w:hAnsi="Times New Roman"/>
          <w:sz w:val="24"/>
          <w:szCs w:val="24"/>
        </w:rPr>
        <w:t xml:space="preserve"> unterliegen, </w:t>
      </w:r>
      <w:r w:rsidR="00FE1898">
        <w:rPr>
          <w:rFonts w:ascii="Times New Roman" w:hAnsi="Times New Roman"/>
          <w:sz w:val="24"/>
          <w:szCs w:val="24"/>
        </w:rPr>
        <w:t xml:space="preserve">lässt sich </w:t>
      </w:r>
      <w:r w:rsidRPr="001413B5">
        <w:rPr>
          <w:rFonts w:ascii="Times New Roman" w:hAnsi="Times New Roman"/>
          <w:sz w:val="24"/>
          <w:szCs w:val="24"/>
        </w:rPr>
        <w:t xml:space="preserve">als eine Konsequenz seiner Auffassung auffassen, dass Herrschaftsrechte nur der privativen </w:t>
      </w:r>
      <w:r w:rsidRPr="001413B5">
        <w:rPr>
          <w:rFonts w:ascii="Times New Roman" w:hAnsi="Times New Roman"/>
          <w:i/>
          <w:sz w:val="24"/>
          <w:szCs w:val="24"/>
        </w:rPr>
        <w:t>praescriptio</w:t>
      </w:r>
      <w:r w:rsidRPr="001413B5">
        <w:rPr>
          <w:rFonts w:ascii="Times New Roman" w:hAnsi="Times New Roman"/>
          <w:sz w:val="24"/>
          <w:szCs w:val="24"/>
        </w:rPr>
        <w:t xml:space="preserve"> unterliegen können. </w:t>
      </w:r>
    </w:p>
    <w:p w14:paraId="45BDE292" w14:textId="77777777" w:rsidR="001413B5" w:rsidRPr="001413B5" w:rsidRDefault="001413B5" w:rsidP="001413B5">
      <w:pPr>
        <w:spacing w:after="0" w:line="360" w:lineRule="auto"/>
        <w:ind w:firstLine="708"/>
        <w:jc w:val="both"/>
        <w:rPr>
          <w:rFonts w:ascii="Times New Roman" w:hAnsi="Times New Roman"/>
          <w:sz w:val="24"/>
          <w:szCs w:val="24"/>
        </w:rPr>
      </w:pPr>
      <w:r w:rsidRPr="001413B5">
        <w:rPr>
          <w:rFonts w:ascii="Times New Roman" w:hAnsi="Times New Roman"/>
          <w:sz w:val="24"/>
          <w:szCs w:val="24"/>
        </w:rPr>
        <w:lastRenderedPageBreak/>
        <w:t xml:space="preserve">Wird hingegen die Annahme, dass Herrschaftsrechte nur der privativen </w:t>
      </w:r>
      <w:r w:rsidRPr="001413B5">
        <w:rPr>
          <w:rFonts w:ascii="Times New Roman" w:hAnsi="Times New Roman"/>
          <w:i/>
          <w:sz w:val="24"/>
          <w:szCs w:val="24"/>
        </w:rPr>
        <w:t>praescriptio</w:t>
      </w:r>
      <w:r w:rsidRPr="001413B5">
        <w:rPr>
          <w:rFonts w:ascii="Times New Roman" w:hAnsi="Times New Roman"/>
          <w:sz w:val="24"/>
          <w:szCs w:val="24"/>
        </w:rPr>
        <w:t xml:space="preserve"> unterliegen, aufgegeben, ergibt sich die Möglichkeit, auch Rechte, die Souveränität repräsentieren als Gegenstand der </w:t>
      </w:r>
      <w:r w:rsidRPr="001413B5">
        <w:rPr>
          <w:rFonts w:ascii="Times New Roman" w:hAnsi="Times New Roman"/>
          <w:i/>
          <w:sz w:val="24"/>
          <w:szCs w:val="24"/>
        </w:rPr>
        <w:t>praescriptio</w:t>
      </w:r>
      <w:r w:rsidRPr="001413B5">
        <w:rPr>
          <w:rFonts w:ascii="Times New Roman" w:hAnsi="Times New Roman"/>
          <w:sz w:val="24"/>
          <w:szCs w:val="24"/>
        </w:rPr>
        <w:t xml:space="preserve"> gegenüber Untertanen aufzufassen. In diesem Fall könnten Untertanen an Souveränität teilhaben, ohne dadurch die Souveränität des Kaisers in Frage zu stellen. Dies ist genau die Strategie, die Besold verfolgt. In seiner Diskussion des Bündnisrechts der Städte vert</w:t>
      </w:r>
      <w:r w:rsidR="00BE2223">
        <w:rPr>
          <w:rFonts w:ascii="Times New Roman" w:hAnsi="Times New Roman"/>
          <w:sz w:val="24"/>
          <w:szCs w:val="24"/>
        </w:rPr>
        <w:t>ritt Besold die Auffassung,</w:t>
      </w:r>
      <w:r w:rsidRPr="001413B5">
        <w:rPr>
          <w:rFonts w:ascii="Times New Roman" w:hAnsi="Times New Roman"/>
          <w:sz w:val="24"/>
          <w:szCs w:val="24"/>
        </w:rPr>
        <w:t xml:space="preserve"> „das Verfließen einer so langen Zeit </w:t>
      </w:r>
      <w:r w:rsidR="00BE2223">
        <w:rPr>
          <w:rFonts w:ascii="Times New Roman" w:hAnsi="Times New Roman"/>
          <w:sz w:val="24"/>
          <w:szCs w:val="24"/>
        </w:rPr>
        <w:t xml:space="preserve">erhalte </w:t>
      </w:r>
      <w:r w:rsidRPr="001413B5">
        <w:rPr>
          <w:rFonts w:ascii="Times New Roman" w:hAnsi="Times New Roman"/>
          <w:sz w:val="24"/>
          <w:szCs w:val="24"/>
        </w:rPr>
        <w:t>die Kraft eines Gesetzes und einer speziell</w:t>
      </w:r>
      <w:r w:rsidR="00BE2223">
        <w:rPr>
          <w:rFonts w:ascii="Times New Roman" w:hAnsi="Times New Roman"/>
          <w:sz w:val="24"/>
          <w:szCs w:val="24"/>
        </w:rPr>
        <w:t>en Einräumung von Rechten</w:t>
      </w:r>
      <w:r w:rsidRPr="001413B5">
        <w:rPr>
          <w:rFonts w:ascii="Times New Roman" w:hAnsi="Times New Roman"/>
          <w:sz w:val="24"/>
          <w:szCs w:val="24"/>
        </w:rPr>
        <w:t>.“</w:t>
      </w:r>
      <w:r w:rsidRPr="001413B5">
        <w:rPr>
          <w:rStyle w:val="Funotenzeichen"/>
          <w:rFonts w:ascii="Times New Roman" w:hAnsi="Times New Roman"/>
          <w:sz w:val="24"/>
          <w:szCs w:val="24"/>
        </w:rPr>
        <w:footnoteReference w:id="61"/>
      </w:r>
      <w:r w:rsidRPr="001413B5">
        <w:rPr>
          <w:rFonts w:ascii="Times New Roman" w:hAnsi="Times New Roman"/>
          <w:sz w:val="24"/>
          <w:szCs w:val="24"/>
        </w:rPr>
        <w:t xml:space="preserve"> Insbesondere die Hans</w:t>
      </w:r>
      <w:r w:rsidR="00E95802">
        <w:rPr>
          <w:rFonts w:ascii="Times New Roman" w:hAnsi="Times New Roman"/>
          <w:sz w:val="24"/>
          <w:szCs w:val="24"/>
        </w:rPr>
        <w:t>e</w:t>
      </w:r>
      <w:r w:rsidRPr="001413B5">
        <w:rPr>
          <w:rFonts w:ascii="Times New Roman" w:hAnsi="Times New Roman"/>
          <w:sz w:val="24"/>
          <w:szCs w:val="24"/>
        </w:rPr>
        <w:t xml:space="preserve"> ist in seinen Augen ein legitim geschlossenes Bündnis, weil Könige und Fürsten innerhalb und außerhalb Deutschlands</w:t>
      </w:r>
      <w:r w:rsidR="00E95802">
        <w:rPr>
          <w:rFonts w:ascii="Times New Roman" w:hAnsi="Times New Roman"/>
          <w:sz w:val="24"/>
          <w:szCs w:val="24"/>
        </w:rPr>
        <w:t xml:space="preserve"> über eine lange Zeit hinweg</w:t>
      </w:r>
      <w:r w:rsidRPr="001413B5">
        <w:rPr>
          <w:rFonts w:ascii="Times New Roman" w:hAnsi="Times New Roman"/>
          <w:sz w:val="24"/>
          <w:szCs w:val="24"/>
        </w:rPr>
        <w:t xml:space="preserve"> Bündnisse mit der Hanse eingegangen sind.</w:t>
      </w:r>
      <w:r w:rsidRPr="001413B5">
        <w:rPr>
          <w:rStyle w:val="Funotenzeichen"/>
          <w:rFonts w:ascii="Times New Roman" w:hAnsi="Times New Roman"/>
          <w:sz w:val="24"/>
          <w:szCs w:val="24"/>
        </w:rPr>
        <w:footnoteReference w:id="62"/>
      </w:r>
      <w:r w:rsidRPr="001413B5">
        <w:rPr>
          <w:rFonts w:ascii="Times New Roman" w:hAnsi="Times New Roman"/>
          <w:sz w:val="24"/>
          <w:szCs w:val="24"/>
        </w:rPr>
        <w:t xml:space="preserve"> So dokumentiert ein Vertrag der Hanse mit dem englis</w:t>
      </w:r>
      <w:r w:rsidR="00E95802">
        <w:rPr>
          <w:rFonts w:ascii="Times New Roman" w:hAnsi="Times New Roman"/>
          <w:sz w:val="24"/>
          <w:szCs w:val="24"/>
        </w:rPr>
        <w:t>chen König von 1206</w:t>
      </w:r>
      <w:r w:rsidRPr="001413B5">
        <w:rPr>
          <w:rFonts w:ascii="Times New Roman" w:hAnsi="Times New Roman"/>
          <w:sz w:val="24"/>
          <w:szCs w:val="24"/>
        </w:rPr>
        <w:t xml:space="preserve"> nicht nur das Alter der Hanse, sondern auch ihre Beteiligung an internationalen Verträgen. Ebenso wurde </w:t>
      </w:r>
      <w:r w:rsidR="00E95802">
        <w:rPr>
          <w:rFonts w:ascii="Times New Roman" w:hAnsi="Times New Roman"/>
          <w:sz w:val="24"/>
          <w:szCs w:val="24"/>
        </w:rPr>
        <w:t xml:space="preserve">1570 </w:t>
      </w:r>
      <w:r w:rsidRPr="001413B5">
        <w:rPr>
          <w:rFonts w:ascii="Times New Roman" w:hAnsi="Times New Roman"/>
          <w:sz w:val="24"/>
          <w:szCs w:val="24"/>
        </w:rPr>
        <w:t>ein Bündnis zwischen Lübeck und dem Däni</w:t>
      </w:r>
      <w:r w:rsidR="00E95802">
        <w:rPr>
          <w:rFonts w:ascii="Times New Roman" w:hAnsi="Times New Roman"/>
          <w:sz w:val="24"/>
          <w:szCs w:val="24"/>
        </w:rPr>
        <w:t>schen König Friedrich II. geschlossen</w:t>
      </w:r>
      <w:r w:rsidRPr="001413B5">
        <w:rPr>
          <w:rFonts w:ascii="Times New Roman" w:hAnsi="Times New Roman"/>
          <w:sz w:val="24"/>
          <w:szCs w:val="24"/>
        </w:rPr>
        <w:t>, ohne dass dies Widerspruch hervorgerufen hätte.</w:t>
      </w:r>
      <w:r w:rsidRPr="001413B5">
        <w:rPr>
          <w:rStyle w:val="Funotenzeichen"/>
          <w:rFonts w:ascii="Times New Roman" w:hAnsi="Times New Roman"/>
          <w:sz w:val="24"/>
          <w:szCs w:val="24"/>
        </w:rPr>
        <w:footnoteReference w:id="63"/>
      </w:r>
      <w:r w:rsidRPr="001413B5">
        <w:rPr>
          <w:rFonts w:ascii="Times New Roman" w:hAnsi="Times New Roman"/>
          <w:sz w:val="24"/>
          <w:szCs w:val="24"/>
        </w:rPr>
        <w:t xml:space="preserve"> Hier nimmt Besold die Idee auf, dass für </w:t>
      </w:r>
      <w:r w:rsidRPr="001413B5">
        <w:rPr>
          <w:rFonts w:ascii="Times New Roman" w:hAnsi="Times New Roman"/>
          <w:i/>
          <w:sz w:val="24"/>
          <w:szCs w:val="24"/>
        </w:rPr>
        <w:t>praescriptio</w:t>
      </w:r>
      <w:r w:rsidRPr="001413B5">
        <w:rPr>
          <w:rFonts w:ascii="Times New Roman" w:hAnsi="Times New Roman"/>
          <w:sz w:val="24"/>
          <w:szCs w:val="24"/>
        </w:rPr>
        <w:t xml:space="preserve"> die stillschweigende Duldung den </w:t>
      </w:r>
      <w:r w:rsidR="00956F03">
        <w:rPr>
          <w:rFonts w:ascii="Times New Roman" w:hAnsi="Times New Roman"/>
          <w:sz w:val="24"/>
          <w:szCs w:val="24"/>
        </w:rPr>
        <w:t>Ausschlag gibt. Anders als Balbo</w:t>
      </w:r>
      <w:r w:rsidRPr="001413B5">
        <w:rPr>
          <w:rFonts w:ascii="Times New Roman" w:hAnsi="Times New Roman"/>
          <w:sz w:val="24"/>
          <w:szCs w:val="24"/>
        </w:rPr>
        <w:t xml:space="preserve"> dehnt Besold jedoch den Bereich der </w:t>
      </w:r>
      <w:r w:rsidRPr="001413B5">
        <w:rPr>
          <w:rFonts w:ascii="Times New Roman" w:hAnsi="Times New Roman"/>
          <w:i/>
          <w:sz w:val="24"/>
          <w:szCs w:val="24"/>
        </w:rPr>
        <w:t>praescriptio</w:t>
      </w:r>
      <w:r w:rsidRPr="001413B5">
        <w:rPr>
          <w:rFonts w:ascii="Times New Roman" w:hAnsi="Times New Roman"/>
          <w:sz w:val="24"/>
          <w:szCs w:val="24"/>
        </w:rPr>
        <w:t xml:space="preserve"> von Herrschaftsrechten auf Rechte aus, die ein Zeichen von Souveränität sind. Dies kann dadurch erklärt werden, dass Besold hier—um die Terminologie </w:t>
      </w:r>
      <w:r w:rsidR="00956F03">
        <w:rPr>
          <w:rFonts w:ascii="Times New Roman" w:hAnsi="Times New Roman"/>
          <w:sz w:val="24"/>
          <w:szCs w:val="24"/>
        </w:rPr>
        <w:t>zu verwenden, die sich bei Balbo</w:t>
      </w:r>
      <w:r w:rsidRPr="001413B5">
        <w:rPr>
          <w:rFonts w:ascii="Times New Roman" w:hAnsi="Times New Roman"/>
          <w:sz w:val="24"/>
          <w:szCs w:val="24"/>
        </w:rPr>
        <w:t xml:space="preserve">, aber nicht bei Besold findet—nicht von privativer, sondern von akkumulativer </w:t>
      </w:r>
      <w:r w:rsidRPr="001413B5">
        <w:rPr>
          <w:rFonts w:ascii="Times New Roman" w:hAnsi="Times New Roman"/>
          <w:i/>
          <w:sz w:val="24"/>
          <w:szCs w:val="24"/>
        </w:rPr>
        <w:t>praescriptio</w:t>
      </w:r>
      <w:r w:rsidRPr="001413B5">
        <w:rPr>
          <w:rFonts w:ascii="Times New Roman" w:hAnsi="Times New Roman"/>
          <w:sz w:val="24"/>
          <w:szCs w:val="24"/>
        </w:rPr>
        <w:t xml:space="preserve"> auszugehen scheint. Für eine solche Interpretatio</w:t>
      </w:r>
      <w:r w:rsidR="002B0695">
        <w:rPr>
          <w:rFonts w:ascii="Times New Roman" w:hAnsi="Times New Roman"/>
          <w:sz w:val="24"/>
          <w:szCs w:val="24"/>
        </w:rPr>
        <w:t>n spricht, dass Besold der Auffassung ist</w:t>
      </w:r>
      <w:r w:rsidR="00BE2223">
        <w:rPr>
          <w:rFonts w:ascii="Times New Roman" w:hAnsi="Times New Roman"/>
          <w:sz w:val="24"/>
          <w:szCs w:val="24"/>
        </w:rPr>
        <w:t xml:space="preserve">, </w:t>
      </w:r>
      <w:r w:rsidRPr="001413B5">
        <w:rPr>
          <w:rFonts w:ascii="Times New Roman" w:hAnsi="Times New Roman"/>
          <w:sz w:val="24"/>
          <w:szCs w:val="24"/>
        </w:rPr>
        <w:t xml:space="preserve">durch die </w:t>
      </w:r>
      <w:r w:rsidRPr="001413B5">
        <w:rPr>
          <w:rFonts w:ascii="Times New Roman" w:hAnsi="Times New Roman"/>
          <w:i/>
          <w:sz w:val="24"/>
          <w:szCs w:val="24"/>
        </w:rPr>
        <w:t>praescriptio</w:t>
      </w:r>
      <w:r w:rsidRPr="001413B5">
        <w:rPr>
          <w:rFonts w:ascii="Times New Roman" w:hAnsi="Times New Roman"/>
          <w:sz w:val="24"/>
          <w:szCs w:val="24"/>
        </w:rPr>
        <w:t xml:space="preserve"> von Bündnisrechten </w:t>
      </w:r>
      <w:r w:rsidR="00BE2223">
        <w:rPr>
          <w:rFonts w:ascii="Times New Roman" w:hAnsi="Times New Roman"/>
          <w:sz w:val="24"/>
          <w:szCs w:val="24"/>
        </w:rPr>
        <w:t xml:space="preserve">werde </w:t>
      </w:r>
      <w:r w:rsidRPr="001413B5">
        <w:rPr>
          <w:rFonts w:ascii="Times New Roman" w:hAnsi="Times New Roman"/>
          <w:sz w:val="24"/>
          <w:szCs w:val="24"/>
        </w:rPr>
        <w:t>die Souveränität (</w:t>
      </w:r>
      <w:r w:rsidRPr="001413B5">
        <w:rPr>
          <w:rFonts w:ascii="Times New Roman" w:hAnsi="Times New Roman"/>
          <w:i/>
          <w:sz w:val="24"/>
          <w:szCs w:val="24"/>
        </w:rPr>
        <w:t>summa superioritas</w:t>
      </w:r>
      <w:r w:rsidRPr="001413B5">
        <w:rPr>
          <w:rFonts w:ascii="Times New Roman" w:hAnsi="Times New Roman"/>
          <w:sz w:val="24"/>
          <w:szCs w:val="24"/>
        </w:rPr>
        <w:t>) des Reichs keineswegs b</w:t>
      </w:r>
      <w:r w:rsidR="00BE2223">
        <w:rPr>
          <w:rFonts w:ascii="Times New Roman" w:hAnsi="Times New Roman"/>
          <w:sz w:val="24"/>
          <w:szCs w:val="24"/>
        </w:rPr>
        <w:t>eeinträchtigt</w:t>
      </w:r>
      <w:r w:rsidR="00E95802">
        <w:rPr>
          <w:rFonts w:ascii="Times New Roman" w:hAnsi="Times New Roman"/>
          <w:sz w:val="24"/>
          <w:szCs w:val="24"/>
        </w:rPr>
        <w:t>. Wie er argumentiert, ist dies der Fa</w:t>
      </w:r>
      <w:r w:rsidR="00BE2223">
        <w:rPr>
          <w:rFonts w:ascii="Times New Roman" w:hAnsi="Times New Roman"/>
          <w:sz w:val="24"/>
          <w:szCs w:val="24"/>
        </w:rPr>
        <w:t>ll, weil alle Herrschaftsrechte</w:t>
      </w:r>
      <w:r w:rsidR="00E95802">
        <w:rPr>
          <w:rFonts w:ascii="Times New Roman" w:hAnsi="Times New Roman"/>
          <w:sz w:val="24"/>
          <w:szCs w:val="24"/>
        </w:rPr>
        <w:t xml:space="preserve"> ihren Ursprung im</w:t>
      </w:r>
      <w:r w:rsidR="007D48FF">
        <w:rPr>
          <w:rFonts w:ascii="Times New Roman" w:hAnsi="Times New Roman"/>
          <w:sz w:val="24"/>
          <w:szCs w:val="24"/>
        </w:rPr>
        <w:t xml:space="preserve"> gesamten Gemeinwesen</w:t>
      </w:r>
      <w:r w:rsidR="00E95802">
        <w:rPr>
          <w:rFonts w:ascii="Times New Roman" w:hAnsi="Times New Roman"/>
          <w:sz w:val="24"/>
          <w:szCs w:val="24"/>
        </w:rPr>
        <w:t xml:space="preserve"> haben. Deshalb können sowohl der Kaiser als auch einzelne Reichsstände an Herrschaftsrechten nur</w:t>
      </w:r>
      <w:r w:rsidRPr="001413B5">
        <w:rPr>
          <w:rFonts w:ascii="Times New Roman" w:hAnsi="Times New Roman"/>
          <w:sz w:val="24"/>
          <w:szCs w:val="24"/>
        </w:rPr>
        <w:t xml:space="preserve"> teilhaben</w:t>
      </w:r>
      <w:r w:rsidR="00E95802">
        <w:rPr>
          <w:rFonts w:ascii="Times New Roman" w:hAnsi="Times New Roman"/>
          <w:sz w:val="24"/>
          <w:szCs w:val="24"/>
        </w:rPr>
        <w:t>, sie aber nicht als Eigentum besitzen</w:t>
      </w:r>
      <w:r w:rsidRPr="001413B5">
        <w:rPr>
          <w:rFonts w:ascii="Times New Roman" w:hAnsi="Times New Roman"/>
          <w:sz w:val="24"/>
          <w:szCs w:val="24"/>
        </w:rPr>
        <w:t xml:space="preserve">. In diesem Sinn unterliegen nicht die Herrschaftsrechte selbst der </w:t>
      </w:r>
      <w:r w:rsidRPr="001413B5">
        <w:rPr>
          <w:rFonts w:ascii="Times New Roman" w:hAnsi="Times New Roman"/>
          <w:i/>
          <w:sz w:val="24"/>
          <w:szCs w:val="24"/>
        </w:rPr>
        <w:t>praescriptio</w:t>
      </w:r>
      <w:r w:rsidRPr="001413B5">
        <w:rPr>
          <w:rFonts w:ascii="Times New Roman" w:hAnsi="Times New Roman"/>
          <w:sz w:val="24"/>
          <w:szCs w:val="24"/>
        </w:rPr>
        <w:t>, sondern ausschließlich deren A</w:t>
      </w:r>
      <w:r w:rsidR="007D48FF">
        <w:rPr>
          <w:rFonts w:ascii="Times New Roman" w:hAnsi="Times New Roman"/>
          <w:sz w:val="24"/>
          <w:szCs w:val="24"/>
        </w:rPr>
        <w:t>usübung</w:t>
      </w:r>
      <w:r w:rsidRPr="001413B5">
        <w:rPr>
          <w:rFonts w:ascii="Times New Roman" w:hAnsi="Times New Roman"/>
          <w:sz w:val="24"/>
          <w:szCs w:val="24"/>
        </w:rPr>
        <w:t>.</w:t>
      </w:r>
      <w:r w:rsidRPr="001413B5">
        <w:rPr>
          <w:rStyle w:val="Funotenzeichen"/>
          <w:rFonts w:ascii="Times New Roman" w:hAnsi="Times New Roman"/>
          <w:sz w:val="24"/>
          <w:szCs w:val="24"/>
        </w:rPr>
        <w:footnoteReference w:id="64"/>
      </w:r>
    </w:p>
    <w:p w14:paraId="20A9C465" w14:textId="77777777" w:rsidR="001413B5" w:rsidRPr="001413B5" w:rsidRDefault="001413B5" w:rsidP="005572DA">
      <w:pPr>
        <w:spacing w:after="0" w:line="360" w:lineRule="auto"/>
        <w:ind w:firstLine="708"/>
        <w:jc w:val="both"/>
        <w:rPr>
          <w:rFonts w:ascii="Times New Roman" w:hAnsi="Times New Roman"/>
          <w:sz w:val="24"/>
          <w:szCs w:val="24"/>
        </w:rPr>
      </w:pPr>
      <w:r w:rsidRPr="001413B5">
        <w:rPr>
          <w:rFonts w:ascii="Times New Roman" w:hAnsi="Times New Roman"/>
          <w:sz w:val="24"/>
          <w:szCs w:val="24"/>
        </w:rPr>
        <w:t>Dennoch geht Besold auf eine wesentliche Einsch</w:t>
      </w:r>
      <w:r w:rsidR="00956F03">
        <w:rPr>
          <w:rFonts w:ascii="Times New Roman" w:hAnsi="Times New Roman"/>
          <w:sz w:val="24"/>
          <w:szCs w:val="24"/>
        </w:rPr>
        <w:t>ränkung nicht ein</w:t>
      </w:r>
      <w:r w:rsidR="002B0695">
        <w:rPr>
          <w:rFonts w:ascii="Times New Roman" w:hAnsi="Times New Roman"/>
          <w:sz w:val="24"/>
          <w:szCs w:val="24"/>
        </w:rPr>
        <w:t>, die sich bei Balbo findet</w:t>
      </w:r>
      <w:r w:rsidR="00956F03">
        <w:rPr>
          <w:rFonts w:ascii="Times New Roman" w:hAnsi="Times New Roman"/>
          <w:sz w:val="24"/>
          <w:szCs w:val="24"/>
        </w:rPr>
        <w:t>. Wie Balbo</w:t>
      </w:r>
      <w:r w:rsidRPr="001413B5">
        <w:rPr>
          <w:rFonts w:ascii="Times New Roman" w:hAnsi="Times New Roman"/>
          <w:sz w:val="24"/>
          <w:szCs w:val="24"/>
        </w:rPr>
        <w:t xml:space="preserve"> hervorhebt, kann </w:t>
      </w:r>
      <w:r w:rsidRPr="001413B5">
        <w:rPr>
          <w:rFonts w:ascii="Times New Roman" w:hAnsi="Times New Roman"/>
          <w:i/>
          <w:sz w:val="24"/>
          <w:szCs w:val="24"/>
        </w:rPr>
        <w:t>praescriptio</w:t>
      </w:r>
      <w:r w:rsidRPr="001413B5">
        <w:rPr>
          <w:rFonts w:ascii="Times New Roman" w:hAnsi="Times New Roman"/>
          <w:sz w:val="24"/>
          <w:szCs w:val="24"/>
        </w:rPr>
        <w:t xml:space="preserve"> nicht eintreten, wenn die betreffenden </w:t>
      </w:r>
      <w:r w:rsidR="005572DA">
        <w:rPr>
          <w:rFonts w:ascii="Times New Roman" w:hAnsi="Times New Roman"/>
          <w:sz w:val="24"/>
          <w:szCs w:val="24"/>
        </w:rPr>
        <w:t>Personen</w:t>
      </w:r>
      <w:r w:rsidRPr="001413B5">
        <w:rPr>
          <w:rFonts w:ascii="Times New Roman" w:hAnsi="Times New Roman"/>
          <w:sz w:val="24"/>
          <w:szCs w:val="24"/>
        </w:rPr>
        <w:t xml:space="preserve"> ungeeignet sind, eine bestimmte Funktion zu erfüllen. So können zum Bespiel Laien keine Funktionen von Klerikern übernehmen, selbst wenn eine unvordenkliche Zeit </w:t>
      </w:r>
      <w:r w:rsidRPr="001413B5">
        <w:rPr>
          <w:rFonts w:ascii="Times New Roman" w:hAnsi="Times New Roman"/>
          <w:sz w:val="24"/>
          <w:szCs w:val="24"/>
        </w:rPr>
        <w:lastRenderedPageBreak/>
        <w:t>verstr</w:t>
      </w:r>
      <w:r w:rsidR="005572DA">
        <w:rPr>
          <w:rFonts w:ascii="Times New Roman" w:hAnsi="Times New Roman"/>
          <w:sz w:val="24"/>
          <w:szCs w:val="24"/>
        </w:rPr>
        <w:t>ichen ist und die Zustimmung der</w:t>
      </w:r>
      <w:r w:rsidRPr="001413B5">
        <w:rPr>
          <w:rFonts w:ascii="Times New Roman" w:hAnsi="Times New Roman"/>
          <w:sz w:val="24"/>
          <w:szCs w:val="24"/>
        </w:rPr>
        <w:t xml:space="preserve"> Autoritäten präsumiert werden kann.</w:t>
      </w:r>
      <w:r w:rsidRPr="001413B5">
        <w:rPr>
          <w:rStyle w:val="Funotenzeichen"/>
          <w:rFonts w:ascii="Times New Roman" w:hAnsi="Times New Roman"/>
          <w:sz w:val="24"/>
          <w:szCs w:val="24"/>
        </w:rPr>
        <w:footnoteReference w:id="65"/>
      </w:r>
      <w:r w:rsidRPr="001413B5">
        <w:rPr>
          <w:rFonts w:ascii="Times New Roman" w:hAnsi="Times New Roman"/>
          <w:sz w:val="24"/>
          <w:szCs w:val="24"/>
        </w:rPr>
        <w:t xml:space="preserve"> Dies wirft für die </w:t>
      </w:r>
      <w:r w:rsidRPr="001413B5">
        <w:rPr>
          <w:rFonts w:ascii="Times New Roman" w:hAnsi="Times New Roman"/>
          <w:i/>
          <w:sz w:val="24"/>
          <w:szCs w:val="24"/>
        </w:rPr>
        <w:t>praescriptio</w:t>
      </w:r>
      <w:r w:rsidRPr="001413B5">
        <w:rPr>
          <w:rFonts w:ascii="Times New Roman" w:hAnsi="Times New Roman"/>
          <w:sz w:val="24"/>
          <w:szCs w:val="24"/>
        </w:rPr>
        <w:t xml:space="preserve"> von Herrschaftsrechten die Frage auf, ob Reichs- und Hansestädte überhaupt die geeigneten Träger dieser Rechte sein können. </w:t>
      </w:r>
      <w:r w:rsidR="005572DA">
        <w:rPr>
          <w:rFonts w:ascii="Times New Roman" w:hAnsi="Times New Roman"/>
          <w:sz w:val="24"/>
          <w:szCs w:val="24"/>
        </w:rPr>
        <w:t xml:space="preserve">Leibniz’ </w:t>
      </w:r>
      <w:r w:rsidRPr="001413B5">
        <w:rPr>
          <w:rFonts w:ascii="Times New Roman" w:hAnsi="Times New Roman"/>
          <w:sz w:val="24"/>
          <w:szCs w:val="24"/>
        </w:rPr>
        <w:t xml:space="preserve">Bemerkungen zur rechtlichen Relevanz des Vergehens von Zeit bringen einen weiteren Aspekt in den Blick, nämlich die Rolle des Naturrechts bei der Bestimmung der Legitimität des Übergangs von Souveränität auf kleinere Gemeinwesen. Zunächst macht er klar, dass er das Verstreichen einer unvordenklichen Zeit auch für Herrschaftsrechte relevant hält, die ein Zeichen von Souveränität sind: </w:t>
      </w:r>
    </w:p>
    <w:p w14:paraId="2BE029DD" w14:textId="77777777" w:rsidR="001413B5" w:rsidRPr="001413B5" w:rsidRDefault="001413B5" w:rsidP="001413B5">
      <w:pPr>
        <w:spacing w:after="0" w:line="360" w:lineRule="auto"/>
        <w:jc w:val="both"/>
        <w:rPr>
          <w:rFonts w:ascii="Times New Roman" w:hAnsi="Times New Roman"/>
          <w:sz w:val="24"/>
          <w:szCs w:val="24"/>
          <w:lang w:eastAsia="de-DE"/>
        </w:rPr>
      </w:pPr>
    </w:p>
    <w:p w14:paraId="51B2CE96" w14:textId="77777777" w:rsidR="001413B5" w:rsidRPr="00D84548" w:rsidRDefault="00D84548" w:rsidP="00D84548">
      <w:pPr>
        <w:spacing w:after="0" w:line="360" w:lineRule="auto"/>
        <w:jc w:val="both"/>
        <w:rPr>
          <w:rFonts w:ascii="Times New Roman" w:hAnsi="Times New Roman"/>
          <w:sz w:val="20"/>
          <w:szCs w:val="20"/>
        </w:rPr>
      </w:pPr>
      <w:r w:rsidRPr="00D84548">
        <w:rPr>
          <w:rFonts w:ascii="Times New Roman" w:hAnsi="Times New Roman"/>
          <w:sz w:val="20"/>
          <w:szCs w:val="20"/>
        </w:rPr>
        <w:t>„</w:t>
      </w:r>
      <w:r w:rsidR="001413B5" w:rsidRPr="00D84548">
        <w:rPr>
          <w:rFonts w:ascii="Times New Roman" w:hAnsi="Times New Roman"/>
          <w:sz w:val="20"/>
          <w:szCs w:val="20"/>
        </w:rPr>
        <w:t xml:space="preserve">Souveränität hat entweder ihre Teile oder besser ihre Konsequenzen und Fähigkeiten, die von den Rechtsgelehrten von daher „regalia“ nennen </w:t>
      </w:r>
      <w:r>
        <w:rPr>
          <w:rFonts w:ascii="Times New Roman" w:hAnsi="Times New Roman"/>
          <w:sz w:val="20"/>
          <w:szCs w:val="20"/>
        </w:rPr>
        <w:t>[</w:t>
      </w:r>
      <w:r w:rsidR="001413B5" w:rsidRPr="00D84548">
        <w:rPr>
          <w:rFonts w:ascii="Times New Roman" w:hAnsi="Times New Roman"/>
          <w:sz w:val="20"/>
          <w:szCs w:val="20"/>
        </w:rPr>
        <w:t>…</w:t>
      </w:r>
      <w:r>
        <w:rPr>
          <w:rFonts w:ascii="Times New Roman" w:hAnsi="Times New Roman"/>
          <w:sz w:val="20"/>
          <w:szCs w:val="20"/>
        </w:rPr>
        <w:t>]</w:t>
      </w:r>
      <w:r w:rsidR="001413B5" w:rsidRPr="00D84548">
        <w:rPr>
          <w:rFonts w:ascii="Times New Roman" w:hAnsi="Times New Roman"/>
          <w:sz w:val="20"/>
          <w:szCs w:val="20"/>
        </w:rPr>
        <w:t>, und die von Fürsten frei ausgeübt werden, wenn sie nicht durch einen Vertag oder eine seit Menschengedenken bestehende Gewohnheit daran gehindert werden.</w:t>
      </w:r>
      <w:r w:rsidRPr="00D84548">
        <w:rPr>
          <w:rFonts w:ascii="Times New Roman" w:hAnsi="Times New Roman"/>
          <w:sz w:val="20"/>
          <w:szCs w:val="20"/>
        </w:rPr>
        <w:t>“</w:t>
      </w:r>
      <w:r w:rsidR="001413B5" w:rsidRPr="00D84548">
        <w:rPr>
          <w:rStyle w:val="Funotenzeichen"/>
          <w:rFonts w:ascii="Times New Roman" w:hAnsi="Times New Roman"/>
          <w:sz w:val="20"/>
          <w:szCs w:val="20"/>
        </w:rPr>
        <w:footnoteReference w:id="66"/>
      </w:r>
    </w:p>
    <w:p w14:paraId="53AC3F63" w14:textId="77777777" w:rsidR="001413B5" w:rsidRPr="001413B5" w:rsidRDefault="001413B5" w:rsidP="001413B5">
      <w:pPr>
        <w:spacing w:after="0" w:line="360" w:lineRule="auto"/>
        <w:jc w:val="both"/>
        <w:rPr>
          <w:rFonts w:ascii="Times New Roman" w:hAnsi="Times New Roman"/>
          <w:sz w:val="24"/>
          <w:szCs w:val="24"/>
        </w:rPr>
      </w:pPr>
    </w:p>
    <w:p w14:paraId="12088C37"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 xml:space="preserve">Hier scheint Leibniz eher an die Form der privativen </w:t>
      </w:r>
      <w:r w:rsidRPr="00500448">
        <w:rPr>
          <w:rFonts w:ascii="Times New Roman" w:hAnsi="Times New Roman"/>
          <w:i/>
          <w:sz w:val="24"/>
          <w:szCs w:val="24"/>
        </w:rPr>
        <w:t>praescriptio</w:t>
      </w:r>
      <w:r w:rsidRPr="001413B5">
        <w:rPr>
          <w:rFonts w:ascii="Times New Roman" w:hAnsi="Times New Roman"/>
          <w:sz w:val="24"/>
          <w:szCs w:val="24"/>
        </w:rPr>
        <w:t xml:space="preserve"> zu denken, wenn er den Fall in den Blick nimmt, in dem das Verstreichen einer unvordenklichen Zeit die Herrschaftsrechte eingeschränkt werden. Etwas später nimmt er aber auch den speziellen Fall des Bündnisrechts in den Blick, bei dem sich Herrschaftsrechte akkumulieren können. So weist Leibniz auf die Bodin zusammengetragene Liste von Bündnissen deutscher Fürsten und Städte mit Mächten außerhalb des Reiches hin, zu denen das von Besold erwähnte Bündnis von Lübeck mit dem König von Dänemark gehört.</w:t>
      </w:r>
      <w:r w:rsidRPr="001413B5">
        <w:rPr>
          <w:rStyle w:val="Funotenzeichen"/>
          <w:rFonts w:ascii="Times New Roman" w:hAnsi="Times New Roman"/>
          <w:sz w:val="24"/>
          <w:szCs w:val="24"/>
        </w:rPr>
        <w:footnoteReference w:id="67"/>
      </w:r>
      <w:r w:rsidRPr="001413B5">
        <w:rPr>
          <w:rFonts w:ascii="Times New Roman" w:hAnsi="Times New Roman"/>
          <w:sz w:val="24"/>
          <w:szCs w:val="24"/>
        </w:rPr>
        <w:t xml:space="preserve"> Im Fall des Bündnisrechts, argumentiert Leibniz, hat der langjährige Besitz von Freiheit rechtliche Relevanz: </w:t>
      </w:r>
    </w:p>
    <w:p w14:paraId="6CF7C5E3" w14:textId="77777777" w:rsidR="001413B5" w:rsidRPr="001413B5" w:rsidRDefault="001413B5" w:rsidP="001413B5">
      <w:pPr>
        <w:spacing w:after="0" w:line="360" w:lineRule="auto"/>
        <w:jc w:val="both"/>
        <w:rPr>
          <w:rFonts w:ascii="Times New Roman" w:hAnsi="Times New Roman"/>
          <w:sz w:val="24"/>
          <w:szCs w:val="24"/>
        </w:rPr>
      </w:pPr>
    </w:p>
    <w:p w14:paraId="786F803C" w14:textId="77777777" w:rsidR="001413B5" w:rsidRPr="00D84548" w:rsidRDefault="00D84548" w:rsidP="00D84548">
      <w:pPr>
        <w:spacing w:after="0" w:line="360" w:lineRule="auto"/>
        <w:jc w:val="both"/>
        <w:rPr>
          <w:rFonts w:ascii="Times New Roman" w:hAnsi="Times New Roman"/>
          <w:sz w:val="20"/>
          <w:szCs w:val="20"/>
        </w:rPr>
      </w:pPr>
      <w:r w:rsidRPr="00D84548">
        <w:rPr>
          <w:rFonts w:ascii="Times New Roman" w:hAnsi="Times New Roman"/>
          <w:sz w:val="20"/>
          <w:szCs w:val="20"/>
        </w:rPr>
        <w:t>„</w:t>
      </w:r>
      <w:r w:rsidR="001413B5" w:rsidRPr="00D84548">
        <w:rPr>
          <w:rFonts w:ascii="Times New Roman" w:hAnsi="Times New Roman"/>
          <w:sz w:val="20"/>
          <w:szCs w:val="20"/>
        </w:rPr>
        <w:t>[A]us oft zugelassenem Handeln, das dem göttlichen und natürlichen Recht nicht entgegensteht, pflegt aus häufiger Wiederholung Recht zu entstehen. Sicherlich hat der Besitz der Freiheit selbst große Kraft, denn er überträgt die Beweislast auf den Gegner und entbehrt nicht der Rechtskraft.</w:t>
      </w:r>
      <w:r w:rsidRPr="00D84548">
        <w:rPr>
          <w:rFonts w:ascii="Times New Roman" w:hAnsi="Times New Roman"/>
          <w:sz w:val="20"/>
          <w:szCs w:val="20"/>
        </w:rPr>
        <w:t>“</w:t>
      </w:r>
      <w:r w:rsidR="001413B5" w:rsidRPr="00D84548">
        <w:rPr>
          <w:rStyle w:val="Funotenzeichen"/>
          <w:rFonts w:ascii="Times New Roman" w:hAnsi="Times New Roman"/>
          <w:sz w:val="20"/>
          <w:szCs w:val="20"/>
        </w:rPr>
        <w:footnoteReference w:id="68"/>
      </w:r>
    </w:p>
    <w:p w14:paraId="689777DA" w14:textId="77777777" w:rsidR="001413B5" w:rsidRPr="001413B5" w:rsidRDefault="001413B5" w:rsidP="001413B5">
      <w:pPr>
        <w:spacing w:after="0" w:line="360" w:lineRule="auto"/>
        <w:jc w:val="both"/>
        <w:rPr>
          <w:rFonts w:ascii="Times New Roman" w:hAnsi="Times New Roman"/>
          <w:sz w:val="24"/>
          <w:szCs w:val="24"/>
        </w:rPr>
      </w:pPr>
    </w:p>
    <w:p w14:paraId="15DDE25B"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Obwohl Leibniz hier die Präsumption der Duldung nicht ausdrücklich erwähnt, ist es plausibel anzunehmen, dass er diese Rechtsfigur im Sinn hat. Denn die Wirkung von Präsumptionen besteht ganz allgemein darin, die Beweislast auf den Gegner zu übertragen.</w:t>
      </w:r>
      <w:r w:rsidRPr="001413B5">
        <w:rPr>
          <w:rStyle w:val="Funotenzeichen"/>
          <w:rFonts w:ascii="Times New Roman" w:hAnsi="Times New Roman"/>
          <w:sz w:val="24"/>
          <w:szCs w:val="24"/>
        </w:rPr>
        <w:footnoteReference w:id="69"/>
      </w:r>
      <w:r w:rsidRPr="001413B5">
        <w:rPr>
          <w:rFonts w:ascii="Times New Roman" w:hAnsi="Times New Roman"/>
          <w:sz w:val="24"/>
          <w:szCs w:val="24"/>
        </w:rPr>
        <w:t xml:space="preserve"> </w:t>
      </w:r>
      <w:r w:rsidR="00313965">
        <w:rPr>
          <w:rFonts w:ascii="Times New Roman" w:hAnsi="Times New Roman"/>
          <w:sz w:val="24"/>
          <w:szCs w:val="24"/>
        </w:rPr>
        <w:t>Wenn es dies</w:t>
      </w:r>
      <w:r w:rsidRPr="001413B5">
        <w:rPr>
          <w:rFonts w:ascii="Times New Roman" w:hAnsi="Times New Roman"/>
          <w:sz w:val="24"/>
          <w:szCs w:val="24"/>
        </w:rPr>
        <w:t xml:space="preserve"> ist, was Leibniz hier im Sinn hat, dann wendet er, wie Besold, die Idee der </w:t>
      </w:r>
      <w:r w:rsidRPr="007D48FF">
        <w:rPr>
          <w:rFonts w:ascii="Times New Roman" w:hAnsi="Times New Roman"/>
          <w:i/>
          <w:sz w:val="24"/>
          <w:szCs w:val="24"/>
        </w:rPr>
        <w:t>praescriptio</w:t>
      </w:r>
      <w:r w:rsidRPr="001413B5">
        <w:rPr>
          <w:rFonts w:ascii="Times New Roman" w:hAnsi="Times New Roman"/>
          <w:sz w:val="24"/>
          <w:szCs w:val="24"/>
        </w:rPr>
        <w:t xml:space="preserve"> von Herrschaftsrechten auf den Fall des Bündnisrechts an. Leibniz fügt aber eine </w:t>
      </w:r>
      <w:r w:rsidRPr="001413B5">
        <w:rPr>
          <w:rFonts w:ascii="Times New Roman" w:hAnsi="Times New Roman"/>
          <w:sz w:val="24"/>
          <w:szCs w:val="24"/>
        </w:rPr>
        <w:lastRenderedPageBreak/>
        <w:t>we</w:t>
      </w:r>
      <w:r w:rsidR="00313965">
        <w:rPr>
          <w:rFonts w:ascii="Times New Roman" w:hAnsi="Times New Roman"/>
          <w:sz w:val="24"/>
          <w:szCs w:val="24"/>
        </w:rPr>
        <w:t>sentliche Qualifikation hinzu: D</w:t>
      </w:r>
      <w:r w:rsidRPr="001413B5">
        <w:rPr>
          <w:rFonts w:ascii="Times New Roman" w:hAnsi="Times New Roman"/>
          <w:sz w:val="24"/>
          <w:szCs w:val="24"/>
        </w:rPr>
        <w:t>as oft zugelassene Handeln kann nur dann Recht</w:t>
      </w:r>
      <w:r w:rsidR="00313965">
        <w:rPr>
          <w:rFonts w:ascii="Times New Roman" w:hAnsi="Times New Roman"/>
          <w:sz w:val="24"/>
          <w:szCs w:val="24"/>
        </w:rPr>
        <w:t>s</w:t>
      </w:r>
      <w:r w:rsidRPr="001413B5">
        <w:rPr>
          <w:rFonts w:ascii="Times New Roman" w:hAnsi="Times New Roman"/>
          <w:sz w:val="24"/>
          <w:szCs w:val="24"/>
        </w:rPr>
        <w:t xml:space="preserve">folgen haben, wenn es selbst dem göttlichen und natürlichen Recht nicht widerspricht. Demzufolge bildet die Vereinbarkeit mit dem Naturrecht den Maßstab dafür, ob seit Menschengedenken bestehende Gewohnheiten zur </w:t>
      </w:r>
      <w:r w:rsidRPr="001413B5">
        <w:rPr>
          <w:rFonts w:ascii="Times New Roman" w:hAnsi="Times New Roman"/>
          <w:i/>
          <w:sz w:val="24"/>
          <w:szCs w:val="24"/>
        </w:rPr>
        <w:t>praescriptio</w:t>
      </w:r>
      <w:r w:rsidRPr="001413B5">
        <w:rPr>
          <w:rFonts w:ascii="Times New Roman" w:hAnsi="Times New Roman"/>
          <w:sz w:val="24"/>
          <w:szCs w:val="24"/>
        </w:rPr>
        <w:t xml:space="preserve"> von Herrschaftsrechten führen könne. Für Leibniz bilden deshalb naturrechtliche Überlegungen nicht einfach einen dritten Argumentationsstrang zur Begründung des Bündnisrechts; vielmehr hängt auch die Anwendbarkeit der </w:t>
      </w:r>
      <w:r w:rsidRPr="001413B5">
        <w:rPr>
          <w:rFonts w:ascii="Times New Roman" w:hAnsi="Times New Roman"/>
          <w:i/>
          <w:sz w:val="24"/>
          <w:szCs w:val="24"/>
        </w:rPr>
        <w:t>praescriptio</w:t>
      </w:r>
      <w:r w:rsidRPr="001413B5">
        <w:rPr>
          <w:rFonts w:ascii="Times New Roman" w:hAnsi="Times New Roman"/>
          <w:sz w:val="24"/>
          <w:szCs w:val="24"/>
        </w:rPr>
        <w:t xml:space="preserve"> auf Herrschaftsrechte von naturrechtlichen Überlegungen ab. Und, wie sich zeigen wird, verleihen naturrechtliche Überlegungen in seinen Augen auch den verfassungsrechtlichen Grundlagen des Bündnisrecht zusätzliches argumentatives Gewicht.</w:t>
      </w:r>
    </w:p>
    <w:p w14:paraId="7C416FB5" w14:textId="77777777" w:rsidR="004D3115" w:rsidRPr="001413B5" w:rsidRDefault="004D3115" w:rsidP="001413B5">
      <w:pPr>
        <w:spacing w:after="0" w:line="360" w:lineRule="auto"/>
        <w:jc w:val="both"/>
        <w:rPr>
          <w:rFonts w:ascii="Times New Roman" w:hAnsi="Times New Roman"/>
          <w:sz w:val="24"/>
          <w:szCs w:val="24"/>
        </w:rPr>
      </w:pPr>
    </w:p>
    <w:p w14:paraId="75676ADC"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5. Bündnisrecht und Naturrecht</w:t>
      </w:r>
    </w:p>
    <w:p w14:paraId="1B7B80B8" w14:textId="77777777" w:rsidR="001413B5" w:rsidRPr="001413B5" w:rsidRDefault="001413B5" w:rsidP="001413B5">
      <w:pPr>
        <w:spacing w:after="0" w:line="360" w:lineRule="auto"/>
        <w:jc w:val="both"/>
        <w:rPr>
          <w:rFonts w:ascii="Times New Roman" w:hAnsi="Times New Roman"/>
          <w:sz w:val="24"/>
          <w:szCs w:val="24"/>
        </w:rPr>
      </w:pPr>
    </w:p>
    <w:p w14:paraId="6C05E3FD" w14:textId="77777777" w:rsidR="001413B5" w:rsidRPr="001413B5" w:rsidRDefault="001413B5" w:rsidP="001413B5">
      <w:pPr>
        <w:spacing w:after="0" w:line="360" w:lineRule="auto"/>
        <w:jc w:val="both"/>
        <w:rPr>
          <w:rFonts w:ascii="Times New Roman" w:hAnsi="Times New Roman"/>
          <w:sz w:val="24"/>
          <w:szCs w:val="24"/>
        </w:rPr>
      </w:pPr>
      <w:r w:rsidRPr="001413B5">
        <w:rPr>
          <w:rFonts w:ascii="Times New Roman" w:hAnsi="Times New Roman"/>
          <w:sz w:val="24"/>
          <w:szCs w:val="24"/>
        </w:rPr>
        <w:t>Wieder wird sich ein komparatives Vorgehen lohnen, denn die Relevanz des Naturrechts für die Begründung des Bündnisrec</w:t>
      </w:r>
      <w:r w:rsidR="005214D6">
        <w:rPr>
          <w:rFonts w:ascii="Times New Roman" w:hAnsi="Times New Roman"/>
          <w:sz w:val="24"/>
          <w:szCs w:val="24"/>
        </w:rPr>
        <w:t>hts ist bei Besold deutlicher formuliert</w:t>
      </w:r>
      <w:r w:rsidRPr="001413B5">
        <w:rPr>
          <w:rFonts w:ascii="Times New Roman" w:hAnsi="Times New Roman"/>
          <w:sz w:val="24"/>
          <w:szCs w:val="24"/>
        </w:rPr>
        <w:t xml:space="preserve"> als bei Leibniz. </w:t>
      </w:r>
      <w:r w:rsidR="0080250E">
        <w:rPr>
          <w:rFonts w:ascii="Times New Roman" w:hAnsi="Times New Roman"/>
          <w:sz w:val="24"/>
          <w:szCs w:val="24"/>
        </w:rPr>
        <w:t>Besold betrachtet n</w:t>
      </w:r>
      <w:r w:rsidR="0080250E" w:rsidRPr="001413B5">
        <w:rPr>
          <w:rFonts w:ascii="Times New Roman" w:hAnsi="Times New Roman"/>
          <w:sz w:val="24"/>
          <w:szCs w:val="24"/>
        </w:rPr>
        <w:t>atürliche Neigung (</w:t>
      </w:r>
      <w:r w:rsidR="0080250E" w:rsidRPr="001413B5">
        <w:rPr>
          <w:rFonts w:ascii="Times New Roman" w:hAnsi="Times New Roman"/>
          <w:i/>
          <w:sz w:val="24"/>
          <w:szCs w:val="24"/>
        </w:rPr>
        <w:t>naturalis propensio</w:t>
      </w:r>
      <w:r w:rsidR="0080250E" w:rsidRPr="001413B5">
        <w:rPr>
          <w:rFonts w:ascii="Times New Roman" w:hAnsi="Times New Roman"/>
          <w:sz w:val="24"/>
          <w:szCs w:val="24"/>
        </w:rPr>
        <w:t>) als Grundlage des Naturrechts</w:t>
      </w:r>
      <w:r w:rsidR="0080250E">
        <w:rPr>
          <w:rFonts w:ascii="Times New Roman" w:hAnsi="Times New Roman"/>
          <w:sz w:val="24"/>
          <w:szCs w:val="24"/>
        </w:rPr>
        <w:t xml:space="preserve">, insbesondere das </w:t>
      </w:r>
      <w:r w:rsidRPr="001413B5">
        <w:rPr>
          <w:rFonts w:ascii="Times New Roman" w:hAnsi="Times New Roman"/>
          <w:sz w:val="24"/>
          <w:szCs w:val="24"/>
        </w:rPr>
        <w:t>natürlich gegebenes Streben nach Selbsterhaltung</w:t>
      </w:r>
      <w:r w:rsidR="0080250E">
        <w:rPr>
          <w:rFonts w:ascii="Times New Roman" w:hAnsi="Times New Roman"/>
          <w:sz w:val="24"/>
          <w:szCs w:val="24"/>
        </w:rPr>
        <w:t>, aus dem er das Streben nach Gesellschaft ableitet.</w:t>
      </w:r>
      <w:r>
        <w:rPr>
          <w:rStyle w:val="Funotenzeichen"/>
          <w:rFonts w:ascii="Times New Roman" w:hAnsi="Times New Roman"/>
          <w:sz w:val="24"/>
          <w:szCs w:val="24"/>
        </w:rPr>
        <w:footnoteReference w:id="70"/>
      </w:r>
      <w:r w:rsidR="0080250E">
        <w:rPr>
          <w:rFonts w:ascii="Times New Roman" w:hAnsi="Times New Roman"/>
          <w:sz w:val="24"/>
          <w:szCs w:val="24"/>
        </w:rPr>
        <w:t xml:space="preserve"> Deshalb betrachtet er die </w:t>
      </w:r>
      <w:r w:rsidR="0080250E" w:rsidRPr="0080250E">
        <w:rPr>
          <w:rFonts w:ascii="Times New Roman" w:hAnsi="Times New Roman"/>
          <w:i/>
          <w:sz w:val="24"/>
          <w:szCs w:val="24"/>
        </w:rPr>
        <w:t>civitas</w:t>
      </w:r>
      <w:r w:rsidR="0080250E" w:rsidRPr="001413B5">
        <w:rPr>
          <w:rFonts w:ascii="Times New Roman" w:hAnsi="Times New Roman"/>
          <w:sz w:val="24"/>
          <w:szCs w:val="24"/>
        </w:rPr>
        <w:t xml:space="preserve"> als die Gemeinschaft, die aufgrund der Intentio</w:t>
      </w:r>
      <w:r w:rsidR="005572DA">
        <w:rPr>
          <w:rFonts w:ascii="Times New Roman" w:hAnsi="Times New Roman"/>
          <w:sz w:val="24"/>
          <w:szCs w:val="24"/>
        </w:rPr>
        <w:t>n der Natur als Erste existiert, und die</w:t>
      </w:r>
      <w:r w:rsidR="0080250E" w:rsidRPr="001413B5">
        <w:rPr>
          <w:rFonts w:ascii="Times New Roman" w:hAnsi="Times New Roman"/>
          <w:sz w:val="24"/>
          <w:szCs w:val="24"/>
        </w:rPr>
        <w:t xml:space="preserve"> aufgrund der menschli</w:t>
      </w:r>
      <w:r w:rsidR="0080250E">
        <w:rPr>
          <w:rFonts w:ascii="Times New Roman" w:hAnsi="Times New Roman"/>
          <w:sz w:val="24"/>
          <w:szCs w:val="24"/>
        </w:rPr>
        <w:t>chen Vernunft eingerichtet wird.</w:t>
      </w:r>
      <w:r>
        <w:rPr>
          <w:rStyle w:val="Funotenzeichen"/>
          <w:rFonts w:ascii="Times New Roman" w:hAnsi="Times New Roman"/>
          <w:sz w:val="24"/>
          <w:szCs w:val="24"/>
        </w:rPr>
        <w:footnoteReference w:id="71"/>
      </w:r>
      <w:r w:rsidR="0080250E">
        <w:rPr>
          <w:rFonts w:ascii="Times New Roman" w:hAnsi="Times New Roman"/>
          <w:sz w:val="24"/>
          <w:szCs w:val="24"/>
        </w:rPr>
        <w:t xml:space="preserve"> Dabei betrachtet er die </w:t>
      </w:r>
      <w:r w:rsidR="0080250E" w:rsidRPr="0080250E">
        <w:rPr>
          <w:rFonts w:ascii="Times New Roman" w:hAnsi="Times New Roman"/>
          <w:i/>
          <w:sz w:val="24"/>
          <w:szCs w:val="24"/>
        </w:rPr>
        <w:t>civitas</w:t>
      </w:r>
      <w:r w:rsidR="0080250E">
        <w:rPr>
          <w:rFonts w:ascii="Times New Roman" w:hAnsi="Times New Roman"/>
          <w:sz w:val="24"/>
          <w:szCs w:val="24"/>
        </w:rPr>
        <w:t xml:space="preserve"> als</w:t>
      </w:r>
      <w:r w:rsidRPr="001413B5">
        <w:rPr>
          <w:rFonts w:ascii="Times New Roman" w:hAnsi="Times New Roman"/>
          <w:sz w:val="24"/>
          <w:szCs w:val="24"/>
        </w:rPr>
        <w:t xml:space="preserve"> Vereinigung einer Vielzahl von Menschen, die durch die Übereinkunft des Rechts und durch Nutzen</w:t>
      </w:r>
      <w:r w:rsidR="0080250E">
        <w:rPr>
          <w:rFonts w:ascii="Times New Roman" w:hAnsi="Times New Roman"/>
          <w:sz w:val="24"/>
          <w:szCs w:val="24"/>
        </w:rPr>
        <w:t xml:space="preserve"> gesichert ist. Im Gegensatz zu Hobbes vertritt er eine perfektionistische Auffassung, der zufolge die </w:t>
      </w:r>
      <w:r w:rsidR="0080250E" w:rsidRPr="005572DA">
        <w:rPr>
          <w:rFonts w:ascii="Times New Roman" w:hAnsi="Times New Roman"/>
          <w:i/>
          <w:sz w:val="24"/>
          <w:szCs w:val="24"/>
        </w:rPr>
        <w:t>civitas</w:t>
      </w:r>
      <w:r w:rsidR="0080250E">
        <w:rPr>
          <w:rFonts w:ascii="Times New Roman" w:hAnsi="Times New Roman"/>
          <w:sz w:val="24"/>
          <w:szCs w:val="24"/>
        </w:rPr>
        <w:t xml:space="preserve"> alles enthält</w:t>
      </w:r>
      <w:r w:rsidRPr="001413B5">
        <w:rPr>
          <w:rFonts w:ascii="Times New Roman" w:hAnsi="Times New Roman"/>
          <w:sz w:val="24"/>
          <w:szCs w:val="24"/>
        </w:rPr>
        <w:t>, was notwendig ist, um das Leben in der besten Weise zu führen</w:t>
      </w:r>
      <w:r w:rsidR="0080250E">
        <w:rPr>
          <w:rFonts w:ascii="Times New Roman" w:hAnsi="Times New Roman"/>
          <w:sz w:val="24"/>
          <w:szCs w:val="24"/>
        </w:rPr>
        <w:t xml:space="preserve">. Aus diesem Grund betrachtet er </w:t>
      </w:r>
      <w:r w:rsidRPr="001413B5">
        <w:rPr>
          <w:rFonts w:ascii="Times New Roman" w:hAnsi="Times New Roman"/>
          <w:sz w:val="24"/>
          <w:szCs w:val="24"/>
        </w:rPr>
        <w:t xml:space="preserve">Furcht und Bedürftigkeit </w:t>
      </w:r>
      <w:r w:rsidR="0080250E">
        <w:rPr>
          <w:rFonts w:ascii="Times New Roman" w:hAnsi="Times New Roman"/>
          <w:sz w:val="24"/>
          <w:szCs w:val="24"/>
        </w:rPr>
        <w:t xml:space="preserve">nur </w:t>
      </w:r>
      <w:r w:rsidRPr="001413B5">
        <w:rPr>
          <w:rFonts w:ascii="Times New Roman" w:hAnsi="Times New Roman"/>
          <w:sz w:val="24"/>
          <w:szCs w:val="24"/>
        </w:rPr>
        <w:t>als äußere Ursache</w:t>
      </w:r>
      <w:r w:rsidR="0080250E">
        <w:rPr>
          <w:rFonts w:ascii="Times New Roman" w:hAnsi="Times New Roman"/>
          <w:sz w:val="24"/>
          <w:szCs w:val="24"/>
        </w:rPr>
        <w:t xml:space="preserve"> der Gesellschaftsbildung</w:t>
      </w:r>
      <w:r w:rsidRPr="001413B5">
        <w:rPr>
          <w:rFonts w:ascii="Times New Roman" w:hAnsi="Times New Roman"/>
          <w:sz w:val="24"/>
          <w:szCs w:val="24"/>
        </w:rPr>
        <w:t xml:space="preserve">, </w:t>
      </w:r>
      <w:r w:rsidR="0080250E">
        <w:rPr>
          <w:rFonts w:ascii="Times New Roman" w:hAnsi="Times New Roman"/>
          <w:sz w:val="24"/>
          <w:szCs w:val="24"/>
        </w:rPr>
        <w:t xml:space="preserve">während er die </w:t>
      </w:r>
      <w:r w:rsidRPr="001413B5">
        <w:rPr>
          <w:rFonts w:ascii="Times New Roman" w:hAnsi="Times New Roman"/>
          <w:sz w:val="24"/>
          <w:szCs w:val="24"/>
        </w:rPr>
        <w:t>natürliche Vernunft (</w:t>
      </w:r>
      <w:r w:rsidRPr="001413B5">
        <w:rPr>
          <w:rFonts w:ascii="Times New Roman" w:hAnsi="Times New Roman"/>
          <w:i/>
          <w:sz w:val="24"/>
          <w:szCs w:val="24"/>
        </w:rPr>
        <w:t>lux naturae</w:t>
      </w:r>
      <w:r w:rsidRPr="001413B5">
        <w:rPr>
          <w:rFonts w:ascii="Times New Roman" w:hAnsi="Times New Roman"/>
          <w:sz w:val="24"/>
          <w:szCs w:val="24"/>
        </w:rPr>
        <w:t xml:space="preserve">) als </w:t>
      </w:r>
      <w:r w:rsidR="0080250E">
        <w:rPr>
          <w:rFonts w:ascii="Times New Roman" w:hAnsi="Times New Roman"/>
          <w:sz w:val="24"/>
          <w:szCs w:val="24"/>
        </w:rPr>
        <w:t xml:space="preserve">die </w:t>
      </w:r>
      <w:r w:rsidRPr="001413B5">
        <w:rPr>
          <w:rFonts w:ascii="Times New Roman" w:hAnsi="Times New Roman"/>
          <w:sz w:val="24"/>
          <w:szCs w:val="24"/>
        </w:rPr>
        <w:t>unmittelbare und intrinsisch wirksame Ursache (</w:t>
      </w:r>
      <w:r w:rsidRPr="001413B5">
        <w:rPr>
          <w:rFonts w:ascii="Times New Roman" w:hAnsi="Times New Roman"/>
          <w:i/>
          <w:sz w:val="24"/>
          <w:szCs w:val="24"/>
        </w:rPr>
        <w:t>causa propinque &amp; intrinsecus urgens</w:t>
      </w:r>
      <w:r w:rsidRPr="001413B5">
        <w:rPr>
          <w:rFonts w:ascii="Times New Roman" w:hAnsi="Times New Roman"/>
          <w:sz w:val="24"/>
          <w:szCs w:val="24"/>
        </w:rPr>
        <w:t>)</w:t>
      </w:r>
      <w:r w:rsidR="0080250E">
        <w:rPr>
          <w:rFonts w:ascii="Times New Roman" w:hAnsi="Times New Roman"/>
          <w:sz w:val="24"/>
          <w:szCs w:val="24"/>
        </w:rPr>
        <w:t xml:space="preserve"> charakterisiert.</w:t>
      </w:r>
      <w:r>
        <w:rPr>
          <w:rStyle w:val="Funotenzeichen"/>
          <w:rFonts w:ascii="Times New Roman" w:hAnsi="Times New Roman"/>
          <w:sz w:val="24"/>
          <w:szCs w:val="24"/>
        </w:rPr>
        <w:footnoteReference w:id="72"/>
      </w:r>
      <w:r w:rsidR="0080250E">
        <w:rPr>
          <w:rFonts w:ascii="Times New Roman" w:hAnsi="Times New Roman"/>
          <w:sz w:val="24"/>
          <w:szCs w:val="24"/>
        </w:rPr>
        <w:t xml:space="preserve"> In seinen Augen besteht das oberstes Gut in der</w:t>
      </w:r>
      <w:r w:rsidRPr="001413B5">
        <w:rPr>
          <w:rFonts w:ascii="Times New Roman" w:hAnsi="Times New Roman"/>
          <w:sz w:val="24"/>
          <w:szCs w:val="24"/>
        </w:rPr>
        <w:t xml:space="preserve"> </w:t>
      </w:r>
      <w:r w:rsidR="0080250E">
        <w:rPr>
          <w:rFonts w:ascii="Times New Roman" w:hAnsi="Times New Roman"/>
          <w:i/>
          <w:sz w:val="24"/>
          <w:szCs w:val="24"/>
        </w:rPr>
        <w:t>justitia universalis</w:t>
      </w:r>
      <w:r w:rsidR="0075489E">
        <w:rPr>
          <w:rFonts w:ascii="Times New Roman" w:hAnsi="Times New Roman"/>
          <w:sz w:val="24"/>
          <w:szCs w:val="24"/>
        </w:rPr>
        <w:t>, die er</w:t>
      </w:r>
      <w:r w:rsidR="0080250E">
        <w:rPr>
          <w:rFonts w:ascii="Times New Roman" w:hAnsi="Times New Roman"/>
          <w:sz w:val="24"/>
          <w:szCs w:val="24"/>
        </w:rPr>
        <w:t xml:space="preserve"> als</w:t>
      </w:r>
      <w:r w:rsidRPr="001413B5">
        <w:rPr>
          <w:rFonts w:ascii="Times New Roman" w:hAnsi="Times New Roman"/>
          <w:sz w:val="24"/>
          <w:szCs w:val="24"/>
        </w:rPr>
        <w:t xml:space="preserve"> Gesamtheit aller Tugenden</w:t>
      </w:r>
      <w:r w:rsidR="0080250E">
        <w:rPr>
          <w:rFonts w:ascii="Times New Roman" w:hAnsi="Times New Roman"/>
          <w:sz w:val="24"/>
          <w:szCs w:val="24"/>
        </w:rPr>
        <w:t xml:space="preserve"> auffasst. Demzufolge ist eine gerechte Person</w:t>
      </w:r>
      <w:r w:rsidRPr="001413B5">
        <w:rPr>
          <w:rFonts w:ascii="Times New Roman" w:hAnsi="Times New Roman"/>
          <w:sz w:val="24"/>
          <w:szCs w:val="24"/>
        </w:rPr>
        <w:t xml:space="preserve"> eine Person, die entsprechend ihrer Natur oder entsprechend der rechten Vernunft (</w:t>
      </w:r>
      <w:r w:rsidRPr="001413B5">
        <w:rPr>
          <w:rFonts w:ascii="Times New Roman" w:hAnsi="Times New Roman"/>
          <w:i/>
          <w:sz w:val="24"/>
          <w:szCs w:val="24"/>
        </w:rPr>
        <w:t>recta ratio</w:t>
      </w:r>
      <w:r w:rsidRPr="001413B5">
        <w:rPr>
          <w:rFonts w:ascii="Times New Roman" w:hAnsi="Times New Roman"/>
          <w:sz w:val="24"/>
          <w:szCs w:val="24"/>
        </w:rPr>
        <w:t>) lebt</w:t>
      </w:r>
      <w:r w:rsidR="003F134D">
        <w:rPr>
          <w:rFonts w:ascii="Times New Roman" w:hAnsi="Times New Roman"/>
          <w:sz w:val="24"/>
          <w:szCs w:val="24"/>
        </w:rPr>
        <w:t>.</w:t>
      </w:r>
      <w:r w:rsidR="003F134D">
        <w:rPr>
          <w:rStyle w:val="Funotenzeichen"/>
          <w:rFonts w:ascii="Times New Roman" w:hAnsi="Times New Roman"/>
          <w:sz w:val="24"/>
          <w:szCs w:val="24"/>
        </w:rPr>
        <w:footnoteReference w:id="73"/>
      </w:r>
      <w:r w:rsidR="0080250E">
        <w:rPr>
          <w:rFonts w:ascii="Times New Roman" w:hAnsi="Times New Roman"/>
          <w:sz w:val="24"/>
          <w:szCs w:val="24"/>
        </w:rPr>
        <w:t xml:space="preserve"> Deshalb hält Besold, ähnlich wie Leibniz, dafür, dass </w:t>
      </w:r>
      <w:r w:rsidR="0080250E" w:rsidRPr="001413B5">
        <w:rPr>
          <w:rFonts w:ascii="Times New Roman" w:hAnsi="Times New Roman"/>
          <w:sz w:val="24"/>
          <w:szCs w:val="24"/>
        </w:rPr>
        <w:t xml:space="preserve">Thrasymachus’ Auffassung von Gerechtigkeit als dem, was dem </w:t>
      </w:r>
      <w:r w:rsidR="0080250E">
        <w:rPr>
          <w:rFonts w:ascii="Times New Roman" w:hAnsi="Times New Roman"/>
          <w:sz w:val="24"/>
          <w:szCs w:val="24"/>
        </w:rPr>
        <w:lastRenderedPageBreak/>
        <w:t xml:space="preserve">Mächtigsten nützt, </w:t>
      </w:r>
      <w:r w:rsidR="0080250E" w:rsidRPr="001413B5">
        <w:rPr>
          <w:rFonts w:ascii="Times New Roman" w:hAnsi="Times New Roman"/>
          <w:sz w:val="24"/>
          <w:szCs w:val="24"/>
        </w:rPr>
        <w:t>den Prinzipien der Natur</w:t>
      </w:r>
      <w:r w:rsidR="0080250E">
        <w:rPr>
          <w:rFonts w:ascii="Times New Roman" w:hAnsi="Times New Roman"/>
          <w:sz w:val="24"/>
          <w:szCs w:val="24"/>
        </w:rPr>
        <w:t xml:space="preserve"> widerspricht</w:t>
      </w:r>
      <w:r w:rsidR="0080250E" w:rsidRPr="001413B5">
        <w:rPr>
          <w:rFonts w:ascii="Times New Roman" w:hAnsi="Times New Roman"/>
          <w:sz w:val="24"/>
          <w:szCs w:val="24"/>
        </w:rPr>
        <w:t>.</w:t>
      </w:r>
      <w:r w:rsidR="0080250E">
        <w:rPr>
          <w:rStyle w:val="Funotenzeichen"/>
          <w:rFonts w:ascii="Times New Roman" w:hAnsi="Times New Roman"/>
          <w:sz w:val="24"/>
          <w:szCs w:val="24"/>
        </w:rPr>
        <w:footnoteReference w:id="74"/>
      </w:r>
      <w:r w:rsidR="0080250E">
        <w:rPr>
          <w:rFonts w:ascii="Times New Roman" w:hAnsi="Times New Roman"/>
          <w:sz w:val="24"/>
          <w:szCs w:val="24"/>
        </w:rPr>
        <w:t xml:space="preserve"> Vielmehr hat nach Besolds Auffassung die Zivilgesellschaft</w:t>
      </w:r>
      <w:r w:rsidRPr="001413B5">
        <w:rPr>
          <w:rFonts w:ascii="Times New Roman" w:hAnsi="Times New Roman"/>
          <w:sz w:val="24"/>
          <w:szCs w:val="24"/>
        </w:rPr>
        <w:t xml:space="preserve"> von Natur aus die F</w:t>
      </w:r>
      <w:r w:rsidR="0080250E">
        <w:rPr>
          <w:rFonts w:ascii="Times New Roman" w:hAnsi="Times New Roman"/>
          <w:sz w:val="24"/>
          <w:szCs w:val="24"/>
        </w:rPr>
        <w:t>unktion, die mit der universellen Gerechtigkeit verbundenen Tugenden zu realisieren</w:t>
      </w:r>
      <w:r w:rsidRPr="001413B5">
        <w:rPr>
          <w:rFonts w:ascii="Times New Roman" w:hAnsi="Times New Roman"/>
          <w:sz w:val="24"/>
          <w:szCs w:val="24"/>
        </w:rPr>
        <w:t>.</w:t>
      </w:r>
      <w:r>
        <w:rPr>
          <w:rStyle w:val="Funotenzeichen"/>
          <w:rFonts w:ascii="Times New Roman" w:hAnsi="Times New Roman"/>
          <w:sz w:val="24"/>
          <w:szCs w:val="24"/>
        </w:rPr>
        <w:footnoteReference w:id="75"/>
      </w:r>
    </w:p>
    <w:p w14:paraId="39085640" w14:textId="77777777" w:rsidR="00DC4563" w:rsidRDefault="0080250E" w:rsidP="00742EA8">
      <w:pPr>
        <w:spacing w:after="0" w:line="360" w:lineRule="auto"/>
        <w:ind w:firstLine="708"/>
        <w:jc w:val="both"/>
        <w:rPr>
          <w:rFonts w:ascii="Times New Roman" w:hAnsi="Times New Roman"/>
          <w:sz w:val="24"/>
          <w:szCs w:val="24"/>
        </w:rPr>
      </w:pPr>
      <w:r>
        <w:rPr>
          <w:rFonts w:ascii="Times New Roman" w:hAnsi="Times New Roman"/>
          <w:sz w:val="24"/>
          <w:szCs w:val="24"/>
        </w:rPr>
        <w:t>In diesem Rahmen integriert Besold auch seine Auffassung der natürlichen Funktion von Bündnissen. Wie er es versteht, ist ein Bündnis ein</w:t>
      </w:r>
      <w:r w:rsidR="001413B5" w:rsidRPr="001413B5">
        <w:rPr>
          <w:rFonts w:ascii="Times New Roman" w:hAnsi="Times New Roman"/>
          <w:sz w:val="24"/>
          <w:szCs w:val="24"/>
        </w:rPr>
        <w:t xml:space="preserve"> öffentlicher Vertrag zweier oder mehrerer Gemeinwesen (</w:t>
      </w:r>
      <w:r w:rsidR="001413B5" w:rsidRPr="001413B5">
        <w:rPr>
          <w:rFonts w:ascii="Times New Roman" w:hAnsi="Times New Roman"/>
          <w:i/>
          <w:sz w:val="24"/>
          <w:szCs w:val="24"/>
        </w:rPr>
        <w:t>rerumpublicarum</w:t>
      </w:r>
      <w:r w:rsidR="001413B5" w:rsidRPr="001413B5">
        <w:rPr>
          <w:rFonts w:ascii="Times New Roman" w:hAnsi="Times New Roman"/>
          <w:sz w:val="24"/>
          <w:szCs w:val="24"/>
        </w:rPr>
        <w:t xml:space="preserve">), </w:t>
      </w:r>
      <w:r>
        <w:rPr>
          <w:rFonts w:ascii="Times New Roman" w:hAnsi="Times New Roman"/>
          <w:sz w:val="24"/>
          <w:szCs w:val="24"/>
        </w:rPr>
        <w:t xml:space="preserve">die </w:t>
      </w:r>
      <w:r w:rsidR="001413B5" w:rsidRPr="001413B5">
        <w:rPr>
          <w:rFonts w:ascii="Times New Roman" w:hAnsi="Times New Roman"/>
          <w:sz w:val="24"/>
          <w:szCs w:val="24"/>
        </w:rPr>
        <w:t>aufgrund von Notwendigkeit oder öffentlichem Wohlergehen</w:t>
      </w:r>
      <w:r>
        <w:rPr>
          <w:rFonts w:ascii="Times New Roman" w:hAnsi="Times New Roman"/>
          <w:sz w:val="24"/>
          <w:szCs w:val="24"/>
        </w:rPr>
        <w:t xml:space="preserve"> eingegangen werden</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76"/>
      </w:r>
      <w:r>
        <w:rPr>
          <w:rFonts w:ascii="Times New Roman" w:hAnsi="Times New Roman"/>
          <w:sz w:val="24"/>
          <w:szCs w:val="24"/>
        </w:rPr>
        <w:t xml:space="preserve"> </w:t>
      </w:r>
      <w:r w:rsidR="00F34D57">
        <w:rPr>
          <w:rFonts w:ascii="Times New Roman" w:hAnsi="Times New Roman"/>
          <w:sz w:val="24"/>
          <w:szCs w:val="24"/>
        </w:rPr>
        <w:t>Vom Standpunkt dieser Definition wird klar, dass Handelsbündnisse diesen Zweck vollkommen erfüllen</w:t>
      </w:r>
      <w:r w:rsidR="00ED455C">
        <w:rPr>
          <w:rFonts w:ascii="Times New Roman" w:hAnsi="Times New Roman"/>
          <w:sz w:val="24"/>
          <w:szCs w:val="24"/>
        </w:rPr>
        <w:t xml:space="preserve"> können, auch wenn die Bündnispartner nicht reichsunmittelbar sind</w:t>
      </w:r>
      <w:r w:rsidR="00F34D57">
        <w:rPr>
          <w:rFonts w:ascii="Times New Roman" w:hAnsi="Times New Roman"/>
          <w:sz w:val="24"/>
          <w:szCs w:val="24"/>
        </w:rPr>
        <w:t xml:space="preserve">. </w:t>
      </w:r>
      <w:r w:rsidR="002B0695">
        <w:rPr>
          <w:rFonts w:ascii="Times New Roman" w:hAnsi="Times New Roman"/>
          <w:sz w:val="24"/>
          <w:szCs w:val="24"/>
        </w:rPr>
        <w:t>Besold versteht</w:t>
      </w:r>
      <w:r w:rsidR="001413B5" w:rsidRPr="001413B5">
        <w:rPr>
          <w:rFonts w:ascii="Times New Roman" w:hAnsi="Times New Roman"/>
          <w:sz w:val="24"/>
          <w:szCs w:val="24"/>
        </w:rPr>
        <w:t xml:space="preserve"> seine Argumentation als ein Gegengewicht zum Versuch der Theor</w:t>
      </w:r>
      <w:r w:rsidR="002B0695">
        <w:rPr>
          <w:rFonts w:ascii="Times New Roman" w:hAnsi="Times New Roman"/>
          <w:sz w:val="24"/>
          <w:szCs w:val="24"/>
        </w:rPr>
        <w:t>etiker des Absolutismus</w:t>
      </w:r>
      <w:r w:rsidR="001413B5" w:rsidRPr="001413B5">
        <w:rPr>
          <w:rFonts w:ascii="Times New Roman" w:hAnsi="Times New Roman"/>
          <w:sz w:val="24"/>
          <w:szCs w:val="24"/>
        </w:rPr>
        <w:t xml:space="preserve">, aus „Untertanen Sklaven zu machen“, </w:t>
      </w:r>
      <w:r w:rsidR="002B0695">
        <w:rPr>
          <w:rFonts w:ascii="Times New Roman" w:hAnsi="Times New Roman"/>
          <w:sz w:val="24"/>
          <w:szCs w:val="24"/>
        </w:rPr>
        <w:t xml:space="preserve">dazu noch </w:t>
      </w:r>
      <w:r w:rsidR="001413B5" w:rsidRPr="001413B5">
        <w:rPr>
          <w:rFonts w:ascii="Times New Roman" w:hAnsi="Times New Roman"/>
          <w:sz w:val="24"/>
          <w:szCs w:val="24"/>
        </w:rPr>
        <w:t xml:space="preserve">sehr zum Nachteil der reformierten Religion. Deshalb ist für ihn die Verteidigung des Bündnisrechts auch nicht reichsunmittelbarer Städte wie denen, die zur Hanse gehören, </w:t>
      </w:r>
      <w:r w:rsidR="00F34D57">
        <w:rPr>
          <w:rFonts w:ascii="Times New Roman" w:hAnsi="Times New Roman"/>
          <w:sz w:val="24"/>
          <w:szCs w:val="24"/>
        </w:rPr>
        <w:t xml:space="preserve">zugleich </w:t>
      </w:r>
      <w:r w:rsidR="001413B5" w:rsidRPr="001413B5">
        <w:rPr>
          <w:rFonts w:ascii="Times New Roman" w:hAnsi="Times New Roman"/>
          <w:sz w:val="24"/>
          <w:szCs w:val="24"/>
        </w:rPr>
        <w:t>eine Verteidigung der Religionsfreiheit.</w:t>
      </w:r>
      <w:r w:rsidR="001413B5" w:rsidRPr="001413B5">
        <w:rPr>
          <w:rStyle w:val="Funotenzeichen"/>
          <w:rFonts w:ascii="Times New Roman" w:hAnsi="Times New Roman"/>
          <w:sz w:val="24"/>
          <w:szCs w:val="24"/>
        </w:rPr>
        <w:footnoteReference w:id="77"/>
      </w:r>
      <w:r w:rsidR="00F34D57">
        <w:rPr>
          <w:rFonts w:ascii="Times New Roman" w:hAnsi="Times New Roman"/>
          <w:sz w:val="24"/>
          <w:szCs w:val="24"/>
        </w:rPr>
        <w:t xml:space="preserve"> </w:t>
      </w:r>
      <w:r w:rsidR="00DC4563">
        <w:rPr>
          <w:rFonts w:ascii="Times New Roman" w:hAnsi="Times New Roman"/>
          <w:sz w:val="24"/>
          <w:szCs w:val="24"/>
        </w:rPr>
        <w:t>Dementsprechend zählt Besold das Bündnisre</w:t>
      </w:r>
      <w:r w:rsidR="00742EA8">
        <w:rPr>
          <w:rFonts w:ascii="Times New Roman" w:hAnsi="Times New Roman"/>
          <w:sz w:val="24"/>
          <w:szCs w:val="24"/>
        </w:rPr>
        <w:t>cht zu den natürlichen Rechten:</w:t>
      </w:r>
    </w:p>
    <w:p w14:paraId="0FE19A1D" w14:textId="77777777" w:rsidR="00DC4563" w:rsidRDefault="00DC4563" w:rsidP="00F34D57">
      <w:pPr>
        <w:spacing w:after="0" w:line="360" w:lineRule="auto"/>
        <w:ind w:firstLine="708"/>
        <w:jc w:val="both"/>
        <w:rPr>
          <w:rFonts w:ascii="Times New Roman" w:hAnsi="Times New Roman"/>
          <w:sz w:val="24"/>
          <w:szCs w:val="24"/>
        </w:rPr>
      </w:pPr>
    </w:p>
    <w:p w14:paraId="5CE1FB3D" w14:textId="77777777" w:rsidR="00DC4563" w:rsidRPr="00742EA8" w:rsidRDefault="007F0EF9" w:rsidP="00742EA8">
      <w:pPr>
        <w:spacing w:after="0" w:line="360" w:lineRule="auto"/>
        <w:jc w:val="both"/>
        <w:rPr>
          <w:rFonts w:ascii="Times New Roman" w:hAnsi="Times New Roman"/>
          <w:sz w:val="20"/>
          <w:szCs w:val="20"/>
        </w:rPr>
      </w:pPr>
      <w:r w:rsidRPr="00742EA8">
        <w:rPr>
          <w:rFonts w:ascii="Times New Roman" w:hAnsi="Times New Roman"/>
          <w:sz w:val="20"/>
          <w:szCs w:val="20"/>
        </w:rPr>
        <w:t>„Im ders</w:t>
      </w:r>
      <w:r w:rsidR="00742EA8" w:rsidRPr="00742EA8">
        <w:rPr>
          <w:rFonts w:ascii="Times New Roman" w:hAnsi="Times New Roman"/>
          <w:sz w:val="20"/>
          <w:szCs w:val="20"/>
        </w:rPr>
        <w:t>elben Weise, wie</w:t>
      </w:r>
      <w:r w:rsidR="00DC4563" w:rsidRPr="00742EA8">
        <w:rPr>
          <w:rFonts w:ascii="Times New Roman" w:hAnsi="Times New Roman"/>
          <w:sz w:val="20"/>
          <w:szCs w:val="20"/>
        </w:rPr>
        <w:t xml:space="preserve"> die Natur nach Gesellschaft und gemeinschaftlicher Unterstützung zu streben scheint</w:t>
      </w:r>
      <w:r w:rsidRPr="00742EA8">
        <w:rPr>
          <w:rFonts w:ascii="Times New Roman" w:hAnsi="Times New Roman"/>
          <w:sz w:val="20"/>
          <w:szCs w:val="20"/>
        </w:rPr>
        <w:t xml:space="preserve"> … kann auch gemeinsamen</w:t>
      </w:r>
      <w:r w:rsidR="00742EA8" w:rsidRPr="00742EA8">
        <w:rPr>
          <w:rFonts w:ascii="Times New Roman" w:hAnsi="Times New Roman"/>
          <w:sz w:val="20"/>
          <w:szCs w:val="20"/>
        </w:rPr>
        <w:t>,</w:t>
      </w:r>
      <w:r w:rsidRPr="00742EA8">
        <w:rPr>
          <w:rFonts w:ascii="Times New Roman" w:hAnsi="Times New Roman"/>
          <w:sz w:val="20"/>
          <w:szCs w:val="20"/>
        </w:rPr>
        <w:t xml:space="preserve"> stärkeren Feinden auf keine geeignetere Weise als durch Gesellschaften und Bündnisse begegnet werden.“</w:t>
      </w:r>
      <w:r w:rsidR="00D40233" w:rsidRPr="00742EA8">
        <w:rPr>
          <w:rStyle w:val="Funotenzeichen"/>
          <w:rFonts w:ascii="Times New Roman" w:hAnsi="Times New Roman"/>
          <w:sz w:val="20"/>
          <w:szCs w:val="20"/>
        </w:rPr>
        <w:footnoteReference w:id="78"/>
      </w:r>
      <w:r w:rsidR="00F34D57" w:rsidRPr="00742EA8">
        <w:rPr>
          <w:rFonts w:ascii="Times New Roman" w:hAnsi="Times New Roman"/>
          <w:sz w:val="20"/>
          <w:szCs w:val="20"/>
        </w:rPr>
        <w:t xml:space="preserve"> </w:t>
      </w:r>
    </w:p>
    <w:p w14:paraId="64702F8B" w14:textId="77777777" w:rsidR="00DC4563" w:rsidRDefault="00DC4563" w:rsidP="00DC4563">
      <w:pPr>
        <w:spacing w:after="0" w:line="360" w:lineRule="auto"/>
        <w:jc w:val="both"/>
        <w:rPr>
          <w:rFonts w:ascii="Times New Roman" w:hAnsi="Times New Roman"/>
          <w:sz w:val="24"/>
          <w:szCs w:val="24"/>
        </w:rPr>
      </w:pPr>
    </w:p>
    <w:p w14:paraId="3EDCE646" w14:textId="77777777" w:rsidR="008A316B" w:rsidRPr="001413B5" w:rsidRDefault="005572DA" w:rsidP="00DC4563">
      <w:pPr>
        <w:spacing w:after="0" w:line="360" w:lineRule="auto"/>
        <w:jc w:val="both"/>
        <w:rPr>
          <w:rFonts w:ascii="Times New Roman" w:hAnsi="Times New Roman"/>
          <w:sz w:val="24"/>
          <w:szCs w:val="24"/>
        </w:rPr>
      </w:pPr>
      <w:r>
        <w:rPr>
          <w:rFonts w:ascii="Times New Roman" w:hAnsi="Times New Roman"/>
          <w:sz w:val="24"/>
          <w:szCs w:val="24"/>
        </w:rPr>
        <w:t>Damit wird auch</w:t>
      </w:r>
      <w:r w:rsidR="00DC4563">
        <w:rPr>
          <w:rFonts w:ascii="Times New Roman" w:hAnsi="Times New Roman"/>
          <w:sz w:val="24"/>
          <w:szCs w:val="24"/>
        </w:rPr>
        <w:t xml:space="preserve"> eine naturrec</w:t>
      </w:r>
      <w:r>
        <w:rPr>
          <w:rFonts w:ascii="Times New Roman" w:hAnsi="Times New Roman"/>
          <w:sz w:val="24"/>
          <w:szCs w:val="24"/>
        </w:rPr>
        <w:t>htliche Grundlage für das</w:t>
      </w:r>
      <w:r w:rsidR="00DC4563">
        <w:rPr>
          <w:rFonts w:ascii="Times New Roman" w:hAnsi="Times New Roman"/>
          <w:sz w:val="24"/>
          <w:szCs w:val="24"/>
        </w:rPr>
        <w:t xml:space="preserve"> </w:t>
      </w:r>
      <w:r w:rsidR="00F34D57">
        <w:rPr>
          <w:rFonts w:ascii="Times New Roman" w:hAnsi="Times New Roman"/>
          <w:sz w:val="24"/>
          <w:szCs w:val="24"/>
        </w:rPr>
        <w:t>Gesa</w:t>
      </w:r>
      <w:r w:rsidR="00DC4563">
        <w:rPr>
          <w:rFonts w:ascii="Times New Roman" w:hAnsi="Times New Roman"/>
          <w:sz w:val="24"/>
          <w:szCs w:val="24"/>
        </w:rPr>
        <w:t>ndtschaftsrecht geschaffen:</w:t>
      </w:r>
      <w:r w:rsidR="00F34D57">
        <w:rPr>
          <w:rFonts w:ascii="Times New Roman" w:hAnsi="Times New Roman"/>
          <w:sz w:val="24"/>
          <w:szCs w:val="24"/>
        </w:rPr>
        <w:t xml:space="preserve"> </w:t>
      </w:r>
      <w:r w:rsidR="008A316B" w:rsidRPr="001413B5">
        <w:rPr>
          <w:rFonts w:ascii="Times New Roman" w:hAnsi="Times New Roman"/>
          <w:sz w:val="24"/>
          <w:szCs w:val="24"/>
        </w:rPr>
        <w:t xml:space="preserve">Weil die Hansestädte das Recht zu Kriegsführung und zu Bündnissen besitzen, </w:t>
      </w:r>
      <w:r w:rsidR="00F34D57">
        <w:rPr>
          <w:rFonts w:ascii="Times New Roman" w:hAnsi="Times New Roman"/>
          <w:sz w:val="24"/>
          <w:szCs w:val="24"/>
        </w:rPr>
        <w:t xml:space="preserve">so argumentiert Besold, </w:t>
      </w:r>
      <w:r w:rsidR="008A316B" w:rsidRPr="001413B5">
        <w:rPr>
          <w:rFonts w:ascii="Times New Roman" w:hAnsi="Times New Roman"/>
          <w:sz w:val="24"/>
          <w:szCs w:val="24"/>
        </w:rPr>
        <w:t>besitzen sie auch das Gesandtschaftsrecht</w:t>
      </w:r>
      <w:r w:rsidR="00D40233">
        <w:rPr>
          <w:rFonts w:ascii="Times New Roman" w:hAnsi="Times New Roman"/>
          <w:sz w:val="24"/>
          <w:szCs w:val="24"/>
        </w:rPr>
        <w:t xml:space="preserve">, denn wer ein Recht besitzt, ein Ziel zu </w:t>
      </w:r>
      <w:r>
        <w:rPr>
          <w:rFonts w:ascii="Times New Roman" w:hAnsi="Times New Roman"/>
          <w:sz w:val="24"/>
          <w:szCs w:val="24"/>
        </w:rPr>
        <w:t>verwirklichen, besitzt auch das Recht</w:t>
      </w:r>
      <w:r w:rsidR="00D40233">
        <w:rPr>
          <w:rFonts w:ascii="Times New Roman" w:hAnsi="Times New Roman"/>
          <w:sz w:val="24"/>
          <w:szCs w:val="24"/>
        </w:rPr>
        <w:t>, die zu diesem Ziel notwendigen Mittel einzusetzen</w:t>
      </w:r>
      <w:r w:rsidR="008A316B" w:rsidRPr="001413B5">
        <w:rPr>
          <w:rFonts w:ascii="Times New Roman" w:hAnsi="Times New Roman"/>
          <w:sz w:val="24"/>
          <w:szCs w:val="24"/>
        </w:rPr>
        <w:t>.</w:t>
      </w:r>
      <w:r w:rsidR="008A316B" w:rsidRPr="001413B5">
        <w:rPr>
          <w:rStyle w:val="Funotenzeichen"/>
          <w:rFonts w:ascii="Times New Roman" w:hAnsi="Times New Roman"/>
          <w:sz w:val="24"/>
          <w:szCs w:val="24"/>
        </w:rPr>
        <w:footnoteReference w:id="79"/>
      </w:r>
    </w:p>
    <w:p w14:paraId="3B7AF228" w14:textId="77777777" w:rsidR="004B03A0" w:rsidRDefault="003F134D" w:rsidP="003F134D">
      <w:pPr>
        <w:spacing w:after="0" w:line="360" w:lineRule="auto"/>
        <w:ind w:firstLine="708"/>
        <w:jc w:val="both"/>
        <w:rPr>
          <w:rFonts w:ascii="Times New Roman" w:hAnsi="Times New Roman"/>
          <w:sz w:val="24"/>
          <w:szCs w:val="24"/>
        </w:rPr>
      </w:pPr>
      <w:r>
        <w:rPr>
          <w:rFonts w:ascii="Times New Roman" w:hAnsi="Times New Roman"/>
          <w:sz w:val="24"/>
          <w:szCs w:val="24"/>
        </w:rPr>
        <w:t xml:space="preserve">Auch </w:t>
      </w:r>
      <w:r w:rsidR="001413B5" w:rsidRPr="001413B5">
        <w:rPr>
          <w:rFonts w:ascii="Times New Roman" w:hAnsi="Times New Roman"/>
          <w:sz w:val="24"/>
          <w:szCs w:val="24"/>
        </w:rPr>
        <w:t>Leibniz</w:t>
      </w:r>
      <w:r w:rsidR="002B0695">
        <w:rPr>
          <w:rFonts w:ascii="Times New Roman" w:hAnsi="Times New Roman"/>
          <w:sz w:val="24"/>
          <w:szCs w:val="24"/>
        </w:rPr>
        <w:t xml:space="preserve"> ist der Auffassung</w:t>
      </w:r>
      <w:r>
        <w:rPr>
          <w:rFonts w:ascii="Times New Roman" w:hAnsi="Times New Roman"/>
          <w:sz w:val="24"/>
          <w:szCs w:val="24"/>
        </w:rPr>
        <w:t>, dass der</w:t>
      </w:r>
      <w:r w:rsidR="001413B5" w:rsidRPr="001413B5">
        <w:rPr>
          <w:rFonts w:ascii="Times New Roman" w:hAnsi="Times New Roman"/>
          <w:sz w:val="24"/>
          <w:szCs w:val="24"/>
        </w:rPr>
        <w:t xml:space="preserve"> Zweck der</w:t>
      </w:r>
      <w:r>
        <w:rPr>
          <w:rFonts w:ascii="Times New Roman" w:hAnsi="Times New Roman"/>
          <w:sz w:val="24"/>
          <w:szCs w:val="24"/>
        </w:rPr>
        <w:t xml:space="preserve"> mittelalterlichen</w:t>
      </w:r>
      <w:r w:rsidR="001413B5" w:rsidRPr="001413B5">
        <w:rPr>
          <w:rFonts w:ascii="Times New Roman" w:hAnsi="Times New Roman"/>
          <w:sz w:val="24"/>
          <w:szCs w:val="24"/>
        </w:rPr>
        <w:t xml:space="preserve"> Städtebündniss</w:t>
      </w:r>
      <w:r>
        <w:rPr>
          <w:rFonts w:ascii="Times New Roman" w:hAnsi="Times New Roman"/>
          <w:sz w:val="24"/>
          <w:szCs w:val="24"/>
        </w:rPr>
        <w:t>e in der</w:t>
      </w:r>
      <w:r w:rsidR="001413B5" w:rsidRPr="001413B5">
        <w:rPr>
          <w:rFonts w:ascii="Times New Roman" w:hAnsi="Times New Roman"/>
          <w:sz w:val="24"/>
          <w:szCs w:val="24"/>
        </w:rPr>
        <w:t xml:space="preserve"> Sicherung der Wege und der Handelsbeziehungen</w:t>
      </w:r>
      <w:r w:rsidR="00F34D57">
        <w:rPr>
          <w:rFonts w:ascii="Times New Roman" w:hAnsi="Times New Roman"/>
          <w:sz w:val="24"/>
          <w:szCs w:val="24"/>
        </w:rPr>
        <w:t xml:space="preserve"> bestand</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80"/>
      </w:r>
      <w:r>
        <w:rPr>
          <w:rFonts w:ascii="Times New Roman" w:hAnsi="Times New Roman"/>
          <w:sz w:val="24"/>
          <w:szCs w:val="24"/>
        </w:rPr>
        <w:t xml:space="preserve"> Dies ist aber</w:t>
      </w:r>
      <w:r w:rsidR="001413B5" w:rsidRPr="001413B5">
        <w:rPr>
          <w:rFonts w:ascii="Times New Roman" w:hAnsi="Times New Roman"/>
          <w:sz w:val="24"/>
          <w:szCs w:val="24"/>
        </w:rPr>
        <w:t xml:space="preserve"> eine völkerr</w:t>
      </w:r>
      <w:r>
        <w:rPr>
          <w:rFonts w:ascii="Times New Roman" w:hAnsi="Times New Roman"/>
          <w:sz w:val="24"/>
          <w:szCs w:val="24"/>
        </w:rPr>
        <w:t>echtliche Funktion, denn Leibniz betrachtet die Friedenssicherung als zentrale Aufgabe des Völkerrechts.</w:t>
      </w:r>
      <w:r>
        <w:rPr>
          <w:rStyle w:val="Funotenzeichen"/>
          <w:rFonts w:ascii="Times New Roman" w:hAnsi="Times New Roman"/>
          <w:sz w:val="24"/>
          <w:szCs w:val="24"/>
        </w:rPr>
        <w:footnoteReference w:id="81"/>
      </w:r>
      <w:r>
        <w:rPr>
          <w:rFonts w:ascii="Times New Roman" w:hAnsi="Times New Roman"/>
          <w:sz w:val="24"/>
          <w:szCs w:val="24"/>
        </w:rPr>
        <w:t xml:space="preserve"> Dabei betrachtet Leibniz Bündnisse innerhalb des </w:t>
      </w:r>
      <w:r>
        <w:rPr>
          <w:rFonts w:ascii="Times New Roman" w:hAnsi="Times New Roman"/>
          <w:sz w:val="24"/>
          <w:szCs w:val="24"/>
        </w:rPr>
        <w:lastRenderedPageBreak/>
        <w:t>Reichs als eine Notlösung, die sich aus der politischen Schwäche der Institutionen des Reichs ergibt:</w:t>
      </w:r>
      <w:r w:rsidR="001413B5" w:rsidRPr="001413B5">
        <w:rPr>
          <w:rFonts w:ascii="Times New Roman" w:hAnsi="Times New Roman"/>
          <w:sz w:val="24"/>
          <w:szCs w:val="24"/>
        </w:rPr>
        <w:t xml:space="preserve"> </w:t>
      </w:r>
    </w:p>
    <w:p w14:paraId="76A8C37E" w14:textId="77777777" w:rsidR="004B03A0" w:rsidRDefault="004B03A0" w:rsidP="001413B5">
      <w:pPr>
        <w:spacing w:after="0" w:line="360" w:lineRule="auto"/>
        <w:jc w:val="both"/>
        <w:rPr>
          <w:rFonts w:ascii="Times New Roman" w:hAnsi="Times New Roman"/>
          <w:sz w:val="24"/>
          <w:szCs w:val="24"/>
        </w:rPr>
      </w:pPr>
    </w:p>
    <w:p w14:paraId="4360A63E" w14:textId="77777777" w:rsidR="004B03A0" w:rsidRPr="004B03A0" w:rsidRDefault="001413B5" w:rsidP="001413B5">
      <w:pPr>
        <w:spacing w:after="0" w:line="360" w:lineRule="auto"/>
        <w:jc w:val="both"/>
        <w:rPr>
          <w:rFonts w:ascii="Times New Roman" w:hAnsi="Times New Roman"/>
          <w:sz w:val="20"/>
          <w:szCs w:val="20"/>
        </w:rPr>
      </w:pPr>
      <w:r w:rsidRPr="004B03A0">
        <w:rPr>
          <w:rFonts w:ascii="Times New Roman" w:hAnsi="Times New Roman"/>
          <w:sz w:val="20"/>
          <w:szCs w:val="20"/>
        </w:rPr>
        <w:t>„Wenn unser Gemeinwes</w:t>
      </w:r>
      <w:r w:rsidR="00E0004C">
        <w:rPr>
          <w:rFonts w:ascii="Times New Roman" w:hAnsi="Times New Roman"/>
          <w:sz w:val="20"/>
          <w:szCs w:val="20"/>
        </w:rPr>
        <w:t>en gut verfasst wäre, […]</w:t>
      </w:r>
      <w:r w:rsidRPr="004B03A0">
        <w:rPr>
          <w:rFonts w:ascii="Times New Roman" w:hAnsi="Times New Roman"/>
          <w:sz w:val="20"/>
          <w:szCs w:val="20"/>
        </w:rPr>
        <w:t xml:space="preserve"> wenn die Schwachen vor der Unterdrückung durch die Mächtigen aufgrund der Gesetze sicher wären, wäre kein Bedarf an, wie ich einräume, gefährlichen Behelfen, wie den Bündnissen außerhalb der Ordnung. Wer würde aber nicht sehen, dass in der gegenwärtigen Verwirrung der politischen Lage es den Bündnissen zu verdanken ist, dass wir noch ein Gemeinwesen haben? In dieser Weise wurden einst durch Bündnisse zwischen einigen Reichständen die Gefährder des öffentlichen Friedens unterdrückt, wie zum Beispiel Räuberburgen, und die Grundlage derjenigen Reichsverfassung gelegt, die seit Kaiser Maximilian Fortdauer besitzt.“</w:t>
      </w:r>
      <w:r w:rsidRPr="004B03A0">
        <w:rPr>
          <w:rStyle w:val="Funotenzeichen"/>
          <w:rFonts w:ascii="Times New Roman" w:hAnsi="Times New Roman"/>
          <w:sz w:val="20"/>
          <w:szCs w:val="20"/>
        </w:rPr>
        <w:footnoteReference w:id="82"/>
      </w:r>
      <w:r w:rsidRPr="004B03A0">
        <w:rPr>
          <w:rFonts w:ascii="Times New Roman" w:hAnsi="Times New Roman"/>
          <w:sz w:val="20"/>
          <w:szCs w:val="20"/>
        </w:rPr>
        <w:t xml:space="preserve"> </w:t>
      </w:r>
    </w:p>
    <w:p w14:paraId="6DD680E5" w14:textId="77777777" w:rsidR="004B03A0" w:rsidRDefault="004B03A0" w:rsidP="001413B5">
      <w:pPr>
        <w:spacing w:after="0" w:line="360" w:lineRule="auto"/>
        <w:jc w:val="both"/>
        <w:rPr>
          <w:rFonts w:ascii="Times New Roman" w:hAnsi="Times New Roman"/>
          <w:sz w:val="24"/>
          <w:szCs w:val="24"/>
        </w:rPr>
      </w:pPr>
    </w:p>
    <w:p w14:paraId="591BD25E" w14:textId="77777777" w:rsidR="003F134D" w:rsidRDefault="005572DA" w:rsidP="008A316B">
      <w:pPr>
        <w:spacing w:after="0" w:line="360" w:lineRule="auto"/>
        <w:jc w:val="both"/>
        <w:rPr>
          <w:rFonts w:ascii="Times New Roman" w:hAnsi="Times New Roman"/>
          <w:sz w:val="24"/>
          <w:szCs w:val="24"/>
        </w:rPr>
      </w:pPr>
      <w:r>
        <w:rPr>
          <w:rFonts w:ascii="Times New Roman" w:hAnsi="Times New Roman"/>
          <w:sz w:val="24"/>
          <w:szCs w:val="24"/>
        </w:rPr>
        <w:t>Mit Blick auf die Reformationszeit</w:t>
      </w:r>
      <w:r w:rsidR="001413B5" w:rsidRPr="001413B5">
        <w:rPr>
          <w:rFonts w:ascii="Times New Roman" w:hAnsi="Times New Roman"/>
          <w:sz w:val="24"/>
          <w:szCs w:val="24"/>
        </w:rPr>
        <w:t xml:space="preserve"> weist Leibniz darauf hin, dass der Religionsfriede nur durch Bündnisse erreicht wurde. Ebenso vertritt er die Auffassung, dass die Freiheit des Reiches gegenüber französischen und spanischen Machtansprüchen nur durch Bündnisse verteidigt werde konnte.</w:t>
      </w:r>
      <w:r w:rsidR="001413B5" w:rsidRPr="001413B5">
        <w:rPr>
          <w:rStyle w:val="Funotenzeichen"/>
          <w:rFonts w:ascii="Times New Roman" w:hAnsi="Times New Roman"/>
          <w:sz w:val="24"/>
          <w:szCs w:val="24"/>
        </w:rPr>
        <w:footnoteReference w:id="83"/>
      </w:r>
      <w:r w:rsidR="003F134D">
        <w:rPr>
          <w:rFonts w:ascii="Times New Roman" w:hAnsi="Times New Roman"/>
          <w:sz w:val="24"/>
          <w:szCs w:val="24"/>
        </w:rPr>
        <w:t xml:space="preserve"> </w:t>
      </w:r>
    </w:p>
    <w:p w14:paraId="1B623FAF" w14:textId="77777777" w:rsidR="003F134D" w:rsidRDefault="003F134D" w:rsidP="003F134D">
      <w:pPr>
        <w:spacing w:after="0" w:line="360" w:lineRule="auto"/>
        <w:ind w:firstLine="708"/>
        <w:jc w:val="both"/>
        <w:rPr>
          <w:rFonts w:ascii="Times New Roman" w:hAnsi="Times New Roman"/>
          <w:sz w:val="24"/>
          <w:szCs w:val="24"/>
        </w:rPr>
      </w:pPr>
      <w:r>
        <w:rPr>
          <w:rFonts w:ascii="Times New Roman" w:hAnsi="Times New Roman"/>
          <w:sz w:val="24"/>
          <w:szCs w:val="24"/>
        </w:rPr>
        <w:t xml:space="preserve">Hier ergibt sich eine überraschende Verbindung zwischen </w:t>
      </w:r>
      <w:r w:rsidR="00881DD9">
        <w:rPr>
          <w:rFonts w:ascii="Times New Roman" w:hAnsi="Times New Roman"/>
          <w:sz w:val="24"/>
          <w:szCs w:val="24"/>
        </w:rPr>
        <w:t>naturrechtlichen, völkerrechtlichen und</w:t>
      </w:r>
      <w:r>
        <w:rPr>
          <w:rFonts w:ascii="Times New Roman" w:hAnsi="Times New Roman"/>
          <w:sz w:val="24"/>
          <w:szCs w:val="24"/>
        </w:rPr>
        <w:t xml:space="preserve"> verfassungsrechtlichen Überlegungen. </w:t>
      </w:r>
      <w:r w:rsidR="00881DD9">
        <w:rPr>
          <w:rFonts w:ascii="Times New Roman" w:hAnsi="Times New Roman"/>
          <w:sz w:val="24"/>
          <w:szCs w:val="24"/>
        </w:rPr>
        <w:t>Denn es sind die naturrechtlich begründeten Funktionen der Erhaltung des Friedens und der Verteidigung, die den Bündnissystemen des Mittelalters und der frühen Neuzeit völkerrechtliche Legitimität verleihen. Zudem ist es das</w:t>
      </w:r>
      <w:r w:rsidR="001413B5" w:rsidRPr="001413B5">
        <w:rPr>
          <w:rFonts w:ascii="Times New Roman" w:hAnsi="Times New Roman"/>
          <w:sz w:val="24"/>
          <w:szCs w:val="24"/>
        </w:rPr>
        <w:t xml:space="preserve"> naturrecht</w:t>
      </w:r>
      <w:r w:rsidR="00881DD9">
        <w:rPr>
          <w:rFonts w:ascii="Times New Roman" w:hAnsi="Times New Roman"/>
          <w:sz w:val="24"/>
          <w:szCs w:val="24"/>
        </w:rPr>
        <w:t>lich legitimierte</w:t>
      </w:r>
      <w:r>
        <w:rPr>
          <w:rFonts w:ascii="Times New Roman" w:hAnsi="Times New Roman"/>
          <w:sz w:val="24"/>
          <w:szCs w:val="24"/>
        </w:rPr>
        <w:t xml:space="preserve"> Bündnisrecht, dessen </w:t>
      </w:r>
      <w:r w:rsidR="00EB1EBC">
        <w:rPr>
          <w:rFonts w:ascii="Times New Roman" w:hAnsi="Times New Roman"/>
          <w:sz w:val="24"/>
          <w:szCs w:val="24"/>
        </w:rPr>
        <w:t>Träger auch die Städte sind, welches</w:t>
      </w:r>
      <w:r>
        <w:rPr>
          <w:rFonts w:ascii="Times New Roman" w:hAnsi="Times New Roman"/>
          <w:sz w:val="24"/>
          <w:szCs w:val="24"/>
        </w:rPr>
        <w:t xml:space="preserve"> sich </w:t>
      </w:r>
      <w:r w:rsidR="001413B5" w:rsidRPr="001413B5">
        <w:rPr>
          <w:rFonts w:ascii="Times New Roman" w:hAnsi="Times New Roman"/>
          <w:sz w:val="24"/>
          <w:szCs w:val="24"/>
        </w:rPr>
        <w:t>als Grundlage des Verfassungsrechts</w:t>
      </w:r>
      <w:r w:rsidR="00F97B1B">
        <w:rPr>
          <w:rFonts w:ascii="Times New Roman" w:hAnsi="Times New Roman"/>
          <w:sz w:val="24"/>
          <w:szCs w:val="24"/>
        </w:rPr>
        <w:t xml:space="preserve"> herausstellt.</w:t>
      </w:r>
      <w:r w:rsidR="00881DD9">
        <w:rPr>
          <w:rFonts w:ascii="Times New Roman" w:hAnsi="Times New Roman"/>
          <w:sz w:val="24"/>
          <w:szCs w:val="24"/>
        </w:rPr>
        <w:t xml:space="preserve"> Verfassungsrechtliche Dokumente wie die </w:t>
      </w:r>
      <w:r w:rsidR="00881DD9">
        <w:rPr>
          <w:rFonts w:ascii="Times New Roman" w:hAnsi="Times New Roman"/>
          <w:i/>
          <w:sz w:val="24"/>
          <w:szCs w:val="24"/>
        </w:rPr>
        <w:t xml:space="preserve">Bulla Aurea </w:t>
      </w:r>
      <w:r w:rsidR="00881DD9">
        <w:rPr>
          <w:rFonts w:ascii="Times New Roman" w:hAnsi="Times New Roman"/>
          <w:sz w:val="24"/>
          <w:szCs w:val="24"/>
        </w:rPr>
        <w:t>sind damit nicht nur etwas, was das Bündnisrecht der Reichsstände legitimiert; viel grundlegender ist es ist es die friedenserhaltende Funktion der bestehenden Bündnispraxis, die in verfassungsrechtlichen Dokumenten zum Ausdruck kommt.</w:t>
      </w:r>
      <w:r w:rsidR="00F97B1B">
        <w:rPr>
          <w:rFonts w:ascii="Times New Roman" w:hAnsi="Times New Roman"/>
          <w:sz w:val="24"/>
          <w:szCs w:val="24"/>
        </w:rPr>
        <w:t xml:space="preserve"> </w:t>
      </w:r>
      <w:r w:rsidR="00881DD9">
        <w:rPr>
          <w:rFonts w:ascii="Times New Roman" w:hAnsi="Times New Roman"/>
          <w:sz w:val="24"/>
          <w:szCs w:val="24"/>
        </w:rPr>
        <w:t xml:space="preserve">Damit </w:t>
      </w:r>
      <w:r>
        <w:rPr>
          <w:rFonts w:ascii="Times New Roman" w:hAnsi="Times New Roman"/>
          <w:sz w:val="24"/>
          <w:szCs w:val="24"/>
        </w:rPr>
        <w:t>spezifiziert die</w:t>
      </w:r>
      <w:r w:rsidRPr="001413B5">
        <w:rPr>
          <w:rFonts w:ascii="Times New Roman" w:hAnsi="Times New Roman"/>
          <w:sz w:val="24"/>
          <w:szCs w:val="24"/>
        </w:rPr>
        <w:t xml:space="preserve"> naturrechtliche Begründung des Bündnisrechts </w:t>
      </w:r>
      <w:r w:rsidR="00881DD9">
        <w:rPr>
          <w:rFonts w:ascii="Times New Roman" w:hAnsi="Times New Roman"/>
          <w:sz w:val="24"/>
          <w:szCs w:val="24"/>
        </w:rPr>
        <w:t xml:space="preserve">aber </w:t>
      </w:r>
      <w:r>
        <w:rPr>
          <w:rFonts w:ascii="Times New Roman" w:hAnsi="Times New Roman"/>
          <w:sz w:val="24"/>
          <w:szCs w:val="24"/>
        </w:rPr>
        <w:t>auch</w:t>
      </w:r>
      <w:r w:rsidRPr="001413B5">
        <w:rPr>
          <w:rFonts w:ascii="Times New Roman" w:hAnsi="Times New Roman"/>
          <w:sz w:val="24"/>
          <w:szCs w:val="24"/>
        </w:rPr>
        <w:t xml:space="preserve"> die Bedingungen</w:t>
      </w:r>
      <w:r>
        <w:rPr>
          <w:rFonts w:ascii="Times New Roman" w:hAnsi="Times New Roman"/>
          <w:sz w:val="24"/>
          <w:szCs w:val="24"/>
        </w:rPr>
        <w:t>,</w:t>
      </w:r>
      <w:r w:rsidRPr="001413B5">
        <w:rPr>
          <w:rFonts w:ascii="Times New Roman" w:hAnsi="Times New Roman"/>
          <w:sz w:val="24"/>
          <w:szCs w:val="24"/>
        </w:rPr>
        <w:t xml:space="preserve"> unter denen die tatsächliche politische Praxis</w:t>
      </w:r>
      <w:r>
        <w:rPr>
          <w:rFonts w:ascii="Times New Roman" w:hAnsi="Times New Roman"/>
          <w:sz w:val="24"/>
          <w:szCs w:val="24"/>
        </w:rPr>
        <w:t xml:space="preserve"> der Bündnisse</w:t>
      </w:r>
      <w:r w:rsidR="00EA4336">
        <w:rPr>
          <w:rFonts w:ascii="Times New Roman" w:hAnsi="Times New Roman"/>
          <w:sz w:val="24"/>
          <w:szCs w:val="24"/>
        </w:rPr>
        <w:t xml:space="preserve"> zur </w:t>
      </w:r>
      <w:r w:rsidR="00EA4336" w:rsidRPr="00EA4336">
        <w:rPr>
          <w:rFonts w:ascii="Times New Roman" w:hAnsi="Times New Roman"/>
          <w:i/>
          <w:sz w:val="24"/>
          <w:szCs w:val="24"/>
        </w:rPr>
        <w:t>praescriptio</w:t>
      </w:r>
      <w:r w:rsidR="00EA4336">
        <w:rPr>
          <w:rFonts w:ascii="Times New Roman" w:hAnsi="Times New Roman"/>
          <w:sz w:val="24"/>
          <w:szCs w:val="24"/>
        </w:rPr>
        <w:t xml:space="preserve"> des Bündnisrechts</w:t>
      </w:r>
      <w:r w:rsidRPr="001413B5">
        <w:rPr>
          <w:rFonts w:ascii="Times New Roman" w:hAnsi="Times New Roman"/>
          <w:sz w:val="24"/>
          <w:szCs w:val="24"/>
        </w:rPr>
        <w:t xml:space="preserve"> </w:t>
      </w:r>
      <w:r w:rsidR="00EA4336">
        <w:rPr>
          <w:rFonts w:ascii="Times New Roman" w:hAnsi="Times New Roman"/>
          <w:sz w:val="24"/>
          <w:szCs w:val="24"/>
        </w:rPr>
        <w:t xml:space="preserve">führen </w:t>
      </w:r>
      <w:r w:rsidRPr="001413B5">
        <w:rPr>
          <w:rFonts w:ascii="Times New Roman" w:hAnsi="Times New Roman"/>
          <w:sz w:val="24"/>
          <w:szCs w:val="24"/>
        </w:rPr>
        <w:t>kann—näml</w:t>
      </w:r>
      <w:r>
        <w:rPr>
          <w:rFonts w:ascii="Times New Roman" w:hAnsi="Times New Roman"/>
          <w:sz w:val="24"/>
          <w:szCs w:val="24"/>
        </w:rPr>
        <w:t>ich nur solange diese</w:t>
      </w:r>
      <w:r w:rsidRPr="001413B5">
        <w:rPr>
          <w:rFonts w:ascii="Times New Roman" w:hAnsi="Times New Roman"/>
          <w:sz w:val="24"/>
          <w:szCs w:val="24"/>
        </w:rPr>
        <w:t xml:space="preserve"> politische Praxis den Zielen</w:t>
      </w:r>
      <w:r w:rsidR="00881DD9">
        <w:rPr>
          <w:rFonts w:ascii="Times New Roman" w:hAnsi="Times New Roman"/>
          <w:sz w:val="24"/>
          <w:szCs w:val="24"/>
        </w:rPr>
        <w:t xml:space="preserve"> des Naturrechts folgt</w:t>
      </w:r>
      <w:r w:rsidRPr="001413B5">
        <w:rPr>
          <w:rFonts w:ascii="Times New Roman" w:hAnsi="Times New Roman"/>
          <w:sz w:val="24"/>
          <w:szCs w:val="24"/>
        </w:rPr>
        <w:t>.</w:t>
      </w:r>
      <w:r>
        <w:rPr>
          <w:rFonts w:ascii="Times New Roman" w:hAnsi="Times New Roman"/>
          <w:sz w:val="24"/>
          <w:szCs w:val="24"/>
        </w:rPr>
        <w:t xml:space="preserve"> </w:t>
      </w:r>
      <w:r w:rsidR="00881DD9">
        <w:rPr>
          <w:rFonts w:ascii="Times New Roman" w:hAnsi="Times New Roman"/>
          <w:sz w:val="24"/>
          <w:szCs w:val="24"/>
        </w:rPr>
        <w:t>Nimmt man nun hinzu, dass</w:t>
      </w:r>
      <w:r>
        <w:rPr>
          <w:rFonts w:ascii="Times New Roman" w:hAnsi="Times New Roman"/>
          <w:sz w:val="24"/>
          <w:szCs w:val="24"/>
        </w:rPr>
        <w:t xml:space="preserve"> Leibniz die</w:t>
      </w:r>
      <w:r w:rsidR="008A316B" w:rsidRPr="001413B5">
        <w:rPr>
          <w:rFonts w:ascii="Times New Roman" w:hAnsi="Times New Roman"/>
          <w:sz w:val="24"/>
          <w:szCs w:val="24"/>
        </w:rPr>
        <w:t xml:space="preserve"> Te</w:t>
      </w:r>
      <w:r>
        <w:rPr>
          <w:rFonts w:ascii="Times New Roman" w:hAnsi="Times New Roman"/>
          <w:sz w:val="24"/>
          <w:szCs w:val="24"/>
        </w:rPr>
        <w:t>ilhabe am Völkerrecht an das</w:t>
      </w:r>
      <w:r w:rsidR="008A316B" w:rsidRPr="001413B5">
        <w:rPr>
          <w:rFonts w:ascii="Times New Roman" w:hAnsi="Times New Roman"/>
          <w:sz w:val="24"/>
          <w:szCs w:val="24"/>
        </w:rPr>
        <w:t xml:space="preserve"> Recht der Gesandtschaften, des Kriegs und Friedens (insbesondere der Arbitration, Mediation und Friedensgarantie) und der Bündnisse</w:t>
      </w:r>
      <w:r w:rsidR="00881DD9">
        <w:rPr>
          <w:rFonts w:ascii="Times New Roman" w:hAnsi="Times New Roman"/>
          <w:sz w:val="24"/>
          <w:szCs w:val="24"/>
        </w:rPr>
        <w:t xml:space="preserve"> bindet,</w:t>
      </w:r>
      <w:r w:rsidR="008A316B" w:rsidRPr="001413B5">
        <w:rPr>
          <w:rStyle w:val="Funotenzeichen"/>
          <w:rFonts w:ascii="Times New Roman" w:hAnsi="Times New Roman"/>
          <w:sz w:val="24"/>
          <w:szCs w:val="24"/>
        </w:rPr>
        <w:footnoteReference w:id="84"/>
      </w:r>
      <w:r>
        <w:rPr>
          <w:rFonts w:ascii="Times New Roman" w:hAnsi="Times New Roman"/>
          <w:sz w:val="24"/>
          <w:szCs w:val="24"/>
        </w:rPr>
        <w:t xml:space="preserve"> </w:t>
      </w:r>
      <w:r w:rsidR="00881DD9">
        <w:rPr>
          <w:rFonts w:ascii="Times New Roman" w:hAnsi="Times New Roman"/>
          <w:sz w:val="24"/>
          <w:szCs w:val="24"/>
        </w:rPr>
        <w:t>dann</w:t>
      </w:r>
      <w:r w:rsidR="008A316B">
        <w:rPr>
          <w:rFonts w:ascii="Times New Roman" w:hAnsi="Times New Roman"/>
          <w:sz w:val="24"/>
          <w:szCs w:val="24"/>
        </w:rPr>
        <w:t xml:space="preserve"> führen die verfassungsrechtlichen, völkerrechtlichen und naturrechtlichen </w:t>
      </w:r>
      <w:r w:rsidR="008A316B">
        <w:rPr>
          <w:rFonts w:ascii="Times New Roman" w:hAnsi="Times New Roman"/>
          <w:sz w:val="24"/>
          <w:szCs w:val="24"/>
        </w:rPr>
        <w:lastRenderedPageBreak/>
        <w:t>Begründungen des Bündnis</w:t>
      </w:r>
      <w:r w:rsidR="001F1835">
        <w:rPr>
          <w:rFonts w:ascii="Times New Roman" w:hAnsi="Times New Roman"/>
          <w:sz w:val="24"/>
          <w:szCs w:val="24"/>
        </w:rPr>
        <w:t>rechts</w:t>
      </w:r>
      <w:r w:rsidR="008A316B">
        <w:rPr>
          <w:rFonts w:ascii="Times New Roman" w:hAnsi="Times New Roman"/>
          <w:sz w:val="24"/>
          <w:szCs w:val="24"/>
        </w:rPr>
        <w:t xml:space="preserve"> zu der Einsicht, dass die Träger des Bündnisrechts zugleich Träger von Souveränität sind. </w:t>
      </w:r>
    </w:p>
    <w:p w14:paraId="2331E6C1" w14:textId="77777777" w:rsidR="00E25D40" w:rsidRDefault="00933AEC" w:rsidP="003F134D">
      <w:pPr>
        <w:spacing w:after="0" w:line="360" w:lineRule="auto"/>
        <w:ind w:firstLine="708"/>
        <w:jc w:val="both"/>
        <w:rPr>
          <w:rFonts w:ascii="Times New Roman" w:hAnsi="Times New Roman"/>
          <w:sz w:val="24"/>
          <w:szCs w:val="24"/>
        </w:rPr>
      </w:pPr>
      <w:r>
        <w:rPr>
          <w:rFonts w:ascii="Times New Roman" w:hAnsi="Times New Roman"/>
          <w:sz w:val="24"/>
          <w:szCs w:val="24"/>
        </w:rPr>
        <w:t>B</w:t>
      </w:r>
      <w:r w:rsidR="009C5B57">
        <w:rPr>
          <w:rFonts w:ascii="Times New Roman" w:hAnsi="Times New Roman"/>
          <w:sz w:val="24"/>
          <w:szCs w:val="24"/>
        </w:rPr>
        <w:t>ei Leibniz</w:t>
      </w:r>
      <w:r w:rsidR="001F1835">
        <w:rPr>
          <w:rFonts w:ascii="Times New Roman" w:hAnsi="Times New Roman"/>
          <w:sz w:val="24"/>
          <w:szCs w:val="24"/>
        </w:rPr>
        <w:t xml:space="preserve"> wie bei Besold</w:t>
      </w:r>
      <w:r w:rsidR="009C5B57">
        <w:rPr>
          <w:rFonts w:ascii="Times New Roman" w:hAnsi="Times New Roman"/>
          <w:sz w:val="24"/>
          <w:szCs w:val="24"/>
        </w:rPr>
        <w:t xml:space="preserve"> </w:t>
      </w:r>
      <w:r>
        <w:rPr>
          <w:rFonts w:ascii="Times New Roman" w:hAnsi="Times New Roman"/>
          <w:sz w:val="24"/>
          <w:szCs w:val="24"/>
        </w:rPr>
        <w:t xml:space="preserve">findet sich </w:t>
      </w:r>
      <w:r w:rsidR="009C5B57">
        <w:rPr>
          <w:rFonts w:ascii="Times New Roman" w:hAnsi="Times New Roman"/>
          <w:sz w:val="24"/>
          <w:szCs w:val="24"/>
        </w:rPr>
        <w:t>die Einsicht, dass sich</w:t>
      </w:r>
      <w:r w:rsidR="008A316B">
        <w:rPr>
          <w:rFonts w:ascii="Times New Roman" w:hAnsi="Times New Roman"/>
          <w:sz w:val="24"/>
          <w:szCs w:val="24"/>
        </w:rPr>
        <w:t xml:space="preserve"> </w:t>
      </w:r>
      <w:r>
        <w:rPr>
          <w:rFonts w:ascii="Times New Roman" w:hAnsi="Times New Roman"/>
          <w:sz w:val="24"/>
          <w:szCs w:val="24"/>
        </w:rPr>
        <w:t xml:space="preserve">auch </w:t>
      </w:r>
      <w:r w:rsidR="008A316B">
        <w:rPr>
          <w:rFonts w:ascii="Times New Roman" w:hAnsi="Times New Roman"/>
          <w:sz w:val="24"/>
          <w:szCs w:val="24"/>
        </w:rPr>
        <w:t xml:space="preserve">Pflichten der Achtung gegenüber Trägern </w:t>
      </w:r>
      <w:r>
        <w:rPr>
          <w:rFonts w:ascii="Times New Roman" w:hAnsi="Times New Roman"/>
          <w:sz w:val="24"/>
          <w:szCs w:val="24"/>
        </w:rPr>
        <w:t>und Repräsentanten der Souveränität</w:t>
      </w:r>
      <w:r w:rsidR="008A316B" w:rsidRPr="001413B5">
        <w:rPr>
          <w:rFonts w:ascii="Times New Roman" w:hAnsi="Times New Roman"/>
          <w:sz w:val="24"/>
          <w:szCs w:val="24"/>
        </w:rPr>
        <w:t xml:space="preserve"> naturrechtlich</w:t>
      </w:r>
      <w:r w:rsidR="009C5B57">
        <w:rPr>
          <w:rFonts w:ascii="Times New Roman" w:hAnsi="Times New Roman"/>
          <w:sz w:val="24"/>
          <w:szCs w:val="24"/>
        </w:rPr>
        <w:t xml:space="preserve"> begründet werden können. Denn solche </w:t>
      </w:r>
      <w:r w:rsidR="008A316B" w:rsidRPr="001413B5">
        <w:rPr>
          <w:rFonts w:ascii="Times New Roman" w:hAnsi="Times New Roman"/>
          <w:sz w:val="24"/>
          <w:szCs w:val="24"/>
        </w:rPr>
        <w:t>Achtungspflichten beruhen auf völkerrechtlichen Funk</w:t>
      </w:r>
      <w:r>
        <w:rPr>
          <w:rFonts w:ascii="Times New Roman" w:hAnsi="Times New Roman"/>
          <w:sz w:val="24"/>
          <w:szCs w:val="24"/>
        </w:rPr>
        <w:t>tionen von Amtsträgern, zu deren Erfüllung sie aufgrund von</w:t>
      </w:r>
      <w:r w:rsidR="008A316B" w:rsidRPr="001413B5">
        <w:rPr>
          <w:rFonts w:ascii="Times New Roman" w:hAnsi="Times New Roman"/>
          <w:sz w:val="24"/>
          <w:szCs w:val="24"/>
        </w:rPr>
        <w:t xml:space="preserve"> naturrechtlichen Überlegungen ein Recht haben. </w:t>
      </w:r>
      <w:r w:rsidR="001413B5" w:rsidRPr="001413B5">
        <w:rPr>
          <w:rFonts w:ascii="Times New Roman" w:hAnsi="Times New Roman"/>
          <w:sz w:val="24"/>
          <w:szCs w:val="24"/>
        </w:rPr>
        <w:t>Besold</w:t>
      </w:r>
      <w:r w:rsidR="00CE2618">
        <w:rPr>
          <w:rFonts w:ascii="Times New Roman" w:hAnsi="Times New Roman"/>
          <w:sz w:val="24"/>
          <w:szCs w:val="24"/>
        </w:rPr>
        <w:t xml:space="preserve"> erwähnt in diesem Zusammenhang den historischen</w:t>
      </w:r>
      <w:r w:rsidR="001413B5" w:rsidRPr="001413B5">
        <w:rPr>
          <w:rFonts w:ascii="Times New Roman" w:hAnsi="Times New Roman"/>
          <w:sz w:val="24"/>
          <w:szCs w:val="24"/>
        </w:rPr>
        <w:t xml:space="preserve"> Konflikt zwischen Burgund und Kurfürsten um </w:t>
      </w:r>
      <w:r w:rsidR="00CE2618">
        <w:rPr>
          <w:rFonts w:ascii="Times New Roman" w:hAnsi="Times New Roman"/>
          <w:sz w:val="24"/>
          <w:szCs w:val="24"/>
        </w:rPr>
        <w:t>die Rangordnung ihrer Botschafter. In diesem Konflikt nahm Burgund für sich in Anspruch, eine größere Macht zu besitzen als jedes andere Territorium in</w:t>
      </w:r>
      <w:r w:rsidR="001413B5" w:rsidRPr="001413B5">
        <w:rPr>
          <w:rFonts w:ascii="Times New Roman" w:hAnsi="Times New Roman"/>
          <w:sz w:val="24"/>
          <w:szCs w:val="24"/>
        </w:rPr>
        <w:t xml:space="preserve"> Frankreich und Deutschland</w:t>
      </w:r>
      <w:r w:rsidR="00CE2618">
        <w:rPr>
          <w:rFonts w:ascii="Times New Roman" w:hAnsi="Times New Roman"/>
          <w:sz w:val="24"/>
          <w:szCs w:val="24"/>
        </w:rPr>
        <w:t>. Als Gegenargument wurde die verfassungsrechtliche Funktion der Kurfürsten ins Feld geführt.</w:t>
      </w:r>
      <w:r w:rsidR="001413B5" w:rsidRPr="001413B5">
        <w:rPr>
          <w:rFonts w:ascii="Times New Roman" w:hAnsi="Times New Roman"/>
          <w:sz w:val="24"/>
          <w:szCs w:val="24"/>
        </w:rPr>
        <w:t xml:space="preserve"> Wie Besold feststellt, waren die Kurfürsten erfolgreich darin, die Achtung (</w:t>
      </w:r>
      <w:r w:rsidR="001413B5" w:rsidRPr="001413B5">
        <w:rPr>
          <w:rFonts w:ascii="Times New Roman" w:hAnsi="Times New Roman"/>
          <w:i/>
          <w:sz w:val="24"/>
          <w:szCs w:val="24"/>
        </w:rPr>
        <w:t>existimatio</w:t>
      </w:r>
      <w:r w:rsidR="001413B5" w:rsidRPr="001413B5">
        <w:rPr>
          <w:rFonts w:ascii="Times New Roman" w:hAnsi="Times New Roman"/>
          <w:sz w:val="24"/>
          <w:szCs w:val="24"/>
        </w:rPr>
        <w:t>), in der sie gehalten wurden, erfolgreich zu verteidigen.</w:t>
      </w:r>
      <w:r w:rsidR="001413B5" w:rsidRPr="001413B5">
        <w:rPr>
          <w:rStyle w:val="Funotenzeichen"/>
          <w:rFonts w:ascii="Times New Roman" w:hAnsi="Times New Roman"/>
          <w:sz w:val="24"/>
          <w:szCs w:val="24"/>
        </w:rPr>
        <w:footnoteReference w:id="85"/>
      </w:r>
      <w:r w:rsidR="001F1835">
        <w:rPr>
          <w:rFonts w:ascii="Times New Roman" w:hAnsi="Times New Roman"/>
          <w:sz w:val="24"/>
          <w:szCs w:val="24"/>
        </w:rPr>
        <w:t xml:space="preserve"> Nach Besolds Analyse</w:t>
      </w:r>
      <w:r w:rsidR="00CE2618">
        <w:rPr>
          <w:rFonts w:ascii="Times New Roman" w:hAnsi="Times New Roman"/>
          <w:sz w:val="24"/>
          <w:szCs w:val="24"/>
        </w:rPr>
        <w:t xml:space="preserve"> kommt im Ausgang dieser Kontroverse eine</w:t>
      </w:r>
      <w:r w:rsidR="001413B5" w:rsidRPr="001413B5">
        <w:rPr>
          <w:rFonts w:ascii="Times New Roman" w:hAnsi="Times New Roman"/>
          <w:sz w:val="24"/>
          <w:szCs w:val="24"/>
        </w:rPr>
        <w:t xml:space="preserve"> Auffassung von Rangordnung zum Ausdruck, die sich</w:t>
      </w:r>
      <w:r w:rsidR="00E25D40">
        <w:rPr>
          <w:rFonts w:ascii="Times New Roman" w:hAnsi="Times New Roman"/>
          <w:sz w:val="24"/>
          <w:szCs w:val="24"/>
        </w:rPr>
        <w:t xml:space="preserve"> nicht an der Macht von Personen oder Dynastien</w:t>
      </w:r>
      <w:r w:rsidR="001413B5" w:rsidRPr="001413B5">
        <w:rPr>
          <w:rFonts w:ascii="Times New Roman" w:hAnsi="Times New Roman"/>
          <w:sz w:val="24"/>
          <w:szCs w:val="24"/>
        </w:rPr>
        <w:t xml:space="preserve"> orientiert, sonder</w:t>
      </w:r>
      <w:r>
        <w:rPr>
          <w:rFonts w:ascii="Times New Roman" w:hAnsi="Times New Roman"/>
          <w:sz w:val="24"/>
          <w:szCs w:val="24"/>
        </w:rPr>
        <w:t>n an Ämtern oder verfassungsrechtlichen</w:t>
      </w:r>
      <w:r w:rsidR="001413B5" w:rsidRPr="001413B5">
        <w:rPr>
          <w:rFonts w:ascii="Times New Roman" w:hAnsi="Times New Roman"/>
          <w:sz w:val="24"/>
          <w:szCs w:val="24"/>
        </w:rPr>
        <w:t xml:space="preserve"> Funktionen</w:t>
      </w:r>
      <w:r w:rsidR="00E25D40">
        <w:rPr>
          <w:rFonts w:ascii="Times New Roman" w:hAnsi="Times New Roman"/>
          <w:sz w:val="24"/>
          <w:szCs w:val="24"/>
        </w:rPr>
        <w:t>.</w:t>
      </w:r>
      <w:r w:rsidR="001F1835">
        <w:rPr>
          <w:rStyle w:val="Funotenzeichen"/>
          <w:rFonts w:ascii="Times New Roman" w:hAnsi="Times New Roman"/>
          <w:sz w:val="24"/>
          <w:szCs w:val="24"/>
        </w:rPr>
        <w:footnoteReference w:id="86"/>
      </w:r>
      <w:r>
        <w:rPr>
          <w:rFonts w:ascii="Times New Roman" w:hAnsi="Times New Roman"/>
          <w:sz w:val="24"/>
          <w:szCs w:val="24"/>
        </w:rPr>
        <w:t xml:space="preserve"> In seinen Augen lässt</w:t>
      </w:r>
      <w:r w:rsidR="00E25D40">
        <w:rPr>
          <w:rFonts w:ascii="Times New Roman" w:hAnsi="Times New Roman"/>
          <w:sz w:val="24"/>
          <w:szCs w:val="24"/>
        </w:rPr>
        <w:t xml:space="preserve"> sich daraus die Berechtigung g</w:t>
      </w:r>
      <w:r w:rsidR="001413B5" w:rsidRPr="001413B5">
        <w:rPr>
          <w:rFonts w:ascii="Times New Roman" w:hAnsi="Times New Roman"/>
          <w:sz w:val="24"/>
          <w:szCs w:val="24"/>
        </w:rPr>
        <w:t>raduelle</w:t>
      </w:r>
      <w:r w:rsidR="00E25D40">
        <w:rPr>
          <w:rFonts w:ascii="Times New Roman" w:hAnsi="Times New Roman"/>
          <w:sz w:val="24"/>
          <w:szCs w:val="24"/>
        </w:rPr>
        <w:t>r</w:t>
      </w:r>
      <w:r w:rsidR="001413B5" w:rsidRPr="001413B5">
        <w:rPr>
          <w:rFonts w:ascii="Times New Roman" w:hAnsi="Times New Roman"/>
          <w:sz w:val="24"/>
          <w:szCs w:val="24"/>
        </w:rPr>
        <w:t xml:space="preserve"> Abstufungen der Würde</w:t>
      </w:r>
      <w:r>
        <w:rPr>
          <w:rFonts w:ascii="Times New Roman" w:hAnsi="Times New Roman"/>
          <w:sz w:val="24"/>
          <w:szCs w:val="24"/>
        </w:rPr>
        <w:t xml:space="preserve"> ableiten</w:t>
      </w:r>
      <w:r w:rsidR="001413B5" w:rsidRPr="001413B5">
        <w:rPr>
          <w:rFonts w:ascii="Times New Roman" w:hAnsi="Times New Roman"/>
          <w:sz w:val="24"/>
          <w:szCs w:val="24"/>
        </w:rPr>
        <w:t xml:space="preserve">: </w:t>
      </w:r>
    </w:p>
    <w:p w14:paraId="4C6E4D35" w14:textId="77777777" w:rsidR="00E25D40" w:rsidRDefault="00E25D40" w:rsidP="00E25D40">
      <w:pPr>
        <w:spacing w:after="0" w:line="360" w:lineRule="auto"/>
        <w:jc w:val="both"/>
        <w:rPr>
          <w:rFonts w:ascii="Times New Roman" w:hAnsi="Times New Roman"/>
          <w:sz w:val="24"/>
          <w:szCs w:val="24"/>
        </w:rPr>
      </w:pPr>
    </w:p>
    <w:p w14:paraId="3E94D4F4" w14:textId="77777777" w:rsidR="00E25D40" w:rsidRPr="00E25D40" w:rsidRDefault="001413B5" w:rsidP="00E25D40">
      <w:pPr>
        <w:spacing w:after="0" w:line="360" w:lineRule="auto"/>
        <w:jc w:val="both"/>
        <w:rPr>
          <w:rFonts w:ascii="Times New Roman" w:hAnsi="Times New Roman"/>
          <w:sz w:val="20"/>
          <w:szCs w:val="20"/>
        </w:rPr>
      </w:pPr>
      <w:r w:rsidRPr="00E25D40">
        <w:rPr>
          <w:rFonts w:ascii="Times New Roman" w:hAnsi="Times New Roman"/>
          <w:sz w:val="20"/>
          <w:szCs w:val="20"/>
        </w:rPr>
        <w:t>„Stände und graduelle Abstufungen an Würde sind zum öffentlichen Nutzen eingeführt, in der Weise, dass, solange der Geringere nicht danach strebt, dem Höheren vorgezogen zu werden, sondern jeder seinen Grad einnimmt, die menschliche Gesellschaft in Frieden und Eintracht bewahrt wird …“</w:t>
      </w:r>
      <w:r w:rsidRPr="00E25D40">
        <w:rPr>
          <w:rStyle w:val="Funotenzeichen"/>
          <w:rFonts w:ascii="Times New Roman" w:hAnsi="Times New Roman"/>
          <w:sz w:val="20"/>
          <w:szCs w:val="20"/>
        </w:rPr>
        <w:footnoteReference w:id="87"/>
      </w:r>
      <w:r w:rsidRPr="00E25D40">
        <w:rPr>
          <w:rFonts w:ascii="Times New Roman" w:hAnsi="Times New Roman"/>
          <w:sz w:val="20"/>
          <w:szCs w:val="20"/>
        </w:rPr>
        <w:t xml:space="preserve"> </w:t>
      </w:r>
    </w:p>
    <w:p w14:paraId="6EBA614A" w14:textId="77777777" w:rsidR="00E25D40" w:rsidRDefault="00E25D40" w:rsidP="00E25D40">
      <w:pPr>
        <w:spacing w:after="0" w:line="360" w:lineRule="auto"/>
        <w:jc w:val="both"/>
        <w:rPr>
          <w:rFonts w:ascii="Times New Roman" w:hAnsi="Times New Roman"/>
          <w:sz w:val="24"/>
          <w:szCs w:val="24"/>
        </w:rPr>
      </w:pPr>
    </w:p>
    <w:p w14:paraId="7F334D1D" w14:textId="77777777" w:rsidR="00E25D40" w:rsidRDefault="00933AEC" w:rsidP="001413B5">
      <w:pPr>
        <w:spacing w:after="0" w:line="360" w:lineRule="auto"/>
        <w:jc w:val="both"/>
        <w:rPr>
          <w:rFonts w:ascii="Times New Roman" w:hAnsi="Times New Roman"/>
          <w:sz w:val="24"/>
          <w:szCs w:val="24"/>
        </w:rPr>
      </w:pPr>
      <w:r>
        <w:rPr>
          <w:rFonts w:ascii="Times New Roman" w:hAnsi="Times New Roman"/>
          <w:sz w:val="24"/>
          <w:szCs w:val="24"/>
        </w:rPr>
        <w:t>Aus diesem Grund</w:t>
      </w:r>
      <w:r w:rsidR="001413B5" w:rsidRPr="001413B5">
        <w:rPr>
          <w:rFonts w:ascii="Times New Roman" w:hAnsi="Times New Roman"/>
          <w:sz w:val="24"/>
          <w:szCs w:val="24"/>
        </w:rPr>
        <w:t xml:space="preserve"> hält Besold dafür, dass </w:t>
      </w:r>
      <w:r w:rsidR="00E25D40">
        <w:rPr>
          <w:rFonts w:ascii="Times New Roman" w:hAnsi="Times New Roman"/>
          <w:sz w:val="24"/>
          <w:szCs w:val="24"/>
        </w:rPr>
        <w:t xml:space="preserve">bei politischen Verhandlungen </w:t>
      </w:r>
      <w:r w:rsidR="001413B5" w:rsidRPr="001413B5">
        <w:rPr>
          <w:rFonts w:ascii="Times New Roman" w:hAnsi="Times New Roman"/>
          <w:sz w:val="24"/>
          <w:szCs w:val="24"/>
        </w:rPr>
        <w:t>ein Vorgehen nach dem Grad an Würde zugleich zum Naturrecht und zum öffentlichen Recht gehört.</w:t>
      </w:r>
      <w:r w:rsidR="00E25D40">
        <w:rPr>
          <w:rStyle w:val="Funotenzeichen"/>
          <w:rFonts w:ascii="Times New Roman" w:hAnsi="Times New Roman"/>
          <w:sz w:val="24"/>
          <w:szCs w:val="24"/>
        </w:rPr>
        <w:footnoteReference w:id="88"/>
      </w:r>
    </w:p>
    <w:p w14:paraId="6E224DD7" w14:textId="77777777" w:rsidR="001413B5" w:rsidRPr="001413B5" w:rsidRDefault="001413B5" w:rsidP="00E25D40">
      <w:pPr>
        <w:spacing w:after="0" w:line="360" w:lineRule="auto"/>
        <w:ind w:firstLine="708"/>
        <w:jc w:val="both"/>
        <w:rPr>
          <w:rFonts w:ascii="Times New Roman" w:hAnsi="Times New Roman"/>
          <w:sz w:val="24"/>
          <w:szCs w:val="24"/>
        </w:rPr>
      </w:pPr>
      <w:r w:rsidRPr="001413B5">
        <w:rPr>
          <w:rFonts w:ascii="Times New Roman" w:hAnsi="Times New Roman"/>
          <w:sz w:val="24"/>
          <w:szCs w:val="24"/>
        </w:rPr>
        <w:t>Auch bei Leibniz findet sich die Auffassung des Völkerrechts au</w:t>
      </w:r>
      <w:r w:rsidR="00E25D40">
        <w:rPr>
          <w:rFonts w:ascii="Times New Roman" w:hAnsi="Times New Roman"/>
          <w:sz w:val="24"/>
          <w:szCs w:val="24"/>
        </w:rPr>
        <w:t>s Ausdruck natürlicher Vernunft:</w:t>
      </w:r>
    </w:p>
    <w:p w14:paraId="35111822" w14:textId="77777777" w:rsidR="00E25D40" w:rsidRDefault="00E25D40" w:rsidP="001413B5">
      <w:pPr>
        <w:spacing w:after="0" w:line="360" w:lineRule="auto"/>
        <w:jc w:val="both"/>
        <w:rPr>
          <w:rFonts w:ascii="Times New Roman" w:hAnsi="Times New Roman"/>
          <w:sz w:val="24"/>
          <w:szCs w:val="24"/>
        </w:rPr>
      </w:pPr>
    </w:p>
    <w:p w14:paraId="6BD7A0E6" w14:textId="77777777" w:rsidR="001413B5" w:rsidRPr="00E25D40" w:rsidRDefault="001413B5" w:rsidP="001413B5">
      <w:pPr>
        <w:spacing w:after="0" w:line="360" w:lineRule="auto"/>
        <w:jc w:val="both"/>
        <w:rPr>
          <w:rFonts w:ascii="Times New Roman" w:hAnsi="Times New Roman"/>
          <w:sz w:val="20"/>
          <w:szCs w:val="20"/>
        </w:rPr>
      </w:pPr>
      <w:r w:rsidRPr="00E25D40">
        <w:rPr>
          <w:rFonts w:ascii="Times New Roman" w:hAnsi="Times New Roman"/>
          <w:sz w:val="20"/>
          <w:szCs w:val="20"/>
        </w:rPr>
        <w:t>„In diesem Sinn pflegt man zu sagen, Botschafter seien unverletzlich. Denn wer gesandt wird, um Verhandlungen zu führen, genießt Immunität, die vom Völkerrecht akzeptiert und von der natürlichen Vernunft eingeführt wurde</w:t>
      </w:r>
      <w:r w:rsidR="00E25D40" w:rsidRPr="00E25D40">
        <w:rPr>
          <w:rFonts w:ascii="Times New Roman" w:hAnsi="Times New Roman"/>
          <w:sz w:val="20"/>
          <w:szCs w:val="20"/>
        </w:rPr>
        <w:t>.</w:t>
      </w:r>
      <w:r w:rsidRPr="00E25D40">
        <w:rPr>
          <w:rFonts w:ascii="Times New Roman" w:hAnsi="Times New Roman"/>
          <w:sz w:val="20"/>
          <w:szCs w:val="20"/>
        </w:rPr>
        <w:t xml:space="preserve"> </w:t>
      </w:r>
      <w:r w:rsidR="00E25D40" w:rsidRPr="00E25D40">
        <w:rPr>
          <w:rFonts w:ascii="Times New Roman" w:hAnsi="Times New Roman"/>
          <w:sz w:val="20"/>
          <w:szCs w:val="20"/>
        </w:rPr>
        <w:t>[</w:t>
      </w:r>
      <w:r w:rsidRPr="00E25D40">
        <w:rPr>
          <w:rFonts w:ascii="Times New Roman" w:hAnsi="Times New Roman"/>
          <w:sz w:val="20"/>
          <w:szCs w:val="20"/>
        </w:rPr>
        <w:t>…</w:t>
      </w:r>
      <w:r w:rsidR="00E25D40" w:rsidRPr="00E25D40">
        <w:rPr>
          <w:rFonts w:ascii="Times New Roman" w:hAnsi="Times New Roman"/>
          <w:sz w:val="20"/>
          <w:szCs w:val="20"/>
        </w:rPr>
        <w:t>]</w:t>
      </w:r>
      <w:r w:rsidRPr="00E25D40">
        <w:rPr>
          <w:rFonts w:ascii="Times New Roman" w:hAnsi="Times New Roman"/>
          <w:sz w:val="20"/>
          <w:szCs w:val="20"/>
        </w:rPr>
        <w:t xml:space="preserve"> Denn natürliche Vernunft verlangt, dass das Vermögen der Ortsbewegung frei sei; andernfalls, wenn diese Möglichkeit, Vertrauen aufzubauen fortfällt, ist kein </w:t>
      </w:r>
      <w:r w:rsidR="00933AEC">
        <w:rPr>
          <w:rFonts w:ascii="Times New Roman" w:hAnsi="Times New Roman"/>
          <w:sz w:val="20"/>
          <w:szCs w:val="20"/>
        </w:rPr>
        <w:t>Heilmittel gegen</w:t>
      </w:r>
      <w:r w:rsidRPr="00E25D40">
        <w:rPr>
          <w:rFonts w:ascii="Times New Roman" w:hAnsi="Times New Roman"/>
          <w:sz w:val="20"/>
          <w:szCs w:val="20"/>
        </w:rPr>
        <w:t xml:space="preserve"> das Gleiten ins Übel und das Schwären vernünftiger Seelen zu finden.“</w:t>
      </w:r>
      <w:r w:rsidRPr="00E25D40">
        <w:rPr>
          <w:rStyle w:val="Funotenzeichen"/>
          <w:rFonts w:ascii="Times New Roman" w:hAnsi="Times New Roman"/>
          <w:sz w:val="20"/>
          <w:szCs w:val="20"/>
        </w:rPr>
        <w:footnoteReference w:id="89"/>
      </w:r>
      <w:r w:rsidRPr="00E25D40">
        <w:rPr>
          <w:rFonts w:ascii="Times New Roman" w:hAnsi="Times New Roman"/>
          <w:sz w:val="20"/>
          <w:szCs w:val="20"/>
        </w:rPr>
        <w:t xml:space="preserve"> </w:t>
      </w:r>
    </w:p>
    <w:p w14:paraId="4A447B82" w14:textId="77777777" w:rsidR="001413B5" w:rsidRPr="001413B5" w:rsidRDefault="001413B5" w:rsidP="001413B5">
      <w:pPr>
        <w:spacing w:after="0" w:line="360" w:lineRule="auto"/>
        <w:jc w:val="both"/>
        <w:rPr>
          <w:rFonts w:ascii="Times New Roman" w:hAnsi="Times New Roman"/>
          <w:sz w:val="24"/>
          <w:szCs w:val="24"/>
        </w:rPr>
      </w:pPr>
    </w:p>
    <w:p w14:paraId="4043100E" w14:textId="77777777" w:rsidR="001413B5" w:rsidRPr="001413B5" w:rsidRDefault="00DD1A71" w:rsidP="001413B5">
      <w:pPr>
        <w:spacing w:after="0" w:line="360" w:lineRule="auto"/>
        <w:jc w:val="both"/>
        <w:rPr>
          <w:rFonts w:ascii="Times New Roman" w:hAnsi="Times New Roman"/>
          <w:sz w:val="24"/>
          <w:szCs w:val="24"/>
        </w:rPr>
      </w:pPr>
      <w:r>
        <w:rPr>
          <w:rFonts w:ascii="Times New Roman" w:hAnsi="Times New Roman"/>
          <w:sz w:val="24"/>
          <w:szCs w:val="24"/>
        </w:rPr>
        <w:t xml:space="preserve">Dabei schließt die Unverletzlichkeit der Gesandten nicht nur den Schutz vor physischem Schaden, sondern auch den Schutz vor </w:t>
      </w:r>
      <w:r w:rsidRPr="001413B5">
        <w:rPr>
          <w:rFonts w:ascii="Times New Roman" w:hAnsi="Times New Roman"/>
          <w:sz w:val="24"/>
          <w:szCs w:val="24"/>
        </w:rPr>
        <w:t>Ehrverletzung</w:t>
      </w:r>
      <w:r>
        <w:rPr>
          <w:rFonts w:ascii="Times New Roman" w:hAnsi="Times New Roman"/>
          <w:sz w:val="24"/>
          <w:szCs w:val="24"/>
        </w:rPr>
        <w:t xml:space="preserve"> (</w:t>
      </w:r>
      <w:proofErr w:type="spellStart"/>
      <w:r w:rsidRPr="00ED455C">
        <w:rPr>
          <w:rFonts w:ascii="Times New Roman" w:hAnsi="Times New Roman"/>
          <w:i/>
          <w:sz w:val="24"/>
          <w:szCs w:val="24"/>
        </w:rPr>
        <w:t>contumelia</w:t>
      </w:r>
      <w:proofErr w:type="spellEnd"/>
      <w:r>
        <w:rPr>
          <w:rFonts w:ascii="Times New Roman" w:hAnsi="Times New Roman"/>
          <w:sz w:val="24"/>
          <w:szCs w:val="24"/>
        </w:rPr>
        <w:t>) mit ein</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90"/>
      </w:r>
      <w:r w:rsidR="00E25D40">
        <w:rPr>
          <w:rFonts w:ascii="Times New Roman" w:hAnsi="Times New Roman"/>
          <w:sz w:val="24"/>
          <w:szCs w:val="24"/>
        </w:rPr>
        <w:t xml:space="preserve"> Wie Leibniz erläutert, besteht Ehre in Meinung und Gewohnheiten, wobei die relevante Meinung als eine</w:t>
      </w:r>
      <w:r w:rsidR="001413B5" w:rsidRPr="001413B5">
        <w:rPr>
          <w:rFonts w:ascii="Times New Roman" w:hAnsi="Times New Roman"/>
          <w:sz w:val="24"/>
          <w:szCs w:val="24"/>
        </w:rPr>
        <w:t xml:space="preserve"> Einschätzung der Würde (</w:t>
      </w:r>
      <w:r w:rsidR="001413B5" w:rsidRPr="001413B5">
        <w:rPr>
          <w:rFonts w:ascii="Times New Roman" w:hAnsi="Times New Roman"/>
          <w:i/>
          <w:sz w:val="24"/>
          <w:szCs w:val="24"/>
        </w:rPr>
        <w:t>aestimatio dignitatis</w:t>
      </w:r>
      <w:r w:rsidR="001413B5" w:rsidRPr="001413B5">
        <w:rPr>
          <w:rFonts w:ascii="Times New Roman" w:hAnsi="Times New Roman"/>
          <w:sz w:val="24"/>
          <w:szCs w:val="24"/>
        </w:rPr>
        <w:t>)</w:t>
      </w:r>
      <w:r w:rsidR="00E25D40">
        <w:rPr>
          <w:rFonts w:ascii="Times New Roman" w:hAnsi="Times New Roman"/>
          <w:sz w:val="24"/>
          <w:szCs w:val="24"/>
        </w:rPr>
        <w:t xml:space="preserve"> beschrieben werden kann</w:t>
      </w:r>
      <w:r w:rsidR="001413B5" w:rsidRPr="001413B5">
        <w:rPr>
          <w:rFonts w:ascii="Times New Roman" w:hAnsi="Times New Roman"/>
          <w:sz w:val="24"/>
          <w:szCs w:val="24"/>
        </w:rPr>
        <w:t>.</w:t>
      </w:r>
      <w:r w:rsidR="001413B5" w:rsidRPr="001413B5">
        <w:rPr>
          <w:rStyle w:val="Funotenzeichen"/>
          <w:rFonts w:ascii="Times New Roman" w:hAnsi="Times New Roman"/>
          <w:sz w:val="24"/>
          <w:szCs w:val="24"/>
        </w:rPr>
        <w:footnoteReference w:id="91"/>
      </w:r>
      <w:r>
        <w:rPr>
          <w:rFonts w:ascii="Times New Roman" w:hAnsi="Times New Roman"/>
          <w:sz w:val="24"/>
          <w:szCs w:val="24"/>
        </w:rPr>
        <w:t xml:space="preserve"> Er erklärt auch</w:t>
      </w:r>
      <w:r w:rsidR="00E25D40">
        <w:rPr>
          <w:rFonts w:ascii="Times New Roman" w:hAnsi="Times New Roman"/>
          <w:sz w:val="24"/>
          <w:szCs w:val="24"/>
        </w:rPr>
        <w:t xml:space="preserve"> weshalb</w:t>
      </w:r>
      <w:r w:rsidR="001413B5" w:rsidRPr="001413B5">
        <w:rPr>
          <w:rFonts w:ascii="Times New Roman" w:hAnsi="Times New Roman"/>
          <w:sz w:val="24"/>
          <w:szCs w:val="24"/>
        </w:rPr>
        <w:t xml:space="preserve"> Ehrverletzungen gegenüber Souveränen und d</w:t>
      </w:r>
      <w:r w:rsidR="00E25D40">
        <w:rPr>
          <w:rFonts w:ascii="Times New Roman" w:hAnsi="Times New Roman"/>
          <w:sz w:val="24"/>
          <w:szCs w:val="24"/>
        </w:rPr>
        <w:t>eren Ges</w:t>
      </w:r>
      <w:r w:rsidR="009C6039">
        <w:rPr>
          <w:rFonts w:ascii="Times New Roman" w:hAnsi="Times New Roman"/>
          <w:sz w:val="24"/>
          <w:szCs w:val="24"/>
        </w:rPr>
        <w:t>andten zum Völkerrecht gehören:</w:t>
      </w:r>
      <w:r>
        <w:rPr>
          <w:rFonts w:ascii="Times New Roman" w:hAnsi="Times New Roman"/>
          <w:sz w:val="24"/>
          <w:szCs w:val="24"/>
        </w:rPr>
        <w:t xml:space="preserve"> S</w:t>
      </w:r>
      <w:r w:rsidR="00E25D40">
        <w:rPr>
          <w:rFonts w:ascii="Times New Roman" w:hAnsi="Times New Roman"/>
          <w:sz w:val="24"/>
          <w:szCs w:val="24"/>
        </w:rPr>
        <w:t>olche Ehrverletzungen</w:t>
      </w:r>
      <w:r>
        <w:rPr>
          <w:rFonts w:ascii="Times New Roman" w:hAnsi="Times New Roman"/>
          <w:sz w:val="24"/>
          <w:szCs w:val="24"/>
        </w:rPr>
        <w:t xml:space="preserve"> führen</w:t>
      </w:r>
      <w:r w:rsidR="001413B5" w:rsidRPr="001413B5">
        <w:rPr>
          <w:rFonts w:ascii="Times New Roman" w:hAnsi="Times New Roman"/>
          <w:sz w:val="24"/>
          <w:szCs w:val="24"/>
        </w:rPr>
        <w:t xml:space="preserve"> zu einer feindseligen Geisteshaltung und zum Wunsch nach Vergeltung</w:t>
      </w:r>
      <w:r w:rsidR="00E25D40">
        <w:rPr>
          <w:rFonts w:ascii="Times New Roman" w:hAnsi="Times New Roman"/>
          <w:sz w:val="24"/>
          <w:szCs w:val="24"/>
        </w:rPr>
        <w:t xml:space="preserve">, und </w:t>
      </w:r>
      <w:r w:rsidR="001413B5" w:rsidRPr="001413B5">
        <w:rPr>
          <w:rFonts w:ascii="Times New Roman" w:hAnsi="Times New Roman"/>
          <w:sz w:val="24"/>
          <w:szCs w:val="24"/>
        </w:rPr>
        <w:t>damit letztlich zu Kriegen, die zu verhindern das Ziel des Völkerrechts ist.</w:t>
      </w:r>
      <w:r w:rsidR="001413B5" w:rsidRPr="001413B5">
        <w:rPr>
          <w:rStyle w:val="Funotenzeichen"/>
          <w:rFonts w:ascii="Times New Roman" w:hAnsi="Times New Roman"/>
          <w:sz w:val="24"/>
          <w:szCs w:val="24"/>
        </w:rPr>
        <w:footnoteReference w:id="92"/>
      </w:r>
      <w:r w:rsidR="00E25D40">
        <w:rPr>
          <w:rFonts w:ascii="Times New Roman" w:hAnsi="Times New Roman"/>
          <w:sz w:val="24"/>
          <w:szCs w:val="24"/>
        </w:rPr>
        <w:t xml:space="preserve"> Auch kann d</w:t>
      </w:r>
      <w:r w:rsidR="00E25D40" w:rsidRPr="001413B5">
        <w:rPr>
          <w:rFonts w:ascii="Times New Roman" w:hAnsi="Times New Roman"/>
          <w:sz w:val="24"/>
          <w:szCs w:val="24"/>
        </w:rPr>
        <w:t xml:space="preserve">ie Verweigerung der Anerkennung von Gesandten </w:t>
      </w:r>
      <w:r w:rsidR="00933AEC">
        <w:rPr>
          <w:rFonts w:ascii="Times New Roman" w:hAnsi="Times New Roman"/>
          <w:sz w:val="24"/>
          <w:szCs w:val="24"/>
        </w:rPr>
        <w:t xml:space="preserve">als Botschaftern </w:t>
      </w:r>
      <w:r w:rsidR="00E25D40" w:rsidRPr="001413B5">
        <w:rPr>
          <w:rFonts w:ascii="Times New Roman" w:hAnsi="Times New Roman"/>
          <w:sz w:val="24"/>
          <w:szCs w:val="24"/>
        </w:rPr>
        <w:t>einen Friedensschluss verzögern, wie sich in den langwierigen Verhandlungen, die dem Westfälischen Frieden voran</w:t>
      </w:r>
      <w:r w:rsidR="00933AEC">
        <w:rPr>
          <w:rFonts w:ascii="Times New Roman" w:hAnsi="Times New Roman"/>
          <w:sz w:val="24"/>
          <w:szCs w:val="24"/>
        </w:rPr>
        <w:t>gegangen sind, beobachten lässt.</w:t>
      </w:r>
      <w:r w:rsidR="00E25D40" w:rsidRPr="001413B5">
        <w:rPr>
          <w:rFonts w:ascii="Times New Roman" w:hAnsi="Times New Roman"/>
          <w:sz w:val="24"/>
          <w:szCs w:val="24"/>
        </w:rPr>
        <w:t xml:space="preserve"> Dort brachte die Weigerung, die Braunschweigischen Gesandten als Botschafter anzuerkennen, die Verhandlungen zum Stocken.</w:t>
      </w:r>
      <w:r w:rsidR="00E25D40" w:rsidRPr="001413B5">
        <w:rPr>
          <w:rStyle w:val="Funotenzeichen"/>
          <w:rFonts w:ascii="Times New Roman" w:hAnsi="Times New Roman"/>
          <w:sz w:val="24"/>
          <w:szCs w:val="24"/>
        </w:rPr>
        <w:footnoteReference w:id="93"/>
      </w:r>
      <w:r w:rsidR="00E25D40">
        <w:rPr>
          <w:rFonts w:ascii="Times New Roman" w:hAnsi="Times New Roman"/>
          <w:sz w:val="24"/>
          <w:szCs w:val="24"/>
        </w:rPr>
        <w:t xml:space="preserve"> Umgekehrt ist die Beachtung gleichen</w:t>
      </w:r>
      <w:r w:rsidR="001413B5" w:rsidRPr="001413B5">
        <w:rPr>
          <w:rFonts w:ascii="Times New Roman" w:hAnsi="Times New Roman"/>
          <w:sz w:val="24"/>
          <w:szCs w:val="24"/>
        </w:rPr>
        <w:t xml:space="preserve"> Recht</w:t>
      </w:r>
      <w:r w:rsidR="00E25D40">
        <w:rPr>
          <w:rFonts w:ascii="Times New Roman" w:hAnsi="Times New Roman"/>
          <w:sz w:val="24"/>
          <w:szCs w:val="24"/>
        </w:rPr>
        <w:t>s</w:t>
      </w:r>
      <w:r w:rsidR="001413B5" w:rsidRPr="001413B5">
        <w:rPr>
          <w:rFonts w:ascii="Times New Roman" w:hAnsi="Times New Roman"/>
          <w:sz w:val="24"/>
          <w:szCs w:val="24"/>
        </w:rPr>
        <w:t xml:space="preserve"> unter </w:t>
      </w:r>
      <w:r w:rsidR="00933AEC">
        <w:rPr>
          <w:rFonts w:ascii="Times New Roman" w:hAnsi="Times New Roman"/>
          <w:sz w:val="24"/>
          <w:szCs w:val="24"/>
        </w:rPr>
        <w:t xml:space="preserve">souveränen </w:t>
      </w:r>
      <w:r w:rsidR="001413B5" w:rsidRPr="001413B5">
        <w:rPr>
          <w:rFonts w:ascii="Times New Roman" w:hAnsi="Times New Roman"/>
          <w:sz w:val="24"/>
          <w:szCs w:val="24"/>
        </w:rPr>
        <w:t>Gemein</w:t>
      </w:r>
      <w:r w:rsidR="00933AEC">
        <w:rPr>
          <w:rFonts w:ascii="Times New Roman" w:hAnsi="Times New Roman"/>
          <w:sz w:val="24"/>
          <w:szCs w:val="24"/>
        </w:rPr>
        <w:t>wesen</w:t>
      </w:r>
      <w:r w:rsidR="00E25D40">
        <w:rPr>
          <w:rFonts w:ascii="Times New Roman" w:hAnsi="Times New Roman"/>
          <w:sz w:val="24"/>
          <w:szCs w:val="24"/>
        </w:rPr>
        <w:t xml:space="preserve"> eine</w:t>
      </w:r>
      <w:r w:rsidR="001413B5" w:rsidRPr="001413B5">
        <w:rPr>
          <w:rFonts w:ascii="Times New Roman" w:hAnsi="Times New Roman"/>
          <w:sz w:val="24"/>
          <w:szCs w:val="24"/>
        </w:rPr>
        <w:t xml:space="preserve"> der Grundlagen eines allgemeinen Friedens, weil dadurch vermieden wird, die Samen neuen Hasses zu säen.</w:t>
      </w:r>
      <w:r w:rsidR="001413B5" w:rsidRPr="001413B5">
        <w:rPr>
          <w:rStyle w:val="Funotenzeichen"/>
          <w:rFonts w:ascii="Times New Roman" w:hAnsi="Times New Roman"/>
          <w:sz w:val="24"/>
          <w:szCs w:val="24"/>
        </w:rPr>
        <w:footnoteReference w:id="94"/>
      </w:r>
      <w:r w:rsidR="00E25D40">
        <w:rPr>
          <w:rFonts w:ascii="Times New Roman" w:hAnsi="Times New Roman"/>
          <w:sz w:val="24"/>
          <w:szCs w:val="24"/>
        </w:rPr>
        <w:t xml:space="preserve"> In diesem Sinn ist die Erfüllung von Achtungspflichten gegenüber den Reprä</w:t>
      </w:r>
      <w:r w:rsidR="002C1399">
        <w:rPr>
          <w:rFonts w:ascii="Times New Roman" w:hAnsi="Times New Roman"/>
          <w:sz w:val="24"/>
          <w:szCs w:val="24"/>
        </w:rPr>
        <w:t>sentanten von</w:t>
      </w:r>
      <w:r w:rsidR="000F5B4D">
        <w:rPr>
          <w:rFonts w:ascii="Times New Roman" w:hAnsi="Times New Roman"/>
          <w:sz w:val="24"/>
          <w:szCs w:val="24"/>
        </w:rPr>
        <w:t xml:space="preserve"> Souveränen</w:t>
      </w:r>
      <w:r w:rsidR="004D7F18">
        <w:rPr>
          <w:rFonts w:ascii="Times New Roman" w:hAnsi="Times New Roman"/>
          <w:sz w:val="24"/>
          <w:szCs w:val="24"/>
        </w:rPr>
        <w:t xml:space="preserve"> ein notwendiger Faktor für die Erfüllung der naturrechtlich begründeten Funktion</w:t>
      </w:r>
      <w:r w:rsidR="009C6039">
        <w:rPr>
          <w:rFonts w:ascii="Times New Roman" w:hAnsi="Times New Roman"/>
          <w:sz w:val="24"/>
          <w:szCs w:val="24"/>
        </w:rPr>
        <w:t>en</w:t>
      </w:r>
      <w:r w:rsidR="004D7F18">
        <w:rPr>
          <w:rFonts w:ascii="Times New Roman" w:hAnsi="Times New Roman"/>
          <w:sz w:val="24"/>
          <w:szCs w:val="24"/>
        </w:rPr>
        <w:t xml:space="preserve"> des Völkerrechts.</w:t>
      </w:r>
      <w:r w:rsidR="00E25D40">
        <w:rPr>
          <w:rFonts w:ascii="Times New Roman" w:hAnsi="Times New Roman"/>
          <w:sz w:val="24"/>
          <w:szCs w:val="24"/>
        </w:rPr>
        <w:t xml:space="preserve"> </w:t>
      </w:r>
    </w:p>
    <w:p w14:paraId="67CBBD27" w14:textId="77777777" w:rsidR="00992B4F" w:rsidRDefault="00992B4F" w:rsidP="001413B5">
      <w:pPr>
        <w:spacing w:after="0" w:line="360" w:lineRule="auto"/>
        <w:jc w:val="both"/>
        <w:rPr>
          <w:rFonts w:ascii="Times New Roman" w:hAnsi="Times New Roman"/>
          <w:sz w:val="24"/>
          <w:szCs w:val="24"/>
        </w:rPr>
      </w:pPr>
    </w:p>
    <w:p w14:paraId="0E2479BB" w14:textId="77777777" w:rsidR="00992B4F" w:rsidRPr="001413B5" w:rsidRDefault="00513008" w:rsidP="001413B5">
      <w:pPr>
        <w:spacing w:after="0" w:line="360" w:lineRule="auto"/>
        <w:jc w:val="both"/>
        <w:rPr>
          <w:rFonts w:ascii="Times New Roman" w:hAnsi="Times New Roman"/>
          <w:sz w:val="24"/>
          <w:szCs w:val="24"/>
        </w:rPr>
      </w:pPr>
      <w:r>
        <w:rPr>
          <w:rFonts w:ascii="Times New Roman" w:hAnsi="Times New Roman"/>
          <w:sz w:val="24"/>
          <w:szCs w:val="24"/>
        </w:rPr>
        <w:t>6</w:t>
      </w:r>
      <w:r w:rsidR="009C3CFE" w:rsidRPr="001413B5">
        <w:rPr>
          <w:rFonts w:ascii="Times New Roman" w:hAnsi="Times New Roman"/>
          <w:sz w:val="24"/>
          <w:szCs w:val="24"/>
        </w:rPr>
        <w:t xml:space="preserve">. </w:t>
      </w:r>
      <w:r w:rsidR="00237453" w:rsidRPr="001413B5">
        <w:rPr>
          <w:rFonts w:ascii="Times New Roman" w:hAnsi="Times New Roman"/>
          <w:sz w:val="24"/>
          <w:szCs w:val="24"/>
        </w:rPr>
        <w:t>Schluss: Bündnisrecht und</w:t>
      </w:r>
      <w:r w:rsidR="00031D9C" w:rsidRPr="001413B5">
        <w:rPr>
          <w:rFonts w:ascii="Times New Roman" w:hAnsi="Times New Roman"/>
          <w:sz w:val="24"/>
          <w:szCs w:val="24"/>
        </w:rPr>
        <w:t xml:space="preserve"> </w:t>
      </w:r>
      <w:r w:rsidR="00353AE3">
        <w:rPr>
          <w:rFonts w:ascii="Times New Roman" w:hAnsi="Times New Roman"/>
          <w:sz w:val="24"/>
          <w:szCs w:val="24"/>
        </w:rPr>
        <w:t xml:space="preserve">die Natur von </w:t>
      </w:r>
      <w:r w:rsidR="00031D9C" w:rsidRPr="001413B5">
        <w:rPr>
          <w:rFonts w:ascii="Times New Roman" w:hAnsi="Times New Roman"/>
          <w:sz w:val="24"/>
          <w:szCs w:val="24"/>
        </w:rPr>
        <w:t>Souveränität</w:t>
      </w:r>
    </w:p>
    <w:p w14:paraId="285EB860" w14:textId="77777777" w:rsidR="00992B4F" w:rsidRPr="001413B5" w:rsidRDefault="00992B4F" w:rsidP="001413B5">
      <w:pPr>
        <w:spacing w:after="0" w:line="360" w:lineRule="auto"/>
        <w:jc w:val="both"/>
        <w:rPr>
          <w:rFonts w:ascii="Times New Roman" w:hAnsi="Times New Roman"/>
          <w:sz w:val="24"/>
          <w:szCs w:val="24"/>
        </w:rPr>
      </w:pPr>
    </w:p>
    <w:p w14:paraId="54D4129D" w14:textId="77777777" w:rsidR="008547AB" w:rsidRDefault="008547AB" w:rsidP="001413B5">
      <w:pPr>
        <w:spacing w:after="0" w:line="360" w:lineRule="auto"/>
        <w:jc w:val="both"/>
        <w:rPr>
          <w:rFonts w:ascii="Times New Roman" w:hAnsi="Times New Roman"/>
          <w:sz w:val="24"/>
          <w:szCs w:val="24"/>
        </w:rPr>
      </w:pPr>
      <w:r>
        <w:rPr>
          <w:rFonts w:ascii="Times New Roman" w:hAnsi="Times New Roman"/>
          <w:sz w:val="24"/>
          <w:szCs w:val="24"/>
        </w:rPr>
        <w:t>I</w:t>
      </w:r>
      <w:r w:rsidR="00ED455C">
        <w:rPr>
          <w:rFonts w:ascii="Times New Roman" w:hAnsi="Times New Roman"/>
          <w:sz w:val="24"/>
          <w:szCs w:val="24"/>
        </w:rPr>
        <w:t>n</w:t>
      </w:r>
      <w:r w:rsidR="00992B4F" w:rsidRPr="001413B5">
        <w:rPr>
          <w:rFonts w:ascii="Times New Roman" w:hAnsi="Times New Roman"/>
          <w:sz w:val="24"/>
          <w:szCs w:val="24"/>
        </w:rPr>
        <w:t xml:space="preserve"> Leibniz’ Behandlung des Bündnisrechts und seiner Bedeutung für den Souverä</w:t>
      </w:r>
      <w:r w:rsidR="00ED455C">
        <w:rPr>
          <w:rFonts w:ascii="Times New Roman" w:hAnsi="Times New Roman"/>
          <w:sz w:val="24"/>
          <w:szCs w:val="24"/>
        </w:rPr>
        <w:t>nitätsbegriff</w:t>
      </w:r>
      <w:r>
        <w:rPr>
          <w:rFonts w:ascii="Times New Roman" w:hAnsi="Times New Roman"/>
          <w:sz w:val="24"/>
          <w:szCs w:val="24"/>
        </w:rPr>
        <w:t xml:space="preserve"> lassen sich </w:t>
      </w:r>
      <w:r w:rsidR="00ED455C">
        <w:rPr>
          <w:rFonts w:ascii="Times New Roman" w:hAnsi="Times New Roman"/>
          <w:sz w:val="24"/>
          <w:szCs w:val="24"/>
        </w:rPr>
        <w:t xml:space="preserve">somit </w:t>
      </w:r>
      <w:r>
        <w:rPr>
          <w:rFonts w:ascii="Times New Roman" w:hAnsi="Times New Roman"/>
          <w:sz w:val="24"/>
          <w:szCs w:val="24"/>
        </w:rPr>
        <w:t>zwei divergierende Stränge unterscheiden</w:t>
      </w:r>
      <w:r w:rsidR="00EC211A" w:rsidRPr="001413B5">
        <w:rPr>
          <w:rFonts w:ascii="Times New Roman" w:hAnsi="Times New Roman"/>
          <w:sz w:val="24"/>
          <w:szCs w:val="24"/>
        </w:rPr>
        <w:t xml:space="preserve">: (1) </w:t>
      </w:r>
      <w:r w:rsidR="00992B4F" w:rsidRPr="001413B5">
        <w:rPr>
          <w:rFonts w:ascii="Times New Roman" w:hAnsi="Times New Roman"/>
          <w:sz w:val="24"/>
          <w:szCs w:val="24"/>
        </w:rPr>
        <w:t>Ein politisch motivierter Strang, der Souveränität auf mächtige deutsche Fürsten, die nicht Kurfürsten sind, ausdehnen will, aber gleichzeitig Reichs- und Hansestädte von den Souveränitätsrechten ausschließt.</w:t>
      </w:r>
      <w:r w:rsidR="00EC211A" w:rsidRPr="001413B5">
        <w:rPr>
          <w:rFonts w:ascii="Times New Roman" w:hAnsi="Times New Roman"/>
          <w:sz w:val="24"/>
          <w:szCs w:val="24"/>
        </w:rPr>
        <w:t xml:space="preserve"> (2) </w:t>
      </w:r>
      <w:r w:rsidR="00992B4F" w:rsidRPr="001413B5">
        <w:rPr>
          <w:rFonts w:ascii="Times New Roman" w:hAnsi="Times New Roman"/>
          <w:sz w:val="24"/>
          <w:szCs w:val="24"/>
        </w:rPr>
        <w:t xml:space="preserve">Ein </w:t>
      </w:r>
      <w:r w:rsidR="00933AEC">
        <w:rPr>
          <w:rFonts w:ascii="Times New Roman" w:hAnsi="Times New Roman"/>
          <w:sz w:val="24"/>
          <w:szCs w:val="24"/>
        </w:rPr>
        <w:t xml:space="preserve">verfassungsrechtlich, </w:t>
      </w:r>
      <w:r w:rsidR="00992B4F" w:rsidRPr="001413B5">
        <w:rPr>
          <w:rFonts w:ascii="Times New Roman" w:hAnsi="Times New Roman"/>
          <w:sz w:val="24"/>
          <w:szCs w:val="24"/>
        </w:rPr>
        <w:t>völkerrechtlich</w:t>
      </w:r>
      <w:r w:rsidR="00933AEC">
        <w:rPr>
          <w:rFonts w:ascii="Times New Roman" w:hAnsi="Times New Roman"/>
          <w:sz w:val="24"/>
          <w:szCs w:val="24"/>
        </w:rPr>
        <w:t xml:space="preserve"> und naturrechtlich</w:t>
      </w:r>
      <w:r w:rsidR="00992B4F" w:rsidRPr="001413B5">
        <w:rPr>
          <w:rFonts w:ascii="Times New Roman" w:hAnsi="Times New Roman"/>
          <w:sz w:val="24"/>
          <w:szCs w:val="24"/>
        </w:rPr>
        <w:t xml:space="preserve"> motivierter Strang, der nach den Funktionen von Bündnissen</w:t>
      </w:r>
      <w:r w:rsidR="00933AEC">
        <w:rPr>
          <w:rFonts w:ascii="Times New Roman" w:hAnsi="Times New Roman"/>
          <w:sz w:val="24"/>
          <w:szCs w:val="24"/>
        </w:rPr>
        <w:t xml:space="preserve"> in der politischen Praxis des Mittelalters</w:t>
      </w:r>
      <w:r w:rsidR="00992B4F" w:rsidRPr="001413B5">
        <w:rPr>
          <w:rFonts w:ascii="Times New Roman" w:hAnsi="Times New Roman"/>
          <w:sz w:val="24"/>
          <w:szCs w:val="24"/>
        </w:rPr>
        <w:t xml:space="preserve"> und </w:t>
      </w:r>
      <w:r w:rsidR="00933AEC">
        <w:rPr>
          <w:rFonts w:ascii="Times New Roman" w:hAnsi="Times New Roman"/>
          <w:sz w:val="24"/>
          <w:szCs w:val="24"/>
        </w:rPr>
        <w:t>der frühen Neuzeit</w:t>
      </w:r>
      <w:r w:rsidR="00992B4F" w:rsidRPr="001413B5">
        <w:rPr>
          <w:rFonts w:ascii="Times New Roman" w:hAnsi="Times New Roman"/>
          <w:sz w:val="24"/>
          <w:szCs w:val="24"/>
        </w:rPr>
        <w:t xml:space="preserve"> fragt und ihre Wirksamkeit für öffentliche Sicherheit, Religionsfrieden u</w:t>
      </w:r>
      <w:r w:rsidR="002B0695">
        <w:rPr>
          <w:rFonts w:ascii="Times New Roman" w:hAnsi="Times New Roman"/>
          <w:sz w:val="24"/>
          <w:szCs w:val="24"/>
        </w:rPr>
        <w:t>nd Landesverteidigung betont</w:t>
      </w:r>
      <w:r w:rsidR="00992B4F" w:rsidRPr="001413B5">
        <w:rPr>
          <w:rFonts w:ascii="Times New Roman" w:hAnsi="Times New Roman"/>
          <w:sz w:val="24"/>
          <w:szCs w:val="24"/>
        </w:rPr>
        <w:t>. Die historischen Beispiele, die Leibniz anführt, zeigen klar, dass Reichs- und Hansestädte an der Erfüllung der Funktion solcher Bündnisse beteiligt waren. Dieser Argumentationsstrang weist substantielle Parallelen mit der Behandlun</w:t>
      </w:r>
      <w:r>
        <w:rPr>
          <w:rFonts w:ascii="Times New Roman" w:hAnsi="Times New Roman"/>
          <w:sz w:val="24"/>
          <w:szCs w:val="24"/>
        </w:rPr>
        <w:t xml:space="preserve">g des </w:t>
      </w:r>
      <w:r>
        <w:rPr>
          <w:rFonts w:ascii="Times New Roman" w:hAnsi="Times New Roman"/>
          <w:sz w:val="24"/>
          <w:szCs w:val="24"/>
        </w:rPr>
        <w:lastRenderedPageBreak/>
        <w:t>Bündnisrechts bei Besold</w:t>
      </w:r>
      <w:r w:rsidR="00992B4F" w:rsidRPr="001413B5">
        <w:rPr>
          <w:rFonts w:ascii="Times New Roman" w:hAnsi="Times New Roman"/>
          <w:sz w:val="24"/>
          <w:szCs w:val="24"/>
        </w:rPr>
        <w:t xml:space="preserve"> auf, u</w:t>
      </w:r>
      <w:r>
        <w:rPr>
          <w:rFonts w:ascii="Times New Roman" w:hAnsi="Times New Roman"/>
          <w:sz w:val="24"/>
          <w:szCs w:val="24"/>
        </w:rPr>
        <w:t>nd</w:t>
      </w:r>
      <w:r w:rsidR="00992B4F" w:rsidRPr="001413B5">
        <w:rPr>
          <w:rFonts w:ascii="Times New Roman" w:hAnsi="Times New Roman"/>
          <w:sz w:val="24"/>
          <w:szCs w:val="24"/>
        </w:rPr>
        <w:t xml:space="preserve"> diese Paral</w:t>
      </w:r>
      <w:r w:rsidR="007C7B7A" w:rsidRPr="001413B5">
        <w:rPr>
          <w:rFonts w:ascii="Times New Roman" w:hAnsi="Times New Roman"/>
          <w:sz w:val="24"/>
          <w:szCs w:val="24"/>
        </w:rPr>
        <w:t>lelen</w:t>
      </w:r>
      <w:r>
        <w:rPr>
          <w:rFonts w:ascii="Times New Roman" w:hAnsi="Times New Roman"/>
          <w:sz w:val="24"/>
          <w:szCs w:val="24"/>
        </w:rPr>
        <w:t xml:space="preserve"> lassen auch die Relevanz von naturrechtlichen Überlegungen bei in Leibniz’ Behandlung des Bündnisrechts</w:t>
      </w:r>
      <w:r w:rsidR="007C7B7A" w:rsidRPr="001413B5">
        <w:rPr>
          <w:rFonts w:ascii="Times New Roman" w:hAnsi="Times New Roman"/>
          <w:sz w:val="24"/>
          <w:szCs w:val="24"/>
        </w:rPr>
        <w:t xml:space="preserve"> deutlicher hervortreten. </w:t>
      </w:r>
    </w:p>
    <w:p w14:paraId="66DB05C5" w14:textId="77777777" w:rsidR="008642E4" w:rsidRPr="001413B5" w:rsidRDefault="00EC211A" w:rsidP="008547AB">
      <w:pPr>
        <w:spacing w:after="0" w:line="360" w:lineRule="auto"/>
        <w:ind w:firstLine="708"/>
        <w:jc w:val="both"/>
        <w:rPr>
          <w:rFonts w:ascii="Times New Roman" w:hAnsi="Times New Roman"/>
          <w:sz w:val="24"/>
          <w:szCs w:val="24"/>
        </w:rPr>
      </w:pPr>
      <w:r w:rsidRPr="001413B5">
        <w:rPr>
          <w:rFonts w:ascii="Times New Roman" w:hAnsi="Times New Roman"/>
          <w:sz w:val="24"/>
          <w:szCs w:val="24"/>
        </w:rPr>
        <w:t>Wie ein Blick i</w:t>
      </w:r>
      <w:r w:rsidR="00351591" w:rsidRPr="001413B5">
        <w:rPr>
          <w:rFonts w:ascii="Times New Roman" w:hAnsi="Times New Roman"/>
          <w:sz w:val="24"/>
          <w:szCs w:val="24"/>
        </w:rPr>
        <w:t>n Besolds Abhandlungen</w:t>
      </w:r>
      <w:r w:rsidR="008642E4" w:rsidRPr="001413B5">
        <w:rPr>
          <w:rFonts w:ascii="Times New Roman" w:hAnsi="Times New Roman"/>
          <w:sz w:val="24"/>
          <w:szCs w:val="24"/>
        </w:rPr>
        <w:t xml:space="preserve"> dokumentiert, bestand kein</w:t>
      </w:r>
      <w:r w:rsidRPr="001413B5">
        <w:rPr>
          <w:rFonts w:ascii="Times New Roman" w:hAnsi="Times New Roman"/>
          <w:sz w:val="24"/>
          <w:szCs w:val="24"/>
        </w:rPr>
        <w:t>esfalls ein</w:t>
      </w:r>
      <w:r w:rsidR="008642E4" w:rsidRPr="001413B5">
        <w:rPr>
          <w:rFonts w:ascii="Times New Roman" w:hAnsi="Times New Roman"/>
          <w:sz w:val="24"/>
          <w:szCs w:val="24"/>
        </w:rPr>
        <w:t xml:space="preserve"> Konsens</w:t>
      </w:r>
      <w:r w:rsidR="00992B4F" w:rsidRPr="001413B5">
        <w:rPr>
          <w:rFonts w:ascii="Times New Roman" w:hAnsi="Times New Roman"/>
          <w:sz w:val="24"/>
          <w:szCs w:val="24"/>
        </w:rPr>
        <w:t xml:space="preserve"> unter den deutschen Staatsrechtsdenkern des 17. Jahrhunderts, dass Reichsstädte, Hansestädte und andere kleinere Territorien vom Bündnisrecht auszuschließen wären. Im Gegenteil finden sich</w:t>
      </w:r>
      <w:r w:rsidR="00351591" w:rsidRPr="001413B5">
        <w:rPr>
          <w:rFonts w:ascii="Times New Roman" w:hAnsi="Times New Roman"/>
          <w:sz w:val="24"/>
          <w:szCs w:val="24"/>
        </w:rPr>
        <w:t xml:space="preserve"> bei</w:t>
      </w:r>
      <w:r w:rsidR="00992B4F" w:rsidRPr="001413B5">
        <w:rPr>
          <w:rFonts w:ascii="Times New Roman" w:hAnsi="Times New Roman"/>
          <w:sz w:val="24"/>
          <w:szCs w:val="24"/>
        </w:rPr>
        <w:t xml:space="preserve"> Besold naturrechtlich inspirierte Argumente, die zu zeigen versuche</w:t>
      </w:r>
      <w:r w:rsidRPr="001413B5">
        <w:rPr>
          <w:rFonts w:ascii="Times New Roman" w:hAnsi="Times New Roman"/>
          <w:sz w:val="24"/>
          <w:szCs w:val="24"/>
        </w:rPr>
        <w:t>n</w:t>
      </w:r>
      <w:r w:rsidR="00992B4F" w:rsidRPr="001413B5">
        <w:rPr>
          <w:rFonts w:ascii="Times New Roman" w:hAnsi="Times New Roman"/>
          <w:sz w:val="24"/>
          <w:szCs w:val="24"/>
        </w:rPr>
        <w:t>, w</w:t>
      </w:r>
      <w:r w:rsidRPr="001413B5">
        <w:rPr>
          <w:rFonts w:ascii="Times New Roman" w:hAnsi="Times New Roman"/>
          <w:sz w:val="24"/>
          <w:szCs w:val="24"/>
        </w:rPr>
        <w:t>eshalb diese kleineren Gemeinwesen Träger des</w:t>
      </w:r>
      <w:r w:rsidR="00992B4F" w:rsidRPr="001413B5">
        <w:rPr>
          <w:rFonts w:ascii="Times New Roman" w:hAnsi="Times New Roman"/>
          <w:sz w:val="24"/>
          <w:szCs w:val="24"/>
        </w:rPr>
        <w:t xml:space="preserve"> Bündnisrecht</w:t>
      </w:r>
      <w:r w:rsidRPr="001413B5">
        <w:rPr>
          <w:rFonts w:ascii="Times New Roman" w:hAnsi="Times New Roman"/>
          <w:sz w:val="24"/>
          <w:szCs w:val="24"/>
        </w:rPr>
        <w:t>s sind</w:t>
      </w:r>
      <w:r w:rsidR="00992B4F" w:rsidRPr="001413B5">
        <w:rPr>
          <w:rFonts w:ascii="Times New Roman" w:hAnsi="Times New Roman"/>
          <w:sz w:val="24"/>
          <w:szCs w:val="24"/>
        </w:rPr>
        <w:t xml:space="preserve">. </w:t>
      </w:r>
      <w:r w:rsidRPr="001413B5">
        <w:rPr>
          <w:rFonts w:ascii="Times New Roman" w:hAnsi="Times New Roman"/>
          <w:sz w:val="24"/>
          <w:szCs w:val="24"/>
        </w:rPr>
        <w:t xml:space="preserve">Wenn </w:t>
      </w:r>
      <w:r w:rsidR="008642E4" w:rsidRPr="001413B5">
        <w:rPr>
          <w:rFonts w:ascii="Times New Roman" w:hAnsi="Times New Roman"/>
          <w:sz w:val="24"/>
          <w:szCs w:val="24"/>
        </w:rPr>
        <w:t>Henniges</w:t>
      </w:r>
      <w:r w:rsidR="00C741FF" w:rsidRPr="001413B5">
        <w:rPr>
          <w:rFonts w:ascii="Times New Roman" w:hAnsi="Times New Roman"/>
          <w:sz w:val="24"/>
          <w:szCs w:val="24"/>
        </w:rPr>
        <w:t xml:space="preserve"> dia</w:t>
      </w:r>
      <w:r w:rsidRPr="001413B5">
        <w:rPr>
          <w:rFonts w:ascii="Times New Roman" w:hAnsi="Times New Roman"/>
          <w:sz w:val="24"/>
          <w:szCs w:val="24"/>
        </w:rPr>
        <w:t xml:space="preserve">gnostiziert, dass Leibniz nicht </w:t>
      </w:r>
      <w:r w:rsidR="00BF229A">
        <w:rPr>
          <w:rFonts w:ascii="Times New Roman" w:hAnsi="Times New Roman"/>
          <w:sz w:val="24"/>
          <w:szCs w:val="24"/>
        </w:rPr>
        <w:t>in überzeugender Weise</w:t>
      </w:r>
      <w:r w:rsidR="00C741FF" w:rsidRPr="001413B5">
        <w:rPr>
          <w:rFonts w:ascii="Times New Roman" w:hAnsi="Times New Roman"/>
          <w:sz w:val="24"/>
          <w:szCs w:val="24"/>
        </w:rPr>
        <w:t xml:space="preserve"> eine Grenze ziehen kann</w:t>
      </w:r>
      <w:r w:rsidR="00933AEC">
        <w:rPr>
          <w:rFonts w:ascii="Times New Roman" w:hAnsi="Times New Roman"/>
          <w:sz w:val="24"/>
          <w:szCs w:val="24"/>
        </w:rPr>
        <w:t xml:space="preserve">, </w:t>
      </w:r>
      <w:r w:rsidR="00BF229A">
        <w:rPr>
          <w:rFonts w:ascii="Times New Roman" w:hAnsi="Times New Roman"/>
          <w:sz w:val="24"/>
          <w:szCs w:val="24"/>
        </w:rPr>
        <w:t xml:space="preserve">welche </w:t>
      </w:r>
      <w:r w:rsidR="00933AEC">
        <w:rPr>
          <w:rFonts w:ascii="Times New Roman" w:hAnsi="Times New Roman"/>
          <w:sz w:val="24"/>
          <w:szCs w:val="24"/>
        </w:rPr>
        <w:t>die Souveränitätsrechte</w:t>
      </w:r>
      <w:r w:rsidR="00C741FF" w:rsidRPr="001413B5">
        <w:rPr>
          <w:rFonts w:ascii="Times New Roman" w:hAnsi="Times New Roman"/>
          <w:sz w:val="24"/>
          <w:szCs w:val="24"/>
        </w:rPr>
        <w:t xml:space="preserve"> auf die deutschen Fürsten beschränkt und die Reichs- und Hansestädte davon ausschließt, dann hat er</w:t>
      </w:r>
      <w:r w:rsidR="008642E4" w:rsidRPr="001413B5">
        <w:rPr>
          <w:rFonts w:ascii="Times New Roman" w:hAnsi="Times New Roman"/>
          <w:sz w:val="24"/>
          <w:szCs w:val="24"/>
        </w:rPr>
        <w:t xml:space="preserve"> ein wirkliches Problem in Leibniz’ Argumen</w:t>
      </w:r>
      <w:r w:rsidR="00C741FF" w:rsidRPr="001413B5">
        <w:rPr>
          <w:rFonts w:ascii="Times New Roman" w:hAnsi="Times New Roman"/>
          <w:sz w:val="24"/>
          <w:szCs w:val="24"/>
        </w:rPr>
        <w:t>ta</w:t>
      </w:r>
      <w:r w:rsidR="008642E4" w:rsidRPr="001413B5">
        <w:rPr>
          <w:rFonts w:ascii="Times New Roman" w:hAnsi="Times New Roman"/>
          <w:sz w:val="24"/>
          <w:szCs w:val="24"/>
        </w:rPr>
        <w:t>t</w:t>
      </w:r>
      <w:r w:rsidR="00C741FF" w:rsidRPr="001413B5">
        <w:rPr>
          <w:rFonts w:ascii="Times New Roman" w:hAnsi="Times New Roman"/>
          <w:sz w:val="24"/>
          <w:szCs w:val="24"/>
        </w:rPr>
        <w:t>ion identifiziert. E</w:t>
      </w:r>
      <w:r w:rsidR="008642E4" w:rsidRPr="001413B5">
        <w:rPr>
          <w:rFonts w:ascii="Times New Roman" w:hAnsi="Times New Roman"/>
          <w:sz w:val="24"/>
          <w:szCs w:val="24"/>
        </w:rPr>
        <w:t>s ist allerdings ein Problem, das Leibniz</w:t>
      </w:r>
      <w:r w:rsidR="00C741FF" w:rsidRPr="001413B5">
        <w:rPr>
          <w:rFonts w:ascii="Times New Roman" w:hAnsi="Times New Roman"/>
          <w:sz w:val="24"/>
          <w:szCs w:val="24"/>
        </w:rPr>
        <w:t xml:space="preserve"> kohärent auf der Grundlage d</w:t>
      </w:r>
      <w:r w:rsidR="008642E4" w:rsidRPr="001413B5">
        <w:rPr>
          <w:rFonts w:ascii="Times New Roman" w:hAnsi="Times New Roman"/>
          <w:sz w:val="24"/>
          <w:szCs w:val="24"/>
        </w:rPr>
        <w:t>er theoretischen Prinzipien</w:t>
      </w:r>
      <w:r w:rsidR="00C741FF" w:rsidRPr="001413B5">
        <w:rPr>
          <w:rFonts w:ascii="Times New Roman" w:hAnsi="Times New Roman"/>
          <w:sz w:val="24"/>
          <w:szCs w:val="24"/>
        </w:rPr>
        <w:t>, die</w:t>
      </w:r>
      <w:r w:rsidR="00351591" w:rsidRPr="001413B5">
        <w:rPr>
          <w:rFonts w:ascii="Times New Roman" w:hAnsi="Times New Roman"/>
          <w:sz w:val="24"/>
          <w:szCs w:val="24"/>
        </w:rPr>
        <w:t xml:space="preserve"> er mit</w:t>
      </w:r>
      <w:r w:rsidR="00C741FF" w:rsidRPr="001413B5">
        <w:rPr>
          <w:rFonts w:ascii="Times New Roman" w:hAnsi="Times New Roman"/>
          <w:sz w:val="24"/>
          <w:szCs w:val="24"/>
        </w:rPr>
        <w:t xml:space="preserve"> Besold teilt,</w:t>
      </w:r>
      <w:r w:rsidR="008642E4" w:rsidRPr="001413B5">
        <w:rPr>
          <w:rFonts w:ascii="Times New Roman" w:hAnsi="Times New Roman"/>
          <w:sz w:val="24"/>
          <w:szCs w:val="24"/>
        </w:rPr>
        <w:t xml:space="preserve"> hätte lösen können. </w:t>
      </w:r>
      <w:r w:rsidR="00BF229A">
        <w:rPr>
          <w:rFonts w:ascii="Times New Roman" w:hAnsi="Times New Roman"/>
          <w:sz w:val="24"/>
          <w:szCs w:val="24"/>
        </w:rPr>
        <w:t>Denn s</w:t>
      </w:r>
      <w:r w:rsidR="00992B4F" w:rsidRPr="001413B5">
        <w:rPr>
          <w:rFonts w:ascii="Times New Roman" w:hAnsi="Times New Roman"/>
          <w:sz w:val="24"/>
          <w:szCs w:val="24"/>
        </w:rPr>
        <w:t>eine Argumente zugunsten des Bündnisrechts der deutsche</w:t>
      </w:r>
      <w:r w:rsidR="00C741FF" w:rsidRPr="001413B5">
        <w:rPr>
          <w:rFonts w:ascii="Times New Roman" w:hAnsi="Times New Roman"/>
          <w:sz w:val="24"/>
          <w:szCs w:val="24"/>
        </w:rPr>
        <w:t>n Fürsten</w:t>
      </w:r>
      <w:r w:rsidR="00992B4F" w:rsidRPr="001413B5">
        <w:rPr>
          <w:rFonts w:ascii="Times New Roman" w:hAnsi="Times New Roman"/>
          <w:sz w:val="24"/>
          <w:szCs w:val="24"/>
        </w:rPr>
        <w:t xml:space="preserve"> </w:t>
      </w:r>
      <w:r w:rsidR="008642E4" w:rsidRPr="001413B5">
        <w:rPr>
          <w:rFonts w:ascii="Times New Roman" w:hAnsi="Times New Roman"/>
          <w:sz w:val="24"/>
          <w:szCs w:val="24"/>
        </w:rPr>
        <w:t>hätte</w:t>
      </w:r>
      <w:r w:rsidR="00BF229A">
        <w:rPr>
          <w:rFonts w:ascii="Times New Roman" w:hAnsi="Times New Roman"/>
          <w:sz w:val="24"/>
          <w:szCs w:val="24"/>
        </w:rPr>
        <w:t>n</w:t>
      </w:r>
      <w:r w:rsidR="008642E4" w:rsidRPr="001413B5">
        <w:rPr>
          <w:rFonts w:ascii="Times New Roman" w:hAnsi="Times New Roman"/>
          <w:sz w:val="24"/>
          <w:szCs w:val="24"/>
        </w:rPr>
        <w:t xml:space="preserve"> </w:t>
      </w:r>
      <w:r w:rsidR="00992B4F" w:rsidRPr="001413B5">
        <w:rPr>
          <w:rFonts w:ascii="Times New Roman" w:hAnsi="Times New Roman"/>
          <w:sz w:val="24"/>
          <w:szCs w:val="24"/>
        </w:rPr>
        <w:t>ohne eine Änderun</w:t>
      </w:r>
      <w:r w:rsidR="00C741FF" w:rsidRPr="001413B5">
        <w:rPr>
          <w:rFonts w:ascii="Times New Roman" w:hAnsi="Times New Roman"/>
          <w:sz w:val="24"/>
          <w:szCs w:val="24"/>
        </w:rPr>
        <w:t>g seiner theoretischen Annahmen</w:t>
      </w:r>
      <w:r w:rsidR="00992B4F" w:rsidRPr="001413B5">
        <w:rPr>
          <w:rFonts w:ascii="Times New Roman" w:hAnsi="Times New Roman"/>
          <w:sz w:val="24"/>
          <w:szCs w:val="24"/>
        </w:rPr>
        <w:t xml:space="preserve"> auch auf die Reichs- und Hansestädte und die kleineren Territorien ausgedehnt werden könnte. </w:t>
      </w:r>
    </w:p>
    <w:p w14:paraId="7B79569E" w14:textId="77777777" w:rsidR="00992B4F" w:rsidRPr="001413B5" w:rsidRDefault="00933AEC" w:rsidP="001413B5">
      <w:pPr>
        <w:spacing w:after="0" w:line="360" w:lineRule="auto"/>
        <w:ind w:firstLine="708"/>
        <w:jc w:val="both"/>
        <w:rPr>
          <w:rFonts w:ascii="Times New Roman" w:hAnsi="Times New Roman"/>
          <w:sz w:val="24"/>
          <w:szCs w:val="24"/>
        </w:rPr>
      </w:pPr>
      <w:r>
        <w:rPr>
          <w:rFonts w:ascii="Times New Roman" w:hAnsi="Times New Roman"/>
          <w:sz w:val="24"/>
          <w:szCs w:val="24"/>
        </w:rPr>
        <w:t>Was Leibniz mit Besold gemeinsam hat</w:t>
      </w:r>
      <w:r w:rsidR="007C7B7A" w:rsidRPr="001413B5">
        <w:rPr>
          <w:rFonts w:ascii="Times New Roman" w:hAnsi="Times New Roman"/>
          <w:sz w:val="24"/>
          <w:szCs w:val="24"/>
        </w:rPr>
        <w:t>, ist die Auffassung, dass</w:t>
      </w:r>
      <w:r w:rsidR="00C741FF" w:rsidRPr="001413B5">
        <w:rPr>
          <w:rFonts w:ascii="Times New Roman" w:hAnsi="Times New Roman"/>
          <w:sz w:val="24"/>
          <w:szCs w:val="24"/>
        </w:rPr>
        <w:t xml:space="preserve"> Souveränität, anders als für Bodin, nicht </w:t>
      </w:r>
      <w:r w:rsidR="007C7B7A" w:rsidRPr="001413B5">
        <w:rPr>
          <w:rFonts w:ascii="Times New Roman" w:hAnsi="Times New Roman"/>
          <w:sz w:val="24"/>
          <w:szCs w:val="24"/>
        </w:rPr>
        <w:t xml:space="preserve">in der </w:t>
      </w:r>
      <w:r w:rsidR="00C741FF" w:rsidRPr="001413B5">
        <w:rPr>
          <w:rFonts w:ascii="Times New Roman" w:hAnsi="Times New Roman"/>
          <w:sz w:val="24"/>
          <w:szCs w:val="24"/>
        </w:rPr>
        <w:t xml:space="preserve">Unabhängigkeit </w:t>
      </w:r>
      <w:r w:rsidR="007C7B7A" w:rsidRPr="001413B5">
        <w:rPr>
          <w:rFonts w:ascii="Times New Roman" w:hAnsi="Times New Roman"/>
          <w:sz w:val="24"/>
          <w:szCs w:val="24"/>
        </w:rPr>
        <w:t xml:space="preserve">von externen Mächten, </w:t>
      </w:r>
      <w:r w:rsidR="00C741FF" w:rsidRPr="001413B5">
        <w:rPr>
          <w:rFonts w:ascii="Times New Roman" w:hAnsi="Times New Roman"/>
          <w:sz w:val="24"/>
          <w:szCs w:val="24"/>
        </w:rPr>
        <w:t xml:space="preserve">sondern </w:t>
      </w:r>
      <w:r w:rsidR="007C7B7A" w:rsidRPr="001413B5">
        <w:rPr>
          <w:rFonts w:ascii="Times New Roman" w:hAnsi="Times New Roman"/>
          <w:sz w:val="24"/>
          <w:szCs w:val="24"/>
        </w:rPr>
        <w:t>in der Fähigkeit liegt</w:t>
      </w:r>
      <w:r w:rsidR="00C741FF" w:rsidRPr="001413B5">
        <w:rPr>
          <w:rFonts w:ascii="Times New Roman" w:hAnsi="Times New Roman"/>
          <w:sz w:val="24"/>
          <w:szCs w:val="24"/>
        </w:rPr>
        <w:t xml:space="preserve">, naturrechtlich begründete Funktionen des Völkerrechts zu erfüllen. Die Fähigkeit, wirksam Bündnisse eingehen zu können, ist </w:t>
      </w:r>
      <w:r>
        <w:rPr>
          <w:rFonts w:ascii="Times New Roman" w:hAnsi="Times New Roman"/>
          <w:sz w:val="24"/>
          <w:szCs w:val="24"/>
        </w:rPr>
        <w:t xml:space="preserve">für beide Denker </w:t>
      </w:r>
      <w:r w:rsidR="00C741FF" w:rsidRPr="001413B5">
        <w:rPr>
          <w:rFonts w:ascii="Times New Roman" w:hAnsi="Times New Roman"/>
          <w:sz w:val="24"/>
          <w:szCs w:val="24"/>
        </w:rPr>
        <w:t>eines der wichtigsten Beispiele für eine solche Fähigk</w:t>
      </w:r>
      <w:r>
        <w:rPr>
          <w:rFonts w:ascii="Times New Roman" w:hAnsi="Times New Roman"/>
          <w:sz w:val="24"/>
          <w:szCs w:val="24"/>
        </w:rPr>
        <w:t xml:space="preserve">eit. </w:t>
      </w:r>
      <w:r w:rsidR="00353AE3">
        <w:rPr>
          <w:rFonts w:ascii="Times New Roman" w:hAnsi="Times New Roman"/>
          <w:sz w:val="24"/>
          <w:szCs w:val="24"/>
        </w:rPr>
        <w:t xml:space="preserve">Daraus ergibt sich </w:t>
      </w:r>
      <w:r w:rsidR="00992B4F" w:rsidRPr="001413B5">
        <w:rPr>
          <w:rFonts w:ascii="Times New Roman" w:hAnsi="Times New Roman"/>
          <w:sz w:val="24"/>
          <w:szCs w:val="24"/>
        </w:rPr>
        <w:t xml:space="preserve">eine radikal nicht-absolutistische Auffassung von Souveränität, welche die Vorstellung von sich </w:t>
      </w:r>
      <w:r w:rsidR="007C7B7A" w:rsidRPr="001413B5">
        <w:rPr>
          <w:rFonts w:ascii="Times New Roman" w:hAnsi="Times New Roman"/>
          <w:sz w:val="24"/>
          <w:szCs w:val="24"/>
        </w:rPr>
        <w:t xml:space="preserve">geographisch </w:t>
      </w:r>
      <w:r w:rsidR="00BF229A">
        <w:rPr>
          <w:rFonts w:ascii="Times New Roman" w:hAnsi="Times New Roman"/>
          <w:sz w:val="24"/>
          <w:szCs w:val="24"/>
        </w:rPr>
        <w:t xml:space="preserve">überlappenden Souveränitätsrechten zulässt. Während Besold solche Situationen nach dem Muster der privativen </w:t>
      </w:r>
      <w:r w:rsidR="00BF229A">
        <w:rPr>
          <w:rFonts w:ascii="Times New Roman" w:hAnsi="Times New Roman"/>
          <w:i/>
          <w:sz w:val="24"/>
          <w:szCs w:val="24"/>
        </w:rPr>
        <w:t xml:space="preserve">praescriptio </w:t>
      </w:r>
      <w:r w:rsidR="00BF229A">
        <w:rPr>
          <w:rFonts w:ascii="Times New Roman" w:hAnsi="Times New Roman"/>
          <w:sz w:val="24"/>
          <w:szCs w:val="24"/>
        </w:rPr>
        <w:t xml:space="preserve">zu verstehen scheint, der zufolge </w:t>
      </w:r>
      <w:r w:rsidR="00377ACE">
        <w:rPr>
          <w:rFonts w:ascii="Times New Roman" w:hAnsi="Times New Roman"/>
          <w:sz w:val="24"/>
          <w:szCs w:val="24"/>
        </w:rPr>
        <w:t xml:space="preserve">eine Aufteilung von </w:t>
      </w:r>
      <w:r w:rsidR="009E2746">
        <w:rPr>
          <w:rFonts w:ascii="Times New Roman" w:hAnsi="Times New Roman"/>
          <w:sz w:val="24"/>
          <w:szCs w:val="24"/>
        </w:rPr>
        <w:t xml:space="preserve">sich gegenseitig ausschließenden </w:t>
      </w:r>
      <w:r w:rsidR="00377ACE">
        <w:rPr>
          <w:rFonts w:ascii="Times New Roman" w:hAnsi="Times New Roman"/>
          <w:sz w:val="24"/>
          <w:szCs w:val="24"/>
        </w:rPr>
        <w:t xml:space="preserve">Souveränitätsrechten auf verschiedene Träger ergibt, scheint Leibniz solche Situationen eher nach dem Muster der akkumulativen </w:t>
      </w:r>
      <w:r w:rsidR="00377ACE">
        <w:rPr>
          <w:rFonts w:ascii="Times New Roman" w:hAnsi="Times New Roman"/>
          <w:i/>
          <w:sz w:val="24"/>
          <w:szCs w:val="24"/>
        </w:rPr>
        <w:t xml:space="preserve">praescriptio </w:t>
      </w:r>
      <w:r w:rsidR="00377ACE">
        <w:rPr>
          <w:rFonts w:ascii="Times New Roman" w:hAnsi="Times New Roman"/>
          <w:sz w:val="24"/>
          <w:szCs w:val="24"/>
        </w:rPr>
        <w:t xml:space="preserve">zu verstehen, der zufolge volle Souveränitätsrechte wie im Fall des Bündnisrechts bei verschiedenen Trägern gleichzeitig vorliegen können. </w:t>
      </w:r>
      <w:r w:rsidR="00013200">
        <w:rPr>
          <w:rFonts w:ascii="Times New Roman" w:hAnsi="Times New Roman"/>
          <w:sz w:val="24"/>
          <w:szCs w:val="24"/>
        </w:rPr>
        <w:t>Bei Besold wie bei Leibniz finden sich damit Konzeptionen von Souveränität, die es erlauben</w:t>
      </w:r>
      <w:r w:rsidR="00013200" w:rsidRPr="001413B5">
        <w:rPr>
          <w:rFonts w:ascii="Times New Roman" w:hAnsi="Times New Roman"/>
          <w:sz w:val="24"/>
          <w:szCs w:val="24"/>
        </w:rPr>
        <w:t>, Abhängigkeitsbeziehungen zwischen Gemeinwesen zu akzeptieren, ohne diesen Gemeinwesen Souveränität abzusprechen.</w:t>
      </w:r>
      <w:r w:rsidR="00013200">
        <w:rPr>
          <w:rFonts w:ascii="Times New Roman" w:hAnsi="Times New Roman"/>
          <w:sz w:val="24"/>
          <w:szCs w:val="24"/>
        </w:rPr>
        <w:t xml:space="preserve"> </w:t>
      </w:r>
      <w:r w:rsidR="00377ACE">
        <w:rPr>
          <w:rFonts w:ascii="Times New Roman" w:hAnsi="Times New Roman"/>
          <w:sz w:val="24"/>
          <w:szCs w:val="24"/>
        </w:rPr>
        <w:t>Was a</w:t>
      </w:r>
      <w:r w:rsidR="00E37DCD">
        <w:rPr>
          <w:rFonts w:ascii="Times New Roman" w:hAnsi="Times New Roman"/>
          <w:sz w:val="24"/>
          <w:szCs w:val="24"/>
        </w:rPr>
        <w:t>us der Perspektive von Bodin</w:t>
      </w:r>
      <w:r w:rsidR="00377ACE">
        <w:rPr>
          <w:rFonts w:ascii="Times New Roman" w:hAnsi="Times New Roman"/>
          <w:sz w:val="24"/>
          <w:szCs w:val="24"/>
        </w:rPr>
        <w:t xml:space="preserve"> </w:t>
      </w:r>
      <w:r w:rsidR="00992B4F" w:rsidRPr="001413B5">
        <w:rPr>
          <w:rFonts w:ascii="Times New Roman" w:hAnsi="Times New Roman"/>
          <w:sz w:val="24"/>
          <w:szCs w:val="24"/>
        </w:rPr>
        <w:t>wie eine Auflösung von Souveränität aussehen muss, mag in der politischen Realität einen Gewin</w:t>
      </w:r>
      <w:r w:rsidR="00353AE3">
        <w:rPr>
          <w:rFonts w:ascii="Times New Roman" w:hAnsi="Times New Roman"/>
          <w:sz w:val="24"/>
          <w:szCs w:val="24"/>
        </w:rPr>
        <w:t xml:space="preserve">n in Hinblick auf die Anerkennung völkerrechtlicher Funktionen kleinerer </w:t>
      </w:r>
      <w:r w:rsidR="00377ACE">
        <w:rPr>
          <w:rFonts w:ascii="Times New Roman" w:hAnsi="Times New Roman"/>
          <w:sz w:val="24"/>
          <w:szCs w:val="24"/>
        </w:rPr>
        <w:t xml:space="preserve">Gemeinwesen mit sich bringen. </w:t>
      </w:r>
      <w:r w:rsidR="00141055">
        <w:rPr>
          <w:rFonts w:ascii="Times New Roman" w:hAnsi="Times New Roman"/>
          <w:sz w:val="24"/>
          <w:szCs w:val="24"/>
        </w:rPr>
        <w:t xml:space="preserve">Die </w:t>
      </w:r>
      <w:r w:rsidR="00CF2D92">
        <w:rPr>
          <w:rFonts w:ascii="Times New Roman" w:hAnsi="Times New Roman"/>
          <w:sz w:val="24"/>
          <w:szCs w:val="24"/>
        </w:rPr>
        <w:t xml:space="preserve">Erfüllung der </w:t>
      </w:r>
      <w:r w:rsidR="00141055">
        <w:rPr>
          <w:rFonts w:ascii="Times New Roman" w:hAnsi="Times New Roman"/>
          <w:sz w:val="24"/>
          <w:szCs w:val="24"/>
        </w:rPr>
        <w:t>naturrechtlich begründeten Achtungspflichten gegenüber den Gesandten solcher Gemeinwesen</w:t>
      </w:r>
      <w:r w:rsidR="00055275">
        <w:rPr>
          <w:rFonts w:ascii="Times New Roman" w:hAnsi="Times New Roman"/>
          <w:sz w:val="24"/>
          <w:szCs w:val="24"/>
        </w:rPr>
        <w:t xml:space="preserve"> bringt</w:t>
      </w:r>
      <w:r w:rsidR="00141055">
        <w:rPr>
          <w:rFonts w:ascii="Times New Roman" w:hAnsi="Times New Roman"/>
          <w:sz w:val="24"/>
          <w:szCs w:val="24"/>
        </w:rPr>
        <w:t xml:space="preserve"> eine </w:t>
      </w:r>
      <w:r w:rsidR="009E2746">
        <w:rPr>
          <w:rFonts w:ascii="Times New Roman" w:hAnsi="Times New Roman"/>
          <w:sz w:val="24"/>
          <w:szCs w:val="24"/>
        </w:rPr>
        <w:t xml:space="preserve">Anerkennung </w:t>
      </w:r>
      <w:r w:rsidR="009E2746">
        <w:rPr>
          <w:rFonts w:ascii="Times New Roman" w:hAnsi="Times New Roman"/>
          <w:sz w:val="24"/>
          <w:szCs w:val="24"/>
        </w:rPr>
        <w:lastRenderedPageBreak/>
        <w:t>dieser</w:t>
      </w:r>
      <w:r w:rsidR="00141055">
        <w:rPr>
          <w:rFonts w:ascii="Times New Roman" w:hAnsi="Times New Roman"/>
          <w:sz w:val="24"/>
          <w:szCs w:val="24"/>
        </w:rPr>
        <w:t xml:space="preserve"> völkerrechtlichen Funktionen zum Ausdruck, während die</w:t>
      </w:r>
      <w:r w:rsidR="00141055" w:rsidRPr="001413B5">
        <w:rPr>
          <w:rFonts w:ascii="Times New Roman" w:hAnsi="Times New Roman"/>
          <w:sz w:val="24"/>
          <w:szCs w:val="24"/>
        </w:rPr>
        <w:t xml:space="preserve"> Verletzung </w:t>
      </w:r>
      <w:r w:rsidR="00141055">
        <w:rPr>
          <w:rFonts w:ascii="Times New Roman" w:hAnsi="Times New Roman"/>
          <w:sz w:val="24"/>
          <w:szCs w:val="24"/>
        </w:rPr>
        <w:t>der achtungsbezogenen Pflichten</w:t>
      </w:r>
      <w:r w:rsidR="00141055" w:rsidRPr="001413B5">
        <w:rPr>
          <w:rFonts w:ascii="Times New Roman" w:hAnsi="Times New Roman"/>
          <w:sz w:val="24"/>
          <w:szCs w:val="24"/>
        </w:rPr>
        <w:t xml:space="preserve"> nicht nur die Anerkennung </w:t>
      </w:r>
      <w:r w:rsidR="00141055">
        <w:rPr>
          <w:rFonts w:ascii="Times New Roman" w:hAnsi="Times New Roman"/>
          <w:sz w:val="24"/>
          <w:szCs w:val="24"/>
        </w:rPr>
        <w:t xml:space="preserve">der völkerrechtlichen Funktionen </w:t>
      </w:r>
      <w:r w:rsidR="00141055" w:rsidRPr="001413B5">
        <w:rPr>
          <w:rFonts w:ascii="Times New Roman" w:hAnsi="Times New Roman"/>
          <w:sz w:val="24"/>
          <w:szCs w:val="24"/>
        </w:rPr>
        <w:t xml:space="preserve">verweigert, sondern </w:t>
      </w:r>
      <w:r w:rsidR="00141055">
        <w:rPr>
          <w:rFonts w:ascii="Times New Roman" w:hAnsi="Times New Roman"/>
          <w:sz w:val="24"/>
          <w:szCs w:val="24"/>
        </w:rPr>
        <w:t xml:space="preserve">dadurch auch die Verwirklichung dieser Funktionen erschwert.  </w:t>
      </w:r>
    </w:p>
    <w:sectPr w:rsidR="00992B4F" w:rsidRPr="001413B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5D18" w14:textId="77777777" w:rsidR="000A3F40" w:rsidRDefault="000A3F40" w:rsidP="00940C51">
      <w:pPr>
        <w:spacing w:after="0" w:line="240" w:lineRule="auto"/>
      </w:pPr>
      <w:r>
        <w:separator/>
      </w:r>
    </w:p>
  </w:endnote>
  <w:endnote w:type="continuationSeparator" w:id="0">
    <w:p w14:paraId="68B14D54" w14:textId="77777777" w:rsidR="000A3F40" w:rsidRDefault="000A3F40" w:rsidP="0094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1515" w14:textId="77777777" w:rsidR="000A3F40" w:rsidRDefault="000A3F40" w:rsidP="00940C51">
      <w:pPr>
        <w:spacing w:after="0" w:line="240" w:lineRule="auto"/>
      </w:pPr>
      <w:r>
        <w:separator/>
      </w:r>
    </w:p>
  </w:footnote>
  <w:footnote w:type="continuationSeparator" w:id="0">
    <w:p w14:paraId="0F264238" w14:textId="77777777" w:rsidR="000A3F40" w:rsidRDefault="000A3F40" w:rsidP="00940C51">
      <w:pPr>
        <w:spacing w:after="0" w:line="240" w:lineRule="auto"/>
      </w:pPr>
      <w:r>
        <w:continuationSeparator/>
      </w:r>
    </w:p>
  </w:footnote>
  <w:footnote w:id="1">
    <w:p w14:paraId="71AC457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681D58">
        <w:rPr>
          <w:rFonts w:cs="Times New Roman"/>
          <w:lang w:val="de-DE"/>
        </w:rPr>
        <w:t xml:space="preserve"> </w:t>
      </w:r>
      <w:r w:rsidR="00E146C2">
        <w:rPr>
          <w:rFonts w:cs="Times New Roman"/>
          <w:i/>
          <w:lang w:val="de-DE"/>
        </w:rPr>
        <w:t xml:space="preserve">De jure suprematus </w:t>
      </w:r>
      <w:proofErr w:type="spellStart"/>
      <w:r w:rsidR="00E146C2">
        <w:rPr>
          <w:rFonts w:cs="Times New Roman"/>
          <w:i/>
          <w:lang w:val="de-DE"/>
        </w:rPr>
        <w:t>ac</w:t>
      </w:r>
      <w:proofErr w:type="spellEnd"/>
      <w:r w:rsidR="00E146C2">
        <w:rPr>
          <w:rFonts w:cs="Times New Roman"/>
          <w:i/>
          <w:lang w:val="de-DE"/>
        </w:rPr>
        <w:t xml:space="preserve"> </w:t>
      </w:r>
      <w:proofErr w:type="spellStart"/>
      <w:r w:rsidR="00E146C2">
        <w:rPr>
          <w:rFonts w:cs="Times New Roman"/>
          <w:i/>
          <w:lang w:val="de-DE"/>
        </w:rPr>
        <w:t>legationis</w:t>
      </w:r>
      <w:proofErr w:type="spellEnd"/>
      <w:r w:rsidR="00E146C2">
        <w:rPr>
          <w:rFonts w:cs="Times New Roman"/>
          <w:i/>
          <w:lang w:val="de-DE"/>
        </w:rPr>
        <w:t xml:space="preserve"> </w:t>
      </w:r>
      <w:proofErr w:type="spellStart"/>
      <w:r w:rsidR="00E146C2">
        <w:rPr>
          <w:rFonts w:cs="Times New Roman"/>
          <w:i/>
          <w:lang w:val="de-DE"/>
        </w:rPr>
        <w:t>principum</w:t>
      </w:r>
      <w:proofErr w:type="spellEnd"/>
      <w:r w:rsidR="00E146C2">
        <w:rPr>
          <w:rFonts w:cs="Times New Roman"/>
          <w:i/>
          <w:lang w:val="de-DE"/>
        </w:rPr>
        <w:t xml:space="preserve"> </w:t>
      </w:r>
      <w:proofErr w:type="spellStart"/>
      <w:r w:rsidR="00E146C2">
        <w:rPr>
          <w:rFonts w:cs="Times New Roman"/>
          <w:i/>
          <w:lang w:val="de-DE"/>
        </w:rPr>
        <w:t>Germaniae</w:t>
      </w:r>
      <w:proofErr w:type="spellEnd"/>
      <w:r w:rsidR="00E146C2">
        <w:rPr>
          <w:rFonts w:cs="Times New Roman"/>
          <w:lang w:val="de-DE"/>
        </w:rPr>
        <w:t>,</w:t>
      </w:r>
      <w:r w:rsidR="00622F49">
        <w:rPr>
          <w:rFonts w:cs="Times New Roman"/>
          <w:lang w:val="de-DE"/>
        </w:rPr>
        <w:t xml:space="preserve"> </w:t>
      </w:r>
      <w:r w:rsidR="00681D58" w:rsidRPr="002B75C2">
        <w:rPr>
          <w:rFonts w:cs="Times New Roman"/>
          <w:lang w:val="de-DE"/>
        </w:rPr>
        <w:t>A IV, 2, 141</w:t>
      </w:r>
      <w:r w:rsidRPr="006002E6">
        <w:rPr>
          <w:rFonts w:cs="Times New Roman"/>
          <w:lang w:val="de-DE"/>
        </w:rPr>
        <w:t>.</w:t>
      </w:r>
    </w:p>
  </w:footnote>
  <w:footnote w:id="2">
    <w:p w14:paraId="78F0C03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622F49">
        <w:rPr>
          <w:rFonts w:cs="Times New Roman"/>
          <w:lang w:val="de-DE"/>
        </w:rPr>
        <w:t xml:space="preserve">Ebd., </w:t>
      </w:r>
      <w:r w:rsidRPr="006002E6">
        <w:rPr>
          <w:rFonts w:cs="Times New Roman"/>
          <w:lang w:val="de-DE"/>
        </w:rPr>
        <w:t>A IV, 2, 43.</w:t>
      </w:r>
    </w:p>
  </w:footnote>
  <w:footnote w:id="3">
    <w:p w14:paraId="4709DDDC"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proofErr w:type="spellStart"/>
      <w:r w:rsidR="00B44903">
        <w:rPr>
          <w:rFonts w:cs="Times New Roman"/>
          <w:i/>
          <w:lang w:val="de-DE"/>
        </w:rPr>
        <w:t>Specimen</w:t>
      </w:r>
      <w:proofErr w:type="spellEnd"/>
      <w:r w:rsidR="00B44903">
        <w:rPr>
          <w:rFonts w:cs="Times New Roman"/>
          <w:i/>
          <w:lang w:val="de-DE"/>
        </w:rPr>
        <w:t xml:space="preserve"> </w:t>
      </w:r>
      <w:proofErr w:type="spellStart"/>
      <w:r w:rsidR="00B44903">
        <w:rPr>
          <w:rFonts w:cs="Times New Roman"/>
          <w:i/>
          <w:lang w:val="de-DE"/>
        </w:rPr>
        <w:t>demonstrationum</w:t>
      </w:r>
      <w:proofErr w:type="spellEnd"/>
      <w:r w:rsidR="00B44903">
        <w:rPr>
          <w:rFonts w:cs="Times New Roman"/>
          <w:i/>
          <w:lang w:val="de-DE"/>
        </w:rPr>
        <w:t xml:space="preserve"> </w:t>
      </w:r>
      <w:proofErr w:type="spellStart"/>
      <w:r w:rsidR="00B44903">
        <w:rPr>
          <w:rFonts w:cs="Times New Roman"/>
          <w:i/>
          <w:lang w:val="de-DE"/>
        </w:rPr>
        <w:t>politicarum</w:t>
      </w:r>
      <w:proofErr w:type="spellEnd"/>
      <w:r w:rsidR="0075489E">
        <w:rPr>
          <w:rFonts w:cs="Times New Roman"/>
          <w:i/>
          <w:lang w:val="de-DE"/>
        </w:rPr>
        <w:t xml:space="preserve"> pro</w:t>
      </w:r>
      <w:r w:rsidR="00622F49">
        <w:rPr>
          <w:rFonts w:cs="Times New Roman"/>
          <w:i/>
          <w:lang w:val="de-DE"/>
        </w:rPr>
        <w:t xml:space="preserve"> </w:t>
      </w:r>
      <w:proofErr w:type="spellStart"/>
      <w:r w:rsidR="00622F49">
        <w:rPr>
          <w:rFonts w:cs="Times New Roman"/>
          <w:i/>
          <w:lang w:val="de-DE"/>
        </w:rPr>
        <w:t>eligendo</w:t>
      </w:r>
      <w:proofErr w:type="spellEnd"/>
      <w:r w:rsidR="00622F49">
        <w:rPr>
          <w:rFonts w:cs="Times New Roman"/>
          <w:i/>
          <w:lang w:val="de-DE"/>
        </w:rPr>
        <w:t xml:space="preserve"> rege </w:t>
      </w:r>
      <w:proofErr w:type="spellStart"/>
      <w:r w:rsidR="00622F49" w:rsidRPr="00622F49">
        <w:rPr>
          <w:rFonts w:cs="Times New Roman"/>
          <w:i/>
          <w:lang w:val="de-DE"/>
        </w:rPr>
        <w:t>Polonorum</w:t>
      </w:r>
      <w:proofErr w:type="spellEnd"/>
      <w:r w:rsidR="00B44903">
        <w:rPr>
          <w:rFonts w:cs="Times New Roman"/>
          <w:lang w:val="de-DE"/>
        </w:rPr>
        <w:t>,</w:t>
      </w:r>
      <w:r w:rsidR="00622F49">
        <w:rPr>
          <w:rFonts w:cs="Times New Roman"/>
          <w:lang w:val="de-DE"/>
        </w:rPr>
        <w:t xml:space="preserve"> </w:t>
      </w:r>
      <w:r w:rsidRPr="00622F49">
        <w:rPr>
          <w:rFonts w:cs="Times New Roman"/>
          <w:lang w:val="de-DE"/>
        </w:rPr>
        <w:t>A</w:t>
      </w:r>
      <w:r w:rsidRPr="006002E6">
        <w:rPr>
          <w:rFonts w:cs="Times New Roman"/>
          <w:lang w:val="de-DE"/>
        </w:rPr>
        <w:t xml:space="preserve"> IV, 1, 5.</w:t>
      </w:r>
    </w:p>
  </w:footnote>
  <w:footnote w:id="4">
    <w:p w14:paraId="6091147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4835D0">
        <w:rPr>
          <w:rFonts w:cs="Times New Roman"/>
          <w:lang w:val="de-DE"/>
        </w:rPr>
        <w:t xml:space="preserve"> J. </w:t>
      </w:r>
      <w:r w:rsidR="004835D0" w:rsidRPr="006002E6">
        <w:rPr>
          <w:rFonts w:cs="Times New Roman"/>
          <w:lang w:val="de-DE"/>
        </w:rPr>
        <w:t>Bodin,</w:t>
      </w:r>
      <w:r w:rsidR="004835D0">
        <w:rPr>
          <w:rFonts w:cs="Times New Roman"/>
          <w:lang w:val="de-DE"/>
        </w:rPr>
        <w:t xml:space="preserve"> </w:t>
      </w:r>
      <w:r w:rsidR="004835D0">
        <w:rPr>
          <w:rFonts w:cs="Times New Roman"/>
          <w:i/>
          <w:lang w:val="de-DE"/>
        </w:rPr>
        <w:t xml:space="preserve">Six </w:t>
      </w:r>
      <w:proofErr w:type="spellStart"/>
      <w:r w:rsidR="004835D0">
        <w:rPr>
          <w:rFonts w:cs="Times New Roman"/>
          <w:i/>
          <w:lang w:val="de-DE"/>
        </w:rPr>
        <w:t>livres</w:t>
      </w:r>
      <w:proofErr w:type="spellEnd"/>
      <w:r w:rsidR="004835D0">
        <w:rPr>
          <w:rFonts w:cs="Times New Roman"/>
          <w:i/>
          <w:lang w:val="de-DE"/>
        </w:rPr>
        <w:t xml:space="preserve"> de la </w:t>
      </w:r>
      <w:proofErr w:type="spellStart"/>
      <w:r w:rsidR="004835D0">
        <w:rPr>
          <w:rFonts w:cs="Times New Roman"/>
          <w:i/>
          <w:lang w:val="de-DE"/>
        </w:rPr>
        <w:t>république</w:t>
      </w:r>
      <w:proofErr w:type="spellEnd"/>
      <w:r w:rsidR="004835D0">
        <w:rPr>
          <w:rFonts w:cs="Times New Roman"/>
          <w:lang w:val="de-DE"/>
        </w:rPr>
        <w:t xml:space="preserve"> (Paris, 1576)</w:t>
      </w:r>
      <w:r w:rsidR="004835D0" w:rsidRPr="006002E6">
        <w:rPr>
          <w:rFonts w:cs="Times New Roman"/>
          <w:lang w:val="de-DE"/>
        </w:rPr>
        <w:t>,</w:t>
      </w:r>
      <w:r w:rsidR="004835D0">
        <w:rPr>
          <w:rFonts w:cs="Times New Roman"/>
          <w:lang w:val="de-DE"/>
        </w:rPr>
        <w:t xml:space="preserve"> 168</w:t>
      </w:r>
      <w:r w:rsidRPr="006002E6">
        <w:rPr>
          <w:rFonts w:cs="Times New Roman"/>
          <w:lang w:val="de-DE"/>
        </w:rPr>
        <w:t>.</w:t>
      </w:r>
    </w:p>
  </w:footnote>
  <w:footnote w:id="5">
    <w:p w14:paraId="38CB076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E146C2">
        <w:rPr>
          <w:rFonts w:cs="Times New Roman"/>
          <w:lang w:val="de-DE"/>
        </w:rPr>
        <w:t xml:space="preserve"> S. de </w:t>
      </w:r>
      <w:proofErr w:type="spellStart"/>
      <w:r w:rsidR="00E146C2">
        <w:rPr>
          <w:rFonts w:cs="Times New Roman"/>
          <w:lang w:val="de-DE"/>
        </w:rPr>
        <w:t>Monzambano</w:t>
      </w:r>
      <w:proofErr w:type="spellEnd"/>
      <w:r w:rsidR="00E146C2">
        <w:rPr>
          <w:rFonts w:cs="Times New Roman"/>
          <w:lang w:val="de-DE"/>
        </w:rPr>
        <w:t xml:space="preserve"> [S. Pufendorf], </w:t>
      </w:r>
      <w:r w:rsidR="00E146C2">
        <w:rPr>
          <w:rFonts w:cs="Times New Roman"/>
          <w:i/>
          <w:lang w:val="de-DE"/>
        </w:rPr>
        <w:t xml:space="preserve">De </w:t>
      </w:r>
      <w:proofErr w:type="spellStart"/>
      <w:r w:rsidR="00E146C2">
        <w:rPr>
          <w:rFonts w:cs="Times New Roman"/>
          <w:i/>
          <w:lang w:val="de-DE"/>
        </w:rPr>
        <w:t>statu</w:t>
      </w:r>
      <w:proofErr w:type="spellEnd"/>
      <w:r w:rsidR="00E146C2">
        <w:rPr>
          <w:rFonts w:cs="Times New Roman"/>
          <w:i/>
          <w:lang w:val="de-DE"/>
        </w:rPr>
        <w:t xml:space="preserve"> imperii </w:t>
      </w:r>
      <w:proofErr w:type="spellStart"/>
      <w:r w:rsidR="00E146C2">
        <w:rPr>
          <w:rFonts w:cs="Times New Roman"/>
          <w:i/>
          <w:lang w:val="de-DE"/>
        </w:rPr>
        <w:t>Germanici</w:t>
      </w:r>
      <w:proofErr w:type="spellEnd"/>
      <w:r w:rsidR="00E146C2">
        <w:rPr>
          <w:rFonts w:cs="Times New Roman"/>
          <w:i/>
          <w:lang w:val="de-DE"/>
        </w:rPr>
        <w:t xml:space="preserve"> </w:t>
      </w:r>
      <w:r w:rsidR="00E146C2">
        <w:rPr>
          <w:rFonts w:cs="Times New Roman"/>
          <w:lang w:val="de-DE"/>
        </w:rPr>
        <w:t>(Genf, 1667)</w:t>
      </w:r>
      <w:r w:rsidRPr="006002E6">
        <w:rPr>
          <w:rFonts w:cs="Times New Roman"/>
          <w:lang w:val="de-DE"/>
        </w:rPr>
        <w:t>.</w:t>
      </w:r>
    </w:p>
  </w:footnote>
  <w:footnote w:id="6">
    <w:p w14:paraId="5FE6C829" w14:textId="77777777" w:rsidR="001413B5" w:rsidRPr="00622F49" w:rsidRDefault="001413B5" w:rsidP="006002E6">
      <w:pPr>
        <w:pStyle w:val="Funotentext"/>
        <w:spacing w:line="360" w:lineRule="auto"/>
        <w:jc w:val="both"/>
        <w:rPr>
          <w:rFonts w:cs="Times New Roman"/>
          <w:lang w:val="de-DE"/>
        </w:rPr>
      </w:pPr>
      <w:r w:rsidRPr="00622F49">
        <w:rPr>
          <w:rStyle w:val="Funotenzeichen"/>
          <w:rFonts w:cs="Times New Roman"/>
          <w:lang w:val="de-DE"/>
        </w:rPr>
        <w:footnoteRef/>
      </w:r>
      <w:r w:rsidR="004F5E04" w:rsidRPr="00622F49">
        <w:rPr>
          <w:rFonts w:cs="Times New Roman"/>
          <w:lang w:val="de-DE"/>
        </w:rPr>
        <w:t xml:space="preserve"> A. Blank, </w:t>
      </w:r>
      <w:r w:rsidR="004F5E04" w:rsidRPr="00622F49">
        <w:rPr>
          <w:iCs/>
        </w:rPr>
        <w:t>“Leibniz and the Early Modern Controversy over the Right of International Medi</w:t>
      </w:r>
      <w:r w:rsidR="004F5E04" w:rsidRPr="00622F49">
        <w:rPr>
          <w:iCs/>
        </w:rPr>
        <w:t>a</w:t>
      </w:r>
      <w:r w:rsidR="004F5E04" w:rsidRPr="00622F49">
        <w:rPr>
          <w:iCs/>
        </w:rPr>
        <w:t xml:space="preserve">tion.” In </w:t>
      </w:r>
      <w:r w:rsidR="004F5E04" w:rsidRPr="00622F49">
        <w:rPr>
          <w:i/>
          <w:iCs/>
        </w:rPr>
        <w:t>“Das Recht kann nicht ungerecht sein …” Beiträge zu Leibniz’ Philosophie der Gerechtigkeit</w:t>
      </w:r>
      <w:r w:rsidR="004F5E04" w:rsidRPr="00622F49">
        <w:rPr>
          <w:iCs/>
        </w:rPr>
        <w:t>. Hg. v. Wenchao Li (</w:t>
      </w:r>
      <w:r w:rsidR="004F5E04" w:rsidRPr="00622F49">
        <w:rPr>
          <w:i/>
          <w:iCs/>
        </w:rPr>
        <w:t xml:space="preserve">Studia Leibnitiana Sonderheft </w:t>
      </w:r>
      <w:r w:rsidR="004F5E04" w:rsidRPr="00622F49">
        <w:rPr>
          <w:iCs/>
        </w:rPr>
        <w:t>44). Stuttgart: Steiner, 2015, 117–135</w:t>
      </w:r>
      <w:r w:rsidRPr="00622F49">
        <w:rPr>
          <w:rFonts w:cs="Times New Roman"/>
          <w:lang w:val="de-DE"/>
        </w:rPr>
        <w:t>.</w:t>
      </w:r>
    </w:p>
  </w:footnote>
  <w:footnote w:id="7">
    <w:p w14:paraId="3399C861"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6002E6" w:rsidRPr="006002E6">
        <w:rPr>
          <w:rFonts w:cs="Times New Roman"/>
          <w:lang w:val="de-DE"/>
        </w:rPr>
        <w:t xml:space="preserve"> S</w:t>
      </w:r>
      <w:r w:rsidRPr="006002E6">
        <w:rPr>
          <w:rFonts w:cs="Times New Roman"/>
          <w:lang w:val="de-DE"/>
        </w:rPr>
        <w:t>tolleis hat auf die Bedeutung Besolds für die Entwicklung der Theorie des Bündnisrechts hingewiesen; er gibt allerdings nur eine kurze Übersicht über die h</w:t>
      </w:r>
      <w:r w:rsidR="006002E6" w:rsidRPr="006002E6">
        <w:rPr>
          <w:rFonts w:cs="Times New Roman"/>
          <w:lang w:val="de-DE"/>
        </w:rPr>
        <w:t xml:space="preserve">ier relevanten Themen: M. Stolleis, </w:t>
      </w:r>
      <w:r w:rsidR="006002E6" w:rsidRPr="006002E6">
        <w:rPr>
          <w:rFonts w:cs="Times New Roman"/>
          <w:i/>
          <w:lang w:val="de-DE"/>
        </w:rPr>
        <w:t>Geschichte des öffentlichen Rechts in Deutschland</w:t>
      </w:r>
      <w:r w:rsidR="00CA4284">
        <w:rPr>
          <w:rFonts w:cs="Times New Roman"/>
          <w:lang w:val="de-DE"/>
        </w:rPr>
        <w:t>, Bd. 1 (München, 1988</w:t>
      </w:r>
      <w:r w:rsidR="006002E6" w:rsidRPr="006002E6">
        <w:rPr>
          <w:rFonts w:cs="Times New Roman"/>
          <w:lang w:val="de-DE"/>
        </w:rPr>
        <w:t>), 188-190</w:t>
      </w:r>
      <w:r w:rsidRPr="006002E6">
        <w:rPr>
          <w:rFonts w:cs="Times New Roman"/>
          <w:lang w:val="de-DE"/>
        </w:rPr>
        <w:t>.</w:t>
      </w:r>
    </w:p>
  </w:footnote>
  <w:footnote w:id="8">
    <w:p w14:paraId="2DA8F1E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112.</w:t>
      </w:r>
    </w:p>
  </w:footnote>
  <w:footnote w:id="9">
    <w:p w14:paraId="4554FB64" w14:textId="77777777" w:rsidR="001413B5" w:rsidRPr="006002E6" w:rsidRDefault="001413B5"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[Heinrich Henniges], </w:t>
      </w:r>
      <w:r w:rsidRPr="006002E6">
        <w:rPr>
          <w:rFonts w:ascii="Times New Roman" w:hAnsi="Times New Roman"/>
          <w:i/>
          <w:sz w:val="20"/>
          <w:szCs w:val="20"/>
        </w:rPr>
        <w:t>Discursus de suprematu adversus Caesarinum Fürstenerium</w:t>
      </w:r>
      <w:r w:rsidRPr="006002E6">
        <w:rPr>
          <w:rFonts w:ascii="Times New Roman" w:hAnsi="Times New Roman"/>
          <w:sz w:val="20"/>
          <w:szCs w:val="20"/>
        </w:rPr>
        <w:t xml:space="preserve"> </w:t>
      </w:r>
      <w:r w:rsidR="006E3244">
        <w:rPr>
          <w:rFonts w:ascii="Times New Roman" w:hAnsi="Times New Roman"/>
          <w:sz w:val="20"/>
          <w:szCs w:val="20"/>
        </w:rPr>
        <w:t>(</w:t>
      </w:r>
      <w:r w:rsidRPr="006002E6">
        <w:rPr>
          <w:rFonts w:ascii="Times New Roman" w:hAnsi="Times New Roman"/>
          <w:sz w:val="20"/>
          <w:szCs w:val="20"/>
        </w:rPr>
        <w:t>Hyetopoli ad Istrum, 1687</w:t>
      </w:r>
      <w:r w:rsidR="006E3244">
        <w:rPr>
          <w:rFonts w:ascii="Times New Roman" w:hAnsi="Times New Roman"/>
          <w:sz w:val="20"/>
          <w:szCs w:val="20"/>
        </w:rPr>
        <w:t>)</w:t>
      </w:r>
      <w:r w:rsidRPr="006002E6">
        <w:rPr>
          <w:rFonts w:ascii="Times New Roman" w:hAnsi="Times New Roman"/>
          <w:sz w:val="20"/>
          <w:szCs w:val="20"/>
        </w:rPr>
        <w:t>.</w:t>
      </w:r>
    </w:p>
  </w:footnote>
  <w:footnote w:id="10">
    <w:p w14:paraId="683D085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4F5E04">
        <w:rPr>
          <w:rFonts w:cs="Times New Roman"/>
          <w:lang w:val="de-DE"/>
        </w:rPr>
        <w:t xml:space="preserve"> </w:t>
      </w:r>
      <w:r w:rsidRPr="006002E6">
        <w:rPr>
          <w:rFonts w:cs="Times New Roman"/>
          <w:lang w:val="de-DE"/>
        </w:rPr>
        <w:t>A IV, 2, 410.</w:t>
      </w:r>
    </w:p>
  </w:footnote>
  <w:footnote w:id="11">
    <w:p w14:paraId="0874CEDD" w14:textId="77777777" w:rsidR="00500448" w:rsidRPr="006002E6" w:rsidRDefault="00500448"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18; 56</w:t>
      </w:r>
    </w:p>
  </w:footnote>
  <w:footnote w:id="12">
    <w:p w14:paraId="0430BA0C" w14:textId="77777777" w:rsidR="00500448" w:rsidRPr="006002E6" w:rsidRDefault="00500448"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18; 56-57.</w:t>
      </w:r>
    </w:p>
  </w:footnote>
  <w:footnote w:id="13">
    <w:p w14:paraId="5C5E15F4"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CA4284">
        <w:rPr>
          <w:rFonts w:cs="Times New Roman"/>
          <w:lang w:val="de-DE"/>
        </w:rPr>
        <w:t>[</w:t>
      </w:r>
      <w:r w:rsidRPr="006002E6">
        <w:rPr>
          <w:rFonts w:cs="Times New Roman"/>
          <w:lang w:val="de-DE"/>
        </w:rPr>
        <w:t>Henniges,</w:t>
      </w:r>
      <w:r w:rsidR="00CA4284">
        <w:rPr>
          <w:rFonts w:cs="Times New Roman"/>
          <w:lang w:val="de-DE"/>
        </w:rPr>
        <w:t>]</w:t>
      </w:r>
      <w:r w:rsidRPr="006002E6">
        <w:rPr>
          <w:rFonts w:cs="Times New Roman"/>
          <w:lang w:val="de-DE"/>
        </w:rPr>
        <w:t xml:space="preserve"> </w:t>
      </w:r>
      <w:r w:rsidRPr="006002E6">
        <w:rPr>
          <w:rFonts w:cs="Times New Roman"/>
          <w:i/>
          <w:lang w:val="de-DE"/>
        </w:rPr>
        <w:t>Discursus</w:t>
      </w:r>
      <w:r w:rsidR="001A6659">
        <w:rPr>
          <w:rFonts w:cs="Times New Roman"/>
          <w:lang w:val="de-DE"/>
        </w:rPr>
        <w:t xml:space="preserve"> (wie Anm. 11),</w:t>
      </w:r>
      <w:r w:rsidRPr="006002E6">
        <w:rPr>
          <w:rFonts w:cs="Times New Roman"/>
          <w:lang w:val="de-DE"/>
        </w:rPr>
        <w:t xml:space="preserve"> 63-66.</w:t>
      </w:r>
    </w:p>
  </w:footnote>
  <w:footnote w:id="14">
    <w:p w14:paraId="207D294E"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EA2D9A">
        <w:rPr>
          <w:rFonts w:cs="Times New Roman"/>
          <w:lang w:val="de-DE"/>
        </w:rPr>
        <w:t xml:space="preserve"> Eb</w:t>
      </w:r>
      <w:r w:rsidRPr="006002E6">
        <w:rPr>
          <w:rFonts w:cs="Times New Roman"/>
          <w:lang w:val="de-DE"/>
        </w:rPr>
        <w:t>d., 60-61.</w:t>
      </w:r>
    </w:p>
  </w:footnote>
  <w:footnote w:id="15">
    <w:p w14:paraId="7CA64BE1"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EA2D9A">
        <w:rPr>
          <w:rFonts w:cs="Times New Roman"/>
          <w:lang w:val="de-DE"/>
        </w:rPr>
        <w:t xml:space="preserve"> Eb</w:t>
      </w:r>
      <w:r w:rsidRPr="006002E6">
        <w:rPr>
          <w:rFonts w:cs="Times New Roman"/>
          <w:lang w:val="de-DE"/>
        </w:rPr>
        <w:t>d., 61.</w:t>
      </w:r>
    </w:p>
  </w:footnote>
  <w:footnote w:id="16">
    <w:p w14:paraId="12B9FFEF"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Rezension von: Discursus de suprematu adversus Caesarinum Fürstenerium [Ende November bis Mitte Dezember] 1687, A IV, 2, 422.</w:t>
      </w:r>
    </w:p>
  </w:footnote>
  <w:footnote w:id="17">
    <w:p w14:paraId="049C3DC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E146C2">
        <w:rPr>
          <w:rFonts w:cs="Times New Roman"/>
          <w:lang w:val="de-DE"/>
        </w:rPr>
        <w:t xml:space="preserve"> </w:t>
      </w:r>
      <w:r w:rsidR="00E146C2">
        <w:rPr>
          <w:rFonts w:cs="Times New Roman"/>
          <w:i/>
          <w:lang w:val="de-DE"/>
        </w:rPr>
        <w:t xml:space="preserve">De jure suprematus </w:t>
      </w:r>
      <w:proofErr w:type="spellStart"/>
      <w:r w:rsidR="00E146C2">
        <w:rPr>
          <w:rFonts w:cs="Times New Roman"/>
          <w:i/>
          <w:lang w:val="de-DE"/>
        </w:rPr>
        <w:t>ac</w:t>
      </w:r>
      <w:proofErr w:type="spellEnd"/>
      <w:r w:rsidR="00E146C2">
        <w:rPr>
          <w:rFonts w:cs="Times New Roman"/>
          <w:i/>
          <w:lang w:val="de-DE"/>
        </w:rPr>
        <w:t xml:space="preserve"> </w:t>
      </w:r>
      <w:proofErr w:type="spellStart"/>
      <w:r w:rsidR="00E146C2">
        <w:rPr>
          <w:rFonts w:cs="Times New Roman"/>
          <w:i/>
          <w:lang w:val="de-DE"/>
        </w:rPr>
        <w:t>legationis</w:t>
      </w:r>
      <w:proofErr w:type="spellEnd"/>
      <w:r w:rsidR="00E146C2">
        <w:rPr>
          <w:rFonts w:cs="Times New Roman"/>
          <w:i/>
          <w:lang w:val="de-DE"/>
        </w:rPr>
        <w:t xml:space="preserve"> </w:t>
      </w:r>
      <w:proofErr w:type="spellStart"/>
      <w:r w:rsidR="00E146C2">
        <w:rPr>
          <w:rFonts w:cs="Times New Roman"/>
          <w:i/>
          <w:lang w:val="de-DE"/>
        </w:rPr>
        <w:t>principum</w:t>
      </w:r>
      <w:proofErr w:type="spellEnd"/>
      <w:r w:rsidR="00E146C2">
        <w:rPr>
          <w:rFonts w:cs="Times New Roman"/>
          <w:i/>
          <w:lang w:val="de-DE"/>
        </w:rPr>
        <w:t xml:space="preserve"> </w:t>
      </w:r>
      <w:proofErr w:type="spellStart"/>
      <w:r w:rsidR="00E146C2">
        <w:rPr>
          <w:rFonts w:cs="Times New Roman"/>
          <w:i/>
          <w:lang w:val="de-DE"/>
        </w:rPr>
        <w:t>Germaniae</w:t>
      </w:r>
      <w:proofErr w:type="spellEnd"/>
      <w:r w:rsidR="00E146C2">
        <w:rPr>
          <w:rFonts w:cs="Times New Roman"/>
          <w:lang w:val="de-DE"/>
        </w:rPr>
        <w:t>, A IV, 2, 18</w:t>
      </w:r>
      <w:r w:rsidRPr="006002E6">
        <w:rPr>
          <w:rFonts w:cs="Times New Roman"/>
          <w:lang w:val="de-DE"/>
        </w:rPr>
        <w:t>.</w:t>
      </w:r>
    </w:p>
  </w:footnote>
  <w:footnote w:id="18">
    <w:p w14:paraId="78FADFD8" w14:textId="77777777" w:rsidR="001413B5" w:rsidRPr="006002E6" w:rsidRDefault="001413B5"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w:t>
      </w:r>
      <w:r w:rsidR="00E146C2">
        <w:rPr>
          <w:rFonts w:ascii="Times New Roman" w:hAnsi="Times New Roman"/>
          <w:sz w:val="20"/>
          <w:szCs w:val="20"/>
        </w:rPr>
        <w:t xml:space="preserve">Ebd., </w:t>
      </w:r>
      <w:r w:rsidRPr="006002E6">
        <w:rPr>
          <w:rFonts w:ascii="Times New Roman" w:hAnsi="Times New Roman"/>
          <w:sz w:val="20"/>
          <w:szCs w:val="20"/>
        </w:rPr>
        <w:t>A IV, 2, 62.</w:t>
      </w:r>
    </w:p>
  </w:footnote>
  <w:footnote w:id="19">
    <w:p w14:paraId="4B6A588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E146C2">
        <w:rPr>
          <w:rFonts w:cs="Times New Roman"/>
          <w:lang w:val="de-DE"/>
        </w:rPr>
        <w:t xml:space="preserve">Ebd., </w:t>
      </w:r>
      <w:r w:rsidRPr="006002E6">
        <w:rPr>
          <w:rFonts w:cs="Times New Roman"/>
          <w:lang w:val="de-DE"/>
        </w:rPr>
        <w:t>A IV, 2, 98.</w:t>
      </w:r>
    </w:p>
  </w:footnote>
  <w:footnote w:id="20">
    <w:p w14:paraId="49D3250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CA4284">
        <w:rPr>
          <w:rFonts w:cs="Times New Roman"/>
          <w:lang w:val="de-DE"/>
        </w:rPr>
        <w:t xml:space="preserve">C. </w:t>
      </w:r>
      <w:r w:rsidRPr="006002E6">
        <w:rPr>
          <w:rFonts w:cs="Times New Roman"/>
          <w:lang w:val="de-DE"/>
        </w:rPr>
        <w:t xml:space="preserve">Besold, </w:t>
      </w:r>
      <w:r w:rsidRPr="007F0EF9">
        <w:rPr>
          <w:rFonts w:cs="Times New Roman"/>
          <w:i/>
          <w:lang w:val="de-DE"/>
        </w:rPr>
        <w:t>De foederum jure</w:t>
      </w:r>
      <w:r w:rsidR="00313965">
        <w:rPr>
          <w:rFonts w:cs="Times New Roman"/>
          <w:lang w:val="de-DE"/>
        </w:rPr>
        <w:t xml:space="preserve"> (</w:t>
      </w:r>
      <w:proofErr w:type="spellStart"/>
      <w:r w:rsidR="00313965">
        <w:rPr>
          <w:rFonts w:cs="Times New Roman"/>
          <w:lang w:val="de-DE"/>
        </w:rPr>
        <w:t>Argentorati</w:t>
      </w:r>
      <w:proofErr w:type="spellEnd"/>
      <w:r w:rsidR="00313965">
        <w:rPr>
          <w:rFonts w:cs="Times New Roman"/>
          <w:lang w:val="de-DE"/>
        </w:rPr>
        <w:t>, 1642</w:t>
      </w:r>
      <w:r w:rsidR="001A6659">
        <w:rPr>
          <w:rFonts w:cs="Times New Roman"/>
          <w:lang w:val="de-DE"/>
        </w:rPr>
        <w:t>),</w:t>
      </w:r>
      <w:r w:rsidRPr="006002E6">
        <w:rPr>
          <w:rFonts w:cs="Times New Roman"/>
          <w:lang w:val="de-DE"/>
        </w:rPr>
        <w:t xml:space="preserve"> 22.</w:t>
      </w:r>
    </w:p>
  </w:footnote>
  <w:footnote w:id="21">
    <w:p w14:paraId="443FA221"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w:t>
      </w:r>
    </w:p>
  </w:footnote>
  <w:footnote w:id="22">
    <w:p w14:paraId="583BB51D"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007F0EF9">
        <w:rPr>
          <w:rFonts w:cs="Times New Roman"/>
          <w:lang w:val="de-DE"/>
        </w:rPr>
        <w:t>d.</w:t>
      </w:r>
    </w:p>
  </w:footnote>
  <w:footnote w:id="23">
    <w:p w14:paraId="059FED4F"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00CA4284">
        <w:rPr>
          <w:rFonts w:cs="Times New Roman"/>
          <w:lang w:val="de-DE"/>
        </w:rPr>
        <w:t>d</w:t>
      </w:r>
      <w:r w:rsidR="00C71A1C" w:rsidRPr="006002E6">
        <w:rPr>
          <w:rFonts w:cs="Times New Roman"/>
          <w:lang w:val="de-DE"/>
        </w:rPr>
        <w:t>.</w:t>
      </w:r>
    </w:p>
  </w:footnote>
  <w:footnote w:id="24">
    <w:p w14:paraId="635FA605" w14:textId="77777777" w:rsidR="007F0EF9" w:rsidRPr="007F0EF9" w:rsidRDefault="007F0EF9" w:rsidP="007F0EF9">
      <w:pPr>
        <w:pStyle w:val="Funotentext"/>
        <w:spacing w:line="360" w:lineRule="auto"/>
        <w:jc w:val="both"/>
        <w:rPr>
          <w:lang w:val="de-DE"/>
        </w:rPr>
      </w:pPr>
      <w:r>
        <w:rPr>
          <w:rStyle w:val="Funotenzeichen"/>
        </w:rPr>
        <w:footnoteRef/>
      </w:r>
      <w:r>
        <w:t xml:space="preserve"> </w:t>
      </w:r>
      <w:r>
        <w:rPr>
          <w:lang w:val="de-DE"/>
        </w:rPr>
        <w:t>A IV, 2, 101.</w:t>
      </w:r>
    </w:p>
  </w:footnote>
  <w:footnote w:id="25">
    <w:p w14:paraId="6771021A" w14:textId="77777777" w:rsidR="001413B5" w:rsidRPr="00E146C2"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C71A1C" w:rsidRPr="006002E6">
        <w:rPr>
          <w:rFonts w:cs="Times New Roman"/>
          <w:lang w:val="de-DE"/>
        </w:rPr>
        <w:t xml:space="preserve"> </w:t>
      </w:r>
      <w:r w:rsidR="00E146C2" w:rsidRPr="006002E6">
        <w:rPr>
          <w:rFonts w:cs="Times New Roman"/>
          <w:lang w:val="de-DE"/>
        </w:rPr>
        <w:t xml:space="preserve">Besold, </w:t>
      </w:r>
      <w:r w:rsidR="00E146C2" w:rsidRPr="007F0EF9">
        <w:rPr>
          <w:rFonts w:cs="Times New Roman"/>
          <w:i/>
          <w:lang w:val="de-DE"/>
        </w:rPr>
        <w:t>De foederum jure</w:t>
      </w:r>
      <w:r w:rsidR="00E146C2">
        <w:rPr>
          <w:rFonts w:cs="Times New Roman"/>
          <w:i/>
          <w:lang w:val="de-DE"/>
        </w:rPr>
        <w:t xml:space="preserve"> </w:t>
      </w:r>
      <w:r w:rsidR="00E146C2">
        <w:rPr>
          <w:rFonts w:cs="Times New Roman"/>
          <w:lang w:val="de-DE"/>
        </w:rPr>
        <w:t>(wie Anm. 20), 22.</w:t>
      </w:r>
    </w:p>
  </w:footnote>
  <w:footnote w:id="26">
    <w:p w14:paraId="756A9C0C"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w:t>
      </w:r>
    </w:p>
  </w:footnote>
  <w:footnote w:id="27">
    <w:p w14:paraId="15F17B30" w14:textId="77777777" w:rsidR="001413B5" w:rsidRPr="006002E6" w:rsidRDefault="001413B5"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Besold, </w:t>
      </w:r>
      <w:r w:rsidRPr="006002E6">
        <w:rPr>
          <w:rFonts w:ascii="Times New Roman" w:hAnsi="Times New Roman"/>
          <w:i/>
          <w:sz w:val="20"/>
          <w:szCs w:val="20"/>
        </w:rPr>
        <w:t>De foederum jure</w:t>
      </w:r>
      <w:r w:rsidR="00313965">
        <w:rPr>
          <w:rFonts w:ascii="Times New Roman" w:hAnsi="Times New Roman"/>
          <w:sz w:val="20"/>
          <w:szCs w:val="20"/>
        </w:rPr>
        <w:t xml:space="preserve"> (wie Anm. 20</w:t>
      </w:r>
      <w:r w:rsidR="001A6659">
        <w:rPr>
          <w:rFonts w:ascii="Times New Roman" w:hAnsi="Times New Roman"/>
          <w:sz w:val="20"/>
          <w:szCs w:val="20"/>
        </w:rPr>
        <w:t>),</w:t>
      </w:r>
      <w:r w:rsidRPr="006002E6">
        <w:rPr>
          <w:rFonts w:ascii="Times New Roman" w:hAnsi="Times New Roman"/>
          <w:sz w:val="20"/>
          <w:szCs w:val="20"/>
        </w:rPr>
        <w:t xml:space="preserve"> 15.</w:t>
      </w:r>
    </w:p>
  </w:footnote>
  <w:footnote w:id="28">
    <w:p w14:paraId="6C0F999B" w14:textId="77777777" w:rsidR="001413B5" w:rsidRPr="006002E6" w:rsidRDefault="001413B5" w:rsidP="006002E6">
      <w:pPr>
        <w:pStyle w:val="Funotentext"/>
        <w:spacing w:line="360" w:lineRule="auto"/>
        <w:jc w:val="both"/>
        <w:rPr>
          <w:rFonts w:cs="Times New Roman"/>
          <w:i/>
          <w:lang w:val="de-DE"/>
        </w:rPr>
      </w:pPr>
      <w:r w:rsidRPr="006002E6">
        <w:rPr>
          <w:rStyle w:val="Funotenzeichen"/>
          <w:rFonts w:cs="Times New Roman"/>
          <w:lang w:val="de-DE"/>
        </w:rPr>
        <w:footnoteRef/>
      </w:r>
      <w:r w:rsidR="00F55437" w:rsidRPr="006002E6">
        <w:rPr>
          <w:rFonts w:cs="Times New Roman"/>
          <w:lang w:val="de-DE"/>
        </w:rPr>
        <w:t xml:space="preserve"> </w:t>
      </w:r>
      <w:r w:rsidR="00F55437" w:rsidRPr="001A6659">
        <w:rPr>
          <w:rFonts w:cs="Times New Roman"/>
          <w:i/>
          <w:lang w:val="de-DE"/>
        </w:rPr>
        <w:t>Bulla Aurea</w:t>
      </w:r>
      <w:r w:rsidR="00F55437" w:rsidRPr="006002E6">
        <w:rPr>
          <w:rFonts w:cs="Times New Roman"/>
          <w:lang w:val="de-DE"/>
        </w:rPr>
        <w:t xml:space="preserve">, Cap. XV, § 2 in M. </w:t>
      </w:r>
      <w:proofErr w:type="spellStart"/>
      <w:r w:rsidR="00F55437" w:rsidRPr="006002E6">
        <w:rPr>
          <w:rFonts w:cs="Times New Roman"/>
          <w:lang w:val="de-DE"/>
        </w:rPr>
        <w:t>Goldast</w:t>
      </w:r>
      <w:proofErr w:type="spellEnd"/>
      <w:r w:rsidR="00F55437" w:rsidRPr="006002E6">
        <w:rPr>
          <w:rFonts w:cs="Times New Roman"/>
          <w:lang w:val="de-DE"/>
        </w:rPr>
        <w:t xml:space="preserve">, </w:t>
      </w:r>
      <w:proofErr w:type="spellStart"/>
      <w:r w:rsidR="006E3244">
        <w:rPr>
          <w:i/>
          <w:iCs/>
          <w:sz w:val="21"/>
          <w:szCs w:val="21"/>
          <w:lang w:eastAsia="de-DE"/>
        </w:rPr>
        <w:t>Collectio</w:t>
      </w:r>
      <w:proofErr w:type="spellEnd"/>
      <w:r w:rsidR="006E3244">
        <w:rPr>
          <w:i/>
          <w:iCs/>
          <w:sz w:val="21"/>
          <w:szCs w:val="21"/>
          <w:lang w:eastAsia="de-DE"/>
        </w:rPr>
        <w:t xml:space="preserve"> </w:t>
      </w:r>
      <w:proofErr w:type="spellStart"/>
      <w:r w:rsidR="006E3244">
        <w:rPr>
          <w:i/>
          <w:iCs/>
          <w:sz w:val="21"/>
          <w:szCs w:val="21"/>
          <w:lang w:eastAsia="de-DE"/>
        </w:rPr>
        <w:t>constitutionum</w:t>
      </w:r>
      <w:proofErr w:type="spellEnd"/>
      <w:r w:rsidR="006E3244">
        <w:rPr>
          <w:i/>
          <w:iCs/>
          <w:sz w:val="21"/>
          <w:szCs w:val="21"/>
          <w:lang w:eastAsia="de-DE"/>
        </w:rPr>
        <w:t xml:space="preserve"> imperialium</w:t>
      </w:r>
      <w:r w:rsidR="006E3244">
        <w:rPr>
          <w:sz w:val="21"/>
          <w:szCs w:val="21"/>
          <w:lang w:eastAsia="de-DE"/>
        </w:rPr>
        <w:t xml:space="preserve">. 3 </w:t>
      </w:r>
      <w:proofErr w:type="spellStart"/>
      <w:r w:rsidR="006E3244">
        <w:rPr>
          <w:sz w:val="21"/>
          <w:szCs w:val="21"/>
          <w:lang w:eastAsia="de-DE"/>
        </w:rPr>
        <w:t>B</w:t>
      </w:r>
      <w:r w:rsidR="00B366EA">
        <w:rPr>
          <w:sz w:val="21"/>
          <w:szCs w:val="21"/>
          <w:lang w:eastAsia="de-DE"/>
        </w:rPr>
        <w:t>än</w:t>
      </w:r>
      <w:r w:rsidR="006E3244">
        <w:rPr>
          <w:sz w:val="21"/>
          <w:szCs w:val="21"/>
          <w:lang w:eastAsia="de-DE"/>
        </w:rPr>
        <w:t>de</w:t>
      </w:r>
      <w:proofErr w:type="spellEnd"/>
      <w:r w:rsidR="00F55437" w:rsidRPr="006002E6">
        <w:rPr>
          <w:rFonts w:cs="Times New Roman"/>
          <w:lang w:val="de-DE"/>
        </w:rPr>
        <w:t xml:space="preserve"> </w:t>
      </w:r>
      <w:r w:rsidR="006E3244">
        <w:rPr>
          <w:rFonts w:cs="Times New Roman"/>
          <w:lang w:val="de-DE"/>
        </w:rPr>
        <w:t xml:space="preserve">(Frankfurt, </w:t>
      </w:r>
      <w:r w:rsidR="00F55437" w:rsidRPr="006002E6">
        <w:rPr>
          <w:rFonts w:cs="Times New Roman"/>
          <w:lang w:val="de-DE"/>
        </w:rPr>
        <w:t>1673</w:t>
      </w:r>
      <w:r w:rsidR="006E3244">
        <w:rPr>
          <w:rFonts w:cs="Times New Roman"/>
          <w:lang w:val="de-DE"/>
        </w:rPr>
        <w:t>)</w:t>
      </w:r>
      <w:r w:rsidR="00F55437" w:rsidRPr="006002E6">
        <w:rPr>
          <w:rFonts w:cs="Times New Roman"/>
          <w:lang w:val="de-DE"/>
        </w:rPr>
        <w:t xml:space="preserve">, </w:t>
      </w:r>
      <w:r w:rsidR="006E3244">
        <w:rPr>
          <w:rFonts w:cs="Times New Roman"/>
          <w:lang w:val="de-DE"/>
        </w:rPr>
        <w:t xml:space="preserve">Bd. 1, </w:t>
      </w:r>
      <w:r w:rsidR="00F55437" w:rsidRPr="006002E6">
        <w:rPr>
          <w:rFonts w:cs="Times New Roman"/>
          <w:lang w:val="de-DE"/>
        </w:rPr>
        <w:t>361</w:t>
      </w:r>
      <w:r w:rsidRPr="006002E6">
        <w:rPr>
          <w:rFonts w:cs="Times New Roman"/>
          <w:lang w:val="de-DE"/>
        </w:rPr>
        <w:t>.</w:t>
      </w:r>
    </w:p>
  </w:footnote>
  <w:footnote w:id="29">
    <w:p w14:paraId="2D84BFDA"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F55437" w:rsidRPr="006002E6">
        <w:rPr>
          <w:rFonts w:cs="Times New Roman"/>
          <w:lang w:val="de-DE"/>
        </w:rPr>
        <w:t>E.</w:t>
      </w:r>
      <w:r w:rsidR="005D3158" w:rsidRPr="006002E6">
        <w:rPr>
          <w:rFonts w:cs="Times New Roman"/>
          <w:lang w:val="de-DE"/>
        </w:rPr>
        <w:t xml:space="preserve"> von </w:t>
      </w:r>
      <w:r w:rsidRPr="006002E6">
        <w:rPr>
          <w:rFonts w:cs="Times New Roman"/>
          <w:lang w:val="de-DE"/>
        </w:rPr>
        <w:t>Wehye,</w:t>
      </w:r>
      <w:r w:rsidR="005D3158" w:rsidRPr="006002E6">
        <w:rPr>
          <w:rFonts w:cs="Times New Roman"/>
          <w:lang w:val="de-DE"/>
        </w:rPr>
        <w:t xml:space="preserve"> </w:t>
      </w:r>
      <w:proofErr w:type="spellStart"/>
      <w:r w:rsidR="005D3158" w:rsidRPr="006002E6">
        <w:rPr>
          <w:rFonts w:cs="Times New Roman"/>
          <w:i/>
          <w:lang w:val="de-DE"/>
        </w:rPr>
        <w:t>Meditamenta</w:t>
      </w:r>
      <w:proofErr w:type="spellEnd"/>
      <w:r w:rsidR="005D3158" w:rsidRPr="006002E6">
        <w:rPr>
          <w:rFonts w:cs="Times New Roman"/>
          <w:i/>
          <w:lang w:val="de-DE"/>
        </w:rPr>
        <w:t xml:space="preserve"> pro </w:t>
      </w:r>
      <w:proofErr w:type="spellStart"/>
      <w:r w:rsidR="005D3158" w:rsidRPr="006002E6">
        <w:rPr>
          <w:rFonts w:cs="Times New Roman"/>
          <w:i/>
          <w:lang w:val="de-DE"/>
        </w:rPr>
        <w:t>Foederibus</w:t>
      </w:r>
      <w:proofErr w:type="spellEnd"/>
      <w:r w:rsidRPr="006002E6">
        <w:rPr>
          <w:rFonts w:cs="Times New Roman"/>
          <w:lang w:val="de-DE"/>
        </w:rPr>
        <w:t xml:space="preserve"> </w:t>
      </w:r>
      <w:r w:rsidR="006E3244">
        <w:rPr>
          <w:rFonts w:cs="Times New Roman"/>
          <w:lang w:val="de-DE"/>
        </w:rPr>
        <w:t>(Frankfurt, 1609)</w:t>
      </w:r>
      <w:r w:rsidR="005D3158" w:rsidRPr="006002E6">
        <w:rPr>
          <w:rFonts w:cs="Times New Roman"/>
          <w:lang w:val="de-DE"/>
        </w:rPr>
        <w:t>, 150-151</w:t>
      </w:r>
      <w:r w:rsidRPr="006002E6">
        <w:rPr>
          <w:rFonts w:cs="Times New Roman"/>
          <w:lang w:val="de-DE"/>
        </w:rPr>
        <w:t>.</w:t>
      </w:r>
    </w:p>
  </w:footnote>
  <w:footnote w:id="30">
    <w:p w14:paraId="58C0E171" w14:textId="77777777" w:rsidR="001413B5" w:rsidRPr="006002E6" w:rsidRDefault="001413B5"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w:t>
      </w:r>
      <w:r w:rsidR="001A6659">
        <w:rPr>
          <w:rFonts w:ascii="Times New Roman" w:hAnsi="Times New Roman"/>
          <w:sz w:val="20"/>
          <w:szCs w:val="20"/>
        </w:rPr>
        <w:t xml:space="preserve">C. </w:t>
      </w:r>
      <w:r w:rsidRPr="006002E6">
        <w:rPr>
          <w:rFonts w:ascii="Times New Roman" w:hAnsi="Times New Roman"/>
          <w:sz w:val="20"/>
          <w:szCs w:val="20"/>
        </w:rPr>
        <w:t xml:space="preserve">Besold, </w:t>
      </w:r>
      <w:r w:rsidRPr="006002E6">
        <w:rPr>
          <w:rFonts w:ascii="Times New Roman" w:hAnsi="Times New Roman"/>
          <w:i/>
          <w:sz w:val="20"/>
          <w:szCs w:val="20"/>
        </w:rPr>
        <w:t>De iure imperialium civitatum</w:t>
      </w:r>
      <w:r w:rsidR="00313965">
        <w:rPr>
          <w:rFonts w:ascii="Times New Roman" w:hAnsi="Times New Roman"/>
          <w:sz w:val="20"/>
          <w:szCs w:val="20"/>
        </w:rPr>
        <w:t xml:space="preserve"> (</w:t>
      </w:r>
      <w:proofErr w:type="spellStart"/>
      <w:r w:rsidR="00313965">
        <w:rPr>
          <w:rFonts w:ascii="Times New Roman" w:hAnsi="Times New Roman"/>
          <w:sz w:val="20"/>
          <w:szCs w:val="20"/>
        </w:rPr>
        <w:t>Argentorati</w:t>
      </w:r>
      <w:proofErr w:type="spellEnd"/>
      <w:r w:rsidR="00313965">
        <w:rPr>
          <w:rFonts w:ascii="Times New Roman" w:hAnsi="Times New Roman"/>
          <w:sz w:val="20"/>
          <w:szCs w:val="20"/>
        </w:rPr>
        <w:t>, 1642</w:t>
      </w:r>
      <w:r w:rsidR="001A6659">
        <w:rPr>
          <w:rFonts w:ascii="Times New Roman" w:hAnsi="Times New Roman"/>
          <w:sz w:val="20"/>
          <w:szCs w:val="20"/>
        </w:rPr>
        <w:t>),</w:t>
      </w:r>
      <w:r w:rsidRPr="006002E6">
        <w:rPr>
          <w:rFonts w:ascii="Times New Roman" w:hAnsi="Times New Roman"/>
          <w:sz w:val="20"/>
          <w:szCs w:val="20"/>
        </w:rPr>
        <w:t xml:space="preserve"> 100.</w:t>
      </w:r>
    </w:p>
  </w:footnote>
  <w:footnote w:id="31">
    <w:p w14:paraId="7A957E5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101.</w:t>
      </w:r>
    </w:p>
  </w:footnote>
  <w:footnote w:id="32">
    <w:p w14:paraId="541BFA9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w:t>
      </w:r>
    </w:p>
  </w:footnote>
  <w:footnote w:id="33">
    <w:p w14:paraId="50683A0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Besold, </w:t>
      </w:r>
      <w:r w:rsidRPr="00B366EA">
        <w:rPr>
          <w:rFonts w:cs="Times New Roman"/>
          <w:i/>
          <w:lang w:val="de-DE"/>
        </w:rPr>
        <w:t>De foederum jure</w:t>
      </w:r>
      <w:r w:rsidR="00313965">
        <w:rPr>
          <w:rFonts w:cs="Times New Roman"/>
          <w:lang w:val="de-DE"/>
        </w:rPr>
        <w:t xml:space="preserve"> (wie Anm. 20</w:t>
      </w:r>
      <w:r w:rsidR="001A6659">
        <w:rPr>
          <w:rFonts w:cs="Times New Roman"/>
          <w:lang w:val="de-DE"/>
        </w:rPr>
        <w:t>),</w:t>
      </w:r>
      <w:r w:rsidRPr="006002E6">
        <w:rPr>
          <w:rFonts w:cs="Times New Roman"/>
          <w:lang w:val="de-DE"/>
        </w:rPr>
        <w:t xml:space="preserve"> 22-23.</w:t>
      </w:r>
    </w:p>
  </w:footnote>
  <w:footnote w:id="34">
    <w:p w14:paraId="4986347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23.</w:t>
      </w:r>
    </w:p>
  </w:footnote>
  <w:footnote w:id="35">
    <w:p w14:paraId="3C96CB76"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101.</w:t>
      </w:r>
    </w:p>
  </w:footnote>
  <w:footnote w:id="36">
    <w:p w14:paraId="000843BD"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102</w:t>
      </w:r>
      <w:r w:rsidR="00146E9F" w:rsidRPr="006002E6">
        <w:rPr>
          <w:rFonts w:cs="Times New Roman"/>
          <w:lang w:val="de-DE" w:eastAsia="de-DE"/>
        </w:rPr>
        <w:t>.</w:t>
      </w:r>
    </w:p>
  </w:footnote>
  <w:footnote w:id="37">
    <w:p w14:paraId="581B634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9471FB">
        <w:rPr>
          <w:rFonts w:cs="Times New Roman"/>
          <w:lang w:val="de-DE"/>
        </w:rPr>
        <w:t xml:space="preserve"> </w:t>
      </w:r>
      <w:r w:rsidR="001A6659">
        <w:rPr>
          <w:rFonts w:cs="Times New Roman"/>
          <w:lang w:val="de-DE"/>
        </w:rPr>
        <w:t xml:space="preserve">C. </w:t>
      </w:r>
      <w:r w:rsidR="009471FB">
        <w:rPr>
          <w:rFonts w:cs="Times New Roman"/>
          <w:lang w:val="de-DE"/>
        </w:rPr>
        <w:t xml:space="preserve">Besold, </w:t>
      </w:r>
      <w:r w:rsidR="009471FB" w:rsidRPr="006E3244">
        <w:rPr>
          <w:rFonts w:cs="Times New Roman"/>
          <w:i/>
          <w:lang w:val="de-DE"/>
        </w:rPr>
        <w:t xml:space="preserve">De </w:t>
      </w:r>
      <w:proofErr w:type="spellStart"/>
      <w:r w:rsidR="009471FB" w:rsidRPr="006E3244">
        <w:rPr>
          <w:rFonts w:cs="Times New Roman"/>
          <w:i/>
          <w:lang w:val="de-DE"/>
        </w:rPr>
        <w:t>juribus</w:t>
      </w:r>
      <w:proofErr w:type="spellEnd"/>
      <w:r w:rsidR="00CD5B4A" w:rsidRPr="006E3244">
        <w:rPr>
          <w:rFonts w:cs="Times New Roman"/>
          <w:i/>
          <w:lang w:val="de-DE"/>
        </w:rPr>
        <w:t xml:space="preserve"> </w:t>
      </w:r>
      <w:proofErr w:type="spellStart"/>
      <w:r w:rsidR="00CD5B4A" w:rsidRPr="006E3244">
        <w:rPr>
          <w:rFonts w:cs="Times New Roman"/>
          <w:i/>
          <w:lang w:val="de-DE"/>
        </w:rPr>
        <w:t>majestatis</w:t>
      </w:r>
      <w:proofErr w:type="spellEnd"/>
      <w:r w:rsidR="00313965">
        <w:rPr>
          <w:rFonts w:cs="Times New Roman"/>
          <w:lang w:val="de-DE"/>
        </w:rPr>
        <w:t xml:space="preserve"> (</w:t>
      </w:r>
      <w:proofErr w:type="spellStart"/>
      <w:r w:rsidR="00313965">
        <w:rPr>
          <w:rFonts w:cs="Times New Roman"/>
          <w:lang w:val="de-DE"/>
        </w:rPr>
        <w:t>Argentorati</w:t>
      </w:r>
      <w:proofErr w:type="spellEnd"/>
      <w:r w:rsidR="00313965">
        <w:rPr>
          <w:rFonts w:cs="Times New Roman"/>
          <w:lang w:val="de-DE"/>
        </w:rPr>
        <w:t>, 1642</w:t>
      </w:r>
      <w:r w:rsidR="001A6659">
        <w:rPr>
          <w:rFonts w:cs="Times New Roman"/>
          <w:lang w:val="de-DE"/>
        </w:rPr>
        <w:t>),</w:t>
      </w:r>
      <w:r w:rsidRPr="006002E6">
        <w:rPr>
          <w:rFonts w:cs="Times New Roman"/>
          <w:lang w:val="de-DE"/>
        </w:rPr>
        <w:t xml:space="preserve"> 104.</w:t>
      </w:r>
    </w:p>
  </w:footnote>
  <w:footnote w:id="38">
    <w:p w14:paraId="2DBC8EC9"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100.</w:t>
      </w:r>
    </w:p>
  </w:footnote>
  <w:footnote w:id="39">
    <w:p w14:paraId="35BE7D0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172.</w:t>
      </w:r>
    </w:p>
  </w:footnote>
  <w:footnote w:id="40">
    <w:p w14:paraId="67CF3E5F"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w:t>
      </w:r>
    </w:p>
  </w:footnote>
  <w:footnote w:id="41">
    <w:p w14:paraId="1498B1A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100-101.</w:t>
      </w:r>
    </w:p>
  </w:footnote>
  <w:footnote w:id="42">
    <w:p w14:paraId="40E355A4"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Pr="006002E6">
        <w:rPr>
          <w:rFonts w:cs="Times New Roman"/>
          <w:lang w:val="de-DE"/>
        </w:rPr>
        <w:t>d., 172.</w:t>
      </w:r>
    </w:p>
  </w:footnote>
  <w:footnote w:id="43">
    <w:p w14:paraId="6C593A7C"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9471FB">
        <w:rPr>
          <w:rFonts w:cs="Times New Roman"/>
          <w:lang w:val="de-DE"/>
        </w:rPr>
        <w:t xml:space="preserve"> </w:t>
      </w:r>
      <w:r w:rsidR="00683A8C">
        <w:rPr>
          <w:rFonts w:cs="Times New Roman"/>
          <w:lang w:val="de-DE"/>
        </w:rPr>
        <w:t xml:space="preserve">C. </w:t>
      </w:r>
      <w:r w:rsidR="009471FB">
        <w:rPr>
          <w:rFonts w:cs="Times New Roman"/>
          <w:lang w:val="de-DE"/>
        </w:rPr>
        <w:t xml:space="preserve">Besold, </w:t>
      </w:r>
      <w:r w:rsidR="009471FB" w:rsidRPr="009471FB">
        <w:rPr>
          <w:rFonts w:cs="Times New Roman"/>
          <w:i/>
          <w:lang w:val="de-DE"/>
        </w:rPr>
        <w:t xml:space="preserve">De </w:t>
      </w:r>
      <w:proofErr w:type="spellStart"/>
      <w:r w:rsidR="009471FB" w:rsidRPr="009471FB">
        <w:rPr>
          <w:rFonts w:cs="Times New Roman"/>
          <w:i/>
          <w:lang w:val="de-DE"/>
        </w:rPr>
        <w:t>maj</w:t>
      </w:r>
      <w:r w:rsidRPr="009471FB">
        <w:rPr>
          <w:rFonts w:cs="Times New Roman"/>
          <w:i/>
          <w:lang w:val="de-DE"/>
        </w:rPr>
        <w:t>estate</w:t>
      </w:r>
      <w:proofErr w:type="spellEnd"/>
      <w:r w:rsidRPr="009471FB">
        <w:rPr>
          <w:rFonts w:cs="Times New Roman"/>
          <w:i/>
          <w:lang w:val="de-DE"/>
        </w:rPr>
        <w:t xml:space="preserve"> in genere</w:t>
      </w:r>
      <w:r w:rsidR="00CA4284">
        <w:rPr>
          <w:rFonts w:cs="Times New Roman"/>
          <w:lang w:val="de-DE"/>
        </w:rPr>
        <w:t xml:space="preserve"> (</w:t>
      </w:r>
      <w:proofErr w:type="spellStart"/>
      <w:r w:rsidR="00CA4284">
        <w:rPr>
          <w:rFonts w:cs="Times New Roman"/>
          <w:lang w:val="de-DE"/>
        </w:rPr>
        <w:t>Argentorati</w:t>
      </w:r>
      <w:proofErr w:type="spellEnd"/>
      <w:r w:rsidR="00CA4284">
        <w:rPr>
          <w:rFonts w:cs="Times New Roman"/>
          <w:lang w:val="de-DE"/>
        </w:rPr>
        <w:t>, 1625),</w:t>
      </w:r>
      <w:r w:rsidRPr="006002E6">
        <w:rPr>
          <w:rFonts w:cs="Times New Roman"/>
          <w:lang w:val="de-DE"/>
        </w:rPr>
        <w:t xml:space="preserve"> 72.</w:t>
      </w:r>
    </w:p>
  </w:footnote>
  <w:footnote w:id="44">
    <w:p w14:paraId="362592F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A6659">
        <w:rPr>
          <w:rFonts w:cs="Times New Roman"/>
          <w:lang w:val="de-DE"/>
        </w:rPr>
        <w:t xml:space="preserve"> Eb</w:t>
      </w:r>
      <w:r w:rsidR="00AA0747">
        <w:rPr>
          <w:rFonts w:cs="Times New Roman"/>
          <w:lang w:val="de-DE"/>
        </w:rPr>
        <w:t>d.</w:t>
      </w:r>
    </w:p>
  </w:footnote>
  <w:footnote w:id="45">
    <w:p w14:paraId="5A8316F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956F03">
        <w:rPr>
          <w:rFonts w:cs="Times New Roman"/>
          <w:lang w:val="de-DE"/>
        </w:rPr>
        <w:t>F. Balbo</w:t>
      </w:r>
      <w:r w:rsidR="009471FB">
        <w:rPr>
          <w:rFonts w:cs="Times New Roman"/>
          <w:lang w:val="de-DE"/>
        </w:rPr>
        <w:t xml:space="preserve">, </w:t>
      </w:r>
      <w:r w:rsidR="009471FB">
        <w:rPr>
          <w:rFonts w:cs="Times New Roman"/>
          <w:i/>
          <w:lang w:val="de-DE"/>
        </w:rPr>
        <w:t xml:space="preserve">De </w:t>
      </w:r>
      <w:proofErr w:type="spellStart"/>
      <w:r w:rsidR="009471FB">
        <w:rPr>
          <w:rFonts w:cs="Times New Roman"/>
          <w:i/>
          <w:lang w:val="de-DE"/>
        </w:rPr>
        <w:t>praescriptionibus</w:t>
      </w:r>
      <w:proofErr w:type="spellEnd"/>
      <w:r w:rsidR="009471FB">
        <w:rPr>
          <w:rFonts w:cs="Times New Roman"/>
          <w:i/>
          <w:lang w:val="de-DE"/>
        </w:rPr>
        <w:t xml:space="preserve"> </w:t>
      </w:r>
      <w:r w:rsidR="009471FB">
        <w:rPr>
          <w:rFonts w:cs="Times New Roman"/>
          <w:lang w:val="de-DE"/>
        </w:rPr>
        <w:t xml:space="preserve">(Köln, 1573), </w:t>
      </w:r>
      <w:r w:rsidRPr="006002E6">
        <w:rPr>
          <w:rFonts w:cs="Times New Roman"/>
          <w:lang w:val="de-DE"/>
        </w:rPr>
        <w:t>73.</w:t>
      </w:r>
    </w:p>
  </w:footnote>
  <w:footnote w:id="46">
    <w:p w14:paraId="721505C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80.</w:t>
      </w:r>
    </w:p>
  </w:footnote>
  <w:footnote w:id="47">
    <w:p w14:paraId="2B8A98E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88.</w:t>
      </w:r>
    </w:p>
  </w:footnote>
  <w:footnote w:id="48">
    <w:p w14:paraId="7F189D05"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87.</w:t>
      </w:r>
    </w:p>
  </w:footnote>
  <w:footnote w:id="49">
    <w:p w14:paraId="6E4CD77A"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88.</w:t>
      </w:r>
    </w:p>
  </w:footnote>
  <w:footnote w:id="50">
    <w:p w14:paraId="14F35D8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85.</w:t>
      </w:r>
    </w:p>
  </w:footnote>
  <w:footnote w:id="51">
    <w:p w14:paraId="5757E7C5"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Ebd</w:t>
      </w:r>
      <w:r w:rsidRPr="006002E6">
        <w:rPr>
          <w:rFonts w:cs="Times New Roman"/>
          <w:lang w:val="de-DE"/>
        </w:rPr>
        <w:t>.</w:t>
      </w:r>
    </w:p>
  </w:footnote>
  <w:footnote w:id="52">
    <w:p w14:paraId="626367B3"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88.</w:t>
      </w:r>
    </w:p>
  </w:footnote>
  <w:footnote w:id="53">
    <w:p w14:paraId="1A8E36E4"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118.</w:t>
      </w:r>
    </w:p>
  </w:footnote>
  <w:footnote w:id="54">
    <w:p w14:paraId="5CDC7BC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D84548"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00D84548" w:rsidRPr="006002E6">
        <w:rPr>
          <w:rFonts w:cs="Times New Roman"/>
          <w:lang w:val="de-DE"/>
        </w:rPr>
        <w:t>120.</w:t>
      </w:r>
    </w:p>
  </w:footnote>
  <w:footnote w:id="55">
    <w:p w14:paraId="11856EE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402.</w:t>
      </w:r>
    </w:p>
  </w:footnote>
  <w:footnote w:id="56">
    <w:p w14:paraId="46FCD6E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403.</w:t>
      </w:r>
    </w:p>
  </w:footnote>
  <w:footnote w:id="57">
    <w:p w14:paraId="6CCC67B4"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400.</w:t>
      </w:r>
    </w:p>
  </w:footnote>
  <w:footnote w:id="58">
    <w:p w14:paraId="78B348C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401-402.</w:t>
      </w:r>
    </w:p>
  </w:footnote>
  <w:footnote w:id="59">
    <w:p w14:paraId="10FC7CE0"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407.</w:t>
      </w:r>
    </w:p>
  </w:footnote>
  <w:footnote w:id="60">
    <w:p w14:paraId="414F4AD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424.</w:t>
      </w:r>
    </w:p>
  </w:footnote>
  <w:footnote w:id="61">
    <w:p w14:paraId="19F7973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6E3244">
        <w:rPr>
          <w:rFonts w:cs="Times New Roman"/>
          <w:lang w:val="de-DE"/>
        </w:rPr>
        <w:t xml:space="preserve">Besold, </w:t>
      </w:r>
      <w:r w:rsidR="006E3244">
        <w:rPr>
          <w:rFonts w:cs="Times New Roman"/>
          <w:i/>
          <w:lang w:val="de-DE"/>
        </w:rPr>
        <w:t>De foederum jure</w:t>
      </w:r>
      <w:r w:rsidR="00313965">
        <w:rPr>
          <w:rFonts w:cs="Times New Roman"/>
          <w:lang w:val="de-DE"/>
        </w:rPr>
        <w:t xml:space="preserve"> (wie Anm. 20</w:t>
      </w:r>
      <w:r w:rsidR="00BD7933">
        <w:rPr>
          <w:rFonts w:cs="Times New Roman"/>
          <w:lang w:val="de-DE"/>
        </w:rPr>
        <w:t>),</w:t>
      </w:r>
      <w:r w:rsidR="009471FB">
        <w:rPr>
          <w:rFonts w:cs="Times New Roman"/>
          <w:lang w:val="de-DE"/>
        </w:rPr>
        <w:t xml:space="preserve"> </w:t>
      </w:r>
      <w:r w:rsidRPr="006002E6">
        <w:rPr>
          <w:rFonts w:cs="Times New Roman"/>
          <w:lang w:val="de-DE"/>
        </w:rPr>
        <w:t>23.</w:t>
      </w:r>
    </w:p>
  </w:footnote>
  <w:footnote w:id="62">
    <w:p w14:paraId="4A70E2C9"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w:t>
      </w:r>
      <w:r w:rsidR="009471FB">
        <w:rPr>
          <w:rFonts w:cs="Times New Roman"/>
          <w:lang w:val="de-DE"/>
        </w:rPr>
        <w:t xml:space="preserve">d., </w:t>
      </w:r>
      <w:r w:rsidRPr="006002E6">
        <w:rPr>
          <w:rFonts w:cs="Times New Roman"/>
          <w:lang w:val="de-DE"/>
        </w:rPr>
        <w:t>24.</w:t>
      </w:r>
    </w:p>
  </w:footnote>
  <w:footnote w:id="63">
    <w:p w14:paraId="67B90FA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20.</w:t>
      </w:r>
    </w:p>
  </w:footnote>
  <w:footnote w:id="64">
    <w:p w14:paraId="4199B92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9471FB">
        <w:rPr>
          <w:rFonts w:cs="Times New Roman"/>
          <w:lang w:val="de-DE"/>
        </w:rPr>
        <w:t xml:space="preserve">Besold, </w:t>
      </w:r>
      <w:r w:rsidRPr="009471FB">
        <w:rPr>
          <w:rFonts w:cs="Times New Roman"/>
          <w:i/>
          <w:lang w:val="de-DE"/>
        </w:rPr>
        <w:t>De iure imperialium civitatum</w:t>
      </w:r>
      <w:r w:rsidR="00313965">
        <w:rPr>
          <w:rFonts w:cs="Times New Roman"/>
          <w:lang w:val="de-DE"/>
        </w:rPr>
        <w:t xml:space="preserve"> (wie Anm. 30</w:t>
      </w:r>
      <w:r w:rsidR="00BD7933">
        <w:rPr>
          <w:rFonts w:cs="Times New Roman"/>
          <w:lang w:val="de-DE"/>
        </w:rPr>
        <w:t>),</w:t>
      </w:r>
      <w:r w:rsidRPr="006002E6">
        <w:rPr>
          <w:rFonts w:cs="Times New Roman"/>
          <w:lang w:val="de-DE"/>
        </w:rPr>
        <w:t xml:space="preserve"> 172.</w:t>
      </w:r>
    </w:p>
  </w:footnote>
  <w:footnote w:id="65">
    <w:p w14:paraId="4160FE4F"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956F03">
        <w:rPr>
          <w:rFonts w:cs="Times New Roman"/>
          <w:lang w:val="de-DE"/>
        </w:rPr>
        <w:t xml:space="preserve"> Balbo</w:t>
      </w:r>
      <w:r w:rsidR="00BD7933">
        <w:rPr>
          <w:rFonts w:cs="Times New Roman"/>
          <w:lang w:val="de-DE"/>
        </w:rPr>
        <w:t xml:space="preserve">, </w:t>
      </w:r>
      <w:r w:rsidR="00BD7933">
        <w:rPr>
          <w:rFonts w:cs="Times New Roman"/>
          <w:i/>
          <w:lang w:val="de-DE"/>
        </w:rPr>
        <w:t xml:space="preserve">De </w:t>
      </w:r>
      <w:proofErr w:type="spellStart"/>
      <w:r w:rsidR="00BD7933">
        <w:rPr>
          <w:rFonts w:cs="Times New Roman"/>
          <w:i/>
          <w:lang w:val="de-DE"/>
        </w:rPr>
        <w:t>praescriptionibus</w:t>
      </w:r>
      <w:proofErr w:type="spellEnd"/>
      <w:r w:rsidR="00313965">
        <w:rPr>
          <w:rFonts w:cs="Times New Roman"/>
          <w:lang w:val="de-DE"/>
        </w:rPr>
        <w:t xml:space="preserve"> (wie Anm. 45)</w:t>
      </w:r>
      <w:r w:rsidRPr="006002E6">
        <w:rPr>
          <w:rFonts w:cs="Times New Roman"/>
          <w:lang w:val="de-DE"/>
        </w:rPr>
        <w:t>, 122.</w:t>
      </w:r>
    </w:p>
  </w:footnote>
  <w:footnote w:id="66">
    <w:p w14:paraId="4109012E" w14:textId="77777777" w:rsidR="001413B5" w:rsidRPr="006002E6" w:rsidRDefault="001413B5" w:rsidP="006002E6">
      <w:pPr>
        <w:autoSpaceDE w:val="0"/>
        <w:autoSpaceDN w:val="0"/>
        <w:adjustRightInd w:val="0"/>
        <w:spacing w:after="0" w:line="360" w:lineRule="auto"/>
        <w:jc w:val="both"/>
        <w:rPr>
          <w:rFonts w:ascii="Times New Roman" w:hAnsi="Times New Roman"/>
          <w:sz w:val="20"/>
          <w:szCs w:val="20"/>
          <w:lang w:eastAsia="de-DE"/>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A IV, 2, 90.</w:t>
      </w:r>
    </w:p>
  </w:footnote>
  <w:footnote w:id="67">
    <w:p w14:paraId="117F0B7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101; siehe </w:t>
      </w:r>
      <w:r w:rsidR="00BD7933">
        <w:rPr>
          <w:rFonts w:cs="Times New Roman"/>
          <w:lang w:val="de-DE"/>
        </w:rPr>
        <w:t xml:space="preserve">J. </w:t>
      </w:r>
      <w:r w:rsidRPr="006002E6">
        <w:rPr>
          <w:rFonts w:cs="Times New Roman"/>
          <w:lang w:val="de-DE"/>
        </w:rPr>
        <w:t>Bodin,</w:t>
      </w:r>
      <w:r w:rsidR="00BD7933">
        <w:rPr>
          <w:rFonts w:cs="Times New Roman"/>
          <w:lang w:val="de-DE"/>
        </w:rPr>
        <w:t xml:space="preserve"> </w:t>
      </w:r>
      <w:r w:rsidR="00BD7933">
        <w:rPr>
          <w:rFonts w:cs="Times New Roman"/>
          <w:i/>
          <w:lang w:val="de-DE"/>
        </w:rPr>
        <w:t xml:space="preserve">Six </w:t>
      </w:r>
      <w:proofErr w:type="spellStart"/>
      <w:r w:rsidR="00BD7933">
        <w:rPr>
          <w:rFonts w:cs="Times New Roman"/>
          <w:i/>
          <w:lang w:val="de-DE"/>
        </w:rPr>
        <w:t>livres</w:t>
      </w:r>
      <w:proofErr w:type="spellEnd"/>
      <w:r w:rsidR="00BD7933">
        <w:rPr>
          <w:rFonts w:cs="Times New Roman"/>
          <w:i/>
          <w:lang w:val="de-DE"/>
        </w:rPr>
        <w:t xml:space="preserve"> de la </w:t>
      </w:r>
      <w:proofErr w:type="spellStart"/>
      <w:r w:rsidR="00BD7933">
        <w:rPr>
          <w:rFonts w:cs="Times New Roman"/>
          <w:i/>
          <w:lang w:val="de-DE"/>
        </w:rPr>
        <w:t>république</w:t>
      </w:r>
      <w:proofErr w:type="spellEnd"/>
      <w:r w:rsidR="004F5E04">
        <w:rPr>
          <w:rFonts w:cs="Times New Roman"/>
          <w:lang w:val="de-DE"/>
        </w:rPr>
        <w:t xml:space="preserve"> (wie Anm. 4</w:t>
      </w:r>
      <w:r w:rsidR="00BD7933">
        <w:rPr>
          <w:rFonts w:cs="Times New Roman"/>
          <w:lang w:val="de-DE"/>
        </w:rPr>
        <w:t>)</w:t>
      </w:r>
      <w:r w:rsidRPr="006002E6">
        <w:rPr>
          <w:rFonts w:cs="Times New Roman"/>
          <w:lang w:val="de-DE"/>
        </w:rPr>
        <w:t>, I, 7.</w:t>
      </w:r>
    </w:p>
  </w:footnote>
  <w:footnote w:id="68">
    <w:p w14:paraId="51E6BDB3"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A IV, 2, 102</w:t>
      </w:r>
      <w:r w:rsidRPr="006002E6">
        <w:rPr>
          <w:rFonts w:cs="Times New Roman"/>
          <w:lang w:val="de-DE"/>
        </w:rPr>
        <w:t>.</w:t>
      </w:r>
    </w:p>
  </w:footnote>
  <w:footnote w:id="69">
    <w:p w14:paraId="1C08591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313965">
        <w:rPr>
          <w:rFonts w:cs="Times New Roman"/>
          <w:lang w:val="de-DE"/>
        </w:rPr>
        <w:t xml:space="preserve"> Siehe A. Alciato, </w:t>
      </w:r>
      <w:r w:rsidR="00313965" w:rsidRPr="00313965">
        <w:rPr>
          <w:rFonts w:cs="Times New Roman"/>
          <w:i/>
          <w:lang w:val="de-DE"/>
        </w:rPr>
        <w:t xml:space="preserve">Tractatus de </w:t>
      </w:r>
      <w:proofErr w:type="spellStart"/>
      <w:r w:rsidR="00313965" w:rsidRPr="00313965">
        <w:rPr>
          <w:rFonts w:cs="Times New Roman"/>
          <w:i/>
          <w:lang w:val="de-DE"/>
        </w:rPr>
        <w:t>praesumptionibus</w:t>
      </w:r>
      <w:proofErr w:type="spellEnd"/>
      <w:r w:rsidR="0075489E">
        <w:rPr>
          <w:rFonts w:cs="Times New Roman"/>
          <w:lang w:val="de-DE"/>
        </w:rPr>
        <w:t xml:space="preserve"> (Lyon, 1551)</w:t>
      </w:r>
      <w:r w:rsidR="00313965">
        <w:rPr>
          <w:rFonts w:cs="Times New Roman"/>
          <w:lang w:val="de-DE"/>
        </w:rPr>
        <w:t>, 28</w:t>
      </w:r>
      <w:r w:rsidRPr="006002E6">
        <w:rPr>
          <w:rFonts w:cs="Times New Roman"/>
          <w:lang w:val="de-DE"/>
        </w:rPr>
        <w:t>.</w:t>
      </w:r>
    </w:p>
  </w:footnote>
  <w:footnote w:id="70">
    <w:p w14:paraId="074E91C3"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 xml:space="preserve">C. </w:t>
      </w:r>
      <w:r w:rsidRPr="006002E6">
        <w:rPr>
          <w:rFonts w:cs="Times New Roman"/>
          <w:lang w:val="de-DE"/>
        </w:rPr>
        <w:t xml:space="preserve">Besold, </w:t>
      </w:r>
      <w:r w:rsidR="007628B8">
        <w:rPr>
          <w:rFonts w:cs="Times New Roman"/>
          <w:i/>
          <w:lang w:val="de-DE"/>
        </w:rPr>
        <w:t xml:space="preserve">Praecognita </w:t>
      </w:r>
      <w:proofErr w:type="spellStart"/>
      <w:r w:rsidR="007628B8">
        <w:rPr>
          <w:rFonts w:cs="Times New Roman"/>
          <w:i/>
          <w:lang w:val="de-DE"/>
        </w:rPr>
        <w:t>p</w:t>
      </w:r>
      <w:r w:rsidRPr="00742EA8">
        <w:rPr>
          <w:rFonts w:cs="Times New Roman"/>
          <w:i/>
          <w:lang w:val="de-DE"/>
        </w:rPr>
        <w:t>olitices</w:t>
      </w:r>
      <w:proofErr w:type="spellEnd"/>
      <w:r w:rsidR="00313965">
        <w:rPr>
          <w:rFonts w:cs="Times New Roman"/>
          <w:lang w:val="de-DE"/>
        </w:rPr>
        <w:t xml:space="preserve"> (</w:t>
      </w:r>
      <w:proofErr w:type="spellStart"/>
      <w:r w:rsidR="00313965">
        <w:rPr>
          <w:rFonts w:cs="Times New Roman"/>
          <w:lang w:val="de-DE"/>
        </w:rPr>
        <w:t>Argentorati</w:t>
      </w:r>
      <w:proofErr w:type="spellEnd"/>
      <w:r w:rsidR="00313965">
        <w:rPr>
          <w:rFonts w:cs="Times New Roman"/>
          <w:lang w:val="de-DE"/>
        </w:rPr>
        <w:t>, 1641</w:t>
      </w:r>
      <w:r w:rsidR="00BD7933">
        <w:rPr>
          <w:rFonts w:cs="Times New Roman"/>
          <w:lang w:val="de-DE"/>
        </w:rPr>
        <w:t>),</w:t>
      </w:r>
      <w:r w:rsidRPr="006002E6">
        <w:rPr>
          <w:rFonts w:cs="Times New Roman"/>
          <w:lang w:val="de-DE"/>
        </w:rPr>
        <w:t xml:space="preserve"> 36.</w:t>
      </w:r>
    </w:p>
  </w:footnote>
  <w:footnote w:id="71">
    <w:p w14:paraId="6C3AA77A"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37.</w:t>
      </w:r>
    </w:p>
  </w:footnote>
  <w:footnote w:id="72">
    <w:p w14:paraId="2137D1A8"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38.</w:t>
      </w:r>
    </w:p>
  </w:footnote>
  <w:footnote w:id="73">
    <w:p w14:paraId="7572E7E1" w14:textId="77777777" w:rsidR="003F134D" w:rsidRPr="006002E6" w:rsidRDefault="003F134D"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742EA8" w:rsidRPr="006002E6">
        <w:rPr>
          <w:rFonts w:cs="Times New Roman"/>
          <w:lang w:val="de-DE"/>
        </w:rPr>
        <w:t xml:space="preserve">Besold, </w:t>
      </w:r>
      <w:r w:rsidR="007628B8">
        <w:rPr>
          <w:rFonts w:cs="Times New Roman"/>
          <w:i/>
          <w:lang w:val="de-DE"/>
        </w:rPr>
        <w:t xml:space="preserve">Praecognita </w:t>
      </w:r>
      <w:proofErr w:type="spellStart"/>
      <w:r w:rsidR="007628B8">
        <w:rPr>
          <w:rFonts w:cs="Times New Roman"/>
          <w:i/>
          <w:lang w:val="de-DE"/>
        </w:rPr>
        <w:t>p</w:t>
      </w:r>
      <w:r w:rsidR="00742EA8" w:rsidRPr="00742EA8">
        <w:rPr>
          <w:rFonts w:cs="Times New Roman"/>
          <w:i/>
          <w:lang w:val="de-DE"/>
        </w:rPr>
        <w:t>olitices</w:t>
      </w:r>
      <w:proofErr w:type="spellEnd"/>
      <w:r w:rsidR="00EB1EBC">
        <w:rPr>
          <w:rFonts w:cs="Times New Roman"/>
          <w:lang w:val="de-DE"/>
        </w:rPr>
        <w:t xml:space="preserve"> (wie Anm. 70</w:t>
      </w:r>
      <w:r w:rsidR="00BD7933">
        <w:rPr>
          <w:rFonts w:cs="Times New Roman"/>
          <w:lang w:val="de-DE"/>
        </w:rPr>
        <w:t>),</w:t>
      </w:r>
      <w:r w:rsidRPr="006002E6">
        <w:rPr>
          <w:rFonts w:cs="Times New Roman"/>
          <w:lang w:val="de-DE"/>
        </w:rPr>
        <w:t xml:space="preserve"> 41.</w:t>
      </w:r>
    </w:p>
  </w:footnote>
  <w:footnote w:id="74">
    <w:p w14:paraId="54369860" w14:textId="77777777" w:rsidR="0080250E" w:rsidRPr="006002E6" w:rsidRDefault="0080250E"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66.</w:t>
      </w:r>
    </w:p>
  </w:footnote>
  <w:footnote w:id="75">
    <w:p w14:paraId="4D807B9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41.</w:t>
      </w:r>
    </w:p>
  </w:footnote>
  <w:footnote w:id="76">
    <w:p w14:paraId="5512D641"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Besold, </w:t>
      </w:r>
      <w:r w:rsidRPr="00742EA8">
        <w:rPr>
          <w:rFonts w:cs="Times New Roman"/>
          <w:i/>
          <w:lang w:val="de-DE"/>
        </w:rPr>
        <w:t>De foederum jure</w:t>
      </w:r>
      <w:r w:rsidR="00313965">
        <w:rPr>
          <w:rFonts w:cs="Times New Roman"/>
          <w:lang w:val="de-DE"/>
        </w:rPr>
        <w:t xml:space="preserve"> (wie Anm. 20</w:t>
      </w:r>
      <w:r w:rsidR="00BD7933">
        <w:rPr>
          <w:rFonts w:cs="Times New Roman"/>
          <w:lang w:val="de-DE"/>
        </w:rPr>
        <w:t>),</w:t>
      </w:r>
      <w:r w:rsidRPr="006002E6">
        <w:rPr>
          <w:rFonts w:cs="Times New Roman"/>
          <w:lang w:val="de-DE"/>
        </w:rPr>
        <w:t xml:space="preserve"> 10.</w:t>
      </w:r>
    </w:p>
  </w:footnote>
  <w:footnote w:id="77">
    <w:p w14:paraId="4EB2597F"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 22-23.</w:t>
      </w:r>
    </w:p>
  </w:footnote>
  <w:footnote w:id="78">
    <w:p w14:paraId="2B204DD5" w14:textId="77777777" w:rsidR="00D40233" w:rsidRPr="006002E6" w:rsidRDefault="00D40233"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BD7933">
        <w:rPr>
          <w:rFonts w:cs="Times New Roman"/>
          <w:lang w:val="de-DE"/>
        </w:rPr>
        <w:t>Ebd.</w:t>
      </w:r>
      <w:r w:rsidR="007F0EF9">
        <w:rPr>
          <w:rFonts w:cs="Times New Roman"/>
          <w:lang w:val="de-DE"/>
        </w:rPr>
        <w:t>, 7</w:t>
      </w:r>
      <w:r w:rsidRPr="006002E6">
        <w:rPr>
          <w:rFonts w:cs="Times New Roman"/>
          <w:lang w:val="de-DE"/>
        </w:rPr>
        <w:t>.</w:t>
      </w:r>
    </w:p>
  </w:footnote>
  <w:footnote w:id="79">
    <w:p w14:paraId="11569F0D" w14:textId="77777777" w:rsidR="008A316B" w:rsidRPr="006002E6" w:rsidRDefault="008A316B"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w:t>
      </w:r>
      <w:r w:rsidR="00EA2D9A">
        <w:rPr>
          <w:rFonts w:ascii="Times New Roman" w:hAnsi="Times New Roman"/>
          <w:sz w:val="20"/>
          <w:szCs w:val="20"/>
        </w:rPr>
        <w:t xml:space="preserve">C. </w:t>
      </w:r>
      <w:r w:rsidRPr="006002E6">
        <w:rPr>
          <w:rFonts w:ascii="Times New Roman" w:hAnsi="Times New Roman"/>
          <w:sz w:val="20"/>
          <w:szCs w:val="20"/>
        </w:rPr>
        <w:t>Besold</w:t>
      </w:r>
      <w:r w:rsidR="001F0462">
        <w:rPr>
          <w:rFonts w:ascii="Times New Roman" w:hAnsi="Times New Roman"/>
          <w:sz w:val="20"/>
          <w:szCs w:val="20"/>
        </w:rPr>
        <w:t xml:space="preserve">, </w:t>
      </w:r>
      <w:r w:rsidR="001F0462" w:rsidRPr="007F0EF9">
        <w:rPr>
          <w:rFonts w:ascii="Times New Roman" w:hAnsi="Times New Roman"/>
          <w:i/>
          <w:sz w:val="20"/>
          <w:szCs w:val="20"/>
        </w:rPr>
        <w:t>De legatis, eorumque jure</w:t>
      </w:r>
      <w:r w:rsidR="001F0462">
        <w:rPr>
          <w:rFonts w:ascii="Times New Roman" w:hAnsi="Times New Roman"/>
          <w:sz w:val="20"/>
          <w:szCs w:val="20"/>
        </w:rPr>
        <w:t>,</w:t>
      </w:r>
      <w:r w:rsidR="00EA2D9A">
        <w:rPr>
          <w:rFonts w:ascii="Times New Roman" w:hAnsi="Times New Roman"/>
          <w:sz w:val="20"/>
          <w:szCs w:val="20"/>
        </w:rPr>
        <w:t xml:space="preserve"> in C. Besold, </w:t>
      </w:r>
      <w:r w:rsidR="00EA2D9A">
        <w:rPr>
          <w:rFonts w:ascii="Times New Roman" w:hAnsi="Times New Roman"/>
          <w:i/>
          <w:sz w:val="20"/>
          <w:szCs w:val="20"/>
        </w:rPr>
        <w:t xml:space="preserve">Spicilegia </w:t>
      </w:r>
      <w:proofErr w:type="spellStart"/>
      <w:r w:rsidR="00EA2D9A">
        <w:rPr>
          <w:rFonts w:ascii="Times New Roman" w:hAnsi="Times New Roman"/>
          <w:i/>
          <w:sz w:val="20"/>
          <w:szCs w:val="20"/>
        </w:rPr>
        <w:t>politico-juridica</w:t>
      </w:r>
      <w:proofErr w:type="spellEnd"/>
      <w:r w:rsidR="00EA2D9A">
        <w:rPr>
          <w:rFonts w:ascii="Times New Roman" w:hAnsi="Times New Roman"/>
          <w:i/>
          <w:sz w:val="20"/>
          <w:szCs w:val="20"/>
        </w:rPr>
        <w:t xml:space="preserve"> </w:t>
      </w:r>
      <w:r w:rsidR="00EA2D9A">
        <w:rPr>
          <w:rFonts w:ascii="Times New Roman" w:hAnsi="Times New Roman"/>
          <w:sz w:val="20"/>
          <w:szCs w:val="20"/>
        </w:rPr>
        <w:t>(</w:t>
      </w:r>
      <w:proofErr w:type="spellStart"/>
      <w:r w:rsidR="00EA2D9A">
        <w:rPr>
          <w:rFonts w:ascii="Times New Roman" w:hAnsi="Times New Roman"/>
          <w:sz w:val="20"/>
          <w:szCs w:val="20"/>
        </w:rPr>
        <w:t>Argentorati</w:t>
      </w:r>
      <w:proofErr w:type="spellEnd"/>
      <w:r w:rsidR="00EA2D9A">
        <w:rPr>
          <w:rFonts w:ascii="Times New Roman" w:hAnsi="Times New Roman"/>
          <w:sz w:val="20"/>
          <w:szCs w:val="20"/>
        </w:rPr>
        <w:t>, 1624),</w:t>
      </w:r>
      <w:r w:rsidR="001F0462">
        <w:rPr>
          <w:rFonts w:ascii="Times New Roman" w:hAnsi="Times New Roman"/>
          <w:sz w:val="20"/>
          <w:szCs w:val="20"/>
        </w:rPr>
        <w:t xml:space="preserve"> 8</w:t>
      </w:r>
      <w:r w:rsidRPr="006002E6">
        <w:rPr>
          <w:rFonts w:ascii="Times New Roman" w:hAnsi="Times New Roman"/>
          <w:sz w:val="20"/>
          <w:szCs w:val="20"/>
        </w:rPr>
        <w:t>.</w:t>
      </w:r>
    </w:p>
  </w:footnote>
  <w:footnote w:id="80">
    <w:p w14:paraId="432071D1"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F0462">
        <w:rPr>
          <w:rFonts w:cs="Times New Roman"/>
          <w:lang w:val="de-DE"/>
        </w:rPr>
        <w:t xml:space="preserve"> A IV, 2, </w:t>
      </w:r>
      <w:r w:rsidRPr="006002E6">
        <w:rPr>
          <w:rFonts w:cs="Times New Roman"/>
          <w:lang w:val="de-DE"/>
        </w:rPr>
        <w:t>100.</w:t>
      </w:r>
    </w:p>
  </w:footnote>
  <w:footnote w:id="81">
    <w:p w14:paraId="4EBB2C53" w14:textId="77777777" w:rsidR="003F134D" w:rsidRPr="006002E6" w:rsidRDefault="003F134D"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1F0462">
        <w:rPr>
          <w:rFonts w:cs="Times New Roman"/>
          <w:lang w:val="de-DE"/>
        </w:rPr>
        <w:t xml:space="preserve">A IV, 2, </w:t>
      </w:r>
      <w:r w:rsidRPr="006002E6">
        <w:rPr>
          <w:rFonts w:cs="Times New Roman"/>
          <w:lang w:val="de-DE"/>
        </w:rPr>
        <w:t>38.</w:t>
      </w:r>
    </w:p>
  </w:footnote>
  <w:footnote w:id="82">
    <w:p w14:paraId="7DA05E57"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F0462">
        <w:rPr>
          <w:rFonts w:cs="Times New Roman"/>
          <w:lang w:val="de-DE"/>
        </w:rPr>
        <w:t xml:space="preserve"> A IV, 2, </w:t>
      </w:r>
      <w:r w:rsidRPr="006002E6">
        <w:rPr>
          <w:rFonts w:cs="Times New Roman"/>
          <w:lang w:val="de-DE"/>
        </w:rPr>
        <w:t>102.</w:t>
      </w:r>
    </w:p>
  </w:footnote>
  <w:footnote w:id="83">
    <w:p w14:paraId="0C5028E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313965">
        <w:rPr>
          <w:rFonts w:cs="Times New Roman"/>
          <w:lang w:val="de-DE"/>
        </w:rPr>
        <w:t xml:space="preserve"> </w:t>
      </w:r>
      <w:r w:rsidR="00BD7933">
        <w:rPr>
          <w:rFonts w:cs="Times New Roman"/>
          <w:lang w:val="de-DE"/>
        </w:rPr>
        <w:t>Eb</w:t>
      </w:r>
      <w:r w:rsidRPr="006002E6">
        <w:rPr>
          <w:rFonts w:cs="Times New Roman"/>
          <w:lang w:val="de-DE"/>
        </w:rPr>
        <w:t>d.</w:t>
      </w:r>
    </w:p>
  </w:footnote>
  <w:footnote w:id="84">
    <w:p w14:paraId="7A3E75D7" w14:textId="77777777" w:rsidR="008A316B" w:rsidRPr="006002E6" w:rsidRDefault="008A316B" w:rsidP="006002E6">
      <w:pPr>
        <w:pStyle w:val="Funotentext"/>
        <w:spacing w:line="360" w:lineRule="auto"/>
        <w:jc w:val="both"/>
        <w:rPr>
          <w:rFonts w:cs="Times New Roman"/>
          <w:lang w:val="de-DE"/>
        </w:rPr>
      </w:pPr>
      <w:r w:rsidRPr="006002E6">
        <w:rPr>
          <w:rStyle w:val="Funotenzeichen"/>
          <w:rFonts w:cs="Times New Roman"/>
          <w:lang w:val="de-DE"/>
        </w:rPr>
        <w:footnoteRef/>
      </w:r>
      <w:r w:rsidR="001F0462">
        <w:rPr>
          <w:rFonts w:cs="Times New Roman"/>
          <w:lang w:val="de-DE"/>
        </w:rPr>
        <w:t xml:space="preserve"> A IV, 2,</w:t>
      </w:r>
      <w:r w:rsidRPr="006002E6">
        <w:rPr>
          <w:rFonts w:cs="Times New Roman"/>
          <w:lang w:val="de-DE"/>
        </w:rPr>
        <w:t xml:space="preserve"> 140.</w:t>
      </w:r>
    </w:p>
  </w:footnote>
  <w:footnote w:id="85">
    <w:p w14:paraId="493BBB55"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w:t>
      </w:r>
      <w:r w:rsidR="00EA2D9A">
        <w:rPr>
          <w:rFonts w:cs="Times New Roman"/>
          <w:lang w:val="de-DE"/>
        </w:rPr>
        <w:t xml:space="preserve">C. </w:t>
      </w:r>
      <w:r w:rsidRPr="006002E6">
        <w:rPr>
          <w:rFonts w:cs="Times New Roman"/>
          <w:lang w:val="de-DE"/>
        </w:rPr>
        <w:t xml:space="preserve">Besold, </w:t>
      </w:r>
      <w:r w:rsidRPr="005C0136">
        <w:rPr>
          <w:rFonts w:cs="Times New Roman"/>
          <w:i/>
          <w:lang w:val="de-DE"/>
        </w:rPr>
        <w:t xml:space="preserve">De </w:t>
      </w:r>
      <w:r w:rsidR="00EA2D9A">
        <w:rPr>
          <w:rFonts w:cs="Times New Roman"/>
          <w:i/>
          <w:lang w:val="de-DE"/>
        </w:rPr>
        <w:t xml:space="preserve">sessionis </w:t>
      </w:r>
      <w:proofErr w:type="spellStart"/>
      <w:r w:rsidR="00EA2D9A">
        <w:rPr>
          <w:rFonts w:cs="Times New Roman"/>
          <w:i/>
          <w:lang w:val="de-DE"/>
        </w:rPr>
        <w:t>praecedentia</w:t>
      </w:r>
      <w:proofErr w:type="spellEnd"/>
      <w:r w:rsidRPr="006002E6">
        <w:rPr>
          <w:rFonts w:cs="Times New Roman"/>
          <w:lang w:val="de-DE"/>
        </w:rPr>
        <w:t xml:space="preserve">, </w:t>
      </w:r>
      <w:r w:rsidR="00EA2D9A">
        <w:rPr>
          <w:rFonts w:cs="Times New Roman"/>
          <w:lang w:val="de-DE"/>
        </w:rPr>
        <w:t xml:space="preserve">in C. Besold, </w:t>
      </w:r>
      <w:r w:rsidR="00EA2D9A">
        <w:rPr>
          <w:rFonts w:cs="Times New Roman"/>
          <w:i/>
          <w:lang w:val="de-DE"/>
        </w:rPr>
        <w:t xml:space="preserve">Spicilegia </w:t>
      </w:r>
      <w:proofErr w:type="spellStart"/>
      <w:r w:rsidR="00EA2D9A">
        <w:rPr>
          <w:rFonts w:cs="Times New Roman"/>
          <w:i/>
          <w:lang w:val="de-DE"/>
        </w:rPr>
        <w:t>politico-juridica</w:t>
      </w:r>
      <w:proofErr w:type="spellEnd"/>
      <w:r w:rsidR="00EA2D9A">
        <w:rPr>
          <w:rFonts w:cs="Times New Roman"/>
          <w:i/>
          <w:lang w:val="de-DE"/>
        </w:rPr>
        <w:t xml:space="preserve"> </w:t>
      </w:r>
      <w:r w:rsidR="0075489E">
        <w:rPr>
          <w:rFonts w:cs="Times New Roman"/>
          <w:lang w:val="de-DE"/>
        </w:rPr>
        <w:t>(wie Anm.79</w:t>
      </w:r>
      <w:r w:rsidR="00EA2D9A">
        <w:rPr>
          <w:rFonts w:cs="Times New Roman"/>
          <w:lang w:val="de-DE"/>
        </w:rPr>
        <w:t xml:space="preserve">), </w:t>
      </w:r>
      <w:r w:rsidRPr="006002E6">
        <w:rPr>
          <w:rFonts w:cs="Times New Roman"/>
          <w:lang w:val="de-DE"/>
        </w:rPr>
        <w:t>112.</w:t>
      </w:r>
    </w:p>
  </w:footnote>
  <w:footnote w:id="86">
    <w:p w14:paraId="138E7A08" w14:textId="77777777" w:rsidR="001F1835" w:rsidRPr="006002E6" w:rsidRDefault="001F183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w:t>
      </w:r>
    </w:p>
  </w:footnote>
  <w:footnote w:id="87">
    <w:p w14:paraId="5BEC49B0" w14:textId="77777777" w:rsidR="001413B5" w:rsidRPr="006002E6" w:rsidRDefault="001413B5" w:rsidP="006002E6">
      <w:pPr>
        <w:spacing w:after="0" w:line="360" w:lineRule="auto"/>
        <w:jc w:val="both"/>
        <w:rPr>
          <w:rFonts w:ascii="Times New Roman" w:hAnsi="Times New Roman"/>
          <w:sz w:val="20"/>
          <w:szCs w:val="20"/>
        </w:rPr>
      </w:pPr>
      <w:r w:rsidRPr="006002E6">
        <w:rPr>
          <w:rStyle w:val="Funotenzeichen"/>
          <w:rFonts w:ascii="Times New Roman" w:hAnsi="Times New Roman"/>
          <w:sz w:val="20"/>
          <w:szCs w:val="20"/>
        </w:rPr>
        <w:footnoteRef/>
      </w:r>
      <w:r w:rsidRPr="006002E6">
        <w:rPr>
          <w:rFonts w:ascii="Times New Roman" w:hAnsi="Times New Roman"/>
          <w:sz w:val="20"/>
          <w:szCs w:val="20"/>
        </w:rPr>
        <w:t xml:space="preserve"> </w:t>
      </w:r>
      <w:r w:rsidR="00BD7933">
        <w:rPr>
          <w:rFonts w:ascii="Times New Roman" w:hAnsi="Times New Roman"/>
          <w:sz w:val="20"/>
          <w:szCs w:val="20"/>
        </w:rPr>
        <w:t>Eb</w:t>
      </w:r>
      <w:r w:rsidR="00E25D40" w:rsidRPr="006002E6">
        <w:rPr>
          <w:rFonts w:ascii="Times New Roman" w:hAnsi="Times New Roman"/>
          <w:sz w:val="20"/>
          <w:szCs w:val="20"/>
        </w:rPr>
        <w:t>d.</w:t>
      </w:r>
      <w:r w:rsidRPr="006002E6">
        <w:rPr>
          <w:rFonts w:ascii="Times New Roman" w:hAnsi="Times New Roman"/>
          <w:sz w:val="20"/>
          <w:szCs w:val="20"/>
        </w:rPr>
        <w:t>, 119.</w:t>
      </w:r>
    </w:p>
  </w:footnote>
  <w:footnote w:id="88">
    <w:p w14:paraId="12D3DB67" w14:textId="77777777" w:rsidR="00E25D40" w:rsidRPr="006002E6" w:rsidRDefault="00E25D40"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w:t>
      </w:r>
    </w:p>
  </w:footnote>
  <w:footnote w:id="89">
    <w:p w14:paraId="6494B88F" w14:textId="77777777" w:rsidR="001413B5" w:rsidRPr="006002E6" w:rsidRDefault="001413B5" w:rsidP="006002E6">
      <w:pPr>
        <w:autoSpaceDE w:val="0"/>
        <w:autoSpaceDN w:val="0"/>
        <w:adjustRightInd w:val="0"/>
        <w:spacing w:after="0" w:line="360" w:lineRule="auto"/>
        <w:jc w:val="both"/>
        <w:rPr>
          <w:rFonts w:ascii="Times New Roman" w:hAnsi="Times New Roman"/>
          <w:sz w:val="20"/>
          <w:szCs w:val="20"/>
          <w:lang w:eastAsia="de-DE"/>
        </w:rPr>
      </w:pPr>
      <w:r w:rsidRPr="006002E6">
        <w:rPr>
          <w:rStyle w:val="Funotenzeichen"/>
          <w:rFonts w:ascii="Times New Roman" w:hAnsi="Times New Roman"/>
          <w:sz w:val="20"/>
          <w:szCs w:val="20"/>
        </w:rPr>
        <w:footnoteRef/>
      </w:r>
      <w:r w:rsidR="001F0462">
        <w:rPr>
          <w:rFonts w:ascii="Times New Roman" w:hAnsi="Times New Roman"/>
          <w:sz w:val="20"/>
          <w:szCs w:val="20"/>
        </w:rPr>
        <w:t xml:space="preserve"> A IV, 2, </w:t>
      </w:r>
      <w:r w:rsidRPr="006002E6">
        <w:rPr>
          <w:rFonts w:ascii="Times New Roman" w:hAnsi="Times New Roman"/>
          <w:sz w:val="20"/>
          <w:szCs w:val="20"/>
        </w:rPr>
        <w:t>38.</w:t>
      </w:r>
    </w:p>
  </w:footnote>
  <w:footnote w:id="90">
    <w:p w14:paraId="3879445B"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w:t>
      </w:r>
    </w:p>
  </w:footnote>
  <w:footnote w:id="91">
    <w:p w14:paraId="1F401AF2"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1F0462">
        <w:rPr>
          <w:rFonts w:cs="Times New Roman"/>
          <w:lang w:val="de-DE"/>
        </w:rPr>
        <w:t xml:space="preserve"> A IV, 2, </w:t>
      </w:r>
      <w:r w:rsidRPr="006002E6">
        <w:rPr>
          <w:rFonts w:cs="Times New Roman"/>
          <w:lang w:val="de-DE"/>
        </w:rPr>
        <w:t>142.</w:t>
      </w:r>
    </w:p>
  </w:footnote>
  <w:footnote w:id="92">
    <w:p w14:paraId="79567F1E"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w:t>
      </w:r>
      <w:r w:rsidR="008A316B" w:rsidRPr="006002E6">
        <w:rPr>
          <w:rFonts w:cs="Times New Roman"/>
          <w:lang w:val="de-DE"/>
        </w:rPr>
        <w:t>.</w:t>
      </w:r>
    </w:p>
  </w:footnote>
  <w:footnote w:id="93">
    <w:p w14:paraId="06578D80" w14:textId="77777777" w:rsidR="00E25D40" w:rsidRPr="006002E6" w:rsidRDefault="00E25D40" w:rsidP="006002E6">
      <w:pPr>
        <w:pStyle w:val="Funotentext"/>
        <w:spacing w:line="360" w:lineRule="auto"/>
        <w:jc w:val="both"/>
        <w:rPr>
          <w:rFonts w:cs="Times New Roman"/>
          <w:lang w:val="de-DE"/>
        </w:rPr>
      </w:pPr>
      <w:r w:rsidRPr="006002E6">
        <w:rPr>
          <w:rStyle w:val="Funotenzeichen"/>
          <w:rFonts w:cs="Times New Roman"/>
          <w:lang w:val="de-DE"/>
        </w:rPr>
        <w:footnoteRef/>
      </w:r>
      <w:r w:rsidRPr="006002E6">
        <w:rPr>
          <w:rFonts w:cs="Times New Roman"/>
          <w:lang w:val="de-DE"/>
        </w:rPr>
        <w:t xml:space="preserve"> A IV, 2, 353-354.</w:t>
      </w:r>
    </w:p>
  </w:footnote>
  <w:footnote w:id="94">
    <w:p w14:paraId="67DC14AE" w14:textId="77777777" w:rsidR="001413B5" w:rsidRPr="006002E6" w:rsidRDefault="001413B5" w:rsidP="006002E6">
      <w:pPr>
        <w:pStyle w:val="Funotentext"/>
        <w:spacing w:line="360" w:lineRule="auto"/>
        <w:jc w:val="both"/>
        <w:rPr>
          <w:rFonts w:cs="Times New Roman"/>
          <w:lang w:val="de-DE"/>
        </w:rPr>
      </w:pPr>
      <w:r w:rsidRPr="006002E6">
        <w:rPr>
          <w:rStyle w:val="Funotenzeichen"/>
          <w:rFonts w:cs="Times New Roman"/>
          <w:lang w:val="de-DE"/>
        </w:rPr>
        <w:footnoteRef/>
      </w:r>
      <w:r w:rsidR="00BD7933">
        <w:rPr>
          <w:rFonts w:cs="Times New Roman"/>
          <w:lang w:val="de-DE"/>
        </w:rPr>
        <w:t xml:space="preserve"> Eb</w:t>
      </w:r>
      <w:r w:rsidRPr="006002E6">
        <w:rPr>
          <w:rFonts w:cs="Times New Roman"/>
          <w:lang w:val="de-DE"/>
        </w:rPr>
        <w: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DAB"/>
    <w:multiLevelType w:val="hybridMultilevel"/>
    <w:tmpl w:val="0966D8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B81A03"/>
    <w:multiLevelType w:val="hybridMultilevel"/>
    <w:tmpl w:val="4EB4D4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CD40EE"/>
    <w:multiLevelType w:val="hybridMultilevel"/>
    <w:tmpl w:val="C7ACA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C097C"/>
    <w:multiLevelType w:val="hybridMultilevel"/>
    <w:tmpl w:val="9236860A"/>
    <w:lvl w:ilvl="0" w:tplc="345051A4">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460887"/>
    <w:multiLevelType w:val="hybridMultilevel"/>
    <w:tmpl w:val="C8BA1CDA"/>
    <w:lvl w:ilvl="0" w:tplc="0C56A872">
      <w:start w:val="229"/>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AF7D3C"/>
    <w:multiLevelType w:val="hybridMultilevel"/>
    <w:tmpl w:val="C5E8F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CF1BC6"/>
    <w:multiLevelType w:val="hybridMultilevel"/>
    <w:tmpl w:val="30C8F5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021BCD"/>
    <w:multiLevelType w:val="hybridMultilevel"/>
    <w:tmpl w:val="01CAF36E"/>
    <w:lvl w:ilvl="0" w:tplc="1826DC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73D57039"/>
    <w:multiLevelType w:val="hybridMultilevel"/>
    <w:tmpl w:val="0F3E0D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0D62E5"/>
    <w:multiLevelType w:val="hybridMultilevel"/>
    <w:tmpl w:val="E8C8F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2049493">
    <w:abstractNumId w:val="4"/>
  </w:num>
  <w:num w:numId="2" w16cid:durableId="1697727781">
    <w:abstractNumId w:val="7"/>
  </w:num>
  <w:num w:numId="3" w16cid:durableId="1659575400">
    <w:abstractNumId w:val="9"/>
  </w:num>
  <w:num w:numId="4" w16cid:durableId="1839928957">
    <w:abstractNumId w:val="5"/>
  </w:num>
  <w:num w:numId="5" w16cid:durableId="1554996783">
    <w:abstractNumId w:val="8"/>
  </w:num>
  <w:num w:numId="6" w16cid:durableId="2121951065">
    <w:abstractNumId w:val="0"/>
  </w:num>
  <w:num w:numId="7" w16cid:durableId="525290295">
    <w:abstractNumId w:val="2"/>
  </w:num>
  <w:num w:numId="8" w16cid:durableId="805002477">
    <w:abstractNumId w:val="1"/>
  </w:num>
  <w:num w:numId="9" w16cid:durableId="823857286">
    <w:abstractNumId w:val="3"/>
  </w:num>
  <w:num w:numId="10" w16cid:durableId="52752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99"/>
    <w:rsid w:val="00007507"/>
    <w:rsid w:val="00011134"/>
    <w:rsid w:val="00013200"/>
    <w:rsid w:val="000160E6"/>
    <w:rsid w:val="00016273"/>
    <w:rsid w:val="00016594"/>
    <w:rsid w:val="00023445"/>
    <w:rsid w:val="0002546E"/>
    <w:rsid w:val="000318FA"/>
    <w:rsid w:val="00031D9C"/>
    <w:rsid w:val="000452BD"/>
    <w:rsid w:val="000537DB"/>
    <w:rsid w:val="00055275"/>
    <w:rsid w:val="00081992"/>
    <w:rsid w:val="00082BF7"/>
    <w:rsid w:val="000855E6"/>
    <w:rsid w:val="00091863"/>
    <w:rsid w:val="000948D8"/>
    <w:rsid w:val="000965F6"/>
    <w:rsid w:val="000A183F"/>
    <w:rsid w:val="000A3F40"/>
    <w:rsid w:val="000B4D54"/>
    <w:rsid w:val="000B695C"/>
    <w:rsid w:val="000B7F20"/>
    <w:rsid w:val="000D48B4"/>
    <w:rsid w:val="000D5691"/>
    <w:rsid w:val="000D784A"/>
    <w:rsid w:val="000F0599"/>
    <w:rsid w:val="000F3C40"/>
    <w:rsid w:val="000F5B4D"/>
    <w:rsid w:val="00104F42"/>
    <w:rsid w:val="00111507"/>
    <w:rsid w:val="00116DB8"/>
    <w:rsid w:val="00123D1B"/>
    <w:rsid w:val="001254BE"/>
    <w:rsid w:val="00126FFA"/>
    <w:rsid w:val="001318EE"/>
    <w:rsid w:val="00132502"/>
    <w:rsid w:val="00141055"/>
    <w:rsid w:val="001413B5"/>
    <w:rsid w:val="00142EA3"/>
    <w:rsid w:val="00146E9F"/>
    <w:rsid w:val="001535E9"/>
    <w:rsid w:val="00157147"/>
    <w:rsid w:val="00157E80"/>
    <w:rsid w:val="00162F5A"/>
    <w:rsid w:val="001651CA"/>
    <w:rsid w:val="00166D1A"/>
    <w:rsid w:val="00171039"/>
    <w:rsid w:val="00171426"/>
    <w:rsid w:val="00172F19"/>
    <w:rsid w:val="00180C17"/>
    <w:rsid w:val="00187F6C"/>
    <w:rsid w:val="0019616E"/>
    <w:rsid w:val="001A61F3"/>
    <w:rsid w:val="001A6329"/>
    <w:rsid w:val="001A6659"/>
    <w:rsid w:val="001A7DEF"/>
    <w:rsid w:val="001B0CB8"/>
    <w:rsid w:val="001B1074"/>
    <w:rsid w:val="001B70F3"/>
    <w:rsid w:val="001C5FF2"/>
    <w:rsid w:val="001D4140"/>
    <w:rsid w:val="001D6BFD"/>
    <w:rsid w:val="001F0371"/>
    <w:rsid w:val="001F0462"/>
    <w:rsid w:val="001F1835"/>
    <w:rsid w:val="002076FA"/>
    <w:rsid w:val="00213B97"/>
    <w:rsid w:val="002164CA"/>
    <w:rsid w:val="00224D12"/>
    <w:rsid w:val="002255A3"/>
    <w:rsid w:val="002345B9"/>
    <w:rsid w:val="0023684E"/>
    <w:rsid w:val="00236BB9"/>
    <w:rsid w:val="0023723D"/>
    <w:rsid w:val="00237453"/>
    <w:rsid w:val="00242CEE"/>
    <w:rsid w:val="00243DBB"/>
    <w:rsid w:val="00244D1D"/>
    <w:rsid w:val="0025384E"/>
    <w:rsid w:val="00255DFD"/>
    <w:rsid w:val="00257B28"/>
    <w:rsid w:val="00260D2A"/>
    <w:rsid w:val="002619C2"/>
    <w:rsid w:val="00264386"/>
    <w:rsid w:val="00284232"/>
    <w:rsid w:val="00290AC2"/>
    <w:rsid w:val="002937CB"/>
    <w:rsid w:val="00296047"/>
    <w:rsid w:val="002A290A"/>
    <w:rsid w:val="002A45AB"/>
    <w:rsid w:val="002B0695"/>
    <w:rsid w:val="002B5925"/>
    <w:rsid w:val="002B6DEF"/>
    <w:rsid w:val="002C08FA"/>
    <w:rsid w:val="002C1399"/>
    <w:rsid w:val="002C1AC3"/>
    <w:rsid w:val="002C1F62"/>
    <w:rsid w:val="002C7563"/>
    <w:rsid w:val="002D379A"/>
    <w:rsid w:val="002D7879"/>
    <w:rsid w:val="002E74DB"/>
    <w:rsid w:val="002F0883"/>
    <w:rsid w:val="00302AEF"/>
    <w:rsid w:val="0030666A"/>
    <w:rsid w:val="00313965"/>
    <w:rsid w:val="003153BF"/>
    <w:rsid w:val="0032162B"/>
    <w:rsid w:val="00323726"/>
    <w:rsid w:val="0033232F"/>
    <w:rsid w:val="00345756"/>
    <w:rsid w:val="00347C37"/>
    <w:rsid w:val="00350453"/>
    <w:rsid w:val="00351265"/>
    <w:rsid w:val="00351591"/>
    <w:rsid w:val="00353AE3"/>
    <w:rsid w:val="00355897"/>
    <w:rsid w:val="00363517"/>
    <w:rsid w:val="0036689D"/>
    <w:rsid w:val="00372268"/>
    <w:rsid w:val="0037358A"/>
    <w:rsid w:val="00373B8D"/>
    <w:rsid w:val="00377ACE"/>
    <w:rsid w:val="00381618"/>
    <w:rsid w:val="003844D1"/>
    <w:rsid w:val="0039146A"/>
    <w:rsid w:val="00392B1D"/>
    <w:rsid w:val="003A2137"/>
    <w:rsid w:val="003A5FAC"/>
    <w:rsid w:val="003B0BFD"/>
    <w:rsid w:val="003C1007"/>
    <w:rsid w:val="003D4C8C"/>
    <w:rsid w:val="003D50E8"/>
    <w:rsid w:val="003E4865"/>
    <w:rsid w:val="003F134D"/>
    <w:rsid w:val="003F253B"/>
    <w:rsid w:val="003F2CD0"/>
    <w:rsid w:val="003F3983"/>
    <w:rsid w:val="00401BAE"/>
    <w:rsid w:val="00417F7F"/>
    <w:rsid w:val="00422606"/>
    <w:rsid w:val="00427564"/>
    <w:rsid w:val="00427AC2"/>
    <w:rsid w:val="00433D08"/>
    <w:rsid w:val="004459A0"/>
    <w:rsid w:val="00447385"/>
    <w:rsid w:val="00447B21"/>
    <w:rsid w:val="00457633"/>
    <w:rsid w:val="004578DC"/>
    <w:rsid w:val="004631CB"/>
    <w:rsid w:val="00467D0C"/>
    <w:rsid w:val="00470151"/>
    <w:rsid w:val="004750C2"/>
    <w:rsid w:val="00476155"/>
    <w:rsid w:val="004820AF"/>
    <w:rsid w:val="004835D0"/>
    <w:rsid w:val="00484EF5"/>
    <w:rsid w:val="004902F1"/>
    <w:rsid w:val="00490BDE"/>
    <w:rsid w:val="004913DD"/>
    <w:rsid w:val="0049301A"/>
    <w:rsid w:val="00494AA0"/>
    <w:rsid w:val="004A1CF7"/>
    <w:rsid w:val="004A3C03"/>
    <w:rsid w:val="004A5D50"/>
    <w:rsid w:val="004B03A0"/>
    <w:rsid w:val="004D1D4B"/>
    <w:rsid w:val="004D2F52"/>
    <w:rsid w:val="004D3115"/>
    <w:rsid w:val="004D578C"/>
    <w:rsid w:val="004D60A1"/>
    <w:rsid w:val="004D7F18"/>
    <w:rsid w:val="004E2832"/>
    <w:rsid w:val="004E6F9D"/>
    <w:rsid w:val="004F14BD"/>
    <w:rsid w:val="004F5E04"/>
    <w:rsid w:val="004F60A9"/>
    <w:rsid w:val="00500448"/>
    <w:rsid w:val="005014F3"/>
    <w:rsid w:val="00501DC0"/>
    <w:rsid w:val="005047C8"/>
    <w:rsid w:val="00513008"/>
    <w:rsid w:val="00521331"/>
    <w:rsid w:val="005214D6"/>
    <w:rsid w:val="005304E1"/>
    <w:rsid w:val="0053057E"/>
    <w:rsid w:val="00530A87"/>
    <w:rsid w:val="005337BC"/>
    <w:rsid w:val="00534213"/>
    <w:rsid w:val="005506C9"/>
    <w:rsid w:val="0055193D"/>
    <w:rsid w:val="00555E0F"/>
    <w:rsid w:val="005572DA"/>
    <w:rsid w:val="0056214E"/>
    <w:rsid w:val="00577638"/>
    <w:rsid w:val="005834B3"/>
    <w:rsid w:val="0058659E"/>
    <w:rsid w:val="0058693C"/>
    <w:rsid w:val="00595039"/>
    <w:rsid w:val="0059686C"/>
    <w:rsid w:val="005A0373"/>
    <w:rsid w:val="005A0BE6"/>
    <w:rsid w:val="005B138A"/>
    <w:rsid w:val="005C0136"/>
    <w:rsid w:val="005C1A11"/>
    <w:rsid w:val="005C495B"/>
    <w:rsid w:val="005C61E5"/>
    <w:rsid w:val="005C6B94"/>
    <w:rsid w:val="005D1963"/>
    <w:rsid w:val="005D3158"/>
    <w:rsid w:val="005E48F7"/>
    <w:rsid w:val="005E4C2D"/>
    <w:rsid w:val="005F2421"/>
    <w:rsid w:val="006002E6"/>
    <w:rsid w:val="006021A4"/>
    <w:rsid w:val="006023DE"/>
    <w:rsid w:val="00612161"/>
    <w:rsid w:val="00613C0A"/>
    <w:rsid w:val="00614CDC"/>
    <w:rsid w:val="00622F49"/>
    <w:rsid w:val="00623FFD"/>
    <w:rsid w:val="006271F5"/>
    <w:rsid w:val="006308C4"/>
    <w:rsid w:val="0063272C"/>
    <w:rsid w:val="0063635F"/>
    <w:rsid w:val="00636802"/>
    <w:rsid w:val="00637B1B"/>
    <w:rsid w:val="00646894"/>
    <w:rsid w:val="0066129C"/>
    <w:rsid w:val="006627E3"/>
    <w:rsid w:val="006659E5"/>
    <w:rsid w:val="006666A2"/>
    <w:rsid w:val="00666C97"/>
    <w:rsid w:val="006709F7"/>
    <w:rsid w:val="0067223B"/>
    <w:rsid w:val="00681D58"/>
    <w:rsid w:val="00683A8C"/>
    <w:rsid w:val="006879C4"/>
    <w:rsid w:val="00690B0C"/>
    <w:rsid w:val="006A58AB"/>
    <w:rsid w:val="006B0508"/>
    <w:rsid w:val="006B07DD"/>
    <w:rsid w:val="006B2BE1"/>
    <w:rsid w:val="006C1821"/>
    <w:rsid w:val="006C7A20"/>
    <w:rsid w:val="006D3A64"/>
    <w:rsid w:val="006E3244"/>
    <w:rsid w:val="006F1345"/>
    <w:rsid w:val="007006C1"/>
    <w:rsid w:val="00712D5B"/>
    <w:rsid w:val="00722E87"/>
    <w:rsid w:val="00724595"/>
    <w:rsid w:val="007261FC"/>
    <w:rsid w:val="007373B9"/>
    <w:rsid w:val="00737E6D"/>
    <w:rsid w:val="00742EA8"/>
    <w:rsid w:val="00744F4C"/>
    <w:rsid w:val="00744FC5"/>
    <w:rsid w:val="0075315D"/>
    <w:rsid w:val="0075489E"/>
    <w:rsid w:val="007628B8"/>
    <w:rsid w:val="0076332E"/>
    <w:rsid w:val="007774D0"/>
    <w:rsid w:val="00777905"/>
    <w:rsid w:val="00777DBE"/>
    <w:rsid w:val="00782EA0"/>
    <w:rsid w:val="00790F50"/>
    <w:rsid w:val="007934C6"/>
    <w:rsid w:val="00794BE5"/>
    <w:rsid w:val="00795C69"/>
    <w:rsid w:val="007963B9"/>
    <w:rsid w:val="007A0ADD"/>
    <w:rsid w:val="007A4B7C"/>
    <w:rsid w:val="007A7C64"/>
    <w:rsid w:val="007B3B7C"/>
    <w:rsid w:val="007C7B7A"/>
    <w:rsid w:val="007D1838"/>
    <w:rsid w:val="007D48FF"/>
    <w:rsid w:val="007F0EF9"/>
    <w:rsid w:val="007F43D3"/>
    <w:rsid w:val="0080250E"/>
    <w:rsid w:val="0080665E"/>
    <w:rsid w:val="00806DBC"/>
    <w:rsid w:val="0081217A"/>
    <w:rsid w:val="00820093"/>
    <w:rsid w:val="00821107"/>
    <w:rsid w:val="0082335C"/>
    <w:rsid w:val="00824073"/>
    <w:rsid w:val="00826E0C"/>
    <w:rsid w:val="008274E4"/>
    <w:rsid w:val="00842F1C"/>
    <w:rsid w:val="00843B65"/>
    <w:rsid w:val="00844D6B"/>
    <w:rsid w:val="00845989"/>
    <w:rsid w:val="00846638"/>
    <w:rsid w:val="00854546"/>
    <w:rsid w:val="008547AB"/>
    <w:rsid w:val="00861197"/>
    <w:rsid w:val="008642E4"/>
    <w:rsid w:val="00864EDE"/>
    <w:rsid w:val="00865BAF"/>
    <w:rsid w:val="00874DE4"/>
    <w:rsid w:val="00881DD9"/>
    <w:rsid w:val="00884447"/>
    <w:rsid w:val="00887536"/>
    <w:rsid w:val="00890CBE"/>
    <w:rsid w:val="00890E24"/>
    <w:rsid w:val="008930C7"/>
    <w:rsid w:val="0089657E"/>
    <w:rsid w:val="008A07CA"/>
    <w:rsid w:val="008A316B"/>
    <w:rsid w:val="008A4025"/>
    <w:rsid w:val="008B6D38"/>
    <w:rsid w:val="008C02A2"/>
    <w:rsid w:val="008C07AA"/>
    <w:rsid w:val="008C1577"/>
    <w:rsid w:val="008C5C35"/>
    <w:rsid w:val="008C5DF6"/>
    <w:rsid w:val="008D5373"/>
    <w:rsid w:val="008D725C"/>
    <w:rsid w:val="008E2615"/>
    <w:rsid w:val="008F6099"/>
    <w:rsid w:val="00900AF9"/>
    <w:rsid w:val="00902A7A"/>
    <w:rsid w:val="00915CAA"/>
    <w:rsid w:val="009275DB"/>
    <w:rsid w:val="00931468"/>
    <w:rsid w:val="00933AEC"/>
    <w:rsid w:val="00935C77"/>
    <w:rsid w:val="0093661E"/>
    <w:rsid w:val="00937CCF"/>
    <w:rsid w:val="00940C51"/>
    <w:rsid w:val="009420FF"/>
    <w:rsid w:val="00943FDB"/>
    <w:rsid w:val="00945237"/>
    <w:rsid w:val="009471FB"/>
    <w:rsid w:val="00950BFC"/>
    <w:rsid w:val="0095124F"/>
    <w:rsid w:val="00956F03"/>
    <w:rsid w:val="0095703D"/>
    <w:rsid w:val="00960648"/>
    <w:rsid w:val="00963BC8"/>
    <w:rsid w:val="009709EA"/>
    <w:rsid w:val="0097389A"/>
    <w:rsid w:val="00974CD6"/>
    <w:rsid w:val="009839EA"/>
    <w:rsid w:val="00984B98"/>
    <w:rsid w:val="00985ED2"/>
    <w:rsid w:val="00992B4F"/>
    <w:rsid w:val="009A53E7"/>
    <w:rsid w:val="009B1EB6"/>
    <w:rsid w:val="009B51F7"/>
    <w:rsid w:val="009C3CFE"/>
    <w:rsid w:val="009C5B57"/>
    <w:rsid w:val="009C6039"/>
    <w:rsid w:val="009C7097"/>
    <w:rsid w:val="009D2431"/>
    <w:rsid w:val="009D2AA1"/>
    <w:rsid w:val="009E2746"/>
    <w:rsid w:val="009E32B4"/>
    <w:rsid w:val="009E5AE6"/>
    <w:rsid w:val="009E64D6"/>
    <w:rsid w:val="009E76C6"/>
    <w:rsid w:val="009F47C3"/>
    <w:rsid w:val="009F5EA8"/>
    <w:rsid w:val="00A10FB7"/>
    <w:rsid w:val="00A220DB"/>
    <w:rsid w:val="00A2499C"/>
    <w:rsid w:val="00A31706"/>
    <w:rsid w:val="00A453AE"/>
    <w:rsid w:val="00A50213"/>
    <w:rsid w:val="00A60D25"/>
    <w:rsid w:val="00A61E45"/>
    <w:rsid w:val="00A62760"/>
    <w:rsid w:val="00A64F1C"/>
    <w:rsid w:val="00A65DEF"/>
    <w:rsid w:val="00A74C70"/>
    <w:rsid w:val="00A94558"/>
    <w:rsid w:val="00A95E0F"/>
    <w:rsid w:val="00AA0747"/>
    <w:rsid w:val="00AA4779"/>
    <w:rsid w:val="00AA5597"/>
    <w:rsid w:val="00AA626C"/>
    <w:rsid w:val="00AB6D31"/>
    <w:rsid w:val="00AB7DBF"/>
    <w:rsid w:val="00AC763B"/>
    <w:rsid w:val="00AD054B"/>
    <w:rsid w:val="00AE3A55"/>
    <w:rsid w:val="00AF1DB9"/>
    <w:rsid w:val="00AF2F55"/>
    <w:rsid w:val="00AF6520"/>
    <w:rsid w:val="00B02137"/>
    <w:rsid w:val="00B0382E"/>
    <w:rsid w:val="00B14FEC"/>
    <w:rsid w:val="00B15879"/>
    <w:rsid w:val="00B24DDD"/>
    <w:rsid w:val="00B331C1"/>
    <w:rsid w:val="00B34E8C"/>
    <w:rsid w:val="00B3596C"/>
    <w:rsid w:val="00B366EA"/>
    <w:rsid w:val="00B36E8D"/>
    <w:rsid w:val="00B42123"/>
    <w:rsid w:val="00B44903"/>
    <w:rsid w:val="00B47C0E"/>
    <w:rsid w:val="00B51B7C"/>
    <w:rsid w:val="00B6261F"/>
    <w:rsid w:val="00B726E8"/>
    <w:rsid w:val="00B9222D"/>
    <w:rsid w:val="00B966CF"/>
    <w:rsid w:val="00BA25DA"/>
    <w:rsid w:val="00BB004D"/>
    <w:rsid w:val="00BB0C03"/>
    <w:rsid w:val="00BD7933"/>
    <w:rsid w:val="00BE17D3"/>
    <w:rsid w:val="00BE2223"/>
    <w:rsid w:val="00BF229A"/>
    <w:rsid w:val="00C168EF"/>
    <w:rsid w:val="00C17752"/>
    <w:rsid w:val="00C34068"/>
    <w:rsid w:val="00C4604A"/>
    <w:rsid w:val="00C56DAF"/>
    <w:rsid w:val="00C65669"/>
    <w:rsid w:val="00C71A1C"/>
    <w:rsid w:val="00C741FF"/>
    <w:rsid w:val="00C7778D"/>
    <w:rsid w:val="00C95727"/>
    <w:rsid w:val="00CA3A70"/>
    <w:rsid w:val="00CA4284"/>
    <w:rsid w:val="00CA694C"/>
    <w:rsid w:val="00CB6503"/>
    <w:rsid w:val="00CC10E6"/>
    <w:rsid w:val="00CD5B4A"/>
    <w:rsid w:val="00CD6D0A"/>
    <w:rsid w:val="00CE2618"/>
    <w:rsid w:val="00CE5AD9"/>
    <w:rsid w:val="00CE7937"/>
    <w:rsid w:val="00CF0F2D"/>
    <w:rsid w:val="00CF1769"/>
    <w:rsid w:val="00CF2D92"/>
    <w:rsid w:val="00CF4470"/>
    <w:rsid w:val="00CF52FC"/>
    <w:rsid w:val="00CF7F7F"/>
    <w:rsid w:val="00D015D9"/>
    <w:rsid w:val="00D11379"/>
    <w:rsid w:val="00D126B9"/>
    <w:rsid w:val="00D16E4F"/>
    <w:rsid w:val="00D1788C"/>
    <w:rsid w:val="00D2013D"/>
    <w:rsid w:val="00D32234"/>
    <w:rsid w:val="00D40233"/>
    <w:rsid w:val="00D42CA0"/>
    <w:rsid w:val="00D56336"/>
    <w:rsid w:val="00D645A4"/>
    <w:rsid w:val="00D64B44"/>
    <w:rsid w:val="00D7146C"/>
    <w:rsid w:val="00D72C81"/>
    <w:rsid w:val="00D76E1F"/>
    <w:rsid w:val="00D817A6"/>
    <w:rsid w:val="00D82F1D"/>
    <w:rsid w:val="00D84548"/>
    <w:rsid w:val="00D84E81"/>
    <w:rsid w:val="00D87C5C"/>
    <w:rsid w:val="00D907D2"/>
    <w:rsid w:val="00D90F56"/>
    <w:rsid w:val="00D915A1"/>
    <w:rsid w:val="00D917C2"/>
    <w:rsid w:val="00DA50D8"/>
    <w:rsid w:val="00DA752A"/>
    <w:rsid w:val="00DC0154"/>
    <w:rsid w:val="00DC2681"/>
    <w:rsid w:val="00DC33C0"/>
    <w:rsid w:val="00DC4563"/>
    <w:rsid w:val="00DC5433"/>
    <w:rsid w:val="00DD1A71"/>
    <w:rsid w:val="00DD31AB"/>
    <w:rsid w:val="00DD7B6F"/>
    <w:rsid w:val="00DF0140"/>
    <w:rsid w:val="00E0004C"/>
    <w:rsid w:val="00E009F9"/>
    <w:rsid w:val="00E036EC"/>
    <w:rsid w:val="00E06308"/>
    <w:rsid w:val="00E1176C"/>
    <w:rsid w:val="00E146C2"/>
    <w:rsid w:val="00E20739"/>
    <w:rsid w:val="00E23942"/>
    <w:rsid w:val="00E25D40"/>
    <w:rsid w:val="00E37DCD"/>
    <w:rsid w:val="00E4251C"/>
    <w:rsid w:val="00E43024"/>
    <w:rsid w:val="00E5566D"/>
    <w:rsid w:val="00E56110"/>
    <w:rsid w:val="00E56845"/>
    <w:rsid w:val="00E637BC"/>
    <w:rsid w:val="00E677FC"/>
    <w:rsid w:val="00E74B79"/>
    <w:rsid w:val="00E838E1"/>
    <w:rsid w:val="00E90E47"/>
    <w:rsid w:val="00E911A7"/>
    <w:rsid w:val="00E922BB"/>
    <w:rsid w:val="00E953AD"/>
    <w:rsid w:val="00E95802"/>
    <w:rsid w:val="00E97C0F"/>
    <w:rsid w:val="00EA2D9A"/>
    <w:rsid w:val="00EA4336"/>
    <w:rsid w:val="00EB1EBC"/>
    <w:rsid w:val="00EC1E7B"/>
    <w:rsid w:val="00EC211A"/>
    <w:rsid w:val="00EC5A80"/>
    <w:rsid w:val="00EC6959"/>
    <w:rsid w:val="00ED01BA"/>
    <w:rsid w:val="00ED3223"/>
    <w:rsid w:val="00ED455C"/>
    <w:rsid w:val="00EE1CCD"/>
    <w:rsid w:val="00EE2644"/>
    <w:rsid w:val="00EE5D33"/>
    <w:rsid w:val="00EE5EDC"/>
    <w:rsid w:val="00EE7239"/>
    <w:rsid w:val="00F00101"/>
    <w:rsid w:val="00F048B8"/>
    <w:rsid w:val="00F07BCD"/>
    <w:rsid w:val="00F12EC3"/>
    <w:rsid w:val="00F136B5"/>
    <w:rsid w:val="00F34D57"/>
    <w:rsid w:val="00F34FFA"/>
    <w:rsid w:val="00F37CC4"/>
    <w:rsid w:val="00F465B0"/>
    <w:rsid w:val="00F47743"/>
    <w:rsid w:val="00F5137F"/>
    <w:rsid w:val="00F535E9"/>
    <w:rsid w:val="00F53C0D"/>
    <w:rsid w:val="00F55437"/>
    <w:rsid w:val="00F560BC"/>
    <w:rsid w:val="00F60433"/>
    <w:rsid w:val="00F6056C"/>
    <w:rsid w:val="00F75B2A"/>
    <w:rsid w:val="00F81166"/>
    <w:rsid w:val="00F81DAA"/>
    <w:rsid w:val="00F82811"/>
    <w:rsid w:val="00F84978"/>
    <w:rsid w:val="00F954EC"/>
    <w:rsid w:val="00F96FD3"/>
    <w:rsid w:val="00F97B1B"/>
    <w:rsid w:val="00FA2BA3"/>
    <w:rsid w:val="00FA4C43"/>
    <w:rsid w:val="00FA64B2"/>
    <w:rsid w:val="00FB37D2"/>
    <w:rsid w:val="00FB5F8C"/>
    <w:rsid w:val="00FB63C6"/>
    <w:rsid w:val="00FC0F2C"/>
    <w:rsid w:val="00FC493A"/>
    <w:rsid w:val="00FD2339"/>
    <w:rsid w:val="00FD2BBF"/>
    <w:rsid w:val="00FD3FBA"/>
    <w:rsid w:val="00FE1468"/>
    <w:rsid w:val="00FE1898"/>
    <w:rsid w:val="00FE5492"/>
    <w:rsid w:val="00FE6343"/>
    <w:rsid w:val="00FE6AE9"/>
    <w:rsid w:val="00FE79F1"/>
    <w:rsid w:val="00FE7AFE"/>
    <w:rsid w:val="00FF338C"/>
    <w:rsid w:val="00FF5EF1"/>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C174"/>
  <w15:chartTrackingRefBased/>
  <w15:docId w15:val="{7DE8EA06-CF2A-435B-BB6B-0973CE56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940C51"/>
    <w:rPr>
      <w:sz w:val="20"/>
      <w:szCs w:val="20"/>
    </w:rPr>
  </w:style>
  <w:style w:type="character" w:customStyle="1" w:styleId="EndnotentextZchn">
    <w:name w:val="Endnotentext Zchn"/>
    <w:link w:val="Endnotentext"/>
    <w:uiPriority w:val="99"/>
    <w:semiHidden/>
    <w:rsid w:val="00940C51"/>
    <w:rPr>
      <w:lang w:eastAsia="en-US"/>
    </w:rPr>
  </w:style>
  <w:style w:type="character" w:styleId="Endnotenzeichen">
    <w:name w:val="endnote reference"/>
    <w:uiPriority w:val="99"/>
    <w:semiHidden/>
    <w:unhideWhenUsed/>
    <w:rsid w:val="00940C51"/>
    <w:rPr>
      <w:vertAlign w:val="superscript"/>
    </w:rPr>
  </w:style>
  <w:style w:type="paragraph" w:customStyle="1" w:styleId="Endnotentext1">
    <w:name w:val="Endnotentext1"/>
    <w:rsid w:val="009D243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Times New Roman" w:hAnsi="Times New Roman"/>
      <w:color w:val="000000"/>
      <w:u w:color="000000"/>
      <w:lang w:val="en-US" w:eastAsia="en-US" w:bidi="he-IL"/>
    </w:rPr>
  </w:style>
  <w:style w:type="character" w:styleId="Funotenzeichen">
    <w:name w:val="footnote reference"/>
    <w:rsid w:val="001413B5"/>
    <w:rPr>
      <w:vertAlign w:val="superscript"/>
    </w:rPr>
  </w:style>
  <w:style w:type="paragraph" w:styleId="Funotentext">
    <w:name w:val="footnote text"/>
    <w:basedOn w:val="Standard"/>
    <w:link w:val="FunotentextZchn"/>
    <w:uiPriority w:val="99"/>
    <w:semiHidden/>
    <w:unhideWhenUsed/>
    <w:rsid w:val="001413B5"/>
    <w:pPr>
      <w:shd w:val="clear" w:color="auto" w:fill="FFFFFF"/>
      <w:spacing w:after="0" w:line="100" w:lineRule="atLeast"/>
    </w:pPr>
    <w:rPr>
      <w:rFonts w:ascii="Times New Roman" w:eastAsia="Arial Unicode MS" w:hAnsi="Times New Roman" w:cs="Arial Unicode MS"/>
      <w:color w:val="000000"/>
      <w:kern w:val="1"/>
      <w:sz w:val="20"/>
      <w:szCs w:val="20"/>
      <w:u w:color="000000"/>
      <w:lang w:val="en-US" w:eastAsia="ar-SA"/>
    </w:rPr>
  </w:style>
  <w:style w:type="character" w:customStyle="1" w:styleId="FunotentextZchn">
    <w:name w:val="Fußnotentext Zchn"/>
    <w:link w:val="Funotentext"/>
    <w:uiPriority w:val="99"/>
    <w:semiHidden/>
    <w:rsid w:val="001413B5"/>
    <w:rPr>
      <w:rFonts w:ascii="Times New Roman" w:eastAsia="Arial Unicode MS" w:hAnsi="Times New Roman" w:cs="Arial Unicode MS"/>
      <w:color w:val="000000"/>
      <w:kern w:val="1"/>
      <w:u w:color="000000"/>
      <w:shd w:val="clear" w:color="auto" w:fill="FFFFFF"/>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77BE-713F-424B-BC7E-F4094B35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6227</Words>
  <Characters>35494</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2022-06-30T23:12:00Z</dcterms:created>
  <dcterms:modified xsi:type="dcterms:W3CDTF">2022-06-30T23:12:00Z</dcterms:modified>
</cp:coreProperties>
</file>