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2F60" w:rsidRDefault="00CF77B1" w:rsidP="00D215A5">
      <w:pPr>
        <w:autoSpaceDE w:val="0"/>
        <w:autoSpaceDN w:val="0"/>
        <w:adjustRightInd w:val="0"/>
        <w:spacing w:line="360" w:lineRule="auto"/>
        <w:jc w:val="both"/>
        <w:rPr>
          <w:sz w:val="22"/>
          <w:szCs w:val="22"/>
          <w:lang w:val="en-US"/>
        </w:rPr>
      </w:pPr>
      <w:r>
        <w:rPr>
          <w:i/>
          <w:sz w:val="22"/>
          <w:szCs w:val="22"/>
          <w:lang w:val="en-US"/>
        </w:rPr>
        <w:t>Émilie Du Châtelet und die deutsche Aufklärung</w:t>
      </w:r>
      <w:r>
        <w:rPr>
          <w:iCs/>
          <w:sz w:val="22"/>
          <w:szCs w:val="22"/>
          <w:lang w:val="en-US"/>
        </w:rPr>
        <w:t>. Edited by Ruth Hagengruber and Hartmut Hecht. Wiesbaden: Springer, 2019, 79</w:t>
      </w:r>
      <w:r w:rsidRPr="00D3180A">
        <w:rPr>
          <w:sz w:val="22"/>
          <w:szCs w:val="22"/>
          <w:lang w:val="en-US"/>
        </w:rPr>
        <w:t>–</w:t>
      </w:r>
      <w:r>
        <w:rPr>
          <w:sz w:val="22"/>
          <w:szCs w:val="22"/>
          <w:lang w:val="en-US"/>
        </w:rPr>
        <w:t>98.</w:t>
      </w:r>
    </w:p>
    <w:p w:rsidR="00CF77B1" w:rsidRDefault="00CF77B1" w:rsidP="00D215A5">
      <w:pPr>
        <w:autoSpaceDE w:val="0"/>
        <w:autoSpaceDN w:val="0"/>
        <w:adjustRightInd w:val="0"/>
        <w:spacing w:line="360" w:lineRule="auto"/>
        <w:jc w:val="both"/>
        <w:rPr>
          <w:sz w:val="22"/>
          <w:szCs w:val="22"/>
          <w:lang w:val="en-US"/>
        </w:rPr>
      </w:pPr>
    </w:p>
    <w:p w:rsidR="00CF77B1" w:rsidRDefault="00CF77B1" w:rsidP="00D215A5">
      <w:pPr>
        <w:autoSpaceDE w:val="0"/>
        <w:autoSpaceDN w:val="0"/>
        <w:adjustRightInd w:val="0"/>
        <w:spacing w:line="360" w:lineRule="auto"/>
        <w:jc w:val="both"/>
        <w:rPr>
          <w:sz w:val="28"/>
          <w:szCs w:val="28"/>
          <w:lang w:val="de-DE"/>
        </w:rPr>
      </w:pPr>
    </w:p>
    <w:p w:rsidR="00936302" w:rsidRPr="00DF5DE8" w:rsidRDefault="00936302" w:rsidP="00D215A5">
      <w:pPr>
        <w:autoSpaceDE w:val="0"/>
        <w:autoSpaceDN w:val="0"/>
        <w:adjustRightInd w:val="0"/>
        <w:spacing w:line="360" w:lineRule="auto"/>
        <w:jc w:val="both"/>
        <w:rPr>
          <w:sz w:val="28"/>
          <w:szCs w:val="28"/>
          <w:lang w:val="de-DE"/>
        </w:rPr>
      </w:pPr>
      <w:r w:rsidRPr="00DF5DE8">
        <w:rPr>
          <w:sz w:val="28"/>
          <w:szCs w:val="28"/>
          <w:lang w:val="de-DE"/>
        </w:rPr>
        <w:t xml:space="preserve">Metaphilosophie und das Prinzip des Widerspruchs: </w:t>
      </w:r>
    </w:p>
    <w:p w:rsidR="00936302" w:rsidRPr="00DF5DE8" w:rsidRDefault="00936302" w:rsidP="00D215A5">
      <w:pPr>
        <w:autoSpaceDE w:val="0"/>
        <w:autoSpaceDN w:val="0"/>
        <w:adjustRightInd w:val="0"/>
        <w:spacing w:line="360" w:lineRule="auto"/>
        <w:jc w:val="both"/>
        <w:rPr>
          <w:sz w:val="28"/>
          <w:szCs w:val="28"/>
          <w:lang w:val="de-DE"/>
        </w:rPr>
      </w:pPr>
      <w:r w:rsidRPr="00DF5DE8">
        <w:rPr>
          <w:sz w:val="28"/>
          <w:szCs w:val="28"/>
          <w:lang w:val="de-DE"/>
        </w:rPr>
        <w:t>Leibniz, Wolff und Châtelet</w:t>
      </w:r>
    </w:p>
    <w:p w:rsidR="00936302" w:rsidRPr="00DF5DE8" w:rsidRDefault="00936302" w:rsidP="00D215A5">
      <w:pPr>
        <w:autoSpaceDE w:val="0"/>
        <w:autoSpaceDN w:val="0"/>
        <w:adjustRightInd w:val="0"/>
        <w:spacing w:line="360" w:lineRule="auto"/>
        <w:jc w:val="both"/>
        <w:rPr>
          <w:lang w:val="de-DE"/>
        </w:rPr>
      </w:pPr>
    </w:p>
    <w:p w:rsidR="00936302" w:rsidRPr="00DF5DE8" w:rsidRDefault="00936302" w:rsidP="00D215A5">
      <w:pPr>
        <w:autoSpaceDE w:val="0"/>
        <w:autoSpaceDN w:val="0"/>
        <w:adjustRightInd w:val="0"/>
        <w:spacing w:line="360" w:lineRule="auto"/>
        <w:jc w:val="both"/>
        <w:rPr>
          <w:lang w:val="de-DE"/>
        </w:rPr>
      </w:pPr>
      <w:r w:rsidRPr="00DF5DE8">
        <w:rPr>
          <w:lang w:val="de-DE"/>
        </w:rPr>
        <w:t>Andreas Blank</w:t>
      </w:r>
    </w:p>
    <w:p w:rsidR="00936302" w:rsidRPr="00DF5DE8" w:rsidRDefault="00936302" w:rsidP="00D215A5">
      <w:pPr>
        <w:autoSpaceDE w:val="0"/>
        <w:autoSpaceDN w:val="0"/>
        <w:adjustRightInd w:val="0"/>
        <w:spacing w:line="360" w:lineRule="auto"/>
        <w:jc w:val="both"/>
        <w:rPr>
          <w:lang w:val="de-DE"/>
        </w:rPr>
      </w:pPr>
    </w:p>
    <w:p w:rsidR="008A5F9D" w:rsidRPr="00DF5DE8" w:rsidRDefault="008A5F9D" w:rsidP="00D215A5">
      <w:pPr>
        <w:autoSpaceDE w:val="0"/>
        <w:autoSpaceDN w:val="0"/>
        <w:adjustRightInd w:val="0"/>
        <w:spacing w:line="360" w:lineRule="auto"/>
        <w:jc w:val="both"/>
        <w:rPr>
          <w:lang w:val="de-DE"/>
        </w:rPr>
      </w:pPr>
    </w:p>
    <w:p w:rsidR="00936302" w:rsidRPr="00DF5DE8" w:rsidRDefault="008A5F9D" w:rsidP="00D215A5">
      <w:pPr>
        <w:autoSpaceDE w:val="0"/>
        <w:autoSpaceDN w:val="0"/>
        <w:adjustRightInd w:val="0"/>
        <w:spacing w:line="360" w:lineRule="auto"/>
        <w:jc w:val="both"/>
        <w:rPr>
          <w:lang w:val="de-DE"/>
        </w:rPr>
      </w:pPr>
      <w:r w:rsidRPr="00DF5DE8">
        <w:rPr>
          <w:lang w:val="de-DE"/>
        </w:rPr>
        <w:t xml:space="preserve">1 </w:t>
      </w:r>
      <w:r w:rsidR="00936302" w:rsidRPr="00DF5DE8">
        <w:rPr>
          <w:lang w:val="de-DE"/>
        </w:rPr>
        <w:t xml:space="preserve"> Einleitung</w:t>
      </w:r>
    </w:p>
    <w:p w:rsidR="00EE79E2" w:rsidRPr="00DF5DE8" w:rsidRDefault="00EE79E2" w:rsidP="00D215A5">
      <w:pPr>
        <w:spacing w:line="360" w:lineRule="auto"/>
        <w:jc w:val="both"/>
        <w:rPr>
          <w:lang w:val="de-DE"/>
        </w:rPr>
      </w:pPr>
    </w:p>
    <w:p w:rsidR="002459F9" w:rsidRPr="00DF5DE8" w:rsidRDefault="00783649" w:rsidP="00050442">
      <w:pPr>
        <w:autoSpaceDE w:val="0"/>
        <w:autoSpaceDN w:val="0"/>
        <w:adjustRightInd w:val="0"/>
        <w:spacing w:line="360" w:lineRule="auto"/>
        <w:jc w:val="both"/>
        <w:rPr>
          <w:lang w:val="de-DE"/>
        </w:rPr>
      </w:pPr>
      <w:r w:rsidRPr="00DF5DE8">
        <w:rPr>
          <w:lang w:val="de-DE"/>
        </w:rPr>
        <w:t>Im Vorwort</w:t>
      </w:r>
      <w:r w:rsidR="00050442" w:rsidRPr="00DF5DE8">
        <w:rPr>
          <w:lang w:val="de-DE"/>
        </w:rPr>
        <w:t xml:space="preserve"> zu ihren </w:t>
      </w:r>
      <w:r w:rsidR="00050442" w:rsidRPr="00DF5DE8">
        <w:rPr>
          <w:i/>
          <w:lang w:val="de-DE"/>
        </w:rPr>
        <w:t>Institution</w:t>
      </w:r>
      <w:r w:rsidR="00352456" w:rsidRPr="00DF5DE8">
        <w:rPr>
          <w:i/>
          <w:lang w:val="de-DE"/>
        </w:rPr>
        <w:t>s</w:t>
      </w:r>
      <w:r w:rsidR="00050442" w:rsidRPr="00DF5DE8">
        <w:rPr>
          <w:i/>
          <w:lang w:val="de-DE"/>
        </w:rPr>
        <w:t xml:space="preserve"> de Physique </w:t>
      </w:r>
      <w:r w:rsidR="00050442" w:rsidRPr="00DF5DE8">
        <w:rPr>
          <w:lang w:val="de-DE"/>
        </w:rPr>
        <w:t>(1740) kündigt Emilie du Châtelet an, sie werde die zentralen Auffassungen von Leibniz darstellen und sich dabei an die Kapitel über das Prinzip des Widerspruchs, das Prinzip des zureichenden Grundes, das Mögliche und Unmögliche und einige weitere halten, von denen, wie sagt, ein Schüler von Wolff ihr Auszüge angefertigt hatte.</w:t>
      </w:r>
      <w:r w:rsidR="002459F9" w:rsidRPr="00DF5DE8">
        <w:rPr>
          <w:rStyle w:val="Funotenzeichen"/>
          <w:lang w:val="de-DE"/>
        </w:rPr>
        <w:footnoteReference w:id="1"/>
      </w:r>
      <w:r w:rsidR="002459F9" w:rsidRPr="00DF5DE8">
        <w:rPr>
          <w:lang w:val="de-DE"/>
        </w:rPr>
        <w:t xml:space="preserve"> Zu Beginn des betreffenden Kapitel</w:t>
      </w:r>
      <w:r w:rsidR="007B211A" w:rsidRPr="00DF5DE8">
        <w:rPr>
          <w:lang w:val="de-DE"/>
        </w:rPr>
        <w:t>s</w:t>
      </w:r>
      <w:r w:rsidR="002459F9" w:rsidRPr="00DF5DE8">
        <w:rPr>
          <w:lang w:val="de-DE"/>
        </w:rPr>
        <w:t xml:space="preserve"> bemerkt sie in methodologischer Hinsicht: „Alle unsere Erkenntnisse entstehen nach und nach auseinander und sind gegründet auf bestimmte Prinzipien, deren Wahrheit selbst man kennt, ohne darüber reflektieren, weil sie durch sich selbst evident sind.“</w:t>
      </w:r>
      <w:r w:rsidR="002459F9" w:rsidRPr="00DF5DE8">
        <w:rPr>
          <w:rStyle w:val="Funotenzeichen"/>
          <w:lang w:val="de-DE"/>
        </w:rPr>
        <w:footnoteReference w:id="2"/>
      </w:r>
      <w:r w:rsidR="002459F9" w:rsidRPr="00DF5DE8">
        <w:rPr>
          <w:lang w:val="de-DE"/>
        </w:rPr>
        <w:t xml:space="preserve"> Welche Art der Evidenz hat Châtelet hier im Sinn? Und wie ist es zu verstehen, dass sie im Folgenden durchaus für die Gültigkeit von Grundsätzen wie dem Prinzip des Widerspruchs argumentiert, obwohl sie solche Grundsätze als ohne Reflexion bekannt betrachtet? In diesem Essay möchte ich dafür argumentieren, dass ihr Blickwinkel auf Leibniz durch die</w:t>
      </w:r>
      <w:r w:rsidR="000570B7">
        <w:rPr>
          <w:lang w:val="de-DE"/>
        </w:rPr>
        <w:t xml:space="preserve"> Philosophie von Wolff spezifische</w:t>
      </w:r>
      <w:r w:rsidR="002459F9" w:rsidRPr="00DF5DE8">
        <w:rPr>
          <w:lang w:val="de-DE"/>
        </w:rPr>
        <w:t xml:space="preserve"> Aspekte der Metaphilosophie von Leibniz grundlegend für ihre eigene Auffassung der </w:t>
      </w:r>
      <w:r w:rsidR="000570B7">
        <w:rPr>
          <w:lang w:val="de-DE"/>
        </w:rPr>
        <w:t xml:space="preserve">methodologischen Rolle der </w:t>
      </w:r>
      <w:r w:rsidR="002459F9" w:rsidRPr="00DF5DE8">
        <w:rPr>
          <w:lang w:val="de-DE"/>
        </w:rPr>
        <w:t>Vernunftprinzipien macht. Wie sich herausstellen wird, liegt dies daran, dass Wolff Leibniz’ Überlegungen zur Rolle der inneren Erfahrung—der Erfahrung, die wir mit unserem eigenen Denk</w:t>
      </w:r>
      <w:r w:rsidR="000570B7">
        <w:rPr>
          <w:lang w:val="de-DE"/>
        </w:rPr>
        <w:t>en machen—in viel weitreichenderer</w:t>
      </w:r>
      <w:r w:rsidR="002459F9" w:rsidRPr="00DF5DE8">
        <w:rPr>
          <w:lang w:val="de-DE"/>
        </w:rPr>
        <w:t xml:space="preserve"> Weise zur Grundlage seiner Ontologie gemacht hat, als dies bei Leibniz selbst der Fall ist. Eine Untersuchung der </w:t>
      </w:r>
      <w:r w:rsidR="002459F9" w:rsidRPr="00DF5DE8">
        <w:rPr>
          <w:lang w:val="de-DE"/>
        </w:rPr>
        <w:lastRenderedPageBreak/>
        <w:t>(durch Wolff vermittelten) Differenzen und Parallelen zwischen Leibniz’ und Châtelets Auffassungen des Prinzips des Widerspruchs, die das Thema der folgende Seiten sein wird, kann deshalb dazu beitragen, den methodologischen Status der Vernunftprinzipien in Châtelets Denken zu klären.</w:t>
      </w:r>
    </w:p>
    <w:p w:rsidR="002459F9" w:rsidRPr="00DF5DE8" w:rsidRDefault="002459F9" w:rsidP="009D4300">
      <w:pPr>
        <w:spacing w:line="360" w:lineRule="auto"/>
        <w:ind w:firstLine="397"/>
        <w:jc w:val="both"/>
        <w:rPr>
          <w:lang w:val="de-DE"/>
        </w:rPr>
      </w:pPr>
      <w:r w:rsidRPr="00DF5DE8">
        <w:rPr>
          <w:lang w:val="de-DE"/>
        </w:rPr>
        <w:t>Es wird nützlich sein, mit einem Überblick über die Formulierungen zu beginnen, die Leibniz dem Prinzip des Widerspruchs gibt:</w:t>
      </w:r>
    </w:p>
    <w:p w:rsidR="002459F9" w:rsidRPr="00DF5DE8" w:rsidRDefault="002459F9" w:rsidP="00D215A5">
      <w:pPr>
        <w:spacing w:line="360" w:lineRule="auto"/>
        <w:jc w:val="both"/>
        <w:rPr>
          <w:lang w:val="de-DE"/>
        </w:rPr>
      </w:pPr>
    </w:p>
    <w:p w:rsidR="002459F9" w:rsidRPr="00DF5DE8" w:rsidRDefault="002459F9" w:rsidP="00D215A5">
      <w:pPr>
        <w:autoSpaceDE w:val="0"/>
        <w:autoSpaceDN w:val="0"/>
        <w:adjustRightInd w:val="0"/>
        <w:spacing w:line="360" w:lineRule="auto"/>
        <w:ind w:firstLine="397"/>
        <w:jc w:val="both"/>
        <w:rPr>
          <w:lang w:val="de-DE"/>
        </w:rPr>
      </w:pPr>
      <w:r w:rsidRPr="00DF5DE8">
        <w:rPr>
          <w:lang w:val="de-DE"/>
        </w:rPr>
        <w:t>(1) Jede widerspruchsfreie Aussage ist wahr, jede widersprüchliche falsch.</w:t>
      </w:r>
      <w:r w:rsidRPr="00DF5DE8">
        <w:rPr>
          <w:rStyle w:val="Funotenzeichen"/>
          <w:lang w:val="de-DE"/>
        </w:rPr>
        <w:footnoteReference w:id="3"/>
      </w:r>
    </w:p>
    <w:p w:rsidR="002459F9" w:rsidRPr="00DF5DE8" w:rsidRDefault="002459F9" w:rsidP="00D215A5">
      <w:pPr>
        <w:autoSpaceDE w:val="0"/>
        <w:autoSpaceDN w:val="0"/>
        <w:adjustRightInd w:val="0"/>
        <w:spacing w:line="360" w:lineRule="auto"/>
        <w:ind w:firstLine="397"/>
        <w:jc w:val="both"/>
        <w:rPr>
          <w:lang w:val="de-DE"/>
        </w:rPr>
      </w:pPr>
      <w:r w:rsidRPr="00DF5DE8">
        <w:rPr>
          <w:lang w:val="de-DE"/>
        </w:rPr>
        <w:t>(2) Jede Aussage ist entweder wahr oder falsch.</w:t>
      </w:r>
      <w:r w:rsidRPr="00DF5DE8">
        <w:rPr>
          <w:rStyle w:val="Funotenzeichen"/>
          <w:lang w:val="de-DE"/>
        </w:rPr>
        <w:footnoteReference w:id="4"/>
      </w:r>
    </w:p>
    <w:p w:rsidR="002459F9" w:rsidRPr="00DF5DE8" w:rsidRDefault="002459F9" w:rsidP="00D215A5">
      <w:pPr>
        <w:autoSpaceDE w:val="0"/>
        <w:autoSpaceDN w:val="0"/>
        <w:adjustRightInd w:val="0"/>
        <w:spacing w:line="360" w:lineRule="auto"/>
        <w:ind w:firstLine="397"/>
        <w:jc w:val="both"/>
        <w:rPr>
          <w:lang w:val="de-DE"/>
        </w:rPr>
      </w:pPr>
      <w:r w:rsidRPr="00DF5DE8">
        <w:rPr>
          <w:lang w:val="de-DE"/>
        </w:rPr>
        <w:t>(2.1) Eine Aussage kann nicht zugleich wahr und falsch sein.</w:t>
      </w:r>
      <w:r w:rsidRPr="00DF5DE8">
        <w:rPr>
          <w:rStyle w:val="Funotenzeichen"/>
          <w:lang w:val="de-DE"/>
        </w:rPr>
        <w:footnoteReference w:id="5"/>
      </w:r>
    </w:p>
    <w:p w:rsidR="002459F9" w:rsidRPr="00DF5DE8" w:rsidRDefault="002459F9" w:rsidP="00D215A5">
      <w:pPr>
        <w:autoSpaceDE w:val="0"/>
        <w:autoSpaceDN w:val="0"/>
        <w:adjustRightInd w:val="0"/>
        <w:spacing w:line="360" w:lineRule="auto"/>
        <w:ind w:firstLine="397"/>
        <w:jc w:val="both"/>
        <w:rPr>
          <w:lang w:val="de-DE"/>
        </w:rPr>
      </w:pPr>
      <w:r w:rsidRPr="00DF5DE8">
        <w:rPr>
          <w:lang w:val="de-DE"/>
        </w:rPr>
        <w:t>(2.2) Eine Aussage kann nicht weder wahr noch falsch sein.</w:t>
      </w:r>
      <w:r w:rsidRPr="00DF5DE8">
        <w:rPr>
          <w:rStyle w:val="Funotenzeichen"/>
          <w:lang w:val="de-DE"/>
        </w:rPr>
        <w:footnoteReference w:id="6"/>
      </w:r>
    </w:p>
    <w:p w:rsidR="002459F9" w:rsidRPr="00DF5DE8" w:rsidRDefault="002459F9" w:rsidP="00D215A5">
      <w:pPr>
        <w:spacing w:line="360" w:lineRule="auto"/>
        <w:ind w:firstLine="397"/>
        <w:jc w:val="both"/>
        <w:rPr>
          <w:lang w:val="de-DE"/>
        </w:rPr>
      </w:pPr>
      <w:r w:rsidRPr="00DF5DE8">
        <w:rPr>
          <w:lang w:val="de-DE"/>
        </w:rPr>
        <w:t>(3) A ist A und nicht nicht-A.</w:t>
      </w:r>
      <w:r w:rsidRPr="00DF5DE8">
        <w:rPr>
          <w:rStyle w:val="Funotenzeichen"/>
          <w:lang w:val="de-DE"/>
        </w:rPr>
        <w:footnoteReference w:id="7"/>
      </w:r>
    </w:p>
    <w:p w:rsidR="002459F9" w:rsidRPr="00DF5DE8" w:rsidRDefault="002459F9" w:rsidP="00D215A5">
      <w:pPr>
        <w:autoSpaceDE w:val="0"/>
        <w:autoSpaceDN w:val="0"/>
        <w:adjustRightInd w:val="0"/>
        <w:spacing w:line="360" w:lineRule="auto"/>
        <w:ind w:firstLine="397"/>
        <w:jc w:val="both"/>
        <w:rPr>
          <w:lang w:val="de-DE"/>
        </w:rPr>
      </w:pPr>
    </w:p>
    <w:p w:rsidR="002459F9" w:rsidRPr="00DF5DE8" w:rsidRDefault="002459F9" w:rsidP="00D215A5">
      <w:pPr>
        <w:autoSpaceDE w:val="0"/>
        <w:autoSpaceDN w:val="0"/>
        <w:adjustRightInd w:val="0"/>
        <w:spacing w:line="360" w:lineRule="auto"/>
        <w:ind w:firstLine="397"/>
        <w:jc w:val="both"/>
        <w:rPr>
          <w:lang w:val="de-DE"/>
        </w:rPr>
      </w:pPr>
      <w:r w:rsidRPr="00DF5DE8">
        <w:rPr>
          <w:lang w:val="de-DE"/>
        </w:rPr>
        <w:t>Da Leibniz von einem einzigen Prinzip spricht, führt die Annahme nicht weiter, er habe ein logisches Prinzip (oder zwei logische Prinzipien: das Prinzips des Widerspruchs und das Prinzip des ausgeschlossenen Dritten) und ein ontologisches Prinzip (das Prinzip der Identität) nur unter einen gemeinsamen Titel gestellt.</w:t>
      </w:r>
      <w:r w:rsidRPr="00DF5DE8">
        <w:rPr>
          <w:rStyle w:val="Funotenzeichen"/>
          <w:lang w:val="de-DE"/>
        </w:rPr>
        <w:footnoteReference w:id="8"/>
      </w:r>
      <w:r w:rsidRPr="00DF5DE8">
        <w:rPr>
          <w:lang w:val="de-DE"/>
        </w:rPr>
        <w:t xml:space="preserve"> Das Prinzip des Widerspruchs kann nicht auf seine logischen Formulierungen reduziert werden kann, und logische und ontologische Überlegungen stehen in einem engen systematischen Zusammenhang. Für den Bereich der affirmativen Aussagen gilt nach Leibniz, dass eine widerspruchsfreie Aussage eine explizit oder implizit identische Aussage ist. Eine identische Aussage ist eine Aussage, deren Prädikatbegriff im Subjektbegriff explizit oder implizit enthalten ist,</w:t>
      </w:r>
      <w:r w:rsidRPr="00DF5DE8">
        <w:rPr>
          <w:rStyle w:val="Funotenzeichen"/>
          <w:lang w:val="de-DE"/>
        </w:rPr>
        <w:footnoteReference w:id="9"/>
      </w:r>
      <w:r w:rsidRPr="00DF5DE8">
        <w:rPr>
          <w:lang w:val="de-DE"/>
        </w:rPr>
        <w:t xml:space="preserve"> und die drei weitere Bedingungen erfüllt: Erstens dürfen Prädikatbegriff und Subjektbegriff keine miteinander unvereinbaren Begriffe (</w:t>
      </w:r>
      <w:r w:rsidRPr="00DF5DE8">
        <w:rPr>
          <w:bCs/>
          <w:i/>
          <w:iCs/>
          <w:lang w:val="de-DE"/>
        </w:rPr>
        <w:t>notions incompatibles</w:t>
      </w:r>
      <w:r w:rsidRPr="00DF5DE8">
        <w:rPr>
          <w:lang w:val="de-DE"/>
        </w:rPr>
        <w:t>) enthalten.</w:t>
      </w:r>
      <w:r w:rsidRPr="00DF5DE8">
        <w:rPr>
          <w:rStyle w:val="Funotenzeichen"/>
          <w:lang w:val="de-DE"/>
        </w:rPr>
        <w:footnoteReference w:id="10"/>
      </w:r>
      <w:r w:rsidRPr="00DF5DE8">
        <w:rPr>
          <w:lang w:val="de-DE"/>
        </w:rPr>
        <w:t xml:space="preserve"> Zweitens darf der Prädikatbegriff keine </w:t>
      </w:r>
      <w:r w:rsidRPr="00DF5DE8">
        <w:rPr>
          <w:bCs/>
          <w:i/>
          <w:iCs/>
          <w:lang w:val="de-DE"/>
        </w:rPr>
        <w:t>incompatibilia</w:t>
      </w:r>
      <w:r w:rsidRPr="00DF5DE8">
        <w:rPr>
          <w:b/>
          <w:bCs/>
          <w:i/>
          <w:iCs/>
          <w:lang w:val="de-DE"/>
        </w:rPr>
        <w:t xml:space="preserve"> </w:t>
      </w:r>
      <w:r w:rsidRPr="00DF5DE8">
        <w:rPr>
          <w:lang w:val="de-DE"/>
        </w:rPr>
        <w:t>enthalten.</w:t>
      </w:r>
      <w:r w:rsidRPr="00DF5DE8">
        <w:rPr>
          <w:rStyle w:val="Funotenzeichen"/>
          <w:lang w:val="de-DE"/>
        </w:rPr>
        <w:footnoteReference w:id="11"/>
      </w:r>
      <w:r w:rsidRPr="00DF5DE8">
        <w:rPr>
          <w:lang w:val="de-DE"/>
        </w:rPr>
        <w:t xml:space="preserve"> Drittens darf auch der Subjektbegriff keine unvereinbaren </w:t>
      </w:r>
      <w:r w:rsidRPr="00DF5DE8">
        <w:rPr>
          <w:lang w:val="de-DE"/>
        </w:rPr>
        <w:lastRenderedPageBreak/>
        <w:t>Begriffe enthalten, denn ein Begriff, der Begriffe enthält, die nicht zusammen möglich (</w:t>
      </w:r>
      <w:r w:rsidRPr="00DF5DE8">
        <w:rPr>
          <w:bCs/>
          <w:i/>
          <w:iCs/>
          <w:lang w:val="de-DE"/>
        </w:rPr>
        <w:t>compossible</w:t>
      </w:r>
      <w:r w:rsidRPr="00DF5DE8">
        <w:rPr>
          <w:lang w:val="de-DE"/>
        </w:rPr>
        <w:t>) sind, ist nicht widerspruchsfrei.</w:t>
      </w:r>
      <w:r w:rsidRPr="00DF5DE8">
        <w:rPr>
          <w:rStyle w:val="Funotenzeichen"/>
          <w:lang w:val="de-DE"/>
        </w:rPr>
        <w:footnoteReference w:id="12"/>
      </w:r>
      <w:r w:rsidRPr="00DF5DE8">
        <w:rPr>
          <w:lang w:val="de-DE"/>
        </w:rPr>
        <w:t xml:space="preserve"> </w:t>
      </w:r>
    </w:p>
    <w:p w:rsidR="002459F9" w:rsidRPr="00DF5DE8" w:rsidRDefault="002459F9" w:rsidP="00D215A5">
      <w:pPr>
        <w:autoSpaceDE w:val="0"/>
        <w:autoSpaceDN w:val="0"/>
        <w:adjustRightInd w:val="0"/>
        <w:spacing w:line="360" w:lineRule="auto"/>
        <w:ind w:firstLine="397"/>
        <w:jc w:val="both"/>
        <w:rPr>
          <w:lang w:val="de-DE"/>
        </w:rPr>
      </w:pPr>
      <w:r w:rsidRPr="00DF5DE8">
        <w:rPr>
          <w:lang w:val="de-DE"/>
        </w:rPr>
        <w:t>Nach Formulierung (1) macht die Widerspruchsfreiheit einer Aussage die Wahrheit dieser Aussage aus. Aus den oben dargestellten Bedingungen für die Widerspruchsfreiheit einer Aussage ergibt sich, dass diese Widerspruchsfreiheit nur entweder gegeben oder nicht gegeben sein kann. Daraus kann gefolgert werden, dass eine Aussage (ein Gedanke) nur entweder wahr oder falsch sein kann. Auf diese Weise lassen sich Aussage (2) und damit auch die in (2) enthaltenen Teilaussagen (2.1) und (2.2) als Folgen von Aussage (1) auffassen. Dies erklärt, weshalb Leibniz das traditionell vom Prinzip des Widerspruchs unterschiedene Prinzip des ausgeschlossenen Dritten ausdrücklich zu den Aussagen rechnet, die im Prinzip des Widerspruchs enthalten sind.</w:t>
      </w:r>
      <w:r w:rsidRPr="00DF5DE8">
        <w:rPr>
          <w:rStyle w:val="Funotenzeichen"/>
          <w:lang w:val="de-DE"/>
        </w:rPr>
        <w:footnoteReference w:id="13"/>
      </w:r>
    </w:p>
    <w:p w:rsidR="002459F9" w:rsidRPr="00DF5DE8" w:rsidRDefault="002459F9" w:rsidP="00D215A5">
      <w:pPr>
        <w:autoSpaceDE w:val="0"/>
        <w:autoSpaceDN w:val="0"/>
        <w:adjustRightInd w:val="0"/>
        <w:spacing w:line="360" w:lineRule="auto"/>
        <w:ind w:firstLine="397"/>
        <w:jc w:val="both"/>
        <w:rPr>
          <w:lang w:val="de-DE"/>
        </w:rPr>
      </w:pPr>
      <w:r w:rsidRPr="00DF5DE8">
        <w:rPr>
          <w:lang w:val="de-DE"/>
        </w:rPr>
        <w:t>Der einzige Anhaltspunkt dafür, dass Leibniz auch Aussage (3) zu den Formulierungen des Prinzips des Widerspruchs rechnet, findet sich im zweiten Schreiben an Clarke:</w:t>
      </w:r>
    </w:p>
    <w:p w:rsidR="002459F9" w:rsidRPr="00DF5DE8" w:rsidRDefault="002459F9" w:rsidP="00D215A5">
      <w:pPr>
        <w:autoSpaceDE w:val="0"/>
        <w:autoSpaceDN w:val="0"/>
        <w:adjustRightInd w:val="0"/>
        <w:spacing w:line="360" w:lineRule="auto"/>
        <w:jc w:val="both"/>
        <w:rPr>
          <w:lang w:val="de-DE"/>
        </w:rPr>
      </w:pPr>
    </w:p>
    <w:p w:rsidR="002459F9" w:rsidRPr="00DF5DE8" w:rsidRDefault="002459F9" w:rsidP="00D215A5">
      <w:pPr>
        <w:autoSpaceDE w:val="0"/>
        <w:autoSpaceDN w:val="0"/>
        <w:adjustRightInd w:val="0"/>
        <w:spacing w:line="360" w:lineRule="auto"/>
        <w:ind w:left="397"/>
        <w:jc w:val="both"/>
        <w:rPr>
          <w:lang w:val="de-DE"/>
        </w:rPr>
      </w:pPr>
      <w:r w:rsidRPr="00DF5DE8">
        <w:rPr>
          <w:lang w:val="de-DE"/>
        </w:rPr>
        <w:t>Das große Fundament der Mathematik ist das Prinzips des Widerspruchs oder der Identität, d.h. dass eine Aussage nicht wahr und falsch zur gleichen Zeit sein kann, und dass folglich gilt, A ist A und kann nicht nicht-A sein.</w:t>
      </w:r>
      <w:r w:rsidRPr="00DF5DE8">
        <w:rPr>
          <w:rStyle w:val="Funotenzeichen"/>
          <w:lang w:val="de-DE"/>
        </w:rPr>
        <w:footnoteReference w:id="14"/>
      </w:r>
    </w:p>
    <w:p w:rsidR="002459F9" w:rsidRPr="00DF5DE8" w:rsidRDefault="002459F9" w:rsidP="00D215A5">
      <w:pPr>
        <w:autoSpaceDE w:val="0"/>
        <w:autoSpaceDN w:val="0"/>
        <w:adjustRightInd w:val="0"/>
        <w:spacing w:line="360" w:lineRule="auto"/>
        <w:jc w:val="both"/>
        <w:rPr>
          <w:lang w:val="de-DE"/>
        </w:rPr>
      </w:pPr>
    </w:p>
    <w:p w:rsidR="002459F9" w:rsidRPr="00DF5DE8" w:rsidRDefault="002459F9" w:rsidP="00D215A5">
      <w:pPr>
        <w:autoSpaceDE w:val="0"/>
        <w:autoSpaceDN w:val="0"/>
        <w:adjustRightInd w:val="0"/>
        <w:spacing w:line="360" w:lineRule="auto"/>
        <w:jc w:val="both"/>
        <w:rPr>
          <w:lang w:val="de-DE"/>
        </w:rPr>
      </w:pPr>
      <w:r w:rsidRPr="00DF5DE8">
        <w:rPr>
          <w:lang w:val="de-DE"/>
        </w:rPr>
        <w:t xml:space="preserve">Der Satz „A ist A“ wird hier als eine Folge der in (2) enthaltenen Aussage (2.1) verstanden, und er wird gleichgesetzt mit dem Satz „A ist nicht nicht-A“. Aussage (1) und Aussage (3) ergänzen sich also inhaltlich in der Weise, dass in (3) die Widerspruchsfreiheit alles Seienden, in (1) die Widerspruchsfreiheit aller wahren Aussagen festgelegt wird. </w:t>
      </w:r>
    </w:p>
    <w:p w:rsidR="002459F9" w:rsidRPr="00DF5DE8" w:rsidRDefault="002459F9" w:rsidP="00D215A5">
      <w:pPr>
        <w:autoSpaceDE w:val="0"/>
        <w:autoSpaceDN w:val="0"/>
        <w:adjustRightInd w:val="0"/>
        <w:spacing w:line="360" w:lineRule="auto"/>
        <w:ind w:firstLine="397"/>
        <w:jc w:val="both"/>
        <w:rPr>
          <w:lang w:val="de-DE"/>
        </w:rPr>
      </w:pPr>
      <w:r w:rsidRPr="00DF5DE8">
        <w:rPr>
          <w:lang w:val="de-DE"/>
        </w:rPr>
        <w:t>Für die Leibniz-Interpretation stellen sich komplexe Fragen hinsichtlich der systematischen Stellung des Prinzips des Widerspruchs: In welcher Weise hängt das Prinzip von Leibniz’ analytischer Urteilstheorie ab? In welcher Weise hängt die analytische Urteilstheorie von der Theorie der Repräsentation des Universums in jeder einfachen Substanz ab?</w:t>
      </w:r>
      <w:r w:rsidRPr="00DF5DE8">
        <w:rPr>
          <w:rStyle w:val="Funotenzeichen"/>
          <w:lang w:val="de-DE"/>
        </w:rPr>
        <w:footnoteReference w:id="15"/>
      </w:r>
      <w:r w:rsidRPr="00DF5DE8">
        <w:rPr>
          <w:lang w:val="de-DE"/>
        </w:rPr>
        <w:t xml:space="preserve"> So interessant diese Fragen für das Verständnis des logischen Aufbaus von Leibniz’ Philosophie sind, so wenig tragen sie zum Verständnis der Rolle des Prinzips des Widerspruchs bei Wolff und Châtelet bei. Dennoch möchte ich dafür argumentieren, dass Leibniz’ Überlegungen in einer anderen Weise relevant für das Verständnis von Wolff und Châtelet sind. Wie sich zeigen lässt, spiegeln sich zentrale Aspekte von Leibniz’ metaphilosophischen Auffassungen in Wolffs und Châtelets Auffassung von der Begründung des Prinzips des Widerspruchs wider.</w:t>
      </w:r>
    </w:p>
    <w:p w:rsidR="002459F9" w:rsidRPr="00DF5DE8" w:rsidRDefault="002459F9" w:rsidP="00D215A5">
      <w:pPr>
        <w:autoSpaceDE w:val="0"/>
        <w:autoSpaceDN w:val="0"/>
        <w:adjustRightInd w:val="0"/>
        <w:spacing w:line="360" w:lineRule="auto"/>
        <w:jc w:val="both"/>
        <w:rPr>
          <w:lang w:val="de-DE"/>
        </w:rPr>
      </w:pPr>
    </w:p>
    <w:p w:rsidR="002459F9" w:rsidRPr="00DF5DE8" w:rsidRDefault="008A5F9D" w:rsidP="00D215A5">
      <w:pPr>
        <w:autoSpaceDE w:val="0"/>
        <w:autoSpaceDN w:val="0"/>
        <w:adjustRightInd w:val="0"/>
        <w:spacing w:line="360" w:lineRule="auto"/>
        <w:jc w:val="both"/>
        <w:rPr>
          <w:lang w:val="de-DE"/>
        </w:rPr>
      </w:pPr>
      <w:r w:rsidRPr="00DF5DE8">
        <w:rPr>
          <w:lang w:val="de-DE"/>
        </w:rPr>
        <w:t xml:space="preserve">2 </w:t>
      </w:r>
      <w:r w:rsidR="002459F9" w:rsidRPr="00DF5DE8">
        <w:rPr>
          <w:lang w:val="de-DE"/>
        </w:rPr>
        <w:t xml:space="preserve"> Hypothesen und innere Erfahrung</w:t>
      </w:r>
    </w:p>
    <w:p w:rsidR="002459F9" w:rsidRPr="00DF5DE8" w:rsidRDefault="002459F9" w:rsidP="00D215A5">
      <w:pPr>
        <w:autoSpaceDE w:val="0"/>
        <w:autoSpaceDN w:val="0"/>
        <w:adjustRightInd w:val="0"/>
        <w:spacing w:line="360" w:lineRule="auto"/>
        <w:jc w:val="both"/>
        <w:rPr>
          <w:lang w:val="de-DE"/>
        </w:rPr>
      </w:pPr>
    </w:p>
    <w:p w:rsidR="002459F9" w:rsidRPr="00DF5DE8" w:rsidRDefault="002459F9" w:rsidP="00BC4DE7">
      <w:pPr>
        <w:autoSpaceDE w:val="0"/>
        <w:autoSpaceDN w:val="0"/>
        <w:adjustRightInd w:val="0"/>
        <w:spacing w:line="360" w:lineRule="auto"/>
        <w:jc w:val="both"/>
        <w:rPr>
          <w:lang w:val="de-DE"/>
        </w:rPr>
      </w:pPr>
      <w:r w:rsidRPr="00DF5DE8">
        <w:rPr>
          <w:lang w:val="de-DE"/>
        </w:rPr>
        <w:t>An früherer Stelle habe ich diese Aspekte von Leibniz’ Metaphilosophie mit Strawsons Begriff einer deskriptiven Metaphysik in Verbindung gebracht. „deskriptiven“ Metaphysik, die die impliziten Strukturen unseres alltäglichen Verständnisses der Welt offenlegt. Dies steht in Kontrast zu einer Interpretation, die Leibniz’ Philosophie vom Standpunkt einer „revisionäre“ Metaphysik im Sinne Strawsons sieht:</w:t>
      </w:r>
      <w:r w:rsidRPr="00DF5DE8">
        <w:rPr>
          <w:rStyle w:val="Funotenzeichen"/>
          <w:lang w:val="de-DE"/>
        </w:rPr>
        <w:footnoteReference w:id="16"/>
      </w:r>
      <w:r w:rsidRPr="00DF5DE8">
        <w:rPr>
          <w:lang w:val="de-DE"/>
        </w:rPr>
        <w:t xml:space="preserve"> einer Metaphysik, die das alltägliche Verständnis der Welt durch ein ganz anderes, spekulatives ersetzt. Strawson wurde—sicherlich mit einiger Berechtigung—dafür kritisiert, dass er seine Unterscheidung nicht ausreichend erläutert hat.</w:t>
      </w:r>
      <w:r w:rsidRPr="00DF5DE8">
        <w:rPr>
          <w:rStyle w:val="Funotenzeichen"/>
          <w:lang w:val="de-DE"/>
        </w:rPr>
        <w:footnoteReference w:id="17"/>
      </w:r>
      <w:r w:rsidRPr="00DF5DE8">
        <w:rPr>
          <w:lang w:val="de-DE"/>
        </w:rPr>
        <w:t xml:space="preserve"> Dennoch scheint der Gegensatz, den er im Sinn hat, etwas ebenso einfaches wie grundlegendes Sinn zu haben: es handelt sich um den Gegensatz zwischen einer Philosophie, die gedanklich</w:t>
      </w:r>
      <w:r w:rsidR="008A5F9D" w:rsidRPr="00DF5DE8">
        <w:rPr>
          <w:lang w:val="de-DE"/>
        </w:rPr>
        <w:t>e</w:t>
      </w:r>
      <w:r w:rsidRPr="00DF5DE8">
        <w:rPr>
          <w:lang w:val="de-DE"/>
        </w:rPr>
        <w:t xml:space="preserve"> Inhalte, die bereits im menschlichen Geist vorhanden sind, bewusst macht, klärt und expliziert, und einer Philosophie, die gedankliche Inhalte, die bereits im menschlichen Geist vorhanden sind, durch ganz andere Inhalte ersetzt und sie damit korrigiert. Strawson stellt Leibniz im Wesentlichen auf die Seite der revisionären Metaphysik.</w:t>
      </w:r>
      <w:r w:rsidRPr="00DF5DE8">
        <w:rPr>
          <w:rStyle w:val="Funotenzeichen"/>
          <w:lang w:val="de-DE"/>
        </w:rPr>
        <w:footnoteReference w:id="18"/>
      </w:r>
      <w:r w:rsidRPr="00DF5DE8">
        <w:rPr>
          <w:lang w:val="de-DE"/>
        </w:rPr>
        <w:t xml:space="preserve"> Dennoch sollte hier auch an Strawsons Einsicht erinnert werden, dass kein wirklicher Philosoph je eine Metaphysik entwickelt hat, die ausschließlich einem dieser beiden Typen angehört.</w:t>
      </w:r>
      <w:r w:rsidRPr="00DF5DE8">
        <w:rPr>
          <w:rStyle w:val="Funotenzeichen"/>
          <w:lang w:val="de-DE"/>
        </w:rPr>
        <w:footnoteReference w:id="19"/>
      </w:r>
      <w:r w:rsidRPr="00DF5DE8">
        <w:rPr>
          <w:lang w:val="de-DE"/>
        </w:rPr>
        <w:t xml:space="preserve"> Neben Elemente eines revisionären Vorgehens treten bei Leibniz Elemente einer deskriptiven Begründung metaphysischer Aussagen. Diese deskriptiven Elemente in Leibniz’s Auffassung der Metaphysik treten besonders deutlich im Kontrast zu Tage, den er zwischen spekulativen Hypothesen und inneren Erfahrungen zieht—ein Kontrast, der auch für Wolff (und damit, vermittelt durch Wolff, für Châtelet) von zentraler Bedeutung ist. </w:t>
      </w:r>
    </w:p>
    <w:p w:rsidR="002459F9" w:rsidRPr="00DF5DE8" w:rsidRDefault="002459F9" w:rsidP="00BC4DE7">
      <w:pPr>
        <w:autoSpaceDE w:val="0"/>
        <w:autoSpaceDN w:val="0"/>
        <w:adjustRightInd w:val="0"/>
        <w:spacing w:line="360" w:lineRule="auto"/>
        <w:ind w:firstLine="397"/>
        <w:jc w:val="both"/>
        <w:rPr>
          <w:lang w:val="de-DE"/>
        </w:rPr>
      </w:pPr>
      <w:r w:rsidRPr="00DF5DE8">
        <w:rPr>
          <w:lang w:val="de-DE"/>
        </w:rPr>
        <w:t>Die hypothetischen und revisionären Aspekte von Leibniz’ Philosophie sind gut dokumentiert.</w:t>
      </w:r>
      <w:r w:rsidRPr="00DF5DE8">
        <w:rPr>
          <w:rStyle w:val="Funotenzeichen"/>
          <w:lang w:val="de-DE"/>
        </w:rPr>
        <w:footnoteReference w:id="20"/>
      </w:r>
      <w:r w:rsidRPr="00DF5DE8">
        <w:rPr>
          <w:lang w:val="de-DE"/>
        </w:rPr>
        <w:t xml:space="preserve"> So spricht Leibniz in der Korrespondenz mit Lady Masham davon, dass die Hypothese der prästabilierten Harmonie eine mögliche Hypothese und den alternativen Theorien des psychophysischen Interaktionismus und des Okkasionalismus überlegen und </w:t>
      </w:r>
      <w:r w:rsidRPr="00DF5DE8">
        <w:rPr>
          <w:i/>
          <w:iCs/>
          <w:lang w:val="de-DE"/>
        </w:rPr>
        <w:t xml:space="preserve">daher </w:t>
      </w:r>
      <w:r w:rsidRPr="00DF5DE8">
        <w:rPr>
          <w:lang w:val="de-DE"/>
        </w:rPr>
        <w:t>bewiesen sei.</w:t>
      </w:r>
      <w:r w:rsidRPr="00DF5DE8">
        <w:rPr>
          <w:rStyle w:val="Funotenzeichen"/>
          <w:lang w:val="de-DE"/>
        </w:rPr>
        <w:footnoteReference w:id="21"/>
      </w:r>
      <w:r w:rsidRPr="00DF5DE8">
        <w:rPr>
          <w:lang w:val="de-DE"/>
        </w:rPr>
        <w:t xml:space="preserve"> Auch im </w:t>
      </w:r>
      <w:r w:rsidRPr="00DF5DE8">
        <w:rPr>
          <w:i/>
          <w:iCs/>
          <w:lang w:val="de-DE"/>
        </w:rPr>
        <w:t xml:space="preserve">Système Nouveau </w:t>
      </w:r>
      <w:r w:rsidRPr="00DF5DE8">
        <w:rPr>
          <w:lang w:val="de-DE"/>
        </w:rPr>
        <w:t>fasst Leibniz die Theorie der prästabilierten Harmonie als etwas auf, was in dem Sinn mehr als eine bloße Hypothese ist, dass es nicht möglich erscheint, die Dinge auf eine andere Weise zu erklären.</w:t>
      </w:r>
      <w:r w:rsidRPr="00DF5DE8">
        <w:rPr>
          <w:rStyle w:val="Funotenzeichen"/>
          <w:lang w:val="de-DE"/>
        </w:rPr>
        <w:footnoteReference w:id="22"/>
      </w:r>
      <w:r w:rsidRPr="00DF5DE8">
        <w:rPr>
          <w:lang w:val="de-DE"/>
        </w:rPr>
        <w:t xml:space="preserve"> Diese Auffassung des metaphysischen Systems als der besten verfügbaren Hypothese findet sich bereits in der Korrespondenz mit Arnauld</w:t>
      </w:r>
      <w:r w:rsidRPr="00DF5DE8">
        <w:rPr>
          <w:rStyle w:val="Funotenzeichen"/>
          <w:lang w:val="de-DE"/>
        </w:rPr>
        <w:footnoteReference w:id="23"/>
      </w:r>
      <w:r w:rsidRPr="00DF5DE8">
        <w:rPr>
          <w:lang w:val="de-DE"/>
        </w:rPr>
        <w:t xml:space="preserve"> und auch in späteren Schriften an verschiedenen Stellen</w:t>
      </w:r>
      <w:r w:rsidRPr="00DF5DE8">
        <w:rPr>
          <w:rStyle w:val="Funotenzeichen"/>
          <w:lang w:val="de-DE"/>
        </w:rPr>
        <w:footnoteReference w:id="24"/>
      </w:r>
      <w:r w:rsidRPr="00DF5DE8">
        <w:rPr>
          <w:lang w:val="de-DE"/>
        </w:rPr>
        <w:t>. In einem Brief an de Volder spricht Leibniz davon, dass auch wenn die Unmöglichkeit der cartesianischen Auffassung der Materie nicht wirklich bewiesen wäre, wir dennoch damit zufrieden sein könnten, Begriffe zu entwickeln, die mit der Erfahrung übereinstimmen, die in der Praxis nützlich sind, und die geeignet sind, Probleme zu lösen.</w:t>
      </w:r>
      <w:r w:rsidRPr="00DF5DE8">
        <w:rPr>
          <w:rStyle w:val="Funotenzeichen"/>
          <w:lang w:val="de-DE"/>
        </w:rPr>
        <w:footnoteReference w:id="25"/>
      </w:r>
      <w:r w:rsidRPr="00DF5DE8">
        <w:rPr>
          <w:lang w:val="de-DE"/>
        </w:rPr>
        <w:t xml:space="preserve"> Ähnlich fasst Leibniz das Kontinuitätsprinzip als eine Hypothese auf, die wenn auch nicht zu beweisen, so dennoch klar ist, und die mit anderen solchen Hypothesen und den Phänomenen gut übereinstimmt.</w:t>
      </w:r>
      <w:r w:rsidRPr="00DF5DE8">
        <w:rPr>
          <w:rStyle w:val="Funotenzeichen"/>
          <w:lang w:val="de-DE"/>
        </w:rPr>
        <w:footnoteReference w:id="26"/>
      </w:r>
      <w:r w:rsidRPr="00DF5DE8">
        <w:rPr>
          <w:lang w:val="de-DE"/>
        </w:rPr>
        <w:t xml:space="preserve"> Im </w:t>
      </w:r>
      <w:r w:rsidRPr="00DF5DE8">
        <w:rPr>
          <w:i/>
          <w:iCs/>
          <w:lang w:val="de-DE"/>
        </w:rPr>
        <w:t xml:space="preserve">Eclaircissement du nouveau système </w:t>
      </w:r>
      <w:r w:rsidRPr="00DF5DE8">
        <w:rPr>
          <w:lang w:val="de-DE"/>
        </w:rPr>
        <w:t>und später in der Korrespondenz mit Basnage de Beauval wird schließlich die Theorie der prästabilierten Harmonie als eine metaphysische Hypothese aufgefasst, die zusätzlich einen apriorischen Grund in den Vernunftprinzipien hat.</w:t>
      </w:r>
      <w:r w:rsidRPr="00DF5DE8">
        <w:rPr>
          <w:rStyle w:val="Funotenzeichen"/>
          <w:lang w:val="de-DE"/>
        </w:rPr>
        <w:footnoteReference w:id="27"/>
      </w:r>
      <w:r w:rsidRPr="00DF5DE8">
        <w:rPr>
          <w:lang w:val="de-DE"/>
        </w:rPr>
        <w:t xml:space="preserve"> Wie Leibniz hervorhebt, ist das Ziel der hypothetisch-deduktiven Methode die Ableitung metaphysischer Sätze aus einer als Hypothesen gekennzeichneten Menge von Axiomen.</w:t>
      </w:r>
      <w:r w:rsidRPr="00DF5DE8">
        <w:rPr>
          <w:rStyle w:val="Funotenzeichen"/>
          <w:lang w:val="de-DE"/>
        </w:rPr>
        <w:footnoteReference w:id="28"/>
      </w:r>
      <w:r w:rsidRPr="00DF5DE8">
        <w:rPr>
          <w:lang w:val="de-DE"/>
        </w:rPr>
        <w:t xml:space="preserve"> Der Vorteil einer solchen </w:t>
      </w:r>
      <w:r w:rsidRPr="00DF5DE8">
        <w:rPr>
          <w:bCs/>
          <w:lang w:val="de-DE"/>
        </w:rPr>
        <w:t>Methode besteht nach Leibniz in der Reduktion der Anzahl der Aussagen, deren</w:t>
      </w:r>
      <w:r w:rsidRPr="00DF5DE8">
        <w:rPr>
          <w:lang w:val="de-DE"/>
        </w:rPr>
        <w:t xml:space="preserve"> </w:t>
      </w:r>
      <w:r w:rsidRPr="00DF5DE8">
        <w:rPr>
          <w:bCs/>
          <w:lang w:val="de-DE"/>
        </w:rPr>
        <w:t>Beweis noch offen steht.</w:t>
      </w:r>
      <w:r w:rsidRPr="00DF5DE8">
        <w:rPr>
          <w:rStyle w:val="Funotenzeichen"/>
          <w:bCs/>
          <w:lang w:val="de-DE"/>
        </w:rPr>
        <w:footnoteReference w:id="29"/>
      </w:r>
      <w:r w:rsidRPr="00DF5DE8">
        <w:rPr>
          <w:bCs/>
          <w:lang w:val="de-DE"/>
        </w:rPr>
        <w:t xml:space="preserve"> </w:t>
      </w:r>
    </w:p>
    <w:p w:rsidR="00CF23F5" w:rsidRDefault="002459F9" w:rsidP="00BC4DE7">
      <w:pPr>
        <w:autoSpaceDE w:val="0"/>
        <w:autoSpaceDN w:val="0"/>
        <w:adjustRightInd w:val="0"/>
        <w:spacing w:line="360" w:lineRule="auto"/>
        <w:ind w:firstLine="397"/>
        <w:jc w:val="both"/>
        <w:rPr>
          <w:lang w:val="de-DE"/>
        </w:rPr>
      </w:pPr>
      <w:r w:rsidRPr="00DF5DE8">
        <w:rPr>
          <w:lang w:val="de-DE"/>
        </w:rPr>
        <w:t xml:space="preserve">Anstelle eines hypothetisch-deduktiven Modells der Begründung der Metaphysik tritt jedoch in den </w:t>
      </w:r>
      <w:r w:rsidRPr="00DF5DE8">
        <w:rPr>
          <w:i/>
          <w:iCs/>
          <w:lang w:val="de-DE"/>
        </w:rPr>
        <w:t xml:space="preserve">Nouveaux Essais </w:t>
      </w:r>
      <w:r w:rsidRPr="00DF5DE8">
        <w:rPr>
          <w:lang w:val="de-DE"/>
        </w:rPr>
        <w:t xml:space="preserve">die Auffassung der metaphysischen Ideen und Wahrheiten als angeborener Ideen und Wahrheiten in den Vordergrund. Bereits in den </w:t>
      </w:r>
      <w:r w:rsidRPr="00DF5DE8">
        <w:rPr>
          <w:i/>
          <w:iCs/>
          <w:lang w:val="de-DE"/>
        </w:rPr>
        <w:t>Quelques remarques sur le livre de Mons. Lock intitulé</w:t>
      </w:r>
      <w:r w:rsidRPr="00DF5DE8">
        <w:rPr>
          <w:lang w:val="de-DE"/>
        </w:rPr>
        <w:t xml:space="preserve"> </w:t>
      </w:r>
      <w:r w:rsidRPr="00DF5DE8">
        <w:rPr>
          <w:i/>
          <w:iCs/>
          <w:lang w:val="de-DE"/>
        </w:rPr>
        <w:t xml:space="preserve">Essay of Understanding </w:t>
      </w:r>
      <w:r w:rsidRPr="00DF5DE8">
        <w:rPr>
          <w:lang w:val="de-DE"/>
        </w:rPr>
        <w:t xml:space="preserve">findet sich die Konzeption eine „unmittelbaren Intuition“, mit deren Hilfe metaphysische Begriffe wie der Begriff der Existenz erkannt werden. Im </w:t>
      </w:r>
      <w:r w:rsidRPr="00DF5DE8">
        <w:rPr>
          <w:i/>
          <w:iCs/>
          <w:lang w:val="de-DE"/>
        </w:rPr>
        <w:t>Echantillon des Reflexions sur le I. Livre de l'Essay de</w:t>
      </w:r>
      <w:r w:rsidRPr="00DF5DE8">
        <w:rPr>
          <w:lang w:val="de-DE"/>
        </w:rPr>
        <w:t xml:space="preserve"> </w:t>
      </w:r>
      <w:r w:rsidRPr="00DF5DE8">
        <w:rPr>
          <w:i/>
          <w:iCs/>
          <w:lang w:val="de-DE"/>
        </w:rPr>
        <w:t xml:space="preserve">l'Entendement </w:t>
      </w:r>
      <w:r w:rsidRPr="00DF5DE8">
        <w:rPr>
          <w:lang w:val="de-DE"/>
        </w:rPr>
        <w:t>(1698) kommt eine mit der Theorie der angeborenen Ideen verbundene und vom euklidischen Modell grundlegend abweichende Auffassung von der Rolle der Deduktion in der Metaphysik zum Ausdruck. Dort spricht Leibniz von der Ableitung derivativer angeborener Ideen und Wahrheiten aus den primitiven angeborenen Ideen und Wahrheiten, die ihrerseits nicht gebildet werden müssen, sondern immer schon im Verstand virtuell vorhanden sind.</w:t>
      </w:r>
      <w:r w:rsidRPr="00DF5DE8">
        <w:rPr>
          <w:rStyle w:val="Funotenzeichen"/>
          <w:lang w:val="de-DE"/>
        </w:rPr>
        <w:footnoteReference w:id="30"/>
      </w:r>
      <w:r w:rsidRPr="00DF5DE8">
        <w:rPr>
          <w:lang w:val="de-DE"/>
        </w:rPr>
        <w:t xml:space="preserve"> Vor allem aber entwickelt Leibniz mit der Theorie der angeborenen Ideen und Wahrheiten eine Auffassung von den metaphysischen Ideen und Wahrheiten, die sich von der Auffassung metaphysischer Sätze und Definitionen als bloßer Hypothesen grundlegend unterscheidet. Metaphysische Begriffe und Wahrheiten treten in der Theorie der angeborenen Ideen und Wahrheiten nicht mehr als hypothetische Axiome auf, sondern als implizite Voraussetzungen des Denkens, die auf dem Weg der Analyse erkannt werden können. So spricht Leibniz </w:t>
      </w:r>
      <w:r w:rsidRPr="00DF5DE8">
        <w:rPr>
          <w:bCs/>
          <w:lang w:val="de-DE"/>
        </w:rPr>
        <w:t xml:space="preserve">in der Zeit der </w:t>
      </w:r>
      <w:r w:rsidRPr="00DF5DE8">
        <w:rPr>
          <w:bCs/>
          <w:i/>
          <w:iCs/>
          <w:lang w:val="de-DE"/>
        </w:rPr>
        <w:t xml:space="preserve">Nouveaux Essais </w:t>
      </w:r>
      <w:r w:rsidRPr="00DF5DE8">
        <w:rPr>
          <w:bCs/>
          <w:lang w:val="de-DE"/>
        </w:rPr>
        <w:t>davon, dass wir gar keine Kenntnis des Substanzbegriffs besäßen, wenn wir nicht die innere Erfahrung unserer selbst hätten.</w:t>
      </w:r>
      <w:r w:rsidRPr="00DF5DE8">
        <w:rPr>
          <w:rStyle w:val="Funotenzeichen"/>
          <w:bCs/>
          <w:lang w:val="de-DE"/>
        </w:rPr>
        <w:footnoteReference w:id="31"/>
      </w:r>
      <w:r w:rsidRPr="00DF5DE8">
        <w:rPr>
          <w:bCs/>
          <w:lang w:val="de-DE"/>
        </w:rPr>
        <w:t xml:space="preserve"> Dies stellt die Erkenntnis des Substanzbegriffs in einen Zusammenhang mit der Theorie der angeborenen Ideen und gibt gleichzeitig ein Hinweis darauf, wie Leibniz seine Vorstellung von den angeborenen Ideen in methodologischer Hinsicht konkretisiert. </w:t>
      </w:r>
      <w:r w:rsidRPr="00DF5DE8">
        <w:rPr>
          <w:lang w:val="de-DE"/>
        </w:rPr>
        <w:t>Leibniz bringt die Erkenntnis der angeborenen Ideen zunächst in Zusammenhang</w:t>
      </w:r>
      <w:r w:rsidRPr="00DF5DE8">
        <w:rPr>
          <w:b/>
          <w:bCs/>
          <w:lang w:val="de-DE"/>
        </w:rPr>
        <w:t xml:space="preserve"> </w:t>
      </w:r>
      <w:r w:rsidRPr="00DF5DE8">
        <w:rPr>
          <w:lang w:val="de-DE"/>
        </w:rPr>
        <w:t>mit dem Begriff der Reflexion. Dabei fasst er die angeborenen Ideen als</w:t>
      </w:r>
      <w:r w:rsidRPr="00DF5DE8">
        <w:rPr>
          <w:b/>
          <w:bCs/>
          <w:lang w:val="de-DE"/>
        </w:rPr>
        <w:t xml:space="preserve"> </w:t>
      </w:r>
      <w:r w:rsidRPr="00DF5DE8">
        <w:rPr>
          <w:lang w:val="de-DE"/>
        </w:rPr>
        <w:t>etwas auf, was nicht erst durch Reflexion entsteht, sondern in impliziter Weise</w:t>
      </w:r>
      <w:r w:rsidRPr="00DF5DE8">
        <w:rPr>
          <w:b/>
          <w:bCs/>
          <w:lang w:val="de-DE"/>
        </w:rPr>
        <w:t xml:space="preserve"> </w:t>
      </w:r>
      <w:r w:rsidRPr="00DF5DE8">
        <w:rPr>
          <w:lang w:val="de-DE"/>
        </w:rPr>
        <w:t>immer schon im Geist vorhanden ist. Reflexion wird von Leibniz deshalb als</w:t>
      </w:r>
      <w:r w:rsidRPr="00DF5DE8">
        <w:rPr>
          <w:b/>
          <w:bCs/>
          <w:lang w:val="de-DE"/>
        </w:rPr>
        <w:t xml:space="preserve"> </w:t>
      </w:r>
      <w:r w:rsidRPr="00DF5DE8">
        <w:rPr>
          <w:lang w:val="de-DE"/>
        </w:rPr>
        <w:t>Aufmerksamkeit gegenüber den angeborenen Ideen verstanden, wobei der Geist</w:t>
      </w:r>
      <w:r w:rsidRPr="00DF5DE8">
        <w:rPr>
          <w:b/>
          <w:bCs/>
          <w:lang w:val="de-DE"/>
        </w:rPr>
        <w:t xml:space="preserve"> </w:t>
      </w:r>
      <w:r w:rsidRPr="00DF5DE8">
        <w:rPr>
          <w:lang w:val="de-DE"/>
        </w:rPr>
        <w:t>von den Bedürfnissen des Körpers absehen muss, welche unter normalen</w:t>
      </w:r>
      <w:r w:rsidRPr="00DF5DE8">
        <w:rPr>
          <w:b/>
          <w:bCs/>
          <w:lang w:val="de-DE"/>
        </w:rPr>
        <w:t xml:space="preserve"> </w:t>
      </w:r>
      <w:r w:rsidRPr="00DF5DE8">
        <w:rPr>
          <w:lang w:val="de-DE"/>
        </w:rPr>
        <w:t>Umständen die angeborenen Ideen verdecken.</w:t>
      </w:r>
      <w:r w:rsidRPr="00DF5DE8">
        <w:rPr>
          <w:rStyle w:val="Funotenzeichen"/>
          <w:lang w:val="de-DE"/>
        </w:rPr>
        <w:footnoteReference w:id="32"/>
      </w:r>
      <w:r w:rsidRPr="00DF5DE8">
        <w:rPr>
          <w:lang w:val="de-DE"/>
        </w:rPr>
        <w:t xml:space="preserve"> Aufmerksamkeit führt nach</w:t>
      </w:r>
      <w:r w:rsidRPr="00DF5DE8">
        <w:rPr>
          <w:b/>
          <w:bCs/>
          <w:lang w:val="de-DE"/>
        </w:rPr>
        <w:t xml:space="preserve"> </w:t>
      </w:r>
      <w:r w:rsidRPr="00DF5DE8">
        <w:rPr>
          <w:lang w:val="de-DE"/>
        </w:rPr>
        <w:t>Leibniz zur Aktualisierung der Verstandeserkenntnis, wenn die Sinneswahrnehmung</w:t>
      </w:r>
      <w:r w:rsidRPr="00DF5DE8">
        <w:rPr>
          <w:b/>
          <w:bCs/>
          <w:lang w:val="de-DE"/>
        </w:rPr>
        <w:t xml:space="preserve"> </w:t>
      </w:r>
      <w:r w:rsidRPr="00DF5DE8">
        <w:rPr>
          <w:lang w:val="de-DE"/>
        </w:rPr>
        <w:t>als notwendige Gelegenheitsursache hinzutritt.</w:t>
      </w:r>
      <w:r w:rsidRPr="00DF5DE8">
        <w:rPr>
          <w:rStyle w:val="Funotenzeichen"/>
          <w:lang w:val="de-DE"/>
        </w:rPr>
        <w:footnoteReference w:id="33"/>
      </w:r>
      <w:r w:rsidRPr="00DF5DE8">
        <w:rPr>
          <w:lang w:val="de-DE"/>
        </w:rPr>
        <w:t xml:space="preserve"> </w:t>
      </w:r>
    </w:p>
    <w:p w:rsidR="002459F9" w:rsidRPr="00DF5DE8" w:rsidRDefault="002459F9" w:rsidP="00CF23F5">
      <w:pPr>
        <w:autoSpaceDE w:val="0"/>
        <w:autoSpaceDN w:val="0"/>
        <w:adjustRightInd w:val="0"/>
        <w:spacing w:line="360" w:lineRule="auto"/>
        <w:ind w:firstLine="397"/>
        <w:jc w:val="both"/>
        <w:rPr>
          <w:lang w:val="de-DE"/>
        </w:rPr>
      </w:pPr>
      <w:r w:rsidRPr="00DF5DE8">
        <w:rPr>
          <w:lang w:val="de-DE"/>
        </w:rPr>
        <w:t>Doch worin besteht</w:t>
      </w:r>
      <w:r w:rsidRPr="00DF5DE8">
        <w:rPr>
          <w:b/>
          <w:bCs/>
          <w:lang w:val="de-DE"/>
        </w:rPr>
        <w:t xml:space="preserve"> </w:t>
      </w:r>
      <w:r w:rsidRPr="00DF5DE8">
        <w:rPr>
          <w:lang w:val="de-DE"/>
        </w:rPr>
        <w:t>die hier gemeinte Form der Aufmerksamkeit? Leibniz sagt, dass die angeborenen Wahrheiten der Metaphysik von der „Betrachtung</w:t>
      </w:r>
      <w:r w:rsidRPr="00DF5DE8">
        <w:rPr>
          <w:b/>
          <w:bCs/>
          <w:lang w:val="de-DE"/>
        </w:rPr>
        <w:t xml:space="preserve"> </w:t>
      </w:r>
      <w:r w:rsidRPr="00DF5DE8">
        <w:rPr>
          <w:lang w:val="de-DE"/>
        </w:rPr>
        <w:t>der Natur unserer Seele" abhängen,</w:t>
      </w:r>
      <w:r w:rsidRPr="00DF5DE8">
        <w:rPr>
          <w:b/>
          <w:bCs/>
          <w:lang w:val="de-DE"/>
        </w:rPr>
        <w:t xml:space="preserve"> </w:t>
      </w:r>
      <w:r w:rsidRPr="00DF5DE8">
        <w:rPr>
          <w:lang w:val="de-DE"/>
        </w:rPr>
        <w:t>die ein Seiendes und eine Substanz ist, die Einheit, Identität, Aktivität, Passivität</w:t>
      </w:r>
      <w:r w:rsidRPr="00DF5DE8">
        <w:rPr>
          <w:b/>
          <w:bCs/>
          <w:lang w:val="de-DE"/>
        </w:rPr>
        <w:t xml:space="preserve"> </w:t>
      </w:r>
      <w:r w:rsidRPr="00DF5DE8">
        <w:rPr>
          <w:lang w:val="de-DE"/>
        </w:rPr>
        <w:t>und Dauer besitzt.</w:t>
      </w:r>
      <w:r w:rsidRPr="00DF5DE8">
        <w:rPr>
          <w:rStyle w:val="Funotenzeichen"/>
          <w:lang w:val="de-DE"/>
        </w:rPr>
        <w:footnoteReference w:id="34"/>
      </w:r>
      <w:r w:rsidRPr="00DF5DE8">
        <w:rPr>
          <w:lang w:val="de-DE"/>
        </w:rPr>
        <w:t xml:space="preserve"> Würde die Aufmerksamkeit auf selbstevidente Weise die</w:t>
      </w:r>
      <w:r w:rsidRPr="00DF5DE8">
        <w:rPr>
          <w:b/>
          <w:bCs/>
          <w:lang w:val="de-DE"/>
        </w:rPr>
        <w:t xml:space="preserve"> </w:t>
      </w:r>
      <w:r w:rsidRPr="00DF5DE8">
        <w:rPr>
          <w:lang w:val="de-DE"/>
        </w:rPr>
        <w:t>Eigenschaften des Geistes offenlegen, dann bliebe der Begriff der Aufmerksamkeit</w:t>
      </w:r>
      <w:r w:rsidRPr="00DF5DE8">
        <w:rPr>
          <w:b/>
          <w:bCs/>
          <w:lang w:val="de-DE"/>
        </w:rPr>
        <w:t xml:space="preserve"> </w:t>
      </w:r>
      <w:r w:rsidRPr="00DF5DE8">
        <w:rPr>
          <w:lang w:val="de-DE"/>
        </w:rPr>
        <w:t>in methodologischer Hinsicht unbestimmt. Hier eröffnet sich jedoch die Möglichkeit, den</w:t>
      </w:r>
      <w:r w:rsidRPr="00DF5DE8">
        <w:rPr>
          <w:b/>
          <w:bCs/>
          <w:lang w:val="de-DE"/>
        </w:rPr>
        <w:t xml:space="preserve"> </w:t>
      </w:r>
      <w:r w:rsidRPr="00DF5DE8">
        <w:rPr>
          <w:lang w:val="de-DE"/>
        </w:rPr>
        <w:t>Begriff der Reflexion mit Hilfe des Begriffs der inneren Erfahrung zu</w:t>
      </w:r>
      <w:r w:rsidRPr="00DF5DE8">
        <w:rPr>
          <w:b/>
          <w:bCs/>
          <w:lang w:val="de-DE"/>
        </w:rPr>
        <w:t xml:space="preserve"> </w:t>
      </w:r>
      <w:r w:rsidRPr="00DF5DE8">
        <w:rPr>
          <w:lang w:val="de-DE"/>
        </w:rPr>
        <w:t>konkretisieren. Ein solches Vorgehen legt jedoch Leibniz selbst nahe, denn er</w:t>
      </w:r>
      <w:r w:rsidRPr="00DF5DE8">
        <w:rPr>
          <w:b/>
          <w:bCs/>
          <w:lang w:val="de-DE"/>
        </w:rPr>
        <w:t xml:space="preserve"> </w:t>
      </w:r>
      <w:r w:rsidRPr="00DF5DE8">
        <w:rPr>
          <w:lang w:val="de-DE"/>
        </w:rPr>
        <w:t>schlägt für die Philosophie in Abgrenzung gegenüber der in seinen Augen</w:t>
      </w:r>
      <w:r w:rsidRPr="00DF5DE8">
        <w:rPr>
          <w:b/>
          <w:bCs/>
          <w:lang w:val="de-DE"/>
        </w:rPr>
        <w:t xml:space="preserve"> </w:t>
      </w:r>
      <w:r w:rsidRPr="00DF5DE8">
        <w:rPr>
          <w:lang w:val="de-DE"/>
        </w:rPr>
        <w:t>unzureichenden cartesianischen Methode der klaren und deutlichen Erkenntnis</w:t>
      </w:r>
      <w:r w:rsidRPr="00DF5DE8">
        <w:rPr>
          <w:b/>
          <w:bCs/>
          <w:lang w:val="de-DE"/>
        </w:rPr>
        <w:t xml:space="preserve"> </w:t>
      </w:r>
      <w:r w:rsidRPr="00DF5DE8">
        <w:rPr>
          <w:lang w:val="de-DE"/>
        </w:rPr>
        <w:t>ausdrücklich den Beginn mit den inneren Erfahrungen vor.</w:t>
      </w:r>
      <w:r w:rsidRPr="00DF5DE8">
        <w:rPr>
          <w:rStyle w:val="Funotenzeichen"/>
          <w:lang w:val="de-DE"/>
        </w:rPr>
        <w:footnoteReference w:id="35"/>
      </w:r>
      <w:r w:rsidR="0078761A" w:rsidRPr="00DF5DE8">
        <w:rPr>
          <w:lang w:val="de-DE"/>
        </w:rPr>
        <w:t xml:space="preserve"> </w:t>
      </w:r>
      <w:r w:rsidRPr="00DF5DE8">
        <w:rPr>
          <w:lang w:val="de-DE"/>
        </w:rPr>
        <w:t>Nach Leibniz kennen wir unser Denken durch eine innere Wahrnehmung (</w:t>
      </w:r>
      <w:r w:rsidRPr="00DF5DE8">
        <w:rPr>
          <w:i/>
          <w:iCs/>
          <w:lang w:val="de-DE"/>
        </w:rPr>
        <w:t>sentiment</w:t>
      </w:r>
      <w:r w:rsidRPr="00DF5DE8">
        <w:rPr>
          <w:lang w:val="de-DE"/>
        </w:rPr>
        <w:t xml:space="preserve"> </w:t>
      </w:r>
      <w:r w:rsidRPr="00DF5DE8">
        <w:rPr>
          <w:i/>
          <w:iCs/>
          <w:lang w:val="de-DE"/>
        </w:rPr>
        <w:t>intérieur</w:t>
      </w:r>
      <w:r w:rsidRPr="00DF5DE8">
        <w:rPr>
          <w:iCs/>
          <w:lang w:val="de-DE"/>
        </w:rPr>
        <w:t>)</w:t>
      </w:r>
      <w:r w:rsidRPr="00DF5DE8">
        <w:rPr>
          <w:i/>
          <w:iCs/>
          <w:lang w:val="de-DE"/>
        </w:rPr>
        <w:t xml:space="preserve">. </w:t>
      </w:r>
      <w:r w:rsidRPr="00DF5DE8">
        <w:rPr>
          <w:lang w:val="de-DE"/>
        </w:rPr>
        <w:t>Durch diese innere Wahrnehmung wird unser Denken zum Gegenstand einer Erfahrung.</w:t>
      </w:r>
      <w:r w:rsidRPr="00DF5DE8">
        <w:rPr>
          <w:rStyle w:val="Funotenzeichen"/>
          <w:lang w:val="de-DE"/>
        </w:rPr>
        <w:footnoteReference w:id="36"/>
      </w:r>
      <w:r w:rsidRPr="00DF5DE8">
        <w:rPr>
          <w:lang w:val="de-DE"/>
        </w:rPr>
        <w:t xml:space="preserve"> Aus einer einfachen Wahrnehmung (</w:t>
      </w:r>
      <w:r w:rsidRPr="00DF5DE8">
        <w:rPr>
          <w:i/>
          <w:iCs/>
          <w:lang w:val="de-DE"/>
        </w:rPr>
        <w:t>simplex</w:t>
      </w:r>
      <w:r w:rsidRPr="00DF5DE8">
        <w:rPr>
          <w:lang w:val="de-DE"/>
        </w:rPr>
        <w:t xml:space="preserve"> </w:t>
      </w:r>
      <w:r w:rsidRPr="00DF5DE8">
        <w:rPr>
          <w:i/>
          <w:iCs/>
          <w:lang w:val="de-DE"/>
        </w:rPr>
        <w:t>perceptio sive experientia</w:t>
      </w:r>
      <w:r w:rsidRPr="00DF5DE8">
        <w:rPr>
          <w:lang w:val="de-DE"/>
        </w:rPr>
        <w:t>) urteilt man über dasjenige, dessen man sich in sich gewahr wird: Zum Beispiel dass ich Verschiedenes denke, dass verschiedene Erscheinungen im Geist existieren, dass ich eine bestimmte Sinneswahrnehmung habe, dass ich träume, oder dass ich, der träumt, existiere.</w:t>
      </w:r>
      <w:r w:rsidRPr="00DF5DE8">
        <w:rPr>
          <w:rStyle w:val="Funotenzeichen"/>
          <w:lang w:val="de-DE"/>
        </w:rPr>
        <w:footnoteReference w:id="37"/>
      </w:r>
      <w:r w:rsidRPr="00DF5DE8">
        <w:rPr>
          <w:lang w:val="de-DE"/>
        </w:rPr>
        <w:t xml:space="preserve"> Dem entsprechend versteht Leibniz unter den ersten Erfahrungen (</w:t>
      </w:r>
      <w:r w:rsidRPr="00DF5DE8">
        <w:rPr>
          <w:i/>
          <w:iCs/>
          <w:lang w:val="de-DE"/>
        </w:rPr>
        <w:t>premieres experiences</w:t>
      </w:r>
      <w:r w:rsidRPr="00DF5DE8">
        <w:rPr>
          <w:lang w:val="de-DE"/>
        </w:rPr>
        <w:t>) die ersten Tatsachenwahrheiten, auf welche die „unmittelbare Apperzeption unserer Existenz und unserer Gedanken" („l‘apperception immediate de nostre Existence et de nos pensees") fuhrt.</w:t>
      </w:r>
      <w:r w:rsidRPr="00DF5DE8">
        <w:rPr>
          <w:rStyle w:val="Funotenzeichen"/>
          <w:lang w:val="de-DE"/>
        </w:rPr>
        <w:footnoteReference w:id="38"/>
      </w:r>
      <w:r w:rsidRPr="00DF5DE8">
        <w:rPr>
          <w:lang w:val="de-DE"/>
        </w:rPr>
        <w:t xml:space="preserve"> Dem entsprechend definiert Leibniz bereits vor der Zeit des </w:t>
      </w:r>
      <w:r w:rsidRPr="00DF5DE8">
        <w:rPr>
          <w:i/>
          <w:iCs/>
          <w:lang w:val="de-DE"/>
        </w:rPr>
        <w:t>Discours de Métaphysique: „</w:t>
      </w:r>
      <w:r w:rsidRPr="00DF5DE8">
        <w:rPr>
          <w:lang w:val="de-DE"/>
        </w:rPr>
        <w:t>unmittelbare Erfahrungen nenne ich aber jene Aussagen, mit denen wir</w:t>
      </w:r>
      <w:r w:rsidRPr="00DF5DE8">
        <w:rPr>
          <w:i/>
          <w:iCs/>
          <w:lang w:val="de-DE"/>
        </w:rPr>
        <w:t xml:space="preserve"> </w:t>
      </w:r>
      <w:r w:rsidRPr="00DF5DE8">
        <w:rPr>
          <w:lang w:val="de-DE"/>
        </w:rPr>
        <w:t>wahrnehmen, dass uns etwas erscheint.“</w:t>
      </w:r>
      <w:r w:rsidRPr="00DF5DE8">
        <w:rPr>
          <w:rStyle w:val="Funotenzeichen"/>
          <w:lang w:val="de-DE"/>
        </w:rPr>
        <w:footnoteReference w:id="39"/>
      </w:r>
      <w:r w:rsidRPr="00DF5DE8">
        <w:rPr>
          <w:i/>
          <w:iCs/>
          <w:lang w:val="de-DE"/>
        </w:rPr>
        <w:t xml:space="preserve"> </w:t>
      </w:r>
      <w:r w:rsidRPr="00DF5DE8">
        <w:rPr>
          <w:lang w:val="de-DE"/>
        </w:rPr>
        <w:t>Die inneren oder „unmittelbaren“ Erfahrungen, die einen methodischen Ausgangspunkt für die Metaphysik bilden, sind also Gedanken oder Aussagen über unsere Gedanken und Wahrnehmungen.</w:t>
      </w:r>
    </w:p>
    <w:p w:rsidR="002459F9" w:rsidRPr="00DF5DE8" w:rsidRDefault="002459F9" w:rsidP="00C94AAA">
      <w:pPr>
        <w:autoSpaceDE w:val="0"/>
        <w:autoSpaceDN w:val="0"/>
        <w:adjustRightInd w:val="0"/>
        <w:spacing w:line="360" w:lineRule="auto"/>
        <w:ind w:firstLine="397"/>
        <w:jc w:val="both"/>
        <w:rPr>
          <w:lang w:val="de-DE"/>
        </w:rPr>
      </w:pPr>
      <w:r w:rsidRPr="00DF5DE8">
        <w:rPr>
          <w:lang w:val="de-DE"/>
        </w:rPr>
        <w:t>Doch auf welche Weise gelangt die Reflexion über die Tätigkeiten des Geistes hinaus und zur Natur des Geistes selbst? Wie sich bereits gezeigt hat, erfolgt die Begründung der Metaphysik nach Leibniz’ Vorstellung im Idealfall auf dem Weg der Analyse.</w:t>
      </w:r>
      <w:r w:rsidRPr="00DF5DE8">
        <w:rPr>
          <w:rStyle w:val="Funotenzeichen"/>
          <w:lang w:val="de-DE"/>
        </w:rPr>
        <w:footnoteReference w:id="40"/>
      </w:r>
      <w:r w:rsidRPr="00DF5DE8">
        <w:rPr>
          <w:lang w:val="de-DE"/>
        </w:rPr>
        <w:t xml:space="preserve"> Die Charakterisierung der inneren Erfahrungen als Aussagen über unsere Gedanken mach deutlich, dass es sich bei der Methode der Reflexion um eine Analyse von Aussagen—im Gegensatz zur Analyse von Begriffen</w:t>
      </w:r>
      <w:r w:rsidRPr="00DF5DE8">
        <w:rPr>
          <w:rStyle w:val="Funotenzeichen"/>
          <w:lang w:val="de-DE"/>
        </w:rPr>
        <w:footnoteReference w:id="41"/>
      </w:r>
      <w:r w:rsidRPr="00DF5DE8">
        <w:rPr>
          <w:lang w:val="de-DE"/>
        </w:rPr>
        <w:t xml:space="preserve">—handeln muss. Diese Art der Analyse beginnt mit gegebenen Aussagen und führt zurück zu deren Präsuppositionen </w:t>
      </w:r>
      <w:r w:rsidRPr="00DF5DE8">
        <w:rPr>
          <w:iCs/>
          <w:lang w:val="de-DE"/>
        </w:rPr>
        <w:t>(</w:t>
      </w:r>
      <w:r w:rsidRPr="00DF5DE8">
        <w:rPr>
          <w:i/>
          <w:iCs/>
          <w:lang w:val="de-DE"/>
        </w:rPr>
        <w:t>principia</w:t>
      </w:r>
      <w:r w:rsidRPr="00DF5DE8">
        <w:rPr>
          <w:iCs/>
          <w:lang w:val="de-DE"/>
        </w:rPr>
        <w:t>).</w:t>
      </w:r>
      <w:r w:rsidRPr="00DF5DE8">
        <w:rPr>
          <w:rStyle w:val="Funotenzeichen"/>
          <w:iCs/>
          <w:lang w:val="de-DE"/>
        </w:rPr>
        <w:footnoteReference w:id="42"/>
      </w:r>
      <w:r w:rsidRPr="00DF5DE8">
        <w:rPr>
          <w:i/>
          <w:iCs/>
          <w:lang w:val="de-DE"/>
        </w:rPr>
        <w:t xml:space="preserve"> </w:t>
      </w:r>
      <w:r w:rsidRPr="00DF5DE8">
        <w:rPr>
          <w:lang w:val="de-DE"/>
        </w:rPr>
        <w:t xml:space="preserve">Die </w:t>
      </w:r>
      <w:r w:rsidRPr="00DF5DE8">
        <w:rPr>
          <w:i/>
          <w:iCs/>
          <w:lang w:val="de-DE"/>
        </w:rPr>
        <w:t>principia</w:t>
      </w:r>
      <w:r w:rsidRPr="00DF5DE8">
        <w:rPr>
          <w:lang w:val="de-DE"/>
        </w:rPr>
        <w:t xml:space="preserve"> werden dabei aufgefasst als die Definitionen, Axiome und Hypothesen, aus deren Gesamtheit die gegebenen Aussagen ihrerseits als Folgesätze folgen.</w:t>
      </w:r>
      <w:r w:rsidRPr="00DF5DE8">
        <w:rPr>
          <w:rStyle w:val="Funotenzeichen"/>
          <w:lang w:val="de-DE"/>
        </w:rPr>
        <w:footnoteReference w:id="43"/>
      </w:r>
      <w:r w:rsidRPr="00DF5DE8">
        <w:rPr>
          <w:lang w:val="de-DE"/>
        </w:rPr>
        <w:t xml:space="preserve"> Die Reflexion, die zur Erkenntnis der angeborenen Begriffe und Aussagen der Metaphysik führt, ist folglich eine diskursive Tätigkeit des Verstandes, die in der Analyse von Aussagen über unsere Gedanken und Wahrnehmungen die Voraussetzungen offenlegt, unter denen diesen Aussagen stehen.</w:t>
      </w:r>
    </w:p>
    <w:p w:rsidR="002459F9" w:rsidRPr="00DF5DE8" w:rsidRDefault="002459F9" w:rsidP="005F0902">
      <w:pPr>
        <w:autoSpaceDE w:val="0"/>
        <w:autoSpaceDN w:val="0"/>
        <w:adjustRightInd w:val="0"/>
        <w:spacing w:line="360" w:lineRule="auto"/>
        <w:ind w:firstLine="397"/>
        <w:jc w:val="both"/>
        <w:rPr>
          <w:lang w:val="de-DE"/>
        </w:rPr>
      </w:pPr>
      <w:r w:rsidRPr="00DF5DE8">
        <w:rPr>
          <w:lang w:val="de-DE"/>
        </w:rPr>
        <w:t>Diese Auffassung von innerer Erfahrung erklärt auch, weshalb in den Augen von Leibniz die Prinzipien und Grundbegriffe der Metaphysik mit Gewissheit verbunden sind. Nach Leibniz kann die Methode der Reflexion nicht täuschen, weil das Bewusstsein, das eine innere Aktivität begleitet, auf natürlichem Weg nicht täuschen kann.</w:t>
      </w:r>
      <w:r w:rsidRPr="00DF5DE8">
        <w:rPr>
          <w:rStyle w:val="Funotenzeichen"/>
          <w:lang w:val="de-DE"/>
        </w:rPr>
        <w:footnoteReference w:id="44"/>
      </w:r>
      <w:r w:rsidRPr="00DF5DE8">
        <w:rPr>
          <w:lang w:val="de-DE"/>
        </w:rPr>
        <w:t xml:space="preserve"> Wären diese inneren Erfahrungen nicht gewiss, gäbe es nach Leibniz keine Tatsachenwahrheiten, deren wir uns gewiss sein könnten.</w:t>
      </w:r>
      <w:r w:rsidRPr="00DF5DE8">
        <w:rPr>
          <w:rStyle w:val="Funotenzeichen"/>
          <w:lang w:val="de-DE"/>
        </w:rPr>
        <w:footnoteReference w:id="45"/>
      </w:r>
      <w:r w:rsidRPr="00DF5DE8">
        <w:rPr>
          <w:lang w:val="de-DE"/>
        </w:rPr>
        <w:t xml:space="preserve"> Deshalb glaubt Leibniz, dass die inneren Erfahrungen einen Ausgangspunkt bilden, der Gewissheit beanspruchen darf: Die Skeptiker verderben, wie er sagt, ihre guten Einsichten, indem sie ihre Zweifel zu weit, nämlich auf die unmittelbaren Erfahrungen und auf die geometrischen Wahrheiten, ausdehnen.</w:t>
      </w:r>
      <w:r w:rsidRPr="00DF5DE8">
        <w:rPr>
          <w:rStyle w:val="Funotenzeichen"/>
          <w:lang w:val="de-DE"/>
        </w:rPr>
        <w:footnoteReference w:id="46"/>
      </w:r>
      <w:r w:rsidRPr="00DF5DE8">
        <w:rPr>
          <w:lang w:val="de-DE"/>
        </w:rPr>
        <w:t xml:space="preserve"> Die Erkenntnis unserer inneren Zustände ist unmittelbar und bedarf keines weiteren Beweises: Die Aktivitäten des Geistes werden aus einfacher Perzeption erkannt, und ihre Erkenntnis setzt im Gegensatz zur Erkenntnis empirischer Phänomene keinen Beweis ihrer Realität voraus.</w:t>
      </w:r>
      <w:r w:rsidRPr="00DF5DE8">
        <w:rPr>
          <w:rStyle w:val="Funotenzeichen"/>
          <w:lang w:val="de-DE"/>
        </w:rPr>
        <w:footnoteReference w:id="47"/>
      </w:r>
      <w:r w:rsidRPr="00DF5DE8">
        <w:rPr>
          <w:lang w:val="de-DE"/>
        </w:rPr>
        <w:t xml:space="preserve"> Eine Rolle dabei spielt die Auffassung, dass obwohl die Erinnerung über eine bestimmte zeitliche Entfernung hin immer täuschen kann, die Erinnerung an das unmittelbar Vorangegangene (Leibniz spricht hier von einem „souvenir present ou immédiat“) auf natürlichem Weg nicht täuscht; als eine solche unmittelbare Erinnerung an geistige Aktivitäten interpretiert Leibniz das Bewusstsein.</w:t>
      </w:r>
      <w:r w:rsidRPr="00DF5DE8">
        <w:rPr>
          <w:rStyle w:val="Funotenzeichen"/>
          <w:lang w:val="de-DE"/>
        </w:rPr>
        <w:footnoteReference w:id="48"/>
      </w:r>
      <w:r w:rsidRPr="00DF5DE8">
        <w:rPr>
          <w:lang w:val="de-DE"/>
        </w:rPr>
        <w:t xml:space="preserve"> Allgemein formuliert Leibniz: „Jede Perzeption meines gegenwärtigen Denkens ist wahr.“</w:t>
      </w:r>
      <w:r w:rsidRPr="00DF5DE8">
        <w:rPr>
          <w:rStyle w:val="Funotenzeichen"/>
          <w:lang w:val="de-DE"/>
        </w:rPr>
        <w:footnoteReference w:id="49"/>
      </w:r>
      <w:r w:rsidRPr="00DF5DE8">
        <w:rPr>
          <w:lang w:val="de-DE"/>
        </w:rPr>
        <w:t xml:space="preserve"> Deshalb sagt Leibniz, es sei die Fülle an Evidenz einer unmittelbaren Perzeption, welche die Gewissheit eines Satzes wie „Cogito ergo sum“ ausmacht.</w:t>
      </w:r>
      <w:r w:rsidRPr="00DF5DE8">
        <w:rPr>
          <w:rStyle w:val="Funotenzeichen"/>
          <w:lang w:val="de-DE"/>
        </w:rPr>
        <w:footnoteReference w:id="50"/>
      </w:r>
      <w:r w:rsidRPr="00DF5DE8">
        <w:rPr>
          <w:lang w:val="de-DE"/>
        </w:rPr>
        <w:t xml:space="preserve"> Wenn die inneren Erfahrungen nicht gewiss (</w:t>
      </w:r>
      <w:r w:rsidRPr="00DF5DE8">
        <w:rPr>
          <w:i/>
          <w:iCs/>
          <w:lang w:val="de-DE"/>
        </w:rPr>
        <w:t>certain</w:t>
      </w:r>
      <w:r w:rsidRPr="00DF5DE8">
        <w:rPr>
          <w:iCs/>
          <w:lang w:val="de-DE"/>
        </w:rPr>
        <w:t>)</w:t>
      </w:r>
      <w:r w:rsidRPr="00DF5DE8">
        <w:rPr>
          <w:lang w:val="de-DE"/>
        </w:rPr>
        <w:t xml:space="preserve"> wären, so gäbe es keine Tatsachenwahrheiten, deren man sich sicher </w:t>
      </w:r>
      <w:r w:rsidRPr="00DF5DE8">
        <w:rPr>
          <w:iCs/>
          <w:lang w:val="de-DE"/>
        </w:rPr>
        <w:t>(</w:t>
      </w:r>
      <w:r w:rsidRPr="00DF5DE8">
        <w:rPr>
          <w:i/>
          <w:iCs/>
          <w:lang w:val="de-DE"/>
        </w:rPr>
        <w:t>asseuré</w:t>
      </w:r>
      <w:r w:rsidRPr="00DF5DE8">
        <w:rPr>
          <w:iCs/>
          <w:lang w:val="de-DE"/>
        </w:rPr>
        <w:t>)</w:t>
      </w:r>
      <w:r w:rsidRPr="00DF5DE8">
        <w:rPr>
          <w:lang w:val="de-DE"/>
        </w:rPr>
        <w:t xml:space="preserve"> sein kann.</w:t>
      </w:r>
      <w:r w:rsidRPr="00DF5DE8">
        <w:rPr>
          <w:rStyle w:val="Funotenzeichen"/>
          <w:lang w:val="de-DE"/>
        </w:rPr>
        <w:footnoteReference w:id="51"/>
      </w:r>
      <w:r w:rsidRPr="00DF5DE8">
        <w:rPr>
          <w:lang w:val="de-DE"/>
        </w:rPr>
        <w:t xml:space="preserve"> Im selben Sinn spricht Leibniz davon, dass die unmittelbare Erfahrung der erste Ursprung der Tatsachenwahrheiten ist, und keine Wahrheit bewiesen werden könnte, wenn man diese Erfahrung nicht zugibt.</w:t>
      </w:r>
      <w:r w:rsidRPr="00DF5DE8">
        <w:rPr>
          <w:rStyle w:val="Funotenzeichen"/>
          <w:lang w:val="de-DE"/>
        </w:rPr>
        <w:footnoteReference w:id="52"/>
      </w:r>
      <w:r w:rsidRPr="00DF5DE8">
        <w:rPr>
          <w:lang w:val="de-DE"/>
        </w:rPr>
        <w:t xml:space="preserve"> Aus diesem Grund kann er auch sagen, dass bei der Erkenntnis der angeborenen Vernunftprinzipien die Erkenntnis unseres eigenen Geistes mit der Erkenntnis der Natur der Dinge zusammenfällt.</w:t>
      </w:r>
      <w:r w:rsidRPr="00DF5DE8">
        <w:rPr>
          <w:rStyle w:val="Funotenzeichen"/>
          <w:lang w:val="de-DE"/>
        </w:rPr>
        <w:footnoteReference w:id="53"/>
      </w:r>
    </w:p>
    <w:p w:rsidR="002459F9" w:rsidRPr="00DF5DE8" w:rsidRDefault="002459F9" w:rsidP="00D049D5">
      <w:pPr>
        <w:spacing w:line="360" w:lineRule="auto"/>
        <w:ind w:firstLine="397"/>
        <w:jc w:val="both"/>
        <w:rPr>
          <w:lang w:val="de-DE"/>
        </w:rPr>
      </w:pPr>
      <w:r w:rsidRPr="00DF5DE8">
        <w:rPr>
          <w:lang w:val="de-DE"/>
        </w:rPr>
        <w:t>Auch Wolff diskutiert das Verhältnis zwischen Hypothesen und Erfahrungen in der Philosophie. Wolffs Einstellung gegenüber Hypothesen ist keinesfalls in jeder Hinsicht ablehnend, doch ist er sehr viel weniger als Leibniz bereit, in der Ontologie von Hypothesen Gebrauch zu machen. Wie Wolff hervorhebt, ist es das Ziel philosophischer Hypothesen, Erklärungen von Phänomenen zu finden, in Analogie zu den Erklärungshypothesen in der Astronomie.</w:t>
      </w:r>
      <w:r w:rsidRPr="00DF5DE8">
        <w:rPr>
          <w:rStyle w:val="Funotenzeichen"/>
          <w:lang w:val="de-DE"/>
        </w:rPr>
        <w:footnoteReference w:id="54"/>
      </w:r>
      <w:r w:rsidRPr="00DF5DE8">
        <w:rPr>
          <w:lang w:val="de-DE"/>
        </w:rPr>
        <w:t xml:space="preserve"> Er schreibt Hypothesen eine zentrale Rolle für den Fortschritt in den Naturwissenschaften und in der Philosophie zu, da Hypothesen zur Beobachtung neuer Phänomene führen, die wiederum die Formulierung neuer Hypothesen führen, wenn sie mit den vorherigen Hypothesen unvereinbar sind.</w:t>
      </w:r>
      <w:r w:rsidRPr="00DF5DE8">
        <w:rPr>
          <w:rStyle w:val="Funotenzeichen"/>
          <w:lang w:val="de-DE"/>
        </w:rPr>
        <w:footnoteReference w:id="55"/>
      </w:r>
      <w:r w:rsidRPr="00DF5DE8">
        <w:rPr>
          <w:lang w:val="de-DE"/>
        </w:rPr>
        <w:t xml:space="preserve"> Allerdings möchte Wolff seine Ontologie in keiner Weise auf hypothetische Startpunkte aufbauen: „Hypothesen dürfen nicht als Prinzipien in den Beweis von Aussagen eingehen, die in der Philosophie als Lehrsätze zugelassen werden.“</w:t>
      </w:r>
      <w:r w:rsidRPr="00DF5DE8">
        <w:rPr>
          <w:rStyle w:val="Funotenzeichen"/>
          <w:lang w:val="de-DE"/>
        </w:rPr>
        <w:footnoteReference w:id="56"/>
      </w:r>
      <w:r w:rsidRPr="00DF5DE8">
        <w:rPr>
          <w:lang w:val="de-DE"/>
        </w:rPr>
        <w:t xml:space="preserve"> Darin sieht er den wesentlichen Kontrast zu Leibniz’ Methode: soweit das Bilden von metaphysischen Hypothesen angeht, denkt Wolff, dass die Hypothese der prästabilierten Harmonie kaum übertroffen werden kann. Dennoch sieht Wolff, dass auf diesem Weg bestenfalls konditionale Argumente aufgebaut werden können. </w:t>
      </w:r>
      <w:r w:rsidRPr="00DF5DE8">
        <w:rPr>
          <w:i/>
          <w:lang w:val="de-DE"/>
        </w:rPr>
        <w:t xml:space="preserve">Wenn </w:t>
      </w:r>
      <w:r w:rsidRPr="00DF5DE8">
        <w:rPr>
          <w:lang w:val="de-DE"/>
        </w:rPr>
        <w:t>die Theorie der prästabilierten Harmonie zuträfe, wüssten wir, welche Folgerungen wahr wären. Da diese Einsichten aber unter einem solchen Vorbehalt stehen, könnte ein solches Vorgehen nie Gewissheit vermitteln—und dies ist in den Augen von Wolff das Ziel seiner Methode.</w:t>
      </w:r>
      <w:r w:rsidRPr="00DF5DE8">
        <w:rPr>
          <w:rStyle w:val="Funotenzeichen"/>
          <w:lang w:val="de-DE"/>
        </w:rPr>
        <w:footnoteReference w:id="57"/>
      </w:r>
    </w:p>
    <w:p w:rsidR="002459F9" w:rsidRPr="00DF5DE8" w:rsidRDefault="002459F9" w:rsidP="00C611AF">
      <w:pPr>
        <w:autoSpaceDE w:val="0"/>
        <w:autoSpaceDN w:val="0"/>
        <w:adjustRightInd w:val="0"/>
        <w:spacing w:line="360" w:lineRule="auto"/>
        <w:ind w:firstLine="397"/>
        <w:jc w:val="both"/>
        <w:rPr>
          <w:lang w:val="de-DE"/>
        </w:rPr>
      </w:pPr>
      <w:r w:rsidRPr="00DF5DE8">
        <w:rPr>
          <w:lang w:val="de-DE"/>
        </w:rPr>
        <w:t xml:space="preserve">Seine eigene Metaphilosophie ist in drei berühmten Texten dargestellt: im </w:t>
      </w:r>
      <w:r w:rsidRPr="00DF5DE8">
        <w:rPr>
          <w:i/>
          <w:lang w:val="de-DE"/>
        </w:rPr>
        <w:t xml:space="preserve">Discursus praeliminiaris </w:t>
      </w:r>
      <w:r w:rsidRPr="00DF5DE8">
        <w:rPr>
          <w:lang w:val="de-DE"/>
        </w:rPr>
        <w:t xml:space="preserve">seiner Logik und in der </w:t>
      </w:r>
      <w:r w:rsidRPr="00DF5DE8">
        <w:rPr>
          <w:i/>
          <w:lang w:val="de-DE"/>
        </w:rPr>
        <w:t xml:space="preserve">Praefatio </w:t>
      </w:r>
      <w:r w:rsidRPr="00DF5DE8">
        <w:rPr>
          <w:lang w:val="de-DE"/>
        </w:rPr>
        <w:t xml:space="preserve">und den </w:t>
      </w:r>
      <w:r w:rsidRPr="00DF5DE8">
        <w:rPr>
          <w:i/>
          <w:lang w:val="de-DE"/>
        </w:rPr>
        <w:t>Prolegomena</w:t>
      </w:r>
      <w:r w:rsidRPr="00DF5DE8">
        <w:rPr>
          <w:lang w:val="de-DE"/>
        </w:rPr>
        <w:t xml:space="preserve"> seiner Ontologie. </w:t>
      </w:r>
      <w:r w:rsidR="00CF23F5">
        <w:rPr>
          <w:lang w:val="de-DE"/>
        </w:rPr>
        <w:t>Tatsächlich spielt der Bezug auf alltägliche Begriffe eine wichtige Rolle in seinen methodologischen Überlegungen. In dieser Hinsicht weist Wolff</w:t>
      </w:r>
      <w:r w:rsidRPr="00DF5DE8">
        <w:rPr>
          <w:lang w:val="de-DE"/>
        </w:rPr>
        <w:t xml:space="preserve"> ein Missverständnis zurück, das allerdings naheliegt, weil es seinen tatsächlichen Auffassungen nahekommt. Wie er sagt, wäre es ein Missverständnis anzunehmen, es ginge ihm in seiner Ontologie nur darum, alltägliche Begriffe zu explizieren.</w:t>
      </w:r>
      <w:r w:rsidRPr="00DF5DE8">
        <w:rPr>
          <w:rStyle w:val="Funotenzeichen"/>
          <w:lang w:val="de-DE"/>
        </w:rPr>
        <w:footnoteReference w:id="58"/>
      </w:r>
      <w:r w:rsidRPr="00DF5DE8">
        <w:rPr>
          <w:lang w:val="de-DE"/>
        </w:rPr>
        <w:t xml:space="preserve"> Das Missverständnis bezieht sich allerdings keinesfalls darauf, dass eine solche Aktivität Teil seiner Me</w:t>
      </w:r>
      <w:r w:rsidR="00CF23F5">
        <w:rPr>
          <w:lang w:val="de-DE"/>
        </w:rPr>
        <w:t xml:space="preserve">thodologie ist, sondern eher </w:t>
      </w:r>
      <w:r w:rsidRPr="00DF5DE8">
        <w:rPr>
          <w:lang w:val="de-DE"/>
        </w:rPr>
        <w:t>auf</w:t>
      </w:r>
      <w:r w:rsidR="00CF23F5">
        <w:rPr>
          <w:lang w:val="de-DE"/>
        </w:rPr>
        <w:t xml:space="preserve"> die irrtümliche Annahme,</w:t>
      </w:r>
      <w:r w:rsidRPr="00DF5DE8">
        <w:rPr>
          <w:lang w:val="de-DE"/>
        </w:rPr>
        <w:t xml:space="preserve"> es </w:t>
      </w:r>
      <w:r w:rsidR="00CF23F5">
        <w:rPr>
          <w:lang w:val="de-DE"/>
        </w:rPr>
        <w:t xml:space="preserve">gebe </w:t>
      </w:r>
      <w:r w:rsidRPr="00DF5DE8">
        <w:rPr>
          <w:lang w:val="de-DE"/>
        </w:rPr>
        <w:t>keine weiteren Elem</w:t>
      </w:r>
      <w:r w:rsidR="00CF23F5">
        <w:rPr>
          <w:lang w:val="de-DE"/>
        </w:rPr>
        <w:t>ente in seiner Methodologie. Wolffs</w:t>
      </w:r>
      <w:r w:rsidRPr="00DF5DE8">
        <w:rPr>
          <w:lang w:val="de-DE"/>
        </w:rPr>
        <w:t xml:space="preserve"> Punkt </w:t>
      </w:r>
      <w:r w:rsidR="00CF23F5">
        <w:rPr>
          <w:lang w:val="de-DE"/>
        </w:rPr>
        <w:t xml:space="preserve">ist, dass </w:t>
      </w:r>
      <w:r w:rsidRPr="00DF5DE8">
        <w:rPr>
          <w:lang w:val="de-DE"/>
        </w:rPr>
        <w:t xml:space="preserve">über </w:t>
      </w:r>
      <w:r w:rsidR="00CF23F5">
        <w:rPr>
          <w:lang w:val="de-DE"/>
        </w:rPr>
        <w:t xml:space="preserve">eine Analyse alltäglicher Begriffe </w:t>
      </w:r>
      <w:r w:rsidRPr="00DF5DE8">
        <w:rPr>
          <w:lang w:val="de-DE"/>
        </w:rPr>
        <w:t>hinaus auch die Gründe angegeben werden sollten, weshalb dem Seienden die Prädikate zukommen, die ihm zugeschrieben werden.</w:t>
      </w:r>
      <w:r w:rsidRPr="00DF5DE8">
        <w:rPr>
          <w:rStyle w:val="Funotenzeichen"/>
          <w:lang w:val="de-DE"/>
        </w:rPr>
        <w:footnoteReference w:id="59"/>
      </w:r>
      <w:r w:rsidRPr="00DF5DE8">
        <w:rPr>
          <w:lang w:val="de-DE"/>
        </w:rPr>
        <w:t xml:space="preserve"> Unübersehbar ist dies mit der Idee einer axiomatisch-deduktiven Methode verbunden, die das organisierende Prinzip nahezu aller seiner Texte ist. Dabei sollte aber nicht übersehen</w:t>
      </w:r>
      <w:r w:rsidR="00F97624">
        <w:rPr>
          <w:lang w:val="de-DE"/>
        </w:rPr>
        <w:t xml:space="preserve"> werden, dass Wolff</w:t>
      </w:r>
      <w:r w:rsidRPr="00DF5DE8">
        <w:rPr>
          <w:lang w:val="de-DE"/>
        </w:rPr>
        <w:t xml:space="preserve"> einwendet, dass</w:t>
      </w:r>
      <w:r w:rsidR="00F97624">
        <w:rPr>
          <w:lang w:val="de-DE"/>
        </w:rPr>
        <w:t>, im Gegensatz zu den Prinzipien der Euklidischen Geometrie, die Prinzipien der Ontologie keinesfalls so selbstevident sind, dass sie ohne einen Beweis keinesfalls als wahr erkannt werden</w:t>
      </w:r>
      <w:r w:rsidRPr="00DF5DE8">
        <w:rPr>
          <w:lang w:val="de-DE"/>
        </w:rPr>
        <w:t>.</w:t>
      </w:r>
      <w:r w:rsidRPr="00DF5DE8">
        <w:rPr>
          <w:rStyle w:val="Funotenzeichen"/>
          <w:lang w:val="de-DE"/>
        </w:rPr>
        <w:footnoteReference w:id="60"/>
      </w:r>
      <w:r w:rsidRPr="00DF5DE8">
        <w:rPr>
          <w:lang w:val="de-DE"/>
        </w:rPr>
        <w:t xml:space="preserve"> Der Bezug auf alltägliche Begriffe ist deshalb für Wolff von grundlegender Bedeutung, weil durch diesen Bezug geklärt werden kann, in welchem Sinn metaphysische Prinzipien und Begriffe Gewissheit beanspruchen können, und wie sie die Eigenschaften, die dem Seienden zugeschrieben werden, begründen können.</w:t>
      </w:r>
    </w:p>
    <w:p w:rsidR="00450A97" w:rsidRDefault="002459F9" w:rsidP="00450A97">
      <w:pPr>
        <w:autoSpaceDE w:val="0"/>
        <w:autoSpaceDN w:val="0"/>
        <w:adjustRightInd w:val="0"/>
        <w:spacing w:line="360" w:lineRule="auto"/>
        <w:ind w:firstLine="397"/>
        <w:jc w:val="both"/>
        <w:rPr>
          <w:lang w:val="de-DE"/>
        </w:rPr>
      </w:pPr>
      <w:r w:rsidRPr="00DF5DE8">
        <w:rPr>
          <w:lang w:val="de-DE"/>
        </w:rPr>
        <w:t xml:space="preserve">Auf den ersten Blick klingt eine solche Strategie sicherlich wenig plausibel, weil unsere alltäglichen Begriffe nicht nur verworren, sondern auch allen Arten von Irrtümern ausgesetzt sein können. Deshalb ist es wichtig zu sehen, dass Wolffs Vorstellung von der Klärung alltäglicher Begriffe viel mit Leibniz’ Vorstellung der inneren Erfahrung gemeinsam hat. Wie für Leibniz geht es Wolff um die Klärung von Urteilen, die wir über unsere eigenen geistigen Aktivitäten treffen. Dabei geht er davon aus, dass solche Urteile bei allen (rational denkenden) Menschen auf gemeinsame Inhalte führen werden. Deshalb greift er hier auf den Begriff der </w:t>
      </w:r>
      <w:r w:rsidRPr="00DF5DE8">
        <w:rPr>
          <w:i/>
          <w:lang w:val="de-DE"/>
        </w:rPr>
        <w:t>notio</w:t>
      </w:r>
      <w:r w:rsidR="00656F9B" w:rsidRPr="00DF5DE8">
        <w:rPr>
          <w:i/>
          <w:lang w:val="de-DE"/>
        </w:rPr>
        <w:t>nes commune</w:t>
      </w:r>
      <w:r w:rsidRPr="00DF5DE8">
        <w:rPr>
          <w:i/>
          <w:lang w:val="de-DE"/>
        </w:rPr>
        <w:t xml:space="preserve">s </w:t>
      </w:r>
      <w:r w:rsidRPr="00DF5DE8">
        <w:rPr>
          <w:lang w:val="de-DE"/>
        </w:rPr>
        <w:t>zurück</w:t>
      </w:r>
      <w:r w:rsidRPr="00DF5DE8">
        <w:rPr>
          <w:rStyle w:val="Funotenzeichen"/>
          <w:lang w:val="de-DE"/>
        </w:rPr>
        <w:footnoteReference w:id="61"/>
      </w:r>
      <w:r w:rsidRPr="00DF5DE8">
        <w:rPr>
          <w:lang w:val="de-DE"/>
        </w:rPr>
        <w:t xml:space="preserve"> (der auch bei Leibniz im Kontext der Gerechtigkeitstheorie eine wichtige Rolle spielt</w:t>
      </w:r>
      <w:r w:rsidRPr="00DF5DE8">
        <w:rPr>
          <w:rStyle w:val="Funotenzeichen"/>
          <w:lang w:val="de-DE"/>
        </w:rPr>
        <w:footnoteReference w:id="62"/>
      </w:r>
      <w:r w:rsidR="00656F9B" w:rsidRPr="00DF5DE8">
        <w:rPr>
          <w:lang w:val="de-DE"/>
        </w:rPr>
        <w:t>). Wolff</w:t>
      </w:r>
      <w:r w:rsidRPr="00DF5DE8">
        <w:rPr>
          <w:lang w:val="de-DE"/>
        </w:rPr>
        <w:t xml:space="preserve"> fasst dabei eine </w:t>
      </w:r>
      <w:r w:rsidRPr="00DF5DE8">
        <w:rPr>
          <w:i/>
          <w:lang w:val="de-DE"/>
        </w:rPr>
        <w:t xml:space="preserve">notio communis </w:t>
      </w:r>
      <w:r w:rsidRPr="00DF5DE8">
        <w:rPr>
          <w:lang w:val="de-DE"/>
        </w:rPr>
        <w:t>nicht als eine platonische Idee auf, sondern versteht sie als einen gedanklichen Inhalt, der</w:t>
      </w:r>
      <w:r w:rsidR="00F97624">
        <w:rPr>
          <w:lang w:val="de-DE"/>
        </w:rPr>
        <w:t xml:space="preserve"> im  alltäglichen</w:t>
      </w:r>
      <w:r w:rsidRPr="00DF5DE8">
        <w:rPr>
          <w:lang w:val="de-DE"/>
        </w:rPr>
        <w:t xml:space="preserve"> </w:t>
      </w:r>
      <w:r w:rsidR="00F97624">
        <w:rPr>
          <w:lang w:val="de-DE"/>
        </w:rPr>
        <w:t>Sprachgebrauch</w:t>
      </w:r>
      <w:r w:rsidR="00450A97">
        <w:rPr>
          <w:lang w:val="de-DE"/>
        </w:rPr>
        <w:t xml:space="preserve"> (</w:t>
      </w:r>
      <w:r w:rsidR="00450A97">
        <w:rPr>
          <w:i/>
          <w:lang w:val="de-DE"/>
        </w:rPr>
        <w:t>in sermone communi</w:t>
      </w:r>
      <w:r w:rsidR="00450A97">
        <w:rPr>
          <w:lang w:val="de-DE"/>
        </w:rPr>
        <w:t>)</w:t>
      </w:r>
      <w:r w:rsidR="00F97624">
        <w:rPr>
          <w:lang w:val="de-DE"/>
        </w:rPr>
        <w:t xml:space="preserve"> ausgedrückt, wenn auch</w:t>
      </w:r>
      <w:r w:rsidRPr="00DF5DE8">
        <w:rPr>
          <w:lang w:val="de-DE"/>
        </w:rPr>
        <w:t xml:space="preserve"> nicht immer bewusst oder in genügender Klarheit </w:t>
      </w:r>
      <w:r w:rsidR="00F97624">
        <w:rPr>
          <w:lang w:val="de-DE"/>
        </w:rPr>
        <w:t>und Vollständigkeit erkannt ist</w:t>
      </w:r>
      <w:r w:rsidRPr="00DF5DE8">
        <w:rPr>
          <w:lang w:val="de-DE"/>
        </w:rPr>
        <w:t>.</w:t>
      </w:r>
      <w:r w:rsidRPr="00DF5DE8">
        <w:rPr>
          <w:rStyle w:val="Funotenzeichen"/>
          <w:lang w:val="de-DE"/>
        </w:rPr>
        <w:footnoteReference w:id="63"/>
      </w:r>
      <w:r w:rsidRPr="00DF5DE8">
        <w:rPr>
          <w:lang w:val="de-DE"/>
        </w:rPr>
        <w:t xml:space="preserve"> Aufgabe der Philosophie ist es in den Augen von Wolff, solche Begriffe aufzuspüren und zu explizieren. Dabei spricht die Philosophie, wie er hervorhebt, aber immer von denselben Begriffen, die schon im vo</w:t>
      </w:r>
      <w:r w:rsidR="00450A97">
        <w:rPr>
          <w:lang w:val="de-DE"/>
        </w:rPr>
        <w:t>rphilosophischen Denken vorhanden waren. Wie Wolff argumentiert, sind diese Begriffe bereits im vorphilosophischen Denken vorhanden, weil die Universalien in der Erkenntnis des Einzelnen enthalten ist:</w:t>
      </w:r>
    </w:p>
    <w:p w:rsidR="00450A97" w:rsidRDefault="00450A97" w:rsidP="00450A97">
      <w:pPr>
        <w:autoSpaceDE w:val="0"/>
        <w:autoSpaceDN w:val="0"/>
        <w:adjustRightInd w:val="0"/>
        <w:spacing w:line="360" w:lineRule="auto"/>
        <w:ind w:firstLine="397"/>
        <w:jc w:val="both"/>
        <w:rPr>
          <w:lang w:val="de-DE"/>
        </w:rPr>
      </w:pPr>
    </w:p>
    <w:p w:rsidR="00450A97" w:rsidRDefault="00450A97" w:rsidP="00450A97">
      <w:pPr>
        <w:autoSpaceDE w:val="0"/>
        <w:autoSpaceDN w:val="0"/>
        <w:adjustRightInd w:val="0"/>
        <w:spacing w:line="360" w:lineRule="auto"/>
        <w:ind w:left="397"/>
        <w:jc w:val="both"/>
        <w:rPr>
          <w:lang w:val="de-DE"/>
        </w:rPr>
      </w:pPr>
      <w:r>
        <w:rPr>
          <w:lang w:val="de-DE"/>
        </w:rPr>
        <w:t>Weil es die Natur der Geistes ist, dass er in keiner Weise etwas von einem beliebigen Seienden wegdenken kann, was er als in ihm enthalten beobachtet …; und da die Universalien in den Einzeldingen, die wir wahrnehmen</w:t>
      </w:r>
      <w:r w:rsidR="009E1F7D">
        <w:rPr>
          <w:lang w:val="de-DE"/>
        </w:rPr>
        <w:t>,</w:t>
      </w:r>
      <w:r>
        <w:rPr>
          <w:lang w:val="de-DE"/>
        </w:rPr>
        <w:t xml:space="preserve"> enthalten sind</w:t>
      </w:r>
      <w:r w:rsidR="009E1F7D">
        <w:rPr>
          <w:lang w:val="de-DE"/>
        </w:rPr>
        <w:t>;</w:t>
      </w:r>
      <w:r w:rsidR="009E1F7D">
        <w:rPr>
          <w:rStyle w:val="Funotenzeichen"/>
          <w:lang w:val="de-DE"/>
        </w:rPr>
        <w:footnoteReference w:id="64"/>
      </w:r>
      <w:r w:rsidR="009E1F7D">
        <w:rPr>
          <w:lang w:val="de-DE"/>
        </w:rPr>
        <w:t xml:space="preserve"> so sind die konfusen Begriffe, die den im allgemeinen Sprachgebrauch verwendeten ontologischen Termini entsprechen, durch die natürlich Kraft des Geistes erworben, wenn wir den uns begegnenden Dingen dasjenige zuschreiben, was in ihnen ist, und wenn wir uns erinnern, dass wir ihnen solches auch früher zugeschrieben haben.</w:t>
      </w:r>
      <w:r w:rsidR="009E1F7D">
        <w:rPr>
          <w:rStyle w:val="Funotenzeichen"/>
          <w:lang w:val="de-DE"/>
        </w:rPr>
        <w:footnoteReference w:id="65"/>
      </w:r>
      <w:r>
        <w:rPr>
          <w:lang w:val="de-DE"/>
        </w:rPr>
        <w:t xml:space="preserve"> </w:t>
      </w:r>
    </w:p>
    <w:p w:rsidR="00450A97" w:rsidRDefault="00450A97" w:rsidP="00450A97">
      <w:pPr>
        <w:autoSpaceDE w:val="0"/>
        <w:autoSpaceDN w:val="0"/>
        <w:adjustRightInd w:val="0"/>
        <w:spacing w:line="360" w:lineRule="auto"/>
        <w:ind w:firstLine="397"/>
        <w:jc w:val="both"/>
        <w:rPr>
          <w:lang w:val="de-DE"/>
        </w:rPr>
      </w:pPr>
    </w:p>
    <w:p w:rsidR="002459F9" w:rsidRPr="00DF5DE8" w:rsidRDefault="002459F9" w:rsidP="00450A97">
      <w:pPr>
        <w:autoSpaceDE w:val="0"/>
        <w:autoSpaceDN w:val="0"/>
        <w:adjustRightInd w:val="0"/>
        <w:spacing w:line="360" w:lineRule="auto"/>
        <w:ind w:firstLine="397"/>
        <w:jc w:val="both"/>
        <w:rPr>
          <w:lang w:val="de-DE"/>
        </w:rPr>
      </w:pPr>
      <w:r w:rsidRPr="00DF5DE8">
        <w:rPr>
          <w:lang w:val="de-DE"/>
        </w:rPr>
        <w:t>Dies</w:t>
      </w:r>
      <w:r w:rsidR="00450A97">
        <w:rPr>
          <w:lang w:val="de-DE"/>
        </w:rPr>
        <w:t>e Auffassung vom Verhältnis zwischen allgemeinem Sprachgebrauch und philosophischer Analyse</w:t>
      </w:r>
      <w:r w:rsidRPr="00DF5DE8">
        <w:rPr>
          <w:lang w:val="de-DE"/>
        </w:rPr>
        <w:t xml:space="preserve"> impliziert, dass das vorphilosophische Denkens bereits etwas enthält, was Wolff „natürliche Ontologie“ nennt:</w:t>
      </w:r>
    </w:p>
    <w:p w:rsidR="002459F9" w:rsidRPr="00DF5DE8" w:rsidRDefault="002459F9" w:rsidP="0052795E">
      <w:pPr>
        <w:spacing w:line="360" w:lineRule="auto"/>
        <w:jc w:val="both"/>
        <w:rPr>
          <w:lang w:val="de-DE"/>
        </w:rPr>
      </w:pPr>
    </w:p>
    <w:p w:rsidR="002459F9" w:rsidRPr="00DF5DE8" w:rsidRDefault="002459F9" w:rsidP="0052795E">
      <w:pPr>
        <w:spacing w:line="360" w:lineRule="auto"/>
        <w:ind w:left="397"/>
        <w:jc w:val="both"/>
        <w:rPr>
          <w:lang w:val="de-DE"/>
        </w:rPr>
      </w:pPr>
      <w:r w:rsidRPr="00DF5DE8">
        <w:rPr>
          <w:lang w:val="de-DE"/>
        </w:rPr>
        <w:t>Die gewöhnlichen ontologischen Begriffe konstituieren eine Art natürliche Ontologie, Die natürliche Ontologie lässt sich definieren als der Komplex aus konfusen Begriffen,  die den abstrakten Termini entsprechen mit deren Hilfe wir generelle Urteile über das Seiende ausdrücken, und die durch den Gebrauch der gewöhnlichen Fähigkeiten des Geistes erworben werden.</w:t>
      </w:r>
      <w:r w:rsidRPr="00DF5DE8">
        <w:rPr>
          <w:rStyle w:val="Funotenzeichen"/>
          <w:lang w:val="de-DE"/>
        </w:rPr>
        <w:footnoteReference w:id="66"/>
      </w:r>
    </w:p>
    <w:p w:rsidR="002459F9" w:rsidRPr="00DF5DE8" w:rsidRDefault="002459F9" w:rsidP="0052795E">
      <w:pPr>
        <w:spacing w:line="360" w:lineRule="auto"/>
        <w:jc w:val="both"/>
        <w:rPr>
          <w:lang w:val="de-DE"/>
        </w:rPr>
      </w:pPr>
    </w:p>
    <w:p w:rsidR="002459F9" w:rsidRPr="00DF5DE8" w:rsidRDefault="002459F9" w:rsidP="0052795E">
      <w:pPr>
        <w:spacing w:line="360" w:lineRule="auto"/>
        <w:jc w:val="both"/>
        <w:rPr>
          <w:lang w:val="de-DE"/>
        </w:rPr>
      </w:pPr>
      <w:r w:rsidRPr="00DF5DE8">
        <w:rPr>
          <w:lang w:val="de-DE"/>
        </w:rPr>
        <w:t>Dem entsprechend hat die Ontologie nicht die Aufgabe, die alltägliche Weltsicht durch eine vermeintlich überlegene Konzeption der Grundstruktur der Realität zu ersetzen, sondern vielmehr etwas zu explizieren, was im menschlichen Geist schon vorhanden ist: „So wie die Logik als Kunst eine distinkte Explikation der natürlichen Logik ist, so kann die distinkte Explikation der natürlichen Ontologie als Ontologie als Kunst bezeichnet werden.“</w:t>
      </w:r>
      <w:r w:rsidRPr="00DF5DE8">
        <w:rPr>
          <w:rStyle w:val="Funotenzeichen"/>
          <w:lang w:val="de-DE"/>
        </w:rPr>
        <w:footnoteReference w:id="67"/>
      </w:r>
      <w:r w:rsidRPr="00DF5DE8">
        <w:rPr>
          <w:lang w:val="de-DE"/>
        </w:rPr>
        <w:t xml:space="preserve"> Damit kommt Wolff der deskriptiven Seite von Leibniz’ Methodologie außerordentlich nahe. In einem frühen Text fasst Leibniz diese Seite seiner Methodologie so zusammen: „[P]hilosophen übertreffen andere Menschen nicht immer darin, dass sie andere Dinge wahrnehmen, sondern darin, dass sie sie in einer anderen Weise wahrnehmen, nämlich mit den Augen des Geistes, mit Reflexion und Aufmerksamkeit, und indem sie Dinge miteinander vergleichen.“</w:t>
      </w:r>
      <w:r w:rsidRPr="00DF5DE8">
        <w:rPr>
          <w:rStyle w:val="Funotenzeichen"/>
          <w:lang w:val="de-DE"/>
        </w:rPr>
        <w:footnoteReference w:id="68"/>
      </w:r>
      <w:r w:rsidRPr="00DF5DE8">
        <w:rPr>
          <w:lang w:val="de-DE"/>
        </w:rPr>
        <w:t xml:space="preserve"> Und wie bei Leibniz ist </w:t>
      </w:r>
      <w:r w:rsidR="009E1F7D">
        <w:rPr>
          <w:lang w:val="de-DE"/>
        </w:rPr>
        <w:t xml:space="preserve">für Wolff </w:t>
      </w:r>
      <w:r w:rsidRPr="00DF5DE8">
        <w:rPr>
          <w:lang w:val="de-DE"/>
        </w:rPr>
        <w:t>die Gewissheit der Startpunkte des philosophischen Argumentationsgangs etwas, was mit der Unbezweifelbarkeit bestimmter Erfahrungen zusammenhängt: „[I]n der Ontologie ist nur zulässig, was hinreichend expliziert und durch unbezweifelte Erfahrung und Beweis gestützt ist …“</w:t>
      </w:r>
      <w:r w:rsidRPr="00DF5DE8">
        <w:rPr>
          <w:rStyle w:val="Funotenzeichen"/>
          <w:lang w:val="de-DE"/>
        </w:rPr>
        <w:footnoteReference w:id="69"/>
      </w:r>
      <w:r w:rsidRPr="00DF5DE8">
        <w:rPr>
          <w:lang w:val="de-DE"/>
        </w:rPr>
        <w:t xml:space="preserve">      </w:t>
      </w:r>
    </w:p>
    <w:p w:rsidR="002459F9" w:rsidRPr="00DF5DE8" w:rsidRDefault="002459F9" w:rsidP="00C611AF">
      <w:pPr>
        <w:autoSpaceDE w:val="0"/>
        <w:autoSpaceDN w:val="0"/>
        <w:adjustRightInd w:val="0"/>
        <w:spacing w:line="360" w:lineRule="auto"/>
        <w:jc w:val="both"/>
        <w:rPr>
          <w:lang w:val="de-DE"/>
        </w:rPr>
      </w:pPr>
    </w:p>
    <w:p w:rsidR="002459F9" w:rsidRPr="00DF5DE8" w:rsidRDefault="00E5778C" w:rsidP="00D215A5">
      <w:pPr>
        <w:autoSpaceDE w:val="0"/>
        <w:autoSpaceDN w:val="0"/>
        <w:adjustRightInd w:val="0"/>
        <w:spacing w:line="360" w:lineRule="auto"/>
        <w:jc w:val="both"/>
        <w:rPr>
          <w:i/>
          <w:lang w:val="de-DE"/>
        </w:rPr>
      </w:pPr>
      <w:r>
        <w:rPr>
          <w:lang w:val="de-DE"/>
        </w:rPr>
        <w:t xml:space="preserve">3 </w:t>
      </w:r>
      <w:r w:rsidR="002459F9" w:rsidRPr="00DF5DE8">
        <w:rPr>
          <w:lang w:val="de-DE"/>
        </w:rPr>
        <w:t xml:space="preserve"> Innere Erfahrung und das Prinzip des Widerspruchs</w:t>
      </w:r>
    </w:p>
    <w:p w:rsidR="002459F9" w:rsidRPr="00DF5DE8" w:rsidRDefault="002459F9" w:rsidP="00D215A5">
      <w:pPr>
        <w:spacing w:line="360" w:lineRule="auto"/>
        <w:jc w:val="both"/>
        <w:rPr>
          <w:lang w:val="de-DE"/>
        </w:rPr>
      </w:pPr>
    </w:p>
    <w:p w:rsidR="002459F9" w:rsidRPr="00DF5DE8" w:rsidRDefault="002459F9" w:rsidP="00D84177">
      <w:pPr>
        <w:autoSpaceDE w:val="0"/>
        <w:autoSpaceDN w:val="0"/>
        <w:adjustRightInd w:val="0"/>
        <w:spacing w:line="360" w:lineRule="auto"/>
        <w:jc w:val="both"/>
        <w:rPr>
          <w:lang w:val="de-DE"/>
        </w:rPr>
      </w:pPr>
      <w:r w:rsidRPr="00DF5DE8">
        <w:rPr>
          <w:lang w:val="de-DE"/>
        </w:rPr>
        <w:t xml:space="preserve">In welcher Weise sind diese metaphilosophischen Überlegungen nun relevant für Leibniz’ und Wolffs Auffassungen zum Prinzip des Widerspruchs? Wegen ihrer unterschiedlichen Einstellung zu philosophischen Hypothesen wird die Antwort wird für Leibniz etwas anders aussehen als für Wolff, während sich substantielle Parallelen aus der gemeinsamen Betonung der Rolle von unbezweifelbaren Erfahrungen ergeben. Und sowohl die Unterschiede als auch die Gemeinsamkeiten zwischen Leibniz und Wolff spiegeln sich in Châtelets Behandlung des Prinzips wider. </w:t>
      </w:r>
    </w:p>
    <w:p w:rsidR="002459F9" w:rsidRPr="00DF5DE8" w:rsidRDefault="002459F9" w:rsidP="00A973D3">
      <w:pPr>
        <w:autoSpaceDE w:val="0"/>
        <w:autoSpaceDN w:val="0"/>
        <w:adjustRightInd w:val="0"/>
        <w:spacing w:line="360" w:lineRule="auto"/>
        <w:ind w:firstLine="390"/>
        <w:jc w:val="both"/>
        <w:rPr>
          <w:lang w:val="de-DE"/>
        </w:rPr>
      </w:pPr>
      <w:r w:rsidRPr="00DF5DE8">
        <w:rPr>
          <w:lang w:val="de-DE"/>
        </w:rPr>
        <w:t xml:space="preserve">Zunächst könnte es so aussehen, als würde Leibniz philosophische Prinzipien wie das Prinzip des Widerspruchs allein auf die Seite eines hypothetischen Vorgehens in der Philosophie stellen. </w:t>
      </w:r>
      <w:r w:rsidRPr="00DF5DE8">
        <w:rPr>
          <w:bCs/>
          <w:lang w:val="de-DE"/>
        </w:rPr>
        <w:t>In seinem Brief an Foucher von 1686 stellt Leibniz die analytische</w:t>
      </w:r>
      <w:r w:rsidRPr="00DF5DE8">
        <w:rPr>
          <w:lang w:val="de-DE"/>
        </w:rPr>
        <w:t xml:space="preserve"> </w:t>
      </w:r>
      <w:r w:rsidRPr="00DF5DE8">
        <w:rPr>
          <w:bCs/>
          <w:lang w:val="de-DE"/>
        </w:rPr>
        <w:t>Urteilstheorie und das Prinzip des Widerspruchs, dem zufolge zwei sich widersprechende</w:t>
      </w:r>
      <w:r w:rsidRPr="00DF5DE8">
        <w:rPr>
          <w:lang w:val="de-DE"/>
        </w:rPr>
        <w:t xml:space="preserve"> </w:t>
      </w:r>
      <w:r w:rsidRPr="00DF5DE8">
        <w:rPr>
          <w:bCs/>
          <w:lang w:val="de-DE"/>
        </w:rPr>
        <w:t>Aussagen nicht zugleich wahr sein können und etwas in sich</w:t>
      </w:r>
      <w:r w:rsidRPr="00DF5DE8">
        <w:rPr>
          <w:lang w:val="de-DE"/>
        </w:rPr>
        <w:t xml:space="preserve"> </w:t>
      </w:r>
      <w:r w:rsidRPr="00DF5DE8">
        <w:rPr>
          <w:bCs/>
          <w:lang w:val="de-DE"/>
        </w:rPr>
        <w:t>widersprüchliches nicht existieren kann, als solche unbewiesene Hypothesen</w:t>
      </w:r>
      <w:r w:rsidRPr="00DF5DE8">
        <w:rPr>
          <w:lang w:val="de-DE"/>
        </w:rPr>
        <w:t xml:space="preserve"> </w:t>
      </w:r>
      <w:r w:rsidRPr="00DF5DE8">
        <w:rPr>
          <w:bCs/>
          <w:lang w:val="de-DE"/>
        </w:rPr>
        <w:t>dar.</w:t>
      </w:r>
      <w:r w:rsidRPr="00DF5DE8">
        <w:rPr>
          <w:rStyle w:val="Funotenzeichen"/>
          <w:bCs/>
          <w:lang w:val="de-DE"/>
        </w:rPr>
        <w:footnoteReference w:id="70"/>
      </w:r>
      <w:r w:rsidRPr="00DF5DE8">
        <w:rPr>
          <w:lang w:val="de-DE"/>
        </w:rPr>
        <w:t xml:space="preserve"> </w:t>
      </w:r>
      <w:r w:rsidRPr="00DF5DE8">
        <w:rPr>
          <w:bCs/>
          <w:lang w:val="de-DE"/>
        </w:rPr>
        <w:t>Noch einmal formuliert Leibniz die Idee eines hypothetisch-deduktiven Vorgehens</w:t>
      </w:r>
      <w:r w:rsidRPr="00DF5DE8">
        <w:rPr>
          <w:lang w:val="de-DE"/>
        </w:rPr>
        <w:t xml:space="preserve"> </w:t>
      </w:r>
      <w:r w:rsidRPr="00DF5DE8">
        <w:rPr>
          <w:bCs/>
          <w:lang w:val="de-DE"/>
        </w:rPr>
        <w:t>in der Philosophie in den zwischen</w:t>
      </w:r>
      <w:r w:rsidRPr="00DF5DE8">
        <w:rPr>
          <w:lang w:val="de-DE"/>
        </w:rPr>
        <w:t xml:space="preserve"> </w:t>
      </w:r>
      <w:r w:rsidRPr="00DF5DE8">
        <w:rPr>
          <w:bCs/>
          <w:lang w:val="de-DE"/>
        </w:rPr>
        <w:t xml:space="preserve">1693 und 1696 entstandenen </w:t>
      </w:r>
      <w:r w:rsidRPr="00DF5DE8">
        <w:rPr>
          <w:bCs/>
          <w:i/>
          <w:iCs/>
          <w:lang w:val="de-DE"/>
        </w:rPr>
        <w:t>Quelques remarques sur le livre de Mons. Lock</w:t>
      </w:r>
      <w:r w:rsidRPr="00DF5DE8">
        <w:rPr>
          <w:lang w:val="de-DE"/>
        </w:rPr>
        <w:t xml:space="preserve"> </w:t>
      </w:r>
      <w:r w:rsidRPr="00DF5DE8">
        <w:rPr>
          <w:bCs/>
          <w:i/>
          <w:iCs/>
          <w:lang w:val="de-DE"/>
        </w:rPr>
        <w:t xml:space="preserve">intitulé Essay of Understanding. </w:t>
      </w:r>
      <w:r w:rsidRPr="00DF5DE8">
        <w:rPr>
          <w:bCs/>
          <w:lang w:val="de-DE"/>
        </w:rPr>
        <w:t>Dort betrachtet er das Prinzip des Widerspruchs</w:t>
      </w:r>
      <w:r w:rsidRPr="00DF5DE8">
        <w:rPr>
          <w:lang w:val="de-DE"/>
        </w:rPr>
        <w:t xml:space="preserve"> </w:t>
      </w:r>
      <w:r w:rsidRPr="00DF5DE8">
        <w:rPr>
          <w:bCs/>
          <w:lang w:val="de-DE"/>
        </w:rPr>
        <w:t xml:space="preserve">als ein </w:t>
      </w:r>
      <w:r w:rsidRPr="00DF5DE8">
        <w:rPr>
          <w:bCs/>
          <w:i/>
          <w:iCs/>
          <w:lang w:val="de-DE"/>
        </w:rPr>
        <w:t xml:space="preserve">axiome primitif, </w:t>
      </w:r>
      <w:r w:rsidRPr="00DF5DE8">
        <w:rPr>
          <w:bCs/>
          <w:lang w:val="de-DE"/>
        </w:rPr>
        <w:t>ohne das es keinen Unterschied zwischen wahr und</w:t>
      </w:r>
      <w:r w:rsidRPr="00DF5DE8">
        <w:rPr>
          <w:lang w:val="de-DE"/>
        </w:rPr>
        <w:t xml:space="preserve"> </w:t>
      </w:r>
      <w:r w:rsidRPr="00DF5DE8">
        <w:rPr>
          <w:bCs/>
          <w:lang w:val="de-DE"/>
        </w:rPr>
        <w:t>falsch geben würde. Alles, ausgenommen dieses Prinzip und die unmittelbaren</w:t>
      </w:r>
      <w:r w:rsidRPr="00DF5DE8">
        <w:rPr>
          <w:lang w:val="de-DE"/>
        </w:rPr>
        <w:t xml:space="preserve"> </w:t>
      </w:r>
      <w:r w:rsidRPr="00DF5DE8">
        <w:rPr>
          <w:bCs/>
          <w:lang w:val="de-DE"/>
        </w:rPr>
        <w:t>Erfahrungen, ist, wie Leibniz an dieser Stelle sagt, beweisbar.</w:t>
      </w:r>
      <w:r w:rsidRPr="00DF5DE8">
        <w:rPr>
          <w:rStyle w:val="Funotenzeichen"/>
          <w:bCs/>
          <w:lang w:val="de-DE"/>
        </w:rPr>
        <w:footnoteReference w:id="71"/>
      </w:r>
      <w:r w:rsidRPr="00DF5DE8">
        <w:rPr>
          <w:bCs/>
          <w:lang w:val="de-DE"/>
        </w:rPr>
        <w:t xml:space="preserve"> Dies bringt er</w:t>
      </w:r>
      <w:r w:rsidRPr="00DF5DE8">
        <w:rPr>
          <w:lang w:val="de-DE"/>
        </w:rPr>
        <w:t xml:space="preserve"> </w:t>
      </w:r>
      <w:r w:rsidRPr="00DF5DE8">
        <w:rPr>
          <w:bCs/>
          <w:lang w:val="de-DE"/>
        </w:rPr>
        <w:t>wiederum unmittelbar in Verbindung mit der euklidischen Methode. Dabei</w:t>
      </w:r>
      <w:r w:rsidRPr="00DF5DE8">
        <w:rPr>
          <w:lang w:val="de-DE"/>
        </w:rPr>
        <w:t xml:space="preserve"> </w:t>
      </w:r>
      <w:r w:rsidRPr="00DF5DE8">
        <w:rPr>
          <w:bCs/>
          <w:lang w:val="de-DE"/>
        </w:rPr>
        <w:t>macht er deutlich, dass es sich hier um eine Zurückführung auf eine geringe Zahl</w:t>
      </w:r>
      <w:r w:rsidRPr="00DF5DE8">
        <w:rPr>
          <w:lang w:val="de-DE"/>
        </w:rPr>
        <w:t xml:space="preserve"> </w:t>
      </w:r>
      <w:r w:rsidRPr="00DF5DE8">
        <w:rPr>
          <w:bCs/>
          <w:lang w:val="de-DE"/>
        </w:rPr>
        <w:t>von Prämissen handelt, die ihrerseits hypothetisch sind:</w:t>
      </w:r>
      <w:r w:rsidRPr="00DF5DE8">
        <w:rPr>
          <w:lang w:val="de-DE"/>
        </w:rPr>
        <w:t xml:space="preserve"> „Euklid hat recht damit gehabt, einige Axiome für zugestanden zu nehmen, nicht in der Weise, als wären sie wirklich ursprünglich und unbeweisbar, sondern weil er sich aufgehalten hätte, wenn er erst nach einer exakten Diskussion der Prinzipien zu Schlussfolgerungen hätte kommen wollen. So hat er sich entschlossen, sich damit zu begnügen, die Beweise bis zu einer kleinen Zahl von Aussagen vorangetrieben zu haben, sodass man sagen kann, wenn sie wahr sind, ist es auch alles, was er sagt.“</w:t>
      </w:r>
      <w:r w:rsidRPr="00DF5DE8">
        <w:rPr>
          <w:rStyle w:val="Funotenzeichen"/>
          <w:lang w:val="de-DE"/>
        </w:rPr>
        <w:footnoteReference w:id="72"/>
      </w:r>
    </w:p>
    <w:p w:rsidR="002459F9" w:rsidRPr="00DF5DE8" w:rsidRDefault="002459F9" w:rsidP="007E56E6">
      <w:pPr>
        <w:spacing w:line="360" w:lineRule="auto"/>
        <w:ind w:firstLine="390"/>
        <w:jc w:val="both"/>
        <w:rPr>
          <w:lang w:val="de-DE"/>
        </w:rPr>
      </w:pPr>
      <w:r w:rsidRPr="00DF5DE8">
        <w:rPr>
          <w:lang w:val="de-DE"/>
        </w:rPr>
        <w:t xml:space="preserve">Dennoch vertritt Leibniz in den </w:t>
      </w:r>
      <w:r w:rsidRPr="00DF5DE8">
        <w:rPr>
          <w:i/>
          <w:lang w:val="de-DE"/>
        </w:rPr>
        <w:t>Nouveaux Essais</w:t>
      </w:r>
      <w:r w:rsidRPr="00DF5DE8">
        <w:rPr>
          <w:lang w:val="de-DE"/>
        </w:rPr>
        <w:t xml:space="preserve"> die Auffassung, dass die Vernunftprinzipien etwas sind, worauf sich der Verstand immer schon stützt. Dies ist der Kern seiner Vorstellung von „eingeborenen“ Prinzipien:</w:t>
      </w:r>
    </w:p>
    <w:p w:rsidR="002459F9" w:rsidRPr="00DF5DE8" w:rsidRDefault="002459F9" w:rsidP="00D13A83">
      <w:pPr>
        <w:spacing w:line="360" w:lineRule="auto"/>
        <w:jc w:val="both"/>
        <w:rPr>
          <w:lang w:val="de-DE"/>
        </w:rPr>
      </w:pPr>
    </w:p>
    <w:p w:rsidR="002459F9" w:rsidRPr="00DF5DE8" w:rsidRDefault="002459F9" w:rsidP="00994DF1">
      <w:pPr>
        <w:spacing w:line="360" w:lineRule="auto"/>
        <w:ind w:left="390"/>
        <w:jc w:val="both"/>
        <w:rPr>
          <w:lang w:val="de-DE"/>
        </w:rPr>
      </w:pPr>
      <w:r w:rsidRPr="00DF5DE8">
        <w:rPr>
          <w:lang w:val="de-DE"/>
        </w:rPr>
        <w:t>Allerding</w:t>
      </w:r>
      <w:r w:rsidR="008A5F9D" w:rsidRPr="00DF5DE8">
        <w:rPr>
          <w:lang w:val="de-DE"/>
        </w:rPr>
        <w:t>s</w:t>
      </w:r>
      <w:r w:rsidRPr="00DF5DE8">
        <w:rPr>
          <w:lang w:val="de-DE"/>
        </w:rPr>
        <w:t xml:space="preserve"> beginnen wir damit, uns zunächst der besonderen Wahrheiten bewusst zu werden, wie wir auch mit den zusammengesetzten und gröberen Ideen beginnen; aber nichtsdestoweniger beginnt die Ordner der Natur mit dem Einfachsten und die Begründung der speziellen Wahrheiten hängt von den allgemeineren ab, für welche sie nur die Beispiele sind. Will man daher dasjenige in Betracht ziehen, was der Anlage nach und noch vor dem deutlichen </w:t>
      </w:r>
      <w:r w:rsidRPr="00DF5DE8">
        <w:rPr>
          <w:i/>
          <w:lang w:val="de-DE"/>
        </w:rPr>
        <w:t xml:space="preserve">Bemerken </w:t>
      </w:r>
      <w:r w:rsidRPr="00DF5DE8">
        <w:rPr>
          <w:lang w:val="de-DE"/>
        </w:rPr>
        <w:t>in uns liegt, so muss man mit dem einfachsten anfangen. Denn die allgemeinen Prinzipien gehen in unser Denken ein und bilden dessen Seele und Zusammenhalt. Sie sind hierfür so notwendig, wie es die Muskeln und Sehnen zum Gehen sind, wenn man auch nicht daran denkt. Der Geist stützt sich jeden Augenblick auf diese Prinzipien; aber es gelingt ihm nicht so leicht, sie sich klar zu machen und sie sich deutlich und gesondert vorzustellen, weil dies eine große Aufmerksamkeit auf sein Tun erfordert …</w:t>
      </w:r>
      <w:r w:rsidRPr="00DF5DE8">
        <w:rPr>
          <w:rStyle w:val="Funotenzeichen"/>
          <w:lang w:val="de-DE"/>
        </w:rPr>
        <w:footnoteReference w:id="73"/>
      </w:r>
      <w:r w:rsidRPr="00DF5DE8">
        <w:rPr>
          <w:lang w:val="de-DE"/>
        </w:rPr>
        <w:t xml:space="preserve"> </w:t>
      </w:r>
    </w:p>
    <w:p w:rsidR="002459F9" w:rsidRPr="00DF5DE8" w:rsidRDefault="002459F9" w:rsidP="00D13A83">
      <w:pPr>
        <w:spacing w:line="360" w:lineRule="auto"/>
        <w:jc w:val="both"/>
        <w:rPr>
          <w:lang w:val="de-DE"/>
        </w:rPr>
      </w:pPr>
    </w:p>
    <w:p w:rsidR="002459F9" w:rsidRPr="00DF5DE8" w:rsidRDefault="002459F9" w:rsidP="00D13A83">
      <w:pPr>
        <w:spacing w:line="360" w:lineRule="auto"/>
        <w:jc w:val="both"/>
        <w:rPr>
          <w:lang w:val="de-DE"/>
        </w:rPr>
      </w:pPr>
      <w:r w:rsidRPr="00DF5DE8">
        <w:rPr>
          <w:lang w:val="de-DE"/>
        </w:rPr>
        <w:t>Dem entsprechend ist er der Auffassung, dass der entscheidende Beweis der eingeborenen Prinzipien „in dem Nachweis besteht, dass ihre Gewissheit lediglich aus dem stammt, was in uns selbst liegt.“</w:t>
      </w:r>
      <w:r w:rsidRPr="00DF5DE8">
        <w:rPr>
          <w:rStyle w:val="Funotenzeichen"/>
          <w:lang w:val="de-DE"/>
        </w:rPr>
        <w:footnoteReference w:id="74"/>
      </w:r>
      <w:r w:rsidRPr="00DF5DE8">
        <w:rPr>
          <w:lang w:val="de-DE"/>
        </w:rPr>
        <w:t xml:space="preserve"> In diesem Sinn betrachtet er diese Prinzipien als etwas, was in unreflektierter Weise immer schon im menschlichen Geist vorhanden ist und durch philosophisches Nachdenken nur bewusst gemacht werden kann: </w:t>
      </w:r>
    </w:p>
    <w:p w:rsidR="002459F9" w:rsidRPr="00DF5DE8" w:rsidRDefault="002459F9" w:rsidP="00D13A83">
      <w:pPr>
        <w:spacing w:line="360" w:lineRule="auto"/>
        <w:jc w:val="both"/>
        <w:rPr>
          <w:lang w:val="de-DE"/>
        </w:rPr>
      </w:pPr>
    </w:p>
    <w:p w:rsidR="002459F9" w:rsidRPr="00DF5DE8" w:rsidRDefault="002459F9" w:rsidP="00CA5B13">
      <w:pPr>
        <w:spacing w:line="360" w:lineRule="auto"/>
        <w:ind w:left="397"/>
        <w:jc w:val="both"/>
        <w:rPr>
          <w:lang w:val="de-DE"/>
        </w:rPr>
      </w:pPr>
      <w:r w:rsidRPr="00DF5DE8">
        <w:rPr>
          <w:lang w:val="de-DE"/>
        </w:rPr>
        <w:t xml:space="preserve">[I]ch will noch hinzufügen, dass im Grund jedermann sie kennt, und dass man sich z.B. jeden Augenblick des Satzes des Widerspruchs bedient, ohne besonders darauf acht zu haben. Kein Mensch ist so roh, dass er nicht in einer ernsten Sache von dem Betragen eines Lügners, der sich selbst widerspricht, verletzt werden sollte. So wendet man diese Grundsätze an, ohne sie ausdrücklich ins Auge zu fassen, ungefähr, wie man in den Enthymemen die nicht besonders formulierten Vordersätze potentiell im Geiste besitzt, während man sie nicht nur der äußeren Bezeichnung nach, sondern im Denken selbst </w:t>
      </w:r>
      <w:r w:rsidR="0033760D" w:rsidRPr="00DF5DE8">
        <w:rPr>
          <w:lang w:val="de-DE"/>
        </w:rPr>
        <w:t>beiseitesetzt</w:t>
      </w:r>
      <w:r w:rsidRPr="00DF5DE8">
        <w:rPr>
          <w:lang w:val="de-DE"/>
        </w:rPr>
        <w:t>.</w:t>
      </w:r>
      <w:r w:rsidRPr="00DF5DE8">
        <w:rPr>
          <w:rStyle w:val="Funotenzeichen"/>
          <w:lang w:val="de-DE"/>
        </w:rPr>
        <w:footnoteReference w:id="75"/>
      </w:r>
      <w:r w:rsidRPr="00DF5DE8">
        <w:rPr>
          <w:lang w:val="de-DE"/>
        </w:rPr>
        <w:t xml:space="preserve"> </w:t>
      </w:r>
    </w:p>
    <w:p w:rsidR="002459F9" w:rsidRPr="00DF5DE8" w:rsidRDefault="002459F9" w:rsidP="00D13A83">
      <w:pPr>
        <w:spacing w:line="360" w:lineRule="auto"/>
        <w:jc w:val="both"/>
        <w:rPr>
          <w:lang w:val="de-DE"/>
        </w:rPr>
      </w:pPr>
    </w:p>
    <w:p w:rsidR="002459F9" w:rsidRPr="00DF5DE8" w:rsidRDefault="002459F9" w:rsidP="00D13A83">
      <w:pPr>
        <w:spacing w:line="360" w:lineRule="auto"/>
        <w:jc w:val="both"/>
        <w:rPr>
          <w:lang w:val="de-DE"/>
        </w:rPr>
      </w:pPr>
      <w:r w:rsidRPr="00DF5DE8">
        <w:rPr>
          <w:lang w:val="de-DE"/>
        </w:rPr>
        <w:t xml:space="preserve">Deutlicher könnte eine nicht-hypothetische, deskriptive Auffassung des Prinzips des Widerspruchs nicht formuliert werden. Dennoch ist dies eine Auffassung, die Leibniz, soweit ich sehen kann, nicht in größerem Detail entwickelt hat. Dies wirft das Problem auf, ob die angeführte Erfahrung mit unseren Reaktionen auf Lügner die notwendige Allgemeinheit besitzt, um die Gewissheit des Prinzips des Widerspruchs zu sichern. Könnte es nicht wahre Widersprüche geben, die etwas anderes als Lügen sind? </w:t>
      </w:r>
    </w:p>
    <w:p w:rsidR="002459F9" w:rsidRPr="00DF5DE8" w:rsidRDefault="002459F9" w:rsidP="00762E37">
      <w:pPr>
        <w:spacing w:line="360" w:lineRule="auto"/>
        <w:ind w:firstLine="397"/>
        <w:jc w:val="both"/>
        <w:rPr>
          <w:lang w:val="de-DE"/>
        </w:rPr>
      </w:pPr>
      <w:r w:rsidRPr="00DF5DE8">
        <w:rPr>
          <w:lang w:val="de-DE"/>
        </w:rPr>
        <w:t>Deshalb ist es interessant zu sehen, dass Wolff sich tatsächlich um den Nachweis von Erfahrungen bemüht, die den erforderlichen Charakter der Gewissheit mit sich bringen. Und dies ist genau die argumentative Strategie, die sich auch bei Châtelet findet. Um die Parallelen zwischen Wolff und Châtelet deutlich zu machen, wird es nützlich sein, die relevanten Pas</w:t>
      </w:r>
      <w:r w:rsidR="00C93012" w:rsidRPr="00DF5DE8">
        <w:rPr>
          <w:lang w:val="de-DE"/>
        </w:rPr>
        <w:t>sagen nebeneinander zu zitieren.</w:t>
      </w:r>
    </w:p>
    <w:p w:rsidR="00C93012" w:rsidRPr="00DF5DE8" w:rsidRDefault="00C93012" w:rsidP="00D215A5">
      <w:pPr>
        <w:spacing w:line="360" w:lineRule="auto"/>
        <w:jc w:val="both"/>
        <w:rPr>
          <w:lang w:val="de-DE"/>
        </w:rPr>
      </w:pPr>
    </w:p>
    <w:p w:rsidR="002459F9" w:rsidRPr="00DF5DE8" w:rsidRDefault="00C93012" w:rsidP="00C93012">
      <w:pPr>
        <w:spacing w:line="360" w:lineRule="auto"/>
        <w:ind w:left="397"/>
        <w:jc w:val="both"/>
        <w:rPr>
          <w:lang w:val="de-DE"/>
        </w:rPr>
      </w:pPr>
      <w:r w:rsidRPr="00DF5DE8">
        <w:rPr>
          <w:lang w:val="de-DE"/>
        </w:rPr>
        <w:t xml:space="preserve">[Wolff] </w:t>
      </w:r>
      <w:r w:rsidR="002459F9" w:rsidRPr="00DF5DE8">
        <w:rPr>
          <w:lang w:val="de-DE"/>
        </w:rPr>
        <w:t>Wir erfahren die Natur unseres Geistes in der Weise dass, wenn jemand urteilt dass etwas ist, er nicht gleichzeitig urteilen kann, dass es nicht ist … Die Erfahrung, auf die wir uns berufen, ist so evident dass keine andere Erfahrung als evidenter gelten kann: denn sie steht zur Verfügung, sooft der Geist sich selbst bewusst ist … Denn we wüsste nicht dass, wenn wir irgend ein Ding sehen, wir nicht urteilen können, dass wir es nicht sehen … Wer wüsste nicht dass, wenn wir uns etwas vorstellen, wir nicht in der Lage sind, dies nicht vorzustellen?</w:t>
      </w:r>
      <w:r w:rsidR="002459F9" w:rsidRPr="00DF5DE8">
        <w:rPr>
          <w:rStyle w:val="Funotenzeichen"/>
          <w:lang w:val="de-DE"/>
        </w:rPr>
        <w:footnoteReference w:id="76"/>
      </w:r>
      <w:r w:rsidR="002459F9" w:rsidRPr="00DF5DE8">
        <w:rPr>
          <w:lang w:val="de-DE"/>
        </w:rPr>
        <w:t xml:space="preserve"> </w:t>
      </w:r>
    </w:p>
    <w:p w:rsidR="002459F9" w:rsidRPr="00DF5DE8" w:rsidRDefault="002459F9" w:rsidP="00D215A5">
      <w:pPr>
        <w:spacing w:line="360" w:lineRule="auto"/>
        <w:jc w:val="both"/>
        <w:rPr>
          <w:lang w:val="de-DE"/>
        </w:rPr>
      </w:pPr>
    </w:p>
    <w:p w:rsidR="002459F9" w:rsidRPr="00DF5DE8" w:rsidRDefault="00C93012" w:rsidP="00C93012">
      <w:pPr>
        <w:spacing w:line="360" w:lineRule="auto"/>
        <w:ind w:left="397"/>
        <w:jc w:val="both"/>
        <w:rPr>
          <w:lang w:val="de-DE"/>
        </w:rPr>
      </w:pPr>
      <w:r w:rsidRPr="00DF5DE8">
        <w:rPr>
          <w:lang w:val="de-DE"/>
        </w:rPr>
        <w:t xml:space="preserve">[Châtelet] </w:t>
      </w:r>
      <w:r w:rsidR="002459F9" w:rsidRPr="00DF5DE8">
        <w:rPr>
          <w:lang w:val="de-DE"/>
        </w:rPr>
        <w:t>Alle Menschen stimmen [dem Prinzip] ohne Mühe zu, und es ist auch unmöglich, es zu bestreiten, ohne das eigene Bewusstsein Lügen zu strafen; denn wir spüren, dass wir unseren Geist nicht zwingen können zuzugeben, dass etwas zur selben Zeit ist und nicht ist, und dass wir keinesfalls eine Idee nicht haben können, solange wir sie haben, noch einen weißen Körper schwarz zu sehen, solange wir ihn weiß sehen.</w:t>
      </w:r>
      <w:r w:rsidR="002459F9" w:rsidRPr="00DF5DE8">
        <w:rPr>
          <w:rStyle w:val="Funotenzeichen"/>
          <w:lang w:val="de-DE"/>
        </w:rPr>
        <w:footnoteReference w:id="77"/>
      </w:r>
      <w:r w:rsidR="002459F9" w:rsidRPr="00DF5DE8">
        <w:rPr>
          <w:lang w:val="de-DE"/>
        </w:rPr>
        <w:t xml:space="preserve"> </w:t>
      </w:r>
    </w:p>
    <w:p w:rsidR="00C93012" w:rsidRPr="00DF5DE8" w:rsidRDefault="00C93012" w:rsidP="00534274">
      <w:pPr>
        <w:spacing w:line="360" w:lineRule="auto"/>
        <w:jc w:val="both"/>
        <w:rPr>
          <w:lang w:val="de-DE"/>
        </w:rPr>
      </w:pPr>
    </w:p>
    <w:p w:rsidR="002459F9" w:rsidRPr="00DF5DE8" w:rsidRDefault="002459F9" w:rsidP="00534274">
      <w:pPr>
        <w:spacing w:line="360" w:lineRule="auto"/>
        <w:jc w:val="both"/>
        <w:rPr>
          <w:lang w:val="de-DE"/>
        </w:rPr>
      </w:pPr>
      <w:r w:rsidRPr="00DF5DE8">
        <w:rPr>
          <w:lang w:val="de-DE"/>
        </w:rPr>
        <w:t xml:space="preserve">Wolff stellt </w:t>
      </w:r>
      <w:r w:rsidR="00C93012" w:rsidRPr="00DF5DE8">
        <w:rPr>
          <w:lang w:val="de-DE"/>
        </w:rPr>
        <w:t xml:space="preserve">dabei </w:t>
      </w:r>
      <w:r w:rsidRPr="00DF5DE8">
        <w:rPr>
          <w:lang w:val="de-DE"/>
        </w:rPr>
        <w:t>ausdrücklich den Bezug zu seiner metaphilosophsichen Analyse der Rolle von Erfahrungen her:</w:t>
      </w:r>
    </w:p>
    <w:p w:rsidR="002459F9" w:rsidRPr="00DF5DE8" w:rsidRDefault="002459F9" w:rsidP="00534274">
      <w:pPr>
        <w:spacing w:line="360" w:lineRule="auto"/>
        <w:jc w:val="both"/>
        <w:rPr>
          <w:lang w:val="de-DE"/>
        </w:rPr>
      </w:pPr>
    </w:p>
    <w:p w:rsidR="002459F9" w:rsidRPr="00DF5DE8" w:rsidRDefault="002459F9" w:rsidP="00534274">
      <w:pPr>
        <w:spacing w:line="360" w:lineRule="auto"/>
        <w:ind w:left="397"/>
        <w:jc w:val="both"/>
        <w:rPr>
          <w:lang w:val="de-DE"/>
        </w:rPr>
      </w:pPr>
      <w:r w:rsidRPr="00DF5DE8">
        <w:rPr>
          <w:lang w:val="de-DE"/>
        </w:rPr>
        <w:t>Es ist also evident, dass wir die Erfahrung machen, dass wir nicht in der Lage sind, gleichzeitig zu urteilen, dass dasselbe sei und nicht sei … Wenn wir uns also unseres Geistes bewusst sind und auf Beispiele achten, stimmen wir ohne Beweis der in allgemeinen Termini formulierten Aussage zu: Es kann nicht geschehen, dass dasselbe zur gleichen Zeit ist und nicht …“</w:t>
      </w:r>
      <w:r w:rsidRPr="00DF5DE8">
        <w:rPr>
          <w:rStyle w:val="Funotenzeichen"/>
          <w:lang w:val="de-DE"/>
        </w:rPr>
        <w:footnoteReference w:id="78"/>
      </w:r>
    </w:p>
    <w:p w:rsidR="002459F9" w:rsidRPr="00DF5DE8" w:rsidRDefault="002459F9" w:rsidP="00534274">
      <w:pPr>
        <w:spacing w:line="360" w:lineRule="auto"/>
        <w:jc w:val="both"/>
        <w:rPr>
          <w:lang w:val="de-DE"/>
        </w:rPr>
      </w:pPr>
    </w:p>
    <w:p w:rsidR="002459F9" w:rsidRPr="00DF5DE8" w:rsidRDefault="002459F9" w:rsidP="00D215A5">
      <w:pPr>
        <w:spacing w:line="360" w:lineRule="auto"/>
        <w:jc w:val="both"/>
        <w:rPr>
          <w:lang w:val="de-DE"/>
        </w:rPr>
      </w:pPr>
      <w:r w:rsidRPr="00DF5DE8">
        <w:rPr>
          <w:lang w:val="de-DE"/>
        </w:rPr>
        <w:t>Wolffs Argument scheint also zu sein, dass jedes Urteil artikuliert, wie uns die Dinge zu sein scheinen. In diesem Sinn haben Urteile mit Phänomenen zu tun, deren Realität nicht bezweifelt werden kann. Deshalb können wir nicht sagen dass uns gleichzeitig etwas so erscheint und nicht so erscheint. Diese allgemeine Einsicht wird uns bereits an wenigen Beispielen unseres Denkens deutlich, und deshalb sind wir aufgrund dieser Beispiele bereits, der allgemeinen Formulierung des Prinzips des Widerspruchs zuzustimmen. Dies ist die Argumentationsstrategie, die Châtelet aufnimmt. So ist es keine Überraschung, dass auch Wolffs und Châtelets Einstellungen zur antiken Skepsis enge Ähnlichkeiten aufweisen:</w:t>
      </w:r>
    </w:p>
    <w:p w:rsidR="00C93012" w:rsidRPr="00DF5DE8" w:rsidRDefault="00C93012" w:rsidP="00D215A5">
      <w:pPr>
        <w:spacing w:line="360" w:lineRule="auto"/>
        <w:jc w:val="both"/>
        <w:rPr>
          <w:lang w:val="de-DE"/>
        </w:rPr>
      </w:pPr>
    </w:p>
    <w:p w:rsidR="002459F9" w:rsidRPr="00DF5DE8" w:rsidRDefault="00C93012" w:rsidP="00C93012">
      <w:pPr>
        <w:spacing w:line="360" w:lineRule="auto"/>
        <w:ind w:left="397"/>
        <w:jc w:val="both"/>
        <w:rPr>
          <w:lang w:val="de-DE"/>
        </w:rPr>
      </w:pPr>
      <w:r w:rsidRPr="00DF5DE8">
        <w:rPr>
          <w:lang w:val="de-DE"/>
        </w:rPr>
        <w:t xml:space="preserve">[Wolff] </w:t>
      </w:r>
      <w:r w:rsidR="002459F9" w:rsidRPr="00DF5DE8">
        <w:rPr>
          <w:lang w:val="de-DE"/>
        </w:rPr>
        <w:t>Die Skeptiker, di</w:t>
      </w:r>
      <w:r w:rsidR="00FB60C7">
        <w:rPr>
          <w:lang w:val="de-DE"/>
        </w:rPr>
        <w:t>e eine übermäßige Vorsicht aufwe</w:t>
      </w:r>
      <w:r w:rsidR="002459F9" w:rsidRPr="00DF5DE8">
        <w:rPr>
          <w:lang w:val="de-DE"/>
        </w:rPr>
        <w:t>nden, um voreilige Urteile zu vermeiden, negieren dennoch nicht die Phänomene …</w:t>
      </w:r>
      <w:r w:rsidR="002459F9" w:rsidRPr="00DF5DE8">
        <w:rPr>
          <w:rStyle w:val="Funotenzeichen"/>
          <w:lang w:val="de-DE"/>
        </w:rPr>
        <w:footnoteReference w:id="79"/>
      </w:r>
    </w:p>
    <w:p w:rsidR="002459F9" w:rsidRPr="00DF5DE8" w:rsidRDefault="002459F9" w:rsidP="00D215A5">
      <w:pPr>
        <w:spacing w:line="360" w:lineRule="auto"/>
        <w:jc w:val="both"/>
        <w:rPr>
          <w:lang w:val="de-DE"/>
        </w:rPr>
      </w:pPr>
    </w:p>
    <w:p w:rsidR="008A5F9D" w:rsidRPr="00DF5DE8" w:rsidRDefault="00C93012" w:rsidP="008A5F9D">
      <w:pPr>
        <w:spacing w:line="360" w:lineRule="auto"/>
        <w:ind w:left="397"/>
        <w:jc w:val="both"/>
        <w:rPr>
          <w:lang w:val="de-DE"/>
        </w:rPr>
      </w:pPr>
      <w:r w:rsidRPr="00DF5DE8">
        <w:rPr>
          <w:lang w:val="de-DE"/>
        </w:rPr>
        <w:t xml:space="preserve">[Châtelet] </w:t>
      </w:r>
      <w:r w:rsidR="002459F9" w:rsidRPr="00DF5DE8">
        <w:rPr>
          <w:lang w:val="de-DE"/>
        </w:rPr>
        <w:t>Selbst die Pyrrhonisten, die sich darum bemüht haben, alles zu bezweifeln, haben dieses Prinzip nie bestritten; sie bestritten wohl, dass es irgendeine Realität in den Dingen gebe, aber sie bezweifelten nicht, dass sie eine Idee hatten solange sie sie hatten.</w:t>
      </w:r>
      <w:r w:rsidR="002459F9" w:rsidRPr="00DF5DE8">
        <w:rPr>
          <w:rStyle w:val="Funotenzeichen"/>
          <w:lang w:val="de-DE"/>
        </w:rPr>
        <w:footnoteReference w:id="80"/>
      </w:r>
    </w:p>
    <w:p w:rsidR="008A5F9D" w:rsidRPr="00DF5DE8" w:rsidRDefault="008A5F9D" w:rsidP="008A5F9D">
      <w:pPr>
        <w:spacing w:line="360" w:lineRule="auto"/>
        <w:jc w:val="both"/>
        <w:rPr>
          <w:lang w:val="de-DE"/>
        </w:rPr>
      </w:pPr>
    </w:p>
    <w:p w:rsidR="002459F9" w:rsidRPr="00DF5DE8" w:rsidRDefault="002459F9" w:rsidP="008A5F9D">
      <w:pPr>
        <w:spacing w:line="360" w:lineRule="auto"/>
        <w:ind w:firstLine="397"/>
        <w:jc w:val="both"/>
        <w:rPr>
          <w:lang w:val="de-DE"/>
        </w:rPr>
      </w:pPr>
      <w:r w:rsidRPr="00DF5DE8">
        <w:rPr>
          <w:lang w:val="de-DE"/>
        </w:rPr>
        <w:t xml:space="preserve">Wolff und Châtelet, so könnte man sagen, wenden die Methode der inneren Erfahrung sehr viel konsequenter als Leibniz auf die Begründung des Prinzips des Widerspruchs an. Doch auch in einer weiteren Hinsicht findet sich bei Wolff und Châtelet eine Klärung von Intuitionen, von denen auch Leibniz ausgeht. Dies wird deutlich in der Frage nach dem Zusammenhang zwischen dem Prinzip des Widerspruchs und den Begriffen des Möglichen und Unmöglichen. In den </w:t>
      </w:r>
      <w:r w:rsidRPr="00DF5DE8">
        <w:rPr>
          <w:bCs/>
          <w:i/>
          <w:iCs/>
          <w:lang w:val="de-DE"/>
        </w:rPr>
        <w:t>Nouveaux Essais</w:t>
      </w:r>
      <w:r w:rsidRPr="00DF5DE8">
        <w:rPr>
          <w:b/>
          <w:bCs/>
          <w:i/>
          <w:iCs/>
          <w:lang w:val="de-DE"/>
        </w:rPr>
        <w:t xml:space="preserve"> </w:t>
      </w:r>
      <w:r w:rsidRPr="00DF5DE8">
        <w:rPr>
          <w:lang w:val="de-DE"/>
        </w:rPr>
        <w:t>bringt Leibniz den Satz „A ist nicht nicht-A“ in Zusammenhang mit dem Prinzip des Widerspruchs.</w:t>
      </w:r>
      <w:r w:rsidRPr="00DF5DE8">
        <w:rPr>
          <w:rStyle w:val="Funotenzeichen"/>
          <w:lang w:val="de-DE"/>
        </w:rPr>
        <w:footnoteReference w:id="81"/>
      </w:r>
      <w:r w:rsidRPr="00DF5DE8">
        <w:rPr>
          <w:lang w:val="de-DE"/>
        </w:rPr>
        <w:t xml:space="preserve"> Zunächst stellt er in der Person Théophiles fest, dass Sätze wie „Das Quadrat ist kein Kreis" oder „Die Farbe Gelb ist nicht die Süße“, die er als Beispiele für Sätze der Form „A ist nicht nicht-A“ anführt,</w:t>
      </w:r>
      <w:r w:rsidRPr="00DF5DE8">
        <w:rPr>
          <w:rStyle w:val="Funotenzeichen"/>
          <w:lang w:val="de-DE"/>
        </w:rPr>
        <w:footnoteReference w:id="82"/>
      </w:r>
      <w:r w:rsidRPr="00DF5DE8">
        <w:rPr>
          <w:lang w:val="de-DE"/>
        </w:rPr>
        <w:t xml:space="preserve"> nach dem Prinzip des Widerspruchs als dem Prinzip der identischen Aussagen wahr sind. Daraufhin schlägt Philalèthe, der die Position Lockes vertritt, vor, die Maxime „Was das selbe Ding ist, ist nicht anders“ als das Prinzip aufzufassen, auf dem die Wahrheit von Sätzen wie „Das Quadrat ist kein Kreis“ beruht. Dem hält Théophile entgegen:</w:t>
      </w:r>
    </w:p>
    <w:p w:rsidR="002459F9" w:rsidRPr="00DF5DE8" w:rsidRDefault="002459F9" w:rsidP="00833046">
      <w:pPr>
        <w:autoSpaceDE w:val="0"/>
        <w:autoSpaceDN w:val="0"/>
        <w:adjustRightInd w:val="0"/>
        <w:spacing w:line="360" w:lineRule="auto"/>
        <w:jc w:val="both"/>
        <w:rPr>
          <w:bCs/>
          <w:lang w:val="de-DE"/>
        </w:rPr>
      </w:pPr>
    </w:p>
    <w:p w:rsidR="002459F9" w:rsidRPr="00DF5DE8" w:rsidRDefault="002459F9" w:rsidP="00833046">
      <w:pPr>
        <w:autoSpaceDE w:val="0"/>
        <w:autoSpaceDN w:val="0"/>
        <w:adjustRightInd w:val="0"/>
        <w:spacing w:line="360" w:lineRule="auto"/>
        <w:ind w:left="397"/>
        <w:jc w:val="both"/>
        <w:rPr>
          <w:bCs/>
          <w:lang w:val="de-DE"/>
        </w:rPr>
      </w:pPr>
      <w:r w:rsidRPr="00DF5DE8">
        <w:rPr>
          <w:bCs/>
          <w:lang w:val="de-DE"/>
        </w:rPr>
        <w:t>Ich sehe nicht, wie der Satz: was das selbe Ding ist, ist nicht anders, der Ursprung des Prinzips des Widerspruchs sein könnte, und einfacher als dieses Prinzip; denn es scheint mir, man nehme sich mehr Freiheit zu sagen, dass A nicht Β ist, als zu sagen, dass A nicht nicht-A ist. Und der Grund, der A daran hindert Β zu sein, ist dass Β nicht-A enthält.</w:t>
      </w:r>
      <w:r w:rsidRPr="00DF5DE8">
        <w:rPr>
          <w:rStyle w:val="Funotenzeichen"/>
          <w:bCs/>
          <w:lang w:val="de-DE"/>
        </w:rPr>
        <w:footnoteReference w:id="83"/>
      </w:r>
    </w:p>
    <w:p w:rsidR="002459F9" w:rsidRPr="00DF5DE8" w:rsidRDefault="002459F9" w:rsidP="00833046">
      <w:pPr>
        <w:autoSpaceDE w:val="0"/>
        <w:autoSpaceDN w:val="0"/>
        <w:adjustRightInd w:val="0"/>
        <w:spacing w:line="360" w:lineRule="auto"/>
        <w:jc w:val="both"/>
        <w:rPr>
          <w:bCs/>
          <w:lang w:val="de-DE"/>
        </w:rPr>
      </w:pPr>
    </w:p>
    <w:p w:rsidR="002459F9" w:rsidRPr="00DF5DE8" w:rsidRDefault="002459F9" w:rsidP="00833046">
      <w:pPr>
        <w:autoSpaceDE w:val="0"/>
        <w:autoSpaceDN w:val="0"/>
        <w:adjustRightInd w:val="0"/>
        <w:spacing w:line="360" w:lineRule="auto"/>
        <w:jc w:val="both"/>
        <w:rPr>
          <w:lang w:val="de-DE"/>
        </w:rPr>
      </w:pPr>
      <w:r w:rsidRPr="00DF5DE8">
        <w:rPr>
          <w:lang w:val="de-DE"/>
        </w:rPr>
        <w:t>Dass A nicht nicht-A ist, so wäre das Argument hier zu ergänzen, folgt seinerseits aus dem Prinzip des Widerspruchs, weil nach dem Prinzip des Widerspruchs jede Aussage der Form „A ist nicht nicht-A“ wahr und jede Aussage der Form „A ist nicht-A“ falsch ist. Wenn diese Passage in dieser Weise zu verstehen ist, dann wird in ihr das Prinzip der Identität als eine Folge von (1) aufgefasst. Doch wie erklärt sich dieses Verhältnis von (1) und (3)? Was existiert oder möglich ist, nennt Leibniz das „Seiende“.</w:t>
      </w:r>
      <w:r w:rsidRPr="00DF5DE8">
        <w:rPr>
          <w:rStyle w:val="Funotenzeichen"/>
          <w:lang w:val="de-DE"/>
        </w:rPr>
        <w:footnoteReference w:id="84"/>
      </w:r>
      <w:r w:rsidRPr="00DF5DE8">
        <w:rPr>
          <w:lang w:val="de-DE"/>
        </w:rPr>
        <w:t xml:space="preserve"> Den Begriff des Seienden definiert</w:t>
      </w:r>
    </w:p>
    <w:p w:rsidR="002459F9" w:rsidRPr="00DF5DE8" w:rsidRDefault="002459F9" w:rsidP="00833046">
      <w:pPr>
        <w:spacing w:line="360" w:lineRule="auto"/>
        <w:jc w:val="both"/>
        <w:rPr>
          <w:lang w:val="de-DE"/>
        </w:rPr>
      </w:pPr>
      <w:r w:rsidRPr="00DF5DE8">
        <w:rPr>
          <w:lang w:val="de-DE"/>
        </w:rPr>
        <w:t xml:space="preserve">er in dieser Weise: </w:t>
      </w:r>
      <w:r w:rsidRPr="00DF5DE8">
        <w:rPr>
          <w:bCs/>
          <w:lang w:val="de-DE"/>
        </w:rPr>
        <w:t>„Ein Seiendes ist etwas, dessen Begriff etwas Positives enthält (...), nämlich</w:t>
      </w:r>
      <w:r w:rsidRPr="00DF5DE8">
        <w:rPr>
          <w:lang w:val="de-DE"/>
        </w:rPr>
        <w:t xml:space="preserve"> </w:t>
      </w:r>
      <w:r w:rsidRPr="00DF5DE8">
        <w:rPr>
          <w:bCs/>
          <w:lang w:val="de-DE"/>
        </w:rPr>
        <w:t>insofern das, was wir begreifen, möglich ist und keinen Widerspruch enthält (...).“</w:t>
      </w:r>
      <w:r w:rsidRPr="00DF5DE8">
        <w:rPr>
          <w:rStyle w:val="Funotenzeichen"/>
          <w:bCs/>
          <w:lang w:val="de-DE"/>
        </w:rPr>
        <w:footnoteReference w:id="85"/>
      </w:r>
      <w:r w:rsidRPr="00DF5DE8">
        <w:rPr>
          <w:lang w:val="de-DE"/>
        </w:rPr>
        <w:t xml:space="preserve"> Dies wird aber in Aussage (3) ausgedrückt. Denn wenn (3) durch „A ist nicht nicht-A“ erläutert wird, und wenn „A ist nicht nicht-A“ als die gegenüber „A ist nicht B“ grundlegende Aussage betrachtet wird, wird in (3) Identität als die Widerspruchsfreiheit einer Entität, nicht als die Verschiedenheit einer Entität von einer anderen bestimmt. Tatsächlich vertritt Leibniz die Auffassung, dass das Prinzip des Widerspruchs bereits alles enthält, was in Bezug auf die Essenzen oder die möglichen Gegenstände zu wissen ist.</w:t>
      </w:r>
      <w:r w:rsidRPr="00DF5DE8">
        <w:rPr>
          <w:rStyle w:val="Funotenzeichen"/>
          <w:lang w:val="de-DE"/>
        </w:rPr>
        <w:footnoteReference w:id="86"/>
      </w:r>
      <w:r w:rsidRPr="00DF5DE8">
        <w:rPr>
          <w:lang w:val="de-DE"/>
        </w:rPr>
        <w:t xml:space="preserve"> </w:t>
      </w:r>
    </w:p>
    <w:p w:rsidR="002459F9" w:rsidRPr="00DF5DE8" w:rsidRDefault="002459F9" w:rsidP="00833046">
      <w:pPr>
        <w:autoSpaceDE w:val="0"/>
        <w:autoSpaceDN w:val="0"/>
        <w:adjustRightInd w:val="0"/>
        <w:spacing w:line="360" w:lineRule="auto"/>
        <w:ind w:firstLine="397"/>
        <w:jc w:val="both"/>
        <w:rPr>
          <w:lang w:val="de-DE"/>
        </w:rPr>
      </w:pPr>
      <w:r w:rsidRPr="00DF5DE8">
        <w:rPr>
          <w:lang w:val="de-DE"/>
        </w:rPr>
        <w:t>Dem zu folge gibt es bei Leibniz eine Argumentationsrichtung, die vom Prinzip des Widerspruchs zu einer Definition des Möglichen führt. Die Dinge liegen jedoch komplizierter, denn gleichzeitig ist Leibniz auch der Ansicht, dass das Prinzip des Widerspruchs eine Konsequenz der Definition des Möglichen bildet, der zufolge dasjenige möglich ist, für das etwas zu sein und nicht nicht etwas zu sein dasselbe ist.</w:t>
      </w:r>
      <w:r w:rsidRPr="00DF5DE8">
        <w:rPr>
          <w:rStyle w:val="Funotenzeichen"/>
          <w:lang w:val="de-DE"/>
        </w:rPr>
        <w:footnoteReference w:id="87"/>
      </w:r>
      <w:r w:rsidRPr="00DF5DE8">
        <w:rPr>
          <w:lang w:val="de-DE"/>
        </w:rPr>
        <w:t xml:space="preserve"> Wenn der Begriff des Möglichen nicht als Konsequenz des Prinzips des Widerspruchs aufgefasst wird, scheint es sich um eine hypothetische Festlegung zu handeln. Entsprechend sagt Leibniz im hypothetische Modus: „Ich nehme an (</w:t>
      </w:r>
      <w:r w:rsidRPr="00DF5DE8">
        <w:rPr>
          <w:i/>
          <w:lang w:val="de-DE"/>
        </w:rPr>
        <w:t>je supposeray</w:t>
      </w:r>
      <w:r w:rsidRPr="00DF5DE8">
        <w:rPr>
          <w:lang w:val="de-DE"/>
        </w:rPr>
        <w:t>), dass zwei sich widersprechende Aussagen nicht wahr sein können, und dass dasjenige, das einen Widerspruch enthält, nicht sein kann.“</w:t>
      </w:r>
      <w:r w:rsidRPr="00DF5DE8">
        <w:rPr>
          <w:rStyle w:val="Funotenzeichen"/>
          <w:lang w:val="de-DE"/>
        </w:rPr>
        <w:footnoteReference w:id="88"/>
      </w:r>
      <w:r w:rsidRPr="00DF5DE8">
        <w:rPr>
          <w:lang w:val="de-DE"/>
        </w:rPr>
        <w:t xml:space="preserve"> In diesem hypothetischen Modus lässt sich die Argumentationsrichtung in den Augen von Leibniz also umkehren. Dies ist keinesfalls eine isolierte Beobachtung, sondern eine Eigentümlichkeit, die sich an vielen Stellen von Leibniz’ Texten feststellen lässt. Fabrizio Mondadori versteht Leibniz’ System als ein Netz miteinander verknüpfter Aussagen, in dem sich die Metaphysik ebenso gut aus der Logik ableiten lässt, wie die Logik aus der Metaphysik. Diese Auffassung einer in sich geschlossenen logischen Struktur von Leibniz’ System bezeichnet Mondadori als „Leibnizian Circle“.</w:t>
      </w:r>
      <w:r w:rsidRPr="00DF5DE8">
        <w:rPr>
          <w:rStyle w:val="Funotenzeichen"/>
          <w:lang w:val="de-DE"/>
        </w:rPr>
        <w:footnoteReference w:id="89"/>
      </w:r>
      <w:r w:rsidRPr="00DF5DE8">
        <w:rPr>
          <w:lang w:val="de-DE"/>
        </w:rPr>
        <w:t xml:space="preserve"> Die Umkehrbarkeit der Argumentation vom Prinzip des Widerspruchs zu den Begriffen des Möglichen und Unmöglichen scheint ein gutes Beispiel für die Anwendbarkeit von Mondadoris Einsicht zu sein.</w:t>
      </w:r>
    </w:p>
    <w:p w:rsidR="002459F9" w:rsidRPr="00DF5DE8" w:rsidRDefault="002459F9" w:rsidP="00833046">
      <w:pPr>
        <w:spacing w:line="360" w:lineRule="auto"/>
        <w:ind w:firstLine="397"/>
        <w:jc w:val="both"/>
        <w:rPr>
          <w:lang w:val="de-DE"/>
        </w:rPr>
      </w:pPr>
      <w:r w:rsidRPr="00DF5DE8">
        <w:rPr>
          <w:lang w:val="de-DE"/>
        </w:rPr>
        <w:t>Auch in dieser Hinsicht sorgt Wolffs und Châtelets Interesse an unbezweifelbar</w:t>
      </w:r>
      <w:r w:rsidR="00FB60C7">
        <w:rPr>
          <w:lang w:val="de-DE"/>
        </w:rPr>
        <w:t>en Startpunkten</w:t>
      </w:r>
      <w:r w:rsidRPr="00DF5DE8">
        <w:rPr>
          <w:lang w:val="de-DE"/>
        </w:rPr>
        <w:t xml:space="preserve"> philosophische</w:t>
      </w:r>
      <w:r w:rsidR="00FB60C7">
        <w:rPr>
          <w:lang w:val="de-DE"/>
        </w:rPr>
        <w:t>r Argumente</w:t>
      </w:r>
      <w:r w:rsidRPr="00DF5DE8">
        <w:rPr>
          <w:lang w:val="de-DE"/>
        </w:rPr>
        <w:t xml:space="preserve"> für eine methodologische Klärung. Für Wolff und Châtelet sind die Begriffe des Widerspruchs, des Unmöglichen und des Möglichen Konsequenzen der unbezweifelbaren Erfahrungen, die wir mit unserem Denken machen:</w:t>
      </w:r>
    </w:p>
    <w:p w:rsidR="00C93012" w:rsidRPr="00DF5DE8" w:rsidRDefault="00C93012" w:rsidP="00D215A5">
      <w:pPr>
        <w:spacing w:line="360" w:lineRule="auto"/>
        <w:jc w:val="both"/>
        <w:rPr>
          <w:lang w:val="de-DE"/>
        </w:rPr>
      </w:pPr>
    </w:p>
    <w:p w:rsidR="002459F9" w:rsidRPr="00DF5DE8" w:rsidRDefault="00C93012" w:rsidP="00C93012">
      <w:pPr>
        <w:spacing w:line="360" w:lineRule="auto"/>
        <w:ind w:left="397"/>
        <w:jc w:val="both"/>
        <w:rPr>
          <w:lang w:val="de-DE"/>
        </w:rPr>
      </w:pPr>
      <w:r w:rsidRPr="00DF5DE8">
        <w:rPr>
          <w:lang w:val="de-DE"/>
        </w:rPr>
        <w:t xml:space="preserve">[Wolff] </w:t>
      </w:r>
      <w:r w:rsidR="002459F9" w:rsidRPr="00DF5DE8">
        <w:rPr>
          <w:lang w:val="de-DE"/>
        </w:rPr>
        <w:t>Jemand widerspricht sich selbst, wenn er behauptet, dass dasselbe zur gleichen Zeit ist und nicht ist … [Widerspruch] ist die Gleichzeitigkeit des Affirmierens und Negierens.</w:t>
      </w:r>
      <w:r w:rsidR="002459F9" w:rsidRPr="00DF5DE8">
        <w:rPr>
          <w:rStyle w:val="Funotenzeichen"/>
          <w:lang w:val="de-DE"/>
        </w:rPr>
        <w:footnoteReference w:id="90"/>
      </w:r>
    </w:p>
    <w:p w:rsidR="00E16B92" w:rsidRDefault="008A5F9D" w:rsidP="00C93012">
      <w:pPr>
        <w:spacing w:line="360" w:lineRule="auto"/>
        <w:ind w:left="397"/>
        <w:jc w:val="both"/>
        <w:rPr>
          <w:lang w:val="de-DE"/>
        </w:rPr>
      </w:pPr>
      <w:r w:rsidRPr="00DF5DE8">
        <w:rPr>
          <w:i/>
          <w:lang w:val="de-DE"/>
        </w:rPr>
        <w:t>Unmöglich</w:t>
      </w:r>
      <w:r w:rsidRPr="00DF5DE8">
        <w:rPr>
          <w:lang w:val="de-DE"/>
        </w:rPr>
        <w:t xml:space="preserve"> wird genannt, was immer einen Widerspruch enthält … </w:t>
      </w:r>
      <w:r w:rsidR="00E16B92" w:rsidRPr="00DF5DE8">
        <w:rPr>
          <w:rStyle w:val="Funotenzeichen"/>
          <w:lang w:val="de-DE"/>
        </w:rPr>
        <w:footnoteReference w:id="91"/>
      </w:r>
    </w:p>
    <w:p w:rsidR="008A5F9D" w:rsidRPr="00DF5DE8" w:rsidRDefault="008A5F9D" w:rsidP="00C93012">
      <w:pPr>
        <w:spacing w:line="360" w:lineRule="auto"/>
        <w:ind w:left="397"/>
        <w:jc w:val="both"/>
        <w:rPr>
          <w:lang w:val="de-DE"/>
        </w:rPr>
      </w:pPr>
      <w:r w:rsidRPr="00DF5DE8">
        <w:rPr>
          <w:lang w:val="de-DE"/>
        </w:rPr>
        <w:t xml:space="preserve">Das </w:t>
      </w:r>
      <w:r w:rsidRPr="00DF5DE8">
        <w:rPr>
          <w:i/>
          <w:lang w:val="de-DE"/>
        </w:rPr>
        <w:t xml:space="preserve">Mögliche </w:t>
      </w:r>
      <w:r w:rsidRPr="00DF5DE8">
        <w:rPr>
          <w:lang w:val="de-DE"/>
        </w:rPr>
        <w:t>ist dasjenige, was keinen Widerspruch enthält, oder dasjenige, was nicht unmöglich ist.</w:t>
      </w:r>
      <w:r w:rsidRPr="00DF5DE8">
        <w:rPr>
          <w:rStyle w:val="Funotenzeichen"/>
          <w:lang w:val="de-DE"/>
        </w:rPr>
        <w:footnoteReference w:id="92"/>
      </w:r>
    </w:p>
    <w:p w:rsidR="00C93012" w:rsidRPr="00DF5DE8" w:rsidRDefault="00C93012" w:rsidP="00D215A5">
      <w:pPr>
        <w:spacing w:line="360" w:lineRule="auto"/>
        <w:jc w:val="both"/>
        <w:rPr>
          <w:lang w:val="de-DE"/>
        </w:rPr>
      </w:pPr>
    </w:p>
    <w:p w:rsidR="002459F9" w:rsidRPr="00DF5DE8" w:rsidRDefault="00C93012" w:rsidP="00C93012">
      <w:pPr>
        <w:spacing w:line="360" w:lineRule="auto"/>
        <w:ind w:left="397"/>
        <w:jc w:val="both"/>
        <w:rPr>
          <w:lang w:val="de-DE"/>
        </w:rPr>
      </w:pPr>
      <w:r w:rsidRPr="00DF5DE8">
        <w:rPr>
          <w:lang w:val="de-DE"/>
        </w:rPr>
        <w:t xml:space="preserve">[Châtelet] </w:t>
      </w:r>
      <w:r w:rsidR="002459F9" w:rsidRPr="00DF5DE8">
        <w:rPr>
          <w:lang w:val="de-DE"/>
        </w:rPr>
        <w:t xml:space="preserve">Man nennt </w:t>
      </w:r>
      <w:r w:rsidR="002459F9" w:rsidRPr="00DF5DE8">
        <w:rPr>
          <w:i/>
          <w:lang w:val="de-DE"/>
        </w:rPr>
        <w:t>Widerspruch</w:t>
      </w:r>
      <w:r w:rsidR="002459F9" w:rsidRPr="00DF5DE8">
        <w:rPr>
          <w:lang w:val="de-DE"/>
        </w:rPr>
        <w:t>, was dasselbe zur gleichen Zeit affirmiert und negiert.</w:t>
      </w:r>
      <w:r w:rsidR="002459F9" w:rsidRPr="00DF5DE8">
        <w:rPr>
          <w:rStyle w:val="Funotenzeichen"/>
          <w:lang w:val="de-DE"/>
        </w:rPr>
        <w:footnoteReference w:id="93"/>
      </w:r>
    </w:p>
    <w:p w:rsidR="008A5F9D" w:rsidRPr="00DF5DE8" w:rsidRDefault="002459F9" w:rsidP="008A5F9D">
      <w:pPr>
        <w:spacing w:line="360" w:lineRule="auto"/>
        <w:ind w:left="397"/>
        <w:jc w:val="both"/>
        <w:rPr>
          <w:lang w:val="de-DE"/>
        </w:rPr>
      </w:pPr>
      <w:r w:rsidRPr="00DF5DE8">
        <w:rPr>
          <w:lang w:val="de-DE"/>
        </w:rPr>
        <w:t>Es folgt aus dem Gesagten, dass das Unmögliche dasjenige ist, was einen Widerspruch enthält und das Mögliche dasjenige, was ihn nicht enthält.</w:t>
      </w:r>
      <w:r w:rsidRPr="00DF5DE8">
        <w:rPr>
          <w:rStyle w:val="Funotenzeichen"/>
          <w:lang w:val="de-DE"/>
        </w:rPr>
        <w:footnoteReference w:id="94"/>
      </w:r>
    </w:p>
    <w:p w:rsidR="008A5F9D" w:rsidRPr="00DF5DE8" w:rsidRDefault="008A5F9D" w:rsidP="008A5F9D">
      <w:pPr>
        <w:spacing w:line="360" w:lineRule="auto"/>
        <w:jc w:val="both"/>
        <w:rPr>
          <w:lang w:val="de-DE"/>
        </w:rPr>
      </w:pPr>
    </w:p>
    <w:p w:rsidR="002459F9" w:rsidRPr="00DF5DE8" w:rsidRDefault="002459F9" w:rsidP="008A5F9D">
      <w:pPr>
        <w:spacing w:line="360" w:lineRule="auto"/>
        <w:jc w:val="both"/>
        <w:rPr>
          <w:lang w:val="de-DE"/>
        </w:rPr>
      </w:pPr>
      <w:r w:rsidRPr="00DF5DE8">
        <w:rPr>
          <w:lang w:val="de-DE"/>
        </w:rPr>
        <w:t>Châtelet ist hier expliziter als Wolff, wenn sie die Begriffe des Unmöglichen und Möglichen als eine Folgerung der Erfahrung darstellt, die Geist mit dem Bewusstsein seiner eigenen Aktivitäten macht. Der sachliche Zusammenhang dürfte allerdings auch bei Wolff deutlich sein, denn er führt das Prinzip des Widerspruchs am Beginn seines Kapitels über die allgemeinen Kennzeichen des Seienden ein. So überrascht es nicht, dass Wolff und Châtelet in gleicher Weise fordern, die Möglichkeit oder Unmöglichkeit eines Sachverhalts durch die Untersuchung der Widerspruchsfreiheit oder Widersprüchlichkeit des entsprechenden Begriffs nachzuweisen. Generell formuliert Wolff: „Bevor man also einen Widerspruch nachgewiesen hat, kann nichts zum Unmöglichen gerechnet werden.“</w:t>
      </w:r>
      <w:r w:rsidRPr="00DF5DE8">
        <w:rPr>
          <w:rStyle w:val="Funotenzeichen"/>
          <w:lang w:val="de-DE"/>
        </w:rPr>
        <w:footnoteReference w:id="95"/>
      </w:r>
      <w:r w:rsidRPr="00DF5DE8">
        <w:rPr>
          <w:lang w:val="de-DE"/>
        </w:rPr>
        <w:t xml:space="preserve"> Auch Châtelet fordert eine solche Untersuchung der Begriffe: „Aus der gerade gegebenen Definition des Unmöglichen folgt eine recht wichtige Regel, dass wir nämlich, wenn wir behaupten, eine Sache sei unmöglich, wir verpflichtet sind zu beweisen, dass dasselbe zur gleichen Zeit negiert und affirmiert wird …“</w:t>
      </w:r>
      <w:r w:rsidRPr="00DF5DE8">
        <w:rPr>
          <w:rStyle w:val="Funotenzeichen"/>
          <w:lang w:val="de-DE"/>
        </w:rPr>
        <w:footnoteReference w:id="96"/>
      </w:r>
      <w:r w:rsidRPr="00DF5DE8">
        <w:rPr>
          <w:lang w:val="de-DE"/>
        </w:rPr>
        <w:t xml:space="preserve"> Dabei geht sie auf Leibniz’ Beispiel des Begriff der schnellsten Bewegung ein, der in den Augen von Leibniz und Châtelet einen versteckten Widerspruch enthält, denn die Speichen eines bewegten Rades lassen sich ins Unendliche verlängert denken, sodass die sich die Geschwindigkeiten der äußeren Enden der Speichen unendlich gesteigert vorstellen lassen.</w:t>
      </w:r>
      <w:r w:rsidRPr="00DF5DE8">
        <w:rPr>
          <w:rStyle w:val="Funotenzeichen"/>
          <w:lang w:val="de-DE"/>
        </w:rPr>
        <w:footnoteReference w:id="97"/>
      </w:r>
    </w:p>
    <w:p w:rsidR="00B005BC" w:rsidRPr="00DF5DE8" w:rsidRDefault="00B005BC" w:rsidP="00D215A5">
      <w:pPr>
        <w:spacing w:line="360" w:lineRule="auto"/>
        <w:jc w:val="both"/>
        <w:rPr>
          <w:lang w:val="de-DE"/>
        </w:rPr>
      </w:pPr>
    </w:p>
    <w:p w:rsidR="00E628D8" w:rsidRPr="00DF5DE8" w:rsidRDefault="00EE7BEE" w:rsidP="00D215A5">
      <w:pPr>
        <w:spacing w:line="360" w:lineRule="auto"/>
        <w:jc w:val="both"/>
        <w:rPr>
          <w:lang w:val="de-DE"/>
        </w:rPr>
      </w:pPr>
      <w:r w:rsidRPr="00DF5DE8">
        <w:rPr>
          <w:lang w:val="de-DE"/>
        </w:rPr>
        <w:t>4. Schlussbemerkung</w:t>
      </w:r>
    </w:p>
    <w:p w:rsidR="00E628D8" w:rsidRPr="00DF5DE8" w:rsidRDefault="00E628D8" w:rsidP="00D215A5">
      <w:pPr>
        <w:spacing w:line="360" w:lineRule="auto"/>
        <w:jc w:val="both"/>
        <w:rPr>
          <w:lang w:val="de-DE"/>
        </w:rPr>
      </w:pPr>
    </w:p>
    <w:p w:rsidR="00BE6AD4" w:rsidRPr="00DF5DE8" w:rsidRDefault="00AD4F49" w:rsidP="00D215A5">
      <w:pPr>
        <w:autoSpaceDE w:val="0"/>
        <w:autoSpaceDN w:val="0"/>
        <w:adjustRightInd w:val="0"/>
        <w:spacing w:line="360" w:lineRule="auto"/>
        <w:jc w:val="both"/>
        <w:rPr>
          <w:lang w:val="de-DE"/>
        </w:rPr>
      </w:pPr>
      <w:r w:rsidRPr="00DF5DE8">
        <w:rPr>
          <w:lang w:val="de-DE"/>
        </w:rPr>
        <w:t>Die thematischen Parallelen zwischen Châtelets und Wolffs Überlegungen zum Prinzip des Widerspruchs sind substantiell und überraschen wenig, weil Châtelet diese Überlegungen ausdrücklich als Darstellung von Leibniz’ Position aus der Perspektive von Wolff betrachtet. Dennoch wird durch Châtelets Wahl von Wolffs Perspektive ein</w:t>
      </w:r>
      <w:r w:rsidR="00116778" w:rsidRPr="00DF5DE8">
        <w:rPr>
          <w:lang w:val="de-DE"/>
        </w:rPr>
        <w:t xml:space="preserve"> bestimmter Aspekt von Leibniz’</w:t>
      </w:r>
      <w:r w:rsidRPr="00DF5DE8">
        <w:rPr>
          <w:lang w:val="de-DE"/>
        </w:rPr>
        <w:t xml:space="preserve"> Metaphilosophie ausgeblendet und ein </w:t>
      </w:r>
      <w:r w:rsidR="00116778" w:rsidRPr="00DF5DE8">
        <w:rPr>
          <w:lang w:val="de-DE"/>
        </w:rPr>
        <w:t xml:space="preserve">bestimmter Aspekt von Leibniz’ </w:t>
      </w:r>
      <w:r w:rsidRPr="00DF5DE8">
        <w:rPr>
          <w:lang w:val="de-DE"/>
        </w:rPr>
        <w:t>Metaphilosophie ins Zentrum gerü</w:t>
      </w:r>
      <w:r w:rsidR="00116778" w:rsidRPr="00DF5DE8">
        <w:rPr>
          <w:lang w:val="de-DE"/>
        </w:rPr>
        <w:t>ckt. Ausgeblendet wird Leibniz’</w:t>
      </w:r>
      <w:r w:rsidRPr="00DF5DE8">
        <w:rPr>
          <w:lang w:val="de-DE"/>
        </w:rPr>
        <w:t xml:space="preserve"> Faszination mit der Leistungsfähigkeit von philosophischen Hypothesen, die sich in einigen von Leibniz’ Äußerungen zum Prinzip des Widerspruchs zeigt. Für Leibniz scheint es gar nicht ausgeschlossen zu sein, dass das Prinzip des Widerspruchs am besten als eine philosophische Hypothese betrachtet werden sollte, aus der sich interessante philosophische Konsequenzen ergeben, und die mit and</w:t>
      </w:r>
      <w:r w:rsidR="00BE6AD4" w:rsidRPr="00DF5DE8">
        <w:rPr>
          <w:lang w:val="de-DE"/>
        </w:rPr>
        <w:t>eren philosophischen Hypothesen</w:t>
      </w:r>
      <w:r w:rsidRPr="00DF5DE8">
        <w:rPr>
          <w:lang w:val="de-DE"/>
        </w:rPr>
        <w:t xml:space="preserve"> wie der analytis</w:t>
      </w:r>
      <w:r w:rsidR="00BE6AD4" w:rsidRPr="00DF5DE8">
        <w:rPr>
          <w:lang w:val="de-DE"/>
        </w:rPr>
        <w:t>chen Urteilstheorie und der Theorie der Repräsentation des Universums in jeder einfachen Substanz</w:t>
      </w:r>
      <w:r w:rsidRPr="00DF5DE8">
        <w:rPr>
          <w:lang w:val="de-DE"/>
        </w:rPr>
        <w:t xml:space="preserve"> in Zusammenhang steht. </w:t>
      </w:r>
      <w:r w:rsidR="00BE6AD4" w:rsidRPr="00DF5DE8">
        <w:rPr>
          <w:lang w:val="de-DE"/>
        </w:rPr>
        <w:t xml:space="preserve">Von diesem Standpunkt aus scheint das Prinzip des Widerspruchs Teil eines Herangehens zu sein, das charakteristisch für eine revisionäre Metaphysik im Sinne Strawsons ist. </w:t>
      </w:r>
      <w:r w:rsidRPr="00DF5DE8">
        <w:rPr>
          <w:lang w:val="de-DE"/>
        </w:rPr>
        <w:t>Gleichzeitig aber versucht Leibniz, auch die innere Erfahrung als Grundlage für das Prinzip des Widerspruchs in Anspruch zu nehmen. Nur lässt sich hier konstatieren, dass Leibniz die Anwendung seiner Konzeption der inneren Erfahrung auf das Prinzip des Widerspruchs allenfalls angedeutet, aber keinesfalls</w:t>
      </w:r>
      <w:r w:rsidR="00BE6AD4" w:rsidRPr="00DF5DE8">
        <w:rPr>
          <w:lang w:val="de-DE"/>
        </w:rPr>
        <w:t xml:space="preserve"> durchgeführt hat. Dennoch sind die deskriptiven Elemente von Leibniz’ Metaphilosophie hier klar erkennbar, und diese sind es, die durch Wolffs Vermittlung in Châtelets Verständnis des Prinzips des Widerspruchs finden. </w:t>
      </w:r>
    </w:p>
    <w:p w:rsidR="00E628D8" w:rsidRPr="00DF5DE8" w:rsidRDefault="00BE6AD4" w:rsidP="00BE6AD4">
      <w:pPr>
        <w:autoSpaceDE w:val="0"/>
        <w:autoSpaceDN w:val="0"/>
        <w:adjustRightInd w:val="0"/>
        <w:spacing w:line="360" w:lineRule="auto"/>
        <w:ind w:firstLine="397"/>
        <w:jc w:val="both"/>
        <w:rPr>
          <w:lang w:val="de-DE"/>
        </w:rPr>
      </w:pPr>
      <w:r w:rsidRPr="00DF5DE8">
        <w:rPr>
          <w:lang w:val="de-DE"/>
        </w:rPr>
        <w:t>Ch</w:t>
      </w:r>
      <w:r w:rsidR="005B5EFF" w:rsidRPr="00DF5DE8">
        <w:rPr>
          <w:lang w:val="de-DE"/>
        </w:rPr>
        <w:t>âtelets Rückgriff auf</w:t>
      </w:r>
      <w:r w:rsidR="00EE764B" w:rsidRPr="00DF5DE8">
        <w:rPr>
          <w:lang w:val="de-DE"/>
        </w:rPr>
        <w:t xml:space="preserve"> Wolffs Ontologie</w:t>
      </w:r>
      <w:r w:rsidRPr="00DF5DE8">
        <w:rPr>
          <w:lang w:val="de-DE"/>
        </w:rPr>
        <w:t xml:space="preserve"> bringt es mit sich, dass Wolffs Einsicht, dass Hypothesen als Grundlage für philosophische Lehrsätze ungeeignet sind, auch bei Châtelet die hypothetischen Aspekte von Leibniz’ Überlegungen zum Prinzip des Widerspruchs keine Rolle spielen. Hingegen ist es Wolff gelungen zu zeigen, wie sich das Prinzip des Widerspruchs als ein grundlegendes Merkmal unserer Erfahrung mit unseren geistigen Aktivitäten aufweisen lässt.</w:t>
      </w:r>
      <w:r w:rsidR="00AD4F49" w:rsidRPr="00DF5DE8">
        <w:rPr>
          <w:lang w:val="de-DE"/>
        </w:rPr>
        <w:t xml:space="preserve"> </w:t>
      </w:r>
      <w:r w:rsidR="007F09A9" w:rsidRPr="00DF5DE8">
        <w:rPr>
          <w:lang w:val="de-DE"/>
        </w:rPr>
        <w:t>Damit ist eine Antwort auf die Ausgangsfrage dieses Essays gefunden</w:t>
      </w:r>
      <w:r w:rsidR="00AD4F49" w:rsidRPr="00DF5DE8">
        <w:rPr>
          <w:lang w:val="de-DE"/>
        </w:rPr>
        <w:t xml:space="preserve"> </w:t>
      </w:r>
      <w:r w:rsidR="007F09A9" w:rsidRPr="00DF5DE8">
        <w:rPr>
          <w:lang w:val="de-DE"/>
        </w:rPr>
        <w:t>ist. Die Art der Selbstevidenz, die Châtelet im Sinn hat, schließt ein argumentatives Herangehen an die Vernunftprinzipien nicht aus, denn es ist die Selbstevidenz bestimmter Erfahrungen, die wir mit unserem Denken mache</w:t>
      </w:r>
      <w:r w:rsidR="007434FA">
        <w:rPr>
          <w:lang w:val="de-DE"/>
        </w:rPr>
        <w:t>n, die dem Prinzip seine Begründung</w:t>
      </w:r>
      <w:r w:rsidR="007F09A9" w:rsidRPr="00DF5DE8">
        <w:rPr>
          <w:lang w:val="de-DE"/>
        </w:rPr>
        <w:t xml:space="preserve"> verleiht. Dass wir das Prinzip ohne Reflexion kennen, bedeutet nicht, dass Reflexion für die Einsicht in das Prinzip irrelevant wäre. Vielmehr verleiht Refle</w:t>
      </w:r>
      <w:r w:rsidR="007434FA">
        <w:rPr>
          <w:lang w:val="de-DE"/>
        </w:rPr>
        <w:t>xion</w:t>
      </w:r>
      <w:r w:rsidR="007F09A9" w:rsidRPr="00DF5DE8">
        <w:rPr>
          <w:lang w:val="de-DE"/>
        </w:rPr>
        <w:t xml:space="preserve"> Einsicht in etwas, was unser Denken immer schon</w:t>
      </w:r>
      <w:r w:rsidR="007434FA">
        <w:rPr>
          <w:lang w:val="de-DE"/>
        </w:rPr>
        <w:t>—und das heißt, schon vor der Reflexion—</w:t>
      </w:r>
      <w:r w:rsidR="007F09A9" w:rsidRPr="00DF5DE8">
        <w:rPr>
          <w:lang w:val="de-DE"/>
        </w:rPr>
        <w:t xml:space="preserve">strukturiert hat. Dieser metaphilosophischen Hintergrund, der von Leibniz über Wolff zu Châtelet führt, </w:t>
      </w:r>
      <w:r w:rsidR="007434FA">
        <w:rPr>
          <w:lang w:val="de-DE"/>
        </w:rPr>
        <w:t>macht deutlich, in welchem Sinn für Châtelet das</w:t>
      </w:r>
      <w:r w:rsidR="007F09A9" w:rsidRPr="00DF5DE8">
        <w:rPr>
          <w:lang w:val="de-DE"/>
        </w:rPr>
        <w:t xml:space="preserve"> P</w:t>
      </w:r>
      <w:r w:rsidR="007434FA">
        <w:rPr>
          <w:lang w:val="de-DE"/>
        </w:rPr>
        <w:t>rinzip des Widerspruchs</w:t>
      </w:r>
      <w:r w:rsidR="007F09A9" w:rsidRPr="00DF5DE8">
        <w:rPr>
          <w:lang w:val="de-DE"/>
        </w:rPr>
        <w:t xml:space="preserve"> nicht-hypothetisch, sondern auf innere Erfahrungen gestützt ist. </w:t>
      </w:r>
      <w:r w:rsidR="007434FA">
        <w:rPr>
          <w:lang w:val="de-DE"/>
        </w:rPr>
        <w:t xml:space="preserve">Wie für Leibniz und Wolff beschreibt nach ihrer Auffassung </w:t>
      </w:r>
      <w:r w:rsidR="007F09A9" w:rsidRPr="00DF5DE8">
        <w:rPr>
          <w:lang w:val="de-DE"/>
        </w:rPr>
        <w:t>das Prinzip des Widerspruchs eine Struktur, die unser Denken immer schon charakterisie</w:t>
      </w:r>
      <w:r w:rsidR="007434FA">
        <w:rPr>
          <w:lang w:val="de-DE"/>
        </w:rPr>
        <w:t>rt, und in diesem Sinn gehört ihr Argument für das Prinzip des Widerspruchs</w:t>
      </w:r>
      <w:r w:rsidR="00FE1EDA">
        <w:rPr>
          <w:lang w:val="de-DE"/>
        </w:rPr>
        <w:t xml:space="preserve"> zum Entwurf</w:t>
      </w:r>
      <w:r w:rsidR="007F09A9" w:rsidRPr="00DF5DE8">
        <w:rPr>
          <w:lang w:val="de-DE"/>
        </w:rPr>
        <w:t xml:space="preserve"> einer deskriptiven, nicht-revisionären Metaphysik. </w:t>
      </w:r>
      <w:r w:rsidR="00E628D8" w:rsidRPr="00DF5DE8">
        <w:rPr>
          <w:lang w:val="de-DE"/>
        </w:rPr>
        <w:t xml:space="preserve"> </w:t>
      </w:r>
    </w:p>
    <w:p w:rsidR="007F09A9" w:rsidRPr="00DF5DE8" w:rsidRDefault="007F09A9" w:rsidP="00D215A5">
      <w:pPr>
        <w:spacing w:line="360" w:lineRule="auto"/>
        <w:jc w:val="both"/>
        <w:rPr>
          <w:lang w:val="de-DE"/>
        </w:rPr>
      </w:pPr>
    </w:p>
    <w:p w:rsidR="007F09A9" w:rsidRPr="00DF5DE8" w:rsidRDefault="007F09A9" w:rsidP="00D215A5">
      <w:pPr>
        <w:spacing w:line="360" w:lineRule="auto"/>
        <w:jc w:val="both"/>
        <w:rPr>
          <w:lang w:val="de-DE"/>
        </w:rPr>
      </w:pPr>
    </w:p>
    <w:p w:rsidR="007F09A9" w:rsidRPr="00DF5DE8" w:rsidRDefault="007B211A" w:rsidP="00D215A5">
      <w:pPr>
        <w:spacing w:line="360" w:lineRule="auto"/>
        <w:jc w:val="both"/>
        <w:rPr>
          <w:sz w:val="28"/>
          <w:szCs w:val="28"/>
          <w:lang w:val="de-DE"/>
        </w:rPr>
      </w:pPr>
      <w:r w:rsidRPr="00DF5DE8">
        <w:rPr>
          <w:sz w:val="28"/>
          <w:szCs w:val="28"/>
          <w:lang w:val="de-DE"/>
        </w:rPr>
        <w:t>Bibliographie und Abkürzungen</w:t>
      </w:r>
    </w:p>
    <w:p w:rsidR="007B211A" w:rsidRPr="00DF5DE8" w:rsidRDefault="007B211A" w:rsidP="00AC516E">
      <w:pPr>
        <w:spacing w:line="360" w:lineRule="auto"/>
        <w:jc w:val="both"/>
        <w:rPr>
          <w:sz w:val="22"/>
          <w:szCs w:val="22"/>
          <w:lang w:val="de-DE"/>
        </w:rPr>
      </w:pPr>
    </w:p>
    <w:p w:rsidR="00AC516E" w:rsidRPr="00DF5DE8" w:rsidRDefault="0078761A" w:rsidP="00AC516E">
      <w:pPr>
        <w:spacing w:line="360" w:lineRule="auto"/>
        <w:ind w:left="288" w:hanging="288"/>
        <w:jc w:val="both"/>
        <w:rPr>
          <w:sz w:val="20"/>
          <w:szCs w:val="20"/>
          <w:lang w:val="de-DE"/>
        </w:rPr>
      </w:pPr>
      <w:r w:rsidRPr="00DF5DE8">
        <w:rPr>
          <w:sz w:val="20"/>
          <w:szCs w:val="20"/>
          <w:lang w:val="de-DE"/>
        </w:rPr>
        <w:t xml:space="preserve">Blank </w:t>
      </w:r>
      <w:r w:rsidR="006D213E" w:rsidRPr="00DF5DE8">
        <w:rPr>
          <w:sz w:val="20"/>
          <w:szCs w:val="20"/>
          <w:lang w:val="de-DE"/>
        </w:rPr>
        <w:t xml:space="preserve">A. </w:t>
      </w:r>
      <w:r w:rsidRPr="00DF5DE8">
        <w:rPr>
          <w:sz w:val="20"/>
          <w:szCs w:val="20"/>
          <w:lang w:val="de-DE"/>
        </w:rPr>
        <w:t>2001</w:t>
      </w:r>
      <w:r w:rsidR="006D213E" w:rsidRPr="00DF5DE8">
        <w:rPr>
          <w:sz w:val="20"/>
          <w:szCs w:val="20"/>
          <w:lang w:val="de-DE"/>
        </w:rPr>
        <w:t xml:space="preserve">. </w:t>
      </w:r>
      <w:r w:rsidR="006D213E" w:rsidRPr="00DF5DE8">
        <w:rPr>
          <w:i/>
          <w:sz w:val="20"/>
          <w:szCs w:val="20"/>
          <w:lang w:val="de-DE"/>
        </w:rPr>
        <w:t>Der logische Aufbau von Leibniz’ Metaphysik</w:t>
      </w:r>
      <w:r w:rsidR="006D213E" w:rsidRPr="00DF5DE8">
        <w:rPr>
          <w:sz w:val="20"/>
          <w:szCs w:val="20"/>
          <w:lang w:val="de-DE"/>
        </w:rPr>
        <w:t>. Berlin—New York: De Gruyter.</w:t>
      </w:r>
    </w:p>
    <w:p w:rsidR="00AC516E" w:rsidRPr="00DF5DE8" w:rsidRDefault="0078761A" w:rsidP="00AC516E">
      <w:pPr>
        <w:spacing w:line="360" w:lineRule="auto"/>
        <w:ind w:left="288" w:hanging="288"/>
        <w:jc w:val="both"/>
        <w:rPr>
          <w:sz w:val="20"/>
          <w:szCs w:val="20"/>
          <w:lang w:val="de-DE"/>
        </w:rPr>
      </w:pPr>
      <w:r w:rsidRPr="00DF5DE8">
        <w:rPr>
          <w:sz w:val="20"/>
          <w:szCs w:val="20"/>
          <w:lang w:val="de-DE"/>
        </w:rPr>
        <w:t>Blank</w:t>
      </w:r>
      <w:r w:rsidR="006D213E" w:rsidRPr="00DF5DE8">
        <w:rPr>
          <w:sz w:val="20"/>
          <w:szCs w:val="20"/>
          <w:lang w:val="de-DE"/>
        </w:rPr>
        <w:t>, A.</w:t>
      </w:r>
      <w:r w:rsidRPr="00DF5DE8">
        <w:rPr>
          <w:sz w:val="20"/>
          <w:szCs w:val="20"/>
          <w:lang w:val="de-DE"/>
        </w:rPr>
        <w:t xml:space="preserve"> 2005</w:t>
      </w:r>
      <w:r w:rsidR="006D213E" w:rsidRPr="00DF5DE8">
        <w:rPr>
          <w:sz w:val="20"/>
          <w:szCs w:val="20"/>
          <w:lang w:val="de-DE"/>
        </w:rPr>
        <w:t xml:space="preserve">. </w:t>
      </w:r>
      <w:r w:rsidR="006D213E" w:rsidRPr="00DF5DE8">
        <w:rPr>
          <w:i/>
          <w:sz w:val="20"/>
          <w:szCs w:val="20"/>
          <w:lang w:val="de-DE"/>
        </w:rPr>
        <w:t>Leibniz: Metaphilosophy and Metaphysics, 1666</w:t>
      </w:r>
      <w:r w:rsidR="006D213E" w:rsidRPr="00DF5DE8">
        <w:rPr>
          <w:sz w:val="20"/>
          <w:szCs w:val="20"/>
          <w:lang w:val="de-DE"/>
        </w:rPr>
        <w:t>–</w:t>
      </w:r>
      <w:r w:rsidR="006D213E" w:rsidRPr="00DF5DE8">
        <w:rPr>
          <w:i/>
          <w:sz w:val="20"/>
          <w:szCs w:val="20"/>
          <w:lang w:val="de-DE"/>
        </w:rPr>
        <w:t>1686</w:t>
      </w:r>
      <w:r w:rsidR="006D213E" w:rsidRPr="00DF5DE8">
        <w:rPr>
          <w:iCs/>
          <w:sz w:val="20"/>
          <w:szCs w:val="20"/>
          <w:lang w:val="de-DE"/>
        </w:rPr>
        <w:t>. München: Philosophia.</w:t>
      </w:r>
    </w:p>
    <w:p w:rsidR="00AC516E" w:rsidRPr="00DF5DE8" w:rsidRDefault="00F5489B" w:rsidP="00AC516E">
      <w:pPr>
        <w:spacing w:line="360" w:lineRule="auto"/>
        <w:ind w:left="288" w:hanging="288"/>
        <w:jc w:val="both"/>
        <w:rPr>
          <w:sz w:val="20"/>
          <w:szCs w:val="20"/>
          <w:lang w:val="de-DE"/>
        </w:rPr>
      </w:pPr>
      <w:r w:rsidRPr="00DF5DE8">
        <w:rPr>
          <w:sz w:val="20"/>
          <w:szCs w:val="20"/>
          <w:lang w:val="de-DE"/>
        </w:rPr>
        <w:t xml:space="preserve">Blank, </w:t>
      </w:r>
      <w:r w:rsidR="006D213E" w:rsidRPr="00DF5DE8">
        <w:rPr>
          <w:sz w:val="20"/>
          <w:szCs w:val="20"/>
          <w:lang w:val="de-DE"/>
        </w:rPr>
        <w:t xml:space="preserve">A. 2004. </w:t>
      </w:r>
      <w:r w:rsidRPr="00DF5DE8">
        <w:rPr>
          <w:sz w:val="20"/>
          <w:szCs w:val="20"/>
          <w:lang w:val="de-DE"/>
        </w:rPr>
        <w:t xml:space="preserve">Definitions, Sorites Arguments, and Leibniz’s </w:t>
      </w:r>
      <w:r w:rsidRPr="00DF5DE8">
        <w:rPr>
          <w:i/>
          <w:sz w:val="20"/>
          <w:szCs w:val="20"/>
          <w:lang w:val="de-DE"/>
        </w:rPr>
        <w:t>Méditation sur la notion commune de la justice</w:t>
      </w:r>
      <w:r w:rsidR="007740C4" w:rsidRPr="00DF5DE8">
        <w:rPr>
          <w:sz w:val="20"/>
          <w:szCs w:val="20"/>
          <w:lang w:val="de-DE"/>
        </w:rPr>
        <w:t>.</w:t>
      </w:r>
      <w:r w:rsidRPr="00DF5DE8">
        <w:rPr>
          <w:sz w:val="20"/>
          <w:szCs w:val="20"/>
          <w:lang w:val="de-DE"/>
        </w:rPr>
        <w:t xml:space="preserve"> </w:t>
      </w:r>
      <w:r w:rsidRPr="00DF5DE8">
        <w:rPr>
          <w:i/>
          <w:sz w:val="20"/>
          <w:szCs w:val="20"/>
          <w:lang w:val="de-DE"/>
        </w:rPr>
        <w:t xml:space="preserve">Leibniz Review </w:t>
      </w:r>
      <w:r w:rsidR="006D213E" w:rsidRPr="00DF5DE8">
        <w:rPr>
          <w:sz w:val="20"/>
          <w:szCs w:val="20"/>
          <w:lang w:val="de-DE"/>
        </w:rPr>
        <w:t>14</w:t>
      </w:r>
      <w:r w:rsidRPr="00DF5DE8">
        <w:rPr>
          <w:sz w:val="20"/>
          <w:szCs w:val="20"/>
          <w:lang w:val="de-DE"/>
        </w:rPr>
        <w:t>: 153–166</w:t>
      </w:r>
      <w:r w:rsidR="00AC516E" w:rsidRPr="00DF5DE8">
        <w:rPr>
          <w:sz w:val="20"/>
          <w:szCs w:val="20"/>
          <w:lang w:val="de-DE"/>
        </w:rPr>
        <w:t>.</w:t>
      </w:r>
    </w:p>
    <w:p w:rsidR="00AC516E" w:rsidRPr="00DF5DE8" w:rsidRDefault="00F5489B" w:rsidP="00AC516E">
      <w:pPr>
        <w:spacing w:line="360" w:lineRule="auto"/>
        <w:ind w:left="288" w:hanging="288"/>
        <w:jc w:val="both"/>
        <w:rPr>
          <w:sz w:val="20"/>
          <w:szCs w:val="20"/>
          <w:lang w:val="de-DE"/>
        </w:rPr>
      </w:pPr>
      <w:r w:rsidRPr="00DF5DE8">
        <w:rPr>
          <w:sz w:val="20"/>
          <w:szCs w:val="20"/>
          <w:lang w:val="de-DE"/>
        </w:rPr>
        <w:t xml:space="preserve">Blank, </w:t>
      </w:r>
      <w:r w:rsidR="006D213E" w:rsidRPr="00DF5DE8">
        <w:rPr>
          <w:sz w:val="20"/>
          <w:szCs w:val="20"/>
          <w:lang w:val="de-DE"/>
        </w:rPr>
        <w:t>A. 2006.</w:t>
      </w:r>
      <w:r w:rsidR="007740C4" w:rsidRPr="00DF5DE8">
        <w:rPr>
          <w:sz w:val="20"/>
          <w:szCs w:val="20"/>
          <w:lang w:val="de-DE"/>
        </w:rPr>
        <w:t xml:space="preserve"> </w:t>
      </w:r>
      <w:r w:rsidRPr="00DF5DE8">
        <w:rPr>
          <w:sz w:val="20"/>
          <w:szCs w:val="20"/>
          <w:lang w:val="de-DE"/>
        </w:rPr>
        <w:t>Leibniz on Justice as a Common Concept. A Rejoinder to Patrick Riley.</w:t>
      </w:r>
      <w:r w:rsidRPr="00DF5DE8">
        <w:rPr>
          <w:i/>
          <w:iCs/>
          <w:sz w:val="20"/>
          <w:szCs w:val="20"/>
          <w:lang w:val="de-DE"/>
        </w:rPr>
        <w:t xml:space="preserve"> Leibniz Review </w:t>
      </w:r>
      <w:r w:rsidR="006D213E" w:rsidRPr="00DF5DE8">
        <w:rPr>
          <w:sz w:val="20"/>
          <w:szCs w:val="20"/>
          <w:lang w:val="de-DE"/>
        </w:rPr>
        <w:t>16</w:t>
      </w:r>
      <w:r w:rsidRPr="00DF5DE8">
        <w:rPr>
          <w:sz w:val="20"/>
          <w:szCs w:val="20"/>
          <w:lang w:val="de-DE"/>
        </w:rPr>
        <w:t xml:space="preserve">: 205–214. </w:t>
      </w:r>
    </w:p>
    <w:p w:rsidR="00AC516E" w:rsidRPr="00DF5DE8" w:rsidRDefault="001F0BC8" w:rsidP="00AC516E">
      <w:pPr>
        <w:spacing w:line="360" w:lineRule="auto"/>
        <w:ind w:left="288" w:hanging="288"/>
        <w:jc w:val="both"/>
        <w:rPr>
          <w:sz w:val="20"/>
          <w:szCs w:val="20"/>
          <w:lang w:val="de-DE"/>
        </w:rPr>
      </w:pPr>
      <w:r w:rsidRPr="00DF5DE8">
        <w:rPr>
          <w:sz w:val="20"/>
          <w:szCs w:val="20"/>
          <w:lang w:val="de-DE"/>
        </w:rPr>
        <w:t>Blank,</w:t>
      </w:r>
      <w:r w:rsidR="006D213E" w:rsidRPr="00DF5DE8">
        <w:rPr>
          <w:sz w:val="20"/>
          <w:szCs w:val="20"/>
          <w:lang w:val="de-DE"/>
        </w:rPr>
        <w:t xml:space="preserve"> A. 2007.</w:t>
      </w:r>
      <w:r w:rsidR="007740C4" w:rsidRPr="00DF5DE8">
        <w:rPr>
          <w:sz w:val="20"/>
          <w:szCs w:val="20"/>
          <w:lang w:val="de-DE"/>
        </w:rPr>
        <w:t xml:space="preserve"> </w:t>
      </w:r>
      <w:r w:rsidRPr="00DF5DE8">
        <w:rPr>
          <w:sz w:val="20"/>
          <w:szCs w:val="20"/>
          <w:lang w:val="de-DE"/>
        </w:rPr>
        <w:t>Dalgarno, Wilkins, Leibniz and the Descriptive N</w:t>
      </w:r>
      <w:r w:rsidR="007740C4" w:rsidRPr="00DF5DE8">
        <w:rPr>
          <w:sz w:val="20"/>
          <w:szCs w:val="20"/>
          <w:lang w:val="de-DE"/>
        </w:rPr>
        <w:t>ature of Metaphysical Concepts.</w:t>
      </w:r>
      <w:r w:rsidRPr="00DF5DE8">
        <w:rPr>
          <w:sz w:val="20"/>
          <w:szCs w:val="20"/>
          <w:lang w:val="de-DE"/>
        </w:rPr>
        <w:t xml:space="preserve"> In </w:t>
      </w:r>
      <w:r w:rsidRPr="00DF5DE8">
        <w:rPr>
          <w:i/>
          <w:iCs/>
          <w:sz w:val="20"/>
          <w:szCs w:val="20"/>
          <w:lang w:val="de-DE"/>
        </w:rPr>
        <w:t>Leibniz and the English Speaking World</w:t>
      </w:r>
      <w:r w:rsidR="007740C4" w:rsidRPr="00DF5DE8">
        <w:rPr>
          <w:sz w:val="20"/>
          <w:szCs w:val="20"/>
          <w:lang w:val="de-DE"/>
        </w:rPr>
        <w:t>. Hg. v.</w:t>
      </w:r>
      <w:r w:rsidRPr="00DF5DE8">
        <w:rPr>
          <w:sz w:val="20"/>
          <w:szCs w:val="20"/>
          <w:lang w:val="de-DE"/>
        </w:rPr>
        <w:t xml:space="preserve"> Paul</w:t>
      </w:r>
      <w:r w:rsidR="007740C4" w:rsidRPr="00DF5DE8">
        <w:rPr>
          <w:sz w:val="20"/>
          <w:szCs w:val="20"/>
          <w:lang w:val="de-DE"/>
        </w:rPr>
        <w:t>ine Phemister u</w:t>
      </w:r>
      <w:r w:rsidRPr="00DF5DE8">
        <w:rPr>
          <w:sz w:val="20"/>
          <w:szCs w:val="20"/>
          <w:lang w:val="de-DE"/>
        </w:rPr>
        <w:t>nd Stuart Brown</w:t>
      </w:r>
      <w:r w:rsidR="006D213E" w:rsidRPr="00DF5DE8">
        <w:rPr>
          <w:sz w:val="20"/>
          <w:szCs w:val="20"/>
          <w:lang w:val="de-DE"/>
        </w:rPr>
        <w:t>. Dordrecht: Springer</w:t>
      </w:r>
      <w:r w:rsidRPr="00DF5DE8">
        <w:rPr>
          <w:sz w:val="20"/>
          <w:szCs w:val="20"/>
          <w:lang w:val="de-DE"/>
        </w:rPr>
        <w:t>, 51–61</w:t>
      </w:r>
      <w:r w:rsidR="00C93012" w:rsidRPr="00DF5DE8">
        <w:rPr>
          <w:sz w:val="20"/>
          <w:szCs w:val="20"/>
          <w:lang w:val="de-DE"/>
        </w:rPr>
        <w:t>.</w:t>
      </w:r>
    </w:p>
    <w:p w:rsidR="00AC516E" w:rsidRDefault="007B211A" w:rsidP="00AC516E">
      <w:pPr>
        <w:spacing w:line="360" w:lineRule="auto"/>
        <w:ind w:left="288" w:hanging="288"/>
        <w:jc w:val="both"/>
        <w:rPr>
          <w:sz w:val="20"/>
          <w:szCs w:val="20"/>
          <w:lang w:val="de-DE"/>
        </w:rPr>
      </w:pPr>
      <w:r w:rsidRPr="00DF5DE8">
        <w:rPr>
          <w:sz w:val="20"/>
          <w:szCs w:val="20"/>
          <w:lang w:val="de-DE"/>
        </w:rPr>
        <w:t>Châtelet</w:t>
      </w:r>
      <w:r w:rsidR="003316E9" w:rsidRPr="00DF5DE8">
        <w:rPr>
          <w:sz w:val="20"/>
          <w:szCs w:val="20"/>
          <w:lang w:val="de-DE"/>
        </w:rPr>
        <w:t>, E. de</w:t>
      </w:r>
      <w:r w:rsidR="006D213E" w:rsidRPr="00DF5DE8">
        <w:rPr>
          <w:sz w:val="20"/>
          <w:szCs w:val="20"/>
          <w:lang w:val="de-DE"/>
        </w:rPr>
        <w:t xml:space="preserve"> 1740.</w:t>
      </w:r>
      <w:r w:rsidR="000F4C2E">
        <w:rPr>
          <w:sz w:val="20"/>
          <w:szCs w:val="20"/>
          <w:lang w:val="de-DE"/>
        </w:rPr>
        <w:t xml:space="preserve"> </w:t>
      </w:r>
      <w:r w:rsidR="000F4C2E">
        <w:rPr>
          <w:i/>
          <w:sz w:val="20"/>
          <w:szCs w:val="20"/>
          <w:lang w:val="de-DE"/>
        </w:rPr>
        <w:t>Institutions de physique</w:t>
      </w:r>
      <w:r w:rsidR="000F4C2E">
        <w:rPr>
          <w:sz w:val="20"/>
          <w:szCs w:val="20"/>
          <w:lang w:val="de-DE"/>
        </w:rPr>
        <w:t xml:space="preserve">. Paris: </w:t>
      </w:r>
      <w:proofErr w:type="spellStart"/>
      <w:r w:rsidR="000F4C2E">
        <w:rPr>
          <w:sz w:val="20"/>
          <w:szCs w:val="20"/>
          <w:lang w:val="de-DE"/>
        </w:rPr>
        <w:t>Prault</w:t>
      </w:r>
      <w:proofErr w:type="spellEnd"/>
      <w:r w:rsidR="000F4C2E">
        <w:rPr>
          <w:sz w:val="20"/>
          <w:szCs w:val="20"/>
          <w:lang w:val="de-DE"/>
        </w:rPr>
        <w:t>.</w:t>
      </w:r>
    </w:p>
    <w:p w:rsidR="00A258B0" w:rsidRPr="00A258B0" w:rsidRDefault="00A258B0" w:rsidP="00AC516E">
      <w:pPr>
        <w:spacing w:line="360" w:lineRule="auto"/>
        <w:ind w:left="288" w:hanging="288"/>
        <w:jc w:val="both"/>
        <w:rPr>
          <w:sz w:val="20"/>
          <w:szCs w:val="20"/>
          <w:lang w:val="de-DE"/>
        </w:rPr>
      </w:pPr>
      <w:proofErr w:type="spellStart"/>
      <w:r>
        <w:rPr>
          <w:sz w:val="20"/>
          <w:szCs w:val="20"/>
          <w:lang w:val="de-DE"/>
        </w:rPr>
        <w:t>Burtt</w:t>
      </w:r>
      <w:proofErr w:type="spellEnd"/>
      <w:r>
        <w:rPr>
          <w:sz w:val="20"/>
          <w:szCs w:val="20"/>
          <w:lang w:val="de-DE"/>
        </w:rPr>
        <w:t xml:space="preserve">, E. A. 1963. Descriptive Metaphysics. </w:t>
      </w:r>
      <w:r>
        <w:rPr>
          <w:i/>
          <w:sz w:val="20"/>
          <w:szCs w:val="20"/>
          <w:lang w:val="de-DE"/>
        </w:rPr>
        <w:t xml:space="preserve">Mind </w:t>
      </w:r>
      <w:r>
        <w:rPr>
          <w:sz w:val="20"/>
          <w:szCs w:val="20"/>
          <w:lang w:val="de-DE"/>
        </w:rPr>
        <w:t>72: 18</w:t>
      </w:r>
      <w:r w:rsidRPr="00DF5DE8">
        <w:rPr>
          <w:sz w:val="20"/>
          <w:szCs w:val="20"/>
          <w:lang w:val="de-DE"/>
        </w:rPr>
        <w:t>–</w:t>
      </w:r>
      <w:r>
        <w:rPr>
          <w:sz w:val="20"/>
          <w:szCs w:val="20"/>
          <w:lang w:val="de-DE"/>
        </w:rPr>
        <w:t>39.</w:t>
      </w:r>
    </w:p>
    <w:p w:rsidR="00AC516E" w:rsidRPr="00574BE7" w:rsidRDefault="007B211A" w:rsidP="00AC516E">
      <w:pPr>
        <w:spacing w:line="360" w:lineRule="auto"/>
        <w:ind w:left="288" w:hanging="288"/>
        <w:jc w:val="both"/>
        <w:rPr>
          <w:sz w:val="20"/>
          <w:szCs w:val="20"/>
          <w:lang w:val="de-DE"/>
        </w:rPr>
      </w:pPr>
      <w:r w:rsidRPr="00DF5DE8">
        <w:rPr>
          <w:sz w:val="20"/>
          <w:szCs w:val="20"/>
          <w:lang w:val="de-DE"/>
        </w:rPr>
        <w:t>Châtelet</w:t>
      </w:r>
      <w:r w:rsidR="003316E9" w:rsidRPr="00DF5DE8">
        <w:rPr>
          <w:sz w:val="20"/>
          <w:szCs w:val="20"/>
          <w:lang w:val="de-DE"/>
        </w:rPr>
        <w:t>, E. de</w:t>
      </w:r>
      <w:r w:rsidR="006D213E" w:rsidRPr="00DF5DE8">
        <w:rPr>
          <w:sz w:val="20"/>
          <w:szCs w:val="20"/>
          <w:lang w:val="de-DE"/>
        </w:rPr>
        <w:t xml:space="preserve"> </w:t>
      </w:r>
      <w:r w:rsidRPr="00DF5DE8">
        <w:rPr>
          <w:sz w:val="20"/>
          <w:szCs w:val="20"/>
          <w:lang w:val="de-DE"/>
        </w:rPr>
        <w:t>1742</w:t>
      </w:r>
      <w:r w:rsidR="006D213E" w:rsidRPr="00DF5DE8">
        <w:rPr>
          <w:sz w:val="20"/>
          <w:szCs w:val="20"/>
          <w:lang w:val="de-DE"/>
        </w:rPr>
        <w:t>.</w:t>
      </w:r>
      <w:r w:rsidR="00574BE7">
        <w:rPr>
          <w:sz w:val="20"/>
          <w:szCs w:val="20"/>
          <w:lang w:val="de-DE"/>
        </w:rPr>
        <w:t xml:space="preserve"> </w:t>
      </w:r>
      <w:r w:rsidR="00574BE7">
        <w:rPr>
          <w:i/>
          <w:sz w:val="20"/>
          <w:szCs w:val="20"/>
          <w:lang w:val="de-DE"/>
        </w:rPr>
        <w:t xml:space="preserve">Institutions </w:t>
      </w:r>
      <w:proofErr w:type="spellStart"/>
      <w:r w:rsidR="00574BE7">
        <w:rPr>
          <w:i/>
          <w:sz w:val="20"/>
          <w:szCs w:val="20"/>
          <w:lang w:val="de-DE"/>
        </w:rPr>
        <w:t>physiques</w:t>
      </w:r>
      <w:proofErr w:type="spellEnd"/>
      <w:r w:rsidR="00574BE7">
        <w:rPr>
          <w:i/>
          <w:sz w:val="20"/>
          <w:szCs w:val="20"/>
          <w:lang w:val="de-DE"/>
        </w:rPr>
        <w:t>. Nouvelle Edition</w:t>
      </w:r>
      <w:r w:rsidR="00574BE7">
        <w:rPr>
          <w:sz w:val="20"/>
          <w:szCs w:val="20"/>
          <w:lang w:val="de-DE"/>
        </w:rPr>
        <w:t xml:space="preserve">. 2 Bde. Amsterdam: Aux </w:t>
      </w:r>
      <w:proofErr w:type="spellStart"/>
      <w:r w:rsidR="00574BE7">
        <w:rPr>
          <w:sz w:val="20"/>
          <w:szCs w:val="20"/>
          <w:lang w:val="de-DE"/>
        </w:rPr>
        <w:t>Depens</w:t>
      </w:r>
      <w:proofErr w:type="spellEnd"/>
      <w:r w:rsidR="00574BE7">
        <w:rPr>
          <w:sz w:val="20"/>
          <w:szCs w:val="20"/>
          <w:lang w:val="de-DE"/>
        </w:rPr>
        <w:t xml:space="preserve"> de la Compagnie.</w:t>
      </w:r>
    </w:p>
    <w:p w:rsidR="00AC516E" w:rsidRPr="00574BE7" w:rsidRDefault="007B211A" w:rsidP="00AC516E">
      <w:pPr>
        <w:spacing w:line="360" w:lineRule="auto"/>
        <w:ind w:left="288" w:hanging="288"/>
        <w:jc w:val="both"/>
        <w:rPr>
          <w:sz w:val="20"/>
          <w:szCs w:val="20"/>
          <w:lang w:val="de-DE"/>
        </w:rPr>
      </w:pPr>
      <w:r w:rsidRPr="00DF5DE8">
        <w:rPr>
          <w:sz w:val="20"/>
          <w:szCs w:val="20"/>
          <w:lang w:val="de-DE"/>
        </w:rPr>
        <w:t>Châtelet</w:t>
      </w:r>
      <w:r w:rsidR="003316E9" w:rsidRPr="00DF5DE8">
        <w:rPr>
          <w:sz w:val="20"/>
          <w:szCs w:val="20"/>
          <w:lang w:val="de-DE"/>
        </w:rPr>
        <w:t>, E. de</w:t>
      </w:r>
      <w:r w:rsidR="006D213E" w:rsidRPr="00DF5DE8">
        <w:rPr>
          <w:sz w:val="20"/>
          <w:szCs w:val="20"/>
          <w:lang w:val="de-DE"/>
        </w:rPr>
        <w:t xml:space="preserve"> </w:t>
      </w:r>
      <w:r w:rsidRPr="00DF5DE8">
        <w:rPr>
          <w:sz w:val="20"/>
          <w:szCs w:val="20"/>
          <w:lang w:val="de-DE"/>
        </w:rPr>
        <w:t>1743</w:t>
      </w:r>
      <w:r w:rsidR="006D213E" w:rsidRPr="00DF5DE8">
        <w:rPr>
          <w:sz w:val="20"/>
          <w:szCs w:val="20"/>
          <w:lang w:val="de-DE"/>
        </w:rPr>
        <w:t>.</w:t>
      </w:r>
      <w:r w:rsidR="00574BE7">
        <w:rPr>
          <w:sz w:val="20"/>
          <w:szCs w:val="20"/>
          <w:lang w:val="de-DE"/>
        </w:rPr>
        <w:t xml:space="preserve"> </w:t>
      </w:r>
      <w:r w:rsidR="00066996">
        <w:rPr>
          <w:i/>
          <w:sz w:val="20"/>
          <w:szCs w:val="20"/>
          <w:lang w:val="de-DE"/>
        </w:rPr>
        <w:t>Naturlehre an</w:t>
      </w:r>
      <w:r w:rsidR="00574BE7">
        <w:rPr>
          <w:i/>
          <w:sz w:val="20"/>
          <w:szCs w:val="20"/>
          <w:lang w:val="de-DE"/>
        </w:rPr>
        <w:t xml:space="preserve"> ihren Sohn</w:t>
      </w:r>
      <w:r w:rsidR="00574BE7">
        <w:rPr>
          <w:sz w:val="20"/>
          <w:szCs w:val="20"/>
          <w:lang w:val="de-DE"/>
        </w:rPr>
        <w:t xml:space="preserve">. </w:t>
      </w:r>
      <w:r w:rsidR="00264C53">
        <w:rPr>
          <w:sz w:val="20"/>
          <w:szCs w:val="20"/>
          <w:lang w:val="de-DE"/>
        </w:rPr>
        <w:t xml:space="preserve">2 Bde. </w:t>
      </w:r>
      <w:r w:rsidR="00574BE7">
        <w:rPr>
          <w:sz w:val="20"/>
          <w:szCs w:val="20"/>
          <w:lang w:val="de-DE"/>
        </w:rPr>
        <w:t>Übers. v. B. A. v. Steinwehr. Halle—Leipzig:</w:t>
      </w:r>
      <w:r w:rsidR="000F4C2E">
        <w:rPr>
          <w:sz w:val="20"/>
          <w:szCs w:val="20"/>
          <w:lang w:val="de-DE"/>
        </w:rPr>
        <w:t xml:space="preserve"> </w:t>
      </w:r>
      <w:proofErr w:type="spellStart"/>
      <w:r w:rsidR="000F4C2E">
        <w:rPr>
          <w:sz w:val="20"/>
          <w:szCs w:val="20"/>
          <w:lang w:val="de-DE"/>
        </w:rPr>
        <w:t>Reng</w:t>
      </w:r>
      <w:r w:rsidR="00574BE7">
        <w:rPr>
          <w:sz w:val="20"/>
          <w:szCs w:val="20"/>
          <w:lang w:val="de-DE"/>
        </w:rPr>
        <w:t>ersche</w:t>
      </w:r>
      <w:proofErr w:type="spellEnd"/>
      <w:r w:rsidR="00574BE7">
        <w:rPr>
          <w:sz w:val="20"/>
          <w:szCs w:val="20"/>
          <w:lang w:val="de-DE"/>
        </w:rPr>
        <w:t xml:space="preserve"> Buchhandlung.</w:t>
      </w:r>
    </w:p>
    <w:p w:rsidR="00AC516E" w:rsidRPr="00066996" w:rsidRDefault="00F5489B" w:rsidP="00AC516E">
      <w:pPr>
        <w:spacing w:line="360" w:lineRule="auto"/>
        <w:ind w:left="288" w:hanging="288"/>
        <w:jc w:val="both"/>
        <w:rPr>
          <w:sz w:val="20"/>
          <w:szCs w:val="20"/>
          <w:lang w:val="de-DE"/>
        </w:rPr>
      </w:pPr>
      <w:r w:rsidRPr="00DF5DE8">
        <w:rPr>
          <w:sz w:val="20"/>
          <w:szCs w:val="20"/>
          <w:lang w:val="de-DE"/>
        </w:rPr>
        <w:t>Gómez Tutor</w:t>
      </w:r>
      <w:r w:rsidR="00066996">
        <w:rPr>
          <w:sz w:val="20"/>
          <w:szCs w:val="20"/>
          <w:lang w:val="de-DE"/>
        </w:rPr>
        <w:t xml:space="preserve">, J. I. 2004. </w:t>
      </w:r>
      <w:r w:rsidR="00066996">
        <w:rPr>
          <w:i/>
          <w:sz w:val="20"/>
          <w:szCs w:val="20"/>
          <w:lang w:val="de-DE"/>
        </w:rPr>
        <w:t>Die wissenschaftliche Methode bei Christian Wolff</w:t>
      </w:r>
      <w:r w:rsidR="00066996">
        <w:rPr>
          <w:sz w:val="20"/>
          <w:szCs w:val="20"/>
          <w:lang w:val="de-DE"/>
        </w:rPr>
        <w:t>. Hildesheim: Olms.</w:t>
      </w:r>
    </w:p>
    <w:p w:rsidR="00E302F5" w:rsidRDefault="00E302F5" w:rsidP="00AC516E">
      <w:pPr>
        <w:spacing w:line="360" w:lineRule="auto"/>
        <w:ind w:left="288" w:hanging="288"/>
        <w:jc w:val="both"/>
        <w:rPr>
          <w:sz w:val="20"/>
          <w:szCs w:val="20"/>
          <w:lang w:val="de-DE"/>
        </w:rPr>
      </w:pPr>
      <w:r>
        <w:rPr>
          <w:sz w:val="20"/>
          <w:szCs w:val="20"/>
          <w:lang w:val="de-DE"/>
        </w:rPr>
        <w:t xml:space="preserve">Grey, J. &amp; E. Robinson. Im Erscheinen. </w:t>
      </w:r>
      <w:r w:rsidRPr="00E302F5">
        <w:rPr>
          <w:sz w:val="20"/>
          <w:szCs w:val="20"/>
          <w:lang w:val="de-DE"/>
        </w:rPr>
        <w:t xml:space="preserve">Tracing </w:t>
      </w:r>
      <w:proofErr w:type="spellStart"/>
      <w:r w:rsidRPr="00E302F5">
        <w:rPr>
          <w:sz w:val="20"/>
          <w:szCs w:val="20"/>
          <w:lang w:val="de-DE"/>
        </w:rPr>
        <w:t>Reason’s</w:t>
      </w:r>
      <w:proofErr w:type="spellEnd"/>
      <w:r w:rsidRPr="00E302F5">
        <w:rPr>
          <w:sz w:val="20"/>
          <w:szCs w:val="20"/>
          <w:lang w:val="de-DE"/>
        </w:rPr>
        <w:t xml:space="preserve"> Arc: The </w:t>
      </w:r>
      <w:proofErr w:type="spellStart"/>
      <w:r w:rsidRPr="00E302F5">
        <w:rPr>
          <w:sz w:val="20"/>
          <w:szCs w:val="20"/>
          <w:lang w:val="de-DE"/>
        </w:rPr>
        <w:t>Principle</w:t>
      </w:r>
      <w:proofErr w:type="spellEnd"/>
      <w:r w:rsidRPr="00E302F5">
        <w:rPr>
          <w:sz w:val="20"/>
          <w:szCs w:val="20"/>
          <w:lang w:val="de-DE"/>
        </w:rPr>
        <w:t xml:space="preserve"> of </w:t>
      </w:r>
      <w:proofErr w:type="spellStart"/>
      <w:r w:rsidRPr="00E302F5">
        <w:rPr>
          <w:sz w:val="20"/>
          <w:szCs w:val="20"/>
          <w:lang w:val="de-DE"/>
        </w:rPr>
        <w:t>Sufficient</w:t>
      </w:r>
      <w:proofErr w:type="spellEnd"/>
      <w:r w:rsidRPr="00E302F5">
        <w:rPr>
          <w:sz w:val="20"/>
          <w:szCs w:val="20"/>
          <w:lang w:val="de-DE"/>
        </w:rPr>
        <w:t xml:space="preserve"> Reason from Leibniz to Kant</w:t>
      </w:r>
      <w:r>
        <w:rPr>
          <w:sz w:val="20"/>
          <w:szCs w:val="20"/>
          <w:lang w:val="de-DE"/>
        </w:rPr>
        <w:t xml:space="preserve">. </w:t>
      </w:r>
    </w:p>
    <w:p w:rsidR="00A258B0" w:rsidRPr="00A258B0" w:rsidRDefault="00A258B0" w:rsidP="00AC516E">
      <w:pPr>
        <w:spacing w:line="360" w:lineRule="auto"/>
        <w:ind w:left="288" w:hanging="288"/>
        <w:jc w:val="both"/>
        <w:rPr>
          <w:sz w:val="20"/>
          <w:szCs w:val="20"/>
          <w:lang w:val="de-DE"/>
        </w:rPr>
      </w:pPr>
      <w:r>
        <w:rPr>
          <w:sz w:val="20"/>
          <w:szCs w:val="20"/>
          <w:lang w:val="de-DE"/>
        </w:rPr>
        <w:t xml:space="preserve">Haack, S. 1979. Descriptive and </w:t>
      </w:r>
      <w:proofErr w:type="spellStart"/>
      <w:r>
        <w:rPr>
          <w:sz w:val="20"/>
          <w:szCs w:val="20"/>
          <w:lang w:val="de-DE"/>
        </w:rPr>
        <w:t>Revisionary</w:t>
      </w:r>
      <w:proofErr w:type="spellEnd"/>
      <w:r>
        <w:rPr>
          <w:sz w:val="20"/>
          <w:szCs w:val="20"/>
          <w:lang w:val="de-DE"/>
        </w:rPr>
        <w:t xml:space="preserve"> Metaphysics. </w:t>
      </w:r>
      <w:r>
        <w:rPr>
          <w:i/>
          <w:sz w:val="20"/>
          <w:szCs w:val="20"/>
          <w:lang w:val="de-DE"/>
        </w:rPr>
        <w:t xml:space="preserve">Philosophical Studies </w:t>
      </w:r>
      <w:r>
        <w:rPr>
          <w:sz w:val="20"/>
          <w:szCs w:val="20"/>
          <w:lang w:val="de-DE"/>
        </w:rPr>
        <w:t>35: 361</w:t>
      </w:r>
      <w:r w:rsidRPr="00DF5DE8">
        <w:rPr>
          <w:sz w:val="20"/>
          <w:szCs w:val="20"/>
          <w:lang w:val="de-DE"/>
        </w:rPr>
        <w:t>–</w:t>
      </w:r>
      <w:r>
        <w:rPr>
          <w:sz w:val="20"/>
          <w:szCs w:val="20"/>
          <w:lang w:val="de-DE"/>
        </w:rPr>
        <w:t>371.</w:t>
      </w:r>
    </w:p>
    <w:p w:rsidR="00AC516E" w:rsidRPr="00DF5DE8" w:rsidRDefault="00AC516E" w:rsidP="00AC516E">
      <w:pPr>
        <w:spacing w:line="360" w:lineRule="auto"/>
        <w:ind w:left="288" w:hanging="288"/>
        <w:jc w:val="both"/>
        <w:rPr>
          <w:sz w:val="20"/>
          <w:szCs w:val="20"/>
          <w:lang w:val="de-DE"/>
        </w:rPr>
      </w:pPr>
      <w:r w:rsidRPr="00DF5DE8">
        <w:rPr>
          <w:sz w:val="20"/>
          <w:szCs w:val="20"/>
          <w:lang w:val="de-DE"/>
        </w:rPr>
        <w:t xml:space="preserve">Hagengruber, R. (Hg.) 2012. </w:t>
      </w:r>
      <w:r w:rsidRPr="00DF5DE8">
        <w:rPr>
          <w:i/>
          <w:sz w:val="20"/>
          <w:szCs w:val="20"/>
          <w:lang w:val="de-DE"/>
        </w:rPr>
        <w:t>Emilie du Châtelet Between Leibniz and Newton</w:t>
      </w:r>
      <w:r w:rsidRPr="00DF5DE8">
        <w:rPr>
          <w:sz w:val="20"/>
          <w:szCs w:val="20"/>
          <w:lang w:val="de-DE"/>
        </w:rPr>
        <w:t>. Dordrecht: Springer.</w:t>
      </w:r>
    </w:p>
    <w:p w:rsidR="00AC516E" w:rsidRPr="00DF5DE8" w:rsidRDefault="0078761A" w:rsidP="00AC516E">
      <w:pPr>
        <w:spacing w:line="360" w:lineRule="auto"/>
        <w:ind w:left="288" w:hanging="288"/>
        <w:jc w:val="both"/>
        <w:rPr>
          <w:sz w:val="20"/>
          <w:szCs w:val="20"/>
          <w:lang w:val="de-DE"/>
        </w:rPr>
      </w:pPr>
      <w:r w:rsidRPr="00DF5DE8">
        <w:rPr>
          <w:sz w:val="20"/>
          <w:szCs w:val="20"/>
          <w:lang w:val="de-DE"/>
        </w:rPr>
        <w:t>Heimsoeth,</w:t>
      </w:r>
      <w:r w:rsidR="006D213E" w:rsidRPr="00DF5DE8">
        <w:rPr>
          <w:sz w:val="20"/>
          <w:szCs w:val="20"/>
          <w:lang w:val="de-DE"/>
        </w:rPr>
        <w:t xml:space="preserve"> H. 1912</w:t>
      </w:r>
      <w:r w:rsidR="00C93012" w:rsidRPr="00DF5DE8">
        <w:rPr>
          <w:sz w:val="20"/>
          <w:szCs w:val="20"/>
          <w:lang w:val="de-DE"/>
        </w:rPr>
        <w:t>–</w:t>
      </w:r>
      <w:r w:rsidR="006D213E" w:rsidRPr="00DF5DE8">
        <w:rPr>
          <w:sz w:val="20"/>
          <w:szCs w:val="20"/>
          <w:lang w:val="de-DE"/>
        </w:rPr>
        <w:t>1914.</w:t>
      </w:r>
      <w:r w:rsidRPr="00DF5DE8">
        <w:rPr>
          <w:sz w:val="20"/>
          <w:szCs w:val="20"/>
          <w:lang w:val="de-DE"/>
        </w:rPr>
        <w:t xml:space="preserve"> </w:t>
      </w:r>
      <w:r w:rsidRPr="00DF5DE8">
        <w:rPr>
          <w:i/>
          <w:iCs/>
          <w:sz w:val="20"/>
          <w:szCs w:val="20"/>
          <w:lang w:val="de-DE"/>
        </w:rPr>
        <w:t xml:space="preserve">Die Methode der Erkenntnis bei Descartes und Leibniz, </w:t>
      </w:r>
      <w:r w:rsidR="001C6583">
        <w:rPr>
          <w:sz w:val="20"/>
          <w:szCs w:val="20"/>
          <w:lang w:val="de-DE"/>
        </w:rPr>
        <w:t xml:space="preserve">Gießen: </w:t>
      </w:r>
      <w:proofErr w:type="spellStart"/>
      <w:r w:rsidR="001C6583">
        <w:rPr>
          <w:sz w:val="20"/>
          <w:szCs w:val="20"/>
          <w:lang w:val="de-DE"/>
        </w:rPr>
        <w:t>Töpelmann</w:t>
      </w:r>
      <w:proofErr w:type="spellEnd"/>
      <w:r w:rsidR="006D213E" w:rsidRPr="00DF5DE8">
        <w:rPr>
          <w:sz w:val="20"/>
          <w:szCs w:val="20"/>
          <w:lang w:val="de-DE"/>
        </w:rPr>
        <w:t>.</w:t>
      </w:r>
    </w:p>
    <w:p w:rsidR="00AC516E" w:rsidRPr="00DF5DE8" w:rsidRDefault="00F5489B" w:rsidP="00AC516E">
      <w:pPr>
        <w:spacing w:line="360" w:lineRule="auto"/>
        <w:ind w:left="288" w:hanging="288"/>
        <w:jc w:val="both"/>
        <w:rPr>
          <w:sz w:val="20"/>
          <w:szCs w:val="20"/>
          <w:lang w:val="de-DE"/>
        </w:rPr>
      </w:pPr>
      <w:r w:rsidRPr="00DF5DE8">
        <w:rPr>
          <w:sz w:val="20"/>
          <w:szCs w:val="20"/>
          <w:lang w:val="de-DE"/>
        </w:rPr>
        <w:t>Laerke</w:t>
      </w:r>
      <w:r w:rsidR="00D61B40" w:rsidRPr="00DF5DE8">
        <w:rPr>
          <w:sz w:val="20"/>
          <w:szCs w:val="20"/>
          <w:lang w:val="de-DE"/>
        </w:rPr>
        <w:t xml:space="preserve">, M. 2015. </w:t>
      </w:r>
      <w:r w:rsidR="00D61B40" w:rsidRPr="00DF5DE8">
        <w:rPr>
          <w:i/>
          <w:sz w:val="20"/>
          <w:szCs w:val="20"/>
          <w:lang w:val="de-DE"/>
        </w:rPr>
        <w:t>Les Lumières de Leibniz. Controverses avec Huet, Bayle, Regis et More</w:t>
      </w:r>
      <w:r w:rsidR="00D61B40" w:rsidRPr="00DF5DE8">
        <w:rPr>
          <w:sz w:val="20"/>
          <w:szCs w:val="20"/>
          <w:lang w:val="de-DE"/>
        </w:rPr>
        <w:t>. Paris: Classiques Garnier.</w:t>
      </w:r>
    </w:p>
    <w:p w:rsidR="00AC516E" w:rsidRPr="00DF5DE8" w:rsidRDefault="003316E9" w:rsidP="00AC516E">
      <w:pPr>
        <w:spacing w:line="360" w:lineRule="auto"/>
        <w:ind w:left="288" w:hanging="288"/>
        <w:jc w:val="both"/>
        <w:rPr>
          <w:sz w:val="20"/>
          <w:szCs w:val="20"/>
          <w:lang w:val="de-DE"/>
        </w:rPr>
      </w:pPr>
      <w:r w:rsidRPr="00DF5DE8">
        <w:rPr>
          <w:sz w:val="20"/>
          <w:szCs w:val="20"/>
          <w:lang w:val="de-DE"/>
        </w:rPr>
        <w:t>Leibniz, G. W. 1923—.</w:t>
      </w:r>
      <w:r w:rsidR="006D213E" w:rsidRPr="00DF5DE8">
        <w:rPr>
          <w:sz w:val="20"/>
          <w:szCs w:val="20"/>
          <w:lang w:val="de-DE"/>
        </w:rPr>
        <w:t xml:space="preserve"> </w:t>
      </w:r>
      <w:r w:rsidR="007E3021">
        <w:rPr>
          <w:i/>
          <w:iCs/>
          <w:sz w:val="20"/>
          <w:szCs w:val="20"/>
          <w:lang w:val="de-DE"/>
        </w:rPr>
        <w:t>Sämtliche Schriften und Briefe</w:t>
      </w:r>
      <w:r w:rsidR="007E3021">
        <w:rPr>
          <w:iCs/>
          <w:sz w:val="20"/>
          <w:szCs w:val="20"/>
          <w:lang w:val="de-DE"/>
        </w:rPr>
        <w:t>.</w:t>
      </w:r>
      <w:r w:rsidRPr="00DF5DE8">
        <w:rPr>
          <w:sz w:val="20"/>
          <w:szCs w:val="20"/>
          <w:lang w:val="de-DE"/>
        </w:rPr>
        <w:t xml:space="preserve"> </w:t>
      </w:r>
      <w:r w:rsidR="007E3021">
        <w:rPr>
          <w:sz w:val="20"/>
          <w:szCs w:val="20"/>
          <w:lang w:val="de-DE"/>
        </w:rPr>
        <w:t xml:space="preserve">Berlin: </w:t>
      </w:r>
      <w:r w:rsidRPr="00DF5DE8">
        <w:rPr>
          <w:sz w:val="20"/>
          <w:szCs w:val="20"/>
          <w:lang w:val="de-DE"/>
        </w:rPr>
        <w:t>Akademie Verlag</w:t>
      </w:r>
      <w:r w:rsidR="006D213E" w:rsidRPr="00DF5DE8">
        <w:rPr>
          <w:sz w:val="20"/>
          <w:szCs w:val="20"/>
          <w:lang w:val="de-DE"/>
        </w:rPr>
        <w:t xml:space="preserve"> [</w:t>
      </w:r>
      <w:r w:rsidRPr="00DF5DE8">
        <w:rPr>
          <w:sz w:val="20"/>
          <w:szCs w:val="20"/>
          <w:lang w:val="de-DE"/>
        </w:rPr>
        <w:t>= A</w:t>
      </w:r>
      <w:r w:rsidR="006D213E" w:rsidRPr="00DF5DE8">
        <w:rPr>
          <w:sz w:val="20"/>
          <w:szCs w:val="20"/>
          <w:lang w:val="de-DE"/>
        </w:rPr>
        <w:t>]</w:t>
      </w:r>
      <w:r w:rsidRPr="00DF5DE8">
        <w:rPr>
          <w:sz w:val="20"/>
          <w:szCs w:val="20"/>
          <w:lang w:val="de-DE"/>
        </w:rPr>
        <w:t>.</w:t>
      </w:r>
    </w:p>
    <w:p w:rsidR="00AC516E" w:rsidRPr="00DF5DE8" w:rsidRDefault="006D213E" w:rsidP="00AC516E">
      <w:pPr>
        <w:spacing w:line="360" w:lineRule="auto"/>
        <w:ind w:left="288" w:hanging="288"/>
        <w:jc w:val="both"/>
        <w:rPr>
          <w:sz w:val="20"/>
          <w:szCs w:val="20"/>
          <w:lang w:val="de-DE"/>
        </w:rPr>
      </w:pPr>
      <w:r w:rsidRPr="00DF5DE8">
        <w:rPr>
          <w:sz w:val="20"/>
          <w:szCs w:val="20"/>
          <w:lang w:val="de-DE"/>
        </w:rPr>
        <w:t>Leibniz,</w:t>
      </w:r>
      <w:r w:rsidR="003316E9" w:rsidRPr="00DF5DE8">
        <w:rPr>
          <w:sz w:val="20"/>
          <w:szCs w:val="20"/>
          <w:lang w:val="de-DE"/>
        </w:rPr>
        <w:t xml:space="preserve"> G. W. 1875–1890.</w:t>
      </w:r>
      <w:r w:rsidRPr="00DF5DE8">
        <w:rPr>
          <w:sz w:val="20"/>
          <w:szCs w:val="20"/>
          <w:lang w:val="de-DE"/>
        </w:rPr>
        <w:t xml:space="preserve"> </w:t>
      </w:r>
      <w:r w:rsidRPr="00DF5DE8">
        <w:rPr>
          <w:i/>
          <w:iCs/>
          <w:sz w:val="20"/>
          <w:szCs w:val="20"/>
          <w:lang w:val="de-DE"/>
        </w:rPr>
        <w:t>Die philosophischen Schrifte</w:t>
      </w:r>
      <w:r w:rsidR="007E3021">
        <w:rPr>
          <w:i/>
          <w:iCs/>
          <w:sz w:val="20"/>
          <w:szCs w:val="20"/>
          <w:lang w:val="de-DE"/>
        </w:rPr>
        <w:t>n von Gottfried Wilhelm Leibniz</w:t>
      </w:r>
      <w:r w:rsidR="007E3021">
        <w:rPr>
          <w:iCs/>
          <w:sz w:val="20"/>
          <w:szCs w:val="20"/>
          <w:lang w:val="de-DE"/>
        </w:rPr>
        <w:t>.</w:t>
      </w:r>
      <w:r w:rsidRPr="00DF5DE8">
        <w:rPr>
          <w:i/>
          <w:iCs/>
          <w:sz w:val="20"/>
          <w:szCs w:val="20"/>
          <w:lang w:val="de-DE"/>
        </w:rPr>
        <w:t xml:space="preserve"> </w:t>
      </w:r>
      <w:r w:rsidR="007E3021">
        <w:rPr>
          <w:sz w:val="20"/>
          <w:szCs w:val="20"/>
          <w:lang w:val="de-DE"/>
        </w:rPr>
        <w:t>Hg. v.</w:t>
      </w:r>
      <w:r w:rsidRPr="00DF5DE8">
        <w:rPr>
          <w:sz w:val="20"/>
          <w:szCs w:val="20"/>
          <w:lang w:val="de-DE"/>
        </w:rPr>
        <w:t xml:space="preserve"> C. I.</w:t>
      </w:r>
      <w:r w:rsidR="00AC516E" w:rsidRPr="00DF5DE8">
        <w:rPr>
          <w:sz w:val="20"/>
          <w:szCs w:val="20"/>
          <w:lang w:val="de-DE"/>
        </w:rPr>
        <w:t xml:space="preserve"> </w:t>
      </w:r>
      <w:r w:rsidR="00E302F5">
        <w:rPr>
          <w:sz w:val="20"/>
          <w:szCs w:val="20"/>
          <w:lang w:val="de-DE"/>
        </w:rPr>
        <w:t>Gerhardt, 7 Bde., Berlin: Weidmann</w:t>
      </w:r>
      <w:r w:rsidRPr="00DF5DE8">
        <w:rPr>
          <w:sz w:val="20"/>
          <w:szCs w:val="20"/>
          <w:lang w:val="de-DE"/>
        </w:rPr>
        <w:t xml:space="preserve"> [= GP].</w:t>
      </w:r>
    </w:p>
    <w:p w:rsidR="00AC516E" w:rsidRDefault="003316E9" w:rsidP="00AC516E">
      <w:pPr>
        <w:spacing w:line="360" w:lineRule="auto"/>
        <w:ind w:left="288" w:hanging="288"/>
        <w:jc w:val="both"/>
        <w:rPr>
          <w:sz w:val="20"/>
          <w:szCs w:val="20"/>
          <w:lang w:val="de-DE"/>
        </w:rPr>
      </w:pPr>
      <w:r w:rsidRPr="00DF5DE8">
        <w:rPr>
          <w:sz w:val="20"/>
          <w:szCs w:val="20"/>
          <w:lang w:val="de-DE"/>
        </w:rPr>
        <w:t>Leibniz, G. W. 1948.</w:t>
      </w:r>
      <w:r w:rsidR="006D213E" w:rsidRPr="00DF5DE8">
        <w:rPr>
          <w:sz w:val="20"/>
          <w:szCs w:val="20"/>
          <w:lang w:val="de-DE"/>
        </w:rPr>
        <w:t xml:space="preserve"> </w:t>
      </w:r>
      <w:r w:rsidR="006D213E" w:rsidRPr="00DF5DE8">
        <w:rPr>
          <w:i/>
          <w:iCs/>
          <w:sz w:val="20"/>
          <w:szCs w:val="20"/>
          <w:lang w:val="de-DE"/>
        </w:rPr>
        <w:t>Textes inédits d'après les manuscrits de la Bibliothèque</w:t>
      </w:r>
      <w:r w:rsidR="00AC516E" w:rsidRPr="00DF5DE8">
        <w:rPr>
          <w:sz w:val="20"/>
          <w:szCs w:val="20"/>
          <w:lang w:val="de-DE"/>
        </w:rPr>
        <w:t xml:space="preserve"> </w:t>
      </w:r>
      <w:r w:rsidR="007E3021">
        <w:rPr>
          <w:i/>
          <w:iCs/>
          <w:sz w:val="20"/>
          <w:szCs w:val="20"/>
          <w:lang w:val="de-DE"/>
        </w:rPr>
        <w:t>provinciale de Hanovre</w:t>
      </w:r>
      <w:r w:rsidR="007E3021">
        <w:rPr>
          <w:iCs/>
          <w:sz w:val="20"/>
          <w:szCs w:val="20"/>
          <w:lang w:val="de-DE"/>
        </w:rPr>
        <w:t>.</w:t>
      </w:r>
      <w:r w:rsidR="006D213E" w:rsidRPr="00DF5DE8">
        <w:rPr>
          <w:i/>
          <w:iCs/>
          <w:sz w:val="20"/>
          <w:szCs w:val="20"/>
          <w:lang w:val="de-DE"/>
        </w:rPr>
        <w:t xml:space="preserve"> </w:t>
      </w:r>
      <w:r w:rsidR="007E3021">
        <w:rPr>
          <w:sz w:val="20"/>
          <w:szCs w:val="20"/>
          <w:lang w:val="de-DE"/>
        </w:rPr>
        <w:t>Hg. v.</w:t>
      </w:r>
      <w:r w:rsidRPr="00DF5DE8">
        <w:rPr>
          <w:sz w:val="20"/>
          <w:szCs w:val="20"/>
          <w:lang w:val="de-DE"/>
        </w:rPr>
        <w:t xml:space="preserve"> G. Grua, 2 Bde., Paris: Presses Universitaires de France</w:t>
      </w:r>
      <w:r w:rsidR="006D213E" w:rsidRPr="00DF5DE8">
        <w:rPr>
          <w:sz w:val="20"/>
          <w:szCs w:val="20"/>
          <w:lang w:val="de-DE"/>
        </w:rPr>
        <w:t xml:space="preserve"> [= Grua]</w:t>
      </w:r>
    </w:p>
    <w:p w:rsidR="00A95F35" w:rsidRPr="00A95F35" w:rsidRDefault="00A95F35" w:rsidP="00AC516E">
      <w:pPr>
        <w:spacing w:line="360" w:lineRule="auto"/>
        <w:ind w:left="288" w:hanging="288"/>
        <w:jc w:val="both"/>
        <w:rPr>
          <w:sz w:val="20"/>
          <w:szCs w:val="20"/>
          <w:lang w:val="de-DE"/>
        </w:rPr>
      </w:pPr>
      <w:r>
        <w:rPr>
          <w:sz w:val="20"/>
          <w:szCs w:val="20"/>
          <w:lang w:val="de-DE"/>
        </w:rPr>
        <w:t xml:space="preserve">Leibniz, G. W. 1996. </w:t>
      </w:r>
      <w:r>
        <w:rPr>
          <w:i/>
          <w:sz w:val="20"/>
          <w:szCs w:val="20"/>
          <w:lang w:val="de-DE"/>
        </w:rPr>
        <w:t>Neue Abhandlungen über den menschlichen Verstand</w:t>
      </w:r>
      <w:r>
        <w:rPr>
          <w:sz w:val="20"/>
          <w:szCs w:val="20"/>
          <w:lang w:val="de-DE"/>
        </w:rPr>
        <w:t>. Übers. v. E. Cassirer. Hamburg: Meiner.</w:t>
      </w:r>
    </w:p>
    <w:p w:rsidR="00AC516E" w:rsidRPr="007E3021" w:rsidRDefault="00F5489B" w:rsidP="00AC516E">
      <w:pPr>
        <w:spacing w:line="360" w:lineRule="auto"/>
        <w:ind w:left="288" w:hanging="288"/>
        <w:jc w:val="both"/>
        <w:rPr>
          <w:sz w:val="20"/>
          <w:szCs w:val="20"/>
          <w:lang w:val="de-DE"/>
        </w:rPr>
      </w:pPr>
      <w:r w:rsidRPr="007E3021">
        <w:rPr>
          <w:sz w:val="20"/>
          <w:szCs w:val="20"/>
          <w:lang w:val="de-DE"/>
        </w:rPr>
        <w:t>Look</w:t>
      </w:r>
      <w:r w:rsidR="003316E9" w:rsidRPr="007E3021">
        <w:rPr>
          <w:sz w:val="20"/>
          <w:szCs w:val="20"/>
          <w:lang w:val="de-DE"/>
        </w:rPr>
        <w:t>, B.</w:t>
      </w:r>
      <w:r w:rsidR="007E3021" w:rsidRPr="007E3021">
        <w:rPr>
          <w:sz w:val="20"/>
          <w:szCs w:val="20"/>
          <w:lang w:val="de-DE"/>
        </w:rPr>
        <w:t xml:space="preserve"> 2011. </w:t>
      </w:r>
      <w:r w:rsidR="007E3021" w:rsidRPr="007E3021">
        <w:rPr>
          <w:sz w:val="20"/>
          <w:szCs w:val="20"/>
        </w:rPr>
        <w:t xml:space="preserve">Grounding the Principle of Sufficient Reason: Leibnizian Rationalism versus the </w:t>
      </w:r>
      <w:proofErr w:type="spellStart"/>
      <w:r w:rsidR="007E3021" w:rsidRPr="007E3021">
        <w:rPr>
          <w:sz w:val="20"/>
          <w:szCs w:val="20"/>
        </w:rPr>
        <w:t>Humean</w:t>
      </w:r>
      <w:proofErr w:type="spellEnd"/>
      <w:r w:rsidR="007E3021" w:rsidRPr="007E3021">
        <w:rPr>
          <w:sz w:val="20"/>
          <w:szCs w:val="20"/>
        </w:rPr>
        <w:t xml:space="preserve"> Challenge. In </w:t>
      </w:r>
      <w:r w:rsidR="007E3021" w:rsidRPr="007E3021">
        <w:rPr>
          <w:i/>
          <w:iCs/>
          <w:sz w:val="20"/>
          <w:szCs w:val="20"/>
        </w:rPr>
        <w:t>The Rationalists: Between Tradition and Revolution</w:t>
      </w:r>
      <w:r w:rsidR="007E3021" w:rsidRPr="007E3021">
        <w:rPr>
          <w:iCs/>
          <w:sz w:val="20"/>
          <w:szCs w:val="20"/>
        </w:rPr>
        <w:t>. Hg. v.</w:t>
      </w:r>
      <w:r w:rsidR="007E3021" w:rsidRPr="007E3021">
        <w:rPr>
          <w:sz w:val="20"/>
          <w:szCs w:val="20"/>
        </w:rPr>
        <w:t xml:space="preserve"> Carlos Fraenkel, Dario Perinetti und Justin Smith, Dordrecht: Springer, 201</w:t>
      </w:r>
      <w:r w:rsidR="007E3021" w:rsidRPr="007E3021">
        <w:rPr>
          <w:sz w:val="20"/>
          <w:szCs w:val="20"/>
          <w:lang w:val="de-DE"/>
        </w:rPr>
        <w:t>–</w:t>
      </w:r>
      <w:r w:rsidR="007E3021" w:rsidRPr="007E3021">
        <w:rPr>
          <w:sz w:val="20"/>
          <w:szCs w:val="20"/>
        </w:rPr>
        <w:t>219</w:t>
      </w:r>
      <w:r w:rsidR="007E3021">
        <w:rPr>
          <w:sz w:val="20"/>
          <w:szCs w:val="20"/>
        </w:rPr>
        <w:t>.</w:t>
      </w:r>
    </w:p>
    <w:p w:rsidR="00AC516E" w:rsidRPr="00DF5DE8" w:rsidRDefault="00AC516E" w:rsidP="00AC516E">
      <w:pPr>
        <w:spacing w:line="360" w:lineRule="auto"/>
        <w:ind w:left="288" w:hanging="288"/>
        <w:jc w:val="both"/>
        <w:rPr>
          <w:sz w:val="20"/>
          <w:szCs w:val="20"/>
          <w:lang w:val="de-DE"/>
        </w:rPr>
      </w:pPr>
      <w:r w:rsidRPr="00DF5DE8">
        <w:rPr>
          <w:sz w:val="20"/>
          <w:szCs w:val="20"/>
          <w:lang w:val="de-DE"/>
        </w:rPr>
        <w:t xml:space="preserve">Marschlich, Α. 1997. </w:t>
      </w:r>
      <w:r w:rsidRPr="00DF5DE8">
        <w:rPr>
          <w:i/>
          <w:iCs/>
          <w:sz w:val="20"/>
          <w:szCs w:val="20"/>
          <w:lang w:val="de-DE"/>
        </w:rPr>
        <w:t>Die S</w:t>
      </w:r>
      <w:r w:rsidR="001B10C0">
        <w:rPr>
          <w:i/>
          <w:iCs/>
          <w:sz w:val="20"/>
          <w:szCs w:val="20"/>
          <w:lang w:val="de-DE"/>
        </w:rPr>
        <w:t>ubstanz als Hypothese. Leibniz’</w:t>
      </w:r>
      <w:r w:rsidRPr="00DF5DE8">
        <w:rPr>
          <w:i/>
          <w:iCs/>
          <w:sz w:val="20"/>
          <w:szCs w:val="20"/>
          <w:lang w:val="de-DE"/>
        </w:rPr>
        <w:t xml:space="preserve"> Metaphysik des Wissens, </w:t>
      </w:r>
      <w:r w:rsidRPr="00DF5DE8">
        <w:rPr>
          <w:sz w:val="20"/>
          <w:szCs w:val="20"/>
          <w:lang w:val="de-DE"/>
        </w:rPr>
        <w:t>Berlin: Akademie Verlag.</w:t>
      </w:r>
    </w:p>
    <w:p w:rsidR="00AC516E" w:rsidRPr="00DF5DE8" w:rsidRDefault="006D213E" w:rsidP="00AC516E">
      <w:pPr>
        <w:spacing w:line="360" w:lineRule="auto"/>
        <w:ind w:left="288" w:hanging="288"/>
        <w:jc w:val="both"/>
        <w:rPr>
          <w:sz w:val="20"/>
          <w:szCs w:val="20"/>
          <w:lang w:val="de-DE"/>
        </w:rPr>
      </w:pPr>
      <w:r w:rsidRPr="00DF5DE8">
        <w:rPr>
          <w:sz w:val="20"/>
          <w:szCs w:val="20"/>
          <w:lang w:val="de-DE"/>
        </w:rPr>
        <w:t xml:space="preserve">Martin, </w:t>
      </w:r>
      <w:r w:rsidR="00AC516E" w:rsidRPr="00DF5DE8">
        <w:rPr>
          <w:sz w:val="20"/>
          <w:szCs w:val="20"/>
          <w:lang w:val="de-DE"/>
        </w:rPr>
        <w:t xml:space="preserve">G. 1967. </w:t>
      </w:r>
      <w:r w:rsidR="00AC516E" w:rsidRPr="00DF5DE8">
        <w:rPr>
          <w:i/>
          <w:iCs/>
          <w:sz w:val="20"/>
          <w:szCs w:val="20"/>
          <w:lang w:val="de-DE"/>
        </w:rPr>
        <w:t xml:space="preserve">Leibniz. Logik und Metaphysik, </w:t>
      </w:r>
      <w:r w:rsidR="00AC516E" w:rsidRPr="00DF5DE8">
        <w:rPr>
          <w:sz w:val="20"/>
          <w:szCs w:val="20"/>
          <w:lang w:val="de-DE"/>
        </w:rPr>
        <w:t>2. Aufl., Berlin</w:t>
      </w:r>
      <w:r w:rsidR="003316E9" w:rsidRPr="00DF5DE8">
        <w:rPr>
          <w:sz w:val="20"/>
          <w:szCs w:val="20"/>
          <w:lang w:val="de-DE"/>
        </w:rPr>
        <w:t>—New York</w:t>
      </w:r>
      <w:r w:rsidR="00AC516E" w:rsidRPr="00DF5DE8">
        <w:rPr>
          <w:sz w:val="20"/>
          <w:szCs w:val="20"/>
          <w:lang w:val="de-DE"/>
        </w:rPr>
        <w:t>: De Gruyter.</w:t>
      </w:r>
      <w:r w:rsidRPr="00DF5DE8">
        <w:rPr>
          <w:sz w:val="20"/>
          <w:szCs w:val="20"/>
          <w:lang w:val="de-DE"/>
        </w:rPr>
        <w:t xml:space="preserve"> </w:t>
      </w:r>
    </w:p>
    <w:p w:rsidR="00AC516E" w:rsidRPr="00DF5DE8" w:rsidRDefault="006D213E" w:rsidP="00AC516E">
      <w:pPr>
        <w:spacing w:line="360" w:lineRule="auto"/>
        <w:ind w:left="288" w:hanging="288"/>
        <w:jc w:val="both"/>
        <w:rPr>
          <w:sz w:val="20"/>
          <w:szCs w:val="20"/>
          <w:lang w:val="de-DE"/>
        </w:rPr>
      </w:pPr>
      <w:r w:rsidRPr="00DF5DE8">
        <w:rPr>
          <w:sz w:val="20"/>
          <w:szCs w:val="20"/>
          <w:lang w:val="de-DE"/>
        </w:rPr>
        <w:t xml:space="preserve">Mates, </w:t>
      </w:r>
      <w:r w:rsidR="00AC516E" w:rsidRPr="00DF5DE8">
        <w:rPr>
          <w:sz w:val="20"/>
          <w:szCs w:val="20"/>
          <w:lang w:val="de-DE"/>
        </w:rPr>
        <w:t xml:space="preserve">Β. 1986. </w:t>
      </w:r>
      <w:r w:rsidR="00AC516E" w:rsidRPr="00DF5DE8">
        <w:rPr>
          <w:i/>
          <w:iCs/>
          <w:sz w:val="20"/>
          <w:szCs w:val="20"/>
          <w:lang w:val="de-DE"/>
        </w:rPr>
        <w:t xml:space="preserve">The Philosophy of Leibniz. Metaphysics and Language, </w:t>
      </w:r>
      <w:r w:rsidR="00AC516E" w:rsidRPr="00DF5DE8">
        <w:rPr>
          <w:sz w:val="20"/>
          <w:szCs w:val="20"/>
          <w:lang w:val="de-DE"/>
        </w:rPr>
        <w:t>New</w:t>
      </w:r>
      <w:r w:rsidR="003316E9" w:rsidRPr="00DF5DE8">
        <w:rPr>
          <w:sz w:val="20"/>
          <w:szCs w:val="20"/>
          <w:lang w:val="de-DE"/>
        </w:rPr>
        <w:t xml:space="preserve"> York—</w:t>
      </w:r>
      <w:r w:rsidR="00AC516E" w:rsidRPr="00DF5DE8">
        <w:rPr>
          <w:sz w:val="20"/>
          <w:szCs w:val="20"/>
          <w:lang w:val="de-DE"/>
        </w:rPr>
        <w:t>Oxford: Oxford University Press.</w:t>
      </w:r>
    </w:p>
    <w:p w:rsidR="00AC516E" w:rsidRPr="00DF5DE8" w:rsidRDefault="009E6644" w:rsidP="00AC516E">
      <w:pPr>
        <w:spacing w:line="360" w:lineRule="auto"/>
        <w:ind w:left="288" w:hanging="288"/>
        <w:jc w:val="both"/>
        <w:rPr>
          <w:sz w:val="20"/>
          <w:szCs w:val="20"/>
          <w:lang w:val="de-DE"/>
        </w:rPr>
      </w:pPr>
      <w:r w:rsidRPr="00DF5DE8">
        <w:rPr>
          <w:sz w:val="20"/>
          <w:szCs w:val="20"/>
          <w:lang w:val="de-DE"/>
        </w:rPr>
        <w:t xml:space="preserve">Mondadori, </w:t>
      </w:r>
      <w:r w:rsidR="00930173">
        <w:rPr>
          <w:sz w:val="20"/>
          <w:szCs w:val="20"/>
          <w:lang w:val="de-DE"/>
        </w:rPr>
        <w:t>F. 1977.</w:t>
      </w:r>
      <w:r w:rsidR="00AC516E" w:rsidRPr="00DF5DE8">
        <w:rPr>
          <w:sz w:val="20"/>
          <w:szCs w:val="20"/>
          <w:lang w:val="de-DE"/>
        </w:rPr>
        <w:t xml:space="preserve"> The Leibnizian </w:t>
      </w:r>
      <w:r w:rsidR="00AC516E" w:rsidRPr="001B10C0">
        <w:rPr>
          <w:iCs/>
          <w:sz w:val="20"/>
          <w:szCs w:val="20"/>
          <w:lang w:val="de-DE"/>
        </w:rPr>
        <w:t>Circle</w:t>
      </w:r>
      <w:r w:rsidR="007740C4" w:rsidRPr="00DF5DE8">
        <w:rPr>
          <w:sz w:val="20"/>
          <w:szCs w:val="20"/>
          <w:lang w:val="de-DE"/>
        </w:rPr>
        <w:t>.</w:t>
      </w:r>
      <w:r w:rsidR="00AC516E" w:rsidRPr="00DF5DE8">
        <w:rPr>
          <w:i/>
          <w:iCs/>
          <w:sz w:val="20"/>
          <w:szCs w:val="20"/>
          <w:lang w:val="de-DE"/>
        </w:rPr>
        <w:t xml:space="preserve"> Rice University Studies </w:t>
      </w:r>
      <w:r w:rsidR="00C93012" w:rsidRPr="00DF5DE8">
        <w:rPr>
          <w:sz w:val="20"/>
          <w:szCs w:val="20"/>
          <w:lang w:val="de-DE"/>
        </w:rPr>
        <w:t>63</w:t>
      </w:r>
      <w:r w:rsidR="00930173">
        <w:rPr>
          <w:sz w:val="20"/>
          <w:szCs w:val="20"/>
          <w:lang w:val="de-DE"/>
        </w:rPr>
        <w:t>(4):</w:t>
      </w:r>
      <w:r w:rsidR="00AC516E" w:rsidRPr="00DF5DE8">
        <w:rPr>
          <w:sz w:val="20"/>
          <w:szCs w:val="20"/>
          <w:lang w:val="de-DE"/>
        </w:rPr>
        <w:t xml:space="preserve"> 69</w:t>
      </w:r>
      <w:r w:rsidR="00C93012" w:rsidRPr="00DF5DE8">
        <w:rPr>
          <w:sz w:val="20"/>
          <w:szCs w:val="20"/>
          <w:lang w:val="de-DE"/>
        </w:rPr>
        <w:t>–</w:t>
      </w:r>
      <w:r w:rsidR="00AC516E" w:rsidRPr="00DF5DE8">
        <w:rPr>
          <w:sz w:val="20"/>
          <w:szCs w:val="20"/>
          <w:lang w:val="de-DE"/>
        </w:rPr>
        <w:t>96.</w:t>
      </w:r>
    </w:p>
    <w:p w:rsidR="00AC516E" w:rsidRPr="00DF5DE8" w:rsidRDefault="00816734" w:rsidP="00AC516E">
      <w:pPr>
        <w:spacing w:line="360" w:lineRule="auto"/>
        <w:ind w:left="288" w:hanging="288"/>
        <w:jc w:val="both"/>
        <w:rPr>
          <w:sz w:val="20"/>
          <w:szCs w:val="20"/>
          <w:lang w:val="de-DE"/>
        </w:rPr>
      </w:pPr>
      <w:r w:rsidRPr="00DF5DE8">
        <w:rPr>
          <w:sz w:val="20"/>
          <w:szCs w:val="20"/>
          <w:lang w:val="de-DE"/>
        </w:rPr>
        <w:t xml:space="preserve">Rey, A.-L. 2008. La figure du leibnizianisme dans les </w:t>
      </w:r>
      <w:r w:rsidRPr="00DF5DE8">
        <w:rPr>
          <w:i/>
          <w:iCs/>
          <w:sz w:val="20"/>
          <w:szCs w:val="20"/>
          <w:lang w:val="de-DE"/>
        </w:rPr>
        <w:t>Institutions de physique</w:t>
      </w:r>
      <w:r w:rsidRPr="00DF5DE8">
        <w:rPr>
          <w:sz w:val="20"/>
          <w:szCs w:val="20"/>
          <w:lang w:val="de-DE"/>
        </w:rPr>
        <w:t xml:space="preserve">. In </w:t>
      </w:r>
      <w:r w:rsidRPr="00DF5DE8">
        <w:rPr>
          <w:i/>
          <w:iCs/>
          <w:sz w:val="20"/>
          <w:szCs w:val="20"/>
          <w:lang w:val="de-DE"/>
        </w:rPr>
        <w:t>Émilie Du</w:t>
      </w:r>
      <w:r w:rsidR="00AC516E" w:rsidRPr="00DF5DE8">
        <w:rPr>
          <w:sz w:val="20"/>
          <w:szCs w:val="20"/>
          <w:lang w:val="de-DE"/>
        </w:rPr>
        <w:t xml:space="preserve"> </w:t>
      </w:r>
      <w:r w:rsidRPr="00DF5DE8">
        <w:rPr>
          <w:i/>
          <w:iCs/>
          <w:sz w:val="20"/>
          <w:szCs w:val="20"/>
          <w:lang w:val="de-DE"/>
        </w:rPr>
        <w:t>Châtelet: Éclairag</w:t>
      </w:r>
      <w:r w:rsidR="0033760D">
        <w:rPr>
          <w:i/>
          <w:iCs/>
          <w:sz w:val="20"/>
          <w:szCs w:val="20"/>
          <w:lang w:val="de-DE"/>
        </w:rPr>
        <w:t>es &amp; documents nouveaux</w:t>
      </w:r>
      <w:r w:rsidR="0033760D">
        <w:rPr>
          <w:iCs/>
          <w:sz w:val="20"/>
          <w:szCs w:val="20"/>
          <w:lang w:val="de-DE"/>
        </w:rPr>
        <w:t>.</w:t>
      </w:r>
      <w:r w:rsidRPr="00DF5DE8">
        <w:rPr>
          <w:i/>
          <w:iCs/>
          <w:sz w:val="20"/>
          <w:szCs w:val="20"/>
          <w:lang w:val="de-DE"/>
        </w:rPr>
        <w:t xml:space="preserve"> </w:t>
      </w:r>
      <w:r w:rsidR="0033760D">
        <w:rPr>
          <w:sz w:val="20"/>
          <w:szCs w:val="20"/>
          <w:lang w:val="de-DE"/>
        </w:rPr>
        <w:t>H</w:t>
      </w:r>
      <w:r w:rsidR="00AC516E" w:rsidRPr="00DF5DE8">
        <w:rPr>
          <w:sz w:val="20"/>
          <w:szCs w:val="20"/>
          <w:lang w:val="de-DE"/>
        </w:rPr>
        <w:t>g. v.</w:t>
      </w:r>
      <w:r w:rsidR="00940AFF" w:rsidRPr="00DF5DE8">
        <w:rPr>
          <w:sz w:val="20"/>
          <w:szCs w:val="20"/>
          <w:lang w:val="de-DE"/>
        </w:rPr>
        <w:t xml:space="preserve"> U. Kölving and O.</w:t>
      </w:r>
      <w:r w:rsidR="0033760D">
        <w:rPr>
          <w:sz w:val="20"/>
          <w:szCs w:val="20"/>
          <w:lang w:val="de-DE"/>
        </w:rPr>
        <w:t xml:space="preserve"> Courcelle.</w:t>
      </w:r>
      <w:r w:rsidR="00AC516E" w:rsidRPr="00DF5DE8">
        <w:rPr>
          <w:sz w:val="20"/>
          <w:szCs w:val="20"/>
          <w:lang w:val="de-DE"/>
        </w:rPr>
        <w:t xml:space="preserve"> Ferney-Voltaire: Centre International d’Étude du XVIIIe Siècle,</w:t>
      </w:r>
      <w:r w:rsidRPr="00DF5DE8">
        <w:rPr>
          <w:sz w:val="20"/>
          <w:szCs w:val="20"/>
          <w:lang w:val="de-DE"/>
        </w:rPr>
        <w:t xml:space="preserve"> 231–</w:t>
      </w:r>
      <w:r w:rsidR="00AC516E" w:rsidRPr="00DF5DE8">
        <w:rPr>
          <w:sz w:val="20"/>
          <w:szCs w:val="20"/>
          <w:lang w:val="de-DE"/>
        </w:rPr>
        <w:t>2</w:t>
      </w:r>
      <w:r w:rsidRPr="00DF5DE8">
        <w:rPr>
          <w:sz w:val="20"/>
          <w:szCs w:val="20"/>
          <w:lang w:val="de-DE"/>
        </w:rPr>
        <w:t>42.</w:t>
      </w:r>
    </w:p>
    <w:p w:rsidR="00AC516E" w:rsidRPr="00DF5DE8" w:rsidRDefault="003316E9" w:rsidP="00AC516E">
      <w:pPr>
        <w:spacing w:line="360" w:lineRule="auto"/>
        <w:ind w:left="288" w:hanging="288"/>
        <w:jc w:val="both"/>
        <w:rPr>
          <w:sz w:val="20"/>
          <w:szCs w:val="20"/>
          <w:lang w:val="de-DE"/>
        </w:rPr>
      </w:pPr>
      <w:r w:rsidRPr="00DF5DE8">
        <w:rPr>
          <w:sz w:val="20"/>
          <w:szCs w:val="20"/>
          <w:lang w:val="de-DE"/>
        </w:rPr>
        <w:t xml:space="preserve">Riley, P. 2003. </w:t>
      </w:r>
      <w:r w:rsidR="00F5489B" w:rsidRPr="00DF5DE8">
        <w:rPr>
          <w:sz w:val="20"/>
          <w:szCs w:val="20"/>
          <w:lang w:val="de-DE"/>
        </w:rPr>
        <w:t xml:space="preserve">Leibniz's </w:t>
      </w:r>
      <w:r w:rsidR="00F5489B" w:rsidRPr="00DF5DE8">
        <w:rPr>
          <w:i/>
          <w:iCs/>
          <w:sz w:val="20"/>
          <w:szCs w:val="20"/>
          <w:lang w:val="de-DE"/>
        </w:rPr>
        <w:t>Meditation  sur la notio</w:t>
      </w:r>
      <w:r w:rsidR="00940AFF" w:rsidRPr="00DF5DE8">
        <w:rPr>
          <w:i/>
          <w:iCs/>
          <w:sz w:val="20"/>
          <w:szCs w:val="20"/>
          <w:lang w:val="de-DE"/>
        </w:rPr>
        <w:t xml:space="preserve">n  commune de la justice, </w:t>
      </w:r>
      <w:r w:rsidR="00940AFF" w:rsidRPr="00D222C2">
        <w:rPr>
          <w:iCs/>
          <w:sz w:val="20"/>
          <w:szCs w:val="20"/>
          <w:lang w:val="de-DE"/>
        </w:rPr>
        <w:t>1703</w:t>
      </w:r>
      <w:r w:rsidR="00940AFF" w:rsidRPr="00D222C2">
        <w:rPr>
          <w:sz w:val="20"/>
          <w:szCs w:val="20"/>
          <w:lang w:val="de-DE"/>
        </w:rPr>
        <w:t>–</w:t>
      </w:r>
      <w:r w:rsidR="00F5489B" w:rsidRPr="00D222C2">
        <w:rPr>
          <w:iCs/>
          <w:sz w:val="20"/>
          <w:szCs w:val="20"/>
          <w:lang w:val="de-DE"/>
        </w:rPr>
        <w:t>2003</w:t>
      </w:r>
      <w:r w:rsidRPr="00DF5DE8">
        <w:rPr>
          <w:iCs/>
          <w:sz w:val="20"/>
          <w:szCs w:val="20"/>
          <w:lang w:val="de-DE"/>
        </w:rPr>
        <w:t>.</w:t>
      </w:r>
      <w:r w:rsidR="00F5489B" w:rsidRPr="00DF5DE8">
        <w:rPr>
          <w:i/>
          <w:iCs/>
          <w:sz w:val="20"/>
          <w:szCs w:val="20"/>
          <w:lang w:val="de-DE"/>
        </w:rPr>
        <w:t xml:space="preserve"> Leibniz Review </w:t>
      </w:r>
      <w:r w:rsidRPr="00DF5DE8">
        <w:rPr>
          <w:sz w:val="20"/>
          <w:szCs w:val="20"/>
          <w:lang w:val="de-DE"/>
        </w:rPr>
        <w:t>13</w:t>
      </w:r>
      <w:r w:rsidR="00C93012" w:rsidRPr="00DF5DE8">
        <w:rPr>
          <w:sz w:val="20"/>
          <w:szCs w:val="20"/>
          <w:lang w:val="de-DE"/>
        </w:rPr>
        <w:t>: 67–81.</w:t>
      </w:r>
    </w:p>
    <w:p w:rsidR="00AC516E" w:rsidRPr="00DF5DE8" w:rsidRDefault="003316E9" w:rsidP="00AC516E">
      <w:pPr>
        <w:spacing w:line="360" w:lineRule="auto"/>
        <w:ind w:left="288" w:hanging="288"/>
        <w:jc w:val="both"/>
        <w:rPr>
          <w:sz w:val="20"/>
          <w:szCs w:val="20"/>
          <w:lang w:val="de-DE"/>
        </w:rPr>
      </w:pPr>
      <w:r w:rsidRPr="00DF5DE8">
        <w:rPr>
          <w:sz w:val="20"/>
          <w:szCs w:val="20"/>
          <w:lang w:val="de-DE"/>
        </w:rPr>
        <w:t xml:space="preserve">Riley, P. 2005. </w:t>
      </w:r>
      <w:r w:rsidR="00F5489B" w:rsidRPr="00DF5DE8">
        <w:rPr>
          <w:sz w:val="20"/>
          <w:szCs w:val="20"/>
          <w:lang w:val="de-DE"/>
        </w:rPr>
        <w:t xml:space="preserve">Leibniz’s </w:t>
      </w:r>
      <w:r w:rsidR="00F5489B" w:rsidRPr="00DF5DE8">
        <w:rPr>
          <w:i/>
          <w:iCs/>
          <w:sz w:val="20"/>
          <w:szCs w:val="20"/>
          <w:lang w:val="de-DE"/>
        </w:rPr>
        <w:t>Méditation sur la notion commune de la justice</w:t>
      </w:r>
      <w:r w:rsidRPr="00DF5DE8">
        <w:rPr>
          <w:sz w:val="20"/>
          <w:szCs w:val="20"/>
          <w:lang w:val="de-DE"/>
        </w:rPr>
        <w:t>: A Reply to Andreas Blank.</w:t>
      </w:r>
      <w:r w:rsidR="00F5489B" w:rsidRPr="00DF5DE8">
        <w:rPr>
          <w:sz w:val="20"/>
          <w:szCs w:val="20"/>
          <w:lang w:val="de-DE"/>
        </w:rPr>
        <w:t xml:space="preserve"> </w:t>
      </w:r>
      <w:r w:rsidR="00F5489B" w:rsidRPr="00DF5DE8">
        <w:rPr>
          <w:i/>
          <w:iCs/>
          <w:sz w:val="20"/>
          <w:szCs w:val="20"/>
          <w:lang w:val="de-DE"/>
        </w:rPr>
        <w:t xml:space="preserve">Leibniz Review </w:t>
      </w:r>
      <w:r w:rsidRPr="00DF5DE8">
        <w:rPr>
          <w:sz w:val="20"/>
          <w:szCs w:val="20"/>
          <w:lang w:val="de-DE"/>
        </w:rPr>
        <w:t>15</w:t>
      </w:r>
      <w:r w:rsidR="00C93012" w:rsidRPr="00DF5DE8">
        <w:rPr>
          <w:sz w:val="20"/>
          <w:szCs w:val="20"/>
          <w:lang w:val="de-DE"/>
        </w:rPr>
        <w:t>: 185–216.</w:t>
      </w:r>
    </w:p>
    <w:p w:rsidR="00AC516E" w:rsidRPr="00DF5DE8" w:rsidRDefault="0078761A" w:rsidP="00AC516E">
      <w:pPr>
        <w:spacing w:line="360" w:lineRule="auto"/>
        <w:ind w:left="288" w:hanging="288"/>
        <w:jc w:val="both"/>
        <w:rPr>
          <w:sz w:val="20"/>
          <w:szCs w:val="20"/>
          <w:lang w:val="de-DE"/>
        </w:rPr>
      </w:pPr>
      <w:r w:rsidRPr="00DF5DE8">
        <w:rPr>
          <w:sz w:val="20"/>
          <w:szCs w:val="20"/>
          <w:lang w:val="de-DE"/>
        </w:rPr>
        <w:t xml:space="preserve">Schüßler, </w:t>
      </w:r>
      <w:r w:rsidR="00AC516E" w:rsidRPr="00DF5DE8">
        <w:rPr>
          <w:sz w:val="20"/>
          <w:szCs w:val="20"/>
          <w:lang w:val="de-DE"/>
        </w:rPr>
        <w:t xml:space="preserve">W. 1992. </w:t>
      </w:r>
      <w:r w:rsidR="00AC516E" w:rsidRPr="00DF5DE8">
        <w:rPr>
          <w:i/>
          <w:iCs/>
          <w:sz w:val="20"/>
          <w:szCs w:val="20"/>
          <w:lang w:val="de-DE"/>
        </w:rPr>
        <w:t>Leibniz' Auffassung des menschlichen Verstandes (intellectus). Eine Untersuchung</w:t>
      </w:r>
      <w:r w:rsidR="00AC516E" w:rsidRPr="00DF5DE8">
        <w:rPr>
          <w:sz w:val="20"/>
          <w:szCs w:val="20"/>
          <w:lang w:val="de-DE"/>
        </w:rPr>
        <w:t xml:space="preserve"> </w:t>
      </w:r>
      <w:r w:rsidR="00AC516E" w:rsidRPr="00DF5DE8">
        <w:rPr>
          <w:i/>
          <w:iCs/>
          <w:sz w:val="20"/>
          <w:szCs w:val="20"/>
          <w:lang w:val="de-DE"/>
        </w:rPr>
        <w:t>zum Standpunktwechsel zwischen „système commun" und „système nouveau" und dem</w:t>
      </w:r>
      <w:r w:rsidR="00AC516E" w:rsidRPr="00DF5DE8">
        <w:rPr>
          <w:sz w:val="20"/>
          <w:szCs w:val="20"/>
          <w:lang w:val="de-DE"/>
        </w:rPr>
        <w:t xml:space="preserve"> </w:t>
      </w:r>
      <w:r w:rsidR="00AC516E" w:rsidRPr="00DF5DE8">
        <w:rPr>
          <w:i/>
          <w:iCs/>
          <w:sz w:val="20"/>
          <w:szCs w:val="20"/>
          <w:lang w:val="de-DE"/>
        </w:rPr>
        <w:t xml:space="preserve">Versuch ihrer Vermittlung, </w:t>
      </w:r>
      <w:r w:rsidR="00AC516E" w:rsidRPr="00DF5DE8">
        <w:rPr>
          <w:sz w:val="20"/>
          <w:szCs w:val="20"/>
          <w:lang w:val="de-DE"/>
        </w:rPr>
        <w:t>Berlin—New York: De Gruyter.</w:t>
      </w:r>
    </w:p>
    <w:p w:rsidR="00AC516E" w:rsidRPr="00DF5DE8" w:rsidRDefault="0078761A" w:rsidP="00AC516E">
      <w:pPr>
        <w:spacing w:line="360" w:lineRule="auto"/>
        <w:ind w:left="288" w:hanging="288"/>
        <w:jc w:val="both"/>
        <w:rPr>
          <w:sz w:val="20"/>
          <w:szCs w:val="20"/>
          <w:lang w:val="de-DE"/>
        </w:rPr>
      </w:pPr>
      <w:r w:rsidRPr="00DF5DE8">
        <w:rPr>
          <w:sz w:val="20"/>
          <w:szCs w:val="20"/>
          <w:lang w:val="de-DE"/>
        </w:rPr>
        <w:t xml:space="preserve">Strawson, </w:t>
      </w:r>
      <w:r w:rsidR="00AC516E" w:rsidRPr="00DF5DE8">
        <w:rPr>
          <w:sz w:val="20"/>
          <w:szCs w:val="20"/>
          <w:lang w:val="de-DE"/>
        </w:rPr>
        <w:t>P.</w:t>
      </w:r>
      <w:r w:rsidR="003316E9" w:rsidRPr="00DF5DE8">
        <w:rPr>
          <w:sz w:val="20"/>
          <w:szCs w:val="20"/>
          <w:lang w:val="de-DE"/>
        </w:rPr>
        <w:t xml:space="preserve"> </w:t>
      </w:r>
      <w:r w:rsidR="00AC516E" w:rsidRPr="00DF5DE8">
        <w:rPr>
          <w:sz w:val="20"/>
          <w:szCs w:val="20"/>
          <w:lang w:val="de-DE"/>
        </w:rPr>
        <w:t xml:space="preserve">F. 1959. </w:t>
      </w:r>
      <w:r w:rsidR="00AC516E" w:rsidRPr="00DF5DE8">
        <w:rPr>
          <w:i/>
          <w:iCs/>
          <w:sz w:val="20"/>
          <w:szCs w:val="20"/>
          <w:lang w:val="de-DE"/>
        </w:rPr>
        <w:t xml:space="preserve">Individuals. An Essay on Descriptive Metaphysics, </w:t>
      </w:r>
      <w:r w:rsidR="00AC516E" w:rsidRPr="00DF5DE8">
        <w:rPr>
          <w:sz w:val="20"/>
          <w:szCs w:val="20"/>
          <w:lang w:val="de-DE"/>
        </w:rPr>
        <w:t>London: Methuen.</w:t>
      </w:r>
    </w:p>
    <w:p w:rsidR="00AC516E" w:rsidRPr="00DF5DE8" w:rsidRDefault="0078761A" w:rsidP="00AC516E">
      <w:pPr>
        <w:spacing w:line="360" w:lineRule="auto"/>
        <w:ind w:left="288" w:hanging="288"/>
        <w:jc w:val="both"/>
        <w:rPr>
          <w:sz w:val="20"/>
          <w:szCs w:val="20"/>
          <w:lang w:val="de-DE"/>
        </w:rPr>
      </w:pPr>
      <w:r w:rsidRPr="00DF5DE8">
        <w:rPr>
          <w:sz w:val="20"/>
          <w:szCs w:val="20"/>
          <w:lang w:val="de-DE"/>
        </w:rPr>
        <w:t>Wilson,</w:t>
      </w:r>
      <w:r w:rsidR="00AC516E" w:rsidRPr="00DF5DE8">
        <w:rPr>
          <w:sz w:val="20"/>
          <w:szCs w:val="20"/>
          <w:lang w:val="de-DE"/>
        </w:rPr>
        <w:t xml:space="preserve"> C. 1989. </w:t>
      </w:r>
      <w:r w:rsidR="00AC516E" w:rsidRPr="00DF5DE8">
        <w:rPr>
          <w:i/>
          <w:iCs/>
          <w:sz w:val="20"/>
          <w:szCs w:val="20"/>
          <w:lang w:val="de-DE"/>
        </w:rPr>
        <w:t xml:space="preserve">Leibniz's Metaphysics. A Historical and Comparative Study, </w:t>
      </w:r>
      <w:r w:rsidR="00AC516E" w:rsidRPr="00DF5DE8">
        <w:rPr>
          <w:sz w:val="20"/>
          <w:szCs w:val="20"/>
          <w:lang w:val="de-DE"/>
        </w:rPr>
        <w:t>Princeton: Princeton University Press.</w:t>
      </w:r>
    </w:p>
    <w:p w:rsidR="00AC516E" w:rsidRPr="00DF5DE8" w:rsidRDefault="00816734" w:rsidP="00AC516E">
      <w:pPr>
        <w:spacing w:line="360" w:lineRule="auto"/>
        <w:ind w:left="288" w:hanging="288"/>
        <w:jc w:val="both"/>
        <w:rPr>
          <w:sz w:val="20"/>
          <w:szCs w:val="20"/>
          <w:lang w:val="de-DE"/>
        </w:rPr>
      </w:pPr>
      <w:r w:rsidRPr="00DF5DE8">
        <w:rPr>
          <w:sz w:val="20"/>
          <w:szCs w:val="20"/>
          <w:lang w:val="de-DE"/>
        </w:rPr>
        <w:t xml:space="preserve">Winter, U. 2008. </w:t>
      </w:r>
      <w:r w:rsidRPr="00DF5DE8">
        <w:rPr>
          <w:i/>
          <w:iCs/>
          <w:sz w:val="20"/>
          <w:szCs w:val="20"/>
          <w:lang w:val="de-DE"/>
        </w:rPr>
        <w:t>Das vernetzte Universum. Die Leibniz-Rezeption in der Naturphilosophie der</w:t>
      </w:r>
      <w:r w:rsidR="00AC516E" w:rsidRPr="00DF5DE8">
        <w:rPr>
          <w:sz w:val="20"/>
          <w:szCs w:val="20"/>
          <w:lang w:val="de-DE"/>
        </w:rPr>
        <w:t xml:space="preserve"> </w:t>
      </w:r>
      <w:r w:rsidRPr="00DF5DE8">
        <w:rPr>
          <w:i/>
          <w:iCs/>
          <w:sz w:val="20"/>
          <w:szCs w:val="20"/>
          <w:lang w:val="de-DE"/>
        </w:rPr>
        <w:t xml:space="preserve">französischen Aufklärung. </w:t>
      </w:r>
      <w:r w:rsidRPr="00DF5DE8">
        <w:rPr>
          <w:sz w:val="20"/>
          <w:szCs w:val="20"/>
          <w:lang w:val="de-DE"/>
        </w:rPr>
        <w:t>Stuttgart: Franz Steiner Verlag.</w:t>
      </w:r>
    </w:p>
    <w:p w:rsidR="00AC516E" w:rsidRPr="000F4C2E" w:rsidRDefault="00AC516E" w:rsidP="00AC516E">
      <w:pPr>
        <w:spacing w:line="360" w:lineRule="auto"/>
        <w:ind w:left="288" w:hanging="288"/>
        <w:jc w:val="both"/>
        <w:rPr>
          <w:sz w:val="20"/>
          <w:szCs w:val="20"/>
          <w:lang w:val="de-DE"/>
        </w:rPr>
      </w:pPr>
      <w:r w:rsidRPr="00DF5DE8">
        <w:rPr>
          <w:sz w:val="20"/>
          <w:szCs w:val="20"/>
          <w:lang w:val="de-DE"/>
        </w:rPr>
        <w:t>Wolff,</w:t>
      </w:r>
      <w:r w:rsidR="003316E9" w:rsidRPr="00DF5DE8">
        <w:rPr>
          <w:sz w:val="20"/>
          <w:szCs w:val="20"/>
          <w:lang w:val="de-DE"/>
        </w:rPr>
        <w:t xml:space="preserve"> C.</w:t>
      </w:r>
      <w:r w:rsidR="000F4C2E">
        <w:rPr>
          <w:sz w:val="20"/>
          <w:szCs w:val="20"/>
          <w:lang w:val="de-DE"/>
        </w:rPr>
        <w:t xml:space="preserve"> 1736. </w:t>
      </w:r>
      <w:r w:rsidR="000F4C2E">
        <w:rPr>
          <w:i/>
          <w:sz w:val="20"/>
          <w:szCs w:val="20"/>
          <w:lang w:val="de-DE"/>
        </w:rPr>
        <w:t>Philosophia Prima sive Ontologia</w:t>
      </w:r>
      <w:r w:rsidR="000F4C2E">
        <w:rPr>
          <w:sz w:val="20"/>
          <w:szCs w:val="20"/>
          <w:lang w:val="de-DE"/>
        </w:rPr>
        <w:t xml:space="preserve">. </w:t>
      </w:r>
      <w:proofErr w:type="spellStart"/>
      <w:r w:rsidR="000F4C2E">
        <w:rPr>
          <w:sz w:val="20"/>
          <w:szCs w:val="20"/>
          <w:lang w:val="de-DE"/>
        </w:rPr>
        <w:t>Editio</w:t>
      </w:r>
      <w:proofErr w:type="spellEnd"/>
      <w:r w:rsidR="000F4C2E">
        <w:rPr>
          <w:sz w:val="20"/>
          <w:szCs w:val="20"/>
          <w:lang w:val="de-DE"/>
        </w:rPr>
        <w:t xml:space="preserve"> </w:t>
      </w:r>
      <w:proofErr w:type="spellStart"/>
      <w:r w:rsidR="000F4C2E">
        <w:rPr>
          <w:sz w:val="20"/>
          <w:szCs w:val="20"/>
          <w:lang w:val="de-DE"/>
        </w:rPr>
        <w:t>nova</w:t>
      </w:r>
      <w:proofErr w:type="spellEnd"/>
      <w:r w:rsidR="000F4C2E">
        <w:rPr>
          <w:sz w:val="20"/>
          <w:szCs w:val="20"/>
          <w:lang w:val="de-DE"/>
        </w:rPr>
        <w:t xml:space="preserve">. Frankfurt—Leipzig: </w:t>
      </w:r>
      <w:proofErr w:type="spellStart"/>
      <w:r w:rsidR="000F4C2E">
        <w:rPr>
          <w:sz w:val="20"/>
          <w:szCs w:val="20"/>
          <w:lang w:val="de-DE"/>
        </w:rPr>
        <w:t>Offizina</w:t>
      </w:r>
      <w:proofErr w:type="spellEnd"/>
      <w:r w:rsidR="000F4C2E">
        <w:rPr>
          <w:sz w:val="20"/>
          <w:szCs w:val="20"/>
          <w:lang w:val="de-DE"/>
        </w:rPr>
        <w:t xml:space="preserve"> </w:t>
      </w:r>
      <w:proofErr w:type="spellStart"/>
      <w:r w:rsidR="000F4C2E">
        <w:rPr>
          <w:sz w:val="20"/>
          <w:szCs w:val="20"/>
          <w:lang w:val="de-DE"/>
        </w:rPr>
        <w:t>Rengeriana</w:t>
      </w:r>
      <w:proofErr w:type="spellEnd"/>
      <w:r w:rsidR="000F4C2E">
        <w:rPr>
          <w:sz w:val="20"/>
          <w:szCs w:val="20"/>
          <w:lang w:val="de-DE"/>
        </w:rPr>
        <w:t>.</w:t>
      </w:r>
    </w:p>
    <w:p w:rsidR="0078761A" w:rsidRPr="006B3868" w:rsidRDefault="0078761A" w:rsidP="00E36B0F">
      <w:pPr>
        <w:spacing w:line="360" w:lineRule="auto"/>
        <w:ind w:left="288" w:hanging="288"/>
        <w:jc w:val="both"/>
        <w:rPr>
          <w:sz w:val="20"/>
          <w:szCs w:val="20"/>
          <w:lang w:val="de-DE"/>
        </w:rPr>
      </w:pPr>
      <w:r w:rsidRPr="00DF5DE8">
        <w:rPr>
          <w:sz w:val="20"/>
          <w:szCs w:val="20"/>
          <w:lang w:val="de-DE"/>
        </w:rPr>
        <w:t xml:space="preserve">Wolff, </w:t>
      </w:r>
      <w:r w:rsidR="003316E9" w:rsidRPr="00DF5DE8">
        <w:rPr>
          <w:sz w:val="20"/>
          <w:szCs w:val="20"/>
          <w:lang w:val="de-DE"/>
        </w:rPr>
        <w:t xml:space="preserve">C. </w:t>
      </w:r>
      <w:r w:rsidR="006B3868">
        <w:rPr>
          <w:sz w:val="20"/>
          <w:szCs w:val="20"/>
          <w:lang w:val="de-DE"/>
        </w:rPr>
        <w:t xml:space="preserve">1728. </w:t>
      </w:r>
      <w:r w:rsidR="006B3868">
        <w:rPr>
          <w:i/>
          <w:sz w:val="20"/>
          <w:szCs w:val="20"/>
          <w:lang w:val="de-DE"/>
        </w:rPr>
        <w:t>Philosophia Rationalis sive Logica</w:t>
      </w:r>
      <w:r w:rsidR="006B3868">
        <w:rPr>
          <w:sz w:val="20"/>
          <w:szCs w:val="20"/>
          <w:lang w:val="de-DE"/>
        </w:rPr>
        <w:t xml:space="preserve">. Frankfurt—Leipzig: </w:t>
      </w:r>
      <w:proofErr w:type="spellStart"/>
      <w:r w:rsidR="006B3868">
        <w:rPr>
          <w:sz w:val="20"/>
          <w:szCs w:val="20"/>
          <w:lang w:val="de-DE"/>
        </w:rPr>
        <w:t>Offizina</w:t>
      </w:r>
      <w:proofErr w:type="spellEnd"/>
      <w:r w:rsidR="006B3868">
        <w:rPr>
          <w:sz w:val="20"/>
          <w:szCs w:val="20"/>
          <w:lang w:val="de-DE"/>
        </w:rPr>
        <w:t xml:space="preserve"> </w:t>
      </w:r>
      <w:proofErr w:type="spellStart"/>
      <w:r w:rsidR="006B3868">
        <w:rPr>
          <w:sz w:val="20"/>
          <w:szCs w:val="20"/>
          <w:lang w:val="de-DE"/>
        </w:rPr>
        <w:t>Rengeriana</w:t>
      </w:r>
      <w:proofErr w:type="spellEnd"/>
      <w:r w:rsidR="006B3868">
        <w:rPr>
          <w:sz w:val="20"/>
          <w:szCs w:val="20"/>
          <w:lang w:val="de-DE"/>
        </w:rPr>
        <w:t>.</w:t>
      </w:r>
    </w:p>
    <w:p w:rsidR="0015410E" w:rsidRPr="00DF5DE8" w:rsidRDefault="0015410E" w:rsidP="00AC516E">
      <w:pPr>
        <w:spacing w:line="360" w:lineRule="auto"/>
        <w:jc w:val="both"/>
        <w:rPr>
          <w:sz w:val="20"/>
          <w:szCs w:val="20"/>
          <w:lang w:val="de-DE"/>
        </w:rPr>
      </w:pPr>
    </w:p>
    <w:p w:rsidR="007F09A9" w:rsidRPr="00DF5DE8" w:rsidRDefault="007F09A9" w:rsidP="00AC516E">
      <w:pPr>
        <w:spacing w:line="360" w:lineRule="auto"/>
        <w:jc w:val="both"/>
        <w:rPr>
          <w:sz w:val="20"/>
          <w:szCs w:val="20"/>
          <w:lang w:val="de-DE"/>
        </w:rPr>
      </w:pPr>
    </w:p>
    <w:sectPr w:rsidR="007F09A9" w:rsidRPr="00DF5DE8" w:rsidSect="002D2089">
      <w:footerReference w:type="even" r:id="rId8"/>
      <w:footerReference w:type="default" r:id="rId9"/>
      <w:endnotePr>
        <w:numFmt w:val="decimal"/>
      </w:endnotePr>
      <w:type w:val="continuous"/>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76B2" w:rsidRDefault="00F376B2"/>
  </w:endnote>
  <w:endnote w:type="continuationSeparator" w:id="0">
    <w:p w:rsidR="00F376B2" w:rsidRDefault="00F37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5A7" w:rsidRDefault="003F25A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33</w:t>
    </w:r>
    <w:r>
      <w:rPr>
        <w:rStyle w:val="Seitenzahl"/>
      </w:rPr>
      <w:fldChar w:fldCharType="end"/>
    </w:r>
  </w:p>
  <w:p w:rsidR="003F25A7" w:rsidRDefault="003F25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25A7" w:rsidRDefault="003F25A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570B7">
      <w:rPr>
        <w:rStyle w:val="Seitenzahl"/>
        <w:noProof/>
      </w:rPr>
      <w:t>21</w:t>
    </w:r>
    <w:r>
      <w:rPr>
        <w:rStyle w:val="Seitenzahl"/>
      </w:rPr>
      <w:fldChar w:fldCharType="end"/>
    </w:r>
  </w:p>
  <w:p w:rsidR="003F25A7" w:rsidRDefault="003F25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76B2" w:rsidRDefault="00F376B2">
      <w:r>
        <w:separator/>
      </w:r>
    </w:p>
  </w:footnote>
  <w:footnote w:type="continuationSeparator" w:id="0">
    <w:p w:rsidR="00F376B2" w:rsidRDefault="00F376B2">
      <w:r>
        <w:continuationSeparator/>
      </w:r>
    </w:p>
  </w:footnote>
  <w:footnote w:id="1">
    <w:p w:rsidR="002459F9" w:rsidRPr="00DF5DE8" w:rsidRDefault="002459F9" w:rsidP="007B4B2A">
      <w:pPr>
        <w:pStyle w:val="Funotentext"/>
        <w:spacing w:line="360" w:lineRule="auto"/>
        <w:jc w:val="both"/>
        <w:rPr>
          <w:lang w:val="de-DE"/>
        </w:rPr>
      </w:pPr>
      <w:r w:rsidRPr="007B4B2A">
        <w:rPr>
          <w:rStyle w:val="Funotenzeichen"/>
        </w:rPr>
        <w:footnoteRef/>
      </w:r>
      <w:r w:rsidRPr="007B4B2A">
        <w:t xml:space="preserve"> </w:t>
      </w:r>
      <w:r w:rsidR="00C448E1" w:rsidRPr="00DF5DE8">
        <w:rPr>
          <w:lang w:val="de-DE"/>
        </w:rPr>
        <w:t>Châtelet (1740),</w:t>
      </w:r>
      <w:r w:rsidRPr="00DF5DE8">
        <w:rPr>
          <w:lang w:val="de-DE"/>
        </w:rPr>
        <w:t xml:space="preserve"> 12-13. </w:t>
      </w:r>
      <w:r w:rsidR="00C448E1" w:rsidRPr="00DF5DE8">
        <w:rPr>
          <w:lang w:val="de-DE"/>
        </w:rPr>
        <w:t>Alle für den vorliegenden Artikel relevanten Passagen werden unverändert aufgenommen in Ch</w:t>
      </w:r>
      <w:r w:rsidR="000570B7">
        <w:rPr>
          <w:lang w:val="de-DE"/>
        </w:rPr>
        <w:t>âtelet (1742). Eine altertümliche deutsche Übersetzung der Ausgabe von 1742 findet sich</w:t>
      </w:r>
      <w:r w:rsidR="00C448E1" w:rsidRPr="00DF5DE8">
        <w:rPr>
          <w:lang w:val="de-DE"/>
        </w:rPr>
        <w:t xml:space="preserve"> in Ch</w:t>
      </w:r>
      <w:r w:rsidR="001F0BC8" w:rsidRPr="00DF5DE8">
        <w:rPr>
          <w:lang w:val="de-DE"/>
        </w:rPr>
        <w:t xml:space="preserve">âtelet (1743). </w:t>
      </w:r>
      <w:r w:rsidR="000570B7">
        <w:rPr>
          <w:lang w:val="de-DE"/>
        </w:rPr>
        <w:t>Im Interesse der Genauigkeit sind, wo nicht anders vermerkt,</w:t>
      </w:r>
      <w:r w:rsidR="001F0BC8" w:rsidRPr="00DF5DE8">
        <w:rPr>
          <w:lang w:val="de-DE"/>
        </w:rPr>
        <w:t xml:space="preserve"> Übersetzungen im F</w:t>
      </w:r>
      <w:r w:rsidR="00C448E1" w:rsidRPr="00DF5DE8">
        <w:rPr>
          <w:lang w:val="de-DE"/>
        </w:rPr>
        <w:t>olgenden meine eigenen.</w:t>
      </w:r>
      <w:r w:rsidR="009E6644" w:rsidRPr="00DF5DE8">
        <w:rPr>
          <w:lang w:val="de-DE"/>
        </w:rPr>
        <w:t xml:space="preserve"> Generell zu Châtelets Leibniz-Rezeption, siehe Rey (</w:t>
      </w:r>
      <w:r w:rsidR="006D213E" w:rsidRPr="00DF5DE8">
        <w:rPr>
          <w:lang w:val="de-DE"/>
        </w:rPr>
        <w:t>2008), Winter (2008</w:t>
      </w:r>
      <w:r w:rsidR="009E6644" w:rsidRPr="00DF5DE8">
        <w:rPr>
          <w:lang w:val="de-DE"/>
        </w:rPr>
        <w:t xml:space="preserve">), </w:t>
      </w:r>
      <w:r w:rsidR="00E36B0F">
        <w:rPr>
          <w:lang w:val="de-DE"/>
        </w:rPr>
        <w:t>Hagengruber (2012)</w:t>
      </w:r>
      <w:r w:rsidR="009E6644" w:rsidRPr="00DF5DE8">
        <w:rPr>
          <w:lang w:val="de-DE"/>
        </w:rPr>
        <w:t>.</w:t>
      </w:r>
    </w:p>
  </w:footnote>
  <w:footnote w:id="2">
    <w:p w:rsidR="002459F9" w:rsidRPr="00DF5DE8" w:rsidRDefault="002459F9" w:rsidP="007B4B2A">
      <w:pPr>
        <w:pStyle w:val="Funotentext"/>
        <w:spacing w:line="360" w:lineRule="auto"/>
        <w:jc w:val="both"/>
        <w:rPr>
          <w:lang w:val="de-DE"/>
        </w:rPr>
      </w:pPr>
      <w:r w:rsidRPr="00DF5DE8">
        <w:rPr>
          <w:rStyle w:val="Funotenzeichen"/>
          <w:lang w:val="de-DE"/>
        </w:rPr>
        <w:footnoteRef/>
      </w:r>
      <w:r w:rsidRPr="00DF5DE8">
        <w:rPr>
          <w:lang w:val="de-DE"/>
        </w:rPr>
        <w:t xml:space="preserve"> </w:t>
      </w:r>
      <w:r w:rsidR="00C448E1" w:rsidRPr="00DF5DE8">
        <w:rPr>
          <w:lang w:val="de-DE"/>
        </w:rPr>
        <w:t>Châtelet (1740), 15</w:t>
      </w:r>
      <w:r w:rsidRPr="00DF5DE8">
        <w:rPr>
          <w:lang w:val="de-DE"/>
        </w:rPr>
        <w:t>.</w:t>
      </w:r>
    </w:p>
  </w:footnote>
  <w:footnote w:id="3">
    <w:p w:rsidR="002459F9" w:rsidRPr="00DF5DE8" w:rsidRDefault="002459F9" w:rsidP="004B7755">
      <w:pPr>
        <w:autoSpaceDE w:val="0"/>
        <w:autoSpaceDN w:val="0"/>
        <w:adjustRightInd w:val="0"/>
        <w:spacing w:line="360" w:lineRule="auto"/>
        <w:jc w:val="both"/>
        <w:rPr>
          <w:sz w:val="20"/>
          <w:szCs w:val="20"/>
          <w:lang w:val="de-DE"/>
        </w:rPr>
      </w:pPr>
      <w:r w:rsidRPr="00DF5DE8">
        <w:rPr>
          <w:rStyle w:val="Funotenzeichen"/>
          <w:sz w:val="20"/>
          <w:szCs w:val="20"/>
          <w:lang w:val="de-DE"/>
        </w:rPr>
        <w:footnoteRef/>
      </w:r>
      <w:r w:rsidRPr="00DF5DE8">
        <w:rPr>
          <w:sz w:val="20"/>
          <w:szCs w:val="20"/>
          <w:lang w:val="de-DE"/>
        </w:rPr>
        <w:t xml:space="preserve"> </w:t>
      </w:r>
      <w:r w:rsidR="00C448E1" w:rsidRPr="00DF5DE8">
        <w:rPr>
          <w:sz w:val="20"/>
          <w:szCs w:val="20"/>
          <w:lang w:val="de-DE"/>
        </w:rPr>
        <w:t xml:space="preserve">A VI, 4, 912; </w:t>
      </w:r>
      <w:r w:rsidRPr="00DF5DE8">
        <w:rPr>
          <w:sz w:val="20"/>
          <w:szCs w:val="20"/>
          <w:lang w:val="de-DE"/>
        </w:rPr>
        <w:t xml:space="preserve">A VI, 4, </w:t>
      </w:r>
      <w:r w:rsidR="00C448E1" w:rsidRPr="00DF5DE8">
        <w:rPr>
          <w:sz w:val="20"/>
          <w:szCs w:val="20"/>
          <w:lang w:val="de-DE"/>
        </w:rPr>
        <w:t xml:space="preserve">1654; </w:t>
      </w:r>
      <w:r w:rsidRPr="00DF5DE8">
        <w:rPr>
          <w:sz w:val="20"/>
          <w:szCs w:val="20"/>
          <w:lang w:val="de-DE"/>
        </w:rPr>
        <w:t>A VI, 4,</w:t>
      </w:r>
      <w:r w:rsidR="00C448E1" w:rsidRPr="00DF5DE8">
        <w:rPr>
          <w:sz w:val="20"/>
          <w:szCs w:val="20"/>
          <w:lang w:val="de-DE"/>
        </w:rPr>
        <w:t xml:space="preserve"> 1616; A VI, 4, 124; </w:t>
      </w:r>
      <w:r w:rsidRPr="00DF5DE8">
        <w:rPr>
          <w:sz w:val="20"/>
          <w:szCs w:val="20"/>
          <w:lang w:val="de-DE"/>
        </w:rPr>
        <w:t xml:space="preserve">GP VI, </w:t>
      </w:r>
      <w:r w:rsidR="00C448E1" w:rsidRPr="00DF5DE8">
        <w:rPr>
          <w:sz w:val="20"/>
          <w:szCs w:val="20"/>
          <w:lang w:val="de-DE"/>
        </w:rPr>
        <w:t>612</w:t>
      </w:r>
      <w:r w:rsidRPr="00DF5DE8">
        <w:rPr>
          <w:sz w:val="20"/>
          <w:szCs w:val="20"/>
          <w:lang w:val="de-DE"/>
        </w:rPr>
        <w:t>.</w:t>
      </w:r>
    </w:p>
  </w:footnote>
  <w:footnote w:id="4">
    <w:p w:rsidR="002459F9" w:rsidRPr="00DF5DE8" w:rsidRDefault="002459F9" w:rsidP="004B7755">
      <w:pPr>
        <w:autoSpaceDE w:val="0"/>
        <w:autoSpaceDN w:val="0"/>
        <w:adjustRightInd w:val="0"/>
        <w:spacing w:line="360" w:lineRule="auto"/>
        <w:jc w:val="both"/>
        <w:rPr>
          <w:sz w:val="20"/>
          <w:szCs w:val="20"/>
          <w:lang w:val="de-DE"/>
        </w:rPr>
      </w:pPr>
      <w:r w:rsidRPr="00DF5DE8">
        <w:rPr>
          <w:rStyle w:val="Funotenzeichen"/>
          <w:sz w:val="20"/>
          <w:szCs w:val="20"/>
          <w:lang w:val="de-DE"/>
        </w:rPr>
        <w:footnoteRef/>
      </w:r>
      <w:r w:rsidRPr="00DF5DE8">
        <w:rPr>
          <w:sz w:val="20"/>
          <w:szCs w:val="20"/>
          <w:lang w:val="de-DE"/>
        </w:rPr>
        <w:t xml:space="preserve"> </w:t>
      </w:r>
      <w:r w:rsidR="00C448E1" w:rsidRPr="00DF5DE8">
        <w:rPr>
          <w:sz w:val="20"/>
          <w:szCs w:val="20"/>
          <w:lang w:val="de-DE"/>
        </w:rPr>
        <w:t xml:space="preserve">GP VII, 299; </w:t>
      </w:r>
      <w:r w:rsidRPr="00DF5DE8">
        <w:rPr>
          <w:sz w:val="20"/>
          <w:szCs w:val="20"/>
          <w:lang w:val="de-DE"/>
        </w:rPr>
        <w:t xml:space="preserve">A VI, 4, </w:t>
      </w:r>
      <w:r w:rsidR="00C448E1" w:rsidRPr="00DF5DE8">
        <w:rPr>
          <w:sz w:val="20"/>
          <w:szCs w:val="20"/>
          <w:lang w:val="de-DE"/>
        </w:rPr>
        <w:t xml:space="preserve">1394; A VI, 4, 672; A VI, 6, 362; </w:t>
      </w:r>
      <w:r w:rsidRPr="00DF5DE8">
        <w:rPr>
          <w:sz w:val="20"/>
          <w:szCs w:val="20"/>
          <w:lang w:val="de-DE"/>
        </w:rPr>
        <w:t xml:space="preserve">GP </w:t>
      </w:r>
      <w:r w:rsidR="00C448E1" w:rsidRPr="00DF5DE8">
        <w:rPr>
          <w:sz w:val="20"/>
          <w:szCs w:val="20"/>
          <w:lang w:val="de-DE"/>
        </w:rPr>
        <w:t>VI, 127; GP VI, 211; GP VI, 413</w:t>
      </w:r>
      <w:r w:rsidRPr="00DF5DE8">
        <w:rPr>
          <w:sz w:val="20"/>
          <w:szCs w:val="20"/>
          <w:lang w:val="de-DE"/>
        </w:rPr>
        <w:t>; Grua 479.</w:t>
      </w:r>
    </w:p>
  </w:footnote>
  <w:footnote w:id="5">
    <w:p w:rsidR="002459F9" w:rsidRPr="00DF5DE8" w:rsidRDefault="002459F9" w:rsidP="007B4B2A">
      <w:pPr>
        <w:pStyle w:val="Funotentext"/>
        <w:spacing w:line="360" w:lineRule="auto"/>
        <w:jc w:val="both"/>
        <w:rPr>
          <w:lang w:val="de-DE"/>
        </w:rPr>
      </w:pPr>
      <w:r w:rsidRPr="00DF5DE8">
        <w:rPr>
          <w:rStyle w:val="Funotenzeichen"/>
          <w:lang w:val="de-DE"/>
        </w:rPr>
        <w:footnoteRef/>
      </w:r>
      <w:r w:rsidRPr="00DF5DE8">
        <w:rPr>
          <w:lang w:val="de-DE"/>
        </w:rPr>
        <w:t xml:space="preserve"> </w:t>
      </w:r>
      <w:r w:rsidR="00C448E1" w:rsidRPr="00DF5DE8">
        <w:rPr>
          <w:lang w:val="de-DE"/>
        </w:rPr>
        <w:t>A VI, 6, 362; GP VII, 355</w:t>
      </w:r>
      <w:r w:rsidRPr="00DF5DE8">
        <w:rPr>
          <w:lang w:val="de-DE"/>
        </w:rPr>
        <w:t>.</w:t>
      </w:r>
    </w:p>
  </w:footnote>
  <w:footnote w:id="6">
    <w:p w:rsidR="002459F9" w:rsidRPr="00DF5DE8" w:rsidRDefault="002459F9" w:rsidP="004B7755">
      <w:pPr>
        <w:autoSpaceDE w:val="0"/>
        <w:autoSpaceDN w:val="0"/>
        <w:adjustRightInd w:val="0"/>
        <w:spacing w:line="360" w:lineRule="auto"/>
        <w:jc w:val="both"/>
        <w:rPr>
          <w:sz w:val="20"/>
          <w:szCs w:val="20"/>
          <w:lang w:val="de-DE"/>
        </w:rPr>
      </w:pPr>
      <w:r w:rsidRPr="00DF5DE8">
        <w:rPr>
          <w:rStyle w:val="Funotenzeichen"/>
          <w:sz w:val="20"/>
          <w:szCs w:val="20"/>
          <w:lang w:val="de-DE"/>
        </w:rPr>
        <w:footnoteRef/>
      </w:r>
      <w:r w:rsidRPr="00DF5DE8">
        <w:rPr>
          <w:sz w:val="20"/>
          <w:szCs w:val="20"/>
          <w:lang w:val="de-DE"/>
        </w:rPr>
        <w:t xml:space="preserve"> </w:t>
      </w:r>
      <w:r w:rsidR="00C448E1" w:rsidRPr="00DF5DE8">
        <w:rPr>
          <w:sz w:val="20"/>
          <w:szCs w:val="20"/>
          <w:lang w:val="de-DE"/>
        </w:rPr>
        <w:t>A VI, 6, 362</w:t>
      </w:r>
      <w:r w:rsidRPr="00DF5DE8">
        <w:rPr>
          <w:sz w:val="20"/>
          <w:szCs w:val="20"/>
          <w:lang w:val="de-DE"/>
        </w:rPr>
        <w:t>. Dabei fasst Leibniz die Aussagen (2.1) und (2.2) als die beiden in (2) enthaltenen Teilaussagen auf.</w:t>
      </w:r>
    </w:p>
  </w:footnote>
  <w:footnote w:id="7">
    <w:p w:rsidR="002459F9" w:rsidRPr="00DF5DE8" w:rsidRDefault="002459F9" w:rsidP="004B7755">
      <w:pPr>
        <w:autoSpaceDE w:val="0"/>
        <w:autoSpaceDN w:val="0"/>
        <w:adjustRightInd w:val="0"/>
        <w:spacing w:line="360" w:lineRule="auto"/>
        <w:jc w:val="both"/>
        <w:rPr>
          <w:sz w:val="20"/>
          <w:szCs w:val="20"/>
          <w:lang w:val="de-DE"/>
        </w:rPr>
      </w:pPr>
      <w:r w:rsidRPr="00DF5DE8">
        <w:rPr>
          <w:rStyle w:val="Funotenzeichen"/>
          <w:sz w:val="20"/>
          <w:szCs w:val="20"/>
          <w:lang w:val="de-DE"/>
        </w:rPr>
        <w:footnoteRef/>
      </w:r>
      <w:r w:rsidRPr="00DF5DE8">
        <w:rPr>
          <w:sz w:val="20"/>
          <w:szCs w:val="20"/>
          <w:lang w:val="de-DE"/>
        </w:rPr>
        <w:t xml:space="preserve"> </w:t>
      </w:r>
      <w:r w:rsidR="00C448E1" w:rsidRPr="00DF5DE8">
        <w:rPr>
          <w:sz w:val="20"/>
          <w:szCs w:val="20"/>
          <w:lang w:val="de-DE"/>
        </w:rPr>
        <w:t>A VI, 3, 505; GP VII, 355; vgl. A VI, 6, 82-83; A VI, 6, 362</w:t>
      </w:r>
      <w:r w:rsidRPr="00DF5DE8">
        <w:rPr>
          <w:sz w:val="20"/>
          <w:szCs w:val="20"/>
          <w:lang w:val="de-DE"/>
        </w:rPr>
        <w:t xml:space="preserve">. </w:t>
      </w:r>
    </w:p>
  </w:footnote>
  <w:footnote w:id="8">
    <w:p w:rsidR="002459F9" w:rsidRPr="00DF5DE8" w:rsidRDefault="002459F9" w:rsidP="004B7755">
      <w:pPr>
        <w:autoSpaceDE w:val="0"/>
        <w:autoSpaceDN w:val="0"/>
        <w:adjustRightInd w:val="0"/>
        <w:spacing w:line="360" w:lineRule="auto"/>
        <w:jc w:val="both"/>
        <w:rPr>
          <w:i/>
          <w:iCs/>
          <w:sz w:val="20"/>
          <w:szCs w:val="20"/>
          <w:lang w:val="de-DE"/>
        </w:rPr>
      </w:pPr>
      <w:r w:rsidRPr="00DF5DE8">
        <w:rPr>
          <w:rStyle w:val="Funotenzeichen"/>
          <w:sz w:val="20"/>
          <w:szCs w:val="20"/>
          <w:lang w:val="de-DE"/>
        </w:rPr>
        <w:footnoteRef/>
      </w:r>
      <w:r w:rsidRPr="00DF5DE8">
        <w:rPr>
          <w:sz w:val="20"/>
          <w:szCs w:val="20"/>
          <w:lang w:val="de-DE"/>
        </w:rPr>
        <w:t xml:space="preserve"> Entgegen </w:t>
      </w:r>
      <w:r w:rsidR="00D61B40" w:rsidRPr="00DF5DE8">
        <w:rPr>
          <w:sz w:val="20"/>
          <w:szCs w:val="20"/>
          <w:lang w:val="de-DE"/>
        </w:rPr>
        <w:t>Heimsoeth (1912-1914)</w:t>
      </w:r>
      <w:r w:rsidRPr="00DF5DE8">
        <w:rPr>
          <w:i/>
          <w:iCs/>
          <w:sz w:val="20"/>
          <w:szCs w:val="20"/>
          <w:lang w:val="de-DE"/>
        </w:rPr>
        <w:t>,</w:t>
      </w:r>
      <w:r w:rsidR="001C6583">
        <w:rPr>
          <w:i/>
          <w:iCs/>
          <w:sz w:val="20"/>
          <w:szCs w:val="20"/>
          <w:lang w:val="de-DE"/>
        </w:rPr>
        <w:t xml:space="preserve"> </w:t>
      </w:r>
      <w:r w:rsidR="001C6583">
        <w:rPr>
          <w:iCs/>
          <w:sz w:val="20"/>
          <w:szCs w:val="20"/>
          <w:lang w:val="de-DE"/>
        </w:rPr>
        <w:t>2:</w:t>
      </w:r>
      <w:r w:rsidRPr="00DF5DE8">
        <w:rPr>
          <w:i/>
          <w:iCs/>
          <w:sz w:val="20"/>
          <w:szCs w:val="20"/>
          <w:lang w:val="de-DE"/>
        </w:rPr>
        <w:t xml:space="preserve"> </w:t>
      </w:r>
      <w:r w:rsidR="00D61B40" w:rsidRPr="00DF5DE8">
        <w:rPr>
          <w:sz w:val="20"/>
          <w:szCs w:val="20"/>
          <w:lang w:val="de-DE"/>
        </w:rPr>
        <w:t>209; Martin (1967)</w:t>
      </w:r>
      <w:r w:rsidRPr="00DF5DE8">
        <w:rPr>
          <w:i/>
          <w:iCs/>
          <w:sz w:val="20"/>
          <w:szCs w:val="20"/>
          <w:lang w:val="de-DE"/>
        </w:rPr>
        <w:t xml:space="preserve">, </w:t>
      </w:r>
      <w:r w:rsidR="00D61B40" w:rsidRPr="00DF5DE8">
        <w:rPr>
          <w:sz w:val="20"/>
          <w:szCs w:val="20"/>
          <w:lang w:val="de-DE"/>
        </w:rPr>
        <w:t>10; Mates (1986)</w:t>
      </w:r>
      <w:r w:rsidRPr="00DF5DE8">
        <w:rPr>
          <w:i/>
          <w:iCs/>
          <w:sz w:val="20"/>
          <w:szCs w:val="20"/>
          <w:lang w:val="de-DE"/>
        </w:rPr>
        <w:t xml:space="preserve">, </w:t>
      </w:r>
      <w:r w:rsidRPr="00DF5DE8">
        <w:rPr>
          <w:sz w:val="20"/>
          <w:szCs w:val="20"/>
          <w:lang w:val="de-DE"/>
        </w:rPr>
        <w:t>152-154.</w:t>
      </w:r>
    </w:p>
  </w:footnote>
  <w:footnote w:id="9">
    <w:p w:rsidR="002459F9" w:rsidRPr="00DF5DE8" w:rsidRDefault="002459F9" w:rsidP="004B7755">
      <w:pPr>
        <w:autoSpaceDE w:val="0"/>
        <w:autoSpaceDN w:val="0"/>
        <w:adjustRightInd w:val="0"/>
        <w:spacing w:line="360" w:lineRule="auto"/>
        <w:jc w:val="both"/>
        <w:rPr>
          <w:sz w:val="20"/>
          <w:szCs w:val="20"/>
          <w:lang w:val="de-DE"/>
        </w:rPr>
      </w:pPr>
      <w:r w:rsidRPr="00DF5DE8">
        <w:rPr>
          <w:rStyle w:val="Funotenzeichen"/>
          <w:sz w:val="20"/>
          <w:szCs w:val="20"/>
          <w:lang w:val="de-DE"/>
        </w:rPr>
        <w:footnoteRef/>
      </w:r>
      <w:r w:rsidRPr="00DF5DE8">
        <w:rPr>
          <w:sz w:val="20"/>
          <w:szCs w:val="20"/>
          <w:lang w:val="de-DE"/>
        </w:rPr>
        <w:t xml:space="preserve"> </w:t>
      </w:r>
      <w:r w:rsidR="00C448E1" w:rsidRPr="00DF5DE8">
        <w:rPr>
          <w:sz w:val="20"/>
          <w:szCs w:val="20"/>
          <w:lang w:val="de-DE"/>
        </w:rPr>
        <w:t>A VI, 4, 280-281</w:t>
      </w:r>
      <w:r w:rsidRPr="00DF5DE8">
        <w:rPr>
          <w:sz w:val="20"/>
          <w:szCs w:val="20"/>
          <w:lang w:val="de-DE"/>
        </w:rPr>
        <w:t>; GP VII, 30</w:t>
      </w:r>
      <w:r w:rsidR="00C448E1" w:rsidRPr="00DF5DE8">
        <w:rPr>
          <w:sz w:val="20"/>
          <w:szCs w:val="20"/>
          <w:lang w:val="de-DE"/>
        </w:rPr>
        <w:t xml:space="preserve">0; </w:t>
      </w:r>
      <w:r w:rsidRPr="00DF5DE8">
        <w:rPr>
          <w:sz w:val="20"/>
          <w:szCs w:val="20"/>
          <w:lang w:val="de-DE"/>
        </w:rPr>
        <w:t xml:space="preserve">GP VII, </w:t>
      </w:r>
      <w:r w:rsidR="00C448E1" w:rsidRPr="00DF5DE8">
        <w:rPr>
          <w:sz w:val="20"/>
          <w:szCs w:val="20"/>
          <w:lang w:val="de-DE"/>
        </w:rPr>
        <w:t>309</w:t>
      </w:r>
      <w:r w:rsidRPr="00DF5DE8">
        <w:rPr>
          <w:sz w:val="20"/>
          <w:szCs w:val="20"/>
          <w:lang w:val="de-DE"/>
        </w:rPr>
        <w:t>.</w:t>
      </w:r>
    </w:p>
  </w:footnote>
  <w:footnote w:id="10">
    <w:p w:rsidR="002459F9" w:rsidRPr="00DF5DE8" w:rsidRDefault="002459F9" w:rsidP="007B4B2A">
      <w:pPr>
        <w:pStyle w:val="Funotentext"/>
        <w:spacing w:line="360" w:lineRule="auto"/>
        <w:jc w:val="both"/>
        <w:rPr>
          <w:lang w:val="de-DE"/>
        </w:rPr>
      </w:pPr>
      <w:r w:rsidRPr="00DF5DE8">
        <w:rPr>
          <w:rStyle w:val="Funotenzeichen"/>
          <w:lang w:val="de-DE"/>
        </w:rPr>
        <w:footnoteRef/>
      </w:r>
      <w:r w:rsidRPr="00DF5DE8">
        <w:rPr>
          <w:lang w:val="de-DE"/>
        </w:rPr>
        <w:t xml:space="preserve"> A</w:t>
      </w:r>
      <w:r w:rsidR="00C448E1" w:rsidRPr="00DF5DE8">
        <w:rPr>
          <w:lang w:val="de-DE"/>
        </w:rPr>
        <w:t xml:space="preserve"> VI, 6, 83</w:t>
      </w:r>
      <w:r w:rsidRPr="00DF5DE8">
        <w:rPr>
          <w:lang w:val="de-DE"/>
        </w:rPr>
        <w:t>.</w:t>
      </w:r>
    </w:p>
  </w:footnote>
  <w:footnote w:id="11">
    <w:p w:rsidR="002459F9" w:rsidRPr="00DF5DE8" w:rsidRDefault="002459F9" w:rsidP="007B4B2A">
      <w:pPr>
        <w:pStyle w:val="Funotentext"/>
        <w:spacing w:line="360" w:lineRule="auto"/>
        <w:jc w:val="both"/>
        <w:rPr>
          <w:lang w:val="de-DE"/>
        </w:rPr>
      </w:pPr>
      <w:r w:rsidRPr="00DF5DE8">
        <w:rPr>
          <w:rStyle w:val="Funotenzeichen"/>
          <w:lang w:val="de-DE"/>
        </w:rPr>
        <w:footnoteRef/>
      </w:r>
      <w:r w:rsidRPr="00DF5DE8">
        <w:rPr>
          <w:lang w:val="de-DE"/>
        </w:rPr>
        <w:t xml:space="preserve"> A VI, 4,</w:t>
      </w:r>
      <w:r w:rsidR="00C448E1" w:rsidRPr="00DF5DE8">
        <w:rPr>
          <w:lang w:val="de-DE"/>
        </w:rPr>
        <w:t xml:space="preserve"> 290</w:t>
      </w:r>
      <w:r w:rsidRPr="00DF5DE8">
        <w:rPr>
          <w:lang w:val="de-DE"/>
        </w:rPr>
        <w:t>.</w:t>
      </w:r>
    </w:p>
  </w:footnote>
  <w:footnote w:id="12">
    <w:p w:rsidR="002459F9" w:rsidRPr="00DF5DE8" w:rsidRDefault="002459F9" w:rsidP="004B7755">
      <w:pPr>
        <w:autoSpaceDE w:val="0"/>
        <w:autoSpaceDN w:val="0"/>
        <w:adjustRightInd w:val="0"/>
        <w:spacing w:line="360" w:lineRule="auto"/>
        <w:jc w:val="both"/>
        <w:rPr>
          <w:sz w:val="20"/>
          <w:szCs w:val="20"/>
          <w:lang w:val="de-DE"/>
        </w:rPr>
      </w:pPr>
      <w:r w:rsidRPr="00DF5DE8">
        <w:rPr>
          <w:rStyle w:val="Funotenzeichen"/>
          <w:sz w:val="20"/>
          <w:szCs w:val="20"/>
          <w:lang w:val="de-DE"/>
        </w:rPr>
        <w:footnoteRef/>
      </w:r>
      <w:r w:rsidRPr="00DF5DE8">
        <w:rPr>
          <w:sz w:val="20"/>
          <w:szCs w:val="20"/>
          <w:lang w:val="de-DE"/>
        </w:rPr>
        <w:t xml:space="preserve"> </w:t>
      </w:r>
      <w:r w:rsidR="00C448E1" w:rsidRPr="00DF5DE8">
        <w:rPr>
          <w:sz w:val="20"/>
          <w:szCs w:val="20"/>
          <w:lang w:val="de-DE"/>
        </w:rPr>
        <w:t>A VI, 6, 265</w:t>
      </w:r>
      <w:r w:rsidRPr="00DF5DE8">
        <w:rPr>
          <w:sz w:val="20"/>
          <w:szCs w:val="20"/>
          <w:lang w:val="de-DE"/>
        </w:rPr>
        <w:t>. Da Leibniz die negativen Aussagen als affirmative Aussagen versteht, die behaupten, dass der verneinte Prädikatbegriff im Subjektbegriff enthalten ist, lassen sich diese Kriterien auch auf die negativen Aussagen anwenden.</w:t>
      </w:r>
    </w:p>
  </w:footnote>
  <w:footnote w:id="13">
    <w:p w:rsidR="002459F9" w:rsidRPr="00DF5DE8" w:rsidRDefault="002459F9" w:rsidP="004B7755">
      <w:pPr>
        <w:autoSpaceDE w:val="0"/>
        <w:autoSpaceDN w:val="0"/>
        <w:adjustRightInd w:val="0"/>
        <w:spacing w:line="360" w:lineRule="auto"/>
        <w:jc w:val="both"/>
        <w:rPr>
          <w:sz w:val="20"/>
          <w:szCs w:val="20"/>
          <w:lang w:val="de-DE"/>
        </w:rPr>
      </w:pPr>
      <w:r w:rsidRPr="00DF5DE8">
        <w:rPr>
          <w:rStyle w:val="Funotenzeichen"/>
          <w:sz w:val="20"/>
          <w:szCs w:val="20"/>
          <w:lang w:val="de-DE"/>
        </w:rPr>
        <w:footnoteRef/>
      </w:r>
      <w:r w:rsidRPr="00DF5DE8">
        <w:rPr>
          <w:sz w:val="20"/>
          <w:szCs w:val="20"/>
          <w:lang w:val="de-DE"/>
        </w:rPr>
        <w:t xml:space="preserve"> </w:t>
      </w:r>
      <w:r w:rsidR="00C448E1" w:rsidRPr="00DF5DE8">
        <w:rPr>
          <w:sz w:val="20"/>
          <w:szCs w:val="20"/>
          <w:lang w:val="de-DE"/>
        </w:rPr>
        <w:t xml:space="preserve">GP VII, 299; GP VII, 355; </w:t>
      </w:r>
      <w:r w:rsidRPr="00DF5DE8">
        <w:rPr>
          <w:sz w:val="20"/>
          <w:szCs w:val="20"/>
          <w:lang w:val="de-DE"/>
        </w:rPr>
        <w:t>A VI, 6,</w:t>
      </w:r>
      <w:r w:rsidR="00C448E1" w:rsidRPr="00DF5DE8">
        <w:rPr>
          <w:sz w:val="20"/>
          <w:szCs w:val="20"/>
          <w:lang w:val="de-DE"/>
        </w:rPr>
        <w:t xml:space="preserve"> 361-362; GP VI, 127; GP VI, 413</w:t>
      </w:r>
      <w:r w:rsidRPr="00DF5DE8">
        <w:rPr>
          <w:sz w:val="20"/>
          <w:szCs w:val="20"/>
          <w:lang w:val="de-DE"/>
        </w:rPr>
        <w:t>.</w:t>
      </w:r>
    </w:p>
  </w:footnote>
  <w:footnote w:id="14">
    <w:p w:rsidR="002459F9" w:rsidRPr="00DF5DE8" w:rsidRDefault="002459F9" w:rsidP="004B7755">
      <w:pPr>
        <w:autoSpaceDE w:val="0"/>
        <w:autoSpaceDN w:val="0"/>
        <w:adjustRightInd w:val="0"/>
        <w:spacing w:line="360" w:lineRule="auto"/>
        <w:jc w:val="both"/>
        <w:rPr>
          <w:sz w:val="20"/>
          <w:szCs w:val="20"/>
          <w:lang w:val="de-DE"/>
        </w:rPr>
      </w:pPr>
      <w:r w:rsidRPr="00DF5DE8">
        <w:rPr>
          <w:rStyle w:val="Funotenzeichen"/>
          <w:sz w:val="20"/>
          <w:szCs w:val="20"/>
          <w:lang w:val="de-DE"/>
        </w:rPr>
        <w:footnoteRef/>
      </w:r>
      <w:r w:rsidRPr="00DF5DE8">
        <w:rPr>
          <w:sz w:val="20"/>
          <w:szCs w:val="20"/>
          <w:lang w:val="de-DE"/>
        </w:rPr>
        <w:t xml:space="preserve"> </w:t>
      </w:r>
      <w:r w:rsidR="00C448E1" w:rsidRPr="00DF5DE8">
        <w:rPr>
          <w:sz w:val="20"/>
          <w:szCs w:val="20"/>
          <w:lang w:val="de-DE"/>
        </w:rPr>
        <w:t>GP VII, 355.</w:t>
      </w:r>
    </w:p>
  </w:footnote>
  <w:footnote w:id="15">
    <w:p w:rsidR="002459F9" w:rsidRPr="00DF5DE8" w:rsidRDefault="002459F9" w:rsidP="007B4B2A">
      <w:pPr>
        <w:pStyle w:val="Funotentext"/>
        <w:spacing w:line="360" w:lineRule="auto"/>
        <w:jc w:val="both"/>
        <w:rPr>
          <w:lang w:val="de-DE"/>
        </w:rPr>
      </w:pPr>
      <w:r w:rsidRPr="00DF5DE8">
        <w:rPr>
          <w:rStyle w:val="Funotenzeichen"/>
          <w:lang w:val="de-DE"/>
        </w:rPr>
        <w:footnoteRef/>
      </w:r>
      <w:r w:rsidRPr="00DF5DE8">
        <w:rPr>
          <w:lang w:val="de-DE"/>
        </w:rPr>
        <w:t xml:space="preserve"> Für eine detaillierte Diskussion dies</w:t>
      </w:r>
      <w:r w:rsidR="00C448E1" w:rsidRPr="00DF5DE8">
        <w:rPr>
          <w:lang w:val="de-DE"/>
        </w:rPr>
        <w:t>er Fragen, siehe Blank</w:t>
      </w:r>
      <w:r w:rsidRPr="00DF5DE8">
        <w:rPr>
          <w:lang w:val="de-DE"/>
        </w:rPr>
        <w:t xml:space="preserve"> </w:t>
      </w:r>
      <w:r w:rsidR="00C448E1" w:rsidRPr="00DF5DE8">
        <w:rPr>
          <w:lang w:val="de-DE"/>
        </w:rPr>
        <w:t>(</w:t>
      </w:r>
      <w:r w:rsidRPr="00DF5DE8">
        <w:rPr>
          <w:lang w:val="de-DE"/>
        </w:rPr>
        <w:t>2001</w:t>
      </w:r>
      <w:r w:rsidR="00C448E1" w:rsidRPr="00DF5DE8">
        <w:rPr>
          <w:lang w:val="de-DE"/>
        </w:rPr>
        <w:t>)</w:t>
      </w:r>
      <w:r w:rsidRPr="00DF5DE8">
        <w:rPr>
          <w:lang w:val="de-DE"/>
        </w:rPr>
        <w:t>, 134-140.</w:t>
      </w:r>
      <w:r w:rsidR="0078761A" w:rsidRPr="00DF5DE8">
        <w:rPr>
          <w:lang w:val="de-DE"/>
        </w:rPr>
        <w:t xml:space="preserve"> Für Parallelen in Leibniz’ früher Metaphilosophie, siehe Blank (2005). </w:t>
      </w:r>
    </w:p>
  </w:footnote>
  <w:footnote w:id="16">
    <w:p w:rsidR="002459F9" w:rsidRPr="00DF5DE8" w:rsidRDefault="002459F9" w:rsidP="007B4B2A">
      <w:pPr>
        <w:pStyle w:val="Funotentext"/>
        <w:spacing w:line="360" w:lineRule="auto"/>
        <w:jc w:val="both"/>
        <w:rPr>
          <w:lang w:val="de-DE"/>
        </w:rPr>
      </w:pPr>
      <w:r w:rsidRPr="00DF5DE8">
        <w:rPr>
          <w:rStyle w:val="Funotenzeichen"/>
          <w:lang w:val="de-DE"/>
        </w:rPr>
        <w:footnoteRef/>
      </w:r>
      <w:r w:rsidRPr="00DF5DE8">
        <w:rPr>
          <w:lang w:val="de-DE"/>
        </w:rPr>
        <w:t xml:space="preserve"> Für eine solche Interpretation, siehe </w:t>
      </w:r>
      <w:r w:rsidR="00D61B40" w:rsidRPr="00DF5DE8">
        <w:rPr>
          <w:lang w:val="de-DE"/>
        </w:rPr>
        <w:t>Wilson (1989)</w:t>
      </w:r>
      <w:r w:rsidR="00D61B40" w:rsidRPr="00DF5DE8">
        <w:rPr>
          <w:i/>
          <w:iCs/>
          <w:lang w:val="de-DE"/>
        </w:rPr>
        <w:t>,</w:t>
      </w:r>
      <w:r w:rsidRPr="00DF5DE8">
        <w:rPr>
          <w:lang w:val="de-DE"/>
        </w:rPr>
        <w:t xml:space="preserve"> 307-311.</w:t>
      </w:r>
    </w:p>
  </w:footnote>
  <w:footnote w:id="17">
    <w:p w:rsidR="002459F9" w:rsidRPr="00DF5DE8" w:rsidRDefault="002459F9" w:rsidP="007B4B2A">
      <w:pPr>
        <w:pStyle w:val="Funotentext"/>
        <w:spacing w:line="360" w:lineRule="auto"/>
        <w:jc w:val="both"/>
        <w:rPr>
          <w:lang w:val="de-DE"/>
        </w:rPr>
      </w:pPr>
      <w:r w:rsidRPr="00DF5DE8">
        <w:rPr>
          <w:rStyle w:val="Funotenzeichen"/>
          <w:lang w:val="de-DE"/>
        </w:rPr>
        <w:footnoteRef/>
      </w:r>
      <w:r w:rsidR="00A258B0">
        <w:rPr>
          <w:lang w:val="de-DE"/>
        </w:rPr>
        <w:t xml:space="preserve"> Siehe </w:t>
      </w:r>
      <w:proofErr w:type="spellStart"/>
      <w:r w:rsidR="00A258B0">
        <w:rPr>
          <w:lang w:val="de-DE"/>
        </w:rPr>
        <w:t>Burtt</w:t>
      </w:r>
      <w:proofErr w:type="spellEnd"/>
      <w:r w:rsidR="00A258B0">
        <w:rPr>
          <w:lang w:val="de-DE"/>
        </w:rPr>
        <w:t xml:space="preserve"> (1963); Haack (1979)</w:t>
      </w:r>
      <w:r w:rsidRPr="00DF5DE8">
        <w:rPr>
          <w:lang w:val="de-DE"/>
        </w:rPr>
        <w:t>.</w:t>
      </w:r>
    </w:p>
  </w:footnote>
  <w:footnote w:id="18">
    <w:p w:rsidR="002459F9" w:rsidRPr="00DF5DE8" w:rsidRDefault="002459F9" w:rsidP="007B4B2A">
      <w:pPr>
        <w:pStyle w:val="Funotentext"/>
        <w:spacing w:line="360" w:lineRule="auto"/>
        <w:jc w:val="both"/>
        <w:rPr>
          <w:lang w:val="de-DE"/>
        </w:rPr>
      </w:pPr>
      <w:r w:rsidRPr="00DF5DE8">
        <w:rPr>
          <w:rStyle w:val="Funotenzeichen"/>
          <w:lang w:val="de-DE"/>
        </w:rPr>
        <w:footnoteRef/>
      </w:r>
      <w:r w:rsidRPr="00DF5DE8">
        <w:rPr>
          <w:lang w:val="de-DE"/>
        </w:rPr>
        <w:t xml:space="preserve"> </w:t>
      </w:r>
      <w:r w:rsidR="00D61B40" w:rsidRPr="00DF5DE8">
        <w:rPr>
          <w:lang w:val="de-DE"/>
        </w:rPr>
        <w:t xml:space="preserve">Strawson (1959), </w:t>
      </w:r>
      <w:r w:rsidRPr="00DF5DE8">
        <w:rPr>
          <w:lang w:val="de-DE"/>
        </w:rPr>
        <w:t>9.</w:t>
      </w:r>
    </w:p>
  </w:footnote>
  <w:footnote w:id="19">
    <w:p w:rsidR="002459F9" w:rsidRPr="00DF5DE8" w:rsidRDefault="002459F9" w:rsidP="007B4B2A">
      <w:pPr>
        <w:pStyle w:val="Funotentext"/>
        <w:spacing w:line="360" w:lineRule="auto"/>
        <w:jc w:val="both"/>
        <w:rPr>
          <w:lang w:val="de-DE"/>
        </w:rPr>
      </w:pPr>
      <w:r w:rsidRPr="00DF5DE8">
        <w:rPr>
          <w:rStyle w:val="Funotenzeichen"/>
          <w:lang w:val="de-DE"/>
        </w:rPr>
        <w:footnoteRef/>
      </w:r>
      <w:r w:rsidRPr="00DF5DE8">
        <w:rPr>
          <w:lang w:val="de-DE"/>
        </w:rPr>
        <w:t xml:space="preserve"> Ebd.</w:t>
      </w:r>
    </w:p>
  </w:footnote>
  <w:footnote w:id="20">
    <w:p w:rsidR="002459F9" w:rsidRPr="00DF5DE8" w:rsidRDefault="002459F9" w:rsidP="007B4B2A">
      <w:pPr>
        <w:pStyle w:val="Funotentext"/>
        <w:spacing w:line="360" w:lineRule="auto"/>
        <w:jc w:val="both"/>
        <w:rPr>
          <w:lang w:val="de-DE"/>
        </w:rPr>
      </w:pPr>
      <w:r w:rsidRPr="00DF5DE8">
        <w:rPr>
          <w:rStyle w:val="Funotenzeichen"/>
          <w:lang w:val="de-DE"/>
        </w:rPr>
        <w:footnoteRef/>
      </w:r>
      <w:r w:rsidR="009149CA" w:rsidRPr="00DF5DE8">
        <w:rPr>
          <w:lang w:val="de-DE"/>
        </w:rPr>
        <w:t xml:space="preserve"> Für </w:t>
      </w:r>
      <w:r w:rsidR="00D61B40" w:rsidRPr="00DF5DE8">
        <w:rPr>
          <w:lang w:val="de-DE"/>
        </w:rPr>
        <w:t xml:space="preserve">eine </w:t>
      </w:r>
      <w:r w:rsidRPr="00DF5DE8">
        <w:rPr>
          <w:lang w:val="de-DE"/>
        </w:rPr>
        <w:t>detaillierte Studie dies</w:t>
      </w:r>
      <w:r w:rsidR="00D61B40" w:rsidRPr="00DF5DE8">
        <w:rPr>
          <w:lang w:val="de-DE"/>
        </w:rPr>
        <w:t>er Aspekte, siehe Marschlich (1997)</w:t>
      </w:r>
      <w:r w:rsidR="008A5F9D" w:rsidRPr="00DF5DE8">
        <w:rPr>
          <w:lang w:val="de-DE"/>
        </w:rPr>
        <w:t>.</w:t>
      </w:r>
    </w:p>
  </w:footnote>
  <w:footnote w:id="21">
    <w:p w:rsidR="002459F9" w:rsidRPr="00DF5DE8" w:rsidRDefault="002459F9" w:rsidP="004B7755">
      <w:pPr>
        <w:autoSpaceDE w:val="0"/>
        <w:autoSpaceDN w:val="0"/>
        <w:adjustRightInd w:val="0"/>
        <w:spacing w:line="360" w:lineRule="auto"/>
        <w:jc w:val="both"/>
        <w:rPr>
          <w:sz w:val="20"/>
          <w:szCs w:val="20"/>
          <w:lang w:val="de-DE"/>
        </w:rPr>
      </w:pPr>
      <w:r w:rsidRPr="00DF5DE8">
        <w:rPr>
          <w:rStyle w:val="Funotenzeichen"/>
          <w:sz w:val="20"/>
          <w:szCs w:val="20"/>
          <w:lang w:val="de-DE"/>
        </w:rPr>
        <w:footnoteRef/>
      </w:r>
      <w:r w:rsidR="009149CA" w:rsidRPr="00DF5DE8">
        <w:rPr>
          <w:sz w:val="20"/>
          <w:szCs w:val="20"/>
          <w:lang w:val="de-DE"/>
        </w:rPr>
        <w:t xml:space="preserve"> </w:t>
      </w:r>
      <w:r w:rsidRPr="00DF5DE8">
        <w:rPr>
          <w:sz w:val="20"/>
          <w:szCs w:val="20"/>
          <w:lang w:val="de-DE"/>
        </w:rPr>
        <w:t>GP III, 355</w:t>
      </w:r>
      <w:r w:rsidR="009149CA" w:rsidRPr="00DF5DE8">
        <w:rPr>
          <w:sz w:val="20"/>
          <w:szCs w:val="20"/>
          <w:lang w:val="de-DE"/>
        </w:rPr>
        <w:t xml:space="preserve">. </w:t>
      </w:r>
    </w:p>
  </w:footnote>
  <w:footnote w:id="22">
    <w:p w:rsidR="002459F9" w:rsidRPr="00DF5DE8" w:rsidRDefault="002459F9" w:rsidP="004B7755">
      <w:pPr>
        <w:autoSpaceDE w:val="0"/>
        <w:autoSpaceDN w:val="0"/>
        <w:adjustRightInd w:val="0"/>
        <w:spacing w:line="360" w:lineRule="auto"/>
        <w:jc w:val="both"/>
        <w:rPr>
          <w:sz w:val="20"/>
          <w:szCs w:val="20"/>
          <w:lang w:val="de-DE"/>
        </w:rPr>
      </w:pPr>
      <w:r w:rsidRPr="00DF5DE8">
        <w:rPr>
          <w:rStyle w:val="Funotenzeichen"/>
          <w:sz w:val="20"/>
          <w:szCs w:val="20"/>
          <w:lang w:val="de-DE"/>
        </w:rPr>
        <w:footnoteRef/>
      </w:r>
      <w:r w:rsidR="009149CA" w:rsidRPr="00DF5DE8">
        <w:rPr>
          <w:sz w:val="20"/>
          <w:szCs w:val="20"/>
          <w:lang w:val="de-DE"/>
        </w:rPr>
        <w:t xml:space="preserve"> </w:t>
      </w:r>
      <w:r w:rsidRPr="00DF5DE8">
        <w:rPr>
          <w:sz w:val="20"/>
          <w:szCs w:val="20"/>
          <w:lang w:val="de-DE"/>
        </w:rPr>
        <w:t>GP IV, 486</w:t>
      </w:r>
      <w:r w:rsidR="009149CA" w:rsidRPr="00DF5DE8">
        <w:rPr>
          <w:sz w:val="20"/>
          <w:szCs w:val="20"/>
          <w:lang w:val="de-DE"/>
        </w:rPr>
        <w:t xml:space="preserve">. </w:t>
      </w:r>
    </w:p>
  </w:footnote>
  <w:footnote w:id="23">
    <w:p w:rsidR="002459F9" w:rsidRPr="00DF5DE8" w:rsidRDefault="002459F9" w:rsidP="007B4B2A">
      <w:pPr>
        <w:pStyle w:val="Funotentext"/>
        <w:spacing w:line="360" w:lineRule="auto"/>
        <w:jc w:val="both"/>
        <w:rPr>
          <w:lang w:val="de-DE"/>
        </w:rPr>
      </w:pPr>
      <w:r w:rsidRPr="00DF5DE8">
        <w:rPr>
          <w:rStyle w:val="Funotenzeichen"/>
          <w:lang w:val="de-DE"/>
        </w:rPr>
        <w:footnoteRef/>
      </w:r>
      <w:r w:rsidR="009149CA" w:rsidRPr="00DF5DE8">
        <w:rPr>
          <w:lang w:val="de-DE"/>
        </w:rPr>
        <w:t xml:space="preserve"> GP II, 95</w:t>
      </w:r>
      <w:r w:rsidRPr="00DF5DE8">
        <w:rPr>
          <w:lang w:val="de-DE"/>
        </w:rPr>
        <w:t>.</w:t>
      </w:r>
    </w:p>
  </w:footnote>
  <w:footnote w:id="24">
    <w:p w:rsidR="002459F9" w:rsidRPr="00DF5DE8" w:rsidRDefault="002459F9" w:rsidP="007B4B2A">
      <w:pPr>
        <w:pStyle w:val="Funotentext"/>
        <w:spacing w:line="360" w:lineRule="auto"/>
        <w:jc w:val="both"/>
        <w:rPr>
          <w:lang w:val="de-DE"/>
        </w:rPr>
      </w:pPr>
      <w:r w:rsidRPr="00DF5DE8">
        <w:rPr>
          <w:rStyle w:val="Funotenzeichen"/>
          <w:lang w:val="de-DE"/>
        </w:rPr>
        <w:footnoteRef/>
      </w:r>
      <w:r w:rsidRPr="00DF5DE8">
        <w:rPr>
          <w:lang w:val="de-DE"/>
        </w:rPr>
        <w:t xml:space="preserve"> GP IV, 498-499; GP IV, 500-501.</w:t>
      </w:r>
    </w:p>
  </w:footnote>
  <w:footnote w:id="25">
    <w:p w:rsidR="002459F9" w:rsidRPr="00DF5DE8" w:rsidRDefault="002459F9" w:rsidP="007B4B2A">
      <w:pPr>
        <w:pStyle w:val="Funotentext"/>
        <w:spacing w:line="360" w:lineRule="auto"/>
        <w:jc w:val="both"/>
        <w:rPr>
          <w:lang w:val="de-DE"/>
        </w:rPr>
      </w:pPr>
      <w:r w:rsidRPr="00DF5DE8">
        <w:rPr>
          <w:rStyle w:val="Funotenzeichen"/>
          <w:lang w:val="de-DE"/>
        </w:rPr>
        <w:footnoteRef/>
      </w:r>
      <w:r w:rsidR="009149CA" w:rsidRPr="00DF5DE8">
        <w:rPr>
          <w:lang w:val="de-DE"/>
        </w:rPr>
        <w:t xml:space="preserve"> GP II, 241</w:t>
      </w:r>
      <w:r w:rsidRPr="00DF5DE8">
        <w:rPr>
          <w:lang w:val="de-DE"/>
        </w:rPr>
        <w:t>.</w:t>
      </w:r>
    </w:p>
  </w:footnote>
  <w:footnote w:id="26">
    <w:p w:rsidR="002459F9" w:rsidRPr="00DF5DE8" w:rsidRDefault="002459F9" w:rsidP="004B7755">
      <w:pPr>
        <w:autoSpaceDE w:val="0"/>
        <w:autoSpaceDN w:val="0"/>
        <w:adjustRightInd w:val="0"/>
        <w:spacing w:line="360" w:lineRule="auto"/>
        <w:jc w:val="both"/>
        <w:rPr>
          <w:sz w:val="20"/>
          <w:szCs w:val="20"/>
          <w:lang w:val="de-DE"/>
        </w:rPr>
      </w:pPr>
      <w:r w:rsidRPr="00DF5DE8">
        <w:rPr>
          <w:rStyle w:val="Funotenzeichen"/>
          <w:sz w:val="20"/>
          <w:szCs w:val="20"/>
          <w:lang w:val="de-DE"/>
        </w:rPr>
        <w:footnoteRef/>
      </w:r>
      <w:r w:rsidRPr="00DF5DE8">
        <w:rPr>
          <w:sz w:val="20"/>
          <w:szCs w:val="20"/>
          <w:lang w:val="de-DE"/>
        </w:rPr>
        <w:t xml:space="preserve"> GP II, 168</w:t>
      </w:r>
      <w:r w:rsidR="009149CA" w:rsidRPr="00DF5DE8">
        <w:rPr>
          <w:sz w:val="20"/>
          <w:szCs w:val="20"/>
          <w:lang w:val="de-DE"/>
        </w:rPr>
        <w:t xml:space="preserve">. </w:t>
      </w:r>
    </w:p>
  </w:footnote>
  <w:footnote w:id="27">
    <w:p w:rsidR="002459F9" w:rsidRPr="00DF5DE8" w:rsidRDefault="002459F9" w:rsidP="009149CA">
      <w:pPr>
        <w:autoSpaceDE w:val="0"/>
        <w:autoSpaceDN w:val="0"/>
        <w:adjustRightInd w:val="0"/>
        <w:spacing w:line="360" w:lineRule="auto"/>
        <w:jc w:val="both"/>
        <w:rPr>
          <w:lang w:val="de-DE"/>
        </w:rPr>
      </w:pPr>
      <w:r w:rsidRPr="00DF5DE8">
        <w:rPr>
          <w:rStyle w:val="Funotenzeichen"/>
          <w:sz w:val="20"/>
          <w:szCs w:val="20"/>
          <w:lang w:val="de-DE"/>
        </w:rPr>
        <w:footnoteRef/>
      </w:r>
      <w:r w:rsidR="009149CA" w:rsidRPr="00DF5DE8">
        <w:rPr>
          <w:sz w:val="20"/>
          <w:szCs w:val="20"/>
          <w:lang w:val="de-DE"/>
        </w:rPr>
        <w:t xml:space="preserve"> </w:t>
      </w:r>
      <w:r w:rsidRPr="00DF5DE8">
        <w:rPr>
          <w:sz w:val="20"/>
          <w:szCs w:val="20"/>
          <w:lang w:val="de-DE"/>
        </w:rPr>
        <w:t>GP IV, 496</w:t>
      </w:r>
      <w:r w:rsidR="009149CA" w:rsidRPr="00DF5DE8">
        <w:rPr>
          <w:sz w:val="20"/>
          <w:szCs w:val="20"/>
          <w:lang w:val="de-DE"/>
        </w:rPr>
        <w:t>; GP III, 144.</w:t>
      </w:r>
      <w:r w:rsidRPr="00DF5DE8">
        <w:rPr>
          <w:sz w:val="20"/>
          <w:szCs w:val="20"/>
          <w:lang w:val="de-DE"/>
        </w:rPr>
        <w:t xml:space="preserve"> </w:t>
      </w:r>
    </w:p>
  </w:footnote>
  <w:footnote w:id="28">
    <w:p w:rsidR="002459F9" w:rsidRPr="00DF5DE8" w:rsidRDefault="002459F9" w:rsidP="004B7755">
      <w:pPr>
        <w:autoSpaceDE w:val="0"/>
        <w:autoSpaceDN w:val="0"/>
        <w:adjustRightInd w:val="0"/>
        <w:spacing w:line="360" w:lineRule="auto"/>
        <w:jc w:val="both"/>
        <w:rPr>
          <w:sz w:val="20"/>
          <w:szCs w:val="20"/>
          <w:lang w:val="de-DE"/>
        </w:rPr>
      </w:pPr>
      <w:r w:rsidRPr="00DF5DE8">
        <w:rPr>
          <w:rStyle w:val="Funotenzeichen"/>
          <w:sz w:val="20"/>
          <w:szCs w:val="20"/>
          <w:lang w:val="de-DE"/>
        </w:rPr>
        <w:footnoteRef/>
      </w:r>
      <w:r w:rsidR="009149CA" w:rsidRPr="00DF5DE8">
        <w:rPr>
          <w:sz w:val="20"/>
          <w:szCs w:val="20"/>
          <w:lang w:val="de-DE"/>
        </w:rPr>
        <w:t xml:space="preserve"> GP VII, 165; </w:t>
      </w:r>
      <w:r w:rsidRPr="00DF5DE8">
        <w:rPr>
          <w:sz w:val="20"/>
          <w:szCs w:val="20"/>
          <w:lang w:val="de-DE"/>
        </w:rPr>
        <w:t xml:space="preserve">GP IV, </w:t>
      </w:r>
      <w:r w:rsidR="009149CA" w:rsidRPr="00DF5DE8">
        <w:rPr>
          <w:sz w:val="20"/>
          <w:szCs w:val="20"/>
          <w:lang w:val="de-DE"/>
        </w:rPr>
        <w:t>355; GP I, 381-382</w:t>
      </w:r>
      <w:r w:rsidRPr="00DF5DE8">
        <w:rPr>
          <w:sz w:val="20"/>
          <w:szCs w:val="20"/>
          <w:lang w:val="de-DE"/>
        </w:rPr>
        <w:t xml:space="preserve">. </w:t>
      </w:r>
    </w:p>
  </w:footnote>
  <w:footnote w:id="29">
    <w:p w:rsidR="002459F9" w:rsidRPr="00DF5DE8" w:rsidRDefault="002459F9" w:rsidP="007B4B2A">
      <w:pPr>
        <w:pStyle w:val="Funotentext"/>
        <w:spacing w:line="360" w:lineRule="auto"/>
        <w:jc w:val="both"/>
        <w:rPr>
          <w:lang w:val="de-DE"/>
        </w:rPr>
      </w:pPr>
      <w:r w:rsidRPr="00DF5DE8">
        <w:rPr>
          <w:rStyle w:val="Funotenzeichen"/>
          <w:lang w:val="de-DE"/>
        </w:rPr>
        <w:footnoteRef/>
      </w:r>
      <w:r w:rsidR="009149CA" w:rsidRPr="00DF5DE8">
        <w:rPr>
          <w:lang w:val="de-DE"/>
        </w:rPr>
        <w:t xml:space="preserve"> GP 1,381</w:t>
      </w:r>
      <w:r w:rsidRPr="00DF5DE8">
        <w:rPr>
          <w:lang w:val="de-DE"/>
        </w:rPr>
        <w:t>.</w:t>
      </w:r>
    </w:p>
  </w:footnote>
  <w:footnote w:id="30">
    <w:p w:rsidR="002459F9" w:rsidRPr="00DF5DE8" w:rsidRDefault="002459F9" w:rsidP="007B4B2A">
      <w:pPr>
        <w:pStyle w:val="Funotentext"/>
        <w:spacing w:line="360" w:lineRule="auto"/>
        <w:jc w:val="both"/>
        <w:rPr>
          <w:lang w:val="de-DE"/>
        </w:rPr>
      </w:pPr>
      <w:r w:rsidRPr="00DF5DE8">
        <w:rPr>
          <w:rStyle w:val="Funotenzeichen"/>
          <w:lang w:val="de-DE"/>
        </w:rPr>
        <w:footnoteRef/>
      </w:r>
      <w:r w:rsidRPr="00DF5DE8">
        <w:rPr>
          <w:lang w:val="de-DE"/>
        </w:rPr>
        <w:t xml:space="preserve"> A VI, 6, 12.</w:t>
      </w:r>
    </w:p>
  </w:footnote>
  <w:footnote w:id="31">
    <w:p w:rsidR="002459F9" w:rsidRPr="00DF5DE8" w:rsidRDefault="002459F9" w:rsidP="004B7755">
      <w:pPr>
        <w:autoSpaceDE w:val="0"/>
        <w:autoSpaceDN w:val="0"/>
        <w:adjustRightInd w:val="0"/>
        <w:spacing w:line="360" w:lineRule="auto"/>
        <w:jc w:val="both"/>
        <w:rPr>
          <w:sz w:val="20"/>
          <w:szCs w:val="20"/>
          <w:lang w:val="de-DE"/>
        </w:rPr>
      </w:pPr>
      <w:r w:rsidRPr="00DF5DE8">
        <w:rPr>
          <w:rStyle w:val="Funotenzeichen"/>
          <w:sz w:val="20"/>
          <w:szCs w:val="20"/>
          <w:lang w:val="de-DE"/>
        </w:rPr>
        <w:footnoteRef/>
      </w:r>
      <w:r w:rsidRPr="00DF5DE8">
        <w:rPr>
          <w:sz w:val="20"/>
          <w:szCs w:val="20"/>
          <w:lang w:val="de-DE"/>
        </w:rPr>
        <w:t xml:space="preserve"> Grua 558</w:t>
      </w:r>
      <w:r w:rsidR="009149CA" w:rsidRPr="00DF5DE8">
        <w:rPr>
          <w:sz w:val="20"/>
          <w:szCs w:val="20"/>
          <w:lang w:val="de-DE"/>
        </w:rPr>
        <w:t>.</w:t>
      </w:r>
      <w:r w:rsidRPr="00DF5DE8">
        <w:rPr>
          <w:sz w:val="20"/>
          <w:szCs w:val="20"/>
          <w:lang w:val="de-DE"/>
        </w:rPr>
        <w:t xml:space="preserve"> </w:t>
      </w:r>
    </w:p>
  </w:footnote>
  <w:footnote w:id="32">
    <w:p w:rsidR="002459F9" w:rsidRPr="00DF5DE8" w:rsidRDefault="002459F9" w:rsidP="007B4B2A">
      <w:pPr>
        <w:pStyle w:val="Funotentext"/>
        <w:spacing w:line="360" w:lineRule="auto"/>
        <w:jc w:val="both"/>
        <w:rPr>
          <w:lang w:val="de-DE"/>
        </w:rPr>
      </w:pPr>
      <w:r w:rsidRPr="00DF5DE8">
        <w:rPr>
          <w:rStyle w:val="Funotenzeichen"/>
          <w:lang w:val="de-DE"/>
        </w:rPr>
        <w:footnoteRef/>
      </w:r>
      <w:r w:rsidRPr="00DF5DE8">
        <w:rPr>
          <w:lang w:val="de-DE"/>
        </w:rPr>
        <w:t xml:space="preserve"> </w:t>
      </w:r>
      <w:r w:rsidR="009149CA" w:rsidRPr="00DF5DE8">
        <w:rPr>
          <w:lang w:val="de-DE"/>
        </w:rPr>
        <w:t>A VI, 6, 86; A VI, 6, 98</w:t>
      </w:r>
      <w:r w:rsidRPr="00DF5DE8">
        <w:rPr>
          <w:lang w:val="de-DE"/>
        </w:rPr>
        <w:t>.</w:t>
      </w:r>
    </w:p>
  </w:footnote>
  <w:footnote w:id="33">
    <w:p w:rsidR="002459F9" w:rsidRPr="00DF5DE8" w:rsidRDefault="002459F9" w:rsidP="004B7755">
      <w:pPr>
        <w:autoSpaceDE w:val="0"/>
        <w:autoSpaceDN w:val="0"/>
        <w:adjustRightInd w:val="0"/>
        <w:spacing w:line="360" w:lineRule="auto"/>
        <w:jc w:val="both"/>
        <w:rPr>
          <w:sz w:val="20"/>
          <w:szCs w:val="20"/>
          <w:lang w:val="de-DE"/>
        </w:rPr>
      </w:pPr>
      <w:r w:rsidRPr="00DF5DE8">
        <w:rPr>
          <w:rStyle w:val="Funotenzeichen"/>
          <w:sz w:val="20"/>
          <w:szCs w:val="20"/>
          <w:lang w:val="de-DE"/>
        </w:rPr>
        <w:footnoteRef/>
      </w:r>
      <w:r w:rsidRPr="00DF5DE8">
        <w:rPr>
          <w:sz w:val="20"/>
          <w:szCs w:val="20"/>
          <w:lang w:val="de-DE"/>
        </w:rPr>
        <w:t xml:space="preserve"> A VI, </w:t>
      </w:r>
      <w:r w:rsidR="009149CA" w:rsidRPr="00DF5DE8">
        <w:rPr>
          <w:sz w:val="20"/>
          <w:szCs w:val="20"/>
          <w:lang w:val="de-DE"/>
        </w:rPr>
        <w:t>6, 109-111</w:t>
      </w:r>
      <w:r w:rsidRPr="00DF5DE8">
        <w:rPr>
          <w:sz w:val="20"/>
          <w:szCs w:val="20"/>
          <w:lang w:val="de-DE"/>
        </w:rPr>
        <w:t xml:space="preserve">. Zur Rolle der </w:t>
      </w:r>
      <w:r w:rsidR="00D61B40" w:rsidRPr="00DF5DE8">
        <w:rPr>
          <w:sz w:val="20"/>
          <w:szCs w:val="20"/>
          <w:lang w:val="de-DE"/>
        </w:rPr>
        <w:t>Aufmerksamkeit, siehe Schüßler (1992),</w:t>
      </w:r>
      <w:r w:rsidRPr="00DF5DE8">
        <w:rPr>
          <w:i/>
          <w:iCs/>
          <w:sz w:val="20"/>
          <w:szCs w:val="20"/>
          <w:lang w:val="de-DE"/>
        </w:rPr>
        <w:t xml:space="preserve"> </w:t>
      </w:r>
      <w:r w:rsidRPr="00DF5DE8">
        <w:rPr>
          <w:sz w:val="20"/>
          <w:szCs w:val="20"/>
          <w:lang w:val="de-DE"/>
        </w:rPr>
        <w:t>107-110.</w:t>
      </w:r>
    </w:p>
  </w:footnote>
  <w:footnote w:id="34">
    <w:p w:rsidR="009149CA" w:rsidRPr="00DF5DE8" w:rsidRDefault="002459F9" w:rsidP="00AD3A77">
      <w:pPr>
        <w:autoSpaceDE w:val="0"/>
        <w:autoSpaceDN w:val="0"/>
        <w:adjustRightInd w:val="0"/>
        <w:spacing w:line="360" w:lineRule="auto"/>
        <w:jc w:val="both"/>
        <w:rPr>
          <w:sz w:val="20"/>
          <w:szCs w:val="20"/>
          <w:lang w:val="de-DE"/>
        </w:rPr>
      </w:pPr>
      <w:r w:rsidRPr="00DF5DE8">
        <w:rPr>
          <w:rStyle w:val="Funotenzeichen"/>
          <w:sz w:val="20"/>
          <w:szCs w:val="20"/>
          <w:lang w:val="de-DE"/>
        </w:rPr>
        <w:footnoteRef/>
      </w:r>
      <w:r w:rsidR="009149CA" w:rsidRPr="00DF5DE8">
        <w:rPr>
          <w:sz w:val="20"/>
          <w:szCs w:val="20"/>
          <w:lang w:val="de-DE"/>
        </w:rPr>
        <w:t xml:space="preserve"> GP III, 307.</w:t>
      </w:r>
    </w:p>
  </w:footnote>
  <w:footnote w:id="35">
    <w:p w:rsidR="002459F9" w:rsidRPr="00DF5DE8" w:rsidRDefault="002459F9" w:rsidP="00AD3A77">
      <w:pPr>
        <w:autoSpaceDE w:val="0"/>
        <w:autoSpaceDN w:val="0"/>
        <w:adjustRightInd w:val="0"/>
        <w:spacing w:line="360" w:lineRule="auto"/>
        <w:jc w:val="both"/>
        <w:rPr>
          <w:sz w:val="20"/>
          <w:szCs w:val="20"/>
          <w:lang w:val="de-DE"/>
        </w:rPr>
      </w:pPr>
      <w:r w:rsidRPr="00DF5DE8">
        <w:rPr>
          <w:rStyle w:val="Funotenzeichen"/>
          <w:sz w:val="20"/>
          <w:szCs w:val="20"/>
          <w:lang w:val="de-DE"/>
        </w:rPr>
        <w:footnoteRef/>
      </w:r>
      <w:r w:rsidRPr="00DF5DE8">
        <w:rPr>
          <w:sz w:val="20"/>
          <w:szCs w:val="20"/>
          <w:lang w:val="de-DE"/>
        </w:rPr>
        <w:t xml:space="preserve"> GP IV, 327</w:t>
      </w:r>
      <w:r w:rsidR="009149CA" w:rsidRPr="00DF5DE8">
        <w:rPr>
          <w:sz w:val="20"/>
          <w:szCs w:val="20"/>
          <w:lang w:val="de-DE"/>
        </w:rPr>
        <w:t>.</w:t>
      </w:r>
    </w:p>
  </w:footnote>
  <w:footnote w:id="36">
    <w:p w:rsidR="002459F9" w:rsidRPr="00DF5DE8" w:rsidRDefault="002459F9" w:rsidP="007B4B2A">
      <w:pPr>
        <w:pStyle w:val="Funotentext"/>
        <w:spacing w:line="360" w:lineRule="auto"/>
        <w:jc w:val="both"/>
        <w:rPr>
          <w:lang w:val="de-DE"/>
        </w:rPr>
      </w:pPr>
      <w:r w:rsidRPr="00DF5DE8">
        <w:rPr>
          <w:rStyle w:val="Funotenzeichen"/>
          <w:lang w:val="de-DE"/>
        </w:rPr>
        <w:footnoteRef/>
      </w:r>
      <w:r w:rsidR="009149CA" w:rsidRPr="00DF5DE8">
        <w:rPr>
          <w:lang w:val="de-DE"/>
        </w:rPr>
        <w:t xml:space="preserve"> GP II, 121</w:t>
      </w:r>
      <w:r w:rsidRPr="00DF5DE8">
        <w:rPr>
          <w:lang w:val="de-DE"/>
        </w:rPr>
        <w:t>.</w:t>
      </w:r>
    </w:p>
  </w:footnote>
  <w:footnote w:id="37">
    <w:p w:rsidR="002459F9" w:rsidRPr="00DF5DE8" w:rsidRDefault="002459F9" w:rsidP="007B4B2A">
      <w:pPr>
        <w:pStyle w:val="Funotentext"/>
        <w:spacing w:line="360" w:lineRule="auto"/>
        <w:jc w:val="both"/>
        <w:rPr>
          <w:lang w:val="de-DE"/>
        </w:rPr>
      </w:pPr>
      <w:r w:rsidRPr="00DF5DE8">
        <w:rPr>
          <w:rStyle w:val="Funotenzeichen"/>
          <w:lang w:val="de-DE"/>
        </w:rPr>
        <w:footnoteRef/>
      </w:r>
      <w:r w:rsidR="009149CA" w:rsidRPr="00DF5DE8">
        <w:rPr>
          <w:lang w:val="de-DE"/>
        </w:rPr>
        <w:t xml:space="preserve"> A VI, 4,</w:t>
      </w:r>
      <w:r w:rsidR="0078761A" w:rsidRPr="00DF5DE8">
        <w:rPr>
          <w:lang w:val="de-DE"/>
        </w:rPr>
        <w:t xml:space="preserve"> </w:t>
      </w:r>
      <w:r w:rsidR="009149CA" w:rsidRPr="00DF5DE8">
        <w:rPr>
          <w:lang w:val="de-DE"/>
        </w:rPr>
        <w:t>1502</w:t>
      </w:r>
      <w:r w:rsidRPr="00DF5DE8">
        <w:rPr>
          <w:lang w:val="de-DE"/>
        </w:rPr>
        <w:t>.</w:t>
      </w:r>
    </w:p>
  </w:footnote>
  <w:footnote w:id="38">
    <w:p w:rsidR="002459F9" w:rsidRPr="00DF5DE8" w:rsidRDefault="002459F9" w:rsidP="007B4B2A">
      <w:pPr>
        <w:pStyle w:val="Funotentext"/>
        <w:spacing w:line="360" w:lineRule="auto"/>
        <w:jc w:val="both"/>
        <w:rPr>
          <w:lang w:val="de-DE"/>
        </w:rPr>
      </w:pPr>
      <w:r w:rsidRPr="00DF5DE8">
        <w:rPr>
          <w:rStyle w:val="Funotenzeichen"/>
          <w:lang w:val="de-DE"/>
        </w:rPr>
        <w:footnoteRef/>
      </w:r>
      <w:r w:rsidR="009149CA" w:rsidRPr="00DF5DE8">
        <w:rPr>
          <w:lang w:val="de-DE"/>
        </w:rPr>
        <w:t xml:space="preserve"> A VI, 6, 434</w:t>
      </w:r>
      <w:r w:rsidRPr="00DF5DE8">
        <w:rPr>
          <w:lang w:val="de-DE"/>
        </w:rPr>
        <w:t>.</w:t>
      </w:r>
    </w:p>
  </w:footnote>
  <w:footnote w:id="39">
    <w:p w:rsidR="002459F9" w:rsidRPr="00DF5DE8" w:rsidRDefault="002459F9" w:rsidP="00AD3A77">
      <w:pPr>
        <w:autoSpaceDE w:val="0"/>
        <w:autoSpaceDN w:val="0"/>
        <w:adjustRightInd w:val="0"/>
        <w:spacing w:line="360" w:lineRule="auto"/>
        <w:jc w:val="both"/>
        <w:rPr>
          <w:sz w:val="20"/>
          <w:szCs w:val="20"/>
          <w:lang w:val="de-DE"/>
        </w:rPr>
      </w:pPr>
      <w:r w:rsidRPr="00DF5DE8">
        <w:rPr>
          <w:rStyle w:val="Funotenzeichen"/>
          <w:sz w:val="20"/>
          <w:szCs w:val="20"/>
          <w:lang w:val="de-DE"/>
        </w:rPr>
        <w:footnoteRef/>
      </w:r>
      <w:r w:rsidRPr="00DF5DE8">
        <w:rPr>
          <w:sz w:val="20"/>
          <w:szCs w:val="20"/>
          <w:lang w:val="de-DE"/>
        </w:rPr>
        <w:t xml:space="preserve"> GP IV, 329</w:t>
      </w:r>
      <w:r w:rsidR="009149CA" w:rsidRPr="00DF5DE8">
        <w:rPr>
          <w:sz w:val="20"/>
          <w:szCs w:val="20"/>
          <w:lang w:val="de-DE"/>
        </w:rPr>
        <w:t xml:space="preserve">. </w:t>
      </w:r>
    </w:p>
  </w:footnote>
  <w:footnote w:id="40">
    <w:p w:rsidR="002459F9" w:rsidRPr="00DF5DE8" w:rsidRDefault="002459F9" w:rsidP="007B4B2A">
      <w:pPr>
        <w:pStyle w:val="Funotentext"/>
        <w:spacing w:line="360" w:lineRule="auto"/>
        <w:jc w:val="both"/>
        <w:rPr>
          <w:lang w:val="de-DE"/>
        </w:rPr>
      </w:pPr>
      <w:r w:rsidRPr="00DF5DE8">
        <w:rPr>
          <w:rStyle w:val="Funotenzeichen"/>
          <w:lang w:val="de-DE"/>
        </w:rPr>
        <w:footnoteRef/>
      </w:r>
      <w:r w:rsidR="009149CA" w:rsidRPr="00DF5DE8">
        <w:rPr>
          <w:lang w:val="de-DE"/>
        </w:rPr>
        <w:t xml:space="preserve"> A VI, 4, 582</w:t>
      </w:r>
      <w:r w:rsidRPr="00DF5DE8">
        <w:rPr>
          <w:lang w:val="de-DE"/>
        </w:rPr>
        <w:t>.</w:t>
      </w:r>
    </w:p>
  </w:footnote>
  <w:footnote w:id="41">
    <w:p w:rsidR="002459F9" w:rsidRPr="00DF5DE8" w:rsidRDefault="002459F9" w:rsidP="007B4B2A">
      <w:pPr>
        <w:pStyle w:val="Funotentext"/>
        <w:spacing w:line="360" w:lineRule="auto"/>
        <w:jc w:val="both"/>
        <w:rPr>
          <w:lang w:val="de-DE"/>
        </w:rPr>
      </w:pPr>
      <w:r w:rsidRPr="00DF5DE8">
        <w:rPr>
          <w:rStyle w:val="Funotenzeichen"/>
          <w:lang w:val="de-DE"/>
        </w:rPr>
        <w:footnoteRef/>
      </w:r>
      <w:r w:rsidR="009149CA" w:rsidRPr="00DF5DE8">
        <w:rPr>
          <w:lang w:val="de-DE"/>
        </w:rPr>
        <w:t xml:space="preserve"> A VI, 4, 538-540</w:t>
      </w:r>
      <w:r w:rsidRPr="00DF5DE8">
        <w:rPr>
          <w:lang w:val="de-DE"/>
        </w:rPr>
        <w:t>.</w:t>
      </w:r>
    </w:p>
  </w:footnote>
  <w:footnote w:id="42">
    <w:p w:rsidR="002459F9" w:rsidRPr="00DF5DE8" w:rsidRDefault="002459F9" w:rsidP="007B4B2A">
      <w:pPr>
        <w:pStyle w:val="Funotentext"/>
        <w:spacing w:line="360" w:lineRule="auto"/>
        <w:jc w:val="both"/>
        <w:rPr>
          <w:lang w:val="de-DE"/>
        </w:rPr>
      </w:pPr>
      <w:r w:rsidRPr="00DF5DE8">
        <w:rPr>
          <w:rStyle w:val="Funotenzeichen"/>
          <w:lang w:val="de-DE"/>
        </w:rPr>
        <w:footnoteRef/>
      </w:r>
      <w:r w:rsidR="009149CA" w:rsidRPr="00DF5DE8">
        <w:rPr>
          <w:lang w:val="de-DE"/>
        </w:rPr>
        <w:t xml:space="preserve"> A VI, 4, 544-545</w:t>
      </w:r>
      <w:r w:rsidRPr="00DF5DE8">
        <w:rPr>
          <w:lang w:val="de-DE"/>
        </w:rPr>
        <w:t>.</w:t>
      </w:r>
    </w:p>
  </w:footnote>
  <w:footnote w:id="43">
    <w:p w:rsidR="002459F9" w:rsidRPr="00DF5DE8" w:rsidRDefault="002459F9" w:rsidP="007B4B2A">
      <w:pPr>
        <w:pStyle w:val="Funotentext"/>
        <w:spacing w:line="360" w:lineRule="auto"/>
        <w:jc w:val="both"/>
        <w:rPr>
          <w:lang w:val="de-DE"/>
        </w:rPr>
      </w:pPr>
      <w:r w:rsidRPr="00DF5DE8">
        <w:rPr>
          <w:rStyle w:val="Funotenzeichen"/>
          <w:lang w:val="de-DE"/>
        </w:rPr>
        <w:footnoteRef/>
      </w:r>
      <w:r w:rsidR="009149CA" w:rsidRPr="00DF5DE8">
        <w:rPr>
          <w:lang w:val="de-DE"/>
        </w:rPr>
        <w:t xml:space="preserve"> </w:t>
      </w:r>
      <w:r w:rsidRPr="00DF5DE8">
        <w:rPr>
          <w:lang w:val="de-DE"/>
        </w:rPr>
        <w:t>A VI, 4,</w:t>
      </w:r>
      <w:r w:rsidR="009149CA" w:rsidRPr="00DF5DE8">
        <w:rPr>
          <w:lang w:val="de-DE"/>
        </w:rPr>
        <w:t xml:space="preserve"> 341</w:t>
      </w:r>
      <w:r w:rsidRPr="00DF5DE8">
        <w:rPr>
          <w:lang w:val="de-DE"/>
        </w:rPr>
        <w:t>.</w:t>
      </w:r>
    </w:p>
  </w:footnote>
  <w:footnote w:id="44">
    <w:p w:rsidR="002459F9" w:rsidRPr="00DF5DE8" w:rsidRDefault="002459F9" w:rsidP="007B4B2A">
      <w:pPr>
        <w:pStyle w:val="Funotentext"/>
        <w:spacing w:line="360" w:lineRule="auto"/>
        <w:jc w:val="both"/>
        <w:rPr>
          <w:lang w:val="de-DE"/>
        </w:rPr>
      </w:pPr>
      <w:r w:rsidRPr="00DF5DE8">
        <w:rPr>
          <w:rStyle w:val="Funotenzeichen"/>
          <w:lang w:val="de-DE"/>
        </w:rPr>
        <w:footnoteRef/>
      </w:r>
      <w:r w:rsidR="009149CA" w:rsidRPr="00DF5DE8">
        <w:rPr>
          <w:lang w:val="de-DE"/>
        </w:rPr>
        <w:t xml:space="preserve"> A VI, 6, 238-239</w:t>
      </w:r>
      <w:r w:rsidRPr="00DF5DE8">
        <w:rPr>
          <w:lang w:val="de-DE"/>
        </w:rPr>
        <w:t>.</w:t>
      </w:r>
    </w:p>
  </w:footnote>
  <w:footnote w:id="45">
    <w:p w:rsidR="002459F9" w:rsidRPr="00DF5DE8" w:rsidRDefault="002459F9" w:rsidP="007B4B2A">
      <w:pPr>
        <w:pStyle w:val="Funotentext"/>
        <w:spacing w:line="360" w:lineRule="auto"/>
        <w:jc w:val="both"/>
        <w:rPr>
          <w:lang w:val="de-DE"/>
        </w:rPr>
      </w:pPr>
      <w:r w:rsidRPr="00DF5DE8">
        <w:rPr>
          <w:rStyle w:val="Funotenzeichen"/>
          <w:lang w:val="de-DE"/>
        </w:rPr>
        <w:footnoteRef/>
      </w:r>
      <w:r w:rsidRPr="00DF5DE8">
        <w:rPr>
          <w:lang w:val="de-DE"/>
        </w:rPr>
        <w:t xml:space="preserve"> Ebd.</w:t>
      </w:r>
    </w:p>
  </w:footnote>
  <w:footnote w:id="46">
    <w:p w:rsidR="002459F9" w:rsidRPr="00DF5DE8" w:rsidRDefault="002459F9" w:rsidP="007B4B2A">
      <w:pPr>
        <w:pStyle w:val="Funotentext"/>
        <w:spacing w:line="360" w:lineRule="auto"/>
        <w:jc w:val="both"/>
        <w:rPr>
          <w:lang w:val="de-DE"/>
        </w:rPr>
      </w:pPr>
      <w:r w:rsidRPr="00DF5DE8">
        <w:rPr>
          <w:rStyle w:val="Funotenzeichen"/>
          <w:lang w:val="de-DE"/>
        </w:rPr>
        <w:footnoteRef/>
      </w:r>
      <w:r w:rsidR="009149CA" w:rsidRPr="00DF5DE8">
        <w:rPr>
          <w:lang w:val="de-DE"/>
        </w:rPr>
        <w:t xml:space="preserve"> A VI, 6, 372-373</w:t>
      </w:r>
      <w:r w:rsidRPr="00DF5DE8">
        <w:rPr>
          <w:lang w:val="de-DE"/>
        </w:rPr>
        <w:t>.</w:t>
      </w:r>
    </w:p>
  </w:footnote>
  <w:footnote w:id="47">
    <w:p w:rsidR="002459F9" w:rsidRPr="00DF5DE8" w:rsidRDefault="002459F9" w:rsidP="007B4B2A">
      <w:pPr>
        <w:pStyle w:val="Funotentext"/>
        <w:spacing w:line="360" w:lineRule="auto"/>
        <w:jc w:val="both"/>
        <w:rPr>
          <w:lang w:val="de-DE"/>
        </w:rPr>
      </w:pPr>
      <w:r w:rsidRPr="00DF5DE8">
        <w:rPr>
          <w:rStyle w:val="Funotenzeichen"/>
          <w:lang w:val="de-DE"/>
        </w:rPr>
        <w:footnoteRef/>
      </w:r>
      <w:r w:rsidR="009149CA" w:rsidRPr="00DF5DE8">
        <w:rPr>
          <w:lang w:val="de-DE"/>
        </w:rPr>
        <w:t xml:space="preserve"> </w:t>
      </w:r>
      <w:r w:rsidRPr="00DF5DE8">
        <w:rPr>
          <w:lang w:val="de-DE"/>
        </w:rPr>
        <w:t>A VI, 4,</w:t>
      </w:r>
      <w:r w:rsidR="009149CA" w:rsidRPr="00DF5DE8">
        <w:rPr>
          <w:lang w:val="de-DE"/>
        </w:rPr>
        <w:t xml:space="preserve"> 1502</w:t>
      </w:r>
      <w:r w:rsidRPr="00DF5DE8">
        <w:rPr>
          <w:lang w:val="de-DE"/>
        </w:rPr>
        <w:t>.</w:t>
      </w:r>
    </w:p>
  </w:footnote>
  <w:footnote w:id="48">
    <w:p w:rsidR="002459F9" w:rsidRPr="00DF5DE8" w:rsidRDefault="002459F9" w:rsidP="007B4B2A">
      <w:pPr>
        <w:pStyle w:val="Funotentext"/>
        <w:spacing w:line="360" w:lineRule="auto"/>
        <w:jc w:val="both"/>
        <w:rPr>
          <w:lang w:val="de-DE"/>
        </w:rPr>
      </w:pPr>
      <w:r w:rsidRPr="00DF5DE8">
        <w:rPr>
          <w:rStyle w:val="Funotenzeichen"/>
          <w:lang w:val="de-DE"/>
        </w:rPr>
        <w:footnoteRef/>
      </w:r>
      <w:r w:rsidR="009149CA" w:rsidRPr="00DF5DE8">
        <w:rPr>
          <w:lang w:val="de-DE"/>
        </w:rPr>
        <w:t xml:space="preserve"> </w:t>
      </w:r>
      <w:r w:rsidRPr="00DF5DE8">
        <w:rPr>
          <w:lang w:val="de-DE"/>
        </w:rPr>
        <w:t>A VI, 6,</w:t>
      </w:r>
      <w:r w:rsidR="009149CA" w:rsidRPr="00DF5DE8">
        <w:rPr>
          <w:lang w:val="de-DE"/>
        </w:rPr>
        <w:t xml:space="preserve"> 238-239</w:t>
      </w:r>
      <w:r w:rsidRPr="00DF5DE8">
        <w:rPr>
          <w:lang w:val="de-DE"/>
        </w:rPr>
        <w:t>.</w:t>
      </w:r>
    </w:p>
  </w:footnote>
  <w:footnote w:id="49">
    <w:p w:rsidR="002459F9" w:rsidRPr="00DF5DE8" w:rsidRDefault="002459F9" w:rsidP="007B4B2A">
      <w:pPr>
        <w:pStyle w:val="Funotentext"/>
        <w:spacing w:line="360" w:lineRule="auto"/>
        <w:jc w:val="both"/>
        <w:rPr>
          <w:lang w:val="de-DE"/>
        </w:rPr>
      </w:pPr>
      <w:r w:rsidRPr="00DF5DE8">
        <w:rPr>
          <w:rStyle w:val="Funotenzeichen"/>
          <w:lang w:val="de-DE"/>
        </w:rPr>
        <w:footnoteRef/>
      </w:r>
      <w:r w:rsidR="009149CA" w:rsidRPr="00DF5DE8">
        <w:rPr>
          <w:lang w:val="de-DE"/>
        </w:rPr>
        <w:t xml:space="preserve"> A VI, 4, 530, Anm.5</w:t>
      </w:r>
      <w:r w:rsidRPr="00DF5DE8">
        <w:rPr>
          <w:lang w:val="de-DE"/>
        </w:rPr>
        <w:t>.</w:t>
      </w:r>
    </w:p>
  </w:footnote>
  <w:footnote w:id="50">
    <w:p w:rsidR="002459F9" w:rsidRPr="00DF5DE8" w:rsidRDefault="002459F9" w:rsidP="007B4B2A">
      <w:pPr>
        <w:pStyle w:val="Funotentext"/>
        <w:spacing w:line="360" w:lineRule="auto"/>
        <w:jc w:val="both"/>
        <w:rPr>
          <w:lang w:val="de-DE"/>
        </w:rPr>
      </w:pPr>
      <w:r w:rsidRPr="00DF5DE8">
        <w:rPr>
          <w:rStyle w:val="Funotenzeichen"/>
          <w:lang w:val="de-DE"/>
        </w:rPr>
        <w:footnoteRef/>
      </w:r>
      <w:r w:rsidR="009149CA" w:rsidRPr="00DF5DE8">
        <w:rPr>
          <w:lang w:val="de-DE"/>
        </w:rPr>
        <w:t xml:space="preserve"> GP III, 233</w:t>
      </w:r>
      <w:r w:rsidRPr="00DF5DE8">
        <w:rPr>
          <w:lang w:val="de-DE"/>
        </w:rPr>
        <w:t>.</w:t>
      </w:r>
    </w:p>
  </w:footnote>
  <w:footnote w:id="51">
    <w:p w:rsidR="002459F9" w:rsidRPr="00DF5DE8" w:rsidRDefault="002459F9" w:rsidP="007B4B2A">
      <w:pPr>
        <w:pStyle w:val="Funotentext"/>
        <w:spacing w:line="360" w:lineRule="auto"/>
        <w:jc w:val="both"/>
        <w:rPr>
          <w:lang w:val="de-DE"/>
        </w:rPr>
      </w:pPr>
      <w:r w:rsidRPr="00DF5DE8">
        <w:rPr>
          <w:rStyle w:val="Funotenzeichen"/>
          <w:lang w:val="de-DE"/>
        </w:rPr>
        <w:footnoteRef/>
      </w:r>
      <w:r w:rsidR="009149CA" w:rsidRPr="00DF5DE8">
        <w:rPr>
          <w:lang w:val="de-DE"/>
        </w:rPr>
        <w:t xml:space="preserve"> </w:t>
      </w:r>
      <w:r w:rsidRPr="00DF5DE8">
        <w:rPr>
          <w:lang w:val="de-DE"/>
        </w:rPr>
        <w:t>A VI, 6,</w:t>
      </w:r>
      <w:r w:rsidR="009149CA" w:rsidRPr="00DF5DE8">
        <w:rPr>
          <w:lang w:val="de-DE"/>
        </w:rPr>
        <w:t xml:space="preserve"> 238-239</w:t>
      </w:r>
      <w:r w:rsidRPr="00DF5DE8">
        <w:rPr>
          <w:lang w:val="de-DE"/>
        </w:rPr>
        <w:t>.</w:t>
      </w:r>
    </w:p>
  </w:footnote>
  <w:footnote w:id="52">
    <w:p w:rsidR="002459F9" w:rsidRPr="00DF5DE8" w:rsidRDefault="002459F9" w:rsidP="007B4B2A">
      <w:pPr>
        <w:pStyle w:val="Funotentext"/>
        <w:spacing w:line="360" w:lineRule="auto"/>
        <w:jc w:val="both"/>
        <w:rPr>
          <w:lang w:val="de-DE"/>
        </w:rPr>
      </w:pPr>
      <w:r w:rsidRPr="00DF5DE8">
        <w:rPr>
          <w:rStyle w:val="Funotenzeichen"/>
          <w:lang w:val="de-DE"/>
        </w:rPr>
        <w:footnoteRef/>
      </w:r>
      <w:r w:rsidRPr="00DF5DE8">
        <w:rPr>
          <w:lang w:val="de-DE"/>
        </w:rPr>
        <w:t xml:space="preserve"> GP IV, 329.</w:t>
      </w:r>
    </w:p>
  </w:footnote>
  <w:footnote w:id="53">
    <w:p w:rsidR="002459F9" w:rsidRPr="00DF5DE8" w:rsidRDefault="002459F9" w:rsidP="007B4B2A">
      <w:pPr>
        <w:pStyle w:val="Funotentext"/>
        <w:spacing w:line="360" w:lineRule="auto"/>
        <w:jc w:val="both"/>
        <w:rPr>
          <w:lang w:val="de-DE"/>
        </w:rPr>
      </w:pPr>
      <w:r w:rsidRPr="00DF5DE8">
        <w:rPr>
          <w:rStyle w:val="Funotenzeichen"/>
          <w:lang w:val="de-DE"/>
        </w:rPr>
        <w:footnoteRef/>
      </w:r>
      <w:r w:rsidR="009149CA" w:rsidRPr="00DF5DE8">
        <w:rPr>
          <w:lang w:val="de-DE"/>
        </w:rPr>
        <w:t xml:space="preserve"> </w:t>
      </w:r>
      <w:r w:rsidRPr="00DF5DE8">
        <w:rPr>
          <w:lang w:val="de-DE"/>
        </w:rPr>
        <w:t>A</w:t>
      </w:r>
      <w:r w:rsidR="009149CA" w:rsidRPr="00DF5DE8">
        <w:rPr>
          <w:lang w:val="de-DE"/>
        </w:rPr>
        <w:t xml:space="preserve"> VI, 6, 84</w:t>
      </w:r>
      <w:r w:rsidRPr="00DF5DE8">
        <w:rPr>
          <w:lang w:val="de-DE"/>
        </w:rPr>
        <w:t>.</w:t>
      </w:r>
    </w:p>
  </w:footnote>
  <w:footnote w:id="54">
    <w:p w:rsidR="002459F9" w:rsidRPr="00DF5DE8" w:rsidRDefault="002459F9" w:rsidP="007B4B2A">
      <w:pPr>
        <w:pStyle w:val="Funotentext"/>
        <w:spacing w:line="360" w:lineRule="auto"/>
        <w:jc w:val="both"/>
        <w:rPr>
          <w:lang w:val="de-DE"/>
        </w:rPr>
      </w:pPr>
      <w:r w:rsidRPr="00DF5DE8">
        <w:rPr>
          <w:rStyle w:val="Funotenzeichen"/>
          <w:lang w:val="de-DE"/>
        </w:rPr>
        <w:footnoteRef/>
      </w:r>
      <w:r w:rsidR="004B314E">
        <w:rPr>
          <w:lang w:val="de-DE"/>
        </w:rPr>
        <w:t xml:space="preserve"> Wolff (1728)</w:t>
      </w:r>
      <w:r w:rsidR="00F5489B" w:rsidRPr="00DF5DE8">
        <w:rPr>
          <w:lang w:val="de-DE"/>
        </w:rPr>
        <w:t>,</w:t>
      </w:r>
      <w:r w:rsidRPr="00DF5DE8">
        <w:rPr>
          <w:lang w:val="de-DE"/>
        </w:rPr>
        <w:t xml:space="preserve"> § 126.</w:t>
      </w:r>
    </w:p>
  </w:footnote>
  <w:footnote w:id="55">
    <w:p w:rsidR="002459F9" w:rsidRPr="00DF5DE8" w:rsidRDefault="002459F9" w:rsidP="007B4B2A">
      <w:pPr>
        <w:pStyle w:val="Funotentext"/>
        <w:spacing w:line="360" w:lineRule="auto"/>
        <w:jc w:val="both"/>
        <w:rPr>
          <w:lang w:val="de-DE"/>
        </w:rPr>
      </w:pPr>
      <w:r w:rsidRPr="00DF5DE8">
        <w:rPr>
          <w:rStyle w:val="Funotenzeichen"/>
          <w:lang w:val="de-DE"/>
        </w:rPr>
        <w:footnoteRef/>
      </w:r>
      <w:r w:rsidR="004B314E">
        <w:rPr>
          <w:lang w:val="de-DE"/>
        </w:rPr>
        <w:t xml:space="preserve"> Ebd</w:t>
      </w:r>
      <w:r w:rsidRPr="00DF5DE8">
        <w:rPr>
          <w:lang w:val="de-DE"/>
        </w:rPr>
        <w:t>.</w:t>
      </w:r>
    </w:p>
  </w:footnote>
  <w:footnote w:id="56">
    <w:p w:rsidR="002459F9" w:rsidRPr="00DF5DE8" w:rsidRDefault="002459F9" w:rsidP="007B4B2A">
      <w:pPr>
        <w:pStyle w:val="Funotentext"/>
        <w:spacing w:line="360" w:lineRule="auto"/>
        <w:jc w:val="both"/>
        <w:rPr>
          <w:lang w:val="de-DE"/>
        </w:rPr>
      </w:pPr>
      <w:r w:rsidRPr="00DF5DE8">
        <w:rPr>
          <w:rStyle w:val="Funotenzeichen"/>
          <w:lang w:val="de-DE"/>
        </w:rPr>
        <w:footnoteRef/>
      </w:r>
      <w:r w:rsidR="004B314E">
        <w:rPr>
          <w:lang w:val="de-DE"/>
        </w:rPr>
        <w:t xml:space="preserve"> Ebd.</w:t>
      </w:r>
      <w:r w:rsidR="00F5489B" w:rsidRPr="00DF5DE8">
        <w:rPr>
          <w:lang w:val="de-DE"/>
        </w:rPr>
        <w:t xml:space="preserve">, </w:t>
      </w:r>
      <w:r w:rsidRPr="00DF5DE8">
        <w:rPr>
          <w:lang w:val="de-DE"/>
        </w:rPr>
        <w:t>§ 128.</w:t>
      </w:r>
    </w:p>
  </w:footnote>
  <w:footnote w:id="57">
    <w:p w:rsidR="002459F9" w:rsidRPr="00DF5DE8" w:rsidRDefault="002459F9" w:rsidP="007B4B2A">
      <w:pPr>
        <w:pStyle w:val="Funotentext"/>
        <w:spacing w:line="360" w:lineRule="auto"/>
        <w:jc w:val="both"/>
        <w:rPr>
          <w:lang w:val="de-DE"/>
        </w:rPr>
      </w:pPr>
      <w:r w:rsidRPr="00DF5DE8">
        <w:rPr>
          <w:rStyle w:val="Funotenzeichen"/>
          <w:lang w:val="de-DE"/>
        </w:rPr>
        <w:footnoteRef/>
      </w:r>
      <w:r w:rsidR="004B314E">
        <w:rPr>
          <w:lang w:val="de-DE"/>
        </w:rPr>
        <w:t xml:space="preserve"> Ebd</w:t>
      </w:r>
      <w:r w:rsidRPr="00DF5DE8">
        <w:rPr>
          <w:lang w:val="de-DE"/>
        </w:rPr>
        <w:t>.</w:t>
      </w:r>
    </w:p>
  </w:footnote>
  <w:footnote w:id="58">
    <w:p w:rsidR="002459F9" w:rsidRPr="00DF5DE8" w:rsidRDefault="002459F9" w:rsidP="007B4B2A">
      <w:pPr>
        <w:pStyle w:val="Funotentext"/>
        <w:spacing w:line="360" w:lineRule="auto"/>
        <w:jc w:val="both"/>
        <w:rPr>
          <w:lang w:val="de-DE"/>
        </w:rPr>
      </w:pPr>
      <w:r w:rsidRPr="00DF5DE8">
        <w:rPr>
          <w:rStyle w:val="Funotenzeichen"/>
          <w:lang w:val="de-DE"/>
        </w:rPr>
        <w:footnoteRef/>
      </w:r>
      <w:r w:rsidRPr="00DF5DE8">
        <w:rPr>
          <w:lang w:val="de-DE"/>
        </w:rPr>
        <w:t xml:space="preserve"> </w:t>
      </w:r>
      <w:r w:rsidR="000F4C2E">
        <w:rPr>
          <w:lang w:val="de-DE"/>
        </w:rPr>
        <w:t>Wolff (1736)</w:t>
      </w:r>
      <w:r w:rsidR="00F5489B" w:rsidRPr="00DF5DE8">
        <w:rPr>
          <w:lang w:val="de-DE"/>
        </w:rPr>
        <w:t>, sig. b3r.</w:t>
      </w:r>
    </w:p>
  </w:footnote>
  <w:footnote w:id="59">
    <w:p w:rsidR="002459F9" w:rsidRPr="00DF5DE8" w:rsidRDefault="002459F9" w:rsidP="007B4B2A">
      <w:pPr>
        <w:pStyle w:val="Funotentext"/>
        <w:spacing w:line="360" w:lineRule="auto"/>
        <w:jc w:val="both"/>
        <w:rPr>
          <w:lang w:val="de-DE"/>
        </w:rPr>
      </w:pPr>
      <w:r w:rsidRPr="00DF5DE8">
        <w:rPr>
          <w:rStyle w:val="Funotenzeichen"/>
          <w:lang w:val="de-DE"/>
        </w:rPr>
        <w:footnoteRef/>
      </w:r>
      <w:r w:rsidRPr="00DF5DE8">
        <w:rPr>
          <w:lang w:val="de-DE"/>
        </w:rPr>
        <w:t xml:space="preserve"> </w:t>
      </w:r>
      <w:r w:rsidR="00F5489B" w:rsidRPr="00DF5DE8">
        <w:rPr>
          <w:lang w:val="de-DE"/>
        </w:rPr>
        <w:t>Ebd.</w:t>
      </w:r>
    </w:p>
  </w:footnote>
  <w:footnote w:id="60">
    <w:p w:rsidR="002459F9" w:rsidRPr="00DF5DE8" w:rsidRDefault="002459F9" w:rsidP="007B4B2A">
      <w:pPr>
        <w:pStyle w:val="Funotentext"/>
        <w:spacing w:line="360" w:lineRule="auto"/>
        <w:jc w:val="both"/>
        <w:rPr>
          <w:lang w:val="de-DE"/>
        </w:rPr>
      </w:pPr>
      <w:r w:rsidRPr="00DF5DE8">
        <w:rPr>
          <w:rStyle w:val="Funotenzeichen"/>
          <w:lang w:val="de-DE"/>
        </w:rPr>
        <w:footnoteRef/>
      </w:r>
      <w:r w:rsidRPr="00DF5DE8">
        <w:rPr>
          <w:lang w:val="de-DE"/>
        </w:rPr>
        <w:t xml:space="preserve"> </w:t>
      </w:r>
      <w:r w:rsidR="000F4C2E">
        <w:rPr>
          <w:lang w:val="de-DE"/>
        </w:rPr>
        <w:t>Wolff (1736)</w:t>
      </w:r>
      <w:r w:rsidR="00F5489B" w:rsidRPr="00DF5DE8">
        <w:rPr>
          <w:lang w:val="de-DE"/>
        </w:rPr>
        <w:t>, § 9.</w:t>
      </w:r>
    </w:p>
  </w:footnote>
  <w:footnote w:id="61">
    <w:p w:rsidR="002459F9" w:rsidRPr="00DF5DE8" w:rsidRDefault="002459F9" w:rsidP="007B4B2A">
      <w:pPr>
        <w:pStyle w:val="Funotentext"/>
        <w:spacing w:line="360" w:lineRule="auto"/>
        <w:jc w:val="both"/>
        <w:rPr>
          <w:lang w:val="de-DE"/>
        </w:rPr>
      </w:pPr>
      <w:r w:rsidRPr="00DF5DE8">
        <w:rPr>
          <w:rStyle w:val="Funotenzeichen"/>
          <w:lang w:val="de-DE"/>
        </w:rPr>
        <w:footnoteRef/>
      </w:r>
      <w:r w:rsidRPr="00DF5DE8">
        <w:rPr>
          <w:lang w:val="de-DE"/>
        </w:rPr>
        <w:t xml:space="preserve"> </w:t>
      </w:r>
      <w:r w:rsidR="00656F9B" w:rsidRPr="00DF5DE8">
        <w:rPr>
          <w:lang w:val="de-DE"/>
        </w:rPr>
        <w:t xml:space="preserve">Erstaunlicherweise wird die Bedeutung der Theorie der </w:t>
      </w:r>
      <w:r w:rsidR="00656F9B" w:rsidRPr="00DF5DE8">
        <w:rPr>
          <w:i/>
          <w:lang w:val="de-DE"/>
        </w:rPr>
        <w:t xml:space="preserve">notiones communes </w:t>
      </w:r>
      <w:r w:rsidR="00656F9B" w:rsidRPr="00DF5DE8">
        <w:rPr>
          <w:lang w:val="de-DE"/>
        </w:rPr>
        <w:t xml:space="preserve">für Wolffs Metaphilosophie von seinen </w:t>
      </w:r>
      <w:r w:rsidR="00F5489B" w:rsidRPr="00DF5DE8">
        <w:rPr>
          <w:lang w:val="de-DE"/>
        </w:rPr>
        <w:t>Kommentatoren kaum</w:t>
      </w:r>
      <w:r w:rsidR="00656F9B" w:rsidRPr="00DF5DE8">
        <w:rPr>
          <w:lang w:val="de-DE"/>
        </w:rPr>
        <w:t xml:space="preserve"> hervorgehoben. So erwähnt Gómez Tutor in seiner umfassend angelegten Darstellung von Wolff</w:t>
      </w:r>
      <w:r w:rsidR="00F5489B" w:rsidRPr="00DF5DE8">
        <w:rPr>
          <w:lang w:val="de-DE"/>
        </w:rPr>
        <w:t>s Methodologie</w:t>
      </w:r>
      <w:r w:rsidR="00656F9B" w:rsidRPr="00DF5DE8">
        <w:rPr>
          <w:lang w:val="de-DE"/>
        </w:rPr>
        <w:t xml:space="preserve"> die </w:t>
      </w:r>
      <w:r w:rsidR="00656F9B" w:rsidRPr="00DF5DE8">
        <w:rPr>
          <w:i/>
          <w:lang w:val="de-DE"/>
        </w:rPr>
        <w:t xml:space="preserve">notiones communes </w:t>
      </w:r>
      <w:r w:rsidR="00656F9B" w:rsidRPr="00DF5DE8">
        <w:rPr>
          <w:lang w:val="de-DE"/>
        </w:rPr>
        <w:t>im Kontext von Wolffs Kategorisierung von Begriffen, ohne auf ihre Rolle in der Begründung seiner Metaphy</w:t>
      </w:r>
      <w:r w:rsidR="00066996">
        <w:rPr>
          <w:lang w:val="de-DE"/>
        </w:rPr>
        <w:t>sik einzugehen (Gómez Tutor (2004)</w:t>
      </w:r>
      <w:r w:rsidR="00656F9B" w:rsidRPr="00DF5DE8">
        <w:rPr>
          <w:lang w:val="de-DE"/>
        </w:rPr>
        <w:t>, 155-156). Auch erwähnt Gómez Tutor das Prinzip des Widerspruchs, ohne auf seine methodische Begründung bei Wo</w:t>
      </w:r>
      <w:r w:rsidR="00066996">
        <w:rPr>
          <w:lang w:val="de-DE"/>
        </w:rPr>
        <w:t>lff einzugehen (Gómez Tutor (2004)</w:t>
      </w:r>
      <w:r w:rsidR="005429DE">
        <w:rPr>
          <w:lang w:val="de-DE"/>
        </w:rPr>
        <w:t>, 212). Hingegen wurde</w:t>
      </w:r>
      <w:r w:rsidR="00656F9B" w:rsidRPr="00DF5DE8">
        <w:rPr>
          <w:lang w:val="de-DE"/>
        </w:rPr>
        <w:t xml:space="preserve"> Wolffs Versuch, das Prinzip des zureichenden Grundes aus dem Prinzip des Widerspruchs</w:t>
      </w:r>
      <w:r w:rsidR="005429DE">
        <w:rPr>
          <w:lang w:val="de-DE"/>
        </w:rPr>
        <w:t xml:space="preserve"> abzuleiten, im Detail diskutiert</w:t>
      </w:r>
      <w:r w:rsidR="007E3021">
        <w:rPr>
          <w:lang w:val="de-DE"/>
        </w:rPr>
        <w:t xml:space="preserve">; siehe Look </w:t>
      </w:r>
      <w:r w:rsidR="005429DE">
        <w:rPr>
          <w:lang w:val="de-DE"/>
        </w:rPr>
        <w:t>(</w:t>
      </w:r>
      <w:r w:rsidR="007E3021">
        <w:rPr>
          <w:lang w:val="de-DE"/>
        </w:rPr>
        <w:t>2011</w:t>
      </w:r>
      <w:r w:rsidR="005429DE">
        <w:rPr>
          <w:lang w:val="de-DE"/>
        </w:rPr>
        <w:t>)</w:t>
      </w:r>
      <w:r w:rsidR="00E302F5">
        <w:rPr>
          <w:lang w:val="de-DE"/>
        </w:rPr>
        <w:t>; Grey und Robinson (im Erscheinen)</w:t>
      </w:r>
      <w:r w:rsidR="00656F9B" w:rsidRPr="00DF5DE8">
        <w:rPr>
          <w:lang w:val="de-DE"/>
        </w:rPr>
        <w:t xml:space="preserve">. </w:t>
      </w:r>
    </w:p>
  </w:footnote>
  <w:footnote w:id="62">
    <w:p w:rsidR="002459F9" w:rsidRPr="00DF5DE8" w:rsidRDefault="002459F9" w:rsidP="007B4B2A">
      <w:pPr>
        <w:autoSpaceDE w:val="0"/>
        <w:autoSpaceDN w:val="0"/>
        <w:adjustRightInd w:val="0"/>
        <w:spacing w:line="360" w:lineRule="auto"/>
        <w:jc w:val="both"/>
        <w:rPr>
          <w:sz w:val="20"/>
          <w:szCs w:val="20"/>
          <w:lang w:val="de-DE"/>
        </w:rPr>
      </w:pPr>
      <w:r w:rsidRPr="00DF5DE8">
        <w:rPr>
          <w:rStyle w:val="Funotenzeichen"/>
          <w:sz w:val="20"/>
          <w:szCs w:val="20"/>
          <w:lang w:val="de-DE"/>
        </w:rPr>
        <w:footnoteRef/>
      </w:r>
      <w:r w:rsidR="00D61B40" w:rsidRPr="00DF5DE8">
        <w:rPr>
          <w:sz w:val="20"/>
          <w:szCs w:val="20"/>
          <w:lang w:val="de-DE"/>
        </w:rPr>
        <w:t xml:space="preserve"> Siehe </w:t>
      </w:r>
      <w:r w:rsidRPr="00DF5DE8">
        <w:rPr>
          <w:sz w:val="20"/>
          <w:szCs w:val="20"/>
          <w:lang w:val="de-DE"/>
        </w:rPr>
        <w:t>Riley</w:t>
      </w:r>
      <w:r w:rsidR="00D61B40" w:rsidRPr="00DF5DE8">
        <w:rPr>
          <w:sz w:val="20"/>
          <w:szCs w:val="20"/>
          <w:lang w:val="de-DE"/>
        </w:rPr>
        <w:t xml:space="preserve"> (2003); Blank (2004); Riley (2005); Blank (2006)</w:t>
      </w:r>
      <w:r w:rsidRPr="00DF5DE8">
        <w:rPr>
          <w:sz w:val="20"/>
          <w:szCs w:val="20"/>
          <w:lang w:val="de-DE"/>
        </w:rPr>
        <w:t xml:space="preserve">. Generell zur Geschichte der </w:t>
      </w:r>
      <w:r w:rsidRPr="00DF5DE8">
        <w:rPr>
          <w:i/>
          <w:sz w:val="20"/>
          <w:szCs w:val="20"/>
          <w:lang w:val="de-DE"/>
        </w:rPr>
        <w:t xml:space="preserve">notiones communes </w:t>
      </w:r>
      <w:r w:rsidRPr="00DF5DE8">
        <w:rPr>
          <w:sz w:val="20"/>
          <w:szCs w:val="20"/>
          <w:lang w:val="de-DE"/>
        </w:rPr>
        <w:t xml:space="preserve">in der </w:t>
      </w:r>
      <w:r w:rsidR="00D61B40" w:rsidRPr="00DF5DE8">
        <w:rPr>
          <w:sz w:val="20"/>
          <w:szCs w:val="20"/>
          <w:lang w:val="de-DE"/>
        </w:rPr>
        <w:t>frühen Neuzeit, siehe Laerke (2015), 150-158</w:t>
      </w:r>
      <w:r w:rsidRPr="00DF5DE8">
        <w:rPr>
          <w:sz w:val="20"/>
          <w:szCs w:val="20"/>
          <w:lang w:val="de-DE"/>
        </w:rPr>
        <w:t>.</w:t>
      </w:r>
    </w:p>
  </w:footnote>
  <w:footnote w:id="63">
    <w:p w:rsidR="002459F9" w:rsidRPr="00DF5DE8" w:rsidRDefault="002459F9" w:rsidP="00AD3A77">
      <w:pPr>
        <w:autoSpaceDE w:val="0"/>
        <w:autoSpaceDN w:val="0"/>
        <w:adjustRightInd w:val="0"/>
        <w:spacing w:line="360" w:lineRule="auto"/>
        <w:jc w:val="both"/>
        <w:rPr>
          <w:sz w:val="20"/>
          <w:szCs w:val="20"/>
          <w:lang w:val="de-DE"/>
        </w:rPr>
      </w:pPr>
      <w:r w:rsidRPr="00DF5DE8">
        <w:rPr>
          <w:rStyle w:val="Funotenzeichen"/>
          <w:sz w:val="20"/>
          <w:szCs w:val="20"/>
          <w:lang w:val="de-DE"/>
        </w:rPr>
        <w:footnoteRef/>
      </w:r>
      <w:r w:rsidRPr="00DF5DE8">
        <w:rPr>
          <w:sz w:val="20"/>
          <w:szCs w:val="20"/>
          <w:lang w:val="de-DE"/>
        </w:rPr>
        <w:t xml:space="preserve"> </w:t>
      </w:r>
      <w:r w:rsidR="000F4C2E">
        <w:rPr>
          <w:sz w:val="20"/>
          <w:szCs w:val="20"/>
          <w:lang w:val="de-DE"/>
        </w:rPr>
        <w:t>Wolff (1736)</w:t>
      </w:r>
      <w:r w:rsidR="00F5489B" w:rsidRPr="00DF5DE8">
        <w:rPr>
          <w:sz w:val="20"/>
          <w:szCs w:val="20"/>
          <w:lang w:val="de-DE"/>
        </w:rPr>
        <w:t>, § 9.</w:t>
      </w:r>
    </w:p>
  </w:footnote>
  <w:footnote w:id="64">
    <w:p w:rsidR="009E1F7D" w:rsidRPr="009E1F7D" w:rsidRDefault="009E1F7D" w:rsidP="009E1F7D">
      <w:pPr>
        <w:pStyle w:val="Funotentext"/>
        <w:spacing w:line="360" w:lineRule="auto"/>
        <w:jc w:val="both"/>
        <w:rPr>
          <w:lang w:val="de-DE"/>
        </w:rPr>
      </w:pPr>
      <w:r>
        <w:rPr>
          <w:rStyle w:val="Funotenzeichen"/>
        </w:rPr>
        <w:footnoteRef/>
      </w:r>
      <w:r>
        <w:t xml:space="preserve"> </w:t>
      </w:r>
      <w:r>
        <w:rPr>
          <w:lang w:val="de-DE"/>
        </w:rPr>
        <w:t xml:space="preserve">Der Text </w:t>
      </w:r>
      <w:r w:rsidR="00A258B0">
        <w:rPr>
          <w:lang w:val="de-DE"/>
        </w:rPr>
        <w:t>verweist hierfür auf Wolff (1728)</w:t>
      </w:r>
      <w:r>
        <w:rPr>
          <w:lang w:val="de-DE"/>
        </w:rPr>
        <w:t>, § 57.</w:t>
      </w:r>
    </w:p>
  </w:footnote>
  <w:footnote w:id="65">
    <w:p w:rsidR="009E1F7D" w:rsidRPr="009E1F7D" w:rsidRDefault="009E1F7D" w:rsidP="009E1F7D">
      <w:pPr>
        <w:pStyle w:val="Funotentext"/>
        <w:spacing w:line="360" w:lineRule="auto"/>
        <w:jc w:val="both"/>
        <w:rPr>
          <w:lang w:val="de-DE"/>
        </w:rPr>
      </w:pPr>
      <w:r>
        <w:rPr>
          <w:rStyle w:val="Funotenzeichen"/>
        </w:rPr>
        <w:footnoteRef/>
      </w:r>
      <w:r>
        <w:t xml:space="preserve"> </w:t>
      </w:r>
      <w:r>
        <w:rPr>
          <w:lang w:val="de-DE"/>
        </w:rPr>
        <w:t>Wolff (1736),  § 19.</w:t>
      </w:r>
    </w:p>
  </w:footnote>
  <w:footnote w:id="66">
    <w:p w:rsidR="002459F9" w:rsidRPr="00DF5DE8" w:rsidRDefault="002459F9" w:rsidP="007B4B2A">
      <w:pPr>
        <w:pStyle w:val="Funotentext"/>
        <w:spacing w:line="360" w:lineRule="auto"/>
        <w:jc w:val="both"/>
        <w:rPr>
          <w:lang w:val="de-DE"/>
        </w:rPr>
      </w:pPr>
      <w:r w:rsidRPr="00DF5DE8">
        <w:rPr>
          <w:rStyle w:val="Funotenzeichen"/>
          <w:lang w:val="de-DE"/>
        </w:rPr>
        <w:footnoteRef/>
      </w:r>
      <w:r w:rsidRPr="00DF5DE8">
        <w:rPr>
          <w:lang w:val="de-DE"/>
        </w:rPr>
        <w:t xml:space="preserve"> </w:t>
      </w:r>
      <w:r w:rsidR="000F4C2E">
        <w:rPr>
          <w:lang w:val="de-DE"/>
        </w:rPr>
        <w:t>Ebd.</w:t>
      </w:r>
      <w:r w:rsidR="001F0BC8" w:rsidRPr="00DF5DE8">
        <w:rPr>
          <w:lang w:val="de-DE"/>
        </w:rPr>
        <w:t xml:space="preserve">, </w:t>
      </w:r>
      <w:r w:rsidRPr="00DF5DE8">
        <w:rPr>
          <w:lang w:val="de-DE"/>
        </w:rPr>
        <w:t>§ 21.</w:t>
      </w:r>
    </w:p>
  </w:footnote>
  <w:footnote w:id="67">
    <w:p w:rsidR="002459F9" w:rsidRPr="00DF5DE8" w:rsidRDefault="002459F9" w:rsidP="007B4B2A">
      <w:pPr>
        <w:pStyle w:val="Funotentext"/>
        <w:spacing w:line="360" w:lineRule="auto"/>
        <w:jc w:val="both"/>
        <w:rPr>
          <w:lang w:val="de-DE"/>
        </w:rPr>
      </w:pPr>
      <w:r w:rsidRPr="00DF5DE8">
        <w:rPr>
          <w:rStyle w:val="Funotenzeichen"/>
          <w:lang w:val="de-DE"/>
        </w:rPr>
        <w:footnoteRef/>
      </w:r>
      <w:r w:rsidRPr="00DF5DE8">
        <w:rPr>
          <w:lang w:val="de-DE"/>
        </w:rPr>
        <w:t xml:space="preserve"> </w:t>
      </w:r>
      <w:r w:rsidR="000F4C2E">
        <w:rPr>
          <w:lang w:val="de-DE"/>
        </w:rPr>
        <w:t>Ebd.</w:t>
      </w:r>
      <w:r w:rsidR="001F0BC8" w:rsidRPr="00DF5DE8">
        <w:rPr>
          <w:lang w:val="de-DE"/>
        </w:rPr>
        <w:t xml:space="preserve">, </w:t>
      </w:r>
      <w:r w:rsidRPr="00DF5DE8">
        <w:rPr>
          <w:lang w:val="de-DE"/>
        </w:rPr>
        <w:t>§ 23.</w:t>
      </w:r>
    </w:p>
  </w:footnote>
  <w:footnote w:id="68">
    <w:p w:rsidR="002459F9" w:rsidRPr="00DF5DE8" w:rsidRDefault="002459F9" w:rsidP="007B4B2A">
      <w:pPr>
        <w:pStyle w:val="Funotentext"/>
        <w:spacing w:line="360" w:lineRule="auto"/>
        <w:jc w:val="both"/>
        <w:rPr>
          <w:lang w:val="de-DE"/>
        </w:rPr>
      </w:pPr>
      <w:r w:rsidRPr="00DF5DE8">
        <w:rPr>
          <w:rStyle w:val="Funotenzeichen"/>
          <w:lang w:val="de-DE"/>
        </w:rPr>
        <w:footnoteRef/>
      </w:r>
      <w:r w:rsidR="001F0BC8" w:rsidRPr="00DF5DE8">
        <w:rPr>
          <w:lang w:val="de-DE"/>
        </w:rPr>
        <w:t xml:space="preserve"> </w:t>
      </w:r>
      <w:r w:rsidRPr="00DF5DE8">
        <w:rPr>
          <w:lang w:val="de-DE"/>
        </w:rPr>
        <w:t>A VI, 2, 413; zum Kontex</w:t>
      </w:r>
      <w:r w:rsidR="008A5F9D" w:rsidRPr="00DF5DE8">
        <w:rPr>
          <w:lang w:val="de-DE"/>
        </w:rPr>
        <w:t>t dieser Passage, siehe Blank (2007)</w:t>
      </w:r>
      <w:r w:rsidRPr="00DF5DE8">
        <w:rPr>
          <w:lang w:val="de-DE"/>
        </w:rPr>
        <w:t>.</w:t>
      </w:r>
    </w:p>
  </w:footnote>
  <w:footnote w:id="69">
    <w:p w:rsidR="002459F9" w:rsidRPr="00DF5DE8" w:rsidRDefault="002459F9" w:rsidP="007B4B2A">
      <w:pPr>
        <w:pStyle w:val="Funotentext"/>
        <w:spacing w:line="360" w:lineRule="auto"/>
        <w:jc w:val="both"/>
        <w:rPr>
          <w:lang w:val="de-DE"/>
        </w:rPr>
      </w:pPr>
      <w:r w:rsidRPr="00DF5DE8">
        <w:rPr>
          <w:rStyle w:val="Funotenzeichen"/>
          <w:lang w:val="de-DE"/>
        </w:rPr>
        <w:footnoteRef/>
      </w:r>
      <w:r w:rsidRPr="00DF5DE8">
        <w:rPr>
          <w:lang w:val="de-DE"/>
        </w:rPr>
        <w:t xml:space="preserve"> </w:t>
      </w:r>
      <w:r w:rsidR="000F4C2E">
        <w:rPr>
          <w:lang w:val="de-DE"/>
        </w:rPr>
        <w:t>Wolff (1736)</w:t>
      </w:r>
      <w:r w:rsidR="001F0BC8" w:rsidRPr="00DF5DE8">
        <w:rPr>
          <w:lang w:val="de-DE"/>
        </w:rPr>
        <w:t xml:space="preserve">, </w:t>
      </w:r>
      <w:r w:rsidRPr="00DF5DE8">
        <w:rPr>
          <w:lang w:val="de-DE"/>
        </w:rPr>
        <w:t>§ 4.</w:t>
      </w:r>
    </w:p>
  </w:footnote>
  <w:footnote w:id="70">
    <w:p w:rsidR="002459F9" w:rsidRPr="00DF5DE8" w:rsidRDefault="002459F9" w:rsidP="007B4B2A">
      <w:pPr>
        <w:pStyle w:val="Funotentext"/>
        <w:spacing w:line="360" w:lineRule="auto"/>
        <w:jc w:val="both"/>
        <w:rPr>
          <w:lang w:val="de-DE"/>
        </w:rPr>
      </w:pPr>
      <w:r w:rsidRPr="00DF5DE8">
        <w:rPr>
          <w:rStyle w:val="Funotenzeichen"/>
          <w:lang w:val="de-DE"/>
        </w:rPr>
        <w:footnoteRef/>
      </w:r>
      <w:r w:rsidR="001F0BC8" w:rsidRPr="00DF5DE8">
        <w:rPr>
          <w:lang w:val="de-DE"/>
        </w:rPr>
        <w:t xml:space="preserve"> </w:t>
      </w:r>
      <w:r w:rsidRPr="00DF5DE8">
        <w:rPr>
          <w:lang w:val="de-DE"/>
        </w:rPr>
        <w:t>GP 1,</w:t>
      </w:r>
      <w:r w:rsidR="001F0BC8" w:rsidRPr="00DF5DE8">
        <w:rPr>
          <w:lang w:val="de-DE"/>
        </w:rPr>
        <w:t xml:space="preserve"> 382</w:t>
      </w:r>
      <w:r w:rsidRPr="00DF5DE8">
        <w:rPr>
          <w:lang w:val="de-DE"/>
        </w:rPr>
        <w:t>.</w:t>
      </w:r>
    </w:p>
  </w:footnote>
  <w:footnote w:id="71">
    <w:p w:rsidR="002459F9" w:rsidRPr="00DF5DE8" w:rsidRDefault="002459F9" w:rsidP="007B4B2A">
      <w:pPr>
        <w:pStyle w:val="Funotentext"/>
        <w:spacing w:line="360" w:lineRule="auto"/>
        <w:jc w:val="both"/>
        <w:rPr>
          <w:lang w:val="de-DE"/>
        </w:rPr>
      </w:pPr>
      <w:r w:rsidRPr="00DF5DE8">
        <w:rPr>
          <w:rStyle w:val="Funotenzeichen"/>
          <w:lang w:val="de-DE"/>
        </w:rPr>
        <w:footnoteRef/>
      </w:r>
      <w:r w:rsidRPr="00DF5DE8">
        <w:rPr>
          <w:lang w:val="de-DE"/>
        </w:rPr>
        <w:t xml:space="preserve"> A VI, 6, 5.</w:t>
      </w:r>
    </w:p>
  </w:footnote>
  <w:footnote w:id="72">
    <w:p w:rsidR="002459F9" w:rsidRPr="00DF5DE8" w:rsidRDefault="002459F9" w:rsidP="007B4B2A">
      <w:pPr>
        <w:pStyle w:val="Funotentext"/>
        <w:spacing w:line="360" w:lineRule="auto"/>
        <w:jc w:val="both"/>
        <w:rPr>
          <w:lang w:val="de-DE"/>
        </w:rPr>
      </w:pPr>
      <w:r w:rsidRPr="00DF5DE8">
        <w:rPr>
          <w:rStyle w:val="Funotenzeichen"/>
          <w:lang w:val="de-DE"/>
        </w:rPr>
        <w:footnoteRef/>
      </w:r>
      <w:r w:rsidRPr="00DF5DE8">
        <w:rPr>
          <w:lang w:val="de-DE"/>
        </w:rPr>
        <w:t xml:space="preserve"> Ebd.</w:t>
      </w:r>
    </w:p>
  </w:footnote>
  <w:footnote w:id="73">
    <w:p w:rsidR="002459F9" w:rsidRPr="00DF5DE8" w:rsidRDefault="002459F9" w:rsidP="007B4B2A">
      <w:pPr>
        <w:pStyle w:val="Funotentext"/>
        <w:spacing w:line="360" w:lineRule="auto"/>
        <w:jc w:val="both"/>
        <w:rPr>
          <w:lang w:val="de-DE"/>
        </w:rPr>
      </w:pPr>
      <w:r w:rsidRPr="00DF5DE8">
        <w:rPr>
          <w:rStyle w:val="Funotenzeichen"/>
          <w:lang w:val="de-DE"/>
        </w:rPr>
        <w:footnoteRef/>
      </w:r>
      <w:r w:rsidR="00A95F35">
        <w:rPr>
          <w:lang w:val="de-DE"/>
        </w:rPr>
        <w:t xml:space="preserve"> Leibniz (1996), 47</w:t>
      </w:r>
      <w:r w:rsidR="009E6644" w:rsidRPr="00DF5DE8">
        <w:rPr>
          <w:lang w:val="de-DE"/>
        </w:rPr>
        <w:t xml:space="preserve"> </w:t>
      </w:r>
      <w:r w:rsidR="001F0BC8" w:rsidRPr="00DF5DE8">
        <w:rPr>
          <w:lang w:val="de-DE"/>
        </w:rPr>
        <w:t>(</w:t>
      </w:r>
      <w:r w:rsidRPr="00DF5DE8">
        <w:rPr>
          <w:lang w:val="de-DE"/>
        </w:rPr>
        <w:t>Cassirer</w:t>
      </w:r>
      <w:r w:rsidR="001F0BC8" w:rsidRPr="00DF5DE8">
        <w:rPr>
          <w:lang w:val="de-DE"/>
        </w:rPr>
        <w:t>s Übersetzung)</w:t>
      </w:r>
      <w:r w:rsidRPr="00DF5DE8">
        <w:rPr>
          <w:lang w:val="de-DE"/>
        </w:rPr>
        <w:t>.</w:t>
      </w:r>
    </w:p>
  </w:footnote>
  <w:footnote w:id="74">
    <w:p w:rsidR="002459F9" w:rsidRPr="00DF5DE8" w:rsidRDefault="002459F9" w:rsidP="007B4B2A">
      <w:pPr>
        <w:pStyle w:val="Funotentext"/>
        <w:spacing w:line="360" w:lineRule="auto"/>
        <w:jc w:val="both"/>
        <w:rPr>
          <w:lang w:val="de-DE"/>
        </w:rPr>
      </w:pPr>
      <w:r w:rsidRPr="00DF5DE8">
        <w:rPr>
          <w:rStyle w:val="Funotenzeichen"/>
          <w:lang w:val="de-DE"/>
        </w:rPr>
        <w:footnoteRef/>
      </w:r>
      <w:r w:rsidR="00A95F35">
        <w:rPr>
          <w:lang w:val="de-DE"/>
        </w:rPr>
        <w:t xml:space="preserve"> Leibniz (1996), 37</w:t>
      </w:r>
      <w:r w:rsidR="009E6644" w:rsidRPr="00DF5DE8">
        <w:rPr>
          <w:lang w:val="de-DE"/>
        </w:rPr>
        <w:t xml:space="preserve"> </w:t>
      </w:r>
      <w:r w:rsidR="001F0BC8" w:rsidRPr="00DF5DE8">
        <w:rPr>
          <w:lang w:val="de-DE"/>
        </w:rPr>
        <w:t>(Cassirers Übersetzung)</w:t>
      </w:r>
      <w:r w:rsidRPr="00DF5DE8">
        <w:rPr>
          <w:lang w:val="de-DE"/>
        </w:rPr>
        <w:t>.</w:t>
      </w:r>
    </w:p>
  </w:footnote>
  <w:footnote w:id="75">
    <w:p w:rsidR="002459F9" w:rsidRPr="00DF5DE8" w:rsidRDefault="002459F9" w:rsidP="007B4B2A">
      <w:pPr>
        <w:spacing w:line="360" w:lineRule="auto"/>
        <w:jc w:val="both"/>
        <w:rPr>
          <w:sz w:val="20"/>
          <w:szCs w:val="20"/>
          <w:lang w:val="de-DE"/>
        </w:rPr>
      </w:pPr>
      <w:r w:rsidRPr="00DF5DE8">
        <w:rPr>
          <w:rStyle w:val="Funotenzeichen"/>
          <w:sz w:val="20"/>
          <w:szCs w:val="20"/>
          <w:lang w:val="de-DE"/>
        </w:rPr>
        <w:footnoteRef/>
      </w:r>
      <w:r w:rsidR="009E6644" w:rsidRPr="00DF5DE8">
        <w:rPr>
          <w:sz w:val="20"/>
          <w:szCs w:val="20"/>
          <w:lang w:val="de-DE"/>
        </w:rPr>
        <w:t xml:space="preserve"> Ebd. (Cassirers Übersetzung)</w:t>
      </w:r>
      <w:r w:rsidRPr="00DF5DE8">
        <w:rPr>
          <w:sz w:val="20"/>
          <w:szCs w:val="20"/>
          <w:lang w:val="de-DE"/>
        </w:rPr>
        <w:t>.</w:t>
      </w:r>
    </w:p>
  </w:footnote>
  <w:footnote w:id="76">
    <w:p w:rsidR="002459F9" w:rsidRPr="00DF5DE8" w:rsidRDefault="002459F9" w:rsidP="007B4B2A">
      <w:pPr>
        <w:pStyle w:val="Funotentext"/>
        <w:spacing w:line="360" w:lineRule="auto"/>
        <w:jc w:val="both"/>
        <w:rPr>
          <w:lang w:val="de-DE"/>
        </w:rPr>
      </w:pPr>
      <w:r w:rsidRPr="00DF5DE8">
        <w:rPr>
          <w:rStyle w:val="Funotenzeichen"/>
          <w:lang w:val="de-DE"/>
        </w:rPr>
        <w:footnoteRef/>
      </w:r>
      <w:r w:rsidR="000F4C2E">
        <w:rPr>
          <w:lang w:val="de-DE"/>
        </w:rPr>
        <w:t xml:space="preserve"> Wolff (1736),</w:t>
      </w:r>
      <w:r w:rsidRPr="00DF5DE8">
        <w:rPr>
          <w:lang w:val="de-DE"/>
        </w:rPr>
        <w:t xml:space="preserve"> § 27.</w:t>
      </w:r>
    </w:p>
  </w:footnote>
  <w:footnote w:id="77">
    <w:p w:rsidR="002459F9" w:rsidRPr="00DF5DE8" w:rsidRDefault="002459F9" w:rsidP="007B4B2A">
      <w:pPr>
        <w:pStyle w:val="Funotentext"/>
        <w:spacing w:line="360" w:lineRule="auto"/>
        <w:jc w:val="both"/>
        <w:rPr>
          <w:lang w:val="de-DE"/>
        </w:rPr>
      </w:pPr>
      <w:r w:rsidRPr="00DF5DE8">
        <w:rPr>
          <w:rStyle w:val="Funotenzeichen"/>
          <w:lang w:val="de-DE"/>
        </w:rPr>
        <w:footnoteRef/>
      </w:r>
      <w:r w:rsidRPr="00DF5DE8">
        <w:rPr>
          <w:lang w:val="de-DE"/>
        </w:rPr>
        <w:t xml:space="preserve"> Châtelet</w:t>
      </w:r>
      <w:r w:rsidR="007B211A" w:rsidRPr="00DF5DE8">
        <w:rPr>
          <w:lang w:val="de-DE"/>
        </w:rPr>
        <w:t xml:space="preserve"> (1740), 18</w:t>
      </w:r>
      <w:r w:rsidRPr="00DF5DE8">
        <w:rPr>
          <w:lang w:val="de-DE"/>
        </w:rPr>
        <w:t>.</w:t>
      </w:r>
    </w:p>
  </w:footnote>
  <w:footnote w:id="78">
    <w:p w:rsidR="002459F9" w:rsidRPr="00DF5DE8" w:rsidRDefault="002459F9" w:rsidP="007B4B2A">
      <w:pPr>
        <w:pStyle w:val="Funotentext"/>
        <w:spacing w:line="360" w:lineRule="auto"/>
        <w:jc w:val="both"/>
        <w:rPr>
          <w:lang w:val="de-DE"/>
        </w:rPr>
      </w:pPr>
      <w:r w:rsidRPr="00DF5DE8">
        <w:rPr>
          <w:rStyle w:val="Funotenzeichen"/>
          <w:lang w:val="de-DE"/>
        </w:rPr>
        <w:footnoteRef/>
      </w:r>
      <w:r w:rsidR="000F4C2E">
        <w:rPr>
          <w:lang w:val="de-DE"/>
        </w:rPr>
        <w:t xml:space="preserve"> Wolff (1736),</w:t>
      </w:r>
      <w:r w:rsidRPr="00DF5DE8">
        <w:rPr>
          <w:lang w:val="de-DE"/>
        </w:rPr>
        <w:t xml:space="preserve"> § 28.</w:t>
      </w:r>
    </w:p>
  </w:footnote>
  <w:footnote w:id="79">
    <w:p w:rsidR="002459F9" w:rsidRPr="00DF5DE8" w:rsidRDefault="002459F9" w:rsidP="007B4B2A">
      <w:pPr>
        <w:pStyle w:val="Funotentext"/>
        <w:spacing w:line="360" w:lineRule="auto"/>
        <w:jc w:val="both"/>
        <w:rPr>
          <w:lang w:val="de-DE"/>
        </w:rPr>
      </w:pPr>
      <w:r w:rsidRPr="00DF5DE8">
        <w:rPr>
          <w:rStyle w:val="Funotenzeichen"/>
          <w:lang w:val="de-DE"/>
        </w:rPr>
        <w:footnoteRef/>
      </w:r>
      <w:r w:rsidR="000F4C2E">
        <w:rPr>
          <w:lang w:val="de-DE"/>
        </w:rPr>
        <w:t xml:space="preserve"> Ebd.,</w:t>
      </w:r>
      <w:r w:rsidRPr="00DF5DE8">
        <w:rPr>
          <w:lang w:val="de-DE"/>
        </w:rPr>
        <w:t xml:space="preserve"> § 27.</w:t>
      </w:r>
    </w:p>
  </w:footnote>
  <w:footnote w:id="80">
    <w:p w:rsidR="002459F9" w:rsidRPr="00DF5DE8" w:rsidRDefault="002459F9" w:rsidP="007B4B2A">
      <w:pPr>
        <w:pStyle w:val="Funotentext"/>
        <w:spacing w:line="360" w:lineRule="auto"/>
        <w:jc w:val="both"/>
        <w:rPr>
          <w:lang w:val="de-DE"/>
        </w:rPr>
      </w:pPr>
      <w:r w:rsidRPr="00DF5DE8">
        <w:rPr>
          <w:rStyle w:val="Funotenzeichen"/>
          <w:lang w:val="de-DE"/>
        </w:rPr>
        <w:footnoteRef/>
      </w:r>
      <w:r w:rsidR="007B211A" w:rsidRPr="00DF5DE8">
        <w:rPr>
          <w:lang w:val="de-DE"/>
        </w:rPr>
        <w:t xml:space="preserve"> Châtelet (1740), 18</w:t>
      </w:r>
      <w:r w:rsidRPr="00DF5DE8">
        <w:rPr>
          <w:lang w:val="de-DE"/>
        </w:rPr>
        <w:t>.</w:t>
      </w:r>
    </w:p>
  </w:footnote>
  <w:footnote w:id="81">
    <w:p w:rsidR="002459F9" w:rsidRPr="00DF5DE8" w:rsidRDefault="002459F9" w:rsidP="007B4B2A">
      <w:pPr>
        <w:pStyle w:val="Funotentext"/>
        <w:spacing w:line="360" w:lineRule="auto"/>
        <w:jc w:val="both"/>
        <w:rPr>
          <w:lang w:val="de-DE"/>
        </w:rPr>
      </w:pPr>
      <w:r w:rsidRPr="00DF5DE8">
        <w:rPr>
          <w:rStyle w:val="Funotenzeichen"/>
          <w:lang w:val="de-DE"/>
        </w:rPr>
        <w:footnoteRef/>
      </w:r>
      <w:r w:rsidR="009149CA" w:rsidRPr="00DF5DE8">
        <w:rPr>
          <w:lang w:val="de-DE"/>
        </w:rPr>
        <w:t xml:space="preserve"> </w:t>
      </w:r>
      <w:r w:rsidRPr="00DF5DE8">
        <w:rPr>
          <w:lang w:val="de-DE"/>
        </w:rPr>
        <w:t>A</w:t>
      </w:r>
      <w:r w:rsidR="009149CA" w:rsidRPr="00DF5DE8">
        <w:rPr>
          <w:lang w:val="de-DE"/>
        </w:rPr>
        <w:t xml:space="preserve"> VI, 6, 82-83</w:t>
      </w:r>
      <w:r w:rsidRPr="00DF5DE8">
        <w:rPr>
          <w:lang w:val="de-DE"/>
        </w:rPr>
        <w:t>.</w:t>
      </w:r>
    </w:p>
  </w:footnote>
  <w:footnote w:id="82">
    <w:p w:rsidR="002459F9" w:rsidRPr="00DF5DE8" w:rsidRDefault="002459F9" w:rsidP="007B4B2A">
      <w:pPr>
        <w:pStyle w:val="Funotentext"/>
        <w:spacing w:line="360" w:lineRule="auto"/>
        <w:jc w:val="both"/>
        <w:rPr>
          <w:lang w:val="de-DE"/>
        </w:rPr>
      </w:pPr>
      <w:r w:rsidRPr="00DF5DE8">
        <w:rPr>
          <w:rStyle w:val="Funotenzeichen"/>
          <w:lang w:val="de-DE"/>
        </w:rPr>
        <w:footnoteRef/>
      </w:r>
      <w:r w:rsidR="009149CA" w:rsidRPr="00DF5DE8">
        <w:rPr>
          <w:lang w:val="de-DE"/>
        </w:rPr>
        <w:t xml:space="preserve"> A VI, 6, 362</w:t>
      </w:r>
      <w:r w:rsidRPr="00DF5DE8">
        <w:rPr>
          <w:lang w:val="de-DE"/>
        </w:rPr>
        <w:t>.</w:t>
      </w:r>
    </w:p>
  </w:footnote>
  <w:footnote w:id="83">
    <w:p w:rsidR="002459F9" w:rsidRPr="00DF5DE8" w:rsidRDefault="002459F9" w:rsidP="00AD3A77">
      <w:pPr>
        <w:autoSpaceDE w:val="0"/>
        <w:autoSpaceDN w:val="0"/>
        <w:adjustRightInd w:val="0"/>
        <w:spacing w:line="360" w:lineRule="auto"/>
        <w:jc w:val="both"/>
        <w:rPr>
          <w:bCs/>
          <w:sz w:val="20"/>
          <w:szCs w:val="20"/>
          <w:lang w:val="de-DE"/>
        </w:rPr>
      </w:pPr>
      <w:r w:rsidRPr="00DF5DE8">
        <w:rPr>
          <w:rStyle w:val="Funotenzeichen"/>
          <w:sz w:val="20"/>
          <w:szCs w:val="20"/>
          <w:lang w:val="de-DE"/>
        </w:rPr>
        <w:footnoteRef/>
      </w:r>
      <w:r w:rsidR="009149CA" w:rsidRPr="00DF5DE8">
        <w:rPr>
          <w:sz w:val="20"/>
          <w:szCs w:val="20"/>
          <w:lang w:val="de-DE"/>
        </w:rPr>
        <w:t xml:space="preserve"> </w:t>
      </w:r>
      <w:r w:rsidRPr="00DF5DE8">
        <w:rPr>
          <w:sz w:val="20"/>
          <w:szCs w:val="20"/>
          <w:lang w:val="de-DE"/>
        </w:rPr>
        <w:t>A</w:t>
      </w:r>
      <w:r w:rsidR="009149CA" w:rsidRPr="00DF5DE8">
        <w:rPr>
          <w:sz w:val="20"/>
          <w:szCs w:val="20"/>
          <w:lang w:val="de-DE"/>
        </w:rPr>
        <w:t xml:space="preserve"> VI, 6, 82-83.</w:t>
      </w:r>
      <w:r w:rsidRPr="00DF5DE8">
        <w:rPr>
          <w:bCs/>
          <w:sz w:val="20"/>
          <w:szCs w:val="20"/>
          <w:lang w:val="de-DE"/>
        </w:rPr>
        <w:t xml:space="preserve"> </w:t>
      </w:r>
    </w:p>
  </w:footnote>
  <w:footnote w:id="84">
    <w:p w:rsidR="002459F9" w:rsidRPr="00DF5DE8" w:rsidRDefault="002459F9" w:rsidP="007B4B2A">
      <w:pPr>
        <w:pStyle w:val="Funotentext"/>
        <w:spacing w:line="360" w:lineRule="auto"/>
        <w:jc w:val="both"/>
        <w:rPr>
          <w:lang w:val="de-DE"/>
        </w:rPr>
      </w:pPr>
      <w:r w:rsidRPr="00DF5DE8">
        <w:rPr>
          <w:rStyle w:val="Funotenzeichen"/>
          <w:lang w:val="de-DE"/>
        </w:rPr>
        <w:footnoteRef/>
      </w:r>
      <w:r w:rsidR="009149CA" w:rsidRPr="00DF5DE8">
        <w:rPr>
          <w:lang w:val="de-DE"/>
        </w:rPr>
        <w:t xml:space="preserve"> A VI, 4, 1500</w:t>
      </w:r>
      <w:r w:rsidRPr="00DF5DE8">
        <w:rPr>
          <w:lang w:val="de-DE"/>
        </w:rPr>
        <w:t>.</w:t>
      </w:r>
    </w:p>
  </w:footnote>
  <w:footnote w:id="85">
    <w:p w:rsidR="002459F9" w:rsidRPr="00DF5DE8" w:rsidRDefault="002459F9" w:rsidP="00AD3A77">
      <w:pPr>
        <w:autoSpaceDE w:val="0"/>
        <w:autoSpaceDN w:val="0"/>
        <w:adjustRightInd w:val="0"/>
        <w:spacing w:line="360" w:lineRule="auto"/>
        <w:jc w:val="both"/>
        <w:rPr>
          <w:sz w:val="20"/>
          <w:szCs w:val="20"/>
          <w:lang w:val="de-DE"/>
        </w:rPr>
      </w:pPr>
      <w:r w:rsidRPr="00DF5DE8">
        <w:rPr>
          <w:rStyle w:val="Funotenzeichen"/>
          <w:sz w:val="20"/>
          <w:szCs w:val="20"/>
          <w:lang w:val="de-DE"/>
        </w:rPr>
        <w:footnoteRef/>
      </w:r>
      <w:r w:rsidRPr="00DF5DE8">
        <w:rPr>
          <w:sz w:val="20"/>
          <w:szCs w:val="20"/>
          <w:lang w:val="de-DE"/>
        </w:rPr>
        <w:t xml:space="preserve"> Ebd.</w:t>
      </w:r>
      <w:r w:rsidR="009149CA" w:rsidRPr="00DF5DE8">
        <w:rPr>
          <w:sz w:val="20"/>
          <w:szCs w:val="20"/>
          <w:lang w:val="de-DE"/>
        </w:rPr>
        <w:t>;</w:t>
      </w:r>
      <w:r w:rsidRPr="00DF5DE8">
        <w:rPr>
          <w:sz w:val="20"/>
          <w:szCs w:val="20"/>
          <w:lang w:val="de-DE"/>
        </w:rPr>
        <w:t xml:space="preserve"> G</w:t>
      </w:r>
      <w:r w:rsidR="009149CA" w:rsidRPr="00DF5DE8">
        <w:rPr>
          <w:sz w:val="20"/>
          <w:szCs w:val="20"/>
          <w:lang w:val="de-DE"/>
        </w:rPr>
        <w:t>P I</w:t>
      </w:r>
      <w:r w:rsidRPr="00DF5DE8">
        <w:rPr>
          <w:sz w:val="20"/>
          <w:szCs w:val="20"/>
          <w:lang w:val="de-DE"/>
        </w:rPr>
        <w:t xml:space="preserve">, </w:t>
      </w:r>
      <w:r w:rsidR="009149CA" w:rsidRPr="00DF5DE8">
        <w:rPr>
          <w:sz w:val="20"/>
          <w:szCs w:val="20"/>
          <w:lang w:val="de-DE"/>
        </w:rPr>
        <w:t>382</w:t>
      </w:r>
      <w:r w:rsidRPr="00DF5DE8">
        <w:rPr>
          <w:sz w:val="20"/>
          <w:szCs w:val="20"/>
          <w:lang w:val="de-DE"/>
        </w:rPr>
        <w:t>.</w:t>
      </w:r>
    </w:p>
  </w:footnote>
  <w:footnote w:id="86">
    <w:p w:rsidR="002459F9" w:rsidRPr="00DF5DE8" w:rsidRDefault="002459F9" w:rsidP="00AD3A77">
      <w:pPr>
        <w:autoSpaceDE w:val="0"/>
        <w:autoSpaceDN w:val="0"/>
        <w:adjustRightInd w:val="0"/>
        <w:spacing w:line="360" w:lineRule="auto"/>
        <w:jc w:val="both"/>
        <w:rPr>
          <w:sz w:val="20"/>
          <w:szCs w:val="20"/>
          <w:lang w:val="de-DE"/>
        </w:rPr>
      </w:pPr>
      <w:r w:rsidRPr="00DF5DE8">
        <w:rPr>
          <w:rStyle w:val="Funotenzeichen"/>
          <w:sz w:val="20"/>
          <w:szCs w:val="20"/>
          <w:lang w:val="de-DE"/>
        </w:rPr>
        <w:footnoteRef/>
      </w:r>
      <w:r w:rsidR="00883086" w:rsidRPr="00DF5DE8">
        <w:rPr>
          <w:sz w:val="20"/>
          <w:szCs w:val="20"/>
          <w:lang w:val="de-DE"/>
        </w:rPr>
        <w:t xml:space="preserve"> A VI, 4, 1454.</w:t>
      </w:r>
    </w:p>
  </w:footnote>
  <w:footnote w:id="87">
    <w:p w:rsidR="002459F9" w:rsidRPr="00DF5DE8" w:rsidRDefault="002459F9" w:rsidP="00AD3A77">
      <w:pPr>
        <w:autoSpaceDE w:val="0"/>
        <w:autoSpaceDN w:val="0"/>
        <w:adjustRightInd w:val="0"/>
        <w:spacing w:line="360" w:lineRule="auto"/>
        <w:jc w:val="both"/>
        <w:rPr>
          <w:sz w:val="20"/>
          <w:szCs w:val="20"/>
          <w:lang w:val="de-DE"/>
        </w:rPr>
      </w:pPr>
      <w:r w:rsidRPr="00DF5DE8">
        <w:rPr>
          <w:rStyle w:val="Funotenzeichen"/>
          <w:sz w:val="20"/>
          <w:szCs w:val="20"/>
          <w:lang w:val="de-DE"/>
        </w:rPr>
        <w:footnoteRef/>
      </w:r>
      <w:r w:rsidR="00883086" w:rsidRPr="00DF5DE8">
        <w:rPr>
          <w:sz w:val="20"/>
          <w:szCs w:val="20"/>
          <w:lang w:val="de-DE"/>
        </w:rPr>
        <w:t xml:space="preserve"> </w:t>
      </w:r>
      <w:r w:rsidRPr="00DF5DE8">
        <w:rPr>
          <w:sz w:val="20"/>
          <w:szCs w:val="20"/>
          <w:lang w:val="de-DE"/>
        </w:rPr>
        <w:t>A VI, 4,</w:t>
      </w:r>
      <w:r w:rsidR="00883086" w:rsidRPr="00DF5DE8">
        <w:rPr>
          <w:sz w:val="20"/>
          <w:szCs w:val="20"/>
          <w:lang w:val="de-DE"/>
        </w:rPr>
        <w:t xml:space="preserve"> 1440.</w:t>
      </w:r>
    </w:p>
  </w:footnote>
  <w:footnote w:id="88">
    <w:p w:rsidR="002459F9" w:rsidRPr="00DF5DE8" w:rsidRDefault="002459F9" w:rsidP="007B4B2A">
      <w:pPr>
        <w:pStyle w:val="Funotentext"/>
        <w:spacing w:line="360" w:lineRule="auto"/>
        <w:jc w:val="both"/>
        <w:rPr>
          <w:lang w:val="de-DE"/>
        </w:rPr>
      </w:pPr>
      <w:r w:rsidRPr="00DF5DE8">
        <w:rPr>
          <w:rStyle w:val="Funotenzeichen"/>
          <w:lang w:val="de-DE"/>
        </w:rPr>
        <w:footnoteRef/>
      </w:r>
      <w:r w:rsidR="00883086" w:rsidRPr="00DF5DE8">
        <w:rPr>
          <w:lang w:val="de-DE"/>
        </w:rPr>
        <w:t xml:space="preserve"> GP I</w:t>
      </w:r>
      <w:r w:rsidRPr="00DF5DE8">
        <w:rPr>
          <w:lang w:val="de-DE"/>
        </w:rPr>
        <w:t>, 382.</w:t>
      </w:r>
    </w:p>
  </w:footnote>
  <w:footnote w:id="89">
    <w:p w:rsidR="002459F9" w:rsidRPr="00DF5DE8" w:rsidRDefault="002459F9" w:rsidP="007B4B2A">
      <w:pPr>
        <w:pStyle w:val="Funotentext"/>
        <w:spacing w:line="360" w:lineRule="auto"/>
        <w:jc w:val="both"/>
        <w:rPr>
          <w:lang w:val="de-DE"/>
        </w:rPr>
      </w:pPr>
      <w:r w:rsidRPr="00DF5DE8">
        <w:rPr>
          <w:rStyle w:val="Funotenzeichen"/>
          <w:lang w:val="de-DE"/>
        </w:rPr>
        <w:footnoteRef/>
      </w:r>
      <w:r w:rsidRPr="00DF5DE8">
        <w:rPr>
          <w:lang w:val="de-DE"/>
        </w:rPr>
        <w:t xml:space="preserve"> Mondadori</w:t>
      </w:r>
      <w:r w:rsidR="00C93012" w:rsidRPr="00DF5DE8">
        <w:rPr>
          <w:lang w:val="de-DE"/>
        </w:rPr>
        <w:t xml:space="preserve"> (1977).</w:t>
      </w:r>
    </w:p>
  </w:footnote>
  <w:footnote w:id="90">
    <w:p w:rsidR="002459F9" w:rsidRPr="00DF5DE8" w:rsidRDefault="002459F9" w:rsidP="007B4B2A">
      <w:pPr>
        <w:pStyle w:val="Funotentext"/>
        <w:spacing w:line="360" w:lineRule="auto"/>
        <w:jc w:val="both"/>
        <w:rPr>
          <w:lang w:val="de-DE"/>
        </w:rPr>
      </w:pPr>
      <w:r w:rsidRPr="00DF5DE8">
        <w:rPr>
          <w:rStyle w:val="Funotenzeichen"/>
          <w:lang w:val="de-DE"/>
        </w:rPr>
        <w:footnoteRef/>
      </w:r>
      <w:r w:rsidR="000F4C2E">
        <w:rPr>
          <w:lang w:val="de-DE"/>
        </w:rPr>
        <w:t xml:space="preserve"> Wolff (1736),</w:t>
      </w:r>
      <w:r w:rsidRPr="00DF5DE8">
        <w:rPr>
          <w:lang w:val="de-DE"/>
        </w:rPr>
        <w:t xml:space="preserve"> § 30.</w:t>
      </w:r>
    </w:p>
  </w:footnote>
  <w:footnote w:id="91">
    <w:p w:rsidR="00E16B92" w:rsidRPr="00DF5DE8" w:rsidRDefault="00E16B92" w:rsidP="00E16B92">
      <w:pPr>
        <w:pStyle w:val="Funotentext"/>
        <w:spacing w:line="360" w:lineRule="auto"/>
        <w:jc w:val="both"/>
        <w:rPr>
          <w:lang w:val="de-DE"/>
        </w:rPr>
      </w:pPr>
      <w:r w:rsidRPr="00DF5DE8">
        <w:rPr>
          <w:rStyle w:val="Funotenzeichen"/>
          <w:lang w:val="de-DE"/>
        </w:rPr>
        <w:footnoteRef/>
      </w:r>
      <w:r>
        <w:rPr>
          <w:lang w:val="de-DE"/>
        </w:rPr>
        <w:t xml:space="preserve"> Ebd., § 79</w:t>
      </w:r>
      <w:r w:rsidRPr="00DF5DE8">
        <w:rPr>
          <w:lang w:val="de-DE"/>
        </w:rPr>
        <w:t>.</w:t>
      </w:r>
    </w:p>
  </w:footnote>
  <w:footnote w:id="92">
    <w:p w:rsidR="008A5F9D" w:rsidRPr="00DF5DE8" w:rsidRDefault="008A5F9D" w:rsidP="008A5F9D">
      <w:pPr>
        <w:pStyle w:val="Funotentext"/>
        <w:spacing w:line="360" w:lineRule="auto"/>
        <w:jc w:val="both"/>
        <w:rPr>
          <w:lang w:val="de-DE"/>
        </w:rPr>
      </w:pPr>
      <w:r w:rsidRPr="00DF5DE8">
        <w:rPr>
          <w:rStyle w:val="Funotenzeichen"/>
          <w:lang w:val="de-DE"/>
        </w:rPr>
        <w:footnoteRef/>
      </w:r>
      <w:r w:rsidR="000F4C2E">
        <w:rPr>
          <w:lang w:val="de-DE"/>
        </w:rPr>
        <w:t xml:space="preserve"> Ebd.,</w:t>
      </w:r>
      <w:r w:rsidR="00E16B92">
        <w:rPr>
          <w:lang w:val="de-DE"/>
        </w:rPr>
        <w:t xml:space="preserve"> §</w:t>
      </w:r>
      <w:r w:rsidRPr="00DF5DE8">
        <w:rPr>
          <w:lang w:val="de-DE"/>
        </w:rPr>
        <w:t xml:space="preserve"> 85.</w:t>
      </w:r>
    </w:p>
  </w:footnote>
  <w:footnote w:id="93">
    <w:p w:rsidR="002459F9" w:rsidRPr="00DF5DE8" w:rsidRDefault="002459F9" w:rsidP="007B4B2A">
      <w:pPr>
        <w:pStyle w:val="Funotentext"/>
        <w:spacing w:line="360" w:lineRule="auto"/>
        <w:jc w:val="both"/>
        <w:rPr>
          <w:lang w:val="de-DE"/>
        </w:rPr>
      </w:pPr>
      <w:r w:rsidRPr="00DF5DE8">
        <w:rPr>
          <w:rStyle w:val="Funotenzeichen"/>
          <w:lang w:val="de-DE"/>
        </w:rPr>
        <w:footnoteRef/>
      </w:r>
      <w:r w:rsidR="007B211A" w:rsidRPr="00DF5DE8">
        <w:rPr>
          <w:lang w:val="de-DE"/>
        </w:rPr>
        <w:t xml:space="preserve"> Châtelet (1740), 18</w:t>
      </w:r>
      <w:r w:rsidRPr="00DF5DE8">
        <w:rPr>
          <w:lang w:val="de-DE"/>
        </w:rPr>
        <w:t>.</w:t>
      </w:r>
    </w:p>
  </w:footnote>
  <w:footnote w:id="94">
    <w:p w:rsidR="002459F9" w:rsidRPr="00DF5DE8" w:rsidRDefault="002459F9" w:rsidP="007B4B2A">
      <w:pPr>
        <w:pStyle w:val="Funotentext"/>
        <w:spacing w:line="360" w:lineRule="auto"/>
        <w:jc w:val="both"/>
        <w:rPr>
          <w:lang w:val="de-DE"/>
        </w:rPr>
      </w:pPr>
      <w:r w:rsidRPr="00DF5DE8">
        <w:rPr>
          <w:rStyle w:val="Funotenzeichen"/>
          <w:lang w:val="de-DE"/>
        </w:rPr>
        <w:footnoteRef/>
      </w:r>
      <w:r w:rsidR="000F4C2E">
        <w:rPr>
          <w:lang w:val="de-DE"/>
        </w:rPr>
        <w:t xml:space="preserve"> Ebd.</w:t>
      </w:r>
      <w:r w:rsidR="007B211A" w:rsidRPr="00DF5DE8">
        <w:rPr>
          <w:lang w:val="de-DE"/>
        </w:rPr>
        <w:t>, 19</w:t>
      </w:r>
      <w:r w:rsidRPr="00DF5DE8">
        <w:rPr>
          <w:lang w:val="de-DE"/>
        </w:rPr>
        <w:t>.</w:t>
      </w:r>
    </w:p>
  </w:footnote>
  <w:footnote w:id="95">
    <w:p w:rsidR="002459F9" w:rsidRPr="00DF5DE8" w:rsidRDefault="002459F9" w:rsidP="007B4B2A">
      <w:pPr>
        <w:pStyle w:val="Funotentext"/>
        <w:spacing w:line="360" w:lineRule="auto"/>
        <w:jc w:val="both"/>
        <w:rPr>
          <w:lang w:val="de-DE"/>
        </w:rPr>
      </w:pPr>
      <w:r w:rsidRPr="00DF5DE8">
        <w:rPr>
          <w:rStyle w:val="Funotenzeichen"/>
          <w:lang w:val="de-DE"/>
        </w:rPr>
        <w:footnoteRef/>
      </w:r>
      <w:r w:rsidR="00E5778C">
        <w:rPr>
          <w:lang w:val="de-DE"/>
        </w:rPr>
        <w:t xml:space="preserve"> Wolff (1736)</w:t>
      </w:r>
      <w:r w:rsidRPr="00DF5DE8">
        <w:rPr>
          <w:lang w:val="de-DE"/>
        </w:rPr>
        <w:t>, § 79.</w:t>
      </w:r>
    </w:p>
  </w:footnote>
  <w:footnote w:id="96">
    <w:p w:rsidR="002459F9" w:rsidRPr="00DF5DE8" w:rsidRDefault="002459F9" w:rsidP="007B4B2A">
      <w:pPr>
        <w:pStyle w:val="Funotentext"/>
        <w:spacing w:line="360" w:lineRule="auto"/>
        <w:jc w:val="both"/>
        <w:rPr>
          <w:lang w:val="de-DE"/>
        </w:rPr>
      </w:pPr>
      <w:r w:rsidRPr="00DF5DE8">
        <w:rPr>
          <w:rStyle w:val="Funotenzeichen"/>
          <w:lang w:val="de-DE"/>
        </w:rPr>
        <w:footnoteRef/>
      </w:r>
      <w:r w:rsidR="007B211A" w:rsidRPr="00DF5DE8">
        <w:rPr>
          <w:lang w:val="de-DE"/>
        </w:rPr>
        <w:t xml:space="preserve"> Châtelet (1740), 21</w:t>
      </w:r>
      <w:r w:rsidRPr="00DF5DE8">
        <w:rPr>
          <w:lang w:val="de-DE"/>
        </w:rPr>
        <w:t>.</w:t>
      </w:r>
    </w:p>
  </w:footnote>
  <w:footnote w:id="97">
    <w:p w:rsidR="002459F9" w:rsidRPr="00DF5DE8" w:rsidRDefault="002459F9" w:rsidP="007B4B2A">
      <w:pPr>
        <w:pStyle w:val="Funotentext"/>
        <w:spacing w:line="360" w:lineRule="auto"/>
        <w:jc w:val="both"/>
        <w:rPr>
          <w:lang w:val="de-DE"/>
        </w:rPr>
      </w:pPr>
      <w:r w:rsidRPr="00DF5DE8">
        <w:rPr>
          <w:rStyle w:val="Funotenzeichen"/>
          <w:lang w:val="de-DE"/>
        </w:rPr>
        <w:footnoteRef/>
      </w:r>
      <w:r w:rsidR="00883086" w:rsidRPr="00DF5DE8">
        <w:rPr>
          <w:lang w:val="de-DE"/>
        </w:rPr>
        <w:t xml:space="preserve"> </w:t>
      </w:r>
      <w:r w:rsidR="00A258B0">
        <w:rPr>
          <w:lang w:val="de-DE"/>
        </w:rPr>
        <w:t>A VI, 4, 589</w:t>
      </w:r>
      <w:r w:rsidRPr="00DF5DE8">
        <w:rPr>
          <w:lang w:val="de-D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F6C"/>
    <w:multiLevelType w:val="multilevel"/>
    <w:tmpl w:val="F69A01F8"/>
    <w:lvl w:ilvl="0">
      <w:start w:val="1"/>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F1FEC"/>
    <w:multiLevelType w:val="hybridMultilevel"/>
    <w:tmpl w:val="A6823E2C"/>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C4C73"/>
    <w:multiLevelType w:val="hybridMultilevel"/>
    <w:tmpl w:val="8DCA146E"/>
    <w:lvl w:ilvl="0" w:tplc="56BCF494">
      <w:numFmt w:val="bullet"/>
      <w:lvlText w:val=""/>
      <w:lvlJc w:val="left"/>
      <w:pPr>
        <w:tabs>
          <w:tab w:val="num" w:pos="750"/>
        </w:tabs>
        <w:ind w:left="750" w:hanging="360"/>
      </w:pPr>
      <w:rPr>
        <w:rFonts w:ascii="Wingdings" w:eastAsia="Times New Roman" w:hAnsi="Wingdings"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 w15:restartNumberingAfterBreak="0">
    <w:nsid w:val="0FCC252B"/>
    <w:multiLevelType w:val="hybridMultilevel"/>
    <w:tmpl w:val="47DACC30"/>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4" w15:restartNumberingAfterBreak="0">
    <w:nsid w:val="12B56DAA"/>
    <w:multiLevelType w:val="hybridMultilevel"/>
    <w:tmpl w:val="40AC6580"/>
    <w:lvl w:ilvl="0" w:tplc="0262A4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E5FD7"/>
    <w:multiLevelType w:val="hybridMultilevel"/>
    <w:tmpl w:val="081EB594"/>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71E83"/>
    <w:multiLevelType w:val="hybridMultilevel"/>
    <w:tmpl w:val="CADAB1DE"/>
    <w:lvl w:ilvl="0" w:tplc="1074A8D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1211B"/>
    <w:multiLevelType w:val="multilevel"/>
    <w:tmpl w:val="CADAB1DE"/>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B6B9E"/>
    <w:multiLevelType w:val="multilevel"/>
    <w:tmpl w:val="F69A01F8"/>
    <w:lvl w:ilvl="0">
      <w:start w:val="1"/>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ED6384"/>
    <w:multiLevelType w:val="hybridMultilevel"/>
    <w:tmpl w:val="42FABF5E"/>
    <w:lvl w:ilvl="0" w:tplc="27AE964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DC6893"/>
    <w:multiLevelType w:val="multilevel"/>
    <w:tmpl w:val="8DCA146E"/>
    <w:lvl w:ilvl="0">
      <w:numFmt w:val="bullet"/>
      <w:lvlText w:val=""/>
      <w:lvlJc w:val="left"/>
      <w:pPr>
        <w:tabs>
          <w:tab w:val="num" w:pos="750"/>
        </w:tabs>
        <w:ind w:left="750" w:hanging="360"/>
      </w:pPr>
      <w:rPr>
        <w:rFonts w:ascii="Wingdings" w:eastAsia="Times New Roman" w:hAnsi="Wingdings" w:cs="Times New Roman" w:hint="default"/>
      </w:rPr>
    </w:lvl>
    <w:lvl w:ilvl="1">
      <w:start w:val="1"/>
      <w:numFmt w:val="bullet"/>
      <w:lvlText w:val="o"/>
      <w:lvlJc w:val="left"/>
      <w:pPr>
        <w:tabs>
          <w:tab w:val="num" w:pos="1470"/>
        </w:tabs>
        <w:ind w:left="1470" w:hanging="360"/>
      </w:pPr>
      <w:rPr>
        <w:rFonts w:ascii="Courier New" w:hAnsi="Courier New" w:cs="Courier New" w:hint="default"/>
      </w:rPr>
    </w:lvl>
    <w:lvl w:ilvl="2">
      <w:start w:val="1"/>
      <w:numFmt w:val="bullet"/>
      <w:lvlText w:val=""/>
      <w:lvlJc w:val="left"/>
      <w:pPr>
        <w:tabs>
          <w:tab w:val="num" w:pos="2190"/>
        </w:tabs>
        <w:ind w:left="2190" w:hanging="360"/>
      </w:pPr>
      <w:rPr>
        <w:rFonts w:ascii="Wingdings" w:hAnsi="Wingdings" w:hint="default"/>
      </w:rPr>
    </w:lvl>
    <w:lvl w:ilvl="3">
      <w:start w:val="1"/>
      <w:numFmt w:val="bullet"/>
      <w:lvlText w:val=""/>
      <w:lvlJc w:val="left"/>
      <w:pPr>
        <w:tabs>
          <w:tab w:val="num" w:pos="2910"/>
        </w:tabs>
        <w:ind w:left="2910" w:hanging="360"/>
      </w:pPr>
      <w:rPr>
        <w:rFonts w:ascii="Symbol" w:hAnsi="Symbol" w:hint="default"/>
      </w:rPr>
    </w:lvl>
    <w:lvl w:ilvl="4">
      <w:start w:val="1"/>
      <w:numFmt w:val="bullet"/>
      <w:lvlText w:val="o"/>
      <w:lvlJc w:val="left"/>
      <w:pPr>
        <w:tabs>
          <w:tab w:val="num" w:pos="3630"/>
        </w:tabs>
        <w:ind w:left="3630" w:hanging="360"/>
      </w:pPr>
      <w:rPr>
        <w:rFonts w:ascii="Courier New" w:hAnsi="Courier New" w:cs="Courier New" w:hint="default"/>
      </w:rPr>
    </w:lvl>
    <w:lvl w:ilvl="5">
      <w:start w:val="1"/>
      <w:numFmt w:val="bullet"/>
      <w:lvlText w:val=""/>
      <w:lvlJc w:val="left"/>
      <w:pPr>
        <w:tabs>
          <w:tab w:val="num" w:pos="4350"/>
        </w:tabs>
        <w:ind w:left="4350" w:hanging="360"/>
      </w:pPr>
      <w:rPr>
        <w:rFonts w:ascii="Wingdings" w:hAnsi="Wingdings" w:hint="default"/>
      </w:rPr>
    </w:lvl>
    <w:lvl w:ilvl="6">
      <w:start w:val="1"/>
      <w:numFmt w:val="bullet"/>
      <w:lvlText w:val=""/>
      <w:lvlJc w:val="left"/>
      <w:pPr>
        <w:tabs>
          <w:tab w:val="num" w:pos="5070"/>
        </w:tabs>
        <w:ind w:left="5070" w:hanging="360"/>
      </w:pPr>
      <w:rPr>
        <w:rFonts w:ascii="Symbol" w:hAnsi="Symbol" w:hint="default"/>
      </w:rPr>
    </w:lvl>
    <w:lvl w:ilvl="7">
      <w:start w:val="1"/>
      <w:numFmt w:val="bullet"/>
      <w:lvlText w:val="o"/>
      <w:lvlJc w:val="left"/>
      <w:pPr>
        <w:tabs>
          <w:tab w:val="num" w:pos="5790"/>
        </w:tabs>
        <w:ind w:left="5790" w:hanging="360"/>
      </w:pPr>
      <w:rPr>
        <w:rFonts w:ascii="Courier New" w:hAnsi="Courier New" w:cs="Courier New" w:hint="default"/>
      </w:rPr>
    </w:lvl>
    <w:lvl w:ilvl="8">
      <w:start w:val="1"/>
      <w:numFmt w:val="bullet"/>
      <w:lvlText w:val=""/>
      <w:lvlJc w:val="left"/>
      <w:pPr>
        <w:tabs>
          <w:tab w:val="num" w:pos="6510"/>
        </w:tabs>
        <w:ind w:left="6510" w:hanging="360"/>
      </w:pPr>
      <w:rPr>
        <w:rFonts w:ascii="Wingdings" w:hAnsi="Wingdings" w:hint="default"/>
      </w:rPr>
    </w:lvl>
  </w:abstractNum>
  <w:abstractNum w:abstractNumId="11" w15:restartNumberingAfterBreak="0">
    <w:nsid w:val="2F231E66"/>
    <w:multiLevelType w:val="hybridMultilevel"/>
    <w:tmpl w:val="BEE28618"/>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8D1968"/>
    <w:multiLevelType w:val="multilevel"/>
    <w:tmpl w:val="3346725A"/>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4D4DED"/>
    <w:multiLevelType w:val="hybridMultilevel"/>
    <w:tmpl w:val="F69A01F8"/>
    <w:lvl w:ilvl="0" w:tplc="48A08F5A">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0F1867"/>
    <w:multiLevelType w:val="hybridMultilevel"/>
    <w:tmpl w:val="C19E808A"/>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15" w15:restartNumberingAfterBreak="0">
    <w:nsid w:val="39DA1D56"/>
    <w:multiLevelType w:val="hybridMultilevel"/>
    <w:tmpl w:val="5F18B4D4"/>
    <w:lvl w:ilvl="0" w:tplc="04090001">
      <w:start w:val="1"/>
      <w:numFmt w:val="bullet"/>
      <w:lvlText w:val=""/>
      <w:lvlJc w:val="left"/>
      <w:pPr>
        <w:tabs>
          <w:tab w:val="num" w:pos="750"/>
        </w:tabs>
        <w:ind w:left="750" w:hanging="360"/>
      </w:pPr>
      <w:rPr>
        <w:rFonts w:ascii="Symbol" w:hAnsi="Symbol" w:hint="default"/>
      </w:rPr>
    </w:lvl>
    <w:lvl w:ilvl="1" w:tplc="422C1774">
      <w:start w:val="16"/>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F3088"/>
    <w:multiLevelType w:val="multilevel"/>
    <w:tmpl w:val="CADAB1DE"/>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CC29E7"/>
    <w:multiLevelType w:val="multilevel"/>
    <w:tmpl w:val="412699CA"/>
    <w:lvl w:ilvl="0">
      <w:start w:val="1"/>
      <w:numFmt w:val="bullet"/>
      <w:lvlText w:val=""/>
      <w:lvlJc w:val="left"/>
      <w:pPr>
        <w:tabs>
          <w:tab w:val="num" w:pos="750"/>
        </w:tabs>
        <w:ind w:left="750" w:hanging="360"/>
      </w:pPr>
      <w:rPr>
        <w:rFonts w:ascii="Symbol" w:hAnsi="Symbol" w:hint="default"/>
      </w:rPr>
    </w:lvl>
    <w:lvl w:ilvl="1">
      <w:start w:val="16"/>
      <w:numFmt w:val="bullet"/>
      <w:lvlText w:val=""/>
      <w:lvlJc w:val="left"/>
      <w:pPr>
        <w:tabs>
          <w:tab w:val="num" w:pos="1440"/>
        </w:tabs>
        <w:ind w:left="1440" w:hanging="360"/>
      </w:pPr>
      <w:rPr>
        <w:rFonts w:ascii="Wingdings" w:eastAsia="Times New Roman" w:hAnsi="Wingding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2C0258"/>
    <w:multiLevelType w:val="hybridMultilevel"/>
    <w:tmpl w:val="412699CA"/>
    <w:lvl w:ilvl="0" w:tplc="04090001">
      <w:start w:val="1"/>
      <w:numFmt w:val="bullet"/>
      <w:lvlText w:val=""/>
      <w:lvlJc w:val="left"/>
      <w:pPr>
        <w:tabs>
          <w:tab w:val="num" w:pos="750"/>
        </w:tabs>
        <w:ind w:left="750" w:hanging="360"/>
      </w:pPr>
      <w:rPr>
        <w:rFonts w:ascii="Symbol" w:hAnsi="Symbol" w:hint="default"/>
      </w:rPr>
    </w:lvl>
    <w:lvl w:ilvl="1" w:tplc="422C1774">
      <w:start w:val="16"/>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67024"/>
    <w:multiLevelType w:val="multilevel"/>
    <w:tmpl w:val="F69A01F8"/>
    <w:lvl w:ilvl="0">
      <w:start w:val="1"/>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46F2E"/>
    <w:multiLevelType w:val="hybridMultilevel"/>
    <w:tmpl w:val="3346725A"/>
    <w:lvl w:ilvl="0" w:tplc="CBF61F4E">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1F47A9"/>
    <w:multiLevelType w:val="multilevel"/>
    <w:tmpl w:val="CADAB1DE"/>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1C3F12"/>
    <w:multiLevelType w:val="hybridMultilevel"/>
    <w:tmpl w:val="CF14DBCC"/>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FD7B9A"/>
    <w:multiLevelType w:val="multilevel"/>
    <w:tmpl w:val="CADAB1DE"/>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0D6434"/>
    <w:multiLevelType w:val="hybridMultilevel"/>
    <w:tmpl w:val="F196A67C"/>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E93264"/>
    <w:multiLevelType w:val="multilevel"/>
    <w:tmpl w:val="3346725A"/>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F2531A"/>
    <w:multiLevelType w:val="hybridMultilevel"/>
    <w:tmpl w:val="8FF40552"/>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B0273A"/>
    <w:multiLevelType w:val="hybridMultilevel"/>
    <w:tmpl w:val="35AA10C6"/>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C87D5A"/>
    <w:multiLevelType w:val="hybridMultilevel"/>
    <w:tmpl w:val="8B54838C"/>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29" w15:restartNumberingAfterBreak="0">
    <w:nsid w:val="68456709"/>
    <w:multiLevelType w:val="multilevel"/>
    <w:tmpl w:val="CADAB1DE"/>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0C2C4D"/>
    <w:multiLevelType w:val="hybridMultilevel"/>
    <w:tmpl w:val="9E800422"/>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85103F"/>
    <w:multiLevelType w:val="hybridMultilevel"/>
    <w:tmpl w:val="C6FE73FC"/>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282570"/>
    <w:multiLevelType w:val="multilevel"/>
    <w:tmpl w:val="8DCA146E"/>
    <w:lvl w:ilvl="0">
      <w:numFmt w:val="bullet"/>
      <w:lvlText w:val=""/>
      <w:lvlJc w:val="left"/>
      <w:pPr>
        <w:tabs>
          <w:tab w:val="num" w:pos="750"/>
        </w:tabs>
        <w:ind w:left="750" w:hanging="360"/>
      </w:pPr>
      <w:rPr>
        <w:rFonts w:ascii="Wingdings" w:eastAsia="Times New Roman" w:hAnsi="Wingdings" w:cs="Times New Roman" w:hint="default"/>
      </w:rPr>
    </w:lvl>
    <w:lvl w:ilvl="1">
      <w:start w:val="1"/>
      <w:numFmt w:val="bullet"/>
      <w:lvlText w:val="o"/>
      <w:lvlJc w:val="left"/>
      <w:pPr>
        <w:tabs>
          <w:tab w:val="num" w:pos="1470"/>
        </w:tabs>
        <w:ind w:left="1470" w:hanging="360"/>
      </w:pPr>
      <w:rPr>
        <w:rFonts w:ascii="Courier New" w:hAnsi="Courier New" w:cs="Courier New" w:hint="default"/>
      </w:rPr>
    </w:lvl>
    <w:lvl w:ilvl="2">
      <w:start w:val="1"/>
      <w:numFmt w:val="bullet"/>
      <w:lvlText w:val=""/>
      <w:lvlJc w:val="left"/>
      <w:pPr>
        <w:tabs>
          <w:tab w:val="num" w:pos="2190"/>
        </w:tabs>
        <w:ind w:left="2190" w:hanging="360"/>
      </w:pPr>
      <w:rPr>
        <w:rFonts w:ascii="Wingdings" w:hAnsi="Wingdings" w:hint="default"/>
      </w:rPr>
    </w:lvl>
    <w:lvl w:ilvl="3">
      <w:start w:val="1"/>
      <w:numFmt w:val="bullet"/>
      <w:lvlText w:val=""/>
      <w:lvlJc w:val="left"/>
      <w:pPr>
        <w:tabs>
          <w:tab w:val="num" w:pos="2910"/>
        </w:tabs>
        <w:ind w:left="2910" w:hanging="360"/>
      </w:pPr>
      <w:rPr>
        <w:rFonts w:ascii="Symbol" w:hAnsi="Symbol" w:hint="default"/>
      </w:rPr>
    </w:lvl>
    <w:lvl w:ilvl="4">
      <w:start w:val="1"/>
      <w:numFmt w:val="bullet"/>
      <w:lvlText w:val="o"/>
      <w:lvlJc w:val="left"/>
      <w:pPr>
        <w:tabs>
          <w:tab w:val="num" w:pos="3630"/>
        </w:tabs>
        <w:ind w:left="3630" w:hanging="360"/>
      </w:pPr>
      <w:rPr>
        <w:rFonts w:ascii="Courier New" w:hAnsi="Courier New" w:cs="Courier New" w:hint="default"/>
      </w:rPr>
    </w:lvl>
    <w:lvl w:ilvl="5">
      <w:start w:val="1"/>
      <w:numFmt w:val="bullet"/>
      <w:lvlText w:val=""/>
      <w:lvlJc w:val="left"/>
      <w:pPr>
        <w:tabs>
          <w:tab w:val="num" w:pos="4350"/>
        </w:tabs>
        <w:ind w:left="4350" w:hanging="360"/>
      </w:pPr>
      <w:rPr>
        <w:rFonts w:ascii="Wingdings" w:hAnsi="Wingdings" w:hint="default"/>
      </w:rPr>
    </w:lvl>
    <w:lvl w:ilvl="6">
      <w:start w:val="1"/>
      <w:numFmt w:val="bullet"/>
      <w:lvlText w:val=""/>
      <w:lvlJc w:val="left"/>
      <w:pPr>
        <w:tabs>
          <w:tab w:val="num" w:pos="5070"/>
        </w:tabs>
        <w:ind w:left="5070" w:hanging="360"/>
      </w:pPr>
      <w:rPr>
        <w:rFonts w:ascii="Symbol" w:hAnsi="Symbol" w:hint="default"/>
      </w:rPr>
    </w:lvl>
    <w:lvl w:ilvl="7">
      <w:start w:val="1"/>
      <w:numFmt w:val="bullet"/>
      <w:lvlText w:val="o"/>
      <w:lvlJc w:val="left"/>
      <w:pPr>
        <w:tabs>
          <w:tab w:val="num" w:pos="5790"/>
        </w:tabs>
        <w:ind w:left="5790" w:hanging="360"/>
      </w:pPr>
      <w:rPr>
        <w:rFonts w:ascii="Courier New" w:hAnsi="Courier New" w:cs="Courier New" w:hint="default"/>
      </w:rPr>
    </w:lvl>
    <w:lvl w:ilvl="8">
      <w:start w:val="1"/>
      <w:numFmt w:val="bullet"/>
      <w:lvlText w:val=""/>
      <w:lvlJc w:val="left"/>
      <w:pPr>
        <w:tabs>
          <w:tab w:val="num" w:pos="6510"/>
        </w:tabs>
        <w:ind w:left="6510" w:hanging="360"/>
      </w:pPr>
      <w:rPr>
        <w:rFonts w:ascii="Wingdings" w:hAnsi="Wingdings" w:hint="default"/>
      </w:rPr>
    </w:lvl>
  </w:abstractNum>
  <w:abstractNum w:abstractNumId="33" w15:restartNumberingAfterBreak="0">
    <w:nsid w:val="7AA71BB2"/>
    <w:multiLevelType w:val="multilevel"/>
    <w:tmpl w:val="8DCA146E"/>
    <w:lvl w:ilvl="0">
      <w:numFmt w:val="bullet"/>
      <w:lvlText w:val=""/>
      <w:lvlJc w:val="left"/>
      <w:pPr>
        <w:tabs>
          <w:tab w:val="num" w:pos="750"/>
        </w:tabs>
        <w:ind w:left="750" w:hanging="360"/>
      </w:pPr>
      <w:rPr>
        <w:rFonts w:ascii="Wingdings" w:eastAsia="Times New Roman" w:hAnsi="Wingdings" w:cs="Times New Roman" w:hint="default"/>
      </w:rPr>
    </w:lvl>
    <w:lvl w:ilvl="1">
      <w:start w:val="1"/>
      <w:numFmt w:val="bullet"/>
      <w:lvlText w:val="o"/>
      <w:lvlJc w:val="left"/>
      <w:pPr>
        <w:tabs>
          <w:tab w:val="num" w:pos="1470"/>
        </w:tabs>
        <w:ind w:left="1470" w:hanging="360"/>
      </w:pPr>
      <w:rPr>
        <w:rFonts w:ascii="Courier New" w:hAnsi="Courier New" w:cs="Courier New" w:hint="default"/>
      </w:rPr>
    </w:lvl>
    <w:lvl w:ilvl="2">
      <w:start w:val="1"/>
      <w:numFmt w:val="bullet"/>
      <w:lvlText w:val=""/>
      <w:lvlJc w:val="left"/>
      <w:pPr>
        <w:tabs>
          <w:tab w:val="num" w:pos="2190"/>
        </w:tabs>
        <w:ind w:left="2190" w:hanging="360"/>
      </w:pPr>
      <w:rPr>
        <w:rFonts w:ascii="Wingdings" w:hAnsi="Wingdings" w:hint="default"/>
      </w:rPr>
    </w:lvl>
    <w:lvl w:ilvl="3">
      <w:start w:val="1"/>
      <w:numFmt w:val="bullet"/>
      <w:lvlText w:val=""/>
      <w:lvlJc w:val="left"/>
      <w:pPr>
        <w:tabs>
          <w:tab w:val="num" w:pos="2910"/>
        </w:tabs>
        <w:ind w:left="2910" w:hanging="360"/>
      </w:pPr>
      <w:rPr>
        <w:rFonts w:ascii="Symbol" w:hAnsi="Symbol" w:hint="default"/>
      </w:rPr>
    </w:lvl>
    <w:lvl w:ilvl="4">
      <w:start w:val="1"/>
      <w:numFmt w:val="bullet"/>
      <w:lvlText w:val="o"/>
      <w:lvlJc w:val="left"/>
      <w:pPr>
        <w:tabs>
          <w:tab w:val="num" w:pos="3630"/>
        </w:tabs>
        <w:ind w:left="3630" w:hanging="360"/>
      </w:pPr>
      <w:rPr>
        <w:rFonts w:ascii="Courier New" w:hAnsi="Courier New" w:cs="Courier New" w:hint="default"/>
      </w:rPr>
    </w:lvl>
    <w:lvl w:ilvl="5">
      <w:start w:val="1"/>
      <w:numFmt w:val="bullet"/>
      <w:lvlText w:val=""/>
      <w:lvlJc w:val="left"/>
      <w:pPr>
        <w:tabs>
          <w:tab w:val="num" w:pos="4350"/>
        </w:tabs>
        <w:ind w:left="4350" w:hanging="360"/>
      </w:pPr>
      <w:rPr>
        <w:rFonts w:ascii="Wingdings" w:hAnsi="Wingdings" w:hint="default"/>
      </w:rPr>
    </w:lvl>
    <w:lvl w:ilvl="6">
      <w:start w:val="1"/>
      <w:numFmt w:val="bullet"/>
      <w:lvlText w:val=""/>
      <w:lvlJc w:val="left"/>
      <w:pPr>
        <w:tabs>
          <w:tab w:val="num" w:pos="5070"/>
        </w:tabs>
        <w:ind w:left="5070" w:hanging="360"/>
      </w:pPr>
      <w:rPr>
        <w:rFonts w:ascii="Symbol" w:hAnsi="Symbol" w:hint="default"/>
      </w:rPr>
    </w:lvl>
    <w:lvl w:ilvl="7">
      <w:start w:val="1"/>
      <w:numFmt w:val="bullet"/>
      <w:lvlText w:val="o"/>
      <w:lvlJc w:val="left"/>
      <w:pPr>
        <w:tabs>
          <w:tab w:val="num" w:pos="5790"/>
        </w:tabs>
        <w:ind w:left="5790" w:hanging="360"/>
      </w:pPr>
      <w:rPr>
        <w:rFonts w:ascii="Courier New" w:hAnsi="Courier New" w:cs="Courier New" w:hint="default"/>
      </w:rPr>
    </w:lvl>
    <w:lvl w:ilvl="8">
      <w:start w:val="1"/>
      <w:numFmt w:val="bullet"/>
      <w:lvlText w:val=""/>
      <w:lvlJc w:val="left"/>
      <w:pPr>
        <w:tabs>
          <w:tab w:val="num" w:pos="6510"/>
        </w:tabs>
        <w:ind w:left="6510" w:hanging="360"/>
      </w:pPr>
      <w:rPr>
        <w:rFonts w:ascii="Wingdings" w:hAnsi="Wingdings" w:hint="default"/>
      </w:rPr>
    </w:lvl>
  </w:abstractNum>
  <w:abstractNum w:abstractNumId="34" w15:restartNumberingAfterBreak="0">
    <w:nsid w:val="7DD93B1F"/>
    <w:multiLevelType w:val="multilevel"/>
    <w:tmpl w:val="F69A01F8"/>
    <w:lvl w:ilvl="0">
      <w:start w:val="1"/>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D04E42"/>
    <w:multiLevelType w:val="hybridMultilevel"/>
    <w:tmpl w:val="FD16D606"/>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5021759">
    <w:abstractNumId w:val="9"/>
  </w:num>
  <w:num w:numId="2" w16cid:durableId="31542066">
    <w:abstractNumId w:val="4"/>
  </w:num>
  <w:num w:numId="3" w16cid:durableId="1915968964">
    <w:abstractNumId w:val="2"/>
  </w:num>
  <w:num w:numId="4" w16cid:durableId="1874072860">
    <w:abstractNumId w:val="10"/>
  </w:num>
  <w:num w:numId="5" w16cid:durableId="2143577023">
    <w:abstractNumId w:val="3"/>
  </w:num>
  <w:num w:numId="6" w16cid:durableId="1792354516">
    <w:abstractNumId w:val="32"/>
  </w:num>
  <w:num w:numId="7" w16cid:durableId="310182894">
    <w:abstractNumId w:val="28"/>
  </w:num>
  <w:num w:numId="8" w16cid:durableId="1685862287">
    <w:abstractNumId w:val="33"/>
  </w:num>
  <w:num w:numId="9" w16cid:durableId="576210437">
    <w:abstractNumId w:val="14"/>
  </w:num>
  <w:num w:numId="10" w16cid:durableId="1606378443">
    <w:abstractNumId w:val="20"/>
  </w:num>
  <w:num w:numId="11" w16cid:durableId="917132444">
    <w:abstractNumId w:val="12"/>
  </w:num>
  <w:num w:numId="12" w16cid:durableId="994261908">
    <w:abstractNumId w:val="22"/>
  </w:num>
  <w:num w:numId="13" w16cid:durableId="1244728696">
    <w:abstractNumId w:val="25"/>
  </w:num>
  <w:num w:numId="14" w16cid:durableId="1969192333">
    <w:abstractNumId w:val="31"/>
  </w:num>
  <w:num w:numId="15" w16cid:durableId="1292008848">
    <w:abstractNumId w:val="6"/>
  </w:num>
  <w:num w:numId="16" w16cid:durableId="1048187189">
    <w:abstractNumId w:val="7"/>
  </w:num>
  <w:num w:numId="17" w16cid:durableId="1546940993">
    <w:abstractNumId w:val="11"/>
  </w:num>
  <w:num w:numId="18" w16cid:durableId="1917590018">
    <w:abstractNumId w:val="23"/>
  </w:num>
  <w:num w:numId="19" w16cid:durableId="1815561807">
    <w:abstractNumId w:val="1"/>
  </w:num>
  <w:num w:numId="20" w16cid:durableId="229847114">
    <w:abstractNumId w:val="21"/>
  </w:num>
  <w:num w:numId="21" w16cid:durableId="1415857267">
    <w:abstractNumId w:val="26"/>
  </w:num>
  <w:num w:numId="22" w16cid:durableId="718087729">
    <w:abstractNumId w:val="29"/>
  </w:num>
  <w:num w:numId="23" w16cid:durableId="1790272618">
    <w:abstractNumId w:val="5"/>
  </w:num>
  <w:num w:numId="24" w16cid:durableId="2038189888">
    <w:abstractNumId w:val="16"/>
  </w:num>
  <w:num w:numId="25" w16cid:durableId="400371976">
    <w:abstractNumId w:val="35"/>
  </w:num>
  <w:num w:numId="26" w16cid:durableId="798762891">
    <w:abstractNumId w:val="13"/>
  </w:num>
  <w:num w:numId="27" w16cid:durableId="708531065">
    <w:abstractNumId w:val="8"/>
  </w:num>
  <w:num w:numId="28" w16cid:durableId="397480716">
    <w:abstractNumId w:val="30"/>
  </w:num>
  <w:num w:numId="29" w16cid:durableId="1764455639">
    <w:abstractNumId w:val="34"/>
  </w:num>
  <w:num w:numId="30" w16cid:durableId="509949508">
    <w:abstractNumId w:val="24"/>
  </w:num>
  <w:num w:numId="31" w16cid:durableId="532108468">
    <w:abstractNumId w:val="0"/>
  </w:num>
  <w:num w:numId="32" w16cid:durableId="1459564192">
    <w:abstractNumId w:val="18"/>
  </w:num>
  <w:num w:numId="33" w16cid:durableId="2070036254">
    <w:abstractNumId w:val="19"/>
  </w:num>
  <w:num w:numId="34" w16cid:durableId="498619443">
    <w:abstractNumId w:val="27"/>
  </w:num>
  <w:num w:numId="35" w16cid:durableId="2047295838">
    <w:abstractNumId w:val="17"/>
  </w:num>
  <w:num w:numId="36" w16cid:durableId="194576708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96"/>
    <w:rsid w:val="00003648"/>
    <w:rsid w:val="00004BF2"/>
    <w:rsid w:val="00005428"/>
    <w:rsid w:val="000057C7"/>
    <w:rsid w:val="00005F1E"/>
    <w:rsid w:val="00007648"/>
    <w:rsid w:val="00007E85"/>
    <w:rsid w:val="000105A4"/>
    <w:rsid w:val="00011DF6"/>
    <w:rsid w:val="00013470"/>
    <w:rsid w:val="00014721"/>
    <w:rsid w:val="00016255"/>
    <w:rsid w:val="0001644D"/>
    <w:rsid w:val="00020F5E"/>
    <w:rsid w:val="00023EE4"/>
    <w:rsid w:val="000240D4"/>
    <w:rsid w:val="00024335"/>
    <w:rsid w:val="000244E9"/>
    <w:rsid w:val="00024E89"/>
    <w:rsid w:val="00031F47"/>
    <w:rsid w:val="0003240E"/>
    <w:rsid w:val="0003428C"/>
    <w:rsid w:val="00035AE8"/>
    <w:rsid w:val="00035B73"/>
    <w:rsid w:val="000368B1"/>
    <w:rsid w:val="00040A1B"/>
    <w:rsid w:val="000421DD"/>
    <w:rsid w:val="0004599F"/>
    <w:rsid w:val="00047617"/>
    <w:rsid w:val="00047CC3"/>
    <w:rsid w:val="00050442"/>
    <w:rsid w:val="000528D4"/>
    <w:rsid w:val="00052BBF"/>
    <w:rsid w:val="00055C7D"/>
    <w:rsid w:val="000570B7"/>
    <w:rsid w:val="000601F6"/>
    <w:rsid w:val="00063045"/>
    <w:rsid w:val="0006511A"/>
    <w:rsid w:val="00066996"/>
    <w:rsid w:val="00067EEC"/>
    <w:rsid w:val="00070F93"/>
    <w:rsid w:val="000712AC"/>
    <w:rsid w:val="000743A4"/>
    <w:rsid w:val="00075412"/>
    <w:rsid w:val="00075ABC"/>
    <w:rsid w:val="00075FE3"/>
    <w:rsid w:val="000769A2"/>
    <w:rsid w:val="0008102F"/>
    <w:rsid w:val="000816E9"/>
    <w:rsid w:val="00081780"/>
    <w:rsid w:val="000822CE"/>
    <w:rsid w:val="0008267B"/>
    <w:rsid w:val="00083944"/>
    <w:rsid w:val="00083E09"/>
    <w:rsid w:val="00084CCB"/>
    <w:rsid w:val="00086A04"/>
    <w:rsid w:val="00086F33"/>
    <w:rsid w:val="00086F85"/>
    <w:rsid w:val="00087BC1"/>
    <w:rsid w:val="00087D6E"/>
    <w:rsid w:val="000903A2"/>
    <w:rsid w:val="00090A15"/>
    <w:rsid w:val="000926DD"/>
    <w:rsid w:val="000929A6"/>
    <w:rsid w:val="0009314A"/>
    <w:rsid w:val="000936A7"/>
    <w:rsid w:val="00094702"/>
    <w:rsid w:val="00097C4F"/>
    <w:rsid w:val="00097CC0"/>
    <w:rsid w:val="000A0347"/>
    <w:rsid w:val="000A1FD9"/>
    <w:rsid w:val="000A2928"/>
    <w:rsid w:val="000A3539"/>
    <w:rsid w:val="000A379A"/>
    <w:rsid w:val="000A397A"/>
    <w:rsid w:val="000A53C6"/>
    <w:rsid w:val="000A5731"/>
    <w:rsid w:val="000A5AAF"/>
    <w:rsid w:val="000A6846"/>
    <w:rsid w:val="000A7BE3"/>
    <w:rsid w:val="000B0592"/>
    <w:rsid w:val="000B292D"/>
    <w:rsid w:val="000B4A2C"/>
    <w:rsid w:val="000B4D05"/>
    <w:rsid w:val="000B4DD9"/>
    <w:rsid w:val="000B50BA"/>
    <w:rsid w:val="000B6470"/>
    <w:rsid w:val="000B679C"/>
    <w:rsid w:val="000C07C3"/>
    <w:rsid w:val="000C0CCE"/>
    <w:rsid w:val="000C10A6"/>
    <w:rsid w:val="000C21BC"/>
    <w:rsid w:val="000C3C05"/>
    <w:rsid w:val="000C3E1A"/>
    <w:rsid w:val="000C4351"/>
    <w:rsid w:val="000C542C"/>
    <w:rsid w:val="000C631C"/>
    <w:rsid w:val="000C6606"/>
    <w:rsid w:val="000C6B7A"/>
    <w:rsid w:val="000C79BC"/>
    <w:rsid w:val="000D037D"/>
    <w:rsid w:val="000D2611"/>
    <w:rsid w:val="000D3030"/>
    <w:rsid w:val="000D39A3"/>
    <w:rsid w:val="000D4584"/>
    <w:rsid w:val="000D5241"/>
    <w:rsid w:val="000D5741"/>
    <w:rsid w:val="000D65CC"/>
    <w:rsid w:val="000D6BDE"/>
    <w:rsid w:val="000E12D2"/>
    <w:rsid w:val="000E1E77"/>
    <w:rsid w:val="000E2051"/>
    <w:rsid w:val="000E288F"/>
    <w:rsid w:val="000E3350"/>
    <w:rsid w:val="000E4209"/>
    <w:rsid w:val="000F0000"/>
    <w:rsid w:val="000F1748"/>
    <w:rsid w:val="000F1BB9"/>
    <w:rsid w:val="000F2011"/>
    <w:rsid w:val="000F4C2E"/>
    <w:rsid w:val="00101D24"/>
    <w:rsid w:val="00104D3E"/>
    <w:rsid w:val="00105864"/>
    <w:rsid w:val="0011362A"/>
    <w:rsid w:val="0011577D"/>
    <w:rsid w:val="00116778"/>
    <w:rsid w:val="0011775D"/>
    <w:rsid w:val="00117B09"/>
    <w:rsid w:val="00117D81"/>
    <w:rsid w:val="00120D54"/>
    <w:rsid w:val="00122261"/>
    <w:rsid w:val="001225A2"/>
    <w:rsid w:val="00123114"/>
    <w:rsid w:val="0012355B"/>
    <w:rsid w:val="001242E2"/>
    <w:rsid w:val="00124318"/>
    <w:rsid w:val="00134555"/>
    <w:rsid w:val="00134563"/>
    <w:rsid w:val="00135B64"/>
    <w:rsid w:val="001360CB"/>
    <w:rsid w:val="00137010"/>
    <w:rsid w:val="00140347"/>
    <w:rsid w:val="001404DC"/>
    <w:rsid w:val="00140ACC"/>
    <w:rsid w:val="00142F1D"/>
    <w:rsid w:val="00143796"/>
    <w:rsid w:val="00143A42"/>
    <w:rsid w:val="00143C90"/>
    <w:rsid w:val="00146A25"/>
    <w:rsid w:val="00146C14"/>
    <w:rsid w:val="00147B5D"/>
    <w:rsid w:val="0015207D"/>
    <w:rsid w:val="0015410E"/>
    <w:rsid w:val="00154B38"/>
    <w:rsid w:val="001553FF"/>
    <w:rsid w:val="00155A6E"/>
    <w:rsid w:val="00157362"/>
    <w:rsid w:val="001601A5"/>
    <w:rsid w:val="00160A5E"/>
    <w:rsid w:val="00160C72"/>
    <w:rsid w:val="00162677"/>
    <w:rsid w:val="001639F3"/>
    <w:rsid w:val="001651F1"/>
    <w:rsid w:val="0016554C"/>
    <w:rsid w:val="001665A8"/>
    <w:rsid w:val="00167947"/>
    <w:rsid w:val="00167E8C"/>
    <w:rsid w:val="00167ED8"/>
    <w:rsid w:val="00171007"/>
    <w:rsid w:val="00171A2A"/>
    <w:rsid w:val="00172F59"/>
    <w:rsid w:val="00173909"/>
    <w:rsid w:val="001746C6"/>
    <w:rsid w:val="00174742"/>
    <w:rsid w:val="00175637"/>
    <w:rsid w:val="00176103"/>
    <w:rsid w:val="00176111"/>
    <w:rsid w:val="001772CB"/>
    <w:rsid w:val="0017792C"/>
    <w:rsid w:val="001800BA"/>
    <w:rsid w:val="0018034A"/>
    <w:rsid w:val="001808DB"/>
    <w:rsid w:val="00180EF9"/>
    <w:rsid w:val="001824D1"/>
    <w:rsid w:val="00183913"/>
    <w:rsid w:val="00183CC2"/>
    <w:rsid w:val="001841D3"/>
    <w:rsid w:val="0018516C"/>
    <w:rsid w:val="001851C8"/>
    <w:rsid w:val="0018652E"/>
    <w:rsid w:val="00186906"/>
    <w:rsid w:val="001870CA"/>
    <w:rsid w:val="001921A5"/>
    <w:rsid w:val="00193391"/>
    <w:rsid w:val="0019386C"/>
    <w:rsid w:val="00194536"/>
    <w:rsid w:val="00195AA4"/>
    <w:rsid w:val="00195C38"/>
    <w:rsid w:val="001A009A"/>
    <w:rsid w:val="001A0926"/>
    <w:rsid w:val="001A0C4E"/>
    <w:rsid w:val="001A49C9"/>
    <w:rsid w:val="001A4D25"/>
    <w:rsid w:val="001A547F"/>
    <w:rsid w:val="001A6731"/>
    <w:rsid w:val="001A697C"/>
    <w:rsid w:val="001A79C7"/>
    <w:rsid w:val="001B10C0"/>
    <w:rsid w:val="001B1818"/>
    <w:rsid w:val="001B32D3"/>
    <w:rsid w:val="001B3447"/>
    <w:rsid w:val="001B45EE"/>
    <w:rsid w:val="001B49C3"/>
    <w:rsid w:val="001C1B84"/>
    <w:rsid w:val="001C20C6"/>
    <w:rsid w:val="001C252F"/>
    <w:rsid w:val="001C47E2"/>
    <w:rsid w:val="001C5489"/>
    <w:rsid w:val="001C5975"/>
    <w:rsid w:val="001C5F56"/>
    <w:rsid w:val="001C6583"/>
    <w:rsid w:val="001C7481"/>
    <w:rsid w:val="001D2DFA"/>
    <w:rsid w:val="001D3E8B"/>
    <w:rsid w:val="001D442B"/>
    <w:rsid w:val="001D48F1"/>
    <w:rsid w:val="001D4F0A"/>
    <w:rsid w:val="001D56A4"/>
    <w:rsid w:val="001D5737"/>
    <w:rsid w:val="001D6244"/>
    <w:rsid w:val="001E1837"/>
    <w:rsid w:val="001E309B"/>
    <w:rsid w:val="001E3706"/>
    <w:rsid w:val="001E4AF8"/>
    <w:rsid w:val="001E4BB1"/>
    <w:rsid w:val="001E638D"/>
    <w:rsid w:val="001E649A"/>
    <w:rsid w:val="001E6F90"/>
    <w:rsid w:val="001F04B3"/>
    <w:rsid w:val="001F0BC8"/>
    <w:rsid w:val="001F15E5"/>
    <w:rsid w:val="001F227A"/>
    <w:rsid w:val="001F2FAD"/>
    <w:rsid w:val="001F348E"/>
    <w:rsid w:val="001F4F47"/>
    <w:rsid w:val="001F5196"/>
    <w:rsid w:val="001F535D"/>
    <w:rsid w:val="001F5A84"/>
    <w:rsid w:val="001F6042"/>
    <w:rsid w:val="001F6CE0"/>
    <w:rsid w:val="001F7B55"/>
    <w:rsid w:val="001F7DDA"/>
    <w:rsid w:val="002024D9"/>
    <w:rsid w:val="00202C74"/>
    <w:rsid w:val="00203332"/>
    <w:rsid w:val="00204101"/>
    <w:rsid w:val="002048C1"/>
    <w:rsid w:val="00204BB0"/>
    <w:rsid w:val="00206F14"/>
    <w:rsid w:val="0021427B"/>
    <w:rsid w:val="0021499C"/>
    <w:rsid w:val="00215640"/>
    <w:rsid w:val="0021648E"/>
    <w:rsid w:val="002167B9"/>
    <w:rsid w:val="00216C65"/>
    <w:rsid w:val="00220EB9"/>
    <w:rsid w:val="002216FA"/>
    <w:rsid w:val="002225B1"/>
    <w:rsid w:val="00222751"/>
    <w:rsid w:val="00222E7D"/>
    <w:rsid w:val="00223A08"/>
    <w:rsid w:val="00223C36"/>
    <w:rsid w:val="002262BF"/>
    <w:rsid w:val="0023324C"/>
    <w:rsid w:val="00234122"/>
    <w:rsid w:val="00236584"/>
    <w:rsid w:val="00236CA0"/>
    <w:rsid w:val="00241253"/>
    <w:rsid w:val="00241727"/>
    <w:rsid w:val="00243BE9"/>
    <w:rsid w:val="0024407E"/>
    <w:rsid w:val="00244184"/>
    <w:rsid w:val="002459F9"/>
    <w:rsid w:val="00245F41"/>
    <w:rsid w:val="00247DA9"/>
    <w:rsid w:val="00250D9C"/>
    <w:rsid w:val="002512AE"/>
    <w:rsid w:val="00251377"/>
    <w:rsid w:val="00251ED2"/>
    <w:rsid w:val="002530AA"/>
    <w:rsid w:val="00253526"/>
    <w:rsid w:val="002550E6"/>
    <w:rsid w:val="00256678"/>
    <w:rsid w:val="00257830"/>
    <w:rsid w:val="00257BD5"/>
    <w:rsid w:val="00261CBE"/>
    <w:rsid w:val="00262961"/>
    <w:rsid w:val="00263AAC"/>
    <w:rsid w:val="00264C53"/>
    <w:rsid w:val="00265EAA"/>
    <w:rsid w:val="00265F01"/>
    <w:rsid w:val="00265F24"/>
    <w:rsid w:val="00267167"/>
    <w:rsid w:val="00267539"/>
    <w:rsid w:val="002679AF"/>
    <w:rsid w:val="00271B93"/>
    <w:rsid w:val="00271E49"/>
    <w:rsid w:val="0027297D"/>
    <w:rsid w:val="00276F4E"/>
    <w:rsid w:val="00277D39"/>
    <w:rsid w:val="0028214B"/>
    <w:rsid w:val="00282787"/>
    <w:rsid w:val="002828B7"/>
    <w:rsid w:val="00282B52"/>
    <w:rsid w:val="00283D4F"/>
    <w:rsid w:val="002844DB"/>
    <w:rsid w:val="00284B2E"/>
    <w:rsid w:val="002854F0"/>
    <w:rsid w:val="00286632"/>
    <w:rsid w:val="0028669A"/>
    <w:rsid w:val="002869A1"/>
    <w:rsid w:val="00287DE0"/>
    <w:rsid w:val="002909D2"/>
    <w:rsid w:val="002943A6"/>
    <w:rsid w:val="00294AFF"/>
    <w:rsid w:val="002958ED"/>
    <w:rsid w:val="00297020"/>
    <w:rsid w:val="002976F1"/>
    <w:rsid w:val="00297B39"/>
    <w:rsid w:val="002A10D5"/>
    <w:rsid w:val="002A170B"/>
    <w:rsid w:val="002A1E98"/>
    <w:rsid w:val="002A2431"/>
    <w:rsid w:val="002A3346"/>
    <w:rsid w:val="002A3CEB"/>
    <w:rsid w:val="002A469A"/>
    <w:rsid w:val="002A4F59"/>
    <w:rsid w:val="002B0B50"/>
    <w:rsid w:val="002B10B7"/>
    <w:rsid w:val="002B1CA9"/>
    <w:rsid w:val="002B300F"/>
    <w:rsid w:val="002B3AE5"/>
    <w:rsid w:val="002B7412"/>
    <w:rsid w:val="002B7439"/>
    <w:rsid w:val="002B79C7"/>
    <w:rsid w:val="002B7C41"/>
    <w:rsid w:val="002C086A"/>
    <w:rsid w:val="002C0DAD"/>
    <w:rsid w:val="002C2ED5"/>
    <w:rsid w:val="002C344A"/>
    <w:rsid w:val="002C4241"/>
    <w:rsid w:val="002C42E9"/>
    <w:rsid w:val="002C446F"/>
    <w:rsid w:val="002C47CB"/>
    <w:rsid w:val="002C574F"/>
    <w:rsid w:val="002C7BEE"/>
    <w:rsid w:val="002C7E03"/>
    <w:rsid w:val="002C7F7E"/>
    <w:rsid w:val="002D2089"/>
    <w:rsid w:val="002D2617"/>
    <w:rsid w:val="002D2B6C"/>
    <w:rsid w:val="002D31E3"/>
    <w:rsid w:val="002D6C31"/>
    <w:rsid w:val="002D6EE5"/>
    <w:rsid w:val="002D7D86"/>
    <w:rsid w:val="002E1F3A"/>
    <w:rsid w:val="002E5182"/>
    <w:rsid w:val="002E5B03"/>
    <w:rsid w:val="002E5C70"/>
    <w:rsid w:val="002E6C57"/>
    <w:rsid w:val="002E704D"/>
    <w:rsid w:val="002F0852"/>
    <w:rsid w:val="002F1C10"/>
    <w:rsid w:val="002F1EF1"/>
    <w:rsid w:val="002F25FF"/>
    <w:rsid w:val="002F32F0"/>
    <w:rsid w:val="002F4F3B"/>
    <w:rsid w:val="002F5144"/>
    <w:rsid w:val="002F5B98"/>
    <w:rsid w:val="002F5D6E"/>
    <w:rsid w:val="002F6C16"/>
    <w:rsid w:val="00300904"/>
    <w:rsid w:val="00300D4D"/>
    <w:rsid w:val="00300F56"/>
    <w:rsid w:val="0030183C"/>
    <w:rsid w:val="0030246A"/>
    <w:rsid w:val="00302B4F"/>
    <w:rsid w:val="00303F8C"/>
    <w:rsid w:val="00304B98"/>
    <w:rsid w:val="0031005A"/>
    <w:rsid w:val="00311270"/>
    <w:rsid w:val="003115C0"/>
    <w:rsid w:val="0031254E"/>
    <w:rsid w:val="00312A9C"/>
    <w:rsid w:val="0031745F"/>
    <w:rsid w:val="00321D57"/>
    <w:rsid w:val="0032300C"/>
    <w:rsid w:val="003239F8"/>
    <w:rsid w:val="00323D7D"/>
    <w:rsid w:val="00327797"/>
    <w:rsid w:val="00327C30"/>
    <w:rsid w:val="00330696"/>
    <w:rsid w:val="00330B86"/>
    <w:rsid w:val="003316E9"/>
    <w:rsid w:val="003318F4"/>
    <w:rsid w:val="0033212D"/>
    <w:rsid w:val="003323BC"/>
    <w:rsid w:val="00333F5D"/>
    <w:rsid w:val="0033400E"/>
    <w:rsid w:val="003345FE"/>
    <w:rsid w:val="00334D5D"/>
    <w:rsid w:val="00334DD3"/>
    <w:rsid w:val="003356FA"/>
    <w:rsid w:val="00335805"/>
    <w:rsid w:val="0033760D"/>
    <w:rsid w:val="00337CBA"/>
    <w:rsid w:val="00340786"/>
    <w:rsid w:val="00340865"/>
    <w:rsid w:val="00340DAD"/>
    <w:rsid w:val="00340E66"/>
    <w:rsid w:val="00341052"/>
    <w:rsid w:val="00341961"/>
    <w:rsid w:val="00342EE9"/>
    <w:rsid w:val="00343E75"/>
    <w:rsid w:val="00346061"/>
    <w:rsid w:val="003460FF"/>
    <w:rsid w:val="00347023"/>
    <w:rsid w:val="00347C92"/>
    <w:rsid w:val="00347CCC"/>
    <w:rsid w:val="0035146D"/>
    <w:rsid w:val="00352456"/>
    <w:rsid w:val="0035253F"/>
    <w:rsid w:val="00352EAB"/>
    <w:rsid w:val="003531A0"/>
    <w:rsid w:val="00353DDF"/>
    <w:rsid w:val="00354AA7"/>
    <w:rsid w:val="003551F7"/>
    <w:rsid w:val="003558DE"/>
    <w:rsid w:val="00356D26"/>
    <w:rsid w:val="00357C19"/>
    <w:rsid w:val="00361932"/>
    <w:rsid w:val="00361977"/>
    <w:rsid w:val="00362F52"/>
    <w:rsid w:val="00363363"/>
    <w:rsid w:val="003643C6"/>
    <w:rsid w:val="0036576E"/>
    <w:rsid w:val="0036610F"/>
    <w:rsid w:val="0036671C"/>
    <w:rsid w:val="00366DFC"/>
    <w:rsid w:val="0037013C"/>
    <w:rsid w:val="00373193"/>
    <w:rsid w:val="00374E9A"/>
    <w:rsid w:val="00376D62"/>
    <w:rsid w:val="00377179"/>
    <w:rsid w:val="00381046"/>
    <w:rsid w:val="00381AEA"/>
    <w:rsid w:val="00381EE0"/>
    <w:rsid w:val="00382516"/>
    <w:rsid w:val="003828FD"/>
    <w:rsid w:val="003834FC"/>
    <w:rsid w:val="00383708"/>
    <w:rsid w:val="003846EA"/>
    <w:rsid w:val="003848FC"/>
    <w:rsid w:val="003851E2"/>
    <w:rsid w:val="00385D26"/>
    <w:rsid w:val="0038600D"/>
    <w:rsid w:val="00390EAA"/>
    <w:rsid w:val="00391EBD"/>
    <w:rsid w:val="0039368D"/>
    <w:rsid w:val="0039454B"/>
    <w:rsid w:val="003947B4"/>
    <w:rsid w:val="0039498B"/>
    <w:rsid w:val="00395275"/>
    <w:rsid w:val="00395FBB"/>
    <w:rsid w:val="00396C77"/>
    <w:rsid w:val="00396DCC"/>
    <w:rsid w:val="00397365"/>
    <w:rsid w:val="0039774D"/>
    <w:rsid w:val="00397B07"/>
    <w:rsid w:val="003A312A"/>
    <w:rsid w:val="003A3CD0"/>
    <w:rsid w:val="003A4059"/>
    <w:rsid w:val="003A4E3F"/>
    <w:rsid w:val="003A51FF"/>
    <w:rsid w:val="003A5DE7"/>
    <w:rsid w:val="003A65A7"/>
    <w:rsid w:val="003A722A"/>
    <w:rsid w:val="003B264F"/>
    <w:rsid w:val="003B277E"/>
    <w:rsid w:val="003B2A04"/>
    <w:rsid w:val="003B5329"/>
    <w:rsid w:val="003B61C2"/>
    <w:rsid w:val="003B73A1"/>
    <w:rsid w:val="003C0A2A"/>
    <w:rsid w:val="003C0F6F"/>
    <w:rsid w:val="003C11BF"/>
    <w:rsid w:val="003C1DD3"/>
    <w:rsid w:val="003C23AE"/>
    <w:rsid w:val="003C291D"/>
    <w:rsid w:val="003C2F60"/>
    <w:rsid w:val="003C3427"/>
    <w:rsid w:val="003C3B1C"/>
    <w:rsid w:val="003C3BF2"/>
    <w:rsid w:val="003C5785"/>
    <w:rsid w:val="003C6F6C"/>
    <w:rsid w:val="003D1775"/>
    <w:rsid w:val="003D62D1"/>
    <w:rsid w:val="003D7A8B"/>
    <w:rsid w:val="003E08F4"/>
    <w:rsid w:val="003E0E5E"/>
    <w:rsid w:val="003E10A0"/>
    <w:rsid w:val="003E18EE"/>
    <w:rsid w:val="003E219C"/>
    <w:rsid w:val="003E2C3C"/>
    <w:rsid w:val="003E485F"/>
    <w:rsid w:val="003E4C73"/>
    <w:rsid w:val="003E54EB"/>
    <w:rsid w:val="003E55CD"/>
    <w:rsid w:val="003E5B77"/>
    <w:rsid w:val="003E66FE"/>
    <w:rsid w:val="003E6706"/>
    <w:rsid w:val="003E677E"/>
    <w:rsid w:val="003E7407"/>
    <w:rsid w:val="003F034E"/>
    <w:rsid w:val="003F0E65"/>
    <w:rsid w:val="003F0EA6"/>
    <w:rsid w:val="003F10BF"/>
    <w:rsid w:val="003F1F19"/>
    <w:rsid w:val="003F25A7"/>
    <w:rsid w:val="003F5A3F"/>
    <w:rsid w:val="003F693D"/>
    <w:rsid w:val="0040056E"/>
    <w:rsid w:val="0040149B"/>
    <w:rsid w:val="00403E7C"/>
    <w:rsid w:val="00404545"/>
    <w:rsid w:val="00410046"/>
    <w:rsid w:val="004114CB"/>
    <w:rsid w:val="0041218F"/>
    <w:rsid w:val="00413579"/>
    <w:rsid w:val="00413CAE"/>
    <w:rsid w:val="0041658D"/>
    <w:rsid w:val="0041679F"/>
    <w:rsid w:val="00416B3C"/>
    <w:rsid w:val="00420206"/>
    <w:rsid w:val="00421153"/>
    <w:rsid w:val="004212FD"/>
    <w:rsid w:val="0042404F"/>
    <w:rsid w:val="00424512"/>
    <w:rsid w:val="004266BD"/>
    <w:rsid w:val="00426C29"/>
    <w:rsid w:val="00426EBA"/>
    <w:rsid w:val="0043031F"/>
    <w:rsid w:val="004320DE"/>
    <w:rsid w:val="00435E76"/>
    <w:rsid w:val="00436671"/>
    <w:rsid w:val="0043681B"/>
    <w:rsid w:val="00436BE4"/>
    <w:rsid w:val="0044169C"/>
    <w:rsid w:val="004421A9"/>
    <w:rsid w:val="004444F9"/>
    <w:rsid w:val="00444B25"/>
    <w:rsid w:val="0044552B"/>
    <w:rsid w:val="0044593E"/>
    <w:rsid w:val="00445D3A"/>
    <w:rsid w:val="00446C41"/>
    <w:rsid w:val="00446F73"/>
    <w:rsid w:val="004470E2"/>
    <w:rsid w:val="00450592"/>
    <w:rsid w:val="0045066F"/>
    <w:rsid w:val="00450A97"/>
    <w:rsid w:val="0045150D"/>
    <w:rsid w:val="00453E53"/>
    <w:rsid w:val="0045521C"/>
    <w:rsid w:val="00455AAD"/>
    <w:rsid w:val="00455AFB"/>
    <w:rsid w:val="00456B06"/>
    <w:rsid w:val="00457EF3"/>
    <w:rsid w:val="00460A5F"/>
    <w:rsid w:val="00461497"/>
    <w:rsid w:val="00461EAD"/>
    <w:rsid w:val="00463200"/>
    <w:rsid w:val="004638AD"/>
    <w:rsid w:val="004662A3"/>
    <w:rsid w:val="00466B5B"/>
    <w:rsid w:val="004673AE"/>
    <w:rsid w:val="00467518"/>
    <w:rsid w:val="00470204"/>
    <w:rsid w:val="004705FB"/>
    <w:rsid w:val="004718D2"/>
    <w:rsid w:val="00473382"/>
    <w:rsid w:val="00474C24"/>
    <w:rsid w:val="0047702C"/>
    <w:rsid w:val="00477913"/>
    <w:rsid w:val="004802B9"/>
    <w:rsid w:val="00480763"/>
    <w:rsid w:val="00483D74"/>
    <w:rsid w:val="004841EF"/>
    <w:rsid w:val="00490992"/>
    <w:rsid w:val="00491F3C"/>
    <w:rsid w:val="004920E5"/>
    <w:rsid w:val="0049233C"/>
    <w:rsid w:val="00493569"/>
    <w:rsid w:val="00493CE9"/>
    <w:rsid w:val="00495390"/>
    <w:rsid w:val="004973FD"/>
    <w:rsid w:val="0049741C"/>
    <w:rsid w:val="00497C0C"/>
    <w:rsid w:val="004A018D"/>
    <w:rsid w:val="004A1946"/>
    <w:rsid w:val="004A26E3"/>
    <w:rsid w:val="004A2A50"/>
    <w:rsid w:val="004A2F72"/>
    <w:rsid w:val="004A5B06"/>
    <w:rsid w:val="004A618C"/>
    <w:rsid w:val="004A626C"/>
    <w:rsid w:val="004A6FC7"/>
    <w:rsid w:val="004B0607"/>
    <w:rsid w:val="004B0C39"/>
    <w:rsid w:val="004B314E"/>
    <w:rsid w:val="004B388C"/>
    <w:rsid w:val="004B4637"/>
    <w:rsid w:val="004B4BA0"/>
    <w:rsid w:val="004B7755"/>
    <w:rsid w:val="004C16D8"/>
    <w:rsid w:val="004C1D3B"/>
    <w:rsid w:val="004C2220"/>
    <w:rsid w:val="004C348C"/>
    <w:rsid w:val="004C38ED"/>
    <w:rsid w:val="004C4535"/>
    <w:rsid w:val="004C45AC"/>
    <w:rsid w:val="004C4E02"/>
    <w:rsid w:val="004C6CD0"/>
    <w:rsid w:val="004C7873"/>
    <w:rsid w:val="004C7F57"/>
    <w:rsid w:val="004D02AA"/>
    <w:rsid w:val="004D0494"/>
    <w:rsid w:val="004D0CD1"/>
    <w:rsid w:val="004D1BCA"/>
    <w:rsid w:val="004D3082"/>
    <w:rsid w:val="004D4460"/>
    <w:rsid w:val="004E0544"/>
    <w:rsid w:val="004E1BAD"/>
    <w:rsid w:val="004E3191"/>
    <w:rsid w:val="004E49DB"/>
    <w:rsid w:val="004E50CB"/>
    <w:rsid w:val="004E66EA"/>
    <w:rsid w:val="004E6A14"/>
    <w:rsid w:val="004E6DB0"/>
    <w:rsid w:val="004E721E"/>
    <w:rsid w:val="004F27AF"/>
    <w:rsid w:val="004F480E"/>
    <w:rsid w:val="004F6CDF"/>
    <w:rsid w:val="00502785"/>
    <w:rsid w:val="00505B39"/>
    <w:rsid w:val="00506867"/>
    <w:rsid w:val="00507601"/>
    <w:rsid w:val="005076D0"/>
    <w:rsid w:val="005077D3"/>
    <w:rsid w:val="00510419"/>
    <w:rsid w:val="005104C2"/>
    <w:rsid w:val="00510BE3"/>
    <w:rsid w:val="00510C54"/>
    <w:rsid w:val="00513EC1"/>
    <w:rsid w:val="005149BB"/>
    <w:rsid w:val="00515407"/>
    <w:rsid w:val="005156FE"/>
    <w:rsid w:val="00515EE4"/>
    <w:rsid w:val="00517C51"/>
    <w:rsid w:val="00520056"/>
    <w:rsid w:val="005201FC"/>
    <w:rsid w:val="005212AA"/>
    <w:rsid w:val="005212D8"/>
    <w:rsid w:val="00522507"/>
    <w:rsid w:val="005231BC"/>
    <w:rsid w:val="005265D1"/>
    <w:rsid w:val="0052795E"/>
    <w:rsid w:val="00527DF2"/>
    <w:rsid w:val="00530160"/>
    <w:rsid w:val="00530737"/>
    <w:rsid w:val="00530738"/>
    <w:rsid w:val="00532199"/>
    <w:rsid w:val="0053248B"/>
    <w:rsid w:val="00532591"/>
    <w:rsid w:val="00532EBA"/>
    <w:rsid w:val="0053359A"/>
    <w:rsid w:val="00533784"/>
    <w:rsid w:val="00534274"/>
    <w:rsid w:val="00536D58"/>
    <w:rsid w:val="00540089"/>
    <w:rsid w:val="00542483"/>
    <w:rsid w:val="005429DE"/>
    <w:rsid w:val="00543069"/>
    <w:rsid w:val="0054555A"/>
    <w:rsid w:val="005465DF"/>
    <w:rsid w:val="00546E3D"/>
    <w:rsid w:val="00550185"/>
    <w:rsid w:val="00552670"/>
    <w:rsid w:val="00553155"/>
    <w:rsid w:val="00556D5F"/>
    <w:rsid w:val="00557B25"/>
    <w:rsid w:val="00557CFC"/>
    <w:rsid w:val="005612C0"/>
    <w:rsid w:val="00564096"/>
    <w:rsid w:val="0056527C"/>
    <w:rsid w:val="00565353"/>
    <w:rsid w:val="00565DCD"/>
    <w:rsid w:val="005661C9"/>
    <w:rsid w:val="00567791"/>
    <w:rsid w:val="00570FC3"/>
    <w:rsid w:val="005711C6"/>
    <w:rsid w:val="00571DB7"/>
    <w:rsid w:val="0057457F"/>
    <w:rsid w:val="00574BE7"/>
    <w:rsid w:val="00575568"/>
    <w:rsid w:val="00576446"/>
    <w:rsid w:val="005767DC"/>
    <w:rsid w:val="005768F4"/>
    <w:rsid w:val="005778F6"/>
    <w:rsid w:val="00577ED7"/>
    <w:rsid w:val="0058247B"/>
    <w:rsid w:val="005835FA"/>
    <w:rsid w:val="00584471"/>
    <w:rsid w:val="005856C8"/>
    <w:rsid w:val="00592088"/>
    <w:rsid w:val="00595652"/>
    <w:rsid w:val="00595C34"/>
    <w:rsid w:val="00595C70"/>
    <w:rsid w:val="00595D29"/>
    <w:rsid w:val="00597539"/>
    <w:rsid w:val="0059796F"/>
    <w:rsid w:val="005A0A8E"/>
    <w:rsid w:val="005A0E2D"/>
    <w:rsid w:val="005A153C"/>
    <w:rsid w:val="005A2170"/>
    <w:rsid w:val="005A2B11"/>
    <w:rsid w:val="005A3C2D"/>
    <w:rsid w:val="005A4B4E"/>
    <w:rsid w:val="005A5A79"/>
    <w:rsid w:val="005A6673"/>
    <w:rsid w:val="005A7E4B"/>
    <w:rsid w:val="005B0C00"/>
    <w:rsid w:val="005B1381"/>
    <w:rsid w:val="005B1470"/>
    <w:rsid w:val="005B502D"/>
    <w:rsid w:val="005B5EFF"/>
    <w:rsid w:val="005C07BC"/>
    <w:rsid w:val="005C0E63"/>
    <w:rsid w:val="005C1681"/>
    <w:rsid w:val="005C315D"/>
    <w:rsid w:val="005C392E"/>
    <w:rsid w:val="005C41F4"/>
    <w:rsid w:val="005C4FF6"/>
    <w:rsid w:val="005C5C48"/>
    <w:rsid w:val="005C62EE"/>
    <w:rsid w:val="005C6802"/>
    <w:rsid w:val="005D0479"/>
    <w:rsid w:val="005D05A5"/>
    <w:rsid w:val="005D1AD9"/>
    <w:rsid w:val="005D1B20"/>
    <w:rsid w:val="005D357A"/>
    <w:rsid w:val="005D5031"/>
    <w:rsid w:val="005D550B"/>
    <w:rsid w:val="005D5E63"/>
    <w:rsid w:val="005D6988"/>
    <w:rsid w:val="005D6F7A"/>
    <w:rsid w:val="005D77A3"/>
    <w:rsid w:val="005E28B7"/>
    <w:rsid w:val="005E3947"/>
    <w:rsid w:val="005F023E"/>
    <w:rsid w:val="005F0902"/>
    <w:rsid w:val="005F3F25"/>
    <w:rsid w:val="005F539F"/>
    <w:rsid w:val="005F6523"/>
    <w:rsid w:val="005F6735"/>
    <w:rsid w:val="005F679B"/>
    <w:rsid w:val="005F7BC6"/>
    <w:rsid w:val="005F7C7B"/>
    <w:rsid w:val="0060403F"/>
    <w:rsid w:val="00605B05"/>
    <w:rsid w:val="006063E3"/>
    <w:rsid w:val="0060655D"/>
    <w:rsid w:val="00607935"/>
    <w:rsid w:val="0061122B"/>
    <w:rsid w:val="006122CB"/>
    <w:rsid w:val="006139A2"/>
    <w:rsid w:val="00613B0F"/>
    <w:rsid w:val="00615CAE"/>
    <w:rsid w:val="00615E93"/>
    <w:rsid w:val="00616619"/>
    <w:rsid w:val="00616B64"/>
    <w:rsid w:val="00617671"/>
    <w:rsid w:val="006203F3"/>
    <w:rsid w:val="00620824"/>
    <w:rsid w:val="00620E7C"/>
    <w:rsid w:val="00621DFE"/>
    <w:rsid w:val="0062340C"/>
    <w:rsid w:val="006245AA"/>
    <w:rsid w:val="00627EA8"/>
    <w:rsid w:val="0063041C"/>
    <w:rsid w:val="00630E46"/>
    <w:rsid w:val="00633000"/>
    <w:rsid w:val="0063504A"/>
    <w:rsid w:val="006350F6"/>
    <w:rsid w:val="00636479"/>
    <w:rsid w:val="00637BFC"/>
    <w:rsid w:val="00642FCD"/>
    <w:rsid w:val="006430A7"/>
    <w:rsid w:val="00643180"/>
    <w:rsid w:val="00644F7A"/>
    <w:rsid w:val="00645CFC"/>
    <w:rsid w:val="0064670E"/>
    <w:rsid w:val="006472F6"/>
    <w:rsid w:val="00653BA3"/>
    <w:rsid w:val="00653C1F"/>
    <w:rsid w:val="0065493D"/>
    <w:rsid w:val="00654BAD"/>
    <w:rsid w:val="00656671"/>
    <w:rsid w:val="00656F9B"/>
    <w:rsid w:val="006571FC"/>
    <w:rsid w:val="00660B21"/>
    <w:rsid w:val="00662152"/>
    <w:rsid w:val="006624A5"/>
    <w:rsid w:val="00663199"/>
    <w:rsid w:val="00663B8D"/>
    <w:rsid w:val="00664AA8"/>
    <w:rsid w:val="0066569D"/>
    <w:rsid w:val="00665EBD"/>
    <w:rsid w:val="006679BE"/>
    <w:rsid w:val="00670190"/>
    <w:rsid w:val="00670FFC"/>
    <w:rsid w:val="00671028"/>
    <w:rsid w:val="00673732"/>
    <w:rsid w:val="00673F3B"/>
    <w:rsid w:val="00675661"/>
    <w:rsid w:val="00675B3B"/>
    <w:rsid w:val="0067652F"/>
    <w:rsid w:val="00676B69"/>
    <w:rsid w:val="00676DE5"/>
    <w:rsid w:val="00677203"/>
    <w:rsid w:val="00680013"/>
    <w:rsid w:val="0068198F"/>
    <w:rsid w:val="006827E7"/>
    <w:rsid w:val="00683ED8"/>
    <w:rsid w:val="0068438C"/>
    <w:rsid w:val="00684D54"/>
    <w:rsid w:val="00686C83"/>
    <w:rsid w:val="0068774B"/>
    <w:rsid w:val="00690DC2"/>
    <w:rsid w:val="00692A8F"/>
    <w:rsid w:val="00694306"/>
    <w:rsid w:val="006946E9"/>
    <w:rsid w:val="00695CF5"/>
    <w:rsid w:val="006971DC"/>
    <w:rsid w:val="006979DC"/>
    <w:rsid w:val="00697ECE"/>
    <w:rsid w:val="006A1650"/>
    <w:rsid w:val="006A2567"/>
    <w:rsid w:val="006A2576"/>
    <w:rsid w:val="006A486A"/>
    <w:rsid w:val="006A5A70"/>
    <w:rsid w:val="006A6F6C"/>
    <w:rsid w:val="006A7C01"/>
    <w:rsid w:val="006B373F"/>
    <w:rsid w:val="006B3868"/>
    <w:rsid w:val="006B3FF5"/>
    <w:rsid w:val="006B408B"/>
    <w:rsid w:val="006B4DC4"/>
    <w:rsid w:val="006B6ED3"/>
    <w:rsid w:val="006C0066"/>
    <w:rsid w:val="006C3F38"/>
    <w:rsid w:val="006C458D"/>
    <w:rsid w:val="006C7199"/>
    <w:rsid w:val="006C7E55"/>
    <w:rsid w:val="006D0492"/>
    <w:rsid w:val="006D213E"/>
    <w:rsid w:val="006D2C39"/>
    <w:rsid w:val="006D3995"/>
    <w:rsid w:val="006D3FC5"/>
    <w:rsid w:val="006D54E2"/>
    <w:rsid w:val="006D6187"/>
    <w:rsid w:val="006D6C72"/>
    <w:rsid w:val="006D742F"/>
    <w:rsid w:val="006E02DB"/>
    <w:rsid w:val="006E048D"/>
    <w:rsid w:val="006E16F7"/>
    <w:rsid w:val="006E4F7F"/>
    <w:rsid w:val="006E5B85"/>
    <w:rsid w:val="006E68D9"/>
    <w:rsid w:val="006E7995"/>
    <w:rsid w:val="006E7AAE"/>
    <w:rsid w:val="006F0047"/>
    <w:rsid w:val="006F0286"/>
    <w:rsid w:val="006F0383"/>
    <w:rsid w:val="006F043A"/>
    <w:rsid w:val="006F099B"/>
    <w:rsid w:val="006F0AE2"/>
    <w:rsid w:val="006F23CC"/>
    <w:rsid w:val="006F23E6"/>
    <w:rsid w:val="006F2457"/>
    <w:rsid w:val="006F2A33"/>
    <w:rsid w:val="006F32A2"/>
    <w:rsid w:val="006F3959"/>
    <w:rsid w:val="006F45DE"/>
    <w:rsid w:val="006F4FDA"/>
    <w:rsid w:val="006F5657"/>
    <w:rsid w:val="006F5D11"/>
    <w:rsid w:val="006F65CE"/>
    <w:rsid w:val="00701BF7"/>
    <w:rsid w:val="00701DF2"/>
    <w:rsid w:val="00702D5B"/>
    <w:rsid w:val="00703814"/>
    <w:rsid w:val="00703FBD"/>
    <w:rsid w:val="00704062"/>
    <w:rsid w:val="007062E8"/>
    <w:rsid w:val="00707358"/>
    <w:rsid w:val="00707521"/>
    <w:rsid w:val="00707CA7"/>
    <w:rsid w:val="00710CD1"/>
    <w:rsid w:val="00711300"/>
    <w:rsid w:val="00712205"/>
    <w:rsid w:val="007129F6"/>
    <w:rsid w:val="00714132"/>
    <w:rsid w:val="00714805"/>
    <w:rsid w:val="00714BF4"/>
    <w:rsid w:val="00715A9C"/>
    <w:rsid w:val="00717E33"/>
    <w:rsid w:val="0072076F"/>
    <w:rsid w:val="0072295B"/>
    <w:rsid w:val="00724778"/>
    <w:rsid w:val="00724D18"/>
    <w:rsid w:val="00725EE4"/>
    <w:rsid w:val="007264BB"/>
    <w:rsid w:val="00726BD8"/>
    <w:rsid w:val="00730D56"/>
    <w:rsid w:val="007342FE"/>
    <w:rsid w:val="0073490E"/>
    <w:rsid w:val="0073647B"/>
    <w:rsid w:val="00736B34"/>
    <w:rsid w:val="00740FC4"/>
    <w:rsid w:val="00741A38"/>
    <w:rsid w:val="00742F6D"/>
    <w:rsid w:val="007434FA"/>
    <w:rsid w:val="00743A75"/>
    <w:rsid w:val="00743D87"/>
    <w:rsid w:val="00744006"/>
    <w:rsid w:val="00744031"/>
    <w:rsid w:val="00745258"/>
    <w:rsid w:val="007455F0"/>
    <w:rsid w:val="00751727"/>
    <w:rsid w:val="0075235E"/>
    <w:rsid w:val="00752C5C"/>
    <w:rsid w:val="007533EA"/>
    <w:rsid w:val="00753705"/>
    <w:rsid w:val="0075551E"/>
    <w:rsid w:val="00760064"/>
    <w:rsid w:val="00760298"/>
    <w:rsid w:val="007604BC"/>
    <w:rsid w:val="00760FCE"/>
    <w:rsid w:val="007615C8"/>
    <w:rsid w:val="00762C5C"/>
    <w:rsid w:val="00762E37"/>
    <w:rsid w:val="00764937"/>
    <w:rsid w:val="00765457"/>
    <w:rsid w:val="007659EF"/>
    <w:rsid w:val="00765C5E"/>
    <w:rsid w:val="007678E6"/>
    <w:rsid w:val="00767FBF"/>
    <w:rsid w:val="00770F8E"/>
    <w:rsid w:val="00771530"/>
    <w:rsid w:val="00772957"/>
    <w:rsid w:val="007740C4"/>
    <w:rsid w:val="00774177"/>
    <w:rsid w:val="00775D93"/>
    <w:rsid w:val="00777115"/>
    <w:rsid w:val="00777883"/>
    <w:rsid w:val="007802B5"/>
    <w:rsid w:val="007808B0"/>
    <w:rsid w:val="00780E9E"/>
    <w:rsid w:val="00781968"/>
    <w:rsid w:val="00783649"/>
    <w:rsid w:val="00783AB1"/>
    <w:rsid w:val="00784D3C"/>
    <w:rsid w:val="00786079"/>
    <w:rsid w:val="00786749"/>
    <w:rsid w:val="0078761A"/>
    <w:rsid w:val="007904DB"/>
    <w:rsid w:val="0079061A"/>
    <w:rsid w:val="00790FCC"/>
    <w:rsid w:val="007916BB"/>
    <w:rsid w:val="00791ABC"/>
    <w:rsid w:val="00791E80"/>
    <w:rsid w:val="00791F29"/>
    <w:rsid w:val="0079257A"/>
    <w:rsid w:val="00792DEC"/>
    <w:rsid w:val="00792F97"/>
    <w:rsid w:val="007946D0"/>
    <w:rsid w:val="0079639D"/>
    <w:rsid w:val="007A248D"/>
    <w:rsid w:val="007A4BCD"/>
    <w:rsid w:val="007A5A10"/>
    <w:rsid w:val="007A7502"/>
    <w:rsid w:val="007A794A"/>
    <w:rsid w:val="007B0D1F"/>
    <w:rsid w:val="007B17AD"/>
    <w:rsid w:val="007B1BB9"/>
    <w:rsid w:val="007B211A"/>
    <w:rsid w:val="007B260E"/>
    <w:rsid w:val="007B28A4"/>
    <w:rsid w:val="007B3337"/>
    <w:rsid w:val="007B3402"/>
    <w:rsid w:val="007B4B2A"/>
    <w:rsid w:val="007B5D0A"/>
    <w:rsid w:val="007B78FD"/>
    <w:rsid w:val="007B7F0D"/>
    <w:rsid w:val="007C0C1A"/>
    <w:rsid w:val="007C1D5F"/>
    <w:rsid w:val="007C2D35"/>
    <w:rsid w:val="007C3DEE"/>
    <w:rsid w:val="007C4914"/>
    <w:rsid w:val="007C4F72"/>
    <w:rsid w:val="007C5197"/>
    <w:rsid w:val="007C54CA"/>
    <w:rsid w:val="007D0B6D"/>
    <w:rsid w:val="007D1130"/>
    <w:rsid w:val="007D1BD0"/>
    <w:rsid w:val="007D1DA8"/>
    <w:rsid w:val="007D269B"/>
    <w:rsid w:val="007D5E44"/>
    <w:rsid w:val="007D753D"/>
    <w:rsid w:val="007D78D6"/>
    <w:rsid w:val="007E0BE1"/>
    <w:rsid w:val="007E0CDD"/>
    <w:rsid w:val="007E0D20"/>
    <w:rsid w:val="007E11A0"/>
    <w:rsid w:val="007E2A76"/>
    <w:rsid w:val="007E3021"/>
    <w:rsid w:val="007E3E3C"/>
    <w:rsid w:val="007E3E90"/>
    <w:rsid w:val="007E3F5E"/>
    <w:rsid w:val="007E4129"/>
    <w:rsid w:val="007E4E3D"/>
    <w:rsid w:val="007E543C"/>
    <w:rsid w:val="007E56E6"/>
    <w:rsid w:val="007E6A01"/>
    <w:rsid w:val="007E75AF"/>
    <w:rsid w:val="007F09A9"/>
    <w:rsid w:val="007F17D7"/>
    <w:rsid w:val="007F182B"/>
    <w:rsid w:val="007F29B5"/>
    <w:rsid w:val="007F36E8"/>
    <w:rsid w:val="007F3FCA"/>
    <w:rsid w:val="007F4258"/>
    <w:rsid w:val="007F50CE"/>
    <w:rsid w:val="007F553C"/>
    <w:rsid w:val="007F64F7"/>
    <w:rsid w:val="007F73A7"/>
    <w:rsid w:val="008013C4"/>
    <w:rsid w:val="00801463"/>
    <w:rsid w:val="008018B6"/>
    <w:rsid w:val="0080194E"/>
    <w:rsid w:val="00801DFF"/>
    <w:rsid w:val="00805708"/>
    <w:rsid w:val="00810B1C"/>
    <w:rsid w:val="00810F97"/>
    <w:rsid w:val="008118D9"/>
    <w:rsid w:val="00811D31"/>
    <w:rsid w:val="008122CF"/>
    <w:rsid w:val="00814387"/>
    <w:rsid w:val="00814860"/>
    <w:rsid w:val="00814B28"/>
    <w:rsid w:val="00815B8F"/>
    <w:rsid w:val="008161B6"/>
    <w:rsid w:val="00816734"/>
    <w:rsid w:val="00820150"/>
    <w:rsid w:val="00820B5A"/>
    <w:rsid w:val="00821559"/>
    <w:rsid w:val="0082284D"/>
    <w:rsid w:val="00822DA4"/>
    <w:rsid w:val="00824816"/>
    <w:rsid w:val="00825601"/>
    <w:rsid w:val="00825DA9"/>
    <w:rsid w:val="0082666F"/>
    <w:rsid w:val="008279AF"/>
    <w:rsid w:val="008307EA"/>
    <w:rsid w:val="00833046"/>
    <w:rsid w:val="00834C6E"/>
    <w:rsid w:val="00835DBF"/>
    <w:rsid w:val="0084089B"/>
    <w:rsid w:val="00842B93"/>
    <w:rsid w:val="00843E4C"/>
    <w:rsid w:val="00844B2D"/>
    <w:rsid w:val="0085607B"/>
    <w:rsid w:val="00856A15"/>
    <w:rsid w:val="00856EBD"/>
    <w:rsid w:val="0086129E"/>
    <w:rsid w:val="008616CF"/>
    <w:rsid w:val="00864EB3"/>
    <w:rsid w:val="00866CE1"/>
    <w:rsid w:val="00870C4C"/>
    <w:rsid w:val="0087225F"/>
    <w:rsid w:val="0087233F"/>
    <w:rsid w:val="0087269C"/>
    <w:rsid w:val="00872989"/>
    <w:rsid w:val="00873080"/>
    <w:rsid w:val="00874E5E"/>
    <w:rsid w:val="00875E09"/>
    <w:rsid w:val="0087786D"/>
    <w:rsid w:val="0088049F"/>
    <w:rsid w:val="008814CD"/>
    <w:rsid w:val="00881731"/>
    <w:rsid w:val="00881F55"/>
    <w:rsid w:val="00882483"/>
    <w:rsid w:val="00883086"/>
    <w:rsid w:val="00883233"/>
    <w:rsid w:val="00884DF3"/>
    <w:rsid w:val="00884F21"/>
    <w:rsid w:val="008850A4"/>
    <w:rsid w:val="008864E2"/>
    <w:rsid w:val="008879C9"/>
    <w:rsid w:val="00887B5D"/>
    <w:rsid w:val="00891D5E"/>
    <w:rsid w:val="0089497E"/>
    <w:rsid w:val="008950BE"/>
    <w:rsid w:val="00896354"/>
    <w:rsid w:val="008A0B1D"/>
    <w:rsid w:val="008A18E3"/>
    <w:rsid w:val="008A216C"/>
    <w:rsid w:val="008A3A5A"/>
    <w:rsid w:val="008A4888"/>
    <w:rsid w:val="008A5BAC"/>
    <w:rsid w:val="008A5E14"/>
    <w:rsid w:val="008A5EDD"/>
    <w:rsid w:val="008A5F9D"/>
    <w:rsid w:val="008A7AC4"/>
    <w:rsid w:val="008B394B"/>
    <w:rsid w:val="008B447E"/>
    <w:rsid w:val="008B45F9"/>
    <w:rsid w:val="008B73B1"/>
    <w:rsid w:val="008B7AB3"/>
    <w:rsid w:val="008C0966"/>
    <w:rsid w:val="008C2687"/>
    <w:rsid w:val="008C2DF2"/>
    <w:rsid w:val="008C4CDB"/>
    <w:rsid w:val="008C59FB"/>
    <w:rsid w:val="008C6147"/>
    <w:rsid w:val="008C68F8"/>
    <w:rsid w:val="008D1787"/>
    <w:rsid w:val="008D25A6"/>
    <w:rsid w:val="008D4BBD"/>
    <w:rsid w:val="008D75DB"/>
    <w:rsid w:val="008E2C1A"/>
    <w:rsid w:val="008E363B"/>
    <w:rsid w:val="008E4969"/>
    <w:rsid w:val="008E5154"/>
    <w:rsid w:val="008E5F06"/>
    <w:rsid w:val="008E6B38"/>
    <w:rsid w:val="008E77F1"/>
    <w:rsid w:val="008F0690"/>
    <w:rsid w:val="008F08A6"/>
    <w:rsid w:val="008F1D72"/>
    <w:rsid w:val="008F2BDA"/>
    <w:rsid w:val="008F3B58"/>
    <w:rsid w:val="008F3B77"/>
    <w:rsid w:val="008F4E29"/>
    <w:rsid w:val="008F4F10"/>
    <w:rsid w:val="008F686D"/>
    <w:rsid w:val="008F7BCD"/>
    <w:rsid w:val="00900BA9"/>
    <w:rsid w:val="0090290D"/>
    <w:rsid w:val="00902DD1"/>
    <w:rsid w:val="00903085"/>
    <w:rsid w:val="00903B8B"/>
    <w:rsid w:val="009041F0"/>
    <w:rsid w:val="00906004"/>
    <w:rsid w:val="00906E39"/>
    <w:rsid w:val="0091067A"/>
    <w:rsid w:val="00912219"/>
    <w:rsid w:val="00913451"/>
    <w:rsid w:val="009149CA"/>
    <w:rsid w:val="00915034"/>
    <w:rsid w:val="0091749D"/>
    <w:rsid w:val="0091761C"/>
    <w:rsid w:val="00917C00"/>
    <w:rsid w:val="00917EC0"/>
    <w:rsid w:val="009203B7"/>
    <w:rsid w:val="00922F24"/>
    <w:rsid w:val="00925BAE"/>
    <w:rsid w:val="00930173"/>
    <w:rsid w:val="00930CBD"/>
    <w:rsid w:val="00936302"/>
    <w:rsid w:val="009365DE"/>
    <w:rsid w:val="00937D3C"/>
    <w:rsid w:val="009400F9"/>
    <w:rsid w:val="00940AFF"/>
    <w:rsid w:val="00940B24"/>
    <w:rsid w:val="009415D7"/>
    <w:rsid w:val="009418F6"/>
    <w:rsid w:val="00941A92"/>
    <w:rsid w:val="00942301"/>
    <w:rsid w:val="00942747"/>
    <w:rsid w:val="00944070"/>
    <w:rsid w:val="009451B9"/>
    <w:rsid w:val="00946CAA"/>
    <w:rsid w:val="009477BF"/>
    <w:rsid w:val="00950D27"/>
    <w:rsid w:val="00951277"/>
    <w:rsid w:val="00952B56"/>
    <w:rsid w:val="00953335"/>
    <w:rsid w:val="00953A70"/>
    <w:rsid w:val="0095527B"/>
    <w:rsid w:val="009564CA"/>
    <w:rsid w:val="00961B19"/>
    <w:rsid w:val="00962E95"/>
    <w:rsid w:val="0096593C"/>
    <w:rsid w:val="00965FA1"/>
    <w:rsid w:val="009661DA"/>
    <w:rsid w:val="00966AA2"/>
    <w:rsid w:val="00970C05"/>
    <w:rsid w:val="00971ACF"/>
    <w:rsid w:val="00972308"/>
    <w:rsid w:val="009728AC"/>
    <w:rsid w:val="009732D9"/>
    <w:rsid w:val="009735E0"/>
    <w:rsid w:val="00973F6B"/>
    <w:rsid w:val="0097457E"/>
    <w:rsid w:val="00975A63"/>
    <w:rsid w:val="00975D21"/>
    <w:rsid w:val="00981514"/>
    <w:rsid w:val="00982FB1"/>
    <w:rsid w:val="009864AC"/>
    <w:rsid w:val="009917DE"/>
    <w:rsid w:val="00991DF8"/>
    <w:rsid w:val="00993C25"/>
    <w:rsid w:val="00993C2E"/>
    <w:rsid w:val="00994DF1"/>
    <w:rsid w:val="009959CA"/>
    <w:rsid w:val="00996310"/>
    <w:rsid w:val="009974DB"/>
    <w:rsid w:val="00997686"/>
    <w:rsid w:val="009A3E8F"/>
    <w:rsid w:val="009A5460"/>
    <w:rsid w:val="009B0319"/>
    <w:rsid w:val="009B11AD"/>
    <w:rsid w:val="009B12DB"/>
    <w:rsid w:val="009B145D"/>
    <w:rsid w:val="009B204C"/>
    <w:rsid w:val="009B4497"/>
    <w:rsid w:val="009B5DAA"/>
    <w:rsid w:val="009B68ED"/>
    <w:rsid w:val="009B74DB"/>
    <w:rsid w:val="009C5504"/>
    <w:rsid w:val="009C6B6B"/>
    <w:rsid w:val="009C7698"/>
    <w:rsid w:val="009D17F9"/>
    <w:rsid w:val="009D2299"/>
    <w:rsid w:val="009D3BF7"/>
    <w:rsid w:val="009D3E39"/>
    <w:rsid w:val="009D4300"/>
    <w:rsid w:val="009D6069"/>
    <w:rsid w:val="009D7A8C"/>
    <w:rsid w:val="009D7B89"/>
    <w:rsid w:val="009E1706"/>
    <w:rsid w:val="009E1F7D"/>
    <w:rsid w:val="009E3583"/>
    <w:rsid w:val="009E38D9"/>
    <w:rsid w:val="009E4968"/>
    <w:rsid w:val="009E4EE2"/>
    <w:rsid w:val="009E5AD6"/>
    <w:rsid w:val="009E6644"/>
    <w:rsid w:val="009E6988"/>
    <w:rsid w:val="009E6C63"/>
    <w:rsid w:val="009E7589"/>
    <w:rsid w:val="009E7947"/>
    <w:rsid w:val="009F2B1E"/>
    <w:rsid w:val="009F4B02"/>
    <w:rsid w:val="009F4C8E"/>
    <w:rsid w:val="009F5125"/>
    <w:rsid w:val="009F6185"/>
    <w:rsid w:val="009F778D"/>
    <w:rsid w:val="009F7959"/>
    <w:rsid w:val="00A00B9A"/>
    <w:rsid w:val="00A00FF7"/>
    <w:rsid w:val="00A01B1C"/>
    <w:rsid w:val="00A033F8"/>
    <w:rsid w:val="00A03646"/>
    <w:rsid w:val="00A03D21"/>
    <w:rsid w:val="00A03E55"/>
    <w:rsid w:val="00A07B2C"/>
    <w:rsid w:val="00A07D1E"/>
    <w:rsid w:val="00A07F21"/>
    <w:rsid w:val="00A10061"/>
    <w:rsid w:val="00A10652"/>
    <w:rsid w:val="00A12621"/>
    <w:rsid w:val="00A12EA3"/>
    <w:rsid w:val="00A139A7"/>
    <w:rsid w:val="00A166A7"/>
    <w:rsid w:val="00A172C0"/>
    <w:rsid w:val="00A17A03"/>
    <w:rsid w:val="00A2008A"/>
    <w:rsid w:val="00A212F3"/>
    <w:rsid w:val="00A21B5D"/>
    <w:rsid w:val="00A22958"/>
    <w:rsid w:val="00A236FE"/>
    <w:rsid w:val="00A2464A"/>
    <w:rsid w:val="00A24BC1"/>
    <w:rsid w:val="00A2556E"/>
    <w:rsid w:val="00A25714"/>
    <w:rsid w:val="00A258B0"/>
    <w:rsid w:val="00A26527"/>
    <w:rsid w:val="00A300CE"/>
    <w:rsid w:val="00A327CA"/>
    <w:rsid w:val="00A334E7"/>
    <w:rsid w:val="00A3781F"/>
    <w:rsid w:val="00A409C0"/>
    <w:rsid w:val="00A42021"/>
    <w:rsid w:val="00A44434"/>
    <w:rsid w:val="00A444A3"/>
    <w:rsid w:val="00A4527B"/>
    <w:rsid w:val="00A452BE"/>
    <w:rsid w:val="00A453BA"/>
    <w:rsid w:val="00A453DB"/>
    <w:rsid w:val="00A46F87"/>
    <w:rsid w:val="00A47296"/>
    <w:rsid w:val="00A47F43"/>
    <w:rsid w:val="00A50613"/>
    <w:rsid w:val="00A52381"/>
    <w:rsid w:val="00A533AB"/>
    <w:rsid w:val="00A53E98"/>
    <w:rsid w:val="00A54961"/>
    <w:rsid w:val="00A54AF9"/>
    <w:rsid w:val="00A571F3"/>
    <w:rsid w:val="00A6112C"/>
    <w:rsid w:val="00A639BA"/>
    <w:rsid w:val="00A661D7"/>
    <w:rsid w:val="00A722B4"/>
    <w:rsid w:val="00A73C10"/>
    <w:rsid w:val="00A73CC1"/>
    <w:rsid w:val="00A74021"/>
    <w:rsid w:val="00A76661"/>
    <w:rsid w:val="00A80425"/>
    <w:rsid w:val="00A8047B"/>
    <w:rsid w:val="00A81663"/>
    <w:rsid w:val="00A8198C"/>
    <w:rsid w:val="00A81DA1"/>
    <w:rsid w:val="00A82510"/>
    <w:rsid w:val="00A836FF"/>
    <w:rsid w:val="00A85233"/>
    <w:rsid w:val="00A90ED2"/>
    <w:rsid w:val="00A9114C"/>
    <w:rsid w:val="00A9303F"/>
    <w:rsid w:val="00A9596E"/>
    <w:rsid w:val="00A95F35"/>
    <w:rsid w:val="00A9668A"/>
    <w:rsid w:val="00A973D3"/>
    <w:rsid w:val="00A97DE0"/>
    <w:rsid w:val="00AA0CCC"/>
    <w:rsid w:val="00AA0E49"/>
    <w:rsid w:val="00AA4464"/>
    <w:rsid w:val="00AA4A0F"/>
    <w:rsid w:val="00AA6C40"/>
    <w:rsid w:val="00AA7208"/>
    <w:rsid w:val="00AA7541"/>
    <w:rsid w:val="00AA7696"/>
    <w:rsid w:val="00AB11CC"/>
    <w:rsid w:val="00AB1AEF"/>
    <w:rsid w:val="00AB1C5C"/>
    <w:rsid w:val="00AB1D75"/>
    <w:rsid w:val="00AB23E7"/>
    <w:rsid w:val="00AB2547"/>
    <w:rsid w:val="00AB44B2"/>
    <w:rsid w:val="00AB476A"/>
    <w:rsid w:val="00AB5C9D"/>
    <w:rsid w:val="00AB6815"/>
    <w:rsid w:val="00AB6FFE"/>
    <w:rsid w:val="00AC104E"/>
    <w:rsid w:val="00AC20E7"/>
    <w:rsid w:val="00AC376C"/>
    <w:rsid w:val="00AC3F1A"/>
    <w:rsid w:val="00AC516E"/>
    <w:rsid w:val="00AC5368"/>
    <w:rsid w:val="00AC601D"/>
    <w:rsid w:val="00AC76F1"/>
    <w:rsid w:val="00AD1E07"/>
    <w:rsid w:val="00AD259D"/>
    <w:rsid w:val="00AD27C4"/>
    <w:rsid w:val="00AD3A77"/>
    <w:rsid w:val="00AD3CF5"/>
    <w:rsid w:val="00AD4F49"/>
    <w:rsid w:val="00AD5A35"/>
    <w:rsid w:val="00AD6332"/>
    <w:rsid w:val="00AD7607"/>
    <w:rsid w:val="00AD7651"/>
    <w:rsid w:val="00AE0AF5"/>
    <w:rsid w:val="00AE41DF"/>
    <w:rsid w:val="00AE453B"/>
    <w:rsid w:val="00AE7EE5"/>
    <w:rsid w:val="00AF0B0A"/>
    <w:rsid w:val="00AF137F"/>
    <w:rsid w:val="00AF20CC"/>
    <w:rsid w:val="00AF329F"/>
    <w:rsid w:val="00AF44CA"/>
    <w:rsid w:val="00AF69A4"/>
    <w:rsid w:val="00AF6FA7"/>
    <w:rsid w:val="00AF7B85"/>
    <w:rsid w:val="00B005BC"/>
    <w:rsid w:val="00B01519"/>
    <w:rsid w:val="00B01612"/>
    <w:rsid w:val="00B02700"/>
    <w:rsid w:val="00B02B80"/>
    <w:rsid w:val="00B0461A"/>
    <w:rsid w:val="00B048D4"/>
    <w:rsid w:val="00B100F0"/>
    <w:rsid w:val="00B10220"/>
    <w:rsid w:val="00B10AC2"/>
    <w:rsid w:val="00B118F5"/>
    <w:rsid w:val="00B11C02"/>
    <w:rsid w:val="00B1382D"/>
    <w:rsid w:val="00B15FB9"/>
    <w:rsid w:val="00B160E1"/>
    <w:rsid w:val="00B169B2"/>
    <w:rsid w:val="00B17DE2"/>
    <w:rsid w:val="00B2493A"/>
    <w:rsid w:val="00B2662B"/>
    <w:rsid w:val="00B26891"/>
    <w:rsid w:val="00B26C1D"/>
    <w:rsid w:val="00B27326"/>
    <w:rsid w:val="00B308B4"/>
    <w:rsid w:val="00B30BD0"/>
    <w:rsid w:val="00B31051"/>
    <w:rsid w:val="00B34307"/>
    <w:rsid w:val="00B34AD0"/>
    <w:rsid w:val="00B35426"/>
    <w:rsid w:val="00B355CA"/>
    <w:rsid w:val="00B36A9F"/>
    <w:rsid w:val="00B371F9"/>
    <w:rsid w:val="00B37E0A"/>
    <w:rsid w:val="00B37EC7"/>
    <w:rsid w:val="00B41DA2"/>
    <w:rsid w:val="00B41F1D"/>
    <w:rsid w:val="00B421C2"/>
    <w:rsid w:val="00B422B6"/>
    <w:rsid w:val="00B4450B"/>
    <w:rsid w:val="00B449DD"/>
    <w:rsid w:val="00B451C5"/>
    <w:rsid w:val="00B45440"/>
    <w:rsid w:val="00B478ED"/>
    <w:rsid w:val="00B53404"/>
    <w:rsid w:val="00B54687"/>
    <w:rsid w:val="00B5556A"/>
    <w:rsid w:val="00B56270"/>
    <w:rsid w:val="00B57805"/>
    <w:rsid w:val="00B6023B"/>
    <w:rsid w:val="00B623C2"/>
    <w:rsid w:val="00B62A72"/>
    <w:rsid w:val="00B6334E"/>
    <w:rsid w:val="00B63D67"/>
    <w:rsid w:val="00B64629"/>
    <w:rsid w:val="00B661BF"/>
    <w:rsid w:val="00B6667F"/>
    <w:rsid w:val="00B72B18"/>
    <w:rsid w:val="00B72F3F"/>
    <w:rsid w:val="00B74625"/>
    <w:rsid w:val="00B767E6"/>
    <w:rsid w:val="00B7690F"/>
    <w:rsid w:val="00B77DDD"/>
    <w:rsid w:val="00B80CB5"/>
    <w:rsid w:val="00B81815"/>
    <w:rsid w:val="00B82371"/>
    <w:rsid w:val="00B82AA7"/>
    <w:rsid w:val="00B83096"/>
    <w:rsid w:val="00B83C16"/>
    <w:rsid w:val="00B83FA0"/>
    <w:rsid w:val="00B8423A"/>
    <w:rsid w:val="00B856C8"/>
    <w:rsid w:val="00B859F8"/>
    <w:rsid w:val="00B86515"/>
    <w:rsid w:val="00B86A9E"/>
    <w:rsid w:val="00B870CC"/>
    <w:rsid w:val="00B87CFD"/>
    <w:rsid w:val="00B904A4"/>
    <w:rsid w:val="00B90ABC"/>
    <w:rsid w:val="00B91D27"/>
    <w:rsid w:val="00B920D1"/>
    <w:rsid w:val="00B92EA2"/>
    <w:rsid w:val="00B934AE"/>
    <w:rsid w:val="00B94F3A"/>
    <w:rsid w:val="00B95439"/>
    <w:rsid w:val="00B978E4"/>
    <w:rsid w:val="00B9797E"/>
    <w:rsid w:val="00B97FA8"/>
    <w:rsid w:val="00BA02C4"/>
    <w:rsid w:val="00BA0E15"/>
    <w:rsid w:val="00BA1B06"/>
    <w:rsid w:val="00BA2634"/>
    <w:rsid w:val="00BA3054"/>
    <w:rsid w:val="00BA501A"/>
    <w:rsid w:val="00BB08A9"/>
    <w:rsid w:val="00BB0ACE"/>
    <w:rsid w:val="00BB105A"/>
    <w:rsid w:val="00BB148E"/>
    <w:rsid w:val="00BB1B31"/>
    <w:rsid w:val="00BB258B"/>
    <w:rsid w:val="00BB2BF3"/>
    <w:rsid w:val="00BB2D06"/>
    <w:rsid w:val="00BB2E39"/>
    <w:rsid w:val="00BB3397"/>
    <w:rsid w:val="00BB3C6F"/>
    <w:rsid w:val="00BB5A59"/>
    <w:rsid w:val="00BB5D59"/>
    <w:rsid w:val="00BB77E6"/>
    <w:rsid w:val="00BC0070"/>
    <w:rsid w:val="00BC0771"/>
    <w:rsid w:val="00BC215A"/>
    <w:rsid w:val="00BC36E0"/>
    <w:rsid w:val="00BC4BEC"/>
    <w:rsid w:val="00BC4DE7"/>
    <w:rsid w:val="00BC7C8A"/>
    <w:rsid w:val="00BD12D1"/>
    <w:rsid w:val="00BD5424"/>
    <w:rsid w:val="00BD60C3"/>
    <w:rsid w:val="00BD6E6A"/>
    <w:rsid w:val="00BE0845"/>
    <w:rsid w:val="00BE0F7B"/>
    <w:rsid w:val="00BE10E4"/>
    <w:rsid w:val="00BE29AE"/>
    <w:rsid w:val="00BE451D"/>
    <w:rsid w:val="00BE6585"/>
    <w:rsid w:val="00BE6AD4"/>
    <w:rsid w:val="00BE7378"/>
    <w:rsid w:val="00BE7659"/>
    <w:rsid w:val="00BF211A"/>
    <w:rsid w:val="00BF2133"/>
    <w:rsid w:val="00BF6DB3"/>
    <w:rsid w:val="00C0037A"/>
    <w:rsid w:val="00C011DC"/>
    <w:rsid w:val="00C02990"/>
    <w:rsid w:val="00C02B99"/>
    <w:rsid w:val="00C03450"/>
    <w:rsid w:val="00C03B48"/>
    <w:rsid w:val="00C04632"/>
    <w:rsid w:val="00C04BD1"/>
    <w:rsid w:val="00C05079"/>
    <w:rsid w:val="00C05796"/>
    <w:rsid w:val="00C0595F"/>
    <w:rsid w:val="00C06637"/>
    <w:rsid w:val="00C069B0"/>
    <w:rsid w:val="00C07B40"/>
    <w:rsid w:val="00C11CB5"/>
    <w:rsid w:val="00C14EDF"/>
    <w:rsid w:val="00C161B8"/>
    <w:rsid w:val="00C1697E"/>
    <w:rsid w:val="00C20720"/>
    <w:rsid w:val="00C22182"/>
    <w:rsid w:val="00C22AEA"/>
    <w:rsid w:val="00C23C07"/>
    <w:rsid w:val="00C241A6"/>
    <w:rsid w:val="00C25AA9"/>
    <w:rsid w:val="00C25AB7"/>
    <w:rsid w:val="00C25D47"/>
    <w:rsid w:val="00C30661"/>
    <w:rsid w:val="00C3081C"/>
    <w:rsid w:val="00C31973"/>
    <w:rsid w:val="00C3315D"/>
    <w:rsid w:val="00C3331D"/>
    <w:rsid w:val="00C34619"/>
    <w:rsid w:val="00C3776F"/>
    <w:rsid w:val="00C40238"/>
    <w:rsid w:val="00C404D1"/>
    <w:rsid w:val="00C40A96"/>
    <w:rsid w:val="00C42280"/>
    <w:rsid w:val="00C44270"/>
    <w:rsid w:val="00C448E1"/>
    <w:rsid w:val="00C471ED"/>
    <w:rsid w:val="00C47BEC"/>
    <w:rsid w:val="00C50ECE"/>
    <w:rsid w:val="00C53733"/>
    <w:rsid w:val="00C558EF"/>
    <w:rsid w:val="00C56142"/>
    <w:rsid w:val="00C579B9"/>
    <w:rsid w:val="00C57BF3"/>
    <w:rsid w:val="00C57D05"/>
    <w:rsid w:val="00C60B12"/>
    <w:rsid w:val="00C611AF"/>
    <w:rsid w:val="00C674B2"/>
    <w:rsid w:val="00C7218C"/>
    <w:rsid w:val="00C72355"/>
    <w:rsid w:val="00C72A83"/>
    <w:rsid w:val="00C72C0C"/>
    <w:rsid w:val="00C72FB3"/>
    <w:rsid w:val="00C73678"/>
    <w:rsid w:val="00C73717"/>
    <w:rsid w:val="00C74E43"/>
    <w:rsid w:val="00C77B7D"/>
    <w:rsid w:val="00C8045F"/>
    <w:rsid w:val="00C82249"/>
    <w:rsid w:val="00C83762"/>
    <w:rsid w:val="00C84085"/>
    <w:rsid w:val="00C840A4"/>
    <w:rsid w:val="00C86B30"/>
    <w:rsid w:val="00C86F0B"/>
    <w:rsid w:val="00C906B0"/>
    <w:rsid w:val="00C9215F"/>
    <w:rsid w:val="00C93012"/>
    <w:rsid w:val="00C946F1"/>
    <w:rsid w:val="00C94AAA"/>
    <w:rsid w:val="00C95661"/>
    <w:rsid w:val="00C956CD"/>
    <w:rsid w:val="00C97B57"/>
    <w:rsid w:val="00CA075B"/>
    <w:rsid w:val="00CA0E7B"/>
    <w:rsid w:val="00CA106B"/>
    <w:rsid w:val="00CA15C9"/>
    <w:rsid w:val="00CA1868"/>
    <w:rsid w:val="00CA1B15"/>
    <w:rsid w:val="00CA4195"/>
    <w:rsid w:val="00CA4E0D"/>
    <w:rsid w:val="00CA53E5"/>
    <w:rsid w:val="00CA5B13"/>
    <w:rsid w:val="00CA63CD"/>
    <w:rsid w:val="00CA655E"/>
    <w:rsid w:val="00CA6577"/>
    <w:rsid w:val="00CB02CF"/>
    <w:rsid w:val="00CB08C2"/>
    <w:rsid w:val="00CB0A0E"/>
    <w:rsid w:val="00CB20E2"/>
    <w:rsid w:val="00CB26A6"/>
    <w:rsid w:val="00CB2EBC"/>
    <w:rsid w:val="00CB5DF8"/>
    <w:rsid w:val="00CB6F8C"/>
    <w:rsid w:val="00CC3419"/>
    <w:rsid w:val="00CC4D9A"/>
    <w:rsid w:val="00CC5E66"/>
    <w:rsid w:val="00CC724B"/>
    <w:rsid w:val="00CC73F5"/>
    <w:rsid w:val="00CC76AF"/>
    <w:rsid w:val="00CC7DCD"/>
    <w:rsid w:val="00CC7E94"/>
    <w:rsid w:val="00CD014C"/>
    <w:rsid w:val="00CD0B49"/>
    <w:rsid w:val="00CD1C6F"/>
    <w:rsid w:val="00CD52BC"/>
    <w:rsid w:val="00CD5457"/>
    <w:rsid w:val="00CE131F"/>
    <w:rsid w:val="00CE2E32"/>
    <w:rsid w:val="00CE3743"/>
    <w:rsid w:val="00CE3DB6"/>
    <w:rsid w:val="00CE5520"/>
    <w:rsid w:val="00CE5946"/>
    <w:rsid w:val="00CE780D"/>
    <w:rsid w:val="00CE79C9"/>
    <w:rsid w:val="00CE7DA9"/>
    <w:rsid w:val="00CF08A6"/>
    <w:rsid w:val="00CF12C5"/>
    <w:rsid w:val="00CF2283"/>
    <w:rsid w:val="00CF23F5"/>
    <w:rsid w:val="00CF6E3E"/>
    <w:rsid w:val="00CF77B1"/>
    <w:rsid w:val="00D001AD"/>
    <w:rsid w:val="00D0154C"/>
    <w:rsid w:val="00D01A23"/>
    <w:rsid w:val="00D01FED"/>
    <w:rsid w:val="00D049D5"/>
    <w:rsid w:val="00D06948"/>
    <w:rsid w:val="00D06D95"/>
    <w:rsid w:val="00D120F5"/>
    <w:rsid w:val="00D13A83"/>
    <w:rsid w:val="00D13CF2"/>
    <w:rsid w:val="00D14B6C"/>
    <w:rsid w:val="00D15E17"/>
    <w:rsid w:val="00D16E74"/>
    <w:rsid w:val="00D177A8"/>
    <w:rsid w:val="00D178B3"/>
    <w:rsid w:val="00D17C85"/>
    <w:rsid w:val="00D17D31"/>
    <w:rsid w:val="00D205F2"/>
    <w:rsid w:val="00D212F2"/>
    <w:rsid w:val="00D215A5"/>
    <w:rsid w:val="00D217A9"/>
    <w:rsid w:val="00D21DEF"/>
    <w:rsid w:val="00D222C2"/>
    <w:rsid w:val="00D22C37"/>
    <w:rsid w:val="00D2313C"/>
    <w:rsid w:val="00D236A2"/>
    <w:rsid w:val="00D24EE8"/>
    <w:rsid w:val="00D25C63"/>
    <w:rsid w:val="00D27407"/>
    <w:rsid w:val="00D304A2"/>
    <w:rsid w:val="00D30B3D"/>
    <w:rsid w:val="00D313B1"/>
    <w:rsid w:val="00D31408"/>
    <w:rsid w:val="00D318EF"/>
    <w:rsid w:val="00D31D05"/>
    <w:rsid w:val="00D31FE3"/>
    <w:rsid w:val="00D320E7"/>
    <w:rsid w:val="00D340AB"/>
    <w:rsid w:val="00D366BB"/>
    <w:rsid w:val="00D36918"/>
    <w:rsid w:val="00D37278"/>
    <w:rsid w:val="00D372C1"/>
    <w:rsid w:val="00D37537"/>
    <w:rsid w:val="00D40702"/>
    <w:rsid w:val="00D416DA"/>
    <w:rsid w:val="00D41932"/>
    <w:rsid w:val="00D42F6A"/>
    <w:rsid w:val="00D437D7"/>
    <w:rsid w:val="00D4477E"/>
    <w:rsid w:val="00D455E4"/>
    <w:rsid w:val="00D45D4E"/>
    <w:rsid w:val="00D46B45"/>
    <w:rsid w:val="00D46ED6"/>
    <w:rsid w:val="00D4710D"/>
    <w:rsid w:val="00D5048F"/>
    <w:rsid w:val="00D5097D"/>
    <w:rsid w:val="00D527A3"/>
    <w:rsid w:val="00D52DFD"/>
    <w:rsid w:val="00D539AB"/>
    <w:rsid w:val="00D541B7"/>
    <w:rsid w:val="00D54314"/>
    <w:rsid w:val="00D551BC"/>
    <w:rsid w:val="00D5551B"/>
    <w:rsid w:val="00D57575"/>
    <w:rsid w:val="00D57B80"/>
    <w:rsid w:val="00D60370"/>
    <w:rsid w:val="00D614F2"/>
    <w:rsid w:val="00D61B40"/>
    <w:rsid w:val="00D6440D"/>
    <w:rsid w:val="00D64ECB"/>
    <w:rsid w:val="00D65105"/>
    <w:rsid w:val="00D6650A"/>
    <w:rsid w:val="00D70A3A"/>
    <w:rsid w:val="00D714BD"/>
    <w:rsid w:val="00D71ED2"/>
    <w:rsid w:val="00D7311E"/>
    <w:rsid w:val="00D754D5"/>
    <w:rsid w:val="00D801F4"/>
    <w:rsid w:val="00D80316"/>
    <w:rsid w:val="00D80A1F"/>
    <w:rsid w:val="00D813D0"/>
    <w:rsid w:val="00D84177"/>
    <w:rsid w:val="00D84D87"/>
    <w:rsid w:val="00D8547A"/>
    <w:rsid w:val="00D863F8"/>
    <w:rsid w:val="00D86D01"/>
    <w:rsid w:val="00D86EA8"/>
    <w:rsid w:val="00D901C5"/>
    <w:rsid w:val="00D92EAC"/>
    <w:rsid w:val="00D952C6"/>
    <w:rsid w:val="00D96466"/>
    <w:rsid w:val="00D97939"/>
    <w:rsid w:val="00DA07DE"/>
    <w:rsid w:val="00DA086C"/>
    <w:rsid w:val="00DA0A79"/>
    <w:rsid w:val="00DA130C"/>
    <w:rsid w:val="00DA143E"/>
    <w:rsid w:val="00DA1F5B"/>
    <w:rsid w:val="00DA244C"/>
    <w:rsid w:val="00DA2F17"/>
    <w:rsid w:val="00DA5003"/>
    <w:rsid w:val="00DA64D9"/>
    <w:rsid w:val="00DA7324"/>
    <w:rsid w:val="00DB061B"/>
    <w:rsid w:val="00DB1511"/>
    <w:rsid w:val="00DB1D43"/>
    <w:rsid w:val="00DB22EB"/>
    <w:rsid w:val="00DB22F6"/>
    <w:rsid w:val="00DB2EF8"/>
    <w:rsid w:val="00DB423C"/>
    <w:rsid w:val="00DB446C"/>
    <w:rsid w:val="00DB5420"/>
    <w:rsid w:val="00DB575A"/>
    <w:rsid w:val="00DB5A54"/>
    <w:rsid w:val="00DB6BBA"/>
    <w:rsid w:val="00DC0D29"/>
    <w:rsid w:val="00DC2BE1"/>
    <w:rsid w:val="00DC2E69"/>
    <w:rsid w:val="00DC472B"/>
    <w:rsid w:val="00DC7952"/>
    <w:rsid w:val="00DD3869"/>
    <w:rsid w:val="00DD3DDA"/>
    <w:rsid w:val="00DD3E1E"/>
    <w:rsid w:val="00DD4BDD"/>
    <w:rsid w:val="00DD7217"/>
    <w:rsid w:val="00DD7FE1"/>
    <w:rsid w:val="00DE21C8"/>
    <w:rsid w:val="00DE3DF2"/>
    <w:rsid w:val="00DE6D1E"/>
    <w:rsid w:val="00DF08E3"/>
    <w:rsid w:val="00DF0C93"/>
    <w:rsid w:val="00DF205A"/>
    <w:rsid w:val="00DF4696"/>
    <w:rsid w:val="00DF5DE8"/>
    <w:rsid w:val="00DF686D"/>
    <w:rsid w:val="00E0262D"/>
    <w:rsid w:val="00E04288"/>
    <w:rsid w:val="00E113AE"/>
    <w:rsid w:val="00E1274B"/>
    <w:rsid w:val="00E13234"/>
    <w:rsid w:val="00E1349A"/>
    <w:rsid w:val="00E13CFE"/>
    <w:rsid w:val="00E148AC"/>
    <w:rsid w:val="00E157A9"/>
    <w:rsid w:val="00E15E99"/>
    <w:rsid w:val="00E16926"/>
    <w:rsid w:val="00E16B92"/>
    <w:rsid w:val="00E2035F"/>
    <w:rsid w:val="00E21257"/>
    <w:rsid w:val="00E225B9"/>
    <w:rsid w:val="00E22846"/>
    <w:rsid w:val="00E23928"/>
    <w:rsid w:val="00E24170"/>
    <w:rsid w:val="00E24932"/>
    <w:rsid w:val="00E24A8E"/>
    <w:rsid w:val="00E24B1A"/>
    <w:rsid w:val="00E254FB"/>
    <w:rsid w:val="00E257FA"/>
    <w:rsid w:val="00E26145"/>
    <w:rsid w:val="00E302F5"/>
    <w:rsid w:val="00E3036D"/>
    <w:rsid w:val="00E3171F"/>
    <w:rsid w:val="00E32629"/>
    <w:rsid w:val="00E32757"/>
    <w:rsid w:val="00E32EB0"/>
    <w:rsid w:val="00E33950"/>
    <w:rsid w:val="00E349FB"/>
    <w:rsid w:val="00E36B0F"/>
    <w:rsid w:val="00E37D24"/>
    <w:rsid w:val="00E40759"/>
    <w:rsid w:val="00E40A0A"/>
    <w:rsid w:val="00E417C2"/>
    <w:rsid w:val="00E431E6"/>
    <w:rsid w:val="00E440E5"/>
    <w:rsid w:val="00E446A3"/>
    <w:rsid w:val="00E4573F"/>
    <w:rsid w:val="00E5098A"/>
    <w:rsid w:val="00E510D7"/>
    <w:rsid w:val="00E53421"/>
    <w:rsid w:val="00E54CA3"/>
    <w:rsid w:val="00E559FA"/>
    <w:rsid w:val="00E560EA"/>
    <w:rsid w:val="00E5625B"/>
    <w:rsid w:val="00E570EE"/>
    <w:rsid w:val="00E57184"/>
    <w:rsid w:val="00E5778C"/>
    <w:rsid w:val="00E57C96"/>
    <w:rsid w:val="00E57CE4"/>
    <w:rsid w:val="00E60421"/>
    <w:rsid w:val="00E60757"/>
    <w:rsid w:val="00E61DDA"/>
    <w:rsid w:val="00E6207E"/>
    <w:rsid w:val="00E628D8"/>
    <w:rsid w:val="00E633E6"/>
    <w:rsid w:val="00E635F2"/>
    <w:rsid w:val="00E63D28"/>
    <w:rsid w:val="00E66BA0"/>
    <w:rsid w:val="00E6702C"/>
    <w:rsid w:val="00E676A6"/>
    <w:rsid w:val="00E7207C"/>
    <w:rsid w:val="00E72CF2"/>
    <w:rsid w:val="00E736E9"/>
    <w:rsid w:val="00E73C96"/>
    <w:rsid w:val="00E74B3B"/>
    <w:rsid w:val="00E75D5D"/>
    <w:rsid w:val="00E76397"/>
    <w:rsid w:val="00E76FA1"/>
    <w:rsid w:val="00E81E1D"/>
    <w:rsid w:val="00E82D0C"/>
    <w:rsid w:val="00E8480C"/>
    <w:rsid w:val="00E87462"/>
    <w:rsid w:val="00E92086"/>
    <w:rsid w:val="00E92DC9"/>
    <w:rsid w:val="00E9544B"/>
    <w:rsid w:val="00E957E1"/>
    <w:rsid w:val="00E95C68"/>
    <w:rsid w:val="00E95E55"/>
    <w:rsid w:val="00E95EE8"/>
    <w:rsid w:val="00E966AB"/>
    <w:rsid w:val="00E97AF1"/>
    <w:rsid w:val="00EA037B"/>
    <w:rsid w:val="00EA20AE"/>
    <w:rsid w:val="00EA3364"/>
    <w:rsid w:val="00EA44A1"/>
    <w:rsid w:val="00EA4BCF"/>
    <w:rsid w:val="00EA4DF5"/>
    <w:rsid w:val="00EA5377"/>
    <w:rsid w:val="00EA7F97"/>
    <w:rsid w:val="00EB04DE"/>
    <w:rsid w:val="00EB2434"/>
    <w:rsid w:val="00EB378C"/>
    <w:rsid w:val="00EB6C86"/>
    <w:rsid w:val="00EB7403"/>
    <w:rsid w:val="00EB7AA8"/>
    <w:rsid w:val="00EC04FD"/>
    <w:rsid w:val="00EC0AAB"/>
    <w:rsid w:val="00EC20E2"/>
    <w:rsid w:val="00EC20F4"/>
    <w:rsid w:val="00EC44D1"/>
    <w:rsid w:val="00EC4C6E"/>
    <w:rsid w:val="00EC5626"/>
    <w:rsid w:val="00EC696D"/>
    <w:rsid w:val="00EC7EA1"/>
    <w:rsid w:val="00ED1FAB"/>
    <w:rsid w:val="00ED23EE"/>
    <w:rsid w:val="00ED2FD4"/>
    <w:rsid w:val="00ED31CB"/>
    <w:rsid w:val="00ED361E"/>
    <w:rsid w:val="00ED4C24"/>
    <w:rsid w:val="00ED5167"/>
    <w:rsid w:val="00ED5514"/>
    <w:rsid w:val="00ED595A"/>
    <w:rsid w:val="00ED715C"/>
    <w:rsid w:val="00ED7AAA"/>
    <w:rsid w:val="00ED7DA4"/>
    <w:rsid w:val="00EE0FDB"/>
    <w:rsid w:val="00EE12C1"/>
    <w:rsid w:val="00EE155E"/>
    <w:rsid w:val="00EE1E5E"/>
    <w:rsid w:val="00EE3516"/>
    <w:rsid w:val="00EE3A0F"/>
    <w:rsid w:val="00EE3CC4"/>
    <w:rsid w:val="00EE432D"/>
    <w:rsid w:val="00EE5114"/>
    <w:rsid w:val="00EE6A08"/>
    <w:rsid w:val="00EE764B"/>
    <w:rsid w:val="00EE79E2"/>
    <w:rsid w:val="00EE7BEE"/>
    <w:rsid w:val="00EF06CE"/>
    <w:rsid w:val="00EF07FD"/>
    <w:rsid w:val="00EF1286"/>
    <w:rsid w:val="00EF3097"/>
    <w:rsid w:val="00EF3295"/>
    <w:rsid w:val="00EF78D0"/>
    <w:rsid w:val="00EF7B28"/>
    <w:rsid w:val="00F002E6"/>
    <w:rsid w:val="00F02A81"/>
    <w:rsid w:val="00F05A32"/>
    <w:rsid w:val="00F06A83"/>
    <w:rsid w:val="00F07150"/>
    <w:rsid w:val="00F10769"/>
    <w:rsid w:val="00F10DC4"/>
    <w:rsid w:val="00F118D6"/>
    <w:rsid w:val="00F11DEE"/>
    <w:rsid w:val="00F14B99"/>
    <w:rsid w:val="00F15A6D"/>
    <w:rsid w:val="00F17AB7"/>
    <w:rsid w:val="00F216A6"/>
    <w:rsid w:val="00F21FD9"/>
    <w:rsid w:val="00F2335B"/>
    <w:rsid w:val="00F24113"/>
    <w:rsid w:val="00F2701B"/>
    <w:rsid w:val="00F270C2"/>
    <w:rsid w:val="00F27148"/>
    <w:rsid w:val="00F277DE"/>
    <w:rsid w:val="00F330F8"/>
    <w:rsid w:val="00F3369E"/>
    <w:rsid w:val="00F34636"/>
    <w:rsid w:val="00F357AB"/>
    <w:rsid w:val="00F35870"/>
    <w:rsid w:val="00F359F1"/>
    <w:rsid w:val="00F36202"/>
    <w:rsid w:val="00F36B9A"/>
    <w:rsid w:val="00F376B2"/>
    <w:rsid w:val="00F40832"/>
    <w:rsid w:val="00F4106B"/>
    <w:rsid w:val="00F42753"/>
    <w:rsid w:val="00F434B6"/>
    <w:rsid w:val="00F43588"/>
    <w:rsid w:val="00F43C3B"/>
    <w:rsid w:val="00F441B1"/>
    <w:rsid w:val="00F46277"/>
    <w:rsid w:val="00F463C6"/>
    <w:rsid w:val="00F46877"/>
    <w:rsid w:val="00F47B1A"/>
    <w:rsid w:val="00F47F30"/>
    <w:rsid w:val="00F50676"/>
    <w:rsid w:val="00F52CAA"/>
    <w:rsid w:val="00F534E8"/>
    <w:rsid w:val="00F53904"/>
    <w:rsid w:val="00F5489B"/>
    <w:rsid w:val="00F54A16"/>
    <w:rsid w:val="00F56FD6"/>
    <w:rsid w:val="00F57F81"/>
    <w:rsid w:val="00F6038A"/>
    <w:rsid w:val="00F61832"/>
    <w:rsid w:val="00F62562"/>
    <w:rsid w:val="00F628B1"/>
    <w:rsid w:val="00F62ED2"/>
    <w:rsid w:val="00F64195"/>
    <w:rsid w:val="00F64E5D"/>
    <w:rsid w:val="00F711B8"/>
    <w:rsid w:val="00F727B8"/>
    <w:rsid w:val="00F74608"/>
    <w:rsid w:val="00F748A2"/>
    <w:rsid w:val="00F77271"/>
    <w:rsid w:val="00F81516"/>
    <w:rsid w:val="00F83912"/>
    <w:rsid w:val="00F840E9"/>
    <w:rsid w:val="00F843A7"/>
    <w:rsid w:val="00F8732F"/>
    <w:rsid w:val="00F915D6"/>
    <w:rsid w:val="00F95B67"/>
    <w:rsid w:val="00F96A53"/>
    <w:rsid w:val="00F97389"/>
    <w:rsid w:val="00F97407"/>
    <w:rsid w:val="00F97624"/>
    <w:rsid w:val="00FA0992"/>
    <w:rsid w:val="00FA110E"/>
    <w:rsid w:val="00FA1752"/>
    <w:rsid w:val="00FA1DA8"/>
    <w:rsid w:val="00FA25C6"/>
    <w:rsid w:val="00FA4239"/>
    <w:rsid w:val="00FB257D"/>
    <w:rsid w:val="00FB29AC"/>
    <w:rsid w:val="00FB4D16"/>
    <w:rsid w:val="00FB524F"/>
    <w:rsid w:val="00FB5915"/>
    <w:rsid w:val="00FB60C7"/>
    <w:rsid w:val="00FB71F6"/>
    <w:rsid w:val="00FC0025"/>
    <w:rsid w:val="00FC0D89"/>
    <w:rsid w:val="00FC1977"/>
    <w:rsid w:val="00FC26AB"/>
    <w:rsid w:val="00FC4C47"/>
    <w:rsid w:val="00FC55D0"/>
    <w:rsid w:val="00FC655C"/>
    <w:rsid w:val="00FC6966"/>
    <w:rsid w:val="00FC77C0"/>
    <w:rsid w:val="00FD156A"/>
    <w:rsid w:val="00FD1917"/>
    <w:rsid w:val="00FD1C88"/>
    <w:rsid w:val="00FD1CD7"/>
    <w:rsid w:val="00FD2FA5"/>
    <w:rsid w:val="00FD3877"/>
    <w:rsid w:val="00FE13A4"/>
    <w:rsid w:val="00FE1EDA"/>
    <w:rsid w:val="00FE426E"/>
    <w:rsid w:val="00FE487F"/>
    <w:rsid w:val="00FE52B6"/>
    <w:rsid w:val="00FE5ADB"/>
    <w:rsid w:val="00FE60D0"/>
    <w:rsid w:val="00FE61D2"/>
    <w:rsid w:val="00FE63FD"/>
    <w:rsid w:val="00FE7B12"/>
    <w:rsid w:val="00FF0604"/>
    <w:rsid w:val="00FF12D8"/>
    <w:rsid w:val="00FF18ED"/>
    <w:rsid w:val="00FF27F5"/>
    <w:rsid w:val="00FF2B96"/>
    <w:rsid w:val="00FF5831"/>
    <w:rsid w:val="00FF63F9"/>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0BE5E-A1AE-4B17-8685-8108EC01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DE" w:eastAsia="en-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GB"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aliases w:val=" תו"/>
    <w:basedOn w:val="Standard"/>
    <w:link w:val="TitelZchn"/>
    <w:qFormat/>
    <w:pPr>
      <w:jc w:val="center"/>
    </w:pPr>
    <w:rPr>
      <w:b/>
      <w:bCs/>
    </w:rPr>
  </w:style>
  <w:style w:type="paragraph" w:styleId="Textkrper-Zeileneinzug">
    <w:name w:val="Body Text Indent"/>
    <w:basedOn w:val="Standard"/>
    <w:pPr>
      <w:spacing w:line="480" w:lineRule="auto"/>
      <w:ind w:firstLine="397"/>
      <w:jc w:val="both"/>
    </w:pPr>
  </w:style>
  <w:style w:type="paragraph" w:styleId="Endnotentext">
    <w:name w:val="endnote text"/>
    <w:basedOn w:val="Standard"/>
    <w:semiHidden/>
    <w:rPr>
      <w:sz w:val="20"/>
      <w:szCs w:val="20"/>
    </w:rPr>
  </w:style>
  <w:style w:type="character" w:styleId="Endnotenzeichen">
    <w:name w:val="endnote reference"/>
    <w:semiHidden/>
    <w:rPr>
      <w:vertAlign w:val="superscript"/>
    </w:rPr>
  </w:style>
  <w:style w:type="paragraph" w:styleId="Textkrper2">
    <w:name w:val="Body Text 2"/>
    <w:basedOn w:val="Standard"/>
    <w:pPr>
      <w:spacing w:line="480" w:lineRule="auto"/>
      <w:jc w:val="both"/>
    </w:pPr>
    <w:rPr>
      <w:szCs w:val="20"/>
      <w:lang w:eastAsia="zh-CN" w:bidi="he-IL"/>
    </w:rPr>
  </w:style>
  <w:style w:type="paragraph" w:customStyle="1" w:styleId="Vorgabetext">
    <w:name w:val="Vorgabetext"/>
    <w:basedOn w:val="Standard"/>
    <w:pPr>
      <w:autoSpaceDE w:val="0"/>
      <w:autoSpaceDN w:val="0"/>
      <w:adjustRightInd w:val="0"/>
    </w:pPr>
    <w:rPr>
      <w:szCs w:val="20"/>
      <w:lang w:val="en-US" w:eastAsia="zh-CN" w:bidi="he-IL"/>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Untertitel">
    <w:name w:val="Subtitle"/>
    <w:basedOn w:val="Standard"/>
    <w:qFormat/>
    <w:pPr>
      <w:spacing w:line="480" w:lineRule="auto"/>
      <w:jc w:val="center"/>
    </w:pPr>
    <w:rPr>
      <w:b/>
      <w:bCs/>
    </w:rPr>
  </w:style>
  <w:style w:type="paragraph" w:styleId="Textkrper-Einzug2">
    <w:name w:val="Body Text Indent 2"/>
    <w:basedOn w:val="Standard"/>
    <w:pPr>
      <w:spacing w:line="480" w:lineRule="auto"/>
      <w:ind w:left="397"/>
      <w:jc w:val="both"/>
    </w:pPr>
    <w:rPr>
      <w:sz w:val="22"/>
      <w:szCs w:val="20"/>
      <w:lang w:eastAsia="en-US" w:bidi="he-IL"/>
    </w:rPr>
  </w:style>
  <w:style w:type="paragraph" w:styleId="Textkrper-Einzug3">
    <w:name w:val="Body Text Indent 3"/>
    <w:basedOn w:val="Standard"/>
    <w:pPr>
      <w:spacing w:line="480" w:lineRule="auto"/>
      <w:ind w:left="390"/>
    </w:pPr>
    <w:rPr>
      <w:sz w:val="20"/>
      <w:szCs w:val="20"/>
      <w:lang w:eastAsia="en-US" w:bidi="he-IL"/>
    </w:rPr>
  </w:style>
  <w:style w:type="character" w:styleId="Funotenzeichen">
    <w:name w:val="footnote reference"/>
    <w:semiHidden/>
    <w:rPr>
      <w:vertAlign w:val="superscript"/>
    </w:rPr>
  </w:style>
  <w:style w:type="paragraph" w:styleId="Funotentext">
    <w:name w:val="footnote text"/>
    <w:basedOn w:val="Standard"/>
    <w:semiHidden/>
    <w:rPr>
      <w:sz w:val="20"/>
      <w:szCs w:val="20"/>
    </w:rPr>
  </w:style>
  <w:style w:type="character" w:styleId="Hyperlink">
    <w:name w:val="Hyperlink"/>
    <w:rPr>
      <w:color w:val="0000FF"/>
      <w:u w:val="single"/>
    </w:rPr>
  </w:style>
  <w:style w:type="paragraph" w:styleId="Textkrper">
    <w:name w:val="Body Text"/>
    <w:basedOn w:val="Standard"/>
    <w:rsid w:val="009974DB"/>
    <w:pPr>
      <w:spacing w:after="120"/>
    </w:pPr>
  </w:style>
  <w:style w:type="character" w:customStyle="1" w:styleId="TitelZchn">
    <w:name w:val="Titel Zchn"/>
    <w:aliases w:val=" תו Zchn"/>
    <w:link w:val="Titel"/>
    <w:rsid w:val="001A0926"/>
    <w:rPr>
      <w:b/>
      <w:bCs/>
      <w:sz w:val="24"/>
      <w:szCs w:val="24"/>
      <w:lang w:val="en-GB"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49731">
      <w:bodyDiv w:val="1"/>
      <w:marLeft w:val="0"/>
      <w:marRight w:val="0"/>
      <w:marTop w:val="0"/>
      <w:marBottom w:val="0"/>
      <w:divBdr>
        <w:top w:val="none" w:sz="0" w:space="0" w:color="auto"/>
        <w:left w:val="none" w:sz="0" w:space="0" w:color="auto"/>
        <w:bottom w:val="none" w:sz="0" w:space="0" w:color="auto"/>
        <w:right w:val="none" w:sz="0" w:space="0" w:color="auto"/>
      </w:divBdr>
    </w:div>
    <w:div w:id="1676494008">
      <w:bodyDiv w:val="1"/>
      <w:marLeft w:val="0"/>
      <w:marRight w:val="0"/>
      <w:marTop w:val="0"/>
      <w:marBottom w:val="0"/>
      <w:divBdr>
        <w:top w:val="none" w:sz="0" w:space="0" w:color="auto"/>
        <w:left w:val="none" w:sz="0" w:space="0" w:color="auto"/>
        <w:bottom w:val="none" w:sz="0" w:space="0" w:color="auto"/>
        <w:right w:val="none" w:sz="0" w:space="0" w:color="auto"/>
      </w:divBdr>
    </w:div>
    <w:div w:id="20177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8D64E-D4EB-4261-A085-2B8876C48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6937</Words>
  <Characters>39545</Characters>
  <Application>Microsoft Office Word</Application>
  <DocSecurity>0</DocSecurity>
  <Lines>329</Lines>
  <Paragraphs>92</Paragraphs>
  <ScaleCrop>false</ScaleCrop>
  <HeadingPairs>
    <vt:vector size="2" baseType="variant">
      <vt:variant>
        <vt:lpstr>Titel</vt:lpstr>
      </vt:variant>
      <vt:variant>
        <vt:i4>1</vt:i4>
      </vt:variant>
    </vt:vector>
  </HeadingPairs>
  <TitlesOfParts>
    <vt:vector size="1" baseType="lpstr">
      <vt:lpstr>Leibniz on Justice as a Common Concept: A Rejoinder to Patrick Riley</vt:lpstr>
    </vt:vector>
  </TitlesOfParts>
  <Company/>
  <LinksUpToDate>false</LinksUpToDate>
  <CharactersWithSpaces>46390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Leibniz on Justice as a Common Concept: A Rejoinder to Patrick Riley</dc:title>
  <dc:subject/>
  <dc:creator>Ein geschätzter Kunde</dc:creator>
  <cp:keywords/>
  <cp:lastModifiedBy>andreas blank</cp:lastModifiedBy>
  <cp:revision>2</cp:revision>
  <cp:lastPrinted>2012-07-05T10:35:00Z</cp:lastPrinted>
  <dcterms:created xsi:type="dcterms:W3CDTF">2022-07-06T17:00:00Z</dcterms:created>
  <dcterms:modified xsi:type="dcterms:W3CDTF">2022-07-06T17:00:00Z</dcterms:modified>
</cp:coreProperties>
</file>