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4D0D" w14:textId="142F3072" w:rsidR="00885C81" w:rsidRPr="00885C81" w:rsidRDefault="00885C81" w:rsidP="00885C81">
      <w:pPr>
        <w:pStyle w:val="Standard1"/>
        <w:spacing w:line="480" w:lineRule="auto"/>
        <w:rPr>
          <w:rFonts w:cs="Times New Roman"/>
          <w:b/>
          <w:i/>
        </w:rPr>
      </w:pPr>
      <w:r>
        <w:rPr>
          <w:rFonts w:cs="Times New Roman"/>
          <w:b/>
          <w:i/>
        </w:rPr>
        <w:t xml:space="preserve">Journal of the History of </w:t>
      </w:r>
      <w:r w:rsidRPr="00A629EE">
        <w:rPr>
          <w:rFonts w:cs="Times New Roman"/>
          <w:b/>
          <w:i/>
        </w:rPr>
        <w:t>Ideas</w:t>
      </w:r>
      <w:r w:rsidR="00A629EE" w:rsidRPr="00A629EE">
        <w:rPr>
          <w:rFonts w:cs="Times New Roman"/>
          <w:b/>
          <w:i/>
        </w:rPr>
        <w:t xml:space="preserve"> </w:t>
      </w:r>
      <w:r w:rsidR="00A629EE" w:rsidRPr="00A629EE">
        <w:rPr>
          <w:b/>
          <w:iCs/>
          <w:sz w:val="22"/>
          <w:szCs w:val="22"/>
        </w:rPr>
        <w:t>80 (2019): 183–202.</w:t>
      </w:r>
    </w:p>
    <w:p w14:paraId="5F416F2B" w14:textId="77777777" w:rsidR="00885C81" w:rsidRDefault="00885C81" w:rsidP="00415222">
      <w:pPr>
        <w:pStyle w:val="Standard1"/>
        <w:spacing w:line="480" w:lineRule="auto"/>
        <w:jc w:val="center"/>
        <w:rPr>
          <w:rFonts w:cs="Times New Roman"/>
          <w:i/>
        </w:rPr>
      </w:pPr>
    </w:p>
    <w:p w14:paraId="5461D2DF" w14:textId="7A4FB78C" w:rsidR="008E3896" w:rsidRPr="00415222" w:rsidRDefault="0078143E" w:rsidP="00415222">
      <w:pPr>
        <w:pStyle w:val="Standard1"/>
        <w:spacing w:line="480" w:lineRule="auto"/>
        <w:jc w:val="center"/>
        <w:rPr>
          <w:rFonts w:cs="Times New Roman"/>
          <w:i/>
        </w:rPr>
      </w:pPr>
      <w:r w:rsidRPr="00415222">
        <w:rPr>
          <w:rFonts w:cs="Times New Roman"/>
          <w:i/>
        </w:rPr>
        <w:t>Value</w:t>
      </w:r>
      <w:r w:rsidR="003263ED" w:rsidRPr="00415222">
        <w:rPr>
          <w:rFonts w:cs="Times New Roman"/>
          <w:i/>
        </w:rPr>
        <w:t>, Justice</w:t>
      </w:r>
      <w:r w:rsidR="00DA7EF6">
        <w:rPr>
          <w:rFonts w:cs="Times New Roman"/>
          <w:i/>
        </w:rPr>
        <w:t>,</w:t>
      </w:r>
      <w:r w:rsidRPr="00415222">
        <w:rPr>
          <w:rFonts w:cs="Times New Roman"/>
          <w:i/>
        </w:rPr>
        <w:t xml:space="preserve"> and Presumption</w:t>
      </w:r>
      <w:r w:rsidR="009C3A88" w:rsidRPr="00415222">
        <w:rPr>
          <w:rFonts w:cs="Times New Roman"/>
          <w:i/>
        </w:rPr>
        <w:t xml:space="preserve"> in the Late Scholastic</w:t>
      </w:r>
      <w:r w:rsidR="009E1745" w:rsidRPr="00415222">
        <w:rPr>
          <w:rFonts w:cs="Times New Roman"/>
          <w:i/>
        </w:rPr>
        <w:t xml:space="preserve"> Controversy over Price Regulation</w:t>
      </w:r>
    </w:p>
    <w:p w14:paraId="3E1F157A" w14:textId="77777777" w:rsidR="00415222" w:rsidRDefault="00415222" w:rsidP="00415222">
      <w:pPr>
        <w:pStyle w:val="Standard1"/>
        <w:spacing w:line="480" w:lineRule="auto"/>
        <w:jc w:val="center"/>
        <w:rPr>
          <w:rFonts w:cs="Times New Roman"/>
        </w:rPr>
      </w:pPr>
    </w:p>
    <w:p w14:paraId="5ED11358" w14:textId="183ED932" w:rsidR="001E47B7" w:rsidRPr="00415222" w:rsidRDefault="001E47B7" w:rsidP="00415222">
      <w:pPr>
        <w:pStyle w:val="Standard1"/>
        <w:spacing w:line="480" w:lineRule="auto"/>
        <w:jc w:val="center"/>
        <w:rPr>
          <w:rFonts w:cs="Times New Roman"/>
        </w:rPr>
      </w:pPr>
      <w:r w:rsidRPr="00415222">
        <w:rPr>
          <w:rFonts w:cs="Times New Roman"/>
        </w:rPr>
        <w:t>Andreas Blank</w:t>
      </w:r>
    </w:p>
    <w:p w14:paraId="4C50F96C" w14:textId="77777777" w:rsidR="001E47B7" w:rsidRPr="00415222" w:rsidRDefault="001E47B7" w:rsidP="00A32A3B">
      <w:pPr>
        <w:pStyle w:val="Standard1"/>
        <w:spacing w:line="480" w:lineRule="auto"/>
        <w:rPr>
          <w:rFonts w:cs="Times New Roman"/>
        </w:rPr>
      </w:pPr>
    </w:p>
    <w:p w14:paraId="00CF28A8" w14:textId="23B618AA" w:rsidR="008E3896" w:rsidRPr="00415222" w:rsidRDefault="00415222" w:rsidP="00415222">
      <w:pPr>
        <w:pStyle w:val="Standard1"/>
        <w:spacing w:line="480" w:lineRule="auto"/>
        <w:jc w:val="center"/>
        <w:rPr>
          <w:rFonts w:cs="Times New Roman"/>
        </w:rPr>
      </w:pPr>
      <w:r w:rsidRPr="00415222">
        <w:rPr>
          <w:rFonts w:cs="Times New Roman"/>
        </w:rPr>
        <w:t>INTRODUCTION</w:t>
      </w:r>
    </w:p>
    <w:p w14:paraId="26575567" w14:textId="77777777" w:rsidR="008E3896" w:rsidRPr="00415222" w:rsidRDefault="008E3896" w:rsidP="00A32A3B">
      <w:pPr>
        <w:pStyle w:val="Standard1"/>
        <w:spacing w:line="480" w:lineRule="auto"/>
        <w:rPr>
          <w:rFonts w:cs="Times New Roman"/>
        </w:rPr>
      </w:pPr>
    </w:p>
    <w:p w14:paraId="7F7415E0" w14:textId="7F1B3262" w:rsidR="0003530B" w:rsidRPr="002F35FA" w:rsidRDefault="009E1745" w:rsidP="00EF18BC">
      <w:pPr>
        <w:pStyle w:val="Standard1"/>
        <w:spacing w:line="480" w:lineRule="auto"/>
        <w:rPr>
          <w:rFonts w:cs="Times New Roman"/>
        </w:rPr>
      </w:pPr>
      <w:r w:rsidRPr="002F35FA">
        <w:rPr>
          <w:rFonts w:cs="Times New Roman"/>
        </w:rPr>
        <w:t>The emergence of modern economic thought is closely connected with late scholastic debates about the role of markets in determining just prices.</w:t>
      </w:r>
      <w:r w:rsidR="006672CC" w:rsidRPr="002F35FA">
        <w:rPr>
          <w:rFonts w:cs="Times New Roman"/>
        </w:rPr>
        <w:t xml:space="preserve"> Among commentators, there is a consensus that</w:t>
      </w:r>
      <w:r w:rsidRPr="002F35FA">
        <w:rPr>
          <w:rFonts w:cs="Times New Roman"/>
        </w:rPr>
        <w:t xml:space="preserve"> think</w:t>
      </w:r>
      <w:r w:rsidR="00CB7C6C" w:rsidRPr="002F35FA">
        <w:rPr>
          <w:rFonts w:cs="Times New Roman"/>
        </w:rPr>
        <w:t>ers such as Luis de Molina</w:t>
      </w:r>
      <w:r w:rsidR="00AE0A21" w:rsidRPr="002F35FA">
        <w:rPr>
          <w:rFonts w:cs="Times New Roman"/>
        </w:rPr>
        <w:t xml:space="preserve"> (153</w:t>
      </w:r>
      <w:r w:rsidR="007C2E1A" w:rsidRPr="002F35FA">
        <w:rPr>
          <w:rFonts w:cs="Times New Roman"/>
        </w:rPr>
        <w:t>5–</w:t>
      </w:r>
      <w:r w:rsidR="00AE0A21" w:rsidRPr="002F35FA">
        <w:rPr>
          <w:rFonts w:cs="Times New Roman"/>
        </w:rPr>
        <w:t>1600)</w:t>
      </w:r>
      <w:r w:rsidR="0035396A" w:rsidRPr="002F35FA">
        <w:rPr>
          <w:rFonts w:cs="Times New Roman"/>
        </w:rPr>
        <w:t>,</w:t>
      </w:r>
      <w:r w:rsidR="00CB7C6C" w:rsidRPr="002F35FA">
        <w:rPr>
          <w:rFonts w:cs="Times New Roman"/>
        </w:rPr>
        <w:t xml:space="preserve"> Leonard </w:t>
      </w:r>
      <w:proofErr w:type="spellStart"/>
      <w:r w:rsidR="00CB7C6C" w:rsidRPr="002F35FA">
        <w:rPr>
          <w:rFonts w:cs="Times New Roman"/>
        </w:rPr>
        <w:t>Lessius</w:t>
      </w:r>
      <w:proofErr w:type="spellEnd"/>
      <w:r w:rsidR="00CB7C6C" w:rsidRPr="002F35FA">
        <w:rPr>
          <w:rFonts w:cs="Times New Roman"/>
        </w:rPr>
        <w:t xml:space="preserve"> (155</w:t>
      </w:r>
      <w:r w:rsidR="007C2E1A" w:rsidRPr="002F35FA">
        <w:rPr>
          <w:rFonts w:cs="Times New Roman"/>
        </w:rPr>
        <w:t>4–</w:t>
      </w:r>
      <w:r w:rsidR="00CB7C6C" w:rsidRPr="002F35FA">
        <w:rPr>
          <w:rFonts w:cs="Times New Roman"/>
        </w:rPr>
        <w:t>1623)</w:t>
      </w:r>
      <w:r w:rsidR="00DA7EF6" w:rsidRPr="002F35FA">
        <w:rPr>
          <w:rFonts w:cs="Times New Roman"/>
        </w:rPr>
        <w:t>,</w:t>
      </w:r>
      <w:r w:rsidR="00CB7C6C" w:rsidRPr="002F35FA">
        <w:rPr>
          <w:rFonts w:cs="Times New Roman"/>
        </w:rPr>
        <w:t xml:space="preserve"> and Juan de Lugo (158</w:t>
      </w:r>
      <w:r w:rsidR="007C2E1A" w:rsidRPr="002F35FA">
        <w:rPr>
          <w:rFonts w:cs="Times New Roman"/>
        </w:rPr>
        <w:t>3–</w:t>
      </w:r>
      <w:r w:rsidR="00CB7C6C" w:rsidRPr="002F35FA">
        <w:rPr>
          <w:rFonts w:cs="Times New Roman"/>
        </w:rPr>
        <w:t>1660)</w:t>
      </w:r>
      <w:r w:rsidR="006672CC" w:rsidRPr="002F35FA">
        <w:rPr>
          <w:rFonts w:cs="Times New Roman"/>
        </w:rPr>
        <w:t xml:space="preserve"> did not reduce the just price to the actual market price. Rather, they took into account the role of power structures that they regarded to be illegitimate. </w:t>
      </w:r>
      <w:r w:rsidR="005F4FEF" w:rsidRPr="002F35FA">
        <w:rPr>
          <w:rFonts w:cs="Times New Roman"/>
        </w:rPr>
        <w:t>Thus</w:t>
      </w:r>
      <w:r w:rsidR="00B051B9" w:rsidRPr="002F35FA">
        <w:rPr>
          <w:rFonts w:cs="Times New Roman"/>
        </w:rPr>
        <w:t xml:space="preserve">, as they understood it, the just price falls </w:t>
      </w:r>
      <w:r w:rsidRPr="002F35FA">
        <w:rPr>
          <w:rFonts w:cs="Times New Roman"/>
        </w:rPr>
        <w:t>within a certain range around the common market price (or what the seller and the buyer take to be the common market p</w:t>
      </w:r>
      <w:r w:rsidR="00CB7C6C" w:rsidRPr="002F35FA">
        <w:rPr>
          <w:rFonts w:cs="Times New Roman"/>
        </w:rPr>
        <w:t>rice) achieved without</w:t>
      </w:r>
      <w:r w:rsidRPr="002F35FA">
        <w:rPr>
          <w:rFonts w:cs="Times New Roman"/>
        </w:rPr>
        <w:t xml:space="preserve"> coercion, fraud</w:t>
      </w:r>
      <w:r w:rsidR="00DA7EF6" w:rsidRPr="002F35FA">
        <w:rPr>
          <w:rFonts w:cs="Times New Roman"/>
        </w:rPr>
        <w:t>,</w:t>
      </w:r>
      <w:r w:rsidRPr="002F35FA">
        <w:rPr>
          <w:rFonts w:cs="Times New Roman"/>
        </w:rPr>
        <w:t xml:space="preserve"> </w:t>
      </w:r>
      <w:r w:rsidR="00EF18BC" w:rsidRPr="002F35FA">
        <w:rPr>
          <w:rFonts w:cs="Times New Roman"/>
        </w:rPr>
        <w:t xml:space="preserve">or </w:t>
      </w:r>
      <w:r w:rsidRPr="002F35FA">
        <w:rPr>
          <w:rFonts w:cs="Times New Roman"/>
        </w:rPr>
        <w:t>deception, and in the absence of market manipulation</w:t>
      </w:r>
      <w:r w:rsidR="006672CC" w:rsidRPr="002F35FA">
        <w:rPr>
          <w:rFonts w:cs="Times New Roman"/>
        </w:rPr>
        <w:t>s</w:t>
      </w:r>
      <w:r w:rsidRPr="002F35FA">
        <w:rPr>
          <w:rFonts w:cs="Times New Roman"/>
        </w:rPr>
        <w:t xml:space="preserve"> such as collusion, the formation of monopolies, and artificially induced shortages in supply.</w:t>
      </w:r>
      <w:r w:rsidR="0003530B" w:rsidRPr="002F35FA">
        <w:rPr>
          <w:rFonts w:cs="Times New Roman"/>
          <w:vertAlign w:val="superscript"/>
        </w:rPr>
        <w:footnoteReference w:id="1"/>
      </w:r>
      <w:r w:rsidR="0003530B" w:rsidRPr="002F35FA">
        <w:rPr>
          <w:rFonts w:cs="Times New Roman"/>
        </w:rPr>
        <w:t xml:space="preserve"> </w:t>
      </w:r>
      <w:r w:rsidR="00B051B9" w:rsidRPr="002F35FA">
        <w:rPr>
          <w:rFonts w:cs="Times New Roman"/>
        </w:rPr>
        <w:lastRenderedPageBreak/>
        <w:t xml:space="preserve">Late </w:t>
      </w:r>
      <w:r w:rsidR="0003530B" w:rsidRPr="002F35FA">
        <w:rPr>
          <w:rFonts w:cs="Times New Roman"/>
        </w:rPr>
        <w:t>scholastic critique</w:t>
      </w:r>
      <w:r w:rsidR="00B051B9" w:rsidRPr="002F35FA">
        <w:rPr>
          <w:rFonts w:cs="Times New Roman"/>
        </w:rPr>
        <w:t>s</w:t>
      </w:r>
      <w:r w:rsidR="0003530B" w:rsidRPr="002F35FA">
        <w:rPr>
          <w:rFonts w:cs="Times New Roman"/>
        </w:rPr>
        <w:t xml:space="preserve"> of illegitimate economic power structures </w:t>
      </w:r>
      <w:r w:rsidR="00B051B9" w:rsidRPr="002F35FA">
        <w:rPr>
          <w:rFonts w:cs="Times New Roman"/>
        </w:rPr>
        <w:t xml:space="preserve">also included </w:t>
      </w:r>
      <w:r w:rsidR="0003530B" w:rsidRPr="002F35FA">
        <w:rPr>
          <w:rFonts w:cs="Times New Roman"/>
        </w:rPr>
        <w:t xml:space="preserve">wage legislation (and more generally, social policy). As Odd </w:t>
      </w:r>
      <w:proofErr w:type="spellStart"/>
      <w:r w:rsidR="0003530B" w:rsidRPr="002F35FA">
        <w:rPr>
          <w:rFonts w:cs="Times New Roman"/>
        </w:rPr>
        <w:t>Langholm</w:t>
      </w:r>
      <w:proofErr w:type="spellEnd"/>
      <w:r w:rsidR="0003530B" w:rsidRPr="002F35FA">
        <w:rPr>
          <w:rFonts w:cs="Times New Roman"/>
        </w:rPr>
        <w:t xml:space="preserve"> and Richard </w:t>
      </w:r>
      <w:proofErr w:type="spellStart"/>
      <w:r w:rsidR="0003530B" w:rsidRPr="002F35FA">
        <w:rPr>
          <w:rFonts w:cs="Times New Roman"/>
        </w:rPr>
        <w:t>Sturn</w:t>
      </w:r>
      <w:proofErr w:type="spellEnd"/>
      <w:r w:rsidR="0003530B" w:rsidRPr="002F35FA">
        <w:rPr>
          <w:rFonts w:cs="Times New Roman"/>
        </w:rPr>
        <w:t xml:space="preserve"> have brought to light, in this field thinkers such as Francisco de Vitoria (148</w:t>
      </w:r>
      <w:r w:rsidR="007C2E1A" w:rsidRPr="002F35FA">
        <w:rPr>
          <w:rFonts w:cs="Times New Roman"/>
        </w:rPr>
        <w:t>3–</w:t>
      </w:r>
      <w:r w:rsidR="0003530B" w:rsidRPr="002F35FA">
        <w:rPr>
          <w:rFonts w:cs="Times New Roman"/>
        </w:rPr>
        <w:t xml:space="preserve">1546) </w:t>
      </w:r>
      <w:r w:rsidR="00B051B9" w:rsidRPr="002F35FA">
        <w:rPr>
          <w:rFonts w:cs="Times New Roman"/>
        </w:rPr>
        <w:t>saw</w:t>
      </w:r>
      <w:r w:rsidR="0003530B" w:rsidRPr="002F35FA">
        <w:rPr>
          <w:rFonts w:cs="Times New Roman"/>
        </w:rPr>
        <w:t xml:space="preserve"> a close connection between commutative justice (as in the exchange relations between employer and employee) and the distributive outcomes of such relations.</w:t>
      </w:r>
      <w:r w:rsidR="0003530B" w:rsidRPr="002F35FA">
        <w:rPr>
          <w:rStyle w:val="Funotenzeichen"/>
          <w:rFonts w:cs="Times New Roman"/>
        </w:rPr>
        <w:footnoteReference w:id="2"/>
      </w:r>
      <w:r w:rsidR="007C2E1A" w:rsidRPr="002F35FA">
        <w:rPr>
          <w:rFonts w:cs="Times New Roman"/>
        </w:rPr>
        <w:t xml:space="preserve"> </w:t>
      </w:r>
      <w:r w:rsidR="00B051B9" w:rsidRPr="002F35FA">
        <w:rPr>
          <w:rFonts w:cs="Times New Roman"/>
        </w:rPr>
        <w:t>C</w:t>
      </w:r>
      <w:r w:rsidR="0003530B" w:rsidRPr="002F35FA">
        <w:rPr>
          <w:rFonts w:cs="Times New Roman"/>
        </w:rPr>
        <w:t xml:space="preserve">onsiderations of power relations </w:t>
      </w:r>
      <w:r w:rsidR="00B051B9" w:rsidRPr="002F35FA">
        <w:rPr>
          <w:rFonts w:cs="Times New Roman"/>
        </w:rPr>
        <w:t xml:space="preserve">also </w:t>
      </w:r>
      <w:r w:rsidR="0003530B" w:rsidRPr="002F35FA">
        <w:rPr>
          <w:rFonts w:cs="Times New Roman"/>
        </w:rPr>
        <w:t>play</w:t>
      </w:r>
      <w:r w:rsidR="00B051B9" w:rsidRPr="002F35FA">
        <w:rPr>
          <w:rFonts w:cs="Times New Roman"/>
        </w:rPr>
        <w:t>ed</w:t>
      </w:r>
      <w:r w:rsidR="002A47C4" w:rsidRPr="002F35FA">
        <w:rPr>
          <w:rFonts w:cs="Times New Roman"/>
        </w:rPr>
        <w:t xml:space="preserve"> a</w:t>
      </w:r>
      <w:r w:rsidR="0041249D" w:rsidRPr="002F35FA">
        <w:rPr>
          <w:rFonts w:cs="Times New Roman"/>
        </w:rPr>
        <w:t xml:space="preserve"> role</w:t>
      </w:r>
      <w:r w:rsidR="0003530B" w:rsidRPr="002F35FA">
        <w:rPr>
          <w:rFonts w:cs="Times New Roman"/>
        </w:rPr>
        <w:t xml:space="preserve"> </w:t>
      </w:r>
      <w:r w:rsidR="0041249D" w:rsidRPr="002F35FA">
        <w:rPr>
          <w:rFonts w:cs="Times New Roman"/>
        </w:rPr>
        <w:t xml:space="preserve">in </w:t>
      </w:r>
      <w:r w:rsidR="0003530B" w:rsidRPr="002F35FA">
        <w:rPr>
          <w:rFonts w:cs="Times New Roman"/>
        </w:rPr>
        <w:t>the late scholastic controversy over regulated prices</w:t>
      </w:r>
      <w:r w:rsidR="00B051B9" w:rsidRPr="002F35FA">
        <w:rPr>
          <w:rFonts w:cs="Times New Roman"/>
        </w:rPr>
        <w:t xml:space="preserve">; </w:t>
      </w:r>
      <w:r w:rsidR="0003530B" w:rsidRPr="002F35FA">
        <w:rPr>
          <w:rFonts w:cs="Times New Roman"/>
        </w:rPr>
        <w:t xml:space="preserve">in contrast to the issues of just market prices and just wages, </w:t>
      </w:r>
      <w:r w:rsidR="00B051B9" w:rsidRPr="002F35FA">
        <w:rPr>
          <w:rFonts w:cs="Times New Roman"/>
        </w:rPr>
        <w:t>modern scholarship here has taken only superficial notice</w:t>
      </w:r>
      <w:r w:rsidR="0003530B" w:rsidRPr="002F35FA">
        <w:rPr>
          <w:rFonts w:cs="Times New Roman"/>
        </w:rPr>
        <w:t>.</w:t>
      </w:r>
      <w:r w:rsidR="0003530B" w:rsidRPr="002F35FA">
        <w:rPr>
          <w:rFonts w:cs="Times New Roman"/>
          <w:vertAlign w:val="superscript"/>
        </w:rPr>
        <w:footnoteReference w:id="3"/>
      </w:r>
      <w:r w:rsidR="0003530B" w:rsidRPr="002F35FA">
        <w:rPr>
          <w:rFonts w:cs="Times New Roman"/>
        </w:rPr>
        <w:t xml:space="preserve"> In </w:t>
      </w:r>
      <w:r w:rsidR="00B051B9" w:rsidRPr="002F35FA">
        <w:rPr>
          <w:rFonts w:cs="Times New Roman"/>
        </w:rPr>
        <w:t>fact, during</w:t>
      </w:r>
      <w:r w:rsidR="0003530B" w:rsidRPr="002F35FA">
        <w:rPr>
          <w:rFonts w:cs="Times New Roman"/>
        </w:rPr>
        <w:t xml:space="preserve"> </w:t>
      </w:r>
      <w:r w:rsidR="007646D3" w:rsidRPr="002F35FA">
        <w:rPr>
          <w:rFonts w:cs="Times New Roman"/>
        </w:rPr>
        <w:t xml:space="preserve">the </w:t>
      </w:r>
      <w:r w:rsidR="0003530B" w:rsidRPr="002F35FA">
        <w:rPr>
          <w:rFonts w:cs="Times New Roman"/>
        </w:rPr>
        <w:t>sixteenth and early seventeenth centuries</w:t>
      </w:r>
      <w:r w:rsidR="007646D3" w:rsidRPr="002F35FA">
        <w:rPr>
          <w:rFonts w:cs="Times New Roman"/>
        </w:rPr>
        <w:t>,</w:t>
      </w:r>
      <w:r w:rsidR="00B051B9" w:rsidRPr="002F35FA">
        <w:rPr>
          <w:rFonts w:cs="Times New Roman"/>
        </w:rPr>
        <w:t xml:space="preserve"> several scholars developed</w:t>
      </w:r>
      <w:r w:rsidR="0003530B" w:rsidRPr="002F35FA">
        <w:rPr>
          <w:rFonts w:cs="Times New Roman"/>
        </w:rPr>
        <w:t xml:space="preserve"> theories of price regulation in order to analyze the demands of justice in situations where markets cease to function—be it through natural conditions, wars</w:t>
      </w:r>
      <w:r w:rsidR="00DA7EF6" w:rsidRPr="002F35FA">
        <w:rPr>
          <w:rFonts w:cs="Times New Roman"/>
        </w:rPr>
        <w:t>,</w:t>
      </w:r>
      <w:r w:rsidR="0003530B" w:rsidRPr="002F35FA">
        <w:rPr>
          <w:rFonts w:cs="Times New Roman"/>
        </w:rPr>
        <w:t xml:space="preserve"> or artificially induced shortages in supply.</w:t>
      </w:r>
    </w:p>
    <w:p w14:paraId="777CD794" w14:textId="2AAEB6DB" w:rsidR="00605ED8" w:rsidRPr="002F35FA" w:rsidRDefault="0003530B" w:rsidP="009D38F5">
      <w:pPr>
        <w:pStyle w:val="Standard1"/>
        <w:spacing w:line="480" w:lineRule="auto"/>
        <w:ind w:firstLine="720"/>
        <w:rPr>
          <w:rFonts w:cs="Times New Roman"/>
        </w:rPr>
      </w:pPr>
      <w:r w:rsidRPr="002F35FA">
        <w:rPr>
          <w:rFonts w:cs="Times New Roman"/>
        </w:rPr>
        <w:t>This article will explore three interrelated aspects of the debates about price regulation among Spanish moralists such as Juan de Medina (149</w:t>
      </w:r>
      <w:r w:rsidR="007C2E1A" w:rsidRPr="002F35FA">
        <w:rPr>
          <w:rFonts w:cs="Times New Roman"/>
        </w:rPr>
        <w:t>0–</w:t>
      </w:r>
      <w:r w:rsidRPr="002F35FA">
        <w:rPr>
          <w:rFonts w:cs="Times New Roman"/>
        </w:rPr>
        <w:t xml:space="preserve">1546) and Luis de Molina, as well as </w:t>
      </w:r>
      <w:proofErr w:type="gramStart"/>
      <w:r w:rsidR="009C138E" w:rsidRPr="002F35FA">
        <w:rPr>
          <w:rFonts w:cs="Times New Roman"/>
        </w:rPr>
        <w:t>lesser known</w:t>
      </w:r>
      <w:proofErr w:type="gramEnd"/>
      <w:r w:rsidRPr="002F35FA">
        <w:rPr>
          <w:rFonts w:cs="Times New Roman"/>
        </w:rPr>
        <w:t xml:space="preserve"> thinkers such as Luis </w:t>
      </w:r>
      <w:proofErr w:type="spellStart"/>
      <w:r w:rsidRPr="002F35FA">
        <w:rPr>
          <w:rFonts w:cs="Times New Roman"/>
        </w:rPr>
        <w:t>Mexía</w:t>
      </w:r>
      <w:proofErr w:type="spellEnd"/>
      <w:r w:rsidRPr="002F35FA">
        <w:rPr>
          <w:rFonts w:cs="Times New Roman"/>
        </w:rPr>
        <w:t>, who published a monograph on the topic in 1569, and Melchor de Soria, who took up the topic in 1627. The first aspect concerns the persistence of a cost-and-labor theory of value in the thought of the</w:t>
      </w:r>
      <w:r w:rsidR="00187ED7" w:rsidRPr="002F35FA">
        <w:rPr>
          <w:rFonts w:cs="Times New Roman"/>
        </w:rPr>
        <w:t>se</w:t>
      </w:r>
      <w:r w:rsidRPr="002F35FA">
        <w:rPr>
          <w:rFonts w:cs="Times New Roman"/>
        </w:rPr>
        <w:t xml:space="preserve"> Spanish moralists. </w:t>
      </w:r>
      <w:r w:rsidR="00187ED7" w:rsidRPr="002F35FA">
        <w:rPr>
          <w:rFonts w:cs="Times New Roman"/>
        </w:rPr>
        <w:t xml:space="preserve">Modern </w:t>
      </w:r>
      <w:r w:rsidRPr="002F35FA">
        <w:rPr>
          <w:rFonts w:cs="Times New Roman"/>
        </w:rPr>
        <w:t>commentators have tended to focus on the</w:t>
      </w:r>
      <w:r w:rsidR="00187ED7" w:rsidRPr="002F35FA">
        <w:rPr>
          <w:rFonts w:cs="Times New Roman"/>
        </w:rPr>
        <w:t xml:space="preserve"> apparently</w:t>
      </w:r>
      <w:r w:rsidRPr="002F35FA">
        <w:rPr>
          <w:rFonts w:cs="Times New Roman"/>
        </w:rPr>
        <w:t xml:space="preserve"> “modern” market-oriented aspects </w:t>
      </w:r>
      <w:r w:rsidR="0041249D" w:rsidRPr="002F35FA">
        <w:rPr>
          <w:rFonts w:cs="Times New Roman"/>
        </w:rPr>
        <w:t xml:space="preserve">of </w:t>
      </w:r>
      <w:r w:rsidRPr="002F35FA">
        <w:rPr>
          <w:rFonts w:cs="Times New Roman"/>
        </w:rPr>
        <w:t>late scholastic economic thought</w:t>
      </w:r>
      <w:r w:rsidR="00187ED7" w:rsidRPr="002F35FA">
        <w:rPr>
          <w:rFonts w:cs="Times New Roman"/>
        </w:rPr>
        <w:t xml:space="preserve">. Yet </w:t>
      </w:r>
      <w:r w:rsidRPr="002F35FA">
        <w:rPr>
          <w:rFonts w:cs="Times New Roman"/>
        </w:rPr>
        <w:t xml:space="preserve">some thinkers developed </w:t>
      </w:r>
      <w:r w:rsidR="00F14B7C" w:rsidRPr="002F35FA">
        <w:rPr>
          <w:rFonts w:cs="Times New Roman"/>
        </w:rPr>
        <w:t>something</w:t>
      </w:r>
      <w:r w:rsidRPr="002F35FA">
        <w:rPr>
          <w:rFonts w:cs="Times New Roman"/>
        </w:rPr>
        <w:t xml:space="preserve"> of </w:t>
      </w:r>
      <w:r w:rsidR="00F14B7C" w:rsidRPr="002F35FA">
        <w:rPr>
          <w:rFonts w:cs="Times New Roman"/>
        </w:rPr>
        <w:t xml:space="preserve">a </w:t>
      </w:r>
      <w:r w:rsidRPr="002F35FA">
        <w:rPr>
          <w:rFonts w:cs="Times New Roman"/>
        </w:rPr>
        <w:t>disjunctive theory of value</w:t>
      </w:r>
      <w:r w:rsidR="00187ED7" w:rsidRPr="002F35FA">
        <w:rPr>
          <w:rFonts w:cs="Times New Roman"/>
        </w:rPr>
        <w:t>. I</w:t>
      </w:r>
      <w:r w:rsidRPr="002F35FA">
        <w:rPr>
          <w:rFonts w:cs="Times New Roman"/>
        </w:rPr>
        <w:t>n situations of functioning markets, they accepted a kind of subjective utility conception of value</w:t>
      </w:r>
      <w:r w:rsidR="00F14B7C" w:rsidRPr="002F35FA">
        <w:rPr>
          <w:rFonts w:cs="Times New Roman"/>
        </w:rPr>
        <w:t>,</w:t>
      </w:r>
      <w:r w:rsidRPr="002F35FA">
        <w:rPr>
          <w:rFonts w:cs="Times New Roman"/>
        </w:rPr>
        <w:t xml:space="preserve"> according to which the value of a good is determined </w:t>
      </w:r>
      <w:r w:rsidRPr="002F35FA">
        <w:rPr>
          <w:rFonts w:cs="Times New Roman"/>
        </w:rPr>
        <w:lastRenderedPageBreak/>
        <w:t>by how highly it is esteemed by the buyers</w:t>
      </w:r>
      <w:r w:rsidR="00187ED7" w:rsidRPr="002F35FA">
        <w:rPr>
          <w:rFonts w:cs="Times New Roman"/>
        </w:rPr>
        <w:t xml:space="preserve">; on the other hand, during a breakdown of markets they applied a </w:t>
      </w:r>
      <w:r w:rsidRPr="002F35FA">
        <w:rPr>
          <w:rFonts w:cs="Times New Roman"/>
        </w:rPr>
        <w:t>labor</w:t>
      </w:r>
      <w:r w:rsidR="0041249D" w:rsidRPr="002F35FA">
        <w:rPr>
          <w:rFonts w:cs="Times New Roman"/>
        </w:rPr>
        <w:t xml:space="preserve"> </w:t>
      </w:r>
      <w:r w:rsidRPr="002F35FA">
        <w:rPr>
          <w:rFonts w:cs="Times New Roman"/>
        </w:rPr>
        <w:t xml:space="preserve">theory of value. </w:t>
      </w:r>
      <w:r w:rsidR="007D3D99" w:rsidRPr="002F35FA">
        <w:rPr>
          <w:rFonts w:cs="Times New Roman"/>
        </w:rPr>
        <w:t xml:space="preserve">Medina, </w:t>
      </w:r>
      <w:proofErr w:type="spellStart"/>
      <w:r w:rsidR="007D3D99" w:rsidRPr="002F35FA">
        <w:rPr>
          <w:rFonts w:cs="Times New Roman"/>
        </w:rPr>
        <w:t>Mexía</w:t>
      </w:r>
      <w:proofErr w:type="spellEnd"/>
      <w:r w:rsidR="007D3D99" w:rsidRPr="002F35FA">
        <w:rPr>
          <w:rFonts w:cs="Times New Roman"/>
        </w:rPr>
        <w:t xml:space="preserve">, and Soria used ideas </w:t>
      </w:r>
      <w:r w:rsidRPr="002F35FA">
        <w:rPr>
          <w:rFonts w:cs="Times New Roman"/>
        </w:rPr>
        <w:t xml:space="preserve">developed by the Tübingen-based jurist Conrad </w:t>
      </w:r>
      <w:proofErr w:type="spellStart"/>
      <w:r w:rsidRPr="002F35FA">
        <w:rPr>
          <w:rFonts w:cs="Times New Roman"/>
        </w:rPr>
        <w:t>Summenhart</w:t>
      </w:r>
      <w:proofErr w:type="spellEnd"/>
      <w:r w:rsidRPr="002F35FA">
        <w:rPr>
          <w:rFonts w:cs="Times New Roman"/>
        </w:rPr>
        <w:t xml:space="preserve"> (145</w:t>
      </w:r>
      <w:r w:rsidR="007C2E1A" w:rsidRPr="002F35FA">
        <w:rPr>
          <w:rFonts w:cs="Times New Roman"/>
        </w:rPr>
        <w:t>5–</w:t>
      </w:r>
      <w:r w:rsidRPr="002F35FA">
        <w:rPr>
          <w:rFonts w:cs="Times New Roman"/>
        </w:rPr>
        <w:t>1502).</w:t>
      </w:r>
      <w:r w:rsidRPr="002F35FA">
        <w:rPr>
          <w:rStyle w:val="Funotenzeichen"/>
          <w:rFonts w:cs="Times New Roman"/>
        </w:rPr>
        <w:footnoteReference w:id="4"/>
      </w:r>
      <w:r w:rsidRPr="002F35FA">
        <w:rPr>
          <w:rFonts w:cs="Times New Roman"/>
        </w:rPr>
        <w:t xml:space="preserve"> </w:t>
      </w:r>
      <w:r w:rsidR="00605ED8" w:rsidRPr="002F35FA">
        <w:rPr>
          <w:rFonts w:cs="Times New Roman"/>
        </w:rPr>
        <w:t>Th</w:t>
      </w:r>
      <w:r w:rsidR="009D38F5" w:rsidRPr="002F35FA">
        <w:rPr>
          <w:rFonts w:cs="Times New Roman"/>
        </w:rPr>
        <w:t>e first part</w:t>
      </w:r>
      <w:r w:rsidR="00605ED8" w:rsidRPr="002F35FA">
        <w:rPr>
          <w:rFonts w:cs="Times New Roman"/>
        </w:rPr>
        <w:t xml:space="preserve"> of the essay </w:t>
      </w:r>
      <w:r w:rsidR="007D3D99" w:rsidRPr="002F35FA">
        <w:rPr>
          <w:rFonts w:cs="Times New Roman"/>
        </w:rPr>
        <w:t>examines the ways that price laws could be an expression of economic justice. I will discuss these issues in terms of th</w:t>
      </w:r>
      <w:r w:rsidR="008549E2" w:rsidRPr="002F35FA">
        <w:rPr>
          <w:rFonts w:cs="Times New Roman"/>
        </w:rPr>
        <w:t>eir</w:t>
      </w:r>
      <w:r w:rsidR="007D3D99" w:rsidRPr="002F35FA">
        <w:rPr>
          <w:rFonts w:cs="Times New Roman"/>
        </w:rPr>
        <w:t xml:space="preserve"> </w:t>
      </w:r>
      <w:r w:rsidR="008549E2" w:rsidRPr="002F35FA">
        <w:rPr>
          <w:rFonts w:cs="Times New Roman"/>
        </w:rPr>
        <w:t>dual</w:t>
      </w:r>
      <w:r w:rsidR="007D3D99" w:rsidRPr="002F35FA">
        <w:rPr>
          <w:rFonts w:cs="Times New Roman"/>
        </w:rPr>
        <w:t xml:space="preserve"> theories</w:t>
      </w:r>
      <w:r w:rsidR="008549E2" w:rsidRPr="002F35FA">
        <w:rPr>
          <w:rFonts w:cs="Times New Roman"/>
        </w:rPr>
        <w:t xml:space="preserve">—that is, the </w:t>
      </w:r>
      <w:r w:rsidR="007D3D99" w:rsidRPr="002F35FA">
        <w:rPr>
          <w:rFonts w:cs="Times New Roman"/>
        </w:rPr>
        <w:t xml:space="preserve">distinction between prices based on morally acceptable market mechanisms </w:t>
      </w:r>
      <w:r w:rsidR="008549E2" w:rsidRPr="002F35FA">
        <w:rPr>
          <w:rFonts w:cs="Times New Roman"/>
        </w:rPr>
        <w:t xml:space="preserve">on the one hand, </w:t>
      </w:r>
      <w:r w:rsidR="007D3D99" w:rsidRPr="002F35FA">
        <w:rPr>
          <w:rFonts w:cs="Times New Roman"/>
        </w:rPr>
        <w:t xml:space="preserve">and prices based on labor, cost, and risks </w:t>
      </w:r>
      <w:r w:rsidR="008549E2" w:rsidRPr="002F35FA">
        <w:rPr>
          <w:rFonts w:cs="Times New Roman"/>
        </w:rPr>
        <w:t>on the other. To view them in these terms rather than</w:t>
      </w:r>
      <w:r w:rsidR="007D3D99" w:rsidRPr="002F35FA">
        <w:rPr>
          <w:rFonts w:cs="Times New Roman"/>
        </w:rPr>
        <w:t xml:space="preserve"> the modern conceptual distinction between market prices and natural prices</w:t>
      </w:r>
      <w:r w:rsidR="008549E2" w:rsidRPr="002F35FA">
        <w:rPr>
          <w:rFonts w:cs="Times New Roman"/>
        </w:rPr>
        <w:t xml:space="preserve"> helps avoid the </w:t>
      </w:r>
      <w:r w:rsidR="007D3D99" w:rsidRPr="002F35FA">
        <w:rPr>
          <w:rFonts w:cs="Times New Roman"/>
        </w:rPr>
        <w:t>anachronism against which André Lapidus has warned</w:t>
      </w:r>
      <w:r w:rsidR="009D38F5" w:rsidRPr="002F35FA">
        <w:rPr>
          <w:rFonts w:cs="Times New Roman"/>
        </w:rPr>
        <w:t>.</w:t>
      </w:r>
      <w:r w:rsidRPr="002F35FA">
        <w:rPr>
          <w:rStyle w:val="Funotenzeichen"/>
          <w:rFonts w:cs="Times New Roman"/>
        </w:rPr>
        <w:footnoteReference w:id="5"/>
      </w:r>
      <w:r w:rsidR="008549E2" w:rsidRPr="002F35FA">
        <w:rPr>
          <w:rFonts w:cs="Times New Roman"/>
        </w:rPr>
        <w:t xml:space="preserve"> </w:t>
      </w:r>
    </w:p>
    <w:p w14:paraId="3CA2568D" w14:textId="77777777" w:rsidR="009D38F5" w:rsidRPr="002F35FA" w:rsidRDefault="00F14B7C">
      <w:pPr>
        <w:pStyle w:val="Standard1"/>
        <w:spacing w:line="480" w:lineRule="auto"/>
        <w:ind w:firstLine="720"/>
        <w:rPr>
          <w:rFonts w:cs="Times New Roman"/>
        </w:rPr>
      </w:pPr>
      <w:r w:rsidRPr="002F35FA">
        <w:rPr>
          <w:rFonts w:cs="Times New Roman"/>
        </w:rPr>
        <w:t xml:space="preserve">The second aspect is discussed in part two. </w:t>
      </w:r>
      <w:r w:rsidR="008549E2" w:rsidRPr="002F35FA">
        <w:rPr>
          <w:rFonts w:cs="Times New Roman"/>
        </w:rPr>
        <w:t>These</w:t>
      </w:r>
      <w:r w:rsidR="007646D3" w:rsidRPr="002F35FA">
        <w:rPr>
          <w:rFonts w:cs="Times New Roman"/>
        </w:rPr>
        <w:t xml:space="preserve"> </w:t>
      </w:r>
      <w:r w:rsidR="0003530B" w:rsidRPr="002F35FA">
        <w:rPr>
          <w:rFonts w:cs="Times New Roman"/>
        </w:rPr>
        <w:t xml:space="preserve">differences in value theory </w:t>
      </w:r>
      <w:r w:rsidR="008549E2" w:rsidRPr="002F35FA">
        <w:rPr>
          <w:rFonts w:cs="Times New Roman"/>
        </w:rPr>
        <w:t xml:space="preserve">led in turn to different thoughts on how </w:t>
      </w:r>
      <w:r w:rsidR="0003530B" w:rsidRPr="002F35FA">
        <w:rPr>
          <w:rFonts w:cs="Times New Roman"/>
        </w:rPr>
        <w:t>price laws could be an expression of economic justice</w:t>
      </w:r>
      <w:r w:rsidRPr="002F35FA">
        <w:rPr>
          <w:rFonts w:cs="Times New Roman"/>
        </w:rPr>
        <w:t>.</w:t>
      </w:r>
      <w:r w:rsidR="00FE7A34" w:rsidRPr="002F35FA">
        <w:rPr>
          <w:rFonts w:cs="Times New Roman"/>
        </w:rPr>
        <w:t xml:space="preserve"> </w:t>
      </w:r>
      <w:r w:rsidR="008549E2" w:rsidRPr="002F35FA">
        <w:rPr>
          <w:rFonts w:cs="Times New Roman"/>
        </w:rPr>
        <w:t>For</w:t>
      </w:r>
      <w:r w:rsidR="0003530B" w:rsidRPr="002F35FA">
        <w:rPr>
          <w:rFonts w:cs="Times New Roman"/>
        </w:rPr>
        <w:t xml:space="preserve"> Molina</w:t>
      </w:r>
      <w:r w:rsidRPr="002F35FA">
        <w:rPr>
          <w:rFonts w:cs="Times New Roman"/>
        </w:rPr>
        <w:t>,</w:t>
      </w:r>
      <w:r w:rsidR="0003530B" w:rsidRPr="002F35FA">
        <w:rPr>
          <w:rFonts w:cs="Times New Roman"/>
        </w:rPr>
        <w:t xml:space="preserve"> price legislation never can be an independent source of commutative justice; moreover, </w:t>
      </w:r>
      <w:r w:rsidRPr="002F35FA">
        <w:rPr>
          <w:rFonts w:cs="Times New Roman"/>
        </w:rPr>
        <w:t>it</w:t>
      </w:r>
      <w:r w:rsidR="007646D3" w:rsidRPr="002F35FA">
        <w:rPr>
          <w:rFonts w:cs="Times New Roman"/>
        </w:rPr>
        <w:t xml:space="preserve"> </w:t>
      </w:r>
      <w:r w:rsidR="0003530B" w:rsidRPr="002F35FA">
        <w:rPr>
          <w:rFonts w:cs="Times New Roman"/>
        </w:rPr>
        <w:t>never</w:t>
      </w:r>
      <w:r w:rsidR="007646D3" w:rsidRPr="002F35FA">
        <w:rPr>
          <w:rFonts w:cs="Times New Roman"/>
        </w:rPr>
        <w:t xml:space="preserve"> can</w:t>
      </w:r>
      <w:r w:rsidR="0003530B" w:rsidRPr="002F35FA">
        <w:rPr>
          <w:rFonts w:cs="Times New Roman"/>
        </w:rPr>
        <w:t xml:space="preserve"> be connected with the goals of distributive justice. By contrast, for the proponents of the labor-and-cost theory of value in situations of extreme necessity, price laws can express a source of value that is independent of market mechanisms; this is why they take such laws to define </w:t>
      </w:r>
      <w:r w:rsidRPr="002F35FA">
        <w:rPr>
          <w:rFonts w:cs="Times New Roman"/>
        </w:rPr>
        <w:t xml:space="preserve">the basis of </w:t>
      </w:r>
      <w:r w:rsidR="0003530B" w:rsidRPr="002F35FA">
        <w:rPr>
          <w:rFonts w:cs="Times New Roman"/>
        </w:rPr>
        <w:t xml:space="preserve">commutative justice concerning certain goods. </w:t>
      </w:r>
      <w:r w:rsidR="00096511" w:rsidRPr="002F35FA">
        <w:rPr>
          <w:rFonts w:cs="Times New Roman"/>
        </w:rPr>
        <w:t>Further,</w:t>
      </w:r>
      <w:r w:rsidR="009D38F5" w:rsidRPr="002F35FA">
        <w:rPr>
          <w:rFonts w:cs="Times New Roman"/>
        </w:rPr>
        <w:t xml:space="preserve"> </w:t>
      </w:r>
      <w:proofErr w:type="spellStart"/>
      <w:r w:rsidR="0003530B" w:rsidRPr="002F35FA">
        <w:rPr>
          <w:rFonts w:cs="Times New Roman"/>
        </w:rPr>
        <w:t>Summenhart</w:t>
      </w:r>
      <w:proofErr w:type="spellEnd"/>
      <w:r w:rsidR="0003530B" w:rsidRPr="002F35FA">
        <w:rPr>
          <w:rFonts w:cs="Times New Roman"/>
        </w:rPr>
        <w:t xml:space="preserve"> and </w:t>
      </w:r>
      <w:proofErr w:type="spellStart"/>
      <w:r w:rsidR="0003530B" w:rsidRPr="002F35FA">
        <w:rPr>
          <w:rFonts w:cs="Times New Roman"/>
        </w:rPr>
        <w:t>Mexía</w:t>
      </w:r>
      <w:proofErr w:type="spellEnd"/>
      <w:r w:rsidR="0003530B" w:rsidRPr="002F35FA">
        <w:rPr>
          <w:rFonts w:cs="Times New Roman"/>
        </w:rPr>
        <w:t xml:space="preserve"> connect the goals of price regulation with the goals of distributive justice. </w:t>
      </w:r>
      <w:r w:rsidR="00FE7A34" w:rsidRPr="002F35FA">
        <w:rPr>
          <w:rFonts w:cs="Times New Roman"/>
        </w:rPr>
        <w:t xml:space="preserve">These scholars generally </w:t>
      </w:r>
      <w:r w:rsidR="0003530B" w:rsidRPr="002F35FA">
        <w:rPr>
          <w:rFonts w:cs="Times New Roman"/>
        </w:rPr>
        <w:t>recognized that the truth of empirical assumptions on which price legislation rested</w:t>
      </w:r>
      <w:r w:rsidR="00FA04B8" w:rsidRPr="002F35FA">
        <w:rPr>
          <w:rFonts w:cs="Times New Roman"/>
        </w:rPr>
        <w:t xml:space="preserve"> was highly uncertain. </w:t>
      </w:r>
      <w:r w:rsidR="00096511" w:rsidRPr="002F35FA">
        <w:rPr>
          <w:rFonts w:cs="Times New Roman"/>
        </w:rPr>
        <w:t>They</w:t>
      </w:r>
      <w:r w:rsidR="00FA04B8" w:rsidRPr="002F35FA">
        <w:rPr>
          <w:rFonts w:cs="Times New Roman"/>
        </w:rPr>
        <w:t xml:space="preserve"> also described frequently </w:t>
      </w:r>
      <w:r w:rsidR="0003530B" w:rsidRPr="002F35FA">
        <w:rPr>
          <w:rFonts w:cs="Times New Roman"/>
        </w:rPr>
        <w:t>the negative consequences of price regulation</w:t>
      </w:r>
      <w:r w:rsidR="00096511" w:rsidRPr="002F35FA">
        <w:rPr>
          <w:rFonts w:cs="Times New Roman"/>
        </w:rPr>
        <w:t xml:space="preserve">, </w:t>
      </w:r>
      <w:r w:rsidR="0003530B" w:rsidRPr="002F35FA">
        <w:rPr>
          <w:rFonts w:cs="Times New Roman"/>
        </w:rPr>
        <w:t>such as the decrease of productivity and the emergence of a black market</w:t>
      </w:r>
      <w:r w:rsidR="007F6E2D" w:rsidRPr="002F35FA">
        <w:rPr>
          <w:rFonts w:cs="Times New Roman"/>
        </w:rPr>
        <w:t xml:space="preserve">. They questioned whether such regulatory laws would create a legal obligation that extended from a matter of obedience to include the binding of conscience as well. </w:t>
      </w:r>
    </w:p>
    <w:p w14:paraId="53632E9E" w14:textId="177205D1" w:rsidR="0003530B" w:rsidRPr="002F35FA" w:rsidRDefault="009D38F5">
      <w:pPr>
        <w:pStyle w:val="Standard1"/>
        <w:spacing w:line="480" w:lineRule="auto"/>
        <w:ind w:firstLine="720"/>
        <w:rPr>
          <w:rFonts w:cs="Times New Roman"/>
        </w:rPr>
      </w:pPr>
      <w:r w:rsidRPr="002F35FA">
        <w:rPr>
          <w:rFonts w:cs="Times New Roman"/>
        </w:rPr>
        <w:lastRenderedPageBreak/>
        <w:t xml:space="preserve">The third aspect is discussed in part three. </w:t>
      </w:r>
      <w:r w:rsidR="00E90DA2" w:rsidRPr="002F35FA">
        <w:rPr>
          <w:rFonts w:cs="Times New Roman"/>
        </w:rPr>
        <w:t>These scholars</w:t>
      </w:r>
      <w:r w:rsidR="007F6E2D" w:rsidRPr="002F35FA">
        <w:rPr>
          <w:rFonts w:cs="Times New Roman"/>
        </w:rPr>
        <w:t xml:space="preserve"> favored an attitude of presumption</w:t>
      </w:r>
      <w:r w:rsidR="00E90DA2" w:rsidRPr="002F35FA">
        <w:rPr>
          <w:rFonts w:cs="Times New Roman"/>
        </w:rPr>
        <w:t xml:space="preserve"> in determining the justice of decisions regarding price</w:t>
      </w:r>
      <w:r w:rsidR="007F6E2D" w:rsidRPr="002F35FA">
        <w:rPr>
          <w:rFonts w:cs="Times New Roman"/>
        </w:rPr>
        <w:t xml:space="preserve">. </w:t>
      </w:r>
      <w:r w:rsidR="0003530B" w:rsidRPr="002F35FA">
        <w:rPr>
          <w:rFonts w:cs="Times New Roman"/>
        </w:rPr>
        <w:t xml:space="preserve">The </w:t>
      </w:r>
      <w:r w:rsidR="00096511" w:rsidRPr="002F35FA">
        <w:rPr>
          <w:rFonts w:cs="Times New Roman"/>
        </w:rPr>
        <w:t xml:space="preserve">rational basis </w:t>
      </w:r>
      <w:r w:rsidR="0003530B" w:rsidRPr="002F35FA">
        <w:rPr>
          <w:rFonts w:cs="Times New Roman"/>
        </w:rPr>
        <w:t>of such presumption</w:t>
      </w:r>
      <w:r w:rsidR="007F6E2D" w:rsidRPr="002F35FA">
        <w:rPr>
          <w:rFonts w:cs="Times New Roman"/>
        </w:rPr>
        <w:t xml:space="preserve">s </w:t>
      </w:r>
      <w:r w:rsidR="00096511" w:rsidRPr="002F35FA">
        <w:rPr>
          <w:rFonts w:cs="Times New Roman"/>
        </w:rPr>
        <w:t>lay</w:t>
      </w:r>
      <w:r w:rsidR="00FE7A34" w:rsidRPr="002F35FA">
        <w:rPr>
          <w:rFonts w:cs="Times New Roman"/>
        </w:rPr>
        <w:t>, they concluded,</w:t>
      </w:r>
      <w:r w:rsidR="0003530B" w:rsidRPr="002F35FA">
        <w:rPr>
          <w:rFonts w:cs="Times New Roman"/>
        </w:rPr>
        <w:t xml:space="preserve"> in </w:t>
      </w:r>
      <w:r w:rsidR="007F6E2D" w:rsidRPr="002F35FA">
        <w:rPr>
          <w:rFonts w:cs="Times New Roman"/>
        </w:rPr>
        <w:t xml:space="preserve">the </w:t>
      </w:r>
      <w:r w:rsidR="0003530B" w:rsidRPr="002F35FA">
        <w:rPr>
          <w:rFonts w:cs="Times New Roman"/>
        </w:rPr>
        <w:t xml:space="preserve">evidence </w:t>
      </w:r>
      <w:r w:rsidR="007F6E2D" w:rsidRPr="002F35FA">
        <w:rPr>
          <w:rFonts w:cs="Times New Roman"/>
        </w:rPr>
        <w:t xml:space="preserve">for </w:t>
      </w:r>
      <w:r w:rsidR="0003530B" w:rsidRPr="002F35FA">
        <w:rPr>
          <w:rFonts w:cs="Times New Roman"/>
        </w:rPr>
        <w:t xml:space="preserve">the quality of </w:t>
      </w:r>
      <w:r w:rsidR="007F6E2D" w:rsidRPr="002F35FA">
        <w:rPr>
          <w:rFonts w:cs="Times New Roman"/>
        </w:rPr>
        <w:t>decision</w:t>
      </w:r>
      <w:r w:rsidR="001D6651" w:rsidRPr="002F35FA">
        <w:rPr>
          <w:rFonts w:cs="Times New Roman"/>
        </w:rPr>
        <w:t>-</w:t>
      </w:r>
      <w:r w:rsidR="007F6E2D" w:rsidRPr="002F35FA">
        <w:rPr>
          <w:rFonts w:cs="Times New Roman"/>
        </w:rPr>
        <w:t>making</w:t>
      </w:r>
      <w:r w:rsidR="0003530B" w:rsidRPr="002F35FA">
        <w:rPr>
          <w:rFonts w:cs="Times New Roman"/>
        </w:rPr>
        <w:t xml:space="preserve"> that </w:t>
      </w:r>
      <w:r w:rsidR="007F6E2D" w:rsidRPr="002F35FA">
        <w:rPr>
          <w:rFonts w:cs="Times New Roman"/>
        </w:rPr>
        <w:t xml:space="preserve">had </w:t>
      </w:r>
      <w:r w:rsidR="0003530B" w:rsidRPr="002F35FA">
        <w:rPr>
          <w:rFonts w:cs="Times New Roman"/>
        </w:rPr>
        <w:t xml:space="preserve">led to </w:t>
      </w:r>
      <w:r w:rsidR="007F6E2D" w:rsidRPr="002F35FA">
        <w:rPr>
          <w:rFonts w:cs="Times New Roman"/>
        </w:rPr>
        <w:t xml:space="preserve">the </w:t>
      </w:r>
      <w:r w:rsidR="0003530B" w:rsidRPr="002F35FA">
        <w:rPr>
          <w:rFonts w:cs="Times New Roman"/>
        </w:rPr>
        <w:t xml:space="preserve">price regulation. </w:t>
      </w:r>
      <w:r w:rsidR="005E4CD0" w:rsidRPr="002F35FA">
        <w:rPr>
          <w:rFonts w:cs="Times New Roman"/>
        </w:rPr>
        <w:t xml:space="preserve">One should presume truth (or sufficiency) </w:t>
      </w:r>
      <w:r w:rsidR="0003530B" w:rsidRPr="002F35FA">
        <w:rPr>
          <w:rFonts w:cs="Times New Roman"/>
        </w:rPr>
        <w:t xml:space="preserve">unless </w:t>
      </w:r>
      <w:r w:rsidR="00F14B7C" w:rsidRPr="002F35FA">
        <w:rPr>
          <w:rFonts w:cs="Times New Roman"/>
        </w:rPr>
        <w:t xml:space="preserve">and until </w:t>
      </w:r>
      <w:r w:rsidR="0003530B" w:rsidRPr="002F35FA">
        <w:rPr>
          <w:rFonts w:cs="Times New Roman"/>
        </w:rPr>
        <w:t xml:space="preserve">contrary evidence </w:t>
      </w:r>
      <w:r w:rsidR="00F14B7C" w:rsidRPr="002F35FA">
        <w:rPr>
          <w:rFonts w:cs="Times New Roman"/>
        </w:rPr>
        <w:t xml:space="preserve">becomes </w:t>
      </w:r>
      <w:r w:rsidR="0003530B" w:rsidRPr="002F35FA">
        <w:rPr>
          <w:rFonts w:cs="Times New Roman"/>
        </w:rPr>
        <w:t>available. As we will see, the revisable nature of such presumptions corresponds closely to institutional arrangements generally accepted in sixteenth-century Spain</w:t>
      </w:r>
      <w:r w:rsidR="00FE7A34" w:rsidRPr="002F35FA">
        <w:rPr>
          <w:rFonts w:cs="Times New Roman"/>
        </w:rPr>
        <w:t xml:space="preserve">; these </w:t>
      </w:r>
      <w:r w:rsidR="0003530B" w:rsidRPr="002F35FA">
        <w:rPr>
          <w:rFonts w:cs="Times New Roman"/>
        </w:rPr>
        <w:t xml:space="preserve">revisable presumptions </w:t>
      </w:r>
      <w:r w:rsidR="00FE7A34" w:rsidRPr="002F35FA">
        <w:rPr>
          <w:rFonts w:cs="Times New Roman"/>
        </w:rPr>
        <w:t xml:space="preserve">were able to </w:t>
      </w:r>
      <w:r w:rsidR="0003530B" w:rsidRPr="002F35FA">
        <w:rPr>
          <w:rFonts w:cs="Times New Roman"/>
        </w:rPr>
        <w:t>ground the morally binding character of price</w:t>
      </w:r>
      <w:r w:rsidR="001D6651" w:rsidRPr="002F35FA">
        <w:rPr>
          <w:rFonts w:cs="Times New Roman"/>
        </w:rPr>
        <w:t>.</w:t>
      </w:r>
    </w:p>
    <w:p w14:paraId="1F0055E4" w14:textId="77777777" w:rsidR="0003530B" w:rsidRPr="002F35FA" w:rsidRDefault="0003530B" w:rsidP="00A32A3B">
      <w:pPr>
        <w:pStyle w:val="Standard1"/>
        <w:spacing w:line="480" w:lineRule="auto"/>
        <w:rPr>
          <w:rFonts w:cs="Times New Roman"/>
        </w:rPr>
      </w:pPr>
    </w:p>
    <w:p w14:paraId="6AEBD448" w14:textId="4BF19055" w:rsidR="0003530B" w:rsidRPr="002F35FA" w:rsidRDefault="00415222" w:rsidP="00415222">
      <w:pPr>
        <w:pStyle w:val="Standard1"/>
        <w:spacing w:line="480" w:lineRule="auto"/>
        <w:jc w:val="center"/>
        <w:rPr>
          <w:rFonts w:cs="Times New Roman"/>
        </w:rPr>
      </w:pPr>
      <w:r w:rsidRPr="002F35FA">
        <w:rPr>
          <w:rFonts w:cs="Times New Roman"/>
        </w:rPr>
        <w:t>I. PRICE REGULATION AND THE NATURE OF VALUE</w:t>
      </w:r>
    </w:p>
    <w:p w14:paraId="743BC0CB" w14:textId="77777777" w:rsidR="0003530B" w:rsidRPr="002F35FA" w:rsidRDefault="0003530B" w:rsidP="00A32A3B">
      <w:pPr>
        <w:pStyle w:val="Standard1"/>
        <w:spacing w:line="480" w:lineRule="auto"/>
        <w:rPr>
          <w:rFonts w:cs="Times New Roman"/>
        </w:rPr>
      </w:pPr>
    </w:p>
    <w:p w14:paraId="336028A7" w14:textId="469DF1CE" w:rsidR="0003530B" w:rsidRPr="002F35FA" w:rsidRDefault="0003530B" w:rsidP="007F4905">
      <w:pPr>
        <w:pStyle w:val="Standard1"/>
        <w:spacing w:line="480" w:lineRule="auto"/>
        <w:rPr>
          <w:rFonts w:cs="Times New Roman"/>
        </w:rPr>
      </w:pPr>
      <w:r w:rsidRPr="002F35FA">
        <w:rPr>
          <w:rFonts w:cs="Times New Roman"/>
        </w:rPr>
        <w:t xml:space="preserve">The Spanish moralists responded in strongly diverging ways to the medieval cost-and-labor theory of value. As Odd </w:t>
      </w:r>
      <w:proofErr w:type="spellStart"/>
      <w:r w:rsidRPr="002F35FA">
        <w:rPr>
          <w:rFonts w:cs="Times New Roman"/>
        </w:rPr>
        <w:t>Langholm</w:t>
      </w:r>
      <w:proofErr w:type="spellEnd"/>
      <w:r w:rsidRPr="002F35FA">
        <w:rPr>
          <w:rFonts w:cs="Times New Roman"/>
        </w:rPr>
        <w:t xml:space="preserve"> notes, Domingo de </w:t>
      </w:r>
      <w:r w:rsidRPr="002F35FA">
        <w:rPr>
          <w:rFonts w:cs="Times New Roman"/>
          <w:lang w:val="es-ES"/>
        </w:rPr>
        <w:t>Bá</w:t>
      </w:r>
      <w:r w:rsidRPr="002F35FA">
        <w:rPr>
          <w:rFonts w:cs="Times New Roman"/>
        </w:rPr>
        <w:t>ñ</w:t>
      </w:r>
      <w:r w:rsidRPr="002F35FA">
        <w:rPr>
          <w:rFonts w:cs="Times New Roman"/>
          <w:lang w:val="es-ES"/>
        </w:rPr>
        <w:t>ez</w:t>
      </w:r>
      <w:r w:rsidRPr="002F35FA">
        <w:rPr>
          <w:rFonts w:cs="Times New Roman"/>
        </w:rPr>
        <w:t xml:space="preserve"> (152</w:t>
      </w:r>
      <w:r w:rsidR="007C2E1A" w:rsidRPr="002F35FA">
        <w:rPr>
          <w:rFonts w:cs="Times New Roman"/>
        </w:rPr>
        <w:t>8–</w:t>
      </w:r>
      <w:r w:rsidRPr="002F35FA">
        <w:rPr>
          <w:rFonts w:cs="Times New Roman"/>
        </w:rPr>
        <w:t>1604)</w:t>
      </w:r>
      <w:r w:rsidR="00572CB3" w:rsidRPr="002F35FA">
        <w:rPr>
          <w:rFonts w:cs="Times New Roman"/>
        </w:rPr>
        <w:t xml:space="preserve"> refuted the view that the state should intervene on the basis of the cost-and-labor theory of value; his position found wide acceptance</w:t>
      </w:r>
      <w:r w:rsidRPr="002F35FA">
        <w:rPr>
          <w:rFonts w:cs="Times New Roman"/>
        </w:rPr>
        <w:t>.</w:t>
      </w:r>
      <w:r w:rsidRPr="002F35FA">
        <w:rPr>
          <w:rStyle w:val="Funotenzeichen"/>
          <w:rFonts w:cs="Times New Roman"/>
        </w:rPr>
        <w:footnoteReference w:id="6"/>
      </w:r>
      <w:r w:rsidRPr="002F35FA">
        <w:rPr>
          <w:rFonts w:cs="Times New Roman"/>
        </w:rPr>
        <w:t xml:space="preserve"> </w:t>
      </w:r>
      <w:proofErr w:type="spellStart"/>
      <w:r w:rsidRPr="002F35FA">
        <w:rPr>
          <w:rFonts w:cs="Times New Roman"/>
        </w:rPr>
        <w:t>Báñez</w:t>
      </w:r>
      <w:proofErr w:type="spellEnd"/>
      <w:r w:rsidRPr="002F35FA">
        <w:rPr>
          <w:rFonts w:cs="Times New Roman"/>
        </w:rPr>
        <w:t xml:space="preserve"> argues that some merchants will be more skillful in purchasing and transporting goods than others. But once the goods of the less skillful merchants have reached the market, they will be exactly as useful to the buyers as the goods of the </w:t>
      </w:r>
      <w:r w:rsidR="00F65C41" w:rsidRPr="002F35FA">
        <w:rPr>
          <w:rFonts w:cs="Times New Roman"/>
        </w:rPr>
        <w:t xml:space="preserve">more </w:t>
      </w:r>
      <w:r w:rsidRPr="002F35FA">
        <w:rPr>
          <w:rFonts w:cs="Times New Roman"/>
        </w:rPr>
        <w:t>skillful merchants</w:t>
      </w:r>
      <w:r w:rsidR="00C53296" w:rsidRPr="002F35FA">
        <w:rPr>
          <w:rFonts w:cs="Times New Roman"/>
        </w:rPr>
        <w:t xml:space="preserve">; </w:t>
      </w:r>
      <w:proofErr w:type="gramStart"/>
      <w:r w:rsidR="00C53296" w:rsidRPr="002F35FA">
        <w:rPr>
          <w:rFonts w:cs="Times New Roman"/>
        </w:rPr>
        <w:t>thus</w:t>
      </w:r>
      <w:proofErr w:type="gramEnd"/>
      <w:r w:rsidR="00C53296" w:rsidRPr="002F35FA">
        <w:rPr>
          <w:rFonts w:cs="Times New Roman"/>
        </w:rPr>
        <w:t xml:space="preserve"> </w:t>
      </w:r>
      <w:r w:rsidRPr="002F35FA">
        <w:rPr>
          <w:rFonts w:cs="Times New Roman"/>
        </w:rPr>
        <w:t xml:space="preserve">it would be absurd to say the state </w:t>
      </w:r>
      <w:r w:rsidR="00F65C41" w:rsidRPr="002F35FA">
        <w:rPr>
          <w:rFonts w:cs="Times New Roman"/>
        </w:rPr>
        <w:t>should</w:t>
      </w:r>
      <w:r w:rsidRPr="002F35FA">
        <w:rPr>
          <w:rFonts w:cs="Times New Roman"/>
        </w:rPr>
        <w:t xml:space="preserve"> recompense the costs and labor of the less skillful merchants.</w:t>
      </w:r>
      <w:r w:rsidRPr="002F35FA">
        <w:rPr>
          <w:rFonts w:cs="Times New Roman"/>
          <w:vertAlign w:val="superscript"/>
        </w:rPr>
        <w:footnoteReference w:id="7"/>
      </w:r>
      <w:r w:rsidRPr="002F35FA">
        <w:rPr>
          <w:rFonts w:cs="Times New Roman"/>
        </w:rPr>
        <w:t xml:space="preserve"> </w:t>
      </w:r>
      <w:r w:rsidR="00F65C41" w:rsidRPr="002F35FA">
        <w:rPr>
          <w:rFonts w:cs="Times New Roman"/>
        </w:rPr>
        <w:t xml:space="preserve">Similar arguments would apply </w:t>
      </w:r>
      <w:r w:rsidRPr="002F35FA">
        <w:rPr>
          <w:rFonts w:cs="Times New Roman"/>
        </w:rPr>
        <w:t>to peasants and artisans. Likewise, as Diego Alonso-</w:t>
      </w:r>
      <w:proofErr w:type="spellStart"/>
      <w:r w:rsidRPr="002F35FA">
        <w:rPr>
          <w:rFonts w:cs="Times New Roman"/>
        </w:rPr>
        <w:t>Laheras</w:t>
      </w:r>
      <w:proofErr w:type="spellEnd"/>
      <w:r w:rsidRPr="002F35FA">
        <w:rPr>
          <w:rFonts w:cs="Times New Roman"/>
        </w:rPr>
        <w:t xml:space="preserve"> has </w:t>
      </w:r>
      <w:r w:rsidR="00C53296" w:rsidRPr="002F35FA">
        <w:rPr>
          <w:rFonts w:cs="Times New Roman"/>
        </w:rPr>
        <w:t>shown</w:t>
      </w:r>
      <w:r w:rsidRPr="002F35FA">
        <w:rPr>
          <w:rFonts w:cs="Times New Roman"/>
        </w:rPr>
        <w:t>, Molina maintains that situations of extreme necessity do not require legal prices at all.</w:t>
      </w:r>
      <w:r w:rsidRPr="002F35FA">
        <w:rPr>
          <w:rStyle w:val="Funotenzeichen"/>
          <w:rFonts w:cs="Times New Roman"/>
        </w:rPr>
        <w:footnoteReference w:id="8"/>
      </w:r>
      <w:r w:rsidRPr="002F35FA">
        <w:rPr>
          <w:rFonts w:cs="Times New Roman"/>
        </w:rPr>
        <w:t xml:space="preserve"> As Molina argues, legal prices for certain goods place one-sided burdens on rich owners and poor producers of these goods.</w:t>
      </w:r>
      <w:r w:rsidRPr="002F35FA">
        <w:rPr>
          <w:rStyle w:val="Funotenzeichen"/>
          <w:rFonts w:cs="Times New Roman"/>
        </w:rPr>
        <w:footnoteReference w:id="9"/>
      </w:r>
      <w:r w:rsidRPr="002F35FA">
        <w:rPr>
          <w:rFonts w:cs="Times New Roman"/>
        </w:rPr>
        <w:t xml:space="preserve"> </w:t>
      </w:r>
      <w:r w:rsidR="00C53296" w:rsidRPr="002F35FA">
        <w:rPr>
          <w:rFonts w:cs="Times New Roman"/>
        </w:rPr>
        <w:t xml:space="preserve">Therefore </w:t>
      </w:r>
      <w:r w:rsidR="00C53296" w:rsidRPr="002F35FA">
        <w:rPr>
          <w:rFonts w:cs="Times New Roman"/>
        </w:rPr>
        <w:lastRenderedPageBreak/>
        <w:t>he favors</w:t>
      </w:r>
      <w:r w:rsidRPr="002F35FA">
        <w:rPr>
          <w:rFonts w:cs="Times New Roman"/>
        </w:rPr>
        <w:t xml:space="preserve"> measures of poverty relief that place the burden in an equitable way on all members </w:t>
      </w:r>
      <w:r w:rsidR="009C138E" w:rsidRPr="002F35FA">
        <w:rPr>
          <w:rFonts w:cs="Times New Roman"/>
        </w:rPr>
        <w:t xml:space="preserve">of a </w:t>
      </w:r>
      <w:r w:rsidRPr="002F35FA">
        <w:rPr>
          <w:rFonts w:cs="Times New Roman"/>
        </w:rPr>
        <w:t>community—measures such as alms for the needy, public distribution of grain, and laws against hoarding.</w:t>
      </w:r>
      <w:r w:rsidRPr="002F35FA">
        <w:rPr>
          <w:rStyle w:val="Funotenzeichen"/>
          <w:rFonts w:cs="Times New Roman"/>
        </w:rPr>
        <w:footnoteReference w:id="10"/>
      </w:r>
      <w:r w:rsidRPr="002F35FA">
        <w:rPr>
          <w:rFonts w:cs="Times New Roman"/>
        </w:rPr>
        <w:t xml:space="preserve"> </w:t>
      </w:r>
    </w:p>
    <w:p w14:paraId="548CB838" w14:textId="79BE3D33" w:rsidR="00DA7EF6" w:rsidRPr="002F35FA" w:rsidRDefault="0003530B" w:rsidP="00DA7EF6">
      <w:pPr>
        <w:pStyle w:val="Standard1"/>
        <w:spacing w:line="480" w:lineRule="auto"/>
        <w:ind w:firstLine="720"/>
        <w:rPr>
          <w:rFonts w:cs="Times New Roman"/>
        </w:rPr>
      </w:pPr>
      <w:r w:rsidRPr="002F35FA">
        <w:rPr>
          <w:rFonts w:cs="Times New Roman"/>
        </w:rPr>
        <w:t xml:space="preserve">By contrast, Medina argues that situations of extreme need lie outside the realm of ordinary market conditions. For instance, “someone who sells a </w:t>
      </w:r>
      <w:r w:rsidR="00F65C41" w:rsidRPr="002F35FA">
        <w:rPr>
          <w:rFonts w:cs="Times New Roman"/>
        </w:rPr>
        <w:t xml:space="preserve">medication </w:t>
      </w:r>
      <w:r w:rsidRPr="002F35FA">
        <w:rPr>
          <w:rFonts w:cs="Times New Roman"/>
        </w:rPr>
        <w:t xml:space="preserve">that is necessary for a patient, and without which the patient cannot hope to survive, could receive whatsoever price for the </w:t>
      </w:r>
      <w:r w:rsidR="00F65C41" w:rsidRPr="002F35FA">
        <w:rPr>
          <w:rFonts w:cs="Times New Roman"/>
        </w:rPr>
        <w:t>medication</w:t>
      </w:r>
      <w:r w:rsidRPr="002F35FA">
        <w:rPr>
          <w:rFonts w:cs="Times New Roman"/>
        </w:rPr>
        <w:t>; and so on for other cases.”</w:t>
      </w:r>
      <w:r w:rsidRPr="002F35FA">
        <w:rPr>
          <w:rStyle w:val="Funotenzeichen"/>
          <w:rFonts w:cs="Times New Roman"/>
        </w:rPr>
        <w:footnoteReference w:id="11"/>
      </w:r>
      <w:r w:rsidRPr="002F35FA">
        <w:rPr>
          <w:rFonts w:cs="Times New Roman"/>
        </w:rPr>
        <w:t xml:space="preserve"> Soria, too, points out that in situations of shortage and coercion the concept of the just market price breaks down</w:t>
      </w:r>
      <w:r w:rsidR="00F65C41" w:rsidRPr="002F35FA">
        <w:rPr>
          <w:rFonts w:cs="Times New Roman"/>
        </w:rPr>
        <w:t>. I</w:t>
      </w:r>
      <w:r w:rsidRPr="002F35FA">
        <w:rPr>
          <w:rFonts w:cs="Times New Roman"/>
        </w:rPr>
        <w:t xml:space="preserve">n such situations, buyers are pressed by the desire to </w:t>
      </w:r>
      <w:r w:rsidR="00F26206" w:rsidRPr="002F35FA">
        <w:rPr>
          <w:rFonts w:cs="Times New Roman"/>
        </w:rPr>
        <w:t xml:space="preserve">meet </w:t>
      </w:r>
      <w:r w:rsidR="00C53296" w:rsidRPr="002F35FA">
        <w:rPr>
          <w:rFonts w:cs="Times New Roman"/>
        </w:rPr>
        <w:t xml:space="preserve">their </w:t>
      </w:r>
      <w:r w:rsidRPr="002F35FA">
        <w:rPr>
          <w:rFonts w:cs="Times New Roman"/>
        </w:rPr>
        <w:t>basic needs</w:t>
      </w:r>
      <w:r w:rsidR="00F65C41" w:rsidRPr="002F35FA">
        <w:rPr>
          <w:rFonts w:cs="Times New Roman"/>
        </w:rPr>
        <w:t>,</w:t>
      </w:r>
      <w:r w:rsidRPr="002F35FA">
        <w:rPr>
          <w:rFonts w:cs="Times New Roman"/>
        </w:rPr>
        <w:t xml:space="preserve"> while </w:t>
      </w:r>
      <w:r w:rsidR="00F65C41" w:rsidRPr="002F35FA">
        <w:rPr>
          <w:rFonts w:cs="Times New Roman"/>
        </w:rPr>
        <w:t xml:space="preserve">the rich </w:t>
      </w:r>
      <w:r w:rsidRPr="002F35FA">
        <w:rPr>
          <w:rFonts w:cs="Times New Roman"/>
        </w:rPr>
        <w:t>who have a stock of bread on offer are under no pressure to sell.</w:t>
      </w:r>
      <w:r w:rsidRPr="002F35FA">
        <w:rPr>
          <w:rStyle w:val="Funotenzeichen"/>
          <w:rFonts w:cs="Times New Roman"/>
        </w:rPr>
        <w:footnoteReference w:id="12"/>
      </w:r>
      <w:r w:rsidRPr="002F35FA">
        <w:rPr>
          <w:rFonts w:cs="Times New Roman"/>
        </w:rPr>
        <w:t xml:space="preserve"> What results, he argues, is not a “natural” but a “violent” price, the outcome of the violence of the sellers</w:t>
      </w:r>
      <w:r w:rsidR="00F65C41" w:rsidRPr="002F35FA">
        <w:rPr>
          <w:rFonts w:cs="Times New Roman"/>
        </w:rPr>
        <w:t>.</w:t>
      </w:r>
      <w:r w:rsidRPr="002F35FA">
        <w:rPr>
          <w:rStyle w:val="Funotenzeichen"/>
          <w:rFonts w:cs="Times New Roman"/>
        </w:rPr>
        <w:footnoteReference w:id="13"/>
      </w:r>
      <w:r w:rsidRPr="002F35FA">
        <w:rPr>
          <w:rFonts w:cs="Times New Roman"/>
        </w:rPr>
        <w:t xml:space="preserve"> </w:t>
      </w:r>
      <w:r w:rsidR="00F65C41" w:rsidRPr="002F35FA">
        <w:rPr>
          <w:rFonts w:cs="Times New Roman"/>
        </w:rPr>
        <w:t>Thus</w:t>
      </w:r>
      <w:r w:rsidR="00D960A4" w:rsidRPr="002F35FA">
        <w:rPr>
          <w:rFonts w:cs="Times New Roman"/>
        </w:rPr>
        <w:t xml:space="preserve"> he finds</w:t>
      </w:r>
      <w:r w:rsidRPr="002F35FA">
        <w:rPr>
          <w:rFonts w:cs="Times New Roman"/>
        </w:rPr>
        <w:t xml:space="preserve"> the “votes” both of the buyers and the sellers to be invalid under such circumstances.</w:t>
      </w:r>
      <w:r w:rsidRPr="002F35FA">
        <w:rPr>
          <w:rStyle w:val="Funotenzeichen"/>
          <w:rFonts w:cs="Times New Roman"/>
        </w:rPr>
        <w:footnoteReference w:id="14"/>
      </w:r>
      <w:r w:rsidRPr="002F35FA">
        <w:rPr>
          <w:rFonts w:cs="Times New Roman"/>
        </w:rPr>
        <w:t xml:space="preserve"> As he analyzes it, this is an instance of forced will</w:t>
      </w:r>
      <w:r w:rsidR="00F65C41" w:rsidRPr="002F35FA">
        <w:rPr>
          <w:rFonts w:cs="Times New Roman"/>
        </w:rPr>
        <w:t>. It</w:t>
      </w:r>
      <w:r w:rsidRPr="002F35FA">
        <w:rPr>
          <w:rFonts w:cs="Times New Roman"/>
        </w:rPr>
        <w:t xml:space="preserve"> cannot give rise to a valid transfer of ownership</w:t>
      </w:r>
      <w:r w:rsidR="00F22E11" w:rsidRPr="002F35FA">
        <w:rPr>
          <w:rFonts w:cs="Times New Roman"/>
        </w:rPr>
        <w:t>; on the contrary, it may suggest</w:t>
      </w:r>
      <w:r w:rsidRPr="002F35FA">
        <w:rPr>
          <w:rFonts w:cs="Times New Roman"/>
        </w:rPr>
        <w:t xml:space="preserve"> an obligation to restitution.</w:t>
      </w:r>
      <w:r w:rsidRPr="002F35FA">
        <w:rPr>
          <w:rFonts w:cs="Times New Roman"/>
          <w:vertAlign w:val="superscript"/>
        </w:rPr>
        <w:footnoteReference w:id="15"/>
      </w:r>
      <w:r w:rsidRPr="002F35FA">
        <w:rPr>
          <w:rFonts w:cs="Times New Roman"/>
        </w:rPr>
        <w:t xml:space="preserve"> </w:t>
      </w:r>
    </w:p>
    <w:p w14:paraId="72950C86" w14:textId="5DF65F0A" w:rsidR="00DA7EF6" w:rsidRPr="002F35FA" w:rsidRDefault="0003530B" w:rsidP="00DA7EF6">
      <w:pPr>
        <w:pStyle w:val="Standard1"/>
        <w:spacing w:line="480" w:lineRule="auto"/>
        <w:ind w:firstLine="720"/>
        <w:rPr>
          <w:rFonts w:cs="Times New Roman"/>
        </w:rPr>
      </w:pPr>
      <w:r w:rsidRPr="002F35FA">
        <w:rPr>
          <w:rFonts w:cs="Times New Roman"/>
        </w:rPr>
        <w:t xml:space="preserve">If there is no fair market price because there is no fair market, then it seems unclear how the notion of fair price </w:t>
      </w:r>
      <w:r w:rsidR="00F26206" w:rsidRPr="002F35FA">
        <w:rPr>
          <w:rFonts w:cs="Times New Roman"/>
        </w:rPr>
        <w:t>would operate</w:t>
      </w:r>
      <w:r w:rsidRPr="002F35FA">
        <w:rPr>
          <w:rFonts w:cs="Times New Roman"/>
        </w:rPr>
        <w:t xml:space="preserve"> in situations of extreme need. This is how the cost-and-labor theory of value comes into play. On first sight, </w:t>
      </w:r>
      <w:r w:rsidR="00A149B9" w:rsidRPr="002F35FA">
        <w:rPr>
          <w:rFonts w:cs="Times New Roman"/>
        </w:rPr>
        <w:t xml:space="preserve">the claim may sound counterintuitive. </w:t>
      </w:r>
      <w:r w:rsidRPr="002F35FA">
        <w:rPr>
          <w:rFonts w:cs="Times New Roman"/>
        </w:rPr>
        <w:t xml:space="preserve">It is certainly counterintuitive </w:t>
      </w:r>
      <w:r w:rsidR="00F22E11" w:rsidRPr="002F35FA">
        <w:rPr>
          <w:rFonts w:cs="Times New Roman"/>
        </w:rPr>
        <w:t>according to</w:t>
      </w:r>
      <w:r w:rsidRPr="002F35FA">
        <w:rPr>
          <w:rFonts w:cs="Times New Roman"/>
        </w:rPr>
        <w:t xml:space="preserve"> </w:t>
      </w:r>
      <w:proofErr w:type="spellStart"/>
      <w:r w:rsidRPr="002F35FA">
        <w:rPr>
          <w:rFonts w:cs="Times New Roman"/>
        </w:rPr>
        <w:t>Langholm’s</w:t>
      </w:r>
      <w:proofErr w:type="spellEnd"/>
      <w:r w:rsidRPr="002F35FA">
        <w:rPr>
          <w:rFonts w:cs="Times New Roman"/>
        </w:rPr>
        <w:t xml:space="preserve"> </w:t>
      </w:r>
      <w:r w:rsidR="00F22E11" w:rsidRPr="002F35FA">
        <w:rPr>
          <w:rFonts w:cs="Times New Roman"/>
        </w:rPr>
        <w:t xml:space="preserve">understanding </w:t>
      </w:r>
      <w:r w:rsidRPr="002F35FA">
        <w:rPr>
          <w:rFonts w:cs="Times New Roman"/>
        </w:rPr>
        <w:t xml:space="preserve">of the function of the cost-and-labor theory of value. </w:t>
      </w:r>
      <w:proofErr w:type="spellStart"/>
      <w:r w:rsidRPr="002F35FA">
        <w:rPr>
          <w:rFonts w:cs="Times New Roman"/>
        </w:rPr>
        <w:t>Langholm</w:t>
      </w:r>
      <w:proofErr w:type="spellEnd"/>
      <w:r w:rsidRPr="002F35FA">
        <w:rPr>
          <w:rFonts w:cs="Times New Roman"/>
        </w:rPr>
        <w:t xml:space="preserve"> points to thinkers such as Alexander of Hales (118</w:t>
      </w:r>
      <w:r w:rsidR="007C2E1A" w:rsidRPr="002F35FA">
        <w:rPr>
          <w:rFonts w:cs="Times New Roman"/>
        </w:rPr>
        <w:t>5–</w:t>
      </w:r>
      <w:r w:rsidRPr="002F35FA">
        <w:rPr>
          <w:rFonts w:cs="Times New Roman"/>
        </w:rPr>
        <w:t>1245)</w:t>
      </w:r>
      <w:r w:rsidR="001C04B2" w:rsidRPr="002F35FA">
        <w:rPr>
          <w:rFonts w:cs="Times New Roman"/>
        </w:rPr>
        <w:t>,</w:t>
      </w:r>
      <w:r w:rsidRPr="002F35FA">
        <w:rPr>
          <w:rFonts w:cs="Times New Roman"/>
        </w:rPr>
        <w:t xml:space="preserve"> who </w:t>
      </w:r>
      <w:r w:rsidR="00F22E11" w:rsidRPr="002F35FA">
        <w:rPr>
          <w:rFonts w:cs="Times New Roman"/>
        </w:rPr>
        <w:t xml:space="preserve">claimed </w:t>
      </w:r>
      <w:r w:rsidRPr="002F35FA">
        <w:rPr>
          <w:rFonts w:cs="Times New Roman"/>
        </w:rPr>
        <w:t>that commerce is legitimate if it is done in such a way that the merchant “can provide for himself and his family with necessities” (</w:t>
      </w:r>
      <w:proofErr w:type="spellStart"/>
      <w:r w:rsidRPr="002F35FA">
        <w:rPr>
          <w:rFonts w:cs="Times New Roman"/>
          <w:i/>
          <w:iCs/>
        </w:rPr>
        <w:t>possit</w:t>
      </w:r>
      <w:proofErr w:type="spellEnd"/>
      <w:r w:rsidRPr="002F35FA">
        <w:rPr>
          <w:rFonts w:cs="Times New Roman"/>
          <w:i/>
          <w:iCs/>
        </w:rPr>
        <w:t xml:space="preserve"> </w:t>
      </w:r>
      <w:proofErr w:type="spellStart"/>
      <w:r w:rsidRPr="002F35FA">
        <w:rPr>
          <w:rFonts w:cs="Times New Roman"/>
          <w:i/>
          <w:iCs/>
        </w:rPr>
        <w:lastRenderedPageBreak/>
        <w:t>sibi</w:t>
      </w:r>
      <w:proofErr w:type="spellEnd"/>
      <w:r w:rsidRPr="002F35FA">
        <w:rPr>
          <w:rFonts w:cs="Times New Roman"/>
          <w:i/>
          <w:iCs/>
        </w:rPr>
        <w:t xml:space="preserve"> et </w:t>
      </w:r>
      <w:proofErr w:type="spellStart"/>
      <w:r w:rsidRPr="002F35FA">
        <w:rPr>
          <w:rFonts w:cs="Times New Roman"/>
          <w:i/>
          <w:iCs/>
        </w:rPr>
        <w:t>suae</w:t>
      </w:r>
      <w:proofErr w:type="spellEnd"/>
      <w:r w:rsidRPr="002F35FA">
        <w:rPr>
          <w:rFonts w:cs="Times New Roman"/>
          <w:i/>
          <w:iCs/>
        </w:rPr>
        <w:t xml:space="preserve"> </w:t>
      </w:r>
      <w:proofErr w:type="spellStart"/>
      <w:r w:rsidRPr="002F35FA">
        <w:rPr>
          <w:rFonts w:cs="Times New Roman"/>
          <w:i/>
          <w:iCs/>
        </w:rPr>
        <w:t>familiae</w:t>
      </w:r>
      <w:proofErr w:type="spellEnd"/>
      <w:r w:rsidRPr="002F35FA">
        <w:rPr>
          <w:rFonts w:cs="Times New Roman"/>
          <w:i/>
          <w:iCs/>
        </w:rPr>
        <w:t xml:space="preserve"> in </w:t>
      </w:r>
      <w:proofErr w:type="spellStart"/>
      <w:r w:rsidRPr="002F35FA">
        <w:rPr>
          <w:rFonts w:cs="Times New Roman"/>
          <w:i/>
          <w:iCs/>
        </w:rPr>
        <w:t>necessariis</w:t>
      </w:r>
      <w:proofErr w:type="spellEnd"/>
      <w:r w:rsidRPr="002F35FA">
        <w:rPr>
          <w:rFonts w:cs="Times New Roman"/>
          <w:i/>
          <w:iCs/>
        </w:rPr>
        <w:t xml:space="preserve"> </w:t>
      </w:r>
      <w:proofErr w:type="spellStart"/>
      <w:r w:rsidRPr="002F35FA">
        <w:rPr>
          <w:rFonts w:cs="Times New Roman"/>
          <w:i/>
          <w:iCs/>
        </w:rPr>
        <w:t>providere</w:t>
      </w:r>
      <w:proofErr w:type="spellEnd"/>
      <w:r w:rsidRPr="002F35FA">
        <w:rPr>
          <w:rFonts w:cs="Times New Roman"/>
        </w:rPr>
        <w:t>).</w:t>
      </w:r>
      <w:r w:rsidRPr="002F35FA">
        <w:rPr>
          <w:rFonts w:cs="Times New Roman"/>
          <w:vertAlign w:val="superscript"/>
        </w:rPr>
        <w:footnoteReference w:id="16"/>
      </w:r>
      <w:r w:rsidRPr="002F35FA">
        <w:rPr>
          <w:rFonts w:cs="Times New Roman"/>
        </w:rPr>
        <w:t xml:space="preserve"> </w:t>
      </w:r>
      <w:proofErr w:type="spellStart"/>
      <w:r w:rsidRPr="002F35FA">
        <w:rPr>
          <w:rFonts w:cs="Times New Roman"/>
        </w:rPr>
        <w:t>Langholm</w:t>
      </w:r>
      <w:proofErr w:type="spellEnd"/>
      <w:r w:rsidRPr="002F35FA">
        <w:rPr>
          <w:rFonts w:cs="Times New Roman"/>
        </w:rPr>
        <w:t xml:space="preserve"> </w:t>
      </w:r>
      <w:r w:rsidR="006C6776" w:rsidRPr="002F35FA">
        <w:rPr>
          <w:rFonts w:cs="Times New Roman"/>
        </w:rPr>
        <w:t>notes</w:t>
      </w:r>
      <w:r w:rsidRPr="002F35FA">
        <w:rPr>
          <w:rFonts w:cs="Times New Roman"/>
        </w:rPr>
        <w:t xml:space="preserve"> that such claims invariably occur in passages that discuss the avarice of merchants who want to reap profit without investing effort</w:t>
      </w:r>
      <w:r w:rsidR="006C6776" w:rsidRPr="002F35FA">
        <w:rPr>
          <w:rFonts w:cs="Times New Roman"/>
        </w:rPr>
        <w:t>, and thus he</w:t>
      </w:r>
      <w:r w:rsidR="00F26206" w:rsidRPr="002F35FA">
        <w:rPr>
          <w:rFonts w:cs="Times New Roman"/>
        </w:rPr>
        <w:t xml:space="preserve"> </w:t>
      </w:r>
      <w:r w:rsidR="00F22E11" w:rsidRPr="002F35FA">
        <w:rPr>
          <w:rFonts w:cs="Times New Roman"/>
        </w:rPr>
        <w:t>asserts that</w:t>
      </w:r>
      <w:r w:rsidRPr="002F35FA">
        <w:rPr>
          <w:rFonts w:cs="Times New Roman"/>
        </w:rPr>
        <w:t xml:space="preserve"> the principle of reasonable coverage of cost and effort </w:t>
      </w:r>
      <w:r w:rsidR="00F22E11" w:rsidRPr="002F35FA">
        <w:rPr>
          <w:rFonts w:cs="Times New Roman"/>
        </w:rPr>
        <w:t>sets</w:t>
      </w:r>
      <w:r w:rsidRPr="002F35FA">
        <w:rPr>
          <w:rFonts w:cs="Times New Roman"/>
        </w:rPr>
        <w:t xml:space="preserve"> “an upper limit, not a lower limit</w:t>
      </w:r>
      <w:r w:rsidR="00F22E11" w:rsidRPr="002F35FA">
        <w:rPr>
          <w:rFonts w:cs="Times New Roman"/>
        </w:rPr>
        <w:t>.</w:t>
      </w:r>
      <w:r w:rsidRPr="002F35FA">
        <w:rPr>
          <w:rFonts w:cs="Times New Roman"/>
        </w:rPr>
        <w:t>”</w:t>
      </w:r>
      <w:r w:rsidR="00F22E11" w:rsidRPr="002F35FA">
        <w:rPr>
          <w:rFonts w:cs="Times New Roman"/>
        </w:rPr>
        <w:t xml:space="preserve"> That </w:t>
      </w:r>
      <w:r w:rsidRPr="002F35FA">
        <w:rPr>
          <w:rFonts w:cs="Times New Roman"/>
        </w:rPr>
        <w:t xml:space="preserve">is, </w:t>
      </w:r>
      <w:r w:rsidR="00F22E11" w:rsidRPr="002F35FA">
        <w:rPr>
          <w:rFonts w:cs="Times New Roman"/>
        </w:rPr>
        <w:t>this</w:t>
      </w:r>
      <w:r w:rsidRPr="002F35FA">
        <w:rPr>
          <w:rFonts w:cs="Times New Roman"/>
        </w:rPr>
        <w:t xml:space="preserve"> principle </w:t>
      </w:r>
      <w:r w:rsidR="00ED43CA" w:rsidRPr="002F35FA">
        <w:rPr>
          <w:rFonts w:cs="Times New Roman"/>
        </w:rPr>
        <w:t xml:space="preserve">would </w:t>
      </w:r>
      <w:r w:rsidRPr="002F35FA">
        <w:rPr>
          <w:rFonts w:cs="Times New Roman"/>
        </w:rPr>
        <w:t xml:space="preserve">not </w:t>
      </w:r>
      <w:r w:rsidR="00F26206" w:rsidRPr="002F35FA">
        <w:rPr>
          <w:rFonts w:cs="Times New Roman"/>
        </w:rPr>
        <w:t>serve to provide</w:t>
      </w:r>
      <w:r w:rsidRPr="002F35FA">
        <w:rPr>
          <w:rFonts w:cs="Times New Roman"/>
        </w:rPr>
        <w:t xml:space="preserve"> a guarantee against suffering losses due to market development.</w:t>
      </w:r>
      <w:r w:rsidRPr="002F35FA">
        <w:rPr>
          <w:rFonts w:cs="Times New Roman"/>
          <w:vertAlign w:val="superscript"/>
        </w:rPr>
        <w:footnoteReference w:id="17"/>
      </w:r>
      <w:r w:rsidRPr="002F35FA">
        <w:rPr>
          <w:rFonts w:cs="Times New Roman"/>
        </w:rPr>
        <w:t xml:space="preserve"> As he points out, authors who embrace this principle invariably also embrace the justice of the competitive market price. “The attempt to extend a modern ideological conflict between labor and market back to medieval scholasticism must fail in the face of massive contrary textual evidence.”</w:t>
      </w:r>
      <w:r w:rsidRPr="002F35FA">
        <w:rPr>
          <w:rStyle w:val="Funotenzeichen"/>
          <w:rFonts w:cs="Times New Roman"/>
        </w:rPr>
        <w:footnoteReference w:id="18"/>
      </w:r>
      <w:r w:rsidRPr="002F35FA">
        <w:rPr>
          <w:rFonts w:cs="Times New Roman"/>
        </w:rPr>
        <w:t xml:space="preserve"> As </w:t>
      </w:r>
      <w:proofErr w:type="spellStart"/>
      <w:r w:rsidRPr="002F35FA">
        <w:rPr>
          <w:rFonts w:cs="Times New Roman"/>
        </w:rPr>
        <w:t>Langholm</w:t>
      </w:r>
      <w:proofErr w:type="spellEnd"/>
      <w:r w:rsidRPr="002F35FA">
        <w:rPr>
          <w:rFonts w:cs="Times New Roman"/>
        </w:rPr>
        <w:t xml:space="preserve"> concludes, “the two principles make sense only as complementary and mutually supporting criteria by which to reach a reasonable price estimate</w:t>
      </w:r>
      <w:r w:rsidR="00A149B9" w:rsidRPr="002F35FA">
        <w:rPr>
          <w:rFonts w:cs="Times New Roman"/>
        </w:rPr>
        <w:t>.</w:t>
      </w:r>
      <w:r w:rsidRPr="002F35FA">
        <w:rPr>
          <w:rFonts w:cs="Times New Roman"/>
        </w:rPr>
        <w:t>”</w:t>
      </w:r>
      <w:r w:rsidRPr="002F35FA">
        <w:rPr>
          <w:rStyle w:val="Funotenzeichen"/>
          <w:rFonts w:cs="Times New Roman"/>
        </w:rPr>
        <w:footnoteReference w:id="19"/>
      </w:r>
      <w:r w:rsidRPr="002F35FA">
        <w:rPr>
          <w:rFonts w:cs="Times New Roman"/>
        </w:rPr>
        <w:t xml:space="preserve"> </w:t>
      </w:r>
    </w:p>
    <w:p w14:paraId="4175B314" w14:textId="34523438" w:rsidR="0003530B" w:rsidRPr="002F35FA" w:rsidRDefault="007646D3" w:rsidP="00DA7EF6">
      <w:pPr>
        <w:pStyle w:val="Standard1"/>
        <w:spacing w:line="480" w:lineRule="auto"/>
        <w:ind w:firstLine="720"/>
        <w:rPr>
          <w:rFonts w:cs="Times New Roman"/>
        </w:rPr>
      </w:pPr>
      <w:r w:rsidRPr="002F35FA">
        <w:rPr>
          <w:rFonts w:cs="Times New Roman"/>
        </w:rPr>
        <w:t xml:space="preserve"> </w:t>
      </w:r>
      <w:proofErr w:type="spellStart"/>
      <w:r w:rsidR="0003530B" w:rsidRPr="002F35FA">
        <w:rPr>
          <w:rFonts w:cs="Times New Roman"/>
        </w:rPr>
        <w:t>Langholm’s</w:t>
      </w:r>
      <w:proofErr w:type="spellEnd"/>
      <w:r w:rsidR="0003530B" w:rsidRPr="002F35FA">
        <w:rPr>
          <w:rFonts w:cs="Times New Roman"/>
        </w:rPr>
        <w:t xml:space="preserve"> line of argument is persuasive </w:t>
      </w:r>
      <w:r w:rsidR="000464B2" w:rsidRPr="002F35FA">
        <w:rPr>
          <w:rFonts w:cs="Times New Roman"/>
        </w:rPr>
        <w:t>with regard to</w:t>
      </w:r>
      <w:r w:rsidR="0003530B" w:rsidRPr="002F35FA">
        <w:rPr>
          <w:rFonts w:cs="Times New Roman"/>
        </w:rPr>
        <w:t xml:space="preserve"> the scholastic analysis of functioning market conditions</w:t>
      </w:r>
      <w:r w:rsidR="001C04B2" w:rsidRPr="002F35FA">
        <w:rPr>
          <w:rFonts w:cs="Times New Roman"/>
        </w:rPr>
        <w:t>.</w:t>
      </w:r>
      <w:r w:rsidR="0003530B" w:rsidRPr="002F35FA">
        <w:rPr>
          <w:rFonts w:cs="Times New Roman"/>
        </w:rPr>
        <w:t xml:space="preserve"> </w:t>
      </w:r>
      <w:r w:rsidR="000464B2" w:rsidRPr="002F35FA">
        <w:rPr>
          <w:rFonts w:cs="Times New Roman"/>
        </w:rPr>
        <w:t xml:space="preserve">Yet </w:t>
      </w:r>
      <w:r w:rsidR="0003530B" w:rsidRPr="002F35FA">
        <w:rPr>
          <w:rFonts w:cs="Times New Roman"/>
        </w:rPr>
        <w:t xml:space="preserve">the late scholastic debate about situations of shortage of necessities </w:t>
      </w:r>
      <w:r w:rsidR="000464B2" w:rsidRPr="002F35FA">
        <w:rPr>
          <w:rFonts w:cs="Times New Roman"/>
        </w:rPr>
        <w:t>also employs this</w:t>
      </w:r>
      <w:r w:rsidRPr="002F35FA">
        <w:rPr>
          <w:rFonts w:cs="Times New Roman"/>
        </w:rPr>
        <w:t xml:space="preserve"> </w:t>
      </w:r>
      <w:r w:rsidR="00ED43CA" w:rsidRPr="002F35FA">
        <w:rPr>
          <w:rFonts w:cs="Times New Roman"/>
        </w:rPr>
        <w:t xml:space="preserve">theory </w:t>
      </w:r>
      <w:r w:rsidR="000464B2" w:rsidRPr="002F35FA">
        <w:rPr>
          <w:rFonts w:cs="Times New Roman"/>
        </w:rPr>
        <w:t>to define</w:t>
      </w:r>
      <w:r w:rsidR="0003530B" w:rsidRPr="002F35FA">
        <w:rPr>
          <w:rFonts w:cs="Times New Roman"/>
        </w:rPr>
        <w:t xml:space="preserve"> the justice of a limit below which regulated prices cannot legitimately go. To see why the</w:t>
      </w:r>
      <w:r w:rsidR="000464B2" w:rsidRPr="002F35FA">
        <w:rPr>
          <w:rFonts w:cs="Times New Roman"/>
        </w:rPr>
        <w:t>y were able to develop the</w:t>
      </w:r>
      <w:r w:rsidRPr="002F35FA">
        <w:rPr>
          <w:rFonts w:cs="Times New Roman"/>
        </w:rPr>
        <w:t xml:space="preserve"> </w:t>
      </w:r>
      <w:r w:rsidR="0003530B" w:rsidRPr="002F35FA">
        <w:rPr>
          <w:rFonts w:cs="Times New Roman"/>
        </w:rPr>
        <w:t xml:space="preserve">cost-and-labor theory in this direction, it will be useful to look in some detail at the economic thought of Conrad </w:t>
      </w:r>
      <w:proofErr w:type="spellStart"/>
      <w:r w:rsidR="0003530B" w:rsidRPr="002F35FA">
        <w:rPr>
          <w:rFonts w:cs="Times New Roman"/>
        </w:rPr>
        <w:t>Summenhart</w:t>
      </w:r>
      <w:proofErr w:type="spellEnd"/>
      <w:r w:rsidR="000464B2" w:rsidRPr="002F35FA">
        <w:rPr>
          <w:rFonts w:cs="Times New Roman"/>
        </w:rPr>
        <w:t xml:space="preserve">; he was a major source of inspiration </w:t>
      </w:r>
      <w:r w:rsidR="0003530B" w:rsidRPr="002F35FA">
        <w:rPr>
          <w:rFonts w:cs="Times New Roman"/>
        </w:rPr>
        <w:t xml:space="preserve">for Medina and </w:t>
      </w:r>
      <w:proofErr w:type="spellStart"/>
      <w:r w:rsidR="000464B2" w:rsidRPr="002F35FA">
        <w:rPr>
          <w:rFonts w:cs="Times New Roman"/>
        </w:rPr>
        <w:t>Mexia</w:t>
      </w:r>
      <w:proofErr w:type="spellEnd"/>
      <w:r w:rsidR="0003530B" w:rsidRPr="002F35FA">
        <w:rPr>
          <w:rFonts w:cs="Times New Roman"/>
        </w:rPr>
        <w:t xml:space="preserve">. As </w:t>
      </w:r>
      <w:proofErr w:type="spellStart"/>
      <w:r w:rsidR="0003530B" w:rsidRPr="002F35FA">
        <w:rPr>
          <w:rFonts w:cs="Times New Roman"/>
        </w:rPr>
        <w:t>Summenhart</w:t>
      </w:r>
      <w:proofErr w:type="spellEnd"/>
      <w:r w:rsidR="0003530B" w:rsidRPr="002F35FA">
        <w:rPr>
          <w:rFonts w:cs="Times New Roman"/>
        </w:rPr>
        <w:t xml:space="preserve"> emphasizes, it is their </w:t>
      </w:r>
      <w:r w:rsidR="0003530B" w:rsidRPr="002F35FA">
        <w:rPr>
          <w:rFonts w:cs="Times New Roman"/>
          <w:iCs/>
        </w:rPr>
        <w:t>rational</w:t>
      </w:r>
      <w:r w:rsidR="0003530B" w:rsidRPr="002F35FA">
        <w:rPr>
          <w:rFonts w:cs="Times New Roman"/>
        </w:rPr>
        <w:t xml:space="preserve"> use that makes costs, labor</w:t>
      </w:r>
      <w:r w:rsidR="00A149B9" w:rsidRPr="002F35FA">
        <w:rPr>
          <w:rFonts w:cs="Times New Roman"/>
        </w:rPr>
        <w:t>,</w:t>
      </w:r>
      <w:r w:rsidR="0003530B" w:rsidRPr="002F35FA">
        <w:rPr>
          <w:rFonts w:cs="Times New Roman"/>
        </w:rPr>
        <w:t xml:space="preserve"> and risks a source of value—rational in the sense that they are of service to the community or the buyer.</w:t>
      </w:r>
      <w:r w:rsidR="0003530B" w:rsidRPr="002F35FA">
        <w:rPr>
          <w:rStyle w:val="Funotenzeichen"/>
          <w:rFonts w:cs="Times New Roman"/>
        </w:rPr>
        <w:footnoteReference w:id="20"/>
      </w:r>
      <w:r w:rsidR="0003530B" w:rsidRPr="002F35FA">
        <w:rPr>
          <w:rFonts w:cs="Times New Roman"/>
        </w:rPr>
        <w:t xml:space="preserve"> He illustrates the basic idea with an example that he derives from Henry of G</w:t>
      </w:r>
      <w:r w:rsidR="000464B2" w:rsidRPr="002F35FA">
        <w:rPr>
          <w:rFonts w:cs="Times New Roman"/>
        </w:rPr>
        <w:t>h</w:t>
      </w:r>
      <w:r w:rsidR="0003530B" w:rsidRPr="002F35FA">
        <w:rPr>
          <w:rFonts w:cs="Times New Roman"/>
        </w:rPr>
        <w:t>ent (121</w:t>
      </w:r>
      <w:r w:rsidR="007C2E1A" w:rsidRPr="002F35FA">
        <w:rPr>
          <w:rFonts w:cs="Times New Roman"/>
        </w:rPr>
        <w:t>7–</w:t>
      </w:r>
      <w:r w:rsidR="0003530B" w:rsidRPr="002F35FA">
        <w:rPr>
          <w:rFonts w:cs="Times New Roman"/>
        </w:rPr>
        <w:t>93)</w:t>
      </w:r>
      <w:r w:rsidR="0003530B" w:rsidRPr="002F35FA">
        <w:rPr>
          <w:rFonts w:cs="Times New Roman"/>
          <w:vertAlign w:val="superscript"/>
        </w:rPr>
        <w:footnoteReference w:id="21"/>
      </w:r>
      <w:r w:rsidR="0003530B" w:rsidRPr="002F35FA">
        <w:rPr>
          <w:rFonts w:cs="Times New Roman"/>
        </w:rPr>
        <w:t>:</w:t>
      </w:r>
    </w:p>
    <w:p w14:paraId="5B63E499" w14:textId="77777777" w:rsidR="0003530B" w:rsidRPr="002F35FA" w:rsidRDefault="0003530B" w:rsidP="00A32A3B">
      <w:pPr>
        <w:pStyle w:val="Standard1"/>
        <w:spacing w:line="480" w:lineRule="auto"/>
        <w:ind w:firstLine="397"/>
        <w:rPr>
          <w:rFonts w:cs="Times New Roman"/>
        </w:rPr>
      </w:pPr>
    </w:p>
    <w:p w14:paraId="2245B5B9" w14:textId="70F7DB8C" w:rsidR="0003530B" w:rsidRPr="002F35FA" w:rsidRDefault="00911F07" w:rsidP="00415222">
      <w:pPr>
        <w:pStyle w:val="Standard1"/>
        <w:spacing w:line="480" w:lineRule="auto"/>
        <w:ind w:left="720" w:right="720"/>
        <w:rPr>
          <w:rFonts w:cs="Times New Roman"/>
        </w:rPr>
      </w:pPr>
      <w:r w:rsidRPr="002F35FA">
        <w:rPr>
          <w:rFonts w:cs="Times New Roman"/>
        </w:rPr>
        <w:lastRenderedPageBreak/>
        <w:t>Suppose,</w:t>
      </w:r>
      <w:r w:rsidR="0003530B" w:rsidRPr="002F35FA">
        <w:rPr>
          <w:rFonts w:cs="Times New Roman"/>
        </w:rPr>
        <w:t xml:space="preserve"> in a marketplace where horses are sold </w:t>
      </w:r>
      <w:r w:rsidR="00ED43CA" w:rsidRPr="002F35FA">
        <w:rPr>
          <w:rFonts w:cs="Times New Roman"/>
        </w:rPr>
        <w:t xml:space="preserve">there is someone who is very expert in the </w:t>
      </w:r>
      <w:r w:rsidR="003D48F4" w:rsidRPr="002F35FA">
        <w:rPr>
          <w:rFonts w:cs="Times New Roman"/>
        </w:rPr>
        <w:t>value of horses. And he knows that other people know that</w:t>
      </w:r>
      <w:r w:rsidRPr="002F35FA">
        <w:rPr>
          <w:rFonts w:cs="Times New Roman"/>
        </w:rPr>
        <w:t xml:space="preserve"> in the selling of horses, </w:t>
      </w:r>
      <w:r w:rsidR="003D48F4" w:rsidRPr="002F35FA">
        <w:rPr>
          <w:rFonts w:cs="Times New Roman"/>
        </w:rPr>
        <w:t xml:space="preserve">he can </w:t>
      </w:r>
      <w:r w:rsidRPr="002F35FA">
        <w:rPr>
          <w:rFonts w:cs="Times New Roman"/>
        </w:rPr>
        <w:t>offer assurance to</w:t>
      </w:r>
      <w:r w:rsidR="003D48F4" w:rsidRPr="002F35FA">
        <w:rPr>
          <w:rFonts w:cs="Times New Roman"/>
        </w:rPr>
        <w:t xml:space="preserve"> anyone</w:t>
      </w:r>
      <w:r w:rsidRPr="002F35FA">
        <w:rPr>
          <w:rFonts w:cs="Times New Roman"/>
        </w:rPr>
        <w:t xml:space="preserve"> about the value of horses; if, among the horses offered by the sellers he distinguishes those that are worth the price at which they are offered by the sellers, then</w:t>
      </w:r>
      <w:r w:rsidR="00F97D91" w:rsidRPr="002F35FA">
        <w:rPr>
          <w:rFonts w:cs="Times New Roman"/>
        </w:rPr>
        <w:t xml:space="preserve"> other people, even if they are ignorant of this because they are less expert in the value of horses—those other people who know about his expertise in horses are assured through him and his expertise; and they know</w:t>
      </w:r>
      <w:r w:rsidRPr="002F35FA">
        <w:rPr>
          <w:rFonts w:cs="Times New Roman"/>
        </w:rPr>
        <w:t xml:space="preserve"> </w:t>
      </w:r>
      <w:r w:rsidR="00F97D91" w:rsidRPr="002F35FA">
        <w:rPr>
          <w:rFonts w:cs="Times New Roman"/>
        </w:rPr>
        <w:t>that those horses are worth their price; and through the exercise of his expertise about horses they immediately made more valuable, such that they are wo</w:t>
      </w:r>
      <w:r w:rsidR="0068035B" w:rsidRPr="002F35FA">
        <w:rPr>
          <w:rFonts w:cs="Times New Roman"/>
        </w:rPr>
        <w:t>r</w:t>
      </w:r>
      <w:r w:rsidR="00F97D91" w:rsidRPr="002F35FA">
        <w:rPr>
          <w:rFonts w:cs="Times New Roman"/>
        </w:rPr>
        <w:t>th more than before on account of the assurance of their just value</w:t>
      </w:r>
      <w:r w:rsidR="00343247" w:rsidRPr="002F35FA">
        <w:rPr>
          <w:rFonts w:cs="Times New Roman"/>
        </w:rPr>
        <w:t>.</w:t>
      </w:r>
      <w:r w:rsidR="001C04B2" w:rsidRPr="002F35FA">
        <w:rPr>
          <w:rFonts w:cs="Times New Roman"/>
        </w:rPr>
        <w:t>”</w:t>
      </w:r>
      <w:r w:rsidR="0003530B" w:rsidRPr="002F35FA">
        <w:rPr>
          <w:rFonts w:cs="Times New Roman"/>
          <w:vertAlign w:val="superscript"/>
        </w:rPr>
        <w:footnoteReference w:id="22"/>
      </w:r>
      <w:r w:rsidR="0003530B" w:rsidRPr="002F35FA">
        <w:rPr>
          <w:rFonts w:cs="Times New Roman"/>
        </w:rPr>
        <w:t xml:space="preserve"> </w:t>
      </w:r>
    </w:p>
    <w:p w14:paraId="67594283" w14:textId="77777777" w:rsidR="0003530B" w:rsidRPr="002F35FA" w:rsidRDefault="0003530B" w:rsidP="00A32A3B">
      <w:pPr>
        <w:pStyle w:val="Standard1"/>
        <w:spacing w:line="480" w:lineRule="auto"/>
        <w:ind w:firstLine="397"/>
        <w:rPr>
          <w:rFonts w:cs="Times New Roman"/>
        </w:rPr>
      </w:pPr>
    </w:p>
    <w:p w14:paraId="660BE0F5" w14:textId="2B95F502" w:rsidR="00DA7EF6" w:rsidRPr="002F35FA" w:rsidRDefault="0003530B" w:rsidP="00DA7EF6">
      <w:pPr>
        <w:pStyle w:val="Standard1"/>
        <w:spacing w:line="480" w:lineRule="auto"/>
        <w:ind w:firstLine="720"/>
        <w:rPr>
          <w:rFonts w:cs="Times New Roman"/>
        </w:rPr>
      </w:pPr>
      <w:r w:rsidRPr="002F35FA">
        <w:rPr>
          <w:rFonts w:cs="Times New Roman"/>
        </w:rPr>
        <w:t xml:space="preserve">The labor that he has invested in developing his expertise thus changes the epistemic position of those who know less about horses: </w:t>
      </w:r>
      <w:r w:rsidR="00343247" w:rsidRPr="002F35FA">
        <w:rPr>
          <w:rFonts w:cs="Times New Roman"/>
        </w:rPr>
        <w:t>k</w:t>
      </w:r>
      <w:r w:rsidRPr="002F35FA">
        <w:rPr>
          <w:rFonts w:cs="Times New Roman"/>
        </w:rPr>
        <w:t xml:space="preserve">nowing that the expert has </w:t>
      </w:r>
      <w:r w:rsidR="0019017E" w:rsidRPr="002F35FA">
        <w:rPr>
          <w:rFonts w:cs="Times New Roman"/>
        </w:rPr>
        <w:t xml:space="preserve">evaluated </w:t>
      </w:r>
      <w:r w:rsidRPr="002F35FA">
        <w:rPr>
          <w:rFonts w:cs="Times New Roman"/>
        </w:rPr>
        <w:t>the horses increases the “security of value”—which is an economic value in itself. This is why Henry of G</w:t>
      </w:r>
      <w:r w:rsidR="008924D5" w:rsidRPr="002F35FA">
        <w:rPr>
          <w:rFonts w:cs="Times New Roman"/>
        </w:rPr>
        <w:t>h</w:t>
      </w:r>
      <w:r w:rsidRPr="002F35FA">
        <w:rPr>
          <w:rFonts w:cs="Times New Roman"/>
        </w:rPr>
        <w:t>ent holds that the expert can legitimately sell the horses mentioned at a somewhat higher price</w:t>
      </w:r>
      <w:r w:rsidRPr="002F35FA">
        <w:rPr>
          <w:rFonts w:cs="Times New Roman"/>
          <w:vertAlign w:val="superscript"/>
        </w:rPr>
        <w:footnoteReference w:id="23"/>
      </w:r>
      <w:r w:rsidRPr="002F35FA">
        <w:rPr>
          <w:rFonts w:cs="Times New Roman"/>
        </w:rPr>
        <w:t xml:space="preserve"> (a situation that </w:t>
      </w:r>
      <w:proofErr w:type="spellStart"/>
      <w:r w:rsidRPr="002F35FA">
        <w:rPr>
          <w:rFonts w:cs="Times New Roman"/>
        </w:rPr>
        <w:t>Summenhart</w:t>
      </w:r>
      <w:proofErr w:type="spellEnd"/>
      <w:r w:rsidRPr="002F35FA">
        <w:rPr>
          <w:rFonts w:cs="Times New Roman"/>
        </w:rPr>
        <w:t xml:space="preserve"> succinctly characterizes as an “increase </w:t>
      </w:r>
      <w:r w:rsidR="0019017E" w:rsidRPr="002F35FA">
        <w:rPr>
          <w:rFonts w:cs="Times New Roman"/>
        </w:rPr>
        <w:t xml:space="preserve">due to </w:t>
      </w:r>
      <w:r w:rsidRPr="002F35FA">
        <w:rPr>
          <w:rFonts w:cs="Times New Roman"/>
        </w:rPr>
        <w:t>assurance” [</w:t>
      </w:r>
      <w:proofErr w:type="spellStart"/>
      <w:r w:rsidRPr="002F35FA">
        <w:rPr>
          <w:rFonts w:cs="Times New Roman"/>
          <w:i/>
        </w:rPr>
        <w:t>incrementum</w:t>
      </w:r>
      <w:proofErr w:type="spellEnd"/>
      <w:r w:rsidRPr="002F35FA">
        <w:rPr>
          <w:rFonts w:cs="Times New Roman"/>
          <w:i/>
        </w:rPr>
        <w:t xml:space="preserve"> pro </w:t>
      </w:r>
      <w:proofErr w:type="spellStart"/>
      <w:r w:rsidRPr="002F35FA">
        <w:rPr>
          <w:rFonts w:cs="Times New Roman"/>
          <w:i/>
        </w:rPr>
        <w:t>assecuratione</w:t>
      </w:r>
      <w:proofErr w:type="spellEnd"/>
      <w:r w:rsidRPr="002F35FA">
        <w:rPr>
          <w:rFonts w:cs="Times New Roman"/>
        </w:rPr>
        <w:t>]).”</w:t>
      </w:r>
      <w:r w:rsidRPr="002F35FA">
        <w:rPr>
          <w:rStyle w:val="Funotenzeichen"/>
          <w:rFonts w:cs="Times New Roman"/>
        </w:rPr>
        <w:footnoteReference w:id="24"/>
      </w:r>
      <w:r w:rsidRPr="002F35FA">
        <w:rPr>
          <w:rFonts w:cs="Times New Roman"/>
        </w:rPr>
        <w:t xml:space="preserve"> </w:t>
      </w:r>
      <w:proofErr w:type="spellStart"/>
      <w:r w:rsidRPr="002F35FA">
        <w:rPr>
          <w:rFonts w:cs="Times New Roman"/>
        </w:rPr>
        <w:t>Summenhart</w:t>
      </w:r>
      <w:proofErr w:type="spellEnd"/>
      <w:r w:rsidRPr="002F35FA">
        <w:rPr>
          <w:rFonts w:cs="Times New Roman"/>
        </w:rPr>
        <w:t xml:space="preserve"> generalizes this insight by specifying a combination of conditions that jointly render the investment of costs, labor</w:t>
      </w:r>
      <w:r w:rsidR="00343247" w:rsidRPr="002F35FA">
        <w:rPr>
          <w:rFonts w:cs="Times New Roman"/>
        </w:rPr>
        <w:t>,</w:t>
      </w:r>
      <w:r w:rsidRPr="002F35FA">
        <w:rPr>
          <w:rFonts w:cs="Times New Roman"/>
        </w:rPr>
        <w:t xml:space="preserve"> and risks rational: The seller must assume that the product is genuinely useful for </w:t>
      </w:r>
      <w:r w:rsidRPr="002F35FA">
        <w:rPr>
          <w:rFonts w:cs="Times New Roman"/>
        </w:rPr>
        <w:lastRenderedPageBreak/>
        <w:t>the buyer or the community</w:t>
      </w:r>
      <w:r w:rsidRPr="002F35FA">
        <w:rPr>
          <w:rStyle w:val="Funotenzeichen"/>
          <w:rFonts w:cs="Times New Roman"/>
        </w:rPr>
        <w:footnoteReference w:id="25"/>
      </w:r>
      <w:r w:rsidRPr="002F35FA">
        <w:rPr>
          <w:rFonts w:cs="Times New Roman"/>
        </w:rPr>
        <w:t xml:space="preserve">—this could be described as a kind of prudence concerning the needs of buyers and the market conditions. </w:t>
      </w:r>
      <w:r w:rsidR="00CA104A" w:rsidRPr="002F35FA">
        <w:rPr>
          <w:rFonts w:cs="Times New Roman"/>
        </w:rPr>
        <w:t>And t</w:t>
      </w:r>
      <w:r w:rsidRPr="002F35FA">
        <w:rPr>
          <w:rFonts w:cs="Times New Roman"/>
        </w:rPr>
        <w:t>he buyer must assume that the product could not have been produced or transported at lower costs, less labor</w:t>
      </w:r>
      <w:r w:rsidR="00343247" w:rsidRPr="002F35FA">
        <w:rPr>
          <w:rFonts w:cs="Times New Roman"/>
        </w:rPr>
        <w:t>,</w:t>
      </w:r>
      <w:r w:rsidRPr="002F35FA">
        <w:rPr>
          <w:rFonts w:cs="Times New Roman"/>
        </w:rPr>
        <w:t xml:space="preserve"> or smaller risk</w:t>
      </w:r>
      <w:r w:rsidRPr="002F35FA">
        <w:rPr>
          <w:rStyle w:val="Funotenzeichen"/>
          <w:rFonts w:cs="Times New Roman"/>
        </w:rPr>
        <w:footnoteReference w:id="26"/>
      </w:r>
      <w:r w:rsidRPr="002F35FA">
        <w:rPr>
          <w:rFonts w:cs="Times New Roman"/>
        </w:rPr>
        <w:t xml:space="preserve">—this could be described as a kind of prudence with respect to production and transport conditions. </w:t>
      </w:r>
      <w:proofErr w:type="spellStart"/>
      <w:r w:rsidRPr="002F35FA">
        <w:rPr>
          <w:rFonts w:cs="Times New Roman"/>
        </w:rPr>
        <w:t>Summenhart</w:t>
      </w:r>
      <w:proofErr w:type="spellEnd"/>
      <w:r w:rsidRPr="002F35FA">
        <w:rPr>
          <w:rFonts w:cs="Times New Roman"/>
        </w:rPr>
        <w:t xml:space="preserve"> is clear that both conditions involve a high degree of uncertainty</w:t>
      </w:r>
      <w:r w:rsidR="003A043A" w:rsidRPr="002F35FA">
        <w:rPr>
          <w:rFonts w:cs="Times New Roman"/>
        </w:rPr>
        <w:t xml:space="preserve"> and thus</w:t>
      </w:r>
      <w:r w:rsidRPr="002F35FA">
        <w:rPr>
          <w:rFonts w:cs="Times New Roman"/>
        </w:rPr>
        <w:t xml:space="preserve"> characterizes the relevant attitudes in terms of presumptions: The seller must “presume without ruses and deception” that the product is genuinely useful for the buyer (as opposed to cases where the seller uses the product in a morally vicious way)</w:t>
      </w:r>
      <w:r w:rsidR="003A043A" w:rsidRPr="002F35FA">
        <w:rPr>
          <w:rFonts w:cs="Times New Roman"/>
        </w:rPr>
        <w:t>,</w:t>
      </w:r>
      <w:r w:rsidRPr="002F35FA">
        <w:rPr>
          <w:rFonts w:cs="Times New Roman"/>
        </w:rPr>
        <w:t xml:space="preserve"> and the buyer must presume that the seller has calculated costs, labor</w:t>
      </w:r>
      <w:r w:rsidR="00343247" w:rsidRPr="002F35FA">
        <w:rPr>
          <w:rFonts w:cs="Times New Roman"/>
        </w:rPr>
        <w:t>,</w:t>
      </w:r>
      <w:r w:rsidRPr="002F35FA">
        <w:rPr>
          <w:rFonts w:cs="Times New Roman"/>
        </w:rPr>
        <w:t xml:space="preserve"> and risks in a rational way.</w:t>
      </w:r>
      <w:r w:rsidRPr="002F35FA">
        <w:rPr>
          <w:rFonts w:cs="Times New Roman"/>
          <w:vertAlign w:val="superscript"/>
        </w:rPr>
        <w:footnoteReference w:id="27"/>
      </w:r>
    </w:p>
    <w:p w14:paraId="678ABEF3" w14:textId="50AA0DA7" w:rsidR="00DA7EF6" w:rsidRPr="002F35FA" w:rsidRDefault="0003530B" w:rsidP="00DA7EF6">
      <w:pPr>
        <w:pStyle w:val="Standard1"/>
        <w:spacing w:line="480" w:lineRule="auto"/>
        <w:ind w:firstLine="720"/>
        <w:rPr>
          <w:rFonts w:cs="Times New Roman"/>
        </w:rPr>
      </w:pPr>
      <w:r w:rsidRPr="002F35FA">
        <w:rPr>
          <w:rFonts w:cs="Times New Roman"/>
        </w:rPr>
        <w:t xml:space="preserve">Both Medina and </w:t>
      </w:r>
      <w:proofErr w:type="spellStart"/>
      <w:r w:rsidRPr="002F35FA">
        <w:rPr>
          <w:rFonts w:cs="Times New Roman"/>
        </w:rPr>
        <w:t>Mexía</w:t>
      </w:r>
      <w:proofErr w:type="spellEnd"/>
      <w:r w:rsidRPr="002F35FA">
        <w:rPr>
          <w:rFonts w:cs="Times New Roman"/>
        </w:rPr>
        <w:t xml:space="preserve"> adopt this line of argument</w:t>
      </w:r>
      <w:r w:rsidR="0019017E" w:rsidRPr="002F35FA">
        <w:rPr>
          <w:rFonts w:cs="Times New Roman"/>
        </w:rPr>
        <w:t xml:space="preserve">. </w:t>
      </w:r>
      <w:proofErr w:type="spellStart"/>
      <w:r w:rsidRPr="002F35FA">
        <w:rPr>
          <w:rFonts w:cs="Times New Roman"/>
        </w:rPr>
        <w:t>Mexía</w:t>
      </w:r>
      <w:proofErr w:type="spellEnd"/>
      <w:r w:rsidRPr="002F35FA">
        <w:rPr>
          <w:rFonts w:cs="Times New Roman"/>
        </w:rPr>
        <w:t xml:space="preserve"> </w:t>
      </w:r>
      <w:r w:rsidR="0019017E" w:rsidRPr="002F35FA">
        <w:rPr>
          <w:rFonts w:cs="Times New Roman"/>
        </w:rPr>
        <w:t xml:space="preserve">quotes </w:t>
      </w:r>
      <w:proofErr w:type="spellStart"/>
      <w:r w:rsidRPr="002F35FA">
        <w:rPr>
          <w:rFonts w:cs="Times New Roman"/>
        </w:rPr>
        <w:t>Summenhart</w:t>
      </w:r>
      <w:proofErr w:type="spellEnd"/>
      <w:r w:rsidRPr="002F35FA">
        <w:rPr>
          <w:rFonts w:cs="Times New Roman"/>
        </w:rPr>
        <w:t xml:space="preserve"> extensively</w:t>
      </w:r>
      <w:r w:rsidR="0019017E" w:rsidRPr="002F35FA">
        <w:rPr>
          <w:rFonts w:cs="Times New Roman"/>
        </w:rPr>
        <w:t>;</w:t>
      </w:r>
      <w:r w:rsidRPr="002F35FA">
        <w:rPr>
          <w:rFonts w:cs="Times New Roman"/>
          <w:vertAlign w:val="superscript"/>
        </w:rPr>
        <w:footnoteReference w:id="28"/>
      </w:r>
      <w:r w:rsidRPr="002F35FA">
        <w:rPr>
          <w:rFonts w:cs="Times New Roman"/>
        </w:rPr>
        <w:t xml:space="preserve"> Medina </w:t>
      </w:r>
      <w:r w:rsidR="0019017E" w:rsidRPr="002F35FA">
        <w:rPr>
          <w:rFonts w:cs="Times New Roman"/>
        </w:rPr>
        <w:t xml:space="preserve">paraphrases </w:t>
      </w:r>
      <w:r w:rsidRPr="002F35FA">
        <w:rPr>
          <w:rFonts w:cs="Times New Roman"/>
        </w:rPr>
        <w:t>the substance of his argument</w:t>
      </w:r>
      <w:r w:rsidR="0019017E" w:rsidRPr="002F35FA">
        <w:rPr>
          <w:rFonts w:cs="Times New Roman"/>
        </w:rPr>
        <w:t>, though</w:t>
      </w:r>
      <w:r w:rsidRPr="002F35FA">
        <w:rPr>
          <w:rFonts w:cs="Times New Roman"/>
        </w:rPr>
        <w:t xml:space="preserve"> with one significant alteration</w:t>
      </w:r>
      <w:r w:rsidR="0019017E" w:rsidRPr="002F35FA">
        <w:rPr>
          <w:rFonts w:cs="Times New Roman"/>
        </w:rPr>
        <w:t>:</w:t>
      </w:r>
      <w:r w:rsidRPr="002F35FA">
        <w:rPr>
          <w:rFonts w:cs="Times New Roman"/>
        </w:rPr>
        <w:t xml:space="preserve"> he replaces the concept of presumption with the concept of presupposition</w:t>
      </w:r>
      <w:r w:rsidR="0019017E" w:rsidRPr="002F35FA">
        <w:rPr>
          <w:rFonts w:cs="Times New Roman"/>
        </w:rPr>
        <w:t>.</w:t>
      </w:r>
      <w:r w:rsidRPr="002F35FA">
        <w:rPr>
          <w:rStyle w:val="Funotenzeichen"/>
          <w:rFonts w:cs="Times New Roman"/>
        </w:rPr>
        <w:footnoteReference w:id="29"/>
      </w:r>
      <w:r w:rsidR="000C684B" w:rsidRPr="002F35FA">
        <w:rPr>
          <w:rFonts w:cs="Times New Roman"/>
        </w:rPr>
        <w:t xml:space="preserve"> </w:t>
      </w:r>
      <w:r w:rsidR="0019017E" w:rsidRPr="002F35FA">
        <w:rPr>
          <w:rFonts w:cs="Times New Roman"/>
        </w:rPr>
        <w:t>Thus for him,</w:t>
      </w:r>
      <w:r w:rsidR="007646D3" w:rsidRPr="002F35FA">
        <w:rPr>
          <w:rFonts w:cs="Times New Roman"/>
        </w:rPr>
        <w:t xml:space="preserve"> </w:t>
      </w:r>
      <w:r w:rsidRPr="002F35FA">
        <w:rPr>
          <w:rFonts w:cs="Times New Roman"/>
        </w:rPr>
        <w:t xml:space="preserve">the relevant assumptions of the buyer and the seller </w:t>
      </w:r>
      <w:r w:rsidR="00A6150A" w:rsidRPr="002F35FA">
        <w:rPr>
          <w:rFonts w:cs="Times New Roman"/>
        </w:rPr>
        <w:t xml:space="preserve">are important due less to their </w:t>
      </w:r>
      <w:r w:rsidR="009111AD" w:rsidRPr="002F35FA">
        <w:rPr>
          <w:rFonts w:cs="Times New Roman"/>
        </w:rPr>
        <w:t xml:space="preserve">own </w:t>
      </w:r>
      <w:r w:rsidR="00A6150A" w:rsidRPr="002F35FA">
        <w:rPr>
          <w:rFonts w:cs="Times New Roman"/>
        </w:rPr>
        <w:t xml:space="preserve">nature than to </w:t>
      </w:r>
      <w:r w:rsidRPr="002F35FA">
        <w:rPr>
          <w:rFonts w:cs="Times New Roman"/>
        </w:rPr>
        <w:t xml:space="preserve">their role in practical reasoning. Most significantly, however, Medina and </w:t>
      </w:r>
      <w:proofErr w:type="spellStart"/>
      <w:r w:rsidRPr="002F35FA">
        <w:rPr>
          <w:rFonts w:cs="Times New Roman"/>
        </w:rPr>
        <w:t>Mexía</w:t>
      </w:r>
      <w:proofErr w:type="spellEnd"/>
      <w:r w:rsidRPr="002F35FA">
        <w:rPr>
          <w:rFonts w:cs="Times New Roman"/>
        </w:rPr>
        <w:t xml:space="preserve"> </w:t>
      </w:r>
      <w:r w:rsidR="00A6150A" w:rsidRPr="002F35FA">
        <w:rPr>
          <w:rFonts w:cs="Times New Roman"/>
        </w:rPr>
        <w:t>use this argument in discussing</w:t>
      </w:r>
      <w:r w:rsidRPr="002F35FA">
        <w:rPr>
          <w:rFonts w:cs="Times New Roman"/>
        </w:rPr>
        <w:t xml:space="preserve"> situations of extreme necessity</w:t>
      </w:r>
      <w:r w:rsidR="009111AD" w:rsidRPr="002F35FA">
        <w:rPr>
          <w:rFonts w:cs="Times New Roman"/>
        </w:rPr>
        <w:t>; it is severed from its original context, which had been the</w:t>
      </w:r>
      <w:r w:rsidR="007646D3" w:rsidRPr="002F35FA">
        <w:rPr>
          <w:rFonts w:cs="Times New Roman"/>
        </w:rPr>
        <w:t xml:space="preserve"> </w:t>
      </w:r>
      <w:r w:rsidRPr="002F35FA">
        <w:rPr>
          <w:rFonts w:cs="Times New Roman"/>
        </w:rPr>
        <w:t xml:space="preserve">analysis of how labor can increase value under normal market conditions. </w:t>
      </w:r>
      <w:r w:rsidR="00B34B3F" w:rsidRPr="002F35FA">
        <w:rPr>
          <w:rFonts w:cs="Times New Roman"/>
        </w:rPr>
        <w:t xml:space="preserve">The argument serves them well when they turn to </w:t>
      </w:r>
      <w:r w:rsidRPr="002F35FA">
        <w:rPr>
          <w:rFonts w:cs="Times New Roman"/>
        </w:rPr>
        <w:t xml:space="preserve">situations of great need, </w:t>
      </w:r>
      <w:r w:rsidR="00B34B3F" w:rsidRPr="002F35FA">
        <w:rPr>
          <w:rFonts w:cs="Times New Roman"/>
        </w:rPr>
        <w:t xml:space="preserve">where it is unproblematic to assume that it is genuinely useful to buyers to provide </w:t>
      </w:r>
      <w:r w:rsidRPr="002F35FA">
        <w:rPr>
          <w:rFonts w:cs="Times New Roman"/>
        </w:rPr>
        <w:t xml:space="preserve">basic commodities like grain and bread. If the producers and sellers have invested </w:t>
      </w:r>
      <w:r w:rsidR="00B34B3F" w:rsidRPr="002F35FA">
        <w:rPr>
          <w:rFonts w:cs="Times New Roman"/>
        </w:rPr>
        <w:t xml:space="preserve">in their production </w:t>
      </w:r>
      <w:r w:rsidRPr="002F35FA">
        <w:rPr>
          <w:rFonts w:cs="Times New Roman"/>
        </w:rPr>
        <w:t xml:space="preserve">in a rational way, </w:t>
      </w:r>
      <w:r w:rsidR="00B34B3F" w:rsidRPr="002F35FA">
        <w:rPr>
          <w:rFonts w:cs="Times New Roman"/>
        </w:rPr>
        <w:t>then</w:t>
      </w:r>
      <w:r w:rsidRPr="002F35FA">
        <w:rPr>
          <w:rFonts w:cs="Times New Roman"/>
        </w:rPr>
        <w:t xml:space="preserve"> commutative justice</w:t>
      </w:r>
      <w:r w:rsidR="00B34B3F" w:rsidRPr="002F35FA">
        <w:rPr>
          <w:rFonts w:cs="Times New Roman"/>
        </w:rPr>
        <w:t xml:space="preserve"> demands</w:t>
      </w:r>
      <w:r w:rsidRPr="002F35FA">
        <w:rPr>
          <w:rFonts w:cs="Times New Roman"/>
        </w:rPr>
        <w:t xml:space="preserve"> </w:t>
      </w:r>
      <w:r w:rsidR="00B34B3F" w:rsidRPr="002F35FA">
        <w:rPr>
          <w:rFonts w:cs="Times New Roman"/>
        </w:rPr>
        <w:t>the setting of</w:t>
      </w:r>
      <w:r w:rsidRPr="002F35FA">
        <w:rPr>
          <w:rFonts w:cs="Times New Roman"/>
        </w:rPr>
        <w:t xml:space="preserve"> a legal price that offers a recompense for the costs, labor</w:t>
      </w:r>
      <w:r w:rsidR="00343247" w:rsidRPr="002F35FA">
        <w:rPr>
          <w:rFonts w:cs="Times New Roman"/>
        </w:rPr>
        <w:t>,</w:t>
      </w:r>
      <w:r w:rsidRPr="002F35FA">
        <w:rPr>
          <w:rFonts w:cs="Times New Roman"/>
        </w:rPr>
        <w:t xml:space="preserve"> and risks invested. In this way, the rational </w:t>
      </w:r>
      <w:r w:rsidRPr="002F35FA">
        <w:rPr>
          <w:rFonts w:cs="Times New Roman"/>
        </w:rPr>
        <w:lastRenderedPageBreak/>
        <w:t>investment of costs, labor</w:t>
      </w:r>
      <w:r w:rsidR="000C684B" w:rsidRPr="002F35FA">
        <w:rPr>
          <w:rFonts w:cs="Times New Roman"/>
        </w:rPr>
        <w:t>,</w:t>
      </w:r>
      <w:r w:rsidRPr="002F35FA">
        <w:rPr>
          <w:rFonts w:cs="Times New Roman"/>
        </w:rPr>
        <w:t xml:space="preserve"> and risks not only sets an upper but also a lower limit to legitimate price regulation.</w:t>
      </w:r>
    </w:p>
    <w:p w14:paraId="479291BD" w14:textId="01A36C6D" w:rsidR="00DA7EF6" w:rsidRPr="002F35FA" w:rsidRDefault="0003530B" w:rsidP="00DA7EF6">
      <w:pPr>
        <w:pStyle w:val="Standard1"/>
        <w:spacing w:line="480" w:lineRule="auto"/>
        <w:ind w:firstLine="720"/>
        <w:rPr>
          <w:rFonts w:cs="Times New Roman"/>
        </w:rPr>
      </w:pPr>
      <w:proofErr w:type="spellStart"/>
      <w:r w:rsidRPr="002F35FA">
        <w:rPr>
          <w:rFonts w:cs="Times New Roman"/>
        </w:rPr>
        <w:t>Mexía</w:t>
      </w:r>
      <w:proofErr w:type="spellEnd"/>
      <w:r w:rsidRPr="002F35FA">
        <w:rPr>
          <w:rFonts w:cs="Times New Roman"/>
        </w:rPr>
        <w:t xml:space="preserve"> develops this argument further by drawing attention to the Roman-law distinction between “forgoing a profit” (</w:t>
      </w:r>
      <w:proofErr w:type="spellStart"/>
      <w:r w:rsidRPr="002F35FA">
        <w:rPr>
          <w:rFonts w:cs="Times New Roman"/>
          <w:i/>
          <w:iCs/>
        </w:rPr>
        <w:t>lucra</w:t>
      </w:r>
      <w:proofErr w:type="spellEnd"/>
      <w:r w:rsidRPr="002F35FA">
        <w:rPr>
          <w:rFonts w:cs="Times New Roman"/>
          <w:i/>
          <w:iCs/>
        </w:rPr>
        <w:t xml:space="preserve"> non </w:t>
      </w:r>
      <w:proofErr w:type="spellStart"/>
      <w:r w:rsidRPr="002F35FA">
        <w:rPr>
          <w:rFonts w:cs="Times New Roman"/>
          <w:i/>
          <w:iCs/>
        </w:rPr>
        <w:t>capere</w:t>
      </w:r>
      <w:proofErr w:type="spellEnd"/>
      <w:r w:rsidRPr="002F35FA">
        <w:rPr>
          <w:rFonts w:cs="Times New Roman"/>
        </w:rPr>
        <w:t>) and “losing that which is owed” (</w:t>
      </w:r>
      <w:proofErr w:type="spellStart"/>
      <w:r w:rsidRPr="002F35FA">
        <w:rPr>
          <w:rFonts w:cs="Times New Roman"/>
          <w:i/>
          <w:iCs/>
        </w:rPr>
        <w:t>debita</w:t>
      </w:r>
      <w:proofErr w:type="spellEnd"/>
      <w:r w:rsidRPr="002F35FA">
        <w:rPr>
          <w:rFonts w:cs="Times New Roman"/>
          <w:i/>
          <w:iCs/>
        </w:rPr>
        <w:t xml:space="preserve"> </w:t>
      </w:r>
      <w:proofErr w:type="spellStart"/>
      <w:r w:rsidRPr="002F35FA">
        <w:rPr>
          <w:rFonts w:cs="Times New Roman"/>
          <w:i/>
          <w:iCs/>
        </w:rPr>
        <w:t>amittere</w:t>
      </w:r>
      <w:proofErr w:type="spellEnd"/>
      <w:r w:rsidRPr="002F35FA">
        <w:rPr>
          <w:rFonts w:cs="Times New Roman"/>
        </w:rPr>
        <w:t>).</w:t>
      </w:r>
      <w:r w:rsidRPr="002F35FA">
        <w:rPr>
          <w:rStyle w:val="Funotenzeichen"/>
          <w:rFonts w:cs="Times New Roman"/>
        </w:rPr>
        <w:footnoteReference w:id="30"/>
      </w:r>
      <w:r w:rsidRPr="002F35FA">
        <w:rPr>
          <w:rFonts w:cs="Times New Roman"/>
        </w:rPr>
        <w:t xml:space="preserve"> </w:t>
      </w:r>
      <w:proofErr w:type="spellStart"/>
      <w:r w:rsidRPr="002F35FA">
        <w:rPr>
          <w:rFonts w:cs="Times New Roman"/>
        </w:rPr>
        <w:t>Mexía</w:t>
      </w:r>
      <w:proofErr w:type="spellEnd"/>
      <w:r w:rsidRPr="002F35FA">
        <w:rPr>
          <w:rFonts w:cs="Times New Roman"/>
        </w:rPr>
        <w:t xml:space="preserve"> claims that demanding a price that covers the production cost and offers a recompense for the labor invested is based on natural law that allows everyone “to avert harm” (</w:t>
      </w:r>
      <w:r w:rsidRPr="002F35FA">
        <w:rPr>
          <w:rFonts w:cs="Times New Roman"/>
          <w:i/>
          <w:iCs/>
        </w:rPr>
        <w:t xml:space="preserve">damnum </w:t>
      </w:r>
      <w:proofErr w:type="spellStart"/>
      <w:r w:rsidRPr="002F35FA">
        <w:rPr>
          <w:rFonts w:cs="Times New Roman"/>
          <w:i/>
          <w:iCs/>
        </w:rPr>
        <w:t>avertere</w:t>
      </w:r>
      <w:proofErr w:type="spellEnd"/>
      <w:r w:rsidRPr="002F35FA">
        <w:rPr>
          <w:rFonts w:cs="Times New Roman"/>
        </w:rPr>
        <w:t>).</w:t>
      </w:r>
      <w:r w:rsidRPr="002F35FA">
        <w:rPr>
          <w:rStyle w:val="Funotenzeichen"/>
          <w:rFonts w:cs="Times New Roman"/>
        </w:rPr>
        <w:footnoteReference w:id="31"/>
      </w:r>
      <w:r w:rsidRPr="002F35FA">
        <w:rPr>
          <w:rFonts w:cs="Times New Roman"/>
        </w:rPr>
        <w:t xml:space="preserve"> </w:t>
      </w:r>
      <w:r w:rsidR="00BF2820" w:rsidRPr="002F35FA">
        <w:rPr>
          <w:rFonts w:cs="Times New Roman"/>
        </w:rPr>
        <w:t>He explains his point by invoking a legal argument about present and future business activities. Simply forgo</w:t>
      </w:r>
      <w:r w:rsidR="00C767CA" w:rsidRPr="002F35FA">
        <w:rPr>
          <w:rFonts w:cs="Times New Roman"/>
        </w:rPr>
        <w:t>ing</w:t>
      </w:r>
      <w:r w:rsidR="00BF2820" w:rsidRPr="002F35FA">
        <w:rPr>
          <w:rFonts w:cs="Times New Roman"/>
        </w:rPr>
        <w:t xml:space="preserve"> a profit matters little if </w:t>
      </w:r>
      <w:r w:rsidRPr="002F35FA">
        <w:rPr>
          <w:rFonts w:cs="Times New Roman"/>
        </w:rPr>
        <w:t>it does not constitute a prejudice (</w:t>
      </w:r>
      <w:proofErr w:type="spellStart"/>
      <w:r w:rsidRPr="002F35FA">
        <w:rPr>
          <w:rFonts w:cs="Times New Roman"/>
          <w:i/>
        </w:rPr>
        <w:t>praejudicium</w:t>
      </w:r>
      <w:proofErr w:type="spellEnd"/>
      <w:r w:rsidRPr="002F35FA">
        <w:rPr>
          <w:rFonts w:cs="Times New Roman"/>
        </w:rPr>
        <w:t>) to the further activities of those who forgo the profit.</w:t>
      </w:r>
      <w:r w:rsidRPr="002F35FA">
        <w:rPr>
          <w:rStyle w:val="Funotenzeichen"/>
          <w:rFonts w:cs="Times New Roman"/>
        </w:rPr>
        <w:footnoteReference w:id="32"/>
      </w:r>
      <w:r w:rsidRPr="002F35FA">
        <w:rPr>
          <w:rFonts w:cs="Times New Roman"/>
        </w:rPr>
        <w:t xml:space="preserve"> By implication, prices that do not cover cost and offer a recompense for labor </w:t>
      </w:r>
      <w:r w:rsidR="00BF2820" w:rsidRPr="002F35FA">
        <w:rPr>
          <w:rFonts w:cs="Times New Roman"/>
        </w:rPr>
        <w:t xml:space="preserve">are wrong because </w:t>
      </w:r>
      <w:r w:rsidRPr="002F35FA">
        <w:rPr>
          <w:rFonts w:cs="Times New Roman"/>
        </w:rPr>
        <w:t xml:space="preserve">such prices </w:t>
      </w:r>
      <w:r w:rsidRPr="002F35FA">
        <w:rPr>
          <w:rFonts w:cs="Times New Roman"/>
          <w:iCs/>
        </w:rPr>
        <w:t>are</w:t>
      </w:r>
      <w:r w:rsidRPr="002F35FA">
        <w:rPr>
          <w:rFonts w:cs="Times New Roman"/>
        </w:rPr>
        <w:t xml:space="preserve"> </w:t>
      </w:r>
      <w:r w:rsidR="00BF2820" w:rsidRPr="002F35FA">
        <w:rPr>
          <w:rFonts w:cs="Times New Roman"/>
        </w:rPr>
        <w:t xml:space="preserve">in fact </w:t>
      </w:r>
      <w:r w:rsidRPr="002F35FA">
        <w:rPr>
          <w:rFonts w:cs="Times New Roman"/>
        </w:rPr>
        <w:t>prejudicial to the further economic activities</w:t>
      </w:r>
      <w:r w:rsidR="00C767CA" w:rsidRPr="002F35FA">
        <w:rPr>
          <w:rFonts w:cs="Times New Roman"/>
        </w:rPr>
        <w:t>,</w:t>
      </w:r>
      <w:r w:rsidRPr="002F35FA">
        <w:rPr>
          <w:rFonts w:cs="Times New Roman"/>
        </w:rPr>
        <w:t xml:space="preserve"> such as harvesting and distributing agricultural products. </w:t>
      </w:r>
      <w:r w:rsidR="00BF2820" w:rsidRPr="002F35FA">
        <w:rPr>
          <w:rFonts w:cs="Times New Roman"/>
        </w:rPr>
        <w:t xml:space="preserve">Yet </w:t>
      </w:r>
      <w:r w:rsidRPr="002F35FA">
        <w:rPr>
          <w:rFonts w:cs="Times New Roman"/>
        </w:rPr>
        <w:t xml:space="preserve">these activities are fundamental to the very existence of peasants, for whom the harm in question </w:t>
      </w:r>
      <w:r w:rsidR="00BF2820" w:rsidRPr="002F35FA">
        <w:rPr>
          <w:rFonts w:cs="Times New Roman"/>
        </w:rPr>
        <w:t xml:space="preserve">would indeed </w:t>
      </w:r>
      <w:r w:rsidRPr="002F35FA">
        <w:rPr>
          <w:rFonts w:cs="Times New Roman"/>
        </w:rPr>
        <w:t>threaten the fulfi</w:t>
      </w:r>
      <w:r w:rsidR="00463541" w:rsidRPr="002F35FA">
        <w:rPr>
          <w:rFonts w:cs="Times New Roman"/>
        </w:rPr>
        <w:t>l</w:t>
      </w:r>
      <w:r w:rsidRPr="002F35FA">
        <w:rPr>
          <w:rFonts w:cs="Times New Roman"/>
        </w:rPr>
        <w:t xml:space="preserve">lment of their fundamental needs. </w:t>
      </w:r>
      <w:proofErr w:type="gramStart"/>
      <w:r w:rsidR="00BF2820" w:rsidRPr="002F35FA">
        <w:rPr>
          <w:rFonts w:cs="Times New Roman"/>
        </w:rPr>
        <w:t>Thus</w:t>
      </w:r>
      <w:proofErr w:type="gramEnd"/>
      <w:r w:rsidRPr="002F35FA">
        <w:rPr>
          <w:rFonts w:cs="Times New Roman"/>
        </w:rPr>
        <w:t xml:space="preserve"> price regulation </w:t>
      </w:r>
      <w:r w:rsidR="00BF2820" w:rsidRPr="002F35FA">
        <w:rPr>
          <w:rFonts w:cs="Times New Roman"/>
        </w:rPr>
        <w:t>can be</w:t>
      </w:r>
      <w:r w:rsidRPr="002F35FA">
        <w:rPr>
          <w:rFonts w:cs="Times New Roman"/>
        </w:rPr>
        <w:t xml:space="preserve"> justified </w:t>
      </w:r>
      <w:r w:rsidR="00BF2820" w:rsidRPr="002F35FA">
        <w:rPr>
          <w:rFonts w:cs="Times New Roman"/>
        </w:rPr>
        <w:t>given</w:t>
      </w:r>
      <w:r w:rsidRPr="002F35FA">
        <w:rPr>
          <w:rFonts w:cs="Times New Roman"/>
        </w:rPr>
        <w:t xml:space="preserve"> the natural right to avert harm.</w:t>
      </w:r>
    </w:p>
    <w:p w14:paraId="098DE427" w14:textId="57120E22" w:rsidR="0003530B" w:rsidRPr="002F35FA" w:rsidRDefault="0003530B" w:rsidP="00DA7EF6">
      <w:pPr>
        <w:pStyle w:val="Standard1"/>
        <w:spacing w:line="480" w:lineRule="auto"/>
        <w:ind w:firstLine="720"/>
        <w:rPr>
          <w:rFonts w:cs="Times New Roman"/>
        </w:rPr>
      </w:pPr>
      <w:r w:rsidRPr="002F35FA">
        <w:rPr>
          <w:rFonts w:cs="Times New Roman"/>
        </w:rPr>
        <w:t xml:space="preserve">Here one might object that, if </w:t>
      </w:r>
      <w:r w:rsidR="00BF2820" w:rsidRPr="002F35FA">
        <w:rPr>
          <w:rFonts w:cs="Times New Roman"/>
        </w:rPr>
        <w:t xml:space="preserve">avoidance of famine is in </w:t>
      </w:r>
      <w:r w:rsidRPr="002F35FA">
        <w:rPr>
          <w:rFonts w:cs="Times New Roman"/>
        </w:rPr>
        <w:t xml:space="preserve">the public interest, </w:t>
      </w:r>
      <w:r w:rsidR="00BF2820" w:rsidRPr="002F35FA">
        <w:rPr>
          <w:rFonts w:cs="Times New Roman"/>
        </w:rPr>
        <w:t xml:space="preserve">then </w:t>
      </w:r>
      <w:r w:rsidRPr="002F35FA">
        <w:rPr>
          <w:rFonts w:cs="Times New Roman"/>
        </w:rPr>
        <w:t xml:space="preserve">it may be necessary to set fixed prices at a level that brings losses to the peasants. Hence, a modification of the argument developed by </w:t>
      </w:r>
      <w:proofErr w:type="spellStart"/>
      <w:r w:rsidRPr="002F35FA">
        <w:rPr>
          <w:rFonts w:cs="Times New Roman"/>
        </w:rPr>
        <w:t>Mexía</w:t>
      </w:r>
      <w:proofErr w:type="spellEnd"/>
      <w:r w:rsidRPr="002F35FA">
        <w:rPr>
          <w:rFonts w:cs="Times New Roman"/>
        </w:rPr>
        <w:t xml:space="preserve"> seems to be </w:t>
      </w:r>
      <w:r w:rsidR="00463541" w:rsidRPr="002F35FA">
        <w:rPr>
          <w:rFonts w:cs="Times New Roman"/>
        </w:rPr>
        <w:t>warranted</w:t>
      </w:r>
      <w:r w:rsidR="00BF2820" w:rsidRPr="002F35FA">
        <w:rPr>
          <w:rFonts w:cs="Times New Roman"/>
        </w:rPr>
        <w:t>, and Soria provides one</w:t>
      </w:r>
      <w:r w:rsidRPr="002F35FA">
        <w:rPr>
          <w:rFonts w:cs="Times New Roman"/>
        </w:rPr>
        <w:t>. Soria accepts that the function of regulated prices is to provide a recompense for labor and costs together with a moderate profit,</w:t>
      </w:r>
      <w:r w:rsidRPr="002F35FA">
        <w:rPr>
          <w:rStyle w:val="Funotenzeichen"/>
          <w:rFonts w:cs="Times New Roman"/>
        </w:rPr>
        <w:footnoteReference w:id="33"/>
      </w:r>
      <w:r w:rsidRPr="002F35FA">
        <w:rPr>
          <w:rFonts w:cs="Times New Roman"/>
        </w:rPr>
        <w:t xml:space="preserve"> but </w:t>
      </w:r>
      <w:r w:rsidR="00803A90" w:rsidRPr="002F35FA">
        <w:rPr>
          <w:rFonts w:cs="Times New Roman"/>
        </w:rPr>
        <w:t xml:space="preserve">he </w:t>
      </w:r>
      <w:r w:rsidRPr="002F35FA">
        <w:rPr>
          <w:rFonts w:cs="Times New Roman"/>
        </w:rPr>
        <w:t>argues that what matters is that peasants make a moderate gain in the long run</w:t>
      </w:r>
      <w:r w:rsidRPr="002F35FA">
        <w:rPr>
          <w:rStyle w:val="Funotenzeichen"/>
          <w:rFonts w:cs="Times New Roman"/>
        </w:rPr>
        <w:footnoteReference w:id="34"/>
      </w:r>
      <w:r w:rsidRPr="002F35FA">
        <w:rPr>
          <w:rFonts w:cs="Times New Roman"/>
        </w:rPr>
        <w:t xml:space="preserve"> </w:t>
      </w:r>
      <w:r w:rsidR="00803A90" w:rsidRPr="002F35FA">
        <w:rPr>
          <w:rFonts w:cs="Times New Roman"/>
        </w:rPr>
        <w:t>because the profit</w:t>
      </w:r>
      <w:r w:rsidRPr="002F35FA">
        <w:rPr>
          <w:rFonts w:cs="Times New Roman"/>
        </w:rPr>
        <w:t xml:space="preserve"> allows them to feed animals such as </w:t>
      </w:r>
      <w:r w:rsidRPr="002F35FA">
        <w:rPr>
          <w:rFonts w:cs="Times New Roman"/>
        </w:rPr>
        <w:lastRenderedPageBreak/>
        <w:t>mules and to invest in tools necessary for agricultural production.</w:t>
      </w:r>
      <w:r w:rsidRPr="002F35FA">
        <w:rPr>
          <w:rStyle w:val="Funotenzeichen"/>
          <w:rFonts w:cs="Times New Roman"/>
        </w:rPr>
        <w:footnoteReference w:id="35"/>
      </w:r>
      <w:r w:rsidRPr="002F35FA">
        <w:rPr>
          <w:rFonts w:cs="Times New Roman"/>
        </w:rPr>
        <w:t xml:space="preserve"> </w:t>
      </w:r>
      <w:r w:rsidR="00BF2820" w:rsidRPr="002F35FA">
        <w:rPr>
          <w:rFonts w:cs="Times New Roman"/>
        </w:rPr>
        <w:t>So too it is legitimate to uphold</w:t>
      </w:r>
      <w:r w:rsidRPr="002F35FA">
        <w:rPr>
          <w:rFonts w:cs="Times New Roman"/>
        </w:rPr>
        <w:t xml:space="preserve"> legal prices for all subjects </w:t>
      </w:r>
      <w:r w:rsidRPr="002F35FA">
        <w:rPr>
          <w:rFonts w:cs="Times New Roman"/>
          <w:i/>
        </w:rPr>
        <w:t>except</w:t>
      </w:r>
      <w:r w:rsidRPr="002F35FA">
        <w:rPr>
          <w:rFonts w:cs="Times New Roman"/>
        </w:rPr>
        <w:t xml:space="preserve"> for the agricultural workers: </w:t>
      </w:r>
    </w:p>
    <w:p w14:paraId="23766C15" w14:textId="77777777" w:rsidR="0003530B" w:rsidRPr="002F35FA" w:rsidRDefault="0003530B" w:rsidP="00A32A3B">
      <w:pPr>
        <w:pStyle w:val="Standard1"/>
        <w:spacing w:line="480" w:lineRule="auto"/>
        <w:ind w:firstLine="397"/>
        <w:rPr>
          <w:rFonts w:cs="Times New Roman"/>
        </w:rPr>
      </w:pPr>
    </w:p>
    <w:p w14:paraId="111D3926" w14:textId="5CEF9994" w:rsidR="0003530B" w:rsidRPr="002F35FA" w:rsidRDefault="0003530B" w:rsidP="00415222">
      <w:pPr>
        <w:pStyle w:val="Standard1"/>
        <w:spacing w:line="480" w:lineRule="auto"/>
        <w:ind w:left="720" w:right="720"/>
        <w:rPr>
          <w:rFonts w:cs="Times New Roman"/>
        </w:rPr>
      </w:pPr>
      <w:r w:rsidRPr="002F35FA">
        <w:rPr>
          <w:rFonts w:cs="Times New Roman"/>
        </w:rPr>
        <w:t xml:space="preserve">[One of the causes] that justifies this dispensation consists in the pressing need that the community has </w:t>
      </w:r>
      <w:r w:rsidR="002564A5" w:rsidRPr="002F35FA">
        <w:rPr>
          <w:rFonts w:cs="Times New Roman"/>
        </w:rPr>
        <w:t xml:space="preserve">for </w:t>
      </w:r>
      <w:r w:rsidRPr="002F35FA">
        <w:rPr>
          <w:rFonts w:cs="Times New Roman"/>
        </w:rPr>
        <w:t xml:space="preserve">the office of the worker, as much as it has </w:t>
      </w:r>
      <w:r w:rsidR="002564A5" w:rsidRPr="002F35FA">
        <w:rPr>
          <w:rFonts w:cs="Times New Roman"/>
        </w:rPr>
        <w:t xml:space="preserve">for the </w:t>
      </w:r>
      <w:r w:rsidRPr="002F35FA">
        <w:rPr>
          <w:rFonts w:cs="Times New Roman"/>
        </w:rPr>
        <w:t xml:space="preserve">bread that is the necessary support of human life; </w:t>
      </w:r>
      <w:r w:rsidR="002564A5" w:rsidRPr="002F35FA">
        <w:rPr>
          <w:rFonts w:cs="Times New Roman"/>
        </w:rPr>
        <w:t>thus</w:t>
      </w:r>
      <w:r w:rsidRPr="002F35FA">
        <w:rPr>
          <w:rFonts w:cs="Times New Roman"/>
        </w:rPr>
        <w:t xml:space="preserve">, if the worker does </w:t>
      </w:r>
      <w:r w:rsidR="002564A5" w:rsidRPr="002F35FA">
        <w:rPr>
          <w:rFonts w:cs="Times New Roman"/>
        </w:rPr>
        <w:t xml:space="preserve">not </w:t>
      </w:r>
      <w:r w:rsidRPr="002F35FA">
        <w:rPr>
          <w:rFonts w:cs="Times New Roman"/>
        </w:rPr>
        <w:t xml:space="preserve">find the means and power for sowing, it will be necessary to offer a replacement, even out of public funds; and if </w:t>
      </w:r>
      <w:r w:rsidR="002564A5" w:rsidRPr="002F35FA">
        <w:rPr>
          <w:rFonts w:cs="Times New Roman"/>
        </w:rPr>
        <w:t>we consider this well</w:t>
      </w:r>
      <w:r w:rsidRPr="002F35FA">
        <w:rPr>
          <w:rFonts w:cs="Times New Roman"/>
        </w:rPr>
        <w:t>, we will find that the dispensation of his Majesty, which involves public finances, can have this effect</w:t>
      </w:r>
      <w:r w:rsidR="002564A5" w:rsidRPr="002F35FA">
        <w:rPr>
          <w:rFonts w:cs="Times New Roman"/>
        </w:rPr>
        <w:t>; for</w:t>
      </w:r>
      <w:r w:rsidR="007646D3" w:rsidRPr="002F35FA">
        <w:rPr>
          <w:rFonts w:cs="Times New Roman"/>
        </w:rPr>
        <w:t xml:space="preserve"> </w:t>
      </w:r>
      <w:r w:rsidRPr="002F35FA">
        <w:rPr>
          <w:rFonts w:cs="Times New Roman"/>
        </w:rPr>
        <w:t xml:space="preserve">by selling their bread </w:t>
      </w:r>
      <w:r w:rsidR="00BE4DDD" w:rsidRPr="002F35FA">
        <w:rPr>
          <w:rFonts w:cs="Times New Roman"/>
        </w:rPr>
        <w:t xml:space="preserve">during </w:t>
      </w:r>
      <w:r w:rsidRPr="002F35FA">
        <w:rPr>
          <w:rFonts w:cs="Times New Roman"/>
        </w:rPr>
        <w:t xml:space="preserve">a </w:t>
      </w:r>
      <w:r w:rsidR="00BE4DDD" w:rsidRPr="002F35FA">
        <w:rPr>
          <w:rFonts w:cs="Times New Roman"/>
        </w:rPr>
        <w:t xml:space="preserve">drought </w:t>
      </w:r>
      <w:r w:rsidRPr="002F35FA">
        <w:rPr>
          <w:rFonts w:cs="Times New Roman"/>
        </w:rPr>
        <w:t xml:space="preserve">year </w:t>
      </w:r>
      <w:r w:rsidR="002564A5" w:rsidRPr="002F35FA">
        <w:rPr>
          <w:rFonts w:cs="Times New Roman"/>
        </w:rPr>
        <w:t xml:space="preserve">to the community </w:t>
      </w:r>
      <w:r w:rsidRPr="002F35FA">
        <w:rPr>
          <w:rFonts w:cs="Times New Roman"/>
        </w:rPr>
        <w:t>without regulated price,</w:t>
      </w:r>
      <w:r w:rsidR="00463541" w:rsidRPr="002F35FA">
        <w:rPr>
          <w:rFonts w:cs="Times New Roman"/>
        </w:rPr>
        <w:t xml:space="preserve"> . . . </w:t>
      </w:r>
      <w:r w:rsidRPr="002F35FA">
        <w:rPr>
          <w:rFonts w:cs="Times New Roman"/>
        </w:rPr>
        <w:t>they will sell it for a considerable price that brings with it the means and ability for sowing; and this will be like a public fund, secured through good and reliable administration, because the grain that is sold is not administered for the community</w:t>
      </w:r>
      <w:r w:rsidR="002564A5" w:rsidRPr="002F35FA">
        <w:rPr>
          <w:rFonts w:cs="Times New Roman"/>
        </w:rPr>
        <w:t>;</w:t>
      </w:r>
      <w:r w:rsidRPr="002F35FA">
        <w:rPr>
          <w:rFonts w:cs="Times New Roman"/>
        </w:rPr>
        <w:t xml:space="preserve"> rather</w:t>
      </w:r>
      <w:r w:rsidR="002564A5" w:rsidRPr="002F35FA">
        <w:rPr>
          <w:rFonts w:cs="Times New Roman"/>
        </w:rPr>
        <w:t>,</w:t>
      </w:r>
      <w:r w:rsidRPr="002F35FA">
        <w:rPr>
          <w:rFonts w:cs="Times New Roman"/>
        </w:rPr>
        <w:t xml:space="preserve"> the worker takes care of the administration of the grain that he can sell, and of which he gives as if it were his own</w:t>
      </w:r>
      <w:r w:rsidR="00463541" w:rsidRPr="002F35FA">
        <w:rPr>
          <w:rFonts w:cs="Times New Roman"/>
        </w:rPr>
        <w:t>.</w:t>
      </w:r>
      <w:r w:rsidRPr="002F35FA">
        <w:rPr>
          <w:rStyle w:val="Funotenzeichen"/>
          <w:rFonts w:cs="Times New Roman"/>
        </w:rPr>
        <w:footnoteReference w:id="36"/>
      </w:r>
      <w:r w:rsidRPr="002F35FA">
        <w:rPr>
          <w:rFonts w:cs="Times New Roman"/>
        </w:rPr>
        <w:t xml:space="preserve"> </w:t>
      </w:r>
    </w:p>
    <w:p w14:paraId="29262047" w14:textId="77777777" w:rsidR="0003530B" w:rsidRPr="002F35FA" w:rsidRDefault="0003530B" w:rsidP="00F322E6">
      <w:pPr>
        <w:pStyle w:val="Standard1"/>
        <w:spacing w:line="480" w:lineRule="auto"/>
        <w:rPr>
          <w:rFonts w:cs="Times New Roman"/>
        </w:rPr>
      </w:pPr>
    </w:p>
    <w:p w14:paraId="36B1037C" w14:textId="60217DA6" w:rsidR="0003530B" w:rsidRPr="002F35FA" w:rsidRDefault="0003530B" w:rsidP="00276F83">
      <w:pPr>
        <w:pStyle w:val="Standard1"/>
        <w:spacing w:line="480" w:lineRule="auto"/>
        <w:rPr>
          <w:rFonts w:cs="Times New Roman"/>
        </w:rPr>
      </w:pPr>
      <w:r w:rsidRPr="002F35FA">
        <w:rPr>
          <w:rFonts w:cs="Times New Roman"/>
        </w:rPr>
        <w:t>Moreover, Soria argues that conceding such dispensations will not undermine the purpose of price regulation</w:t>
      </w:r>
      <w:r w:rsidR="00DD4A0D" w:rsidRPr="002F35FA">
        <w:rPr>
          <w:rFonts w:cs="Times New Roman"/>
        </w:rPr>
        <w:t>,</w:t>
      </w:r>
      <w:r w:rsidRPr="002F35FA">
        <w:rPr>
          <w:rFonts w:cs="Times New Roman"/>
        </w:rPr>
        <w:t xml:space="preserve"> since in times of drought the workers</w:t>
      </w:r>
      <w:r w:rsidR="00DD4A0D" w:rsidRPr="002F35FA">
        <w:rPr>
          <w:rFonts w:cs="Times New Roman"/>
        </w:rPr>
        <w:t xml:space="preserve"> will not have much bread to sell, unlike </w:t>
      </w:r>
      <w:r w:rsidRPr="002F35FA">
        <w:rPr>
          <w:rFonts w:cs="Times New Roman"/>
        </w:rPr>
        <w:t>wealthy merchants and landowners who can store large amounts of grain</w:t>
      </w:r>
      <w:r w:rsidR="00DD4A0D" w:rsidRPr="002F35FA">
        <w:rPr>
          <w:rFonts w:cs="Times New Roman"/>
        </w:rPr>
        <w:t>.</w:t>
      </w:r>
      <w:r w:rsidRPr="002F35FA">
        <w:rPr>
          <w:rStyle w:val="Funotenzeichen"/>
          <w:rFonts w:cs="Times New Roman"/>
        </w:rPr>
        <w:footnoteReference w:id="37"/>
      </w:r>
      <w:r w:rsidRPr="002F35FA">
        <w:rPr>
          <w:rFonts w:cs="Times New Roman"/>
        </w:rPr>
        <w:t xml:space="preserve"> In both </w:t>
      </w:r>
      <w:r w:rsidRPr="002F35FA">
        <w:rPr>
          <w:rFonts w:cs="Times New Roman"/>
        </w:rPr>
        <w:lastRenderedPageBreak/>
        <w:t>ways (either by guaranteeing an adequate legal price, or by granting a dispensation from the legal price), allowing peasants a moderate long-term gain for their labor is not only a fulfil</w:t>
      </w:r>
      <w:r w:rsidR="00463541" w:rsidRPr="002F35FA">
        <w:rPr>
          <w:rFonts w:cs="Times New Roman"/>
        </w:rPr>
        <w:t>l</w:t>
      </w:r>
      <w:r w:rsidRPr="002F35FA">
        <w:rPr>
          <w:rFonts w:cs="Times New Roman"/>
        </w:rPr>
        <w:t>ment of natural law-based duties toward the peasants but also a fulfil</w:t>
      </w:r>
      <w:r w:rsidR="00463541" w:rsidRPr="002F35FA">
        <w:rPr>
          <w:rFonts w:cs="Times New Roman"/>
        </w:rPr>
        <w:t>l</w:t>
      </w:r>
      <w:r w:rsidRPr="002F35FA">
        <w:rPr>
          <w:rFonts w:cs="Times New Roman"/>
        </w:rPr>
        <w:t>ment of the entire community</w:t>
      </w:r>
      <w:r w:rsidR="00463541" w:rsidRPr="002F35FA">
        <w:rPr>
          <w:rFonts w:cs="Times New Roman"/>
        </w:rPr>
        <w:t>’s interest</w:t>
      </w:r>
      <w:r w:rsidRPr="002F35FA">
        <w:rPr>
          <w:rFonts w:cs="Times New Roman"/>
        </w:rPr>
        <w:t xml:space="preserve"> in a flourishing agriculture. </w:t>
      </w:r>
    </w:p>
    <w:p w14:paraId="3FDF6EA9" w14:textId="22B75533" w:rsidR="0003530B" w:rsidRPr="002F35FA" w:rsidRDefault="0003530B" w:rsidP="00A32A3B">
      <w:pPr>
        <w:pStyle w:val="Standard1"/>
        <w:spacing w:line="480" w:lineRule="auto"/>
        <w:rPr>
          <w:rFonts w:cs="Times New Roman"/>
        </w:rPr>
      </w:pPr>
    </w:p>
    <w:p w14:paraId="6E4C5061" w14:textId="7FDE356C" w:rsidR="0003530B" w:rsidRPr="002F35FA" w:rsidRDefault="00415222" w:rsidP="00415222">
      <w:pPr>
        <w:pStyle w:val="Standard1"/>
        <w:spacing w:line="480" w:lineRule="auto"/>
        <w:jc w:val="center"/>
        <w:rPr>
          <w:rFonts w:cs="Times New Roman"/>
        </w:rPr>
      </w:pPr>
      <w:r w:rsidRPr="002F35FA">
        <w:rPr>
          <w:rFonts w:cs="Times New Roman"/>
        </w:rPr>
        <w:t>II. PRICE REGULATION, COMMUTATIVE JUSTICE</w:t>
      </w:r>
      <w:r w:rsidR="00D1000E" w:rsidRPr="002F35FA">
        <w:rPr>
          <w:rFonts w:cs="Times New Roman"/>
        </w:rPr>
        <w:t>,</w:t>
      </w:r>
      <w:r w:rsidRPr="002F35FA">
        <w:rPr>
          <w:rFonts w:cs="Times New Roman"/>
        </w:rPr>
        <w:t xml:space="preserve"> AND DISTRIBUTIVE JUSTICE</w:t>
      </w:r>
    </w:p>
    <w:p w14:paraId="285319B3" w14:textId="37087CDF" w:rsidR="0003530B" w:rsidRPr="002F35FA" w:rsidRDefault="0003530B" w:rsidP="00A32A3B">
      <w:pPr>
        <w:pStyle w:val="Standard1"/>
        <w:spacing w:line="480" w:lineRule="auto"/>
        <w:rPr>
          <w:rFonts w:cs="Times New Roman"/>
        </w:rPr>
      </w:pPr>
    </w:p>
    <w:p w14:paraId="45996D52" w14:textId="26DA9A2F" w:rsidR="0003530B" w:rsidRPr="002F35FA" w:rsidRDefault="00977C04" w:rsidP="008738AD">
      <w:pPr>
        <w:pStyle w:val="Standard1"/>
        <w:spacing w:line="480" w:lineRule="auto"/>
        <w:rPr>
          <w:rFonts w:cs="Times New Roman"/>
        </w:rPr>
      </w:pPr>
      <w:r w:rsidRPr="002F35FA">
        <w:rPr>
          <w:rFonts w:cs="Times New Roman"/>
        </w:rPr>
        <w:t>Given t</w:t>
      </w:r>
      <w:r w:rsidR="0003530B" w:rsidRPr="002F35FA">
        <w:rPr>
          <w:rFonts w:cs="Times New Roman"/>
        </w:rPr>
        <w:t>he persistence of the labor-and-cost theory of value</w:t>
      </w:r>
      <w:r w:rsidRPr="002F35FA">
        <w:rPr>
          <w:rFonts w:cs="Times New Roman"/>
        </w:rPr>
        <w:t>, it seems reasonable to ask</w:t>
      </w:r>
      <w:r w:rsidR="0003530B" w:rsidRPr="002F35FA">
        <w:rPr>
          <w:rFonts w:cs="Times New Roman"/>
        </w:rPr>
        <w:t xml:space="preserve"> whether differences between diverging value theories have any consequences </w:t>
      </w:r>
      <w:r w:rsidRPr="002F35FA">
        <w:rPr>
          <w:rFonts w:cs="Times New Roman"/>
        </w:rPr>
        <w:t>for the ways that the Spanish moralists analyzed</w:t>
      </w:r>
      <w:r w:rsidR="0003530B" w:rsidRPr="002F35FA">
        <w:rPr>
          <w:rFonts w:cs="Times New Roman"/>
        </w:rPr>
        <w:t xml:space="preserve"> the relation between price</w:t>
      </w:r>
      <w:r w:rsidR="00C767CA" w:rsidRPr="002F35FA">
        <w:rPr>
          <w:rFonts w:cs="Times New Roman"/>
        </w:rPr>
        <w:t xml:space="preserve"> regulation and the demands of justice.</w:t>
      </w:r>
      <w:r w:rsidR="0003530B" w:rsidRPr="002F35FA">
        <w:rPr>
          <w:rFonts w:cs="Times New Roman"/>
        </w:rPr>
        <w:t xml:space="preserve"> </w:t>
      </w:r>
      <w:r w:rsidRPr="002F35FA">
        <w:rPr>
          <w:rFonts w:cs="Times New Roman"/>
        </w:rPr>
        <w:t>In fact,</w:t>
      </w:r>
      <w:r w:rsidR="0003530B" w:rsidRPr="002F35FA">
        <w:rPr>
          <w:rFonts w:cs="Times New Roman"/>
        </w:rPr>
        <w:t xml:space="preserve"> the consequences are substantial.</w:t>
      </w:r>
    </w:p>
    <w:p w14:paraId="43622779" w14:textId="0C9A7B51" w:rsidR="00DA7EF6" w:rsidRPr="002F35FA" w:rsidRDefault="0003530B" w:rsidP="00DA7EF6">
      <w:pPr>
        <w:pStyle w:val="Standard1"/>
        <w:spacing w:line="480" w:lineRule="auto"/>
        <w:ind w:firstLine="720"/>
        <w:rPr>
          <w:rFonts w:cs="Times New Roman"/>
        </w:rPr>
      </w:pPr>
      <w:r w:rsidRPr="002F35FA">
        <w:rPr>
          <w:rFonts w:cs="Times New Roman"/>
        </w:rPr>
        <w:t xml:space="preserve">Molina does not take legal prices to be an independent source of commutative justice, nor </w:t>
      </w:r>
      <w:r w:rsidR="00977C04" w:rsidRPr="002F35FA">
        <w:rPr>
          <w:rFonts w:cs="Times New Roman"/>
        </w:rPr>
        <w:t xml:space="preserve">does </w:t>
      </w:r>
      <w:r w:rsidRPr="002F35FA">
        <w:rPr>
          <w:rFonts w:cs="Times New Roman"/>
        </w:rPr>
        <w:t>he take them to be a suitable instrument of distributive goals.</w:t>
      </w:r>
      <w:r w:rsidRPr="002F35FA">
        <w:rPr>
          <w:rStyle w:val="Funotenzeichen"/>
          <w:rFonts w:cs="Times New Roman"/>
        </w:rPr>
        <w:footnoteReference w:id="38"/>
      </w:r>
      <w:r w:rsidRPr="002F35FA">
        <w:rPr>
          <w:rFonts w:cs="Times New Roman"/>
        </w:rPr>
        <w:t xml:space="preserve"> If policies of price regulation are chosen, he claims, then the only legitimate legal prices are those within the range of just market prices</w:t>
      </w:r>
      <w:r w:rsidRPr="002F35FA">
        <w:rPr>
          <w:rStyle w:val="Funotenzeichen"/>
          <w:rFonts w:cs="Times New Roman"/>
        </w:rPr>
        <w:footnoteReference w:id="39"/>
      </w:r>
      <w:r w:rsidRPr="002F35FA">
        <w:rPr>
          <w:rFonts w:cs="Times New Roman"/>
        </w:rPr>
        <w:t xml:space="preserve"> because in situations where the market price rises, it is a requirement of equity and justice that the owners of grain receive a higher price.</w:t>
      </w:r>
      <w:r w:rsidRPr="002F35FA">
        <w:rPr>
          <w:rStyle w:val="Funotenzeichen"/>
          <w:rFonts w:cs="Times New Roman"/>
        </w:rPr>
        <w:footnoteReference w:id="40"/>
      </w:r>
      <w:r w:rsidR="00BE4DDD" w:rsidRPr="002F35FA">
        <w:rPr>
          <w:rFonts w:cs="Times New Roman"/>
        </w:rPr>
        <w:t xml:space="preserve"> This position follows naturally from</w:t>
      </w:r>
      <w:r w:rsidR="007646D3" w:rsidRPr="002F35FA">
        <w:rPr>
          <w:rFonts w:cs="Times New Roman"/>
        </w:rPr>
        <w:t xml:space="preserve"> </w:t>
      </w:r>
      <w:r w:rsidRPr="002F35FA">
        <w:rPr>
          <w:rFonts w:cs="Times New Roman"/>
        </w:rPr>
        <w:t>his view that only fair market mechanisms can define a just price</w:t>
      </w:r>
      <w:r w:rsidR="00BE4DDD" w:rsidRPr="002F35FA">
        <w:rPr>
          <w:rFonts w:cs="Times New Roman"/>
        </w:rPr>
        <w:t>; and consequently,</w:t>
      </w:r>
      <w:r w:rsidRPr="002F35FA">
        <w:rPr>
          <w:rFonts w:cs="Times New Roman"/>
        </w:rPr>
        <w:t xml:space="preserve"> price regulation can never be an independent source of commutative justice. Moreover, in Molina’s view, distributive justice relates only to the distribution of public benefits according to the merits of citizens.</w:t>
      </w:r>
      <w:r w:rsidRPr="002F35FA">
        <w:rPr>
          <w:rStyle w:val="Funotenzeichen"/>
          <w:rFonts w:cs="Times New Roman"/>
        </w:rPr>
        <w:footnoteReference w:id="41"/>
      </w:r>
      <w:r w:rsidRPr="002F35FA">
        <w:rPr>
          <w:rFonts w:cs="Times New Roman"/>
        </w:rPr>
        <w:t xml:space="preserve"> In particular, Molina denies that any public act of commutative justice could </w:t>
      </w:r>
      <w:r w:rsidR="00BE4DDD" w:rsidRPr="002F35FA">
        <w:rPr>
          <w:rFonts w:cs="Times New Roman"/>
        </w:rPr>
        <w:t>fulfill simultaneously the</w:t>
      </w:r>
      <w:r w:rsidRPr="002F35FA">
        <w:rPr>
          <w:rFonts w:cs="Times New Roman"/>
        </w:rPr>
        <w:t xml:space="preserve"> duties of distributive </w:t>
      </w:r>
      <w:r w:rsidRPr="002F35FA">
        <w:rPr>
          <w:rFonts w:cs="Times New Roman"/>
        </w:rPr>
        <w:lastRenderedPageBreak/>
        <w:t>justice.</w:t>
      </w:r>
      <w:r w:rsidRPr="002F35FA">
        <w:rPr>
          <w:rStyle w:val="Funotenzeichen"/>
          <w:rFonts w:cs="Times New Roman"/>
        </w:rPr>
        <w:footnoteReference w:id="42"/>
      </w:r>
      <w:r w:rsidRPr="002F35FA">
        <w:rPr>
          <w:rFonts w:cs="Times New Roman"/>
        </w:rPr>
        <w:t xml:space="preserve"> For instance, in his view, </w:t>
      </w:r>
      <w:r w:rsidR="00BE4DDD" w:rsidRPr="002F35FA">
        <w:rPr>
          <w:rFonts w:cs="Times New Roman"/>
        </w:rPr>
        <w:t xml:space="preserve">the </w:t>
      </w:r>
      <w:r w:rsidRPr="002F35FA">
        <w:rPr>
          <w:rFonts w:cs="Times New Roman"/>
        </w:rPr>
        <w:t>salaries of soldiers, judges</w:t>
      </w:r>
      <w:r w:rsidR="00D1000E" w:rsidRPr="002F35FA">
        <w:rPr>
          <w:rFonts w:cs="Times New Roman"/>
        </w:rPr>
        <w:t>,</w:t>
      </w:r>
      <w:r w:rsidRPr="002F35FA">
        <w:rPr>
          <w:rFonts w:cs="Times New Roman"/>
        </w:rPr>
        <w:t xml:space="preserve"> and other office holders </w:t>
      </w:r>
      <w:r w:rsidR="00BE4DDD" w:rsidRPr="002F35FA">
        <w:rPr>
          <w:rFonts w:cs="Times New Roman"/>
        </w:rPr>
        <w:t>are subject only to</w:t>
      </w:r>
      <w:r w:rsidRPr="002F35FA">
        <w:rPr>
          <w:rFonts w:cs="Times New Roman"/>
        </w:rPr>
        <w:t xml:space="preserve"> the demands of commutative justice between the public and individuals</w:t>
      </w:r>
      <w:r w:rsidR="00D1000E" w:rsidRPr="002F35FA">
        <w:rPr>
          <w:rFonts w:cs="Times New Roman"/>
        </w:rPr>
        <w:t xml:space="preserve">, and </w:t>
      </w:r>
      <w:r w:rsidRPr="002F35FA">
        <w:rPr>
          <w:rFonts w:cs="Times New Roman"/>
        </w:rPr>
        <w:t>every benefit bestowed on office holders in addition to salary should be regarded as an act of generosity or gratitude, not of justice.</w:t>
      </w:r>
      <w:r w:rsidRPr="002F35FA">
        <w:rPr>
          <w:rStyle w:val="Funotenzeichen"/>
          <w:rFonts w:cs="Times New Roman"/>
        </w:rPr>
        <w:footnoteReference w:id="43"/>
      </w:r>
    </w:p>
    <w:p w14:paraId="1E991C9E" w14:textId="0E3A6969" w:rsidR="0003530B" w:rsidRPr="002F35FA" w:rsidRDefault="0003530B" w:rsidP="00DA7EF6">
      <w:pPr>
        <w:pStyle w:val="Standard1"/>
        <w:spacing w:line="480" w:lineRule="auto"/>
        <w:ind w:firstLine="720"/>
        <w:rPr>
          <w:rFonts w:cs="Times New Roman"/>
        </w:rPr>
      </w:pPr>
      <w:r w:rsidRPr="002F35FA">
        <w:rPr>
          <w:rFonts w:cs="Times New Roman"/>
        </w:rPr>
        <w:t xml:space="preserve">By contrast, Medina argues that </w:t>
      </w:r>
      <w:r w:rsidR="00BE4DDD" w:rsidRPr="002F35FA">
        <w:rPr>
          <w:rFonts w:cs="Times New Roman"/>
        </w:rPr>
        <w:t xml:space="preserve">in situations of extreme need, to limit </w:t>
      </w:r>
      <w:r w:rsidRPr="002F35FA">
        <w:rPr>
          <w:rFonts w:cs="Times New Roman"/>
        </w:rPr>
        <w:t xml:space="preserve">legitimate price regulation to the range of fair market prices </w:t>
      </w:r>
      <w:r w:rsidR="00BE4DDD" w:rsidRPr="002F35FA">
        <w:rPr>
          <w:rFonts w:cs="Times New Roman"/>
        </w:rPr>
        <w:t xml:space="preserve">risks </w:t>
      </w:r>
      <w:r w:rsidRPr="002F35FA">
        <w:rPr>
          <w:rFonts w:cs="Times New Roman"/>
        </w:rPr>
        <w:t xml:space="preserve">harmful consequences for the entire community: </w:t>
      </w:r>
    </w:p>
    <w:p w14:paraId="72EB90C5" w14:textId="77777777" w:rsidR="0003530B" w:rsidRPr="002F35FA" w:rsidRDefault="0003530B" w:rsidP="0035396A">
      <w:pPr>
        <w:pStyle w:val="Standard1"/>
        <w:spacing w:line="480" w:lineRule="auto"/>
        <w:ind w:firstLine="397"/>
        <w:rPr>
          <w:rFonts w:cs="Times New Roman"/>
        </w:rPr>
      </w:pPr>
    </w:p>
    <w:p w14:paraId="521DB852" w14:textId="64575D00" w:rsidR="0003530B" w:rsidRPr="002F35FA" w:rsidRDefault="00A52274" w:rsidP="00415222">
      <w:pPr>
        <w:pStyle w:val="Standard1"/>
        <w:spacing w:line="480" w:lineRule="auto"/>
        <w:ind w:left="720" w:right="720"/>
        <w:rPr>
          <w:rFonts w:cs="Times New Roman"/>
        </w:rPr>
      </w:pPr>
      <w:r w:rsidRPr="002F35FA">
        <w:rPr>
          <w:rFonts w:cs="Times New Roman"/>
        </w:rPr>
        <w:t>If sellers are allowed</w:t>
      </w:r>
      <w:r w:rsidR="0003530B" w:rsidRPr="002F35FA">
        <w:rPr>
          <w:rFonts w:cs="Times New Roman"/>
        </w:rPr>
        <w:t xml:space="preserve"> in time of drought to sell grain at whatever price they can, then paupers who do not have enough money to pay for the wheat at the price demanded by the rich would die of hunger. And those who </w:t>
      </w:r>
      <w:r w:rsidRPr="002F35FA">
        <w:rPr>
          <w:rFonts w:cs="Times New Roman"/>
        </w:rPr>
        <w:t xml:space="preserve">have nothing </w:t>
      </w:r>
      <w:r w:rsidR="0003530B" w:rsidRPr="002F35FA">
        <w:rPr>
          <w:rFonts w:cs="Times New Roman"/>
        </w:rPr>
        <w:t>to cover the price</w:t>
      </w:r>
      <w:r w:rsidR="000A2014" w:rsidRPr="002F35FA">
        <w:rPr>
          <w:rFonts w:cs="Times New Roman"/>
        </w:rPr>
        <w:t xml:space="preserve"> </w:t>
      </w:r>
      <w:r w:rsidRPr="002F35FA">
        <w:rPr>
          <w:rFonts w:cs="Times New Roman"/>
        </w:rPr>
        <w:t>except</w:t>
      </w:r>
      <w:r w:rsidR="0003530B" w:rsidRPr="002F35FA">
        <w:rPr>
          <w:rFonts w:cs="Times New Roman"/>
        </w:rPr>
        <w:t xml:space="preserve"> vineyards, fields, or houses are either forced to sell such things at low prices in order to buy wheat, or to hand over to the sellers what they have in order to be able to afford their wheat; and in this way it would come about that those who have wheat to sell will exhaust the possessions and powers of the others within the shortest time and will become extremely rich, while the others remain in greatest misery and neediness</w:t>
      </w:r>
      <w:r w:rsidR="00D1000E" w:rsidRPr="002F35FA">
        <w:rPr>
          <w:rFonts w:cs="Times New Roman"/>
        </w:rPr>
        <w:t>.</w:t>
      </w:r>
      <w:r w:rsidR="0003530B" w:rsidRPr="002F35FA">
        <w:rPr>
          <w:rFonts w:cs="Times New Roman"/>
          <w:vertAlign w:val="superscript"/>
        </w:rPr>
        <w:footnoteReference w:id="44"/>
      </w:r>
      <w:r w:rsidR="0003530B" w:rsidRPr="002F35FA">
        <w:rPr>
          <w:rFonts w:cs="Times New Roman"/>
        </w:rPr>
        <w:t xml:space="preserve"> </w:t>
      </w:r>
    </w:p>
    <w:p w14:paraId="59350B36" w14:textId="77777777" w:rsidR="0003530B" w:rsidRPr="002F35FA" w:rsidRDefault="0003530B" w:rsidP="0035396A">
      <w:pPr>
        <w:pStyle w:val="Standard1"/>
        <w:spacing w:line="480" w:lineRule="auto"/>
        <w:ind w:firstLine="397"/>
        <w:rPr>
          <w:rFonts w:cs="Times New Roman"/>
        </w:rPr>
      </w:pPr>
    </w:p>
    <w:p w14:paraId="6B360444" w14:textId="047BE927" w:rsidR="00DA7EF6" w:rsidRPr="002F35FA" w:rsidRDefault="0003530B" w:rsidP="00DA7EF6">
      <w:pPr>
        <w:pStyle w:val="Standard1"/>
        <w:spacing w:line="480" w:lineRule="auto"/>
        <w:rPr>
          <w:rFonts w:cs="Times New Roman"/>
        </w:rPr>
      </w:pPr>
      <w:r w:rsidRPr="002F35FA">
        <w:rPr>
          <w:rFonts w:cs="Times New Roman"/>
        </w:rPr>
        <w:t>Medina emphasizes that the accumulation of extreme differences in wealth is bad in three respects: it is detrimental for the state</w:t>
      </w:r>
      <w:r w:rsidR="00006D76" w:rsidRPr="002F35FA">
        <w:rPr>
          <w:rFonts w:cs="Times New Roman"/>
        </w:rPr>
        <w:t xml:space="preserve">, </w:t>
      </w:r>
      <w:r w:rsidRPr="002F35FA">
        <w:rPr>
          <w:rFonts w:cs="Times New Roman"/>
        </w:rPr>
        <w:t>it is contrary to charity</w:t>
      </w:r>
      <w:r w:rsidR="00006D76" w:rsidRPr="002F35FA">
        <w:rPr>
          <w:rFonts w:cs="Times New Roman"/>
        </w:rPr>
        <w:t>, and</w:t>
      </w:r>
      <w:r w:rsidRPr="002F35FA">
        <w:rPr>
          <w:rFonts w:cs="Times New Roman"/>
        </w:rPr>
        <w:t xml:space="preserve"> it is unjust (</w:t>
      </w:r>
      <w:proofErr w:type="spellStart"/>
      <w:r w:rsidRPr="002F35FA">
        <w:rPr>
          <w:rFonts w:cs="Times New Roman"/>
          <w:i/>
        </w:rPr>
        <w:t>iniquum</w:t>
      </w:r>
      <w:proofErr w:type="spellEnd"/>
      <w:r w:rsidRPr="002F35FA">
        <w:rPr>
          <w:rFonts w:cs="Times New Roman"/>
        </w:rPr>
        <w:t>).</w:t>
      </w:r>
      <w:r w:rsidRPr="002F35FA">
        <w:rPr>
          <w:rStyle w:val="Funotenzeichen"/>
          <w:rFonts w:cs="Times New Roman"/>
        </w:rPr>
        <w:footnoteReference w:id="45"/>
      </w:r>
      <w:r w:rsidRPr="002F35FA">
        <w:rPr>
          <w:rFonts w:cs="Times New Roman"/>
        </w:rPr>
        <w:t xml:space="preserve"> The two former points may be obvious, but why should </w:t>
      </w:r>
      <w:r w:rsidR="00A52274" w:rsidRPr="002F35FA">
        <w:rPr>
          <w:rFonts w:cs="Times New Roman"/>
        </w:rPr>
        <w:t xml:space="preserve">the development of such wealth </w:t>
      </w:r>
      <w:r w:rsidR="00A52274" w:rsidRPr="002F35FA">
        <w:rPr>
          <w:rFonts w:cs="Times New Roman"/>
        </w:rPr>
        <w:lastRenderedPageBreak/>
        <w:t>disparity</w:t>
      </w:r>
      <w:r w:rsidRPr="002F35FA">
        <w:rPr>
          <w:rFonts w:cs="Times New Roman"/>
        </w:rPr>
        <w:t xml:space="preserve"> be regarded as </w:t>
      </w:r>
      <w:r w:rsidR="00006D76" w:rsidRPr="002F35FA">
        <w:rPr>
          <w:rFonts w:cs="Times New Roman"/>
        </w:rPr>
        <w:t>unjust</w:t>
      </w:r>
      <w:r w:rsidRPr="002F35FA">
        <w:rPr>
          <w:rFonts w:cs="Times New Roman"/>
        </w:rPr>
        <w:t>? As we have seen, the labor-and-cost theory of value leads to the view that in situations of extreme shortage, legal prices that would, in the long run, cover labor and expenses should respect the natural rights of peasants and merchants</w:t>
      </w:r>
      <w:r w:rsidR="00A52274" w:rsidRPr="002F35FA">
        <w:rPr>
          <w:rFonts w:cs="Times New Roman"/>
        </w:rPr>
        <w:t xml:space="preserve"> in order</w:t>
      </w:r>
      <w:r w:rsidRPr="002F35FA">
        <w:rPr>
          <w:rFonts w:cs="Times New Roman"/>
        </w:rPr>
        <w:t xml:space="preserve"> to avert harm. In such situations, the value of goods is determined by </w:t>
      </w:r>
      <w:r w:rsidR="00A52274" w:rsidRPr="002F35FA">
        <w:rPr>
          <w:rFonts w:cs="Times New Roman"/>
        </w:rPr>
        <w:t>the demands of</w:t>
      </w:r>
      <w:r w:rsidRPr="002F35FA">
        <w:rPr>
          <w:rFonts w:cs="Times New Roman"/>
        </w:rPr>
        <w:t xml:space="preserve"> respectin</w:t>
      </w:r>
      <w:r w:rsidR="00DA7EF6" w:rsidRPr="002F35FA">
        <w:rPr>
          <w:rFonts w:cs="Times New Roman"/>
        </w:rPr>
        <w:t>g these natural rights.</w:t>
      </w:r>
    </w:p>
    <w:p w14:paraId="235F2713" w14:textId="3ECC8600" w:rsidR="00DA7EF6" w:rsidRPr="002F35FA" w:rsidRDefault="00A52274" w:rsidP="00DA7EF6">
      <w:pPr>
        <w:pStyle w:val="Standard1"/>
        <w:spacing w:line="480" w:lineRule="auto"/>
        <w:ind w:firstLine="720"/>
        <w:rPr>
          <w:rFonts w:cs="Times New Roman"/>
        </w:rPr>
      </w:pPr>
      <w:r w:rsidRPr="002F35FA">
        <w:rPr>
          <w:rFonts w:cs="Times New Roman"/>
        </w:rPr>
        <w:t>So too</w:t>
      </w:r>
      <w:r w:rsidR="0003530B" w:rsidRPr="002F35FA">
        <w:rPr>
          <w:rFonts w:cs="Times New Roman"/>
        </w:rPr>
        <w:t xml:space="preserve"> </w:t>
      </w:r>
      <w:proofErr w:type="spellStart"/>
      <w:r w:rsidR="0003530B" w:rsidRPr="002F35FA">
        <w:rPr>
          <w:rFonts w:cs="Times New Roman"/>
        </w:rPr>
        <w:t>Mexía</w:t>
      </w:r>
      <w:proofErr w:type="spellEnd"/>
      <w:r w:rsidR="0003530B" w:rsidRPr="002F35FA">
        <w:rPr>
          <w:rFonts w:cs="Times New Roman"/>
        </w:rPr>
        <w:t xml:space="preserve"> </w:t>
      </w:r>
      <w:r w:rsidRPr="002F35FA">
        <w:rPr>
          <w:rFonts w:cs="Times New Roman"/>
        </w:rPr>
        <w:t>discusses both</w:t>
      </w:r>
      <w:r w:rsidR="0003530B" w:rsidRPr="002F35FA">
        <w:rPr>
          <w:rFonts w:cs="Times New Roman"/>
        </w:rPr>
        <w:t xml:space="preserve"> commutative and distributive justice. Since the relevant sense of justice derives from the equality of the value of the good and the sum paid, </w:t>
      </w:r>
      <w:proofErr w:type="spellStart"/>
      <w:r w:rsidR="0003530B" w:rsidRPr="002F35FA">
        <w:rPr>
          <w:rFonts w:cs="Times New Roman"/>
        </w:rPr>
        <w:t>Mexía</w:t>
      </w:r>
      <w:proofErr w:type="spellEnd"/>
      <w:r w:rsidR="0003530B" w:rsidRPr="002F35FA">
        <w:rPr>
          <w:rFonts w:cs="Times New Roman"/>
        </w:rPr>
        <w:t xml:space="preserve"> concludes that obeying the price law is a duty of commutative justice.</w:t>
      </w:r>
      <w:r w:rsidR="0003530B" w:rsidRPr="002F35FA">
        <w:rPr>
          <w:rStyle w:val="Funotenzeichen"/>
          <w:rFonts w:cs="Times New Roman"/>
        </w:rPr>
        <w:footnoteReference w:id="46"/>
      </w:r>
      <w:r w:rsidR="0003530B" w:rsidRPr="002F35FA">
        <w:rPr>
          <w:rFonts w:cs="Times New Roman"/>
        </w:rPr>
        <w:t xml:space="preserve"> At the same time, he aligns his understanding of the justice involved in price regulation with Cicero’s view that justice—as </w:t>
      </w:r>
      <w:proofErr w:type="spellStart"/>
      <w:r w:rsidR="0003530B" w:rsidRPr="002F35FA">
        <w:rPr>
          <w:rFonts w:cs="Times New Roman"/>
        </w:rPr>
        <w:t>Mexía</w:t>
      </w:r>
      <w:proofErr w:type="spellEnd"/>
      <w:r w:rsidR="0003530B" w:rsidRPr="002F35FA">
        <w:rPr>
          <w:rFonts w:cs="Times New Roman"/>
        </w:rPr>
        <w:t xml:space="preserve"> renders it—“is a disposition of the mind, preserved for the sake of common utility, to concede to each person her dignity” and that “justice is equity that gives to each person according to her dignity.”</w:t>
      </w:r>
      <w:r w:rsidR="0003530B" w:rsidRPr="002F35FA">
        <w:rPr>
          <w:rStyle w:val="Funotenzeichen"/>
          <w:rFonts w:cs="Times New Roman"/>
        </w:rPr>
        <w:footnoteReference w:id="47"/>
      </w:r>
      <w:r w:rsidR="0003530B" w:rsidRPr="002F35FA">
        <w:rPr>
          <w:rFonts w:cs="Times New Roman"/>
        </w:rPr>
        <w:t xml:space="preserve"> And, as </w:t>
      </w:r>
      <w:proofErr w:type="spellStart"/>
      <w:r w:rsidR="0003530B" w:rsidRPr="002F35FA">
        <w:rPr>
          <w:rFonts w:cs="Times New Roman"/>
        </w:rPr>
        <w:t>Mexía</w:t>
      </w:r>
      <w:proofErr w:type="spellEnd"/>
      <w:r w:rsidR="0003530B" w:rsidRPr="002F35FA">
        <w:rPr>
          <w:rFonts w:cs="Times New Roman"/>
        </w:rPr>
        <w:t xml:space="preserve"> explains, equity is nothing other than natural law that derives from eternal reason.</w:t>
      </w:r>
      <w:r w:rsidR="0003530B" w:rsidRPr="002F35FA">
        <w:rPr>
          <w:rStyle w:val="Funotenzeichen"/>
          <w:rFonts w:cs="Times New Roman"/>
        </w:rPr>
        <w:footnoteReference w:id="48"/>
      </w:r>
    </w:p>
    <w:p w14:paraId="5926C2EF" w14:textId="3A8BD897" w:rsidR="00A26515" w:rsidRPr="002F35FA" w:rsidRDefault="00A52274" w:rsidP="00DA7EF6">
      <w:pPr>
        <w:pStyle w:val="Standard1"/>
        <w:spacing w:line="480" w:lineRule="auto"/>
        <w:ind w:firstLine="720"/>
        <w:rPr>
          <w:rFonts w:cs="Times New Roman"/>
        </w:rPr>
      </w:pPr>
      <w:r w:rsidRPr="002F35FA">
        <w:rPr>
          <w:rFonts w:cs="Times New Roman"/>
        </w:rPr>
        <w:t xml:space="preserve">Both </w:t>
      </w:r>
      <w:proofErr w:type="spellStart"/>
      <w:r w:rsidR="0003530B" w:rsidRPr="002F35FA">
        <w:rPr>
          <w:rFonts w:cs="Times New Roman"/>
        </w:rPr>
        <w:t>Summenhart</w:t>
      </w:r>
      <w:proofErr w:type="spellEnd"/>
      <w:r w:rsidR="0003530B" w:rsidRPr="002F35FA">
        <w:rPr>
          <w:rFonts w:cs="Times New Roman"/>
        </w:rPr>
        <w:t xml:space="preserve"> and </w:t>
      </w:r>
      <w:proofErr w:type="spellStart"/>
      <w:r w:rsidR="0003530B" w:rsidRPr="002F35FA">
        <w:rPr>
          <w:rFonts w:cs="Times New Roman"/>
        </w:rPr>
        <w:t>Mexía</w:t>
      </w:r>
      <w:proofErr w:type="spellEnd"/>
      <w:r w:rsidR="0003530B" w:rsidRPr="002F35FA">
        <w:rPr>
          <w:rFonts w:cs="Times New Roman"/>
        </w:rPr>
        <w:t xml:space="preserve"> </w:t>
      </w:r>
      <w:r w:rsidRPr="002F35FA">
        <w:rPr>
          <w:rFonts w:cs="Times New Roman"/>
        </w:rPr>
        <w:t>raise additional reasons</w:t>
      </w:r>
      <w:r w:rsidR="0003530B" w:rsidRPr="002F35FA">
        <w:rPr>
          <w:rFonts w:cs="Times New Roman"/>
        </w:rPr>
        <w:t xml:space="preserve"> why</w:t>
      </w:r>
      <w:r w:rsidR="00BC20B5" w:rsidRPr="002F35FA">
        <w:rPr>
          <w:rFonts w:cs="Times New Roman"/>
        </w:rPr>
        <w:t>,</w:t>
      </w:r>
      <w:r w:rsidR="0003530B" w:rsidRPr="002F35FA">
        <w:rPr>
          <w:rFonts w:cs="Times New Roman"/>
        </w:rPr>
        <w:t xml:space="preserve"> in price regulation</w:t>
      </w:r>
      <w:r w:rsidR="00BC20B5" w:rsidRPr="002F35FA">
        <w:rPr>
          <w:rFonts w:cs="Times New Roman"/>
        </w:rPr>
        <w:t>,</w:t>
      </w:r>
      <w:r w:rsidR="0003530B" w:rsidRPr="002F35FA">
        <w:rPr>
          <w:rFonts w:cs="Times New Roman"/>
        </w:rPr>
        <w:t xml:space="preserve"> commutative justice is connected with distributive justice. </w:t>
      </w:r>
      <w:proofErr w:type="spellStart"/>
      <w:r w:rsidR="0003530B" w:rsidRPr="002F35FA">
        <w:rPr>
          <w:rFonts w:cs="Times New Roman"/>
        </w:rPr>
        <w:t>Summenhart</w:t>
      </w:r>
      <w:proofErr w:type="spellEnd"/>
      <w:r w:rsidR="0003530B" w:rsidRPr="002F35FA">
        <w:rPr>
          <w:rFonts w:cs="Times New Roman"/>
        </w:rPr>
        <w:t xml:space="preserve"> emphasizes that it is the aim of price regulation to make available </w:t>
      </w:r>
      <w:r w:rsidRPr="002F35FA">
        <w:rPr>
          <w:rFonts w:cs="Times New Roman"/>
        </w:rPr>
        <w:t xml:space="preserve">those </w:t>
      </w:r>
      <w:r w:rsidR="0003530B" w:rsidRPr="002F35FA">
        <w:rPr>
          <w:rFonts w:cs="Times New Roman"/>
        </w:rPr>
        <w:t xml:space="preserve">goods that are necessary for fulfilling to the “necessity of nature”—such as basic foodstuff and clothing—and </w:t>
      </w:r>
      <w:r w:rsidRPr="002F35FA">
        <w:rPr>
          <w:rFonts w:cs="Times New Roman"/>
        </w:rPr>
        <w:t xml:space="preserve">also </w:t>
      </w:r>
      <w:r w:rsidR="0003530B" w:rsidRPr="002F35FA">
        <w:rPr>
          <w:rFonts w:cs="Times New Roman"/>
        </w:rPr>
        <w:t>what is needed to uphold social standing (</w:t>
      </w:r>
      <w:r w:rsidR="0003530B" w:rsidRPr="002F35FA">
        <w:rPr>
          <w:rFonts w:cs="Times New Roman"/>
          <w:i/>
        </w:rPr>
        <w:t>status</w:t>
      </w:r>
      <w:r w:rsidR="0003530B" w:rsidRPr="002F35FA">
        <w:rPr>
          <w:rFonts w:cs="Times New Roman"/>
        </w:rPr>
        <w:t>) or to perform a certain task (</w:t>
      </w:r>
      <w:r w:rsidR="0003530B" w:rsidRPr="002F35FA">
        <w:rPr>
          <w:rFonts w:cs="Times New Roman"/>
          <w:i/>
        </w:rPr>
        <w:t>officium</w:t>
      </w:r>
      <w:r w:rsidR="0003530B" w:rsidRPr="002F35FA">
        <w:rPr>
          <w:rFonts w:cs="Times New Roman"/>
        </w:rPr>
        <w:t>).</w:t>
      </w:r>
      <w:r w:rsidR="0003530B" w:rsidRPr="002F35FA">
        <w:rPr>
          <w:rStyle w:val="Funotenzeichen"/>
          <w:rFonts w:cs="Times New Roman"/>
        </w:rPr>
        <w:footnoteReference w:id="49"/>
      </w:r>
      <w:r w:rsidR="0003530B" w:rsidRPr="002F35FA">
        <w:rPr>
          <w:rFonts w:cs="Times New Roman"/>
        </w:rPr>
        <w:t xml:space="preserve"> </w:t>
      </w:r>
      <w:r w:rsidR="006A406F" w:rsidRPr="002F35FA">
        <w:rPr>
          <w:rFonts w:cs="Times New Roman"/>
        </w:rPr>
        <w:t xml:space="preserve">To </w:t>
      </w:r>
      <w:r w:rsidR="0003530B" w:rsidRPr="002F35FA">
        <w:rPr>
          <w:rFonts w:cs="Times New Roman"/>
        </w:rPr>
        <w:t xml:space="preserve">the latter </w:t>
      </w:r>
      <w:r w:rsidR="006A406F" w:rsidRPr="002F35FA">
        <w:rPr>
          <w:rFonts w:cs="Times New Roman"/>
        </w:rPr>
        <w:t xml:space="preserve">categories </w:t>
      </w:r>
      <w:r w:rsidR="0003530B" w:rsidRPr="002F35FA">
        <w:rPr>
          <w:rFonts w:cs="Times New Roman"/>
        </w:rPr>
        <w:t xml:space="preserve">belong not any clothing whatsoever but clothing of a quality </w:t>
      </w:r>
      <w:r w:rsidRPr="002F35FA">
        <w:rPr>
          <w:rFonts w:cs="Times New Roman"/>
        </w:rPr>
        <w:t>considered</w:t>
      </w:r>
      <w:r w:rsidR="0003530B" w:rsidRPr="002F35FA">
        <w:rPr>
          <w:rFonts w:cs="Times New Roman"/>
        </w:rPr>
        <w:t xml:space="preserve"> decent for a certain standing, as well as the instruments and materials required for practicing a certain occupation.</w:t>
      </w:r>
      <w:r w:rsidR="0003530B" w:rsidRPr="002F35FA">
        <w:rPr>
          <w:rStyle w:val="Funotenzeichen"/>
          <w:rFonts w:cs="Times New Roman"/>
        </w:rPr>
        <w:footnoteReference w:id="50"/>
      </w:r>
      <w:r w:rsidR="0003530B" w:rsidRPr="002F35FA">
        <w:rPr>
          <w:rFonts w:cs="Times New Roman"/>
        </w:rPr>
        <w:t xml:space="preserve"> This</w:t>
      </w:r>
      <w:r w:rsidRPr="002F35FA">
        <w:rPr>
          <w:rFonts w:cs="Times New Roman"/>
        </w:rPr>
        <w:t xml:space="preserve"> claim</w:t>
      </w:r>
      <w:r w:rsidR="0003530B" w:rsidRPr="002F35FA">
        <w:rPr>
          <w:rFonts w:cs="Times New Roman"/>
        </w:rPr>
        <w:t xml:space="preserve"> is fully in line with </w:t>
      </w:r>
      <w:proofErr w:type="spellStart"/>
      <w:r w:rsidR="0003530B" w:rsidRPr="002F35FA">
        <w:rPr>
          <w:rFonts w:cs="Times New Roman"/>
        </w:rPr>
        <w:t>Mexía’s</w:t>
      </w:r>
      <w:proofErr w:type="spellEnd"/>
      <w:r w:rsidR="0003530B" w:rsidRPr="002F35FA">
        <w:rPr>
          <w:rFonts w:cs="Times New Roman"/>
        </w:rPr>
        <w:t xml:space="preserve"> and Soria’s emphasis on the role of </w:t>
      </w:r>
      <w:r w:rsidR="0003530B" w:rsidRPr="002F35FA">
        <w:rPr>
          <w:rFonts w:cs="Times New Roman"/>
        </w:rPr>
        <w:lastRenderedPageBreak/>
        <w:t xml:space="preserve">price regulation not only in securing the natural needs of peasants, but also in securing the means for continuing their profession. </w:t>
      </w:r>
      <w:r w:rsidR="006A406F" w:rsidRPr="002F35FA">
        <w:rPr>
          <w:rFonts w:cs="Times New Roman"/>
        </w:rPr>
        <w:t xml:space="preserve">Yet they also fall into the realm of distributive justice for late scholastics as well as moderns, as questions of how to regulate something in order to provide the material basis needed to secure people’s social standing in a manner consistent with their contribution to the community’s well-being. </w:t>
      </w:r>
    </w:p>
    <w:p w14:paraId="1E778F78" w14:textId="4361793B" w:rsidR="0003530B" w:rsidRPr="002F35FA" w:rsidRDefault="0003530B" w:rsidP="000D006E">
      <w:pPr>
        <w:pStyle w:val="Standard1"/>
        <w:spacing w:line="480" w:lineRule="auto"/>
        <w:ind w:firstLine="720"/>
        <w:rPr>
          <w:rFonts w:cs="Times New Roman"/>
        </w:rPr>
      </w:pPr>
      <w:r w:rsidRPr="002F35FA">
        <w:rPr>
          <w:rFonts w:cs="Times New Roman"/>
        </w:rPr>
        <w:t xml:space="preserve"> </w:t>
      </w:r>
      <w:proofErr w:type="spellStart"/>
      <w:r w:rsidRPr="002F35FA">
        <w:rPr>
          <w:rFonts w:cs="Times New Roman"/>
        </w:rPr>
        <w:t>Summenhart</w:t>
      </w:r>
      <w:proofErr w:type="spellEnd"/>
      <w:r w:rsidRPr="002F35FA">
        <w:rPr>
          <w:rFonts w:cs="Times New Roman"/>
        </w:rPr>
        <w:t xml:space="preserve"> and </w:t>
      </w:r>
      <w:proofErr w:type="spellStart"/>
      <w:r w:rsidRPr="002F35FA">
        <w:rPr>
          <w:rFonts w:cs="Times New Roman"/>
        </w:rPr>
        <w:t>Mexía</w:t>
      </w:r>
      <w:proofErr w:type="spellEnd"/>
      <w:r w:rsidR="00936F93" w:rsidRPr="002F35FA">
        <w:rPr>
          <w:rFonts w:cs="Times New Roman"/>
        </w:rPr>
        <w:t xml:space="preserve"> </w:t>
      </w:r>
      <w:r w:rsidRPr="002F35FA">
        <w:rPr>
          <w:rFonts w:cs="Times New Roman"/>
        </w:rPr>
        <w:t xml:space="preserve">draw </w:t>
      </w:r>
      <w:r w:rsidR="00A26515" w:rsidRPr="002F35FA">
        <w:rPr>
          <w:rFonts w:cs="Times New Roman"/>
        </w:rPr>
        <w:t xml:space="preserve">several </w:t>
      </w:r>
      <w:r w:rsidRPr="002F35FA">
        <w:rPr>
          <w:rFonts w:cs="Times New Roman"/>
        </w:rPr>
        <w:t>analogies between the goals of price regulation and the goals of other practices that are unambiguously characterized as belonging to the realm of distributive justice.</w:t>
      </w:r>
      <w:r w:rsidR="007646D3" w:rsidRPr="002F35FA">
        <w:rPr>
          <w:rFonts w:cs="Times New Roman"/>
        </w:rPr>
        <w:t xml:space="preserve"> </w:t>
      </w:r>
      <w:proofErr w:type="spellStart"/>
      <w:r w:rsidRPr="002F35FA">
        <w:rPr>
          <w:rFonts w:cs="Times New Roman"/>
        </w:rPr>
        <w:t>Summenhart</w:t>
      </w:r>
      <w:proofErr w:type="spellEnd"/>
      <w:r w:rsidR="00A26515" w:rsidRPr="002F35FA">
        <w:rPr>
          <w:rFonts w:cs="Times New Roman"/>
        </w:rPr>
        <w:t xml:space="preserve"> discusses </w:t>
      </w:r>
      <w:r w:rsidRPr="002F35FA">
        <w:rPr>
          <w:rFonts w:cs="Times New Roman"/>
        </w:rPr>
        <w:t>why a person</w:t>
      </w:r>
      <w:r w:rsidR="00A26515" w:rsidRPr="002F35FA">
        <w:rPr>
          <w:rFonts w:cs="Times New Roman"/>
        </w:rPr>
        <w:t>’s dignity or role might justify their</w:t>
      </w:r>
      <w:r w:rsidR="007646D3" w:rsidRPr="002F35FA">
        <w:rPr>
          <w:rFonts w:cs="Times New Roman"/>
        </w:rPr>
        <w:t xml:space="preserve"> </w:t>
      </w:r>
      <w:r w:rsidRPr="002F35FA">
        <w:rPr>
          <w:rFonts w:cs="Times New Roman"/>
        </w:rPr>
        <w:t xml:space="preserve">receiving a higher price for the same kind of goods, </w:t>
      </w:r>
      <w:r w:rsidR="0056015A" w:rsidRPr="002F35FA">
        <w:rPr>
          <w:rFonts w:cs="Times New Roman"/>
        </w:rPr>
        <w:t>analogous</w:t>
      </w:r>
      <w:r w:rsidR="00A26515" w:rsidRPr="002F35FA">
        <w:rPr>
          <w:rFonts w:cs="Times New Roman"/>
        </w:rPr>
        <w:t xml:space="preserve"> to the skill of a merchant in</w:t>
      </w:r>
      <w:r w:rsidR="007646D3" w:rsidRPr="002F35FA">
        <w:rPr>
          <w:rFonts w:cs="Times New Roman"/>
        </w:rPr>
        <w:t xml:space="preserve"> </w:t>
      </w:r>
      <w:r w:rsidRPr="002F35FA">
        <w:rPr>
          <w:rFonts w:cs="Times New Roman"/>
        </w:rPr>
        <w:t xml:space="preserve">importing goods. </w:t>
      </w:r>
      <w:proofErr w:type="spellStart"/>
      <w:r w:rsidRPr="002F35FA">
        <w:rPr>
          <w:rFonts w:cs="Times New Roman"/>
        </w:rPr>
        <w:t>Summenhart</w:t>
      </w:r>
      <w:proofErr w:type="spellEnd"/>
      <w:r w:rsidRPr="002F35FA">
        <w:rPr>
          <w:rFonts w:cs="Times New Roman"/>
        </w:rPr>
        <w:t xml:space="preserve"> argues:</w:t>
      </w:r>
      <w:r w:rsidR="00BC20B5" w:rsidRPr="002F35FA">
        <w:rPr>
          <w:rFonts w:cs="Times New Roman"/>
        </w:rPr>
        <w:t xml:space="preserve"> “</w:t>
      </w:r>
      <w:r w:rsidRPr="002F35FA">
        <w:rPr>
          <w:rFonts w:cs="Times New Roman"/>
        </w:rPr>
        <w:t xml:space="preserve">If a soldier from a peasant family and a soldier from a noble family fight with equal labor and danger for the community, nevertheless, due to the nobility and dignity of the soldier of higher standing, a higher salary </w:t>
      </w:r>
      <w:r w:rsidR="00A26515" w:rsidRPr="002F35FA">
        <w:rPr>
          <w:rFonts w:cs="Times New Roman"/>
        </w:rPr>
        <w:t xml:space="preserve">should </w:t>
      </w:r>
      <w:r w:rsidRPr="002F35FA">
        <w:rPr>
          <w:rFonts w:cs="Times New Roman"/>
        </w:rPr>
        <w:t>be given to the latter, in order to preserve distributive justice.</w:t>
      </w:r>
      <w:r w:rsidR="00BC20B5" w:rsidRPr="002F35FA">
        <w:rPr>
          <w:rFonts w:cs="Times New Roman"/>
        </w:rPr>
        <w:t>”</w:t>
      </w:r>
      <w:r w:rsidRPr="002F35FA">
        <w:rPr>
          <w:rStyle w:val="Funotenzeichen"/>
          <w:rFonts w:cs="Times New Roman"/>
        </w:rPr>
        <w:footnoteReference w:id="51"/>
      </w:r>
      <w:r w:rsidRPr="002F35FA">
        <w:rPr>
          <w:rFonts w:cs="Times New Roman"/>
        </w:rPr>
        <w:t xml:space="preserve"> </w:t>
      </w:r>
      <w:proofErr w:type="spellStart"/>
      <w:r w:rsidRPr="002F35FA">
        <w:rPr>
          <w:rFonts w:cs="Times New Roman"/>
        </w:rPr>
        <w:t>Mexía</w:t>
      </w:r>
      <w:proofErr w:type="spellEnd"/>
      <w:r w:rsidRPr="002F35FA">
        <w:rPr>
          <w:rFonts w:cs="Times New Roman"/>
        </w:rPr>
        <w:t xml:space="preserve"> concurs and cites this passage from </w:t>
      </w:r>
      <w:proofErr w:type="spellStart"/>
      <w:r w:rsidRPr="002F35FA">
        <w:rPr>
          <w:rFonts w:cs="Times New Roman"/>
        </w:rPr>
        <w:t>Summenhart</w:t>
      </w:r>
      <w:proofErr w:type="spellEnd"/>
      <w:r w:rsidRPr="002F35FA">
        <w:rPr>
          <w:rFonts w:cs="Times New Roman"/>
        </w:rPr>
        <w:t xml:space="preserve"> verbatim.</w:t>
      </w:r>
      <w:r w:rsidRPr="002F35FA">
        <w:rPr>
          <w:rStyle w:val="Funotenzeichen"/>
          <w:rFonts w:cs="Times New Roman"/>
        </w:rPr>
        <w:footnoteReference w:id="52"/>
      </w:r>
      <w:r w:rsidRPr="002F35FA">
        <w:rPr>
          <w:rFonts w:cs="Times New Roman"/>
        </w:rPr>
        <w:t xml:space="preserve"> As </w:t>
      </w:r>
      <w:proofErr w:type="spellStart"/>
      <w:r w:rsidRPr="002F35FA">
        <w:rPr>
          <w:rFonts w:cs="Times New Roman"/>
        </w:rPr>
        <w:t>Summenhart</w:t>
      </w:r>
      <w:proofErr w:type="spellEnd"/>
      <w:r w:rsidRPr="002F35FA">
        <w:rPr>
          <w:rFonts w:cs="Times New Roman"/>
        </w:rPr>
        <w:t xml:space="preserve"> explains, this consideration applies only </w:t>
      </w:r>
      <w:r w:rsidR="00A26515" w:rsidRPr="002F35FA">
        <w:rPr>
          <w:rFonts w:cs="Times New Roman"/>
        </w:rPr>
        <w:t>when</w:t>
      </w:r>
      <w:r w:rsidRPr="002F35FA">
        <w:rPr>
          <w:rFonts w:cs="Times New Roman"/>
        </w:rPr>
        <w:t xml:space="preserve"> the </w:t>
      </w:r>
      <w:r w:rsidR="00A26515" w:rsidRPr="002F35FA">
        <w:rPr>
          <w:rFonts w:cs="Times New Roman"/>
        </w:rPr>
        <w:t>nobleman performs services to the</w:t>
      </w:r>
      <w:r w:rsidRPr="002F35FA">
        <w:rPr>
          <w:rFonts w:cs="Times New Roman"/>
        </w:rPr>
        <w:t xml:space="preserve"> community—namely, those in addition to military pursuits—</w:t>
      </w:r>
      <w:r w:rsidR="00943A36" w:rsidRPr="002F35FA">
        <w:rPr>
          <w:rFonts w:cs="Times New Roman"/>
        </w:rPr>
        <w:t xml:space="preserve">that </w:t>
      </w:r>
      <w:r w:rsidRPr="002F35FA">
        <w:rPr>
          <w:rFonts w:cs="Times New Roman"/>
        </w:rPr>
        <w:t>could not be performed easily and as well by someone else.</w:t>
      </w:r>
      <w:r w:rsidRPr="002F35FA">
        <w:rPr>
          <w:rStyle w:val="Funotenzeichen"/>
          <w:rFonts w:cs="Times New Roman"/>
        </w:rPr>
        <w:footnoteReference w:id="53"/>
      </w:r>
      <w:r w:rsidRPr="002F35FA">
        <w:rPr>
          <w:rFonts w:cs="Times New Roman"/>
        </w:rPr>
        <w:t xml:space="preserve"> Clearly, the notion of dignity relevant here relates </w:t>
      </w:r>
      <w:r w:rsidR="00943A36" w:rsidRPr="002F35FA">
        <w:rPr>
          <w:rFonts w:cs="Times New Roman"/>
        </w:rPr>
        <w:t xml:space="preserve">not merely to social status, but </w:t>
      </w:r>
      <w:r w:rsidRPr="002F35FA">
        <w:rPr>
          <w:rFonts w:cs="Times New Roman"/>
        </w:rPr>
        <w:t xml:space="preserve">to </w:t>
      </w:r>
      <w:r w:rsidR="0078693E" w:rsidRPr="002F35FA">
        <w:rPr>
          <w:rFonts w:cs="Times New Roman"/>
        </w:rPr>
        <w:t xml:space="preserve">one’s </w:t>
      </w:r>
      <w:r w:rsidRPr="002F35FA">
        <w:rPr>
          <w:rFonts w:cs="Times New Roman"/>
        </w:rPr>
        <w:t xml:space="preserve">ability </w:t>
      </w:r>
      <w:r w:rsidR="0078693E" w:rsidRPr="002F35FA">
        <w:rPr>
          <w:rFonts w:cs="Times New Roman"/>
        </w:rPr>
        <w:t>to perform</w:t>
      </w:r>
      <w:r w:rsidRPr="002F35FA">
        <w:rPr>
          <w:rFonts w:cs="Times New Roman"/>
        </w:rPr>
        <w:t xml:space="preserve"> irreplaceable services to the community. In this sense, merchants</w:t>
      </w:r>
      <w:r w:rsidR="00BC20B5" w:rsidRPr="002F35FA">
        <w:rPr>
          <w:rFonts w:cs="Times New Roman"/>
        </w:rPr>
        <w:t xml:space="preserve"> </w:t>
      </w:r>
      <w:r w:rsidR="00943A36" w:rsidRPr="002F35FA">
        <w:rPr>
          <w:rFonts w:cs="Times New Roman"/>
        </w:rPr>
        <w:t>too</w:t>
      </w:r>
      <w:r w:rsidR="00BC20B5" w:rsidRPr="002F35FA">
        <w:rPr>
          <w:rFonts w:cs="Times New Roman"/>
        </w:rPr>
        <w:t xml:space="preserve"> </w:t>
      </w:r>
      <w:r w:rsidRPr="002F35FA">
        <w:rPr>
          <w:rFonts w:cs="Times New Roman"/>
        </w:rPr>
        <w:t>can possess dignity that gives rise to demands of distributive justice</w:t>
      </w:r>
      <w:r w:rsidR="00943A36" w:rsidRPr="002F35FA">
        <w:rPr>
          <w:rFonts w:cs="Times New Roman"/>
        </w:rPr>
        <w:t>;</w:t>
      </w:r>
      <w:r w:rsidR="007646D3" w:rsidRPr="002F35FA">
        <w:rPr>
          <w:rFonts w:cs="Times New Roman"/>
        </w:rPr>
        <w:t xml:space="preserve"> </w:t>
      </w:r>
      <w:r w:rsidRPr="002F35FA">
        <w:rPr>
          <w:rFonts w:cs="Times New Roman"/>
        </w:rPr>
        <w:t xml:space="preserve">the same could plausibly be said of peasants who employ their work and investments rationally. Consequently, </w:t>
      </w:r>
      <w:r w:rsidR="00943A36" w:rsidRPr="002F35FA">
        <w:rPr>
          <w:rFonts w:cs="Times New Roman"/>
        </w:rPr>
        <w:t xml:space="preserve">to base </w:t>
      </w:r>
      <w:r w:rsidRPr="002F35FA">
        <w:rPr>
          <w:rFonts w:cs="Times New Roman"/>
        </w:rPr>
        <w:t xml:space="preserve">price regulation on </w:t>
      </w:r>
      <w:r w:rsidR="00943A36" w:rsidRPr="002F35FA">
        <w:rPr>
          <w:rFonts w:cs="Times New Roman"/>
        </w:rPr>
        <w:t>matters related to a person’s</w:t>
      </w:r>
      <w:r w:rsidRPr="002F35FA">
        <w:rPr>
          <w:rFonts w:cs="Times New Roman"/>
        </w:rPr>
        <w:t xml:space="preserve"> ability </w:t>
      </w:r>
      <w:r w:rsidR="0078693E" w:rsidRPr="002F35FA">
        <w:rPr>
          <w:rFonts w:cs="Times New Roman"/>
        </w:rPr>
        <w:t>to perform</w:t>
      </w:r>
      <w:r w:rsidRPr="002F35FA">
        <w:rPr>
          <w:rFonts w:cs="Times New Roman"/>
        </w:rPr>
        <w:t xml:space="preserve"> irreplaceable services is not only an expression of commutative justice but also of distributive justice. </w:t>
      </w:r>
    </w:p>
    <w:p w14:paraId="0393895E" w14:textId="284F7FAB" w:rsidR="0003530B" w:rsidRPr="002F35FA" w:rsidRDefault="007646D3" w:rsidP="000D006E">
      <w:pPr>
        <w:pStyle w:val="Standard1"/>
        <w:spacing w:line="480" w:lineRule="auto"/>
        <w:ind w:firstLine="720"/>
        <w:rPr>
          <w:rFonts w:cs="Times New Roman"/>
        </w:rPr>
      </w:pPr>
      <w:r w:rsidRPr="002F35FA">
        <w:rPr>
          <w:rFonts w:cs="Times New Roman"/>
        </w:rPr>
        <w:lastRenderedPageBreak/>
        <w:t xml:space="preserve"> </w:t>
      </w:r>
      <w:proofErr w:type="spellStart"/>
      <w:r w:rsidR="0003530B" w:rsidRPr="002F35FA">
        <w:rPr>
          <w:rFonts w:cs="Times New Roman"/>
        </w:rPr>
        <w:t>Mexía</w:t>
      </w:r>
      <w:proofErr w:type="spellEnd"/>
      <w:r w:rsidR="00943A36" w:rsidRPr="002F35FA">
        <w:rPr>
          <w:rFonts w:cs="Times New Roman"/>
        </w:rPr>
        <w:t xml:space="preserve"> draws another such analogy in a discussion of special sales on particular days. He questions laws that set prices</w:t>
      </w:r>
      <w:r w:rsidR="00AB7DDD" w:rsidRPr="002F35FA">
        <w:rPr>
          <w:rFonts w:cs="Times New Roman"/>
        </w:rPr>
        <w:t xml:space="preserve"> as well as particular amounts of goods to be sold on particular days: </w:t>
      </w:r>
      <w:r w:rsidR="00DC2010" w:rsidRPr="002F35FA">
        <w:rPr>
          <w:rFonts w:cs="Times New Roman"/>
        </w:rPr>
        <w:t>“</w:t>
      </w:r>
      <w:r w:rsidR="00D33CF6" w:rsidRPr="002F35FA">
        <w:rPr>
          <w:rFonts w:cs="Times New Roman"/>
        </w:rPr>
        <w:t>I</w:t>
      </w:r>
      <w:r w:rsidR="0003530B" w:rsidRPr="002F35FA">
        <w:rPr>
          <w:rFonts w:cs="Times New Roman"/>
        </w:rPr>
        <w:t xml:space="preserve">n distribution equality </w:t>
      </w:r>
      <w:r w:rsidR="00AB7DDD" w:rsidRPr="002F35FA">
        <w:rPr>
          <w:rFonts w:cs="Times New Roman"/>
        </w:rPr>
        <w:t>must</w:t>
      </w:r>
      <w:r w:rsidR="0003530B" w:rsidRPr="002F35FA">
        <w:rPr>
          <w:rFonts w:cs="Times New Roman"/>
        </w:rPr>
        <w:t xml:space="preserve"> be preserved</w:t>
      </w:r>
      <w:r w:rsidR="00BC20B5" w:rsidRPr="002F35FA">
        <w:rPr>
          <w:rFonts w:cs="Times New Roman"/>
        </w:rPr>
        <w:t xml:space="preserve">. . . . </w:t>
      </w:r>
      <w:r w:rsidR="0003530B" w:rsidRPr="002F35FA">
        <w:rPr>
          <w:rFonts w:cs="Times New Roman"/>
        </w:rPr>
        <w:t xml:space="preserve">However, this </w:t>
      </w:r>
      <w:r w:rsidR="00AB7DDD" w:rsidRPr="002F35FA">
        <w:rPr>
          <w:rFonts w:cs="Times New Roman"/>
        </w:rPr>
        <w:t>must</w:t>
      </w:r>
      <w:r w:rsidR="0003530B" w:rsidRPr="002F35FA">
        <w:rPr>
          <w:rFonts w:cs="Times New Roman"/>
        </w:rPr>
        <w:t xml:space="preserve"> be done in such a way that each person receives something according to her need, and that the usage of goods is conferred upon paupers insofar as they are paupers and that it is conferred upon more honorable persons according to what their qualities demand.</w:t>
      </w:r>
      <w:r w:rsidR="00DC2010" w:rsidRPr="002F35FA">
        <w:rPr>
          <w:rFonts w:cs="Times New Roman"/>
        </w:rPr>
        <w:t>”</w:t>
      </w:r>
      <w:r w:rsidR="0003530B" w:rsidRPr="002F35FA">
        <w:rPr>
          <w:rStyle w:val="Funotenzeichen"/>
          <w:rFonts w:cs="Times New Roman"/>
        </w:rPr>
        <w:footnoteReference w:id="54"/>
      </w:r>
      <w:r w:rsidR="00BC20B5" w:rsidRPr="002F35FA">
        <w:rPr>
          <w:rFonts w:cs="Times New Roman"/>
        </w:rPr>
        <w:t xml:space="preserve"> </w:t>
      </w:r>
      <w:r w:rsidR="00AB7DDD" w:rsidRPr="002F35FA">
        <w:rPr>
          <w:rFonts w:cs="Times New Roman"/>
        </w:rPr>
        <w:t>He identifies explicitly the</w:t>
      </w:r>
      <w:r w:rsidR="00DC2010" w:rsidRPr="002F35FA">
        <w:rPr>
          <w:rFonts w:cs="Times New Roman"/>
        </w:rPr>
        <w:t xml:space="preserve"> goal of this</w:t>
      </w:r>
      <w:r w:rsidR="0003530B" w:rsidRPr="002F35FA">
        <w:rPr>
          <w:rFonts w:cs="Times New Roman"/>
        </w:rPr>
        <w:t xml:space="preserve"> particular form of price regulation as a certain distribution of goods; and as distributive justice demands, this distribution </w:t>
      </w:r>
      <w:r w:rsidR="00AB7DDD" w:rsidRPr="002F35FA">
        <w:rPr>
          <w:rFonts w:cs="Times New Roman"/>
        </w:rPr>
        <w:t xml:space="preserve">must consider </w:t>
      </w:r>
      <w:r w:rsidR="0003530B" w:rsidRPr="002F35FA">
        <w:rPr>
          <w:rFonts w:cs="Times New Roman"/>
        </w:rPr>
        <w:t xml:space="preserve">the different needs of different persons. The analogy that </w:t>
      </w:r>
      <w:proofErr w:type="spellStart"/>
      <w:r w:rsidR="0003530B" w:rsidRPr="002F35FA">
        <w:rPr>
          <w:rFonts w:cs="Times New Roman"/>
        </w:rPr>
        <w:t>Mexía</w:t>
      </w:r>
      <w:proofErr w:type="spellEnd"/>
      <w:r w:rsidR="0003530B" w:rsidRPr="002F35FA">
        <w:rPr>
          <w:rFonts w:cs="Times New Roman"/>
        </w:rPr>
        <w:t xml:space="preserve"> draws immediately after this passage</w:t>
      </w:r>
      <w:r w:rsidR="00DC2010" w:rsidRPr="002F35FA">
        <w:rPr>
          <w:rFonts w:cs="Times New Roman"/>
        </w:rPr>
        <w:t>—the usage of common pastures, evidently a problem of distributive justice—i</w:t>
      </w:r>
      <w:r w:rsidR="0003530B" w:rsidRPr="002F35FA">
        <w:rPr>
          <w:rFonts w:cs="Times New Roman"/>
        </w:rPr>
        <w:t>ndicates a sense in which also an equal</w:t>
      </w:r>
      <w:r w:rsidR="0003530B" w:rsidRPr="002F35FA">
        <w:rPr>
          <w:rFonts w:cs="Times New Roman"/>
          <w:i/>
        </w:rPr>
        <w:t xml:space="preserve"> </w:t>
      </w:r>
      <w:r w:rsidR="0003530B" w:rsidRPr="002F35FA">
        <w:rPr>
          <w:rFonts w:cs="Times New Roman"/>
        </w:rPr>
        <w:t>distribution of goods can fulfill the demands deriving from personal qualities</w:t>
      </w:r>
      <w:r w:rsidR="00337B47" w:rsidRPr="002F35FA">
        <w:rPr>
          <w:rFonts w:cs="Times New Roman"/>
        </w:rPr>
        <w:t xml:space="preserve"> that are different</w:t>
      </w:r>
      <w:r w:rsidR="0003530B" w:rsidRPr="002F35FA">
        <w:rPr>
          <w:rFonts w:cs="Times New Roman"/>
        </w:rPr>
        <w:t xml:space="preserve">. </w:t>
      </w:r>
      <w:proofErr w:type="spellStart"/>
      <w:r w:rsidR="00DC2010" w:rsidRPr="002F35FA">
        <w:rPr>
          <w:rFonts w:cs="Times New Roman"/>
        </w:rPr>
        <w:t>Mexía</w:t>
      </w:r>
      <w:proofErr w:type="spellEnd"/>
      <w:r w:rsidR="0003530B" w:rsidRPr="002F35FA">
        <w:rPr>
          <w:rFonts w:cs="Times New Roman"/>
        </w:rPr>
        <w:t xml:space="preserve"> refers to the detailed discussion of this problem in Marcos Salón de Paz.</w:t>
      </w:r>
      <w:r w:rsidR="0003530B" w:rsidRPr="002F35FA">
        <w:rPr>
          <w:rStyle w:val="Funotenzeichen"/>
          <w:rFonts w:cs="Times New Roman"/>
        </w:rPr>
        <w:footnoteReference w:id="55"/>
      </w:r>
      <w:r w:rsidR="0003530B" w:rsidRPr="002F35FA">
        <w:rPr>
          <w:rFonts w:cs="Times New Roman"/>
        </w:rPr>
        <w:t xml:space="preserve"> It would certainly go beyond the scope of the present paper to explore the subtleties of Paz’s treatment of this issue.</w:t>
      </w:r>
      <w:r w:rsidR="00337B47" w:rsidRPr="002F35FA">
        <w:rPr>
          <w:rFonts w:cs="Times New Roman"/>
        </w:rPr>
        <w:t xml:space="preserve"> In brief, Paz asks which usage would better fulfill the demands of distributive justice: whether</w:t>
      </w:r>
      <w:r w:rsidRPr="002F35FA">
        <w:rPr>
          <w:rFonts w:cs="Times New Roman"/>
        </w:rPr>
        <w:t xml:space="preserve"> </w:t>
      </w:r>
      <w:r w:rsidR="0003530B" w:rsidRPr="002F35FA">
        <w:rPr>
          <w:rFonts w:cs="Times New Roman"/>
        </w:rPr>
        <w:t>the number of cattle permitted to use common pastures should be proportional to the wealth of citizens</w:t>
      </w:r>
      <w:r w:rsidR="00337B47" w:rsidRPr="002F35FA">
        <w:rPr>
          <w:rFonts w:cs="Times New Roman"/>
        </w:rPr>
        <w:t>,</w:t>
      </w:r>
      <w:r w:rsidR="0003530B" w:rsidRPr="002F35FA">
        <w:rPr>
          <w:rStyle w:val="Funotenzeichen"/>
          <w:rFonts w:cs="Times New Roman"/>
        </w:rPr>
        <w:footnoteReference w:id="56"/>
      </w:r>
      <w:r w:rsidR="0003530B" w:rsidRPr="002F35FA">
        <w:rPr>
          <w:rFonts w:cs="Times New Roman"/>
        </w:rPr>
        <w:t xml:space="preserve"> </w:t>
      </w:r>
      <w:r w:rsidR="00337B47" w:rsidRPr="002F35FA">
        <w:rPr>
          <w:rFonts w:cs="Times New Roman"/>
        </w:rPr>
        <w:t xml:space="preserve">or whether each citizen should have the same number.  </w:t>
      </w:r>
      <w:r w:rsidR="0003530B" w:rsidRPr="002F35FA">
        <w:rPr>
          <w:rFonts w:cs="Times New Roman"/>
        </w:rPr>
        <w:t>As Paz argues, strict equality could be seen as an instance of distributive justice because it serves different needs: the fulfil</w:t>
      </w:r>
      <w:r w:rsidR="008959AB" w:rsidRPr="002F35FA">
        <w:rPr>
          <w:rFonts w:cs="Times New Roman"/>
        </w:rPr>
        <w:t>l</w:t>
      </w:r>
      <w:r w:rsidR="0003530B" w:rsidRPr="002F35FA">
        <w:rPr>
          <w:rFonts w:cs="Times New Roman"/>
        </w:rPr>
        <w:t xml:space="preserve">ment of basic necessities of life in the case of paupers, and </w:t>
      </w:r>
      <w:r w:rsidR="00337B47" w:rsidRPr="002F35FA">
        <w:rPr>
          <w:rFonts w:cs="Times New Roman"/>
        </w:rPr>
        <w:t xml:space="preserve">the support for the </w:t>
      </w:r>
      <w:r w:rsidR="0003530B" w:rsidRPr="002F35FA">
        <w:rPr>
          <w:rFonts w:cs="Times New Roman"/>
        </w:rPr>
        <w:t>duties of social roles in the case of persons of higher standing.</w:t>
      </w:r>
      <w:r w:rsidR="0003530B" w:rsidRPr="002F35FA">
        <w:rPr>
          <w:rStyle w:val="Funotenzeichen"/>
          <w:rFonts w:cs="Times New Roman"/>
        </w:rPr>
        <w:footnoteReference w:id="57"/>
      </w:r>
      <w:r w:rsidR="0003530B" w:rsidRPr="002F35FA">
        <w:rPr>
          <w:rFonts w:cs="Times New Roman"/>
        </w:rPr>
        <w:t xml:space="preserve"> </w:t>
      </w:r>
      <w:proofErr w:type="spellStart"/>
      <w:r w:rsidR="0003530B" w:rsidRPr="002F35FA">
        <w:rPr>
          <w:rFonts w:cs="Times New Roman"/>
        </w:rPr>
        <w:t>Mexía</w:t>
      </w:r>
      <w:proofErr w:type="spellEnd"/>
      <w:r w:rsidR="0003530B" w:rsidRPr="002F35FA">
        <w:rPr>
          <w:rFonts w:cs="Times New Roman"/>
        </w:rPr>
        <w:t xml:space="preserve"> concurs by quoting the same law that Paz adduces in support of his view—a law that demands that the poor and the rich are to receive equal shares in public </w:t>
      </w:r>
      <w:r w:rsidR="00337B47" w:rsidRPr="002F35FA">
        <w:rPr>
          <w:rFonts w:cs="Times New Roman"/>
        </w:rPr>
        <w:t xml:space="preserve">pasture </w:t>
      </w:r>
      <w:r w:rsidR="00337B47" w:rsidRPr="002F35FA">
        <w:rPr>
          <w:rFonts w:cs="Times New Roman"/>
        </w:rPr>
        <w:lastRenderedPageBreak/>
        <w:t>lands</w:t>
      </w:r>
      <w:r w:rsidR="0003530B" w:rsidRPr="002F35FA">
        <w:rPr>
          <w:rFonts w:cs="Times New Roman"/>
        </w:rPr>
        <w:t>.</w:t>
      </w:r>
      <w:r w:rsidR="0003530B" w:rsidRPr="002F35FA">
        <w:rPr>
          <w:rStyle w:val="Funotenzeichen"/>
          <w:rFonts w:cs="Times New Roman"/>
        </w:rPr>
        <w:footnoteReference w:id="58"/>
      </w:r>
      <w:r w:rsidR="0003530B" w:rsidRPr="002F35FA">
        <w:rPr>
          <w:rFonts w:cs="Times New Roman"/>
        </w:rPr>
        <w:t xml:space="preserve"> </w:t>
      </w:r>
      <w:r w:rsidR="00ED7C78" w:rsidRPr="002F35FA">
        <w:rPr>
          <w:rFonts w:cs="Times New Roman"/>
        </w:rPr>
        <w:t>Thus</w:t>
      </w:r>
      <w:r w:rsidR="0003530B" w:rsidRPr="002F35FA">
        <w:rPr>
          <w:rFonts w:cs="Times New Roman"/>
        </w:rPr>
        <w:t xml:space="preserve"> </w:t>
      </w:r>
      <w:proofErr w:type="spellStart"/>
      <w:r w:rsidR="0003530B" w:rsidRPr="002F35FA">
        <w:rPr>
          <w:rFonts w:cs="Times New Roman"/>
        </w:rPr>
        <w:t>Mexía</w:t>
      </w:r>
      <w:proofErr w:type="spellEnd"/>
      <w:r w:rsidR="0003530B" w:rsidRPr="002F35FA">
        <w:rPr>
          <w:rFonts w:cs="Times New Roman"/>
        </w:rPr>
        <w:t xml:space="preserve"> </w:t>
      </w:r>
      <w:r w:rsidR="008959AB" w:rsidRPr="002F35FA">
        <w:rPr>
          <w:rFonts w:cs="Times New Roman"/>
        </w:rPr>
        <w:t xml:space="preserve">employs </w:t>
      </w:r>
      <w:r w:rsidR="0003530B" w:rsidRPr="002F35FA">
        <w:rPr>
          <w:rFonts w:cs="Times New Roman"/>
        </w:rPr>
        <w:t xml:space="preserve">the analogy with the usage of common pastures to confirm the view that treating paupers and the rich equally in the case of price regulation is what distributive justice demands. </w:t>
      </w:r>
    </w:p>
    <w:p w14:paraId="0406E4D9" w14:textId="77777777" w:rsidR="0003530B" w:rsidRPr="002F35FA" w:rsidRDefault="0003530B" w:rsidP="00A32A3B">
      <w:pPr>
        <w:pStyle w:val="Standard1"/>
        <w:spacing w:line="480" w:lineRule="auto"/>
        <w:rPr>
          <w:rFonts w:cs="Times New Roman"/>
        </w:rPr>
      </w:pPr>
    </w:p>
    <w:p w14:paraId="4C460900" w14:textId="0CE18284" w:rsidR="0003530B" w:rsidRPr="002F35FA" w:rsidRDefault="00FE7A34" w:rsidP="00415222">
      <w:pPr>
        <w:pStyle w:val="Standard1"/>
        <w:spacing w:line="480" w:lineRule="auto"/>
        <w:jc w:val="center"/>
        <w:rPr>
          <w:rFonts w:cs="Times New Roman"/>
        </w:rPr>
      </w:pPr>
      <w:r w:rsidRPr="002F35FA">
        <w:rPr>
          <w:rFonts w:cs="Times New Roman"/>
        </w:rPr>
        <w:t>III</w:t>
      </w:r>
      <w:r w:rsidR="00415222" w:rsidRPr="002F35FA">
        <w:rPr>
          <w:rFonts w:cs="Times New Roman"/>
        </w:rPr>
        <w:t>. PRICE REGULATION, OBLIGATION</w:t>
      </w:r>
      <w:r w:rsidR="008959AB" w:rsidRPr="002F35FA">
        <w:rPr>
          <w:rFonts w:cs="Times New Roman"/>
        </w:rPr>
        <w:t>,</w:t>
      </w:r>
      <w:r w:rsidR="00415222" w:rsidRPr="002F35FA">
        <w:rPr>
          <w:rFonts w:cs="Times New Roman"/>
        </w:rPr>
        <w:t xml:space="preserve"> AND PRESUMPTION</w:t>
      </w:r>
    </w:p>
    <w:p w14:paraId="35D41241" w14:textId="48C8B760" w:rsidR="0003530B" w:rsidRPr="002F35FA" w:rsidRDefault="0003530B" w:rsidP="00A32A3B">
      <w:pPr>
        <w:pStyle w:val="Standard1"/>
        <w:spacing w:line="480" w:lineRule="auto"/>
        <w:rPr>
          <w:rFonts w:cs="Times New Roman"/>
        </w:rPr>
      </w:pPr>
    </w:p>
    <w:p w14:paraId="23CD0582" w14:textId="43148E6B" w:rsidR="0003530B" w:rsidRPr="002F35FA" w:rsidRDefault="0003530B" w:rsidP="00995456">
      <w:pPr>
        <w:pStyle w:val="Standard1"/>
        <w:spacing w:line="480" w:lineRule="auto"/>
        <w:rPr>
          <w:rFonts w:cs="Times New Roman"/>
        </w:rPr>
      </w:pPr>
      <w:r w:rsidRPr="002F35FA">
        <w:rPr>
          <w:rFonts w:cs="Times New Roman"/>
        </w:rPr>
        <w:t xml:space="preserve">Examining the argumentative role of the cost-and-labor theory of value thus makes clear that late scholastic debates concerning price regulation were informed by a complex conception of the demands of distributive and commutative justice. </w:t>
      </w:r>
      <w:r w:rsidR="004274D1" w:rsidRPr="002F35FA">
        <w:rPr>
          <w:rFonts w:cs="Times New Roman"/>
        </w:rPr>
        <w:t>Their</w:t>
      </w:r>
      <w:r w:rsidRPr="002F35FA">
        <w:rPr>
          <w:rFonts w:cs="Times New Roman"/>
        </w:rPr>
        <w:t xml:space="preserve"> normative ideal</w:t>
      </w:r>
      <w:r w:rsidR="004274D1" w:rsidRPr="002F35FA">
        <w:rPr>
          <w:rFonts w:cs="Times New Roman"/>
        </w:rPr>
        <w:t>s</w:t>
      </w:r>
      <w:r w:rsidRPr="002F35FA">
        <w:rPr>
          <w:rFonts w:cs="Times New Roman"/>
        </w:rPr>
        <w:t xml:space="preserve">, however, did not </w:t>
      </w:r>
      <w:r w:rsidR="004274D1" w:rsidRPr="002F35FA">
        <w:rPr>
          <w:rFonts w:cs="Times New Roman"/>
        </w:rPr>
        <w:t xml:space="preserve">prevent </w:t>
      </w:r>
      <w:r w:rsidRPr="002F35FA">
        <w:rPr>
          <w:rFonts w:cs="Times New Roman"/>
        </w:rPr>
        <w:t xml:space="preserve">the Spanish moralists </w:t>
      </w:r>
      <w:r w:rsidR="004274D1" w:rsidRPr="002F35FA">
        <w:rPr>
          <w:rFonts w:cs="Times New Roman"/>
        </w:rPr>
        <w:t>from recognizing a</w:t>
      </w:r>
      <w:r w:rsidR="007646D3" w:rsidRPr="002F35FA">
        <w:rPr>
          <w:rFonts w:cs="Times New Roman"/>
        </w:rPr>
        <w:t xml:space="preserve"> </w:t>
      </w:r>
      <w:r w:rsidRPr="002F35FA">
        <w:rPr>
          <w:rFonts w:cs="Times New Roman"/>
        </w:rPr>
        <w:t>problem</w:t>
      </w:r>
      <w:r w:rsidR="004274D1" w:rsidRPr="002F35FA">
        <w:rPr>
          <w:rFonts w:cs="Times New Roman"/>
        </w:rPr>
        <w:t>:</w:t>
      </w:r>
      <w:r w:rsidRPr="002F35FA">
        <w:rPr>
          <w:rFonts w:cs="Times New Roman"/>
        </w:rPr>
        <w:t xml:space="preserve"> the success of</w:t>
      </w:r>
      <w:r w:rsidR="004274D1" w:rsidRPr="002F35FA">
        <w:rPr>
          <w:rFonts w:cs="Times New Roman"/>
        </w:rPr>
        <w:t xml:space="preserve"> any</w:t>
      </w:r>
      <w:r w:rsidRPr="002F35FA">
        <w:rPr>
          <w:rFonts w:cs="Times New Roman"/>
        </w:rPr>
        <w:t xml:space="preserve"> concrete </w:t>
      </w:r>
      <w:r w:rsidR="004274D1" w:rsidRPr="002F35FA">
        <w:rPr>
          <w:rFonts w:cs="Times New Roman"/>
        </w:rPr>
        <w:t xml:space="preserve">policy </w:t>
      </w:r>
      <w:r w:rsidRPr="002F35FA">
        <w:rPr>
          <w:rFonts w:cs="Times New Roman"/>
        </w:rPr>
        <w:t xml:space="preserve">in price regulation was highly uncertain. </w:t>
      </w:r>
      <w:r w:rsidR="004274D1" w:rsidRPr="002F35FA">
        <w:rPr>
          <w:rFonts w:cs="Times New Roman"/>
        </w:rPr>
        <w:t>Some argued</w:t>
      </w:r>
      <w:r w:rsidRPr="002F35FA">
        <w:rPr>
          <w:rFonts w:cs="Times New Roman"/>
        </w:rPr>
        <w:t xml:space="preserve"> that price regulation leads to an increase in criminality because the legal prices will be circumvented in a variety of ways</w:t>
      </w:r>
      <w:r w:rsidR="00F318D6" w:rsidRPr="002F35FA">
        <w:rPr>
          <w:rFonts w:cs="Times New Roman"/>
        </w:rPr>
        <w:t>,</w:t>
      </w:r>
      <w:r w:rsidR="00D33CF6" w:rsidRPr="002F35FA">
        <w:rPr>
          <w:rFonts w:cs="Times New Roman"/>
        </w:rPr>
        <w:t xml:space="preserve"> </w:t>
      </w:r>
      <w:r w:rsidRPr="002F35FA">
        <w:rPr>
          <w:rFonts w:cs="Times New Roman"/>
        </w:rPr>
        <w:t>be it on the black market or by connecting sales of basic commodities at the legal price with sales of other goods at exaggerated prices.</w:t>
      </w:r>
      <w:r w:rsidRPr="002F35FA">
        <w:rPr>
          <w:rFonts w:cs="Times New Roman"/>
          <w:vertAlign w:val="superscript"/>
        </w:rPr>
        <w:footnoteReference w:id="59"/>
      </w:r>
      <w:r w:rsidRPr="002F35FA">
        <w:rPr>
          <w:rFonts w:cs="Times New Roman"/>
        </w:rPr>
        <w:t xml:space="preserve"> </w:t>
      </w:r>
      <w:r w:rsidR="004274D1" w:rsidRPr="002F35FA">
        <w:rPr>
          <w:rFonts w:cs="Times New Roman"/>
        </w:rPr>
        <w:t>Others</w:t>
      </w:r>
      <w:r w:rsidRPr="002F35FA">
        <w:rPr>
          <w:rFonts w:cs="Times New Roman"/>
        </w:rPr>
        <w:t xml:space="preserve"> noted that even though a legal price may be a just price at the </w:t>
      </w:r>
      <w:r w:rsidR="00F318D6" w:rsidRPr="002F35FA">
        <w:rPr>
          <w:rFonts w:cs="Times New Roman"/>
        </w:rPr>
        <w:t>outset</w:t>
      </w:r>
      <w:r w:rsidRPr="002F35FA">
        <w:rPr>
          <w:rFonts w:cs="Times New Roman"/>
        </w:rPr>
        <w:t>, a change in the quality or availability of goods</w:t>
      </w:r>
      <w:r w:rsidR="00ED7C78" w:rsidRPr="002F35FA">
        <w:rPr>
          <w:rFonts w:cs="Times New Roman"/>
        </w:rPr>
        <w:t xml:space="preserve"> may </w:t>
      </w:r>
      <w:r w:rsidR="00F318D6" w:rsidRPr="002F35FA">
        <w:rPr>
          <w:rFonts w:cs="Times New Roman"/>
        </w:rPr>
        <w:t>render</w:t>
      </w:r>
      <w:r w:rsidR="00ED7C78" w:rsidRPr="002F35FA">
        <w:rPr>
          <w:rFonts w:cs="Times New Roman"/>
        </w:rPr>
        <w:t xml:space="preserve"> it unjust</w:t>
      </w:r>
      <w:r w:rsidRPr="002F35FA">
        <w:rPr>
          <w:rFonts w:cs="Times New Roman"/>
        </w:rPr>
        <w:t>.</w:t>
      </w:r>
      <w:r w:rsidRPr="002F35FA">
        <w:rPr>
          <w:rFonts w:cs="Times New Roman"/>
          <w:vertAlign w:val="superscript"/>
        </w:rPr>
        <w:footnoteReference w:id="60"/>
      </w:r>
      <w:r w:rsidRPr="002F35FA">
        <w:rPr>
          <w:rFonts w:cs="Times New Roman"/>
        </w:rPr>
        <w:t xml:space="preserve"> </w:t>
      </w:r>
      <w:r w:rsidR="004274D1" w:rsidRPr="002F35FA">
        <w:rPr>
          <w:rFonts w:cs="Times New Roman"/>
        </w:rPr>
        <w:t>Thus they ques</w:t>
      </w:r>
      <w:r w:rsidR="00D33CF6" w:rsidRPr="002F35FA">
        <w:rPr>
          <w:rFonts w:cs="Times New Roman"/>
        </w:rPr>
        <w:t>t</w:t>
      </w:r>
      <w:r w:rsidR="004274D1" w:rsidRPr="002F35FA">
        <w:rPr>
          <w:rFonts w:cs="Times New Roman"/>
        </w:rPr>
        <w:t>ioned</w:t>
      </w:r>
      <w:r w:rsidRPr="002F35FA">
        <w:rPr>
          <w:rFonts w:cs="Times New Roman"/>
        </w:rPr>
        <w:t xml:space="preserve"> why acts of legislation that are fraught with such a high degree of uncertainty should be binding for conscience. </w:t>
      </w:r>
    </w:p>
    <w:p w14:paraId="03687DD8" w14:textId="0663B535" w:rsidR="0003530B" w:rsidRPr="002F35FA" w:rsidRDefault="0003530B" w:rsidP="00DA7EF6">
      <w:pPr>
        <w:pStyle w:val="Standard1"/>
        <w:spacing w:line="480" w:lineRule="auto"/>
        <w:ind w:firstLine="720"/>
        <w:rPr>
          <w:rFonts w:cs="Times New Roman"/>
        </w:rPr>
      </w:pPr>
      <w:r w:rsidRPr="002F35FA">
        <w:rPr>
          <w:rFonts w:cs="Times New Roman"/>
        </w:rPr>
        <w:t>Here the notion of presumption could fulfil</w:t>
      </w:r>
      <w:r w:rsidR="00D01E86" w:rsidRPr="002F35FA">
        <w:rPr>
          <w:rFonts w:cs="Times New Roman"/>
        </w:rPr>
        <w:t>l</w:t>
      </w:r>
      <w:r w:rsidRPr="002F35FA">
        <w:rPr>
          <w:rFonts w:cs="Times New Roman"/>
        </w:rPr>
        <w:t xml:space="preserve"> an important function. </w:t>
      </w:r>
      <w:proofErr w:type="spellStart"/>
      <w:r w:rsidRPr="002F35FA">
        <w:rPr>
          <w:rFonts w:cs="Times New Roman"/>
        </w:rPr>
        <w:t>Mexía</w:t>
      </w:r>
      <w:proofErr w:type="spellEnd"/>
      <w:r w:rsidRPr="002F35FA">
        <w:rPr>
          <w:rFonts w:cs="Times New Roman"/>
        </w:rPr>
        <w:t xml:space="preserve"> holds that “one should not presume that </w:t>
      </w:r>
      <w:r w:rsidR="00D01E86" w:rsidRPr="002F35FA">
        <w:rPr>
          <w:rFonts w:cs="Times New Roman"/>
        </w:rPr>
        <w:t>[King Philipp II]</w:t>
      </w:r>
      <w:r w:rsidR="00D01E86" w:rsidRPr="002F35FA" w:rsidDel="00D01E86">
        <w:rPr>
          <w:rFonts w:cs="Times New Roman"/>
        </w:rPr>
        <w:t xml:space="preserve"> </w:t>
      </w:r>
      <w:r w:rsidRPr="002F35FA">
        <w:rPr>
          <w:rFonts w:cs="Times New Roman"/>
        </w:rPr>
        <w:t xml:space="preserve">wants to burden a third party with a damage”—a presumption that, in </w:t>
      </w:r>
      <w:proofErr w:type="spellStart"/>
      <w:r w:rsidRPr="002F35FA">
        <w:rPr>
          <w:rFonts w:cs="Times New Roman"/>
        </w:rPr>
        <w:t>Mexía’s</w:t>
      </w:r>
      <w:proofErr w:type="spellEnd"/>
      <w:r w:rsidRPr="002F35FA">
        <w:rPr>
          <w:rFonts w:cs="Times New Roman"/>
        </w:rPr>
        <w:t xml:space="preserve"> view, justifies an interpretation </w:t>
      </w:r>
      <w:r w:rsidR="004274D1" w:rsidRPr="002F35FA">
        <w:rPr>
          <w:rFonts w:cs="Times New Roman"/>
        </w:rPr>
        <w:t xml:space="preserve">of </w:t>
      </w:r>
      <w:r w:rsidRPr="002F35FA">
        <w:rPr>
          <w:rFonts w:cs="Times New Roman"/>
        </w:rPr>
        <w:t>a given price law that avoids damages to citizens.</w:t>
      </w:r>
      <w:r w:rsidRPr="002F35FA">
        <w:rPr>
          <w:rStyle w:val="Funotenzeichen"/>
          <w:rFonts w:cs="Times New Roman"/>
        </w:rPr>
        <w:footnoteReference w:id="61"/>
      </w:r>
      <w:r w:rsidRPr="002F35FA">
        <w:rPr>
          <w:rFonts w:cs="Times New Roman"/>
        </w:rPr>
        <w:t xml:space="preserve"> Likewise, Medina uses the notion of presumption to characterize the attitude that one should take toward legal prices:</w:t>
      </w:r>
    </w:p>
    <w:p w14:paraId="5AB0813D" w14:textId="77777777" w:rsidR="0003530B" w:rsidRPr="002F35FA" w:rsidRDefault="0003530B" w:rsidP="00A32A3B">
      <w:pPr>
        <w:pStyle w:val="Standard1"/>
        <w:spacing w:line="480" w:lineRule="auto"/>
        <w:rPr>
          <w:rFonts w:cs="Times New Roman"/>
        </w:rPr>
      </w:pPr>
    </w:p>
    <w:p w14:paraId="405ADCB9" w14:textId="34B8184A" w:rsidR="0003530B" w:rsidRPr="002F35FA" w:rsidRDefault="00420DB5" w:rsidP="00415222">
      <w:pPr>
        <w:pStyle w:val="Standard1"/>
        <w:spacing w:line="480" w:lineRule="auto"/>
        <w:ind w:left="720" w:right="720"/>
        <w:rPr>
          <w:rFonts w:cs="Times New Roman"/>
        </w:rPr>
      </w:pPr>
      <w:r w:rsidRPr="002F35FA">
        <w:rPr>
          <w:rFonts w:cs="Times New Roman"/>
        </w:rPr>
        <w:lastRenderedPageBreak/>
        <w:t>If</w:t>
      </w:r>
      <w:r w:rsidR="0003530B" w:rsidRPr="002F35FA">
        <w:rPr>
          <w:rFonts w:cs="Times New Roman"/>
        </w:rPr>
        <w:t xml:space="preserve"> by means of law or pub</w:t>
      </w:r>
      <w:r w:rsidR="00D33CF6" w:rsidRPr="002F35FA">
        <w:rPr>
          <w:rFonts w:cs="Times New Roman"/>
        </w:rPr>
        <w:t>l</w:t>
      </w:r>
      <w:r w:rsidR="0003530B" w:rsidRPr="002F35FA">
        <w:rPr>
          <w:rFonts w:cs="Times New Roman"/>
        </w:rPr>
        <w:t>ic authority the just price of a thing has been determined</w:t>
      </w:r>
      <w:r w:rsidRPr="002F35FA">
        <w:rPr>
          <w:rFonts w:cs="Times New Roman"/>
        </w:rPr>
        <w:t xml:space="preserve"> . . . </w:t>
      </w:r>
      <w:r w:rsidR="0003530B" w:rsidRPr="002F35FA">
        <w:rPr>
          <w:rFonts w:cs="Times New Roman"/>
        </w:rPr>
        <w:t>[then] this is to be presumed to be the just price</w:t>
      </w:r>
      <w:r w:rsidR="004274D1" w:rsidRPr="002F35FA">
        <w:rPr>
          <w:rFonts w:cs="Times New Roman"/>
        </w:rPr>
        <w:t>,</w:t>
      </w:r>
      <w:r w:rsidR="0003530B" w:rsidRPr="002F35FA">
        <w:rPr>
          <w:rFonts w:cs="Times New Roman"/>
        </w:rPr>
        <w:t xml:space="preserve"> as long as it is not established that the regulators have been corrupt or deceived in the determination of the price; for with respect to these who govern the commonwealth, it </w:t>
      </w:r>
      <w:r w:rsidR="004274D1" w:rsidRPr="002F35FA">
        <w:rPr>
          <w:rFonts w:cs="Times New Roman"/>
        </w:rPr>
        <w:t>must</w:t>
      </w:r>
      <w:r w:rsidR="0003530B" w:rsidRPr="002F35FA">
        <w:rPr>
          <w:rFonts w:cs="Times New Roman"/>
        </w:rPr>
        <w:t xml:space="preserve"> be presumed that something is just, as long as the contrary is not established. About them it also </w:t>
      </w:r>
      <w:r w:rsidR="004274D1" w:rsidRPr="002F35FA">
        <w:rPr>
          <w:rFonts w:cs="Times New Roman"/>
        </w:rPr>
        <w:t>must</w:t>
      </w:r>
      <w:r w:rsidR="0003530B" w:rsidRPr="002F35FA">
        <w:rPr>
          <w:rFonts w:cs="Times New Roman"/>
        </w:rPr>
        <w:t xml:space="preserve"> be presumed that they have applied diligence in considering everything that is relevant for lowering or raising the price</w:t>
      </w:r>
      <w:r w:rsidRPr="002F35FA">
        <w:rPr>
          <w:rFonts w:cs="Times New Roman"/>
        </w:rPr>
        <w:t>. . . .</w:t>
      </w:r>
      <w:r w:rsidR="0003530B" w:rsidRPr="002F35FA">
        <w:rPr>
          <w:rFonts w:cs="Times New Roman"/>
        </w:rPr>
        <w:t xml:space="preserve"> And if the regulation is upheld, one always </w:t>
      </w:r>
      <w:r w:rsidR="004274D1" w:rsidRPr="002F35FA">
        <w:rPr>
          <w:rFonts w:cs="Times New Roman"/>
        </w:rPr>
        <w:t>must</w:t>
      </w:r>
      <w:r w:rsidR="0003530B" w:rsidRPr="002F35FA">
        <w:rPr>
          <w:rFonts w:cs="Times New Roman"/>
        </w:rPr>
        <w:t xml:space="preserve"> presume in favor of them and to stick with the regulation, unless a notable cause for change becomes evident; for then the presumption mentioned ceases, and the regulation at hand ceases to be just</w:t>
      </w:r>
      <w:r w:rsidRPr="002F35FA">
        <w:rPr>
          <w:rFonts w:cs="Times New Roman"/>
        </w:rPr>
        <w:t>.</w:t>
      </w:r>
      <w:r w:rsidR="0003530B" w:rsidRPr="002F35FA">
        <w:rPr>
          <w:rFonts w:cs="Times New Roman"/>
        </w:rPr>
        <w:t xml:space="preserve"> </w:t>
      </w:r>
      <w:r w:rsidR="0003530B" w:rsidRPr="002F35FA">
        <w:rPr>
          <w:rFonts w:cs="Times New Roman"/>
          <w:vertAlign w:val="superscript"/>
        </w:rPr>
        <w:footnoteReference w:id="62"/>
      </w:r>
    </w:p>
    <w:p w14:paraId="78D27DB2" w14:textId="77777777" w:rsidR="0003530B" w:rsidRPr="002F35FA" w:rsidRDefault="0003530B" w:rsidP="00F51516">
      <w:pPr>
        <w:pStyle w:val="Standard1"/>
        <w:spacing w:line="480" w:lineRule="auto"/>
        <w:rPr>
          <w:rFonts w:cs="Times New Roman"/>
        </w:rPr>
      </w:pPr>
    </w:p>
    <w:p w14:paraId="358E4F34" w14:textId="2B59C0BC" w:rsidR="0003530B" w:rsidRPr="002F35FA" w:rsidRDefault="0003530B" w:rsidP="00BE42A3">
      <w:pPr>
        <w:pStyle w:val="Standard1"/>
        <w:spacing w:line="480" w:lineRule="auto"/>
        <w:rPr>
          <w:rFonts w:cs="Times New Roman"/>
        </w:rPr>
      </w:pPr>
      <w:r w:rsidRPr="002F35FA">
        <w:rPr>
          <w:rFonts w:cs="Times New Roman"/>
        </w:rPr>
        <w:t xml:space="preserve">Medina’s argument </w:t>
      </w:r>
      <w:r w:rsidR="00F318D6" w:rsidRPr="002F35FA">
        <w:rPr>
          <w:rFonts w:cs="Times New Roman"/>
        </w:rPr>
        <w:t>applies a</w:t>
      </w:r>
      <w:r w:rsidRPr="002F35FA">
        <w:rPr>
          <w:rFonts w:cs="Times New Roman"/>
        </w:rPr>
        <w:t xml:space="preserve"> general presumption in favor of the justice of the decisions of a superior</w:t>
      </w:r>
      <w:r w:rsidR="00F318D6" w:rsidRPr="002F35FA">
        <w:rPr>
          <w:rFonts w:cs="Times New Roman"/>
        </w:rPr>
        <w:t xml:space="preserve">; </w:t>
      </w:r>
      <w:r w:rsidRPr="002F35FA">
        <w:rPr>
          <w:rFonts w:cs="Times New Roman"/>
        </w:rPr>
        <w:t>late Scholastic political thought</w:t>
      </w:r>
      <w:r w:rsidR="00F318D6" w:rsidRPr="002F35FA">
        <w:rPr>
          <w:rFonts w:cs="Times New Roman"/>
        </w:rPr>
        <w:t xml:space="preserve"> treats such a presumption</w:t>
      </w:r>
      <w:r w:rsidRPr="002F35FA">
        <w:rPr>
          <w:rFonts w:cs="Times New Roman"/>
        </w:rPr>
        <w:t xml:space="preserve"> as one of the sources of legal obligation.</w:t>
      </w:r>
      <w:r w:rsidRPr="002F35FA">
        <w:rPr>
          <w:rStyle w:val="Funotenzeichen"/>
          <w:rFonts w:cs="Times New Roman"/>
        </w:rPr>
        <w:footnoteReference w:id="63"/>
      </w:r>
      <w:r w:rsidRPr="002F35FA">
        <w:rPr>
          <w:rFonts w:cs="Times New Roman"/>
        </w:rPr>
        <w:t xml:space="preserve"> </w:t>
      </w:r>
      <w:proofErr w:type="spellStart"/>
      <w:r w:rsidRPr="002F35FA">
        <w:rPr>
          <w:rFonts w:cs="Times New Roman"/>
        </w:rPr>
        <w:t>Harro</w:t>
      </w:r>
      <w:proofErr w:type="spellEnd"/>
      <w:r w:rsidRPr="002F35FA">
        <w:rPr>
          <w:rFonts w:cs="Times New Roman"/>
        </w:rPr>
        <w:t xml:space="preserve"> </w:t>
      </w:r>
      <w:proofErr w:type="spellStart"/>
      <w:r w:rsidRPr="002F35FA">
        <w:rPr>
          <w:rFonts w:cs="Times New Roman"/>
        </w:rPr>
        <w:t>Höpfl</w:t>
      </w:r>
      <w:proofErr w:type="spellEnd"/>
      <w:r w:rsidRPr="002F35FA">
        <w:rPr>
          <w:rFonts w:cs="Times New Roman"/>
        </w:rPr>
        <w:t xml:space="preserve"> has </w:t>
      </w:r>
      <w:r w:rsidR="00F318D6" w:rsidRPr="002F35FA">
        <w:rPr>
          <w:rFonts w:cs="Times New Roman"/>
        </w:rPr>
        <w:t>suggested that this wel</w:t>
      </w:r>
      <w:r w:rsidR="0062511A" w:rsidRPr="002F35FA">
        <w:rPr>
          <w:rFonts w:cs="Times New Roman"/>
        </w:rPr>
        <w:t>l</w:t>
      </w:r>
      <w:r w:rsidR="00F318D6" w:rsidRPr="002F35FA">
        <w:rPr>
          <w:rFonts w:cs="Times New Roman"/>
        </w:rPr>
        <w:t xml:space="preserve"> documented use of </w:t>
      </w:r>
      <w:r w:rsidRPr="002F35FA">
        <w:rPr>
          <w:rFonts w:cs="Times New Roman"/>
        </w:rPr>
        <w:t xml:space="preserve">presumptions as a source of obligation </w:t>
      </w:r>
      <w:r w:rsidR="0062511A" w:rsidRPr="002F35FA">
        <w:rPr>
          <w:rFonts w:cs="Times New Roman"/>
        </w:rPr>
        <w:t xml:space="preserve">might have led to difficulties in their arguments. </w:t>
      </w:r>
      <w:r w:rsidRPr="002F35FA">
        <w:rPr>
          <w:rFonts w:cs="Times New Roman"/>
        </w:rPr>
        <w:t>On the one hand, a presumption in favor of the decision of the superior could reduce disorder</w:t>
      </w:r>
      <w:r w:rsidR="0062511A" w:rsidRPr="002F35FA">
        <w:rPr>
          <w:rFonts w:cs="Times New Roman"/>
        </w:rPr>
        <w:t>, because</w:t>
      </w:r>
      <w:r w:rsidRPr="002F35FA">
        <w:rPr>
          <w:rFonts w:cs="Times New Roman"/>
        </w:rPr>
        <w:t xml:space="preserve"> the decision of </w:t>
      </w:r>
      <w:r w:rsidR="0062511A" w:rsidRPr="002F35FA">
        <w:rPr>
          <w:rFonts w:cs="Times New Roman"/>
        </w:rPr>
        <w:t xml:space="preserve">a </w:t>
      </w:r>
      <w:r w:rsidRPr="002F35FA">
        <w:rPr>
          <w:rFonts w:cs="Times New Roman"/>
        </w:rPr>
        <w:t xml:space="preserve">superior puts an end to a controversy; on the other hand, </w:t>
      </w:r>
      <w:r w:rsidR="0062511A" w:rsidRPr="002F35FA">
        <w:rPr>
          <w:rFonts w:cs="Times New Roman"/>
        </w:rPr>
        <w:t xml:space="preserve">such a </w:t>
      </w:r>
      <w:r w:rsidRPr="002F35FA">
        <w:rPr>
          <w:rFonts w:cs="Times New Roman"/>
        </w:rPr>
        <w:t>decision could itself be a source of disorder if it arises from an arbitrary exercise of power.</w:t>
      </w:r>
      <w:r w:rsidRPr="002F35FA">
        <w:rPr>
          <w:rStyle w:val="Funotenzeichen"/>
          <w:rFonts w:cs="Times New Roman"/>
        </w:rPr>
        <w:footnoteReference w:id="64"/>
      </w:r>
      <w:r w:rsidRPr="002F35FA">
        <w:rPr>
          <w:rFonts w:cs="Times New Roman"/>
        </w:rPr>
        <w:t xml:space="preserve"> </w:t>
      </w:r>
      <w:r w:rsidR="0062511A" w:rsidRPr="002F35FA">
        <w:rPr>
          <w:rFonts w:cs="Times New Roman"/>
        </w:rPr>
        <w:t>It also raises</w:t>
      </w:r>
      <w:r w:rsidRPr="002F35FA">
        <w:rPr>
          <w:rFonts w:cs="Times New Roman"/>
        </w:rPr>
        <w:t xml:space="preserve"> two connected questions: Is the notion of presumption in the context of late Scholastic views </w:t>
      </w:r>
      <w:r w:rsidRPr="002F35FA">
        <w:rPr>
          <w:rFonts w:cs="Times New Roman"/>
        </w:rPr>
        <w:lastRenderedPageBreak/>
        <w:t xml:space="preserve">concerning legal obligation, and in particular the obligatory nature of price laws, used in the specifically legal sense? </w:t>
      </w:r>
      <w:r w:rsidR="00F8561A" w:rsidRPr="002F35FA">
        <w:rPr>
          <w:rFonts w:cs="Times New Roman"/>
        </w:rPr>
        <w:t>And, c</w:t>
      </w:r>
      <w:r w:rsidRPr="002F35FA">
        <w:rPr>
          <w:rFonts w:cs="Times New Roman"/>
        </w:rPr>
        <w:t xml:space="preserve">ould the legal aspects of the notion of presumption in some way be used to solve the problem identified by </w:t>
      </w:r>
      <w:proofErr w:type="spellStart"/>
      <w:r w:rsidRPr="002F35FA">
        <w:rPr>
          <w:rFonts w:cs="Times New Roman"/>
        </w:rPr>
        <w:t>Höpfl</w:t>
      </w:r>
      <w:proofErr w:type="spellEnd"/>
      <w:r w:rsidRPr="002F35FA">
        <w:rPr>
          <w:rFonts w:cs="Times New Roman"/>
        </w:rPr>
        <w:t xml:space="preserve">? I think the answer to the first question should be affirmative; this is why the general theory of presumptions in favor of the superior can </w:t>
      </w:r>
      <w:r w:rsidR="0062511A" w:rsidRPr="002F35FA">
        <w:rPr>
          <w:rFonts w:cs="Times New Roman"/>
        </w:rPr>
        <w:t>explain</w:t>
      </w:r>
      <w:r w:rsidRPr="002F35FA">
        <w:rPr>
          <w:rFonts w:cs="Times New Roman"/>
        </w:rPr>
        <w:t xml:space="preserve"> why acts of price legislation could be binding for conscience. </w:t>
      </w:r>
      <w:r w:rsidR="0062511A" w:rsidRPr="002F35FA">
        <w:rPr>
          <w:rFonts w:cs="Times New Roman"/>
        </w:rPr>
        <w:t>The</w:t>
      </w:r>
      <w:r w:rsidRPr="002F35FA">
        <w:rPr>
          <w:rFonts w:cs="Times New Roman"/>
        </w:rPr>
        <w:t xml:space="preserve"> answer to the second question should be affirmative</w:t>
      </w:r>
      <w:r w:rsidR="0062511A" w:rsidRPr="002F35FA">
        <w:rPr>
          <w:rFonts w:cs="Times New Roman"/>
        </w:rPr>
        <w:t xml:space="preserve"> as well</w:t>
      </w:r>
      <w:r w:rsidRPr="002F35FA">
        <w:rPr>
          <w:rFonts w:cs="Times New Roman"/>
        </w:rPr>
        <w:t xml:space="preserve">; this is why the concrete case of the morally binding nature of price regulations also can shed light on how the presumption in favor of the superior could be formed rationally. </w:t>
      </w:r>
    </w:p>
    <w:p w14:paraId="12808EFA" w14:textId="5C9B1E7C" w:rsidR="00DA7EF6" w:rsidRPr="002F35FA" w:rsidRDefault="0062511A" w:rsidP="000D006E">
      <w:pPr>
        <w:pStyle w:val="Standard1"/>
        <w:spacing w:line="480" w:lineRule="auto"/>
        <w:ind w:firstLine="720"/>
        <w:rPr>
          <w:rFonts w:cs="Times New Roman"/>
        </w:rPr>
      </w:pPr>
      <w:r w:rsidRPr="002F35FA">
        <w:rPr>
          <w:rFonts w:cs="Times New Roman"/>
        </w:rPr>
        <w:t xml:space="preserve"> Late </w:t>
      </w:r>
      <w:r w:rsidR="0003530B" w:rsidRPr="002F35FA">
        <w:rPr>
          <w:rFonts w:cs="Times New Roman"/>
        </w:rPr>
        <w:t>medieval and early modern juridical literature on presumptions</w:t>
      </w:r>
      <w:r w:rsidRPr="002F35FA">
        <w:rPr>
          <w:rFonts w:cs="Times New Roman"/>
        </w:rPr>
        <w:t xml:space="preserve"> devoted considerable attention to the presumption in favor of the justices of a superior’s decisions</w:t>
      </w:r>
      <w:r w:rsidR="0003530B" w:rsidRPr="002F35FA">
        <w:rPr>
          <w:rFonts w:cs="Times New Roman"/>
        </w:rPr>
        <w:t xml:space="preserve">. </w:t>
      </w:r>
      <w:proofErr w:type="spellStart"/>
      <w:r w:rsidRPr="002F35FA">
        <w:rPr>
          <w:rFonts w:cs="Times New Roman"/>
        </w:rPr>
        <w:t>Felinus</w:t>
      </w:r>
      <w:proofErr w:type="spellEnd"/>
      <w:r w:rsidRPr="002F35FA">
        <w:rPr>
          <w:rFonts w:cs="Times New Roman"/>
        </w:rPr>
        <w:t xml:space="preserve"> </w:t>
      </w:r>
      <w:proofErr w:type="spellStart"/>
      <w:r w:rsidR="0003530B" w:rsidRPr="002F35FA">
        <w:rPr>
          <w:rFonts w:cs="Times New Roman"/>
        </w:rPr>
        <w:t>Sandeus</w:t>
      </w:r>
      <w:proofErr w:type="spellEnd"/>
      <w:r w:rsidR="0003530B" w:rsidRPr="002F35FA">
        <w:rPr>
          <w:rFonts w:cs="Times New Roman"/>
        </w:rPr>
        <w:t xml:space="preserve"> (144</w:t>
      </w:r>
      <w:r w:rsidR="007C2E1A" w:rsidRPr="002F35FA">
        <w:rPr>
          <w:rFonts w:cs="Times New Roman"/>
        </w:rPr>
        <w:t>4–</w:t>
      </w:r>
      <w:r w:rsidR="0003530B" w:rsidRPr="002F35FA">
        <w:rPr>
          <w:rFonts w:cs="Times New Roman"/>
        </w:rPr>
        <w:t xml:space="preserve">1503), </w:t>
      </w:r>
      <w:proofErr w:type="spellStart"/>
      <w:r w:rsidR="0003530B" w:rsidRPr="002F35FA">
        <w:rPr>
          <w:rFonts w:cs="Times New Roman"/>
        </w:rPr>
        <w:t>Franciscus</w:t>
      </w:r>
      <w:proofErr w:type="spellEnd"/>
      <w:r w:rsidR="0003530B" w:rsidRPr="002F35FA">
        <w:rPr>
          <w:rFonts w:cs="Times New Roman"/>
        </w:rPr>
        <w:t xml:space="preserve"> </w:t>
      </w:r>
      <w:proofErr w:type="spellStart"/>
      <w:r w:rsidR="0003530B" w:rsidRPr="002F35FA">
        <w:rPr>
          <w:rFonts w:cs="Times New Roman"/>
        </w:rPr>
        <w:t>Curtius</w:t>
      </w:r>
      <w:proofErr w:type="spellEnd"/>
      <w:r w:rsidR="0003530B" w:rsidRPr="002F35FA">
        <w:rPr>
          <w:rFonts w:cs="Times New Roman"/>
        </w:rPr>
        <w:t xml:space="preserve"> the Elder (d. 1495)</w:t>
      </w:r>
      <w:r w:rsidR="00603696" w:rsidRPr="002F35FA">
        <w:rPr>
          <w:rFonts w:cs="Times New Roman"/>
        </w:rPr>
        <w:t>,</w:t>
      </w:r>
      <w:r w:rsidR="0003530B" w:rsidRPr="002F35FA">
        <w:rPr>
          <w:rFonts w:cs="Times New Roman"/>
        </w:rPr>
        <w:t xml:space="preserve"> and Alciato hold that the presumption in favor of the prince cannot take place until </w:t>
      </w:r>
      <w:r w:rsidR="00E869F9" w:rsidRPr="002F35FA">
        <w:rPr>
          <w:rFonts w:cs="Times New Roman"/>
        </w:rPr>
        <w:t xml:space="preserve">the prince has heard </w:t>
      </w:r>
      <w:r w:rsidR="0003530B" w:rsidRPr="002F35FA">
        <w:rPr>
          <w:rFonts w:cs="Times New Roman"/>
        </w:rPr>
        <w:t>all parties to a conflict.</w:t>
      </w:r>
      <w:r w:rsidR="0003530B" w:rsidRPr="002F35FA">
        <w:rPr>
          <w:rStyle w:val="Funotenzeichen"/>
          <w:rFonts w:cs="Times New Roman"/>
        </w:rPr>
        <w:footnoteReference w:id="65"/>
      </w:r>
      <w:r w:rsidR="0003530B" w:rsidRPr="002F35FA">
        <w:rPr>
          <w:rFonts w:cs="Times New Roman"/>
        </w:rPr>
        <w:t xml:space="preserve"> </w:t>
      </w:r>
      <w:proofErr w:type="spellStart"/>
      <w:r w:rsidR="0003530B" w:rsidRPr="002F35FA">
        <w:rPr>
          <w:rFonts w:cs="Times New Roman"/>
        </w:rPr>
        <w:t>Felinus</w:t>
      </w:r>
      <w:proofErr w:type="spellEnd"/>
      <w:r w:rsidR="0003530B" w:rsidRPr="002F35FA">
        <w:rPr>
          <w:rFonts w:cs="Times New Roman"/>
        </w:rPr>
        <w:t xml:space="preserve"> argues that</w:t>
      </w:r>
      <w:r w:rsidR="00E869F9" w:rsidRPr="002F35FA">
        <w:rPr>
          <w:rFonts w:cs="Times New Roman"/>
        </w:rPr>
        <w:t xml:space="preserve"> one cannot presume the prince’s sufficient knowledge unless </w:t>
      </w:r>
      <w:r w:rsidR="0003530B" w:rsidRPr="002F35FA">
        <w:rPr>
          <w:rFonts w:cs="Times New Roman"/>
        </w:rPr>
        <w:t xml:space="preserve">all parties of a controversy </w:t>
      </w:r>
      <w:r w:rsidR="00E869F9" w:rsidRPr="002F35FA">
        <w:rPr>
          <w:rFonts w:cs="Times New Roman"/>
        </w:rPr>
        <w:t xml:space="preserve">have intervened in his </w:t>
      </w:r>
      <w:r w:rsidR="0003530B" w:rsidRPr="002F35FA">
        <w:rPr>
          <w:rFonts w:cs="Times New Roman"/>
        </w:rPr>
        <w:t>presence</w:t>
      </w:r>
      <w:r w:rsidR="00D33CF6" w:rsidRPr="002F35FA">
        <w:rPr>
          <w:rFonts w:cs="Times New Roman"/>
        </w:rPr>
        <w:t>.</w:t>
      </w:r>
      <w:r w:rsidR="0003530B" w:rsidRPr="002F35FA">
        <w:rPr>
          <w:rStyle w:val="Funotenzeichen"/>
          <w:rFonts w:cs="Times New Roman"/>
        </w:rPr>
        <w:footnoteReference w:id="66"/>
      </w:r>
      <w:r w:rsidR="0003530B" w:rsidRPr="002F35FA">
        <w:rPr>
          <w:rFonts w:cs="Times New Roman"/>
        </w:rPr>
        <w:t xml:space="preserve"> </w:t>
      </w:r>
      <w:proofErr w:type="spellStart"/>
      <w:r w:rsidR="0003530B" w:rsidRPr="002F35FA">
        <w:rPr>
          <w:rFonts w:cs="Times New Roman"/>
        </w:rPr>
        <w:t>Curtius</w:t>
      </w:r>
      <w:proofErr w:type="spellEnd"/>
      <w:r w:rsidR="0003530B" w:rsidRPr="002F35FA">
        <w:rPr>
          <w:rFonts w:cs="Times New Roman"/>
        </w:rPr>
        <w:t xml:space="preserve"> emphasizes </w:t>
      </w:r>
      <w:r w:rsidR="00E869F9" w:rsidRPr="002F35FA">
        <w:rPr>
          <w:rFonts w:cs="Times New Roman"/>
        </w:rPr>
        <w:t>the particular relevance</w:t>
      </w:r>
      <w:r w:rsidR="0003530B" w:rsidRPr="002F35FA">
        <w:rPr>
          <w:rFonts w:cs="Times New Roman"/>
        </w:rPr>
        <w:t xml:space="preserve"> in economic matters</w:t>
      </w:r>
      <w:r w:rsidR="00E869F9" w:rsidRPr="002F35FA">
        <w:rPr>
          <w:rFonts w:cs="Times New Roman"/>
        </w:rPr>
        <w:t>,</w:t>
      </w:r>
      <w:r w:rsidR="0003530B" w:rsidRPr="002F35FA">
        <w:rPr>
          <w:rFonts w:cs="Times New Roman"/>
        </w:rPr>
        <w:t xml:space="preserve"> since they depend to a large extent on matters of fact, with which the prince cannot be presumed to be familiar. </w:t>
      </w:r>
      <w:proofErr w:type="spellStart"/>
      <w:r w:rsidR="0003530B" w:rsidRPr="002F35FA">
        <w:rPr>
          <w:rFonts w:cs="Times New Roman"/>
        </w:rPr>
        <w:t>Felinus</w:t>
      </w:r>
      <w:proofErr w:type="spellEnd"/>
      <w:r w:rsidR="0003530B" w:rsidRPr="002F35FA">
        <w:rPr>
          <w:rFonts w:cs="Times New Roman"/>
        </w:rPr>
        <w:t xml:space="preserve"> </w:t>
      </w:r>
      <w:r w:rsidR="00E869F9" w:rsidRPr="002F35FA">
        <w:rPr>
          <w:rFonts w:cs="Times New Roman"/>
        </w:rPr>
        <w:t>notes</w:t>
      </w:r>
      <w:r w:rsidR="0003530B" w:rsidRPr="002F35FA">
        <w:rPr>
          <w:rFonts w:cs="Times New Roman"/>
        </w:rPr>
        <w:t xml:space="preserve"> </w:t>
      </w:r>
      <w:r w:rsidR="00E869F9" w:rsidRPr="002F35FA">
        <w:rPr>
          <w:rFonts w:cs="Times New Roman"/>
        </w:rPr>
        <w:t xml:space="preserve">further </w:t>
      </w:r>
      <w:r w:rsidR="0003530B" w:rsidRPr="002F35FA">
        <w:rPr>
          <w:rFonts w:cs="Times New Roman"/>
        </w:rPr>
        <w:t>that, if the prince acted on the instigation of only one party, one should form a presumption against the justice of his decision.</w:t>
      </w:r>
      <w:r w:rsidR="0003530B" w:rsidRPr="002F35FA">
        <w:rPr>
          <w:rStyle w:val="Funotenzeichen"/>
          <w:rFonts w:cs="Times New Roman"/>
        </w:rPr>
        <w:footnoteReference w:id="67"/>
      </w:r>
      <w:r w:rsidR="0003530B" w:rsidRPr="002F35FA">
        <w:rPr>
          <w:rFonts w:cs="Times New Roman"/>
        </w:rPr>
        <w:t xml:space="preserve"> In support, </w:t>
      </w:r>
      <w:proofErr w:type="spellStart"/>
      <w:r w:rsidR="0003530B" w:rsidRPr="002F35FA">
        <w:rPr>
          <w:rFonts w:cs="Times New Roman"/>
        </w:rPr>
        <w:t>Felinus</w:t>
      </w:r>
      <w:proofErr w:type="spellEnd"/>
      <w:r w:rsidR="0003530B" w:rsidRPr="002F35FA">
        <w:rPr>
          <w:rFonts w:cs="Times New Roman"/>
        </w:rPr>
        <w:t xml:space="preserve"> invokes natural law </w:t>
      </w:r>
      <w:r w:rsidR="00E869F9" w:rsidRPr="002F35FA">
        <w:rPr>
          <w:rFonts w:cs="Times New Roman"/>
        </w:rPr>
        <w:t xml:space="preserve">to claim </w:t>
      </w:r>
      <w:r w:rsidR="0003530B" w:rsidRPr="002F35FA">
        <w:rPr>
          <w:rFonts w:cs="Times New Roman"/>
        </w:rPr>
        <w:t xml:space="preserve">that one cannot proceed against </w:t>
      </w:r>
      <w:r w:rsidR="00E869F9" w:rsidRPr="002F35FA">
        <w:rPr>
          <w:rFonts w:cs="Times New Roman"/>
        </w:rPr>
        <w:t xml:space="preserve">a person </w:t>
      </w:r>
      <w:r w:rsidR="0003530B" w:rsidRPr="002F35FA">
        <w:rPr>
          <w:rFonts w:cs="Times New Roman"/>
        </w:rPr>
        <w:t>who did not get a hearing.</w:t>
      </w:r>
      <w:r w:rsidR="0003530B" w:rsidRPr="002F35FA">
        <w:rPr>
          <w:rStyle w:val="Funotenzeichen"/>
          <w:rFonts w:cs="Times New Roman"/>
        </w:rPr>
        <w:footnoteReference w:id="68"/>
      </w:r>
      <w:r w:rsidR="0003530B" w:rsidRPr="002F35FA">
        <w:rPr>
          <w:rFonts w:cs="Times New Roman"/>
        </w:rPr>
        <w:t xml:space="preserve"> </w:t>
      </w:r>
      <w:proofErr w:type="spellStart"/>
      <w:r w:rsidR="0003530B" w:rsidRPr="002F35FA">
        <w:rPr>
          <w:rFonts w:cs="Times New Roman"/>
        </w:rPr>
        <w:t>Curtius</w:t>
      </w:r>
      <w:proofErr w:type="spellEnd"/>
      <w:r w:rsidR="0003530B" w:rsidRPr="002F35FA">
        <w:rPr>
          <w:rFonts w:cs="Times New Roman"/>
        </w:rPr>
        <w:t xml:space="preserve"> </w:t>
      </w:r>
      <w:r w:rsidR="00E869F9" w:rsidRPr="002F35FA">
        <w:rPr>
          <w:rFonts w:cs="Times New Roman"/>
        </w:rPr>
        <w:t xml:space="preserve">grounds this idea </w:t>
      </w:r>
      <w:r w:rsidR="0003530B" w:rsidRPr="002F35FA">
        <w:rPr>
          <w:rFonts w:cs="Times New Roman"/>
        </w:rPr>
        <w:t>in the right of self-defense that the Roman natural</w:t>
      </w:r>
      <w:r w:rsidR="00E869F9" w:rsidRPr="002F35FA">
        <w:rPr>
          <w:rFonts w:cs="Times New Roman"/>
        </w:rPr>
        <w:t xml:space="preserve"> </w:t>
      </w:r>
      <w:r w:rsidR="0003530B" w:rsidRPr="002F35FA">
        <w:rPr>
          <w:rFonts w:cs="Times New Roman"/>
        </w:rPr>
        <w:t>law tradition took to be common to all animals.</w:t>
      </w:r>
      <w:r w:rsidR="0003530B" w:rsidRPr="002F35FA">
        <w:rPr>
          <w:rStyle w:val="Funotenzeichen"/>
          <w:rFonts w:cs="Times New Roman"/>
        </w:rPr>
        <w:footnoteReference w:id="69"/>
      </w:r>
      <w:r w:rsidR="0003530B" w:rsidRPr="002F35FA">
        <w:rPr>
          <w:rFonts w:cs="Times New Roman"/>
        </w:rPr>
        <w:t xml:space="preserve"> Positive law can define exceptions in matters that do not touch natural rights, he concedes, but as soon </w:t>
      </w:r>
      <w:r w:rsidR="0003530B" w:rsidRPr="002F35FA">
        <w:rPr>
          <w:rFonts w:cs="Times New Roman"/>
        </w:rPr>
        <w:lastRenderedPageBreak/>
        <w:t xml:space="preserve">as natural rights are concerned, the prince </w:t>
      </w:r>
      <w:r w:rsidR="00E869F9" w:rsidRPr="002F35FA">
        <w:rPr>
          <w:rFonts w:cs="Times New Roman"/>
        </w:rPr>
        <w:t xml:space="preserve">may not </w:t>
      </w:r>
      <w:r w:rsidR="0003530B" w:rsidRPr="002F35FA">
        <w:rPr>
          <w:rFonts w:cs="Times New Roman"/>
        </w:rPr>
        <w:t>proceed without giving the parties a hearing.</w:t>
      </w:r>
      <w:r w:rsidR="0003530B" w:rsidRPr="002F35FA">
        <w:rPr>
          <w:rStyle w:val="Funotenzeichen"/>
          <w:rFonts w:cs="Times New Roman"/>
        </w:rPr>
        <w:footnoteReference w:id="70"/>
      </w:r>
      <w:r w:rsidR="0003530B" w:rsidRPr="002F35FA">
        <w:rPr>
          <w:rFonts w:cs="Times New Roman"/>
        </w:rPr>
        <w:t xml:space="preserve"> Because the acts of the prince are</w:t>
      </w:r>
      <w:r w:rsidR="00E869F9" w:rsidRPr="002F35FA">
        <w:rPr>
          <w:rFonts w:cs="Times New Roman"/>
        </w:rPr>
        <w:t xml:space="preserve"> thus</w:t>
      </w:r>
      <w:r w:rsidR="0003530B" w:rsidRPr="002F35FA">
        <w:rPr>
          <w:rFonts w:cs="Times New Roman"/>
        </w:rPr>
        <w:t xml:space="preserve"> restricted by the demands of natural law, </w:t>
      </w:r>
      <w:proofErr w:type="spellStart"/>
      <w:r w:rsidR="0003530B" w:rsidRPr="002F35FA">
        <w:rPr>
          <w:rFonts w:cs="Times New Roman"/>
        </w:rPr>
        <w:t>Felinus</w:t>
      </w:r>
      <w:proofErr w:type="spellEnd"/>
      <w:r w:rsidR="0003530B" w:rsidRPr="002F35FA">
        <w:rPr>
          <w:rFonts w:cs="Times New Roman"/>
        </w:rPr>
        <w:t xml:space="preserve"> holds that in cases of doubt one should not presume that the prince uses his plenitude of power.</w:t>
      </w:r>
      <w:r w:rsidR="0003530B" w:rsidRPr="002F35FA">
        <w:rPr>
          <w:rStyle w:val="Funotenzeichen"/>
          <w:rFonts w:cs="Times New Roman"/>
        </w:rPr>
        <w:footnoteReference w:id="71"/>
      </w:r>
      <w:r w:rsidR="0003530B" w:rsidRPr="002F35FA">
        <w:rPr>
          <w:rFonts w:cs="Times New Roman"/>
        </w:rPr>
        <w:t xml:space="preserve"> Alciato adds that, since </w:t>
      </w:r>
      <w:r w:rsidR="00E869F9" w:rsidRPr="002F35FA">
        <w:rPr>
          <w:rFonts w:cs="Times New Roman"/>
        </w:rPr>
        <w:t xml:space="preserve">one may establish </w:t>
      </w:r>
      <w:r w:rsidR="0003530B" w:rsidRPr="002F35FA">
        <w:rPr>
          <w:rFonts w:cs="Times New Roman"/>
        </w:rPr>
        <w:t>whether or not due procedure has been followed</w:t>
      </w:r>
      <w:r w:rsidR="00E869F9" w:rsidRPr="002F35FA">
        <w:rPr>
          <w:rFonts w:cs="Times New Roman"/>
        </w:rPr>
        <w:t xml:space="preserve"> only on the basis of evidence</w:t>
      </w:r>
      <w:r w:rsidR="0003530B" w:rsidRPr="002F35FA">
        <w:rPr>
          <w:rFonts w:cs="Times New Roman"/>
        </w:rPr>
        <w:t xml:space="preserve">, one also should not </w:t>
      </w:r>
      <w:r w:rsidR="003E5262" w:rsidRPr="002F35FA">
        <w:rPr>
          <w:rFonts w:cs="Times New Roman"/>
        </w:rPr>
        <w:t xml:space="preserve">simply </w:t>
      </w:r>
      <w:r w:rsidR="0003530B" w:rsidRPr="002F35FA">
        <w:rPr>
          <w:rFonts w:cs="Times New Roman"/>
        </w:rPr>
        <w:t xml:space="preserve">presume that the prince has </w:t>
      </w:r>
      <w:r w:rsidR="003E5262" w:rsidRPr="002F35FA">
        <w:rPr>
          <w:rFonts w:cs="Times New Roman"/>
        </w:rPr>
        <w:t>followed</w:t>
      </w:r>
      <w:r w:rsidR="0003530B" w:rsidRPr="002F35FA">
        <w:rPr>
          <w:rFonts w:cs="Times New Roman"/>
        </w:rPr>
        <w:t xml:space="preserve"> due procedure.</w:t>
      </w:r>
      <w:r w:rsidR="0003530B" w:rsidRPr="002F35FA">
        <w:rPr>
          <w:rStyle w:val="Funotenzeichen"/>
          <w:rFonts w:cs="Times New Roman"/>
        </w:rPr>
        <w:footnoteReference w:id="72"/>
      </w:r>
      <w:r w:rsidR="0003530B" w:rsidRPr="002F35FA">
        <w:rPr>
          <w:rFonts w:cs="Times New Roman"/>
        </w:rPr>
        <w:t xml:space="preserve"> Likewise, he argues that the procedural correctness of a lawsuit cannot be presumed because this is a matter of fact</w:t>
      </w:r>
      <w:r w:rsidR="003E5262" w:rsidRPr="002F35FA">
        <w:rPr>
          <w:rFonts w:cs="Times New Roman"/>
        </w:rPr>
        <w:t>; thus</w:t>
      </w:r>
      <w:r w:rsidR="0003530B" w:rsidRPr="002F35FA">
        <w:rPr>
          <w:rFonts w:cs="Times New Roman"/>
        </w:rPr>
        <w:t xml:space="preserve">, </w:t>
      </w:r>
      <w:r w:rsidR="003E5262" w:rsidRPr="002F35FA">
        <w:rPr>
          <w:rFonts w:cs="Times New Roman"/>
        </w:rPr>
        <w:t>one must overtu</w:t>
      </w:r>
      <w:r w:rsidR="00D33CF6" w:rsidRPr="002F35FA">
        <w:rPr>
          <w:rFonts w:cs="Times New Roman"/>
        </w:rPr>
        <w:t>r</w:t>
      </w:r>
      <w:r w:rsidR="003E5262" w:rsidRPr="002F35FA">
        <w:rPr>
          <w:rFonts w:cs="Times New Roman"/>
        </w:rPr>
        <w:t>n</w:t>
      </w:r>
      <w:r w:rsidR="0003530B" w:rsidRPr="002F35FA">
        <w:rPr>
          <w:rFonts w:cs="Times New Roman"/>
        </w:rPr>
        <w:t xml:space="preserve"> the presumption in favor of the justice of the judge</w:t>
      </w:r>
      <w:r w:rsidR="003E5262" w:rsidRPr="002F35FA">
        <w:rPr>
          <w:rFonts w:cs="Times New Roman"/>
        </w:rPr>
        <w:t xml:space="preserve"> </w:t>
      </w:r>
      <w:r w:rsidR="0003530B" w:rsidRPr="002F35FA">
        <w:rPr>
          <w:rFonts w:cs="Times New Roman"/>
        </w:rPr>
        <w:t>if evidence for procedural correctness is lacking.</w:t>
      </w:r>
      <w:r w:rsidR="0003530B" w:rsidRPr="002F35FA">
        <w:rPr>
          <w:rStyle w:val="Funotenzeichen"/>
          <w:rFonts w:cs="Times New Roman"/>
        </w:rPr>
        <w:footnoteReference w:id="73"/>
      </w:r>
    </w:p>
    <w:p w14:paraId="6851C6DC" w14:textId="2D43C6F6" w:rsidR="00DA7EF6" w:rsidRPr="002F35FA" w:rsidRDefault="003E5262" w:rsidP="00DA7EF6">
      <w:pPr>
        <w:pStyle w:val="Standard1"/>
        <w:spacing w:line="480" w:lineRule="auto"/>
        <w:ind w:firstLine="720"/>
        <w:rPr>
          <w:rFonts w:cs="Times New Roman"/>
        </w:rPr>
      </w:pPr>
      <w:r w:rsidRPr="002F35FA">
        <w:rPr>
          <w:rFonts w:cs="Times New Roman"/>
        </w:rPr>
        <w:t>Here</w:t>
      </w:r>
      <w:r w:rsidR="0003530B" w:rsidRPr="002F35FA">
        <w:rPr>
          <w:rFonts w:cs="Times New Roman"/>
        </w:rPr>
        <w:t xml:space="preserve"> the presumption in favor of the superior is itself contingent on the availability of evidence concerning whether due procedure has been followed. Considerations concerning due procedure were in fact central to early modern accounts of price regulation. </w:t>
      </w:r>
      <w:r w:rsidR="0073204E" w:rsidRPr="002F35FA">
        <w:rPr>
          <w:rFonts w:cs="Times New Roman"/>
        </w:rPr>
        <w:t>They agreed that</w:t>
      </w:r>
      <w:r w:rsidR="0003530B" w:rsidRPr="002F35FA">
        <w:rPr>
          <w:rFonts w:cs="Times New Roman"/>
        </w:rPr>
        <w:t xml:space="preserve"> those involved in the process of price regulation</w:t>
      </w:r>
      <w:r w:rsidR="0073204E" w:rsidRPr="002F35FA">
        <w:rPr>
          <w:rFonts w:cs="Times New Roman"/>
        </w:rPr>
        <w:t xml:space="preserve"> needed to employ very co</w:t>
      </w:r>
      <w:r w:rsidR="00D33CF6" w:rsidRPr="002F35FA">
        <w:rPr>
          <w:rFonts w:cs="Times New Roman"/>
        </w:rPr>
        <w:t>n</w:t>
      </w:r>
      <w:r w:rsidR="0073204E" w:rsidRPr="002F35FA">
        <w:rPr>
          <w:rFonts w:cs="Times New Roman"/>
        </w:rPr>
        <w:t>textual</w:t>
      </w:r>
      <w:r w:rsidR="0003530B" w:rsidRPr="002F35FA">
        <w:rPr>
          <w:rFonts w:cs="Times New Roman"/>
        </w:rPr>
        <w:t xml:space="preserve"> reasoning. For instance, </w:t>
      </w:r>
      <w:proofErr w:type="spellStart"/>
      <w:r w:rsidR="0003530B" w:rsidRPr="002F35FA">
        <w:rPr>
          <w:rFonts w:cs="Times New Roman"/>
        </w:rPr>
        <w:t>Mexía</w:t>
      </w:r>
      <w:proofErr w:type="spellEnd"/>
      <w:r w:rsidR="0003530B" w:rsidRPr="002F35FA">
        <w:rPr>
          <w:rFonts w:cs="Times New Roman"/>
        </w:rPr>
        <w:t xml:space="preserve"> closely follows </w:t>
      </w:r>
      <w:proofErr w:type="spellStart"/>
      <w:r w:rsidR="0003530B" w:rsidRPr="002F35FA">
        <w:rPr>
          <w:rFonts w:cs="Times New Roman"/>
        </w:rPr>
        <w:t>Summenhart</w:t>
      </w:r>
      <w:proofErr w:type="spellEnd"/>
      <w:r w:rsidR="0003530B" w:rsidRPr="002F35FA">
        <w:rPr>
          <w:rFonts w:cs="Times New Roman"/>
        </w:rPr>
        <w:t xml:space="preserve">, who advises the legislator to </w:t>
      </w:r>
      <w:r w:rsidR="0073204E" w:rsidRPr="002F35FA">
        <w:rPr>
          <w:rFonts w:cs="Times New Roman"/>
        </w:rPr>
        <w:t>ascertain</w:t>
      </w:r>
      <w:r w:rsidR="0003530B" w:rsidRPr="002F35FA">
        <w:rPr>
          <w:rFonts w:cs="Times New Roman"/>
        </w:rPr>
        <w:t xml:space="preserve"> whether </w:t>
      </w:r>
      <w:r w:rsidR="0073204E" w:rsidRPr="002F35FA">
        <w:rPr>
          <w:rFonts w:cs="Times New Roman"/>
        </w:rPr>
        <w:t xml:space="preserve">the </w:t>
      </w:r>
      <w:r w:rsidR="0003530B" w:rsidRPr="002F35FA">
        <w:rPr>
          <w:rFonts w:cs="Times New Roman"/>
        </w:rPr>
        <w:t>shortage of a good is accidental or natural</w:t>
      </w:r>
      <w:r w:rsidR="0082352A" w:rsidRPr="002F35FA">
        <w:rPr>
          <w:rFonts w:cs="Times New Roman"/>
        </w:rPr>
        <w:t xml:space="preserve">, </w:t>
      </w:r>
      <w:r w:rsidR="0073204E" w:rsidRPr="002F35FA">
        <w:rPr>
          <w:rFonts w:cs="Times New Roman"/>
        </w:rPr>
        <w:t xml:space="preserve">that is, </w:t>
      </w:r>
      <w:r w:rsidR="0003530B" w:rsidRPr="002F35FA">
        <w:rPr>
          <w:rFonts w:cs="Times New Roman"/>
        </w:rPr>
        <w:t>whether is arises from events such as warfare</w:t>
      </w:r>
      <w:r w:rsidR="0073204E" w:rsidRPr="002F35FA">
        <w:rPr>
          <w:rFonts w:cs="Times New Roman"/>
        </w:rPr>
        <w:t>,</w:t>
      </w:r>
      <w:r w:rsidR="0003530B" w:rsidRPr="002F35FA">
        <w:rPr>
          <w:rFonts w:cs="Times New Roman"/>
        </w:rPr>
        <w:t xml:space="preserve"> natural disasters</w:t>
      </w:r>
      <w:r w:rsidR="0073204E" w:rsidRPr="002F35FA">
        <w:rPr>
          <w:rFonts w:cs="Times New Roman"/>
        </w:rPr>
        <w:t>,</w:t>
      </w:r>
      <w:r w:rsidR="0003530B" w:rsidRPr="002F35FA">
        <w:rPr>
          <w:rFonts w:cs="Times New Roman"/>
        </w:rPr>
        <w:t xml:space="preserve"> or geographic conditions. Likewise, the legislator </w:t>
      </w:r>
      <w:r w:rsidR="0073204E" w:rsidRPr="002F35FA">
        <w:rPr>
          <w:rFonts w:cs="Times New Roman"/>
        </w:rPr>
        <w:t>must ascertain the habits</w:t>
      </w:r>
      <w:r w:rsidR="0003530B" w:rsidRPr="002F35FA">
        <w:rPr>
          <w:rFonts w:cs="Times New Roman"/>
        </w:rPr>
        <w:t xml:space="preserve"> of</w:t>
      </w:r>
      <w:r w:rsidR="007646D3" w:rsidRPr="002F35FA">
        <w:rPr>
          <w:rFonts w:cs="Times New Roman"/>
        </w:rPr>
        <w:t xml:space="preserve"> </w:t>
      </w:r>
      <w:r w:rsidR="0003530B" w:rsidRPr="002F35FA">
        <w:rPr>
          <w:rFonts w:cs="Times New Roman"/>
        </w:rPr>
        <w:t>a region</w:t>
      </w:r>
      <w:r w:rsidR="0073204E" w:rsidRPr="002F35FA">
        <w:rPr>
          <w:rFonts w:cs="Times New Roman"/>
        </w:rPr>
        <w:t>’s inhab</w:t>
      </w:r>
      <w:r w:rsidR="0068035B" w:rsidRPr="002F35FA">
        <w:rPr>
          <w:rFonts w:cs="Times New Roman"/>
        </w:rPr>
        <w:t>i</w:t>
      </w:r>
      <w:r w:rsidR="0073204E" w:rsidRPr="002F35FA">
        <w:rPr>
          <w:rFonts w:cs="Times New Roman"/>
        </w:rPr>
        <w:t>tants</w:t>
      </w:r>
      <w:r w:rsidR="00603696" w:rsidRPr="002F35FA">
        <w:rPr>
          <w:rFonts w:cs="Times New Roman"/>
        </w:rPr>
        <w:t>—for example,</w:t>
      </w:r>
      <w:r w:rsidR="0003530B" w:rsidRPr="002F35FA">
        <w:rPr>
          <w:rFonts w:cs="Times New Roman"/>
        </w:rPr>
        <w:t xml:space="preserve"> about their modesty or wastefulness, their laboriousness or idleness. Moreover, the legislator </w:t>
      </w:r>
      <w:r w:rsidR="0073204E" w:rsidRPr="002F35FA">
        <w:rPr>
          <w:rFonts w:cs="Times New Roman"/>
        </w:rPr>
        <w:t>must ascertain</w:t>
      </w:r>
      <w:r w:rsidR="0003530B" w:rsidRPr="002F35FA">
        <w:rPr>
          <w:rFonts w:cs="Times New Roman"/>
        </w:rPr>
        <w:t xml:space="preserve"> the relevant degrees of necessity</w:t>
      </w:r>
      <w:r w:rsidR="00603696" w:rsidRPr="002F35FA">
        <w:rPr>
          <w:rFonts w:cs="Times New Roman"/>
        </w:rPr>
        <w:t>—</w:t>
      </w:r>
      <w:r w:rsidR="0003530B" w:rsidRPr="002F35FA">
        <w:rPr>
          <w:rFonts w:cs="Times New Roman"/>
        </w:rPr>
        <w:t>whether shortage threatens subsistence, or only the preservation of social status or the pleasurable aspects of life.</w:t>
      </w:r>
      <w:r w:rsidR="0003530B" w:rsidRPr="002F35FA">
        <w:rPr>
          <w:rFonts w:cs="Times New Roman"/>
          <w:vertAlign w:val="superscript"/>
        </w:rPr>
        <w:footnoteReference w:id="74"/>
      </w:r>
      <w:r w:rsidR="0003530B" w:rsidRPr="002F35FA">
        <w:rPr>
          <w:rFonts w:cs="Times New Roman"/>
        </w:rPr>
        <w:t xml:space="preserve"> In fact, sensitivity</w:t>
      </w:r>
      <w:r w:rsidR="0073204E" w:rsidRPr="002F35FA">
        <w:rPr>
          <w:rFonts w:cs="Times New Roman"/>
        </w:rPr>
        <w:t xml:space="preserve"> to context seen in</w:t>
      </w:r>
      <w:r w:rsidR="0003530B" w:rsidRPr="002F35FA">
        <w:rPr>
          <w:rFonts w:cs="Times New Roman"/>
        </w:rPr>
        <w:t xml:space="preserve"> price regulations in sixteenth-century Spain indicates that such advice was taken quite seriously. As Tomás Sánchez (155</w:t>
      </w:r>
      <w:r w:rsidR="007C2E1A" w:rsidRPr="002F35FA">
        <w:rPr>
          <w:rFonts w:cs="Times New Roman"/>
        </w:rPr>
        <w:t>0–</w:t>
      </w:r>
      <w:r w:rsidR="0003530B" w:rsidRPr="002F35FA">
        <w:rPr>
          <w:rFonts w:cs="Times New Roman"/>
        </w:rPr>
        <w:t xml:space="preserve">1610) documents, royal decrees—so-called </w:t>
      </w:r>
      <w:r w:rsidR="0003530B" w:rsidRPr="002F35FA">
        <w:rPr>
          <w:rFonts w:cs="Times New Roman"/>
        </w:rPr>
        <w:lastRenderedPageBreak/>
        <w:t>pragmatics (</w:t>
      </w:r>
      <w:proofErr w:type="spellStart"/>
      <w:r w:rsidR="0003530B" w:rsidRPr="002F35FA">
        <w:rPr>
          <w:rFonts w:cs="Times New Roman"/>
          <w:i/>
          <w:iCs/>
        </w:rPr>
        <w:t>pragmatica</w:t>
      </w:r>
      <w:proofErr w:type="spellEnd"/>
      <w:r w:rsidR="0003530B" w:rsidRPr="002F35FA">
        <w:rPr>
          <w:rFonts w:cs="Times New Roman"/>
        </w:rPr>
        <w:t xml:space="preserve">)—concerning legal prices </w:t>
      </w:r>
      <w:r w:rsidR="0073204E" w:rsidRPr="002F35FA">
        <w:rPr>
          <w:rFonts w:cs="Times New Roman"/>
        </w:rPr>
        <w:t>did in fact respond</w:t>
      </w:r>
      <w:r w:rsidR="0003530B" w:rsidRPr="002F35FA">
        <w:rPr>
          <w:rFonts w:cs="Times New Roman"/>
        </w:rPr>
        <w:t xml:space="preserve"> to the particularities of the situation in which the decrees were issued. </w:t>
      </w:r>
      <w:r w:rsidR="00E208A9" w:rsidRPr="002F35FA">
        <w:rPr>
          <w:rFonts w:cs="Times New Roman"/>
        </w:rPr>
        <w:t>S</w:t>
      </w:r>
      <w:r w:rsidR="0003530B" w:rsidRPr="002F35FA">
        <w:rPr>
          <w:rFonts w:cs="Times New Roman"/>
        </w:rPr>
        <w:t>ome decrees allowed for price differences: (1) different prices for the same goods in different regions, (2) regulated prices only for those reselling agricultural products, and (3) regulated prices for domestically produced goods but free prices for imported goods.</w:t>
      </w:r>
      <w:r w:rsidR="0003530B" w:rsidRPr="002F35FA">
        <w:rPr>
          <w:rFonts w:cs="Times New Roman"/>
          <w:vertAlign w:val="superscript"/>
        </w:rPr>
        <w:footnoteReference w:id="75"/>
      </w:r>
      <w:r w:rsidR="0003530B" w:rsidRPr="002F35FA">
        <w:rPr>
          <w:rFonts w:cs="Times New Roman"/>
        </w:rPr>
        <w:t xml:space="preserve"> Evidently, regulations of the first kind are meant to account for regional differences in shortage and wealth; the second kind</w:t>
      </w:r>
      <w:r w:rsidR="00E208A9" w:rsidRPr="002F35FA">
        <w:rPr>
          <w:rFonts w:cs="Times New Roman"/>
        </w:rPr>
        <w:t>,</w:t>
      </w:r>
      <w:r w:rsidR="0003530B" w:rsidRPr="002F35FA">
        <w:rPr>
          <w:rFonts w:cs="Times New Roman"/>
        </w:rPr>
        <w:t xml:space="preserve"> to guarantee the subsistence of peasants while </w:t>
      </w:r>
      <w:r w:rsidR="00E208A9" w:rsidRPr="002F35FA">
        <w:rPr>
          <w:rFonts w:cs="Times New Roman"/>
        </w:rPr>
        <w:t>also</w:t>
      </w:r>
      <w:r w:rsidR="0003530B" w:rsidRPr="002F35FA">
        <w:rPr>
          <w:rFonts w:cs="Times New Roman"/>
        </w:rPr>
        <w:t xml:space="preserve"> making basic commodities accessible to the population; and the third</w:t>
      </w:r>
      <w:r w:rsidR="00E208A9" w:rsidRPr="002F35FA">
        <w:rPr>
          <w:rFonts w:cs="Times New Roman"/>
        </w:rPr>
        <w:t>,</w:t>
      </w:r>
      <w:r w:rsidR="0003530B" w:rsidRPr="002F35FA">
        <w:rPr>
          <w:rFonts w:cs="Times New Roman"/>
        </w:rPr>
        <w:t xml:space="preserve"> to provide incentives for alleviating regional shortage</w:t>
      </w:r>
      <w:r w:rsidR="00E208A9" w:rsidRPr="002F35FA">
        <w:rPr>
          <w:rFonts w:cs="Times New Roman"/>
        </w:rPr>
        <w:t>s</w:t>
      </w:r>
      <w:r w:rsidR="0003530B" w:rsidRPr="002F35FA">
        <w:rPr>
          <w:rFonts w:cs="Times New Roman"/>
        </w:rPr>
        <w:t xml:space="preserve"> through imports. Further context-sensitive measures were taken to prevent the legal price from remaining ineffective: interdiction of exports, interdiction of hoarding and resale, exclusion of powerful agents such as members of the aristocracy and the clergy from the sale of wheat and bread, and expansion of trade rights to persons usually excluded from these rights.</w:t>
      </w:r>
      <w:r w:rsidR="0003530B" w:rsidRPr="002F35FA">
        <w:rPr>
          <w:rFonts w:cs="Times New Roman"/>
          <w:vertAlign w:val="superscript"/>
        </w:rPr>
        <w:footnoteReference w:id="76"/>
      </w:r>
      <w:r w:rsidR="0003530B" w:rsidRPr="002F35FA">
        <w:rPr>
          <w:rFonts w:cs="Times New Roman"/>
        </w:rPr>
        <w:t xml:space="preserve"> </w:t>
      </w:r>
    </w:p>
    <w:p w14:paraId="1C7FAECD" w14:textId="40A69AF5" w:rsidR="0003530B" w:rsidRPr="002F35FA" w:rsidRDefault="007048E3" w:rsidP="00DA7EF6">
      <w:pPr>
        <w:pStyle w:val="Standard1"/>
        <w:spacing w:line="480" w:lineRule="auto"/>
        <w:ind w:firstLine="720"/>
        <w:rPr>
          <w:rFonts w:cs="Times New Roman"/>
        </w:rPr>
      </w:pPr>
      <w:r w:rsidRPr="002F35FA">
        <w:rPr>
          <w:rFonts w:cs="Times New Roman"/>
        </w:rPr>
        <w:t>Soria</w:t>
      </w:r>
      <w:r w:rsidR="00C57B71" w:rsidRPr="002F35FA">
        <w:rPr>
          <w:rFonts w:cs="Times New Roman"/>
        </w:rPr>
        <w:t xml:space="preserve"> discussed situations in which price regulations included dispensations for agricultural works. </w:t>
      </w:r>
      <w:r w:rsidR="0003530B" w:rsidRPr="002F35FA">
        <w:rPr>
          <w:rFonts w:cs="Times New Roman"/>
        </w:rPr>
        <w:t>Consistent with the highly context-sensitive nature of price laws in early modern Spain,</w:t>
      </w:r>
      <w:r w:rsidR="00C57B71" w:rsidRPr="002F35FA">
        <w:rPr>
          <w:rFonts w:cs="Times New Roman"/>
        </w:rPr>
        <w:t xml:space="preserve"> his argument that one should presume the authorities have a just cause included</w:t>
      </w:r>
      <w:r w:rsidR="007646D3" w:rsidRPr="002F35FA">
        <w:rPr>
          <w:rFonts w:cs="Times New Roman"/>
        </w:rPr>
        <w:t xml:space="preserve"> </w:t>
      </w:r>
      <w:r w:rsidR="00C57B71" w:rsidRPr="002F35FA">
        <w:rPr>
          <w:rFonts w:cs="Times New Roman"/>
        </w:rPr>
        <w:t>a reference to due procedure</w:t>
      </w:r>
      <w:r w:rsidR="0003530B" w:rsidRPr="002F35FA">
        <w:rPr>
          <w:rFonts w:cs="Times New Roman"/>
        </w:rPr>
        <w:t>:</w:t>
      </w:r>
    </w:p>
    <w:p w14:paraId="6961ADA3" w14:textId="77777777" w:rsidR="0003530B" w:rsidRPr="002F35FA" w:rsidRDefault="0003530B" w:rsidP="00F51516">
      <w:pPr>
        <w:pStyle w:val="Standard1"/>
        <w:spacing w:line="480" w:lineRule="auto"/>
        <w:rPr>
          <w:rFonts w:cs="Times New Roman"/>
        </w:rPr>
      </w:pPr>
    </w:p>
    <w:p w14:paraId="634F24C6" w14:textId="17D9D570" w:rsidR="0003530B" w:rsidRPr="002F35FA" w:rsidRDefault="00603696" w:rsidP="00415222">
      <w:pPr>
        <w:pStyle w:val="Standard1"/>
        <w:spacing w:line="480" w:lineRule="auto"/>
        <w:ind w:left="720" w:right="720"/>
        <w:rPr>
          <w:rFonts w:cs="Times New Roman"/>
        </w:rPr>
      </w:pPr>
      <w:r w:rsidRPr="002F35FA">
        <w:rPr>
          <w:rFonts w:cs="Times New Roman"/>
        </w:rPr>
        <w:t>In</w:t>
      </w:r>
      <w:r w:rsidR="0003530B" w:rsidRPr="002F35FA">
        <w:rPr>
          <w:rFonts w:cs="Times New Roman"/>
        </w:rPr>
        <w:t xml:space="preserve"> dispensations made by the superiors, one must not presume an unjust cause, unless there are clear and evident reasons for it; and even less so in those dispensations that his Majesty concedes to the workers, after so much consultation with his prudent counsellors, after so many petitions from all regions of the kingdom, after having attended so many discussions of </w:t>
      </w:r>
      <w:r w:rsidR="0003530B" w:rsidRPr="002F35FA">
        <w:rPr>
          <w:rFonts w:cs="Times New Roman"/>
        </w:rPr>
        <w:lastRenderedPageBreak/>
        <w:t>knowledgeable and prudent men,</w:t>
      </w:r>
      <w:r w:rsidR="00FB399E" w:rsidRPr="002F35FA">
        <w:rPr>
          <w:rFonts w:cs="Times New Roman"/>
        </w:rPr>
        <w:t xml:space="preserve"> . . . </w:t>
      </w:r>
      <w:r w:rsidR="0003530B" w:rsidRPr="002F35FA">
        <w:rPr>
          <w:rFonts w:cs="Times New Roman"/>
        </w:rPr>
        <w:t>and also after having seen all reasons that have been alleged here against the mentioned permission</w:t>
      </w:r>
      <w:r w:rsidR="00FB399E" w:rsidRPr="002F35FA">
        <w:rPr>
          <w:rFonts w:cs="Times New Roman"/>
        </w:rPr>
        <w:t>.</w:t>
      </w:r>
      <w:r w:rsidR="0003530B" w:rsidRPr="002F35FA">
        <w:rPr>
          <w:rStyle w:val="Funotenzeichen"/>
          <w:rFonts w:cs="Times New Roman"/>
        </w:rPr>
        <w:footnoteReference w:id="77"/>
      </w:r>
    </w:p>
    <w:p w14:paraId="52795425" w14:textId="77777777" w:rsidR="00485B84" w:rsidRPr="002F35FA" w:rsidRDefault="00485B84" w:rsidP="00F51516">
      <w:pPr>
        <w:pStyle w:val="Standard1"/>
        <w:spacing w:line="480" w:lineRule="auto"/>
        <w:rPr>
          <w:rFonts w:cs="Times New Roman"/>
        </w:rPr>
      </w:pPr>
    </w:p>
    <w:p w14:paraId="6E42A29C" w14:textId="0429CBBA" w:rsidR="0003530B" w:rsidRPr="002F35FA" w:rsidRDefault="00C57B71" w:rsidP="00F51516">
      <w:pPr>
        <w:pStyle w:val="Standard1"/>
        <w:spacing w:line="480" w:lineRule="auto"/>
        <w:rPr>
          <w:rFonts w:cs="Times New Roman"/>
        </w:rPr>
      </w:pPr>
      <w:r w:rsidRPr="002F35FA">
        <w:rPr>
          <w:rFonts w:cs="Times New Roman"/>
        </w:rPr>
        <w:t>The clear evidence of conscientiousness forms the basis for presuming that the prince’s justice is rational.</w:t>
      </w:r>
    </w:p>
    <w:p w14:paraId="2552833A" w14:textId="634DDE7A" w:rsidR="00DA7EF6" w:rsidRPr="002F35FA" w:rsidRDefault="0003530B" w:rsidP="00DA7EF6">
      <w:pPr>
        <w:pStyle w:val="Standard1"/>
        <w:spacing w:line="480" w:lineRule="auto"/>
        <w:ind w:firstLine="720"/>
        <w:rPr>
          <w:rFonts w:cs="Times New Roman"/>
        </w:rPr>
      </w:pPr>
      <w:r w:rsidRPr="002F35FA">
        <w:rPr>
          <w:rFonts w:cs="Times New Roman"/>
        </w:rPr>
        <w:t>Soria considers the juridical view that, in cases where an act of the superior injures someone, there is no obligation to obey the law, even if there generally is a presumption of favor of the superior.</w:t>
      </w:r>
      <w:r w:rsidRPr="002F35FA">
        <w:rPr>
          <w:rStyle w:val="Funotenzeichen"/>
          <w:rFonts w:cs="Times New Roman"/>
        </w:rPr>
        <w:footnoteReference w:id="78"/>
      </w:r>
      <w:r w:rsidRPr="002F35FA">
        <w:rPr>
          <w:rFonts w:cs="Times New Roman"/>
        </w:rPr>
        <w:t xml:space="preserve"> Soria rejoins that</w:t>
      </w:r>
      <w:r w:rsidR="00A52CD1" w:rsidRPr="002F35FA">
        <w:rPr>
          <w:rFonts w:cs="Times New Roman"/>
        </w:rPr>
        <w:t xml:space="preserve"> one must not presume that the nomination of officials to collect a new tax took place “with violence” </w:t>
      </w:r>
      <w:r w:rsidRPr="002F35FA">
        <w:rPr>
          <w:rFonts w:cs="Times New Roman"/>
        </w:rPr>
        <w:t xml:space="preserve">if the decision </w:t>
      </w:r>
      <w:r w:rsidR="00A52CD1" w:rsidRPr="002F35FA">
        <w:rPr>
          <w:rFonts w:cs="Times New Roman"/>
        </w:rPr>
        <w:t xml:space="preserve">process involved </w:t>
      </w:r>
      <w:r w:rsidRPr="002F35FA">
        <w:rPr>
          <w:rFonts w:cs="Times New Roman"/>
        </w:rPr>
        <w:t xml:space="preserve">the </w:t>
      </w:r>
      <w:r w:rsidR="00A52CD1" w:rsidRPr="002F35FA">
        <w:rPr>
          <w:rFonts w:cs="Times New Roman"/>
        </w:rPr>
        <w:t xml:space="preserve">counsel </w:t>
      </w:r>
      <w:r w:rsidRPr="002F35FA">
        <w:rPr>
          <w:rFonts w:cs="Times New Roman"/>
        </w:rPr>
        <w:t>given by the Cortes, the advice given by cities, and consultations with theologians, jurists</w:t>
      </w:r>
      <w:r w:rsidR="00485B84" w:rsidRPr="002F35FA">
        <w:rPr>
          <w:rFonts w:cs="Times New Roman"/>
        </w:rPr>
        <w:t>,</w:t>
      </w:r>
      <w:r w:rsidRPr="002F35FA">
        <w:rPr>
          <w:rFonts w:cs="Times New Roman"/>
        </w:rPr>
        <w:t xml:space="preserve"> or “other practical and trustworthy persons</w:t>
      </w:r>
      <w:r w:rsidR="00485B84" w:rsidRPr="002F35FA">
        <w:rPr>
          <w:rFonts w:cs="Times New Roman"/>
        </w:rPr>
        <w:t>.”</w:t>
      </w:r>
      <w:r w:rsidRPr="002F35FA">
        <w:rPr>
          <w:rStyle w:val="Funotenzeichen"/>
          <w:rFonts w:cs="Times New Roman"/>
        </w:rPr>
        <w:footnoteReference w:id="79"/>
      </w:r>
      <w:r w:rsidRPr="002F35FA">
        <w:rPr>
          <w:rFonts w:cs="Times New Roman"/>
        </w:rPr>
        <w:t xml:space="preserve"> Likewise, Soria emphasizes that legal prices </w:t>
      </w:r>
      <w:r w:rsidR="00A52CD1" w:rsidRPr="002F35FA">
        <w:rPr>
          <w:rFonts w:cs="Times New Roman"/>
        </w:rPr>
        <w:t>must</w:t>
      </w:r>
      <w:r w:rsidRPr="002F35FA">
        <w:rPr>
          <w:rFonts w:cs="Times New Roman"/>
        </w:rPr>
        <w:t xml:space="preserve"> be determined </w:t>
      </w:r>
      <w:r w:rsidR="00A52CD1" w:rsidRPr="002F35FA">
        <w:rPr>
          <w:rFonts w:cs="Times New Roman"/>
        </w:rPr>
        <w:t>through</w:t>
      </w:r>
      <w:r w:rsidRPr="002F35FA">
        <w:rPr>
          <w:rFonts w:cs="Times New Roman"/>
        </w:rPr>
        <w:t xml:space="preserve"> consultation with prudent advisors, theologians</w:t>
      </w:r>
      <w:r w:rsidR="00FB399E" w:rsidRPr="002F35FA">
        <w:rPr>
          <w:rFonts w:cs="Times New Roman"/>
        </w:rPr>
        <w:t>,</w:t>
      </w:r>
      <w:r w:rsidRPr="002F35FA">
        <w:rPr>
          <w:rFonts w:cs="Times New Roman"/>
        </w:rPr>
        <w:t xml:space="preserve"> jurists</w:t>
      </w:r>
      <w:r w:rsidR="00FB399E" w:rsidRPr="002F35FA">
        <w:rPr>
          <w:rFonts w:cs="Times New Roman"/>
        </w:rPr>
        <w:t>,</w:t>
      </w:r>
      <w:r w:rsidRPr="002F35FA">
        <w:rPr>
          <w:rFonts w:cs="Times New Roman"/>
        </w:rPr>
        <w:t xml:space="preserve"> and the workers who will be directly affected by the price regulation.</w:t>
      </w:r>
      <w:r w:rsidRPr="002F35FA">
        <w:rPr>
          <w:rFonts w:cs="Times New Roman"/>
          <w:vertAlign w:val="superscript"/>
        </w:rPr>
        <w:footnoteReference w:id="80"/>
      </w:r>
      <w:r w:rsidRPr="002F35FA">
        <w:rPr>
          <w:rFonts w:cs="Times New Roman"/>
        </w:rPr>
        <w:t xml:space="preserve"> According to Soria, it is the practice of consultation that gives rise to the presumption that princes “have well understood the reasons and foundations of the laws that they pass.”</w:t>
      </w:r>
      <w:r w:rsidRPr="002F35FA">
        <w:rPr>
          <w:rFonts w:cs="Times New Roman"/>
          <w:vertAlign w:val="superscript"/>
        </w:rPr>
        <w:footnoteReference w:id="81"/>
      </w:r>
      <w:r w:rsidRPr="002F35FA">
        <w:rPr>
          <w:rFonts w:cs="Times New Roman"/>
        </w:rPr>
        <w:t xml:space="preserve"> </w:t>
      </w:r>
    </w:p>
    <w:p w14:paraId="3553B1E6" w14:textId="70F40F70" w:rsidR="00DA7EF6" w:rsidRPr="002F35FA" w:rsidRDefault="0003530B" w:rsidP="00DA7EF6">
      <w:pPr>
        <w:pStyle w:val="Standard1"/>
        <w:spacing w:line="480" w:lineRule="auto"/>
        <w:ind w:firstLine="720"/>
        <w:rPr>
          <w:rFonts w:cs="Times New Roman"/>
        </w:rPr>
      </w:pPr>
      <w:r w:rsidRPr="002F35FA">
        <w:rPr>
          <w:rFonts w:cs="Times New Roman"/>
        </w:rPr>
        <w:t xml:space="preserve">Soria is also explicit about the revisable nature of presumptions </w:t>
      </w:r>
      <w:r w:rsidR="0016086A" w:rsidRPr="002F35FA">
        <w:rPr>
          <w:rFonts w:cs="Times New Roman"/>
        </w:rPr>
        <w:t>favoring</w:t>
      </w:r>
      <w:r w:rsidRPr="002F35FA">
        <w:rPr>
          <w:rFonts w:cs="Times New Roman"/>
        </w:rPr>
        <w:t xml:space="preserve"> the justice of the legal price: Such presumptions can be overruled by “evident and clear reasons.”</w:t>
      </w:r>
      <w:r w:rsidRPr="002F35FA">
        <w:rPr>
          <w:rFonts w:cs="Times New Roman"/>
          <w:vertAlign w:val="superscript"/>
        </w:rPr>
        <w:footnoteReference w:id="82"/>
      </w:r>
      <w:r w:rsidRPr="002F35FA">
        <w:rPr>
          <w:rFonts w:cs="Times New Roman"/>
        </w:rPr>
        <w:t xml:space="preserve"> In fact, this corresponds to political practice in sixteenth-century Spain, where defeasibility was built into legislation concerning fixed prices. Sánchez gives several examples that show that </w:t>
      </w:r>
      <w:r w:rsidR="0016086A" w:rsidRPr="002F35FA">
        <w:rPr>
          <w:rFonts w:cs="Times New Roman"/>
        </w:rPr>
        <w:t>some royal “pragmatics” mentioned explicit</w:t>
      </w:r>
      <w:r w:rsidR="00485B84" w:rsidRPr="002F35FA">
        <w:rPr>
          <w:rFonts w:cs="Times New Roman"/>
        </w:rPr>
        <w:t>l</w:t>
      </w:r>
      <w:r w:rsidR="0016086A" w:rsidRPr="002F35FA">
        <w:rPr>
          <w:rFonts w:cs="Times New Roman"/>
        </w:rPr>
        <w:t>y</w:t>
      </w:r>
      <w:r w:rsidR="007646D3" w:rsidRPr="002F35FA">
        <w:rPr>
          <w:rFonts w:cs="Times New Roman"/>
        </w:rPr>
        <w:t xml:space="preserve"> </w:t>
      </w:r>
      <w:r w:rsidRPr="002F35FA">
        <w:rPr>
          <w:rFonts w:cs="Times New Roman"/>
        </w:rPr>
        <w:t xml:space="preserve">the authority of courts </w:t>
      </w:r>
      <w:r w:rsidR="0016086A" w:rsidRPr="002F35FA">
        <w:rPr>
          <w:rFonts w:cs="Times New Roman"/>
        </w:rPr>
        <w:t>to revise</w:t>
      </w:r>
      <w:r w:rsidRPr="002F35FA">
        <w:rPr>
          <w:rFonts w:cs="Times New Roman"/>
        </w:rPr>
        <w:t xml:space="preserve"> the laws</w:t>
      </w:r>
      <w:r w:rsidR="00485B84" w:rsidRPr="002F35FA">
        <w:rPr>
          <w:rFonts w:cs="Times New Roman"/>
        </w:rPr>
        <w:t>.</w:t>
      </w:r>
      <w:r w:rsidRPr="002F35FA">
        <w:rPr>
          <w:rStyle w:val="Funotenzeichen"/>
          <w:rFonts w:cs="Times New Roman"/>
        </w:rPr>
        <w:footnoteReference w:id="83"/>
      </w:r>
      <w:r w:rsidRPr="002F35FA">
        <w:rPr>
          <w:rFonts w:cs="Times New Roman"/>
        </w:rPr>
        <w:t xml:space="preserve"> </w:t>
      </w:r>
      <w:proofErr w:type="spellStart"/>
      <w:r w:rsidRPr="002F35FA">
        <w:rPr>
          <w:rFonts w:cs="Times New Roman"/>
        </w:rPr>
        <w:t>Mexía</w:t>
      </w:r>
      <w:proofErr w:type="spellEnd"/>
      <w:r w:rsidRPr="002F35FA">
        <w:rPr>
          <w:rFonts w:cs="Times New Roman"/>
        </w:rPr>
        <w:t xml:space="preserve"> </w:t>
      </w:r>
      <w:r w:rsidRPr="002F35FA">
        <w:rPr>
          <w:rFonts w:cs="Times New Roman"/>
        </w:rPr>
        <w:lastRenderedPageBreak/>
        <w:t xml:space="preserve">emphasizes that even if they specify particular prices, </w:t>
      </w:r>
      <w:r w:rsidR="0016086A" w:rsidRPr="002F35FA">
        <w:rPr>
          <w:rFonts w:cs="Times New Roman"/>
        </w:rPr>
        <w:t>royal decre</w:t>
      </w:r>
      <w:r w:rsidR="00485B84" w:rsidRPr="002F35FA">
        <w:rPr>
          <w:rFonts w:cs="Times New Roman"/>
        </w:rPr>
        <w:t>e</w:t>
      </w:r>
      <w:r w:rsidR="0016086A" w:rsidRPr="002F35FA">
        <w:rPr>
          <w:rFonts w:cs="Times New Roman"/>
        </w:rPr>
        <w:t xml:space="preserve">s </w:t>
      </w:r>
      <w:r w:rsidRPr="002F35FA">
        <w:rPr>
          <w:rFonts w:cs="Times New Roman"/>
        </w:rPr>
        <w:t>always leave it to a judge to see whether these prices are suitable for reaching their intentions: “[The judge] can set the price and revise it, especially on the occasion of complaints by a seller, or an advocate of the people, or a council.”</w:t>
      </w:r>
      <w:r w:rsidRPr="002F35FA">
        <w:rPr>
          <w:rFonts w:cs="Times New Roman"/>
          <w:vertAlign w:val="superscript"/>
        </w:rPr>
        <w:footnoteReference w:id="84"/>
      </w:r>
      <w:r w:rsidRPr="002F35FA">
        <w:rPr>
          <w:rFonts w:cs="Times New Roman"/>
        </w:rPr>
        <w:t xml:space="preserve"> Also, </w:t>
      </w:r>
      <w:proofErr w:type="spellStart"/>
      <w:r w:rsidRPr="002F35FA">
        <w:rPr>
          <w:rFonts w:cs="Times New Roman"/>
        </w:rPr>
        <w:t>Mexía</w:t>
      </w:r>
      <w:proofErr w:type="spellEnd"/>
      <w:r w:rsidRPr="002F35FA">
        <w:rPr>
          <w:rFonts w:cs="Times New Roman"/>
        </w:rPr>
        <w:t xml:space="preserve"> </w:t>
      </w:r>
      <w:r w:rsidR="0067352B" w:rsidRPr="002F35FA">
        <w:rPr>
          <w:rFonts w:cs="Times New Roman"/>
        </w:rPr>
        <w:t>notes</w:t>
      </w:r>
      <w:r w:rsidRPr="002F35FA">
        <w:rPr>
          <w:rFonts w:cs="Times New Roman"/>
        </w:rPr>
        <w:t xml:space="preserve"> that the verdict of lower-level judges is not prejudicial to the verdict of higher-level judges, such that the complete legal system is open to citizens who seek restitution against unjust price regulation.</w:t>
      </w:r>
      <w:r w:rsidRPr="002F35FA">
        <w:rPr>
          <w:rFonts w:cs="Times New Roman"/>
          <w:vertAlign w:val="superscript"/>
        </w:rPr>
        <w:footnoteReference w:id="85"/>
      </w:r>
      <w:r w:rsidRPr="002F35FA">
        <w:rPr>
          <w:rFonts w:cs="Times New Roman"/>
        </w:rPr>
        <w:t xml:space="preserve"> </w:t>
      </w:r>
      <w:r w:rsidR="009E1745" w:rsidRPr="002F35FA">
        <w:rPr>
          <w:rFonts w:cs="Times New Roman"/>
        </w:rPr>
        <w:t>This view of the role of jurisdiction in the control of price regulation implies that the task of the judge is not only to decide whether the legal price has been violated in a particular case but also whether the legal price has been determined in a just manner.</w:t>
      </w:r>
      <w:r w:rsidR="00606503" w:rsidRPr="002F35FA">
        <w:rPr>
          <w:rFonts w:cs="Times New Roman"/>
        </w:rPr>
        <w:t xml:space="preserve"> </w:t>
      </w:r>
    </w:p>
    <w:p w14:paraId="022CEAE7" w14:textId="1C349CF7" w:rsidR="008E3896" w:rsidRPr="002F35FA" w:rsidRDefault="000F6182" w:rsidP="00DA7EF6">
      <w:pPr>
        <w:pStyle w:val="Standard1"/>
        <w:spacing w:line="480" w:lineRule="auto"/>
        <w:ind w:firstLine="720"/>
        <w:rPr>
          <w:rFonts w:cs="Times New Roman"/>
        </w:rPr>
      </w:pPr>
      <w:r w:rsidRPr="002F35FA">
        <w:rPr>
          <w:rFonts w:cs="Times New Roman"/>
        </w:rPr>
        <w:t>Soria’s presumption of the justice of price regulation follows one of the patterns of juridical analysis</w:t>
      </w:r>
      <w:r w:rsidR="00FF546F" w:rsidRPr="002F35FA">
        <w:rPr>
          <w:rFonts w:cs="Times New Roman"/>
        </w:rPr>
        <w:t>: a</w:t>
      </w:r>
      <w:r w:rsidRPr="002F35FA">
        <w:rPr>
          <w:rFonts w:cs="Times New Roman"/>
        </w:rPr>
        <w:t xml:space="preserve"> general presumption in favor of the opinion of t</w:t>
      </w:r>
      <w:r w:rsidR="005B7658" w:rsidRPr="002F35FA">
        <w:rPr>
          <w:rFonts w:cs="Times New Roman"/>
        </w:rPr>
        <w:t>he superior</w:t>
      </w:r>
      <w:r w:rsidR="00485B84" w:rsidRPr="002F35FA">
        <w:rPr>
          <w:rFonts w:cs="Times New Roman"/>
        </w:rPr>
        <w:t>—</w:t>
      </w:r>
      <w:r w:rsidR="005B7658" w:rsidRPr="002F35FA">
        <w:rPr>
          <w:rFonts w:cs="Times New Roman"/>
        </w:rPr>
        <w:t xml:space="preserve">the pattern developed by </w:t>
      </w:r>
      <w:proofErr w:type="spellStart"/>
      <w:r w:rsidR="005B7658" w:rsidRPr="002F35FA">
        <w:rPr>
          <w:rFonts w:cs="Times New Roman"/>
        </w:rPr>
        <w:t>Felinus</w:t>
      </w:r>
      <w:proofErr w:type="spellEnd"/>
      <w:r w:rsidR="005B7658" w:rsidRPr="002F35FA">
        <w:rPr>
          <w:rFonts w:cs="Times New Roman"/>
        </w:rPr>
        <w:t xml:space="preserve"> and </w:t>
      </w:r>
      <w:proofErr w:type="spellStart"/>
      <w:r w:rsidR="005B7658" w:rsidRPr="002F35FA">
        <w:rPr>
          <w:rFonts w:cs="Times New Roman"/>
        </w:rPr>
        <w:t>Curtius</w:t>
      </w:r>
      <w:proofErr w:type="spellEnd"/>
      <w:r w:rsidR="00301DB7" w:rsidRPr="002F35FA">
        <w:rPr>
          <w:rFonts w:cs="Times New Roman"/>
        </w:rPr>
        <w:t xml:space="preserve"> and adopted by Alciato</w:t>
      </w:r>
      <w:r w:rsidR="00FF546F" w:rsidRPr="002F35FA">
        <w:rPr>
          <w:rFonts w:cs="Times New Roman"/>
        </w:rPr>
        <w:t xml:space="preserve">. </w:t>
      </w:r>
      <w:proofErr w:type="gramStart"/>
      <w:r w:rsidR="00FF546F" w:rsidRPr="002F35FA">
        <w:rPr>
          <w:rFonts w:cs="Times New Roman"/>
        </w:rPr>
        <w:t>Thus</w:t>
      </w:r>
      <w:proofErr w:type="gramEnd"/>
      <w:r w:rsidR="00FF546F" w:rsidRPr="002F35FA">
        <w:rPr>
          <w:rFonts w:cs="Times New Roman"/>
        </w:rPr>
        <w:t xml:space="preserve"> it would seem that he uses</w:t>
      </w:r>
      <w:r w:rsidR="007646D3" w:rsidRPr="002F35FA">
        <w:rPr>
          <w:rFonts w:cs="Times New Roman"/>
        </w:rPr>
        <w:t xml:space="preserve"> </w:t>
      </w:r>
      <w:r w:rsidR="00485B84" w:rsidRPr="002F35FA">
        <w:rPr>
          <w:rFonts w:cs="Times New Roman"/>
        </w:rPr>
        <w:t xml:space="preserve">the </w:t>
      </w:r>
      <w:r w:rsidR="00380882" w:rsidRPr="002F35FA">
        <w:rPr>
          <w:rFonts w:cs="Times New Roman"/>
        </w:rPr>
        <w:t>notion</w:t>
      </w:r>
      <w:r w:rsidRPr="002F35FA">
        <w:rPr>
          <w:rFonts w:cs="Times New Roman"/>
        </w:rPr>
        <w:t xml:space="preserve"> is in a perfectly technical sense.</w:t>
      </w:r>
      <w:r w:rsidR="00FC37FF" w:rsidRPr="002F35FA">
        <w:rPr>
          <w:rFonts w:cs="Times New Roman"/>
        </w:rPr>
        <w:t xml:space="preserve"> </w:t>
      </w:r>
      <w:r w:rsidR="00FF546F" w:rsidRPr="002F35FA">
        <w:rPr>
          <w:rFonts w:cs="Times New Roman"/>
        </w:rPr>
        <w:t xml:space="preserve">Individuals presume </w:t>
      </w:r>
      <w:r w:rsidR="005B1463" w:rsidRPr="002F35FA">
        <w:rPr>
          <w:rFonts w:cs="Times New Roman"/>
        </w:rPr>
        <w:t>in favor of the justice of the</w:t>
      </w:r>
      <w:r w:rsidR="00FF546F" w:rsidRPr="002F35FA">
        <w:rPr>
          <w:rFonts w:cs="Times New Roman"/>
        </w:rPr>
        <w:t xml:space="preserve"> prince’s</w:t>
      </w:r>
      <w:r w:rsidR="005B1463" w:rsidRPr="002F35FA">
        <w:rPr>
          <w:rFonts w:cs="Times New Roman"/>
        </w:rPr>
        <w:t xml:space="preserve"> </w:t>
      </w:r>
      <w:r w:rsidR="00485B84" w:rsidRPr="002F35FA">
        <w:rPr>
          <w:rFonts w:cs="Times New Roman"/>
        </w:rPr>
        <w:t>decision</w:t>
      </w:r>
      <w:r w:rsidR="007646D3" w:rsidRPr="002F35FA">
        <w:rPr>
          <w:rFonts w:cs="Times New Roman"/>
        </w:rPr>
        <w:t xml:space="preserve"> </w:t>
      </w:r>
      <w:r w:rsidR="005B1463" w:rsidRPr="002F35FA">
        <w:rPr>
          <w:rFonts w:cs="Times New Roman"/>
        </w:rPr>
        <w:t>on the basis of evidence</w:t>
      </w:r>
      <w:r w:rsidR="00FF546F" w:rsidRPr="002F35FA">
        <w:rPr>
          <w:rFonts w:cs="Times New Roman"/>
        </w:rPr>
        <w:t>,</w:t>
      </w:r>
      <w:r w:rsidR="005B1463" w:rsidRPr="002F35FA">
        <w:rPr>
          <w:rFonts w:cs="Times New Roman"/>
        </w:rPr>
        <w:t xml:space="preserve"> and </w:t>
      </w:r>
      <w:r w:rsidR="00FF546F" w:rsidRPr="002F35FA">
        <w:rPr>
          <w:rFonts w:cs="Times New Roman"/>
        </w:rPr>
        <w:t xml:space="preserve">take into account </w:t>
      </w:r>
      <w:r w:rsidR="005B1463" w:rsidRPr="002F35FA">
        <w:rPr>
          <w:rFonts w:cs="Times New Roman"/>
        </w:rPr>
        <w:t>the state of mind of the person in whose favor it is made.</w:t>
      </w:r>
      <w:r w:rsidR="00A613F4" w:rsidRPr="002F35FA">
        <w:rPr>
          <w:rFonts w:cs="Times New Roman"/>
        </w:rPr>
        <w:t xml:space="preserve"> </w:t>
      </w:r>
      <w:r w:rsidR="002B0923" w:rsidRPr="002F35FA">
        <w:rPr>
          <w:rFonts w:cs="Times New Roman"/>
        </w:rPr>
        <w:t xml:space="preserve">At the same time, </w:t>
      </w:r>
      <w:r w:rsidRPr="002F35FA">
        <w:rPr>
          <w:rFonts w:cs="Times New Roman"/>
        </w:rPr>
        <w:t>the</w:t>
      </w:r>
      <w:r w:rsidR="00475979" w:rsidRPr="002F35FA">
        <w:rPr>
          <w:rFonts w:cs="Times New Roman"/>
        </w:rPr>
        <w:t xml:space="preserve"> presumption </w:t>
      </w:r>
      <w:r w:rsidR="00EF7B1D" w:rsidRPr="002F35FA">
        <w:rPr>
          <w:rFonts w:cs="Times New Roman"/>
        </w:rPr>
        <w:t xml:space="preserve">in favor the justice of the legal price </w:t>
      </w:r>
      <w:r w:rsidR="00FF546F" w:rsidRPr="002F35FA">
        <w:rPr>
          <w:rFonts w:cs="Times New Roman"/>
        </w:rPr>
        <w:t xml:space="preserve">is revisable; that offers a potential answer to </w:t>
      </w:r>
      <w:r w:rsidR="00EF7B1D" w:rsidRPr="002F35FA">
        <w:rPr>
          <w:rFonts w:cs="Times New Roman"/>
        </w:rPr>
        <w:t xml:space="preserve">the problem identified by </w:t>
      </w:r>
      <w:proofErr w:type="spellStart"/>
      <w:r w:rsidR="00EF7B1D" w:rsidRPr="002F35FA">
        <w:rPr>
          <w:rFonts w:cs="Times New Roman"/>
        </w:rPr>
        <w:t>Höpfl</w:t>
      </w:r>
      <w:proofErr w:type="spellEnd"/>
      <w:r w:rsidR="00EF7B1D" w:rsidRPr="002F35FA">
        <w:rPr>
          <w:rFonts w:cs="Times New Roman"/>
        </w:rPr>
        <w:t xml:space="preserve">. As used by Soria, the presumption in favor of the justice of </w:t>
      </w:r>
      <w:r w:rsidR="00A613F4" w:rsidRPr="002F35FA">
        <w:rPr>
          <w:rFonts w:cs="Times New Roman"/>
        </w:rPr>
        <w:t>the prince</w:t>
      </w:r>
      <w:r w:rsidR="00FF546F" w:rsidRPr="002F35FA">
        <w:rPr>
          <w:rFonts w:cs="Times New Roman"/>
        </w:rPr>
        <w:t>’s decision</w:t>
      </w:r>
      <w:r w:rsidR="00A613F4" w:rsidRPr="002F35FA">
        <w:rPr>
          <w:rFonts w:cs="Times New Roman"/>
        </w:rPr>
        <w:t xml:space="preserve"> is</w:t>
      </w:r>
      <w:r w:rsidR="00EF7B1D" w:rsidRPr="002F35FA">
        <w:rPr>
          <w:rFonts w:cs="Times New Roman"/>
        </w:rPr>
        <w:t xml:space="preserve"> not</w:t>
      </w:r>
      <w:r w:rsidR="00485B84" w:rsidRPr="002F35FA">
        <w:rPr>
          <w:rFonts w:cs="Times New Roman"/>
        </w:rPr>
        <w:t xml:space="preserve"> </w:t>
      </w:r>
      <w:r w:rsidR="00EF7B1D" w:rsidRPr="002F35FA">
        <w:rPr>
          <w:rFonts w:cs="Times New Roman"/>
        </w:rPr>
        <w:t>a source of order in the sense of being the last word on the matter</w:t>
      </w:r>
      <w:r w:rsidR="00FF546F" w:rsidRPr="002F35FA">
        <w:rPr>
          <w:rFonts w:cs="Times New Roman"/>
        </w:rPr>
        <w:t xml:space="preserve">, as would be the case with presumptions of the </w:t>
      </w:r>
      <w:r w:rsidR="00FF546F" w:rsidRPr="002F35FA">
        <w:rPr>
          <w:rFonts w:cs="Times New Roman"/>
          <w:i/>
        </w:rPr>
        <w:t xml:space="preserve">iuris et de iure </w:t>
      </w:r>
      <w:r w:rsidR="00FF546F" w:rsidRPr="002F35FA">
        <w:rPr>
          <w:rFonts w:cs="Times New Roman"/>
        </w:rPr>
        <w:t>type</w:t>
      </w:r>
      <w:r w:rsidR="00485B84" w:rsidRPr="002F35FA">
        <w:rPr>
          <w:rFonts w:cs="Times New Roman"/>
        </w:rPr>
        <w:t>.</w:t>
      </w:r>
      <w:r w:rsidR="00EF7B1D" w:rsidRPr="002F35FA">
        <w:rPr>
          <w:rFonts w:cs="Times New Roman"/>
        </w:rPr>
        <w:t xml:space="preserve"> Rather, it is a source of order in the sense that it creates an obligation to obey the price unless and until con</w:t>
      </w:r>
      <w:r w:rsidR="001E1EB8" w:rsidRPr="002F35FA">
        <w:rPr>
          <w:rFonts w:cs="Times New Roman"/>
        </w:rPr>
        <w:t>trary evi</w:t>
      </w:r>
      <w:r w:rsidR="00FA0B4A" w:rsidRPr="002F35FA">
        <w:rPr>
          <w:rFonts w:cs="Times New Roman"/>
        </w:rPr>
        <w:t xml:space="preserve">dence </w:t>
      </w:r>
      <w:r w:rsidR="00FF546F" w:rsidRPr="002F35FA">
        <w:rPr>
          <w:rFonts w:cs="Times New Roman"/>
        </w:rPr>
        <w:t>appears</w:t>
      </w:r>
      <w:r w:rsidR="00FA0B4A" w:rsidRPr="002F35FA">
        <w:rPr>
          <w:rFonts w:cs="Times New Roman"/>
        </w:rPr>
        <w:t>. T</w:t>
      </w:r>
      <w:r w:rsidR="00C91D69" w:rsidRPr="002F35FA">
        <w:rPr>
          <w:rFonts w:cs="Times New Roman"/>
        </w:rPr>
        <w:t xml:space="preserve">he legally guaranteed possibility of control through courts </w:t>
      </w:r>
      <w:r w:rsidR="00095D65" w:rsidRPr="002F35FA">
        <w:rPr>
          <w:rFonts w:cs="Times New Roman"/>
        </w:rPr>
        <w:t xml:space="preserve">is what </w:t>
      </w:r>
      <w:r w:rsidR="001E1EB8" w:rsidRPr="002F35FA">
        <w:rPr>
          <w:rFonts w:cs="Times New Roman"/>
        </w:rPr>
        <w:t>renders this presumption revisable in a</w:t>
      </w:r>
      <w:r w:rsidR="007019BF" w:rsidRPr="002F35FA">
        <w:rPr>
          <w:rFonts w:cs="Times New Roman"/>
        </w:rPr>
        <w:t>n institutionally</w:t>
      </w:r>
      <w:r w:rsidR="001E1EB8" w:rsidRPr="002F35FA">
        <w:rPr>
          <w:rFonts w:cs="Times New Roman"/>
        </w:rPr>
        <w:t xml:space="preserve"> effective way. The </w:t>
      </w:r>
      <w:r w:rsidR="00F058B4" w:rsidRPr="002F35FA">
        <w:rPr>
          <w:rFonts w:cs="Times New Roman"/>
        </w:rPr>
        <w:t xml:space="preserve">institutional guarantee for </w:t>
      </w:r>
      <w:r w:rsidR="00FB399E" w:rsidRPr="002F35FA">
        <w:rPr>
          <w:rFonts w:cs="Times New Roman"/>
        </w:rPr>
        <w:t xml:space="preserve">the </w:t>
      </w:r>
      <w:r w:rsidR="001E1EB8" w:rsidRPr="002F35FA">
        <w:rPr>
          <w:rFonts w:cs="Times New Roman"/>
        </w:rPr>
        <w:t xml:space="preserve">revisable nature of the presumption in favor of the justice of the prince thus </w:t>
      </w:r>
      <w:r w:rsidR="00C91D69" w:rsidRPr="002F35FA">
        <w:rPr>
          <w:rFonts w:cs="Times New Roman"/>
        </w:rPr>
        <w:t xml:space="preserve">offers a way to restore order in cases </w:t>
      </w:r>
      <w:r w:rsidR="00C91D69" w:rsidRPr="002F35FA">
        <w:rPr>
          <w:rFonts w:cs="Times New Roman"/>
        </w:rPr>
        <w:lastRenderedPageBreak/>
        <w:t xml:space="preserve">where the </w:t>
      </w:r>
      <w:r w:rsidR="00BE4681" w:rsidRPr="002F35FA">
        <w:rPr>
          <w:rFonts w:cs="Times New Roman"/>
        </w:rPr>
        <w:t xml:space="preserve">arbitrary </w:t>
      </w:r>
      <w:r w:rsidR="00C91D69" w:rsidRPr="002F35FA">
        <w:rPr>
          <w:rFonts w:cs="Times New Roman"/>
        </w:rPr>
        <w:t>power of the prince should threaten it.</w:t>
      </w:r>
      <w:r w:rsidR="00F058B4" w:rsidRPr="002F35FA">
        <w:rPr>
          <w:rFonts w:cs="Times New Roman"/>
        </w:rPr>
        <w:t xml:space="preserve"> In this way, the presumption in favor of the superior clarifies the origin of the morally binding power of highly uncertain laws such as price laws; </w:t>
      </w:r>
      <w:r w:rsidR="00B355C9" w:rsidRPr="002F35FA">
        <w:rPr>
          <w:rFonts w:cs="Times New Roman"/>
        </w:rPr>
        <w:t>further,</w:t>
      </w:r>
      <w:r w:rsidR="00FB399E" w:rsidRPr="002F35FA">
        <w:rPr>
          <w:rFonts w:cs="Times New Roman"/>
        </w:rPr>
        <w:t xml:space="preserve"> </w:t>
      </w:r>
      <w:r w:rsidR="00F058B4" w:rsidRPr="002F35FA">
        <w:rPr>
          <w:rFonts w:cs="Times New Roman"/>
        </w:rPr>
        <w:t>the institutional practices surrounding price legislation in early modern Spain also contribute to making clear what could be rational about entertaining such a presumption.</w:t>
      </w:r>
    </w:p>
    <w:p w14:paraId="4D7BF252" w14:textId="77777777" w:rsidR="00B530BB" w:rsidRPr="002F35FA" w:rsidRDefault="00B530BB" w:rsidP="00A32A3B">
      <w:pPr>
        <w:pStyle w:val="Standard1"/>
        <w:spacing w:line="480" w:lineRule="auto"/>
        <w:rPr>
          <w:rFonts w:cs="Times New Roman"/>
        </w:rPr>
      </w:pPr>
    </w:p>
    <w:p w14:paraId="744427C7" w14:textId="01BFD776" w:rsidR="008E3896" w:rsidRPr="002F35FA" w:rsidRDefault="00415222" w:rsidP="00415222">
      <w:pPr>
        <w:pStyle w:val="Standard1"/>
        <w:spacing w:line="480" w:lineRule="auto"/>
        <w:jc w:val="center"/>
        <w:rPr>
          <w:rFonts w:cs="Times New Roman"/>
        </w:rPr>
      </w:pPr>
      <w:r w:rsidRPr="002F35FA">
        <w:rPr>
          <w:rFonts w:cs="Times New Roman"/>
        </w:rPr>
        <w:t>CONCLUSION</w:t>
      </w:r>
    </w:p>
    <w:p w14:paraId="75B6F9AC" w14:textId="77777777" w:rsidR="008E3896" w:rsidRPr="002F35FA" w:rsidRDefault="008E3896" w:rsidP="00A32A3B">
      <w:pPr>
        <w:pStyle w:val="Standard1"/>
        <w:spacing w:line="480" w:lineRule="auto"/>
        <w:rPr>
          <w:rFonts w:cs="Times New Roman"/>
        </w:rPr>
      </w:pPr>
    </w:p>
    <w:p w14:paraId="07952968" w14:textId="73FBBCFC" w:rsidR="00D56CF7" w:rsidRPr="002F35FA" w:rsidRDefault="009E1745" w:rsidP="00BE54FB">
      <w:pPr>
        <w:pStyle w:val="Standard1"/>
        <w:spacing w:line="480" w:lineRule="auto"/>
        <w:rPr>
          <w:rFonts w:cs="Times New Roman"/>
        </w:rPr>
      </w:pPr>
      <w:r w:rsidRPr="002F35FA">
        <w:rPr>
          <w:rFonts w:cs="Times New Roman"/>
        </w:rPr>
        <w:t>Exploring the subtleties of the sixteenth-century controversy over price regulation should thus make cle</w:t>
      </w:r>
      <w:r w:rsidR="00C91D69" w:rsidRPr="002F35FA">
        <w:rPr>
          <w:rFonts w:cs="Times New Roman"/>
        </w:rPr>
        <w:t>ar the connections between two</w:t>
      </w:r>
      <w:r w:rsidRPr="002F35FA">
        <w:rPr>
          <w:rFonts w:cs="Times New Roman"/>
        </w:rPr>
        <w:t xml:space="preserve"> interrelated topics in the thought of the Spanish moralists</w:t>
      </w:r>
      <w:r w:rsidR="00B355C9" w:rsidRPr="002F35FA">
        <w:rPr>
          <w:rFonts w:cs="Times New Roman"/>
        </w:rPr>
        <w:t>.</w:t>
      </w:r>
      <w:r w:rsidRPr="002F35FA">
        <w:rPr>
          <w:rFonts w:cs="Times New Roman"/>
        </w:rPr>
        <w:t xml:space="preserve"> First</w:t>
      </w:r>
      <w:r w:rsidR="001E0850" w:rsidRPr="002F35FA">
        <w:rPr>
          <w:rFonts w:cs="Times New Roman"/>
        </w:rPr>
        <w:t xml:space="preserve">, the persistence of a </w:t>
      </w:r>
      <w:r w:rsidR="00AF511D" w:rsidRPr="002F35FA">
        <w:rPr>
          <w:rFonts w:cs="Times New Roman"/>
        </w:rPr>
        <w:t>cost-and-</w:t>
      </w:r>
      <w:r w:rsidRPr="002F35FA">
        <w:rPr>
          <w:rFonts w:cs="Times New Roman"/>
        </w:rPr>
        <w:t>labor</w:t>
      </w:r>
      <w:r w:rsidR="00061C21" w:rsidRPr="002F35FA">
        <w:rPr>
          <w:rFonts w:cs="Times New Roman"/>
        </w:rPr>
        <w:t xml:space="preserve"> theory of value helps</w:t>
      </w:r>
      <w:r w:rsidRPr="002F35FA">
        <w:rPr>
          <w:rFonts w:cs="Times New Roman"/>
        </w:rPr>
        <w:t xml:space="preserve"> to </w:t>
      </w:r>
      <w:r w:rsidR="00B355C9" w:rsidRPr="002F35FA">
        <w:rPr>
          <w:rFonts w:cs="Times New Roman"/>
        </w:rPr>
        <w:t>explain how</w:t>
      </w:r>
      <w:r w:rsidRPr="002F35FA">
        <w:rPr>
          <w:rFonts w:cs="Times New Roman"/>
        </w:rPr>
        <w:t xml:space="preserve"> legal prices were meant to integrate the demands of distributive justice with the demands of commutative justice. </w:t>
      </w:r>
      <w:r w:rsidR="00B355C9" w:rsidRPr="002F35FA">
        <w:rPr>
          <w:rFonts w:cs="Times New Roman"/>
        </w:rPr>
        <w:t xml:space="preserve">These writers surpass the expectations set by </w:t>
      </w:r>
      <w:proofErr w:type="spellStart"/>
      <w:r w:rsidRPr="002F35FA">
        <w:rPr>
          <w:rFonts w:cs="Times New Roman"/>
        </w:rPr>
        <w:t>Langholm’s</w:t>
      </w:r>
      <w:proofErr w:type="spellEnd"/>
      <w:r w:rsidRPr="002F35FA">
        <w:rPr>
          <w:rFonts w:cs="Times New Roman"/>
        </w:rPr>
        <w:t xml:space="preserve"> interpretation of the medieval roots of the labor theory of value</w:t>
      </w:r>
      <w:r w:rsidR="00B355C9" w:rsidRPr="002F35FA">
        <w:rPr>
          <w:rFonts w:cs="Times New Roman"/>
        </w:rPr>
        <w:t xml:space="preserve">; </w:t>
      </w:r>
      <w:r w:rsidR="00742B2A" w:rsidRPr="002F35FA">
        <w:rPr>
          <w:rFonts w:cs="Times New Roman"/>
        </w:rPr>
        <w:t xml:space="preserve">thinkers like Medina, </w:t>
      </w:r>
      <w:proofErr w:type="spellStart"/>
      <w:r w:rsidR="00742B2A" w:rsidRPr="002F35FA">
        <w:rPr>
          <w:rFonts w:cs="Times New Roman"/>
        </w:rPr>
        <w:t>Mexí</w:t>
      </w:r>
      <w:r w:rsidRPr="002F35FA">
        <w:rPr>
          <w:rFonts w:cs="Times New Roman"/>
        </w:rPr>
        <w:t>a</w:t>
      </w:r>
      <w:proofErr w:type="spellEnd"/>
      <w:r w:rsidR="008D360B" w:rsidRPr="002F35FA">
        <w:rPr>
          <w:rFonts w:cs="Times New Roman"/>
        </w:rPr>
        <w:t>,</w:t>
      </w:r>
      <w:r w:rsidRPr="002F35FA">
        <w:rPr>
          <w:rFonts w:cs="Times New Roman"/>
        </w:rPr>
        <w:t xml:space="preserve"> and Soria regard cost</w:t>
      </w:r>
      <w:r w:rsidR="00813B3A" w:rsidRPr="002F35FA">
        <w:rPr>
          <w:rFonts w:cs="Times New Roman"/>
        </w:rPr>
        <w:t>s</w:t>
      </w:r>
      <w:r w:rsidRPr="002F35FA">
        <w:rPr>
          <w:rFonts w:cs="Times New Roman"/>
        </w:rPr>
        <w:t>, labor</w:t>
      </w:r>
      <w:r w:rsidR="008D360B" w:rsidRPr="002F35FA">
        <w:rPr>
          <w:rFonts w:cs="Times New Roman"/>
        </w:rPr>
        <w:t>,</w:t>
      </w:r>
      <w:r w:rsidRPr="002F35FA">
        <w:rPr>
          <w:rFonts w:cs="Times New Roman"/>
        </w:rPr>
        <w:t xml:space="preserve"> and risk</w:t>
      </w:r>
      <w:r w:rsidR="00813B3A" w:rsidRPr="002F35FA">
        <w:rPr>
          <w:rFonts w:cs="Times New Roman"/>
        </w:rPr>
        <w:t>s</w:t>
      </w:r>
      <w:r w:rsidRPr="002F35FA">
        <w:rPr>
          <w:rFonts w:cs="Times New Roman"/>
        </w:rPr>
        <w:t xml:space="preserve"> under situations of s</w:t>
      </w:r>
      <w:r w:rsidR="003F2B17" w:rsidRPr="002F35FA">
        <w:rPr>
          <w:rFonts w:cs="Times New Roman"/>
        </w:rPr>
        <w:t>hortage</w:t>
      </w:r>
      <w:r w:rsidRPr="002F35FA">
        <w:rPr>
          <w:rFonts w:cs="Times New Roman"/>
        </w:rPr>
        <w:t xml:space="preserve"> as a source for a lower limit of legitimate prices. This is why</w:t>
      </w:r>
      <w:r w:rsidR="00C91D69" w:rsidRPr="002F35FA">
        <w:rPr>
          <w:rFonts w:cs="Times New Roman"/>
        </w:rPr>
        <w:t>,</w:t>
      </w:r>
      <w:r w:rsidRPr="002F35FA">
        <w:rPr>
          <w:rFonts w:cs="Times New Roman"/>
        </w:rPr>
        <w:t xml:space="preserve"> in the view of these thinkers, legislation and court decisions concerning legal prices should </w:t>
      </w:r>
      <w:r w:rsidR="00981B05" w:rsidRPr="002F35FA">
        <w:rPr>
          <w:rFonts w:cs="Times New Roman"/>
        </w:rPr>
        <w:t xml:space="preserve">aim </w:t>
      </w:r>
      <w:r w:rsidRPr="002F35FA">
        <w:rPr>
          <w:rFonts w:cs="Times New Roman"/>
        </w:rPr>
        <w:t xml:space="preserve">not </w:t>
      </w:r>
      <w:r w:rsidR="001E0850" w:rsidRPr="002F35FA">
        <w:rPr>
          <w:rFonts w:cs="Times New Roman"/>
        </w:rPr>
        <w:t xml:space="preserve">only </w:t>
      </w:r>
      <w:r w:rsidR="00981B05" w:rsidRPr="002F35FA">
        <w:rPr>
          <w:rFonts w:cs="Times New Roman"/>
        </w:rPr>
        <w:t xml:space="preserve">to </w:t>
      </w:r>
      <w:r w:rsidR="001E0850" w:rsidRPr="002F35FA">
        <w:rPr>
          <w:rFonts w:cs="Times New Roman"/>
        </w:rPr>
        <w:t>fulfil</w:t>
      </w:r>
      <w:r w:rsidR="008D360B" w:rsidRPr="002F35FA">
        <w:rPr>
          <w:rFonts w:cs="Times New Roman"/>
        </w:rPr>
        <w:t>l</w:t>
      </w:r>
      <w:r w:rsidRPr="002F35FA">
        <w:rPr>
          <w:rFonts w:cs="Times New Roman"/>
        </w:rPr>
        <w:t xml:space="preserve"> practical goals such as securing a sufficient supply of basic commodities</w:t>
      </w:r>
      <w:r w:rsidR="00460A44" w:rsidRPr="002F35FA">
        <w:rPr>
          <w:rFonts w:cs="Times New Roman"/>
        </w:rPr>
        <w:t xml:space="preserve"> but</w:t>
      </w:r>
      <w:r w:rsidRPr="002F35FA">
        <w:rPr>
          <w:rFonts w:cs="Times New Roman"/>
        </w:rPr>
        <w:t xml:space="preserve"> also </w:t>
      </w:r>
      <w:r w:rsidR="00981B05" w:rsidRPr="002F35FA">
        <w:rPr>
          <w:rFonts w:cs="Times New Roman"/>
        </w:rPr>
        <w:t>to define</w:t>
      </w:r>
      <w:r w:rsidRPr="002F35FA">
        <w:rPr>
          <w:rFonts w:cs="Times New Roman"/>
        </w:rPr>
        <w:t xml:space="preserve"> what moral virtue demands under situations of s</w:t>
      </w:r>
      <w:r w:rsidR="003F2B17" w:rsidRPr="002F35FA">
        <w:rPr>
          <w:rFonts w:cs="Times New Roman"/>
        </w:rPr>
        <w:t>hortage</w:t>
      </w:r>
      <w:r w:rsidRPr="002F35FA">
        <w:rPr>
          <w:rFonts w:cs="Times New Roman"/>
        </w:rPr>
        <w:t>—both with respect to society as a wh</w:t>
      </w:r>
      <w:r w:rsidR="001E0850" w:rsidRPr="002F35FA">
        <w:rPr>
          <w:rFonts w:cs="Times New Roman"/>
        </w:rPr>
        <w:t>ole and with respect to agricultural workers</w:t>
      </w:r>
      <w:r w:rsidRPr="002F35FA">
        <w:rPr>
          <w:rFonts w:cs="Times New Roman"/>
        </w:rPr>
        <w:t xml:space="preserve"> and merchants. </w:t>
      </w:r>
      <w:r w:rsidR="0040110B" w:rsidRPr="002F35FA">
        <w:rPr>
          <w:rFonts w:cs="Times New Roman"/>
        </w:rPr>
        <w:t>In particular, the duties of commutative justice toward agricultural worker</w:t>
      </w:r>
      <w:r w:rsidR="001E0850" w:rsidRPr="002F35FA">
        <w:rPr>
          <w:rFonts w:cs="Times New Roman"/>
        </w:rPr>
        <w:t>s and merchants</w:t>
      </w:r>
      <w:r w:rsidR="0040110B" w:rsidRPr="002F35FA">
        <w:rPr>
          <w:rFonts w:cs="Times New Roman"/>
        </w:rPr>
        <w:t xml:space="preserve"> </w:t>
      </w:r>
      <w:r w:rsidR="00981B05" w:rsidRPr="002F35FA">
        <w:rPr>
          <w:rFonts w:cs="Times New Roman"/>
        </w:rPr>
        <w:t>was</w:t>
      </w:r>
      <w:r w:rsidR="00A613F4" w:rsidRPr="002F35FA">
        <w:rPr>
          <w:rFonts w:cs="Times New Roman"/>
        </w:rPr>
        <w:t xml:space="preserve"> grounded in the contribution</w:t>
      </w:r>
      <w:r w:rsidR="00981B05" w:rsidRPr="002F35FA">
        <w:rPr>
          <w:rFonts w:cs="Times New Roman"/>
        </w:rPr>
        <w:t xml:space="preserve"> made by</w:t>
      </w:r>
      <w:r w:rsidR="00A613F4" w:rsidRPr="002F35FA">
        <w:rPr>
          <w:rFonts w:cs="Times New Roman"/>
        </w:rPr>
        <w:t xml:space="preserve"> </w:t>
      </w:r>
      <w:r w:rsidR="001E0850" w:rsidRPr="002F35FA">
        <w:rPr>
          <w:rFonts w:cs="Times New Roman"/>
        </w:rPr>
        <w:t>their labor, expenses</w:t>
      </w:r>
      <w:r w:rsidR="008D360B" w:rsidRPr="002F35FA">
        <w:rPr>
          <w:rFonts w:cs="Times New Roman"/>
        </w:rPr>
        <w:t>,</w:t>
      </w:r>
      <w:r w:rsidR="001E0850" w:rsidRPr="002F35FA">
        <w:rPr>
          <w:rFonts w:cs="Times New Roman"/>
        </w:rPr>
        <w:t xml:space="preserve"> </w:t>
      </w:r>
      <w:r w:rsidR="00A613F4" w:rsidRPr="002F35FA">
        <w:rPr>
          <w:rFonts w:cs="Times New Roman"/>
        </w:rPr>
        <w:t xml:space="preserve">and risks in </w:t>
      </w:r>
      <w:r w:rsidR="00981B05" w:rsidRPr="002F35FA">
        <w:rPr>
          <w:rFonts w:cs="Times New Roman"/>
        </w:rPr>
        <w:t xml:space="preserve">meeting </w:t>
      </w:r>
      <w:r w:rsidR="001E0850" w:rsidRPr="002F35FA">
        <w:rPr>
          <w:rFonts w:cs="Times New Roman"/>
        </w:rPr>
        <w:t xml:space="preserve">the necessities of a community. </w:t>
      </w:r>
      <w:proofErr w:type="gramStart"/>
      <w:r w:rsidR="001E0850" w:rsidRPr="002F35FA">
        <w:rPr>
          <w:rFonts w:cs="Times New Roman"/>
        </w:rPr>
        <w:t>Th</w:t>
      </w:r>
      <w:r w:rsidR="00DA2BC8" w:rsidRPr="002F35FA">
        <w:rPr>
          <w:rFonts w:cs="Times New Roman"/>
        </w:rPr>
        <w:t>u</w:t>
      </w:r>
      <w:r w:rsidR="001E0850" w:rsidRPr="002F35FA">
        <w:rPr>
          <w:rFonts w:cs="Times New Roman"/>
        </w:rPr>
        <w:t>s</w:t>
      </w:r>
      <w:proofErr w:type="gramEnd"/>
      <w:r w:rsidR="001E0850" w:rsidRPr="002F35FA">
        <w:rPr>
          <w:rFonts w:cs="Times New Roman"/>
        </w:rPr>
        <w:t xml:space="preserve"> </w:t>
      </w:r>
      <w:r w:rsidR="00981B05" w:rsidRPr="002F35FA">
        <w:rPr>
          <w:rFonts w:cs="Times New Roman"/>
        </w:rPr>
        <w:t>they considered it</w:t>
      </w:r>
      <w:r w:rsidR="001E0850" w:rsidRPr="002F35FA">
        <w:rPr>
          <w:rFonts w:cs="Times New Roman"/>
        </w:rPr>
        <w:t xml:space="preserve"> a moral duty to establish a price system that in the long run </w:t>
      </w:r>
      <w:r w:rsidR="00981B05" w:rsidRPr="002F35FA">
        <w:rPr>
          <w:rFonts w:cs="Times New Roman"/>
        </w:rPr>
        <w:t xml:space="preserve">would guarantee </w:t>
      </w:r>
      <w:r w:rsidR="001E0850" w:rsidRPr="002F35FA">
        <w:rPr>
          <w:rFonts w:cs="Times New Roman"/>
        </w:rPr>
        <w:t>the means necessary for continuing the peasants’ way of</w:t>
      </w:r>
      <w:r w:rsidR="00A613F4" w:rsidRPr="002F35FA">
        <w:rPr>
          <w:rFonts w:cs="Times New Roman"/>
        </w:rPr>
        <w:t xml:space="preserve"> </w:t>
      </w:r>
      <w:r w:rsidR="00981B05" w:rsidRPr="002F35FA">
        <w:rPr>
          <w:rFonts w:cs="Times New Roman"/>
        </w:rPr>
        <w:t>life</w:t>
      </w:r>
      <w:r w:rsidR="00A613F4" w:rsidRPr="002F35FA">
        <w:rPr>
          <w:rFonts w:cs="Times New Roman"/>
        </w:rPr>
        <w:t xml:space="preserve">. </w:t>
      </w:r>
    </w:p>
    <w:p w14:paraId="0062403E" w14:textId="3CFA2DDB" w:rsidR="008E3896" w:rsidRPr="002F35FA" w:rsidRDefault="00742B2A" w:rsidP="00DA7EF6">
      <w:pPr>
        <w:pStyle w:val="Standard1"/>
        <w:spacing w:line="480" w:lineRule="auto"/>
        <w:ind w:firstLine="720"/>
        <w:rPr>
          <w:rFonts w:cs="Times New Roman"/>
        </w:rPr>
      </w:pPr>
      <w:r w:rsidRPr="002F35FA">
        <w:rPr>
          <w:rFonts w:cs="Times New Roman"/>
        </w:rPr>
        <w:lastRenderedPageBreak/>
        <w:t xml:space="preserve">Second, Medina, </w:t>
      </w:r>
      <w:proofErr w:type="spellStart"/>
      <w:r w:rsidRPr="002F35FA">
        <w:rPr>
          <w:rFonts w:cs="Times New Roman"/>
        </w:rPr>
        <w:t>Mexí</w:t>
      </w:r>
      <w:r w:rsidR="009E1745" w:rsidRPr="002F35FA">
        <w:rPr>
          <w:rFonts w:cs="Times New Roman"/>
        </w:rPr>
        <w:t>a</w:t>
      </w:r>
      <w:proofErr w:type="spellEnd"/>
      <w:r w:rsidR="008D360B" w:rsidRPr="002F35FA">
        <w:rPr>
          <w:rFonts w:cs="Times New Roman"/>
        </w:rPr>
        <w:t>,</w:t>
      </w:r>
      <w:r w:rsidR="009E1745" w:rsidRPr="002F35FA">
        <w:rPr>
          <w:rFonts w:cs="Times New Roman"/>
        </w:rPr>
        <w:t xml:space="preserve"> and Soria were very much aware that this aim w</w:t>
      </w:r>
      <w:r w:rsidR="00415E70" w:rsidRPr="002F35FA">
        <w:rPr>
          <w:rFonts w:cs="Times New Roman"/>
        </w:rPr>
        <w:t>as fraught with uncertainty and</w:t>
      </w:r>
      <w:r w:rsidR="009C752D" w:rsidRPr="002F35FA">
        <w:rPr>
          <w:rFonts w:cs="Times New Roman"/>
        </w:rPr>
        <w:t xml:space="preserve"> </w:t>
      </w:r>
      <w:r w:rsidR="00460A44" w:rsidRPr="002F35FA">
        <w:rPr>
          <w:rFonts w:cs="Times New Roman"/>
        </w:rPr>
        <w:t xml:space="preserve">was </w:t>
      </w:r>
      <w:r w:rsidR="009E1745" w:rsidRPr="002F35FA">
        <w:rPr>
          <w:rFonts w:cs="Times New Roman"/>
        </w:rPr>
        <w:t xml:space="preserve">subject to failures. </w:t>
      </w:r>
      <w:r w:rsidR="00C91D69" w:rsidRPr="002F35FA">
        <w:rPr>
          <w:rFonts w:cs="Times New Roman"/>
        </w:rPr>
        <w:t xml:space="preserve">Presumption in favor </w:t>
      </w:r>
      <w:r w:rsidR="008D360B" w:rsidRPr="002F35FA">
        <w:rPr>
          <w:rFonts w:cs="Times New Roman"/>
        </w:rPr>
        <w:t xml:space="preserve">of </w:t>
      </w:r>
      <w:r w:rsidR="00C91D69" w:rsidRPr="002F35FA">
        <w:rPr>
          <w:rFonts w:cs="Times New Roman"/>
        </w:rPr>
        <w:t>the justice of the legal price</w:t>
      </w:r>
      <w:r w:rsidR="00BE54FB" w:rsidRPr="002F35FA">
        <w:rPr>
          <w:rFonts w:cs="Times New Roman"/>
        </w:rPr>
        <w:t xml:space="preserve"> offers</w:t>
      </w:r>
      <w:r w:rsidR="00C91D69" w:rsidRPr="002F35FA">
        <w:rPr>
          <w:rFonts w:cs="Times New Roman"/>
        </w:rPr>
        <w:t xml:space="preserve"> a way to explain the sense in which price laws could be morally binding even for </w:t>
      </w:r>
      <w:proofErr w:type="gramStart"/>
      <w:r w:rsidR="00C91D69" w:rsidRPr="002F35FA">
        <w:rPr>
          <w:rFonts w:cs="Times New Roman"/>
        </w:rPr>
        <w:t>those incapable</w:t>
      </w:r>
      <w:proofErr w:type="gramEnd"/>
      <w:r w:rsidR="00C91D69" w:rsidRPr="002F35FA">
        <w:rPr>
          <w:rFonts w:cs="Times New Roman"/>
        </w:rPr>
        <w:t xml:space="preserve"> of following the details of </w:t>
      </w:r>
      <w:r w:rsidR="00FC37FF" w:rsidRPr="002F35FA">
        <w:rPr>
          <w:rFonts w:cs="Times New Roman"/>
        </w:rPr>
        <w:t xml:space="preserve">context-sensitive </w:t>
      </w:r>
      <w:r w:rsidR="00C91D69" w:rsidRPr="002F35FA">
        <w:rPr>
          <w:rFonts w:cs="Times New Roman"/>
        </w:rPr>
        <w:t>economic arguments.</w:t>
      </w:r>
      <w:r w:rsidR="00BE54FB" w:rsidRPr="002F35FA">
        <w:rPr>
          <w:rFonts w:cs="Times New Roman"/>
        </w:rPr>
        <w:t xml:space="preserve"> </w:t>
      </w:r>
      <w:r w:rsidR="00981B05" w:rsidRPr="002F35FA">
        <w:rPr>
          <w:rFonts w:cs="Times New Roman"/>
        </w:rPr>
        <w:t>This</w:t>
      </w:r>
      <w:r w:rsidR="00BE54FB" w:rsidRPr="002F35FA">
        <w:rPr>
          <w:rFonts w:cs="Times New Roman"/>
        </w:rPr>
        <w:t xml:space="preserve"> presumption </w:t>
      </w:r>
      <w:r w:rsidR="00981B05" w:rsidRPr="002F35FA">
        <w:rPr>
          <w:rFonts w:cs="Times New Roman"/>
        </w:rPr>
        <w:t>offered a rational means for dealing</w:t>
      </w:r>
      <w:r w:rsidR="009E1745" w:rsidRPr="002F35FA">
        <w:rPr>
          <w:rFonts w:cs="Times New Roman"/>
        </w:rPr>
        <w:t xml:space="preserve"> with</w:t>
      </w:r>
      <w:r w:rsidR="00BE54FB" w:rsidRPr="002F35FA">
        <w:rPr>
          <w:rFonts w:cs="Times New Roman"/>
        </w:rPr>
        <w:t xml:space="preserve"> the</w:t>
      </w:r>
      <w:r w:rsidR="009E1745" w:rsidRPr="002F35FA">
        <w:rPr>
          <w:rFonts w:cs="Times New Roman"/>
        </w:rPr>
        <w:t xml:space="preserve"> uncertainty</w:t>
      </w:r>
      <w:r w:rsidR="00BE54FB" w:rsidRPr="002F35FA">
        <w:rPr>
          <w:rFonts w:cs="Times New Roman"/>
        </w:rPr>
        <w:t xml:space="preserve"> inherent in price regulation</w:t>
      </w:r>
      <w:r w:rsidR="0040110B" w:rsidRPr="002F35FA">
        <w:rPr>
          <w:rFonts w:cs="Times New Roman"/>
        </w:rPr>
        <w:t xml:space="preserve"> </w:t>
      </w:r>
      <w:r w:rsidR="00981B05" w:rsidRPr="002F35FA">
        <w:rPr>
          <w:rFonts w:cs="Times New Roman"/>
        </w:rPr>
        <w:t>because</w:t>
      </w:r>
      <w:r w:rsidR="0040110B" w:rsidRPr="002F35FA">
        <w:rPr>
          <w:rFonts w:cs="Times New Roman"/>
        </w:rPr>
        <w:t xml:space="preserve"> it was bound to evidence </w:t>
      </w:r>
      <w:r w:rsidR="00981B05" w:rsidRPr="002F35FA">
        <w:rPr>
          <w:rFonts w:cs="Times New Roman"/>
        </w:rPr>
        <w:t>attesting to</w:t>
      </w:r>
      <w:r w:rsidR="0040110B" w:rsidRPr="002F35FA">
        <w:rPr>
          <w:rFonts w:cs="Times New Roman"/>
        </w:rPr>
        <w:t xml:space="preserve"> the involvement </w:t>
      </w:r>
      <w:r w:rsidR="00981B05" w:rsidRPr="002F35FA">
        <w:rPr>
          <w:rFonts w:cs="Times New Roman"/>
        </w:rPr>
        <w:t xml:space="preserve">in the legislative process </w:t>
      </w:r>
      <w:r w:rsidR="0040110B" w:rsidRPr="002F35FA">
        <w:rPr>
          <w:rFonts w:cs="Times New Roman"/>
        </w:rPr>
        <w:t>of all parties concerned</w:t>
      </w:r>
      <w:r w:rsidR="00BE54FB" w:rsidRPr="002F35FA">
        <w:rPr>
          <w:rFonts w:cs="Times New Roman"/>
        </w:rPr>
        <w:t xml:space="preserve">. </w:t>
      </w:r>
      <w:r w:rsidR="0040110B" w:rsidRPr="002F35FA">
        <w:rPr>
          <w:rFonts w:cs="Times New Roman"/>
        </w:rPr>
        <w:t>In addition</w:t>
      </w:r>
      <w:r w:rsidR="00BE54FB" w:rsidRPr="002F35FA">
        <w:rPr>
          <w:rFonts w:cs="Times New Roman"/>
        </w:rPr>
        <w:t>, the practice of correcting</w:t>
      </w:r>
      <w:r w:rsidR="009E1745" w:rsidRPr="002F35FA">
        <w:rPr>
          <w:rFonts w:cs="Times New Roman"/>
        </w:rPr>
        <w:t xml:space="preserve"> royal price legislati</w:t>
      </w:r>
      <w:r w:rsidR="0040110B" w:rsidRPr="002F35FA">
        <w:rPr>
          <w:rFonts w:cs="Times New Roman"/>
        </w:rPr>
        <w:t>on in court</w:t>
      </w:r>
      <w:r w:rsidR="004023E8" w:rsidRPr="002F35FA">
        <w:rPr>
          <w:rFonts w:cs="Times New Roman"/>
        </w:rPr>
        <w:t xml:space="preserve"> </w:t>
      </w:r>
      <w:r w:rsidR="00AE7B91" w:rsidRPr="002F35FA">
        <w:rPr>
          <w:rFonts w:cs="Times New Roman"/>
        </w:rPr>
        <w:t xml:space="preserve">gave </w:t>
      </w:r>
      <w:r w:rsidR="000F6182" w:rsidRPr="002F35FA">
        <w:rPr>
          <w:rFonts w:cs="Times New Roman"/>
        </w:rPr>
        <w:t>substance to the idea that the presumption of the justice of the legal price can be revised in the face of contrary evidence.</w:t>
      </w:r>
      <w:r w:rsidR="009E1745" w:rsidRPr="002F35FA">
        <w:rPr>
          <w:rFonts w:cs="Times New Roman"/>
        </w:rPr>
        <w:t xml:space="preserve"> </w:t>
      </w:r>
      <w:r w:rsidR="000A132E" w:rsidRPr="002F35FA">
        <w:rPr>
          <w:rFonts w:cs="Times New Roman"/>
        </w:rPr>
        <w:t>Thereby, this</w:t>
      </w:r>
      <w:r w:rsidR="00D56CF7" w:rsidRPr="002F35FA">
        <w:rPr>
          <w:rFonts w:cs="Times New Roman"/>
        </w:rPr>
        <w:t xml:space="preserve"> presumpt</w:t>
      </w:r>
      <w:r w:rsidR="000A132E" w:rsidRPr="002F35FA">
        <w:rPr>
          <w:rFonts w:cs="Times New Roman"/>
        </w:rPr>
        <w:t>ion functions</w:t>
      </w:r>
      <w:r w:rsidR="0040110B" w:rsidRPr="002F35FA">
        <w:rPr>
          <w:rFonts w:cs="Times New Roman"/>
        </w:rPr>
        <w:t xml:space="preserve"> as a source of order in </w:t>
      </w:r>
      <w:r w:rsidR="000A132E" w:rsidRPr="002F35FA">
        <w:rPr>
          <w:rFonts w:cs="Times New Roman"/>
        </w:rPr>
        <w:t>a dual way</w:t>
      </w:r>
      <w:r w:rsidR="00AE7B91" w:rsidRPr="002F35FA">
        <w:rPr>
          <w:rFonts w:cs="Times New Roman"/>
        </w:rPr>
        <w:t>.</w:t>
      </w:r>
      <w:r w:rsidR="000A132E" w:rsidRPr="002F35FA">
        <w:rPr>
          <w:rFonts w:cs="Times New Roman"/>
        </w:rPr>
        <w:t xml:space="preserve"> </w:t>
      </w:r>
      <w:r w:rsidR="00AE7B91" w:rsidRPr="002F35FA">
        <w:rPr>
          <w:rFonts w:cs="Times New Roman"/>
        </w:rPr>
        <w:t>First, b</w:t>
      </w:r>
      <w:r w:rsidR="000A132E" w:rsidRPr="002F35FA">
        <w:rPr>
          <w:rFonts w:cs="Times New Roman"/>
        </w:rPr>
        <w:t>ecause it has</w:t>
      </w:r>
      <w:r w:rsidR="0040110B" w:rsidRPr="002F35FA">
        <w:rPr>
          <w:rFonts w:cs="Times New Roman"/>
        </w:rPr>
        <w:t xml:space="preserve"> rational ground</w:t>
      </w:r>
      <w:r w:rsidR="000A132E" w:rsidRPr="002F35FA">
        <w:rPr>
          <w:rFonts w:cs="Times New Roman"/>
        </w:rPr>
        <w:t>s</w:t>
      </w:r>
      <w:r w:rsidR="0040110B" w:rsidRPr="002F35FA">
        <w:rPr>
          <w:rFonts w:cs="Times New Roman"/>
        </w:rPr>
        <w:t xml:space="preserve"> in evidence concerning the quality of </w:t>
      </w:r>
      <w:r w:rsidR="000A132E" w:rsidRPr="002F35FA">
        <w:rPr>
          <w:rFonts w:cs="Times New Roman"/>
        </w:rPr>
        <w:t xml:space="preserve">the decision process, </w:t>
      </w:r>
      <w:r w:rsidR="0089790C" w:rsidRPr="002F35FA">
        <w:rPr>
          <w:rFonts w:cs="Times New Roman"/>
        </w:rPr>
        <w:t xml:space="preserve">as long as it is not overruled by contrary evidence, </w:t>
      </w:r>
      <w:r w:rsidR="00AE7B91" w:rsidRPr="002F35FA">
        <w:rPr>
          <w:rFonts w:cs="Times New Roman"/>
        </w:rPr>
        <w:t xml:space="preserve">the presumption </w:t>
      </w:r>
      <w:r w:rsidR="000A132E" w:rsidRPr="002F35FA">
        <w:rPr>
          <w:rFonts w:cs="Times New Roman"/>
        </w:rPr>
        <w:t>creates</w:t>
      </w:r>
      <w:r w:rsidR="0040110B" w:rsidRPr="002F35FA">
        <w:rPr>
          <w:rFonts w:cs="Times New Roman"/>
        </w:rPr>
        <w:t xml:space="preserve"> a</w:t>
      </w:r>
      <w:r w:rsidR="00D56CF7" w:rsidRPr="002F35FA">
        <w:rPr>
          <w:rFonts w:cs="Times New Roman"/>
        </w:rPr>
        <w:t xml:space="preserve"> moral obligation </w:t>
      </w:r>
      <w:r w:rsidR="0089790C" w:rsidRPr="002F35FA">
        <w:rPr>
          <w:rFonts w:cs="Times New Roman"/>
        </w:rPr>
        <w:t>to obey the price law</w:t>
      </w:r>
      <w:r w:rsidR="00460A44" w:rsidRPr="002F35FA">
        <w:rPr>
          <w:rFonts w:cs="Times New Roman"/>
        </w:rPr>
        <w:t>;</w:t>
      </w:r>
      <w:r w:rsidR="0040110B" w:rsidRPr="002F35FA">
        <w:rPr>
          <w:rFonts w:cs="Times New Roman"/>
        </w:rPr>
        <w:t xml:space="preserve"> and </w:t>
      </w:r>
      <w:r w:rsidR="00AE7B91" w:rsidRPr="002F35FA">
        <w:rPr>
          <w:rFonts w:cs="Times New Roman"/>
        </w:rPr>
        <w:t xml:space="preserve">second, </w:t>
      </w:r>
      <w:r w:rsidR="0040110B" w:rsidRPr="002F35FA">
        <w:rPr>
          <w:rFonts w:cs="Times New Roman"/>
        </w:rPr>
        <w:t xml:space="preserve">because the </w:t>
      </w:r>
      <w:r w:rsidR="000A132E" w:rsidRPr="002F35FA">
        <w:rPr>
          <w:rFonts w:cs="Times New Roman"/>
        </w:rPr>
        <w:t xml:space="preserve">legally guaranteed </w:t>
      </w:r>
      <w:r w:rsidR="0040110B" w:rsidRPr="002F35FA">
        <w:rPr>
          <w:rFonts w:cs="Times New Roman"/>
        </w:rPr>
        <w:t>control through courts make</w:t>
      </w:r>
      <w:r w:rsidR="00460A44" w:rsidRPr="002F35FA">
        <w:rPr>
          <w:rFonts w:cs="Times New Roman"/>
        </w:rPr>
        <w:t>s</w:t>
      </w:r>
      <w:r w:rsidR="0040110B" w:rsidRPr="002F35FA">
        <w:rPr>
          <w:rFonts w:cs="Times New Roman"/>
        </w:rPr>
        <w:t xml:space="preserve"> the presumption in fa</w:t>
      </w:r>
      <w:r w:rsidR="000A132E" w:rsidRPr="002F35FA">
        <w:rPr>
          <w:rFonts w:cs="Times New Roman"/>
        </w:rPr>
        <w:t>vor of the justice of the legal price</w:t>
      </w:r>
      <w:r w:rsidR="0040110B" w:rsidRPr="002F35FA">
        <w:rPr>
          <w:rFonts w:cs="Times New Roman"/>
        </w:rPr>
        <w:t xml:space="preserve"> genuinely revisab</w:t>
      </w:r>
      <w:r w:rsidR="003E1192" w:rsidRPr="002F35FA">
        <w:rPr>
          <w:rFonts w:cs="Times New Roman"/>
        </w:rPr>
        <w:t>le, this presumption</w:t>
      </w:r>
      <w:r w:rsidR="000A132E" w:rsidRPr="002F35FA">
        <w:rPr>
          <w:rFonts w:cs="Times New Roman"/>
        </w:rPr>
        <w:t xml:space="preserve"> </w:t>
      </w:r>
      <w:r w:rsidR="00DE2FC4" w:rsidRPr="002F35FA">
        <w:rPr>
          <w:rFonts w:cs="Times New Roman"/>
        </w:rPr>
        <w:t>contributes to preventing</w:t>
      </w:r>
      <w:r w:rsidR="000A132E" w:rsidRPr="002F35FA">
        <w:rPr>
          <w:rFonts w:cs="Times New Roman"/>
        </w:rPr>
        <w:t xml:space="preserve"> the power of the prince from being</w:t>
      </w:r>
      <w:r w:rsidR="00D56CF7" w:rsidRPr="002F35FA">
        <w:rPr>
          <w:rFonts w:cs="Times New Roman"/>
        </w:rPr>
        <w:t xml:space="preserve"> </w:t>
      </w:r>
      <w:r w:rsidR="000A132E" w:rsidRPr="002F35FA">
        <w:rPr>
          <w:rFonts w:cs="Times New Roman"/>
        </w:rPr>
        <w:t xml:space="preserve">a source </w:t>
      </w:r>
      <w:r w:rsidR="00D56CF7" w:rsidRPr="002F35FA">
        <w:rPr>
          <w:rFonts w:cs="Times New Roman"/>
        </w:rPr>
        <w:t>of disorder of its own.</w:t>
      </w:r>
    </w:p>
    <w:p w14:paraId="54474C9C" w14:textId="63446F80" w:rsidR="005910AA" w:rsidRPr="002F35FA" w:rsidRDefault="005910AA" w:rsidP="00A32A3B">
      <w:pPr>
        <w:pStyle w:val="Standard1"/>
        <w:spacing w:line="480" w:lineRule="auto"/>
        <w:rPr>
          <w:rFonts w:cs="Times New Roman"/>
        </w:rPr>
      </w:pPr>
    </w:p>
    <w:p w14:paraId="2829FAA4" w14:textId="37B24B30" w:rsidR="00691BC5" w:rsidRPr="00415222" w:rsidRDefault="007C2E1A" w:rsidP="00DA7EF6">
      <w:pPr>
        <w:pStyle w:val="Standard1"/>
        <w:spacing w:line="480" w:lineRule="auto"/>
        <w:ind w:firstLine="720"/>
        <w:rPr>
          <w:rFonts w:cs="Times New Roman"/>
        </w:rPr>
      </w:pPr>
      <w:r w:rsidRPr="002F35FA">
        <w:rPr>
          <w:rFonts w:cs="Times New Roman"/>
        </w:rPr>
        <w:t>Alpen-Adria-Universität Klagenfurt</w:t>
      </w:r>
    </w:p>
    <w:p w14:paraId="0993C487" w14:textId="77777777" w:rsidR="003F2B17" w:rsidRPr="00415222" w:rsidRDefault="003F2B17" w:rsidP="00A32A3B">
      <w:pPr>
        <w:pStyle w:val="Standard1"/>
        <w:spacing w:line="480" w:lineRule="auto"/>
        <w:rPr>
          <w:rFonts w:cs="Times New Roman"/>
        </w:rPr>
      </w:pPr>
    </w:p>
    <w:p w14:paraId="19C364A9" w14:textId="77777777" w:rsidR="00380882" w:rsidRPr="00415222" w:rsidRDefault="00380882" w:rsidP="00A32A3B">
      <w:pPr>
        <w:pStyle w:val="Standard1"/>
        <w:spacing w:line="480" w:lineRule="auto"/>
        <w:rPr>
          <w:rFonts w:cs="Times New Roman"/>
        </w:rPr>
      </w:pPr>
    </w:p>
    <w:sectPr w:rsidR="00380882" w:rsidRPr="00415222" w:rsidSect="0099395E">
      <w:headerReference w:type="even" r:id="rId7"/>
      <w:headerReference w:type="default" r:id="rId8"/>
      <w:footerReference w:type="default" r:id="rId9"/>
      <w:endnotePr>
        <w:numFmt w:val="decimal"/>
      </w:endnotePr>
      <w:pgSz w:w="11900" w:h="16840"/>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CA83" w14:textId="77777777" w:rsidR="00CC49CE" w:rsidRDefault="00CC49CE">
      <w:r>
        <w:separator/>
      </w:r>
    </w:p>
  </w:endnote>
  <w:endnote w:type="continuationSeparator" w:id="0">
    <w:p w14:paraId="1FBF82DD" w14:textId="77777777" w:rsidR="00CC49CE" w:rsidRDefault="00CC49CE">
      <w:r>
        <w:continuationSeparator/>
      </w:r>
    </w:p>
  </w:endnote>
  <w:endnote w:type="continuationNotice" w:id="1">
    <w:p w14:paraId="1A595968" w14:textId="77777777" w:rsidR="00CC49CE" w:rsidRDefault="00CC4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F7D1" w14:textId="77777777" w:rsidR="000D006E" w:rsidRDefault="000D006E">
    <w:pPr>
      <w:pStyle w:val="Fuzeile1"/>
      <w:tabs>
        <w:tab w:val="clear" w:pos="9072"/>
        <w:tab w:val="right" w:pos="90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FE6B" w14:textId="77777777" w:rsidR="00CC49CE" w:rsidRDefault="00CC49CE">
      <w:r>
        <w:separator/>
      </w:r>
    </w:p>
  </w:footnote>
  <w:footnote w:type="continuationSeparator" w:id="0">
    <w:p w14:paraId="281B10AD" w14:textId="77777777" w:rsidR="00CC49CE" w:rsidRDefault="00CC49CE">
      <w:r>
        <w:continuationSeparator/>
      </w:r>
    </w:p>
  </w:footnote>
  <w:footnote w:id="1">
    <w:p w14:paraId="54B6662C" w14:textId="240A03DB" w:rsidR="000D006E" w:rsidRPr="00845FBC" w:rsidRDefault="000D006E" w:rsidP="00845FBC">
      <w:pPr>
        <w:pStyle w:val="Endnotentext1"/>
        <w:contextualSpacing/>
      </w:pPr>
      <w:r w:rsidRPr="00845FBC">
        <w:rPr>
          <w:vertAlign w:val="superscript"/>
        </w:rPr>
        <w:footnoteRef/>
      </w:r>
      <w:r w:rsidRPr="00845FBC">
        <w:t xml:space="preserve"> See</w:t>
      </w:r>
      <w:r w:rsidRPr="00845FBC">
        <w:rPr>
          <w:i/>
          <w:iCs/>
        </w:rPr>
        <w:t xml:space="preserve"> </w:t>
      </w:r>
      <w:r w:rsidRPr="00845FBC">
        <w:t xml:space="preserve">Raymond De Roover, </w:t>
      </w:r>
      <w:r w:rsidRPr="00845FBC">
        <w:rPr>
          <w:i/>
          <w:iCs/>
        </w:rPr>
        <w:t xml:space="preserve">La pensée </w:t>
      </w:r>
      <w:proofErr w:type="spellStart"/>
      <w:r w:rsidRPr="00845FBC">
        <w:rPr>
          <w:i/>
          <w:iCs/>
        </w:rPr>
        <w:t>économqiue</w:t>
      </w:r>
      <w:proofErr w:type="spellEnd"/>
      <w:r w:rsidRPr="00845FBC">
        <w:rPr>
          <w:i/>
          <w:iCs/>
        </w:rPr>
        <w:t xml:space="preserve"> des </w:t>
      </w:r>
      <w:proofErr w:type="spellStart"/>
      <w:r w:rsidRPr="00845FBC">
        <w:rPr>
          <w:i/>
          <w:iCs/>
        </w:rPr>
        <w:t>scholastiques</w:t>
      </w:r>
      <w:proofErr w:type="spellEnd"/>
      <w:r w:rsidRPr="00845FBC">
        <w:rPr>
          <w:i/>
          <w:iCs/>
        </w:rPr>
        <w:t xml:space="preserve">: Doctrine et </w:t>
      </w:r>
      <w:proofErr w:type="spellStart"/>
      <w:r w:rsidRPr="00845FBC">
        <w:rPr>
          <w:i/>
          <w:iCs/>
        </w:rPr>
        <w:t>méthodes</w:t>
      </w:r>
      <w:proofErr w:type="spellEnd"/>
      <w:r w:rsidRPr="00845FBC">
        <w:t xml:space="preserve"> (Montreal: Institutes </w:t>
      </w:r>
      <w:proofErr w:type="spellStart"/>
      <w:r w:rsidRPr="00845FBC">
        <w:t>d’études</w:t>
      </w:r>
      <w:proofErr w:type="spellEnd"/>
      <w:r w:rsidRPr="00845FBC">
        <w:t xml:space="preserve"> </w:t>
      </w:r>
      <w:proofErr w:type="spellStart"/>
      <w:r w:rsidRPr="00845FBC">
        <w:t>mediévales</w:t>
      </w:r>
      <w:proofErr w:type="spellEnd"/>
      <w:r w:rsidRPr="00845FBC">
        <w:t xml:space="preserve">, 1971); Barry Gordon, </w:t>
      </w:r>
      <w:r w:rsidRPr="00845FBC">
        <w:rPr>
          <w:i/>
          <w:iCs/>
        </w:rPr>
        <w:t xml:space="preserve">Economic Analysis before Adam Smith: Hesiod to </w:t>
      </w:r>
      <w:proofErr w:type="spellStart"/>
      <w:r w:rsidRPr="00845FBC">
        <w:rPr>
          <w:i/>
          <w:iCs/>
        </w:rPr>
        <w:t>Lessius</w:t>
      </w:r>
      <w:proofErr w:type="spellEnd"/>
      <w:r w:rsidRPr="00845FBC">
        <w:t xml:space="preserve"> (London: Macmillan, 1975), chaps. 8 and 9; Marjorie Grice-Hutchinson, </w:t>
      </w:r>
      <w:r w:rsidRPr="00845FBC">
        <w:rPr>
          <w:i/>
          <w:iCs/>
        </w:rPr>
        <w:t>Early Economic Thought in Spain, 1177–1740</w:t>
      </w:r>
      <w:r w:rsidRPr="00845FBC">
        <w:t xml:space="preserve"> (London: George Allen &amp; Unwin, 1978);</w:t>
      </w:r>
      <w:r w:rsidRPr="00845FBC">
        <w:rPr>
          <w:i/>
          <w:iCs/>
        </w:rPr>
        <w:t xml:space="preserve"> </w:t>
      </w:r>
      <w:r w:rsidRPr="00845FBC">
        <w:t xml:space="preserve">Joseph A. Schumpeter, </w:t>
      </w:r>
      <w:r w:rsidRPr="00845FBC">
        <w:rPr>
          <w:i/>
          <w:iCs/>
        </w:rPr>
        <w:t>History of Economic Analysis</w:t>
      </w:r>
      <w:r w:rsidRPr="00845FBC">
        <w:t xml:space="preserve"> (London: Routledge, 1994), 87–105; André Lapidus, “Norm, Virtue, and Information: The Just Price and Individual </w:t>
      </w:r>
      <w:proofErr w:type="spellStart"/>
      <w:r w:rsidRPr="00845FBC">
        <w:t>Behaviour</w:t>
      </w:r>
      <w:proofErr w:type="spellEnd"/>
      <w:r w:rsidRPr="00845FBC">
        <w:t xml:space="preserve"> in Thomas Aquinas’ </w:t>
      </w:r>
      <w:r w:rsidRPr="00845FBC">
        <w:rPr>
          <w:i/>
          <w:iCs/>
        </w:rPr>
        <w:t>Summa Theologiae</w:t>
      </w:r>
      <w:r w:rsidRPr="00845FBC">
        <w:rPr>
          <w:iCs/>
        </w:rPr>
        <w:t>,</w:t>
      </w:r>
      <w:r w:rsidRPr="00845FBC">
        <w:t xml:space="preserve">” </w:t>
      </w:r>
      <w:r w:rsidRPr="00845FBC">
        <w:rPr>
          <w:i/>
          <w:iCs/>
        </w:rPr>
        <w:t>European Journal of the History of Economic Thought</w:t>
      </w:r>
      <w:r w:rsidRPr="00845FBC">
        <w:t xml:space="preserve"> 1 (1994): 435–73; Francisco Gómez Camacho, “Later Scholastics: Spanish Economic Thought in the </w:t>
      </w:r>
      <w:proofErr w:type="spellStart"/>
      <w:r w:rsidRPr="00845FBC">
        <w:t>XVIth</w:t>
      </w:r>
      <w:proofErr w:type="spellEnd"/>
      <w:r w:rsidRPr="00845FBC">
        <w:t xml:space="preserve"> and </w:t>
      </w:r>
      <w:proofErr w:type="spellStart"/>
      <w:r w:rsidRPr="00845FBC">
        <w:t>XVIIth</w:t>
      </w:r>
      <w:proofErr w:type="spellEnd"/>
      <w:r w:rsidRPr="00845FBC">
        <w:t xml:space="preserve"> Centuries,” in </w:t>
      </w:r>
      <w:r w:rsidRPr="00845FBC">
        <w:rPr>
          <w:i/>
          <w:iCs/>
        </w:rPr>
        <w:t>Ancient and Medieval Economic Ideas and Concepts of Social Justice</w:t>
      </w:r>
      <w:r w:rsidRPr="00845FBC">
        <w:t xml:space="preserve">, ed. S. Todd Lowry and Barry Gordon (Leiden: Brill, 1998), 503–62; Oscar de Juan and Fabio Monsalve, “Moral and Power in Market Exchanges: The Neglected Contribution of Scholasticism,” </w:t>
      </w:r>
      <w:r w:rsidRPr="00845FBC">
        <w:rPr>
          <w:i/>
          <w:iCs/>
        </w:rPr>
        <w:t>European Journal of the History of Economic Thought</w:t>
      </w:r>
      <w:r w:rsidRPr="00845FBC">
        <w:t xml:space="preserve"> 13 (2006), 99–112; Joel Kaye, </w:t>
      </w:r>
      <w:r w:rsidRPr="00845FBC">
        <w:rPr>
          <w:i/>
          <w:iCs/>
        </w:rPr>
        <w:t>A History of Balance, 1250–1375: The Emergence of a New Model of Equilibrium and Its Impact on Thought</w:t>
      </w:r>
      <w:r w:rsidRPr="00845FBC">
        <w:t xml:space="preserve"> (Cambridge: Cambridge University Press, 2014), 97–117; Monsalve, “Economics and Ethics: Juan de Lugo’s Theory of the Justice Price, or the Responsibility of Living in Society,” </w:t>
      </w:r>
      <w:r w:rsidRPr="00845FBC">
        <w:rPr>
          <w:i/>
          <w:iCs/>
        </w:rPr>
        <w:t xml:space="preserve">History of Political Economy </w:t>
      </w:r>
      <w:r w:rsidRPr="00845FBC">
        <w:t xml:space="preserve">42 (2010), 495–519; Daryl Koehn and Barry </w:t>
      </w:r>
      <w:proofErr w:type="spellStart"/>
      <w:r w:rsidRPr="00845FBC">
        <w:t>Wilbratte</w:t>
      </w:r>
      <w:proofErr w:type="spellEnd"/>
      <w:r w:rsidRPr="00845FBC">
        <w:t xml:space="preserve">, “A Defense of a Thomistic Concept of the Just Price,” </w:t>
      </w:r>
      <w:r w:rsidRPr="00845FBC">
        <w:rPr>
          <w:i/>
          <w:iCs/>
        </w:rPr>
        <w:t xml:space="preserve">Business Ethics Quarterly </w:t>
      </w:r>
      <w:r w:rsidRPr="00845FBC">
        <w:t xml:space="preserve">22 (2012): 501–26; Monsalve, “Scholastic Just Price versus Current Market Price: Is It Merely a Matter of Labelling?,” </w:t>
      </w:r>
      <w:r w:rsidRPr="00845FBC">
        <w:rPr>
          <w:i/>
          <w:iCs/>
        </w:rPr>
        <w:t>European Journal for the History of Economic Thought</w:t>
      </w:r>
      <w:r w:rsidRPr="00845FBC">
        <w:t xml:space="preserve"> 21 (2014): 4–20; Rudolf </w:t>
      </w:r>
      <w:proofErr w:type="spellStart"/>
      <w:r w:rsidRPr="00845FBC">
        <w:t>Schüssler</w:t>
      </w:r>
      <w:proofErr w:type="spellEnd"/>
      <w:r w:rsidRPr="00845FBC">
        <w:t xml:space="preserve">, “The Economic Thought of Luis de Molina,” in </w:t>
      </w:r>
      <w:r w:rsidRPr="00845FBC">
        <w:rPr>
          <w:i/>
        </w:rPr>
        <w:t>A Companion to Luis de Molina</w:t>
      </w:r>
      <w:r w:rsidRPr="00845FBC">
        <w:t xml:space="preserve">, ed. Matthias Kaufmann and Alexander </w:t>
      </w:r>
      <w:proofErr w:type="spellStart"/>
      <w:r w:rsidRPr="00845FBC">
        <w:t>Aichele</w:t>
      </w:r>
      <w:proofErr w:type="spellEnd"/>
      <w:r w:rsidRPr="00845FBC">
        <w:t xml:space="preserve"> (Leiden and Boston: Brill, 2014), 257–90. </w:t>
      </w:r>
    </w:p>
  </w:footnote>
  <w:footnote w:id="2">
    <w:p w14:paraId="1076D237" w14:textId="29E68F7B" w:rsidR="000D006E" w:rsidRPr="00845FBC" w:rsidRDefault="000D006E" w:rsidP="00845F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0"/>
          <w:szCs w:val="20"/>
          <w:bdr w:val="none" w:sz="0" w:space="0" w:color="auto"/>
          <w:lang w:eastAsia="de-DE"/>
        </w:rPr>
      </w:pPr>
      <w:r w:rsidRPr="00845FBC">
        <w:rPr>
          <w:rStyle w:val="Funotenzeichen"/>
          <w:sz w:val="20"/>
          <w:szCs w:val="20"/>
        </w:rPr>
        <w:footnoteRef/>
      </w:r>
      <w:r w:rsidRPr="00845FBC">
        <w:rPr>
          <w:sz w:val="20"/>
          <w:szCs w:val="20"/>
        </w:rPr>
        <w:t xml:space="preserve"> Odd </w:t>
      </w:r>
      <w:proofErr w:type="spellStart"/>
      <w:r w:rsidRPr="00845FBC">
        <w:rPr>
          <w:sz w:val="20"/>
          <w:szCs w:val="20"/>
        </w:rPr>
        <w:t>Langholm</w:t>
      </w:r>
      <w:proofErr w:type="spellEnd"/>
      <w:r w:rsidRPr="00845FBC">
        <w:rPr>
          <w:sz w:val="20"/>
          <w:szCs w:val="20"/>
        </w:rPr>
        <w:t xml:space="preserve">, </w:t>
      </w:r>
      <w:r w:rsidRPr="00845FBC">
        <w:rPr>
          <w:i/>
          <w:iCs/>
          <w:sz w:val="20"/>
          <w:szCs w:val="20"/>
        </w:rPr>
        <w:t>The Legacy of Scholasticism in Economic Thought: Antecedents of Choice and Power</w:t>
      </w:r>
      <w:r w:rsidRPr="00845FBC">
        <w:rPr>
          <w:sz w:val="20"/>
          <w:szCs w:val="20"/>
        </w:rPr>
        <w:t xml:space="preserve"> (Cambridge: Cambridge University Press, 1998), 118–36; Richard </w:t>
      </w:r>
      <w:proofErr w:type="spellStart"/>
      <w:r w:rsidRPr="00845FBC">
        <w:rPr>
          <w:sz w:val="20"/>
          <w:szCs w:val="20"/>
          <w:bdr w:val="none" w:sz="0" w:space="0" w:color="auto"/>
          <w:lang w:eastAsia="de-DE"/>
        </w:rPr>
        <w:t>Sturn</w:t>
      </w:r>
      <w:proofErr w:type="spellEnd"/>
      <w:r w:rsidRPr="00845FBC">
        <w:rPr>
          <w:sz w:val="20"/>
          <w:szCs w:val="20"/>
          <w:bdr w:val="none" w:sz="0" w:space="0" w:color="auto"/>
          <w:lang w:eastAsia="de-DE"/>
        </w:rPr>
        <w:t>, “</w:t>
      </w:r>
      <w:proofErr w:type="spellStart"/>
      <w:r w:rsidRPr="00845FBC">
        <w:rPr>
          <w:sz w:val="20"/>
          <w:szCs w:val="20"/>
          <w:bdr w:val="none" w:sz="0" w:space="0" w:color="auto"/>
          <w:lang w:eastAsia="de-DE"/>
        </w:rPr>
        <w:t>Volenti</w:t>
      </w:r>
      <w:proofErr w:type="spellEnd"/>
      <w:r w:rsidRPr="00845FBC">
        <w:rPr>
          <w:sz w:val="20"/>
          <w:szCs w:val="20"/>
          <w:bdr w:val="none" w:sz="0" w:space="0" w:color="auto"/>
          <w:lang w:eastAsia="de-DE"/>
        </w:rPr>
        <w:t xml:space="preserve"> non fit </w:t>
      </w:r>
      <w:proofErr w:type="spellStart"/>
      <w:r w:rsidRPr="00845FBC">
        <w:rPr>
          <w:sz w:val="20"/>
          <w:szCs w:val="20"/>
          <w:bdr w:val="none" w:sz="0" w:space="0" w:color="auto"/>
          <w:lang w:eastAsia="de-DE"/>
        </w:rPr>
        <w:t>Iniuria</w:t>
      </w:r>
      <w:proofErr w:type="spellEnd"/>
      <w:r w:rsidRPr="00845FBC">
        <w:rPr>
          <w:sz w:val="20"/>
          <w:szCs w:val="20"/>
          <w:bdr w:val="none" w:sz="0" w:space="0" w:color="auto"/>
          <w:lang w:eastAsia="de-DE"/>
        </w:rPr>
        <w:t xml:space="preserve">? Contract Freedom and Labor Market </w:t>
      </w:r>
      <w:proofErr w:type="spellStart"/>
      <w:r w:rsidRPr="00845FBC">
        <w:rPr>
          <w:sz w:val="20"/>
          <w:szCs w:val="20"/>
          <w:bdr w:val="none" w:sz="0" w:space="0" w:color="auto"/>
          <w:lang w:eastAsia="de-DE"/>
        </w:rPr>
        <w:t>Institutions,”</w:t>
      </w:r>
      <w:r w:rsidRPr="00845FBC">
        <w:rPr>
          <w:i/>
          <w:sz w:val="20"/>
          <w:szCs w:val="20"/>
          <w:bdr w:val="none" w:sz="0" w:space="0" w:color="auto"/>
          <w:lang w:eastAsia="de-DE"/>
        </w:rPr>
        <w:t>Analyse</w:t>
      </w:r>
      <w:proofErr w:type="spellEnd"/>
      <w:r w:rsidRPr="00845FBC">
        <w:rPr>
          <w:i/>
          <w:sz w:val="20"/>
          <w:szCs w:val="20"/>
          <w:bdr w:val="none" w:sz="0" w:space="0" w:color="auto"/>
          <w:lang w:eastAsia="de-DE"/>
        </w:rPr>
        <w:t xml:space="preserve"> und </w:t>
      </w:r>
      <w:proofErr w:type="spellStart"/>
      <w:r w:rsidRPr="00845FBC">
        <w:rPr>
          <w:i/>
          <w:sz w:val="20"/>
          <w:szCs w:val="20"/>
          <w:bdr w:val="none" w:sz="0" w:space="0" w:color="auto"/>
          <w:lang w:eastAsia="de-DE"/>
        </w:rPr>
        <w:t>Kritik</w:t>
      </w:r>
      <w:proofErr w:type="spellEnd"/>
      <w:r w:rsidRPr="00845FBC">
        <w:rPr>
          <w:sz w:val="20"/>
          <w:szCs w:val="20"/>
          <w:bdr w:val="none" w:sz="0" w:space="0" w:color="auto"/>
          <w:lang w:eastAsia="de-DE"/>
        </w:rPr>
        <w:t xml:space="preserve"> 31 (2009): 81–99; </w:t>
      </w:r>
      <w:proofErr w:type="spellStart"/>
      <w:r w:rsidRPr="00845FBC">
        <w:rPr>
          <w:sz w:val="20"/>
          <w:szCs w:val="20"/>
        </w:rPr>
        <w:t>Sturn</w:t>
      </w:r>
      <w:proofErr w:type="spellEnd"/>
      <w:r w:rsidRPr="00845FBC">
        <w:rPr>
          <w:sz w:val="20"/>
          <w:szCs w:val="20"/>
        </w:rPr>
        <w:t>,</w:t>
      </w:r>
      <w:r w:rsidRPr="00845FBC">
        <w:rPr>
          <w:sz w:val="20"/>
          <w:szCs w:val="20"/>
          <w:bdr w:val="none" w:sz="0" w:space="0" w:color="auto"/>
          <w:lang w:eastAsia="de-DE"/>
        </w:rPr>
        <w:t xml:space="preserve"> “Agency, </w:t>
      </w:r>
    </w:p>
    <w:p w14:paraId="1CCCD53A" w14:textId="67EC38D4" w:rsidR="000D006E" w:rsidRPr="00845FBC" w:rsidRDefault="000D006E" w:rsidP="00845F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0"/>
          <w:szCs w:val="20"/>
          <w:bdr w:val="none" w:sz="0" w:space="0" w:color="auto"/>
          <w:lang w:eastAsia="de-DE"/>
        </w:rPr>
      </w:pPr>
      <w:r w:rsidRPr="00845FBC">
        <w:rPr>
          <w:sz w:val="20"/>
          <w:szCs w:val="20"/>
          <w:bdr w:val="none" w:sz="0" w:space="0" w:color="auto"/>
          <w:lang w:eastAsia="de-DE"/>
        </w:rPr>
        <w:t xml:space="preserve">Exchange, and Power in Scholastic Thought.” </w:t>
      </w:r>
      <w:r w:rsidRPr="00845FBC">
        <w:rPr>
          <w:i/>
          <w:sz w:val="20"/>
          <w:szCs w:val="20"/>
          <w:bdr w:val="none" w:sz="0" w:space="0" w:color="auto"/>
          <w:lang w:eastAsia="de-DE"/>
        </w:rPr>
        <w:t>European Journal of the History of Economic Thought</w:t>
      </w:r>
      <w:r w:rsidRPr="00845FBC">
        <w:rPr>
          <w:sz w:val="20"/>
          <w:szCs w:val="20"/>
          <w:bdr w:val="none" w:sz="0" w:space="0" w:color="auto"/>
          <w:lang w:eastAsia="de-DE"/>
        </w:rPr>
        <w:t xml:space="preserve"> 24 (2017): 640–69.</w:t>
      </w:r>
    </w:p>
  </w:footnote>
  <w:footnote w:id="3">
    <w:p w14:paraId="747A8EF5" w14:textId="3198C7F6" w:rsidR="000D006E" w:rsidRPr="00845FBC" w:rsidRDefault="000D006E" w:rsidP="00845FBC">
      <w:pPr>
        <w:pStyle w:val="Endnotentext1"/>
        <w:contextualSpacing/>
      </w:pPr>
      <w:r w:rsidRPr="00845FBC">
        <w:rPr>
          <w:vertAlign w:val="superscript"/>
        </w:rPr>
        <w:footnoteRef/>
      </w:r>
      <w:r w:rsidRPr="00845FBC">
        <w:t xml:space="preserve"> See Monsalve, “Juan de Lugo’s Theory of the Just Price,” 512–14; Gómez Camacho, “Later Scholastics: Spanish Economic Thought,” 532–33; Diego Alonso-</w:t>
      </w:r>
      <w:proofErr w:type="spellStart"/>
      <w:r w:rsidRPr="00845FBC">
        <w:t>Laheras</w:t>
      </w:r>
      <w:proofErr w:type="spellEnd"/>
      <w:r w:rsidRPr="00845FBC">
        <w:t xml:space="preserve">, </w:t>
      </w:r>
      <w:r w:rsidRPr="00845FBC">
        <w:rPr>
          <w:i/>
          <w:iCs/>
        </w:rPr>
        <w:t xml:space="preserve">Luis de Molina’s </w:t>
      </w:r>
      <w:r w:rsidRPr="00845FBC">
        <w:t>De Iustitia et Iure</w:t>
      </w:r>
      <w:r w:rsidRPr="000D006E">
        <w:rPr>
          <w:i/>
        </w:rPr>
        <w:t>:</w:t>
      </w:r>
      <w:r w:rsidRPr="00845FBC">
        <w:t xml:space="preserve"> </w:t>
      </w:r>
      <w:r w:rsidRPr="00845FBC">
        <w:rPr>
          <w:i/>
          <w:iCs/>
        </w:rPr>
        <w:t>Justice as Virtue in an Economic Context</w:t>
      </w:r>
      <w:r w:rsidRPr="00845FBC">
        <w:t xml:space="preserve"> (Leiden and Boston: Brill, 2011), 161–64.</w:t>
      </w:r>
    </w:p>
  </w:footnote>
  <w:footnote w:id="4">
    <w:p w14:paraId="1CCB3934" w14:textId="4D3BE9AB" w:rsidR="000D006E" w:rsidRPr="00845FBC" w:rsidRDefault="000D006E" w:rsidP="00845FBC">
      <w:pPr>
        <w:pStyle w:val="Funotentext"/>
        <w:contextualSpacing/>
      </w:pPr>
      <w:r w:rsidRPr="00845FBC">
        <w:rPr>
          <w:rStyle w:val="Funotenzeichen"/>
        </w:rPr>
        <w:footnoteRef/>
      </w:r>
      <w:r w:rsidRPr="00845FBC">
        <w:t xml:space="preserve"> On </w:t>
      </w:r>
      <w:proofErr w:type="spellStart"/>
      <w:r w:rsidRPr="00845FBC">
        <w:t>Summenhart</w:t>
      </w:r>
      <w:proofErr w:type="spellEnd"/>
      <w:r w:rsidRPr="00845FBC">
        <w:t xml:space="preserve">, see James </w:t>
      </w:r>
      <w:proofErr w:type="spellStart"/>
      <w:r w:rsidRPr="00845FBC">
        <w:t>Gordley</w:t>
      </w:r>
      <w:proofErr w:type="spellEnd"/>
      <w:r w:rsidRPr="00845FBC">
        <w:t xml:space="preserve">, </w:t>
      </w:r>
      <w:r w:rsidRPr="00845FBC">
        <w:rPr>
          <w:i/>
        </w:rPr>
        <w:t>Philosophical Origins of Modern Contract Doctrine</w:t>
      </w:r>
      <w:r w:rsidRPr="00845FBC">
        <w:t xml:space="preserve"> (Oxford: Clarendon Press, 1991): 88, 103; </w:t>
      </w:r>
      <w:proofErr w:type="spellStart"/>
      <w:r w:rsidRPr="00845FBC">
        <w:t>Jussi</w:t>
      </w:r>
      <w:proofErr w:type="spellEnd"/>
      <w:r w:rsidRPr="00845FBC">
        <w:t xml:space="preserve"> </w:t>
      </w:r>
      <w:proofErr w:type="spellStart"/>
      <w:r w:rsidRPr="00845FBC">
        <w:t>Varkemaa</w:t>
      </w:r>
      <w:proofErr w:type="spellEnd"/>
      <w:r w:rsidRPr="00845FBC">
        <w:t xml:space="preserve">, </w:t>
      </w:r>
      <w:r w:rsidRPr="00845FBC">
        <w:rPr>
          <w:i/>
        </w:rPr>
        <w:t xml:space="preserve">Conrad </w:t>
      </w:r>
      <w:proofErr w:type="spellStart"/>
      <w:r w:rsidRPr="00845FBC">
        <w:rPr>
          <w:i/>
        </w:rPr>
        <w:t>Summenhart’s</w:t>
      </w:r>
      <w:proofErr w:type="spellEnd"/>
      <w:r w:rsidRPr="00845FBC">
        <w:rPr>
          <w:i/>
        </w:rPr>
        <w:t xml:space="preserve"> Theory of Individual Rights</w:t>
      </w:r>
      <w:r w:rsidRPr="00845FBC">
        <w:t xml:space="preserve"> (Leiden and Boston: Brill, 2012).</w:t>
      </w:r>
    </w:p>
  </w:footnote>
  <w:footnote w:id="5">
    <w:p w14:paraId="5AEC6C22" w14:textId="6D0EE688" w:rsidR="000D006E" w:rsidRPr="00845FBC" w:rsidRDefault="000D006E" w:rsidP="00845F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0"/>
          <w:szCs w:val="20"/>
          <w:bdr w:val="none" w:sz="0" w:space="0" w:color="auto"/>
          <w:lang w:eastAsia="de-DE"/>
        </w:rPr>
      </w:pPr>
      <w:r w:rsidRPr="00845FBC">
        <w:rPr>
          <w:rStyle w:val="Funotenzeichen"/>
          <w:sz w:val="20"/>
          <w:szCs w:val="20"/>
        </w:rPr>
        <w:footnoteRef/>
      </w:r>
      <w:r w:rsidRPr="00845FBC">
        <w:rPr>
          <w:sz w:val="20"/>
          <w:szCs w:val="20"/>
        </w:rPr>
        <w:t xml:space="preserve">  André </w:t>
      </w:r>
      <w:r w:rsidRPr="00845FBC">
        <w:rPr>
          <w:sz w:val="20"/>
          <w:szCs w:val="20"/>
          <w:bdr w:val="none" w:sz="0" w:space="0" w:color="auto"/>
          <w:lang w:eastAsia="de-DE"/>
        </w:rPr>
        <w:t xml:space="preserve">Lapidus, “The Limits and Extent of a Retrospective Approach in the History of Economics: The Case of the Middle-Ages,” in </w:t>
      </w:r>
      <w:r w:rsidRPr="00845FBC">
        <w:rPr>
          <w:i/>
          <w:sz w:val="20"/>
          <w:szCs w:val="20"/>
          <w:bdr w:val="none" w:sz="0" w:space="0" w:color="auto"/>
          <w:lang w:eastAsia="de-DE"/>
        </w:rPr>
        <w:t>Perspectives on the History of Economic Thought</w:t>
      </w:r>
      <w:r w:rsidRPr="00845FBC">
        <w:rPr>
          <w:sz w:val="20"/>
          <w:szCs w:val="20"/>
          <w:bdr w:val="none" w:sz="0" w:space="0" w:color="auto"/>
          <w:lang w:eastAsia="de-DE"/>
        </w:rPr>
        <w:t xml:space="preserve">, vol. 8: </w:t>
      </w:r>
      <w:r w:rsidRPr="00845FBC">
        <w:rPr>
          <w:i/>
          <w:sz w:val="20"/>
          <w:szCs w:val="20"/>
          <w:bdr w:val="none" w:sz="0" w:space="0" w:color="auto"/>
          <w:lang w:eastAsia="de-DE"/>
        </w:rPr>
        <w:t>Contributions to the History of Economics</w:t>
      </w:r>
      <w:r w:rsidRPr="00845FBC">
        <w:rPr>
          <w:sz w:val="20"/>
          <w:szCs w:val="20"/>
          <w:bdr w:val="none" w:sz="0" w:space="0" w:color="auto"/>
          <w:lang w:eastAsia="de-DE"/>
        </w:rPr>
        <w:t>, ed. S. Todd Lowry (Cheltenham: Edward Elgar, 1992), 1–18.</w:t>
      </w:r>
    </w:p>
  </w:footnote>
  <w:footnote w:id="6">
    <w:p w14:paraId="3B5E3E75" w14:textId="6FAED5C1" w:rsidR="000D006E" w:rsidRPr="00845FBC" w:rsidRDefault="000D006E" w:rsidP="00845FBC">
      <w:pPr>
        <w:pStyle w:val="Funotentext"/>
        <w:contextualSpacing/>
      </w:pPr>
      <w:r w:rsidRPr="00845FBC">
        <w:rPr>
          <w:rStyle w:val="Funotenzeichen"/>
        </w:rPr>
        <w:footnoteRef/>
      </w:r>
      <w:r w:rsidRPr="00845FBC">
        <w:t xml:space="preserve"> </w:t>
      </w:r>
      <w:proofErr w:type="spellStart"/>
      <w:r w:rsidRPr="00845FBC">
        <w:t>Langholm</w:t>
      </w:r>
      <w:proofErr w:type="spellEnd"/>
      <w:r w:rsidRPr="00845FBC">
        <w:t xml:space="preserve">, </w:t>
      </w:r>
      <w:r w:rsidRPr="00845FBC">
        <w:rPr>
          <w:i/>
          <w:iCs/>
        </w:rPr>
        <w:t>The Legacy of Scholasticism in Economic Thought</w:t>
      </w:r>
      <w:r w:rsidRPr="00845FBC">
        <w:t xml:space="preserve">, 127–28. </w:t>
      </w:r>
    </w:p>
  </w:footnote>
  <w:footnote w:id="7">
    <w:p w14:paraId="298EDBAF" w14:textId="586E13DB" w:rsidR="000D006E" w:rsidRPr="00845FBC" w:rsidRDefault="000D006E" w:rsidP="00845F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0"/>
          <w:szCs w:val="20"/>
          <w:bdr w:val="none" w:sz="0" w:space="0" w:color="auto"/>
          <w:lang w:eastAsia="de-DE"/>
        </w:rPr>
      </w:pPr>
      <w:r w:rsidRPr="00845FBC">
        <w:rPr>
          <w:sz w:val="20"/>
          <w:szCs w:val="20"/>
          <w:vertAlign w:val="superscript"/>
        </w:rPr>
        <w:footnoteRef/>
      </w:r>
      <w:r w:rsidRPr="00845FBC">
        <w:rPr>
          <w:sz w:val="20"/>
          <w:szCs w:val="20"/>
        </w:rPr>
        <w:t xml:space="preserve"> Domingo de </w:t>
      </w:r>
      <w:proofErr w:type="spellStart"/>
      <w:r w:rsidRPr="00845FBC">
        <w:rPr>
          <w:sz w:val="20"/>
          <w:szCs w:val="20"/>
        </w:rPr>
        <w:t>Báñez</w:t>
      </w:r>
      <w:proofErr w:type="spellEnd"/>
      <w:r w:rsidRPr="00845FBC">
        <w:rPr>
          <w:sz w:val="20"/>
          <w:szCs w:val="20"/>
        </w:rPr>
        <w:t xml:space="preserve">, </w:t>
      </w:r>
      <w:proofErr w:type="spellStart"/>
      <w:r w:rsidRPr="00845FBC">
        <w:rPr>
          <w:i/>
          <w:sz w:val="20"/>
          <w:szCs w:val="20"/>
        </w:rPr>
        <w:t>Decisiones</w:t>
      </w:r>
      <w:proofErr w:type="spellEnd"/>
      <w:r w:rsidRPr="00845FBC">
        <w:rPr>
          <w:i/>
          <w:sz w:val="20"/>
          <w:szCs w:val="20"/>
        </w:rPr>
        <w:t xml:space="preserve"> de iure et iustitia</w:t>
      </w:r>
      <w:r w:rsidRPr="00845FBC">
        <w:rPr>
          <w:sz w:val="20"/>
          <w:szCs w:val="20"/>
        </w:rPr>
        <w:t xml:space="preserve"> (Venice: Apud </w:t>
      </w:r>
      <w:proofErr w:type="spellStart"/>
      <w:r w:rsidRPr="00845FBC">
        <w:rPr>
          <w:sz w:val="20"/>
          <w:szCs w:val="20"/>
        </w:rPr>
        <w:t>Minimam</w:t>
      </w:r>
      <w:proofErr w:type="spellEnd"/>
      <w:r w:rsidRPr="00845FBC">
        <w:rPr>
          <w:sz w:val="20"/>
          <w:szCs w:val="20"/>
        </w:rPr>
        <w:t xml:space="preserve"> </w:t>
      </w:r>
      <w:proofErr w:type="spellStart"/>
      <w:r w:rsidRPr="00845FBC">
        <w:rPr>
          <w:sz w:val="20"/>
          <w:szCs w:val="20"/>
        </w:rPr>
        <w:t>Societatem</w:t>
      </w:r>
      <w:proofErr w:type="spellEnd"/>
      <w:r w:rsidRPr="00845FBC">
        <w:rPr>
          <w:sz w:val="20"/>
          <w:szCs w:val="20"/>
        </w:rPr>
        <w:t>, 1595), 366 (</w:t>
      </w:r>
      <w:proofErr w:type="spellStart"/>
      <w:r w:rsidRPr="00845FBC">
        <w:rPr>
          <w:sz w:val="20"/>
          <w:szCs w:val="20"/>
          <w:bdr w:val="none" w:sz="0" w:space="0" w:color="auto"/>
          <w:lang w:eastAsia="de-DE"/>
        </w:rPr>
        <w:t>quaest</w:t>
      </w:r>
      <w:proofErr w:type="spellEnd"/>
      <w:r w:rsidRPr="00845FBC">
        <w:rPr>
          <w:sz w:val="20"/>
          <w:szCs w:val="20"/>
          <w:bdr w:val="none" w:sz="0" w:space="0" w:color="auto"/>
          <w:lang w:eastAsia="de-DE"/>
        </w:rPr>
        <w:t xml:space="preserve">. 77, art. 4, dub. 3, </w:t>
      </w:r>
      <w:proofErr w:type="spellStart"/>
      <w:r w:rsidRPr="00845FBC">
        <w:rPr>
          <w:sz w:val="20"/>
          <w:szCs w:val="20"/>
          <w:bdr w:val="none" w:sz="0" w:space="0" w:color="auto"/>
          <w:lang w:eastAsia="de-DE"/>
        </w:rPr>
        <w:t>concl</w:t>
      </w:r>
      <w:proofErr w:type="spellEnd"/>
      <w:r w:rsidRPr="00845FBC">
        <w:rPr>
          <w:sz w:val="20"/>
          <w:szCs w:val="20"/>
          <w:bdr w:val="none" w:sz="0" w:space="0" w:color="auto"/>
          <w:lang w:eastAsia="de-DE"/>
        </w:rPr>
        <w:t>. 1)</w:t>
      </w:r>
      <w:r w:rsidRPr="00845FBC">
        <w:rPr>
          <w:sz w:val="20"/>
          <w:szCs w:val="20"/>
        </w:rPr>
        <w:t>.</w:t>
      </w:r>
    </w:p>
  </w:footnote>
  <w:footnote w:id="8">
    <w:p w14:paraId="688E7F7F" w14:textId="77777777" w:rsidR="000D006E" w:rsidRPr="00845FBC" w:rsidRDefault="000D006E" w:rsidP="00845FBC">
      <w:pPr>
        <w:pStyle w:val="Funotentext"/>
        <w:contextualSpacing/>
      </w:pPr>
      <w:r w:rsidRPr="00845FBC">
        <w:rPr>
          <w:rStyle w:val="Funotenzeichen"/>
        </w:rPr>
        <w:footnoteRef/>
      </w:r>
      <w:r w:rsidRPr="00845FBC">
        <w:t xml:space="preserve"> See Alonso-</w:t>
      </w:r>
      <w:proofErr w:type="spellStart"/>
      <w:r w:rsidRPr="00845FBC">
        <w:t>Laheras</w:t>
      </w:r>
      <w:proofErr w:type="spellEnd"/>
      <w:r w:rsidRPr="00845FBC">
        <w:t xml:space="preserve">, </w:t>
      </w:r>
      <w:r w:rsidRPr="00845FBC">
        <w:rPr>
          <w:i/>
          <w:iCs/>
        </w:rPr>
        <w:t xml:space="preserve">Luis de Molina’s </w:t>
      </w:r>
      <w:r w:rsidRPr="00845FBC">
        <w:t>De Iustitia et Iure, 161.</w:t>
      </w:r>
    </w:p>
  </w:footnote>
  <w:footnote w:id="9">
    <w:p w14:paraId="3DBE0A72" w14:textId="628A6225" w:rsidR="000D006E" w:rsidRPr="00845FBC" w:rsidRDefault="000D006E" w:rsidP="00845F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0"/>
          <w:szCs w:val="20"/>
          <w:bdr w:val="none" w:sz="0" w:space="0" w:color="auto"/>
          <w:lang w:val="fr-FR" w:eastAsia="de-DE"/>
        </w:rPr>
      </w:pPr>
      <w:r w:rsidRPr="00845FBC">
        <w:rPr>
          <w:rStyle w:val="Funotenzeichen"/>
          <w:sz w:val="20"/>
          <w:szCs w:val="20"/>
        </w:rPr>
        <w:footnoteRef/>
      </w:r>
      <w:r w:rsidRPr="00845FBC">
        <w:rPr>
          <w:sz w:val="20"/>
          <w:szCs w:val="20"/>
          <w:lang w:val="fr-FR"/>
        </w:rPr>
        <w:t xml:space="preserve"> Luis de Molina, </w:t>
      </w:r>
      <w:r w:rsidRPr="00845FBC">
        <w:rPr>
          <w:i/>
          <w:sz w:val="20"/>
          <w:szCs w:val="20"/>
          <w:lang w:val="fr-FR"/>
        </w:rPr>
        <w:t xml:space="preserve">De iustitia. </w:t>
      </w:r>
      <w:proofErr w:type="spellStart"/>
      <w:r w:rsidRPr="00845FBC">
        <w:rPr>
          <w:i/>
          <w:sz w:val="20"/>
          <w:szCs w:val="20"/>
          <w:lang w:val="fr-FR"/>
        </w:rPr>
        <w:t>Tomus</w:t>
      </w:r>
      <w:proofErr w:type="spellEnd"/>
      <w:r w:rsidRPr="00845FBC">
        <w:rPr>
          <w:i/>
          <w:sz w:val="20"/>
          <w:szCs w:val="20"/>
          <w:lang w:val="fr-FR"/>
        </w:rPr>
        <w:t xml:space="preserve"> </w:t>
      </w:r>
      <w:proofErr w:type="spellStart"/>
      <w:r w:rsidRPr="00845FBC">
        <w:rPr>
          <w:i/>
          <w:sz w:val="20"/>
          <w:szCs w:val="20"/>
          <w:lang w:val="fr-FR"/>
        </w:rPr>
        <w:t>secundus</w:t>
      </w:r>
      <w:proofErr w:type="spellEnd"/>
      <w:r w:rsidRPr="00845FBC">
        <w:rPr>
          <w:i/>
          <w:sz w:val="20"/>
          <w:szCs w:val="20"/>
          <w:lang w:val="fr-FR"/>
        </w:rPr>
        <w:t xml:space="preserve"> de </w:t>
      </w:r>
      <w:proofErr w:type="spellStart"/>
      <w:r w:rsidRPr="00845FBC">
        <w:rPr>
          <w:i/>
          <w:sz w:val="20"/>
          <w:szCs w:val="20"/>
          <w:lang w:val="fr-FR"/>
        </w:rPr>
        <w:t>contractibus</w:t>
      </w:r>
      <w:proofErr w:type="spellEnd"/>
      <w:r w:rsidRPr="00845FBC">
        <w:rPr>
          <w:sz w:val="20"/>
          <w:szCs w:val="20"/>
          <w:lang w:val="fr-FR"/>
        </w:rPr>
        <w:t xml:space="preserve"> (</w:t>
      </w:r>
      <w:proofErr w:type="gramStart"/>
      <w:r w:rsidRPr="00845FBC">
        <w:rPr>
          <w:sz w:val="20"/>
          <w:szCs w:val="20"/>
          <w:lang w:val="fr-FR"/>
        </w:rPr>
        <w:t>Mainz:</w:t>
      </w:r>
      <w:proofErr w:type="gramEnd"/>
      <w:r w:rsidRPr="00845FBC">
        <w:rPr>
          <w:sz w:val="20"/>
          <w:szCs w:val="20"/>
          <w:lang w:val="fr-FR"/>
        </w:rPr>
        <w:t xml:space="preserve"> </w:t>
      </w:r>
      <w:proofErr w:type="spellStart"/>
      <w:r w:rsidRPr="00845FBC">
        <w:rPr>
          <w:sz w:val="20"/>
          <w:szCs w:val="20"/>
          <w:lang w:val="fr-FR"/>
        </w:rPr>
        <w:t>Lippius</w:t>
      </w:r>
      <w:proofErr w:type="spellEnd"/>
      <w:r w:rsidRPr="00845FBC">
        <w:rPr>
          <w:sz w:val="20"/>
          <w:szCs w:val="20"/>
          <w:lang w:val="fr-FR"/>
        </w:rPr>
        <w:t xml:space="preserve"> &amp; </w:t>
      </w:r>
      <w:proofErr w:type="spellStart"/>
      <w:r w:rsidRPr="00845FBC">
        <w:rPr>
          <w:sz w:val="20"/>
          <w:szCs w:val="20"/>
          <w:lang w:val="fr-FR"/>
        </w:rPr>
        <w:t>Mylius</w:t>
      </w:r>
      <w:proofErr w:type="spellEnd"/>
      <w:r w:rsidRPr="00845FBC">
        <w:rPr>
          <w:sz w:val="20"/>
          <w:szCs w:val="20"/>
          <w:lang w:val="fr-FR"/>
        </w:rPr>
        <w:t xml:space="preserve">, 1602), col. 479 </w:t>
      </w:r>
      <w:r w:rsidRPr="00845FBC">
        <w:rPr>
          <w:sz w:val="20"/>
          <w:szCs w:val="20"/>
          <w:bdr w:val="none" w:sz="0" w:space="0" w:color="auto"/>
          <w:lang w:val="fr-FR" w:eastAsia="de-DE"/>
        </w:rPr>
        <w:t xml:space="preserve">(tract. 2, </w:t>
      </w:r>
      <w:proofErr w:type="spellStart"/>
      <w:r w:rsidRPr="00845FBC">
        <w:rPr>
          <w:sz w:val="20"/>
          <w:szCs w:val="20"/>
          <w:bdr w:val="none" w:sz="0" w:space="0" w:color="auto"/>
          <w:lang w:val="fr-FR" w:eastAsia="de-DE"/>
        </w:rPr>
        <w:t>disp</w:t>
      </w:r>
      <w:proofErr w:type="spellEnd"/>
      <w:r w:rsidRPr="00845FBC">
        <w:rPr>
          <w:sz w:val="20"/>
          <w:szCs w:val="20"/>
          <w:bdr w:val="none" w:sz="0" w:space="0" w:color="auto"/>
          <w:lang w:val="fr-FR" w:eastAsia="de-DE"/>
        </w:rPr>
        <w:t>. 365)</w:t>
      </w:r>
      <w:r w:rsidRPr="00845FBC">
        <w:rPr>
          <w:sz w:val="20"/>
          <w:szCs w:val="20"/>
          <w:lang w:val="fr-FR"/>
        </w:rPr>
        <w:t>.</w:t>
      </w:r>
    </w:p>
  </w:footnote>
  <w:footnote w:id="10">
    <w:p w14:paraId="3EA3930D" w14:textId="214B521D" w:rsidR="000D006E" w:rsidRPr="00845FBC" w:rsidRDefault="000D006E" w:rsidP="00845F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0"/>
          <w:szCs w:val="20"/>
          <w:bdr w:val="none" w:sz="0" w:space="0" w:color="auto"/>
          <w:lang w:val="fr-FR" w:eastAsia="de-DE"/>
        </w:rPr>
      </w:pPr>
      <w:r w:rsidRPr="00845FBC">
        <w:rPr>
          <w:rStyle w:val="Funotenzeichen"/>
          <w:sz w:val="20"/>
          <w:szCs w:val="20"/>
        </w:rPr>
        <w:footnoteRef/>
      </w:r>
      <w:r w:rsidRPr="00845FBC">
        <w:rPr>
          <w:sz w:val="20"/>
          <w:szCs w:val="20"/>
          <w:lang w:val="fr-FR"/>
        </w:rPr>
        <w:t xml:space="preserve"> Molina, col. 480 </w:t>
      </w:r>
      <w:r w:rsidRPr="00845FBC">
        <w:rPr>
          <w:sz w:val="20"/>
          <w:szCs w:val="20"/>
          <w:bdr w:val="none" w:sz="0" w:space="0" w:color="auto"/>
          <w:lang w:val="fr-FR" w:eastAsia="de-DE"/>
        </w:rPr>
        <w:t xml:space="preserve">(tract. 2, </w:t>
      </w:r>
      <w:proofErr w:type="spellStart"/>
      <w:r w:rsidRPr="00845FBC">
        <w:rPr>
          <w:sz w:val="20"/>
          <w:szCs w:val="20"/>
          <w:bdr w:val="none" w:sz="0" w:space="0" w:color="auto"/>
          <w:lang w:val="fr-FR" w:eastAsia="de-DE"/>
        </w:rPr>
        <w:t>disp</w:t>
      </w:r>
      <w:proofErr w:type="spellEnd"/>
      <w:r w:rsidRPr="00845FBC">
        <w:rPr>
          <w:sz w:val="20"/>
          <w:szCs w:val="20"/>
          <w:bdr w:val="none" w:sz="0" w:space="0" w:color="auto"/>
          <w:lang w:val="fr-FR" w:eastAsia="de-DE"/>
        </w:rPr>
        <w:t>. 365)</w:t>
      </w:r>
      <w:r w:rsidRPr="00845FBC">
        <w:rPr>
          <w:sz w:val="20"/>
          <w:szCs w:val="20"/>
          <w:lang w:val="fr-FR"/>
        </w:rPr>
        <w:t>.</w:t>
      </w:r>
    </w:p>
  </w:footnote>
  <w:footnote w:id="11">
    <w:p w14:paraId="41978349" w14:textId="68156758" w:rsidR="000D006E" w:rsidRPr="00845FBC" w:rsidRDefault="000D006E" w:rsidP="00845FBC">
      <w:pPr>
        <w:pStyle w:val="Funotentext"/>
        <w:contextualSpacing/>
        <w:rPr>
          <w:lang w:val="it-IT"/>
        </w:rPr>
      </w:pPr>
      <w:r w:rsidRPr="00845FBC">
        <w:rPr>
          <w:rStyle w:val="Funotenzeichen"/>
        </w:rPr>
        <w:footnoteRef/>
      </w:r>
      <w:r w:rsidRPr="00845FBC">
        <w:rPr>
          <w:lang w:val="fr-FR"/>
        </w:rPr>
        <w:t xml:space="preserve"> </w:t>
      </w:r>
      <w:r w:rsidRPr="00845FBC">
        <w:rPr>
          <w:lang w:val="it-IT"/>
        </w:rPr>
        <w:t xml:space="preserve">“Qui </w:t>
      </w:r>
      <w:proofErr w:type="spellStart"/>
      <w:r w:rsidRPr="00845FBC">
        <w:rPr>
          <w:lang w:val="it-IT"/>
        </w:rPr>
        <w:t>vendit</w:t>
      </w:r>
      <w:proofErr w:type="spellEnd"/>
      <w:r w:rsidRPr="00845FBC">
        <w:rPr>
          <w:lang w:val="it-IT"/>
        </w:rPr>
        <w:t xml:space="preserve"> </w:t>
      </w:r>
      <w:proofErr w:type="spellStart"/>
      <w:r w:rsidRPr="00845FBC">
        <w:rPr>
          <w:lang w:val="it-IT"/>
        </w:rPr>
        <w:t>medicinam</w:t>
      </w:r>
      <w:proofErr w:type="spellEnd"/>
      <w:r w:rsidRPr="00845FBC">
        <w:rPr>
          <w:lang w:val="it-IT"/>
        </w:rPr>
        <w:t xml:space="preserve"> infirmo </w:t>
      </w:r>
      <w:proofErr w:type="spellStart"/>
      <w:r w:rsidRPr="00845FBC">
        <w:rPr>
          <w:lang w:val="it-IT"/>
        </w:rPr>
        <w:t>necessariam</w:t>
      </w:r>
      <w:proofErr w:type="spellEnd"/>
      <w:r w:rsidRPr="00845FBC">
        <w:rPr>
          <w:lang w:val="it-IT"/>
        </w:rPr>
        <w:t xml:space="preserve">, sine qua vivere non </w:t>
      </w:r>
      <w:proofErr w:type="spellStart"/>
      <w:r w:rsidRPr="00845FBC">
        <w:rPr>
          <w:lang w:val="it-IT"/>
        </w:rPr>
        <w:t>sperat</w:t>
      </w:r>
      <w:proofErr w:type="spellEnd"/>
      <w:r w:rsidRPr="00845FBC">
        <w:rPr>
          <w:lang w:val="it-IT"/>
        </w:rPr>
        <w:t xml:space="preserve">, </w:t>
      </w:r>
      <w:proofErr w:type="spellStart"/>
      <w:r w:rsidRPr="00845FBC">
        <w:rPr>
          <w:lang w:val="it-IT"/>
        </w:rPr>
        <w:t>posset</w:t>
      </w:r>
      <w:proofErr w:type="spellEnd"/>
      <w:r w:rsidRPr="00845FBC">
        <w:rPr>
          <w:lang w:val="it-IT"/>
        </w:rPr>
        <w:t xml:space="preserve"> </w:t>
      </w:r>
      <w:proofErr w:type="spellStart"/>
      <w:r w:rsidRPr="00845FBC">
        <w:rPr>
          <w:lang w:val="it-IT"/>
        </w:rPr>
        <w:t>quantumcunque</w:t>
      </w:r>
      <w:proofErr w:type="spellEnd"/>
      <w:r w:rsidRPr="00845FBC">
        <w:rPr>
          <w:lang w:val="it-IT"/>
        </w:rPr>
        <w:t xml:space="preserve"> </w:t>
      </w:r>
      <w:proofErr w:type="spellStart"/>
      <w:r w:rsidRPr="00845FBC">
        <w:rPr>
          <w:lang w:val="it-IT"/>
        </w:rPr>
        <w:t>pretium</w:t>
      </w:r>
      <w:proofErr w:type="spellEnd"/>
      <w:r w:rsidRPr="00845FBC">
        <w:rPr>
          <w:lang w:val="it-IT"/>
        </w:rPr>
        <w:t xml:space="preserve"> pro medicina </w:t>
      </w:r>
      <w:proofErr w:type="spellStart"/>
      <w:r w:rsidRPr="00845FBC">
        <w:rPr>
          <w:lang w:val="it-IT"/>
        </w:rPr>
        <w:t>recipere</w:t>
      </w:r>
      <w:proofErr w:type="spellEnd"/>
      <w:r w:rsidRPr="00845FBC">
        <w:rPr>
          <w:lang w:val="it-IT"/>
        </w:rPr>
        <w:t xml:space="preserve">: &amp; ita de </w:t>
      </w:r>
      <w:proofErr w:type="spellStart"/>
      <w:r w:rsidRPr="00845FBC">
        <w:rPr>
          <w:lang w:val="it-IT"/>
        </w:rPr>
        <w:t>aliis</w:t>
      </w:r>
      <w:proofErr w:type="spellEnd"/>
      <w:r w:rsidRPr="00845FBC">
        <w:rPr>
          <w:lang w:val="it-IT"/>
        </w:rPr>
        <w:t xml:space="preserve">,” </w:t>
      </w:r>
      <w:r w:rsidRPr="00845FBC">
        <w:rPr>
          <w:lang w:val="fr-FR"/>
        </w:rPr>
        <w:t xml:space="preserve">Juan de Medina, </w:t>
      </w:r>
      <w:r w:rsidRPr="00845FBC">
        <w:rPr>
          <w:i/>
          <w:lang w:val="fr-FR"/>
        </w:rPr>
        <w:t xml:space="preserve">De </w:t>
      </w:r>
      <w:proofErr w:type="spellStart"/>
      <w:r w:rsidRPr="00845FBC">
        <w:rPr>
          <w:i/>
          <w:lang w:val="fr-FR"/>
        </w:rPr>
        <w:t>restitutione</w:t>
      </w:r>
      <w:proofErr w:type="spellEnd"/>
      <w:r w:rsidRPr="00845FBC">
        <w:rPr>
          <w:i/>
          <w:lang w:val="fr-FR"/>
        </w:rPr>
        <w:t xml:space="preserve"> et </w:t>
      </w:r>
      <w:proofErr w:type="spellStart"/>
      <w:r w:rsidRPr="00845FBC">
        <w:rPr>
          <w:i/>
          <w:lang w:val="fr-FR"/>
        </w:rPr>
        <w:t>contractibus</w:t>
      </w:r>
      <w:proofErr w:type="spellEnd"/>
      <w:r w:rsidRPr="00845FBC">
        <w:rPr>
          <w:lang w:val="fr-FR"/>
        </w:rPr>
        <w:t xml:space="preserve"> (Ingolstadt: Sartorius, 1581), 197 (</w:t>
      </w:r>
      <w:proofErr w:type="spellStart"/>
      <w:r w:rsidRPr="00845FBC">
        <w:rPr>
          <w:lang w:val="fr-FR"/>
        </w:rPr>
        <w:t>quaest</w:t>
      </w:r>
      <w:proofErr w:type="spellEnd"/>
      <w:r w:rsidRPr="00845FBC">
        <w:rPr>
          <w:lang w:val="fr-FR"/>
        </w:rPr>
        <w:t xml:space="preserve">. </w:t>
      </w:r>
      <w:r w:rsidRPr="00845FBC">
        <w:rPr>
          <w:lang w:val="it-IT"/>
        </w:rPr>
        <w:t xml:space="preserve">31). </w:t>
      </w:r>
      <w:proofErr w:type="spellStart"/>
      <w:r w:rsidRPr="00845FBC">
        <w:rPr>
          <w:lang w:val="it-IT"/>
        </w:rPr>
        <w:t>Unless</w:t>
      </w:r>
      <w:proofErr w:type="spellEnd"/>
      <w:r w:rsidRPr="00845FBC">
        <w:rPr>
          <w:lang w:val="it-IT"/>
        </w:rPr>
        <w:t xml:space="preserve"> </w:t>
      </w:r>
      <w:proofErr w:type="spellStart"/>
      <w:r w:rsidRPr="00845FBC">
        <w:rPr>
          <w:lang w:val="it-IT"/>
        </w:rPr>
        <w:t>where</w:t>
      </w:r>
      <w:proofErr w:type="spellEnd"/>
      <w:r w:rsidRPr="00845FBC">
        <w:rPr>
          <w:lang w:val="it-IT"/>
        </w:rPr>
        <w:t xml:space="preserve"> </w:t>
      </w:r>
      <w:proofErr w:type="spellStart"/>
      <w:r w:rsidRPr="00845FBC">
        <w:rPr>
          <w:lang w:val="it-IT"/>
        </w:rPr>
        <w:t>otherwise</w:t>
      </w:r>
      <w:proofErr w:type="spellEnd"/>
      <w:r w:rsidRPr="00845FBC">
        <w:rPr>
          <w:lang w:val="it-IT"/>
        </w:rPr>
        <w:t xml:space="preserve"> </w:t>
      </w:r>
      <w:proofErr w:type="spellStart"/>
      <w:r w:rsidRPr="00845FBC">
        <w:rPr>
          <w:lang w:val="it-IT"/>
        </w:rPr>
        <w:t>noted</w:t>
      </w:r>
      <w:proofErr w:type="spellEnd"/>
      <w:r w:rsidRPr="00845FBC">
        <w:rPr>
          <w:lang w:val="it-IT"/>
        </w:rPr>
        <w:t xml:space="preserve">, </w:t>
      </w:r>
      <w:proofErr w:type="spellStart"/>
      <w:r w:rsidRPr="00845FBC">
        <w:rPr>
          <w:lang w:val="it-IT"/>
        </w:rPr>
        <w:t>translations</w:t>
      </w:r>
      <w:proofErr w:type="spellEnd"/>
      <w:r w:rsidRPr="00845FBC">
        <w:rPr>
          <w:lang w:val="it-IT"/>
        </w:rPr>
        <w:t xml:space="preserve"> are </w:t>
      </w:r>
      <w:proofErr w:type="spellStart"/>
      <w:r w:rsidRPr="00845FBC">
        <w:rPr>
          <w:lang w:val="it-IT"/>
        </w:rPr>
        <w:t>my</w:t>
      </w:r>
      <w:proofErr w:type="spellEnd"/>
      <w:r w:rsidRPr="00845FBC">
        <w:rPr>
          <w:lang w:val="it-IT"/>
        </w:rPr>
        <w:t xml:space="preserve"> </w:t>
      </w:r>
      <w:proofErr w:type="spellStart"/>
      <w:r w:rsidRPr="00845FBC">
        <w:rPr>
          <w:lang w:val="it-IT"/>
        </w:rPr>
        <w:t>own</w:t>
      </w:r>
      <w:proofErr w:type="spellEnd"/>
      <w:r w:rsidRPr="00845FBC">
        <w:rPr>
          <w:lang w:val="it-IT"/>
        </w:rPr>
        <w:t>.</w:t>
      </w:r>
    </w:p>
  </w:footnote>
  <w:footnote w:id="12">
    <w:p w14:paraId="6C945EBC" w14:textId="77777777"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w:t>
      </w:r>
      <w:proofErr w:type="spellStart"/>
      <w:r w:rsidRPr="00845FBC">
        <w:rPr>
          <w:lang w:val="it-IT"/>
        </w:rPr>
        <w:t>Melchor</w:t>
      </w:r>
      <w:proofErr w:type="spellEnd"/>
      <w:r w:rsidRPr="00845FBC">
        <w:rPr>
          <w:lang w:val="it-IT"/>
        </w:rPr>
        <w:t xml:space="preserve"> de Soria, </w:t>
      </w:r>
      <w:proofErr w:type="spellStart"/>
      <w:r w:rsidRPr="00845FBC">
        <w:rPr>
          <w:i/>
          <w:lang w:val="it-IT"/>
        </w:rPr>
        <w:t>Tratado</w:t>
      </w:r>
      <w:proofErr w:type="spellEnd"/>
      <w:r w:rsidRPr="00845FBC">
        <w:rPr>
          <w:i/>
          <w:lang w:val="it-IT"/>
        </w:rPr>
        <w:t xml:space="preserve"> de la </w:t>
      </w:r>
      <w:proofErr w:type="spellStart"/>
      <w:r w:rsidRPr="00845FBC">
        <w:rPr>
          <w:i/>
          <w:lang w:val="it-IT"/>
        </w:rPr>
        <w:t>iustificacion</w:t>
      </w:r>
      <w:proofErr w:type="spellEnd"/>
      <w:r w:rsidRPr="00845FBC">
        <w:rPr>
          <w:i/>
          <w:lang w:val="it-IT"/>
        </w:rPr>
        <w:t xml:space="preserve"> y </w:t>
      </w:r>
      <w:proofErr w:type="spellStart"/>
      <w:r w:rsidRPr="00845FBC">
        <w:rPr>
          <w:i/>
          <w:lang w:val="it-IT"/>
        </w:rPr>
        <w:t>conveniencia</w:t>
      </w:r>
      <w:proofErr w:type="spellEnd"/>
      <w:r w:rsidRPr="00845FBC">
        <w:rPr>
          <w:i/>
          <w:lang w:val="it-IT"/>
        </w:rPr>
        <w:t xml:space="preserve"> de la tassa del pan</w:t>
      </w:r>
      <w:r w:rsidRPr="00845FBC">
        <w:rPr>
          <w:lang w:val="it-IT"/>
        </w:rPr>
        <w:t xml:space="preserve"> (Toledo: Ruiz de </w:t>
      </w:r>
      <w:proofErr w:type="spellStart"/>
      <w:r w:rsidRPr="00845FBC">
        <w:rPr>
          <w:lang w:val="it-IT"/>
        </w:rPr>
        <w:t>Pereda</w:t>
      </w:r>
      <w:proofErr w:type="spellEnd"/>
      <w:r w:rsidRPr="00845FBC">
        <w:rPr>
          <w:lang w:val="it-IT"/>
        </w:rPr>
        <w:t>, 1627), 31.</w:t>
      </w:r>
    </w:p>
  </w:footnote>
  <w:footnote w:id="13">
    <w:p w14:paraId="13033CA0" w14:textId="265BA540"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Soria, </w:t>
      </w:r>
      <w:proofErr w:type="spellStart"/>
      <w:r w:rsidRPr="00845FBC">
        <w:rPr>
          <w:i/>
          <w:lang w:val="it-IT"/>
        </w:rPr>
        <w:t>Tratado</w:t>
      </w:r>
      <w:proofErr w:type="spellEnd"/>
      <w:r w:rsidRPr="00845FBC">
        <w:rPr>
          <w:lang w:val="it-IT"/>
        </w:rPr>
        <w:t>, 32.</w:t>
      </w:r>
    </w:p>
  </w:footnote>
  <w:footnote w:id="14">
    <w:p w14:paraId="7E397002" w14:textId="72527E99"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Soria, </w:t>
      </w:r>
      <w:proofErr w:type="spellStart"/>
      <w:r w:rsidRPr="00845FBC">
        <w:rPr>
          <w:i/>
          <w:lang w:val="it-IT"/>
        </w:rPr>
        <w:t>Tratado</w:t>
      </w:r>
      <w:proofErr w:type="spellEnd"/>
      <w:r w:rsidRPr="00845FBC">
        <w:rPr>
          <w:lang w:val="it-IT"/>
        </w:rPr>
        <w:t>, 33.</w:t>
      </w:r>
    </w:p>
  </w:footnote>
  <w:footnote w:id="15">
    <w:p w14:paraId="7C8AEB2B" w14:textId="66A742C5" w:rsidR="000D006E" w:rsidRPr="00845FBC" w:rsidRDefault="000D006E" w:rsidP="00845FBC">
      <w:pPr>
        <w:pStyle w:val="Endnotentext1"/>
        <w:contextualSpacing/>
        <w:rPr>
          <w:lang w:val="it-IT"/>
        </w:rPr>
      </w:pPr>
      <w:r w:rsidRPr="00845FBC">
        <w:rPr>
          <w:vertAlign w:val="superscript"/>
        </w:rPr>
        <w:footnoteRef/>
      </w:r>
      <w:r w:rsidRPr="00845FBC">
        <w:rPr>
          <w:lang w:val="it-IT"/>
        </w:rPr>
        <w:t xml:space="preserve"> Soria, </w:t>
      </w:r>
      <w:proofErr w:type="spellStart"/>
      <w:r w:rsidRPr="00845FBC">
        <w:rPr>
          <w:i/>
          <w:lang w:val="it-IT"/>
        </w:rPr>
        <w:t>Tratado</w:t>
      </w:r>
      <w:proofErr w:type="spellEnd"/>
      <w:r w:rsidRPr="00845FBC">
        <w:rPr>
          <w:lang w:val="it-IT"/>
        </w:rPr>
        <w:t>, 77.</w:t>
      </w:r>
    </w:p>
  </w:footnote>
  <w:footnote w:id="16">
    <w:p w14:paraId="49918FEB" w14:textId="32797F49" w:rsidR="000D006E" w:rsidRPr="00845FBC" w:rsidRDefault="000D006E" w:rsidP="00845FBC">
      <w:pPr>
        <w:pStyle w:val="Endnotentext1"/>
        <w:contextualSpacing/>
      </w:pPr>
      <w:r w:rsidRPr="00845FBC">
        <w:rPr>
          <w:vertAlign w:val="superscript"/>
        </w:rPr>
        <w:footnoteRef/>
      </w:r>
      <w:r w:rsidRPr="00845FBC">
        <w:t xml:space="preserve"> Alexander of Hales, </w:t>
      </w:r>
      <w:r w:rsidRPr="00845FBC">
        <w:rPr>
          <w:i/>
          <w:iCs/>
        </w:rPr>
        <w:t>Summa theologiae</w:t>
      </w:r>
      <w:r w:rsidRPr="00845FBC">
        <w:t>, 4 vols. (</w:t>
      </w:r>
      <w:proofErr w:type="spellStart"/>
      <w:r w:rsidRPr="00845FBC">
        <w:t>Quaracchi</w:t>
      </w:r>
      <w:proofErr w:type="spellEnd"/>
      <w:r w:rsidRPr="00845FBC">
        <w:t xml:space="preserve">: Collegium Sancti </w:t>
      </w:r>
      <w:proofErr w:type="spellStart"/>
      <w:r w:rsidRPr="00845FBC">
        <w:t>Bonaventurae</w:t>
      </w:r>
      <w:proofErr w:type="spellEnd"/>
      <w:r w:rsidRPr="00845FBC">
        <w:t xml:space="preserve">, 1924–1928), 4:723 (pars 3, </w:t>
      </w:r>
      <w:proofErr w:type="spellStart"/>
      <w:r w:rsidRPr="00845FBC">
        <w:t>quaest</w:t>
      </w:r>
      <w:proofErr w:type="spellEnd"/>
      <w:r w:rsidRPr="00845FBC">
        <w:t xml:space="preserve">. 50, membrum 1), quoted in </w:t>
      </w:r>
      <w:proofErr w:type="spellStart"/>
      <w:r w:rsidRPr="00845FBC">
        <w:t>Langholm</w:t>
      </w:r>
      <w:proofErr w:type="spellEnd"/>
      <w:r w:rsidRPr="00845FBC">
        <w:t xml:space="preserve">, </w:t>
      </w:r>
      <w:r w:rsidRPr="00845FBC">
        <w:rPr>
          <w:i/>
          <w:iCs/>
        </w:rPr>
        <w:t>The Legacy of Scholasticism</w:t>
      </w:r>
      <w:r w:rsidRPr="00845FBC">
        <w:t xml:space="preserve">, 126. </w:t>
      </w:r>
      <w:proofErr w:type="spellStart"/>
      <w:r w:rsidRPr="00845FBC">
        <w:t>Langholm’s</w:t>
      </w:r>
      <w:proofErr w:type="spellEnd"/>
      <w:r w:rsidRPr="00845FBC">
        <w:t xml:space="preserve"> translation.</w:t>
      </w:r>
    </w:p>
  </w:footnote>
  <w:footnote w:id="17">
    <w:p w14:paraId="704B16B7" w14:textId="77777777" w:rsidR="000D006E" w:rsidRPr="00845FBC" w:rsidRDefault="000D006E" w:rsidP="00845FBC">
      <w:pPr>
        <w:pStyle w:val="Endnotentext1"/>
        <w:contextualSpacing/>
      </w:pPr>
      <w:r w:rsidRPr="00845FBC">
        <w:rPr>
          <w:vertAlign w:val="superscript"/>
        </w:rPr>
        <w:footnoteRef/>
      </w:r>
      <w:r w:rsidRPr="00845FBC">
        <w:t xml:space="preserve"> </w:t>
      </w:r>
      <w:proofErr w:type="spellStart"/>
      <w:r w:rsidRPr="00845FBC">
        <w:t>Langholm</w:t>
      </w:r>
      <w:proofErr w:type="spellEnd"/>
      <w:r w:rsidRPr="00845FBC">
        <w:t xml:space="preserve">, </w:t>
      </w:r>
      <w:r w:rsidRPr="00845FBC">
        <w:rPr>
          <w:i/>
          <w:iCs/>
        </w:rPr>
        <w:t>The Legacy of Scholasticism</w:t>
      </w:r>
      <w:r w:rsidRPr="00845FBC">
        <w:t>, 125.</w:t>
      </w:r>
    </w:p>
  </w:footnote>
  <w:footnote w:id="18">
    <w:p w14:paraId="0BB36AFC" w14:textId="66DCBF13" w:rsidR="000D006E" w:rsidRPr="00845FBC" w:rsidRDefault="000D006E" w:rsidP="00845FBC">
      <w:pPr>
        <w:pStyle w:val="Funotentext"/>
        <w:contextualSpacing/>
      </w:pPr>
      <w:r w:rsidRPr="00845FBC">
        <w:rPr>
          <w:rStyle w:val="Funotenzeichen"/>
        </w:rPr>
        <w:footnoteRef/>
      </w:r>
      <w:r w:rsidRPr="00845FBC">
        <w:t xml:space="preserve"> </w:t>
      </w:r>
      <w:proofErr w:type="spellStart"/>
      <w:r w:rsidRPr="00845FBC">
        <w:t>Langholm</w:t>
      </w:r>
      <w:proofErr w:type="spellEnd"/>
      <w:r w:rsidRPr="00845FBC">
        <w:t xml:space="preserve">, </w:t>
      </w:r>
      <w:r w:rsidRPr="00845FBC">
        <w:rPr>
          <w:i/>
          <w:iCs/>
        </w:rPr>
        <w:t>The Legacy of Scholasticism</w:t>
      </w:r>
      <w:r w:rsidRPr="00845FBC">
        <w:t>, 125.</w:t>
      </w:r>
    </w:p>
  </w:footnote>
  <w:footnote w:id="19">
    <w:p w14:paraId="7D1C0CCD" w14:textId="2DD13D70" w:rsidR="000D006E" w:rsidRPr="00845FBC" w:rsidRDefault="000D006E" w:rsidP="00845FBC">
      <w:pPr>
        <w:pStyle w:val="Funotentext"/>
        <w:contextualSpacing/>
      </w:pPr>
      <w:r w:rsidRPr="00845FBC">
        <w:rPr>
          <w:rStyle w:val="Funotenzeichen"/>
        </w:rPr>
        <w:footnoteRef/>
      </w:r>
      <w:r w:rsidRPr="00845FBC">
        <w:t xml:space="preserve"> </w:t>
      </w:r>
      <w:proofErr w:type="spellStart"/>
      <w:r w:rsidRPr="00845FBC">
        <w:t>Langholm</w:t>
      </w:r>
      <w:proofErr w:type="spellEnd"/>
      <w:r w:rsidRPr="00845FBC">
        <w:t xml:space="preserve">, </w:t>
      </w:r>
      <w:r w:rsidRPr="00845FBC">
        <w:rPr>
          <w:i/>
          <w:iCs/>
        </w:rPr>
        <w:t>The Legacy of Scholasticism</w:t>
      </w:r>
      <w:r w:rsidRPr="00845FBC">
        <w:t>, 125.</w:t>
      </w:r>
    </w:p>
  </w:footnote>
  <w:footnote w:id="20">
    <w:p w14:paraId="38240AB6" w14:textId="3EB3F101" w:rsidR="000D006E" w:rsidRPr="00845FBC" w:rsidRDefault="000D006E" w:rsidP="00845FBC">
      <w:pPr>
        <w:pStyle w:val="Funotentext"/>
        <w:contextualSpacing/>
      </w:pPr>
      <w:r w:rsidRPr="00845FBC">
        <w:rPr>
          <w:rStyle w:val="Funotenzeichen"/>
        </w:rPr>
        <w:footnoteRef/>
      </w:r>
      <w:r w:rsidRPr="00845FBC">
        <w:t xml:space="preserve"> Conrad </w:t>
      </w:r>
      <w:proofErr w:type="spellStart"/>
      <w:r w:rsidRPr="00845FBC">
        <w:t>Summenhart</w:t>
      </w:r>
      <w:proofErr w:type="spellEnd"/>
      <w:r w:rsidRPr="00845FBC">
        <w:t xml:space="preserve">, </w:t>
      </w:r>
      <w:r w:rsidRPr="00845FBC">
        <w:rPr>
          <w:i/>
          <w:iCs/>
        </w:rPr>
        <w:t xml:space="preserve">De </w:t>
      </w:r>
      <w:proofErr w:type="spellStart"/>
      <w:r w:rsidRPr="00845FBC">
        <w:rPr>
          <w:i/>
          <w:iCs/>
        </w:rPr>
        <w:t>contractibus</w:t>
      </w:r>
      <w:proofErr w:type="spellEnd"/>
      <w:r w:rsidRPr="00845FBC">
        <w:rPr>
          <w:i/>
          <w:iCs/>
        </w:rPr>
        <w:t xml:space="preserve"> </w:t>
      </w:r>
      <w:proofErr w:type="spellStart"/>
      <w:r w:rsidRPr="00845FBC">
        <w:rPr>
          <w:i/>
          <w:iCs/>
        </w:rPr>
        <w:t>licitis</w:t>
      </w:r>
      <w:proofErr w:type="spellEnd"/>
      <w:r w:rsidRPr="00845FBC">
        <w:rPr>
          <w:i/>
          <w:iCs/>
        </w:rPr>
        <w:t xml:space="preserve"> atque </w:t>
      </w:r>
      <w:proofErr w:type="spellStart"/>
      <w:r w:rsidRPr="00845FBC">
        <w:rPr>
          <w:i/>
          <w:iCs/>
        </w:rPr>
        <w:t>illicitis</w:t>
      </w:r>
      <w:proofErr w:type="spellEnd"/>
      <w:r w:rsidRPr="00845FBC">
        <w:t xml:space="preserve"> (Venice: </w:t>
      </w:r>
      <w:proofErr w:type="spellStart"/>
      <w:r w:rsidRPr="00845FBC">
        <w:t>Zilettus</w:t>
      </w:r>
      <w:proofErr w:type="spellEnd"/>
      <w:r w:rsidRPr="00845FBC">
        <w:t xml:space="preserve">, 1580), 261. All references to </w:t>
      </w:r>
      <w:proofErr w:type="spellStart"/>
      <w:r w:rsidRPr="00845FBC">
        <w:t>Summenhart</w:t>
      </w:r>
      <w:proofErr w:type="spellEnd"/>
      <w:r w:rsidRPr="00845FBC">
        <w:t xml:space="preserve"> are to tract. 3, </w:t>
      </w:r>
      <w:proofErr w:type="spellStart"/>
      <w:r w:rsidRPr="00845FBC">
        <w:t>quaest</w:t>
      </w:r>
      <w:proofErr w:type="spellEnd"/>
      <w:r w:rsidRPr="00845FBC">
        <w:t>. 56.</w:t>
      </w:r>
    </w:p>
  </w:footnote>
  <w:footnote w:id="21">
    <w:p w14:paraId="59BBB3DE" w14:textId="1831803E" w:rsidR="000D006E" w:rsidRPr="00845FBC" w:rsidRDefault="000D006E" w:rsidP="00845FBC">
      <w:pPr>
        <w:pStyle w:val="Endnotentext1"/>
        <w:contextualSpacing/>
      </w:pPr>
      <w:r w:rsidRPr="00845FBC">
        <w:rPr>
          <w:vertAlign w:val="superscript"/>
        </w:rPr>
        <w:footnoteRef/>
      </w:r>
      <w:r w:rsidRPr="00845FBC">
        <w:t xml:space="preserve"> On Henry of G</w:t>
      </w:r>
      <w:r>
        <w:t>h</w:t>
      </w:r>
      <w:r w:rsidRPr="00845FBC">
        <w:t xml:space="preserve">ent, see Odd </w:t>
      </w:r>
      <w:proofErr w:type="spellStart"/>
      <w:r w:rsidRPr="00845FBC">
        <w:t>Langholm</w:t>
      </w:r>
      <w:proofErr w:type="spellEnd"/>
      <w:r w:rsidRPr="00845FBC">
        <w:t xml:space="preserve">, </w:t>
      </w:r>
      <w:r w:rsidRPr="00845FBC">
        <w:rPr>
          <w:i/>
          <w:iCs/>
        </w:rPr>
        <w:t>Economics in the Medieval Schools: Wealth, Exchange, Value, Money and Usury according to the Paris Theological Tradition, 1200–1350</w:t>
      </w:r>
      <w:r w:rsidRPr="00845FBC">
        <w:t xml:space="preserve"> (Leiden: Brill, 1992), chap. 10.</w:t>
      </w:r>
    </w:p>
  </w:footnote>
  <w:footnote w:id="22">
    <w:p w14:paraId="10F03DFE" w14:textId="6A6237AD" w:rsidR="000D006E" w:rsidRPr="00845FBC" w:rsidRDefault="000D006E" w:rsidP="00845FBC">
      <w:pPr>
        <w:pStyle w:val="Endnotentext1"/>
        <w:contextualSpacing/>
      </w:pPr>
      <w:r w:rsidRPr="00845FBC">
        <w:rPr>
          <w:vertAlign w:val="superscript"/>
        </w:rPr>
        <w:footnoteRef/>
      </w:r>
      <w:r w:rsidRPr="00845FBC">
        <w:t xml:space="preserve"> “Si </w:t>
      </w:r>
      <w:proofErr w:type="spellStart"/>
      <w:r w:rsidRPr="00845FBC">
        <w:t>aliquis</w:t>
      </w:r>
      <w:proofErr w:type="spellEnd"/>
      <w:r w:rsidRPr="00845FBC">
        <w:t xml:space="preserve"> in </w:t>
      </w:r>
      <w:proofErr w:type="spellStart"/>
      <w:r w:rsidRPr="00845FBC">
        <w:t>foro</w:t>
      </w:r>
      <w:proofErr w:type="spellEnd"/>
      <w:r w:rsidRPr="00845FBC">
        <w:t xml:space="preserve"> ubi </w:t>
      </w:r>
      <w:proofErr w:type="spellStart"/>
      <w:r w:rsidRPr="00845FBC">
        <w:t>venduntur</w:t>
      </w:r>
      <w:proofErr w:type="spellEnd"/>
      <w:r w:rsidRPr="00845FBC">
        <w:t xml:space="preserve"> </w:t>
      </w:r>
      <w:proofErr w:type="spellStart"/>
      <w:r w:rsidRPr="00845FBC">
        <w:t>equi</w:t>
      </w:r>
      <w:proofErr w:type="spellEnd"/>
      <w:r w:rsidRPr="00845FBC">
        <w:t xml:space="preserve"> </w:t>
      </w:r>
      <w:proofErr w:type="spellStart"/>
      <w:r w:rsidRPr="00845FBC">
        <w:t>expertissimus</w:t>
      </w:r>
      <w:proofErr w:type="spellEnd"/>
      <w:r w:rsidRPr="00845FBC">
        <w:t xml:space="preserve"> sit circa </w:t>
      </w:r>
      <w:proofErr w:type="spellStart"/>
      <w:r w:rsidRPr="00845FBC">
        <w:t>equorum</w:t>
      </w:r>
      <w:proofErr w:type="spellEnd"/>
      <w:r w:rsidRPr="00845FBC">
        <w:t xml:space="preserve"> </w:t>
      </w:r>
      <w:proofErr w:type="spellStart"/>
      <w:r w:rsidRPr="00845FBC">
        <w:t>preciositatem</w:t>
      </w:r>
      <w:proofErr w:type="spellEnd"/>
      <w:r w:rsidRPr="00845FBC">
        <w:t xml:space="preserve">, &amp; </w:t>
      </w:r>
      <w:proofErr w:type="spellStart"/>
      <w:r w:rsidRPr="00845FBC">
        <w:t>scit</w:t>
      </w:r>
      <w:proofErr w:type="spellEnd"/>
      <w:r w:rsidRPr="00845FBC">
        <w:t xml:space="preserve"> </w:t>
      </w:r>
      <w:proofErr w:type="spellStart"/>
      <w:r w:rsidRPr="00845FBC">
        <w:t>ipsos</w:t>
      </w:r>
      <w:proofErr w:type="spellEnd"/>
      <w:r w:rsidRPr="00845FBC">
        <w:t xml:space="preserve"> </w:t>
      </w:r>
      <w:proofErr w:type="spellStart"/>
      <w:r w:rsidRPr="00845FBC">
        <w:t>intercognoscere</w:t>
      </w:r>
      <w:proofErr w:type="spellEnd"/>
      <w:r w:rsidRPr="00845FBC">
        <w:t xml:space="preserve">, </w:t>
      </w:r>
      <w:proofErr w:type="spellStart"/>
      <w:r w:rsidRPr="00845FBC">
        <w:t>ut</w:t>
      </w:r>
      <w:proofErr w:type="spellEnd"/>
      <w:r w:rsidRPr="00845FBC">
        <w:t xml:space="preserve"> in </w:t>
      </w:r>
      <w:proofErr w:type="spellStart"/>
      <w:r w:rsidRPr="00845FBC">
        <w:t>emendis</w:t>
      </w:r>
      <w:proofErr w:type="spellEnd"/>
      <w:r w:rsidRPr="00845FBC">
        <w:t xml:space="preserve"> </w:t>
      </w:r>
      <w:proofErr w:type="spellStart"/>
      <w:r w:rsidRPr="00845FBC">
        <w:t>equis</w:t>
      </w:r>
      <w:proofErr w:type="spellEnd"/>
      <w:r w:rsidRPr="00845FBC">
        <w:t xml:space="preserve"> </w:t>
      </w:r>
      <w:proofErr w:type="spellStart"/>
      <w:r w:rsidRPr="00845FBC">
        <w:t>quilibet</w:t>
      </w:r>
      <w:proofErr w:type="spellEnd"/>
      <w:r w:rsidRPr="00845FBC">
        <w:t xml:space="preserve"> </w:t>
      </w:r>
      <w:proofErr w:type="spellStart"/>
      <w:r w:rsidRPr="00845FBC">
        <w:t>certificari</w:t>
      </w:r>
      <w:proofErr w:type="spellEnd"/>
      <w:r w:rsidRPr="00845FBC">
        <w:t xml:space="preserve"> </w:t>
      </w:r>
      <w:proofErr w:type="spellStart"/>
      <w:r w:rsidRPr="00845FBC">
        <w:t>possit</w:t>
      </w:r>
      <w:proofErr w:type="spellEnd"/>
      <w:r w:rsidRPr="00845FBC">
        <w:t xml:space="preserve"> circa </w:t>
      </w:r>
      <w:proofErr w:type="spellStart"/>
      <w:r w:rsidRPr="00845FBC">
        <w:t>preciositatem</w:t>
      </w:r>
      <w:proofErr w:type="spellEnd"/>
      <w:r w:rsidRPr="00845FBC">
        <w:t xml:space="preserve"> </w:t>
      </w:r>
      <w:proofErr w:type="spellStart"/>
      <w:r w:rsidRPr="00845FBC">
        <w:t>equorum</w:t>
      </w:r>
      <w:proofErr w:type="spellEnd"/>
      <w:r w:rsidRPr="00845FBC">
        <w:t xml:space="preserve">, </w:t>
      </w:r>
      <w:proofErr w:type="spellStart"/>
      <w:r w:rsidRPr="00845FBC">
        <w:t>si</w:t>
      </w:r>
      <w:proofErr w:type="spellEnd"/>
      <w:r w:rsidRPr="00845FBC">
        <w:t xml:space="preserve"> </w:t>
      </w:r>
      <w:proofErr w:type="spellStart"/>
      <w:r w:rsidRPr="00845FBC">
        <w:t>decernat</w:t>
      </w:r>
      <w:proofErr w:type="spellEnd"/>
      <w:r w:rsidRPr="00845FBC">
        <w:t xml:space="preserve"> inter </w:t>
      </w:r>
      <w:proofErr w:type="spellStart"/>
      <w:r w:rsidRPr="00845FBC">
        <w:t>equos</w:t>
      </w:r>
      <w:proofErr w:type="spellEnd"/>
      <w:r w:rsidRPr="00845FBC">
        <w:t xml:space="preserve"> qui secundum </w:t>
      </w:r>
      <w:proofErr w:type="spellStart"/>
      <w:r w:rsidRPr="00845FBC">
        <w:t>communem</w:t>
      </w:r>
      <w:proofErr w:type="spellEnd"/>
      <w:r w:rsidRPr="00845FBC">
        <w:t xml:space="preserve"> </w:t>
      </w:r>
      <w:proofErr w:type="spellStart"/>
      <w:r w:rsidRPr="00845FBC">
        <w:t>cursum</w:t>
      </w:r>
      <w:proofErr w:type="spellEnd"/>
      <w:r w:rsidRPr="00845FBC">
        <w:t xml:space="preserve"> </w:t>
      </w:r>
      <w:proofErr w:type="spellStart"/>
      <w:r w:rsidRPr="00845FBC">
        <w:t>fori</w:t>
      </w:r>
      <w:proofErr w:type="spellEnd"/>
      <w:r w:rsidRPr="00845FBC">
        <w:t xml:space="preserve"> </w:t>
      </w:r>
      <w:proofErr w:type="spellStart"/>
      <w:r w:rsidRPr="00845FBC">
        <w:t>valeant</w:t>
      </w:r>
      <w:proofErr w:type="spellEnd"/>
      <w:r w:rsidRPr="00845FBC">
        <w:t xml:space="preserve"> </w:t>
      </w:r>
      <w:proofErr w:type="spellStart"/>
      <w:r w:rsidRPr="00845FBC">
        <w:t>precium</w:t>
      </w:r>
      <w:proofErr w:type="spellEnd"/>
      <w:r w:rsidRPr="00845FBC">
        <w:t xml:space="preserve"> quo </w:t>
      </w:r>
      <w:proofErr w:type="spellStart"/>
      <w:r w:rsidRPr="00845FBC">
        <w:t>offeruntur</w:t>
      </w:r>
      <w:proofErr w:type="spellEnd"/>
      <w:r w:rsidRPr="00845FBC">
        <w:t xml:space="preserve"> a </w:t>
      </w:r>
      <w:proofErr w:type="spellStart"/>
      <w:r w:rsidRPr="00845FBC">
        <w:t>venditore</w:t>
      </w:r>
      <w:proofErr w:type="spellEnd"/>
      <w:r w:rsidRPr="00845FBC">
        <w:t xml:space="preserve">, </w:t>
      </w:r>
      <w:proofErr w:type="spellStart"/>
      <w:r w:rsidRPr="00845FBC">
        <w:t>aliis</w:t>
      </w:r>
      <w:proofErr w:type="spellEnd"/>
      <w:r w:rsidRPr="00845FBC">
        <w:t xml:space="preserve"> hoc </w:t>
      </w:r>
      <w:proofErr w:type="spellStart"/>
      <w:r w:rsidRPr="00845FBC">
        <w:t>ignorantibus</w:t>
      </w:r>
      <w:proofErr w:type="spellEnd"/>
      <w:r w:rsidRPr="00845FBC">
        <w:t xml:space="preserve">, </w:t>
      </w:r>
      <w:proofErr w:type="spellStart"/>
      <w:r w:rsidRPr="00845FBC">
        <w:t>quia</w:t>
      </w:r>
      <w:proofErr w:type="spellEnd"/>
      <w:r w:rsidRPr="00845FBC">
        <w:t xml:space="preserve"> circa </w:t>
      </w:r>
      <w:proofErr w:type="spellStart"/>
      <w:r w:rsidRPr="00845FBC">
        <w:t>equorum</w:t>
      </w:r>
      <w:proofErr w:type="spellEnd"/>
      <w:r w:rsidRPr="00845FBC">
        <w:t xml:space="preserve"> valorem minus </w:t>
      </w:r>
      <w:proofErr w:type="spellStart"/>
      <w:r w:rsidRPr="00845FBC">
        <w:t>experti</w:t>
      </w:r>
      <w:proofErr w:type="spellEnd"/>
      <w:r w:rsidRPr="00845FBC">
        <w:t xml:space="preserve"> sunt; . . . alii </w:t>
      </w:r>
      <w:proofErr w:type="spellStart"/>
      <w:r w:rsidRPr="00845FBC">
        <w:t>cognoscentes</w:t>
      </w:r>
      <w:proofErr w:type="spellEnd"/>
      <w:r w:rsidRPr="00845FBC">
        <w:t xml:space="preserve"> </w:t>
      </w:r>
      <w:proofErr w:type="spellStart"/>
      <w:r w:rsidRPr="00845FBC">
        <w:t>eius</w:t>
      </w:r>
      <w:proofErr w:type="spellEnd"/>
      <w:r w:rsidRPr="00845FBC">
        <w:t xml:space="preserve"> </w:t>
      </w:r>
      <w:proofErr w:type="spellStart"/>
      <w:r w:rsidRPr="00845FBC">
        <w:t>industriam</w:t>
      </w:r>
      <w:proofErr w:type="spellEnd"/>
      <w:r w:rsidRPr="00845FBC">
        <w:t xml:space="preserve"> circa </w:t>
      </w:r>
      <w:proofErr w:type="spellStart"/>
      <w:r w:rsidRPr="00845FBC">
        <w:t>equos</w:t>
      </w:r>
      <w:proofErr w:type="spellEnd"/>
      <w:r w:rsidRPr="00845FBC">
        <w:t xml:space="preserve"> </w:t>
      </w:r>
      <w:proofErr w:type="spellStart"/>
      <w:r w:rsidRPr="00845FBC">
        <w:t>statim</w:t>
      </w:r>
      <w:proofErr w:type="spellEnd"/>
      <w:r w:rsidRPr="00845FBC">
        <w:t xml:space="preserve"> </w:t>
      </w:r>
      <w:proofErr w:type="spellStart"/>
      <w:r w:rsidRPr="00845FBC">
        <w:t>certificari</w:t>
      </w:r>
      <w:proofErr w:type="spellEnd"/>
      <w:r w:rsidRPr="00845FBC">
        <w:t xml:space="preserve"> per </w:t>
      </w:r>
      <w:proofErr w:type="spellStart"/>
      <w:r w:rsidRPr="00845FBC">
        <w:t>eum</w:t>
      </w:r>
      <w:proofErr w:type="spellEnd"/>
      <w:r w:rsidRPr="00845FBC">
        <w:t xml:space="preserve"> &amp; </w:t>
      </w:r>
      <w:proofErr w:type="spellStart"/>
      <w:r w:rsidRPr="00845FBC">
        <w:t>eius</w:t>
      </w:r>
      <w:proofErr w:type="spellEnd"/>
      <w:r w:rsidRPr="00845FBC">
        <w:t xml:space="preserve"> </w:t>
      </w:r>
      <w:proofErr w:type="spellStart"/>
      <w:r w:rsidRPr="00845FBC">
        <w:t>industriam</w:t>
      </w:r>
      <w:proofErr w:type="spellEnd"/>
      <w:r w:rsidRPr="00845FBC">
        <w:t xml:space="preserve"> </w:t>
      </w:r>
      <w:proofErr w:type="spellStart"/>
      <w:r w:rsidRPr="00845FBC">
        <w:t>sciunt</w:t>
      </w:r>
      <w:proofErr w:type="spellEnd"/>
      <w:r w:rsidRPr="00845FBC">
        <w:t xml:space="preserve"> </w:t>
      </w:r>
      <w:proofErr w:type="spellStart"/>
      <w:r w:rsidRPr="00845FBC">
        <w:t>quod</w:t>
      </w:r>
      <w:proofErr w:type="spellEnd"/>
      <w:r w:rsidRPr="00845FBC">
        <w:t xml:space="preserve"> </w:t>
      </w:r>
      <w:proofErr w:type="spellStart"/>
      <w:r w:rsidRPr="00845FBC">
        <w:t>equi</w:t>
      </w:r>
      <w:proofErr w:type="spellEnd"/>
      <w:r w:rsidRPr="00845FBC">
        <w:t xml:space="preserve"> </w:t>
      </w:r>
      <w:proofErr w:type="spellStart"/>
      <w:r w:rsidRPr="00845FBC">
        <w:t>illi</w:t>
      </w:r>
      <w:proofErr w:type="spellEnd"/>
      <w:r w:rsidRPr="00845FBC">
        <w:t xml:space="preserve"> valent </w:t>
      </w:r>
      <w:proofErr w:type="spellStart"/>
      <w:r w:rsidRPr="00845FBC">
        <w:t>precium</w:t>
      </w:r>
      <w:proofErr w:type="spellEnd"/>
      <w:r w:rsidRPr="00845FBC">
        <w:t xml:space="preserve"> </w:t>
      </w:r>
      <w:proofErr w:type="spellStart"/>
      <w:r w:rsidRPr="00845FBC">
        <w:t>suum</w:t>
      </w:r>
      <w:proofErr w:type="spellEnd"/>
      <w:r w:rsidRPr="00845FBC">
        <w:t xml:space="preserve">, &amp; ex hoc per opus </w:t>
      </w:r>
      <w:proofErr w:type="spellStart"/>
      <w:r w:rsidRPr="00845FBC">
        <w:t>industriae</w:t>
      </w:r>
      <w:proofErr w:type="spellEnd"/>
      <w:r w:rsidRPr="00845FBC">
        <w:t xml:space="preserve"> </w:t>
      </w:r>
      <w:proofErr w:type="spellStart"/>
      <w:r w:rsidRPr="00845FBC">
        <w:t>eius</w:t>
      </w:r>
      <w:proofErr w:type="spellEnd"/>
      <w:r w:rsidRPr="00845FBC">
        <w:t xml:space="preserve"> circa </w:t>
      </w:r>
      <w:proofErr w:type="spellStart"/>
      <w:r w:rsidRPr="00845FBC">
        <w:t>equos</w:t>
      </w:r>
      <w:proofErr w:type="spellEnd"/>
      <w:r w:rsidRPr="00845FBC">
        <w:t xml:space="preserve"> </w:t>
      </w:r>
      <w:proofErr w:type="spellStart"/>
      <w:r w:rsidRPr="00845FBC">
        <w:t>statim</w:t>
      </w:r>
      <w:proofErr w:type="spellEnd"/>
      <w:r w:rsidRPr="00845FBC">
        <w:t xml:space="preserve"> </w:t>
      </w:r>
      <w:proofErr w:type="spellStart"/>
      <w:r w:rsidRPr="00845FBC">
        <w:t>facti</w:t>
      </w:r>
      <w:proofErr w:type="spellEnd"/>
      <w:r w:rsidRPr="00845FBC">
        <w:t xml:space="preserve"> sunt </w:t>
      </w:r>
      <w:proofErr w:type="spellStart"/>
      <w:r w:rsidRPr="00845FBC">
        <w:t>preciores</w:t>
      </w:r>
      <w:proofErr w:type="spellEnd"/>
      <w:r w:rsidRPr="00845FBC">
        <w:t xml:space="preserve">, </w:t>
      </w:r>
      <w:proofErr w:type="spellStart"/>
      <w:r w:rsidRPr="00845FBC">
        <w:t>ut</w:t>
      </w:r>
      <w:proofErr w:type="spellEnd"/>
      <w:r w:rsidRPr="00845FBC">
        <w:t xml:space="preserve"> </w:t>
      </w:r>
      <w:proofErr w:type="spellStart"/>
      <w:r w:rsidRPr="00845FBC">
        <w:t>illis</w:t>
      </w:r>
      <w:proofErr w:type="spellEnd"/>
      <w:r w:rsidRPr="00845FBC">
        <w:t xml:space="preserve"> </w:t>
      </w:r>
      <w:proofErr w:type="spellStart"/>
      <w:r w:rsidRPr="00845FBC">
        <w:t>magis</w:t>
      </w:r>
      <w:proofErr w:type="spellEnd"/>
      <w:r w:rsidRPr="00845FBC">
        <w:t xml:space="preserve"> </w:t>
      </w:r>
      <w:proofErr w:type="spellStart"/>
      <w:r w:rsidRPr="00845FBC">
        <w:t>valeant</w:t>
      </w:r>
      <w:proofErr w:type="spellEnd"/>
      <w:r w:rsidRPr="00845FBC">
        <w:t xml:space="preserve"> proper </w:t>
      </w:r>
      <w:proofErr w:type="spellStart"/>
      <w:r w:rsidRPr="00845FBC">
        <w:t>securitatem</w:t>
      </w:r>
      <w:proofErr w:type="spellEnd"/>
      <w:r w:rsidRPr="00845FBC">
        <w:t xml:space="preserve"> </w:t>
      </w:r>
      <w:proofErr w:type="spellStart"/>
      <w:r w:rsidRPr="00845FBC">
        <w:t>valoris</w:t>
      </w:r>
      <w:proofErr w:type="spellEnd"/>
      <w:r w:rsidRPr="00845FBC">
        <w:t xml:space="preserve"> </w:t>
      </w:r>
      <w:proofErr w:type="spellStart"/>
      <w:r w:rsidRPr="00845FBC">
        <w:t>iusti</w:t>
      </w:r>
      <w:proofErr w:type="spellEnd"/>
      <w:r w:rsidRPr="00845FBC">
        <w:t xml:space="preserve"> </w:t>
      </w:r>
      <w:proofErr w:type="spellStart"/>
      <w:r w:rsidRPr="00845FBC">
        <w:t>quam</w:t>
      </w:r>
      <w:proofErr w:type="spellEnd"/>
      <w:r w:rsidRPr="00845FBC">
        <w:t xml:space="preserve"> </w:t>
      </w:r>
      <w:proofErr w:type="spellStart"/>
      <w:r w:rsidRPr="00845FBC">
        <w:t>prius</w:t>
      </w:r>
      <w:proofErr w:type="spellEnd"/>
      <w:r w:rsidRPr="00845FBC">
        <w:t>,” Henry of G</w:t>
      </w:r>
      <w:r>
        <w:t>h</w:t>
      </w:r>
      <w:r w:rsidRPr="00845FBC">
        <w:t xml:space="preserve">ent, </w:t>
      </w:r>
      <w:r w:rsidRPr="00845FBC">
        <w:rPr>
          <w:i/>
          <w:iCs/>
        </w:rPr>
        <w:t xml:space="preserve">Aurea </w:t>
      </w:r>
      <w:proofErr w:type="spellStart"/>
      <w:r w:rsidRPr="00845FBC">
        <w:rPr>
          <w:i/>
          <w:iCs/>
        </w:rPr>
        <w:t>Quodlibeta</w:t>
      </w:r>
      <w:proofErr w:type="spellEnd"/>
      <w:r w:rsidRPr="00845FBC">
        <w:t xml:space="preserve"> (Venice: de </w:t>
      </w:r>
      <w:proofErr w:type="spellStart"/>
      <w:r w:rsidRPr="00845FBC">
        <w:t>Franciscis</w:t>
      </w:r>
      <w:proofErr w:type="spellEnd"/>
      <w:r w:rsidRPr="00845FBC">
        <w:t>, 1613), 1:fol. 43v (</w:t>
      </w:r>
      <w:proofErr w:type="spellStart"/>
      <w:r w:rsidRPr="00845FBC">
        <w:rPr>
          <w:bdr w:val="none" w:sz="0" w:space="0" w:color="auto"/>
          <w:lang w:eastAsia="de-DE"/>
        </w:rPr>
        <w:t>quodl</w:t>
      </w:r>
      <w:proofErr w:type="spellEnd"/>
      <w:r w:rsidRPr="00845FBC">
        <w:rPr>
          <w:bdr w:val="none" w:sz="0" w:space="0" w:color="auto"/>
          <w:lang w:eastAsia="de-DE"/>
        </w:rPr>
        <w:t xml:space="preserve">. 1, </w:t>
      </w:r>
      <w:proofErr w:type="spellStart"/>
      <w:r w:rsidRPr="00845FBC">
        <w:rPr>
          <w:bdr w:val="none" w:sz="0" w:space="0" w:color="auto"/>
          <w:lang w:eastAsia="de-DE"/>
        </w:rPr>
        <w:t>quaest</w:t>
      </w:r>
      <w:proofErr w:type="spellEnd"/>
      <w:r w:rsidRPr="00845FBC">
        <w:rPr>
          <w:bdr w:val="none" w:sz="0" w:space="0" w:color="auto"/>
          <w:lang w:eastAsia="de-DE"/>
        </w:rPr>
        <w:t>. 40).</w:t>
      </w:r>
    </w:p>
  </w:footnote>
  <w:footnote w:id="23">
    <w:p w14:paraId="6B86F3CA" w14:textId="2D0199B4" w:rsidR="000D006E" w:rsidRPr="00845FBC" w:rsidRDefault="000D006E" w:rsidP="00845FBC">
      <w:pPr>
        <w:pStyle w:val="Endnotentext1"/>
        <w:contextualSpacing/>
      </w:pPr>
      <w:r w:rsidRPr="00845FBC">
        <w:rPr>
          <w:vertAlign w:val="superscript"/>
        </w:rPr>
        <w:footnoteRef/>
      </w:r>
      <w:r w:rsidRPr="00845FBC">
        <w:t xml:space="preserve"> G</w:t>
      </w:r>
      <w:r>
        <w:t>h</w:t>
      </w:r>
      <w:r w:rsidRPr="00845FBC">
        <w:t xml:space="preserve">ent, </w:t>
      </w:r>
      <w:r w:rsidRPr="00845FBC">
        <w:rPr>
          <w:i/>
          <w:iCs/>
        </w:rPr>
        <w:t xml:space="preserve">Aurea, </w:t>
      </w:r>
      <w:r w:rsidRPr="00845FBC">
        <w:rPr>
          <w:iCs/>
        </w:rPr>
        <w:t>1:fol. 43</w:t>
      </w:r>
      <w:proofErr w:type="gramStart"/>
      <w:r w:rsidRPr="00845FBC">
        <w:rPr>
          <w:iCs/>
        </w:rPr>
        <w:t>v.</w:t>
      </w:r>
      <w:r w:rsidRPr="00845FBC">
        <w:t>.</w:t>
      </w:r>
      <w:proofErr w:type="gramEnd"/>
    </w:p>
  </w:footnote>
  <w:footnote w:id="24">
    <w:p w14:paraId="33438744" w14:textId="6F614618" w:rsidR="000D006E" w:rsidRPr="00845FBC" w:rsidRDefault="000D006E" w:rsidP="00845FBC">
      <w:pPr>
        <w:pStyle w:val="Funotentext"/>
        <w:contextualSpacing/>
      </w:pPr>
      <w:r w:rsidRPr="00845FBC">
        <w:rPr>
          <w:rStyle w:val="Funotenzeichen"/>
        </w:rPr>
        <w:footnoteRef/>
      </w:r>
      <w:r w:rsidRPr="00845FBC">
        <w:t xml:space="preserve"> </w:t>
      </w:r>
      <w:proofErr w:type="spellStart"/>
      <w:r w:rsidRPr="00845FBC">
        <w:t>Summenhart</w:t>
      </w:r>
      <w:proofErr w:type="spellEnd"/>
      <w:r w:rsidRPr="00845FBC">
        <w:t xml:space="preserve">, </w:t>
      </w:r>
      <w:r w:rsidRPr="00845FBC">
        <w:rPr>
          <w:i/>
          <w:iCs/>
        </w:rPr>
        <w:t xml:space="preserve">De </w:t>
      </w:r>
      <w:proofErr w:type="spellStart"/>
      <w:r w:rsidRPr="00845FBC">
        <w:rPr>
          <w:i/>
          <w:iCs/>
        </w:rPr>
        <w:t>contractibus</w:t>
      </w:r>
      <w:proofErr w:type="spellEnd"/>
      <w:r w:rsidRPr="00845FBC">
        <w:t>, 261.</w:t>
      </w:r>
    </w:p>
  </w:footnote>
  <w:footnote w:id="25">
    <w:p w14:paraId="40A91159" w14:textId="4F1EA56C" w:rsidR="000D006E" w:rsidRPr="00845FBC" w:rsidRDefault="000D006E" w:rsidP="00845FBC">
      <w:pPr>
        <w:pStyle w:val="Funotentext"/>
        <w:contextualSpacing/>
        <w:rPr>
          <w:lang w:val="fr-FR"/>
        </w:rPr>
      </w:pPr>
      <w:r w:rsidRPr="00845FBC">
        <w:rPr>
          <w:rStyle w:val="Funotenzeichen"/>
        </w:rPr>
        <w:footnoteRef/>
      </w:r>
      <w:r w:rsidRPr="00845FBC">
        <w:rPr>
          <w:lang w:val="fr-FR"/>
        </w:rPr>
        <w:t xml:space="preserve"> </w:t>
      </w:r>
      <w:proofErr w:type="spellStart"/>
      <w:r w:rsidRPr="00845FBC">
        <w:rPr>
          <w:lang w:val="fr-FR"/>
        </w:rPr>
        <w:t>Summenhart</w:t>
      </w:r>
      <w:proofErr w:type="spellEnd"/>
      <w:r w:rsidRPr="00845FBC">
        <w:rPr>
          <w:lang w:val="fr-FR"/>
        </w:rPr>
        <w:t xml:space="preserve">, </w:t>
      </w:r>
      <w:r w:rsidRPr="00845FBC">
        <w:rPr>
          <w:i/>
          <w:iCs/>
          <w:lang w:val="fr-FR"/>
        </w:rPr>
        <w:t xml:space="preserve">De </w:t>
      </w:r>
      <w:proofErr w:type="spellStart"/>
      <w:r w:rsidRPr="00845FBC">
        <w:rPr>
          <w:i/>
          <w:iCs/>
          <w:lang w:val="fr-FR"/>
        </w:rPr>
        <w:t>contractibus</w:t>
      </w:r>
      <w:proofErr w:type="spellEnd"/>
      <w:r w:rsidRPr="00845FBC">
        <w:rPr>
          <w:lang w:val="fr-FR"/>
        </w:rPr>
        <w:t>, 261.</w:t>
      </w:r>
    </w:p>
  </w:footnote>
  <w:footnote w:id="26">
    <w:p w14:paraId="310B4E69" w14:textId="5255FBE7" w:rsidR="000D006E" w:rsidRPr="00845FBC" w:rsidRDefault="000D006E" w:rsidP="00845FBC">
      <w:pPr>
        <w:pStyle w:val="Funotentext"/>
        <w:contextualSpacing/>
        <w:rPr>
          <w:lang w:val="fr-FR"/>
        </w:rPr>
      </w:pPr>
      <w:r w:rsidRPr="00845FBC">
        <w:rPr>
          <w:rStyle w:val="Funotenzeichen"/>
        </w:rPr>
        <w:footnoteRef/>
      </w:r>
      <w:r w:rsidRPr="00845FBC">
        <w:rPr>
          <w:lang w:val="fr-FR"/>
        </w:rPr>
        <w:t xml:space="preserve"> </w:t>
      </w:r>
      <w:proofErr w:type="spellStart"/>
      <w:r w:rsidRPr="00845FBC">
        <w:rPr>
          <w:lang w:val="fr-FR"/>
        </w:rPr>
        <w:t>Summenhart</w:t>
      </w:r>
      <w:proofErr w:type="spellEnd"/>
      <w:r w:rsidRPr="00845FBC">
        <w:rPr>
          <w:lang w:val="fr-FR"/>
        </w:rPr>
        <w:t xml:space="preserve">, </w:t>
      </w:r>
      <w:r w:rsidRPr="00845FBC">
        <w:rPr>
          <w:i/>
          <w:iCs/>
          <w:lang w:val="fr-FR"/>
        </w:rPr>
        <w:t xml:space="preserve">De </w:t>
      </w:r>
      <w:proofErr w:type="spellStart"/>
      <w:r w:rsidRPr="00845FBC">
        <w:rPr>
          <w:i/>
          <w:iCs/>
          <w:lang w:val="fr-FR"/>
        </w:rPr>
        <w:t>contractibus</w:t>
      </w:r>
      <w:proofErr w:type="spellEnd"/>
      <w:r w:rsidRPr="00845FBC">
        <w:rPr>
          <w:lang w:val="fr-FR"/>
        </w:rPr>
        <w:t>, 261.</w:t>
      </w:r>
    </w:p>
  </w:footnote>
  <w:footnote w:id="27">
    <w:p w14:paraId="19CBEC23" w14:textId="7209E3B3" w:rsidR="000D006E" w:rsidRPr="00845FBC" w:rsidRDefault="000D006E" w:rsidP="00845FBC">
      <w:pPr>
        <w:pStyle w:val="Endnotentext1"/>
        <w:contextualSpacing/>
      </w:pPr>
      <w:r w:rsidRPr="00845FBC">
        <w:rPr>
          <w:vertAlign w:val="superscript"/>
        </w:rPr>
        <w:footnoteRef/>
      </w:r>
      <w:r w:rsidRPr="00845FBC">
        <w:t xml:space="preserve"> </w:t>
      </w:r>
      <w:proofErr w:type="spellStart"/>
      <w:r w:rsidRPr="00845FBC">
        <w:t>Summenhart</w:t>
      </w:r>
      <w:proofErr w:type="spellEnd"/>
      <w:r w:rsidRPr="00845FBC">
        <w:t xml:space="preserve">, </w:t>
      </w:r>
      <w:r w:rsidRPr="00845FBC">
        <w:rPr>
          <w:i/>
          <w:iCs/>
        </w:rPr>
        <w:t xml:space="preserve">De </w:t>
      </w:r>
      <w:proofErr w:type="spellStart"/>
      <w:r w:rsidRPr="00845FBC">
        <w:rPr>
          <w:i/>
          <w:iCs/>
        </w:rPr>
        <w:t>contractibus</w:t>
      </w:r>
      <w:proofErr w:type="spellEnd"/>
      <w:r w:rsidRPr="00845FBC">
        <w:t>, 261.</w:t>
      </w:r>
    </w:p>
  </w:footnote>
  <w:footnote w:id="28">
    <w:p w14:paraId="3F2EB3F6" w14:textId="54FED2D8" w:rsidR="000D006E" w:rsidRPr="00845FBC" w:rsidRDefault="000D006E" w:rsidP="00845FBC">
      <w:pPr>
        <w:pStyle w:val="Endnotentext1"/>
        <w:contextualSpacing/>
      </w:pPr>
      <w:r w:rsidRPr="00845FBC">
        <w:rPr>
          <w:vertAlign w:val="superscript"/>
        </w:rPr>
        <w:footnoteRef/>
      </w:r>
      <w:r w:rsidRPr="00845FBC">
        <w:t xml:space="preserve"> Luis </w:t>
      </w:r>
      <w:proofErr w:type="spellStart"/>
      <w:r w:rsidRPr="00845FBC">
        <w:t>Mexía</w:t>
      </w:r>
      <w:proofErr w:type="spellEnd"/>
      <w:r w:rsidRPr="00845FBC">
        <w:t xml:space="preserve">, </w:t>
      </w:r>
      <w:proofErr w:type="spellStart"/>
      <w:r w:rsidRPr="00845FBC">
        <w:rPr>
          <w:i/>
        </w:rPr>
        <w:t>Laconismus</w:t>
      </w:r>
      <w:proofErr w:type="spellEnd"/>
      <w:r w:rsidRPr="00845FBC">
        <w:rPr>
          <w:i/>
        </w:rPr>
        <w:t xml:space="preserve">, seu </w:t>
      </w:r>
      <w:proofErr w:type="spellStart"/>
      <w:r w:rsidRPr="00845FBC">
        <w:rPr>
          <w:i/>
        </w:rPr>
        <w:t>chilonium</w:t>
      </w:r>
      <w:proofErr w:type="spellEnd"/>
      <w:r w:rsidRPr="00845FBC">
        <w:rPr>
          <w:i/>
        </w:rPr>
        <w:t xml:space="preserve"> pro </w:t>
      </w:r>
      <w:proofErr w:type="spellStart"/>
      <w:r w:rsidRPr="00845FBC">
        <w:rPr>
          <w:i/>
        </w:rPr>
        <w:t>pragmaticae</w:t>
      </w:r>
      <w:proofErr w:type="spellEnd"/>
      <w:r w:rsidRPr="00845FBC">
        <w:rPr>
          <w:i/>
        </w:rPr>
        <w:t xml:space="preserve"> qua </w:t>
      </w:r>
      <w:proofErr w:type="spellStart"/>
      <w:r w:rsidRPr="00845FBC">
        <w:rPr>
          <w:i/>
        </w:rPr>
        <w:t>panis</w:t>
      </w:r>
      <w:proofErr w:type="spellEnd"/>
      <w:r w:rsidRPr="00845FBC">
        <w:rPr>
          <w:i/>
        </w:rPr>
        <w:t xml:space="preserve"> </w:t>
      </w:r>
      <w:proofErr w:type="spellStart"/>
      <w:r w:rsidRPr="00845FBC">
        <w:rPr>
          <w:i/>
        </w:rPr>
        <w:t>precium</w:t>
      </w:r>
      <w:proofErr w:type="spellEnd"/>
      <w:r w:rsidRPr="00845FBC">
        <w:rPr>
          <w:i/>
        </w:rPr>
        <w:t xml:space="preserve"> </w:t>
      </w:r>
      <w:proofErr w:type="spellStart"/>
      <w:r w:rsidRPr="00845FBC">
        <w:rPr>
          <w:i/>
        </w:rPr>
        <w:t>taxatur</w:t>
      </w:r>
      <w:proofErr w:type="spellEnd"/>
      <w:r w:rsidRPr="00845FBC">
        <w:rPr>
          <w:i/>
        </w:rPr>
        <w:t xml:space="preserve"> in </w:t>
      </w:r>
      <w:proofErr w:type="spellStart"/>
      <w:r w:rsidRPr="00845FBC">
        <w:rPr>
          <w:i/>
        </w:rPr>
        <w:t>interiori</w:t>
      </w:r>
      <w:proofErr w:type="spellEnd"/>
      <w:r w:rsidRPr="00845FBC">
        <w:rPr>
          <w:i/>
        </w:rPr>
        <w:t xml:space="preserve"> </w:t>
      </w:r>
      <w:proofErr w:type="spellStart"/>
      <w:r w:rsidRPr="00845FBC">
        <w:rPr>
          <w:i/>
        </w:rPr>
        <w:t>foro</w:t>
      </w:r>
      <w:proofErr w:type="spellEnd"/>
      <w:r w:rsidRPr="00845FBC">
        <w:rPr>
          <w:i/>
        </w:rPr>
        <w:t xml:space="preserve"> hominis </w:t>
      </w:r>
      <w:proofErr w:type="spellStart"/>
      <w:r w:rsidRPr="00845FBC">
        <w:rPr>
          <w:i/>
        </w:rPr>
        <w:t>elucidatione</w:t>
      </w:r>
      <w:proofErr w:type="spellEnd"/>
      <w:r w:rsidRPr="00845FBC">
        <w:t xml:space="preserve"> (</w:t>
      </w:r>
      <w:proofErr w:type="spellStart"/>
      <w:r w:rsidRPr="00845FBC">
        <w:t>Hispali</w:t>
      </w:r>
      <w:proofErr w:type="spellEnd"/>
      <w:r w:rsidRPr="00845FBC">
        <w:t xml:space="preserve">: </w:t>
      </w:r>
      <w:proofErr w:type="spellStart"/>
      <w:r w:rsidRPr="00845FBC">
        <w:t>Gotherrius</w:t>
      </w:r>
      <w:proofErr w:type="spellEnd"/>
      <w:r w:rsidRPr="00845FBC">
        <w:t>, 1569), fol. 55v–56r (</w:t>
      </w:r>
      <w:proofErr w:type="spellStart"/>
      <w:r w:rsidRPr="00845FBC">
        <w:t>concl</w:t>
      </w:r>
      <w:proofErr w:type="spellEnd"/>
      <w:r w:rsidRPr="00845FBC">
        <w:t>. 2, nu. 91–92).</w:t>
      </w:r>
    </w:p>
  </w:footnote>
  <w:footnote w:id="29">
    <w:p w14:paraId="7DBAB583" w14:textId="3027A72A" w:rsidR="000D006E" w:rsidRPr="00845FBC" w:rsidRDefault="000D006E" w:rsidP="00845FBC">
      <w:pPr>
        <w:pStyle w:val="Funotentext"/>
        <w:contextualSpacing/>
      </w:pPr>
      <w:r w:rsidRPr="00845FBC">
        <w:rPr>
          <w:rStyle w:val="Funotenzeichen"/>
        </w:rPr>
        <w:footnoteRef/>
      </w:r>
      <w:r w:rsidRPr="00845FBC">
        <w:t xml:space="preserve"> Medina, </w:t>
      </w:r>
      <w:r w:rsidRPr="00845FBC">
        <w:rPr>
          <w:i/>
        </w:rPr>
        <w:t xml:space="preserve">De </w:t>
      </w:r>
      <w:proofErr w:type="spellStart"/>
      <w:r w:rsidRPr="00845FBC">
        <w:rPr>
          <w:i/>
        </w:rPr>
        <w:t>restitutione</w:t>
      </w:r>
      <w:proofErr w:type="spellEnd"/>
      <w:r w:rsidRPr="00845FBC">
        <w:t>, 200 (</w:t>
      </w:r>
      <w:proofErr w:type="spellStart"/>
      <w:r w:rsidRPr="00845FBC">
        <w:t>quaest</w:t>
      </w:r>
      <w:proofErr w:type="spellEnd"/>
      <w:r w:rsidRPr="00845FBC">
        <w:t>. 31).</w:t>
      </w:r>
    </w:p>
  </w:footnote>
  <w:footnote w:id="30">
    <w:p w14:paraId="7ED257ED" w14:textId="17865890" w:rsidR="000D006E" w:rsidRPr="00845FBC" w:rsidRDefault="000D006E" w:rsidP="00845FBC">
      <w:pPr>
        <w:pStyle w:val="Funotentext"/>
        <w:contextualSpacing/>
      </w:pPr>
      <w:r w:rsidRPr="00845FBC">
        <w:rPr>
          <w:rStyle w:val="Funotenzeichen"/>
        </w:rPr>
        <w:footnoteRef/>
      </w:r>
      <w:r w:rsidRPr="00845FBC">
        <w:t xml:space="preserve"> </w:t>
      </w:r>
      <w:proofErr w:type="spellStart"/>
      <w:r w:rsidRPr="00845FBC">
        <w:t>Mexía</w:t>
      </w:r>
      <w:proofErr w:type="spellEnd"/>
      <w:r w:rsidRPr="00845FBC">
        <w:t xml:space="preserve">, </w:t>
      </w:r>
      <w:proofErr w:type="spellStart"/>
      <w:r w:rsidRPr="00845FBC">
        <w:rPr>
          <w:i/>
        </w:rPr>
        <w:t>Laconismus</w:t>
      </w:r>
      <w:proofErr w:type="spellEnd"/>
      <w:r w:rsidRPr="00845FBC">
        <w:t>, fol. 45r (</w:t>
      </w:r>
      <w:proofErr w:type="spellStart"/>
      <w:r w:rsidRPr="00845FBC">
        <w:t>concl</w:t>
      </w:r>
      <w:proofErr w:type="spellEnd"/>
      <w:r w:rsidRPr="00845FBC">
        <w:t>. 2, nu. 27).</w:t>
      </w:r>
    </w:p>
  </w:footnote>
  <w:footnote w:id="31">
    <w:p w14:paraId="66840A51" w14:textId="26B58C8B" w:rsidR="000D006E" w:rsidRPr="00845FBC" w:rsidRDefault="000D006E" w:rsidP="00845FBC">
      <w:pPr>
        <w:pStyle w:val="Funotentext"/>
        <w:contextualSpacing/>
      </w:pPr>
      <w:r w:rsidRPr="00845FBC">
        <w:rPr>
          <w:rStyle w:val="Funotenzeichen"/>
        </w:rPr>
        <w:footnoteRef/>
      </w:r>
      <w:r w:rsidRPr="00845FBC">
        <w:t xml:space="preserve"> </w:t>
      </w:r>
      <w:proofErr w:type="spellStart"/>
      <w:r w:rsidRPr="00845FBC">
        <w:t>Mexía</w:t>
      </w:r>
      <w:proofErr w:type="spellEnd"/>
      <w:r w:rsidRPr="00845FBC">
        <w:t xml:space="preserve">, </w:t>
      </w:r>
      <w:proofErr w:type="spellStart"/>
      <w:r w:rsidRPr="00845FBC">
        <w:rPr>
          <w:i/>
        </w:rPr>
        <w:t>Laconismus</w:t>
      </w:r>
      <w:proofErr w:type="spellEnd"/>
      <w:r w:rsidRPr="00845FBC">
        <w:t>, fol. 45r.</w:t>
      </w:r>
    </w:p>
  </w:footnote>
  <w:footnote w:id="32">
    <w:p w14:paraId="728CC2EE" w14:textId="68F36FD8" w:rsidR="000D006E" w:rsidRPr="00845FBC" w:rsidRDefault="000D006E" w:rsidP="00845FBC">
      <w:pPr>
        <w:pStyle w:val="Funotentext"/>
        <w:contextualSpacing/>
      </w:pPr>
      <w:r w:rsidRPr="00845FBC">
        <w:rPr>
          <w:rStyle w:val="Funotenzeichen"/>
        </w:rPr>
        <w:footnoteRef/>
      </w:r>
      <w:r w:rsidRPr="00845FBC">
        <w:t xml:space="preserve"> </w:t>
      </w:r>
      <w:proofErr w:type="spellStart"/>
      <w:r w:rsidRPr="00845FBC">
        <w:t>Mexía</w:t>
      </w:r>
      <w:proofErr w:type="spellEnd"/>
      <w:r w:rsidRPr="00845FBC">
        <w:t xml:space="preserve">, </w:t>
      </w:r>
      <w:proofErr w:type="spellStart"/>
      <w:r w:rsidRPr="00845FBC">
        <w:rPr>
          <w:i/>
        </w:rPr>
        <w:t>Laconismus</w:t>
      </w:r>
      <w:proofErr w:type="spellEnd"/>
      <w:r w:rsidRPr="00845FBC">
        <w:t>, fol. 44v (</w:t>
      </w:r>
      <w:proofErr w:type="spellStart"/>
      <w:r w:rsidRPr="00845FBC">
        <w:t>concl</w:t>
      </w:r>
      <w:proofErr w:type="spellEnd"/>
      <w:r w:rsidRPr="00845FBC">
        <w:t>. 2, nu. 26).</w:t>
      </w:r>
    </w:p>
  </w:footnote>
  <w:footnote w:id="33">
    <w:p w14:paraId="1D1F07D1" w14:textId="77777777"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Soria, </w:t>
      </w:r>
      <w:proofErr w:type="spellStart"/>
      <w:r w:rsidRPr="00845FBC">
        <w:rPr>
          <w:i/>
          <w:lang w:val="it-IT"/>
        </w:rPr>
        <w:t>Tratado</w:t>
      </w:r>
      <w:proofErr w:type="spellEnd"/>
      <w:r w:rsidRPr="00845FBC">
        <w:rPr>
          <w:lang w:val="it-IT"/>
        </w:rPr>
        <w:t>, 34.</w:t>
      </w:r>
    </w:p>
  </w:footnote>
  <w:footnote w:id="34">
    <w:p w14:paraId="4A7BB15F" w14:textId="45360946"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Soria, </w:t>
      </w:r>
      <w:proofErr w:type="spellStart"/>
      <w:r w:rsidRPr="00845FBC">
        <w:rPr>
          <w:i/>
          <w:lang w:val="it-IT"/>
        </w:rPr>
        <w:t>Tratado</w:t>
      </w:r>
      <w:proofErr w:type="spellEnd"/>
      <w:r w:rsidRPr="00845FBC">
        <w:rPr>
          <w:lang w:val="it-IT"/>
        </w:rPr>
        <w:t>, 80.</w:t>
      </w:r>
    </w:p>
  </w:footnote>
  <w:footnote w:id="35">
    <w:p w14:paraId="06505831" w14:textId="17258D2C"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Soria, </w:t>
      </w:r>
      <w:proofErr w:type="spellStart"/>
      <w:r w:rsidRPr="00845FBC">
        <w:rPr>
          <w:i/>
          <w:lang w:val="it-IT"/>
        </w:rPr>
        <w:t>Tratado</w:t>
      </w:r>
      <w:proofErr w:type="spellEnd"/>
      <w:r w:rsidRPr="00845FBC">
        <w:rPr>
          <w:lang w:val="it-IT"/>
        </w:rPr>
        <w:t>, 82.</w:t>
      </w:r>
    </w:p>
  </w:footnote>
  <w:footnote w:id="36">
    <w:p w14:paraId="5353F8A3" w14:textId="1DA11E9F"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“La </w:t>
      </w:r>
      <w:proofErr w:type="spellStart"/>
      <w:r w:rsidRPr="00845FBC">
        <w:rPr>
          <w:lang w:val="it-IT"/>
        </w:rPr>
        <w:t>segunda</w:t>
      </w:r>
      <w:proofErr w:type="spellEnd"/>
      <w:r w:rsidRPr="00845FBC">
        <w:rPr>
          <w:lang w:val="it-IT"/>
        </w:rPr>
        <w:t xml:space="preserve"> causa de esta </w:t>
      </w:r>
      <w:proofErr w:type="spellStart"/>
      <w:r w:rsidRPr="00845FBC">
        <w:rPr>
          <w:lang w:val="it-IT"/>
        </w:rPr>
        <w:t>dispensacion</w:t>
      </w:r>
      <w:proofErr w:type="spellEnd"/>
      <w:r w:rsidRPr="00845FBC">
        <w:rPr>
          <w:lang w:val="it-IT"/>
        </w:rPr>
        <w:t xml:space="preserve"> la </w:t>
      </w:r>
      <w:proofErr w:type="spellStart"/>
      <w:r w:rsidRPr="00845FBC">
        <w:rPr>
          <w:lang w:val="it-IT"/>
        </w:rPr>
        <w:t>justifica</w:t>
      </w:r>
      <w:proofErr w:type="spellEnd"/>
      <w:r w:rsidRPr="00845FBC">
        <w:rPr>
          <w:lang w:val="it-IT"/>
        </w:rPr>
        <w:t xml:space="preserve"> la </w:t>
      </w:r>
      <w:proofErr w:type="spellStart"/>
      <w:r w:rsidRPr="00845FBC">
        <w:rPr>
          <w:lang w:val="it-IT"/>
        </w:rPr>
        <w:t>necessidad</w:t>
      </w:r>
      <w:proofErr w:type="spellEnd"/>
      <w:r w:rsidRPr="00845FBC">
        <w:rPr>
          <w:lang w:val="it-IT"/>
        </w:rPr>
        <w:t xml:space="preserve"> tan </w:t>
      </w:r>
      <w:proofErr w:type="spellStart"/>
      <w:r w:rsidRPr="00845FBC">
        <w:rPr>
          <w:lang w:val="it-IT"/>
        </w:rPr>
        <w:t>precissa</w:t>
      </w:r>
      <w:proofErr w:type="spellEnd"/>
      <w:r w:rsidRPr="00845FBC">
        <w:rPr>
          <w:lang w:val="it-IT"/>
        </w:rPr>
        <w:t xml:space="preserve">, </w:t>
      </w:r>
      <w:proofErr w:type="spellStart"/>
      <w:r w:rsidRPr="00845FBC">
        <w:rPr>
          <w:lang w:val="it-IT"/>
        </w:rPr>
        <w:t>que</w:t>
      </w:r>
      <w:proofErr w:type="spellEnd"/>
      <w:r w:rsidRPr="00845FBC">
        <w:rPr>
          <w:lang w:val="it-IT"/>
        </w:rPr>
        <w:t xml:space="preserve"> </w:t>
      </w:r>
      <w:proofErr w:type="spellStart"/>
      <w:r w:rsidRPr="00845FBC">
        <w:rPr>
          <w:lang w:val="it-IT"/>
        </w:rPr>
        <w:t>ay</w:t>
      </w:r>
      <w:proofErr w:type="spellEnd"/>
      <w:r w:rsidRPr="00845FBC">
        <w:rPr>
          <w:lang w:val="it-IT"/>
        </w:rPr>
        <w:t xml:space="preserve"> en la </w:t>
      </w:r>
      <w:proofErr w:type="spellStart"/>
      <w:r w:rsidRPr="00845FBC">
        <w:rPr>
          <w:lang w:val="it-IT"/>
        </w:rPr>
        <w:t>Republica</w:t>
      </w:r>
      <w:proofErr w:type="spellEnd"/>
      <w:r w:rsidRPr="00845FBC">
        <w:rPr>
          <w:lang w:val="it-IT"/>
        </w:rPr>
        <w:t xml:space="preserve"> de </w:t>
      </w:r>
      <w:proofErr w:type="spellStart"/>
      <w:r w:rsidRPr="00845FBC">
        <w:rPr>
          <w:lang w:val="it-IT"/>
        </w:rPr>
        <w:t>el</w:t>
      </w:r>
      <w:proofErr w:type="spellEnd"/>
      <w:r w:rsidRPr="00845FBC">
        <w:rPr>
          <w:lang w:val="it-IT"/>
        </w:rPr>
        <w:t xml:space="preserve"> </w:t>
      </w:r>
      <w:proofErr w:type="spellStart"/>
      <w:r w:rsidRPr="00845FBC">
        <w:rPr>
          <w:lang w:val="it-IT"/>
        </w:rPr>
        <w:t>oficio</w:t>
      </w:r>
      <w:proofErr w:type="spellEnd"/>
      <w:r w:rsidRPr="00845FBC">
        <w:rPr>
          <w:lang w:val="it-IT"/>
        </w:rPr>
        <w:t xml:space="preserve"> de </w:t>
      </w:r>
      <w:proofErr w:type="spellStart"/>
      <w:r w:rsidRPr="00845FBC">
        <w:rPr>
          <w:lang w:val="it-IT"/>
        </w:rPr>
        <w:t>el</w:t>
      </w:r>
      <w:proofErr w:type="spellEnd"/>
      <w:r w:rsidRPr="00845FBC">
        <w:rPr>
          <w:lang w:val="it-IT"/>
        </w:rPr>
        <w:t xml:space="preserve"> Labrador, como la </w:t>
      </w:r>
      <w:proofErr w:type="spellStart"/>
      <w:r w:rsidRPr="00845FBC">
        <w:rPr>
          <w:lang w:val="it-IT"/>
        </w:rPr>
        <w:t>ay</w:t>
      </w:r>
      <w:proofErr w:type="spellEnd"/>
      <w:r w:rsidRPr="00845FBC">
        <w:rPr>
          <w:lang w:val="it-IT"/>
        </w:rPr>
        <w:t xml:space="preserve"> de </w:t>
      </w:r>
      <w:proofErr w:type="spellStart"/>
      <w:r w:rsidRPr="00845FBC">
        <w:rPr>
          <w:lang w:val="it-IT"/>
        </w:rPr>
        <w:t>el</w:t>
      </w:r>
      <w:proofErr w:type="spellEnd"/>
      <w:r w:rsidRPr="00845FBC">
        <w:rPr>
          <w:lang w:val="it-IT"/>
        </w:rPr>
        <w:t xml:space="preserve"> pan, </w:t>
      </w:r>
      <w:proofErr w:type="spellStart"/>
      <w:r w:rsidRPr="00845FBC">
        <w:rPr>
          <w:lang w:val="it-IT"/>
        </w:rPr>
        <w:t>que</w:t>
      </w:r>
      <w:proofErr w:type="spellEnd"/>
      <w:r w:rsidRPr="00845FBC">
        <w:rPr>
          <w:lang w:val="it-IT"/>
        </w:rPr>
        <w:t xml:space="preserve"> es </w:t>
      </w:r>
      <w:proofErr w:type="spellStart"/>
      <w:r w:rsidRPr="00845FBC">
        <w:rPr>
          <w:lang w:val="it-IT"/>
        </w:rPr>
        <w:t>sustento</w:t>
      </w:r>
      <w:proofErr w:type="spellEnd"/>
      <w:r w:rsidRPr="00845FBC">
        <w:rPr>
          <w:lang w:val="it-IT"/>
        </w:rPr>
        <w:t xml:space="preserve"> necessario de la </w:t>
      </w:r>
      <w:proofErr w:type="spellStart"/>
      <w:r w:rsidRPr="00845FBC">
        <w:rPr>
          <w:lang w:val="it-IT"/>
        </w:rPr>
        <w:t>vida</w:t>
      </w:r>
      <w:proofErr w:type="spellEnd"/>
      <w:r w:rsidRPr="00845FBC">
        <w:rPr>
          <w:lang w:val="it-IT"/>
        </w:rPr>
        <w:t xml:space="preserve"> </w:t>
      </w:r>
      <w:proofErr w:type="spellStart"/>
      <w:r w:rsidRPr="00845FBC">
        <w:rPr>
          <w:lang w:val="it-IT"/>
        </w:rPr>
        <w:t>humana</w:t>
      </w:r>
      <w:proofErr w:type="spellEnd"/>
      <w:r w:rsidRPr="00845FBC">
        <w:rPr>
          <w:lang w:val="it-IT"/>
        </w:rPr>
        <w:t xml:space="preserve">; de </w:t>
      </w:r>
      <w:proofErr w:type="spellStart"/>
      <w:r w:rsidRPr="00845FBC">
        <w:rPr>
          <w:lang w:val="it-IT"/>
        </w:rPr>
        <w:t>manera</w:t>
      </w:r>
      <w:proofErr w:type="spellEnd"/>
      <w:r w:rsidRPr="00845FBC">
        <w:rPr>
          <w:lang w:val="it-IT"/>
        </w:rPr>
        <w:t xml:space="preserve">, </w:t>
      </w:r>
      <w:proofErr w:type="spellStart"/>
      <w:r w:rsidRPr="00845FBC">
        <w:rPr>
          <w:lang w:val="it-IT"/>
        </w:rPr>
        <w:t>que</w:t>
      </w:r>
      <w:proofErr w:type="spellEnd"/>
      <w:r w:rsidRPr="00845FBC">
        <w:rPr>
          <w:lang w:val="it-IT"/>
        </w:rPr>
        <w:t xml:space="preserve"> si </w:t>
      </w:r>
      <w:proofErr w:type="spellStart"/>
      <w:r w:rsidRPr="00845FBC">
        <w:rPr>
          <w:lang w:val="it-IT"/>
        </w:rPr>
        <w:t>el</w:t>
      </w:r>
      <w:proofErr w:type="spellEnd"/>
      <w:r w:rsidRPr="00845FBC">
        <w:rPr>
          <w:lang w:val="it-IT"/>
        </w:rPr>
        <w:t xml:space="preserve"> labrador no </w:t>
      </w:r>
      <w:proofErr w:type="spellStart"/>
      <w:r w:rsidRPr="00845FBC">
        <w:rPr>
          <w:lang w:val="it-IT"/>
        </w:rPr>
        <w:t>tuviesse</w:t>
      </w:r>
      <w:proofErr w:type="spellEnd"/>
      <w:r w:rsidRPr="00845FBC">
        <w:rPr>
          <w:lang w:val="it-IT"/>
        </w:rPr>
        <w:t xml:space="preserve"> </w:t>
      </w:r>
      <w:proofErr w:type="spellStart"/>
      <w:r w:rsidRPr="00845FBC">
        <w:rPr>
          <w:lang w:val="it-IT"/>
        </w:rPr>
        <w:t>caudal</w:t>
      </w:r>
      <w:proofErr w:type="spellEnd"/>
      <w:r w:rsidRPr="00845FBC">
        <w:rPr>
          <w:lang w:val="it-IT"/>
        </w:rPr>
        <w:t xml:space="preserve">, ni </w:t>
      </w:r>
      <w:proofErr w:type="spellStart"/>
      <w:r w:rsidRPr="00845FBC">
        <w:rPr>
          <w:lang w:val="it-IT"/>
        </w:rPr>
        <w:t>fuerça</w:t>
      </w:r>
      <w:proofErr w:type="spellEnd"/>
      <w:r w:rsidRPr="00845FBC">
        <w:rPr>
          <w:lang w:val="it-IT"/>
        </w:rPr>
        <w:t xml:space="preserve"> para sembrar, era necessario </w:t>
      </w:r>
      <w:proofErr w:type="spellStart"/>
      <w:r w:rsidRPr="00845FBC">
        <w:rPr>
          <w:lang w:val="it-IT"/>
        </w:rPr>
        <w:t>suplirlo</w:t>
      </w:r>
      <w:proofErr w:type="spellEnd"/>
      <w:r w:rsidRPr="00845FBC">
        <w:rPr>
          <w:lang w:val="it-IT"/>
        </w:rPr>
        <w:t xml:space="preserve">, </w:t>
      </w:r>
      <w:proofErr w:type="spellStart"/>
      <w:r w:rsidRPr="00845FBC">
        <w:rPr>
          <w:lang w:val="it-IT"/>
        </w:rPr>
        <w:t>aunque</w:t>
      </w:r>
      <w:proofErr w:type="spellEnd"/>
      <w:r w:rsidRPr="00845FBC">
        <w:rPr>
          <w:lang w:val="it-IT"/>
        </w:rPr>
        <w:t xml:space="preserve"> </w:t>
      </w:r>
      <w:proofErr w:type="spellStart"/>
      <w:r w:rsidRPr="00845FBC">
        <w:rPr>
          <w:lang w:val="it-IT"/>
        </w:rPr>
        <w:t>fuera</w:t>
      </w:r>
      <w:proofErr w:type="spellEnd"/>
      <w:r w:rsidRPr="00845FBC">
        <w:rPr>
          <w:lang w:val="it-IT"/>
        </w:rPr>
        <w:t xml:space="preserve"> de un erario </w:t>
      </w:r>
      <w:proofErr w:type="spellStart"/>
      <w:r w:rsidRPr="00845FBC">
        <w:rPr>
          <w:lang w:val="it-IT"/>
        </w:rPr>
        <w:t>publico</w:t>
      </w:r>
      <w:proofErr w:type="spellEnd"/>
      <w:r w:rsidRPr="00845FBC">
        <w:rPr>
          <w:lang w:val="it-IT"/>
        </w:rPr>
        <w:t xml:space="preserve">: y si </w:t>
      </w:r>
      <w:proofErr w:type="spellStart"/>
      <w:r w:rsidRPr="00845FBC">
        <w:rPr>
          <w:lang w:val="it-IT"/>
        </w:rPr>
        <w:t>bien</w:t>
      </w:r>
      <w:proofErr w:type="spellEnd"/>
      <w:r w:rsidRPr="00845FBC">
        <w:rPr>
          <w:lang w:val="it-IT"/>
        </w:rPr>
        <w:t xml:space="preserve"> se considera, </w:t>
      </w:r>
      <w:proofErr w:type="spellStart"/>
      <w:r w:rsidRPr="00845FBC">
        <w:rPr>
          <w:lang w:val="it-IT"/>
        </w:rPr>
        <w:t>hallaremos</w:t>
      </w:r>
      <w:proofErr w:type="spellEnd"/>
      <w:r w:rsidRPr="00845FBC">
        <w:rPr>
          <w:lang w:val="it-IT"/>
        </w:rPr>
        <w:t xml:space="preserve">, </w:t>
      </w:r>
      <w:proofErr w:type="spellStart"/>
      <w:r w:rsidRPr="00845FBC">
        <w:rPr>
          <w:lang w:val="it-IT"/>
        </w:rPr>
        <w:t>que</w:t>
      </w:r>
      <w:proofErr w:type="spellEnd"/>
      <w:r w:rsidRPr="00845FBC">
        <w:rPr>
          <w:lang w:val="it-IT"/>
        </w:rPr>
        <w:t xml:space="preserve"> este </w:t>
      </w:r>
      <w:proofErr w:type="spellStart"/>
      <w:r w:rsidRPr="00845FBC">
        <w:rPr>
          <w:lang w:val="it-IT"/>
        </w:rPr>
        <w:t>efecto</w:t>
      </w:r>
      <w:proofErr w:type="spellEnd"/>
      <w:r w:rsidRPr="00845FBC">
        <w:rPr>
          <w:lang w:val="it-IT"/>
        </w:rPr>
        <w:t xml:space="preserve"> </w:t>
      </w:r>
      <w:proofErr w:type="spellStart"/>
      <w:r w:rsidRPr="00845FBC">
        <w:rPr>
          <w:lang w:val="it-IT"/>
        </w:rPr>
        <w:t>puede</w:t>
      </w:r>
      <w:proofErr w:type="spellEnd"/>
      <w:r w:rsidRPr="00845FBC">
        <w:rPr>
          <w:lang w:val="it-IT"/>
        </w:rPr>
        <w:t xml:space="preserve"> </w:t>
      </w:r>
      <w:proofErr w:type="spellStart"/>
      <w:r w:rsidRPr="00845FBC">
        <w:rPr>
          <w:lang w:val="it-IT"/>
        </w:rPr>
        <w:t>hazer</w:t>
      </w:r>
      <w:proofErr w:type="spellEnd"/>
      <w:r w:rsidRPr="00845FBC">
        <w:rPr>
          <w:lang w:val="it-IT"/>
        </w:rPr>
        <w:t xml:space="preserve"> esta </w:t>
      </w:r>
      <w:proofErr w:type="spellStart"/>
      <w:r w:rsidRPr="00845FBC">
        <w:rPr>
          <w:lang w:val="it-IT"/>
        </w:rPr>
        <w:t>dispensacion</w:t>
      </w:r>
      <w:proofErr w:type="spellEnd"/>
      <w:r w:rsidRPr="00845FBC">
        <w:rPr>
          <w:lang w:val="it-IT"/>
        </w:rPr>
        <w:t xml:space="preserve"> de su </w:t>
      </w:r>
      <w:proofErr w:type="spellStart"/>
      <w:r w:rsidRPr="00845FBC">
        <w:rPr>
          <w:lang w:val="it-IT"/>
        </w:rPr>
        <w:t>Magestad</w:t>
      </w:r>
      <w:proofErr w:type="spellEnd"/>
      <w:r w:rsidRPr="00845FBC">
        <w:rPr>
          <w:lang w:val="it-IT"/>
        </w:rPr>
        <w:t xml:space="preserve">, con </w:t>
      </w:r>
      <w:proofErr w:type="spellStart"/>
      <w:r w:rsidRPr="00845FBC">
        <w:rPr>
          <w:lang w:val="it-IT"/>
        </w:rPr>
        <w:t>hazienda</w:t>
      </w:r>
      <w:proofErr w:type="spellEnd"/>
      <w:r w:rsidRPr="00845FBC">
        <w:rPr>
          <w:lang w:val="it-IT"/>
        </w:rPr>
        <w:t xml:space="preserve"> </w:t>
      </w:r>
      <w:proofErr w:type="spellStart"/>
      <w:r w:rsidRPr="00845FBC">
        <w:rPr>
          <w:lang w:val="it-IT"/>
        </w:rPr>
        <w:t>publica</w:t>
      </w:r>
      <w:proofErr w:type="spellEnd"/>
      <w:r w:rsidRPr="00845FBC">
        <w:rPr>
          <w:lang w:val="it-IT"/>
        </w:rPr>
        <w:t xml:space="preserve">, </w:t>
      </w:r>
      <w:proofErr w:type="spellStart"/>
      <w:r w:rsidRPr="00845FBC">
        <w:rPr>
          <w:lang w:val="it-IT"/>
        </w:rPr>
        <w:t>porque</w:t>
      </w:r>
      <w:proofErr w:type="spellEnd"/>
      <w:r w:rsidRPr="00845FBC">
        <w:rPr>
          <w:lang w:val="it-IT"/>
        </w:rPr>
        <w:t xml:space="preserve"> </w:t>
      </w:r>
      <w:proofErr w:type="spellStart"/>
      <w:r w:rsidRPr="00845FBC">
        <w:rPr>
          <w:lang w:val="it-IT"/>
        </w:rPr>
        <w:t>vendiendo</w:t>
      </w:r>
      <w:proofErr w:type="spellEnd"/>
      <w:r w:rsidRPr="00845FBC">
        <w:rPr>
          <w:lang w:val="it-IT"/>
        </w:rPr>
        <w:t xml:space="preserve"> </w:t>
      </w:r>
      <w:proofErr w:type="spellStart"/>
      <w:r w:rsidRPr="00845FBC">
        <w:rPr>
          <w:lang w:val="it-IT"/>
        </w:rPr>
        <w:t>los</w:t>
      </w:r>
      <w:proofErr w:type="spellEnd"/>
      <w:r w:rsidRPr="00845FBC">
        <w:rPr>
          <w:lang w:val="it-IT"/>
        </w:rPr>
        <w:t xml:space="preserve"> </w:t>
      </w:r>
      <w:proofErr w:type="spellStart"/>
      <w:r w:rsidRPr="00845FBC">
        <w:rPr>
          <w:lang w:val="it-IT"/>
        </w:rPr>
        <w:t>labradores</w:t>
      </w:r>
      <w:proofErr w:type="spellEnd"/>
      <w:r w:rsidRPr="00845FBC">
        <w:rPr>
          <w:lang w:val="it-IT"/>
        </w:rPr>
        <w:t xml:space="preserve"> su pan sin tassa en </w:t>
      </w:r>
      <w:proofErr w:type="spellStart"/>
      <w:r w:rsidRPr="00845FBC">
        <w:rPr>
          <w:lang w:val="it-IT"/>
        </w:rPr>
        <w:t>año</w:t>
      </w:r>
      <w:proofErr w:type="spellEnd"/>
      <w:r w:rsidRPr="00845FBC">
        <w:rPr>
          <w:lang w:val="it-IT"/>
        </w:rPr>
        <w:t xml:space="preserve"> </w:t>
      </w:r>
      <w:proofErr w:type="spellStart"/>
      <w:r w:rsidRPr="00845FBC">
        <w:rPr>
          <w:lang w:val="it-IT"/>
        </w:rPr>
        <w:t>esteril</w:t>
      </w:r>
      <w:proofErr w:type="spellEnd"/>
      <w:r w:rsidRPr="00845FBC">
        <w:rPr>
          <w:lang w:val="it-IT"/>
        </w:rPr>
        <w:t xml:space="preserve"> a la </w:t>
      </w:r>
      <w:proofErr w:type="spellStart"/>
      <w:r w:rsidRPr="00845FBC">
        <w:rPr>
          <w:lang w:val="it-IT"/>
        </w:rPr>
        <w:t>Republica</w:t>
      </w:r>
      <w:proofErr w:type="spellEnd"/>
      <w:r w:rsidRPr="00845FBC">
        <w:rPr>
          <w:lang w:val="it-IT"/>
        </w:rPr>
        <w:t xml:space="preserve"> . . . </w:t>
      </w:r>
      <w:proofErr w:type="spellStart"/>
      <w:r w:rsidRPr="00845FBC">
        <w:rPr>
          <w:lang w:val="it-IT"/>
        </w:rPr>
        <w:t>les</w:t>
      </w:r>
      <w:proofErr w:type="spellEnd"/>
      <w:r w:rsidRPr="00845FBC">
        <w:rPr>
          <w:lang w:val="it-IT"/>
        </w:rPr>
        <w:t xml:space="preserve"> dara por </w:t>
      </w:r>
      <w:proofErr w:type="spellStart"/>
      <w:r w:rsidRPr="00845FBC">
        <w:rPr>
          <w:lang w:val="it-IT"/>
        </w:rPr>
        <w:t>el</w:t>
      </w:r>
      <w:proofErr w:type="spellEnd"/>
      <w:r w:rsidRPr="00845FBC">
        <w:rPr>
          <w:lang w:val="it-IT"/>
        </w:rPr>
        <w:t xml:space="preserve"> un </w:t>
      </w:r>
      <w:proofErr w:type="spellStart"/>
      <w:r w:rsidRPr="00845FBC">
        <w:rPr>
          <w:lang w:val="it-IT"/>
        </w:rPr>
        <w:t>precio</w:t>
      </w:r>
      <w:proofErr w:type="spellEnd"/>
      <w:r w:rsidRPr="00845FBC">
        <w:rPr>
          <w:lang w:val="it-IT"/>
        </w:rPr>
        <w:t xml:space="preserve"> </w:t>
      </w:r>
      <w:proofErr w:type="spellStart"/>
      <w:r w:rsidRPr="00845FBC">
        <w:rPr>
          <w:lang w:val="it-IT"/>
        </w:rPr>
        <w:t>considerable</w:t>
      </w:r>
      <w:proofErr w:type="spellEnd"/>
      <w:r w:rsidRPr="00845FBC">
        <w:rPr>
          <w:lang w:val="it-IT"/>
        </w:rPr>
        <w:t xml:space="preserve">, </w:t>
      </w:r>
      <w:proofErr w:type="spellStart"/>
      <w:r w:rsidRPr="00845FBC">
        <w:rPr>
          <w:lang w:val="it-IT"/>
        </w:rPr>
        <w:t>que</w:t>
      </w:r>
      <w:proofErr w:type="spellEnd"/>
      <w:r w:rsidRPr="00845FBC">
        <w:rPr>
          <w:lang w:val="it-IT"/>
        </w:rPr>
        <w:t xml:space="preserve"> </w:t>
      </w:r>
      <w:proofErr w:type="spellStart"/>
      <w:r w:rsidRPr="00845FBC">
        <w:rPr>
          <w:lang w:val="it-IT"/>
        </w:rPr>
        <w:t>les</w:t>
      </w:r>
      <w:proofErr w:type="spellEnd"/>
      <w:r w:rsidRPr="00845FBC">
        <w:rPr>
          <w:lang w:val="it-IT"/>
        </w:rPr>
        <w:t xml:space="preserve"> </w:t>
      </w:r>
      <w:proofErr w:type="spellStart"/>
      <w:r w:rsidRPr="00845FBC">
        <w:rPr>
          <w:lang w:val="it-IT"/>
        </w:rPr>
        <w:t>pueda</w:t>
      </w:r>
      <w:proofErr w:type="spellEnd"/>
      <w:r w:rsidRPr="00845FBC">
        <w:rPr>
          <w:lang w:val="it-IT"/>
        </w:rPr>
        <w:t xml:space="preserve"> importar, para tener </w:t>
      </w:r>
      <w:proofErr w:type="spellStart"/>
      <w:r w:rsidRPr="00845FBC">
        <w:rPr>
          <w:lang w:val="it-IT"/>
        </w:rPr>
        <w:t>fuerça</w:t>
      </w:r>
      <w:proofErr w:type="spellEnd"/>
      <w:r w:rsidRPr="00845FBC">
        <w:rPr>
          <w:lang w:val="it-IT"/>
        </w:rPr>
        <w:t xml:space="preserve"> y </w:t>
      </w:r>
      <w:proofErr w:type="spellStart"/>
      <w:r w:rsidRPr="00845FBC">
        <w:rPr>
          <w:lang w:val="it-IT"/>
        </w:rPr>
        <w:t>caudal</w:t>
      </w:r>
      <w:proofErr w:type="spellEnd"/>
      <w:r w:rsidRPr="00845FBC">
        <w:rPr>
          <w:lang w:val="it-IT"/>
        </w:rPr>
        <w:t xml:space="preserve">, con </w:t>
      </w:r>
      <w:proofErr w:type="spellStart"/>
      <w:r w:rsidRPr="00845FBC">
        <w:rPr>
          <w:lang w:val="it-IT"/>
        </w:rPr>
        <w:t>que</w:t>
      </w:r>
      <w:proofErr w:type="spellEnd"/>
      <w:r w:rsidRPr="00845FBC">
        <w:rPr>
          <w:lang w:val="it-IT"/>
        </w:rPr>
        <w:t xml:space="preserve"> </w:t>
      </w:r>
      <w:proofErr w:type="spellStart"/>
      <w:r w:rsidRPr="00845FBC">
        <w:rPr>
          <w:lang w:val="it-IT"/>
        </w:rPr>
        <w:t>siembren</w:t>
      </w:r>
      <w:proofErr w:type="spellEnd"/>
      <w:r w:rsidRPr="00845FBC">
        <w:rPr>
          <w:lang w:val="it-IT"/>
        </w:rPr>
        <w:t xml:space="preserve">; y esto viene a ser como un erario </w:t>
      </w:r>
      <w:proofErr w:type="spellStart"/>
      <w:r w:rsidRPr="00845FBC">
        <w:rPr>
          <w:lang w:val="it-IT"/>
        </w:rPr>
        <w:t>publico</w:t>
      </w:r>
      <w:proofErr w:type="spellEnd"/>
      <w:r w:rsidRPr="00845FBC">
        <w:rPr>
          <w:lang w:val="it-IT"/>
        </w:rPr>
        <w:t xml:space="preserve">, y </w:t>
      </w:r>
      <w:proofErr w:type="spellStart"/>
      <w:r w:rsidRPr="00845FBC">
        <w:rPr>
          <w:lang w:val="it-IT"/>
        </w:rPr>
        <w:t>asseguardo</w:t>
      </w:r>
      <w:proofErr w:type="spellEnd"/>
      <w:r w:rsidRPr="00845FBC">
        <w:rPr>
          <w:lang w:val="it-IT"/>
        </w:rPr>
        <w:t xml:space="preserve"> con </w:t>
      </w:r>
      <w:proofErr w:type="spellStart"/>
      <w:r w:rsidRPr="00845FBC">
        <w:rPr>
          <w:lang w:val="it-IT"/>
        </w:rPr>
        <w:t>buena</w:t>
      </w:r>
      <w:proofErr w:type="spellEnd"/>
      <w:r w:rsidRPr="00845FBC">
        <w:rPr>
          <w:lang w:val="it-IT"/>
        </w:rPr>
        <w:t xml:space="preserve">, y </w:t>
      </w:r>
      <w:proofErr w:type="spellStart"/>
      <w:r w:rsidRPr="00845FBC">
        <w:rPr>
          <w:lang w:val="it-IT"/>
        </w:rPr>
        <w:t>fiel</w:t>
      </w:r>
      <w:proofErr w:type="spellEnd"/>
      <w:r w:rsidRPr="00845FBC">
        <w:rPr>
          <w:lang w:val="it-IT"/>
        </w:rPr>
        <w:t xml:space="preserve"> </w:t>
      </w:r>
      <w:proofErr w:type="spellStart"/>
      <w:r w:rsidRPr="00845FBC">
        <w:rPr>
          <w:lang w:val="it-IT"/>
        </w:rPr>
        <w:t>administracion</w:t>
      </w:r>
      <w:proofErr w:type="spellEnd"/>
      <w:r w:rsidRPr="00845FBC">
        <w:rPr>
          <w:lang w:val="it-IT"/>
        </w:rPr>
        <w:t xml:space="preserve">, </w:t>
      </w:r>
      <w:proofErr w:type="spellStart"/>
      <w:r w:rsidRPr="00845FBC">
        <w:rPr>
          <w:lang w:val="it-IT"/>
        </w:rPr>
        <w:t>porque</w:t>
      </w:r>
      <w:proofErr w:type="spellEnd"/>
      <w:r w:rsidRPr="00845FBC">
        <w:rPr>
          <w:lang w:val="it-IT"/>
        </w:rPr>
        <w:t xml:space="preserve"> no se </w:t>
      </w:r>
      <w:proofErr w:type="spellStart"/>
      <w:r w:rsidRPr="00845FBC">
        <w:rPr>
          <w:lang w:val="it-IT"/>
        </w:rPr>
        <w:t>administrara</w:t>
      </w:r>
      <w:proofErr w:type="spellEnd"/>
      <w:r w:rsidRPr="00845FBC">
        <w:rPr>
          <w:lang w:val="it-IT"/>
        </w:rPr>
        <w:t xml:space="preserve"> por </w:t>
      </w:r>
      <w:proofErr w:type="spellStart"/>
      <w:r w:rsidRPr="00845FBC">
        <w:rPr>
          <w:lang w:val="it-IT"/>
        </w:rPr>
        <w:t>comunidad</w:t>
      </w:r>
      <w:proofErr w:type="spellEnd"/>
      <w:r w:rsidRPr="00845FBC">
        <w:rPr>
          <w:lang w:val="it-IT"/>
        </w:rPr>
        <w:t xml:space="preserve"> </w:t>
      </w:r>
      <w:proofErr w:type="spellStart"/>
      <w:r w:rsidRPr="00845FBC">
        <w:rPr>
          <w:lang w:val="it-IT"/>
        </w:rPr>
        <w:t>el</w:t>
      </w:r>
      <w:proofErr w:type="spellEnd"/>
      <w:r w:rsidRPr="00845FBC">
        <w:rPr>
          <w:lang w:val="it-IT"/>
        </w:rPr>
        <w:t xml:space="preserve"> </w:t>
      </w:r>
      <w:proofErr w:type="spellStart"/>
      <w:r w:rsidRPr="00845FBC">
        <w:rPr>
          <w:lang w:val="it-IT"/>
        </w:rPr>
        <w:t>trigo</w:t>
      </w:r>
      <w:proofErr w:type="spellEnd"/>
      <w:r w:rsidRPr="00845FBC">
        <w:rPr>
          <w:lang w:val="it-IT"/>
        </w:rPr>
        <w:t xml:space="preserve"> </w:t>
      </w:r>
      <w:proofErr w:type="spellStart"/>
      <w:r w:rsidRPr="00845FBC">
        <w:rPr>
          <w:lang w:val="it-IT"/>
        </w:rPr>
        <w:t>que</w:t>
      </w:r>
      <w:proofErr w:type="spellEnd"/>
      <w:r w:rsidRPr="00845FBC">
        <w:rPr>
          <w:lang w:val="it-IT"/>
        </w:rPr>
        <w:t xml:space="preserve"> se </w:t>
      </w:r>
      <w:proofErr w:type="spellStart"/>
      <w:r w:rsidRPr="00845FBC">
        <w:rPr>
          <w:lang w:val="it-IT"/>
        </w:rPr>
        <w:t>vendiere</w:t>
      </w:r>
      <w:proofErr w:type="spellEnd"/>
      <w:r w:rsidRPr="00845FBC">
        <w:rPr>
          <w:lang w:val="it-IT"/>
        </w:rPr>
        <w:t xml:space="preserve">, sino cada qual labrador </w:t>
      </w:r>
      <w:proofErr w:type="spellStart"/>
      <w:r w:rsidRPr="00845FBC">
        <w:rPr>
          <w:lang w:val="it-IT"/>
        </w:rPr>
        <w:t>administrara</w:t>
      </w:r>
      <w:proofErr w:type="spellEnd"/>
      <w:r w:rsidRPr="00845FBC">
        <w:rPr>
          <w:lang w:val="it-IT"/>
        </w:rPr>
        <w:t xml:space="preserve"> </w:t>
      </w:r>
      <w:proofErr w:type="spellStart"/>
      <w:r w:rsidRPr="00845FBC">
        <w:rPr>
          <w:lang w:val="it-IT"/>
        </w:rPr>
        <w:t>el</w:t>
      </w:r>
      <w:proofErr w:type="spellEnd"/>
      <w:r w:rsidRPr="00845FBC">
        <w:rPr>
          <w:lang w:val="it-IT"/>
        </w:rPr>
        <w:t xml:space="preserve"> </w:t>
      </w:r>
      <w:proofErr w:type="spellStart"/>
      <w:r w:rsidRPr="00845FBC">
        <w:rPr>
          <w:lang w:val="it-IT"/>
        </w:rPr>
        <w:t>que</w:t>
      </w:r>
      <w:proofErr w:type="spellEnd"/>
      <w:r w:rsidRPr="00845FBC">
        <w:rPr>
          <w:lang w:val="it-IT"/>
        </w:rPr>
        <w:t xml:space="preserve"> </w:t>
      </w:r>
      <w:proofErr w:type="spellStart"/>
      <w:r w:rsidRPr="00845FBC">
        <w:rPr>
          <w:lang w:val="it-IT"/>
        </w:rPr>
        <w:t>pudiere</w:t>
      </w:r>
      <w:proofErr w:type="spellEnd"/>
      <w:r w:rsidRPr="00845FBC">
        <w:rPr>
          <w:lang w:val="it-IT"/>
        </w:rPr>
        <w:t xml:space="preserve"> vender, y </w:t>
      </w:r>
      <w:proofErr w:type="spellStart"/>
      <w:r w:rsidRPr="00845FBC">
        <w:rPr>
          <w:lang w:val="it-IT"/>
        </w:rPr>
        <w:t>cuy</w:t>
      </w:r>
      <w:proofErr w:type="spellEnd"/>
      <w:r w:rsidRPr="00845FBC">
        <w:rPr>
          <w:lang w:val="it-IT"/>
        </w:rPr>
        <w:t xml:space="preserve"> dara de </w:t>
      </w:r>
      <w:proofErr w:type="spellStart"/>
      <w:r w:rsidRPr="00845FBC">
        <w:rPr>
          <w:lang w:val="it-IT"/>
        </w:rPr>
        <w:t>el</w:t>
      </w:r>
      <w:proofErr w:type="spellEnd"/>
      <w:r w:rsidRPr="00845FBC">
        <w:rPr>
          <w:lang w:val="it-IT"/>
        </w:rPr>
        <w:t xml:space="preserve"> como de cosa </w:t>
      </w:r>
      <w:proofErr w:type="spellStart"/>
      <w:r w:rsidRPr="00845FBC">
        <w:rPr>
          <w:lang w:val="it-IT"/>
        </w:rPr>
        <w:t>suya</w:t>
      </w:r>
      <w:proofErr w:type="spellEnd"/>
      <w:r w:rsidRPr="00845FBC">
        <w:rPr>
          <w:lang w:val="it-IT"/>
        </w:rPr>
        <w:t xml:space="preserve">,” Soria, </w:t>
      </w:r>
      <w:proofErr w:type="spellStart"/>
      <w:r w:rsidRPr="00845FBC">
        <w:rPr>
          <w:i/>
          <w:lang w:val="it-IT"/>
        </w:rPr>
        <w:t>Tratado</w:t>
      </w:r>
      <w:proofErr w:type="spellEnd"/>
      <w:r w:rsidRPr="00845FBC">
        <w:rPr>
          <w:lang w:val="it-IT"/>
        </w:rPr>
        <w:t xml:space="preserve">, 132–33. </w:t>
      </w:r>
    </w:p>
  </w:footnote>
  <w:footnote w:id="37">
    <w:p w14:paraId="57765ED4" w14:textId="73868C14" w:rsidR="000D006E" w:rsidRPr="00845FBC" w:rsidRDefault="000D006E" w:rsidP="00845FBC">
      <w:pPr>
        <w:pStyle w:val="Funotentext"/>
        <w:contextualSpacing/>
      </w:pPr>
      <w:r w:rsidRPr="00845FBC">
        <w:rPr>
          <w:rStyle w:val="Funotenzeichen"/>
        </w:rPr>
        <w:footnoteRef/>
      </w:r>
      <w:r w:rsidRPr="00845FBC">
        <w:t xml:space="preserve"> </w:t>
      </w:r>
      <w:r w:rsidRPr="00845FBC">
        <w:rPr>
          <w:lang w:val="it-IT"/>
        </w:rPr>
        <w:t xml:space="preserve">Soria, </w:t>
      </w:r>
      <w:proofErr w:type="spellStart"/>
      <w:r w:rsidRPr="00845FBC">
        <w:rPr>
          <w:i/>
          <w:lang w:val="it-IT"/>
        </w:rPr>
        <w:t>Tratado</w:t>
      </w:r>
      <w:proofErr w:type="spellEnd"/>
      <w:r w:rsidRPr="00845FBC">
        <w:t>, 133.</w:t>
      </w:r>
    </w:p>
  </w:footnote>
  <w:footnote w:id="38">
    <w:p w14:paraId="1FE573CD" w14:textId="53EBFB40" w:rsidR="000D006E" w:rsidRPr="00845FBC" w:rsidRDefault="000D006E" w:rsidP="000D00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lang w:val="fr-FR"/>
        </w:rPr>
      </w:pPr>
      <w:r w:rsidRPr="00845FBC">
        <w:rPr>
          <w:rStyle w:val="Funotenzeichen"/>
          <w:sz w:val="20"/>
          <w:szCs w:val="20"/>
        </w:rPr>
        <w:footnoteRef/>
      </w:r>
      <w:r w:rsidRPr="00845FBC">
        <w:rPr>
          <w:sz w:val="20"/>
          <w:szCs w:val="20"/>
        </w:rPr>
        <w:t xml:space="preserve"> Contrary to </w:t>
      </w:r>
      <w:proofErr w:type="spellStart"/>
      <w:r w:rsidRPr="00845FBC">
        <w:rPr>
          <w:sz w:val="20"/>
          <w:szCs w:val="20"/>
        </w:rPr>
        <w:t>Chaplygina</w:t>
      </w:r>
      <w:proofErr w:type="spellEnd"/>
      <w:r w:rsidRPr="00845FBC">
        <w:rPr>
          <w:sz w:val="20"/>
          <w:szCs w:val="20"/>
        </w:rPr>
        <w:t xml:space="preserve"> and Lapidus’s claim that the scholastic always regarded issues of commutative justice to be inseparable from issues of distributive justice; see Irina </w:t>
      </w:r>
      <w:proofErr w:type="spellStart"/>
      <w:r w:rsidRPr="00845FBC">
        <w:rPr>
          <w:sz w:val="20"/>
          <w:szCs w:val="20"/>
          <w:bdr w:val="none" w:sz="0" w:space="0" w:color="auto"/>
          <w:lang w:eastAsia="de-DE"/>
        </w:rPr>
        <w:t>Chaplygina</w:t>
      </w:r>
      <w:proofErr w:type="spellEnd"/>
      <w:r w:rsidRPr="00845FBC">
        <w:rPr>
          <w:sz w:val="20"/>
          <w:szCs w:val="20"/>
          <w:bdr w:val="none" w:sz="0" w:space="0" w:color="auto"/>
          <w:lang w:eastAsia="de-DE"/>
        </w:rPr>
        <w:t xml:space="preserve"> and André Lapidus, “Economic thought in scholasticism,” in Gilbert</w:t>
      </w:r>
      <w:r>
        <w:rPr>
          <w:sz w:val="20"/>
          <w:szCs w:val="20"/>
          <w:bdr w:val="none" w:sz="0" w:space="0" w:color="auto"/>
          <w:lang w:eastAsia="de-DE"/>
        </w:rPr>
        <w:t xml:space="preserve"> </w:t>
      </w:r>
      <w:proofErr w:type="spellStart"/>
      <w:r w:rsidRPr="00845FBC">
        <w:rPr>
          <w:sz w:val="20"/>
          <w:szCs w:val="20"/>
          <w:bdr w:val="none" w:sz="0" w:space="0" w:color="auto"/>
          <w:lang w:eastAsia="de-DE"/>
        </w:rPr>
        <w:t>Faccarello</w:t>
      </w:r>
      <w:proofErr w:type="spellEnd"/>
      <w:r w:rsidRPr="00845FBC">
        <w:rPr>
          <w:sz w:val="20"/>
          <w:szCs w:val="20"/>
          <w:bdr w:val="none" w:sz="0" w:space="0" w:color="auto"/>
          <w:lang w:eastAsia="de-DE"/>
        </w:rPr>
        <w:t xml:space="preserve"> and Heinz D. Kurz, eds. </w:t>
      </w:r>
      <w:r w:rsidRPr="00845FBC">
        <w:rPr>
          <w:i/>
          <w:sz w:val="20"/>
          <w:szCs w:val="20"/>
          <w:bdr w:val="none" w:sz="0" w:space="0" w:color="auto"/>
          <w:lang w:eastAsia="de-DE"/>
        </w:rPr>
        <w:t>Handbook of the History of Economic Analysis</w:t>
      </w:r>
      <w:r w:rsidRPr="00845FBC">
        <w:rPr>
          <w:sz w:val="20"/>
          <w:szCs w:val="20"/>
          <w:bdr w:val="none" w:sz="0" w:space="0" w:color="auto"/>
          <w:lang w:eastAsia="de-DE"/>
        </w:rPr>
        <w:t>, vol. 2:</w:t>
      </w:r>
      <w:r>
        <w:rPr>
          <w:i/>
          <w:sz w:val="20"/>
          <w:szCs w:val="20"/>
          <w:bdr w:val="none" w:sz="0" w:space="0" w:color="auto"/>
          <w:lang w:eastAsia="de-DE"/>
        </w:rPr>
        <w:t xml:space="preserve"> </w:t>
      </w:r>
      <w:r w:rsidRPr="00845FBC">
        <w:rPr>
          <w:i/>
          <w:sz w:val="20"/>
          <w:szCs w:val="20"/>
          <w:bdr w:val="none" w:sz="0" w:space="0" w:color="auto"/>
          <w:lang w:eastAsia="de-DE"/>
        </w:rPr>
        <w:t>Schools of Thought in Economics</w:t>
      </w:r>
      <w:r w:rsidRPr="00845FBC">
        <w:rPr>
          <w:sz w:val="20"/>
          <w:szCs w:val="20"/>
          <w:bdr w:val="none" w:sz="0" w:space="0" w:color="auto"/>
          <w:lang w:eastAsia="de-DE"/>
        </w:rPr>
        <w:t xml:space="preserve"> </w:t>
      </w:r>
      <w:r>
        <w:rPr>
          <w:sz w:val="20"/>
          <w:szCs w:val="20"/>
          <w:bdr w:val="none" w:sz="0" w:space="0" w:color="auto"/>
          <w:lang w:eastAsia="de-DE"/>
        </w:rPr>
        <w:t>(</w:t>
      </w:r>
      <w:r w:rsidRPr="00845FBC">
        <w:rPr>
          <w:sz w:val="20"/>
          <w:szCs w:val="20"/>
          <w:bdr w:val="none" w:sz="0" w:space="0" w:color="auto"/>
          <w:lang w:val="fr-FR" w:eastAsia="de-DE"/>
        </w:rPr>
        <w:t>Cheltenham: Edward Elgar, 2016</w:t>
      </w:r>
      <w:r>
        <w:rPr>
          <w:sz w:val="20"/>
          <w:szCs w:val="20"/>
          <w:bdr w:val="none" w:sz="0" w:space="0" w:color="auto"/>
          <w:lang w:val="fr-FR" w:eastAsia="de-DE"/>
        </w:rPr>
        <w:t>)</w:t>
      </w:r>
      <w:r w:rsidRPr="00845FBC">
        <w:rPr>
          <w:sz w:val="20"/>
          <w:szCs w:val="20"/>
          <w:bdr w:val="none" w:sz="0" w:space="0" w:color="auto"/>
          <w:lang w:val="fr-FR" w:eastAsia="de-DE"/>
        </w:rPr>
        <w:t>, 20–42, 24.</w:t>
      </w:r>
    </w:p>
  </w:footnote>
  <w:footnote w:id="39">
    <w:p w14:paraId="461E120F" w14:textId="2FF9F1AC" w:rsidR="000D006E" w:rsidRPr="00845FBC" w:rsidRDefault="000D006E" w:rsidP="00845F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0"/>
          <w:szCs w:val="20"/>
          <w:bdr w:val="none" w:sz="0" w:space="0" w:color="auto"/>
          <w:lang w:val="fr-FR" w:eastAsia="de-DE"/>
        </w:rPr>
      </w:pPr>
      <w:r w:rsidRPr="00845FBC">
        <w:rPr>
          <w:rStyle w:val="Funotenzeichen"/>
          <w:sz w:val="20"/>
          <w:szCs w:val="20"/>
        </w:rPr>
        <w:footnoteRef/>
      </w:r>
      <w:r w:rsidRPr="00845FBC">
        <w:rPr>
          <w:sz w:val="20"/>
          <w:szCs w:val="20"/>
          <w:lang w:val="fr-FR"/>
        </w:rPr>
        <w:t xml:space="preserve"> Molina, </w:t>
      </w:r>
      <w:r w:rsidRPr="00845FBC">
        <w:rPr>
          <w:i/>
          <w:sz w:val="20"/>
          <w:szCs w:val="20"/>
          <w:lang w:val="fr-FR"/>
        </w:rPr>
        <w:t xml:space="preserve">De iustitia. </w:t>
      </w:r>
      <w:proofErr w:type="spellStart"/>
      <w:r w:rsidRPr="00845FBC">
        <w:rPr>
          <w:i/>
          <w:sz w:val="20"/>
          <w:szCs w:val="20"/>
          <w:lang w:val="fr-FR"/>
        </w:rPr>
        <w:t>Tomus</w:t>
      </w:r>
      <w:proofErr w:type="spellEnd"/>
      <w:r w:rsidRPr="00845FBC">
        <w:rPr>
          <w:i/>
          <w:sz w:val="20"/>
          <w:szCs w:val="20"/>
          <w:lang w:val="fr-FR"/>
        </w:rPr>
        <w:t xml:space="preserve"> </w:t>
      </w:r>
      <w:proofErr w:type="spellStart"/>
      <w:r w:rsidRPr="00845FBC">
        <w:rPr>
          <w:i/>
          <w:sz w:val="20"/>
          <w:szCs w:val="20"/>
          <w:lang w:val="fr-FR"/>
        </w:rPr>
        <w:t>secundus</w:t>
      </w:r>
      <w:proofErr w:type="spellEnd"/>
      <w:r w:rsidRPr="00845FBC">
        <w:rPr>
          <w:i/>
          <w:sz w:val="20"/>
          <w:szCs w:val="20"/>
          <w:lang w:val="fr-FR"/>
        </w:rPr>
        <w:t xml:space="preserve"> de </w:t>
      </w:r>
      <w:proofErr w:type="spellStart"/>
      <w:r w:rsidRPr="00845FBC">
        <w:rPr>
          <w:i/>
          <w:sz w:val="20"/>
          <w:szCs w:val="20"/>
          <w:lang w:val="fr-FR"/>
        </w:rPr>
        <w:t>contractibus</w:t>
      </w:r>
      <w:proofErr w:type="spellEnd"/>
      <w:r w:rsidRPr="00845FBC">
        <w:rPr>
          <w:sz w:val="20"/>
          <w:szCs w:val="20"/>
          <w:lang w:val="fr-FR"/>
        </w:rPr>
        <w:t xml:space="preserve">, col. 481 </w:t>
      </w:r>
      <w:r w:rsidRPr="00845FBC">
        <w:rPr>
          <w:sz w:val="20"/>
          <w:szCs w:val="20"/>
          <w:bdr w:val="none" w:sz="0" w:space="0" w:color="auto"/>
          <w:lang w:val="fr-FR" w:eastAsia="de-DE"/>
        </w:rPr>
        <w:t xml:space="preserve">(tract. 2, </w:t>
      </w:r>
      <w:proofErr w:type="spellStart"/>
      <w:r w:rsidRPr="00845FBC">
        <w:rPr>
          <w:sz w:val="20"/>
          <w:szCs w:val="20"/>
          <w:bdr w:val="none" w:sz="0" w:space="0" w:color="auto"/>
          <w:lang w:val="fr-FR" w:eastAsia="de-DE"/>
        </w:rPr>
        <w:t>disp</w:t>
      </w:r>
      <w:proofErr w:type="spellEnd"/>
      <w:r w:rsidRPr="00845FBC">
        <w:rPr>
          <w:sz w:val="20"/>
          <w:szCs w:val="20"/>
          <w:bdr w:val="none" w:sz="0" w:space="0" w:color="auto"/>
          <w:lang w:val="fr-FR" w:eastAsia="de-DE"/>
        </w:rPr>
        <w:t>. 365)</w:t>
      </w:r>
      <w:r w:rsidRPr="00845FBC">
        <w:rPr>
          <w:sz w:val="20"/>
          <w:szCs w:val="20"/>
          <w:lang w:val="fr-FR"/>
        </w:rPr>
        <w:t>.</w:t>
      </w:r>
    </w:p>
  </w:footnote>
  <w:footnote w:id="40">
    <w:p w14:paraId="338E9DA1" w14:textId="7ADFC84A" w:rsidR="000D006E" w:rsidRPr="00845FBC" w:rsidRDefault="000D006E" w:rsidP="00845FBC">
      <w:pPr>
        <w:pStyle w:val="Funotentext"/>
        <w:contextualSpacing/>
        <w:rPr>
          <w:lang w:val="fr-FR"/>
        </w:rPr>
      </w:pPr>
      <w:r w:rsidRPr="00845FBC">
        <w:rPr>
          <w:rStyle w:val="Funotenzeichen"/>
        </w:rPr>
        <w:footnoteRef/>
      </w:r>
      <w:r w:rsidRPr="00845FBC">
        <w:rPr>
          <w:lang w:val="it-IT"/>
        </w:rPr>
        <w:t xml:space="preserve"> Molina, </w:t>
      </w:r>
      <w:r w:rsidRPr="00845FBC">
        <w:rPr>
          <w:i/>
          <w:lang w:val="it-IT"/>
        </w:rPr>
        <w:t>De iustitia</w:t>
      </w:r>
      <w:r w:rsidRPr="00845FBC">
        <w:rPr>
          <w:lang w:val="it-IT"/>
        </w:rPr>
        <w:t>, col. 466 (</w:t>
      </w:r>
      <w:proofErr w:type="spellStart"/>
      <w:r w:rsidRPr="00845FBC">
        <w:rPr>
          <w:lang w:val="it-IT"/>
        </w:rPr>
        <w:t>tract</w:t>
      </w:r>
      <w:proofErr w:type="spellEnd"/>
      <w:r w:rsidRPr="00845FBC">
        <w:rPr>
          <w:lang w:val="it-IT"/>
        </w:rPr>
        <w:t xml:space="preserve">. </w:t>
      </w:r>
      <w:r w:rsidRPr="00845FBC">
        <w:rPr>
          <w:lang w:val="fr-FR"/>
        </w:rPr>
        <w:t xml:space="preserve">2, </w:t>
      </w:r>
      <w:proofErr w:type="spellStart"/>
      <w:r w:rsidRPr="00845FBC">
        <w:rPr>
          <w:lang w:val="fr-FR"/>
        </w:rPr>
        <w:t>disp</w:t>
      </w:r>
      <w:proofErr w:type="spellEnd"/>
      <w:r w:rsidRPr="00845FBC">
        <w:rPr>
          <w:lang w:val="fr-FR"/>
        </w:rPr>
        <w:t>. 364).</w:t>
      </w:r>
    </w:p>
  </w:footnote>
  <w:footnote w:id="41">
    <w:p w14:paraId="49F5EA0E" w14:textId="1F12B67F"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Molina, </w:t>
      </w:r>
      <w:r w:rsidRPr="00845FBC">
        <w:rPr>
          <w:i/>
          <w:lang w:val="fr-FR"/>
        </w:rPr>
        <w:t>De iustitia</w:t>
      </w:r>
      <w:r w:rsidRPr="00845FBC">
        <w:rPr>
          <w:noProof/>
          <w:lang w:val="fr-FR"/>
        </w:rPr>
        <w:t>, col. 22 (tract. 1, disp. 12).</w:t>
      </w:r>
    </w:p>
  </w:footnote>
  <w:footnote w:id="42">
    <w:p w14:paraId="7A20F4B2" w14:textId="71A1D857"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it-IT"/>
        </w:rPr>
        <w:t xml:space="preserve"> </w:t>
      </w:r>
      <w:r w:rsidRPr="00845FBC">
        <w:rPr>
          <w:lang w:val="it-IT"/>
        </w:rPr>
        <w:t xml:space="preserve">Molina, </w:t>
      </w:r>
      <w:r w:rsidRPr="00845FBC">
        <w:rPr>
          <w:i/>
          <w:lang w:val="it-IT"/>
        </w:rPr>
        <w:t>De iustitia</w:t>
      </w:r>
      <w:r w:rsidRPr="00845FBC">
        <w:rPr>
          <w:noProof/>
          <w:lang w:val="it-IT"/>
        </w:rPr>
        <w:t xml:space="preserve">, col. 24 (tract. </w:t>
      </w:r>
      <w:r w:rsidRPr="00845FBC">
        <w:rPr>
          <w:noProof/>
          <w:lang w:val="fr-FR"/>
        </w:rPr>
        <w:t>1, disp. 12).</w:t>
      </w:r>
    </w:p>
  </w:footnote>
  <w:footnote w:id="43">
    <w:p w14:paraId="5D585A28" w14:textId="60EDDBDC"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it-IT"/>
        </w:rPr>
        <w:t xml:space="preserve"> </w:t>
      </w:r>
      <w:r w:rsidRPr="00845FBC">
        <w:rPr>
          <w:lang w:val="it-IT"/>
        </w:rPr>
        <w:t xml:space="preserve">Molina, </w:t>
      </w:r>
      <w:r w:rsidRPr="00845FBC">
        <w:rPr>
          <w:i/>
          <w:lang w:val="it-IT"/>
        </w:rPr>
        <w:t xml:space="preserve">De iustitia, </w:t>
      </w:r>
      <w:r w:rsidRPr="00845FBC">
        <w:rPr>
          <w:noProof/>
          <w:lang w:val="it-IT"/>
        </w:rPr>
        <w:t xml:space="preserve">col. 24 (tract. </w:t>
      </w:r>
      <w:r w:rsidRPr="00845FBC">
        <w:rPr>
          <w:noProof/>
          <w:lang w:val="fr-FR"/>
        </w:rPr>
        <w:t>1, disp. 12).</w:t>
      </w:r>
    </w:p>
  </w:footnote>
  <w:footnote w:id="44">
    <w:p w14:paraId="7989048A" w14:textId="69C9BCD3" w:rsidR="000D006E" w:rsidRPr="00845FBC" w:rsidRDefault="000D006E" w:rsidP="00845FBC">
      <w:pPr>
        <w:pStyle w:val="Endnotentext1"/>
        <w:contextualSpacing/>
        <w:rPr>
          <w:lang w:val="fr-FR"/>
        </w:rPr>
      </w:pPr>
      <w:r w:rsidRPr="00845FBC">
        <w:rPr>
          <w:vertAlign w:val="superscript"/>
        </w:rPr>
        <w:footnoteRef/>
      </w:r>
      <w:r w:rsidRPr="00845FBC">
        <w:rPr>
          <w:lang w:val="fr-FR"/>
        </w:rPr>
        <w:t xml:space="preserve"> “</w:t>
      </w:r>
      <w:r>
        <w:rPr>
          <w:lang w:val="fr-FR"/>
        </w:rPr>
        <w:t>S</w:t>
      </w:r>
      <w:r w:rsidRPr="00845FBC">
        <w:rPr>
          <w:lang w:val="fr-FR"/>
        </w:rPr>
        <w:t xml:space="preserve">i </w:t>
      </w:r>
      <w:proofErr w:type="spellStart"/>
      <w:r w:rsidRPr="00845FBC">
        <w:rPr>
          <w:lang w:val="fr-FR"/>
        </w:rPr>
        <w:t>venditoribus</w:t>
      </w:r>
      <w:proofErr w:type="spellEnd"/>
      <w:r w:rsidRPr="00845FBC">
        <w:rPr>
          <w:lang w:val="fr-FR"/>
        </w:rPr>
        <w:t xml:space="preserve"> </w:t>
      </w:r>
      <w:proofErr w:type="spellStart"/>
      <w:r w:rsidRPr="00845FBC">
        <w:rPr>
          <w:lang w:val="fr-FR"/>
        </w:rPr>
        <w:t>permitteretur</w:t>
      </w:r>
      <w:proofErr w:type="spellEnd"/>
      <w:r w:rsidRPr="00845FBC">
        <w:rPr>
          <w:lang w:val="fr-FR"/>
        </w:rPr>
        <w:t xml:space="preserve"> in </w:t>
      </w:r>
      <w:proofErr w:type="spellStart"/>
      <w:r w:rsidRPr="00845FBC">
        <w:rPr>
          <w:lang w:val="fr-FR"/>
        </w:rPr>
        <w:t>tempore</w:t>
      </w:r>
      <w:proofErr w:type="spellEnd"/>
      <w:r w:rsidRPr="00845FBC">
        <w:rPr>
          <w:lang w:val="fr-FR"/>
        </w:rPr>
        <w:t xml:space="preserve"> </w:t>
      </w:r>
      <w:proofErr w:type="spellStart"/>
      <w:r w:rsidRPr="00845FBC">
        <w:rPr>
          <w:lang w:val="fr-FR"/>
        </w:rPr>
        <w:t>sterilitatis</w:t>
      </w:r>
      <w:proofErr w:type="spellEnd"/>
      <w:r w:rsidRPr="00845FBC">
        <w:rPr>
          <w:lang w:val="fr-FR"/>
        </w:rPr>
        <w:t xml:space="preserve"> </w:t>
      </w:r>
      <w:proofErr w:type="spellStart"/>
      <w:r w:rsidRPr="00845FBC">
        <w:rPr>
          <w:lang w:val="fr-FR"/>
        </w:rPr>
        <w:t>annonam</w:t>
      </w:r>
      <w:proofErr w:type="spellEnd"/>
      <w:r w:rsidRPr="00845FBC">
        <w:rPr>
          <w:lang w:val="fr-FR"/>
        </w:rPr>
        <w:t xml:space="preserve">, prout </w:t>
      </w:r>
      <w:proofErr w:type="spellStart"/>
      <w:r w:rsidRPr="00845FBC">
        <w:rPr>
          <w:lang w:val="fr-FR"/>
        </w:rPr>
        <w:t>possint</w:t>
      </w:r>
      <w:proofErr w:type="spellEnd"/>
      <w:r w:rsidRPr="00845FBC">
        <w:rPr>
          <w:lang w:val="fr-FR"/>
        </w:rPr>
        <w:t xml:space="preserve">, </w:t>
      </w:r>
      <w:proofErr w:type="spellStart"/>
      <w:r w:rsidRPr="00845FBC">
        <w:rPr>
          <w:lang w:val="fr-FR"/>
        </w:rPr>
        <w:t>vendere</w:t>
      </w:r>
      <w:proofErr w:type="spellEnd"/>
      <w:r w:rsidRPr="00845FBC">
        <w:rPr>
          <w:lang w:val="fr-FR"/>
        </w:rPr>
        <w:t xml:space="preserve">, </w:t>
      </w:r>
      <w:proofErr w:type="spellStart"/>
      <w:r w:rsidRPr="00845FBC">
        <w:rPr>
          <w:lang w:val="fr-FR"/>
        </w:rPr>
        <w:t>darentur</w:t>
      </w:r>
      <w:proofErr w:type="spellEnd"/>
      <w:r w:rsidRPr="00845FBC">
        <w:rPr>
          <w:lang w:val="fr-FR"/>
        </w:rPr>
        <w:t xml:space="preserve"> </w:t>
      </w:r>
      <w:proofErr w:type="spellStart"/>
      <w:r w:rsidRPr="00845FBC">
        <w:rPr>
          <w:lang w:val="fr-FR"/>
        </w:rPr>
        <w:t>occasio</w:t>
      </w:r>
      <w:proofErr w:type="spellEnd"/>
      <w:r w:rsidRPr="00845FBC">
        <w:rPr>
          <w:lang w:val="fr-FR"/>
        </w:rPr>
        <w:t xml:space="preserve">, ut multi </w:t>
      </w:r>
      <w:proofErr w:type="spellStart"/>
      <w:r w:rsidRPr="00845FBC">
        <w:rPr>
          <w:lang w:val="fr-FR"/>
        </w:rPr>
        <w:t>pauperes</w:t>
      </w:r>
      <w:proofErr w:type="spellEnd"/>
      <w:r w:rsidRPr="00845FBC">
        <w:rPr>
          <w:lang w:val="fr-FR"/>
        </w:rPr>
        <w:t xml:space="preserve"> </w:t>
      </w:r>
      <w:proofErr w:type="spellStart"/>
      <w:r w:rsidRPr="00845FBC">
        <w:rPr>
          <w:lang w:val="fr-FR"/>
        </w:rPr>
        <w:t>tantum</w:t>
      </w:r>
      <w:proofErr w:type="spellEnd"/>
      <w:r w:rsidRPr="00845FBC">
        <w:rPr>
          <w:lang w:val="fr-FR"/>
        </w:rPr>
        <w:t xml:space="preserve"> pretium, quantum pro </w:t>
      </w:r>
      <w:proofErr w:type="spellStart"/>
      <w:r w:rsidRPr="00845FBC">
        <w:rPr>
          <w:lang w:val="fr-FR"/>
        </w:rPr>
        <w:t>tritico</w:t>
      </w:r>
      <w:proofErr w:type="spellEnd"/>
      <w:r w:rsidRPr="00845FBC">
        <w:rPr>
          <w:lang w:val="fr-FR"/>
        </w:rPr>
        <w:t xml:space="preserve"> </w:t>
      </w:r>
      <w:proofErr w:type="spellStart"/>
      <w:r w:rsidRPr="00845FBC">
        <w:rPr>
          <w:lang w:val="fr-FR"/>
        </w:rPr>
        <w:t>divites</w:t>
      </w:r>
      <w:proofErr w:type="spellEnd"/>
      <w:r w:rsidRPr="00845FBC">
        <w:rPr>
          <w:lang w:val="fr-FR"/>
        </w:rPr>
        <w:t xml:space="preserve"> </w:t>
      </w:r>
      <w:proofErr w:type="spellStart"/>
      <w:r w:rsidRPr="00845FBC">
        <w:rPr>
          <w:lang w:val="fr-FR"/>
        </w:rPr>
        <w:t>exigerent</w:t>
      </w:r>
      <w:proofErr w:type="spellEnd"/>
      <w:r w:rsidRPr="00845FBC">
        <w:rPr>
          <w:lang w:val="fr-FR"/>
        </w:rPr>
        <w:t xml:space="preserve">, non </w:t>
      </w:r>
      <w:proofErr w:type="spellStart"/>
      <w:r w:rsidRPr="00845FBC">
        <w:rPr>
          <w:lang w:val="fr-FR"/>
        </w:rPr>
        <w:t>habentes</w:t>
      </w:r>
      <w:proofErr w:type="spellEnd"/>
      <w:r w:rsidRPr="00845FBC">
        <w:rPr>
          <w:lang w:val="fr-FR"/>
        </w:rPr>
        <w:t xml:space="preserve">, </w:t>
      </w:r>
      <w:proofErr w:type="spellStart"/>
      <w:r w:rsidRPr="00845FBC">
        <w:rPr>
          <w:lang w:val="fr-FR"/>
        </w:rPr>
        <w:t>fame</w:t>
      </w:r>
      <w:proofErr w:type="spellEnd"/>
      <w:r w:rsidRPr="00845FBC">
        <w:rPr>
          <w:lang w:val="fr-FR"/>
        </w:rPr>
        <w:t xml:space="preserve"> </w:t>
      </w:r>
      <w:proofErr w:type="spellStart"/>
      <w:r w:rsidRPr="00845FBC">
        <w:rPr>
          <w:lang w:val="fr-FR"/>
        </w:rPr>
        <w:t>perirent</w:t>
      </w:r>
      <w:proofErr w:type="spellEnd"/>
      <w:r w:rsidRPr="00845FBC">
        <w:rPr>
          <w:lang w:val="fr-FR"/>
        </w:rPr>
        <w:t xml:space="preserve">. Et qui non </w:t>
      </w:r>
      <w:proofErr w:type="spellStart"/>
      <w:r w:rsidRPr="00845FBC">
        <w:rPr>
          <w:lang w:val="fr-FR"/>
        </w:rPr>
        <w:t>haberent</w:t>
      </w:r>
      <w:proofErr w:type="spellEnd"/>
      <w:r w:rsidRPr="00845FBC">
        <w:rPr>
          <w:lang w:val="fr-FR"/>
        </w:rPr>
        <w:t xml:space="preserve">, quod loco </w:t>
      </w:r>
      <w:proofErr w:type="spellStart"/>
      <w:r w:rsidRPr="00845FBC">
        <w:rPr>
          <w:lang w:val="fr-FR"/>
        </w:rPr>
        <w:t>pretii</w:t>
      </w:r>
      <w:proofErr w:type="spellEnd"/>
      <w:r w:rsidRPr="00845FBC">
        <w:rPr>
          <w:lang w:val="fr-FR"/>
        </w:rPr>
        <w:t xml:space="preserve"> </w:t>
      </w:r>
      <w:proofErr w:type="spellStart"/>
      <w:r w:rsidRPr="00845FBC">
        <w:rPr>
          <w:lang w:val="fr-FR"/>
        </w:rPr>
        <w:t>darent</w:t>
      </w:r>
      <w:proofErr w:type="spellEnd"/>
      <w:r w:rsidRPr="00845FBC">
        <w:rPr>
          <w:lang w:val="fr-FR"/>
        </w:rPr>
        <w:t xml:space="preserve">, </w:t>
      </w:r>
      <w:proofErr w:type="spellStart"/>
      <w:r w:rsidRPr="00845FBC">
        <w:rPr>
          <w:lang w:val="fr-FR"/>
        </w:rPr>
        <w:t>praeter</w:t>
      </w:r>
      <w:proofErr w:type="spellEnd"/>
      <w:r w:rsidRPr="00845FBC">
        <w:rPr>
          <w:lang w:val="fr-FR"/>
        </w:rPr>
        <w:t xml:space="preserve"> </w:t>
      </w:r>
      <w:proofErr w:type="spellStart"/>
      <w:r w:rsidRPr="00845FBC">
        <w:rPr>
          <w:lang w:val="fr-FR"/>
        </w:rPr>
        <w:t>vineas</w:t>
      </w:r>
      <w:proofErr w:type="spellEnd"/>
      <w:r w:rsidRPr="00845FBC">
        <w:rPr>
          <w:lang w:val="fr-FR"/>
        </w:rPr>
        <w:t xml:space="preserve">, agros, </w:t>
      </w:r>
      <w:proofErr w:type="spellStart"/>
      <w:r w:rsidRPr="00845FBC">
        <w:rPr>
          <w:lang w:val="fr-FR"/>
        </w:rPr>
        <w:t>aut</w:t>
      </w:r>
      <w:proofErr w:type="spellEnd"/>
      <w:r w:rsidRPr="00845FBC">
        <w:rPr>
          <w:lang w:val="fr-FR"/>
        </w:rPr>
        <w:t xml:space="preserve"> </w:t>
      </w:r>
      <w:proofErr w:type="spellStart"/>
      <w:r w:rsidRPr="00845FBC">
        <w:rPr>
          <w:lang w:val="fr-FR"/>
        </w:rPr>
        <w:t>domum</w:t>
      </w:r>
      <w:proofErr w:type="spellEnd"/>
      <w:r w:rsidRPr="00845FBC">
        <w:rPr>
          <w:lang w:val="fr-FR"/>
        </w:rPr>
        <w:t xml:space="preserve">, </w:t>
      </w:r>
      <w:proofErr w:type="spellStart"/>
      <w:r w:rsidRPr="00845FBC">
        <w:rPr>
          <w:lang w:val="fr-FR"/>
        </w:rPr>
        <w:t>cogerentur</w:t>
      </w:r>
      <w:proofErr w:type="spellEnd"/>
      <w:r w:rsidRPr="00845FBC">
        <w:rPr>
          <w:lang w:val="fr-FR"/>
        </w:rPr>
        <w:t xml:space="preserve"> </w:t>
      </w:r>
      <w:proofErr w:type="spellStart"/>
      <w:r w:rsidRPr="00845FBC">
        <w:rPr>
          <w:lang w:val="fr-FR"/>
        </w:rPr>
        <w:t>huiusmodi</w:t>
      </w:r>
      <w:proofErr w:type="spellEnd"/>
      <w:r w:rsidRPr="00845FBC">
        <w:rPr>
          <w:lang w:val="fr-FR"/>
        </w:rPr>
        <w:t xml:space="preserve"> </w:t>
      </w:r>
      <w:proofErr w:type="spellStart"/>
      <w:r w:rsidRPr="00845FBC">
        <w:rPr>
          <w:lang w:val="fr-FR"/>
        </w:rPr>
        <w:t>res</w:t>
      </w:r>
      <w:proofErr w:type="spellEnd"/>
      <w:r w:rsidRPr="00845FBC">
        <w:rPr>
          <w:lang w:val="fr-FR"/>
        </w:rPr>
        <w:t xml:space="preserve"> pro vili </w:t>
      </w:r>
      <w:proofErr w:type="spellStart"/>
      <w:r w:rsidRPr="00845FBC">
        <w:rPr>
          <w:lang w:val="fr-FR"/>
        </w:rPr>
        <w:t>pretio</w:t>
      </w:r>
      <w:proofErr w:type="spellEnd"/>
      <w:r w:rsidRPr="00845FBC">
        <w:rPr>
          <w:lang w:val="fr-FR"/>
        </w:rPr>
        <w:t xml:space="preserve"> </w:t>
      </w:r>
      <w:proofErr w:type="spellStart"/>
      <w:r w:rsidRPr="00845FBC">
        <w:rPr>
          <w:lang w:val="fr-FR"/>
        </w:rPr>
        <w:t>distrahere</w:t>
      </w:r>
      <w:proofErr w:type="spellEnd"/>
      <w:r w:rsidRPr="00845FBC">
        <w:rPr>
          <w:lang w:val="fr-FR"/>
        </w:rPr>
        <w:t xml:space="preserve">, ut </w:t>
      </w:r>
      <w:proofErr w:type="spellStart"/>
      <w:r w:rsidRPr="00845FBC">
        <w:rPr>
          <w:lang w:val="fr-FR"/>
        </w:rPr>
        <w:t>triticum</w:t>
      </w:r>
      <w:proofErr w:type="spellEnd"/>
      <w:r w:rsidRPr="00845FBC">
        <w:rPr>
          <w:lang w:val="fr-FR"/>
        </w:rPr>
        <w:t xml:space="preserve"> </w:t>
      </w:r>
      <w:proofErr w:type="spellStart"/>
      <w:proofErr w:type="gramStart"/>
      <w:r w:rsidRPr="00845FBC">
        <w:rPr>
          <w:lang w:val="fr-FR"/>
        </w:rPr>
        <w:t>emant</w:t>
      </w:r>
      <w:proofErr w:type="spellEnd"/>
      <w:r w:rsidRPr="00845FBC">
        <w:rPr>
          <w:lang w:val="fr-FR"/>
        </w:rPr>
        <w:t>;</w:t>
      </w:r>
      <w:proofErr w:type="gramEnd"/>
      <w:r w:rsidRPr="00845FBC">
        <w:rPr>
          <w:lang w:val="fr-FR"/>
        </w:rPr>
        <w:t xml:space="preserve"> </w:t>
      </w:r>
      <w:proofErr w:type="spellStart"/>
      <w:r w:rsidRPr="00845FBC">
        <w:rPr>
          <w:lang w:val="fr-FR"/>
        </w:rPr>
        <w:t>aut</w:t>
      </w:r>
      <w:proofErr w:type="spellEnd"/>
      <w:r w:rsidRPr="00845FBC">
        <w:rPr>
          <w:lang w:val="fr-FR"/>
        </w:rPr>
        <w:t xml:space="preserve"> </w:t>
      </w:r>
      <w:proofErr w:type="spellStart"/>
      <w:r w:rsidRPr="00845FBC">
        <w:rPr>
          <w:lang w:val="fr-FR"/>
        </w:rPr>
        <w:t>certe</w:t>
      </w:r>
      <w:proofErr w:type="spellEnd"/>
      <w:r w:rsidRPr="00845FBC">
        <w:rPr>
          <w:lang w:val="fr-FR"/>
        </w:rPr>
        <w:t xml:space="preserve"> </w:t>
      </w:r>
      <w:proofErr w:type="spellStart"/>
      <w:r w:rsidRPr="00845FBC">
        <w:rPr>
          <w:lang w:val="fr-FR"/>
        </w:rPr>
        <w:t>ipsis</w:t>
      </w:r>
      <w:proofErr w:type="spellEnd"/>
      <w:r w:rsidRPr="00845FBC">
        <w:rPr>
          <w:lang w:val="fr-FR"/>
        </w:rPr>
        <w:t xml:space="preserve"> </w:t>
      </w:r>
      <w:proofErr w:type="spellStart"/>
      <w:r w:rsidRPr="00845FBC">
        <w:rPr>
          <w:lang w:val="fr-FR"/>
        </w:rPr>
        <w:t>venditoribus</w:t>
      </w:r>
      <w:proofErr w:type="spellEnd"/>
      <w:r w:rsidRPr="00845FBC">
        <w:rPr>
          <w:lang w:val="fr-FR"/>
        </w:rPr>
        <w:t xml:space="preserve">, </w:t>
      </w:r>
      <w:proofErr w:type="spellStart"/>
      <w:r w:rsidRPr="00845FBC">
        <w:rPr>
          <w:lang w:val="fr-FR"/>
        </w:rPr>
        <w:t>eas</w:t>
      </w:r>
      <w:proofErr w:type="spellEnd"/>
      <w:r w:rsidRPr="00845FBC">
        <w:rPr>
          <w:lang w:val="fr-FR"/>
        </w:rPr>
        <w:t xml:space="preserve"> pro pane </w:t>
      </w:r>
      <w:proofErr w:type="spellStart"/>
      <w:r w:rsidRPr="00845FBC">
        <w:rPr>
          <w:lang w:val="fr-FR"/>
        </w:rPr>
        <w:t>comedendo</w:t>
      </w:r>
      <w:proofErr w:type="spellEnd"/>
      <w:r w:rsidRPr="00845FBC">
        <w:rPr>
          <w:lang w:val="fr-FR"/>
        </w:rPr>
        <w:t xml:space="preserve"> </w:t>
      </w:r>
      <w:proofErr w:type="spellStart"/>
      <w:r w:rsidRPr="00845FBC">
        <w:rPr>
          <w:lang w:val="fr-FR"/>
        </w:rPr>
        <w:t>permutare</w:t>
      </w:r>
      <w:proofErr w:type="spellEnd"/>
      <w:r w:rsidRPr="00845FBC">
        <w:rPr>
          <w:lang w:val="fr-FR"/>
        </w:rPr>
        <w:t xml:space="preserve">: &amp; </w:t>
      </w:r>
      <w:proofErr w:type="spellStart"/>
      <w:r w:rsidRPr="00845FBC">
        <w:rPr>
          <w:lang w:val="fr-FR"/>
        </w:rPr>
        <w:t>ita</w:t>
      </w:r>
      <w:proofErr w:type="spellEnd"/>
      <w:r w:rsidRPr="00845FBC">
        <w:rPr>
          <w:lang w:val="fr-FR"/>
        </w:rPr>
        <w:t xml:space="preserve"> </w:t>
      </w:r>
      <w:proofErr w:type="spellStart"/>
      <w:r w:rsidRPr="00845FBC">
        <w:rPr>
          <w:lang w:val="fr-FR"/>
        </w:rPr>
        <w:t>fieret</w:t>
      </w:r>
      <w:proofErr w:type="spellEnd"/>
      <w:r w:rsidRPr="00845FBC">
        <w:rPr>
          <w:lang w:val="fr-FR"/>
        </w:rPr>
        <w:t xml:space="preserve">, ut in </w:t>
      </w:r>
      <w:proofErr w:type="spellStart"/>
      <w:r w:rsidRPr="00845FBC">
        <w:rPr>
          <w:lang w:val="fr-FR"/>
        </w:rPr>
        <w:t>republica</w:t>
      </w:r>
      <w:proofErr w:type="spellEnd"/>
      <w:r w:rsidRPr="00845FBC">
        <w:rPr>
          <w:lang w:val="fr-FR"/>
        </w:rPr>
        <w:t xml:space="preserve"> qui </w:t>
      </w:r>
      <w:proofErr w:type="spellStart"/>
      <w:r w:rsidRPr="00845FBC">
        <w:rPr>
          <w:lang w:val="fr-FR"/>
        </w:rPr>
        <w:t>triticum</w:t>
      </w:r>
      <w:proofErr w:type="spellEnd"/>
      <w:r w:rsidRPr="00845FBC">
        <w:rPr>
          <w:lang w:val="fr-FR"/>
        </w:rPr>
        <w:t xml:space="preserve"> </w:t>
      </w:r>
      <w:proofErr w:type="spellStart"/>
      <w:r w:rsidRPr="00845FBC">
        <w:rPr>
          <w:lang w:val="fr-FR"/>
        </w:rPr>
        <w:t>venale</w:t>
      </w:r>
      <w:proofErr w:type="spellEnd"/>
      <w:r w:rsidRPr="00845FBC">
        <w:rPr>
          <w:lang w:val="fr-FR"/>
        </w:rPr>
        <w:t xml:space="preserve"> </w:t>
      </w:r>
      <w:proofErr w:type="spellStart"/>
      <w:r w:rsidRPr="00845FBC">
        <w:rPr>
          <w:lang w:val="fr-FR"/>
        </w:rPr>
        <w:t>habent</w:t>
      </w:r>
      <w:proofErr w:type="spellEnd"/>
      <w:r w:rsidRPr="00845FBC">
        <w:rPr>
          <w:lang w:val="fr-FR"/>
        </w:rPr>
        <w:t xml:space="preserve">, </w:t>
      </w:r>
      <w:proofErr w:type="spellStart"/>
      <w:r w:rsidRPr="00845FBC">
        <w:rPr>
          <w:lang w:val="fr-FR"/>
        </w:rPr>
        <w:t>aliorum</w:t>
      </w:r>
      <w:proofErr w:type="spellEnd"/>
      <w:r w:rsidRPr="00845FBC">
        <w:rPr>
          <w:lang w:val="fr-FR"/>
        </w:rPr>
        <w:t xml:space="preserve"> </w:t>
      </w:r>
      <w:proofErr w:type="spellStart"/>
      <w:r w:rsidRPr="00845FBC">
        <w:rPr>
          <w:lang w:val="fr-FR"/>
        </w:rPr>
        <w:t>possessiones</w:t>
      </w:r>
      <w:proofErr w:type="spellEnd"/>
      <w:r w:rsidRPr="00845FBC">
        <w:rPr>
          <w:lang w:val="fr-FR"/>
        </w:rPr>
        <w:t xml:space="preserve">, &amp; facultates </w:t>
      </w:r>
      <w:proofErr w:type="spellStart"/>
      <w:r w:rsidRPr="00845FBC">
        <w:rPr>
          <w:lang w:val="fr-FR"/>
        </w:rPr>
        <w:t>brevissime</w:t>
      </w:r>
      <w:proofErr w:type="spellEnd"/>
      <w:r w:rsidRPr="00845FBC">
        <w:rPr>
          <w:lang w:val="fr-FR"/>
        </w:rPr>
        <w:t xml:space="preserve"> </w:t>
      </w:r>
      <w:proofErr w:type="spellStart"/>
      <w:r w:rsidRPr="00845FBC">
        <w:rPr>
          <w:lang w:val="fr-FR"/>
        </w:rPr>
        <w:t>exhaurirent</w:t>
      </w:r>
      <w:proofErr w:type="spellEnd"/>
      <w:r w:rsidRPr="00845FBC">
        <w:rPr>
          <w:lang w:val="fr-FR"/>
        </w:rPr>
        <w:t xml:space="preserve">, &amp; </w:t>
      </w:r>
      <w:proofErr w:type="spellStart"/>
      <w:r w:rsidRPr="00845FBC">
        <w:rPr>
          <w:lang w:val="fr-FR"/>
        </w:rPr>
        <w:t>ditissimi</w:t>
      </w:r>
      <w:proofErr w:type="spellEnd"/>
      <w:r w:rsidRPr="00845FBC">
        <w:rPr>
          <w:lang w:val="fr-FR"/>
        </w:rPr>
        <w:t xml:space="preserve"> </w:t>
      </w:r>
      <w:proofErr w:type="spellStart"/>
      <w:r w:rsidRPr="00845FBC">
        <w:rPr>
          <w:lang w:val="fr-FR"/>
        </w:rPr>
        <w:t>fierent</w:t>
      </w:r>
      <w:proofErr w:type="spellEnd"/>
      <w:r w:rsidRPr="00845FBC">
        <w:rPr>
          <w:lang w:val="fr-FR"/>
        </w:rPr>
        <w:t xml:space="preserve">, </w:t>
      </w:r>
      <w:proofErr w:type="spellStart"/>
      <w:r w:rsidRPr="00845FBC">
        <w:rPr>
          <w:lang w:val="fr-FR"/>
        </w:rPr>
        <w:t>caeteris</w:t>
      </w:r>
      <w:proofErr w:type="spellEnd"/>
      <w:r w:rsidRPr="00845FBC">
        <w:rPr>
          <w:lang w:val="fr-FR"/>
        </w:rPr>
        <w:t xml:space="preserve"> in </w:t>
      </w:r>
      <w:proofErr w:type="spellStart"/>
      <w:r w:rsidRPr="00845FBC">
        <w:rPr>
          <w:lang w:val="fr-FR"/>
        </w:rPr>
        <w:t>summa</w:t>
      </w:r>
      <w:proofErr w:type="spellEnd"/>
      <w:r w:rsidRPr="00845FBC">
        <w:rPr>
          <w:lang w:val="fr-FR"/>
        </w:rPr>
        <w:t xml:space="preserve"> </w:t>
      </w:r>
      <w:proofErr w:type="spellStart"/>
      <w:r>
        <w:rPr>
          <w:lang w:val="fr-FR"/>
        </w:rPr>
        <w:t>miseria</w:t>
      </w:r>
      <w:proofErr w:type="spellEnd"/>
      <w:r>
        <w:rPr>
          <w:lang w:val="fr-FR"/>
        </w:rPr>
        <w:t xml:space="preserve"> &amp; </w:t>
      </w:r>
      <w:proofErr w:type="spellStart"/>
      <w:r>
        <w:rPr>
          <w:lang w:val="fr-FR"/>
        </w:rPr>
        <w:t>inopia</w:t>
      </w:r>
      <w:proofErr w:type="spellEnd"/>
      <w:r>
        <w:rPr>
          <w:lang w:val="fr-FR"/>
        </w:rPr>
        <w:t xml:space="preserve"> </w:t>
      </w:r>
      <w:proofErr w:type="spellStart"/>
      <w:r>
        <w:rPr>
          <w:lang w:val="fr-FR"/>
        </w:rPr>
        <w:t>permanentibus</w:t>
      </w:r>
      <w:proofErr w:type="spellEnd"/>
      <w:r>
        <w:rPr>
          <w:lang w:val="fr-FR"/>
        </w:rPr>
        <w:t>,</w:t>
      </w:r>
      <w:r w:rsidRPr="00845FBC">
        <w:rPr>
          <w:lang w:val="fr-FR"/>
        </w:rPr>
        <w:t xml:space="preserve">” Medina, </w:t>
      </w:r>
      <w:r w:rsidRPr="00845FBC">
        <w:rPr>
          <w:i/>
          <w:lang w:val="fr-FR"/>
        </w:rPr>
        <w:t xml:space="preserve">De </w:t>
      </w:r>
      <w:proofErr w:type="spellStart"/>
      <w:r w:rsidRPr="00845FBC">
        <w:rPr>
          <w:i/>
          <w:lang w:val="fr-FR"/>
        </w:rPr>
        <w:t>restitutione</w:t>
      </w:r>
      <w:proofErr w:type="spellEnd"/>
      <w:r w:rsidRPr="00845FBC">
        <w:rPr>
          <w:lang w:val="fr-FR"/>
        </w:rPr>
        <w:t>, 218 (</w:t>
      </w:r>
      <w:proofErr w:type="spellStart"/>
      <w:r w:rsidRPr="00845FBC">
        <w:rPr>
          <w:lang w:val="fr-FR"/>
        </w:rPr>
        <w:t>quaest</w:t>
      </w:r>
      <w:proofErr w:type="spellEnd"/>
      <w:r w:rsidRPr="00845FBC">
        <w:rPr>
          <w:lang w:val="fr-FR"/>
        </w:rPr>
        <w:t>. 37)</w:t>
      </w:r>
      <w:r>
        <w:rPr>
          <w:lang w:val="fr-FR"/>
        </w:rPr>
        <w:t>.</w:t>
      </w:r>
      <w:r w:rsidRPr="00845FBC">
        <w:rPr>
          <w:lang w:val="fr-FR"/>
        </w:rPr>
        <w:t xml:space="preserve"> </w:t>
      </w:r>
    </w:p>
  </w:footnote>
  <w:footnote w:id="45">
    <w:p w14:paraId="316CF082" w14:textId="1986619B" w:rsidR="000D006E" w:rsidRPr="00845FBC" w:rsidRDefault="000D006E" w:rsidP="00845FBC">
      <w:pPr>
        <w:pStyle w:val="Funotentext"/>
        <w:contextualSpacing/>
      </w:pPr>
      <w:r w:rsidRPr="00845FBC">
        <w:rPr>
          <w:rStyle w:val="Funotenzeichen"/>
        </w:rPr>
        <w:footnoteRef/>
      </w:r>
      <w:r w:rsidRPr="00845FBC">
        <w:t xml:space="preserve"> </w:t>
      </w:r>
      <w:r w:rsidRPr="00845FBC">
        <w:rPr>
          <w:lang w:val="fr-FR"/>
        </w:rPr>
        <w:t xml:space="preserve">Medina, </w:t>
      </w:r>
      <w:r w:rsidRPr="00845FBC">
        <w:rPr>
          <w:i/>
          <w:lang w:val="fr-FR"/>
        </w:rPr>
        <w:t xml:space="preserve">De </w:t>
      </w:r>
      <w:proofErr w:type="spellStart"/>
      <w:r w:rsidRPr="00845FBC">
        <w:rPr>
          <w:i/>
          <w:lang w:val="fr-FR"/>
        </w:rPr>
        <w:t>restitutione</w:t>
      </w:r>
      <w:proofErr w:type="spellEnd"/>
      <w:r w:rsidRPr="00845FBC">
        <w:rPr>
          <w:lang w:val="fr-FR"/>
        </w:rPr>
        <w:t>, 218</w:t>
      </w:r>
      <w:r w:rsidRPr="00845FBC">
        <w:t>.</w:t>
      </w:r>
    </w:p>
  </w:footnote>
  <w:footnote w:id="46">
    <w:p w14:paraId="0F67B63D" w14:textId="77777777" w:rsidR="000D006E" w:rsidRPr="00845FBC" w:rsidRDefault="000D006E" w:rsidP="00845FBC">
      <w:pPr>
        <w:pStyle w:val="Funotentext"/>
        <w:contextualSpacing/>
        <w:rPr>
          <w:lang w:val="fr-FR"/>
        </w:rPr>
      </w:pPr>
      <w:r w:rsidRPr="00845FBC">
        <w:rPr>
          <w:rStyle w:val="Funotenzeichen"/>
        </w:rPr>
        <w:footnoteRef/>
      </w:r>
      <w:r w:rsidRPr="00845FBC">
        <w:t xml:space="preserve"> </w:t>
      </w:r>
      <w:proofErr w:type="spellStart"/>
      <w:r w:rsidRPr="00845FBC">
        <w:t>Mexía</w:t>
      </w:r>
      <w:proofErr w:type="spellEnd"/>
      <w:r w:rsidRPr="00845FBC">
        <w:t xml:space="preserve">, </w:t>
      </w:r>
      <w:proofErr w:type="spellStart"/>
      <w:r w:rsidRPr="00845FBC">
        <w:rPr>
          <w:i/>
        </w:rPr>
        <w:t>Laconismus</w:t>
      </w:r>
      <w:proofErr w:type="spellEnd"/>
      <w:r w:rsidRPr="00845FBC">
        <w:t>, fol. 30v (</w:t>
      </w:r>
      <w:proofErr w:type="spellStart"/>
      <w:r w:rsidRPr="00845FBC">
        <w:t>concl</w:t>
      </w:r>
      <w:proofErr w:type="spellEnd"/>
      <w:r w:rsidRPr="00845FBC">
        <w:t xml:space="preserve">. </w:t>
      </w:r>
      <w:r w:rsidRPr="00845FBC">
        <w:rPr>
          <w:lang w:val="fr-FR"/>
        </w:rPr>
        <w:t>1, nu 128).</w:t>
      </w:r>
    </w:p>
  </w:footnote>
  <w:footnote w:id="47">
    <w:p w14:paraId="18C7085F" w14:textId="02874320" w:rsidR="000D006E" w:rsidRPr="00845FBC" w:rsidRDefault="000D006E" w:rsidP="00845FBC">
      <w:pPr>
        <w:pStyle w:val="Funotentext"/>
        <w:contextualSpacing/>
        <w:rPr>
          <w:noProof/>
        </w:rPr>
      </w:pPr>
      <w:r w:rsidRPr="00845FBC">
        <w:rPr>
          <w:rStyle w:val="Funotenzeichen"/>
          <w:noProof/>
        </w:rPr>
        <w:footnoteRef/>
      </w:r>
      <w:r w:rsidRPr="00845FBC">
        <w:rPr>
          <w:noProof/>
          <w:lang w:val="fr-FR"/>
        </w:rPr>
        <w:t xml:space="preserve"> </w:t>
      </w:r>
      <w:r>
        <w:rPr>
          <w:noProof/>
          <w:lang w:val="it-IT"/>
        </w:rPr>
        <w:t>“I</w:t>
      </w:r>
      <w:r w:rsidRPr="00845FBC">
        <w:rPr>
          <w:noProof/>
          <w:lang w:val="it-IT"/>
        </w:rPr>
        <w:t>ustitiam esse</w:t>
      </w:r>
      <w:r>
        <w:rPr>
          <w:noProof/>
          <w:lang w:val="it-IT"/>
        </w:rPr>
        <w:t xml:space="preserve"> . . . </w:t>
      </w:r>
      <w:r w:rsidRPr="00845FBC">
        <w:rPr>
          <w:noProof/>
          <w:lang w:val="it-IT"/>
        </w:rPr>
        <w:t xml:space="preserve">habitum animi, communi utilitate conservata, suam cuique tribuentem dignitatem; </w:t>
      </w:r>
      <w:r>
        <w:rPr>
          <w:noProof/>
          <w:lang w:val="it-IT"/>
        </w:rPr>
        <w:t xml:space="preserve">. . . </w:t>
      </w:r>
      <w:r w:rsidRPr="00845FBC">
        <w:rPr>
          <w:noProof/>
          <w:lang w:val="it-IT"/>
        </w:rPr>
        <w:t>esse aequitatem, unicuique tribuen</w:t>
      </w:r>
      <w:r>
        <w:rPr>
          <w:noProof/>
          <w:lang w:val="it-IT"/>
        </w:rPr>
        <w:t>tem pro dignitate uniuscuiusque,</w:t>
      </w:r>
      <w:r w:rsidRPr="00845FBC">
        <w:rPr>
          <w:noProof/>
          <w:lang w:val="it-IT"/>
        </w:rPr>
        <w:t xml:space="preserve">” </w:t>
      </w:r>
      <w:r w:rsidRPr="00845FBC">
        <w:rPr>
          <w:noProof/>
          <w:lang w:val="fr-FR"/>
        </w:rPr>
        <w:t xml:space="preserve">Mexía, </w:t>
      </w:r>
      <w:r w:rsidRPr="00845FBC">
        <w:rPr>
          <w:i/>
          <w:noProof/>
          <w:lang w:val="fr-FR"/>
        </w:rPr>
        <w:t>Laconismus</w:t>
      </w:r>
      <w:r w:rsidRPr="00845FBC">
        <w:rPr>
          <w:noProof/>
          <w:lang w:val="fr-FR"/>
        </w:rPr>
        <w:t xml:space="preserve">, fol. 26r (concl. </w:t>
      </w:r>
      <w:r w:rsidRPr="00845FBC">
        <w:rPr>
          <w:noProof/>
          <w:lang w:val="it-IT"/>
        </w:rPr>
        <w:t>1, nu. 94)</w:t>
      </w:r>
      <w:r>
        <w:rPr>
          <w:noProof/>
          <w:lang w:val="it-IT"/>
        </w:rPr>
        <w:t>.</w:t>
      </w:r>
      <w:r w:rsidRPr="00845FBC">
        <w:rPr>
          <w:noProof/>
          <w:lang w:val="it-IT"/>
        </w:rPr>
        <w:t xml:space="preserve"> </w:t>
      </w:r>
      <w:r w:rsidRPr="00845FBC">
        <w:rPr>
          <w:noProof/>
        </w:rPr>
        <w:t xml:space="preserve">The first quotation is an inaccurate rendering of Cicero, </w:t>
      </w:r>
      <w:r w:rsidRPr="00845FBC">
        <w:rPr>
          <w:i/>
          <w:noProof/>
        </w:rPr>
        <w:t>De finibus</w:t>
      </w:r>
      <w:r w:rsidRPr="00845FBC">
        <w:rPr>
          <w:noProof/>
        </w:rPr>
        <w:t xml:space="preserve">, </w:t>
      </w:r>
      <w:r>
        <w:rPr>
          <w:noProof/>
        </w:rPr>
        <w:t>5</w:t>
      </w:r>
      <w:r w:rsidRPr="00845FBC">
        <w:rPr>
          <w:noProof/>
        </w:rPr>
        <w:t>.23</w:t>
      </w:r>
      <w:r>
        <w:rPr>
          <w:noProof/>
        </w:rPr>
        <w:t>.</w:t>
      </w:r>
      <w:r w:rsidRPr="00845FBC">
        <w:rPr>
          <w:noProof/>
        </w:rPr>
        <w:t xml:space="preserve"> </w:t>
      </w:r>
      <w:r>
        <w:rPr>
          <w:noProof/>
        </w:rPr>
        <w:t>T</w:t>
      </w:r>
      <w:r w:rsidRPr="00845FBC">
        <w:rPr>
          <w:noProof/>
        </w:rPr>
        <w:t xml:space="preserve">he second quotation </w:t>
      </w:r>
      <w:r>
        <w:rPr>
          <w:noProof/>
        </w:rPr>
        <w:t xml:space="preserve">is </w:t>
      </w:r>
      <w:r w:rsidRPr="00845FBC">
        <w:rPr>
          <w:noProof/>
        </w:rPr>
        <w:t xml:space="preserve">an inaccurate rendering of Cicero, </w:t>
      </w:r>
      <w:r w:rsidRPr="00845FBC">
        <w:rPr>
          <w:i/>
          <w:noProof/>
        </w:rPr>
        <w:t>Ad Herennium</w:t>
      </w:r>
      <w:r w:rsidRPr="00845FBC">
        <w:rPr>
          <w:noProof/>
        </w:rPr>
        <w:t xml:space="preserve">, </w:t>
      </w:r>
      <w:r>
        <w:rPr>
          <w:noProof/>
        </w:rPr>
        <w:t>3</w:t>
      </w:r>
      <w:r w:rsidRPr="00845FBC">
        <w:rPr>
          <w:noProof/>
        </w:rPr>
        <w:t>.2.</w:t>
      </w:r>
    </w:p>
  </w:footnote>
  <w:footnote w:id="48">
    <w:p w14:paraId="2698DF8F" w14:textId="77777777"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Mexía, </w:t>
      </w:r>
      <w:r w:rsidRPr="00845FBC">
        <w:rPr>
          <w:i/>
          <w:noProof/>
          <w:lang w:val="fr-FR"/>
        </w:rPr>
        <w:t>Laconismus</w:t>
      </w:r>
      <w:r w:rsidRPr="00845FBC">
        <w:rPr>
          <w:noProof/>
          <w:lang w:val="fr-FR"/>
        </w:rPr>
        <w:t>, fol. 26r (concl. 1, nu. 94).</w:t>
      </w:r>
    </w:p>
  </w:footnote>
  <w:footnote w:id="49">
    <w:p w14:paraId="448F2DB8" w14:textId="1A26DEB8"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Summenhart, </w:t>
      </w:r>
      <w:r w:rsidRPr="00845FBC">
        <w:rPr>
          <w:i/>
          <w:noProof/>
          <w:lang w:val="fr-FR"/>
        </w:rPr>
        <w:t>De contractibus</w:t>
      </w:r>
      <w:r w:rsidRPr="00845FBC">
        <w:rPr>
          <w:noProof/>
          <w:lang w:val="fr-FR"/>
        </w:rPr>
        <w:t>, 263–64.</w:t>
      </w:r>
    </w:p>
  </w:footnote>
  <w:footnote w:id="50">
    <w:p w14:paraId="705C3FD5" w14:textId="3FF4C70A"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Summenhart, </w:t>
      </w:r>
      <w:r w:rsidRPr="00845FBC">
        <w:rPr>
          <w:i/>
          <w:noProof/>
          <w:lang w:val="fr-FR"/>
        </w:rPr>
        <w:t>De contractibus</w:t>
      </w:r>
      <w:r w:rsidRPr="00845FBC">
        <w:rPr>
          <w:noProof/>
          <w:lang w:val="fr-FR"/>
        </w:rPr>
        <w:t>, 264.</w:t>
      </w:r>
    </w:p>
  </w:footnote>
  <w:footnote w:id="51">
    <w:p w14:paraId="215E3E50" w14:textId="5E5C39B9"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“Si rusticus, vel nobilis miles, aequali labore &amp; periculo pugnent pro republica: nihilominus ob nobilitatem &amp; dignitatem personae militis maius stipendium ei dandum est, ut </w:t>
      </w:r>
      <w:r>
        <w:rPr>
          <w:noProof/>
          <w:lang w:val="fr-FR"/>
        </w:rPr>
        <w:t>salvetur iustitia distributiva,</w:t>
      </w:r>
      <w:r w:rsidRPr="00845FBC">
        <w:rPr>
          <w:noProof/>
          <w:lang w:val="fr-FR"/>
        </w:rPr>
        <w:t>”</w:t>
      </w:r>
      <w:r>
        <w:rPr>
          <w:noProof/>
          <w:lang w:val="fr-FR"/>
        </w:rPr>
        <w:t xml:space="preserve"> </w:t>
      </w:r>
      <w:r w:rsidRPr="00845FBC">
        <w:rPr>
          <w:noProof/>
          <w:lang w:val="fr-FR"/>
        </w:rPr>
        <w:t xml:space="preserve">Summenhart, </w:t>
      </w:r>
      <w:r w:rsidRPr="00845FBC">
        <w:rPr>
          <w:i/>
          <w:noProof/>
          <w:lang w:val="fr-FR"/>
        </w:rPr>
        <w:t>De contractibus</w:t>
      </w:r>
      <w:r w:rsidRPr="00845FBC">
        <w:rPr>
          <w:noProof/>
          <w:lang w:val="fr-FR"/>
        </w:rPr>
        <w:t>, 262</w:t>
      </w:r>
      <w:r>
        <w:rPr>
          <w:noProof/>
          <w:lang w:val="fr-FR"/>
        </w:rPr>
        <w:t>.</w:t>
      </w:r>
      <w:r w:rsidRPr="00845FBC">
        <w:rPr>
          <w:noProof/>
          <w:lang w:val="fr-FR"/>
        </w:rPr>
        <w:t xml:space="preserve"> </w:t>
      </w:r>
    </w:p>
  </w:footnote>
  <w:footnote w:id="52">
    <w:p w14:paraId="0218CF7A" w14:textId="1E55B987"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Mexía, </w:t>
      </w:r>
      <w:r w:rsidRPr="00845FBC">
        <w:rPr>
          <w:i/>
          <w:noProof/>
          <w:lang w:val="fr-FR"/>
        </w:rPr>
        <w:t>Laconismus</w:t>
      </w:r>
      <w:r w:rsidRPr="00845FBC">
        <w:rPr>
          <w:noProof/>
          <w:lang w:val="fr-FR"/>
        </w:rPr>
        <w:t>, fol. 22v (concl. 1, nu. 70).</w:t>
      </w:r>
    </w:p>
  </w:footnote>
  <w:footnote w:id="53">
    <w:p w14:paraId="4CBEC465" w14:textId="1E5A6BF9"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Summenhart, </w:t>
      </w:r>
      <w:r w:rsidRPr="00845FBC">
        <w:rPr>
          <w:i/>
          <w:noProof/>
          <w:lang w:val="fr-FR"/>
        </w:rPr>
        <w:t>De contractibus</w:t>
      </w:r>
      <w:r w:rsidRPr="00845FBC">
        <w:rPr>
          <w:noProof/>
          <w:lang w:val="fr-FR"/>
        </w:rPr>
        <w:t>, 262.</w:t>
      </w:r>
    </w:p>
  </w:footnote>
  <w:footnote w:id="54">
    <w:p w14:paraId="51804923" w14:textId="32AB7F91"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“Servandaque eri</w:t>
      </w:r>
      <w:r>
        <w:rPr>
          <w:noProof/>
          <w:lang w:val="fr-FR"/>
        </w:rPr>
        <w:t xml:space="preserve">t in distributione aequalitas. . . . </w:t>
      </w:r>
      <w:r w:rsidRPr="00845FBC">
        <w:rPr>
          <w:noProof/>
          <w:lang w:val="fr-FR"/>
        </w:rPr>
        <w:t>Ita tamen, ut pro uniuscuiusque vicini indigentia, elargiatur, &amp; communicatur usus pauperi, ut pauperi; &amp; honestioribus, sua, ut exigunt qualitates</w:t>
      </w:r>
      <w:r>
        <w:rPr>
          <w:noProof/>
          <w:lang w:val="fr-FR"/>
        </w:rPr>
        <w:t>,</w:t>
      </w:r>
      <w:r w:rsidRPr="00845FBC">
        <w:rPr>
          <w:noProof/>
          <w:lang w:val="fr-FR"/>
        </w:rPr>
        <w:t>”</w:t>
      </w:r>
      <w:r>
        <w:rPr>
          <w:noProof/>
          <w:lang w:val="fr-FR"/>
        </w:rPr>
        <w:t xml:space="preserve"> </w:t>
      </w:r>
      <w:r w:rsidRPr="00845FBC">
        <w:rPr>
          <w:noProof/>
          <w:lang w:val="fr-FR"/>
        </w:rPr>
        <w:t xml:space="preserve">Mexía, </w:t>
      </w:r>
      <w:r w:rsidRPr="00845FBC">
        <w:rPr>
          <w:i/>
          <w:noProof/>
          <w:lang w:val="fr-FR"/>
        </w:rPr>
        <w:t>Laconismus</w:t>
      </w:r>
      <w:r w:rsidRPr="00845FBC">
        <w:rPr>
          <w:noProof/>
          <w:lang w:val="fr-FR"/>
        </w:rPr>
        <w:t>, fol. 18r (concl. 1, nu. 42)</w:t>
      </w:r>
      <w:r>
        <w:rPr>
          <w:noProof/>
          <w:lang w:val="fr-FR"/>
        </w:rPr>
        <w:t>.</w:t>
      </w:r>
      <w:r w:rsidRPr="00845FBC">
        <w:rPr>
          <w:noProof/>
          <w:lang w:val="fr-FR"/>
        </w:rPr>
        <w:t xml:space="preserve"> </w:t>
      </w:r>
    </w:p>
  </w:footnote>
  <w:footnote w:id="55">
    <w:p w14:paraId="7181602C" w14:textId="7849A8D3" w:rsidR="000D006E" w:rsidRPr="00845FBC" w:rsidRDefault="000D006E" w:rsidP="00845FBC">
      <w:pPr>
        <w:pStyle w:val="berschrift1"/>
        <w:spacing w:before="0" w:beforeAutospacing="0" w:after="0" w:afterAutospacing="0"/>
        <w:contextualSpacing/>
        <w:rPr>
          <w:b w:val="0"/>
          <w:noProof/>
          <w:sz w:val="20"/>
          <w:szCs w:val="20"/>
          <w:lang w:val="fr-FR"/>
        </w:rPr>
      </w:pPr>
      <w:r w:rsidRPr="00845FBC">
        <w:rPr>
          <w:rStyle w:val="Funotenzeichen"/>
          <w:b w:val="0"/>
          <w:noProof/>
          <w:sz w:val="20"/>
          <w:szCs w:val="20"/>
          <w:lang w:val="en-US"/>
        </w:rPr>
        <w:footnoteRef/>
      </w:r>
      <w:r w:rsidRPr="00845FBC">
        <w:rPr>
          <w:b w:val="0"/>
          <w:noProof/>
          <w:sz w:val="20"/>
          <w:szCs w:val="20"/>
          <w:lang w:val="fr-FR"/>
        </w:rPr>
        <w:t xml:space="preserve"> Marcus Salón de Paz, </w:t>
      </w:r>
      <w:r w:rsidRPr="00845FBC">
        <w:rPr>
          <w:b w:val="0"/>
          <w:i/>
          <w:noProof/>
          <w:sz w:val="20"/>
          <w:szCs w:val="20"/>
          <w:lang w:val="fr-FR"/>
        </w:rPr>
        <w:t>Ad leges Taurinuas insignes commentarii</w:t>
      </w:r>
      <w:r w:rsidRPr="00845FBC">
        <w:rPr>
          <w:b w:val="0"/>
          <w:noProof/>
          <w:sz w:val="20"/>
          <w:szCs w:val="20"/>
          <w:lang w:val="fr-FR"/>
        </w:rPr>
        <w:t xml:space="preserve"> (Pinciae: Fernandus a Cordoba, 1568), fol. 230v</w:t>
      </w:r>
      <w:r>
        <w:rPr>
          <w:b w:val="0"/>
          <w:noProof/>
          <w:sz w:val="20"/>
          <w:szCs w:val="20"/>
          <w:lang w:val="fr-FR"/>
        </w:rPr>
        <w:t>–</w:t>
      </w:r>
      <w:r w:rsidRPr="00845FBC">
        <w:rPr>
          <w:b w:val="0"/>
          <w:noProof/>
          <w:sz w:val="20"/>
          <w:szCs w:val="20"/>
          <w:lang w:val="fr-FR"/>
        </w:rPr>
        <w:t xml:space="preserve">233r (pars 1, lex 3, concl. 3, nu. 492–509). On Salón de Paz’s political thought, see </w:t>
      </w:r>
      <w:r w:rsidRPr="00845FBC">
        <w:rPr>
          <w:rStyle w:val="addmd"/>
          <w:b w:val="0"/>
          <w:noProof/>
          <w:sz w:val="20"/>
          <w:szCs w:val="20"/>
          <w:lang w:val="fr-FR"/>
        </w:rPr>
        <w:t xml:space="preserve">Salustiano de Dios, </w:t>
      </w:r>
      <w:r w:rsidRPr="00845FBC">
        <w:rPr>
          <w:b w:val="0"/>
          <w:i/>
          <w:noProof/>
          <w:sz w:val="20"/>
          <w:szCs w:val="20"/>
          <w:lang w:val="fr-FR"/>
        </w:rPr>
        <w:t>El poder del monarca en la obra de los juristas castellanos (1480–1680)</w:t>
      </w:r>
      <w:r w:rsidRPr="00845FBC">
        <w:rPr>
          <w:b w:val="0"/>
          <w:noProof/>
          <w:sz w:val="20"/>
          <w:szCs w:val="20"/>
          <w:lang w:val="fr-FR"/>
        </w:rPr>
        <w:t xml:space="preserve"> (Cuenca: Ediciones de la Universidad de Castilla-La Mancha, 2014), 74–83.</w:t>
      </w:r>
    </w:p>
  </w:footnote>
  <w:footnote w:id="56">
    <w:p w14:paraId="258819A5" w14:textId="45C50518"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Salón de Paz, </w:t>
      </w:r>
      <w:r w:rsidRPr="00845FBC">
        <w:rPr>
          <w:i/>
          <w:noProof/>
          <w:lang w:val="fr-FR"/>
        </w:rPr>
        <w:t>Ad leges</w:t>
      </w:r>
      <w:r w:rsidRPr="00845FBC">
        <w:rPr>
          <w:noProof/>
          <w:lang w:val="fr-FR"/>
        </w:rPr>
        <w:t>, fol. 232r</w:t>
      </w:r>
      <w:r>
        <w:rPr>
          <w:noProof/>
          <w:lang w:val="fr-FR"/>
        </w:rPr>
        <w:t>–</w:t>
      </w:r>
      <w:r w:rsidRPr="00845FBC">
        <w:rPr>
          <w:noProof/>
          <w:lang w:val="fr-FR"/>
        </w:rPr>
        <w:t>v (pars 1, lex 3, concl. 3, nu. 502–3).</w:t>
      </w:r>
    </w:p>
  </w:footnote>
  <w:footnote w:id="57">
    <w:p w14:paraId="247DF7A2" w14:textId="59412CEC" w:rsidR="000D006E" w:rsidRPr="00845FBC" w:rsidRDefault="000D006E" w:rsidP="00845FBC">
      <w:pPr>
        <w:pStyle w:val="Funotentext"/>
        <w:contextualSpacing/>
        <w:rPr>
          <w:noProof/>
          <w:lang w:val="fr-FR"/>
        </w:rPr>
      </w:pPr>
      <w:r w:rsidRPr="00845FBC">
        <w:rPr>
          <w:rStyle w:val="Funotenzeichen"/>
          <w:noProof/>
        </w:rPr>
        <w:footnoteRef/>
      </w:r>
      <w:r w:rsidRPr="00845FBC">
        <w:rPr>
          <w:noProof/>
          <w:lang w:val="fr-FR"/>
        </w:rPr>
        <w:t xml:space="preserve"> Salón de Paz, </w:t>
      </w:r>
      <w:r w:rsidRPr="00845FBC">
        <w:rPr>
          <w:i/>
          <w:noProof/>
          <w:lang w:val="fr-FR"/>
        </w:rPr>
        <w:t>Ad leges</w:t>
      </w:r>
      <w:r w:rsidRPr="00845FBC">
        <w:rPr>
          <w:noProof/>
          <w:lang w:val="fr-FR"/>
        </w:rPr>
        <w:t>, fol. 233r</w:t>
      </w:r>
      <w:r>
        <w:rPr>
          <w:noProof/>
          <w:lang w:val="fr-FR"/>
        </w:rPr>
        <w:t>–</w:t>
      </w:r>
      <w:r w:rsidRPr="00845FBC">
        <w:rPr>
          <w:noProof/>
          <w:lang w:val="fr-FR"/>
        </w:rPr>
        <w:t>v ((pars 1, lex 3, concl. 3, nu. 506–7).</w:t>
      </w:r>
    </w:p>
  </w:footnote>
  <w:footnote w:id="58">
    <w:p w14:paraId="690CC3D8" w14:textId="18E53CA7" w:rsidR="000D006E" w:rsidRPr="00845FBC" w:rsidRDefault="000D006E" w:rsidP="00845FBC">
      <w:pPr>
        <w:pStyle w:val="Funotentext"/>
        <w:contextualSpacing/>
        <w:rPr>
          <w:noProof/>
          <w:lang w:val="it-IT"/>
        </w:rPr>
      </w:pPr>
      <w:r w:rsidRPr="00845FBC">
        <w:rPr>
          <w:rStyle w:val="Funotenzeichen"/>
          <w:noProof/>
        </w:rPr>
        <w:footnoteRef/>
      </w:r>
      <w:r w:rsidRPr="00845FBC">
        <w:rPr>
          <w:noProof/>
          <w:lang w:val="fr-FR"/>
        </w:rPr>
        <w:t xml:space="preserve"> Mexía, </w:t>
      </w:r>
      <w:r w:rsidRPr="00845FBC">
        <w:rPr>
          <w:i/>
          <w:noProof/>
          <w:lang w:val="fr-FR"/>
        </w:rPr>
        <w:t>Laconismus</w:t>
      </w:r>
      <w:r w:rsidRPr="00845FBC">
        <w:rPr>
          <w:noProof/>
          <w:lang w:val="fr-FR"/>
        </w:rPr>
        <w:t xml:space="preserve">, fol. 18r (concl. </w:t>
      </w:r>
      <w:r w:rsidRPr="00845FBC">
        <w:rPr>
          <w:noProof/>
          <w:lang w:val="it-IT"/>
        </w:rPr>
        <w:t>1, nu. 42).</w:t>
      </w:r>
    </w:p>
  </w:footnote>
  <w:footnote w:id="59">
    <w:p w14:paraId="7320CE25" w14:textId="5DBC1A72" w:rsidR="000D006E" w:rsidRPr="00845FBC" w:rsidRDefault="000D006E" w:rsidP="00845FBC">
      <w:pPr>
        <w:pStyle w:val="Endnotentext1"/>
        <w:contextualSpacing/>
        <w:rPr>
          <w:noProof/>
          <w:lang w:val="it-IT"/>
        </w:rPr>
      </w:pPr>
      <w:r w:rsidRPr="00845FBC">
        <w:rPr>
          <w:noProof/>
          <w:vertAlign w:val="superscript"/>
        </w:rPr>
        <w:footnoteRef/>
      </w:r>
      <w:r w:rsidRPr="00845FBC">
        <w:rPr>
          <w:noProof/>
          <w:lang w:val="it-IT"/>
        </w:rPr>
        <w:t xml:space="preserve"> Soria, </w:t>
      </w:r>
      <w:r w:rsidRPr="00845FBC">
        <w:rPr>
          <w:i/>
          <w:noProof/>
          <w:lang w:val="it-IT"/>
        </w:rPr>
        <w:t>Tratado</w:t>
      </w:r>
      <w:r w:rsidRPr="00845FBC">
        <w:rPr>
          <w:noProof/>
          <w:lang w:val="it-IT"/>
        </w:rPr>
        <w:t>, 49–50.</w:t>
      </w:r>
    </w:p>
  </w:footnote>
  <w:footnote w:id="60">
    <w:p w14:paraId="4C914732" w14:textId="47429EF7" w:rsidR="000D006E" w:rsidRPr="00845FBC" w:rsidRDefault="000D006E" w:rsidP="00845FBC">
      <w:pPr>
        <w:pStyle w:val="Endnotentext1"/>
        <w:contextualSpacing/>
        <w:rPr>
          <w:noProof/>
          <w:lang w:val="it-IT"/>
        </w:rPr>
      </w:pPr>
      <w:r w:rsidRPr="00845FBC">
        <w:rPr>
          <w:noProof/>
          <w:vertAlign w:val="superscript"/>
        </w:rPr>
        <w:footnoteRef/>
      </w:r>
      <w:r w:rsidRPr="00845FBC">
        <w:rPr>
          <w:noProof/>
          <w:lang w:val="it-IT"/>
        </w:rPr>
        <w:t xml:space="preserve"> Medina, </w:t>
      </w:r>
      <w:r w:rsidRPr="00845FBC">
        <w:rPr>
          <w:i/>
          <w:noProof/>
          <w:lang w:val="it-IT"/>
        </w:rPr>
        <w:t>De restitutione</w:t>
      </w:r>
      <w:r w:rsidRPr="00845FBC">
        <w:rPr>
          <w:noProof/>
          <w:lang w:val="it-IT"/>
        </w:rPr>
        <w:t>, 196 (quaest. 31).</w:t>
      </w:r>
    </w:p>
  </w:footnote>
  <w:footnote w:id="61">
    <w:p w14:paraId="0645E235" w14:textId="4DAE7F6C" w:rsidR="000D006E" w:rsidRPr="00845FBC" w:rsidRDefault="000D006E" w:rsidP="00845FBC">
      <w:pPr>
        <w:pStyle w:val="Funotentext"/>
        <w:contextualSpacing/>
        <w:rPr>
          <w:noProof/>
          <w:lang w:val="it-IT"/>
        </w:rPr>
      </w:pPr>
      <w:r w:rsidRPr="00845FBC">
        <w:rPr>
          <w:rStyle w:val="Funotenzeichen"/>
          <w:noProof/>
        </w:rPr>
        <w:footnoteRef/>
      </w:r>
      <w:r w:rsidRPr="00845FBC">
        <w:rPr>
          <w:noProof/>
          <w:lang w:val="it-IT"/>
        </w:rPr>
        <w:t xml:space="preserve"> Mexía, </w:t>
      </w:r>
      <w:r w:rsidRPr="00845FBC">
        <w:rPr>
          <w:i/>
          <w:noProof/>
          <w:lang w:val="it-IT"/>
        </w:rPr>
        <w:t>Laconismus</w:t>
      </w:r>
      <w:r w:rsidRPr="00845FBC">
        <w:rPr>
          <w:noProof/>
          <w:lang w:val="it-IT"/>
        </w:rPr>
        <w:t>, fol. 93v (concl. 5, nu. 142).</w:t>
      </w:r>
    </w:p>
  </w:footnote>
  <w:footnote w:id="62">
    <w:p w14:paraId="4203C267" w14:textId="5F2C1E5F" w:rsidR="000D006E" w:rsidRPr="00845FBC" w:rsidRDefault="000D006E" w:rsidP="00845FBC">
      <w:pPr>
        <w:pStyle w:val="Endnotentext1"/>
        <w:contextualSpacing/>
        <w:rPr>
          <w:noProof/>
          <w:lang w:val="it-IT"/>
        </w:rPr>
      </w:pPr>
      <w:r w:rsidRPr="00845FBC">
        <w:rPr>
          <w:noProof/>
          <w:vertAlign w:val="superscript"/>
        </w:rPr>
        <w:footnoteRef/>
      </w:r>
      <w:r>
        <w:rPr>
          <w:noProof/>
          <w:lang w:val="it-IT"/>
        </w:rPr>
        <w:t xml:space="preserve"> </w:t>
      </w:r>
      <w:r w:rsidRPr="00845FBC">
        <w:rPr>
          <w:noProof/>
          <w:lang w:val="it-IT"/>
        </w:rPr>
        <w:t>“</w:t>
      </w:r>
      <w:r>
        <w:rPr>
          <w:noProof/>
          <w:lang w:val="it-IT"/>
        </w:rPr>
        <w:t>S</w:t>
      </w:r>
      <w:r w:rsidRPr="00845FBC">
        <w:rPr>
          <w:noProof/>
          <w:lang w:val="it-IT"/>
        </w:rPr>
        <w:t>i lege, vel publica autoritate sit rerum iustum pretium determinatum</w:t>
      </w:r>
      <w:r>
        <w:rPr>
          <w:noProof/>
          <w:lang w:val="it-IT"/>
        </w:rPr>
        <w:t xml:space="preserve"> . . . </w:t>
      </w:r>
      <w:r w:rsidRPr="00845FBC">
        <w:rPr>
          <w:noProof/>
          <w:lang w:val="it-IT"/>
        </w:rPr>
        <w:t>, illud est praesumendum iustum pretium; interim quod non constat taxatores fuisse vel corruptos, vel deceptos in pretii assignatione: iustum enim est pro illis praesumere, qui rempublicam gubernant, interim quod de opposito non constat. De quibus etiam praesumendum est, quod diligentiam debitam apposuerint ad omnia perpendenda, ex quibus pretium venit augendum, aut diminuendum</w:t>
      </w:r>
      <w:r>
        <w:rPr>
          <w:noProof/>
          <w:lang w:val="it-IT"/>
        </w:rPr>
        <w:t xml:space="preserve">. . . . </w:t>
      </w:r>
      <w:r w:rsidRPr="00845FBC">
        <w:rPr>
          <w:noProof/>
          <w:lang w:val="it-IT"/>
        </w:rPr>
        <w:t>Et si [taxatio] continuetur, semper est pro illis praesumendum, &amp; eorum taxationi standum; nisi notabilis causa taxationem mutandi appareat; quia tunc cessat praesumptio dicta, nec ex tunc erit iusta praefata taxatio</w:t>
      </w:r>
      <w:r>
        <w:rPr>
          <w:noProof/>
          <w:lang w:val="it-IT"/>
        </w:rPr>
        <w:t>,</w:t>
      </w:r>
      <w:r w:rsidRPr="00845FBC">
        <w:rPr>
          <w:noProof/>
          <w:lang w:val="it-IT"/>
        </w:rPr>
        <w:t>”</w:t>
      </w:r>
      <w:r>
        <w:rPr>
          <w:noProof/>
          <w:lang w:val="it-IT"/>
        </w:rPr>
        <w:t xml:space="preserve"> </w:t>
      </w:r>
      <w:r w:rsidRPr="00845FBC">
        <w:rPr>
          <w:noProof/>
          <w:lang w:val="it-IT"/>
        </w:rPr>
        <w:t xml:space="preserve">Medina, </w:t>
      </w:r>
      <w:r w:rsidRPr="00845FBC">
        <w:rPr>
          <w:i/>
          <w:noProof/>
          <w:lang w:val="it-IT"/>
        </w:rPr>
        <w:t>De restitutione</w:t>
      </w:r>
      <w:r w:rsidRPr="00845FBC">
        <w:rPr>
          <w:noProof/>
          <w:lang w:val="it-IT"/>
        </w:rPr>
        <w:t>, 198 (quaest. 31</w:t>
      </w:r>
      <w:r>
        <w:rPr>
          <w:noProof/>
          <w:lang w:val="it-IT"/>
        </w:rPr>
        <w:t>).</w:t>
      </w:r>
    </w:p>
  </w:footnote>
  <w:footnote w:id="63">
    <w:p w14:paraId="2545B745" w14:textId="3A961CDF" w:rsidR="000D006E" w:rsidRPr="00845FBC" w:rsidRDefault="000D006E" w:rsidP="00845FBC">
      <w:pPr>
        <w:pStyle w:val="Funotentext"/>
        <w:contextualSpacing/>
        <w:rPr>
          <w:noProof/>
        </w:rPr>
      </w:pPr>
      <w:r w:rsidRPr="00845FBC">
        <w:rPr>
          <w:rStyle w:val="Funotenzeichen"/>
          <w:noProof/>
        </w:rPr>
        <w:footnoteRef/>
      </w:r>
      <w:r w:rsidRPr="00845FBC">
        <w:rPr>
          <w:noProof/>
        </w:rPr>
        <w:t xml:space="preserve"> See Harro Höpfl, </w:t>
      </w:r>
      <w:r w:rsidRPr="00845FBC">
        <w:rPr>
          <w:i/>
          <w:noProof/>
        </w:rPr>
        <w:t>Jesuit Political Thought</w:t>
      </w:r>
      <w:r>
        <w:rPr>
          <w:i/>
          <w:noProof/>
        </w:rPr>
        <w:t>:</w:t>
      </w:r>
      <w:r w:rsidRPr="00845FBC">
        <w:rPr>
          <w:i/>
          <w:noProof/>
        </w:rPr>
        <w:t xml:space="preserve"> The Society of Jesus and the State, c. 1540–1630</w:t>
      </w:r>
      <w:r w:rsidRPr="00845FBC">
        <w:rPr>
          <w:noProof/>
        </w:rPr>
        <w:t xml:space="preserve"> (Cambridge: Cambridge University Press, 2005), 274–274.</w:t>
      </w:r>
    </w:p>
  </w:footnote>
  <w:footnote w:id="64">
    <w:p w14:paraId="7E94A156" w14:textId="1620F86C" w:rsidR="000D006E" w:rsidRPr="00845FBC" w:rsidRDefault="000D006E" w:rsidP="00845FBC">
      <w:pPr>
        <w:pStyle w:val="Funotentext"/>
        <w:contextualSpacing/>
        <w:rPr>
          <w:noProof/>
        </w:rPr>
      </w:pPr>
      <w:r w:rsidRPr="00845FBC">
        <w:rPr>
          <w:rStyle w:val="Funotenzeichen"/>
          <w:noProof/>
        </w:rPr>
        <w:footnoteRef/>
      </w:r>
      <w:r w:rsidRPr="00845FBC">
        <w:rPr>
          <w:noProof/>
        </w:rPr>
        <w:t xml:space="preserve"> Höpfl, </w:t>
      </w:r>
      <w:r w:rsidRPr="00845FBC">
        <w:rPr>
          <w:i/>
          <w:noProof/>
        </w:rPr>
        <w:t>Jesuit Political Thought,</w:t>
      </w:r>
      <w:r w:rsidRPr="00845FBC">
        <w:rPr>
          <w:noProof/>
        </w:rPr>
        <w:t xml:space="preserve"> 275.</w:t>
      </w:r>
    </w:p>
  </w:footnote>
  <w:footnote w:id="65">
    <w:p w14:paraId="65BC8963" w14:textId="2BDE623E" w:rsidR="000D006E" w:rsidRPr="00845FBC" w:rsidRDefault="000D006E" w:rsidP="00845FBC">
      <w:pPr>
        <w:pStyle w:val="Funotentext"/>
        <w:contextualSpacing/>
        <w:rPr>
          <w:noProof/>
          <w:lang w:val="it-IT"/>
        </w:rPr>
      </w:pPr>
      <w:r w:rsidRPr="00845FBC">
        <w:rPr>
          <w:rStyle w:val="Funotenzeichen"/>
          <w:noProof/>
        </w:rPr>
        <w:footnoteRef/>
      </w:r>
      <w:r w:rsidRPr="00845FBC">
        <w:rPr>
          <w:noProof/>
        </w:rPr>
        <w:t xml:space="preserve"> Felinus Sandeus, </w:t>
      </w:r>
      <w:r w:rsidRPr="00845FBC">
        <w:rPr>
          <w:i/>
          <w:noProof/>
        </w:rPr>
        <w:t xml:space="preserve">In Decretalium libros V, Pars Prima </w:t>
      </w:r>
      <w:r w:rsidRPr="00845FBC">
        <w:rPr>
          <w:noProof/>
        </w:rPr>
        <w:t xml:space="preserve">(Venice: </w:t>
      </w:r>
      <w:r w:rsidRPr="00845FBC">
        <w:rPr>
          <w:noProof/>
          <w:bdr w:val="none" w:sz="0" w:space="0" w:color="auto"/>
          <w:lang w:eastAsia="de-DE"/>
        </w:rPr>
        <w:t>Societas Aquilae Renovantis</w:t>
      </w:r>
      <w:r w:rsidRPr="00845FBC">
        <w:rPr>
          <w:noProof/>
        </w:rPr>
        <w:t xml:space="preserve">, 1584), col. 137–39 (lib. 1, tit. 2, De constitut. c. Quae in ecclesiarum); Franciscus Curtius Senior, </w:t>
      </w:r>
      <w:r w:rsidRPr="00845FBC">
        <w:rPr>
          <w:i/>
          <w:noProof/>
        </w:rPr>
        <w:t xml:space="preserve">Consilia </w:t>
      </w:r>
      <w:r w:rsidRPr="00845FBC">
        <w:rPr>
          <w:noProof/>
        </w:rPr>
        <w:t xml:space="preserve">(Venice: Iunta, 1580), fol. 114v (cons. </w:t>
      </w:r>
      <w:r w:rsidRPr="00845FBC">
        <w:rPr>
          <w:noProof/>
          <w:lang w:val="it-IT"/>
        </w:rPr>
        <w:t xml:space="preserve">49, nu. 90); Alciato, </w:t>
      </w:r>
      <w:r w:rsidRPr="00845FBC">
        <w:rPr>
          <w:i/>
          <w:noProof/>
          <w:lang w:val="it-IT"/>
        </w:rPr>
        <w:t>De praesumptionibus</w:t>
      </w:r>
      <w:r w:rsidRPr="00845FBC">
        <w:rPr>
          <w:noProof/>
          <w:lang w:val="it-IT"/>
        </w:rPr>
        <w:t>, 261.</w:t>
      </w:r>
    </w:p>
  </w:footnote>
  <w:footnote w:id="66">
    <w:p w14:paraId="0CEF7CE6" w14:textId="77777777" w:rsidR="000D006E" w:rsidRPr="00845FBC" w:rsidRDefault="000D006E" w:rsidP="00845FBC">
      <w:pPr>
        <w:pStyle w:val="Funotentext"/>
        <w:contextualSpacing/>
        <w:rPr>
          <w:noProof/>
          <w:lang w:val="it-IT"/>
        </w:rPr>
      </w:pPr>
      <w:r w:rsidRPr="00845FBC">
        <w:rPr>
          <w:rStyle w:val="Funotenzeichen"/>
          <w:noProof/>
        </w:rPr>
        <w:footnoteRef/>
      </w:r>
      <w:r w:rsidRPr="00845FBC">
        <w:rPr>
          <w:noProof/>
          <w:lang w:val="it-IT"/>
        </w:rPr>
        <w:t xml:space="preserve"> Felinus, </w:t>
      </w:r>
      <w:r w:rsidRPr="00845FBC">
        <w:rPr>
          <w:i/>
          <w:noProof/>
          <w:lang w:val="it-IT"/>
        </w:rPr>
        <w:t>In Decretalium libros</w:t>
      </w:r>
      <w:r w:rsidRPr="00845FBC">
        <w:rPr>
          <w:noProof/>
          <w:lang w:val="it-IT"/>
        </w:rPr>
        <w:t>, col. 138.</w:t>
      </w:r>
    </w:p>
  </w:footnote>
  <w:footnote w:id="67">
    <w:p w14:paraId="5A97468A" w14:textId="65A78059"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w:t>
      </w:r>
      <w:r w:rsidRPr="00845FBC">
        <w:rPr>
          <w:noProof/>
          <w:lang w:val="it-IT"/>
        </w:rPr>
        <w:t xml:space="preserve">Felinus, </w:t>
      </w:r>
      <w:r w:rsidRPr="00845FBC">
        <w:rPr>
          <w:i/>
          <w:noProof/>
          <w:lang w:val="it-IT"/>
        </w:rPr>
        <w:t>In Decretalium libros</w:t>
      </w:r>
      <w:r w:rsidRPr="00845FBC">
        <w:rPr>
          <w:noProof/>
          <w:lang w:val="it-IT"/>
        </w:rPr>
        <w:t>, col. 138.</w:t>
      </w:r>
    </w:p>
  </w:footnote>
  <w:footnote w:id="68">
    <w:p w14:paraId="787A04CE" w14:textId="78C6B9FE"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w:t>
      </w:r>
      <w:r w:rsidRPr="00845FBC">
        <w:rPr>
          <w:noProof/>
          <w:lang w:val="it-IT"/>
        </w:rPr>
        <w:t xml:space="preserve">Felinus, </w:t>
      </w:r>
      <w:r w:rsidRPr="00845FBC">
        <w:rPr>
          <w:i/>
          <w:noProof/>
          <w:lang w:val="it-IT"/>
        </w:rPr>
        <w:t>In Decretalium libros</w:t>
      </w:r>
      <w:r w:rsidRPr="00845FBC">
        <w:rPr>
          <w:noProof/>
          <w:lang w:val="it-IT"/>
        </w:rPr>
        <w:t>,</w:t>
      </w:r>
      <w:r w:rsidRPr="00845FBC">
        <w:rPr>
          <w:lang w:val="it-IT"/>
        </w:rPr>
        <w:t xml:space="preserve"> col. 139.</w:t>
      </w:r>
    </w:p>
  </w:footnote>
  <w:footnote w:id="69">
    <w:p w14:paraId="7C174985" w14:textId="31F8BFD0"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w:t>
      </w:r>
      <w:proofErr w:type="spellStart"/>
      <w:r w:rsidRPr="00845FBC">
        <w:rPr>
          <w:lang w:val="it-IT"/>
        </w:rPr>
        <w:t>Curtius</w:t>
      </w:r>
      <w:proofErr w:type="spellEnd"/>
      <w:r w:rsidRPr="00845FBC">
        <w:rPr>
          <w:lang w:val="it-IT"/>
        </w:rPr>
        <w:t xml:space="preserve">, </w:t>
      </w:r>
      <w:r w:rsidRPr="00845FBC">
        <w:rPr>
          <w:i/>
          <w:lang w:val="it-IT"/>
        </w:rPr>
        <w:t>Consilia</w:t>
      </w:r>
      <w:r w:rsidRPr="00845FBC">
        <w:rPr>
          <w:lang w:val="it-IT"/>
        </w:rPr>
        <w:t xml:space="preserve">, </w:t>
      </w:r>
      <w:proofErr w:type="spellStart"/>
      <w:r w:rsidRPr="00845FBC">
        <w:rPr>
          <w:lang w:val="it-IT"/>
        </w:rPr>
        <w:t>fol</w:t>
      </w:r>
      <w:proofErr w:type="spellEnd"/>
      <w:r w:rsidRPr="00845FBC">
        <w:rPr>
          <w:lang w:val="it-IT"/>
        </w:rPr>
        <w:t>. 98v (cons. 49, nu. 29).</w:t>
      </w:r>
    </w:p>
  </w:footnote>
  <w:footnote w:id="70">
    <w:p w14:paraId="246C68BB" w14:textId="4C751B9E"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w:t>
      </w:r>
      <w:proofErr w:type="spellStart"/>
      <w:r w:rsidRPr="00845FBC">
        <w:rPr>
          <w:lang w:val="it-IT"/>
        </w:rPr>
        <w:t>Curtius</w:t>
      </w:r>
      <w:proofErr w:type="spellEnd"/>
      <w:r w:rsidRPr="00845FBC">
        <w:rPr>
          <w:lang w:val="it-IT"/>
        </w:rPr>
        <w:t xml:space="preserve">, </w:t>
      </w:r>
      <w:r w:rsidRPr="00845FBC">
        <w:rPr>
          <w:i/>
          <w:lang w:val="it-IT"/>
        </w:rPr>
        <w:t>Consilia</w:t>
      </w:r>
      <w:r w:rsidRPr="00845FBC">
        <w:rPr>
          <w:lang w:val="it-IT"/>
        </w:rPr>
        <w:t xml:space="preserve">, </w:t>
      </w:r>
      <w:proofErr w:type="spellStart"/>
      <w:r w:rsidRPr="00845FBC">
        <w:rPr>
          <w:lang w:val="it-IT"/>
        </w:rPr>
        <w:t>fol</w:t>
      </w:r>
      <w:proofErr w:type="spellEnd"/>
      <w:r w:rsidRPr="00845FBC">
        <w:rPr>
          <w:lang w:val="it-IT"/>
        </w:rPr>
        <w:t>. 98v.</w:t>
      </w:r>
    </w:p>
  </w:footnote>
  <w:footnote w:id="71">
    <w:p w14:paraId="6DFA99AF" w14:textId="77777777"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w:t>
      </w:r>
      <w:proofErr w:type="spellStart"/>
      <w:r w:rsidRPr="00845FBC">
        <w:rPr>
          <w:lang w:val="it-IT"/>
        </w:rPr>
        <w:t>Felinus</w:t>
      </w:r>
      <w:proofErr w:type="spellEnd"/>
      <w:r w:rsidRPr="00845FBC">
        <w:rPr>
          <w:lang w:val="it-IT"/>
        </w:rPr>
        <w:t xml:space="preserve">, </w:t>
      </w:r>
      <w:r w:rsidRPr="00845FBC">
        <w:rPr>
          <w:i/>
          <w:lang w:val="it-IT"/>
        </w:rPr>
        <w:t xml:space="preserve">In </w:t>
      </w:r>
      <w:proofErr w:type="spellStart"/>
      <w:r w:rsidRPr="00845FBC">
        <w:rPr>
          <w:i/>
          <w:lang w:val="it-IT"/>
        </w:rPr>
        <w:t>Decretalium</w:t>
      </w:r>
      <w:proofErr w:type="spellEnd"/>
      <w:r w:rsidRPr="00845FBC">
        <w:rPr>
          <w:i/>
          <w:lang w:val="it-IT"/>
        </w:rPr>
        <w:t xml:space="preserve"> </w:t>
      </w:r>
      <w:proofErr w:type="spellStart"/>
      <w:r w:rsidRPr="00845FBC">
        <w:rPr>
          <w:i/>
          <w:lang w:val="it-IT"/>
        </w:rPr>
        <w:t>libros</w:t>
      </w:r>
      <w:proofErr w:type="spellEnd"/>
      <w:r w:rsidRPr="00845FBC">
        <w:rPr>
          <w:lang w:val="it-IT"/>
        </w:rPr>
        <w:t>, col. 138.</w:t>
      </w:r>
    </w:p>
  </w:footnote>
  <w:footnote w:id="72">
    <w:p w14:paraId="41E6C0EA" w14:textId="77777777"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Alciato, </w:t>
      </w:r>
      <w:r w:rsidRPr="00845FBC">
        <w:rPr>
          <w:i/>
          <w:lang w:val="it-IT"/>
        </w:rPr>
        <w:t>De praesumptionibus</w:t>
      </w:r>
      <w:r w:rsidRPr="00845FBC">
        <w:rPr>
          <w:lang w:val="it-IT"/>
        </w:rPr>
        <w:t>, 262.</w:t>
      </w:r>
    </w:p>
  </w:footnote>
  <w:footnote w:id="73">
    <w:p w14:paraId="4C83B20A" w14:textId="206AA433" w:rsidR="000D006E" w:rsidRPr="00845FBC" w:rsidRDefault="000D006E" w:rsidP="00845FBC">
      <w:pPr>
        <w:pStyle w:val="Funotentext"/>
        <w:contextualSpacing/>
        <w:rPr>
          <w:lang w:val="fr-FR"/>
        </w:rPr>
      </w:pPr>
      <w:r w:rsidRPr="00845FBC">
        <w:rPr>
          <w:rStyle w:val="Funotenzeichen"/>
        </w:rPr>
        <w:footnoteRef/>
      </w:r>
      <w:r w:rsidRPr="00845FBC">
        <w:rPr>
          <w:lang w:val="fr-FR"/>
        </w:rPr>
        <w:t xml:space="preserve"> </w:t>
      </w:r>
      <w:r w:rsidRPr="00845FBC">
        <w:rPr>
          <w:lang w:val="it-IT"/>
        </w:rPr>
        <w:t xml:space="preserve">Alciato, </w:t>
      </w:r>
      <w:r w:rsidRPr="00845FBC">
        <w:rPr>
          <w:i/>
          <w:lang w:val="it-IT"/>
        </w:rPr>
        <w:t>De praesumptionibus</w:t>
      </w:r>
      <w:r w:rsidRPr="00845FBC">
        <w:rPr>
          <w:lang w:val="fr-FR"/>
        </w:rPr>
        <w:t>, 269.</w:t>
      </w:r>
    </w:p>
  </w:footnote>
  <w:footnote w:id="74">
    <w:p w14:paraId="1E11A6B4" w14:textId="6A34151F" w:rsidR="000D006E" w:rsidRPr="00845FBC" w:rsidRDefault="000D006E" w:rsidP="00845FBC">
      <w:pPr>
        <w:pStyle w:val="Endnotentext1"/>
        <w:contextualSpacing/>
        <w:rPr>
          <w:lang w:val="fr-FR"/>
        </w:rPr>
      </w:pPr>
      <w:r w:rsidRPr="00845FBC">
        <w:rPr>
          <w:vertAlign w:val="superscript"/>
        </w:rPr>
        <w:footnoteRef/>
      </w:r>
      <w:r w:rsidRPr="00845FBC">
        <w:rPr>
          <w:lang w:val="fr-FR"/>
        </w:rPr>
        <w:t xml:space="preserve"> </w:t>
      </w:r>
      <w:proofErr w:type="spellStart"/>
      <w:r w:rsidRPr="00845FBC">
        <w:rPr>
          <w:lang w:val="fr-FR"/>
        </w:rPr>
        <w:t>Summenhart</w:t>
      </w:r>
      <w:proofErr w:type="spellEnd"/>
      <w:r w:rsidRPr="00845FBC">
        <w:rPr>
          <w:lang w:val="fr-FR"/>
        </w:rPr>
        <w:t xml:space="preserve">, </w:t>
      </w:r>
      <w:r w:rsidRPr="00845FBC">
        <w:rPr>
          <w:i/>
          <w:lang w:val="fr-FR"/>
        </w:rPr>
        <w:t xml:space="preserve">De </w:t>
      </w:r>
      <w:proofErr w:type="spellStart"/>
      <w:r w:rsidRPr="00845FBC">
        <w:rPr>
          <w:i/>
          <w:lang w:val="fr-FR"/>
        </w:rPr>
        <w:t>contractibus</w:t>
      </w:r>
      <w:proofErr w:type="spellEnd"/>
      <w:r w:rsidRPr="00845FBC">
        <w:rPr>
          <w:lang w:val="fr-FR"/>
        </w:rPr>
        <w:t xml:space="preserve">, </w:t>
      </w:r>
      <w:proofErr w:type="gramStart"/>
      <w:r w:rsidRPr="00845FBC">
        <w:rPr>
          <w:lang w:val="fr-FR"/>
        </w:rPr>
        <w:t>263;</w:t>
      </w:r>
      <w:proofErr w:type="gramEnd"/>
      <w:r w:rsidRPr="00845FBC">
        <w:rPr>
          <w:lang w:val="fr-FR"/>
        </w:rPr>
        <w:t xml:space="preserve"> </w:t>
      </w:r>
      <w:proofErr w:type="spellStart"/>
      <w:r w:rsidRPr="00845FBC">
        <w:rPr>
          <w:lang w:val="fr-FR"/>
        </w:rPr>
        <w:t>Mexía</w:t>
      </w:r>
      <w:proofErr w:type="spellEnd"/>
      <w:r w:rsidRPr="00845FBC">
        <w:rPr>
          <w:lang w:val="fr-FR"/>
        </w:rPr>
        <w:t xml:space="preserve">, </w:t>
      </w:r>
      <w:proofErr w:type="spellStart"/>
      <w:r w:rsidRPr="00845FBC">
        <w:rPr>
          <w:i/>
          <w:lang w:val="fr-FR"/>
        </w:rPr>
        <w:t>Laconismus</w:t>
      </w:r>
      <w:proofErr w:type="spellEnd"/>
      <w:r w:rsidRPr="00845FBC">
        <w:rPr>
          <w:lang w:val="fr-FR"/>
        </w:rPr>
        <w:t>, fol. 69r (</w:t>
      </w:r>
      <w:proofErr w:type="spellStart"/>
      <w:r w:rsidRPr="00845FBC">
        <w:rPr>
          <w:lang w:val="fr-FR"/>
        </w:rPr>
        <w:t>concl</w:t>
      </w:r>
      <w:proofErr w:type="spellEnd"/>
      <w:r w:rsidRPr="00845FBC">
        <w:rPr>
          <w:lang w:val="fr-FR"/>
        </w:rPr>
        <w:t>. 4, nu. 12).</w:t>
      </w:r>
    </w:p>
  </w:footnote>
  <w:footnote w:id="75">
    <w:p w14:paraId="2635068F" w14:textId="75CF715B" w:rsidR="000D006E" w:rsidRPr="00845FBC" w:rsidRDefault="000D006E" w:rsidP="00845FBC">
      <w:pPr>
        <w:pStyle w:val="Endnotentext1"/>
        <w:contextualSpacing/>
        <w:rPr>
          <w:lang w:val="fr-FR"/>
        </w:rPr>
      </w:pPr>
      <w:r w:rsidRPr="00845FBC">
        <w:rPr>
          <w:vertAlign w:val="superscript"/>
        </w:rPr>
        <w:footnoteRef/>
      </w:r>
      <w:r w:rsidRPr="00845FBC">
        <w:rPr>
          <w:lang w:val="fr-FR"/>
        </w:rPr>
        <w:t xml:space="preserve"> </w:t>
      </w:r>
      <w:proofErr w:type="spellStart"/>
      <w:r w:rsidRPr="00845FBC">
        <w:rPr>
          <w:lang w:val="fr-FR"/>
        </w:rPr>
        <w:t>Tomás</w:t>
      </w:r>
      <w:proofErr w:type="spellEnd"/>
      <w:r w:rsidRPr="00845FBC">
        <w:rPr>
          <w:lang w:val="fr-FR"/>
        </w:rPr>
        <w:t xml:space="preserve"> </w:t>
      </w:r>
      <w:proofErr w:type="spellStart"/>
      <w:r w:rsidRPr="00845FBC">
        <w:rPr>
          <w:lang w:val="fr-FR"/>
        </w:rPr>
        <w:t>Sánchez</w:t>
      </w:r>
      <w:proofErr w:type="spellEnd"/>
      <w:r w:rsidRPr="00845FBC">
        <w:rPr>
          <w:lang w:val="fr-FR"/>
        </w:rPr>
        <w:t xml:space="preserve">, </w:t>
      </w:r>
      <w:proofErr w:type="spellStart"/>
      <w:r w:rsidRPr="00845FBC">
        <w:rPr>
          <w:i/>
          <w:lang w:val="fr-FR"/>
        </w:rPr>
        <w:t>Consilia</w:t>
      </w:r>
      <w:proofErr w:type="spellEnd"/>
      <w:r w:rsidRPr="00845FBC">
        <w:rPr>
          <w:i/>
          <w:lang w:val="fr-FR"/>
        </w:rPr>
        <w:t xml:space="preserve"> seu </w:t>
      </w:r>
      <w:proofErr w:type="spellStart"/>
      <w:r w:rsidRPr="00845FBC">
        <w:rPr>
          <w:i/>
          <w:lang w:val="fr-FR"/>
        </w:rPr>
        <w:t>opuscula</w:t>
      </w:r>
      <w:proofErr w:type="spellEnd"/>
      <w:r w:rsidRPr="00845FBC">
        <w:rPr>
          <w:i/>
          <w:lang w:val="fr-FR"/>
        </w:rPr>
        <w:t xml:space="preserve"> </w:t>
      </w:r>
      <w:proofErr w:type="spellStart"/>
      <w:r w:rsidRPr="00845FBC">
        <w:rPr>
          <w:i/>
          <w:lang w:val="fr-FR"/>
        </w:rPr>
        <w:t>moralia</w:t>
      </w:r>
      <w:proofErr w:type="spellEnd"/>
      <w:r>
        <w:rPr>
          <w:lang w:val="fr-FR"/>
        </w:rPr>
        <w:t>,</w:t>
      </w:r>
      <w:r w:rsidRPr="00845FBC">
        <w:rPr>
          <w:lang w:val="fr-FR"/>
        </w:rPr>
        <w:t xml:space="preserve"> 2</w:t>
      </w:r>
      <w:r>
        <w:rPr>
          <w:lang w:val="fr-FR"/>
        </w:rPr>
        <w:t xml:space="preserve"> </w:t>
      </w:r>
      <w:r w:rsidRPr="00845FBC">
        <w:rPr>
          <w:lang w:val="fr-FR"/>
        </w:rPr>
        <w:t>vols. (</w:t>
      </w:r>
      <w:proofErr w:type="gramStart"/>
      <w:r w:rsidRPr="00845FBC">
        <w:rPr>
          <w:lang w:val="fr-FR"/>
        </w:rPr>
        <w:t>Lyon:</w:t>
      </w:r>
      <w:proofErr w:type="gramEnd"/>
      <w:r w:rsidRPr="00845FBC">
        <w:rPr>
          <w:lang w:val="fr-FR"/>
        </w:rPr>
        <w:t xml:space="preserve"> Probst, 1634), 1:78 (lib. 1, cap. 7. dub. 4, nu. 1–8). </w:t>
      </w:r>
    </w:p>
  </w:footnote>
  <w:footnote w:id="76">
    <w:p w14:paraId="5B495425" w14:textId="2D3F5E10" w:rsidR="000D006E" w:rsidRPr="00845FBC" w:rsidRDefault="000D006E" w:rsidP="00845FBC">
      <w:pPr>
        <w:pStyle w:val="Endnotentext1"/>
        <w:contextualSpacing/>
      </w:pPr>
      <w:r w:rsidRPr="00845FBC">
        <w:rPr>
          <w:vertAlign w:val="superscript"/>
        </w:rPr>
        <w:footnoteRef/>
      </w:r>
      <w:r w:rsidRPr="00845FBC">
        <w:t xml:space="preserve"> </w:t>
      </w:r>
      <w:proofErr w:type="spellStart"/>
      <w:r w:rsidRPr="00845FBC">
        <w:rPr>
          <w:lang w:val="fr-FR"/>
        </w:rPr>
        <w:t>Sánchez</w:t>
      </w:r>
      <w:proofErr w:type="spellEnd"/>
      <w:r w:rsidRPr="00845FBC">
        <w:rPr>
          <w:lang w:val="fr-FR"/>
        </w:rPr>
        <w:t xml:space="preserve">, </w:t>
      </w:r>
      <w:proofErr w:type="spellStart"/>
      <w:r w:rsidRPr="00845FBC">
        <w:rPr>
          <w:i/>
          <w:lang w:val="fr-FR"/>
        </w:rPr>
        <w:t>Consilia</w:t>
      </w:r>
      <w:proofErr w:type="spellEnd"/>
      <w:r w:rsidRPr="00845FBC">
        <w:t xml:space="preserve">, </w:t>
      </w:r>
      <w:proofErr w:type="gramStart"/>
      <w:r w:rsidRPr="00845FBC">
        <w:t>1:</w:t>
      </w:r>
      <w:proofErr w:type="gramEnd"/>
      <w:r w:rsidRPr="00845FBC">
        <w:t xml:space="preserve"> 82–83 (lib. 1, cap. 7, dub. 8, nu. 2–10).</w:t>
      </w:r>
    </w:p>
  </w:footnote>
  <w:footnote w:id="77">
    <w:p w14:paraId="73520C16" w14:textId="5C1219CB" w:rsidR="000D006E" w:rsidRPr="00845FBC" w:rsidRDefault="000D006E" w:rsidP="00845FBC">
      <w:pPr>
        <w:pStyle w:val="Funotentext"/>
        <w:contextualSpacing/>
      </w:pPr>
      <w:r w:rsidRPr="00845FBC">
        <w:rPr>
          <w:rStyle w:val="Funotenzeichen"/>
        </w:rPr>
        <w:footnoteRef/>
      </w:r>
      <w:r w:rsidRPr="00845FBC">
        <w:t xml:space="preserve"> “</w:t>
      </w:r>
      <w:r>
        <w:t>E</w:t>
      </w:r>
      <w:r w:rsidRPr="00845FBC">
        <w:t xml:space="preserve">n las </w:t>
      </w:r>
      <w:proofErr w:type="spellStart"/>
      <w:r w:rsidRPr="00845FBC">
        <w:t>dispensaciones</w:t>
      </w:r>
      <w:proofErr w:type="spellEnd"/>
      <w:r w:rsidRPr="00845FBC">
        <w:t xml:space="preserve">, que </w:t>
      </w:r>
      <w:proofErr w:type="spellStart"/>
      <w:r w:rsidRPr="00845FBC">
        <w:t>hazen</w:t>
      </w:r>
      <w:proofErr w:type="spellEnd"/>
      <w:r w:rsidRPr="00845FBC">
        <w:t xml:space="preserve"> </w:t>
      </w:r>
      <w:proofErr w:type="spellStart"/>
      <w:r w:rsidRPr="00845FBC">
        <w:t>los</w:t>
      </w:r>
      <w:proofErr w:type="spellEnd"/>
      <w:r w:rsidRPr="00845FBC">
        <w:t xml:space="preserve"> </w:t>
      </w:r>
      <w:proofErr w:type="spellStart"/>
      <w:r w:rsidRPr="00845FBC">
        <w:t>superiores</w:t>
      </w:r>
      <w:proofErr w:type="spellEnd"/>
      <w:r w:rsidRPr="00845FBC">
        <w:t xml:space="preserve">, no se </w:t>
      </w:r>
      <w:proofErr w:type="spellStart"/>
      <w:r w:rsidRPr="00845FBC">
        <w:t>debe</w:t>
      </w:r>
      <w:proofErr w:type="spellEnd"/>
      <w:r w:rsidRPr="00845FBC">
        <w:t xml:space="preserve"> </w:t>
      </w:r>
      <w:proofErr w:type="spellStart"/>
      <w:r w:rsidRPr="00845FBC">
        <w:t>presumir</w:t>
      </w:r>
      <w:proofErr w:type="spellEnd"/>
      <w:r w:rsidRPr="00845FBC">
        <w:t xml:space="preserve"> </w:t>
      </w:r>
      <w:proofErr w:type="spellStart"/>
      <w:r w:rsidRPr="00845FBC">
        <w:t>injusta</w:t>
      </w:r>
      <w:proofErr w:type="spellEnd"/>
      <w:r w:rsidRPr="00845FBC">
        <w:t xml:space="preserve"> causa, sin que para </w:t>
      </w:r>
      <w:proofErr w:type="spellStart"/>
      <w:r w:rsidRPr="00845FBC">
        <w:t>esso</w:t>
      </w:r>
      <w:proofErr w:type="spellEnd"/>
      <w:r w:rsidRPr="00845FBC">
        <w:t xml:space="preserve"> </w:t>
      </w:r>
      <w:proofErr w:type="spellStart"/>
      <w:r w:rsidRPr="00845FBC">
        <w:t>aya</w:t>
      </w:r>
      <w:proofErr w:type="spellEnd"/>
      <w:r w:rsidRPr="00845FBC">
        <w:t xml:space="preserve"> </w:t>
      </w:r>
      <w:proofErr w:type="spellStart"/>
      <w:r w:rsidRPr="00845FBC">
        <w:t>razones</w:t>
      </w:r>
      <w:proofErr w:type="spellEnd"/>
      <w:r w:rsidRPr="00845FBC">
        <w:t xml:space="preserve"> </w:t>
      </w:r>
      <w:proofErr w:type="spellStart"/>
      <w:r w:rsidRPr="00845FBC">
        <w:t>claras</w:t>
      </w:r>
      <w:proofErr w:type="spellEnd"/>
      <w:r w:rsidRPr="00845FBC">
        <w:t xml:space="preserve">, y </w:t>
      </w:r>
      <w:proofErr w:type="spellStart"/>
      <w:r w:rsidRPr="00845FBC">
        <w:t>evidentes</w:t>
      </w:r>
      <w:proofErr w:type="spellEnd"/>
      <w:r w:rsidRPr="00845FBC">
        <w:t xml:space="preserve">; y </w:t>
      </w:r>
      <w:proofErr w:type="spellStart"/>
      <w:r w:rsidRPr="00845FBC">
        <w:t>mucho</w:t>
      </w:r>
      <w:proofErr w:type="spellEnd"/>
      <w:r w:rsidRPr="00845FBC">
        <w:t xml:space="preserve"> </w:t>
      </w:r>
      <w:proofErr w:type="spellStart"/>
      <w:r w:rsidRPr="00845FBC">
        <w:t>menos</w:t>
      </w:r>
      <w:proofErr w:type="spellEnd"/>
      <w:r w:rsidRPr="00845FBC">
        <w:t xml:space="preserve"> en </w:t>
      </w:r>
      <w:proofErr w:type="spellStart"/>
      <w:r w:rsidRPr="00845FBC">
        <w:t>esta</w:t>
      </w:r>
      <w:proofErr w:type="spellEnd"/>
      <w:r w:rsidRPr="00845FBC">
        <w:t xml:space="preserve">, que </w:t>
      </w:r>
      <w:proofErr w:type="spellStart"/>
      <w:r w:rsidRPr="00845FBC">
        <w:t>su</w:t>
      </w:r>
      <w:proofErr w:type="spellEnd"/>
      <w:r w:rsidRPr="00845FBC">
        <w:t xml:space="preserve"> </w:t>
      </w:r>
      <w:proofErr w:type="spellStart"/>
      <w:r w:rsidRPr="00845FBC">
        <w:t>Magestad</w:t>
      </w:r>
      <w:proofErr w:type="spellEnd"/>
      <w:r w:rsidRPr="00845FBC">
        <w:t xml:space="preserve"> haze a </w:t>
      </w:r>
      <w:proofErr w:type="spellStart"/>
      <w:r w:rsidRPr="00845FBC">
        <w:t>los</w:t>
      </w:r>
      <w:proofErr w:type="spellEnd"/>
      <w:r w:rsidRPr="00845FBC">
        <w:t xml:space="preserve"> </w:t>
      </w:r>
      <w:proofErr w:type="spellStart"/>
      <w:r w:rsidRPr="00845FBC">
        <w:t>labradores</w:t>
      </w:r>
      <w:proofErr w:type="spellEnd"/>
      <w:r w:rsidRPr="00845FBC">
        <w:t xml:space="preserve">, tan </w:t>
      </w:r>
      <w:proofErr w:type="spellStart"/>
      <w:r w:rsidRPr="00845FBC">
        <w:t>consultada</w:t>
      </w:r>
      <w:proofErr w:type="spellEnd"/>
      <w:r w:rsidRPr="00845FBC">
        <w:t xml:space="preserve"> con sus </w:t>
      </w:r>
      <w:proofErr w:type="spellStart"/>
      <w:r w:rsidRPr="00845FBC">
        <w:t>prudentes</w:t>
      </w:r>
      <w:proofErr w:type="spellEnd"/>
      <w:r w:rsidRPr="00845FBC">
        <w:t xml:space="preserve"> </w:t>
      </w:r>
      <w:proofErr w:type="spellStart"/>
      <w:r w:rsidRPr="00845FBC">
        <w:t>Consejeros</w:t>
      </w:r>
      <w:proofErr w:type="spellEnd"/>
      <w:r w:rsidRPr="00845FBC">
        <w:t xml:space="preserve">, </w:t>
      </w:r>
      <w:proofErr w:type="spellStart"/>
      <w:r w:rsidRPr="00845FBC">
        <w:t>hecha</w:t>
      </w:r>
      <w:proofErr w:type="spellEnd"/>
      <w:r w:rsidRPr="00845FBC">
        <w:t xml:space="preserve"> </w:t>
      </w:r>
      <w:proofErr w:type="spellStart"/>
      <w:r w:rsidRPr="00845FBC">
        <w:t>tambien</w:t>
      </w:r>
      <w:proofErr w:type="spellEnd"/>
      <w:r w:rsidRPr="00845FBC">
        <w:t xml:space="preserve"> a </w:t>
      </w:r>
      <w:proofErr w:type="spellStart"/>
      <w:r w:rsidRPr="00845FBC">
        <w:t>peticion</w:t>
      </w:r>
      <w:proofErr w:type="spellEnd"/>
      <w:r w:rsidRPr="00845FBC">
        <w:t xml:space="preserve"> de </w:t>
      </w:r>
      <w:proofErr w:type="spellStart"/>
      <w:r w:rsidRPr="00845FBC">
        <w:t>todo</w:t>
      </w:r>
      <w:proofErr w:type="spellEnd"/>
      <w:r w:rsidRPr="00845FBC">
        <w:t xml:space="preserve"> </w:t>
      </w:r>
      <w:proofErr w:type="spellStart"/>
      <w:r w:rsidRPr="00845FBC">
        <w:t>el</w:t>
      </w:r>
      <w:proofErr w:type="spellEnd"/>
      <w:r w:rsidRPr="00845FBC">
        <w:t xml:space="preserve"> </w:t>
      </w:r>
      <w:proofErr w:type="spellStart"/>
      <w:r w:rsidRPr="00845FBC">
        <w:t>Reyno</w:t>
      </w:r>
      <w:proofErr w:type="spellEnd"/>
      <w:r w:rsidRPr="00845FBC">
        <w:t xml:space="preserve">, </w:t>
      </w:r>
      <w:proofErr w:type="spellStart"/>
      <w:r w:rsidRPr="00845FBC">
        <w:t>despues</w:t>
      </w:r>
      <w:proofErr w:type="spellEnd"/>
      <w:r w:rsidRPr="00845FBC">
        <w:t xml:space="preserve"> de aver visto </w:t>
      </w:r>
      <w:proofErr w:type="spellStart"/>
      <w:r w:rsidRPr="00845FBC">
        <w:t>muchos</w:t>
      </w:r>
      <w:proofErr w:type="spellEnd"/>
      <w:r w:rsidRPr="00845FBC">
        <w:t xml:space="preserve"> </w:t>
      </w:r>
      <w:proofErr w:type="spellStart"/>
      <w:r w:rsidRPr="00845FBC">
        <w:t>discursos</w:t>
      </w:r>
      <w:proofErr w:type="spellEnd"/>
      <w:r w:rsidRPr="00845FBC">
        <w:t xml:space="preserve"> de hombres bien </w:t>
      </w:r>
      <w:proofErr w:type="spellStart"/>
      <w:r w:rsidRPr="00845FBC">
        <w:t>entendidos</w:t>
      </w:r>
      <w:proofErr w:type="spellEnd"/>
      <w:r w:rsidRPr="00845FBC">
        <w:t xml:space="preserve">, y </w:t>
      </w:r>
      <w:proofErr w:type="spellStart"/>
      <w:r w:rsidRPr="00845FBC">
        <w:t>cuerdos</w:t>
      </w:r>
      <w:proofErr w:type="spellEnd"/>
      <w:r>
        <w:t xml:space="preserve"> . . . </w:t>
      </w:r>
      <w:r w:rsidRPr="00845FBC">
        <w:t xml:space="preserve">y aver visto </w:t>
      </w:r>
      <w:proofErr w:type="spellStart"/>
      <w:r w:rsidRPr="00845FBC">
        <w:t>tambien</w:t>
      </w:r>
      <w:proofErr w:type="spellEnd"/>
      <w:r w:rsidRPr="00845FBC">
        <w:t xml:space="preserve">, </w:t>
      </w:r>
      <w:proofErr w:type="spellStart"/>
      <w:r w:rsidRPr="00845FBC">
        <w:t>todo</w:t>
      </w:r>
      <w:proofErr w:type="spellEnd"/>
      <w:r w:rsidRPr="00845FBC">
        <w:t xml:space="preserve"> lo que </w:t>
      </w:r>
      <w:proofErr w:type="spellStart"/>
      <w:r w:rsidRPr="00845FBC">
        <w:t>aqui</w:t>
      </w:r>
      <w:proofErr w:type="spellEnd"/>
      <w:r w:rsidRPr="00845FBC">
        <w:t xml:space="preserve"> se </w:t>
      </w:r>
      <w:proofErr w:type="spellStart"/>
      <w:r w:rsidRPr="00845FBC">
        <w:t>alega</w:t>
      </w:r>
      <w:proofErr w:type="spellEnd"/>
      <w:r w:rsidRPr="00845FBC">
        <w:t xml:space="preserve"> contra </w:t>
      </w:r>
      <w:proofErr w:type="spellStart"/>
      <w:r w:rsidRPr="00845FBC">
        <w:t>esta</w:t>
      </w:r>
      <w:proofErr w:type="spellEnd"/>
      <w:r w:rsidRPr="00845FBC">
        <w:t xml:space="preserve"> </w:t>
      </w:r>
      <w:proofErr w:type="spellStart"/>
      <w:r w:rsidRPr="00845FBC">
        <w:t>dicha</w:t>
      </w:r>
      <w:proofErr w:type="spellEnd"/>
      <w:r w:rsidRPr="00845FBC">
        <w:t xml:space="preserve"> permission</w:t>
      </w:r>
      <w:r>
        <w:t>,</w:t>
      </w:r>
      <w:r w:rsidRPr="00845FBC">
        <w:t>”</w:t>
      </w:r>
      <w:r>
        <w:t xml:space="preserve"> </w:t>
      </w:r>
      <w:r w:rsidRPr="00845FBC">
        <w:t xml:space="preserve">Soria, </w:t>
      </w:r>
      <w:proofErr w:type="spellStart"/>
      <w:r w:rsidRPr="00845FBC">
        <w:rPr>
          <w:i/>
        </w:rPr>
        <w:t>Tratado</w:t>
      </w:r>
      <w:proofErr w:type="spellEnd"/>
      <w:r w:rsidRPr="00845FBC">
        <w:t>, 128</w:t>
      </w:r>
      <w:r>
        <w:t>.</w:t>
      </w:r>
    </w:p>
  </w:footnote>
  <w:footnote w:id="78">
    <w:p w14:paraId="363FD03F" w14:textId="78AEC285"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Soria, </w:t>
      </w:r>
      <w:proofErr w:type="spellStart"/>
      <w:r w:rsidRPr="00845FBC">
        <w:rPr>
          <w:i/>
          <w:lang w:val="it-IT"/>
        </w:rPr>
        <w:t>Tratado</w:t>
      </w:r>
      <w:proofErr w:type="spellEnd"/>
      <w:r w:rsidRPr="00845FBC">
        <w:rPr>
          <w:lang w:val="it-IT"/>
        </w:rPr>
        <w:t>, 119.</w:t>
      </w:r>
    </w:p>
  </w:footnote>
  <w:footnote w:id="79">
    <w:p w14:paraId="4924C43F" w14:textId="3D746FF1" w:rsidR="000D006E" w:rsidRPr="00845FBC" w:rsidRDefault="000D006E" w:rsidP="00845FBC">
      <w:pPr>
        <w:pStyle w:val="Funotentext"/>
        <w:contextualSpacing/>
        <w:rPr>
          <w:lang w:val="it-IT"/>
        </w:rPr>
      </w:pPr>
      <w:r w:rsidRPr="00845FBC">
        <w:rPr>
          <w:rStyle w:val="Funotenzeichen"/>
        </w:rPr>
        <w:footnoteRef/>
      </w:r>
      <w:r w:rsidRPr="00845FBC">
        <w:rPr>
          <w:lang w:val="it-IT"/>
        </w:rPr>
        <w:t xml:space="preserve"> Soria, </w:t>
      </w:r>
      <w:proofErr w:type="spellStart"/>
      <w:r w:rsidRPr="00845FBC">
        <w:rPr>
          <w:i/>
          <w:lang w:val="it-IT"/>
        </w:rPr>
        <w:t>Tratado</w:t>
      </w:r>
      <w:proofErr w:type="spellEnd"/>
      <w:r w:rsidRPr="00845FBC">
        <w:rPr>
          <w:lang w:val="it-IT"/>
        </w:rPr>
        <w:t>, 119–20.</w:t>
      </w:r>
    </w:p>
  </w:footnote>
  <w:footnote w:id="80">
    <w:p w14:paraId="22898A0B" w14:textId="41CAB322" w:rsidR="000D006E" w:rsidRPr="00845FBC" w:rsidRDefault="000D006E" w:rsidP="00845FBC">
      <w:pPr>
        <w:pStyle w:val="Endnotentext1"/>
        <w:contextualSpacing/>
        <w:rPr>
          <w:lang w:val="it-IT"/>
        </w:rPr>
      </w:pPr>
      <w:r w:rsidRPr="00845FBC">
        <w:rPr>
          <w:vertAlign w:val="superscript"/>
        </w:rPr>
        <w:footnoteRef/>
      </w:r>
      <w:r w:rsidRPr="00845FBC">
        <w:rPr>
          <w:lang w:val="it-IT"/>
        </w:rPr>
        <w:t xml:space="preserve"> Soria, </w:t>
      </w:r>
      <w:proofErr w:type="spellStart"/>
      <w:r w:rsidRPr="00845FBC">
        <w:rPr>
          <w:i/>
          <w:lang w:val="it-IT"/>
        </w:rPr>
        <w:t>Tratado</w:t>
      </w:r>
      <w:proofErr w:type="spellEnd"/>
      <w:r w:rsidRPr="00845FBC">
        <w:rPr>
          <w:lang w:val="it-IT"/>
        </w:rPr>
        <w:t>, 35.</w:t>
      </w:r>
    </w:p>
  </w:footnote>
  <w:footnote w:id="81">
    <w:p w14:paraId="118183B8" w14:textId="3C6A6C52" w:rsidR="000D006E" w:rsidRPr="00845FBC" w:rsidRDefault="000D006E" w:rsidP="00845FBC">
      <w:pPr>
        <w:pStyle w:val="Endnotentext1"/>
        <w:contextualSpacing/>
      </w:pPr>
      <w:r w:rsidRPr="00845FBC">
        <w:rPr>
          <w:vertAlign w:val="superscript"/>
        </w:rPr>
        <w:footnoteRef/>
      </w:r>
      <w:r w:rsidRPr="00845FBC">
        <w:t xml:space="preserve"> Soria, </w:t>
      </w:r>
      <w:proofErr w:type="spellStart"/>
      <w:r w:rsidRPr="00845FBC">
        <w:rPr>
          <w:i/>
        </w:rPr>
        <w:t>Tratado</w:t>
      </w:r>
      <w:proofErr w:type="spellEnd"/>
      <w:r w:rsidRPr="00845FBC">
        <w:rPr>
          <w:i/>
        </w:rPr>
        <w:t xml:space="preserve">, </w:t>
      </w:r>
      <w:r w:rsidRPr="00845FBC">
        <w:t>35.</w:t>
      </w:r>
    </w:p>
  </w:footnote>
  <w:footnote w:id="82">
    <w:p w14:paraId="30A6D467" w14:textId="0F1F876E" w:rsidR="000D006E" w:rsidRPr="00845FBC" w:rsidRDefault="000D006E" w:rsidP="00845FBC">
      <w:pPr>
        <w:pStyle w:val="Endnotentext1"/>
        <w:contextualSpacing/>
      </w:pPr>
      <w:r w:rsidRPr="00845FBC">
        <w:rPr>
          <w:vertAlign w:val="superscript"/>
        </w:rPr>
        <w:footnoteRef/>
      </w:r>
      <w:r w:rsidRPr="00845FBC">
        <w:t xml:space="preserve"> Soria, </w:t>
      </w:r>
      <w:proofErr w:type="spellStart"/>
      <w:r w:rsidRPr="00845FBC">
        <w:rPr>
          <w:i/>
        </w:rPr>
        <w:t>Tratado</w:t>
      </w:r>
      <w:proofErr w:type="spellEnd"/>
      <w:r w:rsidRPr="00845FBC">
        <w:t>, 37.</w:t>
      </w:r>
    </w:p>
  </w:footnote>
  <w:footnote w:id="83">
    <w:p w14:paraId="0B2F53DB" w14:textId="2E81E490" w:rsidR="000D006E" w:rsidRPr="00845FBC" w:rsidRDefault="000D006E" w:rsidP="00845FBC">
      <w:pPr>
        <w:pStyle w:val="Funotentext"/>
        <w:contextualSpacing/>
      </w:pPr>
      <w:r w:rsidRPr="00845FBC">
        <w:rPr>
          <w:rStyle w:val="Funotenzeichen"/>
        </w:rPr>
        <w:footnoteRef/>
      </w:r>
      <w:r w:rsidRPr="00845FBC">
        <w:t xml:space="preserve"> Sánchez, </w:t>
      </w:r>
      <w:proofErr w:type="spellStart"/>
      <w:r w:rsidRPr="00845FBC">
        <w:rPr>
          <w:i/>
        </w:rPr>
        <w:t>Consilia</w:t>
      </w:r>
      <w:proofErr w:type="spellEnd"/>
      <w:r w:rsidRPr="00845FBC">
        <w:t>, 82.</w:t>
      </w:r>
    </w:p>
  </w:footnote>
  <w:footnote w:id="84">
    <w:p w14:paraId="31B0A345" w14:textId="455E4D7C" w:rsidR="000D006E" w:rsidRPr="00845FBC" w:rsidRDefault="000D006E" w:rsidP="00845FBC">
      <w:pPr>
        <w:pStyle w:val="Endnotentext1"/>
        <w:contextualSpacing/>
      </w:pPr>
      <w:r w:rsidRPr="00845FBC">
        <w:rPr>
          <w:vertAlign w:val="superscript"/>
        </w:rPr>
        <w:footnoteRef/>
      </w:r>
      <w:r w:rsidRPr="00845FBC">
        <w:t xml:space="preserve"> </w:t>
      </w:r>
      <w:r>
        <w:t>“I</w:t>
      </w:r>
      <w:r w:rsidRPr="00845FBC">
        <w:t xml:space="preserve">pse quoque </w:t>
      </w:r>
      <w:proofErr w:type="spellStart"/>
      <w:r w:rsidRPr="00845FBC">
        <w:t>potest</w:t>
      </w:r>
      <w:proofErr w:type="spellEnd"/>
      <w:r w:rsidRPr="00845FBC">
        <w:t xml:space="preserve"> </w:t>
      </w:r>
      <w:proofErr w:type="spellStart"/>
      <w:r w:rsidRPr="00845FBC">
        <w:t>taxare</w:t>
      </w:r>
      <w:proofErr w:type="spellEnd"/>
      <w:r w:rsidRPr="00845FBC">
        <w:t xml:space="preserve">, &amp; </w:t>
      </w:r>
      <w:proofErr w:type="spellStart"/>
      <w:r w:rsidRPr="00845FBC">
        <w:t>revidere</w:t>
      </w:r>
      <w:proofErr w:type="spellEnd"/>
      <w:r w:rsidRPr="00845FBC">
        <w:t xml:space="preserve">, </w:t>
      </w:r>
      <w:proofErr w:type="spellStart"/>
      <w:r w:rsidRPr="00845FBC">
        <w:t>maxime</w:t>
      </w:r>
      <w:proofErr w:type="spellEnd"/>
      <w:r w:rsidRPr="00845FBC">
        <w:t xml:space="preserve"> ad </w:t>
      </w:r>
      <w:proofErr w:type="spellStart"/>
      <w:r w:rsidRPr="00845FBC">
        <w:t>quaerelam</w:t>
      </w:r>
      <w:proofErr w:type="spellEnd"/>
      <w:r w:rsidRPr="00845FBC">
        <w:t xml:space="preserve"> </w:t>
      </w:r>
      <w:proofErr w:type="spellStart"/>
      <w:r w:rsidRPr="00845FBC">
        <w:t>vendentis</w:t>
      </w:r>
      <w:proofErr w:type="spellEnd"/>
      <w:r w:rsidRPr="00845FBC">
        <w:t xml:space="preserve">, vel </w:t>
      </w:r>
      <w:proofErr w:type="spellStart"/>
      <w:r>
        <w:t>procuratis</w:t>
      </w:r>
      <w:proofErr w:type="spellEnd"/>
      <w:r>
        <w:t xml:space="preserve"> populi, seu </w:t>
      </w:r>
      <w:proofErr w:type="spellStart"/>
      <w:r>
        <w:t>Concilii</w:t>
      </w:r>
      <w:proofErr w:type="spellEnd"/>
      <w:r>
        <w:t>,</w:t>
      </w:r>
      <w:r w:rsidRPr="00845FBC">
        <w:t xml:space="preserve">” </w:t>
      </w:r>
      <w:proofErr w:type="spellStart"/>
      <w:r w:rsidRPr="00845FBC">
        <w:t>Mexía</w:t>
      </w:r>
      <w:proofErr w:type="spellEnd"/>
      <w:r w:rsidRPr="00845FBC">
        <w:t xml:space="preserve">, </w:t>
      </w:r>
      <w:proofErr w:type="spellStart"/>
      <w:r w:rsidRPr="00845FBC">
        <w:rPr>
          <w:i/>
        </w:rPr>
        <w:t>Laconismus</w:t>
      </w:r>
      <w:proofErr w:type="spellEnd"/>
      <w:r w:rsidRPr="00845FBC">
        <w:t>, fol. 20r (</w:t>
      </w:r>
      <w:proofErr w:type="spellStart"/>
      <w:r w:rsidRPr="00845FBC">
        <w:t>concl</w:t>
      </w:r>
      <w:proofErr w:type="spellEnd"/>
      <w:r w:rsidRPr="00845FBC">
        <w:t>. 1, nu. 52)</w:t>
      </w:r>
      <w:r>
        <w:t>.</w:t>
      </w:r>
      <w:r w:rsidRPr="00845FBC">
        <w:t xml:space="preserve"> </w:t>
      </w:r>
    </w:p>
  </w:footnote>
  <w:footnote w:id="85">
    <w:p w14:paraId="60745612" w14:textId="054EF199" w:rsidR="000D006E" w:rsidRPr="00845FBC" w:rsidRDefault="000D006E" w:rsidP="00845FBC">
      <w:pPr>
        <w:pStyle w:val="Endnotentext1"/>
        <w:contextualSpacing/>
      </w:pPr>
      <w:r w:rsidRPr="00845FBC">
        <w:rPr>
          <w:vertAlign w:val="superscript"/>
        </w:rPr>
        <w:footnoteRef/>
      </w:r>
      <w:r w:rsidRPr="00845FBC">
        <w:t xml:space="preserve"> </w:t>
      </w:r>
      <w:proofErr w:type="spellStart"/>
      <w:r w:rsidRPr="00845FBC">
        <w:t>Mexía</w:t>
      </w:r>
      <w:proofErr w:type="spellEnd"/>
      <w:r w:rsidRPr="00845FBC">
        <w:t xml:space="preserve">, </w:t>
      </w:r>
      <w:proofErr w:type="spellStart"/>
      <w:r w:rsidRPr="00845FBC">
        <w:rPr>
          <w:i/>
        </w:rPr>
        <w:t>Laconismus</w:t>
      </w:r>
      <w:proofErr w:type="spellEnd"/>
      <w:r w:rsidRPr="00845FBC">
        <w:t>, fol. 20r.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2AAC" w14:textId="77777777" w:rsidR="000D006E" w:rsidRDefault="000D006E" w:rsidP="005F4FE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B1D214" w14:textId="77777777" w:rsidR="000D006E" w:rsidRDefault="000D006E" w:rsidP="0099395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A79C" w14:textId="7976DC58" w:rsidR="000D006E" w:rsidRDefault="000D006E" w:rsidP="005F4FE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21</w:t>
    </w:r>
    <w:r>
      <w:rPr>
        <w:rStyle w:val="Seitenzahl"/>
      </w:rPr>
      <w:fldChar w:fldCharType="end"/>
    </w:r>
  </w:p>
  <w:p w14:paraId="1704D308" w14:textId="77777777" w:rsidR="000D006E" w:rsidRDefault="000D006E" w:rsidP="0099395E">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6"/>
    <w:rsid w:val="00003A4A"/>
    <w:rsid w:val="0000545E"/>
    <w:rsid w:val="00006D76"/>
    <w:rsid w:val="00011391"/>
    <w:rsid w:val="000115A6"/>
    <w:rsid w:val="00011C9D"/>
    <w:rsid w:val="000126F3"/>
    <w:rsid w:val="000157C5"/>
    <w:rsid w:val="00021F7F"/>
    <w:rsid w:val="00027696"/>
    <w:rsid w:val="0003091B"/>
    <w:rsid w:val="00031A1C"/>
    <w:rsid w:val="00031D3C"/>
    <w:rsid w:val="000352C9"/>
    <w:rsid w:val="0003530B"/>
    <w:rsid w:val="00037CB7"/>
    <w:rsid w:val="00041349"/>
    <w:rsid w:val="00043EB5"/>
    <w:rsid w:val="000464B2"/>
    <w:rsid w:val="00061BF0"/>
    <w:rsid w:val="00061C21"/>
    <w:rsid w:val="000649F4"/>
    <w:rsid w:val="000662F5"/>
    <w:rsid w:val="00067442"/>
    <w:rsid w:val="00072E4D"/>
    <w:rsid w:val="000848D7"/>
    <w:rsid w:val="00086799"/>
    <w:rsid w:val="000921EE"/>
    <w:rsid w:val="00095D65"/>
    <w:rsid w:val="00096511"/>
    <w:rsid w:val="000A132E"/>
    <w:rsid w:val="000A2014"/>
    <w:rsid w:val="000A40AF"/>
    <w:rsid w:val="000A604D"/>
    <w:rsid w:val="000B1186"/>
    <w:rsid w:val="000B4682"/>
    <w:rsid w:val="000B7923"/>
    <w:rsid w:val="000C45D2"/>
    <w:rsid w:val="000C684B"/>
    <w:rsid w:val="000D006E"/>
    <w:rsid w:val="000D2C9E"/>
    <w:rsid w:val="000D6BF4"/>
    <w:rsid w:val="000E354D"/>
    <w:rsid w:val="000E4BA4"/>
    <w:rsid w:val="000F6182"/>
    <w:rsid w:val="00110AE0"/>
    <w:rsid w:val="00113541"/>
    <w:rsid w:val="0012041A"/>
    <w:rsid w:val="00120930"/>
    <w:rsid w:val="00126BAB"/>
    <w:rsid w:val="00127480"/>
    <w:rsid w:val="00130107"/>
    <w:rsid w:val="00131319"/>
    <w:rsid w:val="00140FC8"/>
    <w:rsid w:val="00143E5C"/>
    <w:rsid w:val="00150450"/>
    <w:rsid w:val="00156FD7"/>
    <w:rsid w:val="0016086A"/>
    <w:rsid w:val="001615DD"/>
    <w:rsid w:val="00163B99"/>
    <w:rsid w:val="001715AA"/>
    <w:rsid w:val="001727DC"/>
    <w:rsid w:val="00173736"/>
    <w:rsid w:val="00173BFA"/>
    <w:rsid w:val="00177A36"/>
    <w:rsid w:val="00180D54"/>
    <w:rsid w:val="0018464B"/>
    <w:rsid w:val="00186D8D"/>
    <w:rsid w:val="00187ED7"/>
    <w:rsid w:val="0019017E"/>
    <w:rsid w:val="001A31AE"/>
    <w:rsid w:val="001A699D"/>
    <w:rsid w:val="001A7E1F"/>
    <w:rsid w:val="001B1509"/>
    <w:rsid w:val="001B2A84"/>
    <w:rsid w:val="001C04B2"/>
    <w:rsid w:val="001C4DEA"/>
    <w:rsid w:val="001C5C82"/>
    <w:rsid w:val="001D1177"/>
    <w:rsid w:val="001D54A6"/>
    <w:rsid w:val="001D56A9"/>
    <w:rsid w:val="001D6651"/>
    <w:rsid w:val="001D79D1"/>
    <w:rsid w:val="001E0850"/>
    <w:rsid w:val="001E1EB8"/>
    <w:rsid w:val="001E47B7"/>
    <w:rsid w:val="001F2E89"/>
    <w:rsid w:val="001F5565"/>
    <w:rsid w:val="001F6108"/>
    <w:rsid w:val="00203276"/>
    <w:rsid w:val="00203746"/>
    <w:rsid w:val="00205411"/>
    <w:rsid w:val="002071EC"/>
    <w:rsid w:val="00214E2A"/>
    <w:rsid w:val="00216220"/>
    <w:rsid w:val="00221BEB"/>
    <w:rsid w:val="00226AB7"/>
    <w:rsid w:val="00232FD5"/>
    <w:rsid w:val="00240B1E"/>
    <w:rsid w:val="002438C3"/>
    <w:rsid w:val="00246015"/>
    <w:rsid w:val="00247406"/>
    <w:rsid w:val="002515D4"/>
    <w:rsid w:val="00252429"/>
    <w:rsid w:val="002564A5"/>
    <w:rsid w:val="00262CB9"/>
    <w:rsid w:val="00275146"/>
    <w:rsid w:val="00276F83"/>
    <w:rsid w:val="00277A37"/>
    <w:rsid w:val="0028014D"/>
    <w:rsid w:val="002938A5"/>
    <w:rsid w:val="002A3AC2"/>
    <w:rsid w:val="002A47C4"/>
    <w:rsid w:val="002A6304"/>
    <w:rsid w:val="002A7B9A"/>
    <w:rsid w:val="002B0923"/>
    <w:rsid w:val="002B0989"/>
    <w:rsid w:val="002B40C6"/>
    <w:rsid w:val="002B4BF0"/>
    <w:rsid w:val="002C2160"/>
    <w:rsid w:val="002C3E1A"/>
    <w:rsid w:val="002C455A"/>
    <w:rsid w:val="002C5B7F"/>
    <w:rsid w:val="002C6FD6"/>
    <w:rsid w:val="002D1852"/>
    <w:rsid w:val="002E0164"/>
    <w:rsid w:val="002E2307"/>
    <w:rsid w:val="002E7D43"/>
    <w:rsid w:val="002F31E1"/>
    <w:rsid w:val="002F35FA"/>
    <w:rsid w:val="002F64F6"/>
    <w:rsid w:val="003017DE"/>
    <w:rsid w:val="00301DB7"/>
    <w:rsid w:val="003123B1"/>
    <w:rsid w:val="00312D04"/>
    <w:rsid w:val="00315D07"/>
    <w:rsid w:val="00317199"/>
    <w:rsid w:val="0032034A"/>
    <w:rsid w:val="003221C4"/>
    <w:rsid w:val="00325AC4"/>
    <w:rsid w:val="003263ED"/>
    <w:rsid w:val="00337B47"/>
    <w:rsid w:val="00343247"/>
    <w:rsid w:val="00343D86"/>
    <w:rsid w:val="0034489A"/>
    <w:rsid w:val="00351167"/>
    <w:rsid w:val="0035396A"/>
    <w:rsid w:val="00361E93"/>
    <w:rsid w:val="0036261F"/>
    <w:rsid w:val="00362967"/>
    <w:rsid w:val="00362FBB"/>
    <w:rsid w:val="00366824"/>
    <w:rsid w:val="00370C52"/>
    <w:rsid w:val="00373E49"/>
    <w:rsid w:val="003742F4"/>
    <w:rsid w:val="00375172"/>
    <w:rsid w:val="00376237"/>
    <w:rsid w:val="00377323"/>
    <w:rsid w:val="003774E1"/>
    <w:rsid w:val="00380882"/>
    <w:rsid w:val="00380888"/>
    <w:rsid w:val="00382AC1"/>
    <w:rsid w:val="00382EB0"/>
    <w:rsid w:val="003835F4"/>
    <w:rsid w:val="003866C0"/>
    <w:rsid w:val="00386FB6"/>
    <w:rsid w:val="0039465E"/>
    <w:rsid w:val="003A043A"/>
    <w:rsid w:val="003A39F9"/>
    <w:rsid w:val="003A4618"/>
    <w:rsid w:val="003A7574"/>
    <w:rsid w:val="003A782E"/>
    <w:rsid w:val="003B0EB1"/>
    <w:rsid w:val="003B78E7"/>
    <w:rsid w:val="003C177F"/>
    <w:rsid w:val="003C435F"/>
    <w:rsid w:val="003C492D"/>
    <w:rsid w:val="003D48F4"/>
    <w:rsid w:val="003D6D71"/>
    <w:rsid w:val="003E1192"/>
    <w:rsid w:val="003E163D"/>
    <w:rsid w:val="003E5262"/>
    <w:rsid w:val="003E5E07"/>
    <w:rsid w:val="003E65B2"/>
    <w:rsid w:val="003F0583"/>
    <w:rsid w:val="003F2B17"/>
    <w:rsid w:val="003F614E"/>
    <w:rsid w:val="003F6A51"/>
    <w:rsid w:val="003F7D73"/>
    <w:rsid w:val="0040110B"/>
    <w:rsid w:val="004023E8"/>
    <w:rsid w:val="00402C9E"/>
    <w:rsid w:val="0041249D"/>
    <w:rsid w:val="00415222"/>
    <w:rsid w:val="004154FA"/>
    <w:rsid w:val="00415E70"/>
    <w:rsid w:val="00420DB5"/>
    <w:rsid w:val="00426636"/>
    <w:rsid w:val="004268C3"/>
    <w:rsid w:val="004274D1"/>
    <w:rsid w:val="00433AA8"/>
    <w:rsid w:val="0043417D"/>
    <w:rsid w:val="00434F17"/>
    <w:rsid w:val="00437B4C"/>
    <w:rsid w:val="0044025D"/>
    <w:rsid w:val="0044218F"/>
    <w:rsid w:val="00451B62"/>
    <w:rsid w:val="0046037B"/>
    <w:rsid w:val="00460448"/>
    <w:rsid w:val="004609B8"/>
    <w:rsid w:val="00460A44"/>
    <w:rsid w:val="00462497"/>
    <w:rsid w:val="00463541"/>
    <w:rsid w:val="004638DA"/>
    <w:rsid w:val="00466E91"/>
    <w:rsid w:val="00475979"/>
    <w:rsid w:val="004776DE"/>
    <w:rsid w:val="0048032D"/>
    <w:rsid w:val="00481AD3"/>
    <w:rsid w:val="0048442E"/>
    <w:rsid w:val="00485B84"/>
    <w:rsid w:val="00486FC0"/>
    <w:rsid w:val="004871A0"/>
    <w:rsid w:val="004933BE"/>
    <w:rsid w:val="00497136"/>
    <w:rsid w:val="004A14D0"/>
    <w:rsid w:val="004A1869"/>
    <w:rsid w:val="004A1892"/>
    <w:rsid w:val="004A505C"/>
    <w:rsid w:val="004A66F5"/>
    <w:rsid w:val="004B1DE0"/>
    <w:rsid w:val="004B4199"/>
    <w:rsid w:val="004B46D8"/>
    <w:rsid w:val="004C200C"/>
    <w:rsid w:val="004C6D11"/>
    <w:rsid w:val="004C7D58"/>
    <w:rsid w:val="004D2D83"/>
    <w:rsid w:val="004E13DC"/>
    <w:rsid w:val="004E1EB4"/>
    <w:rsid w:val="004F67C6"/>
    <w:rsid w:val="00506896"/>
    <w:rsid w:val="00510D3C"/>
    <w:rsid w:val="0051775B"/>
    <w:rsid w:val="005202C4"/>
    <w:rsid w:val="0052224D"/>
    <w:rsid w:val="00522CBC"/>
    <w:rsid w:val="00526699"/>
    <w:rsid w:val="005328BE"/>
    <w:rsid w:val="00533884"/>
    <w:rsid w:val="00533C05"/>
    <w:rsid w:val="00536ABE"/>
    <w:rsid w:val="00536AD5"/>
    <w:rsid w:val="00544812"/>
    <w:rsid w:val="00545CE4"/>
    <w:rsid w:val="005478B0"/>
    <w:rsid w:val="0056015A"/>
    <w:rsid w:val="00561DD3"/>
    <w:rsid w:val="0056790A"/>
    <w:rsid w:val="00572CB3"/>
    <w:rsid w:val="00573D9C"/>
    <w:rsid w:val="00576934"/>
    <w:rsid w:val="00583296"/>
    <w:rsid w:val="00586297"/>
    <w:rsid w:val="00586A9C"/>
    <w:rsid w:val="00586F99"/>
    <w:rsid w:val="005910AA"/>
    <w:rsid w:val="005A4FEC"/>
    <w:rsid w:val="005A686C"/>
    <w:rsid w:val="005A7671"/>
    <w:rsid w:val="005B1463"/>
    <w:rsid w:val="005B3831"/>
    <w:rsid w:val="005B5925"/>
    <w:rsid w:val="005B6746"/>
    <w:rsid w:val="005B7658"/>
    <w:rsid w:val="005B7D44"/>
    <w:rsid w:val="005D1197"/>
    <w:rsid w:val="005D6E8F"/>
    <w:rsid w:val="005E1CF4"/>
    <w:rsid w:val="005E30E1"/>
    <w:rsid w:val="005E4CD0"/>
    <w:rsid w:val="005F4FEF"/>
    <w:rsid w:val="005F737E"/>
    <w:rsid w:val="00603696"/>
    <w:rsid w:val="00605ED8"/>
    <w:rsid w:val="00606503"/>
    <w:rsid w:val="00607ED9"/>
    <w:rsid w:val="00614A88"/>
    <w:rsid w:val="00620984"/>
    <w:rsid w:val="00622D1C"/>
    <w:rsid w:val="006241CE"/>
    <w:rsid w:val="00624DB7"/>
    <w:rsid w:val="0062511A"/>
    <w:rsid w:val="00630397"/>
    <w:rsid w:val="0063163F"/>
    <w:rsid w:val="00632CAF"/>
    <w:rsid w:val="00637BF3"/>
    <w:rsid w:val="0064723B"/>
    <w:rsid w:val="006534BF"/>
    <w:rsid w:val="00653B7C"/>
    <w:rsid w:val="00656819"/>
    <w:rsid w:val="006570C5"/>
    <w:rsid w:val="00657D34"/>
    <w:rsid w:val="006633C6"/>
    <w:rsid w:val="00663A5F"/>
    <w:rsid w:val="0066638C"/>
    <w:rsid w:val="00666770"/>
    <w:rsid w:val="006672CC"/>
    <w:rsid w:val="0067270D"/>
    <w:rsid w:val="0067352B"/>
    <w:rsid w:val="0067448B"/>
    <w:rsid w:val="00675592"/>
    <w:rsid w:val="00677575"/>
    <w:rsid w:val="0068035B"/>
    <w:rsid w:val="006821C0"/>
    <w:rsid w:val="00683581"/>
    <w:rsid w:val="00685529"/>
    <w:rsid w:val="00690B73"/>
    <w:rsid w:val="00691BC5"/>
    <w:rsid w:val="006A406F"/>
    <w:rsid w:val="006B2B35"/>
    <w:rsid w:val="006B7A62"/>
    <w:rsid w:val="006C4028"/>
    <w:rsid w:val="006C5E46"/>
    <w:rsid w:val="006C6776"/>
    <w:rsid w:val="006D0A81"/>
    <w:rsid w:val="006E4657"/>
    <w:rsid w:val="006E5B5B"/>
    <w:rsid w:val="006E6C24"/>
    <w:rsid w:val="007019BF"/>
    <w:rsid w:val="007048E3"/>
    <w:rsid w:val="00706EDF"/>
    <w:rsid w:val="00714D7C"/>
    <w:rsid w:val="0071531D"/>
    <w:rsid w:val="00716FB9"/>
    <w:rsid w:val="0072051B"/>
    <w:rsid w:val="00720A3C"/>
    <w:rsid w:val="00724C6A"/>
    <w:rsid w:val="00725B07"/>
    <w:rsid w:val="0072621F"/>
    <w:rsid w:val="0073204E"/>
    <w:rsid w:val="0073752C"/>
    <w:rsid w:val="00742B2A"/>
    <w:rsid w:val="007438D9"/>
    <w:rsid w:val="00747BAC"/>
    <w:rsid w:val="0075072C"/>
    <w:rsid w:val="007561B5"/>
    <w:rsid w:val="007646D3"/>
    <w:rsid w:val="00767143"/>
    <w:rsid w:val="00772E83"/>
    <w:rsid w:val="007764BD"/>
    <w:rsid w:val="0077693A"/>
    <w:rsid w:val="0077786C"/>
    <w:rsid w:val="0078143E"/>
    <w:rsid w:val="00782938"/>
    <w:rsid w:val="00782DAB"/>
    <w:rsid w:val="007857E1"/>
    <w:rsid w:val="0078693E"/>
    <w:rsid w:val="00787860"/>
    <w:rsid w:val="00794A31"/>
    <w:rsid w:val="007A163E"/>
    <w:rsid w:val="007A715C"/>
    <w:rsid w:val="007B14D4"/>
    <w:rsid w:val="007B5EF5"/>
    <w:rsid w:val="007C2E1A"/>
    <w:rsid w:val="007D357C"/>
    <w:rsid w:val="007D3D99"/>
    <w:rsid w:val="007D67F6"/>
    <w:rsid w:val="007D6F0E"/>
    <w:rsid w:val="007E074C"/>
    <w:rsid w:val="007E1C9E"/>
    <w:rsid w:val="007F0772"/>
    <w:rsid w:val="007F2BCA"/>
    <w:rsid w:val="007F4905"/>
    <w:rsid w:val="007F6583"/>
    <w:rsid w:val="007F6E2D"/>
    <w:rsid w:val="007F7277"/>
    <w:rsid w:val="00803A90"/>
    <w:rsid w:val="008041E3"/>
    <w:rsid w:val="00805E1C"/>
    <w:rsid w:val="00807582"/>
    <w:rsid w:val="008109FE"/>
    <w:rsid w:val="00813B3A"/>
    <w:rsid w:val="008210D7"/>
    <w:rsid w:val="00821A67"/>
    <w:rsid w:val="0082320D"/>
    <w:rsid w:val="0082352A"/>
    <w:rsid w:val="0082432D"/>
    <w:rsid w:val="00830A2A"/>
    <w:rsid w:val="00830D68"/>
    <w:rsid w:val="00831713"/>
    <w:rsid w:val="00834B32"/>
    <w:rsid w:val="0084079C"/>
    <w:rsid w:val="0084453B"/>
    <w:rsid w:val="0084546F"/>
    <w:rsid w:val="00845FBC"/>
    <w:rsid w:val="0084725E"/>
    <w:rsid w:val="008500D0"/>
    <w:rsid w:val="008520FD"/>
    <w:rsid w:val="008521F0"/>
    <w:rsid w:val="008527D4"/>
    <w:rsid w:val="008549E2"/>
    <w:rsid w:val="00856853"/>
    <w:rsid w:val="0086107C"/>
    <w:rsid w:val="00867821"/>
    <w:rsid w:val="00871757"/>
    <w:rsid w:val="0087296B"/>
    <w:rsid w:val="008738AD"/>
    <w:rsid w:val="008844ED"/>
    <w:rsid w:val="00884609"/>
    <w:rsid w:val="0088487D"/>
    <w:rsid w:val="00885C81"/>
    <w:rsid w:val="00886185"/>
    <w:rsid w:val="00890AE9"/>
    <w:rsid w:val="00891188"/>
    <w:rsid w:val="008924D5"/>
    <w:rsid w:val="00895275"/>
    <w:rsid w:val="008959AB"/>
    <w:rsid w:val="00896B19"/>
    <w:rsid w:val="0089790C"/>
    <w:rsid w:val="008A7768"/>
    <w:rsid w:val="008B0620"/>
    <w:rsid w:val="008B0E39"/>
    <w:rsid w:val="008B3489"/>
    <w:rsid w:val="008C1936"/>
    <w:rsid w:val="008C2316"/>
    <w:rsid w:val="008C2FCC"/>
    <w:rsid w:val="008D360B"/>
    <w:rsid w:val="008E2C36"/>
    <w:rsid w:val="008E3896"/>
    <w:rsid w:val="008E7269"/>
    <w:rsid w:val="008F0D1E"/>
    <w:rsid w:val="008F3ED7"/>
    <w:rsid w:val="00902AC8"/>
    <w:rsid w:val="00907C75"/>
    <w:rsid w:val="009111AD"/>
    <w:rsid w:val="00911F07"/>
    <w:rsid w:val="00911F2C"/>
    <w:rsid w:val="00916898"/>
    <w:rsid w:val="00923333"/>
    <w:rsid w:val="009265DF"/>
    <w:rsid w:val="00927CCE"/>
    <w:rsid w:val="00931471"/>
    <w:rsid w:val="00936976"/>
    <w:rsid w:val="00936F93"/>
    <w:rsid w:val="00942D38"/>
    <w:rsid w:val="00943A36"/>
    <w:rsid w:val="0094447C"/>
    <w:rsid w:val="00945F4B"/>
    <w:rsid w:val="0094647E"/>
    <w:rsid w:val="00947183"/>
    <w:rsid w:val="00947398"/>
    <w:rsid w:val="009507C3"/>
    <w:rsid w:val="00965274"/>
    <w:rsid w:val="009733AA"/>
    <w:rsid w:val="00977C04"/>
    <w:rsid w:val="00981B05"/>
    <w:rsid w:val="009829EC"/>
    <w:rsid w:val="00983142"/>
    <w:rsid w:val="009852D2"/>
    <w:rsid w:val="00986050"/>
    <w:rsid w:val="009876BB"/>
    <w:rsid w:val="009909EC"/>
    <w:rsid w:val="00991ADF"/>
    <w:rsid w:val="0099275D"/>
    <w:rsid w:val="009927F1"/>
    <w:rsid w:val="0099395E"/>
    <w:rsid w:val="00994421"/>
    <w:rsid w:val="00995456"/>
    <w:rsid w:val="00997F0F"/>
    <w:rsid w:val="009A3258"/>
    <w:rsid w:val="009A3C01"/>
    <w:rsid w:val="009A4AAC"/>
    <w:rsid w:val="009C028E"/>
    <w:rsid w:val="009C138E"/>
    <w:rsid w:val="009C252D"/>
    <w:rsid w:val="009C27E1"/>
    <w:rsid w:val="009C3A88"/>
    <w:rsid w:val="009C752D"/>
    <w:rsid w:val="009D38F5"/>
    <w:rsid w:val="009D7A05"/>
    <w:rsid w:val="009E1745"/>
    <w:rsid w:val="009F00AD"/>
    <w:rsid w:val="009F2A96"/>
    <w:rsid w:val="009F2C38"/>
    <w:rsid w:val="009F6863"/>
    <w:rsid w:val="00A01C1A"/>
    <w:rsid w:val="00A07A01"/>
    <w:rsid w:val="00A10AD8"/>
    <w:rsid w:val="00A11F02"/>
    <w:rsid w:val="00A12CB6"/>
    <w:rsid w:val="00A149B9"/>
    <w:rsid w:val="00A25617"/>
    <w:rsid w:val="00A26515"/>
    <w:rsid w:val="00A26780"/>
    <w:rsid w:val="00A307B2"/>
    <w:rsid w:val="00A32A3B"/>
    <w:rsid w:val="00A34B67"/>
    <w:rsid w:val="00A408FA"/>
    <w:rsid w:val="00A47247"/>
    <w:rsid w:val="00A51B7E"/>
    <w:rsid w:val="00A52274"/>
    <w:rsid w:val="00A52CD1"/>
    <w:rsid w:val="00A60D9E"/>
    <w:rsid w:val="00A613F4"/>
    <w:rsid w:val="00A6150A"/>
    <w:rsid w:val="00A629EE"/>
    <w:rsid w:val="00A6321C"/>
    <w:rsid w:val="00A64E02"/>
    <w:rsid w:val="00A75262"/>
    <w:rsid w:val="00A75B6B"/>
    <w:rsid w:val="00A760E1"/>
    <w:rsid w:val="00A77B0E"/>
    <w:rsid w:val="00A806B0"/>
    <w:rsid w:val="00A832B3"/>
    <w:rsid w:val="00A861FF"/>
    <w:rsid w:val="00A9781C"/>
    <w:rsid w:val="00AA56A2"/>
    <w:rsid w:val="00AA5CE1"/>
    <w:rsid w:val="00AA7D70"/>
    <w:rsid w:val="00AB6B45"/>
    <w:rsid w:val="00AB7DDD"/>
    <w:rsid w:val="00AC4CD8"/>
    <w:rsid w:val="00AD08CC"/>
    <w:rsid w:val="00AD476A"/>
    <w:rsid w:val="00AE0A21"/>
    <w:rsid w:val="00AE1AA2"/>
    <w:rsid w:val="00AE3FDF"/>
    <w:rsid w:val="00AE70F4"/>
    <w:rsid w:val="00AE7B91"/>
    <w:rsid w:val="00AE7C76"/>
    <w:rsid w:val="00AF101A"/>
    <w:rsid w:val="00AF2513"/>
    <w:rsid w:val="00AF511D"/>
    <w:rsid w:val="00AF533F"/>
    <w:rsid w:val="00AF5F29"/>
    <w:rsid w:val="00AF6627"/>
    <w:rsid w:val="00AF6F65"/>
    <w:rsid w:val="00B051B9"/>
    <w:rsid w:val="00B07F03"/>
    <w:rsid w:val="00B13B3C"/>
    <w:rsid w:val="00B1482A"/>
    <w:rsid w:val="00B26FF8"/>
    <w:rsid w:val="00B27E20"/>
    <w:rsid w:val="00B311C6"/>
    <w:rsid w:val="00B3483D"/>
    <w:rsid w:val="00B34B3F"/>
    <w:rsid w:val="00B355C9"/>
    <w:rsid w:val="00B360BD"/>
    <w:rsid w:val="00B372F6"/>
    <w:rsid w:val="00B41387"/>
    <w:rsid w:val="00B50FA3"/>
    <w:rsid w:val="00B52DA9"/>
    <w:rsid w:val="00B530BB"/>
    <w:rsid w:val="00B53DE0"/>
    <w:rsid w:val="00B54BBC"/>
    <w:rsid w:val="00B56E5F"/>
    <w:rsid w:val="00B63650"/>
    <w:rsid w:val="00B638D9"/>
    <w:rsid w:val="00B76624"/>
    <w:rsid w:val="00B81460"/>
    <w:rsid w:val="00B8192E"/>
    <w:rsid w:val="00B855E3"/>
    <w:rsid w:val="00B8573A"/>
    <w:rsid w:val="00B86508"/>
    <w:rsid w:val="00B92237"/>
    <w:rsid w:val="00B92613"/>
    <w:rsid w:val="00B92BD9"/>
    <w:rsid w:val="00B938F8"/>
    <w:rsid w:val="00BA43A5"/>
    <w:rsid w:val="00BA5EAC"/>
    <w:rsid w:val="00BC08A8"/>
    <w:rsid w:val="00BC20B5"/>
    <w:rsid w:val="00BC7BD8"/>
    <w:rsid w:val="00BD2AAF"/>
    <w:rsid w:val="00BD5C3B"/>
    <w:rsid w:val="00BE380C"/>
    <w:rsid w:val="00BE3C01"/>
    <w:rsid w:val="00BE41C1"/>
    <w:rsid w:val="00BE425F"/>
    <w:rsid w:val="00BE42A3"/>
    <w:rsid w:val="00BE4681"/>
    <w:rsid w:val="00BE4DDD"/>
    <w:rsid w:val="00BE54FB"/>
    <w:rsid w:val="00BF0B7C"/>
    <w:rsid w:val="00BF2820"/>
    <w:rsid w:val="00BF3C20"/>
    <w:rsid w:val="00C010B7"/>
    <w:rsid w:val="00C01C99"/>
    <w:rsid w:val="00C01D18"/>
    <w:rsid w:val="00C0359E"/>
    <w:rsid w:val="00C14C97"/>
    <w:rsid w:val="00C20BC6"/>
    <w:rsid w:val="00C32B31"/>
    <w:rsid w:val="00C35626"/>
    <w:rsid w:val="00C460AF"/>
    <w:rsid w:val="00C51C04"/>
    <w:rsid w:val="00C53296"/>
    <w:rsid w:val="00C540FA"/>
    <w:rsid w:val="00C56AF2"/>
    <w:rsid w:val="00C572A6"/>
    <w:rsid w:val="00C57B71"/>
    <w:rsid w:val="00C65227"/>
    <w:rsid w:val="00C65D9E"/>
    <w:rsid w:val="00C70CE1"/>
    <w:rsid w:val="00C71EB8"/>
    <w:rsid w:val="00C767CA"/>
    <w:rsid w:val="00C82E57"/>
    <w:rsid w:val="00C87376"/>
    <w:rsid w:val="00C90945"/>
    <w:rsid w:val="00C916E9"/>
    <w:rsid w:val="00C91D69"/>
    <w:rsid w:val="00C94C5B"/>
    <w:rsid w:val="00CA069C"/>
    <w:rsid w:val="00CA104A"/>
    <w:rsid w:val="00CB228A"/>
    <w:rsid w:val="00CB2C38"/>
    <w:rsid w:val="00CB2FC5"/>
    <w:rsid w:val="00CB54E7"/>
    <w:rsid w:val="00CB7C6C"/>
    <w:rsid w:val="00CC2B49"/>
    <w:rsid w:val="00CC3010"/>
    <w:rsid w:val="00CC49CE"/>
    <w:rsid w:val="00CD0F19"/>
    <w:rsid w:val="00CD1133"/>
    <w:rsid w:val="00CE0FE2"/>
    <w:rsid w:val="00CE1B1D"/>
    <w:rsid w:val="00CE2C5B"/>
    <w:rsid w:val="00CE2D32"/>
    <w:rsid w:val="00CE4713"/>
    <w:rsid w:val="00CE6832"/>
    <w:rsid w:val="00D014D7"/>
    <w:rsid w:val="00D01E86"/>
    <w:rsid w:val="00D043DD"/>
    <w:rsid w:val="00D04F05"/>
    <w:rsid w:val="00D06A99"/>
    <w:rsid w:val="00D1000E"/>
    <w:rsid w:val="00D12DE3"/>
    <w:rsid w:val="00D159EF"/>
    <w:rsid w:val="00D1751B"/>
    <w:rsid w:val="00D211DF"/>
    <w:rsid w:val="00D2787A"/>
    <w:rsid w:val="00D33CF6"/>
    <w:rsid w:val="00D33D28"/>
    <w:rsid w:val="00D3461A"/>
    <w:rsid w:val="00D36E8D"/>
    <w:rsid w:val="00D40CC8"/>
    <w:rsid w:val="00D4108B"/>
    <w:rsid w:val="00D454B3"/>
    <w:rsid w:val="00D46536"/>
    <w:rsid w:val="00D5168F"/>
    <w:rsid w:val="00D536A3"/>
    <w:rsid w:val="00D54440"/>
    <w:rsid w:val="00D56CF7"/>
    <w:rsid w:val="00D60DBE"/>
    <w:rsid w:val="00D60FDD"/>
    <w:rsid w:val="00D6424D"/>
    <w:rsid w:val="00D66E2C"/>
    <w:rsid w:val="00D73288"/>
    <w:rsid w:val="00D80AB5"/>
    <w:rsid w:val="00D81B21"/>
    <w:rsid w:val="00D82E69"/>
    <w:rsid w:val="00D92DFB"/>
    <w:rsid w:val="00D937EB"/>
    <w:rsid w:val="00D93F3B"/>
    <w:rsid w:val="00D9556F"/>
    <w:rsid w:val="00D960A4"/>
    <w:rsid w:val="00DA2BC8"/>
    <w:rsid w:val="00DA2E88"/>
    <w:rsid w:val="00DA7581"/>
    <w:rsid w:val="00DA7EF6"/>
    <w:rsid w:val="00DB2A62"/>
    <w:rsid w:val="00DB613E"/>
    <w:rsid w:val="00DC2010"/>
    <w:rsid w:val="00DC4D9C"/>
    <w:rsid w:val="00DC5568"/>
    <w:rsid w:val="00DD39F4"/>
    <w:rsid w:val="00DD3F34"/>
    <w:rsid w:val="00DD4A0D"/>
    <w:rsid w:val="00DE0A2C"/>
    <w:rsid w:val="00DE1B5E"/>
    <w:rsid w:val="00DE2D1C"/>
    <w:rsid w:val="00DE2FC4"/>
    <w:rsid w:val="00DE42D5"/>
    <w:rsid w:val="00DE4539"/>
    <w:rsid w:val="00DE66C2"/>
    <w:rsid w:val="00DF2587"/>
    <w:rsid w:val="00DF3822"/>
    <w:rsid w:val="00DF3A64"/>
    <w:rsid w:val="00DF4A33"/>
    <w:rsid w:val="00DF5D07"/>
    <w:rsid w:val="00DF66CC"/>
    <w:rsid w:val="00E0049D"/>
    <w:rsid w:val="00E00E57"/>
    <w:rsid w:val="00E02022"/>
    <w:rsid w:val="00E03F55"/>
    <w:rsid w:val="00E06B34"/>
    <w:rsid w:val="00E06E14"/>
    <w:rsid w:val="00E10666"/>
    <w:rsid w:val="00E11DD1"/>
    <w:rsid w:val="00E208A9"/>
    <w:rsid w:val="00E21531"/>
    <w:rsid w:val="00E25DF7"/>
    <w:rsid w:val="00E27C82"/>
    <w:rsid w:val="00E30460"/>
    <w:rsid w:val="00E36DF4"/>
    <w:rsid w:val="00E3707C"/>
    <w:rsid w:val="00E44447"/>
    <w:rsid w:val="00E51792"/>
    <w:rsid w:val="00E537B8"/>
    <w:rsid w:val="00E55280"/>
    <w:rsid w:val="00E667CB"/>
    <w:rsid w:val="00E676E3"/>
    <w:rsid w:val="00E7093B"/>
    <w:rsid w:val="00E70B3D"/>
    <w:rsid w:val="00E711AE"/>
    <w:rsid w:val="00E764CE"/>
    <w:rsid w:val="00E77A7A"/>
    <w:rsid w:val="00E83471"/>
    <w:rsid w:val="00E834A8"/>
    <w:rsid w:val="00E869F9"/>
    <w:rsid w:val="00E90DA2"/>
    <w:rsid w:val="00E91612"/>
    <w:rsid w:val="00E92D54"/>
    <w:rsid w:val="00E93569"/>
    <w:rsid w:val="00E95EF5"/>
    <w:rsid w:val="00EA608C"/>
    <w:rsid w:val="00EB37C1"/>
    <w:rsid w:val="00EC2496"/>
    <w:rsid w:val="00EC2EE8"/>
    <w:rsid w:val="00EC3D4C"/>
    <w:rsid w:val="00ED43CA"/>
    <w:rsid w:val="00ED72BC"/>
    <w:rsid w:val="00ED7C78"/>
    <w:rsid w:val="00EE109A"/>
    <w:rsid w:val="00EE4E41"/>
    <w:rsid w:val="00EF18BC"/>
    <w:rsid w:val="00EF3AA3"/>
    <w:rsid w:val="00EF503A"/>
    <w:rsid w:val="00EF5C87"/>
    <w:rsid w:val="00EF643C"/>
    <w:rsid w:val="00EF7B1D"/>
    <w:rsid w:val="00F04353"/>
    <w:rsid w:val="00F058B4"/>
    <w:rsid w:val="00F07432"/>
    <w:rsid w:val="00F07CAD"/>
    <w:rsid w:val="00F11C28"/>
    <w:rsid w:val="00F14B7C"/>
    <w:rsid w:val="00F165E1"/>
    <w:rsid w:val="00F16B28"/>
    <w:rsid w:val="00F1702E"/>
    <w:rsid w:val="00F20E90"/>
    <w:rsid w:val="00F2227A"/>
    <w:rsid w:val="00F22E11"/>
    <w:rsid w:val="00F24E83"/>
    <w:rsid w:val="00F2522F"/>
    <w:rsid w:val="00F26206"/>
    <w:rsid w:val="00F26384"/>
    <w:rsid w:val="00F27EC4"/>
    <w:rsid w:val="00F308C2"/>
    <w:rsid w:val="00F3111B"/>
    <w:rsid w:val="00F318D6"/>
    <w:rsid w:val="00F31ED7"/>
    <w:rsid w:val="00F322E6"/>
    <w:rsid w:val="00F3392C"/>
    <w:rsid w:val="00F43AB9"/>
    <w:rsid w:val="00F46495"/>
    <w:rsid w:val="00F51516"/>
    <w:rsid w:val="00F54B02"/>
    <w:rsid w:val="00F56F95"/>
    <w:rsid w:val="00F60FC4"/>
    <w:rsid w:val="00F634CE"/>
    <w:rsid w:val="00F641BF"/>
    <w:rsid w:val="00F65C41"/>
    <w:rsid w:val="00F700B2"/>
    <w:rsid w:val="00F700CE"/>
    <w:rsid w:val="00F73542"/>
    <w:rsid w:val="00F7579C"/>
    <w:rsid w:val="00F76D4F"/>
    <w:rsid w:val="00F81618"/>
    <w:rsid w:val="00F8561A"/>
    <w:rsid w:val="00F85CFE"/>
    <w:rsid w:val="00F9016A"/>
    <w:rsid w:val="00F95A3C"/>
    <w:rsid w:val="00F97D91"/>
    <w:rsid w:val="00FA04B8"/>
    <w:rsid w:val="00FA0B4A"/>
    <w:rsid w:val="00FB3690"/>
    <w:rsid w:val="00FB399E"/>
    <w:rsid w:val="00FB7062"/>
    <w:rsid w:val="00FC315E"/>
    <w:rsid w:val="00FC327E"/>
    <w:rsid w:val="00FC37FF"/>
    <w:rsid w:val="00FC5168"/>
    <w:rsid w:val="00FD11D7"/>
    <w:rsid w:val="00FD203E"/>
    <w:rsid w:val="00FD263D"/>
    <w:rsid w:val="00FD2E72"/>
    <w:rsid w:val="00FD31FD"/>
    <w:rsid w:val="00FD7947"/>
    <w:rsid w:val="00FD7B36"/>
    <w:rsid w:val="00FE2124"/>
    <w:rsid w:val="00FE309E"/>
    <w:rsid w:val="00FE496F"/>
    <w:rsid w:val="00FE6A5E"/>
    <w:rsid w:val="00FE7A34"/>
    <w:rsid w:val="00FF1584"/>
    <w:rsid w:val="00FF34DB"/>
    <w:rsid w:val="00FF546F"/>
    <w:rsid w:val="00FF6D3D"/>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E5F2E0"/>
  <w15:docId w15:val="{28BF02A0-C1D9-428E-8687-5B99B571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bar w:val="nil"/>
      </w:pBdr>
    </w:pPr>
    <w:rPr>
      <w:sz w:val="24"/>
      <w:szCs w:val="24"/>
      <w:bdr w:val="nil"/>
      <w:lang w:val="en-US" w:eastAsia="en-US"/>
    </w:rPr>
  </w:style>
  <w:style w:type="paragraph" w:styleId="berschrift1">
    <w:name w:val="heading 1"/>
    <w:basedOn w:val="Standard"/>
    <w:link w:val="berschrift1Zchn"/>
    <w:uiPriority w:val="9"/>
    <w:qFormat/>
    <w:rsid w:val="005862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Helvetica" w:cs="Arial Unicode MS"/>
      <w:color w:val="000000"/>
      <w:sz w:val="24"/>
      <w:szCs w:val="24"/>
      <w:bdr w:val="nil"/>
      <w:lang w:val="en-US" w:eastAsia="en-US" w:bidi="he-IL"/>
    </w:rPr>
  </w:style>
  <w:style w:type="paragraph" w:customStyle="1" w:styleId="Fuzeile1">
    <w:name w:val="Fußzeile1"/>
    <w:pPr>
      <w:pBdr>
        <w:top w:val="nil"/>
        <w:left w:val="nil"/>
        <w:bottom w:val="nil"/>
        <w:right w:val="nil"/>
        <w:between w:val="nil"/>
        <w:bar w:val="nil"/>
      </w:pBdr>
      <w:tabs>
        <w:tab w:val="center" w:pos="4536"/>
        <w:tab w:val="right" w:pos="9072"/>
      </w:tabs>
    </w:pPr>
    <w:rPr>
      <w:rFonts w:cs="Arial Unicode MS"/>
      <w:color w:val="000000"/>
      <w:sz w:val="24"/>
      <w:szCs w:val="24"/>
      <w:u w:color="000000"/>
      <w:bdr w:val="nil"/>
      <w:lang w:val="en-US" w:eastAsia="en-US" w:bidi="he-IL"/>
    </w:rPr>
  </w:style>
  <w:style w:type="paragraph" w:customStyle="1" w:styleId="Standard1">
    <w:name w:val="Standard1"/>
    <w:pPr>
      <w:pBdr>
        <w:top w:val="nil"/>
        <w:left w:val="nil"/>
        <w:bottom w:val="nil"/>
        <w:right w:val="nil"/>
        <w:between w:val="nil"/>
        <w:bar w:val="nil"/>
      </w:pBdr>
    </w:pPr>
    <w:rPr>
      <w:rFonts w:cs="Arial Unicode MS"/>
      <w:color w:val="000000"/>
      <w:sz w:val="24"/>
      <w:szCs w:val="24"/>
      <w:u w:color="000000"/>
      <w:bdr w:val="nil"/>
      <w:lang w:val="en-US" w:eastAsia="en-US" w:bidi="he-IL"/>
    </w:rPr>
  </w:style>
  <w:style w:type="paragraph" w:customStyle="1" w:styleId="Endnotentext1">
    <w:name w:val="Endnotentext1"/>
    <w:pPr>
      <w:pBdr>
        <w:top w:val="nil"/>
        <w:left w:val="nil"/>
        <w:bottom w:val="nil"/>
        <w:right w:val="nil"/>
        <w:between w:val="nil"/>
        <w:bar w:val="nil"/>
      </w:pBdr>
    </w:pPr>
    <w:rPr>
      <w:rFonts w:eastAsia="Times New Roman"/>
      <w:color w:val="000000"/>
      <w:u w:color="000000"/>
      <w:bdr w:val="nil"/>
      <w:lang w:val="en-US" w:eastAsia="en-US" w:bidi="he-IL"/>
    </w:rPr>
  </w:style>
  <w:style w:type="paragraph" w:styleId="Sprechblasentext">
    <w:name w:val="Balloon Text"/>
    <w:basedOn w:val="Standard"/>
    <w:link w:val="SprechblasentextZchn"/>
    <w:uiPriority w:val="99"/>
    <w:semiHidden/>
    <w:unhideWhenUsed/>
    <w:rsid w:val="00805E1C"/>
    <w:rPr>
      <w:sz w:val="18"/>
      <w:szCs w:val="18"/>
      <w:bdr w:val="none" w:sz="0" w:space="0" w:color="auto"/>
      <w:lang w:val="x-none" w:eastAsia="x-none"/>
    </w:rPr>
  </w:style>
  <w:style w:type="character" w:customStyle="1" w:styleId="SprechblasentextZchn">
    <w:name w:val="Sprechblasentext Zchn"/>
    <w:link w:val="Sprechblasentext"/>
    <w:uiPriority w:val="99"/>
    <w:semiHidden/>
    <w:rsid w:val="00805E1C"/>
    <w:rPr>
      <w:sz w:val="18"/>
      <w:szCs w:val="18"/>
      <w:lang w:bidi="ar-SA"/>
    </w:rPr>
  </w:style>
  <w:style w:type="paragraph" w:styleId="Endnotentext">
    <w:name w:val="endnote text"/>
    <w:basedOn w:val="Standard"/>
    <w:link w:val="EndnotentextZchn"/>
    <w:uiPriority w:val="99"/>
    <w:semiHidden/>
    <w:unhideWhenUsed/>
    <w:rsid w:val="001B1509"/>
    <w:rPr>
      <w:sz w:val="20"/>
      <w:szCs w:val="20"/>
    </w:rPr>
  </w:style>
  <w:style w:type="character" w:customStyle="1" w:styleId="EndnotentextZchn">
    <w:name w:val="Endnotentext Zchn"/>
    <w:link w:val="Endnotentext"/>
    <w:uiPriority w:val="99"/>
    <w:semiHidden/>
    <w:rsid w:val="001B1509"/>
    <w:rPr>
      <w:bdr w:val="nil"/>
      <w:lang w:val="en-US" w:eastAsia="en-US"/>
    </w:rPr>
  </w:style>
  <w:style w:type="character" w:styleId="Endnotenzeichen">
    <w:name w:val="endnote reference"/>
    <w:uiPriority w:val="99"/>
    <w:semiHidden/>
    <w:unhideWhenUsed/>
    <w:rsid w:val="001B1509"/>
    <w:rPr>
      <w:vertAlign w:val="superscript"/>
    </w:rPr>
  </w:style>
  <w:style w:type="paragraph" w:styleId="Kopfzeile">
    <w:name w:val="header"/>
    <w:basedOn w:val="Standard"/>
    <w:link w:val="KopfzeileZchn"/>
    <w:uiPriority w:val="99"/>
    <w:unhideWhenUsed/>
    <w:rsid w:val="005E30E1"/>
    <w:pPr>
      <w:tabs>
        <w:tab w:val="center" w:pos="4536"/>
        <w:tab w:val="right" w:pos="9072"/>
      </w:tabs>
    </w:pPr>
  </w:style>
  <w:style w:type="character" w:customStyle="1" w:styleId="KopfzeileZchn">
    <w:name w:val="Kopfzeile Zchn"/>
    <w:link w:val="Kopfzeile"/>
    <w:uiPriority w:val="99"/>
    <w:rsid w:val="005E30E1"/>
    <w:rPr>
      <w:sz w:val="24"/>
      <w:szCs w:val="24"/>
      <w:bdr w:val="nil"/>
      <w:lang w:val="en-US" w:eastAsia="en-US"/>
    </w:rPr>
  </w:style>
  <w:style w:type="paragraph" w:styleId="Fuzeile">
    <w:name w:val="footer"/>
    <w:basedOn w:val="Standard"/>
    <w:link w:val="FuzeileZchn"/>
    <w:uiPriority w:val="99"/>
    <w:unhideWhenUsed/>
    <w:rsid w:val="005E30E1"/>
    <w:pPr>
      <w:tabs>
        <w:tab w:val="center" w:pos="4536"/>
        <w:tab w:val="right" w:pos="9072"/>
      </w:tabs>
    </w:pPr>
  </w:style>
  <w:style w:type="character" w:customStyle="1" w:styleId="FuzeileZchn">
    <w:name w:val="Fußzeile Zchn"/>
    <w:link w:val="Fuzeile"/>
    <w:uiPriority w:val="99"/>
    <w:rsid w:val="005E30E1"/>
    <w:rPr>
      <w:sz w:val="24"/>
      <w:szCs w:val="24"/>
      <w:bdr w:val="nil"/>
      <w:lang w:val="en-US" w:eastAsia="en-US"/>
    </w:rPr>
  </w:style>
  <w:style w:type="character" w:customStyle="1" w:styleId="berschrift1Zchn">
    <w:name w:val="Überschrift 1 Zchn"/>
    <w:basedOn w:val="Absatz-Standardschriftart"/>
    <w:link w:val="berschrift1"/>
    <w:uiPriority w:val="9"/>
    <w:rsid w:val="00586297"/>
    <w:rPr>
      <w:rFonts w:eastAsia="Times New Roman"/>
      <w:b/>
      <w:bCs/>
      <w:kern w:val="36"/>
      <w:sz w:val="48"/>
      <w:szCs w:val="48"/>
    </w:rPr>
  </w:style>
  <w:style w:type="character" w:customStyle="1" w:styleId="addmd">
    <w:name w:val="addmd"/>
    <w:basedOn w:val="Absatz-Standardschriftart"/>
    <w:rsid w:val="00586297"/>
  </w:style>
  <w:style w:type="paragraph" w:styleId="Funotentext">
    <w:name w:val="footnote text"/>
    <w:basedOn w:val="Standard"/>
    <w:link w:val="FunotentextZchn"/>
    <w:uiPriority w:val="99"/>
    <w:semiHidden/>
    <w:unhideWhenUsed/>
    <w:rsid w:val="0003530B"/>
    <w:rPr>
      <w:sz w:val="20"/>
      <w:szCs w:val="20"/>
    </w:rPr>
  </w:style>
  <w:style w:type="character" w:customStyle="1" w:styleId="FunotentextZchn">
    <w:name w:val="Fußnotentext Zchn"/>
    <w:basedOn w:val="Absatz-Standardschriftart"/>
    <w:link w:val="Funotentext"/>
    <w:uiPriority w:val="99"/>
    <w:semiHidden/>
    <w:rsid w:val="0003530B"/>
    <w:rPr>
      <w:bdr w:val="nil"/>
      <w:lang w:val="en-US" w:eastAsia="en-US"/>
    </w:rPr>
  </w:style>
  <w:style w:type="character" w:styleId="Funotenzeichen">
    <w:name w:val="footnote reference"/>
    <w:basedOn w:val="Absatz-Standardschriftart"/>
    <w:uiPriority w:val="99"/>
    <w:semiHidden/>
    <w:unhideWhenUsed/>
    <w:rsid w:val="0003530B"/>
    <w:rPr>
      <w:vertAlign w:val="superscript"/>
    </w:rPr>
  </w:style>
  <w:style w:type="character" w:styleId="Kommentarzeichen">
    <w:name w:val="annotation reference"/>
    <w:basedOn w:val="Absatz-Standardschriftart"/>
    <w:uiPriority w:val="99"/>
    <w:semiHidden/>
    <w:unhideWhenUsed/>
    <w:rsid w:val="00DA7EF6"/>
    <w:rPr>
      <w:sz w:val="18"/>
      <w:szCs w:val="18"/>
    </w:rPr>
  </w:style>
  <w:style w:type="paragraph" w:styleId="Kommentartext">
    <w:name w:val="annotation text"/>
    <w:basedOn w:val="Standard"/>
    <w:link w:val="KommentartextZchn"/>
    <w:uiPriority w:val="99"/>
    <w:semiHidden/>
    <w:unhideWhenUsed/>
    <w:rsid w:val="00DA7EF6"/>
  </w:style>
  <w:style w:type="character" w:customStyle="1" w:styleId="KommentartextZchn">
    <w:name w:val="Kommentartext Zchn"/>
    <w:basedOn w:val="Absatz-Standardschriftart"/>
    <w:link w:val="Kommentartext"/>
    <w:uiPriority w:val="99"/>
    <w:semiHidden/>
    <w:rsid w:val="00DA7EF6"/>
    <w:rPr>
      <w:sz w:val="24"/>
      <w:szCs w:val="24"/>
      <w:bdr w:val="nil"/>
      <w:lang w:val="en-US" w:eastAsia="en-US"/>
    </w:rPr>
  </w:style>
  <w:style w:type="paragraph" w:styleId="Kommentarthema">
    <w:name w:val="annotation subject"/>
    <w:basedOn w:val="Kommentartext"/>
    <w:next w:val="Kommentartext"/>
    <w:link w:val="KommentarthemaZchn"/>
    <w:uiPriority w:val="99"/>
    <w:semiHidden/>
    <w:unhideWhenUsed/>
    <w:rsid w:val="00DA7EF6"/>
    <w:rPr>
      <w:b/>
      <w:bCs/>
      <w:sz w:val="20"/>
      <w:szCs w:val="20"/>
    </w:rPr>
  </w:style>
  <w:style w:type="character" w:customStyle="1" w:styleId="KommentarthemaZchn">
    <w:name w:val="Kommentarthema Zchn"/>
    <w:basedOn w:val="KommentartextZchn"/>
    <w:link w:val="Kommentarthema"/>
    <w:uiPriority w:val="99"/>
    <w:semiHidden/>
    <w:rsid w:val="00DA7EF6"/>
    <w:rPr>
      <w:b/>
      <w:bCs/>
      <w:sz w:val="24"/>
      <w:szCs w:val="24"/>
      <w:bdr w:val="nil"/>
      <w:lang w:val="en-US" w:eastAsia="en-US"/>
    </w:rPr>
  </w:style>
  <w:style w:type="character" w:styleId="Seitenzahl">
    <w:name w:val="page number"/>
    <w:basedOn w:val="Absatz-Standardschriftart"/>
    <w:uiPriority w:val="99"/>
    <w:semiHidden/>
    <w:unhideWhenUsed/>
    <w:rsid w:val="0099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8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7376-D912-430B-B29A-9B3BB879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6114</Words>
  <Characters>34853</Characters>
  <Application>Microsoft Office Word</Application>
  <DocSecurity>0</DocSecurity>
  <Lines>290</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Stewart</dc:creator>
  <cp:keywords/>
  <cp:lastModifiedBy>andreas blank</cp:lastModifiedBy>
  <cp:revision>2</cp:revision>
  <dcterms:created xsi:type="dcterms:W3CDTF">2022-06-30T16:12:00Z</dcterms:created>
  <dcterms:modified xsi:type="dcterms:W3CDTF">2022-06-30T16:12:00Z</dcterms:modified>
</cp:coreProperties>
</file>